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2A5E6" w14:textId="77777777" w:rsidR="00E630EA" w:rsidRDefault="00E630EA" w:rsidP="00E630EA">
      <w:pPr>
        <w:spacing w:line="480" w:lineRule="auto"/>
        <w:ind w:firstLine="0"/>
        <w:rPr>
          <w:sz w:val="20"/>
        </w:rPr>
      </w:pPr>
      <w:r>
        <w:rPr>
          <w:sz w:val="20"/>
        </w:rPr>
        <w:t>Filed 4/17/24 (unmodified opn. attached)</w:t>
      </w:r>
    </w:p>
    <w:p w14:paraId="01E35E7F" w14:textId="77777777" w:rsidR="00E630EA" w:rsidRPr="000F2625" w:rsidRDefault="00E630EA" w:rsidP="00E630EA">
      <w:pPr>
        <w:spacing w:line="480" w:lineRule="auto"/>
        <w:ind w:firstLine="0"/>
        <w:jc w:val="center"/>
        <w:rPr>
          <w:b/>
        </w:rPr>
      </w:pPr>
      <w:r>
        <w:rPr>
          <w:b/>
        </w:rPr>
        <w:t>CERTIFIED FOR PUBLICATION</w:t>
      </w:r>
    </w:p>
    <w:p w14:paraId="0AACDE05" w14:textId="77777777" w:rsidR="00E630EA" w:rsidRPr="00944C2C" w:rsidRDefault="00E630EA" w:rsidP="00E630EA">
      <w:pPr>
        <w:spacing w:line="480" w:lineRule="auto"/>
        <w:ind w:firstLine="0"/>
        <w:jc w:val="center"/>
      </w:pPr>
      <w:r w:rsidRPr="00944C2C">
        <w:t>IN THE COURT OF APPEAL OF THE STATE OF CALIFORNIA</w:t>
      </w:r>
    </w:p>
    <w:p w14:paraId="24CE1BEB" w14:textId="77777777" w:rsidR="00E630EA" w:rsidRDefault="00E630EA" w:rsidP="00E630EA">
      <w:pPr>
        <w:spacing w:line="480" w:lineRule="auto"/>
        <w:ind w:firstLine="0"/>
        <w:jc w:val="center"/>
      </w:pPr>
      <w:r>
        <w:t>FIRST APPELLATE DISTRICT</w:t>
      </w:r>
    </w:p>
    <w:p w14:paraId="1211D663" w14:textId="77777777" w:rsidR="00E630EA" w:rsidRDefault="00E630EA" w:rsidP="00E630EA">
      <w:pPr>
        <w:spacing w:line="480" w:lineRule="auto"/>
        <w:ind w:firstLine="0"/>
        <w:jc w:val="center"/>
      </w:pPr>
      <w:r>
        <w:t>DIVISION FOUR</w:t>
      </w:r>
    </w:p>
    <w:p w14:paraId="515A5E41" w14:textId="77777777" w:rsidR="00E630EA" w:rsidRDefault="00E630EA" w:rsidP="00E630EA">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E630EA" w14:paraId="243A0892" w14:textId="77777777" w:rsidTr="00994A93">
        <w:tc>
          <w:tcPr>
            <w:tcW w:w="4680" w:type="dxa"/>
            <w:tcBorders>
              <w:bottom w:val="single" w:sz="4" w:space="0" w:color="auto"/>
              <w:right w:val="single" w:sz="4" w:space="0" w:color="auto"/>
            </w:tcBorders>
            <w:shd w:val="clear" w:color="auto" w:fill="auto"/>
          </w:tcPr>
          <w:p w14:paraId="12DED459" w14:textId="77777777" w:rsidR="00E630EA" w:rsidRPr="005D3D64" w:rsidRDefault="00E630EA" w:rsidP="00994A93">
            <w:pPr>
              <w:spacing w:after="120" w:line="240" w:lineRule="auto"/>
              <w:ind w:firstLine="0"/>
            </w:pPr>
            <w:r w:rsidRPr="005D3D64">
              <w:t>THE PEOPLE,</w:t>
            </w:r>
          </w:p>
          <w:p w14:paraId="09850558" w14:textId="77777777" w:rsidR="00E630EA" w:rsidRPr="005D3D64" w:rsidRDefault="00E630EA" w:rsidP="00994A93">
            <w:pPr>
              <w:tabs>
                <w:tab w:val="left" w:pos="610"/>
              </w:tabs>
              <w:spacing w:after="120" w:line="240" w:lineRule="auto"/>
              <w:ind w:firstLine="0"/>
            </w:pPr>
            <w:r w:rsidRPr="005D3D64">
              <w:tab/>
              <w:t>Plaintiff and Respondent,</w:t>
            </w:r>
          </w:p>
          <w:p w14:paraId="4F2ABE7C" w14:textId="77777777" w:rsidR="00E630EA" w:rsidRPr="005D3D64" w:rsidRDefault="00E630EA" w:rsidP="00994A93">
            <w:pPr>
              <w:tabs>
                <w:tab w:val="left" w:pos="1870"/>
              </w:tabs>
              <w:spacing w:after="120" w:line="240" w:lineRule="auto"/>
              <w:ind w:firstLine="0"/>
            </w:pPr>
            <w:r w:rsidRPr="005D3D64">
              <w:tab/>
              <w:t>v.</w:t>
            </w:r>
          </w:p>
          <w:p w14:paraId="35DA79C2" w14:textId="77777777" w:rsidR="00E630EA" w:rsidRPr="005D3D64" w:rsidRDefault="00E630EA" w:rsidP="00994A93">
            <w:pPr>
              <w:tabs>
                <w:tab w:val="left" w:pos="610"/>
              </w:tabs>
              <w:spacing w:line="240" w:lineRule="auto"/>
              <w:ind w:firstLine="0"/>
            </w:pPr>
            <w:r>
              <w:t>NICHOLAS BEAUDREAUX</w:t>
            </w:r>
            <w:r w:rsidRPr="005D3D64">
              <w:t>,</w:t>
            </w:r>
          </w:p>
          <w:p w14:paraId="197DD1BC" w14:textId="77777777" w:rsidR="00E630EA" w:rsidRPr="005D3D64" w:rsidRDefault="00E630EA" w:rsidP="00994A93">
            <w:pPr>
              <w:tabs>
                <w:tab w:val="left" w:pos="610"/>
              </w:tabs>
              <w:spacing w:before="120" w:after="240" w:line="240" w:lineRule="auto"/>
              <w:ind w:firstLine="0"/>
            </w:pPr>
            <w:r w:rsidRPr="005D3D64">
              <w:tab/>
              <w:t>Defendant and Appellant.</w:t>
            </w:r>
          </w:p>
        </w:tc>
        <w:tc>
          <w:tcPr>
            <w:tcW w:w="4680" w:type="dxa"/>
            <w:tcBorders>
              <w:left w:val="single" w:sz="4" w:space="0" w:color="auto"/>
            </w:tcBorders>
            <w:shd w:val="clear" w:color="auto" w:fill="auto"/>
          </w:tcPr>
          <w:p w14:paraId="0AE3CD00" w14:textId="77777777" w:rsidR="00E630EA" w:rsidRPr="005D3D64" w:rsidRDefault="00E630EA" w:rsidP="00994A93">
            <w:pPr>
              <w:spacing w:after="120" w:line="240" w:lineRule="auto"/>
              <w:ind w:firstLine="0"/>
            </w:pPr>
          </w:p>
          <w:p w14:paraId="603C3936" w14:textId="77777777" w:rsidR="00E630EA" w:rsidRPr="005D3D64" w:rsidRDefault="00E630EA" w:rsidP="00994A93">
            <w:pPr>
              <w:tabs>
                <w:tab w:val="left" w:pos="346"/>
              </w:tabs>
              <w:spacing w:after="240" w:line="240" w:lineRule="auto"/>
              <w:ind w:firstLine="0"/>
            </w:pPr>
            <w:r w:rsidRPr="005D3D64">
              <w:tab/>
              <w:t>A1</w:t>
            </w:r>
            <w:r>
              <w:t>66001</w:t>
            </w:r>
          </w:p>
          <w:p w14:paraId="016BC003" w14:textId="77777777" w:rsidR="00E630EA" w:rsidRPr="005D3D64" w:rsidRDefault="00E630EA" w:rsidP="00994A93">
            <w:pPr>
              <w:tabs>
                <w:tab w:val="left" w:pos="346"/>
              </w:tabs>
              <w:spacing w:line="240" w:lineRule="auto"/>
              <w:ind w:firstLine="0"/>
            </w:pPr>
            <w:r w:rsidRPr="005D3D64">
              <w:tab/>
              <w:t>(</w:t>
            </w:r>
            <w:r>
              <w:t xml:space="preserve">Alameda </w:t>
            </w:r>
            <w:r w:rsidRPr="005D3D64">
              <w:t>County Super. Ct.</w:t>
            </w:r>
          </w:p>
          <w:p w14:paraId="1DB1DC14" w14:textId="77777777" w:rsidR="00E630EA" w:rsidRPr="005D3D64" w:rsidRDefault="00E630EA" w:rsidP="00994A93">
            <w:pPr>
              <w:tabs>
                <w:tab w:val="left" w:pos="346"/>
              </w:tabs>
              <w:spacing w:line="240" w:lineRule="auto"/>
              <w:ind w:firstLine="0"/>
            </w:pPr>
            <w:r w:rsidRPr="005D3D64">
              <w:tab/>
              <w:t>No. </w:t>
            </w:r>
            <w:r>
              <w:t>160022B</w:t>
            </w:r>
            <w:r w:rsidRPr="005D3D64">
              <w:t>)</w:t>
            </w:r>
          </w:p>
          <w:p w14:paraId="4B54AC74" w14:textId="77777777" w:rsidR="00E630EA" w:rsidRPr="005D3D64" w:rsidRDefault="00E630EA" w:rsidP="00994A93">
            <w:pPr>
              <w:tabs>
                <w:tab w:val="left" w:pos="346"/>
              </w:tabs>
              <w:spacing w:line="240" w:lineRule="auto"/>
              <w:ind w:firstLine="0"/>
            </w:pPr>
          </w:p>
          <w:p w14:paraId="0A68C489" w14:textId="77777777" w:rsidR="00E630EA" w:rsidRDefault="00E630EA" w:rsidP="00994A93">
            <w:pPr>
              <w:tabs>
                <w:tab w:val="left" w:pos="346"/>
              </w:tabs>
              <w:spacing w:line="240" w:lineRule="auto"/>
              <w:ind w:firstLine="0"/>
            </w:pPr>
            <w:r w:rsidRPr="005D3D64">
              <w:tab/>
            </w:r>
            <w:r>
              <w:t>ORDER MODIFYING OPINION;</w:t>
            </w:r>
          </w:p>
          <w:p w14:paraId="7048643A" w14:textId="77777777" w:rsidR="00E630EA" w:rsidRPr="005D3D64" w:rsidRDefault="00E630EA" w:rsidP="00994A93">
            <w:pPr>
              <w:tabs>
                <w:tab w:val="left" w:pos="346"/>
              </w:tabs>
              <w:spacing w:line="240" w:lineRule="auto"/>
              <w:ind w:left="340" w:firstLine="0"/>
            </w:pPr>
            <w:r>
              <w:t>NO CHANGE IN JUDGMENT</w:t>
            </w:r>
          </w:p>
        </w:tc>
      </w:tr>
    </w:tbl>
    <w:p w14:paraId="61679A7C" w14:textId="77777777" w:rsidR="00E630EA" w:rsidRDefault="00E630EA" w:rsidP="00E630EA">
      <w:pPr>
        <w:spacing w:line="240" w:lineRule="auto"/>
      </w:pPr>
    </w:p>
    <w:p w14:paraId="5E9E71E5" w14:textId="77777777" w:rsidR="00E630EA" w:rsidRDefault="00E630EA" w:rsidP="00E630EA">
      <w:pPr>
        <w:ind w:firstLine="0"/>
      </w:pPr>
      <w:r>
        <w:t>BY THE COURT:</w:t>
      </w:r>
    </w:p>
    <w:p w14:paraId="7F8438C7" w14:textId="77777777" w:rsidR="00E630EA" w:rsidRDefault="00E630EA" w:rsidP="00E630EA">
      <w:pPr>
        <w:spacing w:line="276" w:lineRule="auto"/>
        <w:ind w:firstLine="0"/>
        <w:rPr>
          <w:rFonts w:cs="Times New Roman"/>
        </w:rPr>
      </w:pPr>
      <w:r>
        <w:rPr>
          <w:rFonts w:cs="Times New Roman"/>
        </w:rPr>
        <w:tab/>
        <w:t>The court orders that the opinion filed in this appeal on March 28, 2024, be modified as follows:</w:t>
      </w:r>
    </w:p>
    <w:p w14:paraId="0E831B4A" w14:textId="77777777" w:rsidR="00E630EA" w:rsidRDefault="00E630EA" w:rsidP="00E630EA">
      <w:pPr>
        <w:spacing w:line="276" w:lineRule="auto"/>
        <w:ind w:firstLine="0"/>
        <w:rPr>
          <w:rFonts w:cs="Times New Roman"/>
        </w:rPr>
      </w:pPr>
    </w:p>
    <w:p w14:paraId="56BA9610" w14:textId="77777777" w:rsidR="00E630EA" w:rsidRDefault="00E630EA" w:rsidP="00E630EA">
      <w:pPr>
        <w:pStyle w:val="ListParagraph"/>
        <w:numPr>
          <w:ilvl w:val="0"/>
          <w:numId w:val="26"/>
        </w:numPr>
        <w:spacing w:line="276" w:lineRule="auto"/>
        <w:ind w:left="1440"/>
        <w:rPr>
          <w:rFonts w:cs="Times New Roman"/>
        </w:rPr>
      </w:pPr>
      <w:r>
        <w:rPr>
          <w:rFonts w:cs="Times New Roman"/>
        </w:rPr>
        <w:t>On page 1, move footnote 1 from after “Penal Code” to the end of the sentence (there is no change to the wording of footnote 1) so that the sentence and footnote read as follows:</w:t>
      </w:r>
    </w:p>
    <w:p w14:paraId="4F1BB5C9" w14:textId="77777777" w:rsidR="00E630EA" w:rsidRDefault="00E630EA" w:rsidP="00E630EA">
      <w:pPr>
        <w:spacing w:line="276" w:lineRule="auto"/>
        <w:rPr>
          <w:rFonts w:cs="Times New Roman"/>
        </w:rPr>
      </w:pPr>
    </w:p>
    <w:p w14:paraId="7519AEEB" w14:textId="77777777" w:rsidR="00E630EA" w:rsidRDefault="00E630EA" w:rsidP="00E630EA">
      <w:pPr>
        <w:spacing w:line="276" w:lineRule="auto"/>
        <w:ind w:left="1800" w:firstLine="0"/>
      </w:pPr>
      <w:r>
        <w:t>Nicholas Beaudreaux, who is now serving an aggregate sentence of 50 years to life for the first degree murder and attempted robbery of Wayne Drummond, has twice unsuccessfully petitioned for resentencing under Penal Code section 1172.6.</w:t>
      </w:r>
      <w:r w:rsidRPr="002822CF">
        <w:rPr>
          <w:vertAlign w:val="superscript"/>
        </w:rPr>
        <w:footnoteReference w:id="2"/>
      </w:r>
    </w:p>
    <w:p w14:paraId="75585179" w14:textId="77777777" w:rsidR="00E630EA" w:rsidRDefault="00E630EA" w:rsidP="00E630EA">
      <w:pPr>
        <w:pStyle w:val="ListParagraph"/>
        <w:numPr>
          <w:ilvl w:val="0"/>
          <w:numId w:val="26"/>
        </w:numPr>
        <w:spacing w:line="276" w:lineRule="auto"/>
        <w:ind w:left="1440"/>
      </w:pPr>
      <w:r>
        <w:lastRenderedPageBreak/>
        <w:t>On page 2, in the first paragraph of the Background section, in the first sentence change “a” to “the” before “clerk’s” (and retaining footnote 2) so the sentence and footnote read as follows:</w:t>
      </w:r>
    </w:p>
    <w:p w14:paraId="583A8292" w14:textId="77777777" w:rsidR="00E630EA" w:rsidRDefault="00E630EA" w:rsidP="00E630EA">
      <w:pPr>
        <w:pStyle w:val="ListParagraph"/>
        <w:spacing w:line="276" w:lineRule="auto"/>
        <w:ind w:left="1440" w:firstLine="0"/>
      </w:pPr>
    </w:p>
    <w:p w14:paraId="57AFFF5E" w14:textId="77777777" w:rsidR="00E630EA" w:rsidRDefault="00E630EA" w:rsidP="00E630EA">
      <w:pPr>
        <w:spacing w:line="276" w:lineRule="auto"/>
        <w:ind w:left="1800" w:firstLine="0"/>
      </w:pPr>
      <w:r>
        <w:t>The pertinent record of conviction consists of the clerk’s transcript, the trial court minutes, and the jury instructions and verdicts from the underlying proceedings against Beaudreaux in 2009.</w:t>
      </w:r>
      <w:r>
        <w:rPr>
          <w:rStyle w:val="FootnoteReference"/>
        </w:rPr>
        <w:footnoteReference w:id="3"/>
      </w:r>
      <w:r>
        <w:t xml:space="preserve"> </w:t>
      </w:r>
    </w:p>
    <w:p w14:paraId="15E49B4F" w14:textId="77777777" w:rsidR="00E630EA" w:rsidRDefault="00E630EA" w:rsidP="00E630EA">
      <w:pPr>
        <w:spacing w:line="276" w:lineRule="auto"/>
      </w:pPr>
    </w:p>
    <w:p w14:paraId="7E26D739" w14:textId="77777777" w:rsidR="00E630EA" w:rsidRPr="005663F0" w:rsidRDefault="00E630EA" w:rsidP="00E630EA">
      <w:pPr>
        <w:pStyle w:val="ListParagraph"/>
        <w:numPr>
          <w:ilvl w:val="0"/>
          <w:numId w:val="26"/>
        </w:numPr>
        <w:spacing w:line="276" w:lineRule="auto"/>
        <w:ind w:left="1440"/>
      </w:pPr>
      <w:r>
        <w:t xml:space="preserve">On page 24, in the first paragraph, delete the fourth sentence (which begins with “After taking”) </w:t>
      </w:r>
      <w:r w:rsidRPr="09AF5155">
        <w:rPr>
          <w:rFonts w:eastAsia="Times New Roman" w:cs="Times New Roman"/>
          <w:color w:val="000000" w:themeColor="text1"/>
        </w:rPr>
        <w:t>and replace with the following sentence so it reads:</w:t>
      </w:r>
    </w:p>
    <w:p w14:paraId="331BA862" w14:textId="77777777" w:rsidR="00E630EA" w:rsidRDefault="00E630EA" w:rsidP="00E630EA">
      <w:pPr>
        <w:tabs>
          <w:tab w:val="left" w:pos="1530"/>
        </w:tabs>
        <w:spacing w:line="276" w:lineRule="auto"/>
        <w:ind w:left="1080" w:firstLine="0"/>
      </w:pPr>
    </w:p>
    <w:p w14:paraId="4717890C" w14:textId="77777777" w:rsidR="00E630EA" w:rsidRDefault="00E630EA" w:rsidP="00E630EA">
      <w:pPr>
        <w:spacing w:line="276" w:lineRule="auto"/>
        <w:ind w:left="1800" w:firstLine="0"/>
      </w:pPr>
      <w:r w:rsidRPr="005D50F7">
        <w:t>After taking the entirety of the record of conviction into account, the dispositive considerations for us are that (1)</w:t>
      </w:r>
      <w:r>
        <w:t> </w:t>
      </w:r>
      <w:r w:rsidRPr="005D50F7">
        <w:t>while Crowder was charged as a codefendant with murder, he was never charged with discharging a gun or inflicting great bodily injury on Drummond, and (2)</w:t>
      </w:r>
      <w:r>
        <w:t> </w:t>
      </w:r>
      <w:r w:rsidRPr="005D50F7">
        <w:t>the jury instructions did not supply a basis for the jury to convict Beaudreaux as an aider and abett</w:t>
      </w:r>
      <w:r>
        <w:t>o</w:t>
      </w:r>
      <w:r w:rsidRPr="005D50F7">
        <w:t>r, even if it concluded independently that Drummond was the shooter.</w:t>
      </w:r>
    </w:p>
    <w:p w14:paraId="6CF17C34" w14:textId="77777777" w:rsidR="00E630EA" w:rsidRDefault="00E630EA" w:rsidP="00E630EA">
      <w:pPr>
        <w:spacing w:line="276" w:lineRule="auto"/>
        <w:ind w:firstLine="0"/>
      </w:pPr>
    </w:p>
    <w:p w14:paraId="0736D7D9" w14:textId="77777777" w:rsidR="00E630EA" w:rsidRDefault="00E630EA" w:rsidP="00E630EA">
      <w:pPr>
        <w:spacing w:line="276" w:lineRule="auto"/>
        <w:ind w:firstLine="0"/>
      </w:pPr>
    </w:p>
    <w:p w14:paraId="5E03442C" w14:textId="77777777" w:rsidR="00E630EA" w:rsidRDefault="00E630EA" w:rsidP="00E630EA">
      <w:pPr>
        <w:spacing w:line="276" w:lineRule="auto"/>
        <w:ind w:firstLine="0"/>
      </w:pPr>
    </w:p>
    <w:p w14:paraId="3E5B297F" w14:textId="77777777" w:rsidR="00E630EA" w:rsidRDefault="00E630EA" w:rsidP="00E630EA">
      <w:pPr>
        <w:spacing w:line="276" w:lineRule="auto"/>
        <w:ind w:firstLine="0"/>
      </w:pPr>
      <w:r>
        <w:tab/>
        <w:t>The modifications effect no change in the judgment.</w:t>
      </w:r>
    </w:p>
    <w:p w14:paraId="4A53BAFD" w14:textId="77777777" w:rsidR="00E630EA" w:rsidRDefault="00E630EA" w:rsidP="00E630EA">
      <w:pPr>
        <w:spacing w:line="276" w:lineRule="auto"/>
        <w:ind w:firstLine="0"/>
      </w:pPr>
    </w:p>
    <w:p w14:paraId="09394B30" w14:textId="77777777" w:rsidR="00E630EA" w:rsidRDefault="00E630EA" w:rsidP="00E630EA">
      <w:pPr>
        <w:spacing w:line="276" w:lineRule="auto"/>
        <w:ind w:firstLine="0"/>
      </w:pPr>
    </w:p>
    <w:p w14:paraId="76062AA7" w14:textId="77777777" w:rsidR="00E630EA" w:rsidRDefault="00E630EA" w:rsidP="00E630EA">
      <w:pPr>
        <w:spacing w:line="276" w:lineRule="auto"/>
        <w:ind w:firstLine="0"/>
      </w:pPr>
      <w:r>
        <w:t>Date: _____________________</w:t>
      </w:r>
      <w:r>
        <w:tab/>
      </w:r>
      <w:r>
        <w:tab/>
      </w:r>
      <w:r>
        <w:tab/>
        <w:t>________________________P. J.</w:t>
      </w:r>
    </w:p>
    <w:p w14:paraId="659F4E0A" w14:textId="77777777" w:rsidR="00E630EA" w:rsidRDefault="00E630EA" w:rsidP="00E630EA">
      <w:pPr>
        <w:spacing w:line="276" w:lineRule="auto"/>
        <w:ind w:firstLine="0"/>
      </w:pPr>
      <w:r>
        <w:t xml:space="preserve">                                                                                  J. Brown</w:t>
      </w:r>
    </w:p>
    <w:p w14:paraId="2B81BBC3" w14:textId="77777777" w:rsidR="00E630EA" w:rsidRDefault="00E630EA" w:rsidP="00E630EA">
      <w:pPr>
        <w:spacing w:line="276" w:lineRule="auto"/>
        <w:ind w:firstLine="0"/>
      </w:pPr>
    </w:p>
    <w:p w14:paraId="2B0CF16C" w14:textId="77777777" w:rsidR="00E630EA" w:rsidRDefault="00E630EA" w:rsidP="00E630EA">
      <w:pPr>
        <w:spacing w:line="276" w:lineRule="auto"/>
        <w:ind w:firstLine="0"/>
        <w:sectPr w:rsidR="00E630EA" w:rsidSect="00E630EA">
          <w:footerReference w:type="default" r:id="rId7"/>
          <w:footerReference w:type="first" r:id="rId8"/>
          <w:pgSz w:w="12240" w:h="15840"/>
          <w:pgMar w:top="1440" w:right="1440" w:bottom="1440" w:left="1440" w:header="720" w:footer="720" w:gutter="0"/>
          <w:cols w:space="720"/>
          <w:docGrid w:linePitch="360"/>
        </w:sectPr>
      </w:pPr>
    </w:p>
    <w:p w14:paraId="2A967DF3" w14:textId="77777777" w:rsidR="00E630EA" w:rsidRDefault="00E630EA" w:rsidP="00E630EA">
      <w:pPr>
        <w:spacing w:after="240"/>
        <w:ind w:left="2340" w:hanging="2340"/>
      </w:pPr>
      <w:r>
        <w:lastRenderedPageBreak/>
        <w:t xml:space="preserve">Trial Court:   </w:t>
      </w:r>
      <w:r w:rsidRPr="0092401B">
        <w:t xml:space="preserve">Superior Court of California, County of </w:t>
      </w:r>
      <w:r>
        <w:t>Alameda</w:t>
      </w:r>
    </w:p>
    <w:p w14:paraId="6A6A9237" w14:textId="77777777" w:rsidR="00E630EA" w:rsidRDefault="00E630EA" w:rsidP="00E630EA">
      <w:pPr>
        <w:spacing w:after="240"/>
        <w:ind w:left="2340" w:hanging="2340"/>
      </w:pPr>
      <w:r>
        <w:t>Trial Judge:  Hon. Morris D. Jacobson</w:t>
      </w:r>
    </w:p>
    <w:p w14:paraId="15783800" w14:textId="77777777" w:rsidR="00E630EA" w:rsidRDefault="00E630EA" w:rsidP="00E630EA">
      <w:pPr>
        <w:spacing w:line="240" w:lineRule="auto"/>
        <w:ind w:left="1987" w:hanging="1987"/>
      </w:pPr>
      <w:r>
        <w:t xml:space="preserve">Counsel:        Janet J. Gray, under appointment by the Court of Appeal, for </w:t>
      </w:r>
      <w:r w:rsidRPr="00571DB6">
        <w:t>Defendant and Appellant.</w:t>
      </w:r>
      <w:r>
        <w:t xml:space="preserve"> </w:t>
      </w:r>
    </w:p>
    <w:p w14:paraId="400920AE" w14:textId="77777777" w:rsidR="00E630EA" w:rsidRDefault="00E630EA" w:rsidP="00E630EA">
      <w:pPr>
        <w:ind w:firstLine="0"/>
      </w:pPr>
    </w:p>
    <w:p w14:paraId="39379465" w14:textId="77777777" w:rsidR="00E630EA" w:rsidRDefault="00E630EA" w:rsidP="00E630EA">
      <w:pPr>
        <w:spacing w:line="240" w:lineRule="auto"/>
        <w:ind w:left="1980" w:hanging="1980"/>
      </w:pPr>
      <w:r>
        <w:t xml:space="preserve">                       Rob Bonta, Attorney General, Lance E. Winters, Chief Assistant Attorney General, Jeffrey M. Laurence, Senior Assistant Attorney General, Bridget Billeter, Supervising Deputy Attorney General, and Masha A. Dabiza, Deputy Attorney General, for </w:t>
      </w:r>
      <w:r w:rsidRPr="001D1B01">
        <w:t>Plaintiff</w:t>
      </w:r>
      <w:r>
        <w:t xml:space="preserve"> and Respondent.</w:t>
      </w:r>
    </w:p>
    <w:p w14:paraId="2444B0B9" w14:textId="77777777" w:rsidR="00E630EA" w:rsidRPr="002822CF" w:rsidRDefault="00E630EA" w:rsidP="00E630EA">
      <w:pPr>
        <w:spacing w:line="276" w:lineRule="auto"/>
        <w:ind w:firstLine="0"/>
      </w:pPr>
    </w:p>
    <w:p w14:paraId="191FC12D" w14:textId="77777777" w:rsidR="00E630EA" w:rsidRDefault="00E630EA" w:rsidP="009C6DBB">
      <w:pPr>
        <w:spacing w:line="480" w:lineRule="auto"/>
        <w:ind w:firstLine="0"/>
        <w:rPr>
          <w:sz w:val="20"/>
        </w:rPr>
        <w:sectPr w:rsidR="00E630EA" w:rsidSect="007535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C8DA829" w14:textId="237B390D" w:rsidR="009C6DBB" w:rsidRDefault="00C42495" w:rsidP="009C6DBB">
      <w:pPr>
        <w:spacing w:line="480" w:lineRule="auto"/>
        <w:ind w:firstLine="0"/>
        <w:rPr>
          <w:sz w:val="20"/>
        </w:rPr>
      </w:pPr>
      <w:r>
        <w:rPr>
          <w:sz w:val="20"/>
        </w:rPr>
        <w:lastRenderedPageBreak/>
        <w:t>Filed 3/</w:t>
      </w:r>
      <w:r w:rsidR="00DA2CC4">
        <w:rPr>
          <w:sz w:val="20"/>
        </w:rPr>
        <w:t>28</w:t>
      </w:r>
      <w:r>
        <w:rPr>
          <w:sz w:val="20"/>
        </w:rPr>
        <w:t>/</w:t>
      </w:r>
      <w:r w:rsidR="00636844">
        <w:rPr>
          <w:sz w:val="20"/>
        </w:rPr>
        <w:t>24</w:t>
      </w:r>
      <w:r w:rsidR="00E630EA">
        <w:rPr>
          <w:sz w:val="20"/>
        </w:rPr>
        <w:t xml:space="preserve"> (unmodified opinion)</w:t>
      </w:r>
    </w:p>
    <w:p w14:paraId="682CFC47" w14:textId="72E592E1" w:rsidR="009C6DBB" w:rsidRPr="009C6DBB" w:rsidRDefault="00C42495" w:rsidP="009C6DBB">
      <w:pPr>
        <w:spacing w:line="480" w:lineRule="auto"/>
        <w:ind w:firstLine="0"/>
        <w:jc w:val="center"/>
        <w:rPr>
          <w:b/>
        </w:rPr>
      </w:pPr>
      <w:r>
        <w:rPr>
          <w:b/>
        </w:rPr>
        <w:t>CERTIFIED FOR PUBLICATION</w:t>
      </w:r>
    </w:p>
    <w:p w14:paraId="1CB90AA7" w14:textId="26FA376C" w:rsidR="00737B68" w:rsidRPr="00944C2C" w:rsidRDefault="00C42495" w:rsidP="009C6DBB">
      <w:pPr>
        <w:spacing w:line="480" w:lineRule="auto"/>
        <w:ind w:firstLine="0"/>
        <w:jc w:val="center"/>
      </w:pPr>
      <w:r w:rsidRPr="00944C2C">
        <w:t>IN THE COURT OF APPEAL OF THE STATE OF CALIFORNIA</w:t>
      </w:r>
    </w:p>
    <w:p w14:paraId="64EB656E" w14:textId="07368876" w:rsidR="00737B68" w:rsidRDefault="00C42495" w:rsidP="00885014">
      <w:pPr>
        <w:spacing w:line="480" w:lineRule="auto"/>
        <w:ind w:firstLine="0"/>
        <w:jc w:val="center"/>
      </w:pPr>
      <w:r>
        <w:t>FIRST APPELLATE DISTRICT</w:t>
      </w:r>
    </w:p>
    <w:p w14:paraId="359F27C5" w14:textId="77777777" w:rsidR="00737B68" w:rsidRDefault="00C42495" w:rsidP="00885014">
      <w:pPr>
        <w:spacing w:line="480" w:lineRule="auto"/>
        <w:ind w:firstLine="0"/>
        <w:jc w:val="center"/>
      </w:pPr>
      <w:r>
        <w:t>DIVISION FOUR</w:t>
      </w:r>
    </w:p>
    <w:p w14:paraId="74AF3CB8" w14:textId="77777777" w:rsidR="00737B68" w:rsidRDefault="00737B68" w:rsidP="00885014">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740E82" w14:paraId="6A8F53CE" w14:textId="77777777">
        <w:tc>
          <w:tcPr>
            <w:tcW w:w="4680" w:type="dxa"/>
            <w:tcBorders>
              <w:bottom w:val="single" w:sz="4" w:space="0" w:color="auto"/>
              <w:right w:val="single" w:sz="4" w:space="0" w:color="auto"/>
            </w:tcBorders>
            <w:shd w:val="clear" w:color="auto" w:fill="auto"/>
          </w:tcPr>
          <w:p w14:paraId="01B95ED3" w14:textId="655E9129" w:rsidR="00737B68" w:rsidRPr="005D3D64" w:rsidRDefault="00C42495" w:rsidP="00066D6E">
            <w:pPr>
              <w:spacing w:line="276" w:lineRule="auto"/>
              <w:ind w:firstLine="0"/>
            </w:pPr>
            <w:r w:rsidRPr="005D3D64">
              <w:t>THE PEOPLE,</w:t>
            </w:r>
          </w:p>
          <w:p w14:paraId="3F77816B" w14:textId="77F3B399" w:rsidR="00737B68" w:rsidRPr="005D3D64" w:rsidRDefault="00C42495" w:rsidP="00066D6E">
            <w:pPr>
              <w:tabs>
                <w:tab w:val="left" w:pos="610"/>
              </w:tabs>
              <w:ind w:firstLine="0"/>
            </w:pPr>
            <w:r w:rsidRPr="005D3D64">
              <w:tab/>
              <w:t xml:space="preserve">Plaintiff and </w:t>
            </w:r>
            <w:r w:rsidR="00FC250E" w:rsidRPr="005D3D64">
              <w:t>Respondent</w:t>
            </w:r>
            <w:r w:rsidRPr="005D3D64">
              <w:t>,</w:t>
            </w:r>
          </w:p>
          <w:p w14:paraId="66ACCBA0" w14:textId="12BB1823" w:rsidR="00737B68" w:rsidRPr="005D3D64" w:rsidRDefault="00C42495" w:rsidP="00066D6E">
            <w:pPr>
              <w:tabs>
                <w:tab w:val="left" w:pos="1870"/>
              </w:tabs>
              <w:ind w:firstLine="0"/>
            </w:pPr>
            <w:r w:rsidRPr="005D3D64">
              <w:tab/>
              <w:t>v.</w:t>
            </w:r>
          </w:p>
          <w:p w14:paraId="0E0C9D3C" w14:textId="7060DE37" w:rsidR="00737B68" w:rsidRPr="005D3D64" w:rsidRDefault="00C42495" w:rsidP="00066D6E">
            <w:pPr>
              <w:tabs>
                <w:tab w:val="left" w:pos="610"/>
              </w:tabs>
              <w:spacing w:line="276" w:lineRule="auto"/>
              <w:ind w:firstLine="0"/>
            </w:pPr>
            <w:r>
              <w:t>NICHOLAS BEAUDREAUX</w:t>
            </w:r>
            <w:r w:rsidR="00FC250E" w:rsidRPr="005D3D64">
              <w:t>,</w:t>
            </w:r>
          </w:p>
          <w:p w14:paraId="14F8ADB0" w14:textId="426FF09E" w:rsidR="00737B68" w:rsidRPr="005D3D64" w:rsidRDefault="00C42495" w:rsidP="00066D6E">
            <w:pPr>
              <w:tabs>
                <w:tab w:val="left" w:pos="610"/>
              </w:tabs>
              <w:spacing w:line="276" w:lineRule="auto"/>
              <w:ind w:firstLine="0"/>
            </w:pPr>
            <w:r w:rsidRPr="005D3D64">
              <w:tab/>
              <w:t xml:space="preserve">Defendant and </w:t>
            </w:r>
            <w:r w:rsidR="00FC250E" w:rsidRPr="005D3D64">
              <w:t>Appellant</w:t>
            </w:r>
            <w:r w:rsidRPr="005D3D64">
              <w:t>.</w:t>
            </w:r>
          </w:p>
        </w:tc>
        <w:tc>
          <w:tcPr>
            <w:tcW w:w="4680" w:type="dxa"/>
            <w:tcBorders>
              <w:left w:val="single" w:sz="4" w:space="0" w:color="auto"/>
            </w:tcBorders>
            <w:shd w:val="clear" w:color="auto" w:fill="auto"/>
          </w:tcPr>
          <w:p w14:paraId="232BF6D5" w14:textId="77777777" w:rsidR="00737B68" w:rsidRPr="005D3D64" w:rsidRDefault="00737B68" w:rsidP="00885014">
            <w:pPr>
              <w:spacing w:line="240" w:lineRule="auto"/>
              <w:ind w:firstLine="0"/>
            </w:pPr>
          </w:p>
          <w:p w14:paraId="68A8FE34" w14:textId="5B64E448" w:rsidR="00737B68" w:rsidRDefault="00C42495" w:rsidP="00885014">
            <w:pPr>
              <w:tabs>
                <w:tab w:val="left" w:pos="346"/>
              </w:tabs>
              <w:spacing w:line="240" w:lineRule="auto"/>
              <w:ind w:firstLine="0"/>
            </w:pPr>
            <w:r w:rsidRPr="005D3D64">
              <w:tab/>
            </w:r>
            <w:r w:rsidR="00FC250E" w:rsidRPr="005D3D64">
              <w:t>A</w:t>
            </w:r>
            <w:r w:rsidR="00AC47F7" w:rsidRPr="005D3D64">
              <w:t>16</w:t>
            </w:r>
            <w:r w:rsidR="00706826">
              <w:t>6001</w:t>
            </w:r>
          </w:p>
          <w:p w14:paraId="1E522F44" w14:textId="77777777" w:rsidR="00693444" w:rsidRPr="005D3D64" w:rsidRDefault="00693444" w:rsidP="00885014">
            <w:pPr>
              <w:tabs>
                <w:tab w:val="left" w:pos="346"/>
              </w:tabs>
              <w:spacing w:line="240" w:lineRule="auto"/>
              <w:ind w:firstLine="0"/>
            </w:pPr>
          </w:p>
          <w:p w14:paraId="398518E6" w14:textId="77777777" w:rsidR="00FA48DA" w:rsidRDefault="00C42495" w:rsidP="00885014">
            <w:pPr>
              <w:tabs>
                <w:tab w:val="left" w:pos="346"/>
              </w:tabs>
              <w:spacing w:line="240" w:lineRule="auto"/>
              <w:ind w:firstLine="0"/>
            </w:pPr>
            <w:r w:rsidRPr="005D3D64">
              <w:tab/>
              <w:t>(</w:t>
            </w:r>
            <w:r w:rsidR="00706826">
              <w:t>Alameda</w:t>
            </w:r>
            <w:r w:rsidR="00AF290D" w:rsidRPr="005D3D64">
              <w:t xml:space="preserve"> </w:t>
            </w:r>
            <w:r w:rsidR="009D4144" w:rsidRPr="005D3D64">
              <w:t xml:space="preserve">County </w:t>
            </w:r>
          </w:p>
          <w:p w14:paraId="748935DA" w14:textId="5C621160" w:rsidR="00737B68" w:rsidRPr="005D3D64" w:rsidRDefault="00C42495" w:rsidP="00885014">
            <w:pPr>
              <w:tabs>
                <w:tab w:val="left" w:pos="346"/>
              </w:tabs>
              <w:spacing w:line="240" w:lineRule="auto"/>
              <w:ind w:firstLine="0"/>
            </w:pPr>
            <w:r>
              <w:t xml:space="preserve">     </w:t>
            </w:r>
            <w:r w:rsidR="009D4144" w:rsidRPr="005D3D64">
              <w:t>Super</w:t>
            </w:r>
            <w:r w:rsidR="003E3477" w:rsidRPr="005D3D64">
              <w:t>.</w:t>
            </w:r>
            <w:r w:rsidR="009D4144" w:rsidRPr="005D3D64">
              <w:t xml:space="preserve"> C</w:t>
            </w:r>
            <w:r w:rsidR="003E3477" w:rsidRPr="005D3D64">
              <w:t>t.</w:t>
            </w:r>
            <w:r>
              <w:t xml:space="preserve"> </w:t>
            </w:r>
            <w:r w:rsidR="009D4144" w:rsidRPr="005D3D64">
              <w:t>No.</w:t>
            </w:r>
            <w:r w:rsidR="000072F4" w:rsidRPr="005D3D64">
              <w:t> </w:t>
            </w:r>
            <w:r w:rsidR="00706826">
              <w:t>160022B</w:t>
            </w:r>
            <w:r w:rsidRPr="005D3D64">
              <w:t>)</w:t>
            </w:r>
          </w:p>
          <w:p w14:paraId="4EE3E787" w14:textId="77777777" w:rsidR="00737B68" w:rsidRPr="005D3D64" w:rsidRDefault="00737B68" w:rsidP="00885014">
            <w:pPr>
              <w:tabs>
                <w:tab w:val="left" w:pos="346"/>
              </w:tabs>
              <w:spacing w:line="240" w:lineRule="auto"/>
              <w:ind w:firstLine="0"/>
            </w:pPr>
          </w:p>
          <w:p w14:paraId="1835FF49" w14:textId="52CE1916" w:rsidR="00737B68" w:rsidRPr="005D3D64" w:rsidRDefault="00C42495" w:rsidP="00885014">
            <w:pPr>
              <w:tabs>
                <w:tab w:val="left" w:pos="346"/>
              </w:tabs>
              <w:spacing w:line="240" w:lineRule="auto"/>
              <w:ind w:firstLine="0"/>
            </w:pPr>
            <w:r w:rsidRPr="005D3D64">
              <w:tab/>
            </w:r>
          </w:p>
        </w:tc>
      </w:tr>
    </w:tbl>
    <w:p w14:paraId="178F0032" w14:textId="3D6685CB" w:rsidR="00737B68" w:rsidRDefault="00737B68" w:rsidP="00885014">
      <w:pPr>
        <w:spacing w:line="240" w:lineRule="auto"/>
      </w:pPr>
    </w:p>
    <w:p w14:paraId="137FBE86" w14:textId="389D0D4C" w:rsidR="008D27BA" w:rsidRDefault="00C42495" w:rsidP="00885014">
      <w:r>
        <w:t>Nicholas Beaudreaux</w:t>
      </w:r>
      <w:r w:rsidR="00AE41C8">
        <w:t>, who</w:t>
      </w:r>
      <w:r w:rsidR="0039501A">
        <w:t xml:space="preserve"> </w:t>
      </w:r>
      <w:r w:rsidR="00C8656E">
        <w:t xml:space="preserve">is now serving </w:t>
      </w:r>
      <w:r w:rsidR="00262233">
        <w:t xml:space="preserve">an aggregate </w:t>
      </w:r>
      <w:r w:rsidR="00A42C29">
        <w:t>sentence</w:t>
      </w:r>
      <w:r w:rsidR="00262233">
        <w:t xml:space="preserve"> of 50 years to life for </w:t>
      </w:r>
      <w:r w:rsidR="00203947">
        <w:t xml:space="preserve">the </w:t>
      </w:r>
      <w:r w:rsidR="0039501A">
        <w:t xml:space="preserve">first degree murder </w:t>
      </w:r>
      <w:r w:rsidR="00FF5E2A">
        <w:t xml:space="preserve">and attempted robbery </w:t>
      </w:r>
      <w:r w:rsidR="00EB5AD4">
        <w:t>of Wayne Drummond</w:t>
      </w:r>
      <w:r w:rsidR="00850C37">
        <w:t xml:space="preserve">, </w:t>
      </w:r>
      <w:r w:rsidR="00772461">
        <w:t xml:space="preserve">has twice unsuccessfully petitioned for </w:t>
      </w:r>
      <w:r w:rsidR="00402128">
        <w:t xml:space="preserve">resentencing </w:t>
      </w:r>
      <w:r>
        <w:t>under Penal Code</w:t>
      </w:r>
      <w:r>
        <w:rPr>
          <w:rStyle w:val="FootnoteReference"/>
        </w:rPr>
        <w:footnoteReference w:id="4"/>
      </w:r>
      <w:r>
        <w:t xml:space="preserve"> section </w:t>
      </w:r>
      <w:r w:rsidR="007C6D49">
        <w:t>117</w:t>
      </w:r>
      <w:r w:rsidR="00751BF8">
        <w:t>2.6</w:t>
      </w:r>
      <w:r w:rsidR="00F85E6D">
        <w:t>.</w:t>
      </w:r>
      <w:r w:rsidR="00745E2D">
        <w:t xml:space="preserve"> </w:t>
      </w:r>
      <w:r w:rsidR="0070489D">
        <w:t xml:space="preserve"> </w:t>
      </w:r>
      <w:r w:rsidR="003A6E77">
        <w:t xml:space="preserve">In </w:t>
      </w:r>
      <w:r w:rsidR="000715D0">
        <w:t xml:space="preserve">the </w:t>
      </w:r>
      <w:r w:rsidR="003A6E77">
        <w:t>resentencing proceeding</w:t>
      </w:r>
      <w:r w:rsidR="000715D0">
        <w:t>s on his second petition</w:t>
      </w:r>
      <w:r w:rsidR="003A6E77">
        <w:t>, t</w:t>
      </w:r>
      <w:r w:rsidR="0070489D">
        <w:t xml:space="preserve">he </w:t>
      </w:r>
      <w:r w:rsidR="00CB45BF">
        <w:t xml:space="preserve">trial </w:t>
      </w:r>
      <w:r w:rsidR="00113F50">
        <w:t xml:space="preserve">court </w:t>
      </w:r>
      <w:r w:rsidR="004971B6">
        <w:t xml:space="preserve">ruled that </w:t>
      </w:r>
      <w:r w:rsidR="000F367D">
        <w:t xml:space="preserve">the </w:t>
      </w:r>
      <w:r w:rsidR="00CB45BF">
        <w:t xml:space="preserve">order denying </w:t>
      </w:r>
      <w:r w:rsidR="000F367D">
        <w:t xml:space="preserve">relief on </w:t>
      </w:r>
      <w:r w:rsidR="00BC55DE">
        <w:t>his</w:t>
      </w:r>
      <w:r w:rsidR="007659E0">
        <w:t xml:space="preserve"> </w:t>
      </w:r>
      <w:r w:rsidR="000F367D">
        <w:t>first petition</w:t>
      </w:r>
      <w:r w:rsidR="0018701E">
        <w:t xml:space="preserve">, </w:t>
      </w:r>
      <w:r w:rsidR="004D4264">
        <w:t xml:space="preserve">an order </w:t>
      </w:r>
      <w:r w:rsidR="0018701E">
        <w:t>we affirmed in 202</w:t>
      </w:r>
      <w:r w:rsidR="00FD3A3E">
        <w:t>0</w:t>
      </w:r>
      <w:r w:rsidR="0018701E">
        <w:t xml:space="preserve">, </w:t>
      </w:r>
      <w:r w:rsidR="000F367D">
        <w:t>fo</w:t>
      </w:r>
      <w:r w:rsidR="00F77F6A">
        <w:t>recloses relief.</w:t>
      </w:r>
      <w:r>
        <w:t xml:space="preserve">  </w:t>
      </w:r>
    </w:p>
    <w:p w14:paraId="42CB268A" w14:textId="35FDB97A" w:rsidR="00080335" w:rsidRDefault="00C42495" w:rsidP="00885014">
      <w:r>
        <w:t>Beaudreaux appeals</w:t>
      </w:r>
      <w:r w:rsidR="00CB45BF">
        <w:t xml:space="preserve"> </w:t>
      </w:r>
      <w:r w:rsidR="003C26B1">
        <w:t>a</w:t>
      </w:r>
      <w:r w:rsidR="00FA3C60">
        <w:t>gain</w:t>
      </w:r>
      <w:r w:rsidR="00C934D4">
        <w:t xml:space="preserve">, </w:t>
      </w:r>
      <w:r w:rsidR="00FA3C60">
        <w:t xml:space="preserve">this time </w:t>
      </w:r>
      <w:r w:rsidR="00C934D4">
        <w:t>relying on</w:t>
      </w:r>
      <w:r w:rsidR="00087634">
        <w:t xml:space="preserve"> </w:t>
      </w:r>
      <w:r w:rsidR="00D57E11">
        <w:t>our</w:t>
      </w:r>
      <w:r w:rsidR="00087634">
        <w:t xml:space="preserve"> Supreme Court’s decision in</w:t>
      </w:r>
      <w:r w:rsidR="00C934D4">
        <w:t xml:space="preserve"> </w:t>
      </w:r>
      <w:r w:rsidR="005F4FAF">
        <w:rPr>
          <w:i/>
          <w:iCs/>
        </w:rPr>
        <w:t xml:space="preserve">People v. Lewis </w:t>
      </w:r>
      <w:r w:rsidR="005F4FAF">
        <w:t>(2021) 11</w:t>
      </w:r>
      <w:r w:rsidR="00BC6B83">
        <w:t> </w:t>
      </w:r>
      <w:r w:rsidR="005F4FAF">
        <w:t>Cal.5th 952 (</w:t>
      </w:r>
      <w:r w:rsidR="005F4FAF">
        <w:rPr>
          <w:i/>
          <w:iCs/>
        </w:rPr>
        <w:t>Lewis</w:t>
      </w:r>
      <w:r w:rsidR="005F4FAF">
        <w:t>)</w:t>
      </w:r>
      <w:r w:rsidR="00F857C5">
        <w:t xml:space="preserve">, </w:t>
      </w:r>
      <w:r w:rsidR="000A15C9">
        <w:t>which</w:t>
      </w:r>
      <w:r w:rsidR="00D20DED">
        <w:t xml:space="preserve"> clarified </w:t>
      </w:r>
      <w:r w:rsidR="00F857C5">
        <w:t xml:space="preserve">the </w:t>
      </w:r>
      <w:r w:rsidR="00F857C5">
        <w:lastRenderedPageBreak/>
        <w:t xml:space="preserve">applicable </w:t>
      </w:r>
      <w:r w:rsidR="00620EF6">
        <w:t xml:space="preserve">procedural </w:t>
      </w:r>
      <w:r w:rsidR="00F857C5">
        <w:t xml:space="preserve">law </w:t>
      </w:r>
      <w:r w:rsidR="005852ED">
        <w:t xml:space="preserve">governing </w:t>
      </w:r>
      <w:r w:rsidR="00ED3E63">
        <w:t>section 117</w:t>
      </w:r>
      <w:r w:rsidR="00C4676A">
        <w:t>2</w:t>
      </w:r>
      <w:r w:rsidR="00ED3E63">
        <w:t>.</w:t>
      </w:r>
      <w:r w:rsidR="00C4676A">
        <w:t>6</w:t>
      </w:r>
      <w:r w:rsidR="00ED3E63">
        <w:t xml:space="preserve"> </w:t>
      </w:r>
      <w:r w:rsidR="007A6004">
        <w:t>resentencing proceedings</w:t>
      </w:r>
      <w:r w:rsidR="00DD02B4">
        <w:t xml:space="preserve"> in some notable ways</w:t>
      </w:r>
      <w:r w:rsidR="007A6004">
        <w:t xml:space="preserve">.  </w:t>
      </w:r>
      <w:r>
        <w:t xml:space="preserve">He also relies on </w:t>
      </w:r>
      <w:r w:rsidR="004F2114">
        <w:t>Senate</w:t>
      </w:r>
      <w:r w:rsidR="00C22C73">
        <w:t xml:space="preserve"> Bill </w:t>
      </w:r>
      <w:r w:rsidR="009770FB">
        <w:t xml:space="preserve">No. </w:t>
      </w:r>
      <w:r w:rsidR="00D47D92">
        <w:t xml:space="preserve">775 </w:t>
      </w:r>
      <w:r w:rsidR="00D47D92" w:rsidRPr="00FA573E">
        <w:rPr>
          <w:rFonts w:eastAsia="Times New Roman" w:cs="Times New Roman"/>
          <w:color w:val="000000"/>
        </w:rPr>
        <w:t>(2021</w:t>
      </w:r>
      <w:r w:rsidR="00C57514" w:rsidRPr="00995332">
        <w:rPr>
          <w:rFonts w:cs="Arial"/>
          <w:shd w:val="clear" w:color="auto" w:fill="FFFFFF"/>
        </w:rPr>
        <w:t>–</w:t>
      </w:r>
      <w:r w:rsidR="00D47D92" w:rsidRPr="00FA573E">
        <w:rPr>
          <w:rFonts w:eastAsia="Times New Roman" w:cs="Times New Roman"/>
          <w:color w:val="000000"/>
        </w:rPr>
        <w:t xml:space="preserve">2022 Reg. </w:t>
      </w:r>
      <w:r w:rsidR="00D47D92" w:rsidRPr="00FA573E">
        <w:rPr>
          <w:rFonts w:eastAsia="Times New Roman" w:cs="Times New Roman"/>
          <w:color w:val="000000"/>
          <w:bdr w:val="none" w:sz="0" w:space="0" w:color="auto" w:frame="1"/>
          <w:shd w:val="clear" w:color="auto" w:fill="FFFFFF"/>
        </w:rPr>
        <w:t>Sess</w:t>
      </w:r>
      <w:r w:rsidR="00D47D92" w:rsidRPr="00FA573E">
        <w:rPr>
          <w:rFonts w:eastAsia="Times New Roman" w:cs="Times New Roman"/>
          <w:color w:val="000000"/>
        </w:rPr>
        <w:t>.) (</w:t>
      </w:r>
      <w:r w:rsidR="00D47D92" w:rsidRPr="00FA573E">
        <w:rPr>
          <w:rFonts w:eastAsia="Times New Roman" w:cs="Times New Roman"/>
          <w:color w:val="000000"/>
          <w:bdr w:val="none" w:sz="0" w:space="0" w:color="auto" w:frame="1"/>
          <w:shd w:val="clear" w:color="auto" w:fill="FFFFFF"/>
        </w:rPr>
        <w:t>Stats</w:t>
      </w:r>
      <w:r w:rsidR="00D47D92" w:rsidRPr="00FA573E">
        <w:rPr>
          <w:rFonts w:eastAsia="Times New Roman" w:cs="Times New Roman"/>
          <w:color w:val="000000"/>
        </w:rPr>
        <w:t>. 2021, ch.</w:t>
      </w:r>
      <w:r w:rsidR="00581B54">
        <w:rPr>
          <w:rFonts w:eastAsia="Times New Roman" w:cs="Times New Roman"/>
          <w:color w:val="000000"/>
        </w:rPr>
        <w:t> </w:t>
      </w:r>
      <w:r w:rsidR="00D47D92" w:rsidRPr="00FA573E">
        <w:rPr>
          <w:rFonts w:eastAsia="Times New Roman" w:cs="Times New Roman"/>
          <w:color w:val="000000"/>
        </w:rPr>
        <w:t>551)</w:t>
      </w:r>
      <w:r w:rsidR="00D47D92">
        <w:rPr>
          <w:rFonts w:eastAsia="Times New Roman" w:cs="Times New Roman"/>
          <w:color w:val="000000"/>
        </w:rPr>
        <w:t xml:space="preserve"> (Senate Bill 775)</w:t>
      </w:r>
      <w:r w:rsidR="00D47D92">
        <w:t xml:space="preserve">, which was </w:t>
      </w:r>
      <w:r w:rsidR="00087634">
        <w:t xml:space="preserve">enacted </w:t>
      </w:r>
      <w:r w:rsidR="009E19B8">
        <w:t>in late 2021</w:t>
      </w:r>
      <w:r w:rsidR="00106C63">
        <w:t xml:space="preserve">, </w:t>
      </w:r>
      <w:r w:rsidR="005C621C">
        <w:t xml:space="preserve">codifying and in some respects clarifying </w:t>
      </w:r>
      <w:r w:rsidR="00106C63" w:rsidRPr="003948B4">
        <w:rPr>
          <w:i/>
          <w:iCs/>
        </w:rPr>
        <w:t>Lewis</w:t>
      </w:r>
      <w:r w:rsidR="005C621C">
        <w:t xml:space="preserve">. </w:t>
      </w:r>
    </w:p>
    <w:p w14:paraId="61154F4C" w14:textId="2813B754" w:rsidR="00274218" w:rsidRDefault="00C42495" w:rsidP="009E409E">
      <w:r>
        <w:t xml:space="preserve">We </w:t>
      </w:r>
      <w:r w:rsidR="00EB3435">
        <w:t xml:space="preserve">will </w:t>
      </w:r>
      <w:r w:rsidR="005E52A8">
        <w:t xml:space="preserve">again </w:t>
      </w:r>
      <w:r w:rsidR="00EB3435">
        <w:t>affirm</w:t>
      </w:r>
      <w:r w:rsidR="005E52A8">
        <w:t>.</w:t>
      </w:r>
      <w:r w:rsidR="00EB3435">
        <w:t xml:space="preserve">  </w:t>
      </w:r>
      <w:r w:rsidR="008232F7">
        <w:t xml:space="preserve">We agree with </w:t>
      </w:r>
      <w:r w:rsidR="00C86C8A">
        <w:rPr>
          <w:rFonts w:eastAsia="Times New Roman" w:cs="Arial"/>
        </w:rPr>
        <w:t>Beaudreaux</w:t>
      </w:r>
      <w:r w:rsidR="008232F7">
        <w:rPr>
          <w:rFonts w:eastAsia="Times New Roman" w:cs="Arial"/>
        </w:rPr>
        <w:t xml:space="preserve"> </w:t>
      </w:r>
      <w:r w:rsidR="006E31C6">
        <w:rPr>
          <w:rFonts w:eastAsia="Times New Roman" w:cs="Arial"/>
        </w:rPr>
        <w:t>that, i</w:t>
      </w:r>
      <w:r>
        <w:rPr>
          <w:rFonts w:eastAsia="Times New Roman" w:cs="Arial"/>
        </w:rPr>
        <w:t xml:space="preserve">n light of </w:t>
      </w:r>
      <w:r w:rsidRPr="004B4A52">
        <w:rPr>
          <w:rFonts w:eastAsia="Times New Roman" w:cs="Arial"/>
          <w:i/>
          <w:iCs/>
        </w:rPr>
        <w:t>Lewis</w:t>
      </w:r>
      <w:r>
        <w:rPr>
          <w:rFonts w:eastAsia="Times New Roman" w:cs="Arial"/>
        </w:rPr>
        <w:t xml:space="preserve"> and Senate Bill 775, the trial court erred at the prima facie stage of these resentencing proceedings </w:t>
      </w:r>
      <w:r w:rsidR="000D1887">
        <w:rPr>
          <w:rFonts w:eastAsia="Times New Roman" w:cs="Arial"/>
        </w:rPr>
        <w:t xml:space="preserve">by </w:t>
      </w:r>
      <w:r w:rsidR="00A446F0">
        <w:rPr>
          <w:rFonts w:eastAsia="Times New Roman" w:cs="Arial"/>
        </w:rPr>
        <w:t xml:space="preserve">once again </w:t>
      </w:r>
      <w:r>
        <w:rPr>
          <w:rFonts w:eastAsia="Times New Roman" w:cs="Arial"/>
        </w:rPr>
        <w:t xml:space="preserve">failing </w:t>
      </w:r>
      <w:r w:rsidR="00472521">
        <w:rPr>
          <w:rFonts w:eastAsia="Times New Roman" w:cs="Arial"/>
        </w:rPr>
        <w:t xml:space="preserve">to </w:t>
      </w:r>
      <w:r>
        <w:rPr>
          <w:rFonts w:eastAsia="Times New Roman" w:cs="Arial"/>
        </w:rPr>
        <w:t>appoint counsel</w:t>
      </w:r>
      <w:r w:rsidR="00043CC7">
        <w:rPr>
          <w:rFonts w:eastAsia="Times New Roman" w:cs="Arial"/>
        </w:rPr>
        <w:t xml:space="preserve">, and by </w:t>
      </w:r>
      <w:r w:rsidR="00C21541">
        <w:rPr>
          <w:rFonts w:eastAsia="Times New Roman" w:cs="Arial"/>
        </w:rPr>
        <w:t>relying on substantive facts summarized in this court</w:t>
      </w:r>
      <w:r w:rsidR="00487208">
        <w:rPr>
          <w:rFonts w:eastAsia="Times New Roman" w:cs="Arial"/>
        </w:rPr>
        <w:t xml:space="preserve">’s </w:t>
      </w:r>
      <w:r w:rsidR="00D029D3">
        <w:rPr>
          <w:rFonts w:eastAsia="Times New Roman" w:cs="Arial"/>
        </w:rPr>
        <w:t xml:space="preserve">2011 </w:t>
      </w:r>
      <w:r w:rsidR="00487208">
        <w:rPr>
          <w:rFonts w:eastAsia="Times New Roman" w:cs="Arial"/>
        </w:rPr>
        <w:t xml:space="preserve">opinion affirming his conviction. </w:t>
      </w:r>
      <w:r w:rsidR="00AD5D23">
        <w:rPr>
          <w:rFonts w:eastAsia="Times New Roman" w:cs="Arial"/>
        </w:rPr>
        <w:t xml:space="preserve"> </w:t>
      </w:r>
      <w:r>
        <w:rPr>
          <w:rFonts w:eastAsia="Times New Roman" w:cs="Arial"/>
        </w:rPr>
        <w:t>But th</w:t>
      </w:r>
      <w:r w:rsidR="00D029D3">
        <w:rPr>
          <w:rFonts w:eastAsia="Times New Roman" w:cs="Arial"/>
        </w:rPr>
        <w:t xml:space="preserve">ose errors were </w:t>
      </w:r>
      <w:r>
        <w:rPr>
          <w:rFonts w:eastAsia="Times New Roman" w:cs="Arial"/>
        </w:rPr>
        <w:t>harmless.</w:t>
      </w:r>
    </w:p>
    <w:p w14:paraId="58A874F9" w14:textId="3DA7384C" w:rsidR="00A269DA" w:rsidRDefault="00C42495" w:rsidP="00FD0041">
      <w:pPr>
        <w:rPr>
          <w:rFonts w:eastAsia="Times New Roman" w:cs="Arial"/>
        </w:rPr>
      </w:pPr>
      <w:r>
        <w:rPr>
          <w:rFonts w:eastAsia="Times New Roman" w:cs="Arial"/>
        </w:rPr>
        <w:t>T</w:t>
      </w:r>
      <w:r w:rsidR="00AB516C">
        <w:rPr>
          <w:rFonts w:eastAsia="Times New Roman" w:cs="Arial"/>
        </w:rPr>
        <w:t xml:space="preserve">he </w:t>
      </w:r>
      <w:r w:rsidR="00A51B4B">
        <w:rPr>
          <w:rFonts w:eastAsia="Times New Roman" w:cs="Arial"/>
        </w:rPr>
        <w:t xml:space="preserve">dispositive </w:t>
      </w:r>
      <w:r w:rsidR="00B87878">
        <w:rPr>
          <w:rFonts w:eastAsia="Times New Roman" w:cs="Arial"/>
        </w:rPr>
        <w:t>question</w:t>
      </w:r>
      <w:r w:rsidR="00903E7C">
        <w:rPr>
          <w:rFonts w:eastAsia="Times New Roman" w:cs="Arial"/>
        </w:rPr>
        <w:t xml:space="preserve"> </w:t>
      </w:r>
      <w:r w:rsidR="00AF6506">
        <w:rPr>
          <w:rFonts w:eastAsia="Times New Roman" w:cs="Arial"/>
        </w:rPr>
        <w:t xml:space="preserve">here </w:t>
      </w:r>
      <w:r w:rsidR="0016712D">
        <w:rPr>
          <w:rFonts w:eastAsia="Times New Roman" w:cs="Arial"/>
        </w:rPr>
        <w:t xml:space="preserve">is </w:t>
      </w:r>
      <w:r w:rsidR="006E041D">
        <w:rPr>
          <w:rFonts w:eastAsia="Times New Roman" w:cs="Arial"/>
        </w:rPr>
        <w:t xml:space="preserve">this.  </w:t>
      </w:r>
      <w:r w:rsidR="00344647">
        <w:rPr>
          <w:rFonts w:eastAsia="Times New Roman" w:cs="Arial"/>
        </w:rPr>
        <w:t>B</w:t>
      </w:r>
      <w:r w:rsidR="00A47343">
        <w:rPr>
          <w:rFonts w:eastAsia="Times New Roman" w:cs="Arial"/>
        </w:rPr>
        <w:t xml:space="preserve">ased on the </w:t>
      </w:r>
      <w:r w:rsidR="00A872C2">
        <w:rPr>
          <w:rFonts w:eastAsia="Times New Roman" w:cs="Arial"/>
        </w:rPr>
        <w:t>record of conviction before us</w:t>
      </w:r>
      <w:r w:rsidR="00000CFD">
        <w:rPr>
          <w:rFonts w:eastAsia="Times New Roman" w:cs="Arial"/>
        </w:rPr>
        <w:t>—</w:t>
      </w:r>
      <w:r w:rsidR="00B4062C">
        <w:rPr>
          <w:rFonts w:eastAsia="Times New Roman" w:cs="Arial"/>
        </w:rPr>
        <w:t xml:space="preserve">which </w:t>
      </w:r>
      <w:r w:rsidR="00000CFD">
        <w:rPr>
          <w:rFonts w:eastAsia="Times New Roman" w:cs="Arial"/>
        </w:rPr>
        <w:t>consist</w:t>
      </w:r>
      <w:r w:rsidR="00B4062C">
        <w:rPr>
          <w:rFonts w:eastAsia="Times New Roman" w:cs="Arial"/>
        </w:rPr>
        <w:t xml:space="preserve">s </w:t>
      </w:r>
      <w:r w:rsidR="00000CFD">
        <w:rPr>
          <w:rFonts w:eastAsia="Times New Roman" w:cs="Arial"/>
        </w:rPr>
        <w:t xml:space="preserve">of the </w:t>
      </w:r>
      <w:r w:rsidR="00A47343">
        <w:rPr>
          <w:rFonts w:eastAsia="Times New Roman" w:cs="Arial"/>
        </w:rPr>
        <w:t>jury</w:t>
      </w:r>
      <w:r w:rsidR="008112F0">
        <w:rPr>
          <w:rFonts w:eastAsia="Times New Roman" w:cs="Arial"/>
        </w:rPr>
        <w:t xml:space="preserve"> instruction</w:t>
      </w:r>
      <w:r w:rsidR="00BA7AD4">
        <w:rPr>
          <w:rFonts w:eastAsia="Times New Roman" w:cs="Arial"/>
        </w:rPr>
        <w:t>s</w:t>
      </w:r>
      <w:r w:rsidR="001C0683" w:rsidRPr="001C0683">
        <w:rPr>
          <w:rFonts w:eastAsia="Times New Roman" w:cs="Arial"/>
        </w:rPr>
        <w:t xml:space="preserve"> </w:t>
      </w:r>
      <w:r w:rsidR="001C0683">
        <w:rPr>
          <w:rFonts w:eastAsia="Times New Roman" w:cs="Arial"/>
        </w:rPr>
        <w:t xml:space="preserve">in </w:t>
      </w:r>
      <w:r w:rsidR="00E356BE">
        <w:rPr>
          <w:rFonts w:eastAsia="Times New Roman" w:cs="Arial"/>
        </w:rPr>
        <w:t>Beaudreaux</w:t>
      </w:r>
      <w:r w:rsidR="00741BC4">
        <w:rPr>
          <w:rFonts w:eastAsia="Times New Roman" w:cs="Arial"/>
        </w:rPr>
        <w:t>’s</w:t>
      </w:r>
      <w:r w:rsidR="001C0683">
        <w:rPr>
          <w:rFonts w:eastAsia="Times New Roman" w:cs="Arial"/>
        </w:rPr>
        <w:t xml:space="preserve"> 2009 trial</w:t>
      </w:r>
      <w:r w:rsidR="00BD28DC">
        <w:rPr>
          <w:rFonts w:eastAsia="Times New Roman" w:cs="Arial"/>
        </w:rPr>
        <w:t xml:space="preserve">, the </w:t>
      </w:r>
      <w:r w:rsidR="00BC3611">
        <w:rPr>
          <w:rFonts w:eastAsia="Times New Roman" w:cs="Arial"/>
        </w:rPr>
        <w:t xml:space="preserve">jury’s </w:t>
      </w:r>
      <w:r w:rsidR="00BD28DC">
        <w:rPr>
          <w:rFonts w:eastAsia="Times New Roman" w:cs="Arial"/>
        </w:rPr>
        <w:t>verdict</w:t>
      </w:r>
      <w:r w:rsidR="00D86576">
        <w:rPr>
          <w:rFonts w:eastAsia="Times New Roman" w:cs="Arial"/>
        </w:rPr>
        <w:t>s</w:t>
      </w:r>
      <w:r w:rsidR="001C0683">
        <w:rPr>
          <w:rFonts w:eastAsia="Times New Roman" w:cs="Arial"/>
        </w:rPr>
        <w:t xml:space="preserve">, </w:t>
      </w:r>
      <w:r w:rsidR="00BD7DB4">
        <w:rPr>
          <w:rFonts w:eastAsia="Times New Roman" w:cs="Arial"/>
        </w:rPr>
        <w:t xml:space="preserve">and the </w:t>
      </w:r>
      <w:r w:rsidR="00786639">
        <w:rPr>
          <w:rFonts w:eastAsia="Times New Roman" w:cs="Arial"/>
        </w:rPr>
        <w:t>findings</w:t>
      </w:r>
      <w:r w:rsidR="008A3011">
        <w:rPr>
          <w:rFonts w:eastAsia="Times New Roman" w:cs="Arial"/>
        </w:rPr>
        <w:t xml:space="preserve"> </w:t>
      </w:r>
      <w:r w:rsidR="00BD7DB4">
        <w:rPr>
          <w:rFonts w:eastAsia="Times New Roman" w:cs="Arial"/>
        </w:rPr>
        <w:t xml:space="preserve">accompanying </w:t>
      </w:r>
      <w:r w:rsidR="00950C1A">
        <w:rPr>
          <w:rFonts w:eastAsia="Times New Roman" w:cs="Arial"/>
        </w:rPr>
        <w:t>th</w:t>
      </w:r>
      <w:r w:rsidR="00681882">
        <w:rPr>
          <w:rFonts w:eastAsia="Times New Roman" w:cs="Arial"/>
        </w:rPr>
        <w:t xml:space="preserve">e </w:t>
      </w:r>
      <w:r w:rsidR="00BD7DB4">
        <w:rPr>
          <w:rFonts w:eastAsia="Times New Roman" w:cs="Arial"/>
        </w:rPr>
        <w:t>verdict</w:t>
      </w:r>
      <w:r w:rsidR="00D86576">
        <w:rPr>
          <w:rFonts w:eastAsia="Times New Roman" w:cs="Arial"/>
        </w:rPr>
        <w:t>s</w:t>
      </w:r>
      <w:r w:rsidR="00903E7C">
        <w:rPr>
          <w:rFonts w:eastAsia="Times New Roman" w:cs="Arial"/>
        </w:rPr>
        <w:t>—</w:t>
      </w:r>
      <w:r w:rsidR="00544020">
        <w:rPr>
          <w:rFonts w:eastAsia="Times New Roman" w:cs="Arial"/>
        </w:rPr>
        <w:t xml:space="preserve">must </w:t>
      </w:r>
      <w:r w:rsidR="00000CFD">
        <w:rPr>
          <w:rFonts w:eastAsia="Times New Roman" w:cs="Arial"/>
        </w:rPr>
        <w:t>w</w:t>
      </w:r>
      <w:r w:rsidR="00544020">
        <w:rPr>
          <w:rFonts w:eastAsia="Times New Roman" w:cs="Arial"/>
        </w:rPr>
        <w:t xml:space="preserve">e conclude that </w:t>
      </w:r>
      <w:r w:rsidR="00923933">
        <w:rPr>
          <w:rFonts w:eastAsia="Times New Roman" w:cs="Arial"/>
        </w:rPr>
        <w:t xml:space="preserve">Beaudreaux </w:t>
      </w:r>
      <w:r w:rsidR="00E30790">
        <w:rPr>
          <w:rFonts w:eastAsia="Times New Roman" w:cs="Arial"/>
        </w:rPr>
        <w:t xml:space="preserve">was convicted as </w:t>
      </w:r>
      <w:r w:rsidR="000B52D2">
        <w:rPr>
          <w:rFonts w:eastAsia="Times New Roman" w:cs="Arial"/>
        </w:rPr>
        <w:t>Drummond’s actual killer</w:t>
      </w:r>
      <w:r w:rsidR="00344647">
        <w:rPr>
          <w:rFonts w:eastAsia="Times New Roman" w:cs="Arial"/>
        </w:rPr>
        <w:t xml:space="preserve">? </w:t>
      </w:r>
      <w:r w:rsidR="00861DBD">
        <w:rPr>
          <w:rFonts w:eastAsia="Times New Roman" w:cs="Arial"/>
        </w:rPr>
        <w:t xml:space="preserve"> </w:t>
      </w:r>
      <w:r w:rsidR="00544020">
        <w:rPr>
          <w:rFonts w:eastAsia="Times New Roman" w:cs="Arial"/>
        </w:rPr>
        <w:t>We think so</w:t>
      </w:r>
      <w:r w:rsidR="002551AE">
        <w:rPr>
          <w:rFonts w:eastAsia="Times New Roman" w:cs="Arial"/>
        </w:rPr>
        <w:t xml:space="preserve">.  </w:t>
      </w:r>
      <w:r w:rsidR="005163A1">
        <w:rPr>
          <w:rFonts w:eastAsia="Times New Roman" w:cs="Arial"/>
        </w:rPr>
        <w:t>Th</w:t>
      </w:r>
      <w:r w:rsidR="00140BA5">
        <w:rPr>
          <w:rFonts w:eastAsia="Times New Roman" w:cs="Arial"/>
        </w:rPr>
        <w:t>e</w:t>
      </w:r>
      <w:r w:rsidR="005163A1">
        <w:rPr>
          <w:rFonts w:eastAsia="Times New Roman" w:cs="Arial"/>
        </w:rPr>
        <w:t xml:space="preserve"> </w:t>
      </w:r>
      <w:r w:rsidR="0077294B">
        <w:rPr>
          <w:rFonts w:eastAsia="Times New Roman" w:cs="Arial"/>
        </w:rPr>
        <w:t xml:space="preserve">record </w:t>
      </w:r>
      <w:r w:rsidR="00140BA5">
        <w:rPr>
          <w:rFonts w:eastAsia="Times New Roman" w:cs="Arial"/>
        </w:rPr>
        <w:t xml:space="preserve">here </w:t>
      </w:r>
      <w:r w:rsidR="0077294B">
        <w:rPr>
          <w:rFonts w:eastAsia="Times New Roman" w:cs="Arial"/>
        </w:rPr>
        <w:t xml:space="preserve">is limited, but </w:t>
      </w:r>
      <w:r w:rsidR="00AD2396">
        <w:rPr>
          <w:rFonts w:eastAsia="Times New Roman" w:cs="Arial"/>
        </w:rPr>
        <w:t>it is sufficient to r</w:t>
      </w:r>
      <w:r w:rsidR="00E54AE4">
        <w:rPr>
          <w:rFonts w:eastAsia="Times New Roman" w:cs="Arial"/>
        </w:rPr>
        <w:t xml:space="preserve">efute </w:t>
      </w:r>
      <w:r w:rsidR="00AD2396">
        <w:rPr>
          <w:rFonts w:eastAsia="Times New Roman" w:cs="Arial"/>
        </w:rPr>
        <w:t xml:space="preserve">conclusively </w:t>
      </w:r>
      <w:r w:rsidR="002A5153">
        <w:rPr>
          <w:rFonts w:eastAsia="Times New Roman" w:cs="Arial"/>
        </w:rPr>
        <w:t>Beaudreaux’s</w:t>
      </w:r>
      <w:r w:rsidR="009B046E">
        <w:rPr>
          <w:rFonts w:eastAsia="Times New Roman" w:cs="Arial"/>
        </w:rPr>
        <w:t xml:space="preserve"> </w:t>
      </w:r>
      <w:r w:rsidR="001D76B7">
        <w:rPr>
          <w:rFonts w:eastAsia="Times New Roman" w:cs="Arial"/>
        </w:rPr>
        <w:t xml:space="preserve">attempt to allege entitlement to </w:t>
      </w:r>
      <w:r w:rsidR="002906F2">
        <w:rPr>
          <w:rFonts w:eastAsia="Times New Roman" w:cs="Arial"/>
        </w:rPr>
        <w:t xml:space="preserve">section 1172.6 </w:t>
      </w:r>
      <w:r w:rsidR="009B046E">
        <w:rPr>
          <w:rFonts w:eastAsia="Times New Roman" w:cs="Arial"/>
        </w:rPr>
        <w:t>relief</w:t>
      </w:r>
      <w:r w:rsidR="000720FD">
        <w:rPr>
          <w:rFonts w:eastAsia="Times New Roman" w:cs="Arial"/>
        </w:rPr>
        <w:t xml:space="preserve">. </w:t>
      </w:r>
    </w:p>
    <w:p w14:paraId="1E76CC8A" w14:textId="65E1DC5D" w:rsidR="00D92215" w:rsidRDefault="00C42495" w:rsidP="00885014">
      <w:pPr>
        <w:pStyle w:val="Heading1"/>
        <w:numPr>
          <w:ilvl w:val="0"/>
          <w:numId w:val="17"/>
        </w:numPr>
      </w:pPr>
      <w:r w:rsidRPr="00D92215">
        <w:t>BACKGROUND</w:t>
      </w:r>
    </w:p>
    <w:p w14:paraId="75A8A666" w14:textId="169D2399" w:rsidR="00A15452" w:rsidRDefault="00C42495" w:rsidP="00885014">
      <w:r>
        <w:t>T</w:t>
      </w:r>
      <w:r w:rsidR="00D1016A">
        <w:t xml:space="preserve">he </w:t>
      </w:r>
      <w:r w:rsidR="00295CE1">
        <w:t xml:space="preserve">pertinent </w:t>
      </w:r>
      <w:r w:rsidR="00D1016A">
        <w:t>record of conviction consists of a clerk’s transcript</w:t>
      </w:r>
      <w:r>
        <w:t xml:space="preserve">, </w:t>
      </w:r>
      <w:r w:rsidR="004260A0">
        <w:t>the</w:t>
      </w:r>
      <w:r>
        <w:t xml:space="preserve"> </w:t>
      </w:r>
      <w:r w:rsidR="00D1016A">
        <w:t>trial court minutes, and the jury instructions</w:t>
      </w:r>
      <w:r w:rsidR="001D4F56">
        <w:t xml:space="preserve"> and verdict</w:t>
      </w:r>
      <w:r w:rsidR="005148D2">
        <w:t>s</w:t>
      </w:r>
      <w:r w:rsidR="0007334E">
        <w:t xml:space="preserve"> </w:t>
      </w:r>
      <w:r w:rsidR="00635CCA">
        <w:t xml:space="preserve">from the underlying proceedings against </w:t>
      </w:r>
      <w:r w:rsidR="00EF7230">
        <w:t>Beaudreaux</w:t>
      </w:r>
      <w:r w:rsidR="00635CCA">
        <w:t xml:space="preserve"> </w:t>
      </w:r>
      <w:r w:rsidR="0007334E">
        <w:t>in 2009</w:t>
      </w:r>
      <w:r w:rsidR="00D1016A">
        <w:t>.</w:t>
      </w:r>
      <w:r>
        <w:rPr>
          <w:rStyle w:val="FootnoteReference"/>
        </w:rPr>
        <w:footnoteReference w:id="5"/>
      </w:r>
      <w:r w:rsidR="00775272">
        <w:t xml:space="preserve">  </w:t>
      </w:r>
      <w:r w:rsidR="00210759">
        <w:t>Supplementing</w:t>
      </w:r>
      <w:r w:rsidR="0075315D">
        <w:t xml:space="preserve"> that</w:t>
      </w:r>
      <w:r w:rsidR="004A25FC">
        <w:t xml:space="preserve">, </w:t>
      </w:r>
      <w:r w:rsidR="00805368">
        <w:t xml:space="preserve">we grant </w:t>
      </w:r>
      <w:r w:rsidR="00A02AB7">
        <w:t xml:space="preserve">Beaudreaux’s request </w:t>
      </w:r>
      <w:r w:rsidR="0075315D">
        <w:t xml:space="preserve">for judicial notice under Evidence Code sections 452 and 459 </w:t>
      </w:r>
      <w:r w:rsidR="00A02AB7">
        <w:t xml:space="preserve">of </w:t>
      </w:r>
      <w:r w:rsidR="00A12D82">
        <w:t>(1)</w:t>
      </w:r>
      <w:r w:rsidR="0097042D">
        <w:t> </w:t>
      </w:r>
      <w:r w:rsidR="004E5AAB">
        <w:t>our 2011 appellate opinion affirming his conviction in the underlying case</w:t>
      </w:r>
      <w:r w:rsidR="003A351E">
        <w:t xml:space="preserve"> (</w:t>
      </w:r>
      <w:r w:rsidR="004E5AAB">
        <w:rPr>
          <w:i/>
          <w:iCs/>
        </w:rPr>
        <w:t xml:space="preserve">People v. Beaudreaux </w:t>
      </w:r>
      <w:r w:rsidR="004E5AAB">
        <w:t xml:space="preserve">(Jul. 21, 2011, </w:t>
      </w:r>
      <w:r w:rsidR="004E5AAB">
        <w:lastRenderedPageBreak/>
        <w:t>A126140</w:t>
      </w:r>
      <w:r w:rsidR="0030196C">
        <w:t>)</w:t>
      </w:r>
      <w:r w:rsidR="004E5AAB">
        <w:t xml:space="preserve"> [nonpub. opn.] (</w:t>
      </w:r>
      <w:r w:rsidR="004E5AAB" w:rsidRPr="00A7482E">
        <w:rPr>
          <w:i/>
          <w:iCs/>
        </w:rPr>
        <w:t>Beaudreaux I</w:t>
      </w:r>
      <w:r w:rsidR="004E5AAB">
        <w:t>)</w:t>
      </w:r>
      <w:r w:rsidR="003A351E">
        <w:t>)</w:t>
      </w:r>
      <w:r w:rsidR="00320471">
        <w:t>,</w:t>
      </w:r>
      <w:r w:rsidR="004E5AAB">
        <w:t xml:space="preserve"> </w:t>
      </w:r>
      <w:r w:rsidR="00EA521D">
        <w:t>and</w:t>
      </w:r>
      <w:r w:rsidR="008C0950">
        <w:t xml:space="preserve"> </w:t>
      </w:r>
      <w:r w:rsidR="00A12D82">
        <w:t>(2)</w:t>
      </w:r>
      <w:r w:rsidR="0097042D">
        <w:t> the clerk’s transcript filed in the appeal from the trial court’s denial of his previous resentencing petition</w:t>
      </w:r>
      <w:r w:rsidR="00DE041A">
        <w:t xml:space="preserve"> (</w:t>
      </w:r>
      <w:r w:rsidR="0097042D">
        <w:rPr>
          <w:i/>
          <w:iCs/>
        </w:rPr>
        <w:t>People v. Beaudreaux</w:t>
      </w:r>
      <w:r w:rsidR="00DE041A">
        <w:t xml:space="preserve"> (</w:t>
      </w:r>
      <w:r w:rsidR="00F87C6A">
        <w:t>Aug. 31, 2020, A159751) [nonpub. opn.]</w:t>
      </w:r>
      <w:r w:rsidR="005A7886">
        <w:t xml:space="preserve"> (</w:t>
      </w:r>
      <w:r w:rsidR="005A7886">
        <w:rPr>
          <w:i/>
          <w:iCs/>
        </w:rPr>
        <w:t>Beaudreaux II</w:t>
      </w:r>
      <w:r w:rsidR="005A7886">
        <w:t>).)</w:t>
      </w:r>
      <w:r w:rsidR="00A12D82">
        <w:t xml:space="preserve"> </w:t>
      </w:r>
      <w:r w:rsidR="000758E2">
        <w:t xml:space="preserve"> From this</w:t>
      </w:r>
      <w:r w:rsidR="003E34C3">
        <w:t xml:space="preserve"> </w:t>
      </w:r>
      <w:r w:rsidR="00D81275">
        <w:t xml:space="preserve">limited </w:t>
      </w:r>
      <w:r w:rsidR="000758E2">
        <w:t xml:space="preserve">record, we glean the following </w:t>
      </w:r>
      <w:r w:rsidR="006A6D42">
        <w:t xml:space="preserve">procedural </w:t>
      </w:r>
      <w:r w:rsidR="000758E2">
        <w:t>facts.</w:t>
      </w:r>
    </w:p>
    <w:p w14:paraId="71CA4F47" w14:textId="0D9C5B30" w:rsidR="00A02AB7" w:rsidRPr="00A15452" w:rsidRDefault="00C42495" w:rsidP="00446014">
      <w:pPr>
        <w:pStyle w:val="Heading2"/>
      </w:pPr>
      <w:r w:rsidRPr="00A15452">
        <w:t xml:space="preserve">Beaudreaux’s 2009 </w:t>
      </w:r>
      <w:r>
        <w:t xml:space="preserve">Trial and </w:t>
      </w:r>
      <w:r w:rsidRPr="00A15452">
        <w:t>Convictions</w:t>
      </w:r>
    </w:p>
    <w:p w14:paraId="416AC618" w14:textId="43FB98A6" w:rsidR="00BF7F6E" w:rsidRDefault="00C42495" w:rsidP="00B05752">
      <w:r>
        <w:t xml:space="preserve">In December 2008, </w:t>
      </w:r>
      <w:r w:rsidR="009F1CE7">
        <w:t>Beaudreaux and a codefendant, Brandon Crowder</w:t>
      </w:r>
      <w:r w:rsidR="00A309AF">
        <w:t>,</w:t>
      </w:r>
      <w:r w:rsidR="009F1CE7">
        <w:t xml:space="preserve"> were charged </w:t>
      </w:r>
      <w:r w:rsidR="0007334E">
        <w:t xml:space="preserve">in an information filed by the Alameda County District Attorney </w:t>
      </w:r>
      <w:r w:rsidR="009F1CE7">
        <w:t xml:space="preserve">with the same </w:t>
      </w:r>
      <w:r w:rsidR="003E4F33">
        <w:t>two counts:  (1)</w:t>
      </w:r>
      <w:r w:rsidR="00A7100B">
        <w:t> </w:t>
      </w:r>
      <w:r w:rsidR="009F1CE7">
        <w:t>murdering Drummond in violation of section 187, subdivision (a)</w:t>
      </w:r>
      <w:r w:rsidR="006076BE">
        <w:t>,</w:t>
      </w:r>
      <w:r w:rsidR="009F1CE7">
        <w:t xml:space="preserve"> and </w:t>
      </w:r>
      <w:r w:rsidR="003E4F33">
        <w:t>(2)</w:t>
      </w:r>
      <w:r w:rsidR="00A7100B">
        <w:t> </w:t>
      </w:r>
      <w:r w:rsidR="009F1CE7">
        <w:t xml:space="preserve">attempting to rob Drummond in violation of </w:t>
      </w:r>
      <w:r w:rsidR="00993196">
        <w:t xml:space="preserve">section 211, both crimes occurring on or about September </w:t>
      </w:r>
      <w:r w:rsidR="00E673ED">
        <w:t>4</w:t>
      </w:r>
      <w:r w:rsidR="00993196">
        <w:t>, 2006.</w:t>
      </w:r>
      <w:r>
        <w:t xml:space="preserve"> </w:t>
      </w:r>
      <w:r w:rsidR="00993196">
        <w:t xml:space="preserve"> </w:t>
      </w:r>
    </w:p>
    <w:p w14:paraId="143342C5" w14:textId="3D988E57" w:rsidR="00D1016A" w:rsidRDefault="00C42495" w:rsidP="00885014">
      <w:r>
        <w:t xml:space="preserve">Each count included the same </w:t>
      </w:r>
      <w:r w:rsidR="00AC68BA">
        <w:t xml:space="preserve">two </w:t>
      </w:r>
      <w:r>
        <w:t>s</w:t>
      </w:r>
      <w:r w:rsidR="00E071C4">
        <w:t>entencing enhancement</w:t>
      </w:r>
      <w:r>
        <w:t xml:space="preserve"> allegations</w:t>
      </w:r>
      <w:r w:rsidR="00AA606D">
        <w:t xml:space="preserve">: </w:t>
      </w:r>
      <w:r>
        <w:t>against Crowder</w:t>
      </w:r>
      <w:r w:rsidR="00A3762F">
        <w:t>,</w:t>
      </w:r>
      <w:r>
        <w:t xml:space="preserve"> u</w:t>
      </w:r>
      <w:r w:rsidR="003B3CA9">
        <w:t>nder section 12022, subdivision (a)(1)</w:t>
      </w:r>
      <w:r w:rsidR="00A3762F">
        <w:t>,</w:t>
      </w:r>
      <w:r w:rsidR="003B3CA9">
        <w:t xml:space="preserve"> </w:t>
      </w:r>
      <w:r w:rsidR="00930AB5">
        <w:t xml:space="preserve">that during the commission of the crime </w:t>
      </w:r>
      <w:r w:rsidR="00115486">
        <w:t>“</w:t>
      </w:r>
      <w:r w:rsidR="003B3CA9">
        <w:t>a principal</w:t>
      </w:r>
      <w:r w:rsidR="00115486">
        <w:t>”</w:t>
      </w:r>
      <w:r w:rsidR="003B3CA9">
        <w:t xml:space="preserve"> was armed with a firearm</w:t>
      </w:r>
      <w:r w:rsidR="008A3CB3">
        <w:t>;</w:t>
      </w:r>
      <w:r w:rsidR="00A3762F">
        <w:t xml:space="preserve"> </w:t>
      </w:r>
      <w:r w:rsidR="00AA606D">
        <w:t>and</w:t>
      </w:r>
      <w:r w:rsidR="003B3CA9">
        <w:t xml:space="preserve"> against Beaudreaux</w:t>
      </w:r>
      <w:r w:rsidR="00A3762F">
        <w:t>,</w:t>
      </w:r>
      <w:r>
        <w:t xml:space="preserve"> under section</w:t>
      </w:r>
      <w:r w:rsidR="0007334E">
        <w:t xml:space="preserve">s </w:t>
      </w:r>
      <w:r w:rsidR="003D37A3">
        <w:t xml:space="preserve">12022.5, </w:t>
      </w:r>
      <w:r w:rsidR="0007334E">
        <w:t>12022.7</w:t>
      </w:r>
      <w:r w:rsidR="003D37A3">
        <w:t>,</w:t>
      </w:r>
      <w:r w:rsidR="0007334E">
        <w:t xml:space="preserve"> and</w:t>
      </w:r>
      <w:r>
        <w:t xml:space="preserve"> 12022.53</w:t>
      </w:r>
      <w:r w:rsidR="00A3762F">
        <w:t>,</w:t>
      </w:r>
      <w:r>
        <w:t xml:space="preserve"> that he personally and intentionally discharged a firearm and caused great bodily injury and death to Drummond.</w:t>
      </w:r>
      <w:r w:rsidR="00AA20ED">
        <w:t xml:space="preserve"> </w:t>
      </w:r>
      <w:r w:rsidR="00115486">
        <w:t xml:space="preserve"> </w:t>
      </w:r>
      <w:r w:rsidR="00F60C52">
        <w:t>But o</w:t>
      </w:r>
      <w:r w:rsidR="00D648D7">
        <w:t xml:space="preserve">nly </w:t>
      </w:r>
      <w:r w:rsidR="00EF7230">
        <w:t>Beaudreaux</w:t>
      </w:r>
      <w:r w:rsidR="00115486">
        <w:t xml:space="preserve"> was charged with </w:t>
      </w:r>
      <w:r w:rsidR="002D169E">
        <w:t xml:space="preserve">personally and intentionally </w:t>
      </w:r>
      <w:r w:rsidR="00115486">
        <w:t>discharging a firearm</w:t>
      </w:r>
      <w:r w:rsidR="00B678B4">
        <w:t>,</w:t>
      </w:r>
      <w:r w:rsidR="00115486">
        <w:t xml:space="preserve"> </w:t>
      </w:r>
      <w:r w:rsidR="00AA20ED">
        <w:t>causing</w:t>
      </w:r>
      <w:r w:rsidR="00115486">
        <w:t xml:space="preserve"> great bodily injury </w:t>
      </w:r>
      <w:r w:rsidR="005608FE">
        <w:t xml:space="preserve">and death </w:t>
      </w:r>
      <w:r w:rsidR="002D169E">
        <w:t>to</w:t>
      </w:r>
      <w:r w:rsidR="00115486">
        <w:t xml:space="preserve"> Drummond. </w:t>
      </w:r>
    </w:p>
    <w:p w14:paraId="232DBC75" w14:textId="661670D7" w:rsidR="00A1784A" w:rsidRDefault="00C42495" w:rsidP="00885014">
      <w:r>
        <w:t xml:space="preserve">A jury trial followed.  </w:t>
      </w:r>
      <w:r w:rsidR="001B0A0B">
        <w:t xml:space="preserve">In the parlance of criminal trial practice, Crowder “flipped” </w:t>
      </w:r>
      <w:r w:rsidR="00C915E8">
        <w:t>just a</w:t>
      </w:r>
      <w:r w:rsidR="002774FD">
        <w:t>s</w:t>
      </w:r>
      <w:r w:rsidR="00C915E8">
        <w:t xml:space="preserve"> trial began.  </w:t>
      </w:r>
      <w:r>
        <w:t xml:space="preserve">On the second day of </w:t>
      </w:r>
      <w:r w:rsidR="00612276">
        <w:t xml:space="preserve">the proceedings, </w:t>
      </w:r>
      <w:r>
        <w:t xml:space="preserve">the trial court accepted Crowder’s change of plea </w:t>
      </w:r>
      <w:r w:rsidR="00191CA5">
        <w:t>on</w:t>
      </w:r>
      <w:r>
        <w:t xml:space="preserve"> the murder </w:t>
      </w:r>
      <w:r w:rsidR="008A7CDF">
        <w:t>count</w:t>
      </w:r>
      <w:r>
        <w:t xml:space="preserve"> from not guilty</w:t>
      </w:r>
      <w:r w:rsidR="00AC68BA">
        <w:t xml:space="preserve"> </w:t>
      </w:r>
      <w:r>
        <w:t xml:space="preserve">to no contest to the lesser included </w:t>
      </w:r>
      <w:r w:rsidR="00F748C3">
        <w:t>of</w:t>
      </w:r>
      <w:r>
        <w:t>fense of voluntary manslaughter under section 192, subdivision (a)</w:t>
      </w:r>
      <w:r w:rsidR="000C51C0">
        <w:t>.  The court</w:t>
      </w:r>
      <w:r>
        <w:t xml:space="preserve"> dismissed the remainder of the charges against him</w:t>
      </w:r>
      <w:r w:rsidR="006E0A58">
        <w:t xml:space="preserve"> and </w:t>
      </w:r>
      <w:r w:rsidR="00AC572F">
        <w:t>proceeded against Beaudreaux alone</w:t>
      </w:r>
      <w:r w:rsidR="00F748C3">
        <w:t xml:space="preserve">, with </w:t>
      </w:r>
      <w:r w:rsidR="00A309AF">
        <w:t xml:space="preserve">Crowder </w:t>
      </w:r>
      <w:r w:rsidR="000C14C7">
        <w:t xml:space="preserve">among the witnesses </w:t>
      </w:r>
      <w:r w:rsidR="00A309AF">
        <w:t>testif</w:t>
      </w:r>
      <w:r w:rsidR="00F748C3">
        <w:t>ying</w:t>
      </w:r>
      <w:r w:rsidR="00A309AF">
        <w:t xml:space="preserve"> on behalf of the prosecution. </w:t>
      </w:r>
    </w:p>
    <w:p w14:paraId="3DB53F2F" w14:textId="4E97C6BC" w:rsidR="003A1EEF" w:rsidRDefault="00C42495" w:rsidP="00885014">
      <w:r>
        <w:t>The jury</w:t>
      </w:r>
      <w:r w:rsidR="00324813">
        <w:t xml:space="preserve"> was</w:t>
      </w:r>
      <w:r>
        <w:t xml:space="preserve"> instruct</w:t>
      </w:r>
      <w:r w:rsidR="00324813">
        <w:t>ed</w:t>
      </w:r>
      <w:r>
        <w:t xml:space="preserve"> </w:t>
      </w:r>
      <w:r w:rsidR="007D7BA2">
        <w:t xml:space="preserve">in relevant part </w:t>
      </w:r>
      <w:r>
        <w:t xml:space="preserve">on </w:t>
      </w:r>
      <w:r w:rsidR="004761F5">
        <w:t>malice</w:t>
      </w:r>
      <w:r>
        <w:t xml:space="preserve"> murder, felony murder</w:t>
      </w:r>
      <w:r w:rsidR="00F748C3">
        <w:t>, and attempted robbery</w:t>
      </w:r>
      <w:r w:rsidR="000C14C7">
        <w:t xml:space="preserve">, including the instruction that </w:t>
      </w:r>
      <w:r w:rsidR="007D7BA2" w:rsidRPr="00287017">
        <w:t>“</w:t>
      </w:r>
      <w:r w:rsidR="000C14C7">
        <w:t>[t]</w:t>
      </w:r>
      <w:r w:rsidR="007D7BA2" w:rsidRPr="00287017">
        <w:t xml:space="preserve">he </w:t>
      </w:r>
      <w:r w:rsidR="007D7BA2" w:rsidRPr="00287017">
        <w:lastRenderedPageBreak/>
        <w:t>defendant has been prosecuted for first degree murder under two theories:  (1)</w:t>
      </w:r>
      <w:r w:rsidR="0093715A">
        <w:t> </w:t>
      </w:r>
      <w:r w:rsidR="007D7BA2" w:rsidRPr="00287017">
        <w:t>The murder was willful, deliberate and premeditated; and (2)</w:t>
      </w:r>
      <w:r w:rsidR="005773CB">
        <w:t> F</w:t>
      </w:r>
      <w:r w:rsidR="007D7BA2" w:rsidRPr="00287017">
        <w:t xml:space="preserve">elony murder.” </w:t>
      </w:r>
      <w:r w:rsidR="007D7BA2">
        <w:t xml:space="preserve"> </w:t>
      </w:r>
      <w:r w:rsidR="00862214">
        <w:t xml:space="preserve">The instruction on </w:t>
      </w:r>
      <w:r w:rsidR="00051590">
        <w:t xml:space="preserve">malice </w:t>
      </w:r>
      <w:r w:rsidR="00862214">
        <w:t>murder</w:t>
      </w:r>
      <w:r w:rsidR="002449C9">
        <w:t xml:space="preserve"> state</w:t>
      </w:r>
      <w:r w:rsidR="00FF46EA">
        <w:t>d</w:t>
      </w:r>
      <w:r w:rsidR="001451D5">
        <w:t>:</w:t>
      </w:r>
      <w:r w:rsidR="0059086E">
        <w:t xml:space="preserve"> </w:t>
      </w:r>
      <w:r w:rsidR="001451D5">
        <w:t xml:space="preserve"> </w:t>
      </w:r>
      <w:r w:rsidR="0059086E">
        <w:t>“</w:t>
      </w:r>
      <w:r w:rsidR="002449C9">
        <w:t xml:space="preserve">The defendant is charged in Count 1 with murder in violation of Penal Code </w:t>
      </w:r>
      <w:r w:rsidR="00A93501">
        <w:t>[section] </w:t>
      </w:r>
      <w:r w:rsidR="002449C9">
        <w:t>187</w:t>
      </w:r>
      <w:r w:rsidR="00C1346B">
        <w:t>.</w:t>
      </w:r>
      <w:r w:rsidR="00A93501">
        <w:t xml:space="preserve"> [¶]</w:t>
      </w:r>
      <w:r w:rsidR="00C1346B">
        <w:t xml:space="preserve"> To prove </w:t>
      </w:r>
      <w:r w:rsidR="00DF0D01">
        <w:t xml:space="preserve">that </w:t>
      </w:r>
      <w:r w:rsidR="00C1346B">
        <w:t>the defendant is guilty of this crime, the People must prove that</w:t>
      </w:r>
      <w:r w:rsidR="002449C9">
        <w:t>:  [¶]</w:t>
      </w:r>
      <w:r w:rsidR="009672BB">
        <w:t xml:space="preserve"> 1. The defendant committed an act that </w:t>
      </w:r>
      <w:r w:rsidR="009672BB" w:rsidRPr="000C0B56">
        <w:rPr>
          <w:i/>
          <w:iCs/>
        </w:rPr>
        <w:t>caused the death of another pe</w:t>
      </w:r>
      <w:r w:rsidR="00051590" w:rsidRPr="000C0B56">
        <w:rPr>
          <w:i/>
          <w:iCs/>
        </w:rPr>
        <w:t>rson</w:t>
      </w:r>
      <w:r w:rsidR="00051590">
        <w:t>. [¶] AND</w:t>
      </w:r>
      <w:r w:rsidR="002449C9">
        <w:t xml:space="preserve"> </w:t>
      </w:r>
      <w:r w:rsidR="00051590">
        <w:t xml:space="preserve">[¶] </w:t>
      </w:r>
      <w:r w:rsidR="00C65401">
        <w:t xml:space="preserve">2. </w:t>
      </w:r>
      <w:r w:rsidR="00051590">
        <w:t>When the defendant acted</w:t>
      </w:r>
      <w:r w:rsidR="00BD7957">
        <w:t>,</w:t>
      </w:r>
      <w:r w:rsidR="00051590">
        <w:t xml:space="preserve"> he had a state of mind called malice</w:t>
      </w:r>
      <w:r w:rsidR="007E038F">
        <w:t xml:space="preserve"> </w:t>
      </w:r>
      <w:r w:rsidR="00051590">
        <w:t>aforethought.”</w:t>
      </w:r>
      <w:r w:rsidR="002449C9">
        <w:t xml:space="preserve"> </w:t>
      </w:r>
      <w:r w:rsidR="000C0B56">
        <w:t xml:space="preserve"> (Italics added.) </w:t>
      </w:r>
    </w:p>
    <w:p w14:paraId="571F0B50" w14:textId="1E7300AE" w:rsidR="00E436DD" w:rsidRDefault="00C42495" w:rsidP="00885014">
      <w:r>
        <w:t>The felony</w:t>
      </w:r>
      <w:r w:rsidR="002C3715">
        <w:t>-</w:t>
      </w:r>
      <w:r>
        <w:t xml:space="preserve">murder instruction </w:t>
      </w:r>
      <w:r w:rsidR="00287017">
        <w:t>stat</w:t>
      </w:r>
      <w:r w:rsidR="00FF46EA">
        <w:t>ed</w:t>
      </w:r>
      <w:r w:rsidR="00287017">
        <w:t xml:space="preserve">:  “The defendant is charged in Count 1 with murder, under a theory of felony murder. [¶] To prove that the defendant is guilty of first degree murder under this theory, the People must prove that:  [¶] 1. The defendant committed attempted robbery; [¶] 2. The defendant intended to commit attempted robbery; [¶] AND [¶] 3. While committing attempted robbery, the defendant did an act that </w:t>
      </w:r>
      <w:r w:rsidR="00287017" w:rsidRPr="00C1596C">
        <w:rPr>
          <w:i/>
        </w:rPr>
        <w:t>caused the death of another person</w:t>
      </w:r>
      <w:r w:rsidR="00287017">
        <w:t>. [¶] A person may be guilty of felony murder even if the killing was unintentional, accidental, or negligent.</w:t>
      </w:r>
      <w:r w:rsidR="00191CA5">
        <w:t>”</w:t>
      </w:r>
      <w:r w:rsidR="00287017">
        <w:t xml:space="preserve"> </w:t>
      </w:r>
      <w:r w:rsidR="003E30A0">
        <w:t xml:space="preserve"> </w:t>
      </w:r>
      <w:r w:rsidR="00C1596C">
        <w:t>(Italics added.)</w:t>
      </w:r>
      <w:r w:rsidR="00287017">
        <w:t xml:space="preserve"> </w:t>
      </w:r>
    </w:p>
    <w:p w14:paraId="299D5A6C" w14:textId="7C3510D7" w:rsidR="00E436DD" w:rsidRDefault="00C42495" w:rsidP="00885014">
      <w:r>
        <w:t xml:space="preserve">The jury was also instructed </w:t>
      </w:r>
      <w:r w:rsidR="007D7BA2">
        <w:t>that, if it found</w:t>
      </w:r>
      <w:r>
        <w:t xml:space="preserve"> Beaudreaux guilty of the crimes charged</w:t>
      </w:r>
      <w:r w:rsidR="00CE48BE">
        <w:t xml:space="preserve"> against him</w:t>
      </w:r>
      <w:r>
        <w:t xml:space="preserve">, </w:t>
      </w:r>
      <w:r w:rsidR="007D7BA2">
        <w:t xml:space="preserve">it was to consider </w:t>
      </w:r>
      <w:r w:rsidR="00BD6B0D">
        <w:t>the firearm</w:t>
      </w:r>
      <w:r w:rsidR="00493FEF">
        <w:t xml:space="preserve"> use</w:t>
      </w:r>
      <w:r w:rsidR="001B419D">
        <w:t xml:space="preserve"> </w:t>
      </w:r>
      <w:r>
        <w:t>allegation</w:t>
      </w:r>
      <w:r w:rsidR="00191CA5">
        <w:t>s</w:t>
      </w:r>
      <w:r w:rsidR="00F25730">
        <w:t xml:space="preserve"> in accordance </w:t>
      </w:r>
      <w:r w:rsidR="009B36FC">
        <w:t>with the following gu</w:t>
      </w:r>
      <w:r w:rsidR="00723B73">
        <w:t>idance</w:t>
      </w:r>
      <w:r>
        <w:t xml:space="preserve">:  “To prove that the defendant intentionally discharged a firearm, the People must prove that: </w:t>
      </w:r>
      <w:r w:rsidR="00F11013">
        <w:t xml:space="preserve"> </w:t>
      </w:r>
      <w:r>
        <w:t xml:space="preserve">[¶] 1. The defendant personally discharged a firearm during the commission of that crime; [¶] AND [¶] 2. The defendant intended to discharge the firearm. [¶] If the People have proved both 1 and 2, you must then decide whether the People also have proved that the defendant’s act </w:t>
      </w:r>
      <w:r w:rsidRPr="00873923">
        <w:rPr>
          <w:i/>
          <w:iCs/>
        </w:rPr>
        <w:t>caused the death of a person</w:t>
      </w:r>
      <w:r>
        <w:t xml:space="preserve">.” </w:t>
      </w:r>
      <w:r w:rsidR="00807EBE">
        <w:t xml:space="preserve"> </w:t>
      </w:r>
      <w:r w:rsidR="00873923">
        <w:t>(Italics added.)</w:t>
      </w:r>
      <w:r>
        <w:t xml:space="preserve"> </w:t>
      </w:r>
    </w:p>
    <w:p w14:paraId="668B1C60" w14:textId="702F4394" w:rsidR="0025425E" w:rsidRDefault="00C42495" w:rsidP="00885014">
      <w:r>
        <w:t>T</w:t>
      </w:r>
      <w:r w:rsidR="00651975">
        <w:t>he</w:t>
      </w:r>
      <w:r w:rsidR="00257948">
        <w:t xml:space="preserve">re was a </w:t>
      </w:r>
      <w:r w:rsidR="00651975">
        <w:t xml:space="preserve">jury instruction </w:t>
      </w:r>
      <w:r w:rsidR="00257948">
        <w:t xml:space="preserve">addressing </w:t>
      </w:r>
      <w:r w:rsidR="00651975">
        <w:t>Crowder’s testimony</w:t>
      </w:r>
      <w:r w:rsidR="00D246D9">
        <w:t>, which state</w:t>
      </w:r>
      <w:r w:rsidR="00FF46EA">
        <w:t>d</w:t>
      </w:r>
      <w:r w:rsidR="00D246D9">
        <w:t xml:space="preserve"> as follows:  </w:t>
      </w:r>
      <w:r w:rsidR="00651975">
        <w:t>“</w:t>
      </w:r>
      <w:r>
        <w:t>B</w:t>
      </w:r>
      <w:r w:rsidR="00651975">
        <w:t xml:space="preserve">efore you may consider the testimony of Brandon </w:t>
      </w:r>
      <w:r w:rsidR="00651975">
        <w:lastRenderedPageBreak/>
        <w:t xml:space="preserve">Crowder as evidence against </w:t>
      </w:r>
      <w:r w:rsidR="00191CA5">
        <w:t>the defendant</w:t>
      </w:r>
      <w:r w:rsidR="00651975">
        <w:t xml:space="preserve"> regarding the crimes of murder and attempted robbery, you must decide whether Brandon Crowder was an accomplice to those crimes.  A person is an accomplice if he or she is subject to prosecution </w:t>
      </w:r>
      <w:r>
        <w:t xml:space="preserve">for the identical crime charged against the defendant.  Someone is subject to prosecution </w:t>
      </w:r>
      <w:r w:rsidR="00651975">
        <w:t xml:space="preserve">if he or she personally committed the crime or if: </w:t>
      </w:r>
      <w:r w:rsidR="001956C2">
        <w:t xml:space="preserve"> </w:t>
      </w:r>
      <w:r w:rsidR="00651975">
        <w:t>[¶] 1. He or she knew of the criminal purpose of the person who committed the crime; [¶] AND [¶] 2. He or she intended to, and did in fact, aid, facilitate, promote, encourage, or instigate the commission of the crime.</w:t>
      </w:r>
      <w:r w:rsidR="00541A0B">
        <w:t>”</w:t>
      </w:r>
      <w:r w:rsidR="00651975">
        <w:t xml:space="preserve"> </w:t>
      </w:r>
      <w:r w:rsidR="00541A0B">
        <w:t xml:space="preserve"> The instruction </w:t>
      </w:r>
      <w:r w:rsidR="00AC68BA">
        <w:t xml:space="preserve">further </w:t>
      </w:r>
      <w:r w:rsidR="00541A0B">
        <w:t>state</w:t>
      </w:r>
      <w:r w:rsidR="00ED5BA6">
        <w:t>d</w:t>
      </w:r>
      <w:r w:rsidR="00541A0B">
        <w:t xml:space="preserve"> that if the jury decides a witness is an accomplice, it c</w:t>
      </w:r>
      <w:r w:rsidR="00ED5BA6">
        <w:t xml:space="preserve">ould not </w:t>
      </w:r>
      <w:r w:rsidR="00541A0B">
        <w:t xml:space="preserve">convict based on his or her testimony alone and should view </w:t>
      </w:r>
      <w:r w:rsidR="00B07EC5">
        <w:t xml:space="preserve">with caution </w:t>
      </w:r>
      <w:r w:rsidR="00541A0B">
        <w:t xml:space="preserve">any incriminating testimony </w:t>
      </w:r>
      <w:r w:rsidR="00B578F2">
        <w:t xml:space="preserve">by </w:t>
      </w:r>
      <w:r w:rsidR="00B07EC5">
        <w:t xml:space="preserve">the </w:t>
      </w:r>
      <w:r w:rsidR="00B578F2">
        <w:t>accomplice</w:t>
      </w:r>
      <w:r w:rsidR="00B07EC5">
        <w:t>.</w:t>
      </w:r>
    </w:p>
    <w:p w14:paraId="2BF56F51" w14:textId="4D4AC35B" w:rsidR="00AC68BA" w:rsidRDefault="00C42495" w:rsidP="00885014">
      <w:r>
        <w:t xml:space="preserve">In </w:t>
      </w:r>
      <w:r w:rsidR="000F7220">
        <w:t xml:space="preserve">July </w:t>
      </w:r>
      <w:r>
        <w:t xml:space="preserve">2009, the jury </w:t>
      </w:r>
      <w:r w:rsidR="008850FB">
        <w:t xml:space="preserve">found Beaudreaux guilty of the first degree murder and attempted robbery of Drummond, and found </w:t>
      </w:r>
      <w:r>
        <w:t>the s</w:t>
      </w:r>
      <w:r w:rsidR="005E5C73">
        <w:t>entencing enhancement</w:t>
      </w:r>
      <w:r>
        <w:t xml:space="preserve"> allegation</w:t>
      </w:r>
      <w:r w:rsidR="00886E26">
        <w:t>s</w:t>
      </w:r>
      <w:r>
        <w:t xml:space="preserve"> </w:t>
      </w:r>
      <w:r w:rsidR="00F053DA">
        <w:t xml:space="preserve">against </w:t>
      </w:r>
      <w:r>
        <w:t>him</w:t>
      </w:r>
      <w:r w:rsidR="00F053DA">
        <w:t xml:space="preserve"> </w:t>
      </w:r>
      <w:r>
        <w:t xml:space="preserve">to be true. </w:t>
      </w:r>
      <w:r w:rsidR="008850FB">
        <w:t xml:space="preserve"> The jury did not indicate </w:t>
      </w:r>
      <w:r w:rsidR="00875AC6">
        <w:t>whether it</w:t>
      </w:r>
      <w:r w:rsidR="000C14C7">
        <w:t xml:space="preserve"> based it</w:t>
      </w:r>
      <w:r w:rsidR="00875AC6">
        <w:t xml:space="preserve">s first degree murder verdict on </w:t>
      </w:r>
      <w:r>
        <w:t xml:space="preserve">a theory of </w:t>
      </w:r>
      <w:r w:rsidR="00AF332D">
        <w:t xml:space="preserve">malice </w:t>
      </w:r>
      <w:r w:rsidR="00CA6CBA">
        <w:t xml:space="preserve">murder or </w:t>
      </w:r>
      <w:r w:rsidR="00875AC6">
        <w:t>felony murder</w:t>
      </w:r>
      <w:r w:rsidR="00CA6CBA">
        <w:t xml:space="preserve">. </w:t>
      </w:r>
      <w:r w:rsidR="00875AC6">
        <w:t xml:space="preserve"> </w:t>
      </w:r>
      <w:r w:rsidR="00B20DE9">
        <w:t>But it did specifically find that he</w:t>
      </w:r>
      <w:r w:rsidR="00AE5DFD">
        <w:t xml:space="preserve"> “personally </w:t>
      </w:r>
      <w:r w:rsidR="00295596">
        <w:t>and intentionally</w:t>
      </w:r>
      <w:r w:rsidR="002921B7">
        <w:t xml:space="preserve"> </w:t>
      </w:r>
      <w:r w:rsidR="00E67C70">
        <w:t>discharge[</w:t>
      </w:r>
      <w:r w:rsidR="00AE5DFD">
        <w:t>d</w:t>
      </w:r>
      <w:r w:rsidR="00E67C70">
        <w:t>]</w:t>
      </w:r>
      <w:r w:rsidR="00AE5DFD">
        <w:t xml:space="preserve"> a firearm and </w:t>
      </w:r>
      <w:r w:rsidR="00357323">
        <w:t>caus</w:t>
      </w:r>
      <w:r w:rsidR="00FF7FA6">
        <w:t>ed</w:t>
      </w:r>
      <w:r w:rsidR="00AE5DFD">
        <w:t xml:space="preserve"> great bodily injury and death </w:t>
      </w:r>
      <w:r w:rsidR="00E67C70">
        <w:t>to WAYNE DRUMMOND.”</w:t>
      </w:r>
      <w:r w:rsidR="004F7EA5">
        <w:t xml:space="preserve"> </w:t>
      </w:r>
    </w:p>
    <w:p w14:paraId="09C6DF7F" w14:textId="1CB2D42E" w:rsidR="00370BE7" w:rsidRDefault="00C42495" w:rsidP="00EA521D">
      <w:r>
        <w:t xml:space="preserve">The trial court sentenced </w:t>
      </w:r>
      <w:r w:rsidR="008850FB">
        <w:t xml:space="preserve">Beaudreaux to </w:t>
      </w:r>
      <w:r w:rsidR="00875AC6">
        <w:t xml:space="preserve">a total </w:t>
      </w:r>
      <w:r>
        <w:t>s</w:t>
      </w:r>
      <w:r w:rsidR="00875AC6">
        <w:t xml:space="preserve">tate prison </w:t>
      </w:r>
      <w:r>
        <w:t xml:space="preserve">term </w:t>
      </w:r>
      <w:r w:rsidR="00875AC6">
        <w:t xml:space="preserve">of </w:t>
      </w:r>
      <w:r w:rsidR="008850FB">
        <w:t>50 years to life</w:t>
      </w:r>
      <w:r w:rsidR="00EA521D">
        <w:t xml:space="preserve">, consisting </w:t>
      </w:r>
      <w:r w:rsidR="00875AC6">
        <w:t>of 25 years to life for first degree murder and 25 years to life under section 12022.53, subdivision (d)</w:t>
      </w:r>
      <w:r w:rsidR="008850FB">
        <w:t>.</w:t>
      </w:r>
      <w:r>
        <w:rPr>
          <w:rStyle w:val="FootnoteReference"/>
        </w:rPr>
        <w:footnoteReference w:id="6"/>
      </w:r>
      <w:r w:rsidR="00875AC6">
        <w:t xml:space="preserve"> </w:t>
      </w:r>
      <w:r w:rsidR="00A54BEB">
        <w:t xml:space="preserve"> </w:t>
      </w:r>
      <w:r w:rsidR="00AA5AF3">
        <w:t>On appeal</w:t>
      </w:r>
      <w:r w:rsidR="00A41ED7">
        <w:t>, t</w:t>
      </w:r>
      <w:r w:rsidR="008850FB">
        <w:t xml:space="preserve">his court affirmed </w:t>
      </w:r>
      <w:r w:rsidR="00A7482E">
        <w:t xml:space="preserve">in </w:t>
      </w:r>
      <w:r w:rsidR="00A7482E" w:rsidRPr="00576930">
        <w:rPr>
          <w:i/>
          <w:iCs/>
        </w:rPr>
        <w:t>Beaudre</w:t>
      </w:r>
      <w:r w:rsidR="00576930" w:rsidRPr="00576930">
        <w:rPr>
          <w:i/>
          <w:iCs/>
        </w:rPr>
        <w:t>aux</w:t>
      </w:r>
      <w:r w:rsidR="00EE4869">
        <w:rPr>
          <w:i/>
          <w:iCs/>
        </w:rPr>
        <w:t> </w:t>
      </w:r>
      <w:r w:rsidR="00576930" w:rsidRPr="00576930">
        <w:rPr>
          <w:i/>
          <w:iCs/>
        </w:rPr>
        <w:t>I</w:t>
      </w:r>
      <w:r w:rsidR="00A41ED7">
        <w:t xml:space="preserve">.  </w:t>
      </w:r>
      <w:r w:rsidR="003006E9">
        <w:t xml:space="preserve">Our </w:t>
      </w:r>
      <w:r w:rsidR="00AA5AF3">
        <w:t xml:space="preserve">opinion </w:t>
      </w:r>
      <w:r w:rsidR="00433172">
        <w:t xml:space="preserve">there </w:t>
      </w:r>
      <w:r w:rsidR="00AA5AF3">
        <w:t>in</w:t>
      </w:r>
      <w:r w:rsidR="00EA521D">
        <w:t>cludes a lengthy summary of the facts</w:t>
      </w:r>
      <w:r w:rsidR="00A41ED7">
        <w:t xml:space="preserve"> on which</w:t>
      </w:r>
      <w:r w:rsidR="002B4B30">
        <w:t xml:space="preserve"> the </w:t>
      </w:r>
      <w:r w:rsidR="00BB7A5D">
        <w:t xml:space="preserve">conviction is based. </w:t>
      </w:r>
    </w:p>
    <w:p w14:paraId="6B1CD3B1" w14:textId="437D768C" w:rsidR="00A15452" w:rsidRPr="00A15452" w:rsidRDefault="00C42495" w:rsidP="00EA7B72">
      <w:pPr>
        <w:pStyle w:val="Heading2"/>
      </w:pPr>
      <w:r w:rsidRPr="00A15452">
        <w:lastRenderedPageBreak/>
        <w:t xml:space="preserve">Beaudreaux’s </w:t>
      </w:r>
      <w:r w:rsidR="002F4A16">
        <w:t xml:space="preserve">First </w:t>
      </w:r>
      <w:r w:rsidR="008F51D1">
        <w:t xml:space="preserve">and </w:t>
      </w:r>
      <w:r w:rsidR="002F4A16">
        <w:t xml:space="preserve">Second </w:t>
      </w:r>
      <w:r w:rsidRPr="00A15452">
        <w:t>Resentencing Petition</w:t>
      </w:r>
      <w:r w:rsidR="00F26E08">
        <w:t>s</w:t>
      </w:r>
    </w:p>
    <w:p w14:paraId="12CB8A4F" w14:textId="2FB83603" w:rsidR="00017140" w:rsidRDefault="00C42495" w:rsidP="006A2DC0">
      <w:pPr>
        <w:keepNext/>
      </w:pPr>
      <w:r>
        <w:t>A</w:t>
      </w:r>
      <w:r w:rsidR="006E2497">
        <w:t xml:space="preserve">fter </w:t>
      </w:r>
      <w:r w:rsidR="00704DA6">
        <w:t>Senate Bill 1437</w:t>
      </w:r>
      <w:r w:rsidR="005430DE">
        <w:t xml:space="preserve"> </w:t>
      </w:r>
      <w:r w:rsidR="00961649">
        <w:t>went into effect on January 1, 2019</w:t>
      </w:r>
      <w:r w:rsidR="00CE38BA">
        <w:t xml:space="preserve"> (</w:t>
      </w:r>
      <w:r w:rsidR="00D92CB8" w:rsidRPr="0062159F">
        <w:rPr>
          <w:rFonts w:eastAsia="Times New Roman" w:cs="Times New Roman"/>
          <w:i/>
          <w:iCs/>
          <w:bdr w:val="none" w:sz="0" w:space="0" w:color="auto" w:frame="1"/>
        </w:rPr>
        <w:t>People v. Strong</w:t>
      </w:r>
      <w:r w:rsidR="00D92CB8">
        <w:rPr>
          <w:rFonts w:eastAsia="Times New Roman" w:cs="Times New Roman"/>
          <w:i/>
          <w:iCs/>
          <w:bdr w:val="none" w:sz="0" w:space="0" w:color="auto" w:frame="1"/>
        </w:rPr>
        <w:t xml:space="preserve"> </w:t>
      </w:r>
      <w:r w:rsidR="00D92CB8">
        <w:rPr>
          <w:rFonts w:eastAsia="Times New Roman" w:cs="Times New Roman"/>
          <w:bdr w:val="none" w:sz="0" w:space="0" w:color="auto" w:frame="1"/>
        </w:rPr>
        <w:t xml:space="preserve">(2022) </w:t>
      </w:r>
      <w:r w:rsidR="00D92CB8" w:rsidRPr="0062159F">
        <w:rPr>
          <w:rFonts w:eastAsia="Times New Roman" w:cs="Times New Roman"/>
        </w:rPr>
        <w:t>13</w:t>
      </w:r>
      <w:r w:rsidR="00EE4869">
        <w:rPr>
          <w:rFonts w:eastAsia="Times New Roman" w:cs="Times New Roman"/>
        </w:rPr>
        <w:t> </w:t>
      </w:r>
      <w:r w:rsidR="00D92CB8" w:rsidRPr="0062159F">
        <w:rPr>
          <w:rFonts w:eastAsia="Times New Roman" w:cs="Times New Roman"/>
        </w:rPr>
        <w:t xml:space="preserve">Cal.5th </w:t>
      </w:r>
      <w:r w:rsidR="00D92CB8">
        <w:rPr>
          <w:rFonts w:eastAsia="Times New Roman" w:cs="Times New Roman"/>
        </w:rPr>
        <w:t>698, 708 (</w:t>
      </w:r>
      <w:r w:rsidR="00D92CB8">
        <w:rPr>
          <w:rFonts w:eastAsia="Times New Roman" w:cs="Times New Roman"/>
          <w:i/>
          <w:iCs/>
        </w:rPr>
        <w:t>Strong</w:t>
      </w:r>
      <w:r w:rsidR="00D92CB8">
        <w:rPr>
          <w:rFonts w:eastAsia="Times New Roman" w:cs="Times New Roman"/>
        </w:rPr>
        <w:t>)</w:t>
      </w:r>
      <w:r w:rsidR="00D92CB8" w:rsidRPr="0062159F">
        <w:rPr>
          <w:rFonts w:eastAsia="Times New Roman" w:cs="Times New Roman"/>
        </w:rPr>
        <w:t>)</w:t>
      </w:r>
      <w:r w:rsidR="006E2497">
        <w:t xml:space="preserve">, </w:t>
      </w:r>
      <w:r w:rsidR="00E356BE">
        <w:t>Beaudreaux</w:t>
      </w:r>
      <w:r w:rsidR="00485E6D">
        <w:t>, representing himself,</w:t>
      </w:r>
      <w:r w:rsidR="006E2497">
        <w:t xml:space="preserve"> filed </w:t>
      </w:r>
      <w:r w:rsidR="00886E26">
        <w:t>a</w:t>
      </w:r>
      <w:r w:rsidR="006E2497">
        <w:t xml:space="preserve"> petition for resentencing</w:t>
      </w:r>
      <w:r w:rsidR="00751DBA">
        <w:t xml:space="preserve"> and chec</w:t>
      </w:r>
      <w:r w:rsidR="00A72C71">
        <w:t>ked a box requesting appointment of counsel</w:t>
      </w:r>
      <w:r w:rsidR="006E2497">
        <w:t xml:space="preserve">.  </w:t>
      </w:r>
      <w:r w:rsidR="00082D43">
        <w:t>W</w:t>
      </w:r>
      <w:r w:rsidR="00886E26">
        <w:t xml:space="preserve">ithout </w:t>
      </w:r>
      <w:r w:rsidR="00531033">
        <w:t>appointing counsel</w:t>
      </w:r>
      <w:r w:rsidR="00886E26">
        <w:t xml:space="preserve"> or seeking further briefing</w:t>
      </w:r>
      <w:r w:rsidR="00082D43">
        <w:t xml:space="preserve">, </w:t>
      </w:r>
      <w:r w:rsidR="00E71437">
        <w:t xml:space="preserve">and based on the facts of the crime as recounted in </w:t>
      </w:r>
      <w:r w:rsidR="00BA40C1" w:rsidRPr="00BA40C1">
        <w:rPr>
          <w:i/>
          <w:iCs/>
        </w:rPr>
        <w:t>Beaudreaux</w:t>
      </w:r>
      <w:r w:rsidR="00B91F8B">
        <w:rPr>
          <w:i/>
          <w:iCs/>
        </w:rPr>
        <w:t> </w:t>
      </w:r>
      <w:r w:rsidR="00BA40C1" w:rsidRPr="00BA40C1">
        <w:rPr>
          <w:i/>
          <w:iCs/>
        </w:rPr>
        <w:t>I</w:t>
      </w:r>
      <w:r w:rsidR="00E71437">
        <w:t xml:space="preserve">, </w:t>
      </w:r>
      <w:r w:rsidR="00082D43">
        <w:t xml:space="preserve">the trial court </w:t>
      </w:r>
      <w:r w:rsidR="00531033">
        <w:t>d</w:t>
      </w:r>
      <w:r w:rsidR="00CD36AA">
        <w:t>enied</w:t>
      </w:r>
      <w:r w:rsidR="00531033">
        <w:t xml:space="preserve"> his petition</w:t>
      </w:r>
      <w:r w:rsidR="00D619EF">
        <w:t xml:space="preserve"> </w:t>
      </w:r>
      <w:r w:rsidR="005430DE">
        <w:t xml:space="preserve">for failure </w:t>
      </w:r>
      <w:r w:rsidR="00D619EF">
        <w:t>to set forth a prima facie case for relief</w:t>
      </w:r>
      <w:r w:rsidR="00E71437">
        <w:t>.</w:t>
      </w:r>
      <w:r w:rsidR="00531033">
        <w:t xml:space="preserve">  </w:t>
      </w:r>
      <w:r w:rsidR="005F6F35">
        <w:t xml:space="preserve">This court affirmed that </w:t>
      </w:r>
      <w:r w:rsidR="00CD36AA">
        <w:t>denial</w:t>
      </w:r>
      <w:r w:rsidR="005F6F35">
        <w:t xml:space="preserve"> </w:t>
      </w:r>
      <w:r w:rsidR="00A2630D">
        <w:t xml:space="preserve">by </w:t>
      </w:r>
      <w:r w:rsidR="001A62A0">
        <w:t xml:space="preserve">unpublished opinion in </w:t>
      </w:r>
      <w:r w:rsidR="007D7ACD" w:rsidRPr="00A2630D">
        <w:rPr>
          <w:i/>
          <w:iCs/>
        </w:rPr>
        <w:t>Beaudreaux</w:t>
      </w:r>
      <w:r w:rsidR="009372AD">
        <w:rPr>
          <w:i/>
          <w:iCs/>
        </w:rPr>
        <w:t> </w:t>
      </w:r>
      <w:r w:rsidR="007D7ACD" w:rsidRPr="00A2630D">
        <w:rPr>
          <w:i/>
          <w:iCs/>
        </w:rPr>
        <w:t>II</w:t>
      </w:r>
      <w:r w:rsidR="00117EE9">
        <w:rPr>
          <w:i/>
          <w:iCs/>
        </w:rPr>
        <w:t>.</w:t>
      </w:r>
    </w:p>
    <w:p w14:paraId="6F7FE648" w14:textId="48333FDE" w:rsidR="00D64A27" w:rsidRDefault="00C42495" w:rsidP="000067FD">
      <w:r>
        <w:t xml:space="preserve">Eighteen months later, </w:t>
      </w:r>
      <w:r w:rsidR="008850FB" w:rsidRPr="000067FD">
        <w:t>Beaudreaux</w:t>
      </w:r>
      <w:r w:rsidR="00485E6D" w:rsidRPr="000067FD">
        <w:t xml:space="preserve">, </w:t>
      </w:r>
      <w:r w:rsidR="0052794E">
        <w:t xml:space="preserve">still </w:t>
      </w:r>
      <w:r w:rsidR="00485E6D" w:rsidRPr="000067FD">
        <w:t>representing himself,</w:t>
      </w:r>
      <w:r w:rsidR="008850FB" w:rsidRPr="000067FD">
        <w:t xml:space="preserve"> </w:t>
      </w:r>
      <w:r w:rsidR="00D619EF" w:rsidRPr="000067FD">
        <w:t>again</w:t>
      </w:r>
      <w:r w:rsidR="00D619EF">
        <w:t xml:space="preserve"> </w:t>
      </w:r>
      <w:r w:rsidR="008850FB">
        <w:t>petitioned for resentencing</w:t>
      </w:r>
      <w:r w:rsidR="00210354">
        <w:t xml:space="preserve"> under section 117</w:t>
      </w:r>
      <w:r w:rsidR="005D0C62">
        <w:t>2</w:t>
      </w:r>
      <w:r w:rsidR="00210354">
        <w:t>.</w:t>
      </w:r>
      <w:r w:rsidR="005D0C62">
        <w:t>6</w:t>
      </w:r>
      <w:r w:rsidR="008850FB">
        <w:t xml:space="preserve">.  He </w:t>
      </w:r>
      <w:r w:rsidR="00A02AB7">
        <w:t>c</w:t>
      </w:r>
      <w:r w:rsidR="008850FB">
        <w:t>ontended</w:t>
      </w:r>
      <w:r w:rsidR="000C51C0">
        <w:t xml:space="preserve"> under penalty of perjury that</w:t>
      </w:r>
      <w:r w:rsidR="008850FB">
        <w:t xml:space="preserve"> he could not have been found guilty of murder</w:t>
      </w:r>
      <w:r w:rsidR="008B641A">
        <w:t xml:space="preserve"> under present law</w:t>
      </w:r>
      <w:r w:rsidR="002E5513">
        <w:t xml:space="preserve"> and requested</w:t>
      </w:r>
      <w:r w:rsidR="0017385F">
        <w:t xml:space="preserve">, based on </w:t>
      </w:r>
      <w:r w:rsidR="0017385F">
        <w:rPr>
          <w:i/>
          <w:iCs/>
        </w:rPr>
        <w:t>Lewis</w:t>
      </w:r>
      <w:r w:rsidR="0017385F">
        <w:t>,</w:t>
      </w:r>
      <w:r w:rsidR="002E5513">
        <w:t xml:space="preserve"> that the court appoint counsel for him based on his facially sufficient petition</w:t>
      </w:r>
      <w:r w:rsidR="008850FB">
        <w:t xml:space="preserve">.  The trial court </w:t>
      </w:r>
      <w:r w:rsidR="00CD36AA">
        <w:t>denied</w:t>
      </w:r>
      <w:r w:rsidR="008B641A">
        <w:t xml:space="preserve"> </w:t>
      </w:r>
      <w:r w:rsidR="000D0195">
        <w:t>Beaudreau</w:t>
      </w:r>
      <w:r w:rsidR="005F6C8E">
        <w:t xml:space="preserve">x’s second </w:t>
      </w:r>
      <w:r w:rsidR="002E5513">
        <w:t xml:space="preserve">petition </w:t>
      </w:r>
      <w:r w:rsidR="00F742DA">
        <w:t xml:space="preserve">in a written order </w:t>
      </w:r>
      <w:r w:rsidR="002E5513">
        <w:t>without seeking any response from the People, and also denied Beaudreaux’s request for counsel</w:t>
      </w:r>
      <w:r w:rsidR="00A26204">
        <w:t>.</w:t>
      </w:r>
      <w:r w:rsidR="00CD36AA">
        <w:t xml:space="preserve"> </w:t>
      </w:r>
      <w:r w:rsidR="008850FB">
        <w:t xml:space="preserve"> </w:t>
      </w:r>
      <w:r w:rsidR="000145AA">
        <w:t>T</w:t>
      </w:r>
      <w:r w:rsidR="00A26204">
        <w:t xml:space="preserve">he court </w:t>
      </w:r>
      <w:r w:rsidR="000145AA">
        <w:t xml:space="preserve">explained </w:t>
      </w:r>
      <w:r>
        <w:t>as follows</w:t>
      </w:r>
      <w:r w:rsidR="00323F91">
        <w:t>:</w:t>
      </w:r>
      <w:r w:rsidR="00A26204">
        <w:t xml:space="preserve">  </w:t>
      </w:r>
    </w:p>
    <w:p w14:paraId="24CD488D" w14:textId="60F1BE1A" w:rsidR="009149B6" w:rsidRDefault="00C42495" w:rsidP="000067FD">
      <w:r>
        <w:t>“The instan</w:t>
      </w:r>
      <w:r w:rsidR="00E374B8">
        <w:t>t</w:t>
      </w:r>
      <w:r>
        <w:t xml:space="preserve"> petition appears to be similar to defendant’s prior petition.  Notwithstanding defendant’s actual reliance </w:t>
      </w:r>
      <w:r w:rsidR="004A06E1">
        <w:t xml:space="preserve">on </w:t>
      </w:r>
      <w:r w:rsidR="004A06E1">
        <w:rPr>
          <w:i/>
          <w:iCs/>
        </w:rPr>
        <w:t>Lewis</w:t>
      </w:r>
      <w:r w:rsidR="004A06E1">
        <w:t xml:space="preserve">, </w:t>
      </w:r>
      <w:r w:rsidR="004A06E1">
        <w:rPr>
          <w:i/>
          <w:iCs/>
        </w:rPr>
        <w:t>supra</w:t>
      </w:r>
      <w:r w:rsidR="004A06E1">
        <w:t>, 11</w:t>
      </w:r>
      <w:r w:rsidR="003D0074">
        <w:t> </w:t>
      </w:r>
      <w:r w:rsidR="004A06E1">
        <w:t>Cal.5th 952 and apparent reliance on Senate Bill 775 .</w:t>
      </w:r>
      <w:r w:rsidR="00623666">
        <w:t> </w:t>
      </w:r>
      <w:r w:rsidR="004A06E1">
        <w:t>.</w:t>
      </w:r>
      <w:r w:rsidR="00623666">
        <w:t> </w:t>
      </w:r>
      <w:r w:rsidR="004A06E1">
        <w:t xml:space="preserve">. , neither authority appears to contemplate, let alone permit, giving defendants such as Beaudreaux a second or subsequent opportunity to litigate a claim that was decided against them and that decision is final.  Put another way, Beaudreaux does not appear to be entitled to a second bite of the apple. [¶] For all these reasons, the </w:t>
      </w:r>
      <w:r w:rsidR="00BD0B38">
        <w:t>[</w:t>
      </w:r>
      <w:r w:rsidR="004A06E1">
        <w:t xml:space="preserve">section </w:t>
      </w:r>
      <w:r w:rsidR="00BD0B38">
        <w:t>1172.6]</w:t>
      </w:r>
      <w:r w:rsidR="004A06E1">
        <w:t xml:space="preserve"> petition filed on 14 March 2022 is DENIED.” </w:t>
      </w:r>
      <w:r>
        <w:t xml:space="preserve"> </w:t>
      </w:r>
    </w:p>
    <w:p w14:paraId="4BC03B0A" w14:textId="58D1F891" w:rsidR="00D92215" w:rsidRPr="00D92215" w:rsidRDefault="00C42495" w:rsidP="00885014">
      <w:r>
        <w:t>Beaudreaux</w:t>
      </w:r>
      <w:r w:rsidR="00B578F2">
        <w:t xml:space="preserve"> </w:t>
      </w:r>
      <w:r w:rsidR="009149B6">
        <w:t>timely appeal</w:t>
      </w:r>
      <w:r w:rsidR="00746B52">
        <w:t>ed</w:t>
      </w:r>
      <w:r>
        <w:t>.</w:t>
      </w:r>
      <w:r w:rsidR="009149B6">
        <w:t xml:space="preserve"> </w:t>
      </w:r>
    </w:p>
    <w:p w14:paraId="3FB6CA55" w14:textId="5004AB6E" w:rsidR="00CB0FE2" w:rsidRDefault="00C42495" w:rsidP="00885014">
      <w:pPr>
        <w:pStyle w:val="Heading1"/>
      </w:pPr>
      <w:r>
        <w:lastRenderedPageBreak/>
        <w:t>DISCUSSION</w:t>
      </w:r>
    </w:p>
    <w:p w14:paraId="478FAFB8" w14:textId="79BFE942" w:rsidR="00C67101" w:rsidRPr="00BC0045" w:rsidRDefault="00C42495" w:rsidP="00763D8C">
      <w:pPr>
        <w:pStyle w:val="Heading2"/>
        <w:numPr>
          <w:ilvl w:val="0"/>
          <w:numId w:val="25"/>
        </w:numPr>
      </w:pPr>
      <w:r>
        <w:t xml:space="preserve">The Senate Bill </w:t>
      </w:r>
      <w:r w:rsidR="00DC2CEB">
        <w:t>1437 Resentencing Scheme</w:t>
      </w:r>
    </w:p>
    <w:p w14:paraId="1E844C60" w14:textId="7B32919A" w:rsidR="00574E12" w:rsidRDefault="00C42495" w:rsidP="00885014">
      <w:r>
        <w:t xml:space="preserve">Senate Bill 1437 </w:t>
      </w:r>
      <w:r w:rsidR="00165B31">
        <w:t>amended “</w:t>
      </w:r>
      <w:r>
        <w:t>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(Stats. 2018, ch.</w:t>
      </w:r>
      <w:r w:rsidR="00C7738F">
        <w:t> </w:t>
      </w:r>
      <w:r>
        <w:t>1015, §</w:t>
      </w:r>
      <w:r w:rsidR="00C7738F">
        <w:t> </w:t>
      </w:r>
      <w:r>
        <w:t xml:space="preserve">1(f).) </w:t>
      </w:r>
    </w:p>
    <w:p w14:paraId="3AEA45A0" w14:textId="4A689A79" w:rsidR="009317E6" w:rsidRDefault="00C42495" w:rsidP="00885014">
      <w:r>
        <w:t xml:space="preserve">Among the </w:t>
      </w:r>
      <w:r w:rsidR="00305EE9">
        <w:t xml:space="preserve">amendments enacted by Senate Bill 1437 was </w:t>
      </w:r>
      <w:r w:rsidR="007A02AD">
        <w:t>the addition of</w:t>
      </w:r>
      <w:r>
        <w:t xml:space="preserve"> section 188, subdivision (a)(3)</w:t>
      </w:r>
      <w:r w:rsidR="00557456">
        <w:t>,</w:t>
      </w:r>
      <w:r>
        <w:t xml:space="preserve"> </w:t>
      </w:r>
      <w:r w:rsidR="004673E2">
        <w:t>provid</w:t>
      </w:r>
      <w:r>
        <w:t xml:space="preserve">ing </w:t>
      </w:r>
      <w:r w:rsidR="004673E2">
        <w:t xml:space="preserve">that </w:t>
      </w:r>
      <w:r>
        <w:t xml:space="preserve">principals </w:t>
      </w:r>
      <w:r w:rsidR="004673E2">
        <w:t xml:space="preserve">must </w:t>
      </w:r>
      <w:r>
        <w:t xml:space="preserve">act with express or implied malice </w:t>
      </w:r>
      <w:r w:rsidR="004673E2">
        <w:t xml:space="preserve">in order </w:t>
      </w:r>
      <w:r>
        <w:t xml:space="preserve">to be convicted of </w:t>
      </w:r>
      <w:r w:rsidR="00557456">
        <w:t>murder</w:t>
      </w:r>
      <w:r>
        <w:t xml:space="preserve">, with the exception of </w:t>
      </w:r>
      <w:r w:rsidR="004673E2">
        <w:t xml:space="preserve">the </w:t>
      </w:r>
      <w:r>
        <w:t>felony</w:t>
      </w:r>
      <w:r w:rsidR="001370F8">
        <w:t>-</w:t>
      </w:r>
      <w:r>
        <w:t xml:space="preserve">murder </w:t>
      </w:r>
      <w:r w:rsidR="004673E2">
        <w:t>rule</w:t>
      </w:r>
      <w:r w:rsidR="00DB22E0">
        <w:t xml:space="preserve"> as stated in an</w:t>
      </w:r>
      <w:r w:rsidR="004673E2">
        <w:t xml:space="preserve"> amended </w:t>
      </w:r>
      <w:r>
        <w:t xml:space="preserve">section 189. </w:t>
      </w:r>
      <w:r w:rsidR="00F047BD">
        <w:t xml:space="preserve"> </w:t>
      </w:r>
      <w:r>
        <w:t>(Stats. 2018, ch.</w:t>
      </w:r>
      <w:r w:rsidR="00006394">
        <w:t> </w:t>
      </w:r>
      <w:r>
        <w:t>1015, §</w:t>
      </w:r>
      <w:r w:rsidR="00006394">
        <w:t> </w:t>
      </w:r>
      <w:r>
        <w:t xml:space="preserve">2.) </w:t>
      </w:r>
      <w:r w:rsidR="00F047BD">
        <w:t xml:space="preserve"> </w:t>
      </w:r>
      <w:r>
        <w:t xml:space="preserve">In addition, section 189, subdivision (e), </w:t>
      </w:r>
      <w:r w:rsidR="004673E2">
        <w:t xml:space="preserve">as </w:t>
      </w:r>
      <w:r w:rsidR="0057180C">
        <w:t>amended</w:t>
      </w:r>
      <w:r w:rsidR="004673E2">
        <w:t>, states</w:t>
      </w:r>
      <w:r>
        <w:t xml:space="preserve"> that</w:t>
      </w:r>
      <w:r w:rsidR="004673E2">
        <w:t xml:space="preserve"> in order to be convicted of felony murder,</w:t>
      </w:r>
      <w:r>
        <w:t xml:space="preserve"> </w:t>
      </w:r>
      <w:r w:rsidR="004673E2">
        <w:t>a</w:t>
      </w:r>
      <w:r>
        <w:t xml:space="preserve"> defendant</w:t>
      </w:r>
      <w:r w:rsidR="004673E2">
        <w:t xml:space="preserve"> must</w:t>
      </w:r>
      <w:r>
        <w:t xml:space="preserve"> be the actual killer</w:t>
      </w:r>
      <w:r w:rsidR="006B774C">
        <w:t>;</w:t>
      </w:r>
      <w:r>
        <w:t xml:space="preserve"> a</w:t>
      </w:r>
      <w:r w:rsidR="00CD18E2">
        <w:t xml:space="preserve"> person who, with the intent to kill, </w:t>
      </w:r>
      <w:r>
        <w:t>aide</w:t>
      </w:r>
      <w:r w:rsidR="00CD18E2">
        <w:t>d</w:t>
      </w:r>
      <w:r>
        <w:t xml:space="preserve"> </w:t>
      </w:r>
      <w:r w:rsidR="006B774C">
        <w:t>or</w:t>
      </w:r>
      <w:r>
        <w:t xml:space="preserve"> abett</w:t>
      </w:r>
      <w:r w:rsidR="00CD18E2">
        <w:t>ed</w:t>
      </w:r>
      <w:r>
        <w:t xml:space="preserve"> the </w:t>
      </w:r>
      <w:r w:rsidR="00165B31">
        <w:t>actual killer</w:t>
      </w:r>
      <w:r>
        <w:t xml:space="preserve"> </w:t>
      </w:r>
      <w:r w:rsidR="00CD18E2">
        <w:t>in the commission of the murder in the first degree</w:t>
      </w:r>
      <w:r w:rsidR="006B774C">
        <w:t>;</w:t>
      </w:r>
      <w:r>
        <w:t xml:space="preserve"> or a major participant in the underlying felony who acted with reckless indifference to human life. </w:t>
      </w:r>
      <w:r w:rsidR="00F047BD">
        <w:t xml:space="preserve"> </w:t>
      </w:r>
      <w:r>
        <w:t>(Stats. 2018, ch.</w:t>
      </w:r>
      <w:r w:rsidR="00006394">
        <w:t> </w:t>
      </w:r>
      <w:r>
        <w:t>1015, §</w:t>
      </w:r>
      <w:r w:rsidR="00006394">
        <w:t> </w:t>
      </w:r>
      <w:r>
        <w:t>3.)</w:t>
      </w:r>
    </w:p>
    <w:p w14:paraId="54422452" w14:textId="5C15F4EC" w:rsidR="003C7C99" w:rsidRDefault="00C42495" w:rsidP="0056359E">
      <w:r>
        <w:t>S</w:t>
      </w:r>
      <w:r w:rsidR="00F047BD">
        <w:t xml:space="preserve">enate </w:t>
      </w:r>
      <w:r>
        <w:t>B</w:t>
      </w:r>
      <w:r w:rsidR="00F047BD">
        <w:t>ill</w:t>
      </w:r>
      <w:r>
        <w:t xml:space="preserve"> 1437 </w:t>
      </w:r>
      <w:r w:rsidR="00F047BD">
        <w:t xml:space="preserve">also </w:t>
      </w:r>
      <w:r w:rsidR="000B0B0D">
        <w:t xml:space="preserve">created </w:t>
      </w:r>
      <w:r w:rsidR="0012103A">
        <w:t xml:space="preserve">a procedure </w:t>
      </w:r>
      <w:r w:rsidR="00667A3B">
        <w:t xml:space="preserve">for </w:t>
      </w:r>
      <w:r>
        <w:t xml:space="preserve">defendants already convicted of murder under the former law to </w:t>
      </w:r>
      <w:r w:rsidR="00B2702F">
        <w:t>obtain</w:t>
      </w:r>
      <w:r w:rsidR="0012103A">
        <w:t xml:space="preserve"> retroactive</w:t>
      </w:r>
      <w:r>
        <w:t xml:space="preserve"> resentencing in the trial court</w:t>
      </w:r>
      <w:r w:rsidR="00667A3B">
        <w:t>.  That procedure</w:t>
      </w:r>
      <w:r w:rsidR="001C6313">
        <w:t xml:space="preserve"> permits these defendants to </w:t>
      </w:r>
      <w:r w:rsidR="00497A44">
        <w:t xml:space="preserve">petition for </w:t>
      </w:r>
      <w:r w:rsidR="001C6313">
        <w:t xml:space="preserve">resentencing </w:t>
      </w:r>
      <w:r>
        <w:t>if they could not</w:t>
      </w:r>
      <w:r w:rsidR="0012103A">
        <w:t xml:space="preserve"> </w:t>
      </w:r>
      <w:r w:rsidR="003D4386">
        <w:t xml:space="preserve">currently be </w:t>
      </w:r>
      <w:r>
        <w:t xml:space="preserve">convicted </w:t>
      </w:r>
      <w:r w:rsidR="00DB22E0">
        <w:t xml:space="preserve">under </w:t>
      </w:r>
      <w:r w:rsidR="0057180C">
        <w:t xml:space="preserve">the newly amended </w:t>
      </w:r>
      <w:r>
        <w:t xml:space="preserve">sections 188 and 189. </w:t>
      </w:r>
      <w:r w:rsidR="00B2567F">
        <w:t xml:space="preserve"> It calls for a series of </w:t>
      </w:r>
      <w:r w:rsidR="00C33E13">
        <w:t>ad</w:t>
      </w:r>
      <w:r w:rsidR="00B2567F">
        <w:t xml:space="preserve">judication steps, starting with a </w:t>
      </w:r>
      <w:r w:rsidR="00C33E13">
        <w:t xml:space="preserve">determination </w:t>
      </w:r>
      <w:r w:rsidR="00640C14">
        <w:t xml:space="preserve">of prima facie sufficiency </w:t>
      </w:r>
      <w:r w:rsidR="00C33E13">
        <w:t>under section 1172.6, subdivision</w:t>
      </w:r>
      <w:r w:rsidR="00982CDC">
        <w:t xml:space="preserve"> (</w:t>
      </w:r>
      <w:r w:rsidR="006700A8">
        <w:t>c</w:t>
      </w:r>
      <w:r w:rsidR="00982CDC">
        <w:t>)</w:t>
      </w:r>
      <w:r w:rsidR="00B62417">
        <w:t>;</w:t>
      </w:r>
      <w:r w:rsidR="003608DB">
        <w:t xml:space="preserve"> </w:t>
      </w:r>
      <w:r w:rsidR="007207FB">
        <w:t>followed</w:t>
      </w:r>
      <w:r w:rsidR="004100CE">
        <w:t xml:space="preserve">, </w:t>
      </w:r>
      <w:r w:rsidR="00982CDC">
        <w:t xml:space="preserve">where necessary, </w:t>
      </w:r>
      <w:r w:rsidR="007207FB">
        <w:t xml:space="preserve">by </w:t>
      </w:r>
      <w:r w:rsidR="00982CDC">
        <w:t xml:space="preserve">an evidentiary hearing under section 1172.6 </w:t>
      </w:r>
      <w:r w:rsidR="00B825AD">
        <w:t xml:space="preserve">subdivision </w:t>
      </w:r>
      <w:r w:rsidR="00982CDC">
        <w:t>(d)</w:t>
      </w:r>
      <w:r w:rsidR="00F83B7D">
        <w:t>;</w:t>
      </w:r>
      <w:r w:rsidR="00B825AD">
        <w:t xml:space="preserve"> and</w:t>
      </w:r>
      <w:r w:rsidR="00B62417">
        <w:t xml:space="preserve"> </w:t>
      </w:r>
      <w:r w:rsidR="00D91A8E">
        <w:t>finally</w:t>
      </w:r>
      <w:r w:rsidR="00F83B7D">
        <w:t>, where the petitioner prevails at the evidentiary hearing,</w:t>
      </w:r>
      <w:r w:rsidR="00D91A8E">
        <w:t xml:space="preserve"> by </w:t>
      </w:r>
      <w:r w:rsidR="00B62417">
        <w:t xml:space="preserve">redesignation of the </w:t>
      </w:r>
      <w:r w:rsidR="006C5BDD">
        <w:t xml:space="preserve">conviction </w:t>
      </w:r>
      <w:r w:rsidR="00373CC6">
        <w:t xml:space="preserve">at issue </w:t>
      </w:r>
      <w:r w:rsidR="00B62417">
        <w:t>under</w:t>
      </w:r>
      <w:r w:rsidR="004100CE">
        <w:t xml:space="preserve"> section 1172.6, subdivision </w:t>
      </w:r>
      <w:r w:rsidR="00B72AF9">
        <w:t>(e)</w:t>
      </w:r>
      <w:r w:rsidR="00F83B7D">
        <w:t>.</w:t>
      </w:r>
      <w:r w:rsidR="00FB7B80">
        <w:t xml:space="preserve">  (Stats. 2018, ch. 1015, § 4.)</w:t>
      </w:r>
      <w:r w:rsidR="00982CDC">
        <w:t xml:space="preserve"> </w:t>
      </w:r>
    </w:p>
    <w:p w14:paraId="3C5CC337" w14:textId="62D3B7F7" w:rsidR="006E5B5C" w:rsidRPr="006E5B5C" w:rsidRDefault="00C42495" w:rsidP="006E5B5C">
      <w:r>
        <w:lastRenderedPageBreak/>
        <w:t>I</w:t>
      </w:r>
      <w:r w:rsidR="00982CDC">
        <w:t xml:space="preserve">n </w:t>
      </w:r>
      <w:r w:rsidR="003608DB" w:rsidRPr="006E5B5C">
        <w:rPr>
          <w:i/>
          <w:iCs/>
        </w:rPr>
        <w:t>People v. Duchine</w:t>
      </w:r>
      <w:r w:rsidR="003608DB" w:rsidRPr="006E5B5C">
        <w:t xml:space="preserve"> (2021) 60</w:t>
      </w:r>
      <w:r w:rsidR="0091378B">
        <w:t> </w:t>
      </w:r>
      <w:r w:rsidR="003608DB" w:rsidRPr="006E5B5C">
        <w:t>Cal.App.5th 798 (</w:t>
      </w:r>
      <w:r w:rsidR="003608DB" w:rsidRPr="006E5B5C">
        <w:rPr>
          <w:i/>
          <w:iCs/>
        </w:rPr>
        <w:t>Duchine</w:t>
      </w:r>
      <w:r w:rsidR="003608DB" w:rsidRPr="006E5B5C">
        <w:t>)</w:t>
      </w:r>
      <w:r w:rsidR="00D95797">
        <w:t>, the panel explained</w:t>
      </w:r>
      <w:r w:rsidR="003608DB">
        <w:t xml:space="preserve"> </w:t>
      </w:r>
      <w:r w:rsidR="002043A0">
        <w:t>th</w:t>
      </w:r>
      <w:r w:rsidR="00F83B7D">
        <w:t xml:space="preserve">e prima facie </w:t>
      </w:r>
      <w:r w:rsidR="00C2032C">
        <w:t xml:space="preserve">determination </w:t>
      </w:r>
      <w:r w:rsidR="00F83B7D">
        <w:t xml:space="preserve">stage of this </w:t>
      </w:r>
      <w:r w:rsidR="002043A0">
        <w:t xml:space="preserve">process </w:t>
      </w:r>
      <w:r w:rsidR="003608DB">
        <w:t xml:space="preserve">as follows: </w:t>
      </w:r>
      <w:r>
        <w:rPr>
          <w:rFonts w:eastAsia="Times New Roman" w:cs="Times New Roman"/>
          <w:color w:val="000000"/>
        </w:rPr>
        <w:t xml:space="preserve"> </w:t>
      </w:r>
      <w:r w:rsidR="00982CDC">
        <w:rPr>
          <w:rFonts w:eastAsia="Times New Roman" w:cs="Times New Roman"/>
          <w:color w:val="000000"/>
        </w:rPr>
        <w:t>“</w:t>
      </w:r>
      <w:r w:rsidR="00A33E92" w:rsidRPr="006E5B5C">
        <w:rPr>
          <w:rFonts w:eastAsia="Times New Roman" w:cs="Times New Roman"/>
          <w:color w:val="000000"/>
        </w:rPr>
        <w:t>[</w:t>
      </w:r>
      <w:r w:rsidR="004C01E0" w:rsidRPr="006E5B5C">
        <w:rPr>
          <w:rFonts w:eastAsia="Times New Roman" w:cs="Times New Roman"/>
          <w:color w:val="000000"/>
        </w:rPr>
        <w:t>T]</w:t>
      </w:r>
      <w:r w:rsidR="00A33E92" w:rsidRPr="006E5B5C">
        <w:rPr>
          <w:rFonts w:eastAsia="Times New Roman" w:cs="Times New Roman"/>
          <w:color w:val="000000"/>
        </w:rPr>
        <w:t>he time for weighing and balancing and making findings on the ultimate issues arises at the evidentiary hearing stage rather than the prima facie stage, at least where the record is not dispositive on the factual issues.</w:t>
      </w:r>
      <w:r w:rsidR="00B156D9">
        <w:rPr>
          <w:rFonts w:eastAsia="Times New Roman" w:cs="Times New Roman"/>
          <w:color w:val="000000"/>
        </w:rPr>
        <w:t xml:space="preserve">  </w:t>
      </w:r>
      <w:r w:rsidR="00A33E92" w:rsidRPr="006E5B5C">
        <w:rPr>
          <w:rFonts w:eastAsia="Times New Roman" w:cs="Times New Roman"/>
          <w:color w:val="000000"/>
        </w:rPr>
        <w:t xml:space="preserve">Thus, absent a record of conviction that conclusively establishes that the petitioner engaged in the requisite acts and had the requisite intent, the trial court should not question his evidence. </w:t>
      </w:r>
      <w:r>
        <w:rPr>
          <w:rFonts w:eastAsia="Times New Roman" w:cs="Times New Roman"/>
          <w:color w:val="000000"/>
        </w:rPr>
        <w:t xml:space="preserve"> </w:t>
      </w:r>
      <w:r w:rsidR="00A33E92" w:rsidRPr="006E5B5C">
        <w:rPr>
          <w:rFonts w:eastAsia="Times New Roman" w:cs="Times New Roman"/>
          <w:color w:val="000000"/>
        </w:rPr>
        <w:t>The court may</w:t>
      </w:r>
      <w:r w:rsidR="000710B4">
        <w:rPr>
          <w:rFonts w:eastAsia="Times New Roman" w:cs="Times New Roman"/>
          <w:color w:val="000000"/>
        </w:rPr>
        <w:t xml:space="preserve"> . . . </w:t>
      </w:r>
      <w:r w:rsidR="00A33E92" w:rsidRPr="006E5B5C">
        <w:rPr>
          <w:rFonts w:eastAsia="Times New Roman" w:cs="Times New Roman"/>
          <w:color w:val="000000"/>
        </w:rPr>
        <w:t>consider the record of conviction at the prima facie stage, but may not evaluate the evidence, make credibility findings adverse to the petitioner, engage in factfinding or exercise discretion.</w:t>
      </w:r>
      <w:r w:rsidR="00BB75AD">
        <w:rPr>
          <w:rFonts w:eastAsia="Times New Roman" w:cs="Times New Roman"/>
          <w:color w:val="000000"/>
        </w:rPr>
        <w:t xml:space="preserve">  [Citation.]  </w:t>
      </w:r>
      <w:r w:rsidR="00A33E92" w:rsidRPr="006E5B5C">
        <w:rPr>
          <w:rFonts w:eastAsia="Times New Roman" w:cs="Times New Roman"/>
          <w:color w:val="000000"/>
        </w:rPr>
        <w:t xml:space="preserve">The record should be consulted at the prima facie stage only to determine </w:t>
      </w:r>
      <w:r>
        <w:rPr>
          <w:rFonts w:eastAsia="Times New Roman" w:cs="Times New Roman"/>
          <w:color w:val="000000"/>
        </w:rPr>
        <w:t>‘</w:t>
      </w:r>
      <w:r w:rsidR="00A33E92" w:rsidRPr="006E5B5C">
        <w:rPr>
          <w:rFonts w:eastAsia="Times New Roman" w:cs="Times New Roman"/>
          <w:color w:val="000000"/>
        </w:rPr>
        <w:t>readily ascertainable facts,</w:t>
      </w:r>
      <w:r>
        <w:rPr>
          <w:rFonts w:eastAsia="Times New Roman" w:cs="Times New Roman"/>
          <w:color w:val="000000"/>
        </w:rPr>
        <w:t>’</w:t>
      </w:r>
      <w:r w:rsidR="00A33E92" w:rsidRPr="006E5B5C">
        <w:rPr>
          <w:rFonts w:eastAsia="Times New Roman" w:cs="Times New Roman"/>
          <w:color w:val="000000"/>
        </w:rPr>
        <w:t xml:space="preserve"> such as the crime of conviction and findings on enhancements.</w:t>
      </w:r>
      <w:r w:rsidR="004C01E0" w:rsidRPr="006E5B5C">
        <w:rPr>
          <w:rFonts w:eastAsia="Times New Roman" w:cs="Times New Roman"/>
          <w:color w:val="000000"/>
        </w:rPr>
        <w:t xml:space="preserve">”  </w:t>
      </w:r>
      <w:r w:rsidRPr="006E5B5C">
        <w:t>(</w:t>
      </w:r>
      <w:r w:rsidR="00C67701">
        <w:rPr>
          <w:i/>
          <w:iCs/>
        </w:rPr>
        <w:t>Id.</w:t>
      </w:r>
      <w:r w:rsidR="0094430D">
        <w:t xml:space="preserve"> </w:t>
      </w:r>
      <w:r w:rsidR="003608DB">
        <w:t>at p.</w:t>
      </w:r>
      <w:r w:rsidR="00A3060D">
        <w:t> </w:t>
      </w:r>
      <w:r w:rsidRPr="006E5B5C">
        <w:t>81</w:t>
      </w:r>
      <w:r w:rsidR="00415DDA">
        <w:t>5</w:t>
      </w:r>
      <w:r w:rsidR="003608DB">
        <w:t>.)</w:t>
      </w:r>
      <w:r w:rsidRPr="006E5B5C">
        <w:t xml:space="preserve"> </w:t>
      </w:r>
    </w:p>
    <w:p w14:paraId="05DE7265" w14:textId="6FEE0EB4" w:rsidR="00166BE6" w:rsidRDefault="00C42495" w:rsidP="00597046">
      <w:pPr>
        <w:pStyle w:val="Heading2"/>
      </w:pPr>
      <w:r>
        <w:t xml:space="preserve">Refinement of the </w:t>
      </w:r>
      <w:r w:rsidR="00AD6B60">
        <w:t xml:space="preserve">Section 1172.6 Procedural </w:t>
      </w:r>
      <w:r w:rsidR="004974D8">
        <w:t>Framework</w:t>
      </w:r>
      <w:r w:rsidR="00D054B9">
        <w:t xml:space="preserve"> </w:t>
      </w:r>
    </w:p>
    <w:p w14:paraId="4F71F6E7" w14:textId="7AAD0ECF" w:rsidR="00F450B4" w:rsidRDefault="00C42495" w:rsidP="00460C4A">
      <w:pPr>
        <w:shd w:val="clear" w:color="auto" w:fill="FFFFFF"/>
      </w:pPr>
      <w:r>
        <w:t>Beaudreaux</w:t>
      </w:r>
      <w:r w:rsidR="0091749A">
        <w:t xml:space="preserve">’s </w:t>
      </w:r>
      <w:r>
        <w:t xml:space="preserve">first resentencing petition </w:t>
      </w:r>
      <w:r w:rsidR="0091749A">
        <w:t xml:space="preserve">was </w:t>
      </w:r>
      <w:r w:rsidR="00B34F5A">
        <w:t>d</w:t>
      </w:r>
      <w:r w:rsidR="0091749A">
        <w:t>e</w:t>
      </w:r>
      <w:r w:rsidR="001F7643">
        <w:t xml:space="preserve">nied </w:t>
      </w:r>
      <w:r w:rsidR="0091749A">
        <w:t xml:space="preserve">by the </w:t>
      </w:r>
      <w:r w:rsidR="001F7643">
        <w:t xml:space="preserve">trial court in </w:t>
      </w:r>
      <w:r w:rsidR="00844C8C">
        <w:t>January 2020</w:t>
      </w:r>
      <w:r w:rsidR="001F7643">
        <w:t xml:space="preserve">, and we affirmed </w:t>
      </w:r>
      <w:r w:rsidR="007C66B0">
        <w:t xml:space="preserve">the denial order </w:t>
      </w:r>
      <w:r w:rsidR="001F7643">
        <w:t>in</w:t>
      </w:r>
      <w:r w:rsidR="00510D47">
        <w:t xml:space="preserve"> </w:t>
      </w:r>
      <w:r w:rsidR="00510D47" w:rsidRPr="007C45D6">
        <w:rPr>
          <w:i/>
          <w:iCs/>
        </w:rPr>
        <w:t>Beaudreaux</w:t>
      </w:r>
      <w:r w:rsidR="006762B7">
        <w:rPr>
          <w:i/>
          <w:iCs/>
        </w:rPr>
        <w:t> </w:t>
      </w:r>
      <w:r w:rsidR="00510D47" w:rsidRPr="007C45D6">
        <w:rPr>
          <w:i/>
          <w:iCs/>
        </w:rPr>
        <w:t>II</w:t>
      </w:r>
      <w:r w:rsidR="00510D47">
        <w:t xml:space="preserve">. </w:t>
      </w:r>
      <w:r w:rsidR="00CC3950">
        <w:t xml:space="preserve"> In affirm</w:t>
      </w:r>
      <w:r w:rsidR="00AF51E3">
        <w:t>ing, we rejected contentions from Be</w:t>
      </w:r>
      <w:r w:rsidR="00D9674B">
        <w:t>a</w:t>
      </w:r>
      <w:r w:rsidR="00AF51E3">
        <w:t>udreaux that</w:t>
      </w:r>
      <w:r w:rsidR="00327663">
        <w:t>, at the prima facie stage of the proceedings,</w:t>
      </w:r>
      <w:r w:rsidR="00AF51E3">
        <w:t xml:space="preserve"> the trial court erred by relying on facts stated in </w:t>
      </w:r>
      <w:r w:rsidR="00BA40C1" w:rsidRPr="00BA40C1">
        <w:rPr>
          <w:i/>
          <w:iCs/>
        </w:rPr>
        <w:t>Beaudreaux</w:t>
      </w:r>
      <w:r w:rsidR="00597046">
        <w:rPr>
          <w:i/>
          <w:iCs/>
        </w:rPr>
        <w:t> </w:t>
      </w:r>
      <w:r w:rsidR="00BA40C1" w:rsidRPr="00BA40C1">
        <w:rPr>
          <w:i/>
          <w:iCs/>
        </w:rPr>
        <w:t>I</w:t>
      </w:r>
      <w:r w:rsidR="00B5024B">
        <w:t xml:space="preserve"> and by failing to hold a hearing before summarily denying relief.  </w:t>
      </w:r>
      <w:r w:rsidR="00966EBB">
        <w:t xml:space="preserve">The </w:t>
      </w:r>
      <w:r w:rsidR="0052233A">
        <w:t xml:space="preserve">California </w:t>
      </w:r>
      <w:r w:rsidR="00465812">
        <w:t xml:space="preserve">Supreme Court </w:t>
      </w:r>
      <w:r w:rsidR="00966EBB">
        <w:t>granted Be</w:t>
      </w:r>
      <w:r w:rsidR="000F10D2">
        <w:t xml:space="preserve">audreaux’s petition for </w:t>
      </w:r>
      <w:r w:rsidR="00774470">
        <w:t xml:space="preserve">review, </w:t>
      </w:r>
      <w:r w:rsidR="000F10D2">
        <w:t xml:space="preserve">and </w:t>
      </w:r>
      <w:r w:rsidR="00711DA8">
        <w:t>order</w:t>
      </w:r>
      <w:r w:rsidR="000F10D2">
        <w:t xml:space="preserve">ed </w:t>
      </w:r>
      <w:r w:rsidR="00795DCB">
        <w:t xml:space="preserve">the </w:t>
      </w:r>
      <w:r w:rsidR="00654FFD">
        <w:t xml:space="preserve">appeal </w:t>
      </w:r>
      <w:r w:rsidR="00711DA8">
        <w:t xml:space="preserve">held </w:t>
      </w:r>
      <w:r w:rsidR="00654FFD">
        <w:t xml:space="preserve">in abeyance </w:t>
      </w:r>
      <w:r w:rsidR="00795DCB">
        <w:t xml:space="preserve">pending decision in </w:t>
      </w:r>
      <w:r w:rsidR="00795DCB" w:rsidRPr="00654FFD">
        <w:rPr>
          <w:i/>
          <w:iCs/>
        </w:rPr>
        <w:t>Lewis</w:t>
      </w:r>
      <w:r w:rsidR="00795DCB">
        <w:t xml:space="preserve">.  </w:t>
      </w:r>
      <w:r w:rsidR="009A2E0B">
        <w:t xml:space="preserve">In July 2021, the Supreme Court issued its opinion in </w:t>
      </w:r>
      <w:r w:rsidR="009A2E0B" w:rsidRPr="00AD0930">
        <w:rPr>
          <w:i/>
          <w:iCs/>
        </w:rPr>
        <w:t>Lewis</w:t>
      </w:r>
      <w:r w:rsidR="00982E84">
        <w:t xml:space="preserve">, and in December 2021, </w:t>
      </w:r>
      <w:r w:rsidR="003D43D0">
        <w:t xml:space="preserve">it </w:t>
      </w:r>
      <w:r w:rsidR="009A2E0B">
        <w:t xml:space="preserve">dismissed </w:t>
      </w:r>
      <w:r w:rsidR="003D43D0">
        <w:t>Beaudreaux</w:t>
      </w:r>
      <w:r w:rsidR="002C6E49">
        <w:t>’s</w:t>
      </w:r>
      <w:r w:rsidR="003D43D0">
        <w:t xml:space="preserve"> </w:t>
      </w:r>
      <w:r w:rsidR="009A2E0B">
        <w:t xml:space="preserve">petition for review </w:t>
      </w:r>
      <w:r w:rsidR="00982E84">
        <w:t xml:space="preserve">without disturbing </w:t>
      </w:r>
      <w:r w:rsidR="00D9504E">
        <w:t>our</w:t>
      </w:r>
      <w:r w:rsidR="002042E9">
        <w:t xml:space="preserve"> opinion in </w:t>
      </w:r>
      <w:r w:rsidR="002042E9" w:rsidRPr="002042E9">
        <w:rPr>
          <w:i/>
          <w:iCs/>
        </w:rPr>
        <w:t>Beaudreaux</w:t>
      </w:r>
      <w:r w:rsidR="00BE779B">
        <w:rPr>
          <w:i/>
          <w:iCs/>
        </w:rPr>
        <w:t> </w:t>
      </w:r>
      <w:r w:rsidR="002042E9" w:rsidRPr="002042E9">
        <w:rPr>
          <w:i/>
          <w:iCs/>
        </w:rPr>
        <w:t>I</w:t>
      </w:r>
      <w:r w:rsidR="00112348">
        <w:rPr>
          <w:i/>
          <w:iCs/>
        </w:rPr>
        <w:t>I</w:t>
      </w:r>
      <w:r w:rsidR="002042E9">
        <w:t xml:space="preserve">. </w:t>
      </w:r>
      <w:r w:rsidR="00EC34CB">
        <w:t xml:space="preserve"> </w:t>
      </w:r>
      <w:r w:rsidR="00667515">
        <w:t xml:space="preserve">Undaunted, </w:t>
      </w:r>
      <w:r w:rsidR="00EC154B">
        <w:t>B</w:t>
      </w:r>
      <w:r w:rsidR="00B21C0B">
        <w:t>eaud</w:t>
      </w:r>
      <w:r w:rsidR="00EC154B">
        <w:t>reaux</w:t>
      </w:r>
      <w:r w:rsidR="00EC34CB">
        <w:t xml:space="preserve"> filed </w:t>
      </w:r>
      <w:r w:rsidR="00A43DF2">
        <w:t xml:space="preserve">another </w:t>
      </w:r>
      <w:r w:rsidR="001F7643">
        <w:t>resentencing petition</w:t>
      </w:r>
      <w:r w:rsidR="00212334">
        <w:t>.  T</w:t>
      </w:r>
      <w:r w:rsidR="004A64FF">
        <w:t>h</w:t>
      </w:r>
      <w:r w:rsidR="00012E6D">
        <w:t xml:space="preserve">e present </w:t>
      </w:r>
      <w:r w:rsidR="004A64FF">
        <w:t xml:space="preserve">appeal </w:t>
      </w:r>
      <w:r w:rsidR="00863315">
        <w:t xml:space="preserve">is from the summary denial of </w:t>
      </w:r>
      <w:r w:rsidR="0011243D">
        <w:t xml:space="preserve">that </w:t>
      </w:r>
      <w:r w:rsidR="00212334">
        <w:t xml:space="preserve">second petition. </w:t>
      </w:r>
    </w:p>
    <w:p w14:paraId="11DA1C29" w14:textId="2EE07DE7" w:rsidR="00460C4A" w:rsidRPr="00411F75" w:rsidRDefault="00C42495" w:rsidP="00460C4A">
      <w:pPr>
        <w:shd w:val="clear" w:color="auto" w:fill="FFFFFF"/>
      </w:pPr>
      <w:r w:rsidRPr="007C66B0">
        <w:t xml:space="preserve">Beaudreaux is correct that, at least potentially, </w:t>
      </w:r>
      <w:r w:rsidR="00AC2F7E" w:rsidRPr="007C66B0">
        <w:t xml:space="preserve">changes in the applicable law </w:t>
      </w:r>
      <w:r w:rsidR="003A7ACF">
        <w:t xml:space="preserve">since the denial of his first resentencing petition </w:t>
      </w:r>
      <w:r w:rsidR="007C66B0" w:rsidRPr="007C66B0">
        <w:t xml:space="preserve">could have </w:t>
      </w:r>
      <w:r w:rsidR="007C66B0" w:rsidRPr="007C66B0">
        <w:lastRenderedPageBreak/>
        <w:t>some bearing on this appeal</w:t>
      </w:r>
      <w:r w:rsidR="007C66B0">
        <w:rPr>
          <w:i/>
          <w:iCs/>
        </w:rPr>
        <w:t xml:space="preserve">.  </w:t>
      </w:r>
      <w:r w:rsidR="004B12C9" w:rsidRPr="004B12C9">
        <w:rPr>
          <w:i/>
          <w:iCs/>
        </w:rPr>
        <w:t>Lewis</w:t>
      </w:r>
      <w:r w:rsidR="004B12C9">
        <w:t xml:space="preserve"> focused </w:t>
      </w:r>
      <w:r w:rsidR="007C66B0">
        <w:t xml:space="preserve">specifically </w:t>
      </w:r>
      <w:r w:rsidR="004B12C9">
        <w:t xml:space="preserve">on the prima facie stage of the </w:t>
      </w:r>
      <w:r w:rsidR="007C66B0">
        <w:t xml:space="preserve">section 1172.6 </w:t>
      </w:r>
      <w:r w:rsidR="004B12C9">
        <w:t xml:space="preserve">process.  </w:t>
      </w:r>
      <w:r w:rsidR="00711B3F">
        <w:t xml:space="preserve">Prior to </w:t>
      </w:r>
      <w:r w:rsidR="00711B3F" w:rsidRPr="00D95EA3">
        <w:rPr>
          <w:i/>
          <w:iCs/>
        </w:rPr>
        <w:t>Lewis</w:t>
      </w:r>
      <w:r w:rsidR="00711B3F">
        <w:t>,</w:t>
      </w:r>
      <w:r w:rsidR="004A11BC">
        <w:t xml:space="preserve"> </w:t>
      </w:r>
      <w:r w:rsidR="00266AF1">
        <w:t xml:space="preserve">one line of authority in the </w:t>
      </w:r>
      <w:r w:rsidR="004A11BC">
        <w:t>courts of appeal parsed out th</w:t>
      </w:r>
      <w:r w:rsidR="004B12C9">
        <w:t xml:space="preserve">is </w:t>
      </w:r>
      <w:r w:rsidR="00266AF1">
        <w:t xml:space="preserve">initial </w:t>
      </w:r>
      <w:r w:rsidR="004A11BC">
        <w:t xml:space="preserve">stage of section 1172.6 </w:t>
      </w:r>
      <w:r w:rsidR="00D95EA3">
        <w:t>proceedings</w:t>
      </w:r>
      <w:r w:rsidR="004A11BC">
        <w:t xml:space="preserve"> into two separate steps</w:t>
      </w:r>
      <w:r w:rsidR="00D822C3">
        <w:t xml:space="preserve"> and held that </w:t>
      </w:r>
      <w:r w:rsidR="006F68C9">
        <w:t xml:space="preserve">the </w:t>
      </w:r>
      <w:r w:rsidR="00D822C3">
        <w:t>prima facie</w:t>
      </w:r>
      <w:r w:rsidR="006F68C9">
        <w:t xml:space="preserve"> sufficiency of a resentencing petition </w:t>
      </w:r>
      <w:r w:rsidR="004B12C9">
        <w:t xml:space="preserve">may </w:t>
      </w:r>
      <w:r w:rsidR="006F68C9">
        <w:t>be determined without appointing</w:t>
      </w:r>
      <w:r w:rsidR="003D4D7D">
        <w:t xml:space="preserve"> counsel</w:t>
      </w:r>
      <w:r w:rsidR="00590F0A">
        <w:t xml:space="preserve">, even where </w:t>
      </w:r>
      <w:r w:rsidR="003D4D7D">
        <w:t xml:space="preserve">a petitioner </w:t>
      </w:r>
      <w:r w:rsidR="00590F0A">
        <w:t xml:space="preserve">requests </w:t>
      </w:r>
      <w:r w:rsidR="00D2741C">
        <w:t>representation.  (</w:t>
      </w:r>
      <w:r w:rsidR="00FD343F">
        <w:rPr>
          <w:i/>
          <w:iCs/>
        </w:rPr>
        <w:t>Lewis</w:t>
      </w:r>
      <w:r w:rsidR="00FD343F">
        <w:t>,</w:t>
      </w:r>
      <w:r w:rsidR="00FD343F">
        <w:rPr>
          <w:i/>
          <w:iCs/>
        </w:rPr>
        <w:t xml:space="preserve"> supra</w:t>
      </w:r>
      <w:r w:rsidR="00FD343F">
        <w:t>,</w:t>
      </w:r>
      <w:r w:rsidR="00FD343F">
        <w:rPr>
          <w:i/>
          <w:iCs/>
        </w:rPr>
        <w:t xml:space="preserve"> </w:t>
      </w:r>
      <w:r w:rsidR="000961E1">
        <w:t>11</w:t>
      </w:r>
      <w:r w:rsidR="0033011D">
        <w:t> </w:t>
      </w:r>
      <w:r w:rsidR="000961E1">
        <w:t>Cal.5th</w:t>
      </w:r>
      <w:r w:rsidR="00D2741C">
        <w:t xml:space="preserve"> at p</w:t>
      </w:r>
      <w:r w:rsidR="00D95EA3">
        <w:t>p.</w:t>
      </w:r>
      <w:r w:rsidR="00733E78">
        <w:t> </w:t>
      </w:r>
      <w:r w:rsidR="00D95EA3">
        <w:t>961</w:t>
      </w:r>
      <w:bookmarkStart w:id="0" w:name="_Hlk150940964"/>
      <w:r w:rsidR="00296476">
        <w:t>–</w:t>
      </w:r>
      <w:bookmarkEnd w:id="0"/>
      <w:r w:rsidR="00D95EA3">
        <w:t>962.)</w:t>
      </w:r>
      <w:r w:rsidR="00D2741C">
        <w:t xml:space="preserve"> </w:t>
      </w:r>
      <w:r w:rsidR="00D822C3">
        <w:t xml:space="preserve"> </w:t>
      </w:r>
      <w:r w:rsidR="00CD64DB">
        <w:t>Resolving a split among the courts of appeal</w:t>
      </w:r>
      <w:r w:rsidR="00D2741C">
        <w:t xml:space="preserve"> on this point</w:t>
      </w:r>
      <w:r w:rsidR="00D95EA3">
        <w:t xml:space="preserve">, </w:t>
      </w:r>
      <w:r w:rsidR="004B6962">
        <w:t>t</w:t>
      </w:r>
      <w:r w:rsidR="004B1AD1">
        <w:t xml:space="preserve">he </w:t>
      </w:r>
      <w:r w:rsidR="00A75E56" w:rsidRPr="00A75E56">
        <w:rPr>
          <w:i/>
          <w:iCs/>
        </w:rPr>
        <w:t>Lewis</w:t>
      </w:r>
      <w:r w:rsidR="00A75E56">
        <w:t xml:space="preserve"> </w:t>
      </w:r>
      <w:r w:rsidR="0095705F">
        <w:t>c</w:t>
      </w:r>
      <w:r w:rsidR="00FB45B2">
        <w:t xml:space="preserve">ourt </w:t>
      </w:r>
      <w:r w:rsidR="004C7880">
        <w:t xml:space="preserve">held that petitioners are entitled to the appointment of counsel upon the filing of a facially sufficient </w:t>
      </w:r>
      <w:r w:rsidR="00C13998">
        <w:t xml:space="preserve">section 1172.6 </w:t>
      </w:r>
      <w:r w:rsidR="004C7880">
        <w:t>resentencing petition</w:t>
      </w:r>
      <w:r w:rsidR="0029713B">
        <w:t>,</w:t>
      </w:r>
      <w:r w:rsidR="004C7880">
        <w:t xml:space="preserve"> and also that “only </w:t>
      </w:r>
      <w:r w:rsidR="004C7880">
        <w:rPr>
          <w:i/>
          <w:iCs/>
        </w:rPr>
        <w:t xml:space="preserve">after </w:t>
      </w:r>
      <w:r w:rsidR="004C7880">
        <w:t>the appointment of counsel and the opportunity for briefing</w:t>
      </w:r>
      <w:r w:rsidR="00C6449A">
        <w:t>”</w:t>
      </w:r>
      <w:r w:rsidR="004C7880">
        <w:t xml:space="preserve"> may the </w:t>
      </w:r>
      <w:r w:rsidR="00C6449A">
        <w:t xml:space="preserve">prima facie determination be made. </w:t>
      </w:r>
      <w:r w:rsidR="004C7880" w:rsidRPr="00460C4A">
        <w:t xml:space="preserve"> (</w:t>
      </w:r>
      <w:r w:rsidR="00F05455">
        <w:rPr>
          <w:i/>
          <w:iCs/>
        </w:rPr>
        <w:t>Lewis,</w:t>
      </w:r>
      <w:r w:rsidR="004C7880" w:rsidRPr="00460C4A">
        <w:t xml:space="preserve"> at p.</w:t>
      </w:r>
      <w:r w:rsidR="00AB69AF">
        <w:t> </w:t>
      </w:r>
      <w:r w:rsidR="004C7880" w:rsidRPr="00460C4A">
        <w:t>957</w:t>
      </w:r>
      <w:r w:rsidR="000F1A9E">
        <w:t>, original</w:t>
      </w:r>
      <w:r w:rsidR="00AB69AF">
        <w:t xml:space="preserve"> italics</w:t>
      </w:r>
      <w:r w:rsidR="004C7880" w:rsidRPr="00460C4A">
        <w:t>.)</w:t>
      </w:r>
      <w:r w:rsidR="008A096B" w:rsidRPr="00460C4A">
        <w:t xml:space="preserve">  </w:t>
      </w:r>
    </w:p>
    <w:p w14:paraId="60E18F39" w14:textId="6E34494D" w:rsidR="00460C4A" w:rsidRPr="00C66754" w:rsidRDefault="00C42495" w:rsidP="00C66754">
      <w:pPr>
        <w:shd w:val="clear" w:color="auto" w:fill="FFFFFF"/>
        <w:rPr>
          <w:rFonts w:eastAsia="Times New Roman" w:cs="Times New Roman"/>
          <w:color w:val="000000"/>
        </w:rPr>
      </w:pPr>
      <w:r w:rsidRPr="00E43D82">
        <w:rPr>
          <w:i/>
          <w:iCs/>
        </w:rPr>
        <w:t>Lewis</w:t>
      </w:r>
      <w:r w:rsidRPr="00460C4A">
        <w:t xml:space="preserve"> </w:t>
      </w:r>
      <w:r w:rsidR="00CF2160">
        <w:t xml:space="preserve">further </w:t>
      </w:r>
      <w:r w:rsidRPr="00460C4A">
        <w:t>held</w:t>
      </w:r>
      <w:r w:rsidR="00217FD7">
        <w:t xml:space="preserve">, consistent with the consensus view among the </w:t>
      </w:r>
      <w:r w:rsidR="00003B4C">
        <w:t>courts of appeal</w:t>
      </w:r>
      <w:r w:rsidR="00375D0A">
        <w:t xml:space="preserve"> at the time</w:t>
      </w:r>
      <w:r w:rsidR="00003B4C">
        <w:t xml:space="preserve">, exemplified by </w:t>
      </w:r>
      <w:r w:rsidR="00003B4C" w:rsidRPr="00003B4C">
        <w:rPr>
          <w:i/>
          <w:iCs/>
        </w:rPr>
        <w:t>Duchine</w:t>
      </w:r>
      <w:r w:rsidR="00003B4C">
        <w:t xml:space="preserve">, </w:t>
      </w:r>
      <w:r w:rsidRPr="00460C4A">
        <w:t xml:space="preserve">that </w:t>
      </w:r>
      <w:r w:rsidR="00B138DC" w:rsidRPr="00460C4A">
        <w:t>“</w:t>
      </w:r>
      <w:r w:rsidR="0097056F">
        <w:rPr>
          <w:rFonts w:eastAsia="Times New Roman" w:cs="Times New Roman"/>
          <w:color w:val="000000"/>
        </w:rPr>
        <w:t>[t]</w:t>
      </w:r>
      <w:r w:rsidR="00B138DC" w:rsidRPr="00E43D82">
        <w:rPr>
          <w:rFonts w:eastAsia="Times New Roman" w:cs="Times New Roman"/>
          <w:color w:val="000000"/>
        </w:rPr>
        <w:t>he record of conviction will necessarily inform the trial court</w:t>
      </w:r>
      <w:r w:rsidR="00D92CB8">
        <w:rPr>
          <w:rFonts w:eastAsia="Times New Roman" w:cs="Times New Roman"/>
          <w:color w:val="000000"/>
        </w:rPr>
        <w:t>’</w:t>
      </w:r>
      <w:r w:rsidR="00B138DC" w:rsidRPr="00E43D82">
        <w:rPr>
          <w:rFonts w:eastAsia="Times New Roman" w:cs="Times New Roman"/>
          <w:color w:val="000000"/>
        </w:rPr>
        <w:t xml:space="preserve">s prima facie inquiry under </w:t>
      </w:r>
      <w:r w:rsidR="00FD1F10">
        <w:rPr>
          <w:rFonts w:eastAsia="Times New Roman" w:cs="Times New Roman"/>
          <w:color w:val="000000"/>
        </w:rPr>
        <w:t>[section 1172.6]</w:t>
      </w:r>
      <w:r w:rsidR="00B138DC" w:rsidRPr="00E43D82">
        <w:rPr>
          <w:rFonts w:eastAsia="Times New Roman" w:cs="Times New Roman"/>
          <w:color w:val="000000"/>
        </w:rPr>
        <w:t xml:space="preserve">, allowing the court to distinguish petitions with potential merit from those that are clearly meritless. </w:t>
      </w:r>
      <w:r>
        <w:rPr>
          <w:rFonts w:eastAsia="Times New Roman" w:cs="Times New Roman"/>
          <w:color w:val="000000"/>
        </w:rPr>
        <w:t xml:space="preserve"> </w:t>
      </w:r>
      <w:r w:rsidR="00B138DC" w:rsidRPr="00E43D82">
        <w:rPr>
          <w:rFonts w:eastAsia="Times New Roman" w:cs="Times New Roman"/>
          <w:color w:val="000000"/>
        </w:rPr>
        <w:t>This is consistent with the statute</w:t>
      </w:r>
      <w:r w:rsidR="00D92CB8">
        <w:rPr>
          <w:rFonts w:eastAsia="Times New Roman" w:cs="Times New Roman"/>
          <w:color w:val="000000"/>
        </w:rPr>
        <w:t>’</w:t>
      </w:r>
      <w:r w:rsidR="00B138DC" w:rsidRPr="00E43D82">
        <w:rPr>
          <w:rFonts w:eastAsia="Times New Roman" w:cs="Times New Roman"/>
          <w:color w:val="000000"/>
        </w:rPr>
        <w:t>s overall purpose: to ensure that murder culpability is commensurate with a person</w:t>
      </w:r>
      <w:r w:rsidR="00D92CB8">
        <w:rPr>
          <w:rFonts w:eastAsia="Times New Roman" w:cs="Times New Roman"/>
          <w:color w:val="000000"/>
        </w:rPr>
        <w:t>’</w:t>
      </w:r>
      <w:r w:rsidR="00B138DC" w:rsidRPr="00E43D82">
        <w:rPr>
          <w:rFonts w:eastAsia="Times New Roman" w:cs="Times New Roman"/>
          <w:color w:val="000000"/>
        </w:rPr>
        <w:t>s actions, while also ensuring that clearly meritless petitions can be efficiently addressed as part of a single-step prima facie review process.</w:t>
      </w:r>
      <w:r w:rsidR="00E16AB9">
        <w:rPr>
          <w:rFonts w:eastAsia="Times New Roman" w:cs="Times New Roman"/>
          <w:color w:val="000000"/>
        </w:rPr>
        <w:t>”</w:t>
      </w:r>
      <w:r w:rsidRPr="00E43D82">
        <w:rPr>
          <w:rFonts w:eastAsia="Times New Roman" w:cs="Times New Roman"/>
          <w:color w:val="000000"/>
        </w:rPr>
        <w:t xml:space="preserve"> </w:t>
      </w:r>
      <w:r w:rsidR="00816128">
        <w:rPr>
          <w:rFonts w:eastAsia="Times New Roman" w:cs="Times New Roman"/>
          <w:color w:val="000000"/>
        </w:rPr>
        <w:t xml:space="preserve"> (</w:t>
      </w:r>
      <w:r w:rsidR="00280F11">
        <w:rPr>
          <w:i/>
          <w:iCs/>
        </w:rPr>
        <w:t>Lewis</w:t>
      </w:r>
      <w:r w:rsidR="007145BA">
        <w:rPr>
          <w:i/>
          <w:iCs/>
        </w:rPr>
        <w:t xml:space="preserve">, supra, </w:t>
      </w:r>
      <w:r w:rsidR="007145BA">
        <w:t>11</w:t>
      </w:r>
      <w:r w:rsidR="007315C7">
        <w:t> </w:t>
      </w:r>
      <w:r w:rsidR="007145BA">
        <w:t>Cal.5th</w:t>
      </w:r>
      <w:r w:rsidR="00E43D82">
        <w:rPr>
          <w:i/>
          <w:iCs/>
        </w:rPr>
        <w:t xml:space="preserve"> </w:t>
      </w:r>
      <w:r w:rsidR="00E43D82" w:rsidRPr="00E43D82">
        <w:t>at p.</w:t>
      </w:r>
      <w:r w:rsidR="007315C7">
        <w:t> </w:t>
      </w:r>
      <w:r w:rsidR="00CF2160">
        <w:t>971</w:t>
      </w:r>
      <w:r w:rsidR="00816128">
        <w:t xml:space="preserve">.) </w:t>
      </w:r>
      <w:r w:rsidRPr="00E43D82">
        <w:rPr>
          <w:rFonts w:eastAsia="Times New Roman" w:cs="Times New Roman"/>
          <w:color w:val="000000"/>
        </w:rPr>
        <w:t xml:space="preserve"> </w:t>
      </w:r>
      <w:r w:rsidRPr="00460C4A">
        <w:t xml:space="preserve">Expounding on </w:t>
      </w:r>
      <w:r w:rsidRPr="00460C4A">
        <w:rPr>
          <w:rFonts w:eastAsia="Times New Roman" w:cs="Times New Roman"/>
          <w:color w:val="000000"/>
        </w:rPr>
        <w:t xml:space="preserve">this point, the </w:t>
      </w:r>
      <w:r w:rsidRPr="00460C4A">
        <w:rPr>
          <w:rFonts w:eastAsia="Times New Roman" w:cs="Times New Roman"/>
          <w:i/>
          <w:iCs/>
          <w:color w:val="000000"/>
        </w:rPr>
        <w:t>Lewis</w:t>
      </w:r>
      <w:r w:rsidRPr="00460C4A">
        <w:rPr>
          <w:rFonts w:eastAsia="Times New Roman" w:cs="Times New Roman"/>
          <w:color w:val="000000"/>
        </w:rPr>
        <w:t xml:space="preserve"> court addressed </w:t>
      </w:r>
      <w:r w:rsidR="001831CC">
        <w:rPr>
          <w:rFonts w:eastAsia="Times New Roman" w:cs="Times New Roman"/>
          <w:color w:val="000000"/>
        </w:rPr>
        <w:t xml:space="preserve">how to deal with facts stated in </w:t>
      </w:r>
      <w:r w:rsidRPr="00460C4A">
        <w:rPr>
          <w:rFonts w:eastAsia="Times New Roman" w:cs="Times New Roman"/>
          <w:color w:val="000000"/>
        </w:rPr>
        <w:t>prior court of appeal opinions.  It stated that “[a]ppellate opinions .</w:t>
      </w:r>
      <w:r w:rsidR="00C41DA0">
        <w:rPr>
          <w:rFonts w:eastAsia="Times New Roman" w:cs="Times New Roman"/>
          <w:color w:val="000000"/>
        </w:rPr>
        <w:t> </w:t>
      </w:r>
      <w:r w:rsidRPr="00460C4A">
        <w:rPr>
          <w:rFonts w:eastAsia="Times New Roman" w:cs="Times New Roman"/>
          <w:color w:val="000000"/>
        </w:rPr>
        <w:t>.</w:t>
      </w:r>
      <w:r w:rsidR="00C41DA0">
        <w:rPr>
          <w:rFonts w:eastAsia="Times New Roman" w:cs="Times New Roman"/>
          <w:color w:val="000000"/>
        </w:rPr>
        <w:t> </w:t>
      </w:r>
      <w:r w:rsidRPr="00460C4A">
        <w:rPr>
          <w:rFonts w:eastAsia="Times New Roman" w:cs="Times New Roman"/>
          <w:color w:val="000000"/>
        </w:rPr>
        <w:t xml:space="preserve">. are generally considered to be part of the record of conviction,” but that </w:t>
      </w:r>
      <w:r w:rsidR="00952CB6">
        <w:rPr>
          <w:rFonts w:eastAsia="Times New Roman" w:cs="Times New Roman"/>
          <w:color w:val="000000"/>
        </w:rPr>
        <w:t>“</w:t>
      </w:r>
      <w:r w:rsidRPr="00460C4A">
        <w:rPr>
          <w:rFonts w:eastAsia="Times New Roman" w:cs="Times New Roman"/>
          <w:color w:val="000000"/>
        </w:rPr>
        <w:t>the probative value of an appellate opinion is case</w:t>
      </w:r>
      <w:r w:rsidR="00FD18EF">
        <w:rPr>
          <w:rFonts w:eastAsia="Times New Roman" w:cs="Times New Roman"/>
          <w:color w:val="000000"/>
        </w:rPr>
        <w:t xml:space="preserve"> </w:t>
      </w:r>
      <w:r w:rsidRPr="00460C4A">
        <w:rPr>
          <w:rFonts w:eastAsia="Times New Roman" w:cs="Times New Roman"/>
          <w:color w:val="000000"/>
        </w:rPr>
        <w:t>specific</w:t>
      </w:r>
      <w:r w:rsidR="00E0798D">
        <w:rPr>
          <w:rFonts w:eastAsia="Times New Roman" w:cs="Times New Roman"/>
          <w:color w:val="000000"/>
        </w:rPr>
        <w:t xml:space="preserve">, </w:t>
      </w:r>
      <w:r w:rsidRPr="00460C4A">
        <w:rPr>
          <w:rFonts w:eastAsia="Times New Roman" w:cs="Times New Roman"/>
          <w:color w:val="000000"/>
        </w:rPr>
        <w:t xml:space="preserve">and </w:t>
      </w:r>
      <w:r w:rsidR="00E0798D">
        <w:rPr>
          <w:rFonts w:eastAsia="Times New Roman" w:cs="Times New Roman"/>
          <w:color w:val="000000"/>
        </w:rPr>
        <w:t>‘</w:t>
      </w:r>
      <w:r w:rsidRPr="00460C4A">
        <w:rPr>
          <w:rFonts w:eastAsia="Times New Roman" w:cs="Times New Roman"/>
          <w:color w:val="000000"/>
        </w:rPr>
        <w:t xml:space="preserve">it is certainly correct that an </w:t>
      </w:r>
      <w:r w:rsidRPr="001C4B61">
        <w:rPr>
          <w:rFonts w:eastAsia="Times New Roman" w:cs="Times New Roman"/>
          <w:color w:val="000000"/>
        </w:rPr>
        <w:t>appellate opinion might not supply all answers</w:t>
      </w:r>
      <w:r w:rsidRPr="00C66754">
        <w:rPr>
          <w:rFonts w:eastAsia="Times New Roman" w:cs="Times New Roman"/>
          <w:color w:val="000000"/>
        </w:rPr>
        <w:t>.’</w:t>
      </w:r>
      <w:r w:rsidR="00FA6A6E">
        <w:rPr>
          <w:rFonts w:eastAsia="Times New Roman" w:cs="Times New Roman"/>
          <w:color w:val="000000"/>
        </w:rPr>
        <w:t> </w:t>
      </w:r>
      <w:r w:rsidRPr="00C66754">
        <w:rPr>
          <w:rFonts w:eastAsia="Times New Roman" w:cs="Times New Roman"/>
          <w:color w:val="000000"/>
        </w:rPr>
        <w:t>”  (</w:t>
      </w:r>
      <w:r w:rsidRPr="00C66754">
        <w:rPr>
          <w:rFonts w:eastAsia="Times New Roman" w:cs="Times New Roman"/>
          <w:i/>
          <w:iCs/>
          <w:color w:val="000000"/>
        </w:rPr>
        <w:t>Id</w:t>
      </w:r>
      <w:r w:rsidRPr="00C66754">
        <w:rPr>
          <w:rFonts w:eastAsia="Times New Roman" w:cs="Times New Roman"/>
          <w:color w:val="000000"/>
        </w:rPr>
        <w:t>. at p.</w:t>
      </w:r>
      <w:r w:rsidR="00FA6A6E">
        <w:rPr>
          <w:rFonts w:eastAsia="Times New Roman" w:cs="Times New Roman"/>
          <w:color w:val="000000"/>
        </w:rPr>
        <w:t> </w:t>
      </w:r>
      <w:r w:rsidRPr="00C66754">
        <w:rPr>
          <w:rFonts w:eastAsia="Times New Roman" w:cs="Times New Roman"/>
          <w:color w:val="000000"/>
        </w:rPr>
        <w:t>972.)</w:t>
      </w:r>
    </w:p>
    <w:p w14:paraId="3D7A8AAE" w14:textId="18A4D5D3" w:rsidR="004C7880" w:rsidRPr="00966B81" w:rsidRDefault="00C42495" w:rsidP="00FA573E">
      <w:pPr>
        <w:shd w:val="clear" w:color="auto" w:fill="FFFFFF"/>
        <w:rPr>
          <w:rFonts w:eastAsia="Times New Roman" w:cs="Times New Roman"/>
          <w:color w:val="000000"/>
        </w:rPr>
      </w:pPr>
      <w:r>
        <w:rPr>
          <w:rFonts w:eastAsia="Times New Roman" w:cs="Times New Roman"/>
          <w:color w:val="000000"/>
        </w:rPr>
        <w:lastRenderedPageBreak/>
        <w:t xml:space="preserve">Shortly after </w:t>
      </w:r>
      <w:r w:rsidRPr="00664FB2">
        <w:rPr>
          <w:rFonts w:eastAsia="Times New Roman" w:cs="Times New Roman"/>
          <w:i/>
          <w:iCs/>
          <w:color w:val="000000"/>
        </w:rPr>
        <w:t>Lewis</w:t>
      </w:r>
      <w:r>
        <w:rPr>
          <w:rFonts w:eastAsia="Times New Roman" w:cs="Times New Roman"/>
          <w:color w:val="000000"/>
        </w:rPr>
        <w:t xml:space="preserve"> was decided</w:t>
      </w:r>
      <w:r w:rsidR="005B28F8">
        <w:rPr>
          <w:rFonts w:eastAsia="Times New Roman" w:cs="Times New Roman"/>
          <w:color w:val="000000"/>
        </w:rPr>
        <w:t xml:space="preserve">, </w:t>
      </w:r>
      <w:r w:rsidRPr="00966B81">
        <w:rPr>
          <w:rFonts w:eastAsia="Times New Roman" w:cs="Times New Roman"/>
          <w:color w:val="000000"/>
        </w:rPr>
        <w:t>the Legislature passed</w:t>
      </w:r>
      <w:r w:rsidR="00F14DF6">
        <w:rPr>
          <w:rFonts w:eastAsia="Times New Roman" w:cs="Times New Roman"/>
          <w:color w:val="000000"/>
        </w:rPr>
        <w:t>,</w:t>
      </w:r>
      <w:r w:rsidRPr="00966B81">
        <w:rPr>
          <w:rFonts w:eastAsia="Times New Roman" w:cs="Times New Roman"/>
          <w:color w:val="000000"/>
        </w:rPr>
        <w:t xml:space="preserve"> and the Governor signed</w:t>
      </w:r>
      <w:r w:rsidR="00D72203">
        <w:rPr>
          <w:rFonts w:eastAsia="Times New Roman" w:cs="Times New Roman"/>
          <w:color w:val="000000"/>
        </w:rPr>
        <w:t>,</w:t>
      </w:r>
      <w:r w:rsidRPr="00966B81">
        <w:rPr>
          <w:rFonts w:eastAsia="Times New Roman" w:cs="Times New Roman"/>
          <w:color w:val="000000"/>
        </w:rPr>
        <w:t xml:space="preserve"> Senate Bill </w:t>
      </w:r>
      <w:r>
        <w:rPr>
          <w:rFonts w:eastAsia="Times New Roman" w:cs="Times New Roman"/>
          <w:color w:val="000000"/>
        </w:rPr>
        <w:t>775</w:t>
      </w:r>
      <w:r w:rsidR="005E3091">
        <w:rPr>
          <w:rFonts w:eastAsia="Times New Roman" w:cs="Times New Roman"/>
          <w:color w:val="000000"/>
        </w:rPr>
        <w:t xml:space="preserve">.  </w:t>
      </w:r>
      <w:r w:rsidRPr="00966B81">
        <w:rPr>
          <w:rFonts w:eastAsia="Times New Roman" w:cs="Times New Roman"/>
          <w:color w:val="000000"/>
        </w:rPr>
        <w:t xml:space="preserve">Among </w:t>
      </w:r>
      <w:r>
        <w:rPr>
          <w:rFonts w:eastAsia="Times New Roman" w:cs="Times New Roman"/>
          <w:color w:val="000000"/>
        </w:rPr>
        <w:t xml:space="preserve">Senate Bill 775’s many revisions to section 1172.6 are </w:t>
      </w:r>
      <w:r w:rsidRPr="00966B81">
        <w:rPr>
          <w:rFonts w:eastAsia="Times New Roman" w:cs="Times New Roman"/>
          <w:color w:val="000000"/>
        </w:rPr>
        <w:t xml:space="preserve">two that </w:t>
      </w:r>
      <w:r w:rsidR="00180812">
        <w:rPr>
          <w:rFonts w:eastAsia="Times New Roman" w:cs="Times New Roman"/>
          <w:color w:val="000000"/>
        </w:rPr>
        <w:t>are especially p</w:t>
      </w:r>
      <w:r w:rsidRPr="00C66754">
        <w:rPr>
          <w:rFonts w:eastAsia="Times New Roman" w:cs="Times New Roman"/>
          <w:color w:val="000000"/>
        </w:rPr>
        <w:t>ertinen</w:t>
      </w:r>
      <w:r w:rsidR="00180812">
        <w:rPr>
          <w:rFonts w:eastAsia="Times New Roman" w:cs="Times New Roman"/>
          <w:color w:val="000000"/>
        </w:rPr>
        <w:t>t</w:t>
      </w:r>
      <w:r w:rsidR="00A533AB" w:rsidRPr="00C66754">
        <w:rPr>
          <w:rFonts w:eastAsia="Times New Roman" w:cs="Times New Roman"/>
          <w:color w:val="000000"/>
        </w:rPr>
        <w:t xml:space="preserve"> </w:t>
      </w:r>
      <w:r w:rsidRPr="00C66754">
        <w:rPr>
          <w:rFonts w:eastAsia="Times New Roman" w:cs="Times New Roman"/>
          <w:color w:val="000000"/>
        </w:rPr>
        <w:t>here.</w:t>
      </w:r>
      <w:r>
        <w:rPr>
          <w:rFonts w:eastAsia="Times New Roman" w:cs="Times New Roman"/>
          <w:color w:val="000000"/>
        </w:rPr>
        <w:t xml:space="preserve"> </w:t>
      </w:r>
      <w:r w:rsidRPr="00966B81">
        <w:rPr>
          <w:rFonts w:eastAsia="Times New Roman" w:cs="Times New Roman"/>
          <w:color w:val="000000"/>
        </w:rPr>
        <w:t xml:space="preserve"> First, Senate Bill</w:t>
      </w:r>
      <w:r w:rsidR="00872122">
        <w:rPr>
          <w:rFonts w:eastAsia="Times New Roman" w:cs="Times New Roman"/>
          <w:color w:val="000000"/>
        </w:rPr>
        <w:t> </w:t>
      </w:r>
      <w:r w:rsidRPr="00966B81">
        <w:rPr>
          <w:rFonts w:eastAsia="Times New Roman" w:cs="Times New Roman"/>
          <w:color w:val="000000"/>
        </w:rPr>
        <w:t>775 codifie</w:t>
      </w:r>
      <w:r w:rsidR="008959C6">
        <w:rPr>
          <w:rFonts w:eastAsia="Times New Roman" w:cs="Times New Roman"/>
          <w:color w:val="000000"/>
        </w:rPr>
        <w:t>s</w:t>
      </w:r>
      <w:r w:rsidRPr="00966B81">
        <w:rPr>
          <w:rFonts w:eastAsia="Times New Roman" w:cs="Times New Roman"/>
          <w:color w:val="000000"/>
        </w:rPr>
        <w:t xml:space="preserve"> the </w:t>
      </w:r>
      <w:r w:rsidR="00E9188B" w:rsidRPr="00E9188B">
        <w:rPr>
          <w:rFonts w:eastAsia="Times New Roman" w:cs="Times New Roman"/>
          <w:i/>
          <w:iCs/>
          <w:color w:val="000000"/>
        </w:rPr>
        <w:t>Lewis</w:t>
      </w:r>
      <w:r w:rsidR="00E9188B">
        <w:rPr>
          <w:rFonts w:eastAsia="Times New Roman" w:cs="Times New Roman"/>
          <w:color w:val="000000"/>
        </w:rPr>
        <w:t xml:space="preserve"> </w:t>
      </w:r>
      <w:r w:rsidRPr="00966B81">
        <w:rPr>
          <w:rFonts w:eastAsia="Times New Roman" w:cs="Times New Roman"/>
          <w:color w:val="000000"/>
        </w:rPr>
        <w:t>holding that</w:t>
      </w:r>
      <w:r w:rsidR="00CF15F7">
        <w:rPr>
          <w:rFonts w:eastAsia="Times New Roman" w:cs="Times New Roman"/>
          <w:color w:val="000000"/>
        </w:rPr>
        <w:t>,</w:t>
      </w:r>
      <w:r w:rsidRPr="00966B81">
        <w:rPr>
          <w:rFonts w:eastAsia="Times New Roman" w:cs="Times New Roman"/>
          <w:color w:val="000000"/>
        </w:rPr>
        <w:t xml:space="preserve"> </w:t>
      </w:r>
      <w:r w:rsidR="008A7CF4" w:rsidRPr="00966B81">
        <w:rPr>
          <w:rFonts w:eastAsia="Times New Roman" w:cs="Times New Roman"/>
          <w:color w:val="000000"/>
        </w:rPr>
        <w:t>whe</w:t>
      </w:r>
      <w:r w:rsidR="008A7CF4">
        <w:rPr>
          <w:rFonts w:eastAsia="Times New Roman" w:cs="Times New Roman"/>
          <w:color w:val="000000"/>
        </w:rPr>
        <w:t>n</w:t>
      </w:r>
      <w:r w:rsidR="008A7CF4" w:rsidRPr="00966B81">
        <w:rPr>
          <w:rFonts w:eastAsia="Times New Roman" w:cs="Times New Roman"/>
          <w:color w:val="000000"/>
        </w:rPr>
        <w:t xml:space="preserve"> a petitioner files a facially sufficient resentencing petition</w:t>
      </w:r>
      <w:r w:rsidR="008A7CF4">
        <w:rPr>
          <w:rFonts w:eastAsia="Times New Roman" w:cs="Times New Roman"/>
          <w:color w:val="000000"/>
        </w:rPr>
        <w:t>,</w:t>
      </w:r>
      <w:r w:rsidRPr="00966B81">
        <w:rPr>
          <w:rFonts w:eastAsia="Times New Roman" w:cs="Times New Roman"/>
          <w:color w:val="000000"/>
        </w:rPr>
        <w:t xml:space="preserve"> counsel must be appointed upon request and briefing must be allowed </w:t>
      </w:r>
      <w:r w:rsidR="008A7CF4">
        <w:rPr>
          <w:rFonts w:eastAsia="Times New Roman" w:cs="Times New Roman"/>
          <w:color w:val="000000"/>
        </w:rPr>
        <w:t xml:space="preserve">before </w:t>
      </w:r>
      <w:r w:rsidR="00C5172C">
        <w:rPr>
          <w:rFonts w:eastAsia="Times New Roman" w:cs="Times New Roman"/>
          <w:color w:val="000000"/>
        </w:rPr>
        <w:t xml:space="preserve">the petition may be dismissed at the </w:t>
      </w:r>
      <w:r w:rsidR="008A7CF4">
        <w:rPr>
          <w:rFonts w:eastAsia="Times New Roman" w:cs="Times New Roman"/>
          <w:color w:val="000000"/>
        </w:rPr>
        <w:t>prima facie</w:t>
      </w:r>
      <w:r w:rsidR="00C5172C">
        <w:rPr>
          <w:rFonts w:eastAsia="Times New Roman" w:cs="Times New Roman"/>
          <w:color w:val="000000"/>
        </w:rPr>
        <w:t xml:space="preserve"> stage of the proceedings. </w:t>
      </w:r>
      <w:r w:rsidR="000A2E25">
        <w:rPr>
          <w:rFonts w:eastAsia="Times New Roman" w:cs="Times New Roman"/>
          <w:color w:val="000000"/>
        </w:rPr>
        <w:t xml:space="preserve"> </w:t>
      </w:r>
      <w:r w:rsidR="009C74DC" w:rsidRPr="00966B81">
        <w:rPr>
          <w:rFonts w:eastAsia="Times New Roman" w:cs="Times New Roman"/>
          <w:color w:val="000000"/>
        </w:rPr>
        <w:t>(Stats. 2021, ch.</w:t>
      </w:r>
      <w:r w:rsidR="00662B88">
        <w:rPr>
          <w:rFonts w:eastAsia="Times New Roman" w:cs="Times New Roman"/>
          <w:color w:val="000000"/>
        </w:rPr>
        <w:t> </w:t>
      </w:r>
      <w:r w:rsidR="009C74DC" w:rsidRPr="00966B81">
        <w:rPr>
          <w:rFonts w:eastAsia="Times New Roman" w:cs="Times New Roman"/>
          <w:color w:val="000000"/>
        </w:rPr>
        <w:t xml:space="preserve">551, </w:t>
      </w:r>
      <w:r w:rsidR="00725D59">
        <w:rPr>
          <w:rFonts w:eastAsia="Times New Roman" w:cs="Times New Roman"/>
          <w:color w:val="000000"/>
        </w:rPr>
        <w:t>§</w:t>
      </w:r>
      <w:r w:rsidR="009C74DC" w:rsidRPr="00966B81">
        <w:rPr>
          <w:rFonts w:eastAsia="Times New Roman" w:cs="Times New Roman"/>
          <w:color w:val="000000"/>
        </w:rPr>
        <w:t>§</w:t>
      </w:r>
      <w:r w:rsidR="00662B88">
        <w:rPr>
          <w:rFonts w:eastAsia="Times New Roman" w:cs="Times New Roman"/>
          <w:color w:val="000000"/>
        </w:rPr>
        <w:t> </w:t>
      </w:r>
      <w:r w:rsidR="009C74DC" w:rsidRPr="00966B81">
        <w:rPr>
          <w:rFonts w:eastAsia="Times New Roman" w:cs="Times New Roman"/>
          <w:color w:val="000000"/>
        </w:rPr>
        <w:t>1</w:t>
      </w:r>
      <w:r w:rsidR="00725D59">
        <w:rPr>
          <w:rFonts w:eastAsia="Times New Roman" w:cs="Times New Roman"/>
          <w:color w:val="000000"/>
        </w:rPr>
        <w:t>, 2</w:t>
      </w:r>
      <w:r w:rsidR="009C74DC" w:rsidRPr="00966B81">
        <w:rPr>
          <w:rFonts w:eastAsia="Times New Roman" w:cs="Times New Roman"/>
          <w:color w:val="000000"/>
        </w:rPr>
        <w:t>.)</w:t>
      </w:r>
      <w:r w:rsidRPr="00966B81">
        <w:rPr>
          <w:rFonts w:eastAsia="Times New Roman" w:cs="Times New Roman"/>
          <w:color w:val="000000"/>
        </w:rPr>
        <w:t xml:space="preserve">  Second, section</w:t>
      </w:r>
      <w:r w:rsidR="00872122">
        <w:rPr>
          <w:rFonts w:eastAsia="Times New Roman" w:cs="Times New Roman"/>
          <w:color w:val="000000"/>
        </w:rPr>
        <w:t> </w:t>
      </w:r>
      <w:r w:rsidRPr="00966B81">
        <w:rPr>
          <w:rFonts w:eastAsia="Times New Roman" w:cs="Times New Roman"/>
          <w:color w:val="000000"/>
        </w:rPr>
        <w:t xml:space="preserve">775 provides that, at the </w:t>
      </w:r>
      <w:r w:rsidR="001C3FCA">
        <w:rPr>
          <w:rFonts w:eastAsia="Times New Roman" w:cs="Times New Roman"/>
          <w:color w:val="000000"/>
        </w:rPr>
        <w:t xml:space="preserve">section 1172.6, subdivision (d)(3) </w:t>
      </w:r>
      <w:r w:rsidRPr="00966B81">
        <w:rPr>
          <w:rFonts w:eastAsia="Times New Roman" w:cs="Times New Roman"/>
          <w:color w:val="000000"/>
        </w:rPr>
        <w:t>evidentiary hearing to determine a petitioner’s entitlement to relief, “</w:t>
      </w:r>
      <w:r w:rsidR="00651E9B">
        <w:rPr>
          <w:rFonts w:eastAsia="Times New Roman" w:cs="Times New Roman"/>
          <w:color w:val="000000"/>
        </w:rPr>
        <w:t>[t]</w:t>
      </w:r>
      <w:r w:rsidRPr="00966B81">
        <w:rPr>
          <w:rFonts w:eastAsia="Times New Roman" w:cs="Times New Roman"/>
          <w:color w:val="000000"/>
        </w:rPr>
        <w:t>he court may</w:t>
      </w:r>
      <w:r w:rsidR="0053453E">
        <w:rPr>
          <w:rFonts w:eastAsia="Times New Roman" w:cs="Times New Roman"/>
          <w:color w:val="000000"/>
        </w:rPr>
        <w:t xml:space="preserve"> .</w:t>
      </w:r>
      <w:r w:rsidR="00364B68">
        <w:rPr>
          <w:rFonts w:eastAsia="Times New Roman" w:cs="Times New Roman"/>
          <w:color w:val="000000"/>
        </w:rPr>
        <w:t> </w:t>
      </w:r>
      <w:r w:rsidR="0053453E">
        <w:rPr>
          <w:rFonts w:eastAsia="Times New Roman" w:cs="Times New Roman"/>
          <w:color w:val="000000"/>
        </w:rPr>
        <w:t>.</w:t>
      </w:r>
      <w:r w:rsidR="00364B68">
        <w:rPr>
          <w:rFonts w:eastAsia="Times New Roman" w:cs="Times New Roman"/>
          <w:color w:val="000000"/>
        </w:rPr>
        <w:t> </w:t>
      </w:r>
      <w:r w:rsidR="0053453E">
        <w:rPr>
          <w:rFonts w:eastAsia="Times New Roman" w:cs="Times New Roman"/>
          <w:color w:val="000000"/>
        </w:rPr>
        <w:t xml:space="preserve">. </w:t>
      </w:r>
      <w:r w:rsidRPr="00966B81">
        <w:rPr>
          <w:rFonts w:eastAsia="Times New Roman" w:cs="Times New Roman"/>
          <w:color w:val="000000"/>
        </w:rPr>
        <w:t>consider the procedural history of the case recited in any prior appellate opinion.”  (</w:t>
      </w:r>
      <w:r w:rsidR="00872122">
        <w:rPr>
          <w:rFonts w:eastAsia="Times New Roman" w:cs="Times New Roman"/>
          <w:color w:val="000000"/>
        </w:rPr>
        <w:t xml:space="preserve">Stats. 2021, ch. 551, </w:t>
      </w:r>
      <w:r w:rsidR="00872122" w:rsidRPr="00966B81">
        <w:rPr>
          <w:rFonts w:eastAsia="Times New Roman" w:cs="Times New Roman"/>
          <w:color w:val="000000"/>
        </w:rPr>
        <w:t>§</w:t>
      </w:r>
      <w:r w:rsidR="00872122">
        <w:rPr>
          <w:rFonts w:eastAsia="Times New Roman" w:cs="Times New Roman"/>
          <w:color w:val="000000"/>
        </w:rPr>
        <w:t> </w:t>
      </w:r>
      <w:r w:rsidR="004D3B77">
        <w:rPr>
          <w:rFonts w:eastAsia="Times New Roman" w:cs="Times New Roman"/>
          <w:color w:val="000000"/>
        </w:rPr>
        <w:t>2.)</w:t>
      </w:r>
      <w:r w:rsidRPr="00966B81">
        <w:rPr>
          <w:rFonts w:eastAsia="Times New Roman" w:cs="Times New Roman"/>
          <w:color w:val="000000"/>
        </w:rPr>
        <w:t xml:space="preserve">   </w:t>
      </w:r>
    </w:p>
    <w:p w14:paraId="2A5831BA" w14:textId="3F8A074F" w:rsidR="005F6007" w:rsidRDefault="00C42495" w:rsidP="003F75B4">
      <w:pPr>
        <w:shd w:val="clear" w:color="auto" w:fill="FFFFFF"/>
      </w:pPr>
      <w:r>
        <w:rPr>
          <w:rFonts w:eastAsia="Times New Roman" w:cs="Times New Roman"/>
          <w:color w:val="000000"/>
        </w:rPr>
        <w:t xml:space="preserve">By referring only to the “procedural history” stated in </w:t>
      </w:r>
      <w:r w:rsidR="002A7BA5">
        <w:rPr>
          <w:rFonts w:eastAsia="Times New Roman" w:cs="Times New Roman"/>
          <w:color w:val="000000"/>
        </w:rPr>
        <w:t xml:space="preserve">appellate </w:t>
      </w:r>
      <w:r>
        <w:rPr>
          <w:rFonts w:eastAsia="Times New Roman" w:cs="Times New Roman"/>
          <w:color w:val="000000"/>
        </w:rPr>
        <w:t xml:space="preserve">opinions, </w:t>
      </w:r>
      <w:r w:rsidR="00D3069B">
        <w:rPr>
          <w:rFonts w:eastAsia="Times New Roman" w:cs="Times New Roman"/>
          <w:color w:val="000000"/>
        </w:rPr>
        <w:t>Senate Bill</w:t>
      </w:r>
      <w:r w:rsidR="00B9709D">
        <w:rPr>
          <w:rFonts w:eastAsia="Times New Roman" w:cs="Times New Roman"/>
          <w:color w:val="000000"/>
        </w:rPr>
        <w:t> </w:t>
      </w:r>
      <w:r w:rsidR="00D3069B">
        <w:rPr>
          <w:rFonts w:eastAsia="Times New Roman" w:cs="Times New Roman"/>
          <w:color w:val="000000"/>
        </w:rPr>
        <w:t xml:space="preserve">775 went </w:t>
      </w:r>
      <w:r w:rsidR="004A550F">
        <w:rPr>
          <w:rFonts w:eastAsia="Times New Roman" w:cs="Times New Roman"/>
          <w:color w:val="000000"/>
        </w:rPr>
        <w:t>a step further</w:t>
      </w:r>
      <w:r w:rsidR="008C7606">
        <w:rPr>
          <w:rFonts w:eastAsia="Times New Roman" w:cs="Times New Roman"/>
          <w:color w:val="000000"/>
        </w:rPr>
        <w:t xml:space="preserve"> than </w:t>
      </w:r>
      <w:r w:rsidR="008C7606" w:rsidRPr="008C7606">
        <w:rPr>
          <w:rFonts w:eastAsia="Times New Roman" w:cs="Times New Roman"/>
          <w:i/>
          <w:iCs/>
          <w:color w:val="000000"/>
        </w:rPr>
        <w:t>Lewis</w:t>
      </w:r>
      <w:r w:rsidR="008C7606">
        <w:rPr>
          <w:rFonts w:eastAsia="Times New Roman" w:cs="Times New Roman"/>
          <w:color w:val="000000"/>
        </w:rPr>
        <w:t xml:space="preserve"> did</w:t>
      </w:r>
      <w:r w:rsidR="004A550F">
        <w:rPr>
          <w:rFonts w:eastAsia="Times New Roman" w:cs="Times New Roman"/>
          <w:color w:val="000000"/>
        </w:rPr>
        <w:t xml:space="preserve">.  </w:t>
      </w:r>
      <w:r w:rsidR="007F0520">
        <w:rPr>
          <w:rFonts w:eastAsia="Times New Roman" w:cs="Times New Roman"/>
          <w:color w:val="000000"/>
        </w:rPr>
        <w:t>A</w:t>
      </w:r>
      <w:r w:rsidR="00DE6D57">
        <w:rPr>
          <w:rFonts w:eastAsia="Times New Roman" w:cs="Times New Roman"/>
          <w:color w:val="000000"/>
        </w:rPr>
        <w:t xml:space="preserve"> number of courts of appeal have held</w:t>
      </w:r>
      <w:r w:rsidR="00F942C3" w:rsidRPr="004228AD">
        <w:rPr>
          <w:rFonts w:eastAsia="Times New Roman" w:cs="Times New Roman"/>
          <w:color w:val="000000"/>
        </w:rPr>
        <w:t>—</w:t>
      </w:r>
      <w:r w:rsidR="00DE6D57">
        <w:rPr>
          <w:rFonts w:eastAsia="Times New Roman" w:cs="Times New Roman"/>
          <w:color w:val="000000"/>
        </w:rPr>
        <w:t>and we agree</w:t>
      </w:r>
      <w:r w:rsidR="00F942C3" w:rsidRPr="004228AD">
        <w:rPr>
          <w:rFonts w:eastAsia="Times New Roman" w:cs="Times New Roman"/>
          <w:color w:val="000000"/>
        </w:rPr>
        <w:t>—</w:t>
      </w:r>
      <w:r w:rsidR="00DE6D57">
        <w:rPr>
          <w:rFonts w:eastAsia="Times New Roman" w:cs="Times New Roman"/>
          <w:color w:val="000000"/>
        </w:rPr>
        <w:t xml:space="preserve">that </w:t>
      </w:r>
      <w:r w:rsidR="004C7880" w:rsidRPr="00C83018">
        <w:rPr>
          <w:rFonts w:eastAsia="Times New Roman" w:cs="Times New Roman"/>
          <w:color w:val="000000"/>
        </w:rPr>
        <w:t>“</w:t>
      </w:r>
      <w:r w:rsidR="00DE6D57">
        <w:rPr>
          <w:rFonts w:eastAsia="Times New Roman" w:cs="Times New Roman"/>
          <w:color w:val="000000"/>
        </w:rPr>
        <w:t>b</w:t>
      </w:r>
      <w:r w:rsidR="004C7880" w:rsidRPr="00C83018">
        <w:rPr>
          <w:rFonts w:eastAsia="Times New Roman" w:cs="Times New Roman"/>
          <w:color w:val="000000"/>
        </w:rPr>
        <w:t xml:space="preserve">y </w:t>
      </w:r>
      <w:r w:rsidR="004C7880" w:rsidRPr="00C83018">
        <w:rPr>
          <w:rFonts w:eastAsia="Times New Roman" w:cs="Times New Roman"/>
          <w:i/>
          <w:iCs/>
          <w:color w:val="3D3D3D"/>
          <w:bdr w:val="none" w:sz="0" w:space="0" w:color="auto" w:frame="1"/>
        </w:rPr>
        <w:t>allowing</w:t>
      </w:r>
      <w:r w:rsidR="004C7880" w:rsidRPr="00C83018">
        <w:rPr>
          <w:rFonts w:eastAsia="Times New Roman" w:cs="Times New Roman"/>
          <w:color w:val="000000"/>
        </w:rPr>
        <w:t xml:space="preserve"> consideration of ‘</w:t>
      </w:r>
      <w:r w:rsidR="001036B2">
        <w:rPr>
          <w:rFonts w:eastAsia="Times New Roman" w:cs="Times New Roman"/>
          <w:color w:val="000000"/>
        </w:rPr>
        <w:t> “</w:t>
      </w:r>
      <w:r w:rsidR="004C7880" w:rsidRPr="00C83018">
        <w:rPr>
          <w:rFonts w:eastAsia="Times New Roman" w:cs="Times New Roman"/>
          <w:color w:val="000000"/>
        </w:rPr>
        <w:t>the procedural history</w:t>
      </w:r>
      <w:r w:rsidR="001036B2">
        <w:rPr>
          <w:rFonts w:eastAsia="Times New Roman" w:cs="Times New Roman"/>
          <w:color w:val="000000"/>
        </w:rPr>
        <w:t>” </w:t>
      </w:r>
      <w:r w:rsidR="004C7880" w:rsidRPr="00C83018">
        <w:rPr>
          <w:rFonts w:eastAsia="Times New Roman" w:cs="Times New Roman"/>
          <w:color w:val="000000"/>
        </w:rPr>
        <w:t xml:space="preserve">’ in a prior appellate opinion, the Legislature intended to </w:t>
      </w:r>
      <w:r w:rsidR="004C7880" w:rsidRPr="00C83018">
        <w:rPr>
          <w:rFonts w:eastAsia="Times New Roman" w:cs="Times New Roman"/>
          <w:i/>
          <w:iCs/>
          <w:color w:val="3D3D3D"/>
          <w:bdr w:val="none" w:sz="0" w:space="0" w:color="auto" w:frame="1"/>
        </w:rPr>
        <w:t>prohibit</w:t>
      </w:r>
      <w:r w:rsidR="004C7880" w:rsidRPr="00C83018">
        <w:rPr>
          <w:rFonts w:eastAsia="Times New Roman" w:cs="Times New Roman"/>
          <w:color w:val="000000"/>
        </w:rPr>
        <w:t xml:space="preserve"> consideration of </w:t>
      </w:r>
      <w:r w:rsidR="00EE5230">
        <w:rPr>
          <w:rFonts w:eastAsia="Times New Roman" w:cs="Times New Roman"/>
          <w:color w:val="000000"/>
        </w:rPr>
        <w:t>‘</w:t>
      </w:r>
      <w:r w:rsidR="004C7880" w:rsidRPr="00C83018">
        <w:rPr>
          <w:rFonts w:eastAsia="Times New Roman" w:cs="Times New Roman"/>
          <w:color w:val="000000"/>
        </w:rPr>
        <w:t>the factual summar[y]</w:t>
      </w:r>
      <w:r w:rsidR="00EE5230">
        <w:rPr>
          <w:rFonts w:eastAsia="Times New Roman" w:cs="Times New Roman"/>
          <w:color w:val="000000"/>
        </w:rPr>
        <w:t>’</w:t>
      </w:r>
      <w:r w:rsidR="002210C4">
        <w:rPr>
          <w:rFonts w:eastAsia="Times New Roman" w:cs="Times New Roman"/>
          <w:color w:val="000000"/>
        </w:rPr>
        <w:t> </w:t>
      </w:r>
      <w:r w:rsidR="002312CC">
        <w:rPr>
          <w:rFonts w:eastAsia="Times New Roman" w:cs="Times New Roman"/>
          <w:color w:val="000000"/>
        </w:rPr>
        <w:t>”</w:t>
      </w:r>
      <w:r w:rsidR="004C7880" w:rsidRPr="00C83018">
        <w:rPr>
          <w:rFonts w:eastAsia="Times New Roman" w:cs="Times New Roman"/>
          <w:color w:val="000000"/>
        </w:rPr>
        <w:t xml:space="preserve"> </w:t>
      </w:r>
      <w:r w:rsidR="00515857">
        <w:rPr>
          <w:rFonts w:eastAsia="Times New Roman" w:cs="Times New Roman"/>
          <w:color w:val="000000"/>
        </w:rPr>
        <w:t xml:space="preserve">in </w:t>
      </w:r>
      <w:r w:rsidR="00880178">
        <w:rPr>
          <w:rFonts w:eastAsia="Times New Roman" w:cs="Times New Roman"/>
          <w:color w:val="000000"/>
        </w:rPr>
        <w:t xml:space="preserve">an appellate </w:t>
      </w:r>
      <w:r w:rsidR="00A55B70">
        <w:rPr>
          <w:rFonts w:eastAsia="Times New Roman" w:cs="Times New Roman"/>
          <w:color w:val="000000"/>
        </w:rPr>
        <w:t>opinion.</w:t>
      </w:r>
      <w:r w:rsidR="004C7880" w:rsidRPr="00C83018">
        <w:rPr>
          <w:rFonts w:eastAsia="Times New Roman" w:cs="Times New Roman"/>
          <w:color w:val="000000"/>
        </w:rPr>
        <w:t xml:space="preserve">  (</w:t>
      </w:r>
      <w:r w:rsidR="004C7880" w:rsidRPr="00EA5091">
        <w:rPr>
          <w:rFonts w:eastAsia="Times New Roman" w:cs="Times New Roman"/>
          <w:i/>
          <w:iCs/>
          <w:color w:val="3D3D3D"/>
          <w:bdr w:val="none" w:sz="0" w:space="0" w:color="auto" w:frame="1"/>
        </w:rPr>
        <w:t>People v. Bratton</w:t>
      </w:r>
      <w:r w:rsidR="004C7880" w:rsidRPr="00EA5091">
        <w:rPr>
          <w:rFonts w:eastAsia="Times New Roman" w:cs="Times New Roman"/>
          <w:color w:val="000000"/>
        </w:rPr>
        <w:t xml:space="preserve"> (2023) 95</w:t>
      </w:r>
      <w:r w:rsidR="002210C4">
        <w:rPr>
          <w:rFonts w:eastAsia="Times New Roman" w:cs="Times New Roman"/>
          <w:color w:val="000000"/>
        </w:rPr>
        <w:t> </w:t>
      </w:r>
      <w:r w:rsidR="004C7880" w:rsidRPr="00EA5091">
        <w:rPr>
          <w:rFonts w:eastAsia="Times New Roman" w:cs="Times New Roman"/>
          <w:color w:val="000000"/>
        </w:rPr>
        <w:t>Cal.App.5th 1100, 1113</w:t>
      </w:r>
      <w:r w:rsidR="00771487">
        <w:rPr>
          <w:rFonts w:eastAsia="Times New Roman" w:cs="Times New Roman"/>
          <w:color w:val="000000"/>
        </w:rPr>
        <w:t>,</w:t>
      </w:r>
      <w:r w:rsidR="004C7880" w:rsidRPr="00C83018">
        <w:rPr>
          <w:rFonts w:eastAsia="Times New Roman" w:cs="Times New Roman"/>
          <w:color w:val="000000"/>
        </w:rPr>
        <w:t xml:space="preserve"> original</w:t>
      </w:r>
      <w:r w:rsidR="002210C4">
        <w:rPr>
          <w:rFonts w:eastAsia="Times New Roman" w:cs="Times New Roman"/>
          <w:color w:val="000000"/>
        </w:rPr>
        <w:t xml:space="preserve"> italics</w:t>
      </w:r>
      <w:r w:rsidR="00957858">
        <w:rPr>
          <w:rFonts w:eastAsia="Times New Roman" w:cs="Times New Roman"/>
          <w:color w:val="000000"/>
        </w:rPr>
        <w:t>.)  This constrain</w:t>
      </w:r>
      <w:r w:rsidR="000D2DF8">
        <w:rPr>
          <w:rFonts w:eastAsia="Times New Roman" w:cs="Times New Roman"/>
          <w:color w:val="000000"/>
        </w:rPr>
        <w:t>t</w:t>
      </w:r>
      <w:r w:rsidR="00957858">
        <w:rPr>
          <w:rFonts w:eastAsia="Times New Roman" w:cs="Times New Roman"/>
          <w:color w:val="000000"/>
        </w:rPr>
        <w:t xml:space="preserve"> applies both at the prima facie </w:t>
      </w:r>
      <w:r w:rsidR="006700A8">
        <w:rPr>
          <w:rFonts w:eastAsia="Times New Roman" w:cs="Times New Roman"/>
          <w:color w:val="000000"/>
        </w:rPr>
        <w:t xml:space="preserve">determination </w:t>
      </w:r>
      <w:r w:rsidR="00957858">
        <w:rPr>
          <w:rFonts w:eastAsia="Times New Roman" w:cs="Times New Roman"/>
          <w:color w:val="000000"/>
        </w:rPr>
        <w:t>sta</w:t>
      </w:r>
      <w:r w:rsidR="006700A8">
        <w:rPr>
          <w:rFonts w:eastAsia="Times New Roman" w:cs="Times New Roman"/>
          <w:color w:val="000000"/>
        </w:rPr>
        <w:t>ge under section 1172.6, subdivision (</w:t>
      </w:r>
      <w:r w:rsidR="00064169">
        <w:rPr>
          <w:rFonts w:eastAsia="Times New Roman" w:cs="Times New Roman"/>
          <w:color w:val="000000"/>
        </w:rPr>
        <w:t xml:space="preserve">c), and the </w:t>
      </w:r>
      <w:r w:rsidR="00957858">
        <w:rPr>
          <w:rFonts w:eastAsia="Times New Roman" w:cs="Times New Roman"/>
          <w:color w:val="000000"/>
        </w:rPr>
        <w:t>evidentiary hearing</w:t>
      </w:r>
      <w:r w:rsidR="00064169">
        <w:rPr>
          <w:rFonts w:eastAsia="Times New Roman" w:cs="Times New Roman"/>
          <w:color w:val="000000"/>
        </w:rPr>
        <w:t xml:space="preserve"> stage under section 1172.6, subdivision (d). </w:t>
      </w:r>
      <w:r w:rsidR="000D2DF8">
        <w:rPr>
          <w:rFonts w:eastAsia="Times New Roman" w:cs="Times New Roman"/>
          <w:color w:val="000000"/>
        </w:rPr>
        <w:t xml:space="preserve"> (</w:t>
      </w:r>
      <w:r w:rsidR="004C7880" w:rsidRPr="00C83018">
        <w:rPr>
          <w:rFonts w:eastAsia="Times New Roman" w:cs="Times New Roman"/>
          <w:i/>
          <w:iCs/>
          <w:color w:val="000000"/>
          <w:bdr w:val="none" w:sz="0" w:space="0" w:color="auto" w:frame="1"/>
          <w:shd w:val="clear" w:color="auto" w:fill="FFFFFF"/>
        </w:rPr>
        <w:t>People</w:t>
      </w:r>
      <w:r w:rsidR="004C7880" w:rsidRPr="00C83018">
        <w:rPr>
          <w:rFonts w:eastAsia="Times New Roman" w:cs="Times New Roman"/>
          <w:i/>
          <w:iCs/>
          <w:color w:val="3D3D3D"/>
          <w:bdr w:val="none" w:sz="0" w:space="0" w:color="auto" w:frame="1"/>
        </w:rPr>
        <w:t xml:space="preserve"> v. Flores</w:t>
      </w:r>
      <w:r w:rsidR="004C7880" w:rsidRPr="00C83018">
        <w:rPr>
          <w:rFonts w:eastAsia="Times New Roman" w:cs="Times New Roman"/>
          <w:color w:val="000000"/>
        </w:rPr>
        <w:t xml:space="preserve"> (2022) 76</w:t>
      </w:r>
      <w:r w:rsidR="002210C4">
        <w:rPr>
          <w:rFonts w:eastAsia="Times New Roman" w:cs="Times New Roman"/>
          <w:color w:val="000000"/>
        </w:rPr>
        <w:t> </w:t>
      </w:r>
      <w:r w:rsidR="004C7880" w:rsidRPr="00C83018">
        <w:rPr>
          <w:rFonts w:eastAsia="Times New Roman" w:cs="Times New Roman"/>
          <w:color w:val="000000"/>
          <w:bdr w:val="none" w:sz="0" w:space="0" w:color="auto" w:frame="1"/>
          <w:shd w:val="clear" w:color="auto" w:fill="FFFFFF"/>
        </w:rPr>
        <w:t>Cal.App</w:t>
      </w:r>
      <w:r w:rsidR="004C7880" w:rsidRPr="00C83018">
        <w:rPr>
          <w:rFonts w:eastAsia="Times New Roman" w:cs="Times New Roman"/>
          <w:color w:val="000000"/>
        </w:rPr>
        <w:t>.</w:t>
      </w:r>
      <w:r w:rsidR="004C7880" w:rsidRPr="00C83018">
        <w:rPr>
          <w:rFonts w:eastAsia="Times New Roman" w:cs="Times New Roman"/>
          <w:color w:val="000000"/>
          <w:bdr w:val="none" w:sz="0" w:space="0" w:color="auto" w:frame="1"/>
          <w:shd w:val="clear" w:color="auto" w:fill="FFFFFF"/>
        </w:rPr>
        <w:t>5th</w:t>
      </w:r>
      <w:r w:rsidR="004C7880" w:rsidRPr="00C83018">
        <w:rPr>
          <w:rFonts w:eastAsia="Times New Roman" w:cs="Times New Roman"/>
          <w:color w:val="000000"/>
        </w:rPr>
        <w:t xml:space="preserve"> 974, 988 [if facts stated in appellate opinions “</w:t>
      </w:r>
      <w:r w:rsidR="004C7880" w:rsidRPr="00E32704">
        <w:rPr>
          <w:rFonts w:eastAsia="Times New Roman" w:cs="Times New Roman"/>
          <w:color w:val="000000"/>
        </w:rPr>
        <w:t>may not be considered at an evidentiary hearing to determine a petitioner</w:t>
      </w:r>
      <w:r w:rsidR="00F673E7">
        <w:rPr>
          <w:rFonts w:eastAsia="Times New Roman" w:cs="Times New Roman"/>
          <w:color w:val="000000"/>
        </w:rPr>
        <w:t>’</w:t>
      </w:r>
      <w:r w:rsidR="004C7880" w:rsidRPr="00E32704">
        <w:rPr>
          <w:rFonts w:eastAsia="Times New Roman" w:cs="Times New Roman"/>
          <w:color w:val="000000"/>
        </w:rPr>
        <w:t>s ultimate eligibility for resentencing, we fail to see how such evidence could establish, as a matter of law, a petitioner</w:t>
      </w:r>
      <w:r w:rsidR="006D39A0">
        <w:rPr>
          <w:rFonts w:eastAsia="Times New Roman" w:cs="Times New Roman"/>
          <w:color w:val="000000"/>
        </w:rPr>
        <w:t>’</w:t>
      </w:r>
      <w:r w:rsidR="004C7880" w:rsidRPr="00E32704">
        <w:rPr>
          <w:rFonts w:eastAsia="Times New Roman" w:cs="Times New Roman"/>
          <w:color w:val="000000"/>
        </w:rPr>
        <w:t>s ineligibility for resentencing at the prima facie stage”</w:t>
      </w:r>
      <w:r w:rsidR="004C7880" w:rsidRPr="00C83018">
        <w:rPr>
          <w:rFonts w:eastAsia="Times New Roman" w:cs="Times New Roman"/>
          <w:color w:val="000000"/>
        </w:rPr>
        <w:t xml:space="preserve">].)  </w:t>
      </w:r>
    </w:p>
    <w:p w14:paraId="57AF8C65" w14:textId="7D1FE66F" w:rsidR="00CA0F67" w:rsidRDefault="00C42495" w:rsidP="00194CDF">
      <w:pPr>
        <w:pStyle w:val="Heading2"/>
      </w:pPr>
      <w:r>
        <w:t>Contentions of the Parties</w:t>
      </w:r>
    </w:p>
    <w:p w14:paraId="49D6D9E0" w14:textId="24F0B613" w:rsidR="00F95141" w:rsidRDefault="00C42495" w:rsidP="00F95141">
      <w:r>
        <w:t>Arguing for reversal</w:t>
      </w:r>
      <w:r w:rsidR="00DE6D57">
        <w:t xml:space="preserve"> in this case</w:t>
      </w:r>
      <w:r>
        <w:t>, Beaudreaux asserts t</w:t>
      </w:r>
      <w:r w:rsidR="00F32214">
        <w:t xml:space="preserve">hree </w:t>
      </w:r>
      <w:r>
        <w:t>errors.  First,</w:t>
      </w:r>
      <w:r w:rsidR="00C30B94">
        <w:t xml:space="preserve"> relying on </w:t>
      </w:r>
      <w:r w:rsidR="00C30B94" w:rsidRPr="00303583">
        <w:rPr>
          <w:i/>
          <w:iCs/>
        </w:rPr>
        <w:t>Pe</w:t>
      </w:r>
      <w:r w:rsidR="00261E79" w:rsidRPr="00303583">
        <w:rPr>
          <w:i/>
          <w:iCs/>
        </w:rPr>
        <w:t>ople v. Farfan</w:t>
      </w:r>
      <w:r w:rsidR="00261E79">
        <w:t xml:space="preserve"> </w:t>
      </w:r>
      <w:r w:rsidR="005136FA">
        <w:t>(2021) 71</w:t>
      </w:r>
      <w:r w:rsidR="00194CDF">
        <w:t> </w:t>
      </w:r>
      <w:r w:rsidR="005136FA">
        <w:t>Cal.App.5</w:t>
      </w:r>
      <w:r w:rsidR="0068419F">
        <w:t>th</w:t>
      </w:r>
      <w:r w:rsidR="005136FA">
        <w:t xml:space="preserve"> 942</w:t>
      </w:r>
      <w:r w:rsidR="00303583">
        <w:t xml:space="preserve"> (</w:t>
      </w:r>
      <w:r w:rsidR="00303583" w:rsidRPr="00303583">
        <w:rPr>
          <w:i/>
          <w:iCs/>
        </w:rPr>
        <w:t>Farfan</w:t>
      </w:r>
      <w:r w:rsidR="00303583">
        <w:t>)</w:t>
      </w:r>
      <w:r w:rsidR="005136FA">
        <w:t xml:space="preserve">, he argues </w:t>
      </w:r>
      <w:r w:rsidR="002D5B9C">
        <w:t xml:space="preserve">the trial court erroneously </w:t>
      </w:r>
      <w:r w:rsidR="000C0C2C">
        <w:t xml:space="preserve">treated his </w:t>
      </w:r>
      <w:r w:rsidR="003443F5">
        <w:t xml:space="preserve">resentencing petition as </w:t>
      </w:r>
      <w:r w:rsidR="003A1295">
        <w:t xml:space="preserve">a </w:t>
      </w:r>
      <w:r w:rsidR="003443F5">
        <w:lastRenderedPageBreak/>
        <w:t>procedurally barred</w:t>
      </w:r>
      <w:r w:rsidR="003A1295">
        <w:t xml:space="preserve"> </w:t>
      </w:r>
      <w:r w:rsidR="00CD64EE">
        <w:t>“</w:t>
      </w:r>
      <w:r w:rsidR="003A1295">
        <w:t>successive petition.</w:t>
      </w:r>
      <w:r w:rsidR="00CD64EE">
        <w:t>”</w:t>
      </w:r>
      <w:r w:rsidR="003A1295">
        <w:t xml:space="preserve"> </w:t>
      </w:r>
      <w:r w:rsidR="00677A41">
        <w:t xml:space="preserve"> </w:t>
      </w:r>
      <w:r w:rsidR="00850DF7">
        <w:t xml:space="preserve">Second, </w:t>
      </w:r>
      <w:r w:rsidR="0067595A">
        <w:t xml:space="preserve">relying on </w:t>
      </w:r>
      <w:r w:rsidRPr="006A53E2">
        <w:rPr>
          <w:i/>
          <w:iCs/>
        </w:rPr>
        <w:t>Lewis</w:t>
      </w:r>
      <w:r w:rsidR="0067595A">
        <w:rPr>
          <w:i/>
          <w:iCs/>
        </w:rPr>
        <w:t xml:space="preserve"> </w:t>
      </w:r>
      <w:r w:rsidR="0067595A">
        <w:t>and Senate Bill 775</w:t>
      </w:r>
      <w:r>
        <w:t xml:space="preserve">, he claims the trial court erred by ignoring his request for appointment of counsel and not allowing him to present briefing before entering an order of summary dismissal at the prima facie stage of the proceeding.  </w:t>
      </w:r>
      <w:r w:rsidR="00131E6D">
        <w:t>Third</w:t>
      </w:r>
      <w:r>
        <w:t xml:space="preserve">, </w:t>
      </w:r>
      <w:r w:rsidR="0067595A">
        <w:t>relying on</w:t>
      </w:r>
      <w:r>
        <w:t xml:space="preserve"> Senate Bill 775, which prohibits the use of appellate factual recitals unless used for procedural background, he claims the trial court erroneously relied on substantive facts recited in </w:t>
      </w:r>
      <w:r w:rsidR="00BA40C1" w:rsidRPr="00BA40C1">
        <w:rPr>
          <w:i/>
          <w:iCs/>
        </w:rPr>
        <w:t>Beaudreaux</w:t>
      </w:r>
      <w:r w:rsidR="003C4DCB">
        <w:rPr>
          <w:i/>
          <w:iCs/>
        </w:rPr>
        <w:t> </w:t>
      </w:r>
      <w:r w:rsidR="00BA40C1" w:rsidRPr="00BA40C1">
        <w:rPr>
          <w:i/>
          <w:iCs/>
        </w:rPr>
        <w:t>I</w:t>
      </w:r>
      <w:r w:rsidR="00157034">
        <w:t xml:space="preserve">. </w:t>
      </w:r>
    </w:p>
    <w:p w14:paraId="4F95BF84" w14:textId="48EEF849" w:rsidR="00B83124" w:rsidRPr="009F09B3" w:rsidRDefault="00C42495" w:rsidP="009F09B3">
      <w:pPr>
        <w:rPr>
          <w:rFonts w:cs="Times New Roman"/>
        </w:rPr>
      </w:pPr>
      <w:r>
        <w:t xml:space="preserve">Taking a slightly different tack </w:t>
      </w:r>
      <w:r w:rsidR="00AE34F3">
        <w:t xml:space="preserve">to the </w:t>
      </w:r>
      <w:r w:rsidR="00933932">
        <w:t>prima facie in</w:t>
      </w:r>
      <w:r w:rsidR="00AE34F3">
        <w:t xml:space="preserve">sufficiency of Beaudreaux’s resentencing petition </w:t>
      </w:r>
      <w:r w:rsidR="004A207D">
        <w:t>than the trial court did, t</w:t>
      </w:r>
      <w:r w:rsidR="00F95141">
        <w:t xml:space="preserve">he People </w:t>
      </w:r>
      <w:r w:rsidR="007F6A22">
        <w:t xml:space="preserve">advance </w:t>
      </w:r>
      <w:r w:rsidR="005920EA">
        <w:t>three</w:t>
      </w:r>
      <w:r w:rsidR="001B5A61">
        <w:t xml:space="preserve"> </w:t>
      </w:r>
      <w:r w:rsidR="00F95141">
        <w:t xml:space="preserve">contentions of their own. </w:t>
      </w:r>
      <w:r w:rsidR="004A207D">
        <w:t xml:space="preserve"> </w:t>
      </w:r>
      <w:r w:rsidR="00F95141">
        <w:t xml:space="preserve">First, under the doctrine of issue preclusion, </w:t>
      </w:r>
      <w:r w:rsidR="00E45BE4">
        <w:t xml:space="preserve">they claim </w:t>
      </w:r>
      <w:r w:rsidR="00F95141">
        <w:t xml:space="preserve">Beaudreaux is bound by the 2009 jury findings that he personally used a firearm and inflicted great bodily harm, causing Drummond’s death. </w:t>
      </w:r>
      <w:r w:rsidR="00901643">
        <w:t xml:space="preserve"> </w:t>
      </w:r>
      <w:r w:rsidR="00F95141">
        <w:t xml:space="preserve">Second, under the doctrine of law of the case, </w:t>
      </w:r>
      <w:r w:rsidR="00A0234E">
        <w:t xml:space="preserve">they claim </w:t>
      </w:r>
      <w:r w:rsidR="00F95141">
        <w:t>Beaudreaux is bound by our 2020 affirmance of his first resentencing petition</w:t>
      </w:r>
      <w:r w:rsidR="0020194C">
        <w:t xml:space="preserve"> in </w:t>
      </w:r>
      <w:r w:rsidR="0020194C" w:rsidRPr="0020194C">
        <w:rPr>
          <w:i/>
          <w:iCs/>
        </w:rPr>
        <w:t>Beaudreaux</w:t>
      </w:r>
      <w:r w:rsidR="002F459C">
        <w:rPr>
          <w:i/>
          <w:iCs/>
        </w:rPr>
        <w:t> </w:t>
      </w:r>
      <w:r w:rsidR="0020194C" w:rsidRPr="0020194C">
        <w:rPr>
          <w:i/>
          <w:iCs/>
        </w:rPr>
        <w:t>II</w:t>
      </w:r>
      <w:r w:rsidR="00F95141">
        <w:t xml:space="preserve">.  </w:t>
      </w:r>
      <w:r w:rsidR="007F6574">
        <w:t>Third, whether or not</w:t>
      </w:r>
      <w:r w:rsidR="0004602F">
        <w:t xml:space="preserve"> Beaudre</w:t>
      </w:r>
      <w:r w:rsidR="00EE232D">
        <w:t>a</w:t>
      </w:r>
      <w:r w:rsidR="0004602F">
        <w:t>ux is procedurally barred</w:t>
      </w:r>
      <w:r w:rsidR="0096416B">
        <w:t xml:space="preserve">, </w:t>
      </w:r>
      <w:r w:rsidR="00597AF5">
        <w:t xml:space="preserve">they claim </w:t>
      </w:r>
      <w:r w:rsidR="00772E22">
        <w:t>any pro</w:t>
      </w:r>
      <w:r w:rsidR="005920EA">
        <w:t>cedural error here was harmless because t</w:t>
      </w:r>
      <w:r w:rsidR="0096416B">
        <w:t xml:space="preserve">he record of conviction conclusively demonstrates he was </w:t>
      </w:r>
      <w:r w:rsidR="00E9732E">
        <w:t xml:space="preserve">Drummond’s </w:t>
      </w:r>
      <w:r w:rsidR="0096416B">
        <w:t>actual killer</w:t>
      </w:r>
      <w:r w:rsidR="00E9732E">
        <w:t xml:space="preserve">. </w:t>
      </w:r>
    </w:p>
    <w:p w14:paraId="34D07055" w14:textId="21733A1B" w:rsidR="00C27A75" w:rsidRDefault="00C42495" w:rsidP="00C27A75">
      <w:r>
        <w:t xml:space="preserve">In evaluating these competing </w:t>
      </w:r>
      <w:r w:rsidR="00727444">
        <w:t>contentions</w:t>
      </w:r>
      <w:r>
        <w:t xml:space="preserve">, our </w:t>
      </w:r>
      <w:r w:rsidR="00A5640A">
        <w:t>standard of review</w:t>
      </w:r>
      <w:r>
        <w:t xml:space="preserve"> is de novo.  We independently review </w:t>
      </w:r>
      <w:r w:rsidR="0069618E">
        <w:t xml:space="preserve">the </w:t>
      </w:r>
      <w:r>
        <w:t>denial of a resentencing petition at the prima facie stage, whether the denial is based on the issue preclusion doctrine (</w:t>
      </w:r>
      <w:r>
        <w:rPr>
          <w:i/>
          <w:iCs/>
        </w:rPr>
        <w:t xml:space="preserve">Cheveldave v. Tri Palms Unified Owners Assn. </w:t>
      </w:r>
      <w:r>
        <w:t>(2018) 27</w:t>
      </w:r>
      <w:r w:rsidR="001978FF">
        <w:t> </w:t>
      </w:r>
      <w:r>
        <w:t>Cal.App.5th 1202, 1218</w:t>
      </w:r>
      <w:r w:rsidR="00746542">
        <w:t>–</w:t>
      </w:r>
      <w:r>
        <w:t>1219), the law of the case doctrine (</w:t>
      </w:r>
      <w:r>
        <w:rPr>
          <w:i/>
          <w:iCs/>
        </w:rPr>
        <w:t xml:space="preserve">Leider v. Lewis </w:t>
      </w:r>
      <w:r>
        <w:t>(2017) 2</w:t>
      </w:r>
      <w:r w:rsidR="004A2E1B">
        <w:t> </w:t>
      </w:r>
      <w:r>
        <w:t>Cal.5th 1121, 1125, 1127), or</w:t>
      </w:r>
      <w:r w:rsidR="00FA2B4A">
        <w:t>,</w:t>
      </w:r>
      <w:r>
        <w:t xml:space="preserve"> </w:t>
      </w:r>
      <w:r w:rsidR="006B3A70">
        <w:t>more generally,</w:t>
      </w:r>
      <w:r>
        <w:t xml:space="preserve"> failure by the petitioner to make a prima facie showing under section 117</w:t>
      </w:r>
      <w:r w:rsidR="009E3A0D">
        <w:t>2.6</w:t>
      </w:r>
      <w:r>
        <w:t xml:space="preserve"> (</w:t>
      </w:r>
      <w:r>
        <w:rPr>
          <w:i/>
          <w:iCs/>
        </w:rPr>
        <w:t>People v. Hard</w:t>
      </w:r>
      <w:r w:rsidR="00FB3DC3">
        <w:rPr>
          <w:i/>
          <w:iCs/>
        </w:rPr>
        <w:t>e</w:t>
      </w:r>
      <w:r>
        <w:rPr>
          <w:i/>
          <w:iCs/>
        </w:rPr>
        <w:t xml:space="preserve">n </w:t>
      </w:r>
      <w:r>
        <w:t>(2022) 81</w:t>
      </w:r>
      <w:r w:rsidR="004A2E1B">
        <w:t> </w:t>
      </w:r>
      <w:r>
        <w:t xml:space="preserve">Cal.App.5th 45, 52).  </w:t>
      </w:r>
    </w:p>
    <w:p w14:paraId="6212178E" w14:textId="3699D68E" w:rsidR="004A0544" w:rsidRDefault="00C42495" w:rsidP="00D35F92">
      <w:pPr>
        <w:pStyle w:val="Heading2"/>
      </w:pPr>
      <w:r>
        <w:lastRenderedPageBreak/>
        <w:t>Analysis</w:t>
      </w:r>
    </w:p>
    <w:p w14:paraId="721F5B42" w14:textId="17E674AC" w:rsidR="00521E2D" w:rsidRDefault="00C42495" w:rsidP="00D6198B">
      <w:pPr>
        <w:rPr>
          <w:rFonts w:cs="Times New Roman"/>
        </w:rPr>
      </w:pPr>
      <w:r>
        <w:rPr>
          <w:rFonts w:cs="Times New Roman"/>
        </w:rPr>
        <w:t xml:space="preserve">We need not address the People’s law of the case argument because we conclude </w:t>
      </w:r>
      <w:r w:rsidR="00845F3A">
        <w:rPr>
          <w:rFonts w:cs="Times New Roman"/>
        </w:rPr>
        <w:t>t</w:t>
      </w:r>
      <w:r>
        <w:rPr>
          <w:rFonts w:cs="Times New Roman"/>
        </w:rPr>
        <w:t>heir issue preclusion argument is correct</w:t>
      </w:r>
      <w:r w:rsidR="00C92979">
        <w:rPr>
          <w:rFonts w:cs="Times New Roman"/>
        </w:rPr>
        <w:t xml:space="preserve">, </w:t>
      </w:r>
      <w:r w:rsidR="003D2088">
        <w:rPr>
          <w:rFonts w:cs="Times New Roman"/>
        </w:rPr>
        <w:t xml:space="preserve">which fully </w:t>
      </w:r>
      <w:r w:rsidR="00C92979">
        <w:rPr>
          <w:rFonts w:cs="Times New Roman"/>
        </w:rPr>
        <w:t>resolves the appeal</w:t>
      </w:r>
      <w:r w:rsidR="00C3262F">
        <w:rPr>
          <w:rFonts w:cs="Times New Roman"/>
        </w:rPr>
        <w:t xml:space="preserve"> on harmless error grounds</w:t>
      </w:r>
      <w:r>
        <w:rPr>
          <w:rFonts w:cs="Times New Roman"/>
        </w:rPr>
        <w:t xml:space="preserve">.  </w:t>
      </w:r>
      <w:r w:rsidR="009E30AC" w:rsidRPr="00521E2D">
        <w:rPr>
          <w:rFonts w:eastAsia="Times New Roman" w:cs="Times New Roman"/>
          <w:color w:val="000000"/>
        </w:rPr>
        <w:t>We “</w:t>
      </w:r>
      <w:r w:rsidR="00B824D2">
        <w:rPr>
          <w:rFonts w:eastAsia="Times New Roman" w:cs="Times New Roman"/>
          <w:color w:val="000000"/>
        </w:rPr>
        <w:t> </w:t>
      </w:r>
      <w:r w:rsidR="009E30AC" w:rsidRPr="00521E2D">
        <w:rPr>
          <w:rFonts w:eastAsia="Times New Roman" w:cs="Times New Roman"/>
          <w:color w:val="000000"/>
        </w:rPr>
        <w:t>‘review the</w:t>
      </w:r>
      <w:r w:rsidR="009E30AC">
        <w:rPr>
          <w:rFonts w:eastAsia="Times New Roman" w:cs="Times New Roman"/>
          <w:color w:val="000000"/>
        </w:rPr>
        <w:t xml:space="preserve"> [trial court’s]</w:t>
      </w:r>
      <w:r w:rsidR="009E30AC" w:rsidRPr="00521E2D">
        <w:rPr>
          <w:rFonts w:eastAsia="Times New Roman" w:cs="Times New Roman"/>
          <w:color w:val="000000"/>
        </w:rPr>
        <w:t xml:space="preserve"> ruling, not the court</w:t>
      </w:r>
      <w:r w:rsidR="00D92CB8">
        <w:rPr>
          <w:rFonts w:eastAsia="Times New Roman" w:cs="Times New Roman"/>
          <w:color w:val="000000"/>
        </w:rPr>
        <w:t>’</w:t>
      </w:r>
      <w:r w:rsidR="009E30AC" w:rsidRPr="00521E2D">
        <w:rPr>
          <w:rFonts w:eastAsia="Times New Roman" w:cs="Times New Roman"/>
          <w:color w:val="000000"/>
        </w:rPr>
        <w:t>s reasoning, and</w:t>
      </w:r>
      <w:r w:rsidR="00834BF1">
        <w:rPr>
          <w:rFonts w:eastAsia="Times New Roman" w:cs="Times New Roman"/>
          <w:color w:val="000000"/>
        </w:rPr>
        <w:t>,</w:t>
      </w:r>
      <w:r w:rsidR="009E30AC" w:rsidRPr="00521E2D">
        <w:rPr>
          <w:rFonts w:eastAsia="Times New Roman" w:cs="Times New Roman"/>
          <w:color w:val="000000"/>
        </w:rPr>
        <w:t xml:space="preserve"> if the ruling was correct on </w:t>
      </w:r>
      <w:r w:rsidR="009E30AC" w:rsidRPr="00521E2D">
        <w:rPr>
          <w:rFonts w:eastAsia="Times New Roman" w:cs="Times New Roman"/>
          <w:color w:val="000000"/>
          <w:bdr w:val="none" w:sz="0" w:space="0" w:color="auto" w:frame="1"/>
          <w:shd w:val="clear" w:color="auto" w:fill="FFFFFF"/>
        </w:rPr>
        <w:t>any</w:t>
      </w:r>
      <w:r w:rsidR="009E30AC" w:rsidRPr="00521E2D">
        <w:rPr>
          <w:rFonts w:eastAsia="Times New Roman" w:cs="Times New Roman"/>
          <w:color w:val="000000"/>
        </w:rPr>
        <w:t xml:space="preserve"> </w:t>
      </w:r>
      <w:r w:rsidR="009E30AC" w:rsidRPr="00521E2D">
        <w:rPr>
          <w:rFonts w:eastAsia="Times New Roman" w:cs="Times New Roman"/>
          <w:color w:val="000000"/>
          <w:bdr w:val="none" w:sz="0" w:space="0" w:color="auto" w:frame="1"/>
          <w:shd w:val="clear" w:color="auto" w:fill="FFFFFF"/>
        </w:rPr>
        <w:t>ground</w:t>
      </w:r>
      <w:r w:rsidR="009E30AC" w:rsidRPr="00521E2D">
        <w:rPr>
          <w:rFonts w:eastAsia="Times New Roman" w:cs="Times New Roman"/>
          <w:color w:val="000000"/>
        </w:rPr>
        <w:t xml:space="preserve">, we </w:t>
      </w:r>
      <w:r w:rsidR="009E30AC" w:rsidRPr="00521E2D">
        <w:rPr>
          <w:rFonts w:eastAsia="Times New Roman" w:cs="Times New Roman"/>
          <w:color w:val="000000"/>
          <w:bdr w:val="none" w:sz="0" w:space="0" w:color="auto" w:frame="1"/>
          <w:shd w:val="clear" w:color="auto" w:fill="FFFFFF"/>
        </w:rPr>
        <w:t>affirm</w:t>
      </w:r>
      <w:r w:rsidR="009E30AC" w:rsidRPr="00521E2D">
        <w:rPr>
          <w:rFonts w:eastAsia="Times New Roman" w:cs="Times New Roman"/>
          <w:color w:val="000000"/>
        </w:rPr>
        <w:t>.’</w:t>
      </w:r>
      <w:r w:rsidR="00834BF1">
        <w:rPr>
          <w:rFonts w:eastAsia="Times New Roman" w:cs="Times New Roman"/>
          <w:color w:val="000000"/>
        </w:rPr>
        <w:t> </w:t>
      </w:r>
      <w:r w:rsidR="009E30AC" w:rsidRPr="00521E2D">
        <w:rPr>
          <w:rFonts w:eastAsia="Times New Roman" w:cs="Times New Roman"/>
          <w:color w:val="000000"/>
        </w:rPr>
        <w:t>”</w:t>
      </w:r>
      <w:r w:rsidR="009E30AC">
        <w:rPr>
          <w:rFonts w:eastAsia="Times New Roman" w:cs="Times New Roman"/>
          <w:color w:val="000000"/>
        </w:rPr>
        <w:t xml:space="preserve"> </w:t>
      </w:r>
      <w:r w:rsidR="009E30AC" w:rsidRPr="00521E2D">
        <w:rPr>
          <w:rFonts w:eastAsia="Times New Roman" w:cs="Times New Roman"/>
          <w:color w:val="000000"/>
        </w:rPr>
        <w:t xml:space="preserve"> (</w:t>
      </w:r>
      <w:r w:rsidR="009E30AC" w:rsidRPr="00521E2D">
        <w:rPr>
          <w:rFonts w:eastAsia="Times New Roman" w:cs="Times New Roman"/>
          <w:i/>
          <w:iCs/>
          <w:color w:val="3D3D3D"/>
          <w:bdr w:val="none" w:sz="0" w:space="0" w:color="auto" w:frame="1"/>
        </w:rPr>
        <w:t>People v. Chism</w:t>
      </w:r>
      <w:r w:rsidR="009E30AC" w:rsidRPr="00521E2D">
        <w:rPr>
          <w:rFonts w:eastAsia="Times New Roman" w:cs="Times New Roman"/>
          <w:color w:val="000000"/>
        </w:rPr>
        <w:t xml:space="preserve"> (2014) 58</w:t>
      </w:r>
      <w:r w:rsidR="00EF766D">
        <w:rPr>
          <w:rFonts w:eastAsia="Times New Roman" w:cs="Times New Roman"/>
          <w:color w:val="000000"/>
        </w:rPr>
        <w:t> </w:t>
      </w:r>
      <w:r w:rsidR="009E30AC" w:rsidRPr="00521E2D">
        <w:rPr>
          <w:rFonts w:eastAsia="Times New Roman" w:cs="Times New Roman"/>
          <w:color w:val="000000"/>
        </w:rPr>
        <w:t>Cal.4th 1266, 1295, fn.</w:t>
      </w:r>
      <w:r w:rsidR="00EF766D">
        <w:rPr>
          <w:rFonts w:eastAsia="Times New Roman" w:cs="Times New Roman"/>
          <w:color w:val="000000"/>
        </w:rPr>
        <w:t> </w:t>
      </w:r>
      <w:r w:rsidR="009E30AC" w:rsidRPr="00521E2D">
        <w:rPr>
          <w:rFonts w:eastAsia="Times New Roman" w:cs="Times New Roman"/>
          <w:color w:val="000000"/>
        </w:rPr>
        <w:t>12.)</w:t>
      </w:r>
      <w:r w:rsidR="009E30AC">
        <w:rPr>
          <w:rFonts w:eastAsia="Times New Roman" w:cs="Times New Roman"/>
          <w:color w:val="000000"/>
        </w:rPr>
        <w:t xml:space="preserve">  Here, w</w:t>
      </w:r>
      <w:r>
        <w:rPr>
          <w:rFonts w:cs="Times New Roman"/>
        </w:rPr>
        <w:t xml:space="preserve">hile we agree with Beaudreaux that the </w:t>
      </w:r>
      <w:r w:rsidR="00BF03F0">
        <w:rPr>
          <w:rFonts w:cs="Times New Roman"/>
        </w:rPr>
        <w:t xml:space="preserve">trial </w:t>
      </w:r>
      <w:r>
        <w:rPr>
          <w:rFonts w:cs="Times New Roman"/>
        </w:rPr>
        <w:t xml:space="preserve">court erred by failing to appoint counsel and by relying on substantive facts stated in </w:t>
      </w:r>
      <w:r w:rsidR="00BA40C1" w:rsidRPr="00BA40C1">
        <w:rPr>
          <w:rFonts w:cs="Times New Roman"/>
          <w:i/>
          <w:iCs/>
        </w:rPr>
        <w:t>Beaudreaux</w:t>
      </w:r>
      <w:r w:rsidR="00EF766D">
        <w:rPr>
          <w:rFonts w:cs="Times New Roman"/>
          <w:i/>
          <w:iCs/>
        </w:rPr>
        <w:t> </w:t>
      </w:r>
      <w:r w:rsidR="00BA40C1" w:rsidRPr="00BA40C1">
        <w:rPr>
          <w:rFonts w:cs="Times New Roman"/>
          <w:i/>
          <w:iCs/>
        </w:rPr>
        <w:t>I</w:t>
      </w:r>
      <w:r>
        <w:rPr>
          <w:rFonts w:cs="Times New Roman"/>
        </w:rPr>
        <w:t>, the</w:t>
      </w:r>
      <w:r w:rsidR="00C8562A">
        <w:rPr>
          <w:rFonts w:cs="Times New Roman"/>
        </w:rPr>
        <w:t>se procedural errors are statutory only</w:t>
      </w:r>
      <w:r w:rsidR="003A6DDD">
        <w:rPr>
          <w:rFonts w:cs="Times New Roman"/>
        </w:rPr>
        <w:t>, and thus</w:t>
      </w:r>
      <w:r w:rsidR="0078052E">
        <w:rPr>
          <w:rFonts w:cs="Times New Roman"/>
        </w:rPr>
        <w:t>,</w:t>
      </w:r>
      <w:r w:rsidR="003A6DDD">
        <w:rPr>
          <w:rFonts w:cs="Times New Roman"/>
        </w:rPr>
        <w:t xml:space="preserve"> are </w:t>
      </w:r>
      <w:r w:rsidR="003A6DDD" w:rsidRPr="00521E2D">
        <w:rPr>
          <w:rFonts w:cs="Times New Roman"/>
        </w:rPr>
        <w:t xml:space="preserve">governed by the </w:t>
      </w:r>
      <w:r w:rsidR="002D7188" w:rsidRPr="00521E2D">
        <w:rPr>
          <w:rFonts w:cs="Times New Roman"/>
        </w:rPr>
        <w:t xml:space="preserve">usual </w:t>
      </w:r>
      <w:r w:rsidR="003A6DDD" w:rsidRPr="00521E2D">
        <w:rPr>
          <w:rFonts w:cs="Times New Roman"/>
        </w:rPr>
        <w:t xml:space="preserve">harmless error </w:t>
      </w:r>
      <w:r w:rsidR="002D7188" w:rsidRPr="00521E2D">
        <w:rPr>
          <w:rFonts w:cs="Times New Roman"/>
        </w:rPr>
        <w:t xml:space="preserve">for </w:t>
      </w:r>
      <w:r w:rsidR="00435C74" w:rsidRPr="00521E2D">
        <w:rPr>
          <w:rFonts w:cs="Times New Roman"/>
        </w:rPr>
        <w:t>non-const</w:t>
      </w:r>
      <w:r w:rsidRPr="00521E2D">
        <w:rPr>
          <w:rFonts w:cs="Times New Roman"/>
        </w:rPr>
        <w:t>it</w:t>
      </w:r>
      <w:r w:rsidR="00435C74" w:rsidRPr="00521E2D">
        <w:rPr>
          <w:rFonts w:cs="Times New Roman"/>
        </w:rPr>
        <w:t xml:space="preserve">utional </w:t>
      </w:r>
      <w:r w:rsidR="002D7188" w:rsidRPr="00521E2D">
        <w:rPr>
          <w:rFonts w:cs="Times New Roman"/>
        </w:rPr>
        <w:t xml:space="preserve">error. </w:t>
      </w:r>
      <w:r w:rsidR="00D20E40" w:rsidRPr="00521E2D">
        <w:rPr>
          <w:rFonts w:cs="Times New Roman"/>
        </w:rPr>
        <w:t xml:space="preserve"> </w:t>
      </w:r>
      <w:r w:rsidR="002D7188" w:rsidRPr="00521E2D">
        <w:rPr>
          <w:rFonts w:cs="Times New Roman"/>
        </w:rPr>
        <w:t>(</w:t>
      </w:r>
      <w:r w:rsidR="002D7188" w:rsidRPr="00521E2D">
        <w:rPr>
          <w:rFonts w:cs="Times New Roman"/>
          <w:i/>
          <w:iCs/>
        </w:rPr>
        <w:t>Lewis</w:t>
      </w:r>
      <w:r w:rsidR="002D7188" w:rsidRPr="00521E2D">
        <w:rPr>
          <w:rFonts w:cs="Times New Roman"/>
        </w:rPr>
        <w:t xml:space="preserve">, </w:t>
      </w:r>
      <w:r w:rsidR="002D7188" w:rsidRPr="00521E2D">
        <w:rPr>
          <w:rFonts w:cs="Times New Roman"/>
          <w:i/>
          <w:iCs/>
        </w:rPr>
        <w:t>supra</w:t>
      </w:r>
      <w:r w:rsidR="002D7188" w:rsidRPr="00521E2D">
        <w:rPr>
          <w:rFonts w:cs="Times New Roman"/>
        </w:rPr>
        <w:t>, 11</w:t>
      </w:r>
      <w:r w:rsidR="00EF766D">
        <w:rPr>
          <w:rFonts w:cs="Times New Roman"/>
        </w:rPr>
        <w:t> </w:t>
      </w:r>
      <w:r w:rsidR="002D7188" w:rsidRPr="00521E2D">
        <w:rPr>
          <w:rFonts w:cs="Times New Roman"/>
        </w:rPr>
        <w:t>Cal.5th at pp.</w:t>
      </w:r>
      <w:r w:rsidR="00545398">
        <w:rPr>
          <w:rFonts w:cs="Times New Roman"/>
        </w:rPr>
        <w:t> </w:t>
      </w:r>
      <w:r w:rsidR="002D7188" w:rsidRPr="00521E2D">
        <w:rPr>
          <w:rFonts w:cs="Times New Roman"/>
        </w:rPr>
        <w:t>972</w:t>
      </w:r>
      <w:r w:rsidR="00E82A72">
        <w:t>–</w:t>
      </w:r>
      <w:r w:rsidR="002D7188" w:rsidRPr="00521E2D">
        <w:rPr>
          <w:rFonts w:cs="Times New Roman"/>
        </w:rPr>
        <w:t>974</w:t>
      </w:r>
      <w:r w:rsidR="00D20E40" w:rsidRPr="00521E2D">
        <w:rPr>
          <w:rFonts w:cs="Times New Roman"/>
        </w:rPr>
        <w:t>; see</w:t>
      </w:r>
      <w:r w:rsidRPr="00521E2D">
        <w:rPr>
          <w:rFonts w:cs="Times New Roman"/>
        </w:rPr>
        <w:t xml:space="preserve"> </w:t>
      </w:r>
      <w:r w:rsidRPr="00521E2D">
        <w:rPr>
          <w:rFonts w:cs="Times New Roman"/>
          <w:i/>
        </w:rPr>
        <w:t xml:space="preserve">People </w:t>
      </w:r>
      <w:r w:rsidR="00D20E40" w:rsidRPr="00521E2D">
        <w:rPr>
          <w:rFonts w:cs="Times New Roman"/>
          <w:i/>
          <w:iCs/>
        </w:rPr>
        <w:t>v</w:t>
      </w:r>
      <w:r w:rsidR="00D20E40" w:rsidRPr="00521E2D">
        <w:rPr>
          <w:rFonts w:cs="Times New Roman"/>
        </w:rPr>
        <w:t xml:space="preserve">. </w:t>
      </w:r>
      <w:r w:rsidR="00D20E40" w:rsidRPr="00521E2D">
        <w:rPr>
          <w:rFonts w:cs="Times New Roman"/>
          <w:i/>
          <w:iCs/>
        </w:rPr>
        <w:t>Watson</w:t>
      </w:r>
      <w:r w:rsidR="00D20E40" w:rsidRPr="00521E2D">
        <w:rPr>
          <w:rFonts w:cs="Times New Roman"/>
        </w:rPr>
        <w:t xml:space="preserve"> (1956) 46</w:t>
      </w:r>
      <w:r w:rsidR="00EF766D">
        <w:rPr>
          <w:rFonts w:cs="Times New Roman"/>
        </w:rPr>
        <w:t> </w:t>
      </w:r>
      <w:r w:rsidR="00D20E40" w:rsidRPr="00521E2D">
        <w:rPr>
          <w:rFonts w:cs="Times New Roman"/>
        </w:rPr>
        <w:t>Cal.2d 818, 836</w:t>
      </w:r>
      <w:r w:rsidR="002D7188" w:rsidRPr="00521E2D">
        <w:rPr>
          <w:rFonts w:cs="Times New Roman"/>
        </w:rPr>
        <w:t xml:space="preserve">.)  </w:t>
      </w:r>
    </w:p>
    <w:p w14:paraId="2C025B9F" w14:textId="6E11E05E" w:rsidR="003A6453" w:rsidRDefault="00C42495" w:rsidP="00D6198B">
      <w:pPr>
        <w:rPr>
          <w:rFonts w:cs="Times New Roman"/>
        </w:rPr>
      </w:pPr>
      <w:r>
        <w:rPr>
          <w:rFonts w:cs="Times New Roman"/>
        </w:rPr>
        <w:t xml:space="preserve">Applying the </w:t>
      </w:r>
      <w:r w:rsidRPr="00142957">
        <w:rPr>
          <w:rFonts w:cs="Times New Roman"/>
          <w:i/>
          <w:iCs/>
        </w:rPr>
        <w:t>Watson</w:t>
      </w:r>
      <w:r>
        <w:rPr>
          <w:rFonts w:cs="Times New Roman"/>
        </w:rPr>
        <w:t xml:space="preserve"> </w:t>
      </w:r>
      <w:r w:rsidR="00142957">
        <w:rPr>
          <w:rFonts w:cs="Times New Roman"/>
        </w:rPr>
        <w:t xml:space="preserve">harmless error </w:t>
      </w:r>
      <w:r>
        <w:rPr>
          <w:rFonts w:cs="Times New Roman"/>
        </w:rPr>
        <w:t xml:space="preserve">standard, we ask whether </w:t>
      </w:r>
      <w:r w:rsidR="00D20E40">
        <w:rPr>
          <w:rFonts w:cs="Times New Roman"/>
        </w:rPr>
        <w:t xml:space="preserve">it </w:t>
      </w:r>
      <w:r>
        <w:rPr>
          <w:rFonts w:cs="Times New Roman"/>
        </w:rPr>
        <w:t xml:space="preserve">is </w:t>
      </w:r>
      <w:r w:rsidR="003A6DDD">
        <w:rPr>
          <w:rFonts w:cs="Times New Roman"/>
        </w:rPr>
        <w:t>reasonably probable</w:t>
      </w:r>
      <w:r w:rsidR="00D6198B">
        <w:rPr>
          <w:rFonts w:cs="Times New Roman"/>
        </w:rPr>
        <w:t xml:space="preserve"> that </w:t>
      </w:r>
      <w:r w:rsidR="003A6DDD">
        <w:rPr>
          <w:rFonts w:cs="Times New Roman"/>
        </w:rPr>
        <w:t>Beaudreaux</w:t>
      </w:r>
      <w:r w:rsidR="003A2CFC">
        <w:rPr>
          <w:rFonts w:cs="Times New Roman"/>
        </w:rPr>
        <w:t xml:space="preserve">’s </w:t>
      </w:r>
      <w:r w:rsidR="00C532E3">
        <w:rPr>
          <w:rFonts w:cs="Times New Roman"/>
        </w:rPr>
        <w:t xml:space="preserve">petition </w:t>
      </w:r>
      <w:r w:rsidR="00D207CD">
        <w:rPr>
          <w:rFonts w:cs="Times New Roman"/>
        </w:rPr>
        <w:t>would have</w:t>
      </w:r>
      <w:r w:rsidR="003A2CFC">
        <w:rPr>
          <w:rFonts w:cs="Times New Roman"/>
        </w:rPr>
        <w:t xml:space="preserve"> survived s</w:t>
      </w:r>
      <w:r w:rsidR="003A6DDD">
        <w:rPr>
          <w:rFonts w:cs="Times New Roman"/>
        </w:rPr>
        <w:t>ummar</w:t>
      </w:r>
      <w:r w:rsidR="003A2CFC">
        <w:rPr>
          <w:rFonts w:cs="Times New Roman"/>
        </w:rPr>
        <w:t>y dismissal</w:t>
      </w:r>
      <w:r w:rsidR="00D37687">
        <w:rPr>
          <w:rFonts w:cs="Times New Roman"/>
        </w:rPr>
        <w:t xml:space="preserve"> if the</w:t>
      </w:r>
      <w:r w:rsidR="000005EB">
        <w:rPr>
          <w:rFonts w:cs="Times New Roman"/>
        </w:rPr>
        <w:t>se</w:t>
      </w:r>
      <w:r w:rsidR="00D37687">
        <w:rPr>
          <w:rFonts w:cs="Times New Roman"/>
        </w:rPr>
        <w:t xml:space="preserve"> </w:t>
      </w:r>
      <w:r w:rsidR="00405D4C">
        <w:rPr>
          <w:rFonts w:cs="Times New Roman"/>
        </w:rPr>
        <w:t xml:space="preserve">procedural </w:t>
      </w:r>
      <w:r w:rsidR="00D37687">
        <w:rPr>
          <w:rFonts w:cs="Times New Roman"/>
        </w:rPr>
        <w:t>error</w:t>
      </w:r>
      <w:r w:rsidR="000005EB">
        <w:rPr>
          <w:rFonts w:cs="Times New Roman"/>
        </w:rPr>
        <w:t>s</w:t>
      </w:r>
      <w:r w:rsidR="00D37687">
        <w:rPr>
          <w:rFonts w:cs="Times New Roman"/>
        </w:rPr>
        <w:t xml:space="preserve"> had not occurred</w:t>
      </w:r>
      <w:r>
        <w:rPr>
          <w:rFonts w:cs="Times New Roman"/>
        </w:rPr>
        <w:t xml:space="preserve">. </w:t>
      </w:r>
      <w:r w:rsidR="00C16E2F">
        <w:rPr>
          <w:rFonts w:cs="Times New Roman"/>
        </w:rPr>
        <w:t xml:space="preserve"> </w:t>
      </w:r>
      <w:r w:rsidR="00C16D68">
        <w:rPr>
          <w:rFonts w:cs="Times New Roman"/>
        </w:rPr>
        <w:t xml:space="preserve">We think not.  </w:t>
      </w:r>
      <w:r w:rsidR="00D37687" w:rsidRPr="00BA40C1">
        <w:rPr>
          <w:rFonts w:cs="Times New Roman"/>
        </w:rPr>
        <w:t>Beaudreaux i</w:t>
      </w:r>
      <w:r w:rsidR="00D37687">
        <w:rPr>
          <w:rFonts w:cs="Times New Roman"/>
        </w:rPr>
        <w:t xml:space="preserve">s bound under the doctrine of issue preclusion by </w:t>
      </w:r>
      <w:r w:rsidR="00712325">
        <w:rPr>
          <w:rFonts w:cs="Times New Roman"/>
        </w:rPr>
        <w:t xml:space="preserve">the </w:t>
      </w:r>
      <w:r w:rsidR="00CD5A4F">
        <w:rPr>
          <w:rFonts w:cs="Times New Roman"/>
        </w:rPr>
        <w:t xml:space="preserve">jury </w:t>
      </w:r>
      <w:r w:rsidR="00D37687">
        <w:rPr>
          <w:rFonts w:cs="Times New Roman"/>
        </w:rPr>
        <w:t xml:space="preserve">findings </w:t>
      </w:r>
      <w:r w:rsidR="00712325">
        <w:rPr>
          <w:rFonts w:cs="Times New Roman"/>
        </w:rPr>
        <w:t xml:space="preserve">that he </w:t>
      </w:r>
      <w:r w:rsidR="00160E10">
        <w:rPr>
          <w:rFonts w:cs="Times New Roman"/>
        </w:rPr>
        <w:t xml:space="preserve">personally and intentionally </w:t>
      </w:r>
      <w:r w:rsidR="00712325">
        <w:rPr>
          <w:rFonts w:cs="Times New Roman"/>
        </w:rPr>
        <w:t>fired a weapon in the course of an attempted robbery</w:t>
      </w:r>
      <w:r w:rsidR="00873923">
        <w:rPr>
          <w:rFonts w:cs="Times New Roman"/>
        </w:rPr>
        <w:t xml:space="preserve"> </w:t>
      </w:r>
      <w:r w:rsidR="005D189F">
        <w:rPr>
          <w:rFonts w:cs="Times New Roman"/>
        </w:rPr>
        <w:t>that</w:t>
      </w:r>
      <w:r w:rsidR="00273B4B">
        <w:rPr>
          <w:rFonts w:cs="Times New Roman"/>
        </w:rPr>
        <w:t xml:space="preserve"> caus</w:t>
      </w:r>
      <w:r w:rsidR="005D189F">
        <w:rPr>
          <w:rFonts w:cs="Times New Roman"/>
        </w:rPr>
        <w:t>ed</w:t>
      </w:r>
      <w:r w:rsidR="00D7143E">
        <w:rPr>
          <w:rFonts w:cs="Times New Roman"/>
        </w:rPr>
        <w:t xml:space="preserve"> </w:t>
      </w:r>
      <w:r w:rsidR="00273B4B">
        <w:rPr>
          <w:rFonts w:cs="Times New Roman"/>
        </w:rPr>
        <w:t>the death of Drummond</w:t>
      </w:r>
      <w:r w:rsidR="00C16E2F">
        <w:rPr>
          <w:rFonts w:cs="Times New Roman"/>
        </w:rPr>
        <w:t>.</w:t>
      </w:r>
      <w:r w:rsidR="001413F0">
        <w:rPr>
          <w:rFonts w:cs="Times New Roman"/>
        </w:rPr>
        <w:t xml:space="preserve">  As we read </w:t>
      </w:r>
      <w:r w:rsidR="00D6198B">
        <w:rPr>
          <w:rFonts w:cs="Times New Roman"/>
        </w:rPr>
        <w:t xml:space="preserve">those </w:t>
      </w:r>
      <w:r w:rsidR="001413F0">
        <w:rPr>
          <w:rFonts w:cs="Times New Roman"/>
        </w:rPr>
        <w:t>findings</w:t>
      </w:r>
      <w:r w:rsidR="00A3351B">
        <w:rPr>
          <w:rFonts w:cs="Times New Roman"/>
        </w:rPr>
        <w:t xml:space="preserve">, </w:t>
      </w:r>
      <w:r w:rsidR="00174383">
        <w:rPr>
          <w:rFonts w:cs="Times New Roman"/>
        </w:rPr>
        <w:t xml:space="preserve">the </w:t>
      </w:r>
      <w:r>
        <w:rPr>
          <w:rFonts w:cs="Times New Roman"/>
        </w:rPr>
        <w:t xml:space="preserve">jury necessarily found Beaudreaux to be </w:t>
      </w:r>
      <w:r w:rsidR="009536EC">
        <w:rPr>
          <w:rFonts w:cs="Times New Roman"/>
        </w:rPr>
        <w:t>the</w:t>
      </w:r>
      <w:r w:rsidR="007723C5">
        <w:rPr>
          <w:rFonts w:cs="Times New Roman"/>
        </w:rPr>
        <w:t xml:space="preserve"> actual killer</w:t>
      </w:r>
      <w:r>
        <w:rPr>
          <w:rFonts w:cs="Times New Roman"/>
        </w:rPr>
        <w:t xml:space="preserve">.  </w:t>
      </w:r>
      <w:r w:rsidR="00A20D0A">
        <w:rPr>
          <w:rFonts w:cs="Times New Roman"/>
        </w:rPr>
        <w:t>And b</w:t>
      </w:r>
      <w:r w:rsidR="00220C82">
        <w:rPr>
          <w:rFonts w:cs="Times New Roman"/>
        </w:rPr>
        <w:t>ecause th</w:t>
      </w:r>
      <w:r w:rsidR="00DA0603">
        <w:rPr>
          <w:rFonts w:cs="Times New Roman"/>
        </w:rPr>
        <w:t xml:space="preserve">e record of conviction </w:t>
      </w:r>
      <w:r w:rsidR="00220C82">
        <w:rPr>
          <w:rFonts w:cs="Times New Roman"/>
        </w:rPr>
        <w:t xml:space="preserve">irrefutably </w:t>
      </w:r>
      <w:r w:rsidR="002746CC">
        <w:rPr>
          <w:rFonts w:cs="Times New Roman"/>
        </w:rPr>
        <w:t>defeat</w:t>
      </w:r>
      <w:r>
        <w:rPr>
          <w:rFonts w:cs="Times New Roman"/>
        </w:rPr>
        <w:t>s</w:t>
      </w:r>
      <w:r w:rsidR="002746CC">
        <w:rPr>
          <w:rFonts w:cs="Times New Roman"/>
        </w:rPr>
        <w:t xml:space="preserve"> </w:t>
      </w:r>
      <w:r w:rsidR="00632FC6">
        <w:rPr>
          <w:rFonts w:cs="Times New Roman"/>
        </w:rPr>
        <w:t>his</w:t>
      </w:r>
      <w:r>
        <w:rPr>
          <w:rFonts w:cs="Times New Roman"/>
        </w:rPr>
        <w:t xml:space="preserve"> </w:t>
      </w:r>
      <w:r w:rsidR="002746CC">
        <w:rPr>
          <w:rFonts w:cs="Times New Roman"/>
        </w:rPr>
        <w:t xml:space="preserve">allegation that he could not have been convicted of murder under current law, the </w:t>
      </w:r>
      <w:r w:rsidR="00FD520F">
        <w:rPr>
          <w:rFonts w:cs="Times New Roman"/>
        </w:rPr>
        <w:t xml:space="preserve">court’s procedural errors in failing to appoint counsel and relying on </w:t>
      </w:r>
      <w:r w:rsidR="009536EC">
        <w:rPr>
          <w:rFonts w:cs="Times New Roman"/>
        </w:rPr>
        <w:t>substantive</w:t>
      </w:r>
      <w:r w:rsidR="00FD520F">
        <w:rPr>
          <w:rFonts w:cs="Times New Roman"/>
        </w:rPr>
        <w:t xml:space="preserve"> facts recited in </w:t>
      </w:r>
      <w:r w:rsidR="00BA40C1" w:rsidRPr="00BA40C1">
        <w:rPr>
          <w:rFonts w:cs="Times New Roman"/>
          <w:i/>
          <w:iCs/>
        </w:rPr>
        <w:t>Beaudreaux</w:t>
      </w:r>
      <w:r w:rsidR="00B824D2">
        <w:rPr>
          <w:rFonts w:cs="Times New Roman"/>
          <w:i/>
          <w:iCs/>
        </w:rPr>
        <w:t> </w:t>
      </w:r>
      <w:r w:rsidR="00BA40C1" w:rsidRPr="00BA40C1">
        <w:rPr>
          <w:rFonts w:cs="Times New Roman"/>
          <w:i/>
          <w:iCs/>
        </w:rPr>
        <w:t>I</w:t>
      </w:r>
      <w:r w:rsidR="00F07980">
        <w:rPr>
          <w:rFonts w:cs="Times New Roman"/>
        </w:rPr>
        <w:t xml:space="preserve"> are harmless</w:t>
      </w:r>
      <w:r w:rsidR="00686A5E">
        <w:rPr>
          <w:rFonts w:cs="Times New Roman"/>
        </w:rPr>
        <w:t xml:space="preserve">. </w:t>
      </w:r>
      <w:r w:rsidR="00FD520F">
        <w:rPr>
          <w:rFonts w:cs="Times New Roman"/>
        </w:rPr>
        <w:t xml:space="preserve"> </w:t>
      </w:r>
      <w:r w:rsidR="00D37687">
        <w:rPr>
          <w:rFonts w:cs="Times New Roman"/>
        </w:rPr>
        <w:t xml:space="preserve"> </w:t>
      </w:r>
    </w:p>
    <w:p w14:paraId="19F82176" w14:textId="0B070E66" w:rsidR="00D6198B" w:rsidRPr="00B824D2" w:rsidRDefault="00C42495" w:rsidP="00B824D2">
      <w:pPr>
        <w:pStyle w:val="Heading3"/>
      </w:pPr>
      <w:r w:rsidRPr="00B824D2">
        <w:t xml:space="preserve">Issue Preclusion </w:t>
      </w:r>
    </w:p>
    <w:p w14:paraId="530EBF35" w14:textId="4A4BC266" w:rsidR="00847BFF" w:rsidRPr="00155A7A" w:rsidRDefault="00C42495" w:rsidP="00155A7A">
      <w:pPr>
        <w:shd w:val="clear" w:color="auto" w:fill="FFFFFF"/>
        <w:textAlignment w:val="baseline"/>
        <w:rPr>
          <w:color w:val="3D3D3D"/>
        </w:rPr>
      </w:pPr>
      <w:r w:rsidRPr="009E3DB5">
        <w:rPr>
          <w:color w:val="3D3D3D"/>
        </w:rPr>
        <w:t>“</w:t>
      </w:r>
      <w:r w:rsidR="00315837">
        <w:rPr>
          <w:color w:val="3D3D3D"/>
        </w:rPr>
        <w:t> </w:t>
      </w:r>
      <w:r w:rsidR="00BA60C8">
        <w:rPr>
          <w:color w:val="3D3D3D"/>
        </w:rPr>
        <w:t>‘</w:t>
      </w:r>
      <w:r w:rsidRPr="009E3DB5">
        <w:rPr>
          <w:color w:val="3D3D3D"/>
        </w:rPr>
        <w:t>In general, whether a prior finding will be given conclusive effect in a later proceeding is governed by the doctrine of issue preclusion, also known as collateral estoppel.</w:t>
      </w:r>
      <w:r w:rsidR="00BA60C8">
        <w:rPr>
          <w:color w:val="3D3D3D"/>
        </w:rPr>
        <w:t>’</w:t>
      </w:r>
      <w:r w:rsidRPr="009E3DB5">
        <w:rPr>
          <w:color w:val="3D3D3D"/>
        </w:rPr>
        <w:t xml:space="preserve">  [Ci</w:t>
      </w:r>
      <w:r w:rsidR="009275A5" w:rsidRPr="009E3DB5">
        <w:rPr>
          <w:color w:val="3D3D3D"/>
        </w:rPr>
        <w:t>tation.]</w:t>
      </w:r>
      <w:r w:rsidR="007A65B5">
        <w:rPr>
          <w:color w:val="3D3D3D"/>
        </w:rPr>
        <w:t xml:space="preserve">  ‘</w:t>
      </w:r>
      <w:r w:rsidRPr="009E3DB5">
        <w:rPr>
          <w:color w:val="3D3D3D"/>
        </w:rPr>
        <w:t>The doctrine of collateral estoppel, or issue preclusion, is firmly embedded in both federal and California common law.</w:t>
      </w:r>
      <w:r w:rsidR="006606C9">
        <w:rPr>
          <w:color w:val="3D3D3D"/>
        </w:rPr>
        <w:t xml:space="preserve"> </w:t>
      </w:r>
      <w:r w:rsidR="00151C28">
        <w:rPr>
          <w:color w:val="3D3D3D"/>
        </w:rPr>
        <w:t xml:space="preserve"> </w:t>
      </w:r>
      <w:r w:rsidRPr="009E3DB5">
        <w:rPr>
          <w:color w:val="3D3D3D"/>
        </w:rPr>
        <w:t xml:space="preserve">It is grounded on the premise that </w:t>
      </w:r>
      <w:r w:rsidR="0057196A">
        <w:rPr>
          <w:color w:val="3D3D3D"/>
        </w:rPr>
        <w:t>“</w:t>
      </w:r>
      <w:r w:rsidRPr="009E3DB5">
        <w:rPr>
          <w:color w:val="3D3D3D"/>
        </w:rPr>
        <w:t xml:space="preserve">once an issue has been resolved in a </w:t>
      </w:r>
      <w:r w:rsidRPr="009E3DB5">
        <w:rPr>
          <w:color w:val="3D3D3D"/>
        </w:rPr>
        <w:lastRenderedPageBreak/>
        <w:t>prior proceeding, there is no further factfinding function to be performed.</w:t>
      </w:r>
      <w:r w:rsidR="0057196A">
        <w:rPr>
          <w:color w:val="3D3D3D"/>
        </w:rPr>
        <w:t>”</w:t>
      </w:r>
      <w:r w:rsidRPr="009E3DB5">
        <w:rPr>
          <w:color w:val="3D3D3D"/>
        </w:rPr>
        <w:t xml:space="preserve"> </w:t>
      </w:r>
      <w:r w:rsidR="00053836">
        <w:rPr>
          <w:color w:val="3D3D3D"/>
        </w:rPr>
        <w:t xml:space="preserve"> </w:t>
      </w:r>
      <w:r w:rsidRPr="009E3DB5">
        <w:rPr>
          <w:color w:val="3D3D3D"/>
        </w:rPr>
        <w:t>[Citation.]</w:t>
      </w:r>
      <w:r w:rsidR="00053836">
        <w:rPr>
          <w:color w:val="3D3D3D"/>
        </w:rPr>
        <w:t xml:space="preserve"> </w:t>
      </w:r>
      <w:r w:rsidRPr="009E3DB5">
        <w:rPr>
          <w:color w:val="3D3D3D"/>
        </w:rPr>
        <w:t xml:space="preserve"> </w:t>
      </w:r>
      <w:r w:rsidR="0057196A">
        <w:rPr>
          <w:color w:val="3D3D3D"/>
        </w:rPr>
        <w:t>“</w:t>
      </w:r>
      <w:r w:rsidRPr="009E3DB5">
        <w:rPr>
          <w:color w:val="3D3D3D"/>
        </w:rPr>
        <w:t xml:space="preserve">Collateral estoppel </w:t>
      </w:r>
      <w:r w:rsidR="00151C28">
        <w:rPr>
          <w:color w:val="3D3D3D"/>
        </w:rPr>
        <w:t>.</w:t>
      </w:r>
      <w:r w:rsidR="009F7E35">
        <w:rPr>
          <w:color w:val="3D3D3D"/>
        </w:rPr>
        <w:t> </w:t>
      </w:r>
      <w:r w:rsidR="00151C28">
        <w:rPr>
          <w:color w:val="3D3D3D"/>
        </w:rPr>
        <w:t>.</w:t>
      </w:r>
      <w:r w:rsidR="009F7E35">
        <w:rPr>
          <w:color w:val="3D3D3D"/>
        </w:rPr>
        <w:t> </w:t>
      </w:r>
      <w:r w:rsidR="00151C28">
        <w:rPr>
          <w:color w:val="3D3D3D"/>
        </w:rPr>
        <w:t>.</w:t>
      </w:r>
      <w:r w:rsidRPr="009E3DB5">
        <w:rPr>
          <w:color w:val="3D3D3D"/>
        </w:rPr>
        <w:t xml:space="preserve"> has the dual purpose of protecting litigants </w:t>
      </w:r>
      <w:r w:rsidRPr="00155A7A">
        <w:rPr>
          <w:color w:val="3D3D3D"/>
        </w:rPr>
        <w:t>from the burden of relitigating an identical issue with the same party or his privy and of promoting judicial economy by preventing needless litigation.</w:t>
      </w:r>
      <w:r w:rsidR="00694F26">
        <w:rPr>
          <w:color w:val="3D3D3D"/>
        </w:rPr>
        <w:t>”</w:t>
      </w:r>
      <w:r w:rsidR="0054316A">
        <w:rPr>
          <w:color w:val="3D3D3D"/>
        </w:rPr>
        <w:t> </w:t>
      </w:r>
      <w:r w:rsidRPr="00155A7A">
        <w:rPr>
          <w:color w:val="3D3D3D"/>
        </w:rPr>
        <w:t>’</w:t>
      </w:r>
      <w:r w:rsidR="0054316A">
        <w:rPr>
          <w:color w:val="3D3D3D"/>
        </w:rPr>
        <w:t> </w:t>
      </w:r>
      <w:r w:rsidRPr="00155A7A">
        <w:rPr>
          <w:color w:val="3D3D3D"/>
        </w:rPr>
        <w:t xml:space="preserve">” </w:t>
      </w:r>
      <w:r w:rsidR="00BF61DE" w:rsidRPr="00155A7A">
        <w:rPr>
          <w:color w:val="3D3D3D"/>
        </w:rPr>
        <w:t xml:space="preserve"> </w:t>
      </w:r>
      <w:r w:rsidR="007D06E4" w:rsidRPr="00155A7A">
        <w:rPr>
          <w:color w:val="3D3D3D"/>
        </w:rPr>
        <w:t>(</w:t>
      </w:r>
      <w:r w:rsidR="008F781D" w:rsidRPr="008F781D">
        <w:rPr>
          <w:i/>
          <w:iCs/>
          <w:color w:val="3D3D3D"/>
        </w:rPr>
        <w:t xml:space="preserve">People v. </w:t>
      </w:r>
      <w:r w:rsidR="007D06E4" w:rsidRPr="00053836">
        <w:rPr>
          <w:i/>
          <w:iCs/>
          <w:color w:val="3D3D3D"/>
        </w:rPr>
        <w:t>Curiel</w:t>
      </w:r>
      <w:r w:rsidR="00A05E4E">
        <w:rPr>
          <w:color w:val="3D3D3D"/>
        </w:rPr>
        <w:t xml:space="preserve"> (2023)</w:t>
      </w:r>
      <w:r w:rsidR="007D06E4" w:rsidRPr="00155A7A">
        <w:rPr>
          <w:color w:val="3D3D3D"/>
        </w:rPr>
        <w:t xml:space="preserve"> </w:t>
      </w:r>
      <w:r w:rsidR="007D06E4" w:rsidRPr="00155A7A">
        <w:rPr>
          <w:rFonts w:eastAsia="Times New Roman" w:cs="Times New Roman"/>
          <w:color w:val="000000"/>
        </w:rPr>
        <w:t>15</w:t>
      </w:r>
      <w:r w:rsidR="00F85575">
        <w:rPr>
          <w:rFonts w:eastAsia="Times New Roman" w:cs="Times New Roman"/>
          <w:color w:val="000000"/>
        </w:rPr>
        <w:t> </w:t>
      </w:r>
      <w:r w:rsidR="007D06E4" w:rsidRPr="00155A7A">
        <w:rPr>
          <w:rFonts w:eastAsia="Times New Roman" w:cs="Times New Roman"/>
          <w:color w:val="000000"/>
        </w:rPr>
        <w:t xml:space="preserve">Cal.5th </w:t>
      </w:r>
      <w:r w:rsidR="008F781D">
        <w:rPr>
          <w:rFonts w:eastAsia="Times New Roman" w:cs="Times New Roman"/>
          <w:color w:val="000000"/>
        </w:rPr>
        <w:t>433,</w:t>
      </w:r>
      <w:r w:rsidR="00A36378" w:rsidRPr="00155A7A">
        <w:rPr>
          <w:rFonts w:eastAsia="Times New Roman" w:cs="Times New Roman"/>
          <w:color w:val="000000"/>
        </w:rPr>
        <w:t xml:space="preserve"> </w:t>
      </w:r>
      <w:r w:rsidR="007D06E4" w:rsidRPr="00155A7A">
        <w:rPr>
          <w:rFonts w:eastAsia="Times New Roman" w:cs="Times New Roman"/>
          <w:color w:val="000000"/>
        </w:rPr>
        <w:t>451</w:t>
      </w:r>
      <w:r w:rsidR="001566D9">
        <w:rPr>
          <w:rFonts w:eastAsia="Times New Roman" w:cs="Times New Roman"/>
          <w:color w:val="000000"/>
        </w:rPr>
        <w:t xml:space="preserve"> (</w:t>
      </w:r>
      <w:r w:rsidR="001566D9" w:rsidRPr="001566D9">
        <w:rPr>
          <w:rFonts w:eastAsia="Times New Roman" w:cs="Times New Roman"/>
          <w:i/>
          <w:iCs/>
          <w:color w:val="000000"/>
        </w:rPr>
        <w:t>Curiel</w:t>
      </w:r>
      <w:r w:rsidR="001566D9">
        <w:rPr>
          <w:rFonts w:eastAsia="Times New Roman" w:cs="Times New Roman"/>
          <w:color w:val="000000"/>
        </w:rPr>
        <w:t>)</w:t>
      </w:r>
      <w:r w:rsidR="00A36378" w:rsidRPr="00155A7A">
        <w:rPr>
          <w:rFonts w:eastAsia="Times New Roman" w:cs="Times New Roman"/>
          <w:color w:val="000000"/>
        </w:rPr>
        <w:t>.)</w:t>
      </w:r>
      <w:r w:rsidRPr="00155A7A">
        <w:rPr>
          <w:color w:val="3D3D3D"/>
        </w:rPr>
        <w:t xml:space="preserve"> </w:t>
      </w:r>
    </w:p>
    <w:p w14:paraId="785F1AAC" w14:textId="0162330F" w:rsidR="00F66809" w:rsidRPr="00155A7A" w:rsidRDefault="00C42495" w:rsidP="00155A7A">
      <w:pPr>
        <w:shd w:val="clear" w:color="auto" w:fill="FFFFFF"/>
        <w:rPr>
          <w:color w:val="3D3D3D"/>
        </w:rPr>
      </w:pPr>
      <w:r w:rsidRPr="00155A7A">
        <w:rPr>
          <w:color w:val="3D3D3D"/>
        </w:rPr>
        <w:t>“</w:t>
      </w:r>
      <w:r w:rsidR="00F85575">
        <w:rPr>
          <w:color w:val="3D3D3D"/>
        </w:rPr>
        <w:t> </w:t>
      </w:r>
      <w:r w:rsidR="0023509F">
        <w:rPr>
          <w:color w:val="3D3D3D"/>
        </w:rPr>
        <w:t>‘</w:t>
      </w:r>
      <w:r w:rsidRPr="00155A7A">
        <w:rPr>
          <w:color w:val="3D3D3D"/>
        </w:rPr>
        <w:t>As traditionally understood and applied, issue preclusion bars relitigation of issues earlier decided</w:t>
      </w:r>
      <w:r w:rsidR="00804F63">
        <w:rPr>
          <w:color w:val="3D3D3D"/>
        </w:rPr>
        <w:t xml:space="preserve"> “</w:t>
      </w:r>
      <w:r w:rsidRPr="00155A7A">
        <w:rPr>
          <w:color w:val="3D3D3D"/>
        </w:rPr>
        <w:t xml:space="preserve">only if several threshold requirements are fulfilled. </w:t>
      </w:r>
      <w:r w:rsidR="009E3DB5" w:rsidRPr="00155A7A">
        <w:rPr>
          <w:color w:val="3D3D3D"/>
        </w:rPr>
        <w:t xml:space="preserve"> </w:t>
      </w:r>
      <w:r w:rsidRPr="00155A7A">
        <w:rPr>
          <w:color w:val="3D3D3D"/>
        </w:rPr>
        <w:t>First, the issue sought to be precluded from relitigation must be identical to that decided in a former proceeding.</w:t>
      </w:r>
      <w:r w:rsidR="00E9391D">
        <w:rPr>
          <w:color w:val="3D3D3D"/>
        </w:rPr>
        <w:t>” </w:t>
      </w:r>
      <w:r w:rsidR="00B65A02">
        <w:rPr>
          <w:color w:val="3D3D3D"/>
        </w:rPr>
        <w:t>’</w:t>
      </w:r>
      <w:r w:rsidR="00E9391D">
        <w:rPr>
          <w:color w:val="3D3D3D"/>
        </w:rPr>
        <w:t> </w:t>
      </w:r>
      <w:r w:rsidRPr="00155A7A">
        <w:rPr>
          <w:color w:val="3D3D3D"/>
        </w:rPr>
        <w:t xml:space="preserve">” </w:t>
      </w:r>
      <w:r w:rsidR="00E53817">
        <w:rPr>
          <w:color w:val="3D3D3D"/>
        </w:rPr>
        <w:t xml:space="preserve"> </w:t>
      </w:r>
      <w:r w:rsidR="00155A7A" w:rsidRPr="00155A7A">
        <w:rPr>
          <w:color w:val="3D3D3D"/>
        </w:rPr>
        <w:t>(</w:t>
      </w:r>
      <w:r w:rsidR="00155A7A" w:rsidRPr="00155A7A">
        <w:rPr>
          <w:i/>
          <w:iCs/>
          <w:color w:val="3D3D3D"/>
        </w:rPr>
        <w:t>Curiel</w:t>
      </w:r>
      <w:r w:rsidR="00155A7A" w:rsidRPr="00155A7A">
        <w:rPr>
          <w:color w:val="3D3D3D"/>
        </w:rPr>
        <w:t xml:space="preserve">, </w:t>
      </w:r>
      <w:r w:rsidR="00155A7A" w:rsidRPr="00155A7A">
        <w:rPr>
          <w:i/>
          <w:iCs/>
          <w:color w:val="3D3D3D"/>
        </w:rPr>
        <w:t>supra</w:t>
      </w:r>
      <w:r w:rsidR="00155A7A" w:rsidRPr="00155A7A">
        <w:rPr>
          <w:color w:val="3D3D3D"/>
        </w:rPr>
        <w:t xml:space="preserve">, </w:t>
      </w:r>
      <w:r w:rsidR="00155A7A" w:rsidRPr="00155A7A">
        <w:rPr>
          <w:rFonts w:eastAsia="Times New Roman" w:cs="Times New Roman"/>
          <w:color w:val="000000"/>
        </w:rPr>
        <w:t>15</w:t>
      </w:r>
      <w:r w:rsidR="003561ED">
        <w:rPr>
          <w:rFonts w:eastAsia="Times New Roman" w:cs="Times New Roman"/>
          <w:color w:val="000000"/>
        </w:rPr>
        <w:t> </w:t>
      </w:r>
      <w:r w:rsidR="00155A7A" w:rsidRPr="00155A7A">
        <w:rPr>
          <w:rFonts w:eastAsia="Times New Roman" w:cs="Times New Roman"/>
          <w:color w:val="000000"/>
        </w:rPr>
        <w:t>Cal.5th at p.</w:t>
      </w:r>
      <w:r w:rsidR="00B44104">
        <w:rPr>
          <w:rFonts w:eastAsia="Times New Roman" w:cs="Times New Roman"/>
          <w:color w:val="000000"/>
        </w:rPr>
        <w:t> </w:t>
      </w:r>
      <w:r w:rsidR="00155A7A" w:rsidRPr="00155A7A">
        <w:rPr>
          <w:rFonts w:eastAsia="Times New Roman" w:cs="Times New Roman"/>
          <w:color w:val="000000"/>
        </w:rPr>
        <w:t>451.)</w:t>
      </w:r>
      <w:r w:rsidR="00155A7A" w:rsidRPr="00155A7A">
        <w:rPr>
          <w:color w:val="3D3D3D"/>
        </w:rPr>
        <w:t xml:space="preserve"> </w:t>
      </w:r>
      <w:r w:rsidRPr="00155A7A">
        <w:rPr>
          <w:color w:val="3D3D3D"/>
        </w:rPr>
        <w:t xml:space="preserve"> </w:t>
      </w:r>
      <w:r w:rsidR="00F13DFE" w:rsidRPr="00155A7A">
        <w:rPr>
          <w:rFonts w:eastAsia="Times New Roman" w:cs="Times New Roman"/>
          <w:color w:val="000000"/>
        </w:rPr>
        <w:t xml:space="preserve">The identical issue requirement “addresses whether ‘identical </w:t>
      </w:r>
      <w:r w:rsidR="00F13DFE" w:rsidRPr="00A33EB3">
        <w:rPr>
          <w:rFonts w:eastAsia="Times New Roman" w:cs="Times New Roman"/>
          <w:i/>
          <w:iCs/>
          <w:color w:val="000000"/>
        </w:rPr>
        <w:t xml:space="preserve">factual </w:t>
      </w:r>
      <w:r w:rsidR="00F13DFE" w:rsidRPr="00155A7A">
        <w:rPr>
          <w:rFonts w:eastAsia="Times New Roman" w:cs="Times New Roman"/>
          <w:color w:val="000000"/>
        </w:rPr>
        <w:t xml:space="preserve">allegations’ are at stake in the two proceedings.” </w:t>
      </w:r>
      <w:r w:rsidR="004A3929">
        <w:rPr>
          <w:rFonts w:eastAsia="Times New Roman" w:cs="Times New Roman"/>
          <w:color w:val="000000"/>
        </w:rPr>
        <w:t xml:space="preserve"> (</w:t>
      </w:r>
      <w:r w:rsidR="004A3929" w:rsidRPr="00155A7A">
        <w:rPr>
          <w:rStyle w:val="Emphasis"/>
          <w:bdr w:val="none" w:sz="0" w:space="0" w:color="auto" w:frame="1"/>
        </w:rPr>
        <w:t>Lucido v. Superior Court</w:t>
      </w:r>
      <w:r w:rsidR="004A3929" w:rsidRPr="00C42495">
        <w:rPr>
          <w:bdr w:val="none" w:sz="0" w:space="0" w:color="auto" w:frame="1"/>
        </w:rPr>
        <w:t> (1990) 51</w:t>
      </w:r>
      <w:r w:rsidR="00B44104" w:rsidRPr="00C42495">
        <w:rPr>
          <w:bdr w:val="none" w:sz="0" w:space="0" w:color="auto" w:frame="1"/>
        </w:rPr>
        <w:t> </w:t>
      </w:r>
      <w:r w:rsidR="004A3929" w:rsidRPr="00C42495">
        <w:rPr>
          <w:bdr w:val="none" w:sz="0" w:space="0" w:color="auto" w:frame="1"/>
        </w:rPr>
        <w:t>Cal.3d 335, 342</w:t>
      </w:r>
      <w:r w:rsidR="00771D70">
        <w:rPr>
          <w:color w:val="3D3D3D"/>
        </w:rPr>
        <w:t xml:space="preserve">, </w:t>
      </w:r>
      <w:r w:rsidR="0003520E">
        <w:rPr>
          <w:rFonts w:eastAsia="Times New Roman" w:cs="Times New Roman"/>
          <w:color w:val="000000"/>
        </w:rPr>
        <w:t>italics added</w:t>
      </w:r>
      <w:r w:rsidR="00F45049">
        <w:rPr>
          <w:rFonts w:eastAsia="Times New Roman" w:cs="Times New Roman"/>
          <w:color w:val="000000"/>
        </w:rPr>
        <w:t xml:space="preserve">.)  </w:t>
      </w:r>
      <w:r w:rsidR="00F13DFE" w:rsidRPr="00155A7A">
        <w:rPr>
          <w:rFonts w:eastAsia="Times New Roman" w:cs="Times New Roman"/>
          <w:color w:val="000000"/>
        </w:rPr>
        <w:t>“</w:t>
      </w:r>
      <w:r w:rsidR="00B44104">
        <w:rPr>
          <w:rFonts w:eastAsia="Times New Roman" w:cs="Times New Roman"/>
          <w:color w:val="000000"/>
        </w:rPr>
        <w:t> </w:t>
      </w:r>
      <w:r w:rsidR="007E488F">
        <w:rPr>
          <w:rFonts w:eastAsia="Times New Roman" w:cs="Times New Roman"/>
          <w:color w:val="000000"/>
        </w:rPr>
        <w:t>‘</w:t>
      </w:r>
      <w:r w:rsidR="00BD0CE4">
        <w:rPr>
          <w:rFonts w:eastAsia="Times New Roman" w:cs="Times New Roman"/>
          <w:color w:val="000000"/>
        </w:rPr>
        <w:t>[I]</w:t>
      </w:r>
      <w:r w:rsidR="00F13DFE" w:rsidRPr="00155A7A">
        <w:rPr>
          <w:rFonts w:eastAsia="Times New Roman" w:cs="Times New Roman"/>
          <w:color w:val="000000"/>
        </w:rPr>
        <w:t xml:space="preserve">n determining whether the identity [of issues] requirement is satisfied, courts must be mindful of the need to distinguish </w:t>
      </w:r>
      <w:r w:rsidR="00204F42">
        <w:rPr>
          <w:rFonts w:eastAsia="Times New Roman" w:cs="Times New Roman"/>
          <w:color w:val="000000"/>
        </w:rPr>
        <w:t>“</w:t>
      </w:r>
      <w:r w:rsidR="00F13DFE" w:rsidRPr="00155A7A">
        <w:rPr>
          <w:rFonts w:eastAsia="Times New Roman" w:cs="Times New Roman"/>
          <w:color w:val="000000"/>
        </w:rPr>
        <w:t>issues</w:t>
      </w:r>
      <w:r w:rsidR="00204F42">
        <w:rPr>
          <w:rFonts w:eastAsia="Times New Roman" w:cs="Times New Roman"/>
          <w:color w:val="000000"/>
        </w:rPr>
        <w:t>”</w:t>
      </w:r>
      <w:r w:rsidR="00F13DFE" w:rsidRPr="00155A7A">
        <w:rPr>
          <w:rFonts w:eastAsia="Times New Roman" w:cs="Times New Roman"/>
          <w:color w:val="000000"/>
        </w:rPr>
        <w:t xml:space="preserve"> from </w:t>
      </w:r>
      <w:r w:rsidR="00204F42">
        <w:rPr>
          <w:rFonts w:eastAsia="Times New Roman" w:cs="Times New Roman"/>
          <w:color w:val="000000"/>
        </w:rPr>
        <w:t>“</w:t>
      </w:r>
      <w:r w:rsidR="00F13DFE" w:rsidRPr="00155A7A">
        <w:rPr>
          <w:rFonts w:eastAsia="Times New Roman" w:cs="Times New Roman"/>
          <w:color w:val="000000"/>
        </w:rPr>
        <w:t>legal theories.</w:t>
      </w:r>
      <w:r w:rsidR="00204F42">
        <w:rPr>
          <w:rFonts w:eastAsia="Times New Roman" w:cs="Times New Roman"/>
          <w:color w:val="000000"/>
        </w:rPr>
        <w:t>”</w:t>
      </w:r>
      <w:r w:rsidR="00F824FE">
        <w:rPr>
          <w:rFonts w:eastAsia="Times New Roman" w:cs="Times New Roman"/>
          <w:color w:val="000000"/>
        </w:rPr>
        <w:t> </w:t>
      </w:r>
      <w:r w:rsidR="00F13DFE" w:rsidRPr="00155A7A">
        <w:rPr>
          <w:rFonts w:eastAsia="Times New Roman" w:cs="Times New Roman"/>
          <w:color w:val="000000"/>
        </w:rPr>
        <w:t>’</w:t>
      </w:r>
      <w:r w:rsidR="00F824FE">
        <w:rPr>
          <w:rFonts w:eastAsia="Times New Roman" w:cs="Times New Roman"/>
          <w:color w:val="000000"/>
        </w:rPr>
        <w:t> </w:t>
      </w:r>
      <w:r w:rsidR="00F13DFE" w:rsidRPr="00155A7A">
        <w:rPr>
          <w:rFonts w:eastAsia="Times New Roman" w:cs="Times New Roman"/>
          <w:color w:val="000000"/>
        </w:rPr>
        <w:t xml:space="preserve">” </w:t>
      </w:r>
      <w:r w:rsidR="0003520E">
        <w:rPr>
          <w:rFonts w:eastAsia="Times New Roman" w:cs="Times New Roman"/>
          <w:color w:val="000000"/>
        </w:rPr>
        <w:t xml:space="preserve"> </w:t>
      </w:r>
      <w:r w:rsidR="00F13DFE" w:rsidRPr="00155A7A">
        <w:rPr>
          <w:rFonts w:eastAsia="Times New Roman" w:cs="Times New Roman"/>
          <w:color w:val="000000"/>
        </w:rPr>
        <w:t>(</w:t>
      </w:r>
      <w:r w:rsidR="00F13DFE" w:rsidRPr="00F13DFE">
        <w:rPr>
          <w:rFonts w:eastAsia="Times New Roman" w:cs="Times New Roman"/>
          <w:i/>
          <w:iCs/>
          <w:color w:val="3D3D3D"/>
          <w:bdr w:val="none" w:sz="0" w:space="0" w:color="auto" w:frame="1"/>
        </w:rPr>
        <w:t>Ayala v. Dawson</w:t>
      </w:r>
      <w:r w:rsidR="00F13DFE" w:rsidRPr="00F13DFE">
        <w:rPr>
          <w:rFonts w:eastAsia="Times New Roman" w:cs="Times New Roman"/>
          <w:color w:val="000000"/>
        </w:rPr>
        <w:t xml:space="preserve"> (2017) 13</w:t>
      </w:r>
      <w:r w:rsidR="00B44104">
        <w:rPr>
          <w:rFonts w:eastAsia="Times New Roman" w:cs="Times New Roman"/>
          <w:color w:val="000000"/>
        </w:rPr>
        <w:t> </w:t>
      </w:r>
      <w:r w:rsidR="00F13DFE" w:rsidRPr="00F13DFE">
        <w:rPr>
          <w:rFonts w:eastAsia="Times New Roman" w:cs="Times New Roman"/>
          <w:color w:val="000000"/>
        </w:rPr>
        <w:t>Cal.App.5th 1319, 1327</w:t>
      </w:r>
      <w:r w:rsidR="00155A7A" w:rsidRPr="00155A7A">
        <w:rPr>
          <w:rFonts w:eastAsia="Times New Roman" w:cs="Times New Roman"/>
          <w:color w:val="000000"/>
        </w:rPr>
        <w:t>.)</w:t>
      </w:r>
      <w:r>
        <w:rPr>
          <w:rStyle w:val="FootnoteReference"/>
          <w:rFonts w:eastAsia="Times New Roman" w:cs="Times New Roman"/>
          <w:color w:val="000000"/>
        </w:rPr>
        <w:footnoteReference w:id="7"/>
      </w:r>
    </w:p>
    <w:p w14:paraId="137ED898" w14:textId="4ECC2649" w:rsidR="00181CCB" w:rsidRPr="004228AD" w:rsidRDefault="00C42495" w:rsidP="00155A7A">
      <w:pPr>
        <w:shd w:val="clear" w:color="auto" w:fill="FFFFFF"/>
        <w:rPr>
          <w:rFonts w:eastAsia="Times New Roman" w:cs="Times New Roman"/>
          <w:color w:val="000000"/>
        </w:rPr>
      </w:pPr>
      <w:r w:rsidRPr="00155A7A">
        <w:rPr>
          <w:color w:val="3D3D3D"/>
        </w:rPr>
        <w:t>“</w:t>
      </w:r>
      <w:r w:rsidR="001A1137">
        <w:rPr>
          <w:color w:val="3D3D3D"/>
        </w:rPr>
        <w:t> ‘ “</w:t>
      </w:r>
      <w:r w:rsidR="00847BFF" w:rsidRPr="0010610A">
        <w:t xml:space="preserve">Second, this issue must have been actually litigated in the former proceeding. </w:t>
      </w:r>
      <w:r w:rsidR="009E3DB5" w:rsidRPr="0010610A">
        <w:t xml:space="preserve"> </w:t>
      </w:r>
      <w:r w:rsidR="00847BFF" w:rsidRPr="0010610A">
        <w:t>Third, it must have been necessarily decided</w:t>
      </w:r>
      <w:r w:rsidR="0074798D" w:rsidRPr="0010610A">
        <w:t xml:space="preserve"> </w:t>
      </w:r>
      <w:r w:rsidR="00847BFF" w:rsidRPr="0010610A">
        <w:t xml:space="preserve">in the former proceeding. </w:t>
      </w:r>
      <w:r w:rsidR="009E3DB5" w:rsidRPr="0010610A">
        <w:t xml:space="preserve"> </w:t>
      </w:r>
      <w:r w:rsidR="00847BFF" w:rsidRPr="0010610A">
        <w:t xml:space="preserve">Fourth, the decision in the former proceeding must be final and </w:t>
      </w:r>
      <w:r w:rsidR="00847BFF" w:rsidRPr="0010610A">
        <w:lastRenderedPageBreak/>
        <w:t xml:space="preserve">on the merits. </w:t>
      </w:r>
      <w:r w:rsidR="009E3DB5" w:rsidRPr="0010610A">
        <w:t xml:space="preserve"> </w:t>
      </w:r>
      <w:r w:rsidR="00847BFF" w:rsidRPr="0010610A">
        <w:t>Finally, the party against whom</w:t>
      </w:r>
      <w:r w:rsidR="00160030" w:rsidRPr="0010610A">
        <w:t xml:space="preserve"> </w:t>
      </w:r>
      <w:r w:rsidR="00847BFF" w:rsidRPr="0010610A">
        <w:t>preclusion is sought must be the same as, or in privity with, the party to the former proceeding.”</w:t>
      </w:r>
      <w:r w:rsidR="00564433" w:rsidRPr="0010610A">
        <w:t> ’</w:t>
      </w:r>
      <w:r w:rsidR="00412B5A" w:rsidRPr="0010610A">
        <w:t xml:space="preserve">  [Citation.]</w:t>
      </w:r>
      <w:r w:rsidR="00EC5E99" w:rsidRPr="0010610A">
        <w:t xml:space="preserve">  </w:t>
      </w:r>
      <w:r w:rsidR="003F2A4F" w:rsidRPr="0010610A">
        <w:t>‘</w:t>
      </w:r>
      <w:r w:rsidR="00847BFF" w:rsidRPr="0010610A">
        <w:t>The party asserting collateral estoppel bears the burden of establishing these requirements.</w:t>
      </w:r>
      <w:r w:rsidR="00FF60C5" w:rsidRPr="0010610A">
        <w:t>’ </w:t>
      </w:r>
      <w:r w:rsidR="00847BFF" w:rsidRPr="0010610A">
        <w:t xml:space="preserve">” </w:t>
      </w:r>
      <w:r w:rsidR="00EC5E99" w:rsidRPr="0010610A">
        <w:t xml:space="preserve"> (</w:t>
      </w:r>
      <w:r w:rsidR="00EC5E99" w:rsidRPr="0010610A">
        <w:rPr>
          <w:i/>
        </w:rPr>
        <w:t>Curiel</w:t>
      </w:r>
      <w:r w:rsidR="00EC5E99" w:rsidRPr="0010610A">
        <w:t xml:space="preserve">, </w:t>
      </w:r>
      <w:r w:rsidR="00EC5E99" w:rsidRPr="0010610A">
        <w:rPr>
          <w:i/>
        </w:rPr>
        <w:t>supra</w:t>
      </w:r>
      <w:r w:rsidR="00EC5E99" w:rsidRPr="0010610A">
        <w:t xml:space="preserve">, </w:t>
      </w:r>
      <w:r w:rsidR="00EC5E99" w:rsidRPr="0010610A">
        <w:rPr>
          <w:rFonts w:eastAsia="Times New Roman" w:cs="Times New Roman"/>
        </w:rPr>
        <w:t>15</w:t>
      </w:r>
      <w:r w:rsidR="004D20C6">
        <w:rPr>
          <w:rFonts w:eastAsia="Times New Roman" w:cs="Times New Roman"/>
        </w:rPr>
        <w:t> </w:t>
      </w:r>
      <w:r w:rsidR="00EC5E99" w:rsidRPr="0010610A">
        <w:rPr>
          <w:rFonts w:eastAsia="Times New Roman" w:cs="Times New Roman"/>
        </w:rPr>
        <w:t>Cal.5th at p</w:t>
      </w:r>
      <w:r w:rsidR="00097419" w:rsidRPr="0010610A">
        <w:rPr>
          <w:rFonts w:eastAsia="Times New Roman" w:cs="Times New Roman"/>
        </w:rPr>
        <w:t>p</w:t>
      </w:r>
      <w:r w:rsidR="00EC5E99" w:rsidRPr="0010610A">
        <w:rPr>
          <w:rFonts w:eastAsia="Times New Roman" w:cs="Times New Roman"/>
        </w:rPr>
        <w:t>.</w:t>
      </w:r>
      <w:r w:rsidR="004D20C6">
        <w:rPr>
          <w:rFonts w:eastAsia="Times New Roman" w:cs="Times New Roman"/>
        </w:rPr>
        <w:t> </w:t>
      </w:r>
      <w:r w:rsidR="00EC5E99" w:rsidRPr="0010610A">
        <w:rPr>
          <w:rFonts w:eastAsia="Times New Roman" w:cs="Times New Roman"/>
        </w:rPr>
        <w:t>451</w:t>
      </w:r>
      <w:r w:rsidR="00CE7073">
        <w:t>–452</w:t>
      </w:r>
      <w:r w:rsidR="00EC5E99" w:rsidRPr="0010610A">
        <w:rPr>
          <w:rFonts w:eastAsia="Times New Roman" w:cs="Times New Roman"/>
        </w:rPr>
        <w:t xml:space="preserve">; </w:t>
      </w:r>
      <w:r w:rsidR="00EC5E99" w:rsidRPr="004E6CA5">
        <w:rPr>
          <w:rFonts w:eastAsia="Times New Roman" w:cs="Times New Roman"/>
          <w:i/>
          <w:iCs/>
        </w:rPr>
        <w:t>see</w:t>
      </w:r>
      <w:r w:rsidR="00EC5E99" w:rsidRPr="00155A7A">
        <w:rPr>
          <w:rFonts w:eastAsia="Times New Roman" w:cs="Times New Roman"/>
        </w:rPr>
        <w:t xml:space="preserve"> </w:t>
      </w:r>
      <w:r w:rsidR="00771D70" w:rsidRPr="0010610A">
        <w:rPr>
          <w:rFonts w:eastAsia="Times New Roman" w:cs="Times New Roman"/>
          <w:i/>
          <w:bdr w:val="none" w:sz="0" w:space="0" w:color="auto" w:frame="1"/>
        </w:rPr>
        <w:t>Lucido</w:t>
      </w:r>
      <w:r w:rsidR="00B23053" w:rsidRPr="0010610A">
        <w:rPr>
          <w:rFonts w:eastAsia="Times New Roman" w:cs="Times New Roman"/>
          <w:i/>
          <w:bdr w:val="none" w:sz="0" w:space="0" w:color="auto" w:frame="1"/>
        </w:rPr>
        <w:t xml:space="preserve"> v. Superior Court</w:t>
      </w:r>
      <w:r w:rsidR="00771D70" w:rsidRPr="0010610A">
        <w:rPr>
          <w:rFonts w:eastAsia="Times New Roman" w:cs="Times New Roman"/>
        </w:rPr>
        <w:t xml:space="preserve">, </w:t>
      </w:r>
      <w:r w:rsidR="00771D70" w:rsidRPr="0010610A">
        <w:rPr>
          <w:rFonts w:eastAsia="Times New Roman" w:cs="Times New Roman"/>
          <w:i/>
          <w:bdr w:val="none" w:sz="0" w:space="0" w:color="auto" w:frame="1"/>
        </w:rPr>
        <w:t>supra</w:t>
      </w:r>
      <w:r w:rsidR="00771D70" w:rsidRPr="0010610A">
        <w:rPr>
          <w:rFonts w:eastAsia="Times New Roman" w:cs="Times New Roman"/>
        </w:rPr>
        <w:t>, 51</w:t>
      </w:r>
      <w:r w:rsidR="005A2A56">
        <w:rPr>
          <w:rFonts w:eastAsia="Times New Roman" w:cs="Times New Roman"/>
        </w:rPr>
        <w:t> </w:t>
      </w:r>
      <w:r w:rsidR="00771D70" w:rsidRPr="0010610A">
        <w:rPr>
          <w:rFonts w:eastAsia="Times New Roman" w:cs="Times New Roman"/>
        </w:rPr>
        <w:t>Cal.3d at p.</w:t>
      </w:r>
      <w:r w:rsidR="00597162" w:rsidRPr="0010610A">
        <w:rPr>
          <w:rFonts w:eastAsia="Times New Roman" w:cs="Times New Roman"/>
        </w:rPr>
        <w:t> </w:t>
      </w:r>
      <w:r w:rsidR="004E6CA5" w:rsidRPr="0010610A">
        <w:rPr>
          <w:rFonts w:eastAsia="Times New Roman" w:cs="Times New Roman"/>
        </w:rPr>
        <w:t>341</w:t>
      </w:r>
      <w:r w:rsidR="009E3DB5" w:rsidRPr="0010610A">
        <w:t>.</w:t>
      </w:r>
      <w:r w:rsidR="004E6CA5" w:rsidRPr="0010610A">
        <w:t xml:space="preserve">) </w:t>
      </w:r>
      <w:r w:rsidR="00BD0CE4" w:rsidRPr="0010610A">
        <w:t xml:space="preserve"> And </w:t>
      </w:r>
      <w:r w:rsidRPr="0010610A">
        <w:rPr>
          <w:rFonts w:eastAsia="Times New Roman" w:cs="Times New Roman"/>
        </w:rPr>
        <w:t>“</w:t>
      </w:r>
      <w:r w:rsidR="00597162" w:rsidRPr="0010610A">
        <w:rPr>
          <w:rFonts w:eastAsia="Times New Roman" w:cs="Times New Roman"/>
        </w:rPr>
        <w:t> ‘</w:t>
      </w:r>
      <w:r w:rsidR="00DB7A7A" w:rsidRPr="0010610A">
        <w:rPr>
          <w:rFonts w:eastAsia="Times New Roman" w:cs="Times New Roman"/>
        </w:rPr>
        <w:t>[i]</w:t>
      </w:r>
      <w:r w:rsidRPr="0010610A">
        <w:rPr>
          <w:rFonts w:eastAsia="Times New Roman" w:cs="Times New Roman"/>
        </w:rPr>
        <w:t xml:space="preserve">n considering whether these </w:t>
      </w:r>
      <w:r w:rsidR="00FC0E96" w:rsidRPr="0010610A">
        <w:rPr>
          <w:rFonts w:eastAsia="Times New Roman" w:cs="Times New Roman"/>
        </w:rPr>
        <w:t xml:space="preserve">[five] </w:t>
      </w:r>
      <w:r w:rsidRPr="0010610A">
        <w:rPr>
          <w:rFonts w:eastAsia="Times New Roman" w:cs="Times New Roman"/>
        </w:rPr>
        <w:t xml:space="preserve">criteria have been met, courts look carefully </w:t>
      </w:r>
      <w:r w:rsidRPr="004228AD">
        <w:rPr>
          <w:rFonts w:eastAsia="Times New Roman" w:cs="Times New Roman"/>
          <w:color w:val="000000"/>
        </w:rPr>
        <w:t>at the entire record from the prior proceeding, including the pleadings, the evidence, the jury instructions, and any special jury findings or verdicts.</w:t>
      </w:r>
      <w:r w:rsidR="00097B6E">
        <w:rPr>
          <w:rFonts w:eastAsia="Times New Roman" w:cs="Times New Roman"/>
          <w:color w:val="000000"/>
        </w:rPr>
        <w:t>’ </w:t>
      </w:r>
      <w:r w:rsidRPr="004228AD">
        <w:rPr>
          <w:rFonts w:eastAsia="Times New Roman" w:cs="Times New Roman"/>
          <w:color w:val="000000"/>
        </w:rPr>
        <w:t>”  (</w:t>
      </w:r>
      <w:r w:rsidRPr="000E37EE">
        <w:rPr>
          <w:rFonts w:eastAsia="Times New Roman" w:cs="Times New Roman"/>
          <w:i/>
          <w:iCs/>
          <w:color w:val="000000"/>
        </w:rPr>
        <w:t>Curiel</w:t>
      </w:r>
      <w:r w:rsidRPr="004228AD">
        <w:rPr>
          <w:rFonts w:eastAsia="Times New Roman" w:cs="Times New Roman"/>
          <w:color w:val="000000"/>
        </w:rPr>
        <w:t>, at p.</w:t>
      </w:r>
      <w:r w:rsidR="00493B19">
        <w:rPr>
          <w:rFonts w:eastAsia="Times New Roman" w:cs="Times New Roman"/>
          <w:color w:val="000000"/>
        </w:rPr>
        <w:t> </w:t>
      </w:r>
      <w:r w:rsidRPr="004228AD">
        <w:rPr>
          <w:rFonts w:eastAsia="Times New Roman" w:cs="Times New Roman"/>
          <w:color w:val="000000"/>
        </w:rPr>
        <w:t>45</w:t>
      </w:r>
      <w:r w:rsidR="007F1F07" w:rsidRPr="004228AD">
        <w:rPr>
          <w:rFonts w:eastAsia="Times New Roman" w:cs="Times New Roman"/>
          <w:color w:val="000000"/>
        </w:rPr>
        <w:t>2</w:t>
      </w:r>
      <w:r w:rsidRPr="004228AD">
        <w:rPr>
          <w:rFonts w:eastAsia="Times New Roman" w:cs="Times New Roman"/>
          <w:color w:val="000000"/>
        </w:rPr>
        <w:t>.)</w:t>
      </w:r>
    </w:p>
    <w:p w14:paraId="3006C95A" w14:textId="35B56033" w:rsidR="00715DF1" w:rsidRDefault="00C42495" w:rsidP="004228AD">
      <w:pPr>
        <w:shd w:val="clear" w:color="auto" w:fill="FFFFFF"/>
        <w:rPr>
          <w:rFonts w:eastAsia="Times New Roman" w:cs="Times New Roman"/>
          <w:color w:val="000000"/>
        </w:rPr>
      </w:pPr>
      <w:r>
        <w:rPr>
          <w:rFonts w:eastAsia="Times New Roman" w:cs="Times New Roman"/>
          <w:color w:val="000000"/>
        </w:rPr>
        <w:t>Beaudreaux</w:t>
      </w:r>
      <w:r w:rsidR="00BD079E" w:rsidRPr="004228AD">
        <w:rPr>
          <w:rFonts w:eastAsia="Times New Roman" w:cs="Times New Roman"/>
          <w:color w:val="000000"/>
        </w:rPr>
        <w:t xml:space="preserve"> </w:t>
      </w:r>
      <w:r w:rsidR="00F32470" w:rsidRPr="004228AD">
        <w:rPr>
          <w:rFonts w:eastAsia="Times New Roman" w:cs="Times New Roman"/>
          <w:color w:val="000000"/>
        </w:rPr>
        <w:t>makes no real effort to convince us that</w:t>
      </w:r>
      <w:r w:rsidR="00E3161E" w:rsidRPr="004228AD">
        <w:rPr>
          <w:rFonts w:eastAsia="Times New Roman" w:cs="Times New Roman"/>
          <w:color w:val="000000"/>
        </w:rPr>
        <w:t xml:space="preserve"> </w:t>
      </w:r>
      <w:r w:rsidR="00F41966" w:rsidRPr="004228AD">
        <w:rPr>
          <w:rFonts w:eastAsia="Times New Roman" w:cs="Times New Roman"/>
          <w:color w:val="000000"/>
        </w:rPr>
        <w:t>some or all</w:t>
      </w:r>
      <w:r w:rsidR="00E3161E" w:rsidRPr="004228AD">
        <w:rPr>
          <w:rFonts w:eastAsia="Times New Roman" w:cs="Times New Roman"/>
          <w:color w:val="000000"/>
        </w:rPr>
        <w:t xml:space="preserve"> of the threshold requirements </w:t>
      </w:r>
      <w:r w:rsidR="00FC0E96">
        <w:rPr>
          <w:rFonts w:eastAsia="Times New Roman" w:cs="Times New Roman"/>
          <w:color w:val="000000"/>
        </w:rPr>
        <w:t xml:space="preserve">for application of issue preclusion </w:t>
      </w:r>
      <w:r w:rsidR="00F41966" w:rsidRPr="004228AD">
        <w:rPr>
          <w:rFonts w:eastAsia="Times New Roman" w:cs="Times New Roman"/>
          <w:color w:val="000000"/>
        </w:rPr>
        <w:t>are</w:t>
      </w:r>
      <w:r w:rsidR="00E3161E" w:rsidRPr="004228AD">
        <w:rPr>
          <w:rFonts w:eastAsia="Times New Roman" w:cs="Times New Roman"/>
          <w:color w:val="000000"/>
        </w:rPr>
        <w:t xml:space="preserve"> missing here.  </w:t>
      </w:r>
      <w:r w:rsidR="00CF2A35">
        <w:rPr>
          <w:rFonts w:eastAsia="Times New Roman" w:cs="Times New Roman"/>
          <w:color w:val="000000"/>
        </w:rPr>
        <w:t xml:space="preserve">That </w:t>
      </w:r>
      <w:r w:rsidR="002D2577">
        <w:rPr>
          <w:rFonts w:eastAsia="Times New Roman" w:cs="Times New Roman"/>
          <w:color w:val="000000"/>
        </w:rPr>
        <w:t xml:space="preserve">seems understandable.  </w:t>
      </w:r>
      <w:r w:rsidR="00874B11" w:rsidRPr="0077059B">
        <w:rPr>
          <w:rFonts w:eastAsia="Times New Roman" w:cs="Times New Roman"/>
          <w:color w:val="000000"/>
        </w:rPr>
        <w:t xml:space="preserve">The evidentiary record of the trial is not before us, but we have </w:t>
      </w:r>
      <w:r w:rsidR="00E022E9">
        <w:rPr>
          <w:rFonts w:eastAsia="Times New Roman" w:cs="Times New Roman"/>
          <w:color w:val="000000"/>
        </w:rPr>
        <w:t xml:space="preserve">the </w:t>
      </w:r>
      <w:r w:rsidR="00874B11" w:rsidRPr="0077059B">
        <w:rPr>
          <w:rFonts w:eastAsia="Times New Roman" w:cs="Times New Roman"/>
          <w:color w:val="000000"/>
        </w:rPr>
        <w:t>legal framework</w:t>
      </w:r>
      <w:r w:rsidR="00874B11">
        <w:rPr>
          <w:rFonts w:eastAsia="Times New Roman" w:cs="Times New Roman"/>
          <w:color w:val="000000"/>
        </w:rPr>
        <w:t xml:space="preserve"> that governed the </w:t>
      </w:r>
      <w:r w:rsidR="00A20D0A">
        <w:rPr>
          <w:rFonts w:eastAsia="Times New Roman" w:cs="Times New Roman"/>
          <w:color w:val="000000"/>
        </w:rPr>
        <w:t xml:space="preserve">trial </w:t>
      </w:r>
      <w:r w:rsidR="00874B11">
        <w:rPr>
          <w:rFonts w:eastAsia="Times New Roman" w:cs="Times New Roman"/>
          <w:color w:val="000000"/>
        </w:rPr>
        <w:t xml:space="preserve">in the form of the jury instructions and the </w:t>
      </w:r>
      <w:r w:rsidR="00C17925">
        <w:rPr>
          <w:rFonts w:eastAsia="Times New Roman" w:cs="Times New Roman"/>
          <w:color w:val="000000"/>
        </w:rPr>
        <w:t xml:space="preserve">adjudicated </w:t>
      </w:r>
      <w:r w:rsidR="00874B11">
        <w:rPr>
          <w:rFonts w:eastAsia="Times New Roman" w:cs="Times New Roman"/>
          <w:color w:val="000000"/>
        </w:rPr>
        <w:t xml:space="preserve">results </w:t>
      </w:r>
      <w:r w:rsidR="00C17925">
        <w:rPr>
          <w:rFonts w:eastAsia="Times New Roman" w:cs="Times New Roman"/>
          <w:color w:val="000000"/>
        </w:rPr>
        <w:t xml:space="preserve">of the trial </w:t>
      </w:r>
      <w:r w:rsidR="00874B11">
        <w:rPr>
          <w:rFonts w:eastAsia="Times New Roman" w:cs="Times New Roman"/>
          <w:color w:val="000000"/>
        </w:rPr>
        <w:t xml:space="preserve">in the form of the jury’s verdicts and findings.  </w:t>
      </w:r>
      <w:r>
        <w:rPr>
          <w:rFonts w:eastAsia="Times New Roman" w:cs="Times New Roman"/>
          <w:color w:val="000000"/>
        </w:rPr>
        <w:t xml:space="preserve">Having considered the defense Beaudreaux </w:t>
      </w:r>
      <w:r w:rsidR="00022179">
        <w:rPr>
          <w:rFonts w:eastAsia="Times New Roman" w:cs="Times New Roman"/>
          <w:color w:val="000000"/>
        </w:rPr>
        <w:t>offered</w:t>
      </w:r>
      <w:r>
        <w:rPr>
          <w:rFonts w:eastAsia="Times New Roman" w:cs="Times New Roman"/>
          <w:color w:val="000000"/>
        </w:rPr>
        <w:t>, weighed the evidence, and applied the trial court’s instructions, t</w:t>
      </w:r>
      <w:r w:rsidRPr="004228AD">
        <w:rPr>
          <w:rFonts w:eastAsia="Times New Roman" w:cs="Times New Roman"/>
          <w:color w:val="000000"/>
        </w:rPr>
        <w:t>he jury found that</w:t>
      </w:r>
      <w:r w:rsidR="007478A4">
        <w:rPr>
          <w:rFonts w:eastAsia="Times New Roman" w:cs="Times New Roman"/>
          <w:color w:val="000000"/>
        </w:rPr>
        <w:t xml:space="preserve"> h</w:t>
      </w:r>
      <w:r w:rsidR="00BF6DF6">
        <w:rPr>
          <w:rFonts w:eastAsia="Times New Roman" w:cs="Times New Roman"/>
          <w:color w:val="000000"/>
        </w:rPr>
        <w:t>e</w:t>
      </w:r>
      <w:r w:rsidR="007478A4">
        <w:rPr>
          <w:rFonts w:eastAsia="Times New Roman" w:cs="Times New Roman"/>
          <w:color w:val="000000"/>
        </w:rPr>
        <w:t xml:space="preserve"> </w:t>
      </w:r>
      <w:r w:rsidRPr="004228AD">
        <w:t xml:space="preserve">“personally </w:t>
      </w:r>
      <w:r w:rsidR="00CC447C">
        <w:t>and intentionally</w:t>
      </w:r>
      <w:r w:rsidR="00166313">
        <w:t xml:space="preserve"> </w:t>
      </w:r>
      <w:r w:rsidRPr="004228AD">
        <w:t>discharge[d] a firearm and caus</w:t>
      </w:r>
      <w:r w:rsidR="00D64094">
        <w:t>ed</w:t>
      </w:r>
      <w:r w:rsidRPr="004228AD">
        <w:t xml:space="preserve"> great bodily injury and death to WAYNE DRUMMOND.” </w:t>
      </w:r>
    </w:p>
    <w:p w14:paraId="04DDBD81" w14:textId="5C5C8E01" w:rsidR="00BF03F0" w:rsidRPr="0062159F" w:rsidRDefault="00C42495" w:rsidP="004228AD">
      <w:pPr>
        <w:shd w:val="clear" w:color="auto" w:fill="FFFFFF"/>
        <w:rPr>
          <w:rFonts w:eastAsia="Times New Roman" w:cs="Times New Roman"/>
        </w:rPr>
      </w:pPr>
      <w:r w:rsidRPr="004228AD">
        <w:rPr>
          <w:rFonts w:eastAsia="Times New Roman" w:cs="Times New Roman"/>
          <w:color w:val="000000"/>
        </w:rPr>
        <w:t>As the Supreme C</w:t>
      </w:r>
      <w:r w:rsidR="00567589" w:rsidRPr="004228AD">
        <w:rPr>
          <w:rFonts w:eastAsia="Times New Roman" w:cs="Times New Roman"/>
          <w:color w:val="000000"/>
        </w:rPr>
        <w:t xml:space="preserve">ourt has now twice </w:t>
      </w:r>
      <w:r w:rsidR="00A66E42" w:rsidRPr="004228AD">
        <w:rPr>
          <w:rFonts w:eastAsia="Times New Roman" w:cs="Times New Roman"/>
          <w:color w:val="000000"/>
        </w:rPr>
        <w:t>pointed out,</w:t>
      </w:r>
      <w:r w:rsidR="008265D3" w:rsidRPr="004228AD">
        <w:rPr>
          <w:rFonts w:eastAsia="Times New Roman" w:cs="Times New Roman"/>
          <w:color w:val="000000"/>
        </w:rPr>
        <w:t xml:space="preserve"> “</w:t>
      </w:r>
      <w:r w:rsidR="00A66E42" w:rsidRPr="004228AD">
        <w:rPr>
          <w:rFonts w:eastAsia="Times New Roman" w:cs="Times New Roman"/>
          <w:color w:val="000000"/>
        </w:rPr>
        <w:t>a</w:t>
      </w:r>
      <w:r w:rsidR="0042065E" w:rsidRPr="004228AD">
        <w:rPr>
          <w:rFonts w:eastAsia="Times New Roman" w:cs="Times New Roman"/>
          <w:color w:val="000000"/>
        </w:rPr>
        <w:t xml:space="preserve"> relevant jury finding is generally preclusive in section 1172.6 proceedings, i.e., it </w:t>
      </w:r>
      <w:r w:rsidR="004309F1" w:rsidRPr="004228AD">
        <w:rPr>
          <w:rFonts w:eastAsia="Times New Roman" w:cs="Times New Roman"/>
          <w:color w:val="000000"/>
        </w:rPr>
        <w:t>‘</w:t>
      </w:r>
      <w:r w:rsidR="0042065E" w:rsidRPr="004228AD">
        <w:rPr>
          <w:rFonts w:eastAsia="Times New Roman" w:cs="Times New Roman"/>
          <w:color w:val="000000"/>
        </w:rPr>
        <w:t>ordinarily establish[es] a defendant</w:t>
      </w:r>
      <w:r w:rsidR="00D66ECE">
        <w:rPr>
          <w:rFonts w:eastAsia="Times New Roman" w:cs="Times New Roman"/>
          <w:color w:val="000000"/>
        </w:rPr>
        <w:t>’</w:t>
      </w:r>
      <w:r w:rsidR="0042065E" w:rsidRPr="004228AD">
        <w:rPr>
          <w:rFonts w:eastAsia="Times New Roman" w:cs="Times New Roman"/>
          <w:color w:val="000000"/>
        </w:rPr>
        <w:t>s ineligibility for resentencing under Senate Bill</w:t>
      </w:r>
      <w:r w:rsidR="00B05B6D">
        <w:rPr>
          <w:rFonts w:eastAsia="Times New Roman" w:cs="Times New Roman"/>
          <w:color w:val="000000"/>
        </w:rPr>
        <w:t> </w:t>
      </w:r>
      <w:r w:rsidR="0042065E" w:rsidRPr="004228AD">
        <w:rPr>
          <w:rFonts w:eastAsia="Times New Roman" w:cs="Times New Roman"/>
          <w:color w:val="000000"/>
        </w:rPr>
        <w:t xml:space="preserve">1437 and thus preclude[s] the defendant from </w:t>
      </w:r>
      <w:r w:rsidR="0042065E" w:rsidRPr="0062159F">
        <w:rPr>
          <w:rFonts w:eastAsia="Times New Roman" w:cs="Times New Roman"/>
        </w:rPr>
        <w:t>making a prima facie case for relief.</w:t>
      </w:r>
      <w:r w:rsidR="004309F1" w:rsidRPr="0062159F">
        <w:rPr>
          <w:rFonts w:eastAsia="Times New Roman" w:cs="Times New Roman"/>
        </w:rPr>
        <w:t>’</w:t>
      </w:r>
      <w:r w:rsidR="00FD3902">
        <w:rPr>
          <w:rFonts w:eastAsia="Times New Roman" w:cs="Times New Roman"/>
        </w:rPr>
        <w:t> </w:t>
      </w:r>
      <w:r w:rsidR="0042065E" w:rsidRPr="0062159F">
        <w:rPr>
          <w:rFonts w:eastAsia="Times New Roman" w:cs="Times New Roman"/>
        </w:rPr>
        <w:t xml:space="preserve">” </w:t>
      </w:r>
      <w:r w:rsidR="00505B0F" w:rsidRPr="0062159F">
        <w:rPr>
          <w:rFonts w:eastAsia="Times New Roman" w:cs="Times New Roman"/>
        </w:rPr>
        <w:t xml:space="preserve"> </w:t>
      </w:r>
      <w:r w:rsidR="0042065E" w:rsidRPr="0062159F">
        <w:rPr>
          <w:rFonts w:eastAsia="Times New Roman" w:cs="Times New Roman"/>
        </w:rPr>
        <w:t>(</w:t>
      </w:r>
      <w:r w:rsidR="00E61A8F" w:rsidRPr="0062159F">
        <w:rPr>
          <w:rFonts w:eastAsia="Times New Roman" w:cs="Times New Roman"/>
          <w:i/>
          <w:iCs/>
        </w:rPr>
        <w:t>Curiel</w:t>
      </w:r>
      <w:r w:rsidR="00E61A8F" w:rsidRPr="0062159F">
        <w:rPr>
          <w:rFonts w:eastAsia="Times New Roman" w:cs="Times New Roman"/>
        </w:rPr>
        <w:t xml:space="preserve">, </w:t>
      </w:r>
      <w:r w:rsidR="00E61A8F" w:rsidRPr="0062159F">
        <w:rPr>
          <w:rFonts w:eastAsia="Times New Roman" w:cs="Times New Roman"/>
          <w:i/>
          <w:iCs/>
        </w:rPr>
        <w:t>supra</w:t>
      </w:r>
      <w:r w:rsidR="00E61A8F" w:rsidRPr="0062159F">
        <w:rPr>
          <w:rFonts w:eastAsia="Times New Roman" w:cs="Times New Roman"/>
        </w:rPr>
        <w:t xml:space="preserve">, </w:t>
      </w:r>
      <w:r w:rsidR="00CA32ED" w:rsidRPr="0062159F">
        <w:rPr>
          <w:rFonts w:eastAsia="Times New Roman" w:cs="Times New Roman"/>
        </w:rPr>
        <w:t>15</w:t>
      </w:r>
      <w:r w:rsidR="00E34AB0">
        <w:rPr>
          <w:rFonts w:eastAsia="Times New Roman" w:cs="Times New Roman"/>
        </w:rPr>
        <w:t> </w:t>
      </w:r>
      <w:r w:rsidR="00CA32ED" w:rsidRPr="0062159F">
        <w:rPr>
          <w:rFonts w:eastAsia="Times New Roman" w:cs="Times New Roman"/>
        </w:rPr>
        <w:t>Cal.5</w:t>
      </w:r>
      <w:r w:rsidR="00430E1F" w:rsidRPr="0062159F">
        <w:rPr>
          <w:rFonts w:eastAsia="Times New Roman" w:cs="Times New Roman"/>
        </w:rPr>
        <w:t>th</w:t>
      </w:r>
      <w:r w:rsidR="00CA32ED" w:rsidRPr="0062159F">
        <w:rPr>
          <w:rFonts w:eastAsia="Times New Roman" w:cs="Times New Roman"/>
        </w:rPr>
        <w:t xml:space="preserve"> at p</w:t>
      </w:r>
      <w:r w:rsidR="00FD3902">
        <w:rPr>
          <w:rFonts w:eastAsia="Times New Roman" w:cs="Times New Roman"/>
        </w:rPr>
        <w:t>p</w:t>
      </w:r>
      <w:r w:rsidR="00CA32ED" w:rsidRPr="0062159F">
        <w:rPr>
          <w:rFonts w:eastAsia="Times New Roman" w:cs="Times New Roman"/>
        </w:rPr>
        <w:t>.</w:t>
      </w:r>
      <w:r w:rsidR="00E34AB0">
        <w:rPr>
          <w:rFonts w:eastAsia="Times New Roman" w:cs="Times New Roman"/>
        </w:rPr>
        <w:t> </w:t>
      </w:r>
      <w:r w:rsidR="00A24D47" w:rsidRPr="0062159F">
        <w:rPr>
          <w:rFonts w:eastAsia="Times New Roman" w:cs="Times New Roman"/>
        </w:rPr>
        <w:t>453</w:t>
      </w:r>
      <w:r w:rsidR="00FD3902">
        <w:t>–454</w:t>
      </w:r>
      <w:r w:rsidR="00A24D47" w:rsidRPr="0062159F">
        <w:rPr>
          <w:rFonts w:eastAsia="Times New Roman" w:cs="Times New Roman"/>
        </w:rPr>
        <w:t xml:space="preserve">; quoting </w:t>
      </w:r>
      <w:r w:rsidR="00AE765D" w:rsidRPr="0062159F">
        <w:rPr>
          <w:rFonts w:eastAsia="Times New Roman" w:cs="Times New Roman"/>
          <w:i/>
          <w:iCs/>
          <w:bdr w:val="none" w:sz="0" w:space="0" w:color="auto" w:frame="1"/>
        </w:rPr>
        <w:t>People v. Strong</w:t>
      </w:r>
      <w:r w:rsidR="00D92CB8">
        <w:rPr>
          <w:rFonts w:eastAsia="Times New Roman" w:cs="Times New Roman"/>
          <w:bdr w:val="none" w:sz="0" w:space="0" w:color="auto" w:frame="1"/>
        </w:rPr>
        <w:t xml:space="preserve">, </w:t>
      </w:r>
      <w:r w:rsidR="00D92CB8">
        <w:rPr>
          <w:rFonts w:eastAsia="Times New Roman" w:cs="Times New Roman"/>
          <w:i/>
          <w:iCs/>
          <w:bdr w:val="none" w:sz="0" w:space="0" w:color="auto" w:frame="1"/>
        </w:rPr>
        <w:t>supra</w:t>
      </w:r>
      <w:r w:rsidR="00D92CB8">
        <w:rPr>
          <w:rFonts w:eastAsia="Times New Roman" w:cs="Times New Roman"/>
          <w:bdr w:val="none" w:sz="0" w:space="0" w:color="auto" w:frame="1"/>
        </w:rPr>
        <w:t xml:space="preserve">, </w:t>
      </w:r>
      <w:r w:rsidR="00AE765D" w:rsidRPr="0062159F">
        <w:rPr>
          <w:rFonts w:eastAsia="Times New Roman" w:cs="Times New Roman"/>
        </w:rPr>
        <w:t>13</w:t>
      </w:r>
      <w:r w:rsidR="00E34AB0">
        <w:rPr>
          <w:rFonts w:eastAsia="Times New Roman" w:cs="Times New Roman"/>
        </w:rPr>
        <w:t> </w:t>
      </w:r>
      <w:r w:rsidR="00AE765D" w:rsidRPr="0062159F">
        <w:rPr>
          <w:rFonts w:eastAsia="Times New Roman" w:cs="Times New Roman"/>
        </w:rPr>
        <w:t xml:space="preserve">Cal.5th </w:t>
      </w:r>
      <w:r w:rsidR="00D92CB8">
        <w:rPr>
          <w:rFonts w:eastAsia="Times New Roman" w:cs="Times New Roman"/>
        </w:rPr>
        <w:t>at p.</w:t>
      </w:r>
      <w:r w:rsidR="00E34AB0">
        <w:rPr>
          <w:rFonts w:eastAsia="Times New Roman" w:cs="Times New Roman"/>
        </w:rPr>
        <w:t> </w:t>
      </w:r>
      <w:r w:rsidR="0042065E" w:rsidRPr="0062159F">
        <w:rPr>
          <w:rFonts w:eastAsia="Times New Roman" w:cs="Times New Roman"/>
        </w:rPr>
        <w:t>710.)</w:t>
      </w:r>
      <w:r w:rsidR="003C6B19" w:rsidRPr="0062159F">
        <w:rPr>
          <w:rFonts w:eastAsia="Times New Roman" w:cs="Times New Roman"/>
        </w:rPr>
        <w:t xml:space="preserve">  </w:t>
      </w:r>
      <w:r w:rsidR="00757F5E" w:rsidRPr="0062159F">
        <w:rPr>
          <w:rFonts w:eastAsia="Times New Roman" w:cs="Times New Roman"/>
        </w:rPr>
        <w:t>“</w:t>
      </w:r>
      <w:r w:rsidR="000A2583" w:rsidRPr="0062159F">
        <w:rPr>
          <w:rFonts w:eastAsia="Times New Roman" w:cs="Times New Roman"/>
        </w:rPr>
        <w:t>[I]</w:t>
      </w:r>
      <w:r w:rsidR="0042065E" w:rsidRPr="0062159F">
        <w:rPr>
          <w:rFonts w:eastAsia="Times New Roman" w:cs="Times New Roman"/>
        </w:rPr>
        <w:t>t is difficult to foresee a situation in which a relevant jury finding, embodied in a final criminal judgment, would not meet the traditional elements of issue preclusion</w:t>
      </w:r>
      <w:r w:rsidR="000A2583" w:rsidRPr="0062159F">
        <w:rPr>
          <w:rFonts w:eastAsia="Times New Roman" w:cs="Times New Roman"/>
        </w:rPr>
        <w:t>”</w:t>
      </w:r>
      <w:r w:rsidR="00B3116C" w:rsidRPr="0062159F">
        <w:rPr>
          <w:rFonts w:eastAsia="Times New Roman" w:cs="Times New Roman"/>
        </w:rPr>
        <w:t xml:space="preserve"> in this setting.</w:t>
      </w:r>
      <w:r w:rsidR="009C2E3B" w:rsidRPr="0062159F">
        <w:rPr>
          <w:rFonts w:eastAsia="Times New Roman" w:cs="Times New Roman"/>
        </w:rPr>
        <w:t xml:space="preserve"> </w:t>
      </w:r>
      <w:r w:rsidR="007F1F07" w:rsidRPr="0062159F">
        <w:rPr>
          <w:rFonts w:eastAsia="Times New Roman" w:cs="Times New Roman"/>
        </w:rPr>
        <w:t xml:space="preserve"> </w:t>
      </w:r>
      <w:r w:rsidR="00650D36" w:rsidRPr="0062159F">
        <w:rPr>
          <w:rFonts w:eastAsia="Times New Roman" w:cs="Times New Roman"/>
        </w:rPr>
        <w:t>(</w:t>
      </w:r>
      <w:r w:rsidR="000A2583" w:rsidRPr="0062159F">
        <w:rPr>
          <w:rFonts w:eastAsia="Times New Roman" w:cs="Times New Roman"/>
          <w:i/>
          <w:iCs/>
        </w:rPr>
        <w:t>Curiel</w:t>
      </w:r>
      <w:r w:rsidR="000A2583" w:rsidRPr="0062159F">
        <w:rPr>
          <w:rFonts w:eastAsia="Times New Roman" w:cs="Times New Roman"/>
        </w:rPr>
        <w:t>, at p.</w:t>
      </w:r>
      <w:r w:rsidR="00C92162">
        <w:rPr>
          <w:rFonts w:eastAsia="Times New Roman" w:cs="Times New Roman"/>
        </w:rPr>
        <w:t> </w:t>
      </w:r>
      <w:r w:rsidR="000A2583" w:rsidRPr="0062159F">
        <w:rPr>
          <w:rFonts w:eastAsia="Times New Roman" w:cs="Times New Roman"/>
        </w:rPr>
        <w:t>45</w:t>
      </w:r>
      <w:r w:rsidR="009C7E14" w:rsidRPr="0062159F">
        <w:rPr>
          <w:rFonts w:eastAsia="Times New Roman" w:cs="Times New Roman"/>
        </w:rPr>
        <w:t>4</w:t>
      </w:r>
      <w:r w:rsidR="000A2583" w:rsidRPr="0062159F">
        <w:rPr>
          <w:rFonts w:eastAsia="Times New Roman" w:cs="Times New Roman"/>
        </w:rPr>
        <w:t xml:space="preserve">.) </w:t>
      </w:r>
      <w:r w:rsidR="009C2E3B" w:rsidRPr="0062159F">
        <w:rPr>
          <w:rFonts w:eastAsia="Times New Roman" w:cs="Times New Roman"/>
        </w:rPr>
        <w:t xml:space="preserve"> </w:t>
      </w:r>
    </w:p>
    <w:p w14:paraId="52D3327E" w14:textId="2B808984" w:rsidR="007F39B5" w:rsidRDefault="00C42495" w:rsidP="004228AD">
      <w:pPr>
        <w:shd w:val="clear" w:color="auto" w:fill="FFFFFF"/>
        <w:rPr>
          <w:rFonts w:eastAsia="Times New Roman" w:cs="Times New Roman"/>
          <w:color w:val="000000"/>
        </w:rPr>
      </w:pPr>
      <w:r>
        <w:lastRenderedPageBreak/>
        <w:t>When we compare the underlying prosecution of Beaudreaux to the section</w:t>
      </w:r>
      <w:r w:rsidR="00C92162">
        <w:t> </w:t>
      </w:r>
      <w:r>
        <w:t>1172.6 proceedings, we see that the parties are the same</w:t>
      </w:r>
      <w:r w:rsidR="003163ED">
        <w:t>,</w:t>
      </w:r>
      <w:r>
        <w:t xml:space="preserve"> and the contested </w:t>
      </w:r>
      <w:r w:rsidRPr="0062159F">
        <w:t>factual issues</w:t>
      </w:r>
      <w:r>
        <w:t xml:space="preserve"> a</w:t>
      </w:r>
      <w:r w:rsidRPr="004228AD">
        <w:t>ctually and necessarily decided</w:t>
      </w:r>
      <w:r>
        <w:t xml:space="preserve"> within each proceeding are identical.  </w:t>
      </w:r>
      <w:r w:rsidR="00B1687C" w:rsidRPr="004228AD">
        <w:rPr>
          <w:rFonts w:eastAsia="Times New Roman" w:cs="Times New Roman"/>
          <w:color w:val="000000"/>
        </w:rPr>
        <w:t>B</w:t>
      </w:r>
      <w:r w:rsidR="004622AE" w:rsidRPr="004228AD">
        <w:rPr>
          <w:rFonts w:eastAsia="Times New Roman" w:cs="Times New Roman"/>
          <w:color w:val="000000"/>
        </w:rPr>
        <w:t>ea</w:t>
      </w:r>
      <w:r w:rsidR="00B1687C" w:rsidRPr="004228AD">
        <w:rPr>
          <w:rFonts w:eastAsia="Times New Roman" w:cs="Times New Roman"/>
          <w:color w:val="000000"/>
        </w:rPr>
        <w:t>udreaux</w:t>
      </w:r>
      <w:r w:rsidR="00BF61B4">
        <w:rPr>
          <w:rFonts w:eastAsia="Times New Roman" w:cs="Times New Roman"/>
          <w:color w:val="000000"/>
        </w:rPr>
        <w:t>’s</w:t>
      </w:r>
      <w:r w:rsidR="00CD655B">
        <w:rPr>
          <w:rFonts w:eastAsia="Times New Roman" w:cs="Times New Roman"/>
          <w:color w:val="000000"/>
        </w:rPr>
        <w:t xml:space="preserve"> </w:t>
      </w:r>
      <w:r w:rsidR="009517B2" w:rsidRPr="004228AD">
        <w:rPr>
          <w:rFonts w:eastAsia="Times New Roman" w:cs="Times New Roman"/>
          <w:color w:val="000000"/>
        </w:rPr>
        <w:t xml:space="preserve">denial of responsibility </w:t>
      </w:r>
      <w:r w:rsidR="00EC72ED" w:rsidRPr="004228AD">
        <w:rPr>
          <w:rFonts w:eastAsia="Times New Roman" w:cs="Times New Roman"/>
          <w:color w:val="000000"/>
        </w:rPr>
        <w:t xml:space="preserve">for </w:t>
      </w:r>
      <w:r w:rsidR="009517B2" w:rsidRPr="004228AD">
        <w:rPr>
          <w:rFonts w:eastAsia="Times New Roman" w:cs="Times New Roman"/>
          <w:color w:val="000000"/>
        </w:rPr>
        <w:t xml:space="preserve">Drummond’s death </w:t>
      </w:r>
      <w:r w:rsidR="00A71940" w:rsidRPr="004228AD">
        <w:rPr>
          <w:rFonts w:eastAsia="Times New Roman" w:cs="Times New Roman"/>
          <w:color w:val="000000"/>
        </w:rPr>
        <w:t xml:space="preserve">put in issue his role in </w:t>
      </w:r>
      <w:r w:rsidR="005E608C">
        <w:rPr>
          <w:rFonts w:eastAsia="Times New Roman" w:cs="Times New Roman"/>
          <w:color w:val="000000"/>
        </w:rPr>
        <w:t xml:space="preserve">Drummond’s </w:t>
      </w:r>
      <w:r w:rsidR="00A71940" w:rsidRPr="004228AD">
        <w:rPr>
          <w:rFonts w:eastAsia="Times New Roman" w:cs="Times New Roman"/>
          <w:color w:val="000000"/>
        </w:rPr>
        <w:t>killing</w:t>
      </w:r>
      <w:r w:rsidR="001F5CDC" w:rsidRPr="004228AD">
        <w:rPr>
          <w:rFonts w:eastAsia="Times New Roman" w:cs="Times New Roman"/>
          <w:color w:val="000000"/>
        </w:rPr>
        <w:t xml:space="preserve">, </w:t>
      </w:r>
      <w:r w:rsidR="00050212" w:rsidRPr="004228AD">
        <w:rPr>
          <w:rFonts w:eastAsia="Times New Roman" w:cs="Times New Roman"/>
          <w:color w:val="000000"/>
        </w:rPr>
        <w:t xml:space="preserve">and he </w:t>
      </w:r>
      <w:r w:rsidR="00CD655B" w:rsidRPr="004228AD">
        <w:rPr>
          <w:rFonts w:eastAsia="Times New Roman" w:cs="Times New Roman"/>
          <w:color w:val="000000"/>
        </w:rPr>
        <w:t xml:space="preserve">had the incentive and opportunity </w:t>
      </w:r>
      <w:r w:rsidR="007D040B">
        <w:rPr>
          <w:rFonts w:eastAsia="Times New Roman" w:cs="Times New Roman"/>
          <w:color w:val="000000"/>
        </w:rPr>
        <w:t xml:space="preserve">at trial </w:t>
      </w:r>
      <w:r w:rsidR="00C90D08" w:rsidRPr="004228AD">
        <w:rPr>
          <w:rFonts w:eastAsia="Times New Roman" w:cs="Times New Roman"/>
          <w:color w:val="000000"/>
        </w:rPr>
        <w:t xml:space="preserve">to claim that he did not personally shoot </w:t>
      </w:r>
      <w:r w:rsidR="00575DEC" w:rsidRPr="004228AD">
        <w:rPr>
          <w:rFonts w:eastAsia="Times New Roman" w:cs="Times New Roman"/>
          <w:color w:val="000000"/>
        </w:rPr>
        <w:t>Drummond</w:t>
      </w:r>
      <w:r w:rsidR="00A86AAB" w:rsidRPr="004228AD">
        <w:rPr>
          <w:rFonts w:eastAsia="Times New Roman" w:cs="Times New Roman"/>
          <w:color w:val="000000"/>
        </w:rPr>
        <w:t xml:space="preserve">. </w:t>
      </w:r>
      <w:r w:rsidR="004771EC">
        <w:rPr>
          <w:rFonts w:eastAsia="Times New Roman" w:cs="Times New Roman"/>
          <w:color w:val="000000"/>
        </w:rPr>
        <w:t xml:space="preserve"> </w:t>
      </w:r>
      <w:r w:rsidR="004771EC" w:rsidRPr="004228AD">
        <w:rPr>
          <w:rFonts w:eastAsia="Times New Roman" w:cs="Times New Roman"/>
          <w:color w:val="000000"/>
        </w:rPr>
        <w:t>(</w:t>
      </w:r>
      <w:r w:rsidR="00E928BD">
        <w:rPr>
          <w:rFonts w:eastAsia="Times New Roman" w:cs="Times New Roman"/>
          <w:color w:val="000000"/>
        </w:rPr>
        <w:t xml:space="preserve">See </w:t>
      </w:r>
      <w:r w:rsidR="004771EC" w:rsidRPr="0077059B">
        <w:rPr>
          <w:rFonts w:eastAsia="Times New Roman" w:cs="Times New Roman"/>
          <w:i/>
          <w:iCs/>
          <w:color w:val="000000"/>
        </w:rPr>
        <w:t>Curiel</w:t>
      </w:r>
      <w:r w:rsidR="004771EC" w:rsidRPr="0077059B">
        <w:rPr>
          <w:rFonts w:eastAsia="Times New Roman" w:cs="Times New Roman"/>
          <w:color w:val="000000"/>
        </w:rPr>
        <w:t xml:space="preserve">, </w:t>
      </w:r>
      <w:r w:rsidR="004771EC" w:rsidRPr="0077059B">
        <w:rPr>
          <w:rFonts w:eastAsia="Times New Roman" w:cs="Times New Roman"/>
          <w:i/>
          <w:iCs/>
          <w:color w:val="000000"/>
        </w:rPr>
        <w:t>supra</w:t>
      </w:r>
      <w:r w:rsidR="004771EC" w:rsidRPr="0077059B">
        <w:rPr>
          <w:rFonts w:eastAsia="Times New Roman" w:cs="Times New Roman"/>
          <w:color w:val="000000"/>
        </w:rPr>
        <w:t>, 15</w:t>
      </w:r>
      <w:r w:rsidR="00E47BF6">
        <w:rPr>
          <w:rFonts w:eastAsia="Times New Roman" w:cs="Times New Roman"/>
          <w:color w:val="000000"/>
        </w:rPr>
        <w:t> </w:t>
      </w:r>
      <w:r w:rsidR="004771EC" w:rsidRPr="0077059B">
        <w:rPr>
          <w:rFonts w:eastAsia="Times New Roman" w:cs="Times New Roman"/>
          <w:color w:val="000000"/>
        </w:rPr>
        <w:t>Cal.5</w:t>
      </w:r>
      <w:r w:rsidR="009A1CDA" w:rsidRPr="0077059B">
        <w:rPr>
          <w:rFonts w:eastAsia="Times New Roman" w:cs="Times New Roman"/>
          <w:color w:val="000000"/>
        </w:rPr>
        <w:t>th</w:t>
      </w:r>
      <w:r w:rsidR="004771EC" w:rsidRPr="0077059B">
        <w:rPr>
          <w:rFonts w:eastAsia="Times New Roman" w:cs="Times New Roman"/>
          <w:color w:val="000000"/>
        </w:rPr>
        <w:t xml:space="preserve"> at p</w:t>
      </w:r>
      <w:r w:rsidR="00C2523B" w:rsidRPr="0077059B">
        <w:rPr>
          <w:rFonts w:eastAsia="Times New Roman" w:cs="Times New Roman"/>
          <w:color w:val="000000"/>
        </w:rPr>
        <w:t>p</w:t>
      </w:r>
      <w:r w:rsidR="004771EC" w:rsidRPr="0077059B">
        <w:rPr>
          <w:rFonts w:eastAsia="Times New Roman" w:cs="Times New Roman"/>
          <w:color w:val="000000"/>
        </w:rPr>
        <w:t>.</w:t>
      </w:r>
      <w:r w:rsidR="00E47BF6">
        <w:rPr>
          <w:rFonts w:eastAsia="Times New Roman" w:cs="Times New Roman"/>
          <w:color w:val="000000"/>
        </w:rPr>
        <w:t> </w:t>
      </w:r>
      <w:r w:rsidR="002C0C41" w:rsidRPr="0077059B">
        <w:rPr>
          <w:rFonts w:eastAsia="Times New Roman" w:cs="Times New Roman"/>
          <w:color w:val="000000"/>
        </w:rPr>
        <w:t>452</w:t>
      </w:r>
      <w:r w:rsidR="00632387">
        <w:t>–</w:t>
      </w:r>
      <w:r w:rsidR="002C0C41" w:rsidRPr="0077059B">
        <w:rPr>
          <w:rFonts w:eastAsia="Times New Roman" w:cs="Times New Roman"/>
          <w:color w:val="000000"/>
        </w:rPr>
        <w:t xml:space="preserve">453, </w:t>
      </w:r>
      <w:r w:rsidR="004771EC" w:rsidRPr="0077059B">
        <w:rPr>
          <w:rFonts w:eastAsia="Times New Roman" w:cs="Times New Roman"/>
          <w:color w:val="000000"/>
        </w:rPr>
        <w:t>45</w:t>
      </w:r>
      <w:r w:rsidR="00E928BD" w:rsidRPr="0077059B">
        <w:rPr>
          <w:rFonts w:eastAsia="Times New Roman" w:cs="Times New Roman"/>
          <w:color w:val="000000"/>
        </w:rPr>
        <w:t>9</w:t>
      </w:r>
      <w:r w:rsidR="0077059B" w:rsidRPr="0077059B">
        <w:rPr>
          <w:rFonts w:eastAsia="Times New Roman" w:cs="Times New Roman"/>
          <w:color w:val="000000"/>
        </w:rPr>
        <w:t xml:space="preserve"> </w:t>
      </w:r>
      <w:r w:rsidR="00EC7EEB" w:rsidRPr="0077059B">
        <w:rPr>
          <w:rFonts w:eastAsia="Times New Roman" w:cs="Arial"/>
          <w:color w:val="000000"/>
        </w:rPr>
        <w:t>[“</w:t>
      </w:r>
      <w:r w:rsidR="00EC7EEB" w:rsidRPr="00EC7EEB">
        <w:rPr>
          <w:rFonts w:eastAsia="Times New Roman" w:cs="Arial"/>
          <w:color w:val="000000"/>
        </w:rPr>
        <w:t xml:space="preserve">Curiel contends his intent to kill was not actually litigated because his counsel did not specifically address the </w:t>
      </w:r>
      <w:r w:rsidR="00EC7EEB" w:rsidRPr="0077059B">
        <w:rPr>
          <w:rFonts w:eastAsia="Times New Roman" w:cs="Arial"/>
          <w:color w:val="000000"/>
        </w:rPr>
        <w:t xml:space="preserve">[finding later claimed to </w:t>
      </w:r>
      <w:r w:rsidR="0077059B" w:rsidRPr="0077059B">
        <w:rPr>
          <w:rFonts w:eastAsia="Times New Roman" w:cs="Arial"/>
          <w:color w:val="000000"/>
        </w:rPr>
        <w:t>be binding]</w:t>
      </w:r>
      <w:r w:rsidR="00170965">
        <w:rPr>
          <w:rFonts w:eastAsia="Times New Roman" w:cs="Arial"/>
          <w:color w:val="000000"/>
        </w:rPr>
        <w:t>.</w:t>
      </w:r>
      <w:r w:rsidR="00E755D8">
        <w:rPr>
          <w:rFonts w:eastAsia="Times New Roman" w:cs="Arial"/>
          <w:color w:val="000000"/>
        </w:rPr>
        <w:t xml:space="preserve"> </w:t>
      </w:r>
      <w:r w:rsidR="00412D05">
        <w:rPr>
          <w:rFonts w:eastAsia="Times New Roman" w:cs="Arial"/>
          <w:color w:val="000000"/>
        </w:rPr>
        <w:t xml:space="preserve"> </w:t>
      </w:r>
      <w:r w:rsidR="00EC7EEB" w:rsidRPr="00EC7EEB">
        <w:rPr>
          <w:rFonts w:eastAsia="Times New Roman" w:cs="Arial"/>
          <w:color w:val="000000"/>
        </w:rPr>
        <w:t xml:space="preserve">But this element of issue preclusion requires only </w:t>
      </w:r>
      <w:r w:rsidR="00984982">
        <w:rPr>
          <w:rFonts w:eastAsia="Times New Roman" w:cs="Arial"/>
          <w:color w:val="000000"/>
        </w:rPr>
        <w:t>‘ “</w:t>
      </w:r>
      <w:r w:rsidR="00EC7EEB" w:rsidRPr="00EC7EEB">
        <w:rPr>
          <w:rFonts w:eastAsia="Times New Roman" w:cs="Arial"/>
          <w:color w:val="000000"/>
        </w:rPr>
        <w:t xml:space="preserve">the </w:t>
      </w:r>
      <w:r w:rsidR="00EC7EEB" w:rsidRPr="00EC7EEB">
        <w:rPr>
          <w:rFonts w:eastAsia="Times New Roman" w:cs="Arial"/>
          <w:i/>
          <w:iCs/>
          <w:color w:val="3D3D3D"/>
          <w:bdr w:val="none" w:sz="0" w:space="0" w:color="auto" w:frame="1"/>
        </w:rPr>
        <w:t>opportunity to litigate</w:t>
      </w:r>
      <w:r w:rsidR="00990048">
        <w:rPr>
          <w:rFonts w:eastAsia="Times New Roman" w:cs="Arial"/>
          <w:i/>
          <w:iCs/>
          <w:color w:val="3D3D3D"/>
          <w:bdr w:val="none" w:sz="0" w:space="0" w:color="auto" w:frame="1"/>
        </w:rPr>
        <w:t xml:space="preserve"> </w:t>
      </w:r>
      <w:r w:rsidR="00990048">
        <w:rPr>
          <w:rFonts w:eastAsia="Times New Roman" w:cs="Arial"/>
          <w:color w:val="000000"/>
        </w:rPr>
        <w:t>. . .</w:t>
      </w:r>
      <w:r w:rsidR="00EC7EEB" w:rsidRPr="00EC7EEB">
        <w:rPr>
          <w:rFonts w:eastAsia="Times New Roman" w:cs="Arial"/>
          <w:color w:val="000000"/>
        </w:rPr>
        <w:t xml:space="preserve"> not whether the litigant availed himself or herself of the opportunity.</w:t>
      </w:r>
      <w:r w:rsidR="00A85132">
        <w:rPr>
          <w:rFonts w:eastAsia="Times New Roman" w:cs="Arial"/>
          <w:color w:val="000000"/>
        </w:rPr>
        <w:t>” ’ </w:t>
      </w:r>
      <w:r w:rsidR="0077059B">
        <w:rPr>
          <w:rFonts w:eastAsia="Times New Roman" w:cs="Arial"/>
          <w:color w:val="000000"/>
        </w:rPr>
        <w:t>”</w:t>
      </w:r>
      <w:r w:rsidR="00023FF2">
        <w:rPr>
          <w:rFonts w:eastAsia="Times New Roman" w:cs="Arial"/>
          <w:color w:val="000000"/>
        </w:rPr>
        <w:t>].</w:t>
      </w:r>
      <w:r w:rsidR="004771EC" w:rsidRPr="0077059B">
        <w:rPr>
          <w:rFonts w:eastAsia="Times New Roman" w:cs="Times New Roman"/>
          <w:color w:val="000000"/>
        </w:rPr>
        <w:t>)</w:t>
      </w:r>
      <w:r w:rsidR="007478A4">
        <w:rPr>
          <w:rFonts w:eastAsia="Times New Roman" w:cs="Times New Roman"/>
          <w:color w:val="000000"/>
        </w:rPr>
        <w:t xml:space="preserve">  </w:t>
      </w:r>
      <w:r w:rsidR="000A6DF5">
        <w:rPr>
          <w:rFonts w:eastAsia="Times New Roman" w:cs="Times New Roman"/>
          <w:color w:val="000000"/>
        </w:rPr>
        <w:t xml:space="preserve">We therefore conclude </w:t>
      </w:r>
      <w:r w:rsidR="00664742">
        <w:rPr>
          <w:rFonts w:eastAsia="Times New Roman" w:cs="Times New Roman"/>
          <w:color w:val="000000"/>
        </w:rPr>
        <w:t>al</w:t>
      </w:r>
      <w:r w:rsidR="00386D28">
        <w:rPr>
          <w:rFonts w:eastAsia="Times New Roman" w:cs="Times New Roman"/>
          <w:color w:val="000000"/>
        </w:rPr>
        <w:t>l the threshold requirements for application of issue preclusion have been met here.</w:t>
      </w:r>
    </w:p>
    <w:p w14:paraId="0226694C" w14:textId="1D2C0C09" w:rsidR="008606B3" w:rsidRDefault="00C42495" w:rsidP="00082728">
      <w:pPr>
        <w:pStyle w:val="Heading3"/>
      </w:pPr>
      <w:r>
        <w:t xml:space="preserve">The Equitable Exception </w:t>
      </w:r>
      <w:r w:rsidR="00FD1575">
        <w:t>for Intervening Changes in the Law</w:t>
      </w:r>
    </w:p>
    <w:p w14:paraId="65FDC9FC" w14:textId="0304A37F" w:rsidR="002B6E2A" w:rsidRDefault="00C42495" w:rsidP="004228AD">
      <w:pPr>
        <w:shd w:val="clear" w:color="auto" w:fill="FFFFFF"/>
        <w:rPr>
          <w:rFonts w:eastAsia="Times New Roman" w:cs="Times New Roman"/>
          <w:color w:val="000000"/>
        </w:rPr>
      </w:pPr>
      <w:r w:rsidRPr="004228AD">
        <w:rPr>
          <w:rFonts w:eastAsia="Times New Roman" w:cs="Times New Roman"/>
          <w:color w:val="000000"/>
        </w:rPr>
        <w:t>Rather than conte</w:t>
      </w:r>
      <w:r w:rsidR="009D2F5B" w:rsidRPr="004228AD">
        <w:rPr>
          <w:rFonts w:eastAsia="Times New Roman" w:cs="Times New Roman"/>
          <w:color w:val="000000"/>
        </w:rPr>
        <w:t>s</w:t>
      </w:r>
      <w:r w:rsidRPr="004228AD">
        <w:rPr>
          <w:rFonts w:eastAsia="Times New Roman" w:cs="Times New Roman"/>
          <w:color w:val="000000"/>
        </w:rPr>
        <w:t>t the applicability of issue preclusion as a threshold matter,</w:t>
      </w:r>
      <w:r w:rsidR="00AB2E24" w:rsidRPr="004228AD">
        <w:rPr>
          <w:rFonts w:eastAsia="Times New Roman" w:cs="Times New Roman"/>
          <w:color w:val="000000"/>
        </w:rPr>
        <w:t xml:space="preserve"> </w:t>
      </w:r>
      <w:r w:rsidR="00EF7230">
        <w:rPr>
          <w:rFonts w:eastAsia="Times New Roman" w:cs="Times New Roman"/>
          <w:color w:val="000000"/>
        </w:rPr>
        <w:t>Beaudreaux</w:t>
      </w:r>
      <w:r w:rsidR="003D031D" w:rsidRPr="004228AD">
        <w:rPr>
          <w:rFonts w:eastAsia="Times New Roman" w:cs="Times New Roman"/>
          <w:color w:val="000000"/>
        </w:rPr>
        <w:t xml:space="preserve"> claims </w:t>
      </w:r>
      <w:r w:rsidR="00852C12" w:rsidRPr="004228AD">
        <w:rPr>
          <w:rFonts w:eastAsia="Times New Roman" w:cs="Times New Roman"/>
          <w:color w:val="000000"/>
        </w:rPr>
        <w:t>he is entitle</w:t>
      </w:r>
      <w:r w:rsidR="00A909C4" w:rsidRPr="004228AD">
        <w:rPr>
          <w:rFonts w:eastAsia="Times New Roman" w:cs="Times New Roman"/>
          <w:color w:val="000000"/>
        </w:rPr>
        <w:t>d</w:t>
      </w:r>
      <w:r w:rsidR="00852C12" w:rsidRPr="004228AD">
        <w:rPr>
          <w:rFonts w:eastAsia="Times New Roman" w:cs="Times New Roman"/>
          <w:color w:val="000000"/>
        </w:rPr>
        <w:t xml:space="preserve"> to invoke </w:t>
      </w:r>
      <w:r w:rsidR="003D031D" w:rsidRPr="004228AD">
        <w:rPr>
          <w:rFonts w:eastAsia="Times New Roman" w:cs="Times New Roman"/>
          <w:color w:val="000000"/>
        </w:rPr>
        <w:t>the</w:t>
      </w:r>
      <w:r w:rsidR="00852C12" w:rsidRPr="004228AD">
        <w:rPr>
          <w:rFonts w:eastAsia="Times New Roman" w:cs="Times New Roman"/>
          <w:color w:val="000000"/>
        </w:rPr>
        <w:t xml:space="preserve"> </w:t>
      </w:r>
      <w:r w:rsidR="00F27C97" w:rsidRPr="004228AD">
        <w:rPr>
          <w:rFonts w:eastAsia="Times New Roman" w:cs="Times New Roman"/>
          <w:color w:val="000000"/>
        </w:rPr>
        <w:t>“</w:t>
      </w:r>
      <w:r w:rsidR="00082728">
        <w:rPr>
          <w:rFonts w:eastAsia="Times New Roman" w:cs="Times New Roman"/>
          <w:color w:val="000000"/>
        </w:rPr>
        <w:t> </w:t>
      </w:r>
      <w:r w:rsidR="0091008C">
        <w:rPr>
          <w:rFonts w:eastAsia="Times New Roman" w:cs="Times New Roman"/>
          <w:color w:val="000000"/>
        </w:rPr>
        <w:t>‘</w:t>
      </w:r>
      <w:r w:rsidR="00F27C97" w:rsidRPr="004228AD">
        <w:rPr>
          <w:rFonts w:eastAsia="Times New Roman" w:cs="Times New Roman"/>
          <w:color w:val="000000"/>
        </w:rPr>
        <w:t xml:space="preserve">well-settled equitable </w:t>
      </w:r>
      <w:r w:rsidR="00852C12" w:rsidRPr="004228AD">
        <w:rPr>
          <w:rFonts w:eastAsia="Times New Roman" w:cs="Times New Roman"/>
          <w:color w:val="000000"/>
        </w:rPr>
        <w:t>exception</w:t>
      </w:r>
      <w:r w:rsidR="0091008C">
        <w:rPr>
          <w:rFonts w:eastAsia="Times New Roman" w:cs="Times New Roman"/>
          <w:color w:val="000000"/>
        </w:rPr>
        <w:t>’</w:t>
      </w:r>
      <w:r w:rsidR="00082728">
        <w:rPr>
          <w:rFonts w:eastAsia="Times New Roman" w:cs="Times New Roman"/>
          <w:color w:val="000000"/>
        </w:rPr>
        <w:t> </w:t>
      </w:r>
      <w:r w:rsidR="00F27C97" w:rsidRPr="004228AD">
        <w:rPr>
          <w:rFonts w:eastAsia="Times New Roman" w:cs="Times New Roman"/>
          <w:color w:val="000000"/>
        </w:rPr>
        <w:t>”</w:t>
      </w:r>
      <w:r w:rsidR="00852C12" w:rsidRPr="004228AD">
        <w:rPr>
          <w:rFonts w:eastAsia="Times New Roman" w:cs="Times New Roman"/>
          <w:color w:val="000000"/>
        </w:rPr>
        <w:t xml:space="preserve"> to issue preclusion for circumstances where there </w:t>
      </w:r>
      <w:r w:rsidR="00F27C97" w:rsidRPr="004228AD">
        <w:rPr>
          <w:rFonts w:eastAsia="Times New Roman" w:cs="Times New Roman"/>
          <w:color w:val="000000"/>
        </w:rPr>
        <w:t xml:space="preserve">has been </w:t>
      </w:r>
      <w:r w:rsidR="00C91893">
        <w:rPr>
          <w:rFonts w:eastAsia="Times New Roman" w:cs="Times New Roman"/>
          <w:color w:val="000000"/>
        </w:rPr>
        <w:t xml:space="preserve">some significant </w:t>
      </w:r>
      <w:r w:rsidR="00852C12" w:rsidRPr="004228AD">
        <w:rPr>
          <w:rFonts w:eastAsia="Times New Roman" w:cs="Times New Roman"/>
          <w:color w:val="000000"/>
        </w:rPr>
        <w:t>change in the law</w:t>
      </w:r>
      <w:r w:rsidR="002F30F5" w:rsidRPr="004228AD">
        <w:rPr>
          <w:rFonts w:eastAsia="Times New Roman" w:cs="Times New Roman"/>
          <w:color w:val="000000"/>
        </w:rPr>
        <w:t xml:space="preserve"> since</w:t>
      </w:r>
      <w:r w:rsidR="00477628" w:rsidRPr="004228AD">
        <w:rPr>
          <w:rFonts w:eastAsia="Times New Roman" w:cs="Times New Roman"/>
          <w:color w:val="000000"/>
        </w:rPr>
        <w:t xml:space="preserve"> the factual findings </w:t>
      </w:r>
      <w:r w:rsidR="00410C51" w:rsidRPr="004228AD">
        <w:rPr>
          <w:rFonts w:eastAsia="Times New Roman" w:cs="Times New Roman"/>
          <w:color w:val="000000"/>
        </w:rPr>
        <w:t xml:space="preserve">claimed to be </w:t>
      </w:r>
      <w:r w:rsidR="00E1741E" w:rsidRPr="004228AD">
        <w:rPr>
          <w:rFonts w:eastAsia="Times New Roman" w:cs="Times New Roman"/>
          <w:color w:val="000000"/>
        </w:rPr>
        <w:t xml:space="preserve">binding </w:t>
      </w:r>
      <w:r w:rsidR="00C91893">
        <w:rPr>
          <w:rFonts w:eastAsia="Times New Roman" w:cs="Times New Roman"/>
          <w:color w:val="000000"/>
        </w:rPr>
        <w:t xml:space="preserve">were </w:t>
      </w:r>
      <w:r w:rsidR="001A2559" w:rsidRPr="004228AD">
        <w:rPr>
          <w:rFonts w:eastAsia="Times New Roman" w:cs="Times New Roman"/>
          <w:color w:val="000000"/>
        </w:rPr>
        <w:t xml:space="preserve">made. </w:t>
      </w:r>
      <w:r w:rsidR="00995A48" w:rsidRPr="004228AD">
        <w:rPr>
          <w:rFonts w:eastAsia="Times New Roman" w:cs="Times New Roman"/>
          <w:color w:val="000000"/>
        </w:rPr>
        <w:t xml:space="preserve"> </w:t>
      </w:r>
      <w:r w:rsidR="000D2AB3" w:rsidRPr="004228AD">
        <w:rPr>
          <w:rFonts w:eastAsia="Times New Roman" w:cs="Times New Roman"/>
          <w:color w:val="000000"/>
        </w:rPr>
        <w:t>(</w:t>
      </w:r>
      <w:r w:rsidR="000D2AB3" w:rsidRPr="00A52607">
        <w:rPr>
          <w:rFonts w:eastAsia="Times New Roman" w:cs="Times New Roman"/>
          <w:i/>
          <w:iCs/>
          <w:color w:val="000000"/>
        </w:rPr>
        <w:t>Curiel</w:t>
      </w:r>
      <w:r w:rsidR="000D2AB3" w:rsidRPr="004228AD">
        <w:rPr>
          <w:rFonts w:eastAsia="Times New Roman" w:cs="Times New Roman"/>
          <w:color w:val="000000"/>
        </w:rPr>
        <w:t xml:space="preserve">, </w:t>
      </w:r>
      <w:r w:rsidR="000D2AB3" w:rsidRPr="00A52607">
        <w:rPr>
          <w:rFonts w:eastAsia="Times New Roman" w:cs="Times New Roman"/>
          <w:i/>
          <w:iCs/>
          <w:color w:val="000000"/>
        </w:rPr>
        <w:t>supra</w:t>
      </w:r>
      <w:r w:rsidR="000D2AB3" w:rsidRPr="004228AD">
        <w:rPr>
          <w:rFonts w:eastAsia="Times New Roman" w:cs="Times New Roman"/>
          <w:color w:val="000000"/>
        </w:rPr>
        <w:t>, 15</w:t>
      </w:r>
      <w:r w:rsidR="008D5E82">
        <w:rPr>
          <w:rFonts w:eastAsia="Times New Roman" w:cs="Times New Roman"/>
          <w:color w:val="000000"/>
        </w:rPr>
        <w:t> </w:t>
      </w:r>
      <w:r w:rsidR="000D2AB3" w:rsidRPr="004228AD">
        <w:rPr>
          <w:rFonts w:eastAsia="Times New Roman" w:cs="Times New Roman"/>
          <w:color w:val="000000"/>
        </w:rPr>
        <w:t>Cal.5th at p.</w:t>
      </w:r>
      <w:r w:rsidR="008D5E82">
        <w:rPr>
          <w:rFonts w:eastAsia="Times New Roman" w:cs="Times New Roman"/>
          <w:color w:val="000000"/>
        </w:rPr>
        <w:t> </w:t>
      </w:r>
      <w:r w:rsidR="000D2AB3" w:rsidRPr="004228AD">
        <w:rPr>
          <w:rFonts w:eastAsia="Times New Roman" w:cs="Times New Roman"/>
          <w:color w:val="000000"/>
        </w:rPr>
        <w:t>45</w:t>
      </w:r>
      <w:r w:rsidR="0091008C">
        <w:rPr>
          <w:rFonts w:eastAsia="Times New Roman" w:cs="Times New Roman"/>
          <w:color w:val="000000"/>
        </w:rPr>
        <w:t>4, quoting</w:t>
      </w:r>
      <w:r w:rsidR="00E13F0B">
        <w:rPr>
          <w:rFonts w:eastAsia="Times New Roman" w:cs="Times New Roman"/>
          <w:color w:val="000000"/>
        </w:rPr>
        <w:t xml:space="preserve"> </w:t>
      </w:r>
      <w:r w:rsidR="00E13F0B" w:rsidRPr="004C7AB9">
        <w:rPr>
          <w:rFonts w:eastAsia="Times New Roman" w:cs="Times New Roman"/>
          <w:i/>
          <w:iCs/>
          <w:color w:val="000000"/>
        </w:rPr>
        <w:t>St</w:t>
      </w:r>
      <w:r w:rsidR="004C7AB9" w:rsidRPr="004C7AB9">
        <w:rPr>
          <w:rFonts w:eastAsia="Times New Roman" w:cs="Times New Roman"/>
          <w:i/>
          <w:iCs/>
          <w:color w:val="000000"/>
        </w:rPr>
        <w:t>rong</w:t>
      </w:r>
      <w:r w:rsidR="004C7AB9">
        <w:rPr>
          <w:rFonts w:eastAsia="Times New Roman" w:cs="Times New Roman"/>
          <w:color w:val="000000"/>
        </w:rPr>
        <w:t xml:space="preserve">, </w:t>
      </w:r>
      <w:r w:rsidR="004C7AB9" w:rsidRPr="004C7AB9">
        <w:rPr>
          <w:rFonts w:eastAsia="Times New Roman" w:cs="Times New Roman"/>
          <w:i/>
          <w:iCs/>
          <w:color w:val="000000"/>
        </w:rPr>
        <w:t>supra</w:t>
      </w:r>
      <w:r w:rsidR="004C7AB9">
        <w:rPr>
          <w:rFonts w:eastAsia="Times New Roman" w:cs="Times New Roman"/>
          <w:color w:val="000000"/>
        </w:rPr>
        <w:t>, 13</w:t>
      </w:r>
      <w:r w:rsidR="008D5E82">
        <w:rPr>
          <w:rFonts w:eastAsia="Times New Roman" w:cs="Times New Roman"/>
          <w:color w:val="000000"/>
        </w:rPr>
        <w:t> </w:t>
      </w:r>
      <w:r w:rsidR="004C7AB9">
        <w:rPr>
          <w:rFonts w:eastAsia="Times New Roman" w:cs="Times New Roman"/>
          <w:color w:val="000000"/>
        </w:rPr>
        <w:t>Cal. 5</w:t>
      </w:r>
      <w:r w:rsidR="00713E24">
        <w:rPr>
          <w:rFonts w:eastAsia="Times New Roman" w:cs="Times New Roman"/>
          <w:color w:val="000000"/>
        </w:rPr>
        <w:t>th</w:t>
      </w:r>
      <w:r w:rsidR="004C7AB9">
        <w:rPr>
          <w:rFonts w:eastAsia="Times New Roman" w:cs="Times New Roman"/>
          <w:color w:val="000000"/>
        </w:rPr>
        <w:t xml:space="preserve"> at </w:t>
      </w:r>
      <w:r w:rsidR="00373708">
        <w:rPr>
          <w:rFonts w:eastAsia="Times New Roman" w:cs="Times New Roman"/>
          <w:color w:val="000000"/>
        </w:rPr>
        <w:t>p</w:t>
      </w:r>
      <w:r w:rsidR="004C7AB9">
        <w:rPr>
          <w:rFonts w:eastAsia="Times New Roman" w:cs="Times New Roman"/>
          <w:color w:val="000000"/>
        </w:rPr>
        <w:t>.</w:t>
      </w:r>
      <w:r w:rsidR="008D5E82">
        <w:rPr>
          <w:rFonts w:eastAsia="Times New Roman" w:cs="Times New Roman"/>
          <w:color w:val="000000"/>
        </w:rPr>
        <w:t> </w:t>
      </w:r>
      <w:r w:rsidR="004C7AB9">
        <w:rPr>
          <w:rFonts w:eastAsia="Times New Roman" w:cs="Times New Roman"/>
          <w:color w:val="000000"/>
        </w:rPr>
        <w:t>716.)</w:t>
      </w:r>
      <w:r w:rsidR="00373708">
        <w:rPr>
          <w:rFonts w:eastAsia="Times New Roman" w:cs="Times New Roman"/>
          <w:color w:val="000000"/>
        </w:rPr>
        <w:t xml:space="preserve">  </w:t>
      </w:r>
    </w:p>
    <w:p w14:paraId="7BDE09B1" w14:textId="0CD0F6B0" w:rsidR="001661EF" w:rsidRPr="004228AD" w:rsidRDefault="00C42495" w:rsidP="004228AD">
      <w:pPr>
        <w:shd w:val="clear" w:color="auto" w:fill="FFFFFF"/>
        <w:rPr>
          <w:rFonts w:eastAsia="Times New Roman" w:cs="Times New Roman"/>
          <w:color w:val="000000"/>
        </w:rPr>
      </w:pPr>
      <w:r w:rsidRPr="004228AD">
        <w:rPr>
          <w:rFonts w:eastAsia="Times New Roman" w:cs="Times New Roman"/>
          <w:color w:val="000000"/>
        </w:rPr>
        <w:t xml:space="preserve">For this proposition, </w:t>
      </w:r>
      <w:r w:rsidR="002B6E2A">
        <w:rPr>
          <w:rFonts w:eastAsia="Times New Roman" w:cs="Times New Roman"/>
          <w:color w:val="000000"/>
        </w:rPr>
        <w:t xml:space="preserve">Beaudreaux </w:t>
      </w:r>
      <w:r w:rsidR="00B546DF" w:rsidRPr="004228AD">
        <w:rPr>
          <w:rFonts w:eastAsia="Times New Roman" w:cs="Times New Roman"/>
          <w:color w:val="000000"/>
        </w:rPr>
        <w:t xml:space="preserve">relies on </w:t>
      </w:r>
      <w:r w:rsidR="00752FC2" w:rsidRPr="004228AD">
        <w:rPr>
          <w:rFonts w:eastAsia="Times New Roman" w:cs="Times New Roman"/>
          <w:i/>
          <w:color w:val="3D3D3D"/>
          <w:bdr w:val="none" w:sz="0" w:space="0" w:color="auto" w:frame="1"/>
        </w:rPr>
        <w:t>Farfan</w:t>
      </w:r>
      <w:r w:rsidR="002B6E2A">
        <w:rPr>
          <w:rFonts w:eastAsia="Times New Roman" w:cs="Times New Roman"/>
          <w:color w:val="000000"/>
        </w:rPr>
        <w:t xml:space="preserve">, </w:t>
      </w:r>
      <w:r w:rsidR="002B6E2A" w:rsidRPr="002B6E2A">
        <w:rPr>
          <w:rFonts w:eastAsia="Times New Roman" w:cs="Times New Roman"/>
          <w:i/>
          <w:iCs/>
          <w:color w:val="000000"/>
        </w:rPr>
        <w:t>supra</w:t>
      </w:r>
      <w:r w:rsidR="002B6E2A">
        <w:rPr>
          <w:rFonts w:eastAsia="Times New Roman" w:cs="Times New Roman"/>
          <w:color w:val="000000"/>
        </w:rPr>
        <w:t xml:space="preserve">, </w:t>
      </w:r>
      <w:r w:rsidR="00752FC2" w:rsidRPr="004228AD">
        <w:rPr>
          <w:rFonts w:eastAsia="Times New Roman" w:cs="Times New Roman"/>
          <w:color w:val="000000"/>
        </w:rPr>
        <w:t>71</w:t>
      </w:r>
      <w:r w:rsidR="000F0803">
        <w:rPr>
          <w:rFonts w:eastAsia="Times New Roman" w:cs="Times New Roman"/>
          <w:color w:val="000000"/>
        </w:rPr>
        <w:t> </w:t>
      </w:r>
      <w:r w:rsidR="00752FC2" w:rsidRPr="004228AD">
        <w:rPr>
          <w:rFonts w:eastAsia="Times New Roman" w:cs="Times New Roman"/>
          <w:color w:val="000000"/>
        </w:rPr>
        <w:t>Cal.App.5th 942</w:t>
      </w:r>
      <w:r w:rsidR="00150A5C" w:rsidRPr="004228AD">
        <w:rPr>
          <w:rFonts w:eastAsia="Times New Roman" w:cs="Times New Roman"/>
          <w:color w:val="000000"/>
        </w:rPr>
        <w:t>.  In</w:t>
      </w:r>
      <w:r w:rsidR="00991958">
        <w:rPr>
          <w:rFonts w:eastAsia="Times New Roman" w:cs="Times New Roman"/>
          <w:color w:val="000000"/>
        </w:rPr>
        <w:t xml:space="preserve"> that case</w:t>
      </w:r>
      <w:r w:rsidR="00D60253">
        <w:rPr>
          <w:rFonts w:eastAsia="Times New Roman" w:cs="Times New Roman"/>
          <w:color w:val="000000"/>
        </w:rPr>
        <w:t xml:space="preserve">, </w:t>
      </w:r>
      <w:r w:rsidR="002F2F33" w:rsidRPr="004228AD">
        <w:rPr>
          <w:rFonts w:eastAsia="Times New Roman" w:cs="Times New Roman"/>
          <w:color w:val="000000"/>
        </w:rPr>
        <w:t>the</w:t>
      </w:r>
      <w:r w:rsidR="008A1105" w:rsidRPr="004228AD">
        <w:rPr>
          <w:rFonts w:eastAsia="Times New Roman" w:cs="Times New Roman"/>
          <w:color w:val="000000"/>
        </w:rPr>
        <w:t xml:space="preserve"> trial court </w:t>
      </w:r>
      <w:r w:rsidR="00142BA2" w:rsidRPr="004228AD">
        <w:rPr>
          <w:rFonts w:eastAsia="Times New Roman" w:cs="Times New Roman"/>
          <w:color w:val="000000"/>
        </w:rPr>
        <w:t xml:space="preserve">summarily </w:t>
      </w:r>
      <w:r w:rsidR="000077D2" w:rsidRPr="004228AD">
        <w:rPr>
          <w:rFonts w:eastAsia="Times New Roman" w:cs="Times New Roman"/>
          <w:color w:val="000000"/>
        </w:rPr>
        <w:t xml:space="preserve">denied a first </w:t>
      </w:r>
      <w:r w:rsidR="0052269D" w:rsidRPr="004228AD">
        <w:rPr>
          <w:rFonts w:eastAsia="Times New Roman" w:cs="Times New Roman"/>
          <w:color w:val="000000"/>
        </w:rPr>
        <w:t>section 1172.6 resentencing petition with</w:t>
      </w:r>
      <w:r w:rsidR="005E442A" w:rsidRPr="004228AD">
        <w:rPr>
          <w:rFonts w:eastAsia="Times New Roman" w:cs="Times New Roman"/>
          <w:color w:val="000000"/>
        </w:rPr>
        <w:t>out appointing counsel</w:t>
      </w:r>
      <w:r w:rsidR="00E15009" w:rsidRPr="004228AD">
        <w:rPr>
          <w:rFonts w:eastAsia="Times New Roman" w:cs="Times New Roman"/>
          <w:color w:val="000000"/>
        </w:rPr>
        <w:t xml:space="preserve"> on the ground that </w:t>
      </w:r>
      <w:r w:rsidR="009340C7" w:rsidRPr="004228AD">
        <w:rPr>
          <w:rFonts w:eastAsia="Times New Roman" w:cs="Times New Roman"/>
          <w:color w:val="000000"/>
        </w:rPr>
        <w:t>“</w:t>
      </w:r>
      <w:r w:rsidR="00E15009" w:rsidRPr="004228AD">
        <w:rPr>
          <w:rFonts w:eastAsia="Times New Roman" w:cs="Times New Roman"/>
          <w:color w:val="000000"/>
        </w:rPr>
        <w:t>the jury</w:t>
      </w:r>
      <w:r w:rsidR="00BB28F1">
        <w:rPr>
          <w:rFonts w:eastAsia="Times New Roman" w:cs="Times New Roman"/>
          <w:color w:val="000000"/>
        </w:rPr>
        <w:t>’</w:t>
      </w:r>
      <w:r w:rsidR="00E15009" w:rsidRPr="004228AD">
        <w:rPr>
          <w:rFonts w:eastAsia="Times New Roman" w:cs="Times New Roman"/>
          <w:color w:val="000000"/>
        </w:rPr>
        <w:t xml:space="preserve">s true finding on </w:t>
      </w:r>
      <w:r w:rsidR="0003226B" w:rsidRPr="004228AD">
        <w:rPr>
          <w:rFonts w:eastAsia="Times New Roman" w:cs="Times New Roman"/>
          <w:color w:val="000000"/>
        </w:rPr>
        <w:t>[a robbery murder]</w:t>
      </w:r>
      <w:r w:rsidR="00545FCD">
        <w:rPr>
          <w:rFonts w:eastAsia="Times New Roman" w:cs="Times New Roman"/>
          <w:color w:val="000000"/>
        </w:rPr>
        <w:t xml:space="preserve"> </w:t>
      </w:r>
      <w:r w:rsidR="00E15009" w:rsidRPr="004228AD">
        <w:rPr>
          <w:rFonts w:eastAsia="Times New Roman" w:cs="Times New Roman"/>
          <w:color w:val="000000"/>
        </w:rPr>
        <w:t>special circumstance allegation preclude</w:t>
      </w:r>
      <w:r w:rsidR="009340C7" w:rsidRPr="004228AD">
        <w:rPr>
          <w:rFonts w:eastAsia="Times New Roman" w:cs="Times New Roman"/>
          <w:color w:val="000000"/>
        </w:rPr>
        <w:t>[d]</w:t>
      </w:r>
      <w:r w:rsidR="00E15009" w:rsidRPr="004228AD">
        <w:rPr>
          <w:rFonts w:eastAsia="Times New Roman" w:cs="Times New Roman"/>
          <w:color w:val="000000"/>
        </w:rPr>
        <w:t xml:space="preserve"> relief under section </w:t>
      </w:r>
      <w:r w:rsidR="0095750E">
        <w:rPr>
          <w:rFonts w:eastAsia="Times New Roman" w:cs="Times New Roman"/>
          <w:color w:val="000000"/>
        </w:rPr>
        <w:t>[</w:t>
      </w:r>
      <w:r w:rsidR="00E15009" w:rsidRPr="004228AD">
        <w:rPr>
          <w:rFonts w:eastAsia="Times New Roman" w:cs="Times New Roman"/>
          <w:color w:val="000000"/>
        </w:rPr>
        <w:t>117</w:t>
      </w:r>
      <w:r w:rsidR="0095750E">
        <w:rPr>
          <w:rFonts w:eastAsia="Times New Roman" w:cs="Times New Roman"/>
          <w:color w:val="000000"/>
        </w:rPr>
        <w:t>2</w:t>
      </w:r>
      <w:r w:rsidR="00E15009" w:rsidRPr="004228AD">
        <w:rPr>
          <w:rFonts w:eastAsia="Times New Roman" w:cs="Times New Roman"/>
          <w:color w:val="000000"/>
        </w:rPr>
        <w:t>.</w:t>
      </w:r>
      <w:r w:rsidR="00232A73" w:rsidRPr="004228AD">
        <w:rPr>
          <w:rFonts w:eastAsia="Times New Roman" w:cs="Times New Roman"/>
          <w:color w:val="000000"/>
        </w:rPr>
        <w:t>6]</w:t>
      </w:r>
      <w:r w:rsidR="00E15009" w:rsidRPr="004228AD">
        <w:rPr>
          <w:rFonts w:eastAsia="Times New Roman" w:cs="Times New Roman"/>
          <w:color w:val="000000"/>
        </w:rPr>
        <w:t xml:space="preserve"> as a matter of law</w:t>
      </w:r>
      <w:r w:rsidR="005A4B2F" w:rsidRPr="004228AD">
        <w:rPr>
          <w:rFonts w:eastAsia="Times New Roman" w:cs="Times New Roman"/>
          <w:color w:val="000000"/>
        </w:rPr>
        <w:t>.</w:t>
      </w:r>
      <w:r w:rsidR="00E15009" w:rsidRPr="004228AD">
        <w:rPr>
          <w:rFonts w:eastAsia="Times New Roman" w:cs="Times New Roman"/>
          <w:color w:val="000000"/>
        </w:rPr>
        <w:t>”</w:t>
      </w:r>
      <w:r w:rsidR="00451850">
        <w:rPr>
          <w:rFonts w:eastAsia="Times New Roman" w:cs="Times New Roman"/>
          <w:color w:val="000000"/>
        </w:rPr>
        <w:t xml:space="preserve">  (</w:t>
      </w:r>
      <w:r w:rsidR="000B4CDC">
        <w:rPr>
          <w:rFonts w:eastAsia="Times New Roman" w:cs="Times New Roman"/>
          <w:i/>
          <w:iCs/>
          <w:color w:val="000000"/>
        </w:rPr>
        <w:t>Farfan</w:t>
      </w:r>
      <w:r w:rsidR="000B4CDC">
        <w:rPr>
          <w:rFonts w:eastAsia="Times New Roman" w:cs="Times New Roman"/>
          <w:color w:val="000000"/>
        </w:rPr>
        <w:t>,</w:t>
      </w:r>
      <w:r w:rsidR="00451850">
        <w:rPr>
          <w:rFonts w:eastAsia="Times New Roman" w:cs="Times New Roman"/>
          <w:color w:val="000000"/>
        </w:rPr>
        <w:t xml:space="preserve"> at p.</w:t>
      </w:r>
      <w:r w:rsidR="00E9073F">
        <w:rPr>
          <w:rFonts w:eastAsia="Times New Roman" w:cs="Times New Roman"/>
          <w:color w:val="000000"/>
        </w:rPr>
        <w:t> </w:t>
      </w:r>
      <w:r w:rsidR="005A287B">
        <w:rPr>
          <w:rFonts w:eastAsia="Times New Roman" w:cs="Times New Roman"/>
          <w:color w:val="000000"/>
        </w:rPr>
        <w:t xml:space="preserve">946.)  </w:t>
      </w:r>
      <w:r w:rsidR="005A4B2F" w:rsidRPr="004228AD">
        <w:rPr>
          <w:rFonts w:eastAsia="Times New Roman" w:cs="Times New Roman"/>
          <w:color w:val="000000"/>
        </w:rPr>
        <w:t>After</w:t>
      </w:r>
      <w:r w:rsidR="000150DB" w:rsidRPr="004228AD">
        <w:rPr>
          <w:rFonts w:eastAsia="Times New Roman" w:cs="Times New Roman"/>
          <w:color w:val="000000"/>
        </w:rPr>
        <w:t xml:space="preserve"> </w:t>
      </w:r>
      <w:r w:rsidR="00D36EE8" w:rsidRPr="004228AD">
        <w:rPr>
          <w:rFonts w:eastAsia="Times New Roman" w:cs="Times New Roman"/>
          <w:color w:val="000000"/>
        </w:rPr>
        <w:t>the</w:t>
      </w:r>
      <w:r w:rsidR="004E5240" w:rsidRPr="004228AD">
        <w:rPr>
          <w:rFonts w:eastAsia="Times New Roman" w:cs="Times New Roman"/>
          <w:color w:val="000000"/>
        </w:rPr>
        <w:t xml:space="preserve"> denial was affirmed</w:t>
      </w:r>
      <w:r w:rsidR="00B812E0" w:rsidRPr="004228AD">
        <w:rPr>
          <w:rFonts w:eastAsia="Times New Roman" w:cs="Times New Roman"/>
          <w:color w:val="000000"/>
        </w:rPr>
        <w:t xml:space="preserve"> on appeal</w:t>
      </w:r>
      <w:r w:rsidR="005A4B2F" w:rsidRPr="004228AD">
        <w:rPr>
          <w:rFonts w:eastAsia="Times New Roman" w:cs="Times New Roman"/>
          <w:color w:val="000000"/>
        </w:rPr>
        <w:t>,</w:t>
      </w:r>
      <w:r w:rsidR="00B812E0" w:rsidRPr="004228AD">
        <w:rPr>
          <w:rFonts w:eastAsia="Times New Roman" w:cs="Times New Roman"/>
          <w:color w:val="000000"/>
        </w:rPr>
        <w:t xml:space="preserve"> </w:t>
      </w:r>
      <w:r w:rsidR="000A3D80" w:rsidRPr="004228AD">
        <w:rPr>
          <w:rFonts w:eastAsia="Times New Roman" w:cs="Times New Roman"/>
          <w:color w:val="000000"/>
        </w:rPr>
        <w:t>the Supreme Court deci</w:t>
      </w:r>
      <w:r w:rsidR="005A4B2F" w:rsidRPr="004228AD">
        <w:rPr>
          <w:rFonts w:eastAsia="Times New Roman" w:cs="Times New Roman"/>
          <w:color w:val="000000"/>
        </w:rPr>
        <w:t xml:space="preserve">ded </w:t>
      </w:r>
      <w:r w:rsidR="000A3D80" w:rsidRPr="00C85D98">
        <w:rPr>
          <w:rFonts w:eastAsia="Times New Roman" w:cs="Times New Roman"/>
          <w:i/>
          <w:iCs/>
          <w:color w:val="000000"/>
        </w:rPr>
        <w:t>Lewis</w:t>
      </w:r>
      <w:r w:rsidR="000A3D80" w:rsidRPr="004228AD">
        <w:rPr>
          <w:rFonts w:eastAsia="Times New Roman" w:cs="Times New Roman"/>
          <w:color w:val="000000"/>
        </w:rPr>
        <w:t xml:space="preserve"> </w:t>
      </w:r>
      <w:r w:rsidR="0084508A" w:rsidRPr="004228AD">
        <w:rPr>
          <w:rFonts w:eastAsia="Times New Roman" w:cs="Times New Roman"/>
          <w:color w:val="000000"/>
        </w:rPr>
        <w:t xml:space="preserve">and </w:t>
      </w:r>
      <w:r w:rsidR="0076187A" w:rsidRPr="004228AD">
        <w:rPr>
          <w:rFonts w:eastAsia="Times New Roman" w:cs="Times New Roman"/>
          <w:color w:val="000000"/>
        </w:rPr>
        <w:t xml:space="preserve">a </w:t>
      </w:r>
      <w:r w:rsidR="00971A90" w:rsidRPr="004228AD">
        <w:rPr>
          <w:rFonts w:eastAsia="Times New Roman" w:cs="Times New Roman"/>
          <w:color w:val="000000"/>
        </w:rPr>
        <w:t xml:space="preserve">split in authority among the </w:t>
      </w:r>
      <w:r w:rsidR="00A34DF6" w:rsidRPr="004228AD">
        <w:rPr>
          <w:rFonts w:eastAsia="Times New Roman" w:cs="Times New Roman"/>
          <w:color w:val="000000"/>
        </w:rPr>
        <w:t>Courts of Appeal</w:t>
      </w:r>
      <w:r w:rsidR="00971A90" w:rsidRPr="004228AD">
        <w:rPr>
          <w:rFonts w:eastAsia="Times New Roman" w:cs="Times New Roman"/>
          <w:color w:val="000000"/>
        </w:rPr>
        <w:t xml:space="preserve"> </w:t>
      </w:r>
      <w:r w:rsidR="00A34DF6" w:rsidRPr="004228AD">
        <w:rPr>
          <w:rFonts w:eastAsia="Times New Roman" w:cs="Times New Roman"/>
          <w:color w:val="000000"/>
        </w:rPr>
        <w:t>developed</w:t>
      </w:r>
      <w:r w:rsidR="00971A90" w:rsidRPr="004228AD">
        <w:rPr>
          <w:rFonts w:eastAsia="Times New Roman" w:cs="Times New Roman"/>
          <w:color w:val="000000"/>
        </w:rPr>
        <w:t xml:space="preserve">, with some courts </w:t>
      </w:r>
      <w:r w:rsidR="00A34DF6" w:rsidRPr="004228AD">
        <w:rPr>
          <w:rFonts w:eastAsia="Times New Roman" w:cs="Times New Roman"/>
          <w:color w:val="000000"/>
        </w:rPr>
        <w:t>holding th</w:t>
      </w:r>
      <w:r w:rsidR="00971A90" w:rsidRPr="004228AD">
        <w:rPr>
          <w:rFonts w:eastAsia="Times New Roman" w:cs="Times New Roman"/>
          <w:color w:val="000000"/>
        </w:rPr>
        <w:t xml:space="preserve">at </w:t>
      </w:r>
      <w:r w:rsidR="00A34DF6" w:rsidRPr="004228AD">
        <w:rPr>
          <w:rFonts w:eastAsia="Times New Roman" w:cs="Times New Roman"/>
          <w:color w:val="000000"/>
        </w:rPr>
        <w:t xml:space="preserve">prior special circumstances </w:t>
      </w:r>
      <w:r w:rsidR="00A34DF6" w:rsidRPr="004228AD">
        <w:rPr>
          <w:rFonts w:eastAsia="Times New Roman" w:cs="Times New Roman"/>
          <w:color w:val="000000"/>
        </w:rPr>
        <w:lastRenderedPageBreak/>
        <w:t xml:space="preserve">findings </w:t>
      </w:r>
      <w:r w:rsidR="00971A90" w:rsidRPr="004228AD">
        <w:rPr>
          <w:rFonts w:eastAsia="Times New Roman" w:cs="Times New Roman"/>
          <w:color w:val="000000"/>
        </w:rPr>
        <w:t>are</w:t>
      </w:r>
      <w:r w:rsidR="00A34DF6" w:rsidRPr="004228AD">
        <w:rPr>
          <w:rFonts w:eastAsia="Times New Roman" w:cs="Times New Roman"/>
          <w:color w:val="000000"/>
        </w:rPr>
        <w:t xml:space="preserve"> not binding </w:t>
      </w:r>
      <w:r w:rsidR="00D724EF" w:rsidRPr="004228AD">
        <w:rPr>
          <w:rFonts w:eastAsia="Times New Roman" w:cs="Times New Roman"/>
          <w:color w:val="000000"/>
        </w:rPr>
        <w:t xml:space="preserve">at the prima facie stage of a resentencing proceeding. </w:t>
      </w:r>
      <w:r w:rsidR="002B6E2A">
        <w:rPr>
          <w:rFonts w:eastAsia="Times New Roman" w:cs="Times New Roman"/>
          <w:color w:val="000000"/>
        </w:rPr>
        <w:t xml:space="preserve"> </w:t>
      </w:r>
      <w:r w:rsidR="008952EB">
        <w:rPr>
          <w:rFonts w:eastAsia="Times New Roman" w:cs="Times New Roman"/>
          <w:color w:val="000000"/>
        </w:rPr>
        <w:t>(</w:t>
      </w:r>
      <w:r w:rsidR="008952EB" w:rsidRPr="005A287B">
        <w:rPr>
          <w:rFonts w:eastAsia="Times New Roman" w:cs="Times New Roman"/>
          <w:i/>
          <w:iCs/>
          <w:color w:val="000000"/>
        </w:rPr>
        <w:t>Id</w:t>
      </w:r>
      <w:r w:rsidR="008952EB">
        <w:rPr>
          <w:rFonts w:eastAsia="Times New Roman" w:cs="Times New Roman"/>
          <w:color w:val="000000"/>
        </w:rPr>
        <w:t>.</w:t>
      </w:r>
      <w:r w:rsidR="00382772">
        <w:rPr>
          <w:rFonts w:eastAsia="Times New Roman" w:cs="Times New Roman"/>
          <w:color w:val="000000"/>
        </w:rPr>
        <w:t xml:space="preserve"> at p.</w:t>
      </w:r>
      <w:r w:rsidR="00E9073F">
        <w:rPr>
          <w:rFonts w:eastAsia="Times New Roman" w:cs="Times New Roman"/>
          <w:color w:val="000000"/>
        </w:rPr>
        <w:t> </w:t>
      </w:r>
      <w:r w:rsidR="00382772">
        <w:rPr>
          <w:rFonts w:eastAsia="Times New Roman" w:cs="Times New Roman"/>
          <w:color w:val="000000"/>
        </w:rPr>
        <w:t>949.</w:t>
      </w:r>
      <w:r w:rsidR="008952EB">
        <w:rPr>
          <w:rFonts w:eastAsia="Times New Roman" w:cs="Times New Roman"/>
          <w:color w:val="000000"/>
        </w:rPr>
        <w:t>)</w:t>
      </w:r>
      <w:r w:rsidR="00D724EF" w:rsidRPr="004228AD">
        <w:rPr>
          <w:rFonts w:eastAsia="Times New Roman" w:cs="Times New Roman"/>
          <w:color w:val="000000"/>
        </w:rPr>
        <w:t xml:space="preserve">  </w:t>
      </w:r>
      <w:r w:rsidR="006E0D67" w:rsidRPr="004228AD">
        <w:rPr>
          <w:rFonts w:eastAsia="Times New Roman" w:cs="Times New Roman"/>
          <w:color w:val="000000"/>
        </w:rPr>
        <w:t>D</w:t>
      </w:r>
      <w:r w:rsidR="005A4B2F" w:rsidRPr="004228AD">
        <w:rPr>
          <w:rFonts w:eastAsia="Times New Roman" w:cs="Times New Roman"/>
          <w:color w:val="000000"/>
        </w:rPr>
        <w:t>espite the</w:t>
      </w:r>
      <w:r w:rsidR="00D724EF" w:rsidRPr="004228AD">
        <w:rPr>
          <w:rFonts w:eastAsia="Times New Roman" w:cs="Times New Roman"/>
          <w:color w:val="000000"/>
        </w:rPr>
        <w:t>se interim developments in the law</w:t>
      </w:r>
      <w:r w:rsidR="005A4B2F" w:rsidRPr="004228AD">
        <w:rPr>
          <w:rFonts w:eastAsia="Times New Roman" w:cs="Times New Roman"/>
          <w:color w:val="000000"/>
        </w:rPr>
        <w:t>,</w:t>
      </w:r>
      <w:r w:rsidR="00262A75" w:rsidRPr="004228AD">
        <w:rPr>
          <w:rFonts w:eastAsia="Times New Roman" w:cs="Times New Roman"/>
          <w:color w:val="000000"/>
        </w:rPr>
        <w:t xml:space="preserve"> </w:t>
      </w:r>
      <w:r w:rsidR="000579DC" w:rsidRPr="004228AD">
        <w:rPr>
          <w:rFonts w:eastAsia="Times New Roman" w:cs="Times New Roman"/>
          <w:color w:val="000000"/>
        </w:rPr>
        <w:t xml:space="preserve">the trial court </w:t>
      </w:r>
      <w:r w:rsidR="00B0425D" w:rsidRPr="004228AD">
        <w:rPr>
          <w:rFonts w:eastAsia="Times New Roman" w:cs="Times New Roman"/>
          <w:color w:val="000000"/>
        </w:rPr>
        <w:t xml:space="preserve">summarily </w:t>
      </w:r>
      <w:r w:rsidR="000579DC" w:rsidRPr="004228AD">
        <w:rPr>
          <w:rFonts w:eastAsia="Times New Roman" w:cs="Times New Roman"/>
          <w:color w:val="000000"/>
        </w:rPr>
        <w:t xml:space="preserve">denied </w:t>
      </w:r>
      <w:r w:rsidR="00B0425D" w:rsidRPr="004228AD">
        <w:rPr>
          <w:rFonts w:eastAsia="Times New Roman" w:cs="Times New Roman"/>
          <w:color w:val="000000"/>
        </w:rPr>
        <w:t xml:space="preserve">a </w:t>
      </w:r>
      <w:r w:rsidR="00262A75" w:rsidRPr="004228AD">
        <w:rPr>
          <w:rFonts w:eastAsia="Times New Roman" w:cs="Times New Roman"/>
          <w:color w:val="000000"/>
        </w:rPr>
        <w:t xml:space="preserve">second </w:t>
      </w:r>
      <w:r w:rsidR="00905362" w:rsidRPr="004228AD">
        <w:rPr>
          <w:rFonts w:eastAsia="Times New Roman" w:cs="Times New Roman"/>
          <w:color w:val="000000"/>
        </w:rPr>
        <w:t>section 11</w:t>
      </w:r>
      <w:r w:rsidR="000579DC" w:rsidRPr="004228AD">
        <w:rPr>
          <w:rFonts w:eastAsia="Times New Roman" w:cs="Times New Roman"/>
          <w:color w:val="000000"/>
        </w:rPr>
        <w:t xml:space="preserve">72.6 </w:t>
      </w:r>
      <w:r w:rsidR="00B0425D" w:rsidRPr="004228AD">
        <w:rPr>
          <w:rFonts w:eastAsia="Times New Roman" w:cs="Times New Roman"/>
          <w:color w:val="000000"/>
        </w:rPr>
        <w:t>petition</w:t>
      </w:r>
      <w:r w:rsidR="000F6A50">
        <w:rPr>
          <w:rFonts w:eastAsia="Times New Roman" w:cs="Times New Roman"/>
          <w:color w:val="000000"/>
        </w:rPr>
        <w:t xml:space="preserve">, as in this case, </w:t>
      </w:r>
      <w:r w:rsidR="000579DC" w:rsidRPr="004228AD">
        <w:rPr>
          <w:rFonts w:eastAsia="Times New Roman" w:cs="Times New Roman"/>
          <w:color w:val="000000"/>
        </w:rPr>
        <w:t>without appointing counsel</w:t>
      </w:r>
      <w:r w:rsidR="00D724EF" w:rsidRPr="004228AD">
        <w:rPr>
          <w:rFonts w:eastAsia="Times New Roman" w:cs="Times New Roman"/>
          <w:color w:val="000000"/>
        </w:rPr>
        <w:t xml:space="preserve">. </w:t>
      </w:r>
      <w:r w:rsidR="006E0D67" w:rsidRPr="004228AD">
        <w:rPr>
          <w:rFonts w:eastAsia="Times New Roman" w:cs="Times New Roman"/>
          <w:color w:val="000000"/>
        </w:rPr>
        <w:t xml:space="preserve"> </w:t>
      </w:r>
      <w:r w:rsidR="002A3BD4">
        <w:rPr>
          <w:rFonts w:eastAsia="Times New Roman" w:cs="Times New Roman"/>
          <w:color w:val="000000"/>
        </w:rPr>
        <w:t>(</w:t>
      </w:r>
      <w:r w:rsidR="00AD12E1">
        <w:rPr>
          <w:rFonts w:eastAsia="Times New Roman" w:cs="Times New Roman"/>
          <w:i/>
          <w:iCs/>
          <w:color w:val="000000"/>
        </w:rPr>
        <w:t>Farfan</w:t>
      </w:r>
      <w:r w:rsidR="00AD12E1">
        <w:rPr>
          <w:rFonts w:eastAsia="Times New Roman" w:cs="Times New Roman"/>
          <w:color w:val="000000"/>
        </w:rPr>
        <w:t>,</w:t>
      </w:r>
      <w:r w:rsidR="002A3BD4">
        <w:rPr>
          <w:rFonts w:eastAsia="Times New Roman" w:cs="Times New Roman"/>
          <w:color w:val="000000"/>
        </w:rPr>
        <w:t xml:space="preserve"> at p.</w:t>
      </w:r>
      <w:r w:rsidR="00E9073F">
        <w:rPr>
          <w:rFonts w:eastAsia="Times New Roman" w:cs="Times New Roman"/>
          <w:color w:val="000000"/>
        </w:rPr>
        <w:t> </w:t>
      </w:r>
      <w:r w:rsidR="002A3BD4">
        <w:rPr>
          <w:rFonts w:eastAsia="Times New Roman" w:cs="Times New Roman"/>
          <w:color w:val="000000"/>
        </w:rPr>
        <w:t>947.)</w:t>
      </w:r>
      <w:r w:rsidR="002A3BD4" w:rsidRPr="004228AD">
        <w:rPr>
          <w:rFonts w:eastAsia="Times New Roman" w:cs="Times New Roman"/>
          <w:color w:val="000000"/>
        </w:rPr>
        <w:t xml:space="preserve">  </w:t>
      </w:r>
    </w:p>
    <w:p w14:paraId="07055A25" w14:textId="2FE1E8A8" w:rsidR="00321A6A" w:rsidRPr="004228AD" w:rsidRDefault="00C42495" w:rsidP="004228AD">
      <w:pPr>
        <w:shd w:val="clear" w:color="auto" w:fill="FFFFFF"/>
        <w:rPr>
          <w:rFonts w:eastAsia="Times New Roman" w:cs="Times New Roman"/>
          <w:color w:val="000000"/>
        </w:rPr>
      </w:pPr>
      <w:r w:rsidRPr="004228AD">
        <w:rPr>
          <w:rFonts w:eastAsia="Times New Roman" w:cs="Times New Roman"/>
          <w:color w:val="000000"/>
        </w:rPr>
        <w:t>On appeal, t</w:t>
      </w:r>
      <w:r w:rsidR="004002F5" w:rsidRPr="004228AD">
        <w:rPr>
          <w:rFonts w:eastAsia="Times New Roman" w:cs="Times New Roman"/>
          <w:color w:val="000000"/>
        </w:rPr>
        <w:t>he</w:t>
      </w:r>
      <w:r w:rsidR="0080675B" w:rsidRPr="004228AD">
        <w:rPr>
          <w:rFonts w:eastAsia="Times New Roman" w:cs="Times New Roman"/>
          <w:color w:val="000000"/>
        </w:rPr>
        <w:t xml:space="preserve"> People</w:t>
      </w:r>
      <w:r w:rsidR="00E63645" w:rsidRPr="004228AD">
        <w:rPr>
          <w:rFonts w:eastAsia="Times New Roman" w:cs="Times New Roman"/>
          <w:color w:val="000000"/>
        </w:rPr>
        <w:t xml:space="preserve"> </w:t>
      </w:r>
      <w:r w:rsidR="00A125E6" w:rsidRPr="004228AD">
        <w:rPr>
          <w:rFonts w:eastAsia="Times New Roman" w:cs="Times New Roman"/>
          <w:color w:val="000000"/>
        </w:rPr>
        <w:t xml:space="preserve">unsuccessfully </w:t>
      </w:r>
      <w:r w:rsidR="00E63645" w:rsidRPr="004228AD">
        <w:rPr>
          <w:rFonts w:eastAsia="Times New Roman" w:cs="Times New Roman"/>
          <w:color w:val="000000"/>
        </w:rPr>
        <w:t>attempted to defend the second summary deni</w:t>
      </w:r>
      <w:r w:rsidR="00104FE1" w:rsidRPr="004228AD">
        <w:rPr>
          <w:rFonts w:eastAsia="Times New Roman" w:cs="Times New Roman"/>
          <w:color w:val="000000"/>
        </w:rPr>
        <w:t xml:space="preserve">al </w:t>
      </w:r>
      <w:r w:rsidR="00957065" w:rsidRPr="004228AD">
        <w:rPr>
          <w:rFonts w:eastAsia="Times New Roman" w:cs="Times New Roman"/>
          <w:color w:val="000000"/>
        </w:rPr>
        <w:t xml:space="preserve">by </w:t>
      </w:r>
      <w:r w:rsidR="002715B4" w:rsidRPr="004228AD">
        <w:rPr>
          <w:rFonts w:eastAsia="Times New Roman" w:cs="Times New Roman"/>
          <w:color w:val="000000"/>
        </w:rPr>
        <w:t xml:space="preserve">analogy </w:t>
      </w:r>
      <w:r w:rsidR="00836DC7" w:rsidRPr="004228AD">
        <w:rPr>
          <w:rFonts w:eastAsia="Times New Roman" w:cs="Times New Roman"/>
          <w:color w:val="000000"/>
        </w:rPr>
        <w:t>to</w:t>
      </w:r>
      <w:r w:rsidR="00E232C7" w:rsidRPr="004228AD">
        <w:rPr>
          <w:rFonts w:eastAsia="Times New Roman" w:cs="Times New Roman"/>
          <w:color w:val="000000"/>
        </w:rPr>
        <w:t xml:space="preserve"> the </w:t>
      </w:r>
      <w:r w:rsidR="005C0590" w:rsidRPr="004228AD">
        <w:rPr>
          <w:rFonts w:eastAsia="Times New Roman" w:cs="Times New Roman"/>
          <w:color w:val="000000"/>
        </w:rPr>
        <w:t>rule again</w:t>
      </w:r>
      <w:r w:rsidR="004749EA">
        <w:rPr>
          <w:rFonts w:eastAsia="Times New Roman" w:cs="Times New Roman"/>
          <w:color w:val="000000"/>
        </w:rPr>
        <w:t>st</w:t>
      </w:r>
      <w:r w:rsidR="005C0590" w:rsidRPr="004228AD">
        <w:rPr>
          <w:rFonts w:eastAsia="Times New Roman" w:cs="Times New Roman"/>
          <w:color w:val="000000"/>
        </w:rPr>
        <w:t xml:space="preserve"> successive habeas corpus petitions</w:t>
      </w:r>
      <w:r w:rsidR="0086699A" w:rsidRPr="004228AD">
        <w:rPr>
          <w:rFonts w:eastAsia="Times New Roman" w:cs="Times New Roman"/>
          <w:color w:val="000000"/>
        </w:rPr>
        <w:t>.</w:t>
      </w:r>
      <w:r w:rsidR="00DC3AF5">
        <w:rPr>
          <w:rFonts w:eastAsia="Times New Roman" w:cs="Times New Roman"/>
          <w:color w:val="000000"/>
        </w:rPr>
        <w:t xml:space="preserve">  </w:t>
      </w:r>
      <w:r w:rsidR="00707B92" w:rsidRPr="004228AD">
        <w:rPr>
          <w:rFonts w:eastAsia="Times New Roman" w:cs="Times New Roman"/>
          <w:color w:val="000000"/>
        </w:rPr>
        <w:t xml:space="preserve">The </w:t>
      </w:r>
      <w:r w:rsidR="00496AE4">
        <w:rPr>
          <w:rFonts w:eastAsia="Times New Roman" w:cs="Times New Roman"/>
          <w:i/>
          <w:iCs/>
          <w:color w:val="000000"/>
        </w:rPr>
        <w:t xml:space="preserve">Farfan </w:t>
      </w:r>
      <w:r w:rsidR="00496AE4">
        <w:rPr>
          <w:rFonts w:eastAsia="Times New Roman" w:cs="Times New Roman"/>
          <w:color w:val="000000"/>
        </w:rPr>
        <w:t>court</w:t>
      </w:r>
      <w:r w:rsidR="00707B92" w:rsidRPr="004228AD">
        <w:rPr>
          <w:rFonts w:eastAsia="Times New Roman" w:cs="Times New Roman"/>
          <w:color w:val="000000"/>
        </w:rPr>
        <w:t xml:space="preserve"> rejected the analogy</w:t>
      </w:r>
      <w:r w:rsidR="0090449D" w:rsidRPr="004228AD">
        <w:rPr>
          <w:rFonts w:eastAsia="Times New Roman" w:cs="Times New Roman"/>
          <w:color w:val="000000"/>
        </w:rPr>
        <w:t>, c</w:t>
      </w:r>
      <w:r w:rsidR="007B196A" w:rsidRPr="004228AD">
        <w:rPr>
          <w:rFonts w:eastAsia="Times New Roman" w:cs="Times New Roman"/>
          <w:color w:val="000000"/>
        </w:rPr>
        <w:t xml:space="preserve">iting </w:t>
      </w:r>
      <w:r w:rsidR="008F7DF1" w:rsidRPr="00572C6F">
        <w:rPr>
          <w:rFonts w:eastAsia="Times New Roman" w:cs="Times New Roman"/>
          <w:i/>
          <w:iCs/>
          <w:color w:val="000000"/>
        </w:rPr>
        <w:t>In</w:t>
      </w:r>
      <w:r w:rsidR="003A773D">
        <w:rPr>
          <w:rFonts w:eastAsia="Times New Roman" w:cs="Times New Roman"/>
          <w:i/>
          <w:iCs/>
          <w:color w:val="000000"/>
        </w:rPr>
        <w:t> </w:t>
      </w:r>
      <w:r w:rsidR="008F7DF1" w:rsidRPr="00572C6F">
        <w:rPr>
          <w:rFonts w:eastAsia="Times New Roman" w:cs="Times New Roman"/>
          <w:i/>
          <w:iCs/>
          <w:color w:val="000000"/>
        </w:rPr>
        <w:t>re Martinez</w:t>
      </w:r>
      <w:r w:rsidR="008F7DF1" w:rsidRPr="004228AD">
        <w:rPr>
          <w:rFonts w:eastAsia="Times New Roman" w:cs="Times New Roman"/>
          <w:color w:val="000000"/>
        </w:rPr>
        <w:t xml:space="preserve"> (2017)</w:t>
      </w:r>
      <w:r w:rsidR="00F4463B" w:rsidRPr="004228AD">
        <w:rPr>
          <w:rFonts w:eastAsia="Times New Roman" w:cs="Times New Roman"/>
          <w:color w:val="000000"/>
        </w:rPr>
        <w:t xml:space="preserve"> 3</w:t>
      </w:r>
      <w:r w:rsidR="00950989">
        <w:rPr>
          <w:rFonts w:eastAsia="Times New Roman" w:cs="Times New Roman"/>
          <w:color w:val="000000"/>
        </w:rPr>
        <w:t> </w:t>
      </w:r>
      <w:r w:rsidR="00F4463B" w:rsidRPr="004228AD">
        <w:rPr>
          <w:rFonts w:eastAsia="Times New Roman" w:cs="Times New Roman"/>
          <w:color w:val="000000"/>
        </w:rPr>
        <w:t>Cal.5</w:t>
      </w:r>
      <w:r w:rsidR="004749EA">
        <w:rPr>
          <w:rFonts w:eastAsia="Times New Roman" w:cs="Times New Roman"/>
          <w:color w:val="000000"/>
        </w:rPr>
        <w:t>th</w:t>
      </w:r>
      <w:r w:rsidR="00F4463B" w:rsidRPr="004228AD">
        <w:rPr>
          <w:rFonts w:eastAsia="Times New Roman" w:cs="Times New Roman"/>
          <w:color w:val="000000"/>
        </w:rPr>
        <w:t xml:space="preserve"> 1216)</w:t>
      </w:r>
      <w:r w:rsidR="00813D0E" w:rsidRPr="004228AD">
        <w:rPr>
          <w:rFonts w:eastAsia="Times New Roman" w:cs="Times New Roman"/>
          <w:color w:val="000000"/>
        </w:rPr>
        <w:t xml:space="preserve">, </w:t>
      </w:r>
      <w:r w:rsidR="00D566E4" w:rsidRPr="004228AD">
        <w:rPr>
          <w:rFonts w:eastAsia="Times New Roman" w:cs="Times New Roman"/>
          <w:color w:val="000000"/>
        </w:rPr>
        <w:t xml:space="preserve">a case in which </w:t>
      </w:r>
      <w:r w:rsidR="0098639E" w:rsidRPr="004228AD">
        <w:rPr>
          <w:rFonts w:eastAsia="Times New Roman" w:cs="Times New Roman"/>
          <w:color w:val="000000"/>
        </w:rPr>
        <w:t xml:space="preserve">the Supreme Court declined to apply the </w:t>
      </w:r>
      <w:r w:rsidRPr="004228AD">
        <w:rPr>
          <w:rFonts w:eastAsia="Times New Roman" w:cs="Times New Roman"/>
          <w:color w:val="000000"/>
        </w:rPr>
        <w:t xml:space="preserve">rule against </w:t>
      </w:r>
      <w:r w:rsidR="0090449D" w:rsidRPr="004228AD">
        <w:rPr>
          <w:rFonts w:eastAsia="Times New Roman" w:cs="Times New Roman"/>
          <w:color w:val="000000"/>
        </w:rPr>
        <w:t xml:space="preserve">successive </w:t>
      </w:r>
      <w:r w:rsidRPr="004228AD">
        <w:rPr>
          <w:rFonts w:eastAsia="Times New Roman" w:cs="Times New Roman"/>
          <w:color w:val="000000"/>
        </w:rPr>
        <w:t xml:space="preserve">habeas </w:t>
      </w:r>
      <w:r w:rsidR="009E564A" w:rsidRPr="004228AD">
        <w:rPr>
          <w:rFonts w:eastAsia="Times New Roman" w:cs="Times New Roman"/>
          <w:color w:val="000000"/>
        </w:rPr>
        <w:t xml:space="preserve">corpus </w:t>
      </w:r>
      <w:r w:rsidR="0090449D" w:rsidRPr="004228AD">
        <w:rPr>
          <w:rFonts w:eastAsia="Times New Roman" w:cs="Times New Roman"/>
          <w:color w:val="000000"/>
        </w:rPr>
        <w:t>petition</w:t>
      </w:r>
      <w:r w:rsidRPr="004228AD">
        <w:rPr>
          <w:rFonts w:eastAsia="Times New Roman" w:cs="Times New Roman"/>
          <w:color w:val="000000"/>
        </w:rPr>
        <w:t xml:space="preserve">s where there has been </w:t>
      </w:r>
      <w:r w:rsidR="0058664A" w:rsidRPr="004228AD">
        <w:rPr>
          <w:rFonts w:eastAsia="Times New Roman" w:cs="Times New Roman"/>
          <w:color w:val="000000"/>
        </w:rPr>
        <w:t>a</w:t>
      </w:r>
      <w:r w:rsidR="00F0127C" w:rsidRPr="004228AD">
        <w:rPr>
          <w:rFonts w:eastAsia="Times New Roman" w:cs="Times New Roman"/>
          <w:color w:val="000000"/>
        </w:rPr>
        <w:t>n interim</w:t>
      </w:r>
      <w:r w:rsidR="0058664A" w:rsidRPr="004228AD">
        <w:rPr>
          <w:rFonts w:eastAsia="Times New Roman" w:cs="Times New Roman"/>
          <w:color w:val="000000"/>
        </w:rPr>
        <w:t xml:space="preserve"> </w:t>
      </w:r>
      <w:r w:rsidR="005621FB" w:rsidRPr="004228AD">
        <w:rPr>
          <w:rFonts w:eastAsia="Times New Roman" w:cs="Times New Roman"/>
          <w:color w:val="000000"/>
        </w:rPr>
        <w:t xml:space="preserve">retroactive change in the </w:t>
      </w:r>
      <w:r w:rsidR="0090449D" w:rsidRPr="004228AD">
        <w:rPr>
          <w:rFonts w:eastAsia="Times New Roman" w:cs="Times New Roman"/>
          <w:color w:val="000000"/>
        </w:rPr>
        <w:t xml:space="preserve">governing </w:t>
      </w:r>
      <w:r w:rsidR="005621FB" w:rsidRPr="004228AD">
        <w:rPr>
          <w:rFonts w:eastAsia="Times New Roman" w:cs="Times New Roman"/>
          <w:color w:val="000000"/>
        </w:rPr>
        <w:t>law</w:t>
      </w:r>
      <w:r w:rsidR="0090449D" w:rsidRPr="004228AD">
        <w:rPr>
          <w:rFonts w:eastAsia="Times New Roman" w:cs="Times New Roman"/>
          <w:color w:val="000000"/>
        </w:rPr>
        <w:t>.</w:t>
      </w:r>
      <w:r w:rsidR="00496AE4">
        <w:rPr>
          <w:rFonts w:eastAsia="Times New Roman" w:cs="Times New Roman"/>
          <w:color w:val="000000"/>
        </w:rPr>
        <w:t xml:space="preserve">  (</w:t>
      </w:r>
      <w:r w:rsidR="00496AE4">
        <w:rPr>
          <w:rFonts w:eastAsia="Times New Roman" w:cs="Times New Roman"/>
          <w:i/>
          <w:iCs/>
          <w:color w:val="000000"/>
        </w:rPr>
        <w:t>Farfan</w:t>
      </w:r>
      <w:r w:rsidR="00496AE4">
        <w:rPr>
          <w:rFonts w:eastAsia="Times New Roman" w:cs="Times New Roman"/>
          <w:color w:val="000000"/>
        </w:rPr>
        <w:t xml:space="preserve">, </w:t>
      </w:r>
      <w:r w:rsidR="00496AE4">
        <w:rPr>
          <w:rFonts w:eastAsia="Times New Roman" w:cs="Times New Roman"/>
          <w:i/>
          <w:iCs/>
          <w:color w:val="000000"/>
        </w:rPr>
        <w:t>supra</w:t>
      </w:r>
      <w:r w:rsidR="00496AE4">
        <w:rPr>
          <w:rFonts w:eastAsia="Times New Roman" w:cs="Times New Roman"/>
          <w:color w:val="000000"/>
        </w:rPr>
        <w:t xml:space="preserve">, </w:t>
      </w:r>
      <w:r w:rsidR="005D6F2E">
        <w:rPr>
          <w:rFonts w:eastAsia="Times New Roman" w:cs="Times New Roman"/>
          <w:color w:val="000000"/>
        </w:rPr>
        <w:t>71</w:t>
      </w:r>
      <w:r w:rsidR="00F45074">
        <w:rPr>
          <w:rFonts w:eastAsia="Times New Roman" w:cs="Times New Roman"/>
          <w:color w:val="000000"/>
        </w:rPr>
        <w:t> </w:t>
      </w:r>
      <w:r w:rsidR="005D6F2E">
        <w:rPr>
          <w:rFonts w:eastAsia="Times New Roman" w:cs="Times New Roman"/>
          <w:color w:val="000000"/>
        </w:rPr>
        <w:t>Cal.App.5</w:t>
      </w:r>
      <w:r w:rsidR="005D6F2E" w:rsidRPr="004709C5">
        <w:rPr>
          <w:rFonts w:eastAsia="Times New Roman" w:cs="Times New Roman"/>
          <w:color w:val="000000"/>
        </w:rPr>
        <w:t>th</w:t>
      </w:r>
      <w:r w:rsidR="004709C5">
        <w:rPr>
          <w:rFonts w:eastAsia="Times New Roman" w:cs="Times New Roman"/>
          <w:color w:val="000000"/>
        </w:rPr>
        <w:t xml:space="preserve"> </w:t>
      </w:r>
      <w:r w:rsidR="00496AE4">
        <w:rPr>
          <w:rFonts w:eastAsia="Times New Roman" w:cs="Times New Roman"/>
          <w:color w:val="000000"/>
        </w:rPr>
        <w:t>at p.</w:t>
      </w:r>
      <w:r w:rsidR="00950989">
        <w:rPr>
          <w:rFonts w:eastAsia="Times New Roman" w:cs="Times New Roman"/>
          <w:color w:val="000000"/>
        </w:rPr>
        <w:t> </w:t>
      </w:r>
      <w:r w:rsidR="00496AE4">
        <w:rPr>
          <w:rFonts w:eastAsia="Times New Roman" w:cs="Times New Roman"/>
          <w:color w:val="000000"/>
        </w:rPr>
        <w:t>951.)</w:t>
      </w:r>
      <w:r w:rsidR="0090449D">
        <w:rPr>
          <w:rFonts w:eastAsia="Times New Roman" w:cs="Times New Roman"/>
          <w:color w:val="000000"/>
        </w:rPr>
        <w:t xml:space="preserve"> </w:t>
      </w:r>
      <w:r w:rsidR="0058664A">
        <w:rPr>
          <w:rFonts w:eastAsia="Times New Roman" w:cs="Times New Roman"/>
          <w:color w:val="000000"/>
        </w:rPr>
        <w:t xml:space="preserve"> </w:t>
      </w:r>
      <w:r w:rsidR="00E43ECF" w:rsidRPr="004228AD">
        <w:rPr>
          <w:rFonts w:eastAsia="Times New Roman" w:cs="Times New Roman"/>
          <w:color w:val="000000"/>
        </w:rPr>
        <w:t xml:space="preserve">According to the </w:t>
      </w:r>
      <w:r w:rsidR="00E43ECF" w:rsidRPr="00873923">
        <w:rPr>
          <w:rFonts w:eastAsia="Times New Roman" w:cs="Times New Roman"/>
          <w:i/>
          <w:iCs/>
          <w:color w:val="000000"/>
        </w:rPr>
        <w:t>Farfan</w:t>
      </w:r>
      <w:r w:rsidR="00E43ECF" w:rsidRPr="004228AD">
        <w:rPr>
          <w:rFonts w:eastAsia="Times New Roman" w:cs="Times New Roman"/>
          <w:color w:val="000000"/>
        </w:rPr>
        <w:t xml:space="preserve"> court, </w:t>
      </w:r>
      <w:r w:rsidRPr="004228AD">
        <w:rPr>
          <w:rFonts w:eastAsia="Times New Roman" w:cs="Times New Roman"/>
          <w:color w:val="000000"/>
        </w:rPr>
        <w:t>“not only are the changes to the law effected by Senate Bill No.</w:t>
      </w:r>
      <w:r w:rsidR="00151705">
        <w:rPr>
          <w:rFonts w:eastAsia="Times New Roman" w:cs="Times New Roman"/>
          <w:color w:val="000000"/>
        </w:rPr>
        <w:t> </w:t>
      </w:r>
      <w:r w:rsidRPr="004228AD">
        <w:rPr>
          <w:rFonts w:eastAsia="Times New Roman" w:cs="Times New Roman"/>
          <w:color w:val="000000"/>
        </w:rPr>
        <w:t xml:space="preserve">1437 themselves retroactive, but judicial interpretations of </w:t>
      </w:r>
      <w:r w:rsidR="00151705">
        <w:rPr>
          <w:rFonts w:eastAsia="Times New Roman" w:cs="Times New Roman"/>
          <w:color w:val="000000"/>
        </w:rPr>
        <w:t>[</w:t>
      </w:r>
      <w:r w:rsidRPr="004228AD">
        <w:rPr>
          <w:rFonts w:eastAsia="Times New Roman" w:cs="Times New Roman"/>
          <w:color w:val="000000"/>
        </w:rPr>
        <w:t>section</w:t>
      </w:r>
      <w:r w:rsidR="00151705">
        <w:rPr>
          <w:rFonts w:eastAsia="Times New Roman" w:cs="Times New Roman"/>
          <w:color w:val="000000"/>
        </w:rPr>
        <w:t> </w:t>
      </w:r>
      <w:r w:rsidRPr="004228AD">
        <w:rPr>
          <w:rFonts w:eastAsia="Times New Roman" w:cs="Times New Roman"/>
          <w:color w:val="000000"/>
        </w:rPr>
        <w:t>117</w:t>
      </w:r>
      <w:r w:rsidR="00690AA6">
        <w:rPr>
          <w:rFonts w:eastAsia="Times New Roman" w:cs="Times New Roman"/>
          <w:color w:val="000000"/>
        </w:rPr>
        <w:t>2</w:t>
      </w:r>
      <w:r w:rsidRPr="004228AD">
        <w:rPr>
          <w:rFonts w:eastAsia="Times New Roman" w:cs="Times New Roman"/>
          <w:color w:val="000000"/>
        </w:rPr>
        <w:t>.</w:t>
      </w:r>
      <w:r w:rsidR="002656F0" w:rsidRPr="004228AD">
        <w:rPr>
          <w:rFonts w:eastAsia="Times New Roman" w:cs="Times New Roman"/>
          <w:color w:val="000000"/>
        </w:rPr>
        <w:t>6]</w:t>
      </w:r>
      <w:r w:rsidRPr="004228AD">
        <w:rPr>
          <w:rFonts w:eastAsia="Times New Roman" w:cs="Times New Roman"/>
          <w:color w:val="000000"/>
        </w:rPr>
        <w:t xml:space="preserve"> may afford a petitioner grounds for claiming eligibility for relief under the statute that were not previously available under other judicial interpretations. </w:t>
      </w:r>
      <w:r w:rsidR="00307578" w:rsidRPr="004228AD">
        <w:rPr>
          <w:rFonts w:eastAsia="Times New Roman" w:cs="Times New Roman"/>
          <w:color w:val="000000"/>
        </w:rPr>
        <w:t xml:space="preserve"> </w:t>
      </w:r>
      <w:r w:rsidRPr="004228AD">
        <w:rPr>
          <w:rFonts w:eastAsia="Times New Roman" w:cs="Times New Roman"/>
          <w:color w:val="000000"/>
        </w:rPr>
        <w:t xml:space="preserve">Here, because </w:t>
      </w:r>
      <w:r w:rsidR="00693CEF">
        <w:rPr>
          <w:rFonts w:eastAsia="Times New Roman" w:cs="Times New Roman"/>
          <w:color w:val="000000"/>
        </w:rPr>
        <w:t>[</w:t>
      </w:r>
      <w:r w:rsidRPr="004228AD">
        <w:rPr>
          <w:rFonts w:eastAsia="Times New Roman" w:cs="Times New Roman"/>
          <w:color w:val="000000"/>
        </w:rPr>
        <w:t>appellant</w:t>
      </w:r>
      <w:r w:rsidR="00693CEF">
        <w:rPr>
          <w:rFonts w:eastAsia="Times New Roman" w:cs="Times New Roman"/>
          <w:color w:val="000000"/>
        </w:rPr>
        <w:t xml:space="preserve"> Farfan’s</w:t>
      </w:r>
      <w:r w:rsidR="0088796D">
        <w:rPr>
          <w:rFonts w:eastAsia="Times New Roman" w:cs="Times New Roman"/>
          <w:color w:val="000000"/>
        </w:rPr>
        <w:t>]</w:t>
      </w:r>
      <w:r w:rsidRPr="004228AD">
        <w:rPr>
          <w:rFonts w:eastAsia="Times New Roman" w:cs="Times New Roman"/>
          <w:color w:val="000000"/>
        </w:rPr>
        <w:t xml:space="preserve"> 2020 petition was based on new authority which challenged the primary ground for the superior court</w:t>
      </w:r>
      <w:r w:rsidR="00851440">
        <w:rPr>
          <w:rFonts w:eastAsia="Times New Roman" w:cs="Times New Roman"/>
          <w:color w:val="000000"/>
        </w:rPr>
        <w:t>’</w:t>
      </w:r>
      <w:r w:rsidRPr="004228AD">
        <w:rPr>
          <w:rFonts w:eastAsia="Times New Roman" w:cs="Times New Roman"/>
          <w:color w:val="000000"/>
        </w:rPr>
        <w:t>s summary denial of his 2019 petition</w:t>
      </w:r>
      <w:r w:rsidR="00175D9D" w:rsidRPr="004228AD">
        <w:rPr>
          <w:rFonts w:eastAsia="Times New Roman" w:cs="Times New Roman"/>
          <w:color w:val="000000"/>
        </w:rPr>
        <w:t>”</w:t>
      </w:r>
      <w:r w:rsidR="00070F67">
        <w:rPr>
          <w:rFonts w:eastAsia="Times New Roman" w:cs="Times New Roman"/>
          <w:color w:val="000000"/>
        </w:rPr>
        <w:t xml:space="preserve"> (</w:t>
      </w:r>
      <w:r w:rsidR="00070F67" w:rsidRPr="00B61FBE">
        <w:rPr>
          <w:rFonts w:eastAsia="Times New Roman" w:cs="Times New Roman"/>
          <w:i/>
          <w:iCs/>
          <w:color w:val="000000"/>
        </w:rPr>
        <w:t>ibid</w:t>
      </w:r>
      <w:r w:rsidR="00070F67">
        <w:rPr>
          <w:rFonts w:eastAsia="Times New Roman" w:cs="Times New Roman"/>
          <w:color w:val="000000"/>
        </w:rPr>
        <w:t>.)</w:t>
      </w:r>
      <w:r w:rsidR="00175D9D" w:rsidRPr="004228AD">
        <w:rPr>
          <w:rFonts w:eastAsia="Times New Roman" w:cs="Times New Roman"/>
          <w:color w:val="000000"/>
        </w:rPr>
        <w:t xml:space="preserve">—the </w:t>
      </w:r>
      <w:r w:rsidR="00B5351C" w:rsidRPr="004228AD">
        <w:rPr>
          <w:rFonts w:eastAsia="Times New Roman" w:cs="Times New Roman"/>
          <w:color w:val="000000"/>
        </w:rPr>
        <w:t xml:space="preserve">line of </w:t>
      </w:r>
      <w:r w:rsidR="00175D9D" w:rsidRPr="004228AD">
        <w:rPr>
          <w:rFonts w:eastAsia="Times New Roman" w:cs="Times New Roman"/>
          <w:color w:val="000000"/>
        </w:rPr>
        <w:t xml:space="preserve">cases holding that prior </w:t>
      </w:r>
      <w:r w:rsidR="00FE4236" w:rsidRPr="004228AD">
        <w:rPr>
          <w:rFonts w:eastAsia="Times New Roman" w:cs="Times New Roman"/>
          <w:color w:val="000000"/>
        </w:rPr>
        <w:t>special circumstance</w:t>
      </w:r>
      <w:r w:rsidR="00B1211D">
        <w:rPr>
          <w:rFonts w:eastAsia="Times New Roman" w:cs="Times New Roman"/>
          <w:color w:val="000000"/>
        </w:rPr>
        <w:t>s</w:t>
      </w:r>
      <w:r w:rsidR="00FE4236" w:rsidRPr="004228AD">
        <w:rPr>
          <w:rFonts w:eastAsia="Times New Roman" w:cs="Times New Roman"/>
          <w:color w:val="000000"/>
        </w:rPr>
        <w:t xml:space="preserve"> findings are binding at the prima facie stage of a resentencing proceeding—</w:t>
      </w:r>
      <w:r w:rsidR="00AF2FFB">
        <w:rPr>
          <w:rFonts w:eastAsia="Times New Roman" w:cs="Times New Roman"/>
          <w:color w:val="000000"/>
        </w:rPr>
        <w:t>“</w:t>
      </w:r>
      <w:r w:rsidRPr="004228AD">
        <w:rPr>
          <w:rFonts w:eastAsia="Times New Roman" w:cs="Times New Roman"/>
          <w:color w:val="000000"/>
        </w:rPr>
        <w:t>the 2020 petition was not procedurally barred as a successive petition”</w:t>
      </w:r>
      <w:r w:rsidR="002027AA">
        <w:rPr>
          <w:rFonts w:eastAsia="Times New Roman" w:cs="Times New Roman"/>
          <w:color w:val="000000"/>
        </w:rPr>
        <w:t xml:space="preserve"> (</w:t>
      </w:r>
      <w:r w:rsidR="00EE41FE" w:rsidRPr="004E6836">
        <w:rPr>
          <w:rFonts w:eastAsia="Times New Roman" w:cs="Times New Roman"/>
          <w:i/>
          <w:iCs/>
          <w:color w:val="000000"/>
        </w:rPr>
        <w:t>i</w:t>
      </w:r>
      <w:r w:rsidR="002027AA" w:rsidRPr="002027AA">
        <w:rPr>
          <w:rFonts w:eastAsia="Times New Roman" w:cs="Times New Roman"/>
          <w:i/>
          <w:iCs/>
          <w:color w:val="000000"/>
        </w:rPr>
        <w:t>bid</w:t>
      </w:r>
      <w:r w:rsidR="002027AA">
        <w:rPr>
          <w:rFonts w:eastAsia="Times New Roman" w:cs="Times New Roman"/>
          <w:color w:val="000000"/>
        </w:rPr>
        <w:t>.)</w:t>
      </w:r>
      <w:r w:rsidR="004E6836">
        <w:rPr>
          <w:rFonts w:eastAsia="Times New Roman" w:cs="Times New Roman"/>
          <w:color w:val="000000"/>
        </w:rPr>
        <w:t>.</w:t>
      </w:r>
    </w:p>
    <w:p w14:paraId="729267A3" w14:textId="62D6319B" w:rsidR="001D1BA6" w:rsidRDefault="00C42495" w:rsidP="004228AD">
      <w:pPr>
        <w:shd w:val="clear" w:color="auto" w:fill="FFFFFF"/>
        <w:rPr>
          <w:rFonts w:eastAsia="Times New Roman" w:cs="Times New Roman"/>
          <w:color w:val="000000"/>
        </w:rPr>
      </w:pPr>
      <w:r w:rsidRPr="004228AD">
        <w:rPr>
          <w:rFonts w:eastAsia="Times New Roman" w:cs="Times New Roman"/>
          <w:color w:val="000000"/>
        </w:rPr>
        <w:t xml:space="preserve">Putting to </w:t>
      </w:r>
      <w:r w:rsidR="00BB52BE" w:rsidRPr="004228AD">
        <w:rPr>
          <w:rFonts w:eastAsia="Times New Roman" w:cs="Times New Roman"/>
          <w:color w:val="000000"/>
        </w:rPr>
        <w:t xml:space="preserve">one side the </w:t>
      </w:r>
      <w:r w:rsidR="009325DC">
        <w:rPr>
          <w:rFonts w:eastAsia="Times New Roman" w:cs="Times New Roman"/>
          <w:color w:val="000000"/>
        </w:rPr>
        <w:t xml:space="preserve">analytical </w:t>
      </w:r>
      <w:r w:rsidR="00B10F5F">
        <w:rPr>
          <w:rFonts w:eastAsia="Times New Roman" w:cs="Times New Roman"/>
          <w:color w:val="000000"/>
        </w:rPr>
        <w:t xml:space="preserve">muddiness </w:t>
      </w:r>
      <w:r w:rsidR="00B83796">
        <w:rPr>
          <w:rFonts w:eastAsia="Times New Roman" w:cs="Times New Roman"/>
          <w:color w:val="000000"/>
        </w:rPr>
        <w:t xml:space="preserve">created </w:t>
      </w:r>
      <w:r w:rsidR="00B56A2A">
        <w:rPr>
          <w:rFonts w:eastAsia="Times New Roman" w:cs="Times New Roman"/>
          <w:color w:val="000000"/>
        </w:rPr>
        <w:t xml:space="preserve">by </w:t>
      </w:r>
      <w:r w:rsidR="000608CE">
        <w:rPr>
          <w:rFonts w:eastAsia="Times New Roman" w:cs="Times New Roman"/>
          <w:color w:val="000000"/>
        </w:rPr>
        <w:t xml:space="preserve">the </w:t>
      </w:r>
      <w:r w:rsidR="0005075F" w:rsidRPr="004228AD">
        <w:rPr>
          <w:rFonts w:eastAsia="Times New Roman" w:cs="Times New Roman"/>
          <w:color w:val="000000"/>
        </w:rPr>
        <w:t>term “successive</w:t>
      </w:r>
      <w:r w:rsidR="003D27F2" w:rsidRPr="004228AD">
        <w:rPr>
          <w:rFonts w:eastAsia="Times New Roman" w:cs="Times New Roman"/>
          <w:color w:val="000000"/>
        </w:rPr>
        <w:t xml:space="preserve"> petition</w:t>
      </w:r>
      <w:r w:rsidR="0005075F" w:rsidRPr="004228AD">
        <w:rPr>
          <w:rFonts w:eastAsia="Times New Roman" w:cs="Times New Roman"/>
          <w:color w:val="000000"/>
        </w:rPr>
        <w:t>”</w:t>
      </w:r>
      <w:r w:rsidR="00D34D3F" w:rsidRPr="004228AD">
        <w:rPr>
          <w:rFonts w:eastAsia="Times New Roman" w:cs="Times New Roman"/>
          <w:color w:val="000000"/>
        </w:rPr>
        <w:t xml:space="preserve"> </w:t>
      </w:r>
      <w:r w:rsidR="00557AA9" w:rsidRPr="004228AD">
        <w:rPr>
          <w:rFonts w:eastAsia="Times New Roman" w:cs="Times New Roman"/>
          <w:color w:val="000000"/>
        </w:rPr>
        <w:t>in th</w:t>
      </w:r>
      <w:r w:rsidR="003A6453" w:rsidRPr="004228AD">
        <w:rPr>
          <w:rFonts w:eastAsia="Times New Roman" w:cs="Times New Roman"/>
          <w:color w:val="000000"/>
        </w:rPr>
        <w:t>is context</w:t>
      </w:r>
      <w:r w:rsidR="0029591D">
        <w:rPr>
          <w:rFonts w:eastAsia="Times New Roman" w:cs="Times New Roman"/>
          <w:color w:val="000000"/>
        </w:rPr>
        <w:t>,</w:t>
      </w:r>
      <w:r>
        <w:rPr>
          <w:rStyle w:val="FootnoteReference"/>
          <w:rFonts w:eastAsia="Times New Roman" w:cs="Times New Roman"/>
          <w:color w:val="000000"/>
        </w:rPr>
        <w:footnoteReference w:id="8"/>
      </w:r>
      <w:r w:rsidR="0029591D">
        <w:rPr>
          <w:rFonts w:eastAsia="Times New Roman" w:cs="Times New Roman"/>
          <w:color w:val="000000"/>
        </w:rPr>
        <w:t xml:space="preserve"> </w:t>
      </w:r>
      <w:r w:rsidR="00446CC6" w:rsidRPr="004228AD">
        <w:rPr>
          <w:rFonts w:eastAsia="Times New Roman" w:cs="Times New Roman"/>
          <w:color w:val="000000"/>
        </w:rPr>
        <w:t xml:space="preserve">we read </w:t>
      </w:r>
      <w:r w:rsidR="0057328D" w:rsidRPr="004228AD">
        <w:rPr>
          <w:rFonts w:eastAsia="Times New Roman" w:cs="Times New Roman"/>
          <w:i/>
          <w:iCs/>
          <w:color w:val="000000"/>
        </w:rPr>
        <w:t>Farfan</w:t>
      </w:r>
      <w:r w:rsidR="0057328D" w:rsidRPr="004228AD">
        <w:rPr>
          <w:rFonts w:eastAsia="Times New Roman" w:cs="Times New Roman"/>
          <w:color w:val="000000"/>
        </w:rPr>
        <w:t xml:space="preserve"> </w:t>
      </w:r>
      <w:r w:rsidR="00446CC6" w:rsidRPr="004228AD">
        <w:rPr>
          <w:rFonts w:eastAsia="Times New Roman" w:cs="Times New Roman"/>
          <w:color w:val="000000"/>
        </w:rPr>
        <w:t xml:space="preserve">as </w:t>
      </w:r>
      <w:r w:rsidR="00D1185C" w:rsidRPr="004228AD">
        <w:rPr>
          <w:rFonts w:eastAsia="Times New Roman" w:cs="Times New Roman"/>
          <w:color w:val="000000"/>
        </w:rPr>
        <w:t>a str</w:t>
      </w:r>
      <w:r w:rsidR="00D4561B" w:rsidRPr="004228AD">
        <w:rPr>
          <w:rFonts w:eastAsia="Times New Roman" w:cs="Times New Roman"/>
          <w:color w:val="000000"/>
        </w:rPr>
        <w:t xml:space="preserve">aightforward </w:t>
      </w:r>
      <w:r w:rsidR="00D4561B" w:rsidRPr="004228AD">
        <w:rPr>
          <w:rFonts w:eastAsia="Times New Roman" w:cs="Times New Roman"/>
          <w:color w:val="000000"/>
        </w:rPr>
        <w:lastRenderedPageBreak/>
        <w:t xml:space="preserve">application of </w:t>
      </w:r>
      <w:r w:rsidR="0020432F" w:rsidRPr="0020432F">
        <w:rPr>
          <w:rFonts w:eastAsia="Times New Roman" w:cs="Times New Roman"/>
          <w:i/>
          <w:iCs/>
          <w:color w:val="3D3D3D"/>
          <w:bdr w:val="none" w:sz="0" w:space="0" w:color="auto" w:frame="1"/>
        </w:rPr>
        <w:t>Strong</w:t>
      </w:r>
      <w:r w:rsidR="00A52607">
        <w:rPr>
          <w:rFonts w:eastAsia="Times New Roman" w:cs="Times New Roman"/>
          <w:color w:val="000000"/>
        </w:rPr>
        <w:t xml:space="preserve">, </w:t>
      </w:r>
      <w:r w:rsidR="00A52607" w:rsidRPr="00DE6FA9">
        <w:rPr>
          <w:rFonts w:eastAsia="Times New Roman" w:cs="Times New Roman"/>
          <w:i/>
          <w:iCs/>
          <w:color w:val="000000"/>
        </w:rPr>
        <w:t>supra</w:t>
      </w:r>
      <w:r w:rsidR="00A52607">
        <w:rPr>
          <w:rFonts w:eastAsia="Times New Roman" w:cs="Times New Roman"/>
          <w:color w:val="000000"/>
        </w:rPr>
        <w:t>,</w:t>
      </w:r>
      <w:r w:rsidR="0020432F" w:rsidRPr="0020432F">
        <w:rPr>
          <w:rFonts w:eastAsia="Times New Roman" w:cs="Times New Roman"/>
          <w:color w:val="000000"/>
        </w:rPr>
        <w:t xml:space="preserve"> 13</w:t>
      </w:r>
      <w:r w:rsidR="00FE06CE">
        <w:rPr>
          <w:rFonts w:eastAsia="Times New Roman" w:cs="Times New Roman"/>
          <w:color w:val="000000"/>
        </w:rPr>
        <w:t> </w:t>
      </w:r>
      <w:r w:rsidR="0020432F" w:rsidRPr="0020432F">
        <w:rPr>
          <w:rFonts w:eastAsia="Times New Roman" w:cs="Times New Roman"/>
          <w:color w:val="000000"/>
        </w:rPr>
        <w:t xml:space="preserve">Cal.5th </w:t>
      </w:r>
      <w:r w:rsidR="00DE6FA9">
        <w:rPr>
          <w:rFonts w:eastAsia="Times New Roman" w:cs="Times New Roman"/>
          <w:color w:val="000000"/>
        </w:rPr>
        <w:t>at p.</w:t>
      </w:r>
      <w:r w:rsidR="00FE06CE">
        <w:rPr>
          <w:rFonts w:eastAsia="Times New Roman" w:cs="Times New Roman"/>
          <w:color w:val="000000"/>
        </w:rPr>
        <w:t> </w:t>
      </w:r>
      <w:r w:rsidR="0020432F" w:rsidRPr="0020432F">
        <w:rPr>
          <w:rFonts w:eastAsia="Times New Roman" w:cs="Times New Roman"/>
          <w:color w:val="000000"/>
        </w:rPr>
        <w:t xml:space="preserve">703, </w:t>
      </w:r>
      <w:r w:rsidR="00446CC6" w:rsidRPr="004228AD">
        <w:rPr>
          <w:rFonts w:eastAsia="Times New Roman" w:cs="Times New Roman"/>
          <w:color w:val="000000"/>
        </w:rPr>
        <w:t xml:space="preserve">which </w:t>
      </w:r>
      <w:r w:rsidR="00D0339A" w:rsidRPr="004228AD">
        <w:rPr>
          <w:rFonts w:eastAsia="Times New Roman" w:cs="Times New Roman"/>
          <w:color w:val="000000"/>
        </w:rPr>
        <w:t>sided with Court of Appeal cases holding that</w:t>
      </w:r>
      <w:r w:rsidR="008B545D" w:rsidRPr="004228AD">
        <w:rPr>
          <w:rFonts w:eastAsia="Times New Roman" w:cs="Times New Roman"/>
          <w:color w:val="000000"/>
        </w:rPr>
        <w:t xml:space="preserve"> </w:t>
      </w:r>
      <w:r w:rsidR="009F5921" w:rsidRPr="004228AD">
        <w:rPr>
          <w:rFonts w:eastAsia="Times New Roman" w:cs="Times New Roman"/>
          <w:color w:val="000000"/>
        </w:rPr>
        <w:t>felony</w:t>
      </w:r>
      <w:r w:rsidR="00186813">
        <w:rPr>
          <w:rFonts w:eastAsia="Times New Roman" w:cs="Times New Roman"/>
          <w:color w:val="000000"/>
        </w:rPr>
        <w:t>-</w:t>
      </w:r>
      <w:r w:rsidR="009F5921" w:rsidRPr="004228AD">
        <w:rPr>
          <w:rFonts w:eastAsia="Times New Roman" w:cs="Times New Roman"/>
          <w:color w:val="000000"/>
        </w:rPr>
        <w:t xml:space="preserve">murder </w:t>
      </w:r>
      <w:r w:rsidR="008B545D" w:rsidRPr="004228AD">
        <w:rPr>
          <w:rFonts w:eastAsia="Times New Roman" w:cs="Times New Roman"/>
        </w:rPr>
        <w:t>special</w:t>
      </w:r>
      <w:r w:rsidR="00186813">
        <w:rPr>
          <w:rFonts w:eastAsia="Times New Roman" w:cs="Times New Roman"/>
        </w:rPr>
        <w:t>-</w:t>
      </w:r>
      <w:r w:rsidR="008B545D" w:rsidRPr="004228AD">
        <w:rPr>
          <w:rFonts w:eastAsia="Times New Roman" w:cs="Times New Roman"/>
        </w:rPr>
        <w:t>circumstances findings predat</w:t>
      </w:r>
      <w:r w:rsidR="00446CC6" w:rsidRPr="004228AD">
        <w:rPr>
          <w:rFonts w:eastAsia="Times New Roman" w:cs="Times New Roman"/>
        </w:rPr>
        <w:t xml:space="preserve">ing </w:t>
      </w:r>
      <w:r w:rsidR="006E0EBD" w:rsidRPr="006649CF">
        <w:rPr>
          <w:rStyle w:val="Emphasis"/>
          <w:bdr w:val="none" w:sz="0" w:space="0" w:color="auto" w:frame="1"/>
          <w:shd w:val="clear" w:color="auto" w:fill="FFFFFF"/>
        </w:rPr>
        <w:t>People v. Banks</w:t>
      </w:r>
      <w:r w:rsidR="0087791C">
        <w:rPr>
          <w:bdr w:val="none" w:sz="0" w:space="0" w:color="auto" w:frame="1"/>
          <w:shd w:val="clear" w:color="auto" w:fill="FFFFFF"/>
        </w:rPr>
        <w:t xml:space="preserve"> </w:t>
      </w:r>
      <w:r w:rsidR="006E0EBD" w:rsidRPr="006649CF">
        <w:rPr>
          <w:bdr w:val="none" w:sz="0" w:space="0" w:color="auto" w:frame="1"/>
          <w:shd w:val="clear" w:color="auto" w:fill="FFFFFF"/>
        </w:rPr>
        <w:t>(2015) 61</w:t>
      </w:r>
      <w:r w:rsidR="00FE06CE">
        <w:rPr>
          <w:bdr w:val="none" w:sz="0" w:space="0" w:color="auto" w:frame="1"/>
          <w:shd w:val="clear" w:color="auto" w:fill="FFFFFF"/>
        </w:rPr>
        <w:t> </w:t>
      </w:r>
      <w:r w:rsidR="006E0EBD" w:rsidRPr="006649CF">
        <w:rPr>
          <w:bdr w:val="none" w:sz="0" w:space="0" w:color="auto" w:frame="1"/>
          <w:shd w:val="clear" w:color="auto" w:fill="FFFFFF"/>
        </w:rPr>
        <w:t>Cal.4th 78</w:t>
      </w:r>
      <w:r w:rsidR="006E0EBD" w:rsidRPr="004228AD">
        <w:rPr>
          <w:bdr w:val="none" w:sz="0" w:space="0" w:color="auto" w:frame="1"/>
          <w:shd w:val="clear" w:color="auto" w:fill="FFFFFF"/>
        </w:rPr>
        <w:t>8</w:t>
      </w:r>
      <w:r w:rsidR="00596E51" w:rsidRPr="004228AD">
        <w:rPr>
          <w:bdr w:val="none" w:sz="0" w:space="0" w:color="auto" w:frame="1"/>
          <w:shd w:val="clear" w:color="auto" w:fill="FFFFFF"/>
        </w:rPr>
        <w:t xml:space="preserve"> </w:t>
      </w:r>
      <w:r w:rsidR="000A0755" w:rsidRPr="004228AD">
        <w:rPr>
          <w:bdr w:val="none" w:sz="0" w:space="0" w:color="auto" w:frame="1"/>
          <w:shd w:val="clear" w:color="auto" w:fill="FFFFFF"/>
        </w:rPr>
        <w:t>(</w:t>
      </w:r>
      <w:r w:rsidR="000A0755" w:rsidRPr="004228AD">
        <w:rPr>
          <w:i/>
          <w:iCs/>
          <w:bdr w:val="none" w:sz="0" w:space="0" w:color="auto" w:frame="1"/>
          <w:shd w:val="clear" w:color="auto" w:fill="FFFFFF"/>
        </w:rPr>
        <w:t>Banks</w:t>
      </w:r>
      <w:r w:rsidR="000A0755" w:rsidRPr="004228AD">
        <w:rPr>
          <w:bdr w:val="none" w:sz="0" w:space="0" w:color="auto" w:frame="1"/>
          <w:shd w:val="clear" w:color="auto" w:fill="FFFFFF"/>
        </w:rPr>
        <w:t>)</w:t>
      </w:r>
      <w:r w:rsidR="006E0EBD" w:rsidRPr="004228AD">
        <w:rPr>
          <w:shd w:val="clear" w:color="auto" w:fill="FFFFFF"/>
        </w:rPr>
        <w:t xml:space="preserve"> and</w:t>
      </w:r>
      <w:r w:rsidR="0087791C">
        <w:rPr>
          <w:shd w:val="clear" w:color="auto" w:fill="FFFFFF"/>
        </w:rPr>
        <w:t xml:space="preserve"> </w:t>
      </w:r>
      <w:r w:rsidR="006E0EBD" w:rsidRPr="006649CF">
        <w:rPr>
          <w:rStyle w:val="Emphasis"/>
          <w:bdr w:val="none" w:sz="0" w:space="0" w:color="auto" w:frame="1"/>
          <w:shd w:val="clear" w:color="auto" w:fill="FFFFFF"/>
        </w:rPr>
        <w:t>People v. Clark</w:t>
      </w:r>
      <w:r w:rsidR="0087791C">
        <w:rPr>
          <w:bdr w:val="none" w:sz="0" w:space="0" w:color="auto" w:frame="1"/>
          <w:shd w:val="clear" w:color="auto" w:fill="FFFFFF"/>
        </w:rPr>
        <w:t xml:space="preserve"> </w:t>
      </w:r>
      <w:r w:rsidR="006E0EBD" w:rsidRPr="006649CF">
        <w:rPr>
          <w:bdr w:val="none" w:sz="0" w:space="0" w:color="auto" w:frame="1"/>
          <w:shd w:val="clear" w:color="auto" w:fill="FFFFFF"/>
        </w:rPr>
        <w:t>(2016) 63</w:t>
      </w:r>
      <w:r w:rsidR="00FE06CE">
        <w:rPr>
          <w:bdr w:val="none" w:sz="0" w:space="0" w:color="auto" w:frame="1"/>
          <w:shd w:val="clear" w:color="auto" w:fill="FFFFFF"/>
        </w:rPr>
        <w:t> </w:t>
      </w:r>
      <w:r w:rsidR="006E0EBD" w:rsidRPr="006649CF">
        <w:rPr>
          <w:bdr w:val="none" w:sz="0" w:space="0" w:color="auto" w:frame="1"/>
          <w:shd w:val="clear" w:color="auto" w:fill="FFFFFF"/>
        </w:rPr>
        <w:t>Cal.4th 522</w:t>
      </w:r>
      <w:r w:rsidR="000A0755" w:rsidRPr="004228AD">
        <w:rPr>
          <w:bdr w:val="none" w:sz="0" w:space="0" w:color="auto" w:frame="1"/>
          <w:shd w:val="clear" w:color="auto" w:fill="FFFFFF"/>
        </w:rPr>
        <w:t xml:space="preserve"> (</w:t>
      </w:r>
      <w:r w:rsidR="000A0755" w:rsidRPr="004228AD">
        <w:rPr>
          <w:i/>
          <w:iCs/>
          <w:bdr w:val="none" w:sz="0" w:space="0" w:color="auto" w:frame="1"/>
          <w:shd w:val="clear" w:color="auto" w:fill="FFFFFF"/>
        </w:rPr>
        <w:t>Clark</w:t>
      </w:r>
      <w:r w:rsidR="000A0755" w:rsidRPr="004228AD">
        <w:rPr>
          <w:bdr w:val="none" w:sz="0" w:space="0" w:color="auto" w:frame="1"/>
          <w:shd w:val="clear" w:color="auto" w:fill="FFFFFF"/>
        </w:rPr>
        <w:t>)</w:t>
      </w:r>
      <w:r w:rsidR="00D0339A" w:rsidRPr="004228AD">
        <w:rPr>
          <w:bdr w:val="none" w:sz="0" w:space="0" w:color="auto" w:frame="1"/>
          <w:shd w:val="clear" w:color="auto" w:fill="FFFFFF"/>
        </w:rPr>
        <w:t xml:space="preserve"> are not </w:t>
      </w:r>
      <w:r w:rsidR="009F5921" w:rsidRPr="004228AD">
        <w:rPr>
          <w:bdr w:val="none" w:sz="0" w:space="0" w:color="auto" w:frame="1"/>
          <w:shd w:val="clear" w:color="auto" w:fill="FFFFFF"/>
        </w:rPr>
        <w:t xml:space="preserve">issue preclusive </w:t>
      </w:r>
      <w:r w:rsidR="00017246" w:rsidRPr="004228AD">
        <w:rPr>
          <w:bdr w:val="none" w:sz="0" w:space="0" w:color="auto" w:frame="1"/>
          <w:shd w:val="clear" w:color="auto" w:fill="FFFFFF"/>
        </w:rPr>
        <w:t>in later section</w:t>
      </w:r>
      <w:r w:rsidR="00E3646F">
        <w:rPr>
          <w:bdr w:val="none" w:sz="0" w:space="0" w:color="auto" w:frame="1"/>
          <w:shd w:val="clear" w:color="auto" w:fill="FFFFFF"/>
        </w:rPr>
        <w:t> </w:t>
      </w:r>
      <w:r w:rsidR="00017246" w:rsidRPr="004228AD">
        <w:rPr>
          <w:bdr w:val="none" w:sz="0" w:space="0" w:color="auto" w:frame="1"/>
          <w:shd w:val="clear" w:color="auto" w:fill="FFFFFF"/>
        </w:rPr>
        <w:t xml:space="preserve">1172.6 resentencing proceedings.  </w:t>
      </w:r>
      <w:r w:rsidR="00E9711A" w:rsidRPr="004228AD">
        <w:rPr>
          <w:i/>
          <w:iCs/>
        </w:rPr>
        <w:t>Banks</w:t>
      </w:r>
      <w:r w:rsidR="00E9711A" w:rsidRPr="004228AD">
        <w:t xml:space="preserve"> and </w:t>
      </w:r>
      <w:r w:rsidR="00E9711A" w:rsidRPr="004228AD">
        <w:rPr>
          <w:i/>
          <w:iCs/>
        </w:rPr>
        <w:t>Clark</w:t>
      </w:r>
      <w:r w:rsidR="00E9711A" w:rsidRPr="004228AD">
        <w:t xml:space="preserve"> brought about a </w:t>
      </w:r>
      <w:r w:rsidR="00D82FF7" w:rsidRPr="004228AD">
        <w:t xml:space="preserve">change in the </w:t>
      </w:r>
      <w:r w:rsidR="00141DE8" w:rsidRPr="004228AD">
        <w:t xml:space="preserve">governing </w:t>
      </w:r>
      <w:r w:rsidR="00EB4DDE" w:rsidRPr="004228AD">
        <w:t>law</w:t>
      </w:r>
      <w:r w:rsidR="00D82FF7" w:rsidRPr="004228AD">
        <w:t xml:space="preserve"> that </w:t>
      </w:r>
      <w:r w:rsidR="00D0339A" w:rsidRPr="004228AD">
        <w:t xml:space="preserve">undermined confidence in </w:t>
      </w:r>
      <w:r w:rsidR="001C2987" w:rsidRPr="004228AD">
        <w:t>felony</w:t>
      </w:r>
      <w:r w:rsidR="001C7233">
        <w:t>-</w:t>
      </w:r>
      <w:r w:rsidR="001C2987" w:rsidRPr="004228AD">
        <w:t xml:space="preserve">murder </w:t>
      </w:r>
      <w:r w:rsidR="00D0339A" w:rsidRPr="004228AD">
        <w:t>special</w:t>
      </w:r>
      <w:r w:rsidR="001C7233">
        <w:t>-</w:t>
      </w:r>
      <w:r w:rsidR="00D0339A" w:rsidRPr="004228AD">
        <w:t xml:space="preserve">circumstances </w:t>
      </w:r>
      <w:r w:rsidR="005F009D">
        <w:t xml:space="preserve">findings </w:t>
      </w:r>
      <w:r w:rsidR="0017461F" w:rsidRPr="004228AD">
        <w:t>made under prior law,</w:t>
      </w:r>
      <w:r w:rsidR="001C2987" w:rsidRPr="004228AD">
        <w:t xml:space="preserve"> thus warranting invocation of the equitable exception</w:t>
      </w:r>
      <w:r w:rsidR="000E0C08" w:rsidRPr="004228AD">
        <w:t xml:space="preserve"> </w:t>
      </w:r>
      <w:r w:rsidR="00F01549">
        <w:t xml:space="preserve">to issue preclusion for intervening changes in the law. </w:t>
      </w:r>
      <w:r w:rsidR="000E0C08" w:rsidRPr="004228AD">
        <w:t xml:space="preserve"> But t</w:t>
      </w:r>
      <w:r w:rsidR="00596E51" w:rsidRPr="004228AD">
        <w:t xml:space="preserve">he </w:t>
      </w:r>
      <w:r w:rsidR="00596E51" w:rsidRPr="004228AD">
        <w:rPr>
          <w:i/>
          <w:iCs/>
        </w:rPr>
        <w:t>Strong</w:t>
      </w:r>
      <w:r w:rsidR="00596E51" w:rsidRPr="004228AD">
        <w:t xml:space="preserve"> court made </w:t>
      </w:r>
      <w:r w:rsidR="00D0339A" w:rsidRPr="004228AD">
        <w:t xml:space="preserve">clear that not </w:t>
      </w:r>
      <w:r w:rsidR="003C78DD" w:rsidRPr="004228AD">
        <w:rPr>
          <w:rFonts w:eastAsia="Times New Roman" w:cs="Times New Roman"/>
          <w:color w:val="000000"/>
        </w:rPr>
        <w:t>every</w:t>
      </w:r>
      <w:r w:rsidR="00C563F6" w:rsidRPr="004228AD">
        <w:rPr>
          <w:rFonts w:eastAsia="Times New Roman" w:cs="Times New Roman"/>
          <w:color w:val="000000"/>
        </w:rPr>
        <w:t xml:space="preserve"> change in the law </w:t>
      </w:r>
      <w:r w:rsidR="00367E9D" w:rsidRPr="004228AD">
        <w:rPr>
          <w:rFonts w:eastAsia="Times New Roman" w:cs="Times New Roman"/>
          <w:color w:val="000000"/>
        </w:rPr>
        <w:t xml:space="preserve">will </w:t>
      </w:r>
      <w:r w:rsidR="001704B2">
        <w:rPr>
          <w:rFonts w:eastAsia="Times New Roman" w:cs="Times New Roman"/>
          <w:color w:val="000000"/>
        </w:rPr>
        <w:t>“</w:t>
      </w:r>
      <w:r w:rsidR="00AA22DB">
        <w:rPr>
          <w:rFonts w:eastAsia="Times New Roman" w:cs="Times New Roman"/>
          <w:color w:val="000000"/>
        </w:rPr>
        <w:t> </w:t>
      </w:r>
      <w:r w:rsidR="00CA5998">
        <w:rPr>
          <w:rFonts w:eastAsia="Times New Roman" w:cs="Times New Roman"/>
          <w:color w:val="000000"/>
        </w:rPr>
        <w:t>‘</w:t>
      </w:r>
      <w:r w:rsidR="00821C85" w:rsidRPr="004228AD">
        <w:rPr>
          <w:rFonts w:eastAsia="Times New Roman" w:cs="Times New Roman"/>
          <w:color w:val="000000"/>
        </w:rPr>
        <w:t>result in a manifestly inequitable administration of the laws</w:t>
      </w:r>
      <w:r w:rsidR="007E24C7">
        <w:rPr>
          <w:rFonts w:eastAsia="Times New Roman" w:cs="Times New Roman"/>
          <w:color w:val="000000"/>
        </w:rPr>
        <w:t>’</w:t>
      </w:r>
      <w:r w:rsidR="00E3646F">
        <w:rPr>
          <w:rFonts w:eastAsia="Times New Roman" w:cs="Times New Roman"/>
          <w:color w:val="000000"/>
        </w:rPr>
        <w:t> </w:t>
      </w:r>
      <w:r w:rsidR="00821C85" w:rsidRPr="004228AD">
        <w:rPr>
          <w:rFonts w:eastAsia="Times New Roman" w:cs="Times New Roman"/>
          <w:color w:val="000000"/>
        </w:rPr>
        <w:t xml:space="preserve">” </w:t>
      </w:r>
      <w:r w:rsidR="0025751D" w:rsidRPr="004228AD">
        <w:rPr>
          <w:rFonts w:eastAsia="Times New Roman" w:cs="Times New Roman"/>
          <w:color w:val="000000"/>
        </w:rPr>
        <w:t xml:space="preserve">that warrants a departure from the </w:t>
      </w:r>
      <w:r w:rsidR="00B0053A" w:rsidRPr="004228AD">
        <w:rPr>
          <w:rFonts w:eastAsia="Times New Roman" w:cs="Times New Roman"/>
          <w:color w:val="000000"/>
        </w:rPr>
        <w:t xml:space="preserve">ordinary rule of </w:t>
      </w:r>
      <w:r w:rsidR="000915B5" w:rsidRPr="004228AD">
        <w:rPr>
          <w:rFonts w:eastAsia="Times New Roman" w:cs="Times New Roman"/>
          <w:color w:val="000000"/>
        </w:rPr>
        <w:t>issue</w:t>
      </w:r>
      <w:r w:rsidR="008C4D6A" w:rsidRPr="004228AD">
        <w:rPr>
          <w:rFonts w:eastAsia="Times New Roman" w:cs="Times New Roman"/>
          <w:color w:val="000000"/>
        </w:rPr>
        <w:t xml:space="preserve"> prec</w:t>
      </w:r>
      <w:r w:rsidR="00B906E2" w:rsidRPr="004228AD">
        <w:rPr>
          <w:rFonts w:eastAsia="Times New Roman" w:cs="Times New Roman"/>
          <w:color w:val="000000"/>
        </w:rPr>
        <w:t>lusion</w:t>
      </w:r>
      <w:r w:rsidR="0058532E" w:rsidRPr="004228AD">
        <w:rPr>
          <w:rFonts w:eastAsia="Times New Roman" w:cs="Times New Roman"/>
          <w:color w:val="000000"/>
        </w:rPr>
        <w:t xml:space="preserve">. </w:t>
      </w:r>
      <w:r w:rsidR="00B906E2" w:rsidRPr="004228AD">
        <w:rPr>
          <w:rFonts w:eastAsia="Times New Roman" w:cs="Times New Roman"/>
          <w:color w:val="000000"/>
        </w:rPr>
        <w:t xml:space="preserve"> </w:t>
      </w:r>
      <w:r w:rsidR="001718B8" w:rsidRPr="004228AD">
        <w:rPr>
          <w:rFonts w:eastAsia="Times New Roman" w:cs="Times New Roman"/>
          <w:color w:val="000000"/>
        </w:rPr>
        <w:t>(</w:t>
      </w:r>
      <w:r w:rsidR="001718B8" w:rsidRPr="009B53E8">
        <w:rPr>
          <w:rFonts w:eastAsia="Times New Roman" w:cs="Times New Roman"/>
          <w:i/>
          <w:iCs/>
          <w:color w:val="000000"/>
        </w:rPr>
        <w:t>Strong</w:t>
      </w:r>
      <w:r w:rsidR="001718B8" w:rsidRPr="004228AD">
        <w:rPr>
          <w:rFonts w:eastAsia="Times New Roman" w:cs="Times New Roman"/>
          <w:color w:val="000000"/>
        </w:rPr>
        <w:t>, at p.</w:t>
      </w:r>
      <w:r w:rsidR="00495B42">
        <w:rPr>
          <w:rFonts w:eastAsia="Times New Roman" w:cs="Times New Roman"/>
          <w:color w:val="000000"/>
        </w:rPr>
        <w:t> </w:t>
      </w:r>
      <w:r w:rsidR="001718B8" w:rsidRPr="004228AD">
        <w:rPr>
          <w:rFonts w:eastAsia="Times New Roman" w:cs="Times New Roman"/>
          <w:color w:val="000000"/>
        </w:rPr>
        <w:t>717</w:t>
      </w:r>
      <w:r w:rsidR="0058532E" w:rsidRPr="004228AD">
        <w:rPr>
          <w:rFonts w:eastAsia="Times New Roman" w:cs="Times New Roman"/>
          <w:color w:val="000000"/>
        </w:rPr>
        <w:t>.</w:t>
      </w:r>
      <w:r w:rsidR="001718B8" w:rsidRPr="004228AD">
        <w:rPr>
          <w:rFonts w:eastAsia="Times New Roman" w:cs="Times New Roman"/>
          <w:color w:val="000000"/>
        </w:rPr>
        <w:t>)</w:t>
      </w:r>
      <w:r w:rsidR="002034E5">
        <w:rPr>
          <w:rFonts w:eastAsia="Times New Roman" w:cs="Times New Roman"/>
          <w:color w:val="000000"/>
        </w:rPr>
        <w:t xml:space="preserve"> </w:t>
      </w:r>
      <w:r w:rsidR="00AB0386" w:rsidRPr="004228AD">
        <w:rPr>
          <w:rFonts w:eastAsia="Times New Roman" w:cs="Times New Roman"/>
          <w:color w:val="000000"/>
        </w:rPr>
        <w:t xml:space="preserve"> </w:t>
      </w:r>
    </w:p>
    <w:p w14:paraId="77AA7C64" w14:textId="4B2F1B09" w:rsidR="00236EDA" w:rsidRDefault="00C42495" w:rsidP="004228AD">
      <w:pPr>
        <w:shd w:val="clear" w:color="auto" w:fill="FFFFFF"/>
        <w:rPr>
          <w:rFonts w:cs="CenturySchoolbook"/>
        </w:rPr>
      </w:pPr>
      <w:r w:rsidRPr="004228AD">
        <w:rPr>
          <w:rFonts w:eastAsia="Times New Roman" w:cs="Times New Roman"/>
          <w:color w:val="000000"/>
        </w:rPr>
        <w:t xml:space="preserve">As the Supreme Court later </w:t>
      </w:r>
      <w:r w:rsidR="001D43F3">
        <w:rPr>
          <w:rFonts w:eastAsia="Times New Roman" w:cs="Times New Roman"/>
          <w:color w:val="000000"/>
        </w:rPr>
        <w:t>indicated</w:t>
      </w:r>
      <w:r w:rsidRPr="004228AD">
        <w:rPr>
          <w:rFonts w:eastAsia="Times New Roman" w:cs="Times New Roman"/>
          <w:color w:val="000000"/>
        </w:rPr>
        <w:t xml:space="preserve"> in </w:t>
      </w:r>
      <w:r w:rsidR="00121CDC" w:rsidRPr="008F3F56">
        <w:rPr>
          <w:rFonts w:eastAsia="Times New Roman" w:cs="Times New Roman"/>
          <w:i/>
          <w:iCs/>
          <w:color w:val="000000"/>
        </w:rPr>
        <w:t>Curiel</w:t>
      </w:r>
      <w:r w:rsidRPr="004228AD">
        <w:rPr>
          <w:rFonts w:eastAsia="Times New Roman" w:cs="Times New Roman"/>
          <w:color w:val="000000"/>
        </w:rPr>
        <w:t xml:space="preserve">, </w:t>
      </w:r>
      <w:r w:rsidR="00F10480" w:rsidRPr="004228AD">
        <w:rPr>
          <w:rFonts w:eastAsia="Times New Roman" w:cs="Times New Roman"/>
          <w:color w:val="000000"/>
        </w:rPr>
        <w:t xml:space="preserve">the test is whether </w:t>
      </w:r>
      <w:r w:rsidR="00F462F0" w:rsidRPr="004228AD">
        <w:rPr>
          <w:rFonts w:eastAsia="Times New Roman" w:cs="Times New Roman"/>
          <w:color w:val="000000"/>
        </w:rPr>
        <w:t xml:space="preserve">there has been a change </w:t>
      </w:r>
      <w:r w:rsidR="00BA1975" w:rsidRPr="004228AD">
        <w:rPr>
          <w:rFonts w:eastAsia="Times New Roman" w:cs="Times New Roman"/>
          <w:color w:val="000000"/>
        </w:rPr>
        <w:t xml:space="preserve">so significant </w:t>
      </w:r>
      <w:r w:rsidR="00F462F0" w:rsidRPr="004228AD">
        <w:rPr>
          <w:rFonts w:eastAsia="Times New Roman" w:cs="Times New Roman"/>
          <w:color w:val="000000"/>
        </w:rPr>
        <w:t xml:space="preserve">that </w:t>
      </w:r>
      <w:r w:rsidR="00BA1975" w:rsidRPr="004228AD">
        <w:rPr>
          <w:rFonts w:eastAsia="Times New Roman" w:cs="Times New Roman"/>
          <w:color w:val="000000"/>
        </w:rPr>
        <w:t xml:space="preserve">it </w:t>
      </w:r>
      <w:r w:rsidR="00F462F0" w:rsidRPr="004228AD">
        <w:rPr>
          <w:rFonts w:eastAsia="Times New Roman" w:cs="Times New Roman"/>
          <w:color w:val="000000"/>
        </w:rPr>
        <w:t xml:space="preserve">would result in a different factual finding </w:t>
      </w:r>
      <w:r w:rsidR="00095F72" w:rsidRPr="00190FF2">
        <w:rPr>
          <w:rFonts w:eastAsia="Times New Roman" w:cs="Times New Roman"/>
          <w:i/>
          <w:iCs/>
          <w:color w:val="000000"/>
        </w:rPr>
        <w:t xml:space="preserve">on the issue </w:t>
      </w:r>
      <w:r w:rsidR="00817F39" w:rsidRPr="00190FF2">
        <w:rPr>
          <w:rFonts w:eastAsia="Times New Roman" w:cs="Times New Roman"/>
          <w:i/>
          <w:iCs/>
          <w:color w:val="000000"/>
        </w:rPr>
        <w:t xml:space="preserve">claimed to be </w:t>
      </w:r>
      <w:r w:rsidR="00190FF2" w:rsidRPr="00190FF2">
        <w:rPr>
          <w:rFonts w:eastAsia="Times New Roman" w:cs="Times New Roman"/>
          <w:i/>
          <w:iCs/>
          <w:color w:val="000000"/>
        </w:rPr>
        <w:t>foreclosed</w:t>
      </w:r>
      <w:r w:rsidR="00190FF2">
        <w:rPr>
          <w:rFonts w:eastAsia="Times New Roman" w:cs="Times New Roman"/>
          <w:color w:val="000000"/>
        </w:rPr>
        <w:t xml:space="preserve"> </w:t>
      </w:r>
      <w:r w:rsidR="00D8479C">
        <w:rPr>
          <w:rFonts w:eastAsia="Times New Roman" w:cs="Times New Roman"/>
          <w:color w:val="000000"/>
        </w:rPr>
        <w:t xml:space="preserve">had the </w:t>
      </w:r>
      <w:r w:rsidR="00F462F0" w:rsidRPr="004228AD">
        <w:rPr>
          <w:rFonts w:eastAsia="Times New Roman" w:cs="Times New Roman"/>
          <w:color w:val="000000"/>
        </w:rPr>
        <w:t xml:space="preserve">law as it exists </w:t>
      </w:r>
      <w:r w:rsidR="00F462F0" w:rsidRPr="004228AD">
        <w:rPr>
          <w:rFonts w:eastAsia="Times New Roman" w:cs="Times New Roman"/>
          <w:color w:val="000000"/>
        </w:rPr>
        <w:lastRenderedPageBreak/>
        <w:t>today</w:t>
      </w:r>
      <w:r w:rsidR="000F5B8E">
        <w:rPr>
          <w:rFonts w:eastAsia="Times New Roman" w:cs="Times New Roman"/>
          <w:color w:val="000000"/>
        </w:rPr>
        <w:t xml:space="preserve"> governed</w:t>
      </w:r>
      <w:r w:rsidR="000C6165">
        <w:rPr>
          <w:rFonts w:eastAsia="Times New Roman" w:cs="Times New Roman"/>
          <w:color w:val="000000"/>
        </w:rPr>
        <w:t xml:space="preserve"> when the finding was made</w:t>
      </w:r>
      <w:r w:rsidR="00F462F0" w:rsidRPr="004228AD">
        <w:rPr>
          <w:rFonts w:eastAsia="Times New Roman" w:cs="Times New Roman"/>
          <w:color w:val="000000"/>
        </w:rPr>
        <w:t>.</w:t>
      </w:r>
      <w:r w:rsidR="000F5B8E">
        <w:rPr>
          <w:rFonts w:eastAsia="Times New Roman" w:cs="Times New Roman"/>
          <w:color w:val="000000"/>
        </w:rPr>
        <w:t xml:space="preserve">  (</w:t>
      </w:r>
      <w:r w:rsidR="00CF3C53" w:rsidRPr="00CF3C53">
        <w:rPr>
          <w:rFonts w:eastAsia="Times New Roman" w:cs="Times New Roman"/>
          <w:i/>
          <w:iCs/>
          <w:color w:val="000000"/>
        </w:rPr>
        <w:t>Curiel</w:t>
      </w:r>
      <w:r w:rsidR="00CF3C53">
        <w:rPr>
          <w:rFonts w:eastAsia="Times New Roman" w:cs="Times New Roman"/>
          <w:color w:val="000000"/>
        </w:rPr>
        <w:t xml:space="preserve">, </w:t>
      </w:r>
      <w:r w:rsidR="00CF3C53" w:rsidRPr="00CF3C53">
        <w:rPr>
          <w:rFonts w:eastAsia="Times New Roman" w:cs="Times New Roman"/>
          <w:i/>
          <w:iCs/>
          <w:color w:val="000000"/>
        </w:rPr>
        <w:t>supra</w:t>
      </w:r>
      <w:r w:rsidR="00CF3C53">
        <w:rPr>
          <w:rFonts w:eastAsia="Times New Roman" w:cs="Times New Roman"/>
          <w:color w:val="000000"/>
        </w:rPr>
        <w:t>, 15</w:t>
      </w:r>
      <w:r w:rsidR="00A62EE5">
        <w:rPr>
          <w:rFonts w:eastAsia="Times New Roman" w:cs="Times New Roman"/>
          <w:color w:val="000000"/>
        </w:rPr>
        <w:t> </w:t>
      </w:r>
      <w:r w:rsidR="00CF3C53">
        <w:rPr>
          <w:rFonts w:eastAsia="Times New Roman" w:cs="Times New Roman"/>
          <w:color w:val="000000"/>
        </w:rPr>
        <w:t>Cal.5</w:t>
      </w:r>
      <w:r w:rsidR="00880CA1">
        <w:rPr>
          <w:rFonts w:eastAsia="Times New Roman" w:cs="Times New Roman"/>
          <w:color w:val="000000"/>
        </w:rPr>
        <w:t>th</w:t>
      </w:r>
      <w:r w:rsidR="00CF3C53">
        <w:rPr>
          <w:rFonts w:eastAsia="Times New Roman" w:cs="Times New Roman"/>
          <w:color w:val="000000"/>
        </w:rPr>
        <w:t xml:space="preserve"> at </w:t>
      </w:r>
      <w:r w:rsidR="000F5B8E">
        <w:rPr>
          <w:rFonts w:eastAsia="Times New Roman" w:cs="Times New Roman"/>
          <w:color w:val="000000"/>
        </w:rPr>
        <w:t>p.</w:t>
      </w:r>
      <w:r w:rsidR="00814C65">
        <w:rPr>
          <w:rFonts w:eastAsia="Times New Roman" w:cs="Times New Roman"/>
          <w:color w:val="000000"/>
        </w:rPr>
        <w:t> </w:t>
      </w:r>
      <w:r w:rsidR="00CF3C53">
        <w:rPr>
          <w:rFonts w:eastAsia="Times New Roman" w:cs="Times New Roman"/>
          <w:color w:val="000000"/>
        </w:rPr>
        <w:t xml:space="preserve">458.) </w:t>
      </w:r>
      <w:r w:rsidR="00326506" w:rsidRPr="004228AD">
        <w:rPr>
          <w:rFonts w:eastAsia="Times New Roman" w:cs="Times New Roman"/>
          <w:color w:val="000000"/>
        </w:rPr>
        <w:t xml:space="preserve"> </w:t>
      </w:r>
      <w:r w:rsidR="00994A37" w:rsidRPr="004228AD">
        <w:rPr>
          <w:rFonts w:eastAsia="Times New Roman" w:cs="Times New Roman"/>
          <w:color w:val="000000"/>
        </w:rPr>
        <w:t xml:space="preserve">Beaudreaux points </w:t>
      </w:r>
      <w:r w:rsidR="00655A93">
        <w:rPr>
          <w:rFonts w:eastAsia="Times New Roman" w:cs="Times New Roman"/>
          <w:color w:val="000000"/>
        </w:rPr>
        <w:t xml:space="preserve">to </w:t>
      </w:r>
      <w:r w:rsidR="00994A37" w:rsidRPr="004228AD">
        <w:rPr>
          <w:rFonts w:eastAsia="Times New Roman" w:cs="Times New Roman"/>
          <w:color w:val="000000"/>
        </w:rPr>
        <w:t>no change in the law</w:t>
      </w:r>
      <w:r w:rsidR="0033640F">
        <w:rPr>
          <w:rFonts w:eastAsia="Times New Roman" w:cs="Times New Roman"/>
          <w:color w:val="000000"/>
        </w:rPr>
        <w:t xml:space="preserve"> specific to the </w:t>
      </w:r>
      <w:r w:rsidR="00210309">
        <w:rPr>
          <w:rFonts w:eastAsia="Times New Roman" w:cs="Times New Roman"/>
          <w:color w:val="000000"/>
        </w:rPr>
        <w:t xml:space="preserve">findings that he </w:t>
      </w:r>
      <w:r w:rsidR="0092136B">
        <w:rPr>
          <w:rFonts w:eastAsia="Times New Roman" w:cs="Times New Roman"/>
          <w:color w:val="000000"/>
        </w:rPr>
        <w:t xml:space="preserve">was armed, discharged his gun, and </w:t>
      </w:r>
      <w:r w:rsidR="00630947">
        <w:rPr>
          <w:rFonts w:eastAsia="Times New Roman" w:cs="Times New Roman"/>
          <w:color w:val="000000"/>
        </w:rPr>
        <w:t xml:space="preserve">not only </w:t>
      </w:r>
      <w:r w:rsidR="00D51527">
        <w:rPr>
          <w:rFonts w:eastAsia="Times New Roman" w:cs="Times New Roman"/>
          <w:color w:val="000000"/>
        </w:rPr>
        <w:t xml:space="preserve">caused </w:t>
      </w:r>
      <w:r w:rsidR="0092136B">
        <w:rPr>
          <w:rFonts w:eastAsia="Times New Roman" w:cs="Times New Roman"/>
          <w:color w:val="000000"/>
        </w:rPr>
        <w:t xml:space="preserve">great bodily </w:t>
      </w:r>
      <w:r w:rsidR="009E660D">
        <w:rPr>
          <w:rFonts w:eastAsia="Times New Roman" w:cs="Times New Roman"/>
          <w:color w:val="000000"/>
        </w:rPr>
        <w:t xml:space="preserve">injury </w:t>
      </w:r>
      <w:r w:rsidR="002D7BC7">
        <w:rPr>
          <w:rFonts w:eastAsia="Times New Roman" w:cs="Times New Roman"/>
          <w:color w:val="000000"/>
        </w:rPr>
        <w:t xml:space="preserve">to </w:t>
      </w:r>
      <w:r w:rsidR="00415BEE">
        <w:rPr>
          <w:rFonts w:eastAsia="Times New Roman" w:cs="Times New Roman"/>
          <w:color w:val="000000"/>
        </w:rPr>
        <w:t>another person</w:t>
      </w:r>
      <w:r w:rsidR="00814C65">
        <w:rPr>
          <w:rFonts w:eastAsia="Times New Roman" w:cs="Times New Roman"/>
          <w:color w:val="000000"/>
        </w:rPr>
        <w:t>,</w:t>
      </w:r>
      <w:r w:rsidR="00415BEE">
        <w:rPr>
          <w:rFonts w:eastAsia="Times New Roman" w:cs="Times New Roman"/>
          <w:color w:val="000000"/>
        </w:rPr>
        <w:t xml:space="preserve"> b</w:t>
      </w:r>
      <w:r w:rsidR="00630947">
        <w:rPr>
          <w:rFonts w:eastAsia="Times New Roman" w:cs="Times New Roman"/>
          <w:color w:val="000000"/>
        </w:rPr>
        <w:t>ut</w:t>
      </w:r>
      <w:r w:rsidR="0092136B">
        <w:rPr>
          <w:rFonts w:eastAsia="Times New Roman" w:cs="Times New Roman"/>
          <w:color w:val="000000"/>
        </w:rPr>
        <w:t xml:space="preserve"> </w:t>
      </w:r>
      <w:r w:rsidR="00D51527">
        <w:rPr>
          <w:rFonts w:eastAsia="Times New Roman" w:cs="Times New Roman"/>
          <w:color w:val="000000"/>
        </w:rPr>
        <w:t xml:space="preserve">the </w:t>
      </w:r>
      <w:r w:rsidR="0092136B">
        <w:rPr>
          <w:rFonts w:eastAsia="Times New Roman" w:cs="Times New Roman"/>
          <w:color w:val="000000"/>
        </w:rPr>
        <w:t xml:space="preserve">death of </w:t>
      </w:r>
      <w:r w:rsidR="009223BF">
        <w:rPr>
          <w:rFonts w:eastAsia="Times New Roman" w:cs="Times New Roman"/>
          <w:color w:val="000000"/>
        </w:rPr>
        <w:t>that person</w:t>
      </w:r>
      <w:r w:rsidR="0092136B">
        <w:rPr>
          <w:rFonts w:eastAsia="Times New Roman" w:cs="Times New Roman"/>
          <w:color w:val="000000"/>
        </w:rPr>
        <w:t xml:space="preserve">.  </w:t>
      </w:r>
      <w:r w:rsidR="00BA0166">
        <w:rPr>
          <w:rFonts w:eastAsia="Times New Roman" w:cs="Times New Roman"/>
          <w:color w:val="000000"/>
        </w:rPr>
        <w:t>Instead, h</w:t>
      </w:r>
      <w:r w:rsidR="00D04860" w:rsidRPr="004228AD">
        <w:rPr>
          <w:rFonts w:eastAsia="Times New Roman" w:cs="Times New Roman"/>
          <w:color w:val="000000"/>
        </w:rPr>
        <w:t xml:space="preserve">e </w:t>
      </w:r>
      <w:r w:rsidR="00BA0166">
        <w:rPr>
          <w:rFonts w:eastAsia="Times New Roman" w:cs="Times New Roman"/>
          <w:color w:val="000000"/>
        </w:rPr>
        <w:t xml:space="preserve">argues more generally </w:t>
      </w:r>
      <w:r w:rsidR="00EF506C" w:rsidRPr="004228AD">
        <w:rPr>
          <w:rFonts w:eastAsia="Times New Roman" w:cs="Times New Roman"/>
          <w:color w:val="000000"/>
        </w:rPr>
        <w:t xml:space="preserve">that, </w:t>
      </w:r>
      <w:r w:rsidR="00717210" w:rsidRPr="004228AD">
        <w:rPr>
          <w:rFonts w:eastAsia="Times New Roman" w:cs="Times New Roman"/>
          <w:color w:val="000000"/>
        </w:rPr>
        <w:t>“</w:t>
      </w:r>
      <w:r w:rsidR="00EF506C" w:rsidRPr="004228AD">
        <w:rPr>
          <w:rFonts w:eastAsia="Times New Roman" w:cs="Times New Roman"/>
          <w:color w:val="000000"/>
        </w:rPr>
        <w:t>u</w:t>
      </w:r>
      <w:r w:rsidR="00EF506C" w:rsidRPr="004228AD">
        <w:rPr>
          <w:rFonts w:cs="CenturySchoolbook"/>
        </w:rPr>
        <w:t>nder the felony murder concepts in place when appellant was tried prior to the changes to section 189, [his] conviction was certain once the jury believed that he had been involved in the armed robbery involving Drummond.</w:t>
      </w:r>
      <w:r w:rsidR="008B43DE" w:rsidRPr="004228AD">
        <w:rPr>
          <w:rFonts w:cs="CenturySchoolbook"/>
        </w:rPr>
        <w:t>”</w:t>
      </w:r>
      <w:r w:rsidR="00D1096D">
        <w:rPr>
          <w:rFonts w:cs="CenturySchoolbook"/>
        </w:rPr>
        <w:t xml:space="preserve"> </w:t>
      </w:r>
      <w:r w:rsidR="00EF506C" w:rsidRPr="004228AD">
        <w:rPr>
          <w:rFonts w:cs="CenturySchoolbook"/>
        </w:rPr>
        <w:t xml:space="preserve"> </w:t>
      </w:r>
      <w:r w:rsidR="008B43DE" w:rsidRPr="004228AD">
        <w:rPr>
          <w:rFonts w:cs="CenturySchoolbook"/>
        </w:rPr>
        <w:t>“</w:t>
      </w:r>
      <w:r w:rsidR="00EF506C" w:rsidRPr="004228AD">
        <w:rPr>
          <w:rFonts w:cs="CenturySchoolbook"/>
        </w:rPr>
        <w:t>Under those principles,</w:t>
      </w:r>
      <w:r w:rsidR="008B43DE" w:rsidRPr="004228AD">
        <w:rPr>
          <w:rFonts w:cs="CenturySchoolbook"/>
        </w:rPr>
        <w:t>” he contends</w:t>
      </w:r>
      <w:r w:rsidR="00936674" w:rsidRPr="004228AD">
        <w:rPr>
          <w:rFonts w:cs="CenturySchoolbook"/>
        </w:rPr>
        <w:t>,</w:t>
      </w:r>
      <w:r w:rsidR="00EF506C" w:rsidRPr="004228AD">
        <w:rPr>
          <w:rFonts w:cs="CenturySchoolbook"/>
        </w:rPr>
        <w:t xml:space="preserve"> </w:t>
      </w:r>
      <w:r w:rsidR="00052572">
        <w:rPr>
          <w:rFonts w:cs="CenturySchoolbook"/>
        </w:rPr>
        <w:t>“</w:t>
      </w:r>
      <w:r w:rsidR="00EF506C" w:rsidRPr="004228AD">
        <w:rPr>
          <w:rFonts w:cs="CenturySchoolbook"/>
        </w:rPr>
        <w:t xml:space="preserve">it did not matter if </w:t>
      </w:r>
      <w:r w:rsidR="00D42F8E" w:rsidRPr="004228AD">
        <w:rPr>
          <w:rFonts w:cs="CenturySchoolbook"/>
        </w:rPr>
        <w:t>[Beau</w:t>
      </w:r>
      <w:r w:rsidR="00BE7E2E" w:rsidRPr="004228AD">
        <w:rPr>
          <w:rFonts w:cs="CenturySchoolbook"/>
        </w:rPr>
        <w:t xml:space="preserve">dreaux] </w:t>
      </w:r>
      <w:r w:rsidR="00EF506C" w:rsidRPr="004228AD">
        <w:rPr>
          <w:rFonts w:cs="CenturySchoolbook"/>
        </w:rPr>
        <w:t>was the actual shooter, or if the gun discharged accidentally while struggling for</w:t>
      </w:r>
      <w:r w:rsidR="00613059" w:rsidRPr="004228AD">
        <w:rPr>
          <w:rFonts w:cs="CenturySchoolbook"/>
        </w:rPr>
        <w:t xml:space="preserve"> the gun with Drummond, or Drummond discharged the weapon himself</w:t>
      </w:r>
      <w:r w:rsidR="00CC4C0D" w:rsidRPr="004228AD">
        <w:rPr>
          <w:rFonts w:cs="CenturySchoolbook"/>
        </w:rPr>
        <w:t xml:space="preserve"> </w:t>
      </w:r>
      <w:r w:rsidR="00613059" w:rsidRPr="004228AD">
        <w:rPr>
          <w:rFonts w:cs="CenturySchoolbook"/>
        </w:rPr>
        <w:t>while trying to get a hold of it.</w:t>
      </w:r>
      <w:r w:rsidR="002C49B8" w:rsidRPr="004228AD">
        <w:rPr>
          <w:rFonts w:cs="CenturySchoolbook"/>
        </w:rPr>
        <w:t>”</w:t>
      </w:r>
      <w:r w:rsidR="0068790F" w:rsidRPr="004228AD">
        <w:rPr>
          <w:rFonts w:cs="CenturySchoolbook"/>
        </w:rPr>
        <w:t xml:space="preserve"> </w:t>
      </w:r>
      <w:r w:rsidR="00F27400" w:rsidRPr="004228AD">
        <w:rPr>
          <w:rFonts w:cs="CenturySchoolbook"/>
        </w:rPr>
        <w:t xml:space="preserve"> </w:t>
      </w:r>
    </w:p>
    <w:p w14:paraId="44311760" w14:textId="6D319ED1" w:rsidR="009D652F" w:rsidRPr="004228AD" w:rsidRDefault="00C42495" w:rsidP="004228AD">
      <w:pPr>
        <w:shd w:val="clear" w:color="auto" w:fill="FFFFFF"/>
        <w:rPr>
          <w:rFonts w:cs="CenturySchoolbook"/>
        </w:rPr>
      </w:pPr>
      <w:r w:rsidRPr="004228AD">
        <w:rPr>
          <w:rFonts w:cs="CenturySchoolbook"/>
        </w:rPr>
        <w:t>We see two problems with this</w:t>
      </w:r>
      <w:r w:rsidR="00DE4271" w:rsidRPr="004228AD">
        <w:rPr>
          <w:rFonts w:cs="CenturySchoolbook"/>
        </w:rPr>
        <w:t xml:space="preserve"> line of argument</w:t>
      </w:r>
      <w:r w:rsidRPr="004228AD">
        <w:rPr>
          <w:rFonts w:cs="CenturySchoolbook"/>
        </w:rPr>
        <w:t xml:space="preserve">.  First, </w:t>
      </w:r>
      <w:r w:rsidRPr="004228AD">
        <w:rPr>
          <w:rFonts w:cs="CenturySchoolbook"/>
          <w:i/>
        </w:rPr>
        <w:t>Curiel</w:t>
      </w:r>
      <w:r w:rsidRPr="004228AD">
        <w:rPr>
          <w:rFonts w:cs="CenturySchoolbook"/>
        </w:rPr>
        <w:t xml:space="preserve"> </w:t>
      </w:r>
      <w:r w:rsidR="005663C0" w:rsidRPr="004228AD">
        <w:rPr>
          <w:rFonts w:cs="CenturySchoolbook"/>
        </w:rPr>
        <w:t xml:space="preserve">squarely </w:t>
      </w:r>
      <w:r w:rsidRPr="004228AD">
        <w:rPr>
          <w:rFonts w:cs="CenturySchoolbook"/>
        </w:rPr>
        <w:t>reject</w:t>
      </w:r>
      <w:r w:rsidR="005663C0" w:rsidRPr="004228AD">
        <w:rPr>
          <w:rFonts w:cs="CenturySchoolbook"/>
        </w:rPr>
        <w:t>s</w:t>
      </w:r>
      <w:r w:rsidRPr="004228AD">
        <w:rPr>
          <w:rFonts w:cs="CenturySchoolbook"/>
        </w:rPr>
        <w:t xml:space="preserve"> </w:t>
      </w:r>
      <w:r w:rsidR="00C61ACB" w:rsidRPr="004228AD">
        <w:rPr>
          <w:rFonts w:cs="CenturySchoolbook"/>
        </w:rPr>
        <w:t xml:space="preserve">the </w:t>
      </w:r>
      <w:r w:rsidR="00DE4271" w:rsidRPr="004228AD">
        <w:rPr>
          <w:rFonts w:cs="CenturySchoolbook"/>
        </w:rPr>
        <w:t xml:space="preserve">contention </w:t>
      </w:r>
      <w:r w:rsidR="006A2ACF" w:rsidRPr="004228AD">
        <w:rPr>
          <w:rFonts w:cs="CenturySchoolbook"/>
        </w:rPr>
        <w:t>that s</w:t>
      </w:r>
      <w:r w:rsidR="00747D38" w:rsidRPr="004228AD">
        <w:rPr>
          <w:rFonts w:cs="CenturySchoolbook"/>
        </w:rPr>
        <w:t>ection 1172.6 petitioner</w:t>
      </w:r>
      <w:r w:rsidR="00D52D9E" w:rsidRPr="004228AD">
        <w:rPr>
          <w:rFonts w:cs="CenturySchoolbook"/>
        </w:rPr>
        <w:t xml:space="preserve">s may </w:t>
      </w:r>
      <w:r w:rsidR="00747D38" w:rsidRPr="004228AD">
        <w:rPr>
          <w:rFonts w:cs="CenturySchoolbook"/>
        </w:rPr>
        <w:t xml:space="preserve">avoid prior </w:t>
      </w:r>
      <w:r w:rsidR="00D27B3B" w:rsidRPr="004228AD">
        <w:rPr>
          <w:rFonts w:cs="CenturySchoolbook"/>
        </w:rPr>
        <w:t xml:space="preserve">jury findings simply by </w:t>
      </w:r>
      <w:r w:rsidR="005755E7" w:rsidRPr="004228AD">
        <w:rPr>
          <w:rFonts w:cs="CenturySchoolbook"/>
        </w:rPr>
        <w:t>pointing</w:t>
      </w:r>
      <w:r w:rsidR="00A3030F" w:rsidRPr="004228AD">
        <w:rPr>
          <w:rFonts w:cs="CenturySchoolbook"/>
        </w:rPr>
        <w:t xml:space="preserve"> to the fact that </w:t>
      </w:r>
      <w:r w:rsidR="00B970BA" w:rsidRPr="004228AD">
        <w:rPr>
          <w:rFonts w:cs="CenturySchoolbook"/>
        </w:rPr>
        <w:t>Senate Bill 1437</w:t>
      </w:r>
      <w:r w:rsidR="00C66376" w:rsidRPr="004228AD">
        <w:rPr>
          <w:rFonts w:cs="CenturySchoolbook"/>
        </w:rPr>
        <w:t xml:space="preserve"> retroactively </w:t>
      </w:r>
      <w:r w:rsidR="003003AF" w:rsidRPr="004228AD">
        <w:rPr>
          <w:rFonts w:cs="CenturySchoolbook"/>
        </w:rPr>
        <w:t xml:space="preserve">changed the </w:t>
      </w:r>
      <w:r w:rsidR="00A05736" w:rsidRPr="004228AD">
        <w:rPr>
          <w:rFonts w:cs="CenturySchoolbook"/>
        </w:rPr>
        <w:t>law of murder</w:t>
      </w:r>
      <w:r w:rsidR="00AC6F5C" w:rsidRPr="004228AD">
        <w:rPr>
          <w:rFonts w:cs="CenturySchoolbook"/>
        </w:rPr>
        <w:t xml:space="preserve"> generally</w:t>
      </w:r>
      <w:r w:rsidR="00CF2F2A" w:rsidRPr="004228AD">
        <w:rPr>
          <w:rFonts w:cs="CenturySchoolbook"/>
        </w:rPr>
        <w:t xml:space="preserve">.  </w:t>
      </w:r>
      <w:r w:rsidR="00AB49A3" w:rsidRPr="004228AD">
        <w:rPr>
          <w:rFonts w:cs="CenturySchoolbook"/>
        </w:rPr>
        <w:t>(</w:t>
      </w:r>
      <w:r w:rsidR="00E86E6F" w:rsidRPr="000D7303">
        <w:rPr>
          <w:rFonts w:eastAsia="Times New Roman" w:cs="Times New Roman"/>
          <w:i/>
          <w:iCs/>
          <w:color w:val="000000"/>
        </w:rPr>
        <w:t>Curiel</w:t>
      </w:r>
      <w:r w:rsidR="00E86E6F" w:rsidRPr="004228AD">
        <w:rPr>
          <w:rFonts w:eastAsia="Times New Roman" w:cs="Times New Roman"/>
          <w:color w:val="000000"/>
        </w:rPr>
        <w:t xml:space="preserve">, </w:t>
      </w:r>
      <w:r w:rsidR="00E86E6F" w:rsidRPr="000D7303">
        <w:rPr>
          <w:rFonts w:eastAsia="Times New Roman" w:cs="Times New Roman"/>
          <w:i/>
          <w:iCs/>
          <w:color w:val="000000"/>
        </w:rPr>
        <w:t>supra</w:t>
      </w:r>
      <w:r w:rsidR="00E86E6F" w:rsidRPr="004228AD">
        <w:rPr>
          <w:rFonts w:eastAsia="Times New Roman" w:cs="Times New Roman"/>
          <w:color w:val="000000"/>
        </w:rPr>
        <w:t>, 15</w:t>
      </w:r>
      <w:r w:rsidR="00781D4C">
        <w:rPr>
          <w:rFonts w:eastAsia="Times New Roman" w:cs="Times New Roman"/>
          <w:color w:val="000000"/>
        </w:rPr>
        <w:t> </w:t>
      </w:r>
      <w:r w:rsidR="00E86E6F" w:rsidRPr="004228AD">
        <w:rPr>
          <w:rFonts w:eastAsia="Times New Roman" w:cs="Times New Roman"/>
          <w:color w:val="000000"/>
        </w:rPr>
        <w:t>Cal.5th at p</w:t>
      </w:r>
      <w:r w:rsidR="00FC0689">
        <w:rPr>
          <w:rFonts w:eastAsia="Times New Roman" w:cs="Times New Roman"/>
          <w:color w:val="000000"/>
        </w:rPr>
        <w:t>p</w:t>
      </w:r>
      <w:r w:rsidR="00E86E6F" w:rsidRPr="004228AD">
        <w:rPr>
          <w:rFonts w:eastAsia="Times New Roman" w:cs="Times New Roman"/>
          <w:color w:val="000000"/>
        </w:rPr>
        <w:t>.</w:t>
      </w:r>
      <w:r w:rsidR="00781D4C">
        <w:rPr>
          <w:rFonts w:eastAsia="Times New Roman" w:cs="Times New Roman"/>
          <w:color w:val="000000"/>
        </w:rPr>
        <w:t> </w:t>
      </w:r>
      <w:r w:rsidR="00E86E6F" w:rsidRPr="004228AD">
        <w:rPr>
          <w:rFonts w:eastAsia="Times New Roman" w:cs="Times New Roman"/>
          <w:color w:val="000000"/>
        </w:rPr>
        <w:t>45</w:t>
      </w:r>
      <w:r w:rsidR="00461B3B">
        <w:rPr>
          <w:rFonts w:eastAsia="Times New Roman" w:cs="Times New Roman"/>
          <w:color w:val="000000"/>
        </w:rPr>
        <w:t>9</w:t>
      </w:r>
      <w:r w:rsidR="00E86E6F" w:rsidRPr="004228AD">
        <w:rPr>
          <w:rFonts w:eastAsia="Times New Roman" w:cs="Times New Roman"/>
          <w:color w:val="000000"/>
        </w:rPr>
        <w:t>–4</w:t>
      </w:r>
      <w:r w:rsidR="00461B3B">
        <w:rPr>
          <w:rFonts w:eastAsia="Times New Roman" w:cs="Times New Roman"/>
          <w:color w:val="000000"/>
        </w:rPr>
        <w:t>60</w:t>
      </w:r>
      <w:r w:rsidR="00E86E6F" w:rsidRPr="004228AD">
        <w:rPr>
          <w:rFonts w:eastAsia="Times New Roman" w:cs="Times New Roman"/>
          <w:color w:val="000000"/>
        </w:rPr>
        <w:t>.</w:t>
      </w:r>
      <w:r w:rsidR="007E4E48">
        <w:rPr>
          <w:rFonts w:eastAsia="Times New Roman" w:cs="Times New Roman"/>
          <w:color w:val="000000"/>
        </w:rPr>
        <w:t xml:space="preserve"> </w:t>
      </w:r>
      <w:r w:rsidR="0095183D">
        <w:rPr>
          <w:rFonts w:eastAsia="Times New Roman" w:cs="Times New Roman"/>
          <w:color w:val="000000"/>
        </w:rPr>
        <w:t>[“</w:t>
      </w:r>
      <w:r w:rsidR="0095183D" w:rsidRPr="00E316D2">
        <w:rPr>
          <w:rFonts w:eastAsia="Times New Roman" w:cs="Times New Roman"/>
          <w:color w:val="000000"/>
        </w:rPr>
        <w:t xml:space="preserve">Curiel argues that the enactment of Senate Bill 1437 itself was such a significant and unforeseeable change in the law that it would be inequitable to apply issue preclusion to jury findings in his underlying trial. </w:t>
      </w:r>
      <w:r w:rsidR="00E316D2">
        <w:rPr>
          <w:rFonts w:eastAsia="Times New Roman" w:cs="Times New Roman"/>
          <w:color w:val="000000"/>
        </w:rPr>
        <w:t xml:space="preserve"> </w:t>
      </w:r>
      <w:r w:rsidR="0095183D" w:rsidRPr="00E316D2">
        <w:rPr>
          <w:rFonts w:eastAsia="Times New Roman" w:cs="Times New Roman"/>
          <w:color w:val="000000"/>
        </w:rPr>
        <w:t xml:space="preserve">This argument is plainly foreclosed by our opinion in </w:t>
      </w:r>
      <w:r w:rsidR="0095183D" w:rsidRPr="00E316D2">
        <w:rPr>
          <w:rFonts w:eastAsia="Times New Roman" w:cs="Times New Roman"/>
          <w:i/>
          <w:iCs/>
          <w:color w:val="3D3D3D"/>
          <w:bdr w:val="none" w:sz="0" w:space="0" w:color="auto" w:frame="1"/>
        </w:rPr>
        <w:t>Strong</w:t>
      </w:r>
      <w:r w:rsidR="006D7EAF">
        <w:rPr>
          <w:rFonts w:eastAsia="Times New Roman" w:cs="Times New Roman"/>
          <w:color w:val="3D3D3D"/>
          <w:bdr w:val="none" w:sz="0" w:space="0" w:color="auto" w:frame="1"/>
        </w:rPr>
        <w:t>.</w:t>
      </w:r>
      <w:r w:rsidR="00B95CF2">
        <w:rPr>
          <w:rFonts w:eastAsia="Times New Roman" w:cs="Times New Roman"/>
          <w:color w:val="3D3D3D"/>
          <w:bdr w:val="none" w:sz="0" w:space="0" w:color="auto" w:frame="1"/>
        </w:rPr>
        <w:t>”</w:t>
      </w:r>
      <w:r w:rsidR="006D7EAF">
        <w:rPr>
          <w:rFonts w:eastAsia="Times New Roman" w:cs="Times New Roman"/>
          <w:color w:val="3D3D3D"/>
          <w:bdr w:val="none" w:sz="0" w:space="0" w:color="auto" w:frame="1"/>
        </w:rPr>
        <w:t>]</w:t>
      </w:r>
      <w:r w:rsidR="00E316D2">
        <w:rPr>
          <w:rFonts w:eastAsia="Times New Roman" w:cs="Times New Roman"/>
          <w:color w:val="3D3D3D"/>
          <w:bdr w:val="none" w:sz="0" w:space="0" w:color="auto" w:frame="1"/>
        </w:rPr>
        <w:t>.</w:t>
      </w:r>
      <w:r w:rsidR="006D7EAF">
        <w:rPr>
          <w:rFonts w:eastAsia="Times New Roman" w:cs="Times New Roman"/>
          <w:color w:val="3D3D3D"/>
          <w:bdr w:val="none" w:sz="0" w:space="0" w:color="auto" w:frame="1"/>
        </w:rPr>
        <w:t>)</w:t>
      </w:r>
      <w:r w:rsidR="00AB49A3">
        <w:rPr>
          <w:rFonts w:eastAsia="Times New Roman" w:cs="Times New Roman"/>
          <w:color w:val="3D3D3D"/>
          <w:bdr w:val="none" w:sz="0" w:space="0" w:color="auto" w:frame="1"/>
        </w:rPr>
        <w:t xml:space="preserve"> </w:t>
      </w:r>
      <w:r w:rsidR="00AB49A3" w:rsidRPr="004228AD">
        <w:rPr>
          <w:rFonts w:eastAsia="Times New Roman" w:cs="Times New Roman"/>
          <w:color w:val="000000"/>
        </w:rPr>
        <w:t xml:space="preserve"> </w:t>
      </w:r>
      <w:r w:rsidR="00C974F6" w:rsidRPr="004228AD">
        <w:rPr>
          <w:rFonts w:eastAsia="Times New Roman" w:cs="Times New Roman"/>
          <w:color w:val="000000"/>
        </w:rPr>
        <w:t>If such a</w:t>
      </w:r>
      <w:r w:rsidR="00CF2F2A" w:rsidRPr="004228AD">
        <w:rPr>
          <w:rFonts w:eastAsia="Times New Roman" w:cs="Times New Roman"/>
          <w:color w:val="000000"/>
        </w:rPr>
        <w:t xml:space="preserve"> </w:t>
      </w:r>
      <w:r w:rsidR="006A2ACF" w:rsidRPr="004228AD">
        <w:rPr>
          <w:rFonts w:cs="CenturySchoolbook"/>
        </w:rPr>
        <w:t xml:space="preserve">broad-brush </w:t>
      </w:r>
      <w:r w:rsidR="00CF2F2A" w:rsidRPr="004228AD">
        <w:rPr>
          <w:rFonts w:cs="CenturySchoolbook"/>
        </w:rPr>
        <w:t>app</w:t>
      </w:r>
      <w:r w:rsidR="00086D68" w:rsidRPr="004228AD">
        <w:rPr>
          <w:rFonts w:cs="CenturySchoolbook"/>
        </w:rPr>
        <w:t>roach</w:t>
      </w:r>
      <w:r w:rsidR="00C974F6" w:rsidRPr="004228AD">
        <w:rPr>
          <w:rFonts w:cs="CenturySchoolbook"/>
        </w:rPr>
        <w:t xml:space="preserve"> were appropr</w:t>
      </w:r>
      <w:r w:rsidR="009D6CCC" w:rsidRPr="004228AD">
        <w:rPr>
          <w:rFonts w:cs="CenturySchoolbook"/>
        </w:rPr>
        <w:t>iate</w:t>
      </w:r>
      <w:r w:rsidR="00086D68" w:rsidRPr="004228AD">
        <w:rPr>
          <w:rFonts w:cs="CenturySchoolbook"/>
        </w:rPr>
        <w:t xml:space="preserve">, the </w:t>
      </w:r>
      <w:r w:rsidR="00AB49A3" w:rsidRPr="004228AD">
        <w:rPr>
          <w:rFonts w:cs="CenturySchoolbook"/>
        </w:rPr>
        <w:t xml:space="preserve">equitable exception for intervening </w:t>
      </w:r>
      <w:r w:rsidR="00FE0A73" w:rsidRPr="004228AD">
        <w:rPr>
          <w:rFonts w:cs="CenturySchoolbook"/>
        </w:rPr>
        <w:t>change</w:t>
      </w:r>
      <w:r w:rsidR="00AB49A3" w:rsidRPr="004228AD">
        <w:rPr>
          <w:rFonts w:cs="CenturySchoolbook"/>
        </w:rPr>
        <w:t>s</w:t>
      </w:r>
      <w:r w:rsidR="00FE0A73" w:rsidRPr="004228AD">
        <w:rPr>
          <w:rFonts w:cs="CenturySchoolbook"/>
        </w:rPr>
        <w:t xml:space="preserve"> in the </w:t>
      </w:r>
      <w:r w:rsidR="008C3684" w:rsidRPr="004228AD">
        <w:rPr>
          <w:rFonts w:cs="CenturySchoolbook"/>
        </w:rPr>
        <w:t xml:space="preserve">law </w:t>
      </w:r>
      <w:r w:rsidR="00086D68" w:rsidRPr="004228AD">
        <w:rPr>
          <w:rFonts w:cs="CenturySchoolbook"/>
        </w:rPr>
        <w:t xml:space="preserve">would swallow the </w:t>
      </w:r>
      <w:r w:rsidR="0024737C" w:rsidRPr="004228AD">
        <w:rPr>
          <w:rFonts w:cs="CenturySchoolbook"/>
        </w:rPr>
        <w:t xml:space="preserve">doctrine of </w:t>
      </w:r>
      <w:r w:rsidR="00086D68" w:rsidRPr="004228AD">
        <w:rPr>
          <w:rFonts w:cs="CenturySchoolbook"/>
        </w:rPr>
        <w:t xml:space="preserve">issue </w:t>
      </w:r>
      <w:r w:rsidR="00832DB2" w:rsidRPr="004228AD">
        <w:rPr>
          <w:rFonts w:cs="CenturySchoolbook"/>
        </w:rPr>
        <w:t xml:space="preserve">preclusion </w:t>
      </w:r>
      <w:r w:rsidR="0024737C" w:rsidRPr="004228AD">
        <w:rPr>
          <w:rFonts w:cs="CenturySchoolbook"/>
        </w:rPr>
        <w:t>in</w:t>
      </w:r>
      <w:r w:rsidR="00832DB2" w:rsidRPr="004228AD">
        <w:rPr>
          <w:rFonts w:cs="CenturySchoolbook"/>
        </w:rPr>
        <w:t xml:space="preserve"> </w:t>
      </w:r>
      <w:r w:rsidR="00FE0A73" w:rsidRPr="004228AD">
        <w:rPr>
          <w:rFonts w:cs="CenturySchoolbook"/>
        </w:rPr>
        <w:t>section</w:t>
      </w:r>
      <w:r w:rsidR="00FC0689">
        <w:rPr>
          <w:rFonts w:cs="CenturySchoolbook"/>
        </w:rPr>
        <w:t> </w:t>
      </w:r>
      <w:r w:rsidR="00FE0A73" w:rsidRPr="004228AD">
        <w:rPr>
          <w:rFonts w:cs="CenturySchoolbook"/>
        </w:rPr>
        <w:t>1172.6 proceeding</w:t>
      </w:r>
      <w:r w:rsidR="003D6DF0">
        <w:rPr>
          <w:rFonts w:cs="CenturySchoolbook"/>
        </w:rPr>
        <w:t>s</w:t>
      </w:r>
      <w:r w:rsidR="008C3684" w:rsidRPr="004228AD">
        <w:rPr>
          <w:rFonts w:cs="CenturySchoolbook"/>
        </w:rPr>
        <w:t xml:space="preserve"> entirely</w:t>
      </w:r>
      <w:r w:rsidR="00F75B98" w:rsidRPr="004228AD">
        <w:rPr>
          <w:rFonts w:cs="CenturySchoolbook"/>
        </w:rPr>
        <w:t xml:space="preserve">, rendering </w:t>
      </w:r>
      <w:r w:rsidR="00135216">
        <w:rPr>
          <w:rFonts w:cs="CenturySchoolbook"/>
        </w:rPr>
        <w:t xml:space="preserve">issue preclusion </w:t>
      </w:r>
      <w:r w:rsidR="004F0772" w:rsidRPr="004228AD">
        <w:rPr>
          <w:rFonts w:cs="CenturySchoolbook"/>
        </w:rPr>
        <w:t xml:space="preserve">wholly </w:t>
      </w:r>
      <w:r w:rsidR="00F75B98" w:rsidRPr="004228AD">
        <w:rPr>
          <w:rFonts w:cs="CenturySchoolbook"/>
        </w:rPr>
        <w:t xml:space="preserve">inoperative in that context.  </w:t>
      </w:r>
      <w:r w:rsidR="003F3FA4" w:rsidRPr="004228AD">
        <w:rPr>
          <w:rFonts w:cs="CenturySchoolbook"/>
        </w:rPr>
        <w:t xml:space="preserve">The </w:t>
      </w:r>
      <w:r w:rsidR="00486A04" w:rsidRPr="000D7303">
        <w:rPr>
          <w:rFonts w:cs="CenturySchoolbook"/>
          <w:i/>
          <w:iCs/>
        </w:rPr>
        <w:t xml:space="preserve">Curiel </w:t>
      </w:r>
      <w:r w:rsidR="003F3FA4" w:rsidRPr="004228AD">
        <w:rPr>
          <w:rFonts w:cs="CenturySchoolbook"/>
        </w:rPr>
        <w:t xml:space="preserve">court </w:t>
      </w:r>
      <w:r w:rsidR="00486A04" w:rsidRPr="004228AD">
        <w:rPr>
          <w:rFonts w:cs="CenturySchoolbook"/>
        </w:rPr>
        <w:t xml:space="preserve">made clear that that is an </w:t>
      </w:r>
      <w:r w:rsidR="00C14B5E">
        <w:rPr>
          <w:rFonts w:cs="CenturySchoolbook"/>
        </w:rPr>
        <w:t>over</w:t>
      </w:r>
      <w:r w:rsidR="00486A04">
        <w:rPr>
          <w:rFonts w:cs="CenturySchoolbook"/>
        </w:rPr>
        <w:t xml:space="preserve">reading </w:t>
      </w:r>
      <w:r w:rsidR="00486A04" w:rsidRPr="004228AD">
        <w:rPr>
          <w:rFonts w:cs="CenturySchoolbook"/>
        </w:rPr>
        <w:t xml:space="preserve">of </w:t>
      </w:r>
      <w:r w:rsidR="00486A04" w:rsidRPr="000D7303">
        <w:rPr>
          <w:rFonts w:cs="CenturySchoolbook"/>
          <w:i/>
          <w:iCs/>
        </w:rPr>
        <w:t>Strong</w:t>
      </w:r>
      <w:r w:rsidR="00486A04" w:rsidRPr="004228AD">
        <w:rPr>
          <w:rFonts w:cs="CenturySchoolbook"/>
        </w:rPr>
        <w:t xml:space="preserve">. </w:t>
      </w:r>
      <w:r w:rsidR="00C32605" w:rsidRPr="004228AD">
        <w:rPr>
          <w:rFonts w:cs="CenturySchoolbook"/>
        </w:rPr>
        <w:t xml:space="preserve"> </w:t>
      </w:r>
    </w:p>
    <w:p w14:paraId="28C0BCE3" w14:textId="085ECD66" w:rsidR="00BC4C48" w:rsidRPr="004228AD" w:rsidRDefault="00C42495" w:rsidP="004228AD">
      <w:pPr>
        <w:shd w:val="clear" w:color="auto" w:fill="FFFFFF"/>
        <w:rPr>
          <w:rFonts w:eastAsia="Times New Roman" w:cs="Times New Roman"/>
          <w:color w:val="000000"/>
        </w:rPr>
      </w:pPr>
      <w:r w:rsidRPr="004228AD">
        <w:rPr>
          <w:rFonts w:cs="CenturySchoolbook"/>
        </w:rPr>
        <w:t>Second</w:t>
      </w:r>
      <w:r w:rsidR="006F6A39" w:rsidRPr="004228AD">
        <w:rPr>
          <w:rFonts w:cs="CenturySchoolbook"/>
        </w:rPr>
        <w:t xml:space="preserve">, </w:t>
      </w:r>
      <w:r w:rsidR="00807A53" w:rsidRPr="004228AD">
        <w:rPr>
          <w:rFonts w:cs="CenturySchoolbook"/>
        </w:rPr>
        <w:t xml:space="preserve">even </w:t>
      </w:r>
      <w:r w:rsidR="006F6A39" w:rsidRPr="004228AD">
        <w:rPr>
          <w:rFonts w:cs="CenturySchoolbook"/>
        </w:rPr>
        <w:t>a</w:t>
      </w:r>
      <w:r w:rsidR="005A0D45" w:rsidRPr="004228AD">
        <w:rPr>
          <w:rFonts w:cs="CenturySchoolbook"/>
        </w:rPr>
        <w:t xml:space="preserve">ssuming hypothetically </w:t>
      </w:r>
      <w:r w:rsidR="00521F12" w:rsidRPr="004228AD">
        <w:rPr>
          <w:rFonts w:cs="CenturySchoolbook"/>
        </w:rPr>
        <w:t>that</w:t>
      </w:r>
      <w:r w:rsidR="005A0D45" w:rsidRPr="004228AD">
        <w:rPr>
          <w:rFonts w:cs="CenturySchoolbook"/>
        </w:rPr>
        <w:t xml:space="preserve"> </w:t>
      </w:r>
      <w:r w:rsidR="00BB0705" w:rsidRPr="004228AD">
        <w:rPr>
          <w:rFonts w:cs="CenturySchoolbook"/>
        </w:rPr>
        <w:t xml:space="preserve">Beaudreaux </w:t>
      </w:r>
      <w:r w:rsidR="00B26057" w:rsidRPr="004228AD">
        <w:rPr>
          <w:rFonts w:cs="CenturySchoolbook"/>
        </w:rPr>
        <w:t xml:space="preserve">could produce evidence of </w:t>
      </w:r>
      <w:r w:rsidR="00BF6D88" w:rsidRPr="004228AD">
        <w:rPr>
          <w:rFonts w:cs="CenturySchoolbook"/>
        </w:rPr>
        <w:t xml:space="preserve">the </w:t>
      </w:r>
      <w:r w:rsidR="003B034A" w:rsidRPr="004228AD">
        <w:rPr>
          <w:rFonts w:cs="CenturySchoolbook"/>
        </w:rPr>
        <w:t xml:space="preserve">accidental discharge </w:t>
      </w:r>
      <w:r w:rsidR="000030B9">
        <w:rPr>
          <w:rFonts w:cs="CenturySchoolbook"/>
        </w:rPr>
        <w:t xml:space="preserve">and </w:t>
      </w:r>
      <w:r w:rsidR="003B034A" w:rsidRPr="004228AD">
        <w:rPr>
          <w:rFonts w:cs="CenturySchoolbook"/>
        </w:rPr>
        <w:t>self-inflicted wo</w:t>
      </w:r>
      <w:r w:rsidR="00AB208D" w:rsidRPr="004228AD">
        <w:rPr>
          <w:rFonts w:cs="CenturySchoolbook"/>
        </w:rPr>
        <w:t>und scenario</w:t>
      </w:r>
      <w:r w:rsidR="00254E7C">
        <w:rPr>
          <w:rFonts w:cs="CenturySchoolbook"/>
        </w:rPr>
        <w:t>s</w:t>
      </w:r>
      <w:r w:rsidR="00BF6D88" w:rsidRPr="004228AD">
        <w:rPr>
          <w:rFonts w:cs="CenturySchoolbook"/>
        </w:rPr>
        <w:t xml:space="preserve"> he </w:t>
      </w:r>
      <w:r w:rsidR="001E4950" w:rsidRPr="004228AD">
        <w:rPr>
          <w:rFonts w:cs="CenturySchoolbook"/>
        </w:rPr>
        <w:t>posits</w:t>
      </w:r>
      <w:r w:rsidR="00817738">
        <w:rPr>
          <w:rFonts w:cs="CenturySchoolbook"/>
        </w:rPr>
        <w:t xml:space="preserve"> might have occurred here</w:t>
      </w:r>
      <w:r w:rsidR="00A82DEE">
        <w:rPr>
          <w:rFonts w:cs="CenturySchoolbook"/>
        </w:rPr>
        <w:t>,</w:t>
      </w:r>
      <w:r w:rsidR="00D357CD">
        <w:rPr>
          <w:rFonts w:cs="CenturySchoolbook"/>
        </w:rPr>
        <w:t xml:space="preserve"> </w:t>
      </w:r>
      <w:r w:rsidR="00023728" w:rsidRPr="004228AD">
        <w:rPr>
          <w:rFonts w:cs="CenturySchoolbook"/>
        </w:rPr>
        <w:t>the law</w:t>
      </w:r>
      <w:r w:rsidR="00943787" w:rsidRPr="004228AD">
        <w:rPr>
          <w:rFonts w:cs="CenturySchoolbook"/>
        </w:rPr>
        <w:t xml:space="preserve"> </w:t>
      </w:r>
      <w:r w:rsidR="00293D15" w:rsidRPr="004228AD">
        <w:rPr>
          <w:rFonts w:cs="CenturySchoolbook"/>
        </w:rPr>
        <w:t xml:space="preserve">of felony murder </w:t>
      </w:r>
      <w:r w:rsidR="00943787" w:rsidRPr="004228AD">
        <w:rPr>
          <w:rFonts w:cs="CenturySchoolbook"/>
        </w:rPr>
        <w:t>has not changed</w:t>
      </w:r>
      <w:r w:rsidR="002626D6" w:rsidRPr="004228AD">
        <w:rPr>
          <w:rFonts w:cs="CenturySchoolbook"/>
        </w:rPr>
        <w:t xml:space="preserve"> in </w:t>
      </w:r>
      <w:r w:rsidR="002626D6" w:rsidRPr="004228AD">
        <w:rPr>
          <w:rFonts w:cs="CenturySchoolbook"/>
        </w:rPr>
        <w:lastRenderedPageBreak/>
        <w:t xml:space="preserve">a manner that would </w:t>
      </w:r>
      <w:r w:rsidR="00224A2A" w:rsidRPr="004228AD">
        <w:rPr>
          <w:rFonts w:cs="CenturySchoolbook"/>
        </w:rPr>
        <w:t xml:space="preserve">lead to a different </w:t>
      </w:r>
      <w:r w:rsidR="009657F7" w:rsidRPr="004228AD">
        <w:rPr>
          <w:rFonts w:cs="CenturySchoolbook"/>
        </w:rPr>
        <w:t xml:space="preserve">result </w:t>
      </w:r>
      <w:r w:rsidR="00CE239D" w:rsidRPr="004228AD">
        <w:rPr>
          <w:rFonts w:cs="CenturySchoolbook"/>
        </w:rPr>
        <w:t xml:space="preserve">on those </w:t>
      </w:r>
      <w:r w:rsidR="002150C5" w:rsidRPr="004228AD">
        <w:rPr>
          <w:rFonts w:cs="CenturySchoolbook"/>
        </w:rPr>
        <w:t xml:space="preserve">supposed </w:t>
      </w:r>
      <w:r w:rsidR="00CE239D" w:rsidRPr="004228AD">
        <w:rPr>
          <w:rFonts w:cs="CenturySchoolbook"/>
        </w:rPr>
        <w:t>facts</w:t>
      </w:r>
      <w:r w:rsidR="000D6493">
        <w:rPr>
          <w:rFonts w:cs="CenturySchoolbook"/>
        </w:rPr>
        <w:t xml:space="preserve">, even if </w:t>
      </w:r>
      <w:r w:rsidR="005205DF">
        <w:rPr>
          <w:rFonts w:cs="CenturySchoolbook"/>
        </w:rPr>
        <w:t xml:space="preserve">changes in the law </w:t>
      </w:r>
      <w:r w:rsidR="00F64612">
        <w:rPr>
          <w:rFonts w:cs="CenturySchoolbook"/>
        </w:rPr>
        <w:t>of murder generally</w:t>
      </w:r>
      <w:r w:rsidR="005205DF">
        <w:rPr>
          <w:rFonts w:cs="CenturySchoolbook"/>
        </w:rPr>
        <w:t xml:space="preserve"> </w:t>
      </w:r>
      <w:r w:rsidR="00C15852">
        <w:rPr>
          <w:rFonts w:cs="CenturySchoolbook"/>
        </w:rPr>
        <w:t xml:space="preserve">could be a </w:t>
      </w:r>
      <w:r w:rsidR="00E6784B">
        <w:rPr>
          <w:rFonts w:cs="CenturySchoolbook"/>
        </w:rPr>
        <w:t>driving consideration</w:t>
      </w:r>
      <w:r w:rsidR="00F64612">
        <w:rPr>
          <w:rFonts w:cs="CenturySchoolbook"/>
        </w:rPr>
        <w:t>.</w:t>
      </w:r>
      <w:r w:rsidR="00CE239D" w:rsidRPr="004228AD">
        <w:rPr>
          <w:rFonts w:cs="CenturySchoolbook"/>
        </w:rPr>
        <w:t xml:space="preserve">  </w:t>
      </w:r>
      <w:r w:rsidR="003D7F66">
        <w:rPr>
          <w:rFonts w:cs="CenturySchoolbook"/>
        </w:rPr>
        <w:t xml:space="preserve">We still have </w:t>
      </w:r>
      <w:r w:rsidR="00ED7DC1" w:rsidRPr="004228AD">
        <w:rPr>
          <w:rFonts w:eastAsia="Times New Roman" w:cs="Times New Roman"/>
          <w:color w:val="000000"/>
        </w:rPr>
        <w:t xml:space="preserve">the longstanding rule that a defendant is guilty of felony murder if, while intending to commit a qualifying felony, </w:t>
      </w:r>
      <w:r w:rsidR="000873E0">
        <w:rPr>
          <w:rFonts w:eastAsia="Times New Roman" w:cs="Times New Roman"/>
          <w:color w:val="000000"/>
        </w:rPr>
        <w:t xml:space="preserve">he </w:t>
      </w:r>
      <w:r w:rsidR="00ED7DC1" w:rsidRPr="004228AD">
        <w:rPr>
          <w:rFonts w:eastAsia="Times New Roman" w:cs="Times New Roman"/>
          <w:color w:val="000000"/>
        </w:rPr>
        <w:t xml:space="preserve">personally performs an act that causes death, regardless of whether the fatal act was intentional or accidental. </w:t>
      </w:r>
      <w:r w:rsidR="00581605" w:rsidRPr="004228AD">
        <w:rPr>
          <w:rFonts w:eastAsia="Times New Roman" w:cs="Times New Roman"/>
          <w:color w:val="000000"/>
        </w:rPr>
        <w:t xml:space="preserve"> </w:t>
      </w:r>
      <w:r w:rsidR="003F4C0D">
        <w:rPr>
          <w:rFonts w:eastAsia="Times New Roman" w:cs="Times New Roman"/>
          <w:color w:val="000000"/>
        </w:rPr>
        <w:t xml:space="preserve">That is because </w:t>
      </w:r>
      <w:r w:rsidR="00546F0B" w:rsidRPr="004228AD">
        <w:rPr>
          <w:rFonts w:eastAsia="Times New Roman" w:cs="Times New Roman"/>
          <w:color w:val="000000"/>
        </w:rPr>
        <w:t xml:space="preserve">the mens rea from the qualifying felony supplies the requisite mens rea for murder.  </w:t>
      </w:r>
      <w:r w:rsidR="000B6EBF">
        <w:rPr>
          <w:rFonts w:eastAsia="Times New Roman" w:cs="Times New Roman"/>
          <w:color w:val="000000"/>
        </w:rPr>
        <w:t>Senate Bill</w:t>
      </w:r>
      <w:r w:rsidR="00FF127A">
        <w:rPr>
          <w:rFonts w:eastAsia="Times New Roman" w:cs="Times New Roman"/>
          <w:color w:val="000000"/>
        </w:rPr>
        <w:t> </w:t>
      </w:r>
      <w:r w:rsidR="000B6EBF">
        <w:rPr>
          <w:rFonts w:eastAsia="Times New Roman" w:cs="Times New Roman"/>
          <w:color w:val="000000"/>
        </w:rPr>
        <w:t xml:space="preserve">1437 brought about </w:t>
      </w:r>
      <w:r w:rsidR="00310C9D">
        <w:rPr>
          <w:rFonts w:eastAsia="Times New Roman" w:cs="Times New Roman"/>
          <w:color w:val="000000"/>
        </w:rPr>
        <w:t xml:space="preserve">a number of </w:t>
      </w:r>
      <w:r w:rsidR="000B6EBF">
        <w:rPr>
          <w:rFonts w:eastAsia="Times New Roman" w:cs="Times New Roman"/>
          <w:color w:val="000000"/>
        </w:rPr>
        <w:t>changes in the substantive law</w:t>
      </w:r>
      <w:r w:rsidR="00310C9D">
        <w:rPr>
          <w:rFonts w:eastAsia="Times New Roman" w:cs="Times New Roman"/>
          <w:color w:val="000000"/>
        </w:rPr>
        <w:t xml:space="preserve"> of murder, but not on th</w:t>
      </w:r>
      <w:r w:rsidR="0002121B">
        <w:rPr>
          <w:rFonts w:eastAsia="Times New Roman" w:cs="Times New Roman"/>
          <w:color w:val="000000"/>
        </w:rPr>
        <w:t xml:space="preserve">is </w:t>
      </w:r>
      <w:r w:rsidR="00FD7DDD">
        <w:rPr>
          <w:rFonts w:eastAsia="Times New Roman" w:cs="Times New Roman"/>
          <w:color w:val="000000"/>
        </w:rPr>
        <w:t xml:space="preserve">basic </w:t>
      </w:r>
      <w:r w:rsidR="00310C9D">
        <w:rPr>
          <w:rFonts w:eastAsia="Times New Roman" w:cs="Times New Roman"/>
          <w:color w:val="000000"/>
        </w:rPr>
        <w:t xml:space="preserve">point.  </w:t>
      </w:r>
      <w:r w:rsidR="00ED7DC1" w:rsidRPr="004228AD">
        <w:rPr>
          <w:rFonts w:eastAsia="Times New Roman" w:cs="Times New Roman"/>
          <w:color w:val="000000"/>
        </w:rPr>
        <w:t>“</w:t>
      </w:r>
      <w:r w:rsidR="00ED7DC1" w:rsidRPr="004228AD">
        <w:rPr>
          <w:rFonts w:eastAsia="Times New Roman" w:cs="Times New Roman"/>
          <w:i/>
          <w:color w:val="3D3D3D"/>
          <w:bdr w:val="none" w:sz="0" w:space="0" w:color="auto" w:frame="1"/>
        </w:rPr>
        <w:t>Except for felony murder,</w:t>
      </w:r>
      <w:r w:rsidR="00ED7DC1" w:rsidRPr="004228AD">
        <w:rPr>
          <w:rFonts w:eastAsia="Times New Roman" w:cs="Times New Roman"/>
          <w:color w:val="000000"/>
        </w:rPr>
        <w:t xml:space="preserve"> section 188(a)(3) makes personally possessing malice aforethought a necessary element of murder.”</w:t>
      </w:r>
      <w:r w:rsidR="001B4C00" w:rsidRPr="004228AD">
        <w:rPr>
          <w:rFonts w:eastAsia="Times New Roman" w:cs="Times New Roman"/>
          <w:color w:val="000000"/>
        </w:rPr>
        <w:t xml:space="preserve">  </w:t>
      </w:r>
      <w:r w:rsidR="00ED7DC1" w:rsidRPr="004228AD">
        <w:rPr>
          <w:rFonts w:eastAsia="Times New Roman" w:cs="Times New Roman"/>
          <w:color w:val="000000"/>
        </w:rPr>
        <w:t>(</w:t>
      </w:r>
      <w:r w:rsidR="00ED7DC1" w:rsidRPr="004228AD">
        <w:rPr>
          <w:rFonts w:eastAsia="Times New Roman" w:cs="Times New Roman"/>
          <w:i/>
          <w:color w:val="3D3D3D"/>
          <w:bdr w:val="none" w:sz="0" w:space="0" w:color="auto" w:frame="1"/>
        </w:rPr>
        <w:t>People v. Gentile</w:t>
      </w:r>
      <w:r w:rsidR="00FB2D2E">
        <w:rPr>
          <w:rFonts w:eastAsia="Times New Roman" w:cs="Times New Roman"/>
          <w:i/>
          <w:color w:val="3D3D3D"/>
          <w:bdr w:val="none" w:sz="0" w:space="0" w:color="auto" w:frame="1"/>
        </w:rPr>
        <w:t xml:space="preserve"> </w:t>
      </w:r>
      <w:r w:rsidR="006F676A">
        <w:rPr>
          <w:rFonts w:eastAsia="Times New Roman" w:cs="Times New Roman"/>
          <w:color w:val="000000"/>
        </w:rPr>
        <w:t>(</w:t>
      </w:r>
      <w:r w:rsidR="00FB2D2E">
        <w:rPr>
          <w:rFonts w:eastAsia="Times New Roman" w:cs="Times New Roman"/>
          <w:color w:val="000000"/>
        </w:rPr>
        <w:t>2020)</w:t>
      </w:r>
      <w:r w:rsidR="00ED7DC1" w:rsidRPr="004228AD">
        <w:rPr>
          <w:rFonts w:eastAsia="Times New Roman" w:cs="Times New Roman"/>
          <w:color w:val="000000"/>
        </w:rPr>
        <w:t xml:space="preserve"> 10</w:t>
      </w:r>
      <w:r w:rsidR="000F5303">
        <w:rPr>
          <w:rFonts w:eastAsia="Times New Roman" w:cs="Times New Roman"/>
          <w:color w:val="000000"/>
        </w:rPr>
        <w:t> </w:t>
      </w:r>
      <w:r w:rsidR="00ED7DC1" w:rsidRPr="004228AD">
        <w:rPr>
          <w:rFonts w:eastAsia="Times New Roman" w:cs="Times New Roman"/>
          <w:color w:val="000000"/>
        </w:rPr>
        <w:t xml:space="preserve">Cal.5th </w:t>
      </w:r>
      <w:r w:rsidR="00FB2D2E">
        <w:rPr>
          <w:rFonts w:eastAsia="Times New Roman" w:cs="Times New Roman"/>
          <w:color w:val="000000"/>
        </w:rPr>
        <w:t xml:space="preserve">830, </w:t>
      </w:r>
      <w:r w:rsidR="00ED7DC1" w:rsidRPr="004228AD">
        <w:rPr>
          <w:rFonts w:eastAsia="Times New Roman" w:cs="Times New Roman"/>
          <w:color w:val="000000"/>
        </w:rPr>
        <w:t>846, italics added.)</w:t>
      </w:r>
      <w:r w:rsidR="009A2398" w:rsidRPr="004228AD">
        <w:rPr>
          <w:rFonts w:eastAsia="Times New Roman" w:cs="Times New Roman"/>
          <w:color w:val="000000"/>
        </w:rPr>
        <w:t xml:space="preserve">  </w:t>
      </w:r>
    </w:p>
    <w:p w14:paraId="69CD0765" w14:textId="7C7C0D0C" w:rsidR="00FD1575" w:rsidRDefault="00C42495" w:rsidP="004228AD">
      <w:pPr>
        <w:shd w:val="clear" w:color="auto" w:fill="FFFFFF"/>
        <w:rPr>
          <w:rFonts w:eastAsia="Times New Roman" w:cs="Times New Roman"/>
          <w:color w:val="000000"/>
        </w:rPr>
      </w:pPr>
      <w:r w:rsidRPr="004228AD">
        <w:rPr>
          <w:rFonts w:eastAsia="Times New Roman" w:cs="Times New Roman"/>
          <w:color w:val="000000"/>
        </w:rPr>
        <w:t xml:space="preserve"> In </w:t>
      </w:r>
      <w:r w:rsidRPr="003718D4">
        <w:rPr>
          <w:rFonts w:eastAsia="Times New Roman" w:cs="Times New Roman"/>
          <w:i/>
          <w:iCs/>
          <w:bdr w:val="none" w:sz="0" w:space="0" w:color="auto" w:frame="1"/>
        </w:rPr>
        <w:t>People v. Coefield</w:t>
      </w:r>
      <w:r w:rsidRPr="003718D4">
        <w:rPr>
          <w:rFonts w:eastAsia="Times New Roman" w:cs="Times New Roman"/>
        </w:rPr>
        <w:t xml:space="preserve"> (1951</w:t>
      </w:r>
      <w:r w:rsidRPr="004228AD">
        <w:rPr>
          <w:rFonts w:eastAsia="Times New Roman" w:cs="Times New Roman"/>
          <w:color w:val="000000"/>
        </w:rPr>
        <w:t>) 37</w:t>
      </w:r>
      <w:r w:rsidR="009C3C9C">
        <w:rPr>
          <w:rFonts w:eastAsia="Times New Roman" w:cs="Times New Roman"/>
          <w:color w:val="000000"/>
        </w:rPr>
        <w:t> </w:t>
      </w:r>
      <w:r w:rsidRPr="004228AD">
        <w:rPr>
          <w:rFonts w:eastAsia="Times New Roman" w:cs="Times New Roman"/>
          <w:color w:val="000000"/>
        </w:rPr>
        <w:t xml:space="preserve">Cal.2d 865, </w:t>
      </w:r>
      <w:r w:rsidR="00BC4C48" w:rsidRPr="004228AD">
        <w:rPr>
          <w:rFonts w:eastAsia="Times New Roman" w:cs="Times New Roman"/>
          <w:color w:val="000000"/>
        </w:rPr>
        <w:t xml:space="preserve">for example, </w:t>
      </w:r>
      <w:r w:rsidRPr="004228AD">
        <w:rPr>
          <w:rFonts w:eastAsia="Times New Roman" w:cs="Times New Roman"/>
          <w:color w:val="000000"/>
        </w:rPr>
        <w:t xml:space="preserve">a robber struck a store clerk in the head with his pistol to </w:t>
      </w:r>
      <w:r w:rsidR="0024723F">
        <w:rPr>
          <w:rFonts w:eastAsia="Times New Roman" w:cs="Times New Roman"/>
          <w:color w:val="000000"/>
        </w:rPr>
        <w:t>“ ‘</w:t>
      </w:r>
      <w:r w:rsidRPr="004228AD">
        <w:rPr>
          <w:rFonts w:eastAsia="Times New Roman" w:cs="Times New Roman"/>
          <w:color w:val="000000"/>
        </w:rPr>
        <w:t>knock</w:t>
      </w:r>
      <w:r w:rsidR="009C442F" w:rsidRPr="00233C20">
        <w:rPr>
          <w:rFonts w:eastAsia="Times New Roman" w:cs="Times New Roman"/>
          <w:color w:val="000000"/>
          <w:spacing w:val="20"/>
        </w:rPr>
        <w:t>[]</w:t>
      </w:r>
      <w:r w:rsidRPr="004228AD">
        <w:rPr>
          <w:rFonts w:eastAsia="Times New Roman" w:cs="Times New Roman"/>
          <w:color w:val="000000"/>
        </w:rPr>
        <w:t xml:space="preserve"> him out,</w:t>
      </w:r>
      <w:r w:rsidR="009C442F">
        <w:rPr>
          <w:rFonts w:eastAsia="Times New Roman" w:cs="Times New Roman"/>
          <w:color w:val="000000"/>
        </w:rPr>
        <w:t>’ ”</w:t>
      </w:r>
      <w:r w:rsidRPr="004228AD">
        <w:rPr>
          <w:rFonts w:eastAsia="Times New Roman" w:cs="Times New Roman"/>
          <w:color w:val="000000"/>
        </w:rPr>
        <w:t xml:space="preserve"> but the gun discharged, killing the man. </w:t>
      </w:r>
      <w:r w:rsidR="003F677F" w:rsidRPr="004228AD">
        <w:rPr>
          <w:rFonts w:eastAsia="Times New Roman" w:cs="Times New Roman"/>
          <w:color w:val="000000"/>
        </w:rPr>
        <w:t xml:space="preserve"> </w:t>
      </w:r>
      <w:r w:rsidRPr="004228AD">
        <w:rPr>
          <w:rFonts w:eastAsia="Times New Roman" w:cs="Times New Roman"/>
          <w:color w:val="000000"/>
        </w:rPr>
        <w:t>(</w:t>
      </w:r>
      <w:r w:rsidRPr="004228AD">
        <w:rPr>
          <w:rFonts w:eastAsia="Times New Roman" w:cs="Times New Roman"/>
          <w:i/>
          <w:iCs/>
          <w:color w:val="3D3D3D"/>
          <w:bdr w:val="none" w:sz="0" w:space="0" w:color="auto" w:frame="1"/>
        </w:rPr>
        <w:t>Id.</w:t>
      </w:r>
      <w:r w:rsidRPr="004228AD">
        <w:rPr>
          <w:rFonts w:eastAsia="Times New Roman" w:cs="Times New Roman"/>
          <w:color w:val="000000"/>
        </w:rPr>
        <w:t xml:space="preserve"> at pp.</w:t>
      </w:r>
      <w:r w:rsidR="00233C20">
        <w:rPr>
          <w:rFonts w:eastAsia="Times New Roman" w:cs="Times New Roman"/>
          <w:color w:val="000000"/>
        </w:rPr>
        <w:t> </w:t>
      </w:r>
      <w:r w:rsidRPr="004228AD">
        <w:rPr>
          <w:rFonts w:eastAsia="Times New Roman" w:cs="Times New Roman"/>
          <w:color w:val="000000"/>
        </w:rPr>
        <w:t xml:space="preserve">867–868.) </w:t>
      </w:r>
      <w:r w:rsidR="003F677F" w:rsidRPr="004228AD">
        <w:rPr>
          <w:rFonts w:eastAsia="Times New Roman" w:cs="Times New Roman"/>
          <w:color w:val="000000"/>
        </w:rPr>
        <w:t xml:space="preserve"> </w:t>
      </w:r>
      <w:r w:rsidRPr="004228AD">
        <w:rPr>
          <w:rFonts w:eastAsia="Times New Roman" w:cs="Times New Roman"/>
          <w:color w:val="000000"/>
        </w:rPr>
        <w:t xml:space="preserve">The Supreme Court held that section 189 applies to any killing during the commission of a robbery “regardless of whether it was intentional or accidental.” </w:t>
      </w:r>
      <w:r w:rsidR="000E3961">
        <w:rPr>
          <w:rFonts w:eastAsia="Times New Roman" w:cs="Times New Roman"/>
          <w:color w:val="000000"/>
        </w:rPr>
        <w:t xml:space="preserve"> </w:t>
      </w:r>
      <w:r w:rsidRPr="004228AD">
        <w:rPr>
          <w:rFonts w:eastAsia="Times New Roman" w:cs="Times New Roman"/>
          <w:color w:val="000000"/>
        </w:rPr>
        <w:t>(</w:t>
      </w:r>
      <w:r w:rsidR="00540EC2">
        <w:rPr>
          <w:rFonts w:eastAsia="Times New Roman" w:cs="Times New Roman"/>
          <w:i/>
          <w:iCs/>
          <w:color w:val="3D3D3D"/>
          <w:bdr w:val="none" w:sz="0" w:space="0" w:color="auto" w:frame="1"/>
        </w:rPr>
        <w:t>Coefield</w:t>
      </w:r>
      <w:r w:rsidR="00540EC2">
        <w:rPr>
          <w:rFonts w:eastAsia="Times New Roman" w:cs="Times New Roman"/>
          <w:color w:val="3D3D3D"/>
          <w:bdr w:val="none" w:sz="0" w:space="0" w:color="auto" w:frame="1"/>
        </w:rPr>
        <w:t>,</w:t>
      </w:r>
      <w:r w:rsidRPr="004228AD">
        <w:rPr>
          <w:rFonts w:eastAsia="Times New Roman" w:cs="Times New Roman"/>
          <w:color w:val="000000"/>
        </w:rPr>
        <w:t xml:space="preserve"> at p.</w:t>
      </w:r>
      <w:r w:rsidR="004922EF">
        <w:rPr>
          <w:rFonts w:eastAsia="Times New Roman" w:cs="Times New Roman"/>
          <w:color w:val="000000"/>
        </w:rPr>
        <w:t> </w:t>
      </w:r>
      <w:r w:rsidRPr="004228AD">
        <w:rPr>
          <w:rFonts w:eastAsia="Times New Roman" w:cs="Times New Roman"/>
          <w:color w:val="000000"/>
        </w:rPr>
        <w:t>868</w:t>
      </w:r>
      <w:r w:rsidR="00BC4C48" w:rsidRPr="004228AD">
        <w:rPr>
          <w:rFonts w:eastAsia="Times New Roman" w:cs="Times New Roman"/>
          <w:color w:val="000000"/>
        </w:rPr>
        <w:t>.)  Other examples abound.  (See</w:t>
      </w:r>
      <w:r w:rsidR="00443CAE">
        <w:rPr>
          <w:rFonts w:eastAsia="Times New Roman" w:cs="Times New Roman"/>
          <w:color w:val="000000"/>
        </w:rPr>
        <w:t>,</w:t>
      </w:r>
      <w:r w:rsidR="00CC266A" w:rsidRPr="004228AD">
        <w:rPr>
          <w:rFonts w:eastAsia="Times New Roman" w:cs="Times New Roman"/>
          <w:color w:val="000000"/>
        </w:rPr>
        <w:t xml:space="preserve"> e.g</w:t>
      </w:r>
      <w:r w:rsidR="00CC266A" w:rsidRPr="003718D4">
        <w:rPr>
          <w:rFonts w:eastAsia="Times New Roman" w:cs="Times New Roman"/>
        </w:rPr>
        <w:t>.</w:t>
      </w:r>
      <w:r w:rsidR="00443CAE">
        <w:rPr>
          <w:rFonts w:eastAsia="Times New Roman" w:cs="Times New Roman"/>
        </w:rPr>
        <w:t>,</w:t>
      </w:r>
      <w:r w:rsidR="00BC4C48" w:rsidRPr="003718D4">
        <w:rPr>
          <w:rFonts w:eastAsia="Times New Roman" w:cs="Times New Roman"/>
        </w:rPr>
        <w:t xml:space="preserve"> </w:t>
      </w:r>
      <w:r w:rsidRPr="003718D4">
        <w:rPr>
          <w:rFonts w:eastAsia="Times New Roman" w:cs="Times New Roman"/>
          <w:i/>
          <w:iCs/>
          <w:bdr w:val="none" w:sz="0" w:space="0" w:color="auto" w:frame="1"/>
        </w:rPr>
        <w:t>People v. Billa</w:t>
      </w:r>
      <w:r w:rsidRPr="003718D4">
        <w:rPr>
          <w:rFonts w:eastAsia="Times New Roman" w:cs="Times New Roman"/>
        </w:rPr>
        <w:t xml:space="preserve"> </w:t>
      </w:r>
      <w:r w:rsidRPr="004228AD">
        <w:rPr>
          <w:rFonts w:eastAsia="Times New Roman" w:cs="Times New Roman"/>
          <w:color w:val="000000"/>
        </w:rPr>
        <w:t>(2003) 31</w:t>
      </w:r>
      <w:r w:rsidR="00233C20">
        <w:rPr>
          <w:rFonts w:eastAsia="Times New Roman" w:cs="Times New Roman"/>
          <w:color w:val="000000"/>
        </w:rPr>
        <w:t> </w:t>
      </w:r>
      <w:r w:rsidRPr="004228AD">
        <w:rPr>
          <w:rFonts w:eastAsia="Times New Roman" w:cs="Times New Roman"/>
          <w:color w:val="000000"/>
        </w:rPr>
        <w:t>Cal.4th 1064, 1068 [“felony-murder rule covers ‘a variety of unintended homicides resulting from reckless behavior, or ordinary negligence, or pure accident’</w:t>
      </w:r>
      <w:r w:rsidR="00233C20">
        <w:rPr>
          <w:rFonts w:eastAsia="Times New Roman" w:cs="Times New Roman"/>
          <w:color w:val="000000"/>
        </w:rPr>
        <w:t> </w:t>
      </w:r>
      <w:r w:rsidRPr="004228AD">
        <w:rPr>
          <w:rFonts w:eastAsia="Times New Roman" w:cs="Times New Roman"/>
          <w:color w:val="000000"/>
        </w:rPr>
        <w:t xml:space="preserve">”]; see also </w:t>
      </w:r>
      <w:r w:rsidRPr="003718D4">
        <w:rPr>
          <w:rFonts w:eastAsia="Times New Roman" w:cs="Times New Roman"/>
          <w:i/>
          <w:iCs/>
          <w:bdr w:val="none" w:sz="0" w:space="0" w:color="auto" w:frame="1"/>
        </w:rPr>
        <w:t>People v. Washington</w:t>
      </w:r>
      <w:r w:rsidRPr="003718D4">
        <w:rPr>
          <w:rFonts w:eastAsia="Times New Roman" w:cs="Times New Roman"/>
        </w:rPr>
        <w:t xml:space="preserve"> (1965) 62</w:t>
      </w:r>
      <w:r w:rsidR="00ED31F9">
        <w:rPr>
          <w:rFonts w:eastAsia="Times New Roman" w:cs="Times New Roman"/>
        </w:rPr>
        <w:t> </w:t>
      </w:r>
      <w:r w:rsidRPr="003718D4">
        <w:rPr>
          <w:rFonts w:eastAsia="Times New Roman" w:cs="Times New Roman"/>
        </w:rPr>
        <w:t xml:space="preserve">Cal.2d 777, 781 [“inadvertent or accidental killings are first degree murders when committed by felons in the perpetration of robbery”]; </w:t>
      </w:r>
      <w:r w:rsidR="00BD44A3">
        <w:rPr>
          <w:rFonts w:eastAsia="Times New Roman" w:cs="Times New Roman"/>
          <w:i/>
          <w:iCs/>
        </w:rPr>
        <w:t xml:space="preserve">People v. </w:t>
      </w:r>
      <w:r w:rsidRPr="003718D4">
        <w:rPr>
          <w:rFonts w:eastAsia="Times New Roman" w:cs="Times New Roman"/>
          <w:i/>
          <w:iCs/>
          <w:bdr w:val="none" w:sz="0" w:space="0" w:color="auto" w:frame="1"/>
        </w:rPr>
        <w:t>Garcia</w:t>
      </w:r>
      <w:r w:rsidR="00BD44A3">
        <w:rPr>
          <w:rFonts w:eastAsia="Times New Roman" w:cs="Times New Roman"/>
          <w:i/>
          <w:iCs/>
          <w:bdr w:val="none" w:sz="0" w:space="0" w:color="auto" w:frame="1"/>
        </w:rPr>
        <w:t xml:space="preserve"> </w:t>
      </w:r>
      <w:r w:rsidR="00BD44A3">
        <w:rPr>
          <w:rFonts w:eastAsia="Times New Roman" w:cs="Times New Roman"/>
          <w:bdr w:val="none" w:sz="0" w:space="0" w:color="auto" w:frame="1"/>
        </w:rPr>
        <w:t>(2020)</w:t>
      </w:r>
      <w:r w:rsidRPr="003718D4">
        <w:rPr>
          <w:rFonts w:eastAsia="Times New Roman" w:cs="Times New Roman"/>
        </w:rPr>
        <w:t xml:space="preserve"> 46</w:t>
      </w:r>
      <w:r w:rsidR="00ED31F9">
        <w:rPr>
          <w:rFonts w:eastAsia="Times New Roman" w:cs="Times New Roman"/>
        </w:rPr>
        <w:t> </w:t>
      </w:r>
      <w:r w:rsidRPr="003718D4">
        <w:rPr>
          <w:rFonts w:eastAsia="Times New Roman" w:cs="Times New Roman"/>
        </w:rPr>
        <w:t xml:space="preserve">Cal.App.5th </w:t>
      </w:r>
      <w:r w:rsidR="008965CE">
        <w:rPr>
          <w:rFonts w:eastAsia="Times New Roman" w:cs="Times New Roman"/>
        </w:rPr>
        <w:t>123,</w:t>
      </w:r>
      <w:r w:rsidRPr="003718D4">
        <w:rPr>
          <w:rFonts w:eastAsia="Times New Roman" w:cs="Times New Roman"/>
        </w:rPr>
        <w:t xml:space="preserve"> 152.)</w:t>
      </w:r>
      <w:r w:rsidR="00A41C66" w:rsidRPr="003718D4">
        <w:rPr>
          <w:rFonts w:eastAsia="Times New Roman" w:cs="Times New Roman"/>
        </w:rPr>
        <w:t xml:space="preserve"> </w:t>
      </w:r>
      <w:r w:rsidR="00BB796B" w:rsidRPr="003718D4">
        <w:rPr>
          <w:rFonts w:eastAsia="Times New Roman" w:cs="Times New Roman"/>
        </w:rPr>
        <w:t xml:space="preserve"> </w:t>
      </w:r>
      <w:r w:rsidR="004210FD">
        <w:rPr>
          <w:rFonts w:eastAsia="Times New Roman" w:cs="Times New Roman"/>
        </w:rPr>
        <w:t>T</w:t>
      </w:r>
      <w:r w:rsidR="002D4369" w:rsidRPr="004228AD">
        <w:rPr>
          <w:rFonts w:eastAsia="Times New Roman" w:cs="Times New Roman"/>
          <w:color w:val="000000"/>
        </w:rPr>
        <w:t xml:space="preserve">hese </w:t>
      </w:r>
      <w:r w:rsidR="00C032B0">
        <w:rPr>
          <w:rFonts w:eastAsia="Times New Roman" w:cs="Times New Roman"/>
          <w:color w:val="000000"/>
        </w:rPr>
        <w:t>felony</w:t>
      </w:r>
      <w:r w:rsidR="00E93C46">
        <w:rPr>
          <w:rFonts w:eastAsia="Times New Roman" w:cs="Times New Roman"/>
          <w:color w:val="000000"/>
        </w:rPr>
        <w:t>-</w:t>
      </w:r>
      <w:r w:rsidR="00C032B0">
        <w:rPr>
          <w:rFonts w:eastAsia="Times New Roman" w:cs="Times New Roman"/>
          <w:color w:val="000000"/>
        </w:rPr>
        <w:t xml:space="preserve">murder </w:t>
      </w:r>
      <w:r w:rsidR="002D4369" w:rsidRPr="004228AD">
        <w:rPr>
          <w:rFonts w:eastAsia="Times New Roman" w:cs="Times New Roman"/>
          <w:color w:val="000000"/>
        </w:rPr>
        <w:t>cases are still good law</w:t>
      </w:r>
      <w:r w:rsidR="00F8607F">
        <w:rPr>
          <w:rFonts w:eastAsia="Times New Roman" w:cs="Times New Roman"/>
          <w:color w:val="000000"/>
        </w:rPr>
        <w:t xml:space="preserve">.  </w:t>
      </w:r>
      <w:r w:rsidR="000E3FB9">
        <w:rPr>
          <w:rFonts w:eastAsia="Times New Roman" w:cs="Times New Roman"/>
          <w:color w:val="000000"/>
        </w:rPr>
        <w:t>Beaudreaux has pointed to nothing in the felony</w:t>
      </w:r>
      <w:r w:rsidR="009B2976">
        <w:rPr>
          <w:rFonts w:eastAsia="Times New Roman" w:cs="Times New Roman"/>
          <w:color w:val="000000"/>
        </w:rPr>
        <w:t>-</w:t>
      </w:r>
      <w:r w:rsidR="000E3FB9">
        <w:rPr>
          <w:rFonts w:eastAsia="Times New Roman" w:cs="Times New Roman"/>
          <w:color w:val="000000"/>
        </w:rPr>
        <w:t>murder instruction</w:t>
      </w:r>
      <w:r w:rsidR="007542F9">
        <w:rPr>
          <w:rFonts w:eastAsia="Times New Roman" w:cs="Times New Roman"/>
          <w:color w:val="000000"/>
        </w:rPr>
        <w:t xml:space="preserve"> </w:t>
      </w:r>
      <w:r w:rsidR="00B05D51">
        <w:rPr>
          <w:rFonts w:eastAsia="Times New Roman" w:cs="Times New Roman"/>
          <w:color w:val="000000"/>
        </w:rPr>
        <w:t xml:space="preserve">given in his case </w:t>
      </w:r>
      <w:r w:rsidR="007542F9">
        <w:rPr>
          <w:rFonts w:eastAsia="Times New Roman" w:cs="Times New Roman"/>
          <w:color w:val="000000"/>
        </w:rPr>
        <w:t>that was superseded or invalid</w:t>
      </w:r>
      <w:r w:rsidR="008965CE">
        <w:rPr>
          <w:rFonts w:eastAsia="Times New Roman" w:cs="Times New Roman"/>
          <w:color w:val="000000"/>
        </w:rPr>
        <w:t>at</w:t>
      </w:r>
      <w:r w:rsidR="007542F9">
        <w:rPr>
          <w:rFonts w:eastAsia="Times New Roman" w:cs="Times New Roman"/>
          <w:color w:val="000000"/>
        </w:rPr>
        <w:t>ed by Senate Bill 1437.</w:t>
      </w:r>
      <w:r w:rsidR="000E3FB9">
        <w:rPr>
          <w:rFonts w:eastAsia="Times New Roman" w:cs="Times New Roman"/>
          <w:color w:val="000000"/>
        </w:rPr>
        <w:t xml:space="preserve"> </w:t>
      </w:r>
      <w:r w:rsidR="00781949">
        <w:rPr>
          <w:rFonts w:eastAsia="Times New Roman" w:cs="Times New Roman"/>
          <w:color w:val="000000"/>
        </w:rPr>
        <w:t xml:space="preserve"> </w:t>
      </w:r>
      <w:r w:rsidR="002D4369" w:rsidRPr="004228AD">
        <w:rPr>
          <w:rFonts w:eastAsia="Times New Roman" w:cs="Times New Roman"/>
          <w:color w:val="000000"/>
        </w:rPr>
        <w:t xml:space="preserve"> </w:t>
      </w:r>
    </w:p>
    <w:p w14:paraId="2B1A2621" w14:textId="1E683CF3" w:rsidR="00B16614" w:rsidRPr="004228AD" w:rsidRDefault="00C42495" w:rsidP="00ED31F9">
      <w:pPr>
        <w:pStyle w:val="Heading3"/>
      </w:pPr>
      <w:r>
        <w:t xml:space="preserve">The </w:t>
      </w:r>
      <w:r w:rsidR="00966079">
        <w:t>“</w:t>
      </w:r>
      <w:r>
        <w:t>Actual Killer</w:t>
      </w:r>
      <w:r w:rsidR="00966079">
        <w:t>”</w:t>
      </w:r>
      <w:r>
        <w:t xml:space="preserve"> Element of Section</w:t>
      </w:r>
      <w:r w:rsidR="00FF3519">
        <w:t xml:space="preserve"> 189, Subdivision (</w:t>
      </w:r>
      <w:r w:rsidR="00997EFC">
        <w:t>e</w:t>
      </w:r>
      <w:r w:rsidR="00FF3519">
        <w:t>)</w:t>
      </w:r>
      <w:r w:rsidR="002D4369" w:rsidRPr="004228AD">
        <w:t xml:space="preserve"> </w:t>
      </w:r>
      <w:r w:rsidR="00B109CC" w:rsidRPr="004228AD">
        <w:t xml:space="preserve"> </w:t>
      </w:r>
    </w:p>
    <w:p w14:paraId="3BF0D477" w14:textId="20E37087" w:rsidR="008253A3" w:rsidRDefault="00C42495" w:rsidP="004228AD">
      <w:pPr>
        <w:shd w:val="clear" w:color="auto" w:fill="FFFFFF"/>
        <w:rPr>
          <w:rFonts w:eastAsia="Times New Roman" w:cs="Times New Roman"/>
          <w:color w:val="000000"/>
        </w:rPr>
      </w:pPr>
      <w:r w:rsidRPr="004228AD">
        <w:rPr>
          <w:rFonts w:eastAsia="Times New Roman" w:cs="Times New Roman"/>
          <w:color w:val="000000"/>
        </w:rPr>
        <w:t xml:space="preserve">Even </w:t>
      </w:r>
      <w:r w:rsidR="004E0157" w:rsidRPr="004228AD">
        <w:rPr>
          <w:rFonts w:eastAsia="Times New Roman" w:cs="Times New Roman"/>
          <w:color w:val="000000"/>
        </w:rPr>
        <w:t xml:space="preserve">where the </w:t>
      </w:r>
      <w:r w:rsidR="008E6A12" w:rsidRPr="004228AD">
        <w:rPr>
          <w:rFonts w:eastAsia="Times New Roman" w:cs="Times New Roman"/>
          <w:color w:val="000000"/>
        </w:rPr>
        <w:t xml:space="preserve">threshold requirements for issue preclusion </w:t>
      </w:r>
      <w:r w:rsidR="00780FCA" w:rsidRPr="004228AD">
        <w:rPr>
          <w:rFonts w:eastAsia="Times New Roman" w:cs="Times New Roman"/>
          <w:color w:val="000000"/>
        </w:rPr>
        <w:t xml:space="preserve">are met (as they are here), and </w:t>
      </w:r>
      <w:r w:rsidR="00643F82" w:rsidRPr="004228AD">
        <w:rPr>
          <w:rFonts w:eastAsia="Times New Roman" w:cs="Times New Roman"/>
          <w:color w:val="000000"/>
        </w:rPr>
        <w:t xml:space="preserve">even </w:t>
      </w:r>
      <w:r w:rsidR="004776D2" w:rsidRPr="004228AD">
        <w:rPr>
          <w:rFonts w:eastAsia="Times New Roman" w:cs="Times New Roman"/>
          <w:color w:val="000000"/>
        </w:rPr>
        <w:t xml:space="preserve">where we conclude the equitable exception to issue </w:t>
      </w:r>
      <w:r w:rsidR="004776D2" w:rsidRPr="004228AD">
        <w:rPr>
          <w:rFonts w:eastAsia="Times New Roman" w:cs="Times New Roman"/>
          <w:color w:val="000000"/>
        </w:rPr>
        <w:lastRenderedPageBreak/>
        <w:t>preclusion does not apply (</w:t>
      </w:r>
      <w:r w:rsidR="00643F82" w:rsidRPr="004228AD">
        <w:rPr>
          <w:rFonts w:eastAsia="Times New Roman" w:cs="Times New Roman"/>
          <w:color w:val="000000"/>
        </w:rPr>
        <w:t>which is what w</w:t>
      </w:r>
      <w:r w:rsidR="004776D2" w:rsidRPr="004228AD">
        <w:rPr>
          <w:rFonts w:eastAsia="Times New Roman" w:cs="Times New Roman"/>
          <w:color w:val="000000"/>
        </w:rPr>
        <w:t>e have conclude</w:t>
      </w:r>
      <w:r w:rsidR="00DA1AF8" w:rsidRPr="004228AD">
        <w:rPr>
          <w:rFonts w:eastAsia="Times New Roman" w:cs="Times New Roman"/>
          <w:color w:val="000000"/>
        </w:rPr>
        <w:t>d</w:t>
      </w:r>
      <w:r w:rsidR="007611FC" w:rsidRPr="004228AD">
        <w:rPr>
          <w:rFonts w:eastAsia="Times New Roman" w:cs="Times New Roman"/>
          <w:color w:val="000000"/>
        </w:rPr>
        <w:t>)</w:t>
      </w:r>
      <w:r w:rsidR="007456AE" w:rsidRPr="004228AD">
        <w:rPr>
          <w:rFonts w:eastAsia="Times New Roman" w:cs="Times New Roman"/>
          <w:color w:val="000000"/>
        </w:rPr>
        <w:t xml:space="preserve">, </w:t>
      </w:r>
      <w:r w:rsidR="00CA2D90">
        <w:rPr>
          <w:rFonts w:eastAsia="Times New Roman" w:cs="Times New Roman"/>
          <w:color w:val="000000"/>
        </w:rPr>
        <w:t>that does not e</w:t>
      </w:r>
      <w:r w:rsidR="001048F6">
        <w:rPr>
          <w:rFonts w:eastAsia="Times New Roman" w:cs="Times New Roman"/>
          <w:color w:val="000000"/>
        </w:rPr>
        <w:t xml:space="preserve">nd our </w:t>
      </w:r>
      <w:r w:rsidR="001537FE" w:rsidRPr="004228AD">
        <w:rPr>
          <w:rFonts w:eastAsia="Times New Roman" w:cs="Times New Roman"/>
          <w:color w:val="000000"/>
        </w:rPr>
        <w:t>inquiry</w:t>
      </w:r>
      <w:r w:rsidR="00EC4A55">
        <w:rPr>
          <w:rFonts w:eastAsia="Times New Roman" w:cs="Times New Roman"/>
          <w:color w:val="000000"/>
        </w:rPr>
        <w:t xml:space="preserve"> </w:t>
      </w:r>
      <w:r w:rsidR="00BA1847">
        <w:rPr>
          <w:rFonts w:eastAsia="Times New Roman" w:cs="Times New Roman"/>
          <w:color w:val="000000"/>
        </w:rPr>
        <w:t>into the sufficiency of Beaudreaux’s resente</w:t>
      </w:r>
      <w:r w:rsidR="00387645">
        <w:rPr>
          <w:rFonts w:eastAsia="Times New Roman" w:cs="Times New Roman"/>
          <w:color w:val="000000"/>
        </w:rPr>
        <w:t xml:space="preserve">ncing petition for purpose of </w:t>
      </w:r>
      <w:r w:rsidR="00EC4A55">
        <w:rPr>
          <w:rFonts w:eastAsia="Times New Roman" w:cs="Times New Roman"/>
          <w:color w:val="000000"/>
        </w:rPr>
        <w:t>section 1172.6</w:t>
      </w:r>
      <w:r w:rsidR="00BA1847">
        <w:rPr>
          <w:rFonts w:eastAsia="Times New Roman" w:cs="Times New Roman"/>
          <w:color w:val="000000"/>
        </w:rPr>
        <w:t>, subdivision (c)</w:t>
      </w:r>
      <w:r w:rsidR="00CA2D90">
        <w:rPr>
          <w:rFonts w:eastAsia="Times New Roman" w:cs="Times New Roman"/>
          <w:color w:val="000000"/>
        </w:rPr>
        <w:t xml:space="preserve">.  </w:t>
      </w:r>
      <w:r w:rsidR="00802B96">
        <w:rPr>
          <w:rFonts w:eastAsia="Times New Roman" w:cs="Times New Roman"/>
          <w:color w:val="000000"/>
        </w:rPr>
        <w:t>(</w:t>
      </w:r>
      <w:r w:rsidR="00802B96" w:rsidRPr="00CA2AB7">
        <w:rPr>
          <w:rFonts w:eastAsia="Times New Roman" w:cs="Times New Roman"/>
          <w:i/>
          <w:iCs/>
          <w:color w:val="000000"/>
        </w:rPr>
        <w:t>Curiel</w:t>
      </w:r>
      <w:r w:rsidR="00802B96">
        <w:rPr>
          <w:rFonts w:eastAsia="Times New Roman" w:cs="Times New Roman"/>
          <w:color w:val="000000"/>
        </w:rPr>
        <w:t xml:space="preserve">, </w:t>
      </w:r>
      <w:r w:rsidR="00802B96" w:rsidRPr="00E6669C">
        <w:rPr>
          <w:rFonts w:eastAsia="Times New Roman" w:cs="Times New Roman"/>
          <w:i/>
          <w:iCs/>
          <w:color w:val="000000"/>
        </w:rPr>
        <w:t>supra</w:t>
      </w:r>
      <w:r w:rsidR="00802B96">
        <w:rPr>
          <w:rFonts w:eastAsia="Times New Roman" w:cs="Times New Roman"/>
          <w:color w:val="000000"/>
        </w:rPr>
        <w:t>,</w:t>
      </w:r>
      <w:r w:rsidR="00802B96" w:rsidRPr="004228AD">
        <w:rPr>
          <w:rFonts w:eastAsia="Times New Roman" w:cs="Times New Roman"/>
          <w:color w:val="000000"/>
        </w:rPr>
        <w:t xml:space="preserve"> </w:t>
      </w:r>
      <w:r w:rsidR="00802B96">
        <w:t>15</w:t>
      </w:r>
      <w:r w:rsidR="00704D96">
        <w:t> </w:t>
      </w:r>
      <w:r w:rsidR="00802B96">
        <w:t>Cal.5th at p.</w:t>
      </w:r>
      <w:r w:rsidR="0017092D">
        <w:t> </w:t>
      </w:r>
      <w:r w:rsidR="00802B96">
        <w:t>463.)</w:t>
      </w:r>
      <w:r w:rsidR="00F711E7">
        <w:t xml:space="preserve">  </w:t>
      </w:r>
      <w:r w:rsidR="00CA2D90">
        <w:t>There is one more step</w:t>
      </w:r>
      <w:r w:rsidR="00013715">
        <w:t xml:space="preserve"> to the analysis</w:t>
      </w:r>
      <w:r w:rsidR="00CA2D90">
        <w:t>.</w:t>
      </w:r>
      <w:r w:rsidR="00802B96" w:rsidRPr="004228AD">
        <w:rPr>
          <w:rFonts w:eastAsia="Times New Roman" w:cs="Times New Roman"/>
          <w:color w:val="000000"/>
        </w:rPr>
        <w:t xml:space="preserve"> </w:t>
      </w:r>
      <w:r w:rsidR="001537FE" w:rsidRPr="004228AD">
        <w:rPr>
          <w:rFonts w:eastAsia="Times New Roman" w:cs="Times New Roman"/>
          <w:color w:val="000000"/>
        </w:rPr>
        <w:t xml:space="preserve"> </w:t>
      </w:r>
      <w:r w:rsidR="00643B2A">
        <w:rPr>
          <w:rFonts w:eastAsia="Times New Roman" w:cs="Times New Roman"/>
          <w:color w:val="000000"/>
        </w:rPr>
        <w:t>Having “already</w:t>
      </w:r>
      <w:r w:rsidR="00D667D9">
        <w:rPr>
          <w:rFonts w:eastAsia="Times New Roman" w:cs="Times New Roman"/>
          <w:color w:val="000000"/>
        </w:rPr>
        <w:t xml:space="preserve"> determined that the jury’s factual findings</w:t>
      </w:r>
      <w:r w:rsidR="005F5FBF">
        <w:rPr>
          <w:rFonts w:eastAsia="Times New Roman" w:cs="Times New Roman"/>
          <w:color w:val="000000"/>
        </w:rPr>
        <w:t xml:space="preserve"> should be given preclusive effect</w:t>
      </w:r>
      <w:r w:rsidR="00942D62">
        <w:rPr>
          <w:rFonts w:eastAsia="Times New Roman" w:cs="Times New Roman"/>
          <w:color w:val="000000"/>
        </w:rPr>
        <w:t>”</w:t>
      </w:r>
      <w:r w:rsidR="007D3793">
        <w:rPr>
          <w:rFonts w:eastAsia="Times New Roman" w:cs="Times New Roman"/>
          <w:color w:val="000000"/>
        </w:rPr>
        <w:t xml:space="preserve"> (</w:t>
      </w:r>
      <w:r w:rsidR="007D3793" w:rsidRPr="00347FC0">
        <w:rPr>
          <w:rFonts w:eastAsia="Times New Roman" w:cs="Times New Roman"/>
          <w:i/>
          <w:iCs/>
          <w:color w:val="000000"/>
        </w:rPr>
        <w:t>id</w:t>
      </w:r>
      <w:r w:rsidR="00347FC0" w:rsidRPr="00347FC0">
        <w:rPr>
          <w:rFonts w:eastAsia="Times New Roman" w:cs="Times New Roman"/>
          <w:i/>
          <w:iCs/>
          <w:color w:val="000000"/>
        </w:rPr>
        <w:t>.</w:t>
      </w:r>
      <w:r w:rsidR="00543754">
        <w:rPr>
          <w:rFonts w:eastAsia="Times New Roman" w:cs="Times New Roman"/>
          <w:i/>
          <w:iCs/>
          <w:color w:val="000000"/>
        </w:rPr>
        <w:t xml:space="preserve"> </w:t>
      </w:r>
      <w:r w:rsidR="00543754">
        <w:rPr>
          <w:rFonts w:eastAsia="Times New Roman" w:cs="Times New Roman"/>
          <w:color w:val="000000"/>
        </w:rPr>
        <w:t>at p.</w:t>
      </w:r>
      <w:r w:rsidR="0017092D">
        <w:rPr>
          <w:rFonts w:eastAsia="Times New Roman" w:cs="Times New Roman"/>
          <w:color w:val="000000"/>
        </w:rPr>
        <w:t> </w:t>
      </w:r>
      <w:r w:rsidR="00543754">
        <w:rPr>
          <w:rFonts w:eastAsia="Times New Roman" w:cs="Times New Roman"/>
          <w:color w:val="000000"/>
        </w:rPr>
        <w:t>470</w:t>
      </w:r>
      <w:r w:rsidR="00347FC0">
        <w:rPr>
          <w:rFonts w:eastAsia="Times New Roman" w:cs="Times New Roman"/>
          <w:color w:val="000000"/>
        </w:rPr>
        <w:t>),</w:t>
      </w:r>
      <w:r w:rsidR="00942D62">
        <w:rPr>
          <w:rFonts w:eastAsia="Times New Roman" w:cs="Times New Roman"/>
          <w:color w:val="000000"/>
        </w:rPr>
        <w:t xml:space="preserve"> </w:t>
      </w:r>
      <w:r w:rsidR="00615523">
        <w:rPr>
          <w:rFonts w:eastAsia="Times New Roman" w:cs="Times New Roman"/>
          <w:color w:val="000000"/>
        </w:rPr>
        <w:t>we must still “identify</w:t>
      </w:r>
      <w:r w:rsidR="00A44FD6">
        <w:rPr>
          <w:rFonts w:eastAsia="Times New Roman" w:cs="Times New Roman"/>
          <w:color w:val="000000"/>
        </w:rPr>
        <w:t xml:space="preserve"> what those factual findings are</w:t>
      </w:r>
      <w:r w:rsidR="002F550B">
        <w:rPr>
          <w:rFonts w:eastAsia="Times New Roman" w:cs="Times New Roman"/>
          <w:color w:val="000000"/>
        </w:rPr>
        <w:t xml:space="preserve"> and how they relate to the elements of murder</w:t>
      </w:r>
      <w:r w:rsidR="0056377E">
        <w:rPr>
          <w:rFonts w:eastAsia="Times New Roman" w:cs="Times New Roman"/>
          <w:color w:val="000000"/>
        </w:rPr>
        <w:t xml:space="preserve"> under a valid theory” today</w:t>
      </w:r>
      <w:r w:rsidR="00470209">
        <w:rPr>
          <w:rFonts w:eastAsia="Times New Roman" w:cs="Times New Roman"/>
          <w:color w:val="000000"/>
        </w:rPr>
        <w:t xml:space="preserve"> (</w:t>
      </w:r>
      <w:r w:rsidR="00470209" w:rsidRPr="00470209">
        <w:rPr>
          <w:rFonts w:eastAsia="Times New Roman" w:cs="Times New Roman"/>
          <w:i/>
          <w:iCs/>
          <w:color w:val="000000"/>
        </w:rPr>
        <w:t>i</w:t>
      </w:r>
      <w:r w:rsidR="005C3740">
        <w:rPr>
          <w:rFonts w:eastAsia="Times New Roman" w:cs="Times New Roman"/>
          <w:i/>
          <w:iCs/>
          <w:color w:val="000000"/>
        </w:rPr>
        <w:t>bi</w:t>
      </w:r>
      <w:r w:rsidR="00470209" w:rsidRPr="00470209">
        <w:rPr>
          <w:rFonts w:eastAsia="Times New Roman" w:cs="Times New Roman"/>
          <w:i/>
          <w:iCs/>
          <w:color w:val="000000"/>
        </w:rPr>
        <w:t>d</w:t>
      </w:r>
      <w:r w:rsidR="00470209">
        <w:rPr>
          <w:rFonts w:eastAsia="Times New Roman" w:cs="Times New Roman"/>
          <w:color w:val="000000"/>
        </w:rPr>
        <w:t>.).</w:t>
      </w:r>
    </w:p>
    <w:p w14:paraId="5C74C191" w14:textId="31D14F14" w:rsidR="00EB4628" w:rsidRDefault="00C42495" w:rsidP="00EB4628">
      <w:pPr>
        <w:shd w:val="clear" w:color="auto" w:fill="FFFFFF"/>
        <w:rPr>
          <w:rFonts w:eastAsia="Times New Roman" w:cs="Times New Roman"/>
          <w:color w:val="000000"/>
        </w:rPr>
      </w:pPr>
      <w:r w:rsidRPr="00570740">
        <w:rPr>
          <w:rFonts w:eastAsia="Times New Roman" w:cs="Times New Roman"/>
          <w:color w:val="000000"/>
        </w:rPr>
        <w:t xml:space="preserve">Here, citing </w:t>
      </w:r>
      <w:r w:rsidRPr="00570740">
        <w:rPr>
          <w:rFonts w:eastAsia="Times New Roman" w:cs="Times New Roman"/>
          <w:i/>
          <w:iCs/>
          <w:color w:val="000000"/>
        </w:rPr>
        <w:t>People v. Offley</w:t>
      </w:r>
      <w:r w:rsidRPr="00570740">
        <w:rPr>
          <w:rFonts w:eastAsia="Times New Roman" w:cs="Times New Roman"/>
          <w:color w:val="000000"/>
        </w:rPr>
        <w:t xml:space="preserve"> (2020) 48</w:t>
      </w:r>
      <w:r w:rsidR="00E44748">
        <w:rPr>
          <w:rFonts w:eastAsia="Times New Roman" w:cs="Times New Roman"/>
          <w:color w:val="000000"/>
        </w:rPr>
        <w:t> </w:t>
      </w:r>
      <w:r w:rsidRPr="00570740">
        <w:rPr>
          <w:rFonts w:eastAsia="Times New Roman" w:cs="Times New Roman"/>
          <w:color w:val="000000"/>
        </w:rPr>
        <w:t>Cal.App.5th 588</w:t>
      </w:r>
      <w:r w:rsidR="00104167" w:rsidRPr="00570740">
        <w:rPr>
          <w:rFonts w:eastAsia="Times New Roman" w:cs="Times New Roman"/>
          <w:color w:val="000000"/>
        </w:rPr>
        <w:t xml:space="preserve"> (</w:t>
      </w:r>
      <w:r w:rsidR="00104167" w:rsidRPr="00570740">
        <w:rPr>
          <w:rFonts w:eastAsia="Times New Roman" w:cs="Times New Roman"/>
          <w:i/>
          <w:iCs/>
          <w:color w:val="000000"/>
        </w:rPr>
        <w:t>Offley</w:t>
      </w:r>
      <w:r w:rsidR="00104167" w:rsidRPr="00570740">
        <w:rPr>
          <w:rFonts w:eastAsia="Times New Roman" w:cs="Times New Roman"/>
          <w:color w:val="000000"/>
        </w:rPr>
        <w:t>)</w:t>
      </w:r>
      <w:r w:rsidR="00A226E3" w:rsidRPr="00570740">
        <w:rPr>
          <w:rFonts w:eastAsia="Times New Roman" w:cs="Times New Roman"/>
          <w:color w:val="000000"/>
        </w:rPr>
        <w:t xml:space="preserve">, Beaudreaux’s first line of argument is that </w:t>
      </w:r>
      <w:r w:rsidR="00F90B46" w:rsidRPr="00570740">
        <w:rPr>
          <w:rFonts w:eastAsia="Times New Roman" w:cs="Times New Roman"/>
          <w:color w:val="000000"/>
        </w:rPr>
        <w:t xml:space="preserve">the </w:t>
      </w:r>
      <w:r w:rsidR="00A226E3" w:rsidRPr="00570740">
        <w:rPr>
          <w:rFonts w:eastAsia="Times New Roman" w:cs="Times New Roman"/>
          <w:color w:val="000000"/>
        </w:rPr>
        <w:t xml:space="preserve">limited </w:t>
      </w:r>
      <w:r w:rsidR="00F90B46" w:rsidRPr="00570740">
        <w:rPr>
          <w:rFonts w:eastAsia="Times New Roman" w:cs="Times New Roman"/>
          <w:color w:val="000000"/>
        </w:rPr>
        <w:t xml:space="preserve">record of conviction </w:t>
      </w:r>
      <w:r w:rsidR="00A226E3" w:rsidRPr="00570740">
        <w:rPr>
          <w:rFonts w:eastAsia="Times New Roman" w:cs="Times New Roman"/>
          <w:color w:val="000000"/>
        </w:rPr>
        <w:t xml:space="preserve">before us </w:t>
      </w:r>
      <w:r w:rsidR="00721E29">
        <w:rPr>
          <w:rFonts w:eastAsia="Times New Roman" w:cs="Times New Roman"/>
          <w:color w:val="000000"/>
        </w:rPr>
        <w:t xml:space="preserve">cannot </w:t>
      </w:r>
      <w:r w:rsidR="00494B52" w:rsidRPr="00570740">
        <w:rPr>
          <w:rFonts w:eastAsia="Times New Roman" w:cs="Times New Roman"/>
          <w:color w:val="000000"/>
        </w:rPr>
        <w:t>support a valid conviction</w:t>
      </w:r>
      <w:r w:rsidR="005452D8" w:rsidRPr="00570740">
        <w:rPr>
          <w:rFonts w:eastAsia="Times New Roman" w:cs="Times New Roman"/>
          <w:color w:val="000000"/>
        </w:rPr>
        <w:t xml:space="preserve"> of murder</w:t>
      </w:r>
      <w:r w:rsidR="003F4E24" w:rsidRPr="00570740">
        <w:rPr>
          <w:rFonts w:eastAsia="Times New Roman" w:cs="Times New Roman"/>
          <w:color w:val="000000"/>
        </w:rPr>
        <w:t xml:space="preserve"> because of the possibility </w:t>
      </w:r>
      <w:r w:rsidR="00D75008" w:rsidRPr="00570740">
        <w:rPr>
          <w:rFonts w:eastAsia="Times New Roman" w:cs="Times New Roman"/>
          <w:color w:val="000000"/>
        </w:rPr>
        <w:t xml:space="preserve">the jury found </w:t>
      </w:r>
      <w:r w:rsidR="00DC14D7" w:rsidRPr="00570740">
        <w:rPr>
          <w:rFonts w:eastAsia="Times New Roman" w:cs="Times New Roman"/>
          <w:color w:val="000000"/>
        </w:rPr>
        <w:t>that</w:t>
      </w:r>
      <w:r w:rsidR="00FA20D3">
        <w:rPr>
          <w:rFonts w:eastAsia="Times New Roman" w:cs="Times New Roman"/>
          <w:color w:val="000000"/>
        </w:rPr>
        <w:t xml:space="preserve"> </w:t>
      </w:r>
      <w:r w:rsidR="009F17FE">
        <w:rPr>
          <w:rFonts w:eastAsia="Times New Roman" w:cs="Times New Roman"/>
          <w:color w:val="000000"/>
        </w:rPr>
        <w:t xml:space="preserve">a </w:t>
      </w:r>
      <w:r w:rsidR="002249E6" w:rsidRPr="00570740">
        <w:rPr>
          <w:rFonts w:eastAsia="Times New Roman" w:cs="Times New Roman"/>
          <w:color w:val="000000"/>
        </w:rPr>
        <w:t xml:space="preserve">third </w:t>
      </w:r>
      <w:r w:rsidR="009B33A5" w:rsidRPr="00570740">
        <w:rPr>
          <w:rFonts w:eastAsia="Times New Roman" w:cs="Times New Roman"/>
          <w:color w:val="000000"/>
        </w:rPr>
        <w:t>person (i.e.</w:t>
      </w:r>
      <w:r w:rsidR="0015090B">
        <w:rPr>
          <w:rFonts w:eastAsia="Times New Roman" w:cs="Times New Roman"/>
          <w:color w:val="000000"/>
        </w:rPr>
        <w:t>,</w:t>
      </w:r>
      <w:r w:rsidR="00D75008" w:rsidRPr="00570740">
        <w:rPr>
          <w:rFonts w:eastAsia="Times New Roman" w:cs="Times New Roman"/>
          <w:color w:val="000000"/>
        </w:rPr>
        <w:t xml:space="preserve"> Crowder</w:t>
      </w:r>
      <w:r w:rsidR="00F90B46" w:rsidRPr="00570740">
        <w:rPr>
          <w:rFonts w:eastAsia="Times New Roman" w:cs="Times New Roman"/>
          <w:color w:val="000000"/>
        </w:rPr>
        <w:t xml:space="preserve">) </w:t>
      </w:r>
      <w:r w:rsidR="00DC14D7" w:rsidRPr="00570740">
        <w:rPr>
          <w:rFonts w:eastAsia="Times New Roman" w:cs="Times New Roman"/>
          <w:color w:val="000000"/>
        </w:rPr>
        <w:t xml:space="preserve">shot </w:t>
      </w:r>
      <w:r w:rsidR="00D358D1" w:rsidRPr="00570740">
        <w:rPr>
          <w:rFonts w:eastAsia="Times New Roman" w:cs="Times New Roman"/>
          <w:color w:val="000000"/>
        </w:rPr>
        <w:t>Drummond</w:t>
      </w:r>
      <w:r w:rsidR="00FE55D4" w:rsidRPr="00570740">
        <w:rPr>
          <w:rFonts w:eastAsia="Times New Roman" w:cs="Times New Roman"/>
          <w:color w:val="000000"/>
        </w:rPr>
        <w:t xml:space="preserve"> and </w:t>
      </w:r>
      <w:r w:rsidR="002249E6" w:rsidRPr="00570740">
        <w:rPr>
          <w:rFonts w:eastAsia="Times New Roman" w:cs="Times New Roman"/>
          <w:color w:val="000000"/>
        </w:rPr>
        <w:t xml:space="preserve">decided to </w:t>
      </w:r>
      <w:r w:rsidR="00FE55D4" w:rsidRPr="00570740">
        <w:rPr>
          <w:rFonts w:eastAsia="Times New Roman" w:cs="Times New Roman"/>
          <w:color w:val="000000"/>
        </w:rPr>
        <w:t>convi</w:t>
      </w:r>
      <w:r w:rsidR="002249E6" w:rsidRPr="00570740">
        <w:rPr>
          <w:rFonts w:eastAsia="Times New Roman" w:cs="Times New Roman"/>
          <w:color w:val="000000"/>
        </w:rPr>
        <w:t>c</w:t>
      </w:r>
      <w:r w:rsidR="00FE55D4" w:rsidRPr="00570740">
        <w:rPr>
          <w:rFonts w:eastAsia="Times New Roman" w:cs="Times New Roman"/>
          <w:color w:val="000000"/>
        </w:rPr>
        <w:t>t</w:t>
      </w:r>
      <w:r w:rsidR="002249E6" w:rsidRPr="00570740">
        <w:rPr>
          <w:rFonts w:eastAsia="Times New Roman" w:cs="Times New Roman"/>
          <w:color w:val="000000"/>
        </w:rPr>
        <w:t xml:space="preserve"> Beaudreaux </w:t>
      </w:r>
      <w:r w:rsidR="001B635E" w:rsidRPr="00570740">
        <w:rPr>
          <w:rFonts w:eastAsia="Times New Roman" w:cs="Times New Roman"/>
          <w:color w:val="000000"/>
        </w:rPr>
        <w:t xml:space="preserve">without making the necessary finding </w:t>
      </w:r>
      <w:r w:rsidR="006072D1" w:rsidRPr="00570740">
        <w:rPr>
          <w:rFonts w:eastAsia="Times New Roman" w:cs="Times New Roman"/>
          <w:color w:val="000000"/>
        </w:rPr>
        <w:t xml:space="preserve">of </w:t>
      </w:r>
      <w:r w:rsidR="009B25CA">
        <w:rPr>
          <w:rFonts w:eastAsia="Times New Roman" w:cs="Times New Roman"/>
          <w:color w:val="000000"/>
        </w:rPr>
        <w:t>malice aforethought</w:t>
      </w:r>
      <w:r w:rsidR="002D3CAA">
        <w:rPr>
          <w:rFonts w:eastAsia="Times New Roman" w:cs="Times New Roman"/>
          <w:color w:val="000000"/>
        </w:rPr>
        <w:t xml:space="preserve"> on his part</w:t>
      </w:r>
      <w:r w:rsidR="009B25CA">
        <w:rPr>
          <w:rFonts w:eastAsia="Times New Roman" w:cs="Times New Roman"/>
          <w:color w:val="000000"/>
        </w:rPr>
        <w:t xml:space="preserve">. </w:t>
      </w:r>
      <w:r w:rsidR="00470A1F" w:rsidRPr="00570740">
        <w:rPr>
          <w:rFonts w:eastAsia="Times New Roman" w:cs="Times New Roman"/>
          <w:color w:val="000000"/>
        </w:rPr>
        <w:t xml:space="preserve"> </w:t>
      </w:r>
      <w:r w:rsidR="004615AC">
        <w:rPr>
          <w:rFonts w:eastAsia="Times New Roman" w:cs="Times New Roman"/>
          <w:color w:val="000000"/>
        </w:rPr>
        <w:t>I</w:t>
      </w:r>
      <w:r w:rsidR="00A21856" w:rsidRPr="00570740">
        <w:rPr>
          <w:rFonts w:eastAsia="Times New Roman" w:cs="Times New Roman"/>
          <w:color w:val="000000"/>
        </w:rPr>
        <w:t xml:space="preserve">n </w:t>
      </w:r>
      <w:r w:rsidR="00B63497" w:rsidRPr="00B63497">
        <w:rPr>
          <w:rFonts w:eastAsia="Times New Roman" w:cs="Times New Roman"/>
          <w:i/>
          <w:iCs/>
          <w:color w:val="000000"/>
        </w:rPr>
        <w:t>Offley</w:t>
      </w:r>
      <w:r w:rsidR="004615AC">
        <w:rPr>
          <w:rFonts w:eastAsia="Times New Roman" w:cs="Times New Roman"/>
          <w:color w:val="000000"/>
        </w:rPr>
        <w:t xml:space="preserve">, the defendant </w:t>
      </w:r>
      <w:r w:rsidR="002146E7" w:rsidRPr="00570740">
        <w:rPr>
          <w:rFonts w:eastAsia="Times New Roman" w:cs="Times New Roman"/>
          <w:color w:val="000000"/>
        </w:rPr>
        <w:t xml:space="preserve">was convicted </w:t>
      </w:r>
      <w:r w:rsidR="00B0097F">
        <w:rPr>
          <w:rFonts w:eastAsia="Times New Roman" w:cs="Times New Roman"/>
          <w:color w:val="000000"/>
        </w:rPr>
        <w:t xml:space="preserve">as a conspirator </w:t>
      </w:r>
      <w:r w:rsidR="004141A6">
        <w:rPr>
          <w:rFonts w:eastAsia="Times New Roman" w:cs="Times New Roman"/>
          <w:color w:val="000000"/>
        </w:rPr>
        <w:t xml:space="preserve">to a gang murder </w:t>
      </w:r>
      <w:r w:rsidR="002146E7" w:rsidRPr="00570740">
        <w:rPr>
          <w:rFonts w:eastAsia="Times New Roman" w:cs="Times New Roman"/>
          <w:color w:val="000000"/>
        </w:rPr>
        <w:t>under a natural and probable consequences theory</w:t>
      </w:r>
      <w:r w:rsidR="00A86090" w:rsidRPr="00570740">
        <w:rPr>
          <w:rFonts w:eastAsia="Times New Roman" w:cs="Times New Roman"/>
          <w:color w:val="000000"/>
        </w:rPr>
        <w:t xml:space="preserve"> (</w:t>
      </w:r>
      <w:r w:rsidR="00104167" w:rsidRPr="00570740">
        <w:rPr>
          <w:rFonts w:eastAsia="Times New Roman" w:cs="Times New Roman"/>
          <w:i/>
          <w:iCs/>
          <w:color w:val="000000"/>
        </w:rPr>
        <w:t>i</w:t>
      </w:r>
      <w:r w:rsidR="00C0439B" w:rsidRPr="00570740">
        <w:rPr>
          <w:rFonts w:eastAsia="Times New Roman" w:cs="Times New Roman"/>
          <w:i/>
          <w:iCs/>
          <w:color w:val="000000"/>
        </w:rPr>
        <w:t>d</w:t>
      </w:r>
      <w:r w:rsidR="00583A5A" w:rsidRPr="00570740">
        <w:rPr>
          <w:rFonts w:eastAsia="Times New Roman" w:cs="Times New Roman"/>
          <w:color w:val="000000"/>
        </w:rPr>
        <w:t>.</w:t>
      </w:r>
      <w:r w:rsidR="006173B3" w:rsidRPr="00570740">
        <w:rPr>
          <w:rFonts w:eastAsia="Times New Roman" w:cs="Times New Roman"/>
          <w:color w:val="000000"/>
        </w:rPr>
        <w:t xml:space="preserve"> </w:t>
      </w:r>
      <w:r w:rsidR="00104167" w:rsidRPr="00570740">
        <w:rPr>
          <w:rFonts w:eastAsia="Times New Roman" w:cs="Times New Roman"/>
          <w:color w:val="000000"/>
        </w:rPr>
        <w:t>at</w:t>
      </w:r>
      <w:r w:rsidR="002430A1" w:rsidRPr="00570740">
        <w:rPr>
          <w:rFonts w:eastAsia="Times New Roman" w:cs="Times New Roman"/>
          <w:color w:val="000000"/>
        </w:rPr>
        <w:t xml:space="preserve"> p.</w:t>
      </w:r>
      <w:r w:rsidR="00E72CFF">
        <w:rPr>
          <w:rFonts w:eastAsia="Times New Roman" w:cs="Times New Roman"/>
          <w:color w:val="000000"/>
        </w:rPr>
        <w:t> </w:t>
      </w:r>
      <w:r w:rsidR="002430A1" w:rsidRPr="00570740">
        <w:rPr>
          <w:rFonts w:eastAsia="Times New Roman" w:cs="Times New Roman"/>
          <w:color w:val="000000"/>
        </w:rPr>
        <w:t>59</w:t>
      </w:r>
      <w:r w:rsidR="00583A5A" w:rsidRPr="00570740">
        <w:rPr>
          <w:rFonts w:eastAsia="Times New Roman" w:cs="Times New Roman"/>
          <w:color w:val="000000"/>
        </w:rPr>
        <w:t>3)</w:t>
      </w:r>
      <w:r w:rsidR="0007018C" w:rsidRPr="00570740">
        <w:rPr>
          <w:rFonts w:eastAsia="Times New Roman" w:cs="Times New Roman"/>
          <w:color w:val="000000"/>
        </w:rPr>
        <w:t xml:space="preserve">, </w:t>
      </w:r>
      <w:r w:rsidR="004615AC">
        <w:rPr>
          <w:rFonts w:eastAsia="Times New Roman" w:cs="Times New Roman"/>
          <w:color w:val="000000"/>
        </w:rPr>
        <w:t xml:space="preserve">which was problematic because </w:t>
      </w:r>
      <w:r w:rsidR="00697647" w:rsidRPr="00570740">
        <w:rPr>
          <w:rFonts w:eastAsia="Times New Roman" w:cs="Times New Roman"/>
          <w:color w:val="000000"/>
        </w:rPr>
        <w:t>“the natural and probable consequences doctrine can no longer support a murder conviction</w:t>
      </w:r>
      <w:r w:rsidR="006173B3" w:rsidRPr="00570740">
        <w:rPr>
          <w:rFonts w:eastAsia="Times New Roman" w:cs="Times New Roman"/>
          <w:color w:val="000000"/>
        </w:rPr>
        <w:t xml:space="preserve">” </w:t>
      </w:r>
      <w:r w:rsidR="006173B3" w:rsidRPr="001878B0">
        <w:rPr>
          <w:rFonts w:eastAsia="Times New Roman" w:cs="Times New Roman"/>
          <w:i/>
          <w:iCs/>
          <w:color w:val="000000"/>
        </w:rPr>
        <w:t>(id</w:t>
      </w:r>
      <w:r w:rsidR="006173B3" w:rsidRPr="00570740">
        <w:rPr>
          <w:rFonts w:eastAsia="Times New Roman" w:cs="Times New Roman"/>
          <w:color w:val="000000"/>
        </w:rPr>
        <w:t xml:space="preserve">. at </w:t>
      </w:r>
      <w:r w:rsidR="00570740" w:rsidRPr="00570740">
        <w:rPr>
          <w:rFonts w:eastAsia="Times New Roman" w:cs="Times New Roman"/>
          <w:color w:val="000000"/>
        </w:rPr>
        <w:t>p.</w:t>
      </w:r>
      <w:r w:rsidR="00E72CFF">
        <w:rPr>
          <w:rFonts w:eastAsia="Times New Roman" w:cs="Times New Roman"/>
          <w:color w:val="000000"/>
        </w:rPr>
        <w:t> </w:t>
      </w:r>
      <w:r w:rsidR="00570740" w:rsidRPr="00570740">
        <w:rPr>
          <w:rFonts w:eastAsia="Times New Roman" w:cs="Times New Roman"/>
          <w:color w:val="000000"/>
        </w:rPr>
        <w:t>595).</w:t>
      </w:r>
      <w:r>
        <w:rPr>
          <w:rFonts w:eastAsia="Times New Roman" w:cs="Times New Roman"/>
          <w:color w:val="000000"/>
        </w:rPr>
        <w:t xml:space="preserve">  </w:t>
      </w:r>
      <w:r w:rsidR="00C57834">
        <w:rPr>
          <w:rFonts w:eastAsia="Times New Roman" w:cs="Times New Roman"/>
          <w:color w:val="000000"/>
        </w:rPr>
        <w:t xml:space="preserve">In later section 1172.6 </w:t>
      </w:r>
      <w:r w:rsidR="004077DA">
        <w:rPr>
          <w:rFonts w:eastAsia="Times New Roman" w:cs="Times New Roman"/>
          <w:color w:val="000000"/>
        </w:rPr>
        <w:t>resentencing</w:t>
      </w:r>
      <w:r w:rsidR="00C57834">
        <w:rPr>
          <w:rFonts w:eastAsia="Times New Roman" w:cs="Times New Roman"/>
          <w:color w:val="000000"/>
        </w:rPr>
        <w:t xml:space="preserve"> proceedings, t</w:t>
      </w:r>
      <w:r w:rsidR="00B33BA1" w:rsidRPr="0047783C">
        <w:rPr>
          <w:rFonts w:eastAsia="Times New Roman" w:cs="Times New Roman"/>
          <w:color w:val="000000"/>
        </w:rPr>
        <w:t xml:space="preserve">he </w:t>
      </w:r>
      <w:r w:rsidR="00035028" w:rsidRPr="0047783C">
        <w:rPr>
          <w:rFonts w:eastAsia="Times New Roman" w:cs="Times New Roman"/>
          <w:color w:val="000000"/>
        </w:rPr>
        <w:t xml:space="preserve">People </w:t>
      </w:r>
      <w:r w:rsidR="009D2989" w:rsidRPr="0047783C">
        <w:rPr>
          <w:rFonts w:eastAsia="Times New Roman" w:cs="Times New Roman"/>
          <w:color w:val="000000"/>
        </w:rPr>
        <w:t xml:space="preserve">relied on a </w:t>
      </w:r>
      <w:r w:rsidR="00A87D76" w:rsidRPr="0047783C">
        <w:rPr>
          <w:rFonts w:eastAsia="Times New Roman" w:cs="Times New Roman"/>
          <w:color w:val="000000"/>
        </w:rPr>
        <w:t xml:space="preserve">section </w:t>
      </w:r>
      <w:r w:rsidR="00F66ACB">
        <w:rPr>
          <w:rFonts w:eastAsia="Times New Roman" w:cs="Times New Roman"/>
          <w:color w:val="000000"/>
        </w:rPr>
        <w:t>12022.53, subdivision (d)</w:t>
      </w:r>
      <w:r w:rsidR="009026A7" w:rsidRPr="0047783C">
        <w:rPr>
          <w:rFonts w:eastAsia="Times New Roman" w:cs="Times New Roman"/>
          <w:color w:val="000000"/>
        </w:rPr>
        <w:t xml:space="preserve"> </w:t>
      </w:r>
      <w:r w:rsidR="009C7148" w:rsidRPr="0047783C">
        <w:rPr>
          <w:rFonts w:eastAsia="Times New Roman" w:cs="Times New Roman"/>
          <w:color w:val="000000"/>
        </w:rPr>
        <w:t xml:space="preserve">jury </w:t>
      </w:r>
      <w:r w:rsidR="00366A4B" w:rsidRPr="0047783C">
        <w:rPr>
          <w:rFonts w:eastAsia="Times New Roman" w:cs="Times New Roman"/>
          <w:color w:val="000000"/>
        </w:rPr>
        <w:t xml:space="preserve">finding that defendant Offley </w:t>
      </w:r>
      <w:r w:rsidR="00A87D76" w:rsidRPr="0047783C">
        <w:rPr>
          <w:rFonts w:eastAsia="Times New Roman" w:cs="Times New Roman"/>
          <w:color w:val="000000"/>
        </w:rPr>
        <w:t>discharged a firearm</w:t>
      </w:r>
      <w:r w:rsidR="009D2989" w:rsidRPr="0047783C">
        <w:rPr>
          <w:rFonts w:eastAsia="Times New Roman" w:cs="Times New Roman"/>
          <w:color w:val="000000"/>
        </w:rPr>
        <w:t xml:space="preserve"> in the course of the offense</w:t>
      </w:r>
      <w:r w:rsidR="00493A37" w:rsidRPr="0047783C">
        <w:rPr>
          <w:rFonts w:eastAsia="Times New Roman" w:cs="Times New Roman"/>
          <w:color w:val="000000"/>
        </w:rPr>
        <w:t xml:space="preserve"> and argued that that </w:t>
      </w:r>
      <w:r w:rsidR="00571620" w:rsidRPr="0047783C">
        <w:rPr>
          <w:rFonts w:eastAsia="Times New Roman" w:cs="Times New Roman"/>
          <w:color w:val="000000"/>
        </w:rPr>
        <w:t>made him liable for murder under current law</w:t>
      </w:r>
      <w:r w:rsidR="00493A37" w:rsidRPr="0047783C">
        <w:rPr>
          <w:rFonts w:eastAsia="Times New Roman" w:cs="Times New Roman"/>
          <w:color w:val="000000"/>
        </w:rPr>
        <w:t>.</w:t>
      </w:r>
      <w:r w:rsidR="00734A85" w:rsidRPr="0047783C">
        <w:rPr>
          <w:rFonts w:eastAsia="Times New Roman" w:cs="Times New Roman"/>
          <w:color w:val="000000"/>
        </w:rPr>
        <w:t xml:space="preserve"> </w:t>
      </w:r>
      <w:r w:rsidR="003508F1">
        <w:rPr>
          <w:rFonts w:eastAsia="Times New Roman" w:cs="Times New Roman"/>
          <w:color w:val="000000"/>
        </w:rPr>
        <w:t xml:space="preserve"> </w:t>
      </w:r>
      <w:r w:rsidR="00734A85" w:rsidRPr="0047783C">
        <w:rPr>
          <w:rFonts w:eastAsia="Times New Roman" w:cs="Times New Roman"/>
          <w:color w:val="000000"/>
        </w:rPr>
        <w:t>(</w:t>
      </w:r>
      <w:r w:rsidR="00734A85" w:rsidRPr="0047783C">
        <w:rPr>
          <w:rFonts w:eastAsia="Times New Roman" w:cs="Times New Roman"/>
          <w:i/>
          <w:iCs/>
          <w:color w:val="000000"/>
        </w:rPr>
        <w:t>Offley</w:t>
      </w:r>
      <w:r w:rsidR="00734A85" w:rsidRPr="0047783C">
        <w:rPr>
          <w:rFonts w:eastAsia="Times New Roman" w:cs="Times New Roman"/>
          <w:color w:val="000000"/>
        </w:rPr>
        <w:t>, at p.</w:t>
      </w:r>
      <w:r w:rsidR="00224BB0">
        <w:rPr>
          <w:rFonts w:eastAsia="Times New Roman" w:cs="Times New Roman"/>
          <w:color w:val="000000"/>
        </w:rPr>
        <w:t> </w:t>
      </w:r>
      <w:r w:rsidR="00734A85" w:rsidRPr="0047783C">
        <w:rPr>
          <w:rFonts w:eastAsia="Times New Roman" w:cs="Times New Roman"/>
          <w:color w:val="000000"/>
        </w:rPr>
        <w:t>598.)</w:t>
      </w:r>
      <w:r w:rsidR="00493A37" w:rsidRPr="0047783C">
        <w:rPr>
          <w:rFonts w:eastAsia="Times New Roman" w:cs="Times New Roman"/>
          <w:color w:val="000000"/>
        </w:rPr>
        <w:t xml:space="preserve">  </w:t>
      </w:r>
      <w:r w:rsidR="004B7915">
        <w:rPr>
          <w:rFonts w:eastAsia="Times New Roman" w:cs="Times New Roman"/>
          <w:color w:val="000000"/>
        </w:rPr>
        <w:t xml:space="preserve">Unpersuaded, the </w:t>
      </w:r>
      <w:r w:rsidR="004077DA">
        <w:rPr>
          <w:rFonts w:eastAsia="Times New Roman" w:cs="Times New Roman"/>
          <w:color w:val="000000"/>
        </w:rPr>
        <w:t>C</w:t>
      </w:r>
      <w:r w:rsidR="0037658B" w:rsidRPr="0047783C">
        <w:rPr>
          <w:rFonts w:eastAsia="Times New Roman" w:cs="Times New Roman"/>
          <w:color w:val="000000"/>
        </w:rPr>
        <w:t>ourt</w:t>
      </w:r>
      <w:r w:rsidR="004077DA">
        <w:rPr>
          <w:rFonts w:eastAsia="Times New Roman" w:cs="Times New Roman"/>
          <w:color w:val="000000"/>
        </w:rPr>
        <w:t xml:space="preserve"> of Appeal revers</w:t>
      </w:r>
      <w:r w:rsidR="004B7915">
        <w:rPr>
          <w:rFonts w:eastAsia="Times New Roman" w:cs="Times New Roman"/>
          <w:color w:val="000000"/>
        </w:rPr>
        <w:t>ed</w:t>
      </w:r>
      <w:r w:rsidR="004077DA">
        <w:rPr>
          <w:rFonts w:eastAsia="Times New Roman" w:cs="Times New Roman"/>
          <w:color w:val="000000"/>
        </w:rPr>
        <w:t xml:space="preserve"> a summary</w:t>
      </w:r>
      <w:r w:rsidR="00E63639">
        <w:rPr>
          <w:rFonts w:eastAsia="Times New Roman" w:cs="Times New Roman"/>
          <w:color w:val="000000"/>
        </w:rPr>
        <w:t xml:space="preserve"> dismissal b</w:t>
      </w:r>
      <w:r w:rsidR="002D4429" w:rsidRPr="0047783C">
        <w:rPr>
          <w:rFonts w:eastAsia="Times New Roman" w:cs="Times New Roman"/>
          <w:color w:val="000000"/>
        </w:rPr>
        <w:t xml:space="preserve">ecause </w:t>
      </w:r>
      <w:r w:rsidR="00571620" w:rsidRPr="0047783C">
        <w:rPr>
          <w:rFonts w:eastAsia="Times New Roman" w:cs="Times New Roman"/>
          <w:color w:val="000000"/>
        </w:rPr>
        <w:t>of the possibility</w:t>
      </w:r>
      <w:r w:rsidR="007942DC">
        <w:rPr>
          <w:rFonts w:eastAsia="Times New Roman" w:cs="Times New Roman"/>
          <w:color w:val="000000"/>
        </w:rPr>
        <w:t xml:space="preserve"> that</w:t>
      </w:r>
      <w:r w:rsidR="00571620" w:rsidRPr="0047783C">
        <w:rPr>
          <w:rFonts w:eastAsia="Times New Roman" w:cs="Times New Roman"/>
          <w:color w:val="000000"/>
        </w:rPr>
        <w:t xml:space="preserve"> </w:t>
      </w:r>
      <w:r w:rsidR="0037658B" w:rsidRPr="0047783C">
        <w:rPr>
          <w:rFonts w:eastAsia="Times New Roman" w:cs="Times New Roman"/>
          <w:color w:val="000000"/>
        </w:rPr>
        <w:t xml:space="preserve">the jury </w:t>
      </w:r>
      <w:r w:rsidR="00D547E0" w:rsidRPr="0047783C">
        <w:rPr>
          <w:rFonts w:eastAsia="Times New Roman" w:cs="Times New Roman"/>
          <w:color w:val="000000"/>
        </w:rPr>
        <w:t xml:space="preserve">convicted </w:t>
      </w:r>
      <w:r w:rsidR="0005774A">
        <w:rPr>
          <w:rFonts w:eastAsia="Times New Roman" w:cs="Times New Roman"/>
          <w:color w:val="000000"/>
        </w:rPr>
        <w:t xml:space="preserve">Offley </w:t>
      </w:r>
      <w:r w:rsidR="00864CC1" w:rsidRPr="0047783C">
        <w:rPr>
          <w:rFonts w:eastAsia="Times New Roman" w:cs="Times New Roman"/>
          <w:color w:val="000000"/>
        </w:rPr>
        <w:t>on a</w:t>
      </w:r>
      <w:r w:rsidR="009E044B" w:rsidRPr="0047783C">
        <w:rPr>
          <w:rFonts w:eastAsia="Times New Roman" w:cs="Times New Roman"/>
          <w:color w:val="000000"/>
        </w:rPr>
        <w:t xml:space="preserve"> natural and probable consequences </w:t>
      </w:r>
      <w:r w:rsidR="00864CC1" w:rsidRPr="0047783C">
        <w:rPr>
          <w:rFonts w:eastAsia="Times New Roman" w:cs="Times New Roman"/>
          <w:color w:val="000000"/>
        </w:rPr>
        <w:t xml:space="preserve">theory </w:t>
      </w:r>
      <w:r w:rsidR="00D547E0" w:rsidRPr="0047783C">
        <w:rPr>
          <w:rFonts w:eastAsia="Times New Roman" w:cs="Times New Roman"/>
          <w:color w:val="000000"/>
        </w:rPr>
        <w:t xml:space="preserve">based on </w:t>
      </w:r>
      <w:r w:rsidR="00520EBF">
        <w:rPr>
          <w:rFonts w:eastAsia="Times New Roman" w:cs="Times New Roman"/>
          <w:color w:val="000000"/>
        </w:rPr>
        <w:t>his</w:t>
      </w:r>
      <w:r w:rsidR="0034501F" w:rsidRPr="0047783C">
        <w:rPr>
          <w:rFonts w:eastAsia="Times New Roman" w:cs="Times New Roman"/>
          <w:color w:val="000000"/>
        </w:rPr>
        <w:t xml:space="preserve"> </w:t>
      </w:r>
      <w:r w:rsidR="00D547E0" w:rsidRPr="0047783C">
        <w:rPr>
          <w:rFonts w:eastAsia="Times New Roman" w:cs="Times New Roman"/>
          <w:color w:val="000000"/>
        </w:rPr>
        <w:t>mere participation in a murder</w:t>
      </w:r>
      <w:r w:rsidR="00FF59F4" w:rsidRPr="0047783C">
        <w:rPr>
          <w:rFonts w:eastAsia="Times New Roman" w:cs="Times New Roman"/>
          <w:color w:val="000000"/>
        </w:rPr>
        <w:t>,</w:t>
      </w:r>
      <w:r w:rsidR="00D547E0" w:rsidRPr="0047783C">
        <w:rPr>
          <w:rFonts w:eastAsia="Times New Roman" w:cs="Times New Roman"/>
          <w:color w:val="000000"/>
        </w:rPr>
        <w:t xml:space="preserve"> </w:t>
      </w:r>
      <w:r w:rsidR="00413D98">
        <w:rPr>
          <w:rFonts w:eastAsia="Times New Roman" w:cs="Times New Roman"/>
          <w:color w:val="000000"/>
        </w:rPr>
        <w:t xml:space="preserve">without </w:t>
      </w:r>
      <w:r w:rsidR="00BA454B">
        <w:rPr>
          <w:rFonts w:eastAsia="Times New Roman" w:cs="Times New Roman"/>
          <w:color w:val="000000"/>
        </w:rPr>
        <w:t xml:space="preserve">necessarily finding he acted with the requisite mens rea. </w:t>
      </w:r>
      <w:r w:rsidR="00035028" w:rsidRPr="0047783C">
        <w:rPr>
          <w:rFonts w:eastAsia="Times New Roman" w:cs="Times New Roman"/>
          <w:color w:val="000000"/>
        </w:rPr>
        <w:t xml:space="preserve"> </w:t>
      </w:r>
      <w:r w:rsidR="008278FB" w:rsidRPr="0047783C">
        <w:rPr>
          <w:rFonts w:eastAsia="Times New Roman" w:cs="Times New Roman"/>
          <w:color w:val="000000"/>
        </w:rPr>
        <w:t>(</w:t>
      </w:r>
      <w:r w:rsidR="00734A85" w:rsidRPr="0047783C">
        <w:rPr>
          <w:rFonts w:eastAsia="Times New Roman" w:cs="Times New Roman"/>
          <w:i/>
          <w:iCs/>
          <w:color w:val="000000"/>
        </w:rPr>
        <w:t>Id</w:t>
      </w:r>
      <w:r w:rsidR="00467B73" w:rsidRPr="0047783C">
        <w:rPr>
          <w:rFonts w:eastAsia="Times New Roman" w:cs="Times New Roman"/>
          <w:i/>
          <w:iCs/>
          <w:color w:val="000000"/>
        </w:rPr>
        <w:t>.</w:t>
      </w:r>
      <w:r w:rsidR="008278FB" w:rsidRPr="0047783C">
        <w:rPr>
          <w:rFonts w:eastAsia="Times New Roman" w:cs="Times New Roman"/>
          <w:color w:val="000000"/>
        </w:rPr>
        <w:t xml:space="preserve"> at p.</w:t>
      </w:r>
      <w:r w:rsidR="00137DF2">
        <w:rPr>
          <w:rFonts w:eastAsia="Times New Roman" w:cs="Times New Roman"/>
          <w:color w:val="000000"/>
        </w:rPr>
        <w:t> </w:t>
      </w:r>
      <w:r w:rsidR="008278FB" w:rsidRPr="0047783C">
        <w:rPr>
          <w:rFonts w:eastAsia="Times New Roman" w:cs="Times New Roman"/>
          <w:color w:val="000000"/>
        </w:rPr>
        <w:t>600</w:t>
      </w:r>
      <w:r w:rsidR="007A17C9">
        <w:rPr>
          <w:rFonts w:eastAsia="Times New Roman" w:cs="Times New Roman"/>
          <w:color w:val="000000"/>
        </w:rPr>
        <w:t>.)</w:t>
      </w:r>
      <w:r w:rsidR="00B54313" w:rsidRPr="0047783C">
        <w:rPr>
          <w:rFonts w:eastAsia="Times New Roman" w:cs="Times New Roman"/>
          <w:color w:val="000000"/>
        </w:rPr>
        <w:t xml:space="preserve"> </w:t>
      </w:r>
      <w:r w:rsidR="007A17C9">
        <w:rPr>
          <w:rFonts w:eastAsia="Times New Roman" w:cs="Times New Roman"/>
          <w:color w:val="000000"/>
        </w:rPr>
        <w:t xml:space="preserve"> </w:t>
      </w:r>
    </w:p>
    <w:p w14:paraId="57C2EB6F" w14:textId="54247454" w:rsidR="00EB4628" w:rsidRDefault="00C42495" w:rsidP="00EB4628">
      <w:pPr>
        <w:pStyle w:val="FootnoteText"/>
        <w:spacing w:after="0" w:line="360" w:lineRule="auto"/>
        <w:rPr>
          <w:rFonts w:eastAsia="Times New Roman" w:cs="Times New Roman"/>
          <w:color w:val="000000"/>
        </w:rPr>
      </w:pPr>
      <w:r>
        <w:t xml:space="preserve">We doubt </w:t>
      </w:r>
      <w:r w:rsidR="00C732B0">
        <w:t xml:space="preserve">neither </w:t>
      </w:r>
      <w:r w:rsidR="007A2ADA">
        <w:t xml:space="preserve">the </w:t>
      </w:r>
      <w:r w:rsidR="00C27AF5">
        <w:t xml:space="preserve">soundness </w:t>
      </w:r>
      <w:r w:rsidR="007A2ADA">
        <w:t xml:space="preserve">of </w:t>
      </w:r>
      <w:r w:rsidR="00864783">
        <w:t xml:space="preserve">the </w:t>
      </w:r>
      <w:r w:rsidR="00864783" w:rsidRPr="007A2ADA">
        <w:rPr>
          <w:i/>
          <w:iCs/>
        </w:rPr>
        <w:t>Offley</w:t>
      </w:r>
      <w:r w:rsidR="00864783">
        <w:t xml:space="preserve"> court’s </w:t>
      </w:r>
      <w:r w:rsidR="007A2ADA">
        <w:t xml:space="preserve">reasoning </w:t>
      </w:r>
      <w:r w:rsidR="00C732B0">
        <w:t>n</w:t>
      </w:r>
      <w:r w:rsidR="007A2ADA">
        <w:t xml:space="preserve">or </w:t>
      </w:r>
      <w:r>
        <w:t xml:space="preserve">Beaudreaux’s legal premise </w:t>
      </w:r>
      <w:r w:rsidR="008379FB">
        <w:t xml:space="preserve">in relying </w:t>
      </w:r>
      <w:r w:rsidR="00290856">
        <w:t>on</w:t>
      </w:r>
      <w:r w:rsidR="005E6781">
        <w:t xml:space="preserve"> </w:t>
      </w:r>
      <w:r w:rsidR="00864783">
        <w:t>it</w:t>
      </w:r>
      <w:r w:rsidR="0014604D">
        <w:t xml:space="preserve">. </w:t>
      </w:r>
      <w:r w:rsidR="007A2ADA">
        <w:t xml:space="preserve"> </w:t>
      </w:r>
      <w:r>
        <w:t>(</w:t>
      </w:r>
      <w:r w:rsidRPr="003718D4">
        <w:t>See</w:t>
      </w:r>
      <w:r>
        <w:t xml:space="preserve"> </w:t>
      </w:r>
      <w:r w:rsidRPr="3CEA8B72">
        <w:rPr>
          <w:rFonts w:eastAsia="Times New Roman" w:cs="Times New Roman"/>
          <w:i/>
          <w:color w:val="3D3D3D"/>
          <w:bdr w:val="none" w:sz="0" w:space="0" w:color="auto" w:frame="1"/>
        </w:rPr>
        <w:t>In</w:t>
      </w:r>
      <w:r w:rsidR="00137DF2">
        <w:rPr>
          <w:rFonts w:eastAsia="Times New Roman" w:cs="Times New Roman"/>
          <w:i/>
          <w:color w:val="3D3D3D"/>
          <w:bdr w:val="none" w:sz="0" w:space="0" w:color="auto" w:frame="1"/>
        </w:rPr>
        <w:t> </w:t>
      </w:r>
      <w:r w:rsidRPr="3CEA8B72">
        <w:rPr>
          <w:rFonts w:eastAsia="Times New Roman" w:cs="Times New Roman"/>
          <w:i/>
          <w:color w:val="3D3D3D"/>
          <w:bdr w:val="none" w:sz="0" w:space="0" w:color="auto" w:frame="1"/>
        </w:rPr>
        <w:t>re Ferrell</w:t>
      </w:r>
      <w:r w:rsidRPr="3CEA8B72">
        <w:rPr>
          <w:rFonts w:eastAsia="Times New Roman" w:cs="Times New Roman"/>
          <w:color w:val="000000"/>
        </w:rPr>
        <w:t xml:space="preserve"> (2023) 14</w:t>
      </w:r>
      <w:r w:rsidR="000665FD" w:rsidRPr="3CEA8B72">
        <w:rPr>
          <w:rFonts w:eastAsia="Times New Roman" w:cs="Times New Roman"/>
          <w:color w:val="000000" w:themeColor="text1"/>
        </w:rPr>
        <w:t> </w:t>
      </w:r>
      <w:r w:rsidRPr="3CEA8B72">
        <w:rPr>
          <w:rFonts w:eastAsia="Times New Roman" w:cs="Times New Roman"/>
          <w:color w:val="000000"/>
        </w:rPr>
        <w:t>Cal.5th 593, 604</w:t>
      </w:r>
      <w:r w:rsidR="00F12112">
        <w:t>–</w:t>
      </w:r>
      <w:r w:rsidRPr="3CEA8B72">
        <w:rPr>
          <w:rFonts w:eastAsia="Times New Roman" w:cs="Times New Roman"/>
          <w:color w:val="000000"/>
        </w:rPr>
        <w:t xml:space="preserve">608) [granting habeas corpus relief, citing </w:t>
      </w:r>
      <w:r w:rsidRPr="3CEA8B72">
        <w:rPr>
          <w:rFonts w:eastAsia="Times New Roman" w:cs="Times New Roman"/>
          <w:i/>
          <w:color w:val="000000"/>
        </w:rPr>
        <w:t>Offley</w:t>
      </w:r>
      <w:r w:rsidRPr="3CEA8B72">
        <w:rPr>
          <w:rFonts w:eastAsia="Times New Roman" w:cs="Times New Roman"/>
          <w:color w:val="000000"/>
        </w:rPr>
        <w:t xml:space="preserve"> </w:t>
      </w:r>
      <w:r w:rsidRPr="3CEA8B72">
        <w:rPr>
          <w:rFonts w:eastAsia="Times New Roman" w:cs="Times New Roman"/>
          <w:color w:val="000000"/>
        </w:rPr>
        <w:lastRenderedPageBreak/>
        <w:t>favorably, and holding that a</w:t>
      </w:r>
      <w:r w:rsidR="004279AC" w:rsidRPr="3CEA8B72">
        <w:rPr>
          <w:rFonts w:eastAsia="Times New Roman" w:cs="Times New Roman"/>
          <w:color w:val="000000"/>
        </w:rPr>
        <w:t xml:space="preserve"> jury’s </w:t>
      </w:r>
      <w:r w:rsidRPr="3CEA8B72">
        <w:rPr>
          <w:rFonts w:eastAsia="Times New Roman" w:cs="Times New Roman"/>
          <w:color w:val="000000"/>
        </w:rPr>
        <w:t xml:space="preserve">section 12022.53, subdivision (d) finding did not supply the missing mens rea element </w:t>
      </w:r>
      <w:r w:rsidR="00393E43" w:rsidRPr="3CEA8B72">
        <w:rPr>
          <w:rFonts w:eastAsia="Times New Roman" w:cs="Times New Roman"/>
          <w:color w:val="000000"/>
        </w:rPr>
        <w:t xml:space="preserve">necessary to cure the defect in a </w:t>
      </w:r>
      <w:r w:rsidRPr="3CEA8B72">
        <w:rPr>
          <w:rFonts w:eastAsia="Times New Roman" w:cs="Times New Roman"/>
          <w:color w:val="000000"/>
        </w:rPr>
        <w:t>second degree felony</w:t>
      </w:r>
      <w:r w:rsidR="00FC3DF1" w:rsidRPr="3CEA8B72">
        <w:rPr>
          <w:rFonts w:eastAsia="Times New Roman" w:cs="Times New Roman"/>
          <w:color w:val="000000" w:themeColor="text1"/>
        </w:rPr>
        <w:t>-</w:t>
      </w:r>
      <w:r w:rsidRPr="3CEA8B72">
        <w:rPr>
          <w:rFonts w:eastAsia="Times New Roman" w:cs="Times New Roman"/>
          <w:color w:val="000000"/>
        </w:rPr>
        <w:t xml:space="preserve">murder conviction </w:t>
      </w:r>
      <w:r w:rsidR="00C31C33" w:rsidRPr="3CEA8B72">
        <w:rPr>
          <w:rFonts w:eastAsia="Times New Roman" w:cs="Times New Roman"/>
          <w:color w:val="000000"/>
        </w:rPr>
        <w:t xml:space="preserve">rendered pursuant to </w:t>
      </w:r>
      <w:r w:rsidRPr="3CEA8B72">
        <w:rPr>
          <w:rFonts w:eastAsia="Times New Roman" w:cs="Times New Roman"/>
          <w:color w:val="000000"/>
        </w:rPr>
        <w:t xml:space="preserve">an instruction later invalidated in </w:t>
      </w:r>
      <w:r w:rsidRPr="3CEA8B72">
        <w:rPr>
          <w:rFonts w:eastAsia="Times New Roman" w:cs="Times New Roman"/>
          <w:i/>
          <w:color w:val="3D3D3D"/>
          <w:bdr w:val="none" w:sz="0" w:space="0" w:color="auto" w:frame="1"/>
        </w:rPr>
        <w:t>People v. Chun</w:t>
      </w:r>
      <w:r w:rsidRPr="3CEA8B72">
        <w:rPr>
          <w:rFonts w:eastAsia="Times New Roman" w:cs="Times New Roman"/>
          <w:color w:val="000000"/>
        </w:rPr>
        <w:t xml:space="preserve"> (2009) 45</w:t>
      </w:r>
      <w:r w:rsidR="00490ED7">
        <w:rPr>
          <w:rFonts w:eastAsia="Times New Roman" w:cs="Times New Roman"/>
          <w:color w:val="000000"/>
        </w:rPr>
        <w:t> </w:t>
      </w:r>
      <w:r w:rsidRPr="3CEA8B72">
        <w:rPr>
          <w:rFonts w:eastAsia="Times New Roman" w:cs="Times New Roman"/>
          <w:color w:val="000000"/>
        </w:rPr>
        <w:t xml:space="preserve">Cal.4th 1172].)  But the conclusion </w:t>
      </w:r>
      <w:r w:rsidR="00B83DD9" w:rsidRPr="3CEA8B72">
        <w:rPr>
          <w:rFonts w:eastAsia="Times New Roman" w:cs="Times New Roman"/>
          <w:color w:val="000000"/>
        </w:rPr>
        <w:t xml:space="preserve">Beaudreaux </w:t>
      </w:r>
      <w:r w:rsidRPr="3CEA8B72">
        <w:rPr>
          <w:rFonts w:eastAsia="Times New Roman" w:cs="Times New Roman"/>
          <w:color w:val="000000"/>
        </w:rPr>
        <w:t xml:space="preserve">draws from </w:t>
      </w:r>
      <w:r w:rsidR="00D042AE" w:rsidRPr="3CEA8B72">
        <w:rPr>
          <w:rFonts w:eastAsia="Times New Roman" w:cs="Times New Roman"/>
          <w:color w:val="000000"/>
        </w:rPr>
        <w:t xml:space="preserve">that </w:t>
      </w:r>
      <w:r w:rsidR="008C2E2F" w:rsidRPr="3CEA8B72">
        <w:rPr>
          <w:rFonts w:eastAsia="Times New Roman" w:cs="Times New Roman"/>
          <w:color w:val="000000"/>
        </w:rPr>
        <w:t xml:space="preserve">premise </w:t>
      </w:r>
      <w:r w:rsidRPr="3CEA8B72">
        <w:rPr>
          <w:rFonts w:eastAsia="Times New Roman" w:cs="Times New Roman"/>
          <w:color w:val="000000"/>
        </w:rPr>
        <w:t>is incorrect</w:t>
      </w:r>
      <w:r w:rsidR="009A2A40" w:rsidRPr="3CEA8B72">
        <w:rPr>
          <w:rFonts w:eastAsia="Times New Roman" w:cs="Times New Roman"/>
          <w:color w:val="000000"/>
        </w:rPr>
        <w:t xml:space="preserve"> on th</w:t>
      </w:r>
      <w:r w:rsidR="00290856" w:rsidRPr="3CEA8B72">
        <w:rPr>
          <w:rFonts w:eastAsia="Times New Roman" w:cs="Times New Roman"/>
          <w:color w:val="000000"/>
        </w:rPr>
        <w:t>e</w:t>
      </w:r>
      <w:r w:rsidR="009A2A40" w:rsidRPr="3CEA8B72">
        <w:rPr>
          <w:rFonts w:eastAsia="Times New Roman" w:cs="Times New Roman"/>
          <w:color w:val="000000"/>
        </w:rPr>
        <w:t xml:space="preserve"> record</w:t>
      </w:r>
      <w:r w:rsidR="00290856" w:rsidRPr="3CEA8B72">
        <w:rPr>
          <w:rFonts w:eastAsia="Times New Roman" w:cs="Times New Roman"/>
          <w:color w:val="000000"/>
        </w:rPr>
        <w:t xml:space="preserve"> before us</w:t>
      </w:r>
      <w:r w:rsidRPr="3CEA8B72">
        <w:rPr>
          <w:rFonts w:eastAsia="Times New Roman" w:cs="Times New Roman"/>
          <w:color w:val="000000"/>
        </w:rPr>
        <w:t xml:space="preserve">.  </w:t>
      </w:r>
      <w:r w:rsidR="00B17020" w:rsidRPr="0047783C">
        <w:rPr>
          <w:rFonts w:eastAsia="Times New Roman" w:cs="Times New Roman"/>
          <w:i/>
          <w:iCs/>
          <w:color w:val="000000"/>
        </w:rPr>
        <w:t>Offley</w:t>
      </w:r>
      <w:r w:rsidR="00B17020">
        <w:rPr>
          <w:rFonts w:eastAsia="Times New Roman" w:cs="Times New Roman"/>
          <w:color w:val="000000"/>
        </w:rPr>
        <w:t xml:space="preserve"> is inapposite </w:t>
      </w:r>
      <w:r w:rsidR="00C732B0">
        <w:rPr>
          <w:rFonts w:eastAsia="Times New Roman" w:cs="Times New Roman"/>
          <w:color w:val="000000"/>
        </w:rPr>
        <w:t>because n</w:t>
      </w:r>
      <w:r w:rsidR="00827CFC" w:rsidRPr="0047783C">
        <w:rPr>
          <w:rFonts w:eastAsia="Times New Roman" w:cs="Times New Roman"/>
          <w:color w:val="000000"/>
        </w:rPr>
        <w:t>o natural and probabl</w:t>
      </w:r>
      <w:r w:rsidR="00926D8A">
        <w:rPr>
          <w:rFonts w:eastAsia="Times New Roman" w:cs="Times New Roman"/>
          <w:color w:val="000000"/>
        </w:rPr>
        <w:t>e</w:t>
      </w:r>
      <w:r w:rsidR="00827CFC" w:rsidRPr="0047783C">
        <w:rPr>
          <w:rFonts w:eastAsia="Times New Roman" w:cs="Times New Roman"/>
          <w:color w:val="000000"/>
        </w:rPr>
        <w:t xml:space="preserve"> consequences instruction was given </w:t>
      </w:r>
      <w:r w:rsidR="004F7054">
        <w:rPr>
          <w:rFonts w:eastAsia="Times New Roman" w:cs="Times New Roman"/>
          <w:color w:val="000000"/>
        </w:rPr>
        <w:t>here.</w:t>
      </w:r>
      <w:r w:rsidR="005C7960">
        <w:rPr>
          <w:rFonts w:eastAsia="Times New Roman" w:cs="Times New Roman"/>
          <w:color w:val="000000"/>
        </w:rPr>
        <w:t xml:space="preserve">  </w:t>
      </w:r>
      <w:r w:rsidR="00FA6247">
        <w:rPr>
          <w:rFonts w:eastAsia="Times New Roman" w:cs="Times New Roman"/>
          <w:color w:val="000000"/>
        </w:rPr>
        <w:t>T</w:t>
      </w:r>
      <w:r w:rsidR="005C7960">
        <w:rPr>
          <w:rFonts w:eastAsia="Times New Roman" w:cs="Times New Roman"/>
          <w:color w:val="000000"/>
        </w:rPr>
        <w:t xml:space="preserve">he </w:t>
      </w:r>
      <w:r w:rsidR="00560AF4" w:rsidRPr="0047783C">
        <w:rPr>
          <w:rFonts w:eastAsia="Times New Roman" w:cs="Times New Roman"/>
          <w:i/>
          <w:iCs/>
          <w:color w:val="000000"/>
        </w:rPr>
        <w:t>Offley</w:t>
      </w:r>
      <w:r w:rsidR="00560AF4" w:rsidRPr="0047783C">
        <w:rPr>
          <w:rFonts w:eastAsia="Times New Roman" w:cs="Times New Roman"/>
          <w:color w:val="000000"/>
        </w:rPr>
        <w:t xml:space="preserve"> </w:t>
      </w:r>
      <w:r w:rsidR="005C7960">
        <w:rPr>
          <w:rFonts w:eastAsia="Times New Roman" w:cs="Times New Roman"/>
          <w:color w:val="000000"/>
        </w:rPr>
        <w:t xml:space="preserve">court </w:t>
      </w:r>
      <w:r w:rsidR="00560AF4" w:rsidRPr="0047783C">
        <w:rPr>
          <w:rFonts w:eastAsia="Times New Roman" w:cs="Times New Roman"/>
          <w:color w:val="000000"/>
        </w:rPr>
        <w:t>was careful to recognize th</w:t>
      </w:r>
      <w:r w:rsidR="00FA6247">
        <w:rPr>
          <w:rFonts w:eastAsia="Times New Roman" w:cs="Times New Roman"/>
          <w:color w:val="000000"/>
        </w:rPr>
        <w:t>is</w:t>
      </w:r>
      <w:r w:rsidR="00560AF4" w:rsidRPr="0047783C">
        <w:rPr>
          <w:rFonts w:eastAsia="Times New Roman" w:cs="Times New Roman"/>
          <w:color w:val="000000"/>
        </w:rPr>
        <w:t xml:space="preserve"> </w:t>
      </w:r>
      <w:r w:rsidR="00D042AE">
        <w:rPr>
          <w:rFonts w:eastAsia="Times New Roman" w:cs="Times New Roman"/>
          <w:color w:val="000000"/>
        </w:rPr>
        <w:t xml:space="preserve">key </w:t>
      </w:r>
      <w:r w:rsidR="00560AF4" w:rsidRPr="0047783C">
        <w:rPr>
          <w:rFonts w:eastAsia="Times New Roman" w:cs="Times New Roman"/>
          <w:color w:val="000000"/>
        </w:rPr>
        <w:t xml:space="preserve">distinction, commenting that </w:t>
      </w:r>
      <w:r w:rsidR="00635188" w:rsidRPr="0047783C">
        <w:rPr>
          <w:rFonts w:eastAsia="Times New Roman" w:cs="Times New Roman"/>
          <w:color w:val="000000"/>
        </w:rPr>
        <w:t xml:space="preserve">“if the jury did not receive an instruction on the natural and probable consequences doctrine, the jury could not have convicted the defendant on that basis, and the petition should be summarily denied.” </w:t>
      </w:r>
      <w:r w:rsidR="00B70586">
        <w:rPr>
          <w:rFonts w:eastAsia="Times New Roman" w:cs="Times New Roman"/>
          <w:color w:val="000000"/>
        </w:rPr>
        <w:t xml:space="preserve"> </w:t>
      </w:r>
      <w:r w:rsidR="00635188" w:rsidRPr="0047783C">
        <w:rPr>
          <w:rFonts w:eastAsia="Times New Roman" w:cs="Times New Roman"/>
          <w:color w:val="000000"/>
        </w:rPr>
        <w:t>(</w:t>
      </w:r>
      <w:r w:rsidR="00AC7A7B" w:rsidRPr="3CEA8B72">
        <w:rPr>
          <w:rFonts w:eastAsia="Times New Roman" w:cs="Times New Roman"/>
          <w:i/>
          <w:color w:val="000000" w:themeColor="text1"/>
        </w:rPr>
        <w:t>Offley</w:t>
      </w:r>
      <w:r w:rsidR="009E61F2" w:rsidRPr="004745D4">
        <w:rPr>
          <w:rFonts w:eastAsia="Times New Roman" w:cs="Times New Roman"/>
          <w:color w:val="000000" w:themeColor="text1"/>
        </w:rPr>
        <w:t>,</w:t>
      </w:r>
      <w:r w:rsidR="009E61F2" w:rsidRPr="3CEA8B72">
        <w:rPr>
          <w:rFonts w:eastAsia="Times New Roman" w:cs="Times New Roman"/>
          <w:i/>
          <w:color w:val="000000" w:themeColor="text1"/>
        </w:rPr>
        <w:t xml:space="preserve"> supra</w:t>
      </w:r>
      <w:r w:rsidR="009E61F2" w:rsidRPr="00525D5C">
        <w:rPr>
          <w:rFonts w:eastAsia="Times New Roman" w:cs="Times New Roman"/>
          <w:color w:val="000000" w:themeColor="text1"/>
        </w:rPr>
        <w:t>, 48</w:t>
      </w:r>
      <w:r w:rsidR="00490ED7">
        <w:rPr>
          <w:rFonts w:eastAsia="Times New Roman" w:cs="Times New Roman"/>
          <w:color w:val="000000" w:themeColor="text1"/>
        </w:rPr>
        <w:t> </w:t>
      </w:r>
      <w:r w:rsidR="009E61F2" w:rsidRPr="00525D5C">
        <w:rPr>
          <w:rFonts w:eastAsia="Times New Roman" w:cs="Times New Roman"/>
          <w:color w:val="000000" w:themeColor="text1"/>
        </w:rPr>
        <w:t>Cal.App.5th</w:t>
      </w:r>
      <w:r w:rsidR="0067751B" w:rsidRPr="0047783C">
        <w:rPr>
          <w:rFonts w:eastAsia="Times New Roman" w:cs="Times New Roman"/>
          <w:color w:val="000000"/>
        </w:rPr>
        <w:t xml:space="preserve"> at p.</w:t>
      </w:r>
      <w:r w:rsidR="00490ED7">
        <w:rPr>
          <w:rFonts w:eastAsia="Times New Roman" w:cs="Times New Roman"/>
          <w:color w:val="000000"/>
        </w:rPr>
        <w:t> </w:t>
      </w:r>
      <w:r w:rsidR="0067751B" w:rsidRPr="0047783C">
        <w:rPr>
          <w:rFonts w:eastAsia="Times New Roman" w:cs="Times New Roman"/>
          <w:color w:val="000000"/>
        </w:rPr>
        <w:t>599</w:t>
      </w:r>
      <w:r w:rsidR="00D5242D">
        <w:rPr>
          <w:rFonts w:eastAsia="Times New Roman" w:cs="Times New Roman"/>
          <w:color w:val="000000"/>
        </w:rPr>
        <w:t>.</w:t>
      </w:r>
      <w:r w:rsidR="00635188" w:rsidRPr="0047783C">
        <w:rPr>
          <w:rFonts w:eastAsia="Times New Roman" w:cs="Times New Roman"/>
          <w:color w:val="000000"/>
        </w:rPr>
        <w:t>)</w:t>
      </w:r>
    </w:p>
    <w:p w14:paraId="322F71EF" w14:textId="7AC78FAD" w:rsidR="00D76236" w:rsidRPr="004228AD" w:rsidRDefault="00C42495" w:rsidP="00D042AE">
      <w:pPr>
        <w:pStyle w:val="FootnoteText"/>
        <w:spacing w:after="0" w:line="360" w:lineRule="auto"/>
        <w:rPr>
          <w:rFonts w:eastAsia="Times New Roman" w:cs="Times New Roman"/>
          <w:color w:val="000000"/>
        </w:rPr>
      </w:pPr>
      <w:r>
        <w:rPr>
          <w:rFonts w:eastAsia="Times New Roman" w:cs="Times New Roman"/>
          <w:color w:val="000000"/>
        </w:rPr>
        <w:t xml:space="preserve">Beaudreaux’s </w:t>
      </w:r>
      <w:r w:rsidR="00CC0C29" w:rsidRPr="0047783C">
        <w:rPr>
          <w:rFonts w:eastAsia="Times New Roman" w:cs="Times New Roman"/>
          <w:color w:val="000000"/>
        </w:rPr>
        <w:t>case turns instead on whether</w:t>
      </w:r>
      <w:r w:rsidR="00CC0C29" w:rsidRPr="00635188">
        <w:rPr>
          <w:rFonts w:eastAsia="Times New Roman" w:cs="Times New Roman"/>
          <w:color w:val="000000"/>
        </w:rPr>
        <w:t xml:space="preserve"> </w:t>
      </w:r>
      <w:r>
        <w:rPr>
          <w:rFonts w:eastAsia="Times New Roman" w:cs="Times New Roman"/>
          <w:color w:val="000000"/>
        </w:rPr>
        <w:t xml:space="preserve">he </w:t>
      </w:r>
      <w:r w:rsidR="00272331" w:rsidRPr="00635188">
        <w:rPr>
          <w:rFonts w:eastAsia="Times New Roman" w:cs="Times New Roman"/>
          <w:color w:val="000000"/>
        </w:rPr>
        <w:t xml:space="preserve">could </w:t>
      </w:r>
      <w:r w:rsidR="00783F20" w:rsidRPr="00635188">
        <w:rPr>
          <w:rFonts w:eastAsia="Times New Roman" w:cs="Times New Roman"/>
          <w:color w:val="000000"/>
        </w:rPr>
        <w:t xml:space="preserve">be validly </w:t>
      </w:r>
      <w:r w:rsidR="00783F20">
        <w:rPr>
          <w:rFonts w:eastAsia="Times New Roman" w:cs="Times New Roman"/>
          <w:color w:val="000000"/>
        </w:rPr>
        <w:t xml:space="preserve">convicted of </w:t>
      </w:r>
      <w:r w:rsidR="00827B7B">
        <w:rPr>
          <w:rFonts w:eastAsia="Times New Roman" w:cs="Times New Roman"/>
          <w:color w:val="000000"/>
        </w:rPr>
        <w:t xml:space="preserve">robbery </w:t>
      </w:r>
      <w:r w:rsidR="001E2AA1">
        <w:rPr>
          <w:rFonts w:eastAsia="Times New Roman" w:cs="Times New Roman"/>
          <w:color w:val="000000"/>
        </w:rPr>
        <w:t xml:space="preserve">felony </w:t>
      </w:r>
      <w:r w:rsidR="00262A81">
        <w:rPr>
          <w:rFonts w:eastAsia="Times New Roman" w:cs="Times New Roman"/>
          <w:color w:val="000000"/>
        </w:rPr>
        <w:t xml:space="preserve">murder </w:t>
      </w:r>
      <w:r w:rsidR="001E2AA1">
        <w:rPr>
          <w:rFonts w:eastAsia="Times New Roman" w:cs="Times New Roman"/>
          <w:color w:val="000000"/>
        </w:rPr>
        <w:t xml:space="preserve">today </w:t>
      </w:r>
      <w:r w:rsidR="00251BEA">
        <w:rPr>
          <w:rFonts w:eastAsia="Times New Roman" w:cs="Times New Roman"/>
          <w:color w:val="000000"/>
        </w:rPr>
        <w:t xml:space="preserve">under section </w:t>
      </w:r>
      <w:r w:rsidR="00431EE3">
        <w:rPr>
          <w:rFonts w:eastAsia="Times New Roman" w:cs="Times New Roman"/>
          <w:color w:val="000000"/>
        </w:rPr>
        <w:t>189, subdivision (a)</w:t>
      </w:r>
      <w:r w:rsidR="00BB7DAD">
        <w:rPr>
          <w:rFonts w:eastAsia="Times New Roman" w:cs="Times New Roman"/>
          <w:color w:val="000000"/>
        </w:rPr>
        <w:t xml:space="preserve">, which in turn depends on whether </w:t>
      </w:r>
      <w:r w:rsidR="005704DD">
        <w:rPr>
          <w:rFonts w:eastAsia="Times New Roman" w:cs="Times New Roman"/>
          <w:color w:val="000000"/>
        </w:rPr>
        <w:t xml:space="preserve">his </w:t>
      </w:r>
      <w:r w:rsidR="00BB7DAD">
        <w:rPr>
          <w:rFonts w:eastAsia="Times New Roman" w:cs="Times New Roman"/>
          <w:color w:val="000000"/>
        </w:rPr>
        <w:t>jury found he was</w:t>
      </w:r>
      <w:r w:rsidR="00062074">
        <w:rPr>
          <w:rFonts w:eastAsia="Times New Roman" w:cs="Times New Roman"/>
          <w:color w:val="000000"/>
        </w:rPr>
        <w:t xml:space="preserve"> Drummond’s actual killer </w:t>
      </w:r>
      <w:r w:rsidR="00E85F56">
        <w:rPr>
          <w:rFonts w:eastAsia="Times New Roman" w:cs="Times New Roman"/>
          <w:color w:val="000000"/>
        </w:rPr>
        <w:t xml:space="preserve">for purposes of section 189, subdivision (e). </w:t>
      </w:r>
      <w:r w:rsidR="00827B7B">
        <w:rPr>
          <w:rFonts w:eastAsia="Times New Roman" w:cs="Times New Roman"/>
          <w:color w:val="000000"/>
        </w:rPr>
        <w:t xml:space="preserve"> </w:t>
      </w:r>
      <w:r w:rsidR="005D39EB" w:rsidRPr="004228AD">
        <w:rPr>
          <w:rFonts w:eastAsia="Times New Roman" w:cs="Times New Roman"/>
          <w:color w:val="000000"/>
        </w:rPr>
        <w:t xml:space="preserve">We think it </w:t>
      </w:r>
      <w:r w:rsidR="00A63078">
        <w:rPr>
          <w:rFonts w:eastAsia="Times New Roman" w:cs="Times New Roman"/>
          <w:color w:val="000000"/>
        </w:rPr>
        <w:t xml:space="preserve">unavoidable that that is precisely what the record shows.  </w:t>
      </w:r>
      <w:r w:rsidR="00E70887">
        <w:rPr>
          <w:rFonts w:eastAsia="Times New Roman" w:cs="Times New Roman"/>
          <w:color w:val="000000"/>
        </w:rPr>
        <w:t>In a</w:t>
      </w:r>
      <w:r w:rsidR="00C55C26">
        <w:rPr>
          <w:rFonts w:eastAsia="Times New Roman" w:cs="Times New Roman"/>
          <w:color w:val="000000"/>
        </w:rPr>
        <w:t xml:space="preserve">n </w:t>
      </w:r>
      <w:r w:rsidR="00E70887">
        <w:rPr>
          <w:rFonts w:eastAsia="Times New Roman" w:cs="Times New Roman"/>
          <w:color w:val="000000"/>
        </w:rPr>
        <w:t>effort to persuade us to the contrary</w:t>
      </w:r>
      <w:r w:rsidR="000F39BF">
        <w:rPr>
          <w:rFonts w:eastAsia="Times New Roman" w:cs="Times New Roman"/>
          <w:color w:val="000000"/>
        </w:rPr>
        <w:t xml:space="preserve">, Beaudreaux </w:t>
      </w:r>
      <w:r w:rsidR="00A272FE">
        <w:rPr>
          <w:rFonts w:eastAsia="Times New Roman" w:cs="Times New Roman"/>
          <w:color w:val="000000"/>
        </w:rPr>
        <w:t xml:space="preserve">offers </w:t>
      </w:r>
      <w:r w:rsidR="00DF4D73">
        <w:rPr>
          <w:rFonts w:eastAsia="Times New Roman" w:cs="Times New Roman"/>
          <w:color w:val="000000"/>
        </w:rPr>
        <w:t xml:space="preserve">a second line of </w:t>
      </w:r>
      <w:r w:rsidR="007A3E4C">
        <w:rPr>
          <w:rFonts w:eastAsia="Times New Roman" w:cs="Times New Roman"/>
          <w:color w:val="000000"/>
        </w:rPr>
        <w:t>argument</w:t>
      </w:r>
      <w:r w:rsidR="00047DD2">
        <w:rPr>
          <w:rFonts w:eastAsia="Times New Roman" w:cs="Times New Roman"/>
          <w:color w:val="000000"/>
        </w:rPr>
        <w:t>:</w:t>
      </w:r>
      <w:r w:rsidR="000E04CB">
        <w:rPr>
          <w:rFonts w:eastAsia="Times New Roman" w:cs="Times New Roman"/>
          <w:color w:val="000000"/>
        </w:rPr>
        <w:t xml:space="preserve">  </w:t>
      </w:r>
      <w:r w:rsidR="00FA47EE">
        <w:rPr>
          <w:rFonts w:eastAsia="Times New Roman" w:cs="Times New Roman"/>
          <w:color w:val="000000"/>
        </w:rPr>
        <w:t>He claims</w:t>
      </w:r>
      <w:r w:rsidR="00EC41E2" w:rsidRPr="004228AD">
        <w:rPr>
          <w:rFonts w:eastAsia="Times New Roman" w:cs="Times New Roman"/>
          <w:color w:val="000000"/>
        </w:rPr>
        <w:t xml:space="preserve"> </w:t>
      </w:r>
      <w:r w:rsidR="00BF43B1" w:rsidRPr="004228AD">
        <w:rPr>
          <w:rFonts w:eastAsia="Times New Roman" w:cs="Times New Roman"/>
          <w:color w:val="000000"/>
        </w:rPr>
        <w:t xml:space="preserve">a </w:t>
      </w:r>
      <w:r w:rsidR="001E0D13" w:rsidRPr="004228AD">
        <w:rPr>
          <w:rFonts w:eastAsia="Times New Roman" w:cs="Times New Roman"/>
          <w:color w:val="000000"/>
        </w:rPr>
        <w:t>section 12022.53, subdivision (d)</w:t>
      </w:r>
      <w:r w:rsidR="00D86AC5" w:rsidRPr="004228AD">
        <w:rPr>
          <w:rFonts w:eastAsia="Times New Roman" w:cs="Times New Roman"/>
          <w:color w:val="000000"/>
        </w:rPr>
        <w:t>,</w:t>
      </w:r>
      <w:r w:rsidR="001D712C">
        <w:rPr>
          <w:rFonts w:eastAsia="Times New Roman" w:cs="Times New Roman"/>
          <w:color w:val="000000"/>
        </w:rPr>
        <w:t xml:space="preserve"> firearm use</w:t>
      </w:r>
      <w:r w:rsidR="00D86AC5" w:rsidRPr="004228AD">
        <w:rPr>
          <w:rFonts w:eastAsia="Times New Roman" w:cs="Times New Roman"/>
          <w:color w:val="000000"/>
        </w:rPr>
        <w:t xml:space="preserve"> finding </w:t>
      </w:r>
      <w:r w:rsidR="00E53530" w:rsidRPr="004228AD">
        <w:rPr>
          <w:rFonts w:eastAsia="Times New Roman" w:cs="Times New Roman"/>
          <w:color w:val="000000"/>
        </w:rPr>
        <w:t>does not necessarily establish th</w:t>
      </w:r>
      <w:r w:rsidR="00E41CA5">
        <w:rPr>
          <w:rFonts w:eastAsia="Times New Roman" w:cs="Times New Roman"/>
          <w:color w:val="000000"/>
        </w:rPr>
        <w:t xml:space="preserve">at </w:t>
      </w:r>
      <w:r w:rsidR="0039027B" w:rsidRPr="004228AD">
        <w:rPr>
          <w:rFonts w:eastAsia="Times New Roman" w:cs="Times New Roman"/>
          <w:color w:val="000000"/>
        </w:rPr>
        <w:t xml:space="preserve">he </w:t>
      </w:r>
      <w:r w:rsidR="0094402B" w:rsidRPr="00305675">
        <w:rPr>
          <w:rFonts w:eastAsia="Times New Roman" w:cs="Times New Roman"/>
          <w:color w:val="000000"/>
        </w:rPr>
        <w:t>personally</w:t>
      </w:r>
      <w:r w:rsidR="0094402B" w:rsidRPr="004228AD">
        <w:rPr>
          <w:rFonts w:eastAsia="Times New Roman" w:cs="Times New Roman"/>
          <w:color w:val="000000"/>
        </w:rPr>
        <w:t xml:space="preserve"> </w:t>
      </w:r>
      <w:r w:rsidR="0094402B" w:rsidRPr="00292375">
        <w:rPr>
          <w:rFonts w:eastAsia="Times New Roman" w:cs="Times New Roman"/>
          <w:i/>
          <w:iCs/>
          <w:color w:val="000000"/>
        </w:rPr>
        <w:t>caused</w:t>
      </w:r>
      <w:r w:rsidR="0094402B" w:rsidRPr="004228AD">
        <w:rPr>
          <w:rFonts w:eastAsia="Times New Roman" w:cs="Times New Roman"/>
          <w:color w:val="000000"/>
        </w:rPr>
        <w:t xml:space="preserve"> </w:t>
      </w:r>
      <w:r w:rsidR="00E41CA5">
        <w:rPr>
          <w:rFonts w:eastAsia="Times New Roman" w:cs="Times New Roman"/>
          <w:color w:val="000000"/>
        </w:rPr>
        <w:t xml:space="preserve">Drummond’s </w:t>
      </w:r>
      <w:r w:rsidR="0094402B" w:rsidRPr="004228AD">
        <w:rPr>
          <w:rFonts w:eastAsia="Times New Roman" w:cs="Times New Roman"/>
          <w:color w:val="000000"/>
        </w:rPr>
        <w:t>death</w:t>
      </w:r>
      <w:r w:rsidR="00220877" w:rsidRPr="004228AD">
        <w:rPr>
          <w:rFonts w:eastAsia="Times New Roman" w:cs="Times New Roman"/>
          <w:color w:val="000000"/>
        </w:rPr>
        <w:t>.</w:t>
      </w:r>
      <w:r w:rsidR="00A102EB" w:rsidRPr="004228AD">
        <w:rPr>
          <w:rFonts w:eastAsia="Times New Roman" w:cs="Times New Roman"/>
          <w:color w:val="000000"/>
        </w:rPr>
        <w:t xml:space="preserve"> </w:t>
      </w:r>
      <w:r w:rsidR="00B65D99">
        <w:rPr>
          <w:rFonts w:eastAsia="Times New Roman" w:cs="Times New Roman"/>
          <w:color w:val="000000"/>
        </w:rPr>
        <w:t xml:space="preserve"> </w:t>
      </w:r>
      <w:r w:rsidR="000E04CB">
        <w:rPr>
          <w:rFonts w:eastAsia="Times New Roman" w:cs="Times New Roman"/>
          <w:color w:val="000000"/>
        </w:rPr>
        <w:t xml:space="preserve">This is a variation on the </w:t>
      </w:r>
      <w:r w:rsidR="000E04CB" w:rsidRPr="005704DD">
        <w:rPr>
          <w:rFonts w:eastAsia="Times New Roman" w:cs="Times New Roman"/>
          <w:i/>
          <w:iCs/>
          <w:color w:val="000000"/>
        </w:rPr>
        <w:t>Offley</w:t>
      </w:r>
      <w:r w:rsidR="00B65D99">
        <w:rPr>
          <w:rFonts w:eastAsia="Times New Roman" w:cs="Times New Roman"/>
          <w:color w:val="000000"/>
        </w:rPr>
        <w:t xml:space="preserve"> </w:t>
      </w:r>
      <w:r w:rsidR="008E67FF">
        <w:rPr>
          <w:rFonts w:eastAsia="Times New Roman" w:cs="Times New Roman"/>
          <w:color w:val="000000"/>
        </w:rPr>
        <w:t>rationa</w:t>
      </w:r>
      <w:r w:rsidR="00047DD2">
        <w:rPr>
          <w:rFonts w:eastAsia="Times New Roman" w:cs="Times New Roman"/>
          <w:color w:val="000000"/>
        </w:rPr>
        <w:t>l</w:t>
      </w:r>
      <w:r w:rsidR="008E67FF">
        <w:rPr>
          <w:rFonts w:eastAsia="Times New Roman" w:cs="Times New Roman"/>
          <w:color w:val="000000"/>
        </w:rPr>
        <w:t>e, adapted to causation</w:t>
      </w:r>
      <w:r w:rsidR="00047DD2">
        <w:rPr>
          <w:rFonts w:eastAsia="Times New Roman" w:cs="Times New Roman"/>
          <w:color w:val="000000"/>
        </w:rPr>
        <w:t xml:space="preserve"> rather than mens rea. </w:t>
      </w:r>
      <w:r w:rsidR="008E67FF">
        <w:rPr>
          <w:rFonts w:eastAsia="Times New Roman" w:cs="Times New Roman"/>
          <w:color w:val="000000"/>
        </w:rPr>
        <w:t xml:space="preserve"> </w:t>
      </w:r>
      <w:r w:rsidR="002E38F5">
        <w:rPr>
          <w:rFonts w:eastAsia="Times New Roman" w:cs="Times New Roman"/>
          <w:color w:val="000000"/>
        </w:rPr>
        <w:t xml:space="preserve">Focusing here on </w:t>
      </w:r>
      <w:r w:rsidR="00E846CE">
        <w:rPr>
          <w:rFonts w:eastAsia="Times New Roman" w:cs="Times New Roman"/>
          <w:color w:val="000000"/>
        </w:rPr>
        <w:t xml:space="preserve">Crowder’s </w:t>
      </w:r>
      <w:r w:rsidR="002E38F5">
        <w:rPr>
          <w:rFonts w:eastAsia="Times New Roman" w:cs="Times New Roman"/>
          <w:color w:val="000000"/>
        </w:rPr>
        <w:t xml:space="preserve">possible </w:t>
      </w:r>
      <w:r w:rsidR="0001565D">
        <w:rPr>
          <w:rFonts w:eastAsia="Times New Roman" w:cs="Times New Roman"/>
          <w:color w:val="000000"/>
        </w:rPr>
        <w:t xml:space="preserve">physical </w:t>
      </w:r>
      <w:r w:rsidR="002E38F5">
        <w:rPr>
          <w:rFonts w:eastAsia="Times New Roman" w:cs="Times New Roman"/>
          <w:color w:val="000000"/>
        </w:rPr>
        <w:t xml:space="preserve">involvement </w:t>
      </w:r>
      <w:r w:rsidR="00CA2F88">
        <w:rPr>
          <w:rFonts w:eastAsia="Times New Roman" w:cs="Times New Roman"/>
          <w:color w:val="000000"/>
        </w:rPr>
        <w:t xml:space="preserve">in Drummond’s demise, </w:t>
      </w:r>
      <w:r w:rsidR="00330DE0">
        <w:rPr>
          <w:rFonts w:eastAsia="Times New Roman" w:cs="Times New Roman"/>
          <w:color w:val="000000"/>
        </w:rPr>
        <w:t>Beaudreaux</w:t>
      </w:r>
      <w:r w:rsidR="00CA2F88">
        <w:rPr>
          <w:rFonts w:eastAsia="Times New Roman" w:cs="Times New Roman"/>
          <w:color w:val="000000"/>
        </w:rPr>
        <w:t xml:space="preserve"> claims </w:t>
      </w:r>
      <w:r w:rsidR="00125F99">
        <w:rPr>
          <w:rFonts w:eastAsia="Times New Roman" w:cs="Times New Roman"/>
          <w:color w:val="000000"/>
        </w:rPr>
        <w:t xml:space="preserve">it is impossible on this </w:t>
      </w:r>
      <w:r w:rsidR="00D74441">
        <w:rPr>
          <w:rFonts w:eastAsia="Times New Roman" w:cs="Times New Roman"/>
          <w:color w:val="000000"/>
        </w:rPr>
        <w:t xml:space="preserve">murky </w:t>
      </w:r>
      <w:r w:rsidR="00125F99">
        <w:rPr>
          <w:rFonts w:eastAsia="Times New Roman" w:cs="Times New Roman"/>
          <w:color w:val="000000"/>
        </w:rPr>
        <w:t xml:space="preserve">record to determine whether </w:t>
      </w:r>
      <w:r w:rsidR="00AA5610">
        <w:rPr>
          <w:rFonts w:eastAsia="Times New Roman" w:cs="Times New Roman"/>
          <w:color w:val="000000"/>
        </w:rPr>
        <w:t>h</w:t>
      </w:r>
      <w:r w:rsidR="006D6947">
        <w:rPr>
          <w:rFonts w:eastAsia="Times New Roman" w:cs="Times New Roman"/>
          <w:color w:val="000000"/>
        </w:rPr>
        <w:t xml:space="preserve">e </w:t>
      </w:r>
      <w:r w:rsidR="00292D87">
        <w:rPr>
          <w:rFonts w:eastAsia="Times New Roman" w:cs="Times New Roman"/>
          <w:color w:val="000000"/>
        </w:rPr>
        <w:t>w</w:t>
      </w:r>
      <w:r w:rsidR="006D6947">
        <w:rPr>
          <w:rFonts w:eastAsia="Times New Roman" w:cs="Times New Roman"/>
          <w:color w:val="000000"/>
        </w:rPr>
        <w:t xml:space="preserve">as convicted of </w:t>
      </w:r>
      <w:r w:rsidR="00125F99">
        <w:rPr>
          <w:rFonts w:eastAsia="Times New Roman" w:cs="Times New Roman"/>
          <w:color w:val="000000"/>
        </w:rPr>
        <w:t xml:space="preserve">murder </w:t>
      </w:r>
      <w:r w:rsidR="00AC4587">
        <w:rPr>
          <w:rFonts w:eastAsia="Times New Roman" w:cs="Times New Roman"/>
          <w:color w:val="000000"/>
        </w:rPr>
        <w:t>for committing an act t</w:t>
      </w:r>
      <w:r w:rsidR="00EC72EE" w:rsidRPr="004228AD">
        <w:rPr>
          <w:rFonts w:eastAsia="Times New Roman" w:cs="Times New Roman"/>
          <w:color w:val="000000"/>
        </w:rPr>
        <w:t xml:space="preserve">hat </w:t>
      </w:r>
      <w:r w:rsidR="009A01C6" w:rsidRPr="004228AD">
        <w:rPr>
          <w:rFonts w:eastAsia="Times New Roman" w:cs="Times New Roman"/>
          <w:color w:val="000000"/>
        </w:rPr>
        <w:t xml:space="preserve">may have </w:t>
      </w:r>
      <w:r w:rsidR="00EC72EE" w:rsidRPr="004228AD">
        <w:rPr>
          <w:rFonts w:eastAsia="Times New Roman" w:cs="Times New Roman"/>
          <w:color w:val="000000"/>
        </w:rPr>
        <w:t xml:space="preserve">led </w:t>
      </w:r>
      <w:r w:rsidR="002702AC">
        <w:rPr>
          <w:rFonts w:eastAsia="Times New Roman" w:cs="Times New Roman"/>
          <w:color w:val="000000"/>
        </w:rPr>
        <w:t xml:space="preserve">indirectly </w:t>
      </w:r>
      <w:r w:rsidR="00EC72EE" w:rsidRPr="004228AD">
        <w:rPr>
          <w:rFonts w:eastAsia="Times New Roman" w:cs="Times New Roman"/>
          <w:color w:val="000000"/>
        </w:rPr>
        <w:t xml:space="preserve">to </w:t>
      </w:r>
      <w:r w:rsidR="00215713" w:rsidRPr="004228AD">
        <w:rPr>
          <w:rFonts w:eastAsia="Times New Roman" w:cs="Times New Roman"/>
          <w:color w:val="000000"/>
        </w:rPr>
        <w:t>Drummond’s death</w:t>
      </w:r>
      <w:r w:rsidR="00EC72EE" w:rsidRPr="004228AD">
        <w:rPr>
          <w:rFonts w:eastAsia="Times New Roman" w:cs="Times New Roman"/>
          <w:color w:val="000000"/>
        </w:rPr>
        <w:t xml:space="preserve">, </w:t>
      </w:r>
      <w:r w:rsidR="00B2413D" w:rsidRPr="004228AD">
        <w:rPr>
          <w:rFonts w:eastAsia="Times New Roman" w:cs="Times New Roman"/>
          <w:color w:val="000000"/>
        </w:rPr>
        <w:t xml:space="preserve">but </w:t>
      </w:r>
      <w:r w:rsidRPr="004228AD">
        <w:rPr>
          <w:rFonts w:eastAsia="Times New Roman" w:cs="Times New Roman"/>
          <w:color w:val="000000"/>
        </w:rPr>
        <w:t xml:space="preserve">for which </w:t>
      </w:r>
      <w:r w:rsidR="00FD0E08">
        <w:rPr>
          <w:rFonts w:eastAsia="Times New Roman" w:cs="Times New Roman"/>
          <w:color w:val="000000"/>
        </w:rPr>
        <w:t>the jury</w:t>
      </w:r>
      <w:r w:rsidR="006D6947">
        <w:rPr>
          <w:rFonts w:eastAsia="Times New Roman" w:cs="Times New Roman"/>
          <w:color w:val="000000"/>
        </w:rPr>
        <w:t xml:space="preserve"> returned a </w:t>
      </w:r>
      <w:r w:rsidR="00AC4587">
        <w:rPr>
          <w:rFonts w:eastAsia="Times New Roman" w:cs="Times New Roman"/>
          <w:color w:val="000000"/>
        </w:rPr>
        <w:t xml:space="preserve">murder </w:t>
      </w:r>
      <w:r w:rsidR="00022C75" w:rsidRPr="004228AD">
        <w:rPr>
          <w:rFonts w:eastAsia="Times New Roman" w:cs="Times New Roman"/>
          <w:color w:val="000000"/>
        </w:rPr>
        <w:t>convict</w:t>
      </w:r>
      <w:r w:rsidR="006D6947">
        <w:rPr>
          <w:rFonts w:eastAsia="Times New Roman" w:cs="Times New Roman"/>
          <w:color w:val="000000"/>
        </w:rPr>
        <w:t xml:space="preserve">ion </w:t>
      </w:r>
      <w:r w:rsidR="004C3EE8" w:rsidRPr="004228AD">
        <w:rPr>
          <w:rFonts w:eastAsia="Times New Roman" w:cs="Times New Roman"/>
          <w:color w:val="000000"/>
        </w:rPr>
        <w:t xml:space="preserve">under </w:t>
      </w:r>
      <w:r w:rsidR="00D11B4C">
        <w:rPr>
          <w:rFonts w:eastAsia="Times New Roman" w:cs="Times New Roman"/>
          <w:color w:val="000000"/>
        </w:rPr>
        <w:t xml:space="preserve">some causation </w:t>
      </w:r>
      <w:r w:rsidR="00753FEC" w:rsidRPr="004228AD">
        <w:rPr>
          <w:rFonts w:eastAsia="Times New Roman" w:cs="Times New Roman"/>
          <w:color w:val="000000"/>
        </w:rPr>
        <w:t xml:space="preserve">theory </w:t>
      </w:r>
      <w:r w:rsidR="00FD0E08">
        <w:rPr>
          <w:rFonts w:eastAsia="Times New Roman" w:cs="Times New Roman"/>
          <w:color w:val="000000"/>
        </w:rPr>
        <w:t xml:space="preserve">short of personal commission of the </w:t>
      </w:r>
      <w:r w:rsidR="00EE5D6D">
        <w:rPr>
          <w:rFonts w:eastAsia="Times New Roman" w:cs="Times New Roman"/>
          <w:color w:val="000000"/>
        </w:rPr>
        <w:t>murder</w:t>
      </w:r>
      <w:r w:rsidR="008832F6">
        <w:rPr>
          <w:rFonts w:eastAsia="Times New Roman" w:cs="Times New Roman"/>
          <w:color w:val="000000"/>
        </w:rPr>
        <w:t>.</w:t>
      </w:r>
      <w:r w:rsidR="00687E6A">
        <w:rPr>
          <w:rFonts w:eastAsia="Times New Roman" w:cs="Times New Roman"/>
          <w:color w:val="000000"/>
        </w:rPr>
        <w:t xml:space="preserve"> </w:t>
      </w:r>
    </w:p>
    <w:p w14:paraId="09643127" w14:textId="6F3567F9" w:rsidR="000852FB" w:rsidRDefault="00C42495" w:rsidP="00FD16EC">
      <w:pPr>
        <w:shd w:val="clear" w:color="auto" w:fill="FFFFFF"/>
        <w:rPr>
          <w:rFonts w:eastAsia="Times New Roman" w:cs="Times New Roman"/>
          <w:color w:val="000000"/>
        </w:rPr>
      </w:pPr>
      <w:r>
        <w:rPr>
          <w:rFonts w:eastAsia="Times New Roman" w:cs="Times New Roman"/>
          <w:color w:val="000000"/>
        </w:rPr>
        <w:lastRenderedPageBreak/>
        <w:t xml:space="preserve">Employing </w:t>
      </w:r>
      <w:r w:rsidR="00D072E0">
        <w:rPr>
          <w:rFonts w:eastAsia="Times New Roman" w:cs="Times New Roman"/>
          <w:color w:val="000000"/>
        </w:rPr>
        <w:t xml:space="preserve">similar </w:t>
      </w:r>
      <w:r w:rsidR="00261EEE">
        <w:rPr>
          <w:rFonts w:eastAsia="Times New Roman" w:cs="Times New Roman"/>
          <w:color w:val="000000"/>
        </w:rPr>
        <w:t>logic</w:t>
      </w:r>
      <w:r w:rsidR="00D072E0">
        <w:rPr>
          <w:rFonts w:eastAsia="Times New Roman" w:cs="Times New Roman"/>
          <w:color w:val="000000"/>
        </w:rPr>
        <w:t>, t</w:t>
      </w:r>
      <w:r w:rsidR="00DD39BC">
        <w:rPr>
          <w:rFonts w:eastAsia="Times New Roman" w:cs="Times New Roman"/>
          <w:color w:val="000000"/>
        </w:rPr>
        <w:t xml:space="preserve">he </w:t>
      </w:r>
      <w:r w:rsidR="002406EB">
        <w:rPr>
          <w:rFonts w:eastAsia="Times New Roman" w:cs="Times New Roman"/>
          <w:color w:val="000000"/>
        </w:rPr>
        <w:t>c</w:t>
      </w:r>
      <w:r w:rsidR="00DD39BC">
        <w:rPr>
          <w:rFonts w:eastAsia="Times New Roman" w:cs="Times New Roman"/>
          <w:color w:val="000000"/>
        </w:rPr>
        <w:t xml:space="preserve">ourt </w:t>
      </w:r>
      <w:r w:rsidR="006172C7">
        <w:rPr>
          <w:rFonts w:eastAsia="Times New Roman" w:cs="Times New Roman"/>
          <w:color w:val="000000"/>
        </w:rPr>
        <w:t xml:space="preserve">in </w:t>
      </w:r>
      <w:r w:rsidR="002406EB" w:rsidRPr="00F4369B">
        <w:rPr>
          <w:rFonts w:eastAsia="Times New Roman" w:cs="Times New Roman"/>
          <w:i/>
          <w:iCs/>
          <w:color w:val="000000"/>
        </w:rPr>
        <w:t>People v. Lopez</w:t>
      </w:r>
      <w:r w:rsidR="002406EB" w:rsidRPr="004228AD">
        <w:rPr>
          <w:rFonts w:eastAsia="Times New Roman" w:cs="Times New Roman"/>
          <w:color w:val="000000"/>
        </w:rPr>
        <w:t xml:space="preserve"> (2022) 78</w:t>
      </w:r>
      <w:r w:rsidR="001F2CA3">
        <w:rPr>
          <w:rFonts w:eastAsia="Times New Roman" w:cs="Times New Roman"/>
          <w:color w:val="000000"/>
        </w:rPr>
        <w:t> </w:t>
      </w:r>
      <w:r w:rsidR="002406EB" w:rsidRPr="004228AD">
        <w:rPr>
          <w:rFonts w:eastAsia="Times New Roman" w:cs="Times New Roman"/>
          <w:color w:val="000000"/>
        </w:rPr>
        <w:t>Cal.App.5th 1, 16</w:t>
      </w:r>
      <w:r w:rsidR="001F2CA3">
        <w:t>–</w:t>
      </w:r>
      <w:r w:rsidR="0019488F">
        <w:rPr>
          <w:rFonts w:eastAsia="Times New Roman" w:cs="Times New Roman"/>
          <w:color w:val="000000"/>
        </w:rPr>
        <w:t>20</w:t>
      </w:r>
      <w:r w:rsidR="002406EB">
        <w:rPr>
          <w:rFonts w:eastAsia="Times New Roman" w:cs="Times New Roman"/>
          <w:color w:val="000000"/>
        </w:rPr>
        <w:t xml:space="preserve"> (</w:t>
      </w:r>
      <w:r w:rsidR="002406EB" w:rsidRPr="00F4369B">
        <w:rPr>
          <w:rFonts w:eastAsia="Times New Roman" w:cs="Times New Roman"/>
          <w:i/>
          <w:iCs/>
          <w:color w:val="000000"/>
        </w:rPr>
        <w:t>Lopez</w:t>
      </w:r>
      <w:r w:rsidR="002406EB">
        <w:rPr>
          <w:rFonts w:eastAsia="Times New Roman" w:cs="Times New Roman"/>
          <w:color w:val="000000"/>
        </w:rPr>
        <w:t xml:space="preserve">) </w:t>
      </w:r>
      <w:r w:rsidR="00DD39BC">
        <w:rPr>
          <w:rFonts w:eastAsia="Times New Roman" w:cs="Times New Roman"/>
          <w:color w:val="000000"/>
        </w:rPr>
        <w:t xml:space="preserve">reversed a section 1172.6 summary </w:t>
      </w:r>
      <w:r w:rsidR="00B50C7E">
        <w:rPr>
          <w:rFonts w:eastAsia="Times New Roman" w:cs="Times New Roman"/>
          <w:color w:val="000000"/>
        </w:rPr>
        <w:t>dismissal</w:t>
      </w:r>
      <w:r w:rsidR="004C0FFB">
        <w:rPr>
          <w:rFonts w:eastAsia="Times New Roman" w:cs="Times New Roman"/>
          <w:color w:val="000000"/>
        </w:rPr>
        <w:t>.</w:t>
      </w:r>
      <w:r w:rsidR="00D072E0">
        <w:rPr>
          <w:rFonts w:eastAsia="Times New Roman" w:cs="Times New Roman"/>
          <w:color w:val="000000"/>
        </w:rPr>
        <w:t xml:space="preserve"> </w:t>
      </w:r>
      <w:r w:rsidR="00D821FE">
        <w:rPr>
          <w:rFonts w:eastAsia="Times New Roman" w:cs="Times New Roman"/>
          <w:color w:val="000000"/>
        </w:rPr>
        <w:t xml:space="preserve"> </w:t>
      </w:r>
      <w:r w:rsidR="0075001C">
        <w:rPr>
          <w:rFonts w:eastAsia="Times New Roman" w:cs="Times New Roman"/>
          <w:color w:val="000000"/>
        </w:rPr>
        <w:t xml:space="preserve">But </w:t>
      </w:r>
      <w:r w:rsidR="00ED20D6">
        <w:rPr>
          <w:rFonts w:eastAsia="Times New Roman" w:cs="Times New Roman"/>
          <w:color w:val="000000"/>
        </w:rPr>
        <w:t>th</w:t>
      </w:r>
      <w:r w:rsidR="00D50E68">
        <w:rPr>
          <w:rFonts w:eastAsia="Times New Roman" w:cs="Times New Roman"/>
          <w:color w:val="000000"/>
        </w:rPr>
        <w:t>at case, too, is distinguishable</w:t>
      </w:r>
      <w:r w:rsidR="00104B03">
        <w:rPr>
          <w:rFonts w:eastAsia="Times New Roman" w:cs="Times New Roman"/>
          <w:color w:val="000000"/>
        </w:rPr>
        <w:t xml:space="preserve"> because of the particular jury instructions given there</w:t>
      </w:r>
      <w:r w:rsidR="00D50E68">
        <w:rPr>
          <w:rFonts w:eastAsia="Times New Roman" w:cs="Times New Roman"/>
          <w:color w:val="000000"/>
        </w:rPr>
        <w:t xml:space="preserve">.  </w:t>
      </w:r>
      <w:r w:rsidR="002D1567" w:rsidRPr="004228AD">
        <w:rPr>
          <w:rFonts w:eastAsia="Times New Roman" w:cs="Times New Roman"/>
          <w:color w:val="000000"/>
        </w:rPr>
        <w:t xml:space="preserve">The </w:t>
      </w:r>
      <w:r w:rsidR="00713110" w:rsidRPr="004228AD">
        <w:rPr>
          <w:rFonts w:eastAsia="Times New Roman" w:cs="Times New Roman"/>
          <w:color w:val="000000"/>
        </w:rPr>
        <w:t xml:space="preserve">defendant </w:t>
      </w:r>
      <w:r w:rsidR="00544710">
        <w:rPr>
          <w:rFonts w:eastAsia="Times New Roman" w:cs="Times New Roman"/>
          <w:color w:val="000000"/>
        </w:rPr>
        <w:t xml:space="preserve">in </w:t>
      </w:r>
      <w:r w:rsidR="00544710" w:rsidRPr="00544710">
        <w:rPr>
          <w:rFonts w:eastAsia="Times New Roman" w:cs="Times New Roman"/>
          <w:i/>
          <w:iCs/>
          <w:color w:val="000000"/>
        </w:rPr>
        <w:t>Lopez</w:t>
      </w:r>
      <w:r w:rsidR="00D178A4">
        <w:rPr>
          <w:rFonts w:eastAsia="Times New Roman" w:cs="Times New Roman"/>
          <w:color w:val="000000"/>
        </w:rPr>
        <w:t xml:space="preserve"> </w:t>
      </w:r>
      <w:r w:rsidR="002D1567" w:rsidRPr="004228AD">
        <w:rPr>
          <w:rFonts w:eastAsia="Times New Roman" w:cs="Times New Roman"/>
          <w:color w:val="000000"/>
        </w:rPr>
        <w:t xml:space="preserve">was convicted of </w:t>
      </w:r>
      <w:r w:rsidR="004E0839" w:rsidRPr="004228AD">
        <w:rPr>
          <w:rFonts w:eastAsia="Times New Roman" w:cs="Times New Roman"/>
          <w:color w:val="000000"/>
        </w:rPr>
        <w:t>first degree murder</w:t>
      </w:r>
      <w:r w:rsidR="005356B7" w:rsidRPr="004228AD">
        <w:rPr>
          <w:rFonts w:eastAsia="Times New Roman" w:cs="Times New Roman"/>
          <w:color w:val="000000"/>
        </w:rPr>
        <w:t xml:space="preserve"> with a robbery </w:t>
      </w:r>
      <w:r w:rsidR="002D1567" w:rsidRPr="004228AD">
        <w:rPr>
          <w:rFonts w:eastAsia="Times New Roman" w:cs="Times New Roman"/>
          <w:color w:val="000000"/>
        </w:rPr>
        <w:t>felony</w:t>
      </w:r>
      <w:r w:rsidR="006A135C">
        <w:rPr>
          <w:rFonts w:eastAsia="Times New Roman" w:cs="Times New Roman"/>
          <w:color w:val="000000"/>
        </w:rPr>
        <w:t>-</w:t>
      </w:r>
      <w:r w:rsidR="002D1567" w:rsidRPr="004228AD">
        <w:rPr>
          <w:rFonts w:eastAsia="Times New Roman" w:cs="Times New Roman"/>
          <w:color w:val="000000"/>
        </w:rPr>
        <w:t xml:space="preserve">murder </w:t>
      </w:r>
      <w:r w:rsidR="005356B7" w:rsidRPr="004228AD">
        <w:rPr>
          <w:rFonts w:eastAsia="Times New Roman" w:cs="Times New Roman"/>
          <w:color w:val="000000"/>
        </w:rPr>
        <w:t>special</w:t>
      </w:r>
      <w:r w:rsidR="006A135C">
        <w:rPr>
          <w:rFonts w:eastAsia="Times New Roman" w:cs="Times New Roman"/>
          <w:color w:val="000000"/>
        </w:rPr>
        <w:t>-</w:t>
      </w:r>
      <w:r w:rsidR="005356B7" w:rsidRPr="004228AD">
        <w:rPr>
          <w:rFonts w:eastAsia="Times New Roman" w:cs="Times New Roman"/>
          <w:color w:val="000000"/>
        </w:rPr>
        <w:t>circumstances finding</w:t>
      </w:r>
      <w:r w:rsidR="002D1567" w:rsidRPr="004228AD">
        <w:rPr>
          <w:rFonts w:eastAsia="Times New Roman" w:cs="Times New Roman"/>
          <w:color w:val="000000"/>
        </w:rPr>
        <w:t xml:space="preserve"> and sentenced to life without the possibility of parole</w:t>
      </w:r>
      <w:r w:rsidR="004B34BA" w:rsidRPr="004228AD">
        <w:rPr>
          <w:rFonts w:eastAsia="Times New Roman" w:cs="Times New Roman"/>
          <w:color w:val="000000"/>
        </w:rPr>
        <w:t>.</w:t>
      </w:r>
      <w:r w:rsidR="00D61EF9">
        <w:rPr>
          <w:rFonts w:eastAsia="Times New Roman" w:cs="Times New Roman"/>
          <w:color w:val="000000"/>
        </w:rPr>
        <w:t xml:space="preserve">  (</w:t>
      </w:r>
      <w:r w:rsidR="00D61EF9">
        <w:rPr>
          <w:rFonts w:eastAsia="Times New Roman" w:cs="Times New Roman"/>
          <w:i/>
          <w:iCs/>
          <w:color w:val="000000"/>
        </w:rPr>
        <w:t>Lopez</w:t>
      </w:r>
      <w:r w:rsidR="00D61EF9">
        <w:rPr>
          <w:rFonts w:eastAsia="Times New Roman" w:cs="Times New Roman"/>
          <w:color w:val="000000"/>
        </w:rPr>
        <w:t>, at p.</w:t>
      </w:r>
      <w:r w:rsidR="0053592E">
        <w:rPr>
          <w:rFonts w:eastAsia="Times New Roman" w:cs="Times New Roman"/>
          <w:color w:val="000000"/>
        </w:rPr>
        <w:t> </w:t>
      </w:r>
      <w:r w:rsidR="00D61EF9">
        <w:rPr>
          <w:rFonts w:eastAsia="Times New Roman" w:cs="Times New Roman"/>
          <w:color w:val="000000"/>
        </w:rPr>
        <w:t>4.)</w:t>
      </w:r>
      <w:r w:rsidR="004B34BA" w:rsidRPr="004228AD">
        <w:rPr>
          <w:rFonts w:eastAsia="Times New Roman" w:cs="Times New Roman"/>
          <w:color w:val="000000"/>
        </w:rPr>
        <w:t xml:space="preserve">  </w:t>
      </w:r>
      <w:r w:rsidR="002E0E65" w:rsidRPr="004228AD">
        <w:rPr>
          <w:rFonts w:eastAsia="Times New Roman" w:cs="Times New Roman"/>
          <w:color w:val="000000"/>
        </w:rPr>
        <w:t>T</w:t>
      </w:r>
      <w:r w:rsidR="00D153D2" w:rsidRPr="004228AD">
        <w:rPr>
          <w:rFonts w:eastAsia="Times New Roman" w:cs="Times New Roman"/>
          <w:color w:val="000000"/>
        </w:rPr>
        <w:t>he victim</w:t>
      </w:r>
      <w:r w:rsidR="006C6C75" w:rsidRPr="004228AD">
        <w:rPr>
          <w:rFonts w:eastAsia="Times New Roman" w:cs="Times New Roman"/>
          <w:color w:val="000000"/>
        </w:rPr>
        <w:t xml:space="preserve"> was found </w:t>
      </w:r>
      <w:r w:rsidR="00914E38">
        <w:rPr>
          <w:rFonts w:eastAsia="Times New Roman" w:cs="Times New Roman"/>
          <w:color w:val="000000"/>
        </w:rPr>
        <w:t xml:space="preserve">in his apartment </w:t>
      </w:r>
      <w:r w:rsidR="006C6C75" w:rsidRPr="004228AD">
        <w:rPr>
          <w:rFonts w:eastAsia="Times New Roman" w:cs="Times New Roman"/>
          <w:color w:val="000000"/>
        </w:rPr>
        <w:t>naked</w:t>
      </w:r>
      <w:r w:rsidR="00D178A4">
        <w:rPr>
          <w:rFonts w:eastAsia="Times New Roman" w:cs="Times New Roman"/>
          <w:color w:val="000000"/>
        </w:rPr>
        <w:t xml:space="preserve"> and </w:t>
      </w:r>
      <w:r w:rsidR="006C6C75" w:rsidRPr="004228AD">
        <w:rPr>
          <w:rFonts w:eastAsia="Times New Roman" w:cs="Times New Roman"/>
          <w:color w:val="000000"/>
        </w:rPr>
        <w:t>bludgeoned to death</w:t>
      </w:r>
      <w:r w:rsidR="00611A0D">
        <w:rPr>
          <w:rFonts w:eastAsia="Times New Roman" w:cs="Times New Roman"/>
          <w:color w:val="000000"/>
        </w:rPr>
        <w:t xml:space="preserve">. </w:t>
      </w:r>
      <w:r w:rsidR="002E0E65" w:rsidRPr="004228AD">
        <w:rPr>
          <w:rFonts w:eastAsia="Times New Roman" w:cs="Times New Roman"/>
          <w:color w:val="000000"/>
        </w:rPr>
        <w:t xml:space="preserve"> </w:t>
      </w:r>
      <w:r w:rsidR="006C6C75" w:rsidRPr="004228AD">
        <w:rPr>
          <w:rFonts w:eastAsia="Times New Roman" w:cs="Times New Roman"/>
          <w:color w:val="000000"/>
        </w:rPr>
        <w:t>(</w:t>
      </w:r>
      <w:r w:rsidR="00D61EF9">
        <w:rPr>
          <w:rFonts w:eastAsia="Times New Roman" w:cs="Times New Roman"/>
          <w:i/>
          <w:iCs/>
          <w:color w:val="000000"/>
        </w:rPr>
        <w:t>Id.</w:t>
      </w:r>
      <w:r w:rsidR="00D61EF9">
        <w:rPr>
          <w:rFonts w:eastAsia="Times New Roman" w:cs="Times New Roman"/>
          <w:color w:val="000000"/>
        </w:rPr>
        <w:t xml:space="preserve"> at</w:t>
      </w:r>
      <w:r w:rsidR="006C6C75" w:rsidRPr="004228AD">
        <w:rPr>
          <w:rFonts w:eastAsia="Times New Roman" w:cs="Times New Roman"/>
          <w:color w:val="000000"/>
        </w:rPr>
        <w:t xml:space="preserve"> p.</w:t>
      </w:r>
      <w:r w:rsidR="001F2CA3">
        <w:rPr>
          <w:rFonts w:eastAsia="Times New Roman" w:cs="Times New Roman"/>
          <w:color w:val="000000"/>
        </w:rPr>
        <w:t> </w:t>
      </w:r>
      <w:r w:rsidR="006C6C75" w:rsidRPr="004228AD">
        <w:rPr>
          <w:rFonts w:eastAsia="Times New Roman" w:cs="Times New Roman"/>
          <w:color w:val="000000"/>
        </w:rPr>
        <w:t>6</w:t>
      </w:r>
      <w:r w:rsidR="00D153D2" w:rsidRPr="004228AD">
        <w:rPr>
          <w:rFonts w:eastAsia="Times New Roman" w:cs="Times New Roman"/>
          <w:color w:val="000000"/>
        </w:rPr>
        <w:t>.</w:t>
      </w:r>
      <w:r w:rsidR="006C6C75" w:rsidRPr="004228AD">
        <w:rPr>
          <w:rFonts w:eastAsia="Times New Roman" w:cs="Times New Roman"/>
          <w:color w:val="000000"/>
        </w:rPr>
        <w:t xml:space="preserve">) </w:t>
      </w:r>
      <w:r w:rsidR="00D153D2" w:rsidRPr="004228AD">
        <w:rPr>
          <w:rFonts w:eastAsia="Times New Roman" w:cs="Times New Roman"/>
          <w:color w:val="000000"/>
        </w:rPr>
        <w:t xml:space="preserve"> </w:t>
      </w:r>
      <w:r w:rsidR="006C6C75" w:rsidRPr="004228AD">
        <w:rPr>
          <w:rFonts w:eastAsia="Times New Roman" w:cs="Times New Roman"/>
          <w:color w:val="000000"/>
        </w:rPr>
        <w:t>The defendant testified he had been to the victim</w:t>
      </w:r>
      <w:r w:rsidR="00C473FC">
        <w:rPr>
          <w:rFonts w:eastAsia="Times New Roman" w:cs="Times New Roman"/>
          <w:color w:val="000000"/>
        </w:rPr>
        <w:t>’</w:t>
      </w:r>
      <w:r w:rsidR="006C6C75" w:rsidRPr="004228AD">
        <w:rPr>
          <w:rFonts w:eastAsia="Times New Roman" w:cs="Times New Roman"/>
          <w:color w:val="000000"/>
        </w:rPr>
        <w:t>s apartment with his “friend and drug dealer,” who he implied was the actual killer</w:t>
      </w:r>
      <w:r w:rsidR="00D153D2" w:rsidRPr="004228AD">
        <w:rPr>
          <w:rFonts w:eastAsia="Times New Roman" w:cs="Times New Roman"/>
          <w:color w:val="000000"/>
        </w:rPr>
        <w:t xml:space="preserve">. </w:t>
      </w:r>
      <w:r w:rsidR="006C166B">
        <w:rPr>
          <w:rFonts w:eastAsia="Times New Roman" w:cs="Times New Roman"/>
          <w:color w:val="000000"/>
        </w:rPr>
        <w:t xml:space="preserve"> </w:t>
      </w:r>
      <w:r w:rsidR="006C6C75" w:rsidRPr="004228AD">
        <w:rPr>
          <w:rFonts w:eastAsia="Times New Roman" w:cs="Times New Roman"/>
          <w:color w:val="000000"/>
        </w:rPr>
        <w:t>(</w:t>
      </w:r>
      <w:r w:rsidR="006C6C75" w:rsidRPr="004228AD">
        <w:rPr>
          <w:rFonts w:eastAsia="Times New Roman" w:cs="Times New Roman"/>
          <w:i/>
          <w:iCs/>
          <w:color w:val="3D3D3D"/>
          <w:bdr w:val="none" w:sz="0" w:space="0" w:color="auto" w:frame="1"/>
        </w:rPr>
        <w:t>Id.</w:t>
      </w:r>
      <w:r w:rsidR="006C6C75" w:rsidRPr="004228AD">
        <w:rPr>
          <w:rFonts w:eastAsia="Times New Roman" w:cs="Times New Roman"/>
          <w:color w:val="000000"/>
        </w:rPr>
        <w:t xml:space="preserve"> at p.</w:t>
      </w:r>
      <w:r w:rsidR="00562139">
        <w:rPr>
          <w:rFonts w:eastAsia="Times New Roman" w:cs="Times New Roman"/>
          <w:color w:val="000000"/>
        </w:rPr>
        <w:t> </w:t>
      </w:r>
      <w:r w:rsidR="00BA224B">
        <w:rPr>
          <w:rFonts w:eastAsia="Times New Roman" w:cs="Times New Roman"/>
          <w:color w:val="000000"/>
        </w:rPr>
        <w:t>9</w:t>
      </w:r>
      <w:r w:rsidR="00D153D2" w:rsidRPr="004228AD">
        <w:rPr>
          <w:rFonts w:eastAsia="Times New Roman" w:cs="Times New Roman"/>
          <w:color w:val="000000"/>
        </w:rPr>
        <w:t xml:space="preserve">.)  </w:t>
      </w:r>
      <w:r w:rsidR="00EC6696" w:rsidRPr="004228AD">
        <w:rPr>
          <w:rFonts w:eastAsia="Times New Roman" w:cs="Times New Roman"/>
          <w:color w:val="000000"/>
        </w:rPr>
        <w:t xml:space="preserve">Though </w:t>
      </w:r>
      <w:r w:rsidR="005240CD" w:rsidRPr="004228AD">
        <w:rPr>
          <w:rFonts w:eastAsia="Times New Roman" w:cs="Times New Roman"/>
          <w:color w:val="000000"/>
        </w:rPr>
        <w:t xml:space="preserve">the defendant </w:t>
      </w:r>
      <w:r w:rsidR="00EC6696" w:rsidRPr="004228AD">
        <w:rPr>
          <w:rFonts w:eastAsia="Times New Roman" w:cs="Times New Roman"/>
          <w:color w:val="000000"/>
        </w:rPr>
        <w:t>admitt</w:t>
      </w:r>
      <w:r w:rsidR="0030570E" w:rsidRPr="004228AD">
        <w:rPr>
          <w:rFonts w:eastAsia="Times New Roman" w:cs="Times New Roman"/>
          <w:color w:val="000000"/>
        </w:rPr>
        <w:t xml:space="preserve">ed </w:t>
      </w:r>
      <w:r w:rsidR="00EC6696" w:rsidRPr="004228AD">
        <w:rPr>
          <w:rFonts w:eastAsia="Times New Roman" w:cs="Times New Roman"/>
          <w:color w:val="000000"/>
        </w:rPr>
        <w:t xml:space="preserve">having been in the </w:t>
      </w:r>
      <w:r w:rsidR="005240CD" w:rsidRPr="004228AD">
        <w:rPr>
          <w:rFonts w:eastAsia="Times New Roman" w:cs="Times New Roman"/>
          <w:color w:val="000000"/>
        </w:rPr>
        <w:t xml:space="preserve">victim’s </w:t>
      </w:r>
      <w:r w:rsidR="00EC6696" w:rsidRPr="004228AD">
        <w:rPr>
          <w:rFonts w:eastAsia="Times New Roman" w:cs="Times New Roman"/>
          <w:color w:val="000000"/>
        </w:rPr>
        <w:t xml:space="preserve">apartment, he denied killing </w:t>
      </w:r>
      <w:r w:rsidR="006C166B">
        <w:rPr>
          <w:rFonts w:eastAsia="Times New Roman" w:cs="Times New Roman"/>
          <w:color w:val="000000"/>
        </w:rPr>
        <w:t xml:space="preserve">him </w:t>
      </w:r>
      <w:r w:rsidR="00C83F55" w:rsidRPr="004228AD">
        <w:rPr>
          <w:rFonts w:eastAsia="Times New Roman" w:cs="Times New Roman"/>
          <w:color w:val="000000"/>
        </w:rPr>
        <w:t>or participat</w:t>
      </w:r>
      <w:r w:rsidR="00EC6696" w:rsidRPr="004228AD">
        <w:rPr>
          <w:rFonts w:eastAsia="Times New Roman" w:cs="Times New Roman"/>
          <w:color w:val="000000"/>
        </w:rPr>
        <w:t xml:space="preserve">ing </w:t>
      </w:r>
      <w:r w:rsidR="00C83F55" w:rsidRPr="004228AD">
        <w:rPr>
          <w:rFonts w:eastAsia="Times New Roman" w:cs="Times New Roman"/>
          <w:color w:val="000000"/>
        </w:rPr>
        <w:t xml:space="preserve">in </w:t>
      </w:r>
      <w:r w:rsidR="0030570E" w:rsidRPr="004228AD">
        <w:rPr>
          <w:rFonts w:eastAsia="Times New Roman" w:cs="Times New Roman"/>
          <w:color w:val="000000"/>
        </w:rPr>
        <w:t xml:space="preserve">any </w:t>
      </w:r>
      <w:r w:rsidR="00C83F55" w:rsidRPr="004228AD">
        <w:rPr>
          <w:rFonts w:eastAsia="Times New Roman" w:cs="Times New Roman"/>
          <w:color w:val="000000"/>
        </w:rPr>
        <w:t>robbery or even enter</w:t>
      </w:r>
      <w:r w:rsidR="00EC6696" w:rsidRPr="004228AD">
        <w:rPr>
          <w:rFonts w:eastAsia="Times New Roman" w:cs="Times New Roman"/>
          <w:color w:val="000000"/>
        </w:rPr>
        <w:t>ing</w:t>
      </w:r>
      <w:r w:rsidR="00C83F55" w:rsidRPr="004228AD">
        <w:rPr>
          <w:rFonts w:eastAsia="Times New Roman" w:cs="Times New Roman"/>
          <w:color w:val="000000"/>
        </w:rPr>
        <w:t xml:space="preserve"> the bedroom in which the </w:t>
      </w:r>
      <w:r w:rsidR="006C166B">
        <w:rPr>
          <w:rFonts w:eastAsia="Times New Roman" w:cs="Times New Roman"/>
          <w:color w:val="000000"/>
        </w:rPr>
        <w:t xml:space="preserve">body </w:t>
      </w:r>
      <w:r w:rsidR="00C83F55" w:rsidRPr="004228AD">
        <w:rPr>
          <w:rFonts w:eastAsia="Times New Roman" w:cs="Times New Roman"/>
          <w:color w:val="000000"/>
        </w:rPr>
        <w:t>was later found.</w:t>
      </w:r>
      <w:r w:rsidR="0058060B">
        <w:rPr>
          <w:rFonts w:eastAsia="Times New Roman" w:cs="Times New Roman"/>
          <w:color w:val="000000"/>
        </w:rPr>
        <w:t xml:space="preserve"> </w:t>
      </w:r>
      <w:r w:rsidR="00864783">
        <w:rPr>
          <w:rFonts w:eastAsia="Times New Roman" w:cs="Times New Roman"/>
          <w:color w:val="000000"/>
        </w:rPr>
        <w:t xml:space="preserve"> </w:t>
      </w:r>
      <w:r w:rsidR="0058060B">
        <w:rPr>
          <w:rFonts w:eastAsia="Times New Roman" w:cs="Times New Roman"/>
          <w:color w:val="000000"/>
        </w:rPr>
        <w:t>(</w:t>
      </w:r>
      <w:r w:rsidR="0058060B">
        <w:rPr>
          <w:rFonts w:eastAsia="Times New Roman" w:cs="Times New Roman"/>
          <w:i/>
          <w:iCs/>
          <w:color w:val="000000"/>
        </w:rPr>
        <w:t>Ibid</w:t>
      </w:r>
      <w:r w:rsidR="0058060B">
        <w:rPr>
          <w:rFonts w:eastAsia="Times New Roman" w:cs="Times New Roman"/>
          <w:color w:val="000000"/>
        </w:rPr>
        <w:t>.)</w:t>
      </w:r>
      <w:r w:rsidR="00163B30" w:rsidRPr="004228AD">
        <w:rPr>
          <w:rFonts w:eastAsia="Times New Roman" w:cs="Times New Roman"/>
          <w:color w:val="000000"/>
        </w:rPr>
        <w:t xml:space="preserve"> </w:t>
      </w:r>
      <w:r w:rsidR="00E34C4B" w:rsidRPr="004228AD">
        <w:rPr>
          <w:rFonts w:eastAsia="Times New Roman" w:cs="Times New Roman"/>
          <w:color w:val="000000"/>
        </w:rPr>
        <w:t xml:space="preserve"> </w:t>
      </w:r>
      <w:r w:rsidR="00611A0D">
        <w:rPr>
          <w:rFonts w:eastAsia="Times New Roman" w:cs="Times New Roman"/>
          <w:color w:val="000000"/>
        </w:rPr>
        <w:t>T</w:t>
      </w:r>
      <w:r w:rsidR="00605495">
        <w:rPr>
          <w:rFonts w:eastAsia="Times New Roman" w:cs="Times New Roman"/>
          <w:color w:val="000000"/>
        </w:rPr>
        <w:t>he</w:t>
      </w:r>
      <w:r w:rsidR="001717EA">
        <w:rPr>
          <w:rFonts w:eastAsia="Times New Roman" w:cs="Times New Roman"/>
          <w:color w:val="000000"/>
        </w:rPr>
        <w:t xml:space="preserve"> </w:t>
      </w:r>
      <w:r w:rsidR="002A2E74">
        <w:rPr>
          <w:rFonts w:eastAsia="Times New Roman" w:cs="Times New Roman"/>
          <w:color w:val="000000"/>
        </w:rPr>
        <w:t>prosecution</w:t>
      </w:r>
      <w:r w:rsidR="00605495">
        <w:rPr>
          <w:rFonts w:eastAsia="Times New Roman" w:cs="Times New Roman"/>
          <w:color w:val="000000"/>
        </w:rPr>
        <w:t xml:space="preserve"> argued</w:t>
      </w:r>
      <w:r w:rsidR="002A2E74">
        <w:rPr>
          <w:rFonts w:eastAsia="Times New Roman" w:cs="Times New Roman"/>
          <w:color w:val="000000"/>
        </w:rPr>
        <w:t xml:space="preserve"> </w:t>
      </w:r>
      <w:r w:rsidR="001717EA">
        <w:rPr>
          <w:rFonts w:eastAsia="Times New Roman" w:cs="Times New Roman"/>
          <w:color w:val="000000"/>
        </w:rPr>
        <w:t xml:space="preserve">the defendant was </w:t>
      </w:r>
      <w:r w:rsidR="00605495">
        <w:rPr>
          <w:rFonts w:eastAsia="Times New Roman" w:cs="Times New Roman"/>
          <w:color w:val="000000"/>
        </w:rPr>
        <w:t>the actual killer and committed the robbery alone</w:t>
      </w:r>
      <w:r w:rsidR="00611A0D">
        <w:rPr>
          <w:rFonts w:eastAsia="Times New Roman" w:cs="Times New Roman"/>
          <w:color w:val="000000"/>
        </w:rPr>
        <w:t xml:space="preserve">, but its case for </w:t>
      </w:r>
      <w:r w:rsidR="00DE46D1">
        <w:rPr>
          <w:rFonts w:eastAsia="Times New Roman" w:cs="Times New Roman"/>
          <w:color w:val="000000"/>
        </w:rPr>
        <w:t xml:space="preserve">that theory </w:t>
      </w:r>
      <w:r w:rsidR="00611A0D">
        <w:rPr>
          <w:rFonts w:eastAsia="Times New Roman" w:cs="Times New Roman"/>
          <w:color w:val="000000"/>
        </w:rPr>
        <w:t>was largely circumstantial</w:t>
      </w:r>
      <w:r w:rsidR="00605495">
        <w:rPr>
          <w:rFonts w:eastAsia="Times New Roman" w:cs="Times New Roman"/>
          <w:color w:val="000000"/>
        </w:rPr>
        <w:t>.  (</w:t>
      </w:r>
      <w:r w:rsidR="00605495">
        <w:rPr>
          <w:rFonts w:eastAsia="Times New Roman" w:cs="Times New Roman"/>
          <w:i/>
          <w:iCs/>
          <w:color w:val="000000"/>
        </w:rPr>
        <w:t>Id</w:t>
      </w:r>
      <w:r w:rsidR="00605495">
        <w:rPr>
          <w:rFonts w:eastAsia="Times New Roman" w:cs="Times New Roman"/>
          <w:color w:val="000000"/>
        </w:rPr>
        <w:t>. at p.</w:t>
      </w:r>
      <w:r w:rsidR="00562139">
        <w:rPr>
          <w:rFonts w:eastAsia="Times New Roman" w:cs="Times New Roman"/>
          <w:color w:val="000000"/>
        </w:rPr>
        <w:t> </w:t>
      </w:r>
      <w:r w:rsidR="00605495">
        <w:rPr>
          <w:rFonts w:eastAsia="Times New Roman" w:cs="Times New Roman"/>
          <w:color w:val="000000"/>
        </w:rPr>
        <w:t>15.)</w:t>
      </w:r>
      <w:r w:rsidR="004E4BD3">
        <w:rPr>
          <w:rFonts w:eastAsia="Times New Roman" w:cs="Times New Roman"/>
          <w:color w:val="000000"/>
        </w:rPr>
        <w:t xml:space="preserve">  </w:t>
      </w:r>
    </w:p>
    <w:p w14:paraId="1FE5B440" w14:textId="74003414" w:rsidR="00FA7BC2" w:rsidRPr="004228AD" w:rsidRDefault="00C42495" w:rsidP="004010CD">
      <w:pPr>
        <w:shd w:val="clear" w:color="auto" w:fill="FFFFFF"/>
        <w:rPr>
          <w:rFonts w:eastAsia="Times New Roman" w:cs="Times New Roman"/>
          <w:color w:val="000000"/>
        </w:rPr>
      </w:pPr>
      <w:r>
        <w:rPr>
          <w:rFonts w:eastAsia="Times New Roman" w:cs="Times New Roman"/>
          <w:color w:val="000000"/>
        </w:rPr>
        <w:t>Against this evidentiary backdrop</w:t>
      </w:r>
      <w:r w:rsidR="002E0E65" w:rsidRPr="004228AD">
        <w:rPr>
          <w:rFonts w:eastAsia="Times New Roman" w:cs="Times New Roman"/>
          <w:color w:val="000000"/>
        </w:rPr>
        <w:t>, t</w:t>
      </w:r>
      <w:r w:rsidR="00163B30" w:rsidRPr="004228AD">
        <w:rPr>
          <w:rFonts w:eastAsia="Times New Roman" w:cs="Times New Roman"/>
          <w:color w:val="000000"/>
        </w:rPr>
        <w:t xml:space="preserve">he court </w:t>
      </w:r>
      <w:r w:rsidR="00B45B98" w:rsidRPr="004228AD">
        <w:rPr>
          <w:rFonts w:eastAsia="Times New Roman" w:cs="Times New Roman"/>
          <w:color w:val="000000"/>
        </w:rPr>
        <w:t xml:space="preserve">instructed the jury on </w:t>
      </w:r>
      <w:r w:rsidR="00C85A0D" w:rsidRPr="004228AD">
        <w:rPr>
          <w:rFonts w:eastAsia="Times New Roman" w:cs="Times New Roman"/>
          <w:color w:val="000000"/>
        </w:rPr>
        <w:t xml:space="preserve">the legal concept of </w:t>
      </w:r>
      <w:r w:rsidR="00B45B98" w:rsidRPr="004228AD">
        <w:rPr>
          <w:rFonts w:eastAsia="Times New Roman" w:cs="Times New Roman"/>
          <w:color w:val="000000"/>
        </w:rPr>
        <w:t>proximate caus</w:t>
      </w:r>
      <w:r w:rsidR="009841B0" w:rsidRPr="004228AD">
        <w:rPr>
          <w:rFonts w:eastAsia="Times New Roman" w:cs="Times New Roman"/>
          <w:color w:val="000000"/>
        </w:rPr>
        <w:t>a</w:t>
      </w:r>
      <w:r w:rsidR="00B45B98" w:rsidRPr="004228AD">
        <w:rPr>
          <w:rFonts w:eastAsia="Times New Roman" w:cs="Times New Roman"/>
          <w:color w:val="000000"/>
        </w:rPr>
        <w:t xml:space="preserve">tion </w:t>
      </w:r>
      <w:r w:rsidR="009841B0" w:rsidRPr="004228AD">
        <w:rPr>
          <w:rFonts w:eastAsia="Times New Roman" w:cs="Times New Roman"/>
          <w:color w:val="000000"/>
        </w:rPr>
        <w:t xml:space="preserve">as follows: </w:t>
      </w:r>
      <w:r w:rsidR="002C3462">
        <w:rPr>
          <w:rFonts w:eastAsia="Times New Roman" w:cs="Times New Roman"/>
          <w:color w:val="000000"/>
        </w:rPr>
        <w:t xml:space="preserve"> </w:t>
      </w:r>
      <w:r w:rsidR="00556D5C" w:rsidRPr="004228AD">
        <w:rPr>
          <w:rFonts w:eastAsia="Times New Roman" w:cs="Times New Roman"/>
          <w:color w:val="000000"/>
        </w:rPr>
        <w:t>“</w:t>
      </w:r>
      <w:r w:rsidR="00562139">
        <w:rPr>
          <w:rFonts w:eastAsia="Times New Roman" w:cs="Times New Roman"/>
          <w:color w:val="000000"/>
        </w:rPr>
        <w:t> </w:t>
      </w:r>
      <w:r w:rsidR="002C3462">
        <w:rPr>
          <w:rFonts w:eastAsia="Times New Roman" w:cs="Times New Roman"/>
          <w:color w:val="000000"/>
        </w:rPr>
        <w:t>‘</w:t>
      </w:r>
      <w:r w:rsidR="00556D5C" w:rsidRPr="004228AD">
        <w:rPr>
          <w:rFonts w:eastAsia="Times New Roman" w:cs="Times New Roman"/>
          <w:color w:val="000000"/>
        </w:rPr>
        <w:t xml:space="preserve">An act causes death if the death is the direct, natural, and probable consequence of the act and the death would not have happened without the act. </w:t>
      </w:r>
      <w:r w:rsidR="004D71BA" w:rsidRPr="004228AD">
        <w:rPr>
          <w:rFonts w:eastAsia="Times New Roman" w:cs="Times New Roman"/>
          <w:color w:val="000000"/>
        </w:rPr>
        <w:t xml:space="preserve"> </w:t>
      </w:r>
      <w:r w:rsidR="00556D5C" w:rsidRPr="004228AD">
        <w:rPr>
          <w:rFonts w:eastAsia="Times New Roman" w:cs="Times New Roman"/>
          <w:color w:val="000000"/>
        </w:rPr>
        <w:t>A natural and probable consequence is one that a reasonable person would know is likely to happen if nothing unusual intervenes.</w:t>
      </w:r>
      <w:r w:rsidR="002C3462">
        <w:rPr>
          <w:rFonts w:eastAsia="Times New Roman" w:cs="Times New Roman"/>
          <w:color w:val="000000"/>
        </w:rPr>
        <w:t>’</w:t>
      </w:r>
      <w:r w:rsidR="00562139">
        <w:rPr>
          <w:rFonts w:eastAsia="Times New Roman" w:cs="Times New Roman"/>
          <w:color w:val="000000"/>
        </w:rPr>
        <w:t> </w:t>
      </w:r>
      <w:r w:rsidR="00556D5C" w:rsidRPr="004228AD">
        <w:rPr>
          <w:rFonts w:eastAsia="Times New Roman" w:cs="Times New Roman"/>
          <w:color w:val="000000"/>
        </w:rPr>
        <w:t>”</w:t>
      </w:r>
      <w:r w:rsidR="002C3462">
        <w:rPr>
          <w:rFonts w:eastAsia="Times New Roman" w:cs="Times New Roman"/>
          <w:color w:val="000000"/>
        </w:rPr>
        <w:t xml:space="preserve">  (</w:t>
      </w:r>
      <w:r w:rsidR="002C3462">
        <w:rPr>
          <w:rFonts w:eastAsia="Times New Roman" w:cs="Times New Roman"/>
          <w:i/>
          <w:iCs/>
          <w:color w:val="000000"/>
        </w:rPr>
        <w:t>Lopez</w:t>
      </w:r>
      <w:r w:rsidR="002C3462">
        <w:rPr>
          <w:rFonts w:eastAsia="Times New Roman" w:cs="Times New Roman"/>
          <w:color w:val="000000"/>
        </w:rPr>
        <w:t xml:space="preserve">, </w:t>
      </w:r>
      <w:r w:rsidR="002C3462">
        <w:rPr>
          <w:rFonts w:eastAsia="Times New Roman" w:cs="Times New Roman"/>
          <w:i/>
          <w:iCs/>
          <w:color w:val="000000"/>
        </w:rPr>
        <w:t>supra</w:t>
      </w:r>
      <w:r w:rsidR="002C3462">
        <w:rPr>
          <w:rFonts w:eastAsia="Times New Roman" w:cs="Times New Roman"/>
          <w:color w:val="000000"/>
        </w:rPr>
        <w:t>, 78</w:t>
      </w:r>
      <w:r w:rsidR="00562139">
        <w:rPr>
          <w:rFonts w:eastAsia="Times New Roman" w:cs="Times New Roman"/>
          <w:color w:val="000000"/>
        </w:rPr>
        <w:t> </w:t>
      </w:r>
      <w:r w:rsidR="002C3462">
        <w:rPr>
          <w:rFonts w:eastAsia="Times New Roman" w:cs="Times New Roman"/>
          <w:color w:val="000000"/>
        </w:rPr>
        <w:t>Cal.App.</w:t>
      </w:r>
      <w:r w:rsidR="00917135">
        <w:rPr>
          <w:rFonts w:eastAsia="Times New Roman" w:cs="Times New Roman"/>
          <w:color w:val="000000"/>
        </w:rPr>
        <w:t>5th at p.</w:t>
      </w:r>
      <w:r w:rsidR="00562139">
        <w:rPr>
          <w:rFonts w:eastAsia="Times New Roman" w:cs="Times New Roman"/>
          <w:color w:val="000000"/>
        </w:rPr>
        <w:t> </w:t>
      </w:r>
      <w:r w:rsidR="00917135">
        <w:rPr>
          <w:rFonts w:eastAsia="Times New Roman" w:cs="Times New Roman"/>
          <w:color w:val="000000"/>
        </w:rPr>
        <w:t>16.)</w:t>
      </w:r>
      <w:r w:rsidR="009065D3" w:rsidRPr="004228AD">
        <w:rPr>
          <w:rFonts w:eastAsia="Times New Roman" w:cs="Times New Roman"/>
          <w:color w:val="000000"/>
        </w:rPr>
        <w:t xml:space="preserve"> </w:t>
      </w:r>
      <w:r w:rsidR="00C85A0D" w:rsidRPr="004228AD">
        <w:rPr>
          <w:rFonts w:eastAsia="Times New Roman" w:cs="Times New Roman"/>
          <w:color w:val="000000"/>
        </w:rPr>
        <w:t xml:space="preserve"> </w:t>
      </w:r>
      <w:r w:rsidR="00897CF8">
        <w:rPr>
          <w:rFonts w:eastAsia="Times New Roman" w:cs="Times New Roman"/>
          <w:color w:val="000000"/>
        </w:rPr>
        <w:t xml:space="preserve">The jury </w:t>
      </w:r>
      <w:r w:rsidR="001023C3">
        <w:rPr>
          <w:rFonts w:eastAsia="Times New Roman" w:cs="Times New Roman"/>
          <w:color w:val="000000"/>
        </w:rPr>
        <w:t xml:space="preserve">found the defendant guilty as charged </w:t>
      </w:r>
      <w:r w:rsidR="00133597">
        <w:rPr>
          <w:rFonts w:eastAsia="Times New Roman" w:cs="Times New Roman"/>
          <w:color w:val="000000"/>
        </w:rPr>
        <w:t>(</w:t>
      </w:r>
      <w:r w:rsidR="00564777" w:rsidRPr="00564777">
        <w:rPr>
          <w:rFonts w:eastAsia="Times New Roman" w:cs="Times New Roman"/>
          <w:i/>
          <w:iCs/>
          <w:color w:val="000000"/>
        </w:rPr>
        <w:t>id</w:t>
      </w:r>
      <w:r w:rsidR="00564777">
        <w:rPr>
          <w:rFonts w:eastAsia="Times New Roman" w:cs="Times New Roman"/>
          <w:color w:val="000000"/>
        </w:rPr>
        <w:t>. at p.</w:t>
      </w:r>
      <w:r w:rsidR="00481393">
        <w:rPr>
          <w:rFonts w:eastAsia="Times New Roman" w:cs="Times New Roman"/>
          <w:color w:val="000000"/>
        </w:rPr>
        <w:t> </w:t>
      </w:r>
      <w:r w:rsidR="00564777">
        <w:rPr>
          <w:rFonts w:eastAsia="Times New Roman" w:cs="Times New Roman"/>
          <w:color w:val="000000"/>
        </w:rPr>
        <w:t>10)</w:t>
      </w:r>
      <w:r w:rsidR="00C92E9F">
        <w:rPr>
          <w:rFonts w:eastAsia="Times New Roman" w:cs="Times New Roman"/>
          <w:color w:val="000000"/>
        </w:rPr>
        <w:t xml:space="preserve">, and many years later </w:t>
      </w:r>
      <w:r w:rsidR="002445B1">
        <w:rPr>
          <w:rFonts w:eastAsia="Times New Roman" w:cs="Times New Roman"/>
          <w:color w:val="000000"/>
        </w:rPr>
        <w:t xml:space="preserve">he </w:t>
      </w:r>
      <w:r w:rsidR="00C92E9F">
        <w:rPr>
          <w:rFonts w:eastAsia="Times New Roman" w:cs="Times New Roman"/>
          <w:color w:val="000000"/>
        </w:rPr>
        <w:t>filed a section 1172.6 resente</w:t>
      </w:r>
      <w:r w:rsidR="005C4F1D">
        <w:rPr>
          <w:rFonts w:eastAsia="Times New Roman" w:cs="Times New Roman"/>
          <w:color w:val="000000"/>
        </w:rPr>
        <w:t>ncing petition, which was summarily d</w:t>
      </w:r>
      <w:r w:rsidR="00566E3F">
        <w:rPr>
          <w:rFonts w:eastAsia="Times New Roman" w:cs="Times New Roman"/>
          <w:color w:val="000000"/>
        </w:rPr>
        <w:t>enied</w:t>
      </w:r>
      <w:r w:rsidR="00A93AFF">
        <w:rPr>
          <w:rFonts w:eastAsia="Times New Roman" w:cs="Times New Roman"/>
          <w:color w:val="000000"/>
        </w:rPr>
        <w:t xml:space="preserve"> for failure to make a prima facie case for relief</w:t>
      </w:r>
      <w:r w:rsidR="00564777">
        <w:rPr>
          <w:rFonts w:eastAsia="Times New Roman" w:cs="Times New Roman"/>
          <w:color w:val="000000"/>
        </w:rPr>
        <w:t xml:space="preserve"> </w:t>
      </w:r>
      <w:r w:rsidR="00564777" w:rsidRPr="00FA20D3">
        <w:rPr>
          <w:rFonts w:eastAsia="Times New Roman" w:cs="Times New Roman"/>
          <w:color w:val="000000"/>
        </w:rPr>
        <w:t>(</w:t>
      </w:r>
      <w:r w:rsidR="00232BA7">
        <w:rPr>
          <w:rFonts w:eastAsia="Times New Roman" w:cs="Times New Roman"/>
          <w:i/>
          <w:iCs/>
          <w:color w:val="000000"/>
        </w:rPr>
        <w:t>Lopez</w:t>
      </w:r>
      <w:r w:rsidR="00232BA7">
        <w:rPr>
          <w:rFonts w:eastAsia="Times New Roman" w:cs="Times New Roman"/>
          <w:color w:val="000000"/>
        </w:rPr>
        <w:t>,</w:t>
      </w:r>
      <w:r w:rsidR="00564777">
        <w:rPr>
          <w:rFonts w:eastAsia="Times New Roman" w:cs="Times New Roman"/>
          <w:color w:val="000000"/>
        </w:rPr>
        <w:t xml:space="preserve"> at p.</w:t>
      </w:r>
      <w:r w:rsidR="00BC3856">
        <w:rPr>
          <w:rFonts w:eastAsia="Times New Roman" w:cs="Times New Roman"/>
          <w:color w:val="000000"/>
        </w:rPr>
        <w:t> </w:t>
      </w:r>
      <w:r w:rsidR="00564777">
        <w:rPr>
          <w:rFonts w:eastAsia="Times New Roman" w:cs="Times New Roman"/>
          <w:color w:val="000000"/>
        </w:rPr>
        <w:t>11)</w:t>
      </w:r>
      <w:r w:rsidR="005C4F1D">
        <w:rPr>
          <w:rFonts w:eastAsia="Times New Roman" w:cs="Times New Roman"/>
          <w:color w:val="000000"/>
        </w:rPr>
        <w:t xml:space="preserve">.  </w:t>
      </w:r>
      <w:r w:rsidR="00E108A6">
        <w:rPr>
          <w:rFonts w:eastAsia="Times New Roman" w:cs="Times New Roman"/>
          <w:color w:val="000000"/>
        </w:rPr>
        <w:t>T</w:t>
      </w:r>
      <w:r w:rsidR="00AE00C6" w:rsidRPr="004228AD">
        <w:rPr>
          <w:rFonts w:eastAsia="Times New Roman" w:cs="Times New Roman"/>
          <w:color w:val="000000"/>
        </w:rPr>
        <w:t>he Court of Appeal</w:t>
      </w:r>
      <w:r w:rsidR="00E108A6">
        <w:rPr>
          <w:rFonts w:eastAsia="Times New Roman" w:cs="Times New Roman"/>
          <w:color w:val="000000"/>
        </w:rPr>
        <w:t xml:space="preserve"> reversed</w:t>
      </w:r>
      <w:r w:rsidR="00F73624">
        <w:rPr>
          <w:rFonts w:eastAsia="Times New Roman" w:cs="Times New Roman"/>
          <w:color w:val="000000"/>
        </w:rPr>
        <w:t xml:space="preserve">, </w:t>
      </w:r>
      <w:r w:rsidR="0013787D">
        <w:rPr>
          <w:rFonts w:eastAsia="Times New Roman" w:cs="Times New Roman"/>
          <w:color w:val="000000"/>
        </w:rPr>
        <w:t xml:space="preserve">pointing out </w:t>
      </w:r>
      <w:r w:rsidR="00F73624">
        <w:rPr>
          <w:rFonts w:eastAsia="Times New Roman" w:cs="Times New Roman"/>
          <w:color w:val="000000"/>
        </w:rPr>
        <w:t>that the jury could have believed some but not all of the defendant’s testimony</w:t>
      </w:r>
      <w:r w:rsidR="00E108A6">
        <w:rPr>
          <w:rFonts w:eastAsia="Times New Roman" w:cs="Times New Roman"/>
          <w:color w:val="000000"/>
        </w:rPr>
        <w:t xml:space="preserve">.  </w:t>
      </w:r>
      <w:r w:rsidR="009F1582">
        <w:rPr>
          <w:rFonts w:eastAsia="Times New Roman" w:cs="Times New Roman"/>
          <w:color w:val="000000"/>
        </w:rPr>
        <w:t>(</w:t>
      </w:r>
      <w:r w:rsidR="009F1582" w:rsidRPr="000817DF">
        <w:rPr>
          <w:rFonts w:eastAsia="Times New Roman" w:cs="Times New Roman"/>
          <w:i/>
          <w:iCs/>
          <w:color w:val="000000"/>
        </w:rPr>
        <w:t>Id</w:t>
      </w:r>
      <w:r w:rsidR="009F1582">
        <w:rPr>
          <w:rFonts w:eastAsia="Times New Roman" w:cs="Times New Roman"/>
          <w:color w:val="000000"/>
        </w:rPr>
        <w:t>. at pp.</w:t>
      </w:r>
      <w:r w:rsidR="00481393">
        <w:rPr>
          <w:rFonts w:eastAsia="Times New Roman" w:cs="Times New Roman"/>
          <w:color w:val="000000"/>
        </w:rPr>
        <w:t> </w:t>
      </w:r>
      <w:r w:rsidR="009F1582">
        <w:rPr>
          <w:rFonts w:eastAsia="Times New Roman" w:cs="Times New Roman"/>
          <w:color w:val="000000"/>
        </w:rPr>
        <w:t>19</w:t>
      </w:r>
      <w:r w:rsidR="006F3BA6">
        <w:t>–</w:t>
      </w:r>
      <w:r w:rsidR="000817DF">
        <w:rPr>
          <w:rFonts w:eastAsia="Times New Roman" w:cs="Times New Roman"/>
          <w:color w:val="000000"/>
        </w:rPr>
        <w:t>20.)</w:t>
      </w:r>
      <w:r w:rsidR="00E108A6">
        <w:rPr>
          <w:rFonts w:eastAsia="Times New Roman" w:cs="Times New Roman"/>
          <w:color w:val="000000"/>
        </w:rPr>
        <w:t xml:space="preserve">  </w:t>
      </w:r>
      <w:r w:rsidR="000161D5">
        <w:rPr>
          <w:rFonts w:eastAsia="Times New Roman" w:cs="Times New Roman"/>
          <w:color w:val="000000"/>
        </w:rPr>
        <w:t>I</w:t>
      </w:r>
      <w:r w:rsidR="00E108A6">
        <w:rPr>
          <w:rFonts w:eastAsia="Times New Roman" w:cs="Times New Roman"/>
          <w:color w:val="000000"/>
        </w:rPr>
        <w:t xml:space="preserve">n light of the </w:t>
      </w:r>
      <w:r w:rsidR="00C65CDD">
        <w:rPr>
          <w:rFonts w:eastAsia="Times New Roman" w:cs="Times New Roman"/>
          <w:color w:val="000000"/>
        </w:rPr>
        <w:t xml:space="preserve">proximate cause instruction, </w:t>
      </w:r>
      <w:r w:rsidR="000161D5">
        <w:rPr>
          <w:rFonts w:eastAsia="Times New Roman" w:cs="Times New Roman"/>
          <w:color w:val="000000"/>
        </w:rPr>
        <w:t xml:space="preserve">the court concluded, </w:t>
      </w:r>
      <w:r w:rsidR="00C65CDD">
        <w:rPr>
          <w:rFonts w:eastAsia="Times New Roman" w:cs="Times New Roman"/>
          <w:color w:val="000000"/>
        </w:rPr>
        <w:t xml:space="preserve">the jury could have </w:t>
      </w:r>
      <w:r w:rsidR="00F8702C">
        <w:rPr>
          <w:rFonts w:eastAsia="Times New Roman" w:cs="Times New Roman"/>
          <w:color w:val="000000"/>
        </w:rPr>
        <w:t xml:space="preserve">believed a second </w:t>
      </w:r>
      <w:r w:rsidR="00D8607C">
        <w:rPr>
          <w:rFonts w:eastAsia="Times New Roman" w:cs="Times New Roman"/>
          <w:color w:val="000000"/>
        </w:rPr>
        <w:t xml:space="preserve">assailant was in the apartment but concluded the defendant </w:t>
      </w:r>
      <w:r w:rsidR="00F8702C">
        <w:rPr>
          <w:rFonts w:eastAsia="Times New Roman" w:cs="Times New Roman"/>
          <w:color w:val="000000"/>
        </w:rPr>
        <w:t xml:space="preserve">was </w:t>
      </w:r>
      <w:r w:rsidR="0027088D">
        <w:rPr>
          <w:rFonts w:eastAsia="Times New Roman" w:cs="Times New Roman"/>
          <w:color w:val="000000"/>
        </w:rPr>
        <w:lastRenderedPageBreak/>
        <w:t xml:space="preserve">actively involved </w:t>
      </w:r>
      <w:r w:rsidR="001A635D">
        <w:rPr>
          <w:rFonts w:eastAsia="Times New Roman" w:cs="Times New Roman"/>
          <w:color w:val="000000"/>
        </w:rPr>
        <w:t xml:space="preserve">only </w:t>
      </w:r>
      <w:r w:rsidR="0041255D">
        <w:rPr>
          <w:rFonts w:eastAsia="Times New Roman" w:cs="Times New Roman"/>
          <w:color w:val="000000"/>
        </w:rPr>
        <w:t>in</w:t>
      </w:r>
      <w:r w:rsidR="001A635D">
        <w:rPr>
          <w:rFonts w:eastAsia="Times New Roman" w:cs="Times New Roman"/>
          <w:color w:val="000000"/>
        </w:rPr>
        <w:t xml:space="preserve"> the</w:t>
      </w:r>
      <w:r w:rsidR="0041255D">
        <w:rPr>
          <w:rFonts w:eastAsia="Times New Roman" w:cs="Times New Roman"/>
          <w:color w:val="000000"/>
        </w:rPr>
        <w:t xml:space="preserve"> </w:t>
      </w:r>
      <w:r w:rsidR="00B964B7">
        <w:rPr>
          <w:rFonts w:eastAsia="Times New Roman" w:cs="Times New Roman"/>
          <w:color w:val="000000"/>
        </w:rPr>
        <w:t>robbery, which justified</w:t>
      </w:r>
      <w:r w:rsidR="00F07E4C">
        <w:rPr>
          <w:rFonts w:eastAsia="Times New Roman" w:cs="Times New Roman"/>
          <w:color w:val="000000"/>
        </w:rPr>
        <w:t xml:space="preserve"> </w:t>
      </w:r>
      <w:r w:rsidR="00DD4528">
        <w:rPr>
          <w:rFonts w:eastAsia="Times New Roman" w:cs="Times New Roman"/>
          <w:color w:val="000000"/>
        </w:rPr>
        <w:t>convict</w:t>
      </w:r>
      <w:r w:rsidR="00F07E4C">
        <w:rPr>
          <w:rFonts w:eastAsia="Times New Roman" w:cs="Times New Roman"/>
          <w:color w:val="000000"/>
        </w:rPr>
        <w:t xml:space="preserve">ing </w:t>
      </w:r>
      <w:r w:rsidR="00DD4528">
        <w:rPr>
          <w:rFonts w:eastAsia="Times New Roman" w:cs="Times New Roman"/>
          <w:color w:val="000000"/>
        </w:rPr>
        <w:t xml:space="preserve">him </w:t>
      </w:r>
      <w:r w:rsidR="0035723C">
        <w:rPr>
          <w:rFonts w:eastAsia="Times New Roman" w:cs="Times New Roman"/>
          <w:color w:val="000000"/>
        </w:rPr>
        <w:t xml:space="preserve">of felony murder </w:t>
      </w:r>
      <w:r w:rsidR="00B964B7">
        <w:rPr>
          <w:rFonts w:eastAsia="Times New Roman" w:cs="Times New Roman"/>
          <w:color w:val="000000"/>
        </w:rPr>
        <w:t xml:space="preserve">but </w:t>
      </w:r>
      <w:r w:rsidR="001C48C7">
        <w:rPr>
          <w:rFonts w:eastAsia="Times New Roman" w:cs="Times New Roman"/>
          <w:color w:val="000000"/>
        </w:rPr>
        <w:t xml:space="preserve">without any need to </w:t>
      </w:r>
      <w:r w:rsidR="00BD02D9">
        <w:rPr>
          <w:rFonts w:eastAsia="Times New Roman" w:cs="Times New Roman"/>
          <w:color w:val="000000"/>
        </w:rPr>
        <w:t>find</w:t>
      </w:r>
      <w:r w:rsidR="00B964B7">
        <w:rPr>
          <w:rFonts w:eastAsia="Times New Roman" w:cs="Times New Roman"/>
          <w:color w:val="000000"/>
        </w:rPr>
        <w:t xml:space="preserve"> </w:t>
      </w:r>
      <w:r w:rsidR="00BD02D9">
        <w:rPr>
          <w:rFonts w:eastAsia="Times New Roman" w:cs="Times New Roman"/>
          <w:color w:val="000000"/>
        </w:rPr>
        <w:t>he was t</w:t>
      </w:r>
      <w:r w:rsidRPr="004228AD">
        <w:rPr>
          <w:rFonts w:eastAsia="Times New Roman" w:cs="Times New Roman"/>
          <w:color w:val="000000"/>
        </w:rPr>
        <w:t>he actual killer.</w:t>
      </w:r>
      <w:r w:rsidR="0003157A">
        <w:rPr>
          <w:rFonts w:eastAsia="Times New Roman" w:cs="Times New Roman"/>
          <w:color w:val="000000"/>
        </w:rPr>
        <w:t xml:space="preserve">  </w:t>
      </w:r>
      <w:r w:rsidR="0003157A" w:rsidRPr="004228AD">
        <w:rPr>
          <w:rFonts w:eastAsia="Times New Roman" w:cs="Times New Roman"/>
          <w:color w:val="000000"/>
        </w:rPr>
        <w:t>(</w:t>
      </w:r>
      <w:r w:rsidR="000817DF">
        <w:rPr>
          <w:rFonts w:eastAsia="Times New Roman" w:cs="Times New Roman"/>
          <w:i/>
          <w:iCs/>
          <w:color w:val="3D3D3D"/>
          <w:bdr w:val="none" w:sz="0" w:space="0" w:color="auto" w:frame="1"/>
        </w:rPr>
        <w:t xml:space="preserve">Id. </w:t>
      </w:r>
      <w:r w:rsidR="000817DF" w:rsidRPr="000817DF">
        <w:rPr>
          <w:rFonts w:eastAsia="Times New Roman" w:cs="Times New Roman"/>
          <w:color w:val="3D3D3D"/>
          <w:bdr w:val="none" w:sz="0" w:space="0" w:color="auto" w:frame="1"/>
        </w:rPr>
        <w:t>at</w:t>
      </w:r>
      <w:r w:rsidR="000817DF">
        <w:rPr>
          <w:rFonts w:eastAsia="Times New Roman" w:cs="Times New Roman"/>
          <w:i/>
          <w:iCs/>
          <w:color w:val="3D3D3D"/>
          <w:bdr w:val="none" w:sz="0" w:space="0" w:color="auto" w:frame="1"/>
        </w:rPr>
        <w:t xml:space="preserve"> </w:t>
      </w:r>
      <w:r w:rsidR="0003157A" w:rsidRPr="004228AD">
        <w:rPr>
          <w:rFonts w:eastAsia="Times New Roman" w:cs="Times New Roman"/>
          <w:color w:val="000000"/>
        </w:rPr>
        <w:t>p.</w:t>
      </w:r>
      <w:r w:rsidR="00A479D4">
        <w:rPr>
          <w:rFonts w:eastAsia="Times New Roman" w:cs="Times New Roman"/>
          <w:color w:val="000000"/>
        </w:rPr>
        <w:t> </w:t>
      </w:r>
      <w:r w:rsidR="0003157A">
        <w:rPr>
          <w:rFonts w:eastAsia="Times New Roman" w:cs="Times New Roman"/>
          <w:color w:val="000000"/>
        </w:rPr>
        <w:t>20</w:t>
      </w:r>
      <w:r w:rsidR="0003157A" w:rsidRPr="004228AD">
        <w:rPr>
          <w:rFonts w:eastAsia="Times New Roman" w:cs="Times New Roman"/>
          <w:color w:val="000000"/>
        </w:rPr>
        <w:t xml:space="preserve">.)  </w:t>
      </w:r>
    </w:p>
    <w:p w14:paraId="473BBF31" w14:textId="6290B3F7" w:rsidR="009C2E5F" w:rsidRDefault="00C42495" w:rsidP="00FC6C6B">
      <w:pPr>
        <w:shd w:val="clear" w:color="auto" w:fill="FFFFFF"/>
        <w:rPr>
          <w:rFonts w:eastAsia="Times New Roman" w:cs="Times New Roman"/>
          <w:color w:val="000000"/>
        </w:rPr>
      </w:pPr>
      <w:r w:rsidRPr="004228AD">
        <w:rPr>
          <w:rFonts w:eastAsia="Times New Roman" w:cs="Times New Roman"/>
          <w:color w:val="000000"/>
        </w:rPr>
        <w:t xml:space="preserve">Under the </w:t>
      </w:r>
      <w:r w:rsidR="002C6F46" w:rsidRPr="004228AD">
        <w:rPr>
          <w:rFonts w:eastAsia="Times New Roman" w:cs="Times New Roman"/>
          <w:color w:val="000000"/>
        </w:rPr>
        <w:t xml:space="preserve">jury </w:t>
      </w:r>
      <w:r w:rsidRPr="004228AD">
        <w:rPr>
          <w:rFonts w:eastAsia="Times New Roman" w:cs="Times New Roman"/>
          <w:color w:val="000000"/>
        </w:rPr>
        <w:t xml:space="preserve">instructions </w:t>
      </w:r>
      <w:r w:rsidR="002C6F46" w:rsidRPr="004228AD">
        <w:rPr>
          <w:rFonts w:eastAsia="Times New Roman" w:cs="Times New Roman"/>
          <w:color w:val="000000"/>
        </w:rPr>
        <w:t xml:space="preserve">in </w:t>
      </w:r>
      <w:r w:rsidR="00090F6F" w:rsidRPr="004228AD">
        <w:rPr>
          <w:rFonts w:eastAsia="Times New Roman" w:cs="Times New Roman"/>
          <w:color w:val="000000"/>
        </w:rPr>
        <w:t>Beaudreaux</w:t>
      </w:r>
      <w:r w:rsidR="00090F6F">
        <w:rPr>
          <w:rFonts w:eastAsia="Times New Roman" w:cs="Times New Roman"/>
          <w:color w:val="000000"/>
        </w:rPr>
        <w:t xml:space="preserve">’s </w:t>
      </w:r>
      <w:r w:rsidR="002C6F46" w:rsidRPr="004228AD">
        <w:rPr>
          <w:rFonts w:eastAsia="Times New Roman" w:cs="Times New Roman"/>
          <w:color w:val="000000"/>
        </w:rPr>
        <w:t>case</w:t>
      </w:r>
      <w:r w:rsidRPr="004228AD">
        <w:rPr>
          <w:rFonts w:eastAsia="Times New Roman" w:cs="Times New Roman"/>
          <w:color w:val="000000"/>
        </w:rPr>
        <w:t xml:space="preserve">, </w:t>
      </w:r>
      <w:r w:rsidR="008529DC">
        <w:rPr>
          <w:rFonts w:eastAsia="Times New Roman" w:cs="Times New Roman"/>
          <w:color w:val="000000"/>
        </w:rPr>
        <w:t xml:space="preserve">by contrast, </w:t>
      </w:r>
      <w:r w:rsidRPr="00FC6C6B">
        <w:rPr>
          <w:rFonts w:eastAsia="Times New Roman" w:cs="Times New Roman"/>
          <w:color w:val="000000"/>
        </w:rPr>
        <w:t xml:space="preserve">causation was an element </w:t>
      </w:r>
      <w:r w:rsidR="00CD14D7" w:rsidRPr="00FC6C6B">
        <w:rPr>
          <w:rFonts w:eastAsia="Times New Roman" w:cs="Times New Roman"/>
          <w:color w:val="000000"/>
        </w:rPr>
        <w:t>the jury had to find</w:t>
      </w:r>
      <w:r w:rsidR="008A0239" w:rsidRPr="00FC6C6B">
        <w:rPr>
          <w:rFonts w:eastAsia="Times New Roman" w:cs="Times New Roman"/>
          <w:color w:val="000000"/>
        </w:rPr>
        <w:t xml:space="preserve"> </w:t>
      </w:r>
      <w:r w:rsidR="000277B4" w:rsidRPr="00FC6C6B">
        <w:rPr>
          <w:rFonts w:eastAsia="Times New Roman" w:cs="Times New Roman"/>
          <w:color w:val="000000"/>
        </w:rPr>
        <w:t>in order to convict</w:t>
      </w:r>
      <w:r w:rsidR="00090F6F" w:rsidRPr="00FC6C6B">
        <w:rPr>
          <w:rFonts w:eastAsia="Times New Roman" w:cs="Times New Roman"/>
          <w:color w:val="000000"/>
        </w:rPr>
        <w:t xml:space="preserve"> him</w:t>
      </w:r>
      <w:r w:rsidR="0005569C" w:rsidRPr="00FC6C6B">
        <w:rPr>
          <w:rFonts w:eastAsia="Times New Roman" w:cs="Times New Roman"/>
          <w:color w:val="000000"/>
        </w:rPr>
        <w:t xml:space="preserve"> o</w:t>
      </w:r>
      <w:r w:rsidR="000277B4" w:rsidRPr="00FC6C6B">
        <w:rPr>
          <w:rFonts w:eastAsia="Times New Roman" w:cs="Times New Roman"/>
          <w:color w:val="000000"/>
        </w:rPr>
        <w:t>f murder</w:t>
      </w:r>
      <w:r w:rsidR="008A0239" w:rsidRPr="00FC6C6B">
        <w:rPr>
          <w:rFonts w:eastAsia="Times New Roman" w:cs="Times New Roman"/>
          <w:color w:val="000000"/>
        </w:rPr>
        <w:t>—and it did so find—</w:t>
      </w:r>
      <w:r w:rsidR="00CD14D7" w:rsidRPr="00FC6C6B">
        <w:rPr>
          <w:rFonts w:eastAsia="Times New Roman" w:cs="Times New Roman"/>
          <w:color w:val="000000"/>
        </w:rPr>
        <w:t>but there was no amplifying ins</w:t>
      </w:r>
      <w:r w:rsidR="000C40B4" w:rsidRPr="00FC6C6B">
        <w:rPr>
          <w:rFonts w:eastAsia="Times New Roman" w:cs="Times New Roman"/>
          <w:color w:val="000000"/>
        </w:rPr>
        <w:t>t</w:t>
      </w:r>
      <w:r w:rsidR="00CD14D7" w:rsidRPr="00FC6C6B">
        <w:rPr>
          <w:rFonts w:eastAsia="Times New Roman" w:cs="Times New Roman"/>
          <w:color w:val="000000"/>
        </w:rPr>
        <w:t xml:space="preserve">ruction </w:t>
      </w:r>
      <w:r w:rsidR="00A10398" w:rsidRPr="00FC6C6B">
        <w:rPr>
          <w:rFonts w:eastAsia="Times New Roman" w:cs="Times New Roman"/>
          <w:color w:val="000000"/>
        </w:rPr>
        <w:t>p</w:t>
      </w:r>
      <w:r w:rsidR="00B342F3" w:rsidRPr="00FC6C6B">
        <w:rPr>
          <w:rFonts w:eastAsia="Times New Roman" w:cs="Times New Roman"/>
          <w:color w:val="000000"/>
        </w:rPr>
        <w:t xml:space="preserve">ermitting </w:t>
      </w:r>
      <w:r w:rsidR="00F818C1">
        <w:rPr>
          <w:rFonts w:eastAsia="Times New Roman" w:cs="Times New Roman"/>
          <w:color w:val="000000"/>
        </w:rPr>
        <w:t xml:space="preserve">it </w:t>
      </w:r>
      <w:r w:rsidR="00B342F3" w:rsidRPr="00FC6C6B">
        <w:rPr>
          <w:rFonts w:eastAsia="Times New Roman" w:cs="Times New Roman"/>
          <w:color w:val="000000"/>
        </w:rPr>
        <w:t xml:space="preserve">to conclude </w:t>
      </w:r>
      <w:r w:rsidR="000C40B4" w:rsidRPr="00FC6C6B">
        <w:rPr>
          <w:rFonts w:eastAsia="Times New Roman" w:cs="Times New Roman"/>
          <w:color w:val="000000"/>
        </w:rPr>
        <w:t>that</w:t>
      </w:r>
      <w:r w:rsidR="008E1210" w:rsidRPr="00FC6C6B">
        <w:rPr>
          <w:rFonts w:eastAsia="Times New Roman" w:cs="Times New Roman"/>
          <w:color w:val="000000"/>
        </w:rPr>
        <w:t xml:space="preserve"> the </w:t>
      </w:r>
      <w:r w:rsidR="0092068F" w:rsidRPr="00FC6C6B">
        <w:rPr>
          <w:rFonts w:eastAsia="Times New Roman" w:cs="Times New Roman"/>
          <w:color w:val="000000"/>
        </w:rPr>
        <w:t xml:space="preserve">instructional phrase </w:t>
      </w:r>
      <w:r w:rsidR="00803D04" w:rsidRPr="00FC6C6B">
        <w:rPr>
          <w:rFonts w:eastAsia="Times New Roman" w:cs="Times New Roman"/>
          <w:color w:val="000000"/>
        </w:rPr>
        <w:t xml:space="preserve">“caused </w:t>
      </w:r>
      <w:r w:rsidR="00FB0E45" w:rsidRPr="00FC6C6B">
        <w:rPr>
          <w:rFonts w:eastAsia="Times New Roman" w:cs="Times New Roman"/>
          <w:color w:val="000000"/>
        </w:rPr>
        <w:t xml:space="preserve">the death of </w:t>
      </w:r>
      <w:r w:rsidR="00092520" w:rsidRPr="00FC6C6B">
        <w:rPr>
          <w:rFonts w:eastAsia="Times New Roman" w:cs="Times New Roman"/>
          <w:color w:val="000000"/>
        </w:rPr>
        <w:t>another</w:t>
      </w:r>
      <w:r w:rsidR="00FF7CF4">
        <w:rPr>
          <w:rFonts w:eastAsia="Times New Roman" w:cs="Times New Roman"/>
          <w:color w:val="000000"/>
        </w:rPr>
        <w:t xml:space="preserve"> </w:t>
      </w:r>
      <w:r w:rsidR="00FB0E45" w:rsidRPr="00FC6C6B">
        <w:rPr>
          <w:rFonts w:eastAsia="Times New Roman" w:cs="Times New Roman"/>
          <w:color w:val="000000"/>
        </w:rPr>
        <w:t xml:space="preserve">person” </w:t>
      </w:r>
      <w:r w:rsidR="001D48C7" w:rsidRPr="00FC6C6B">
        <w:rPr>
          <w:rFonts w:eastAsia="Times New Roman" w:cs="Times New Roman"/>
          <w:color w:val="000000"/>
        </w:rPr>
        <w:t>meant anything more th</w:t>
      </w:r>
      <w:r w:rsidR="006C3026" w:rsidRPr="00FC6C6B">
        <w:rPr>
          <w:rFonts w:eastAsia="Times New Roman" w:cs="Times New Roman"/>
          <w:color w:val="000000"/>
        </w:rPr>
        <w:t xml:space="preserve">an that </w:t>
      </w:r>
      <w:r w:rsidR="00206780" w:rsidRPr="00FC6C6B">
        <w:rPr>
          <w:rFonts w:eastAsia="Times New Roman" w:cs="Times New Roman"/>
          <w:color w:val="000000"/>
        </w:rPr>
        <w:t xml:space="preserve">Beaudreaux shot </w:t>
      </w:r>
      <w:r w:rsidR="006C3026" w:rsidRPr="00FC6C6B">
        <w:rPr>
          <w:rFonts w:eastAsia="Times New Roman" w:cs="Times New Roman"/>
          <w:color w:val="000000"/>
        </w:rPr>
        <w:t xml:space="preserve">Drummond </w:t>
      </w:r>
      <w:r w:rsidR="00206780" w:rsidRPr="00FC6C6B">
        <w:rPr>
          <w:rFonts w:eastAsia="Times New Roman" w:cs="Times New Roman"/>
          <w:color w:val="000000"/>
        </w:rPr>
        <w:t>to death</w:t>
      </w:r>
      <w:r w:rsidR="00915372" w:rsidRPr="00FC6C6B">
        <w:rPr>
          <w:rFonts w:eastAsia="Times New Roman" w:cs="Times New Roman"/>
          <w:color w:val="000000"/>
        </w:rPr>
        <w:t xml:space="preserve">, </w:t>
      </w:r>
      <w:r w:rsidR="00B33F58" w:rsidRPr="00FC6C6B">
        <w:rPr>
          <w:rFonts w:eastAsia="Times New Roman" w:cs="Times New Roman"/>
          <w:color w:val="000000"/>
        </w:rPr>
        <w:t xml:space="preserve">in accord with </w:t>
      </w:r>
      <w:r w:rsidR="00F2099E">
        <w:rPr>
          <w:rFonts w:eastAsia="Times New Roman" w:cs="Times New Roman"/>
          <w:color w:val="000000"/>
        </w:rPr>
        <w:t xml:space="preserve">the </w:t>
      </w:r>
      <w:r w:rsidR="00224231" w:rsidRPr="00FC6C6B">
        <w:rPr>
          <w:rFonts w:eastAsia="Times New Roman" w:cs="Times New Roman"/>
          <w:color w:val="000000"/>
        </w:rPr>
        <w:t>p</w:t>
      </w:r>
      <w:r w:rsidR="00915372" w:rsidRPr="00FC6C6B">
        <w:rPr>
          <w:rFonts w:eastAsia="Times New Roman" w:cs="Times New Roman"/>
          <w:color w:val="000000"/>
        </w:rPr>
        <w:t>lain meaning</w:t>
      </w:r>
      <w:r w:rsidR="00F2099E">
        <w:rPr>
          <w:rFonts w:eastAsia="Times New Roman" w:cs="Times New Roman"/>
          <w:color w:val="000000"/>
        </w:rPr>
        <w:t xml:space="preserve"> of those words</w:t>
      </w:r>
      <w:r w:rsidR="00224231" w:rsidRPr="00FC6C6B">
        <w:rPr>
          <w:rFonts w:eastAsia="Times New Roman" w:cs="Times New Roman"/>
          <w:color w:val="000000"/>
        </w:rPr>
        <w:t xml:space="preserve">.  </w:t>
      </w:r>
      <w:r w:rsidR="00557623" w:rsidRPr="00FC6C6B">
        <w:rPr>
          <w:rFonts w:eastAsia="Times New Roman" w:cs="Times New Roman"/>
          <w:color w:val="000000"/>
        </w:rPr>
        <w:t>C</w:t>
      </w:r>
      <w:r w:rsidR="00C7439B" w:rsidRPr="00FC6C6B">
        <w:rPr>
          <w:rFonts w:eastAsia="Times New Roman" w:cs="Times New Roman"/>
          <w:color w:val="000000"/>
        </w:rPr>
        <w:t>ourts have a sua spont</w:t>
      </w:r>
      <w:r w:rsidR="002F701B" w:rsidRPr="00FC6C6B">
        <w:rPr>
          <w:rFonts w:eastAsia="Times New Roman" w:cs="Times New Roman"/>
          <w:color w:val="000000"/>
        </w:rPr>
        <w:t>e</w:t>
      </w:r>
      <w:r w:rsidR="00BF5922" w:rsidRPr="00FC6C6B">
        <w:rPr>
          <w:rFonts w:eastAsia="Times New Roman" w:cs="Times New Roman"/>
          <w:color w:val="000000"/>
        </w:rPr>
        <w:t xml:space="preserve"> duty to </w:t>
      </w:r>
      <w:r w:rsidR="00FD52D5" w:rsidRPr="00FC6C6B">
        <w:rPr>
          <w:rFonts w:eastAsia="Times New Roman" w:cs="Times New Roman"/>
          <w:color w:val="000000"/>
        </w:rPr>
        <w:t>instruct on proximate causation</w:t>
      </w:r>
      <w:r w:rsidR="00224231" w:rsidRPr="00FC6C6B">
        <w:rPr>
          <w:rFonts w:eastAsia="Times New Roman" w:cs="Times New Roman"/>
          <w:color w:val="000000"/>
        </w:rPr>
        <w:t xml:space="preserve">, which of course </w:t>
      </w:r>
      <w:r w:rsidR="0097751A" w:rsidRPr="00FC6C6B">
        <w:rPr>
          <w:rFonts w:eastAsia="Times New Roman" w:cs="Times New Roman"/>
          <w:color w:val="000000"/>
        </w:rPr>
        <w:t>has a specialized legal meaning</w:t>
      </w:r>
      <w:r w:rsidR="00EF3D52">
        <w:rPr>
          <w:rFonts w:eastAsia="Times New Roman" w:cs="Times New Roman"/>
          <w:color w:val="000000"/>
        </w:rPr>
        <w:t xml:space="preserve">.  </w:t>
      </w:r>
      <w:r w:rsidR="00FD52D5" w:rsidRPr="003718D4">
        <w:rPr>
          <w:rFonts w:eastAsia="Times New Roman" w:cs="Times New Roman"/>
          <w:bdr w:val="none" w:sz="0" w:space="0" w:color="auto" w:frame="1"/>
          <w:shd w:val="clear" w:color="auto" w:fill="FFFFFF"/>
        </w:rPr>
        <w:t>(</w:t>
      </w:r>
      <w:r w:rsidR="004A1CB4" w:rsidRPr="003718D4">
        <w:rPr>
          <w:rFonts w:eastAsia="Times New Roman" w:cs="Times New Roman"/>
          <w:i/>
          <w:iCs/>
          <w:bdr w:val="none" w:sz="0" w:space="0" w:color="auto" w:frame="1"/>
        </w:rPr>
        <w:t>People v. Bernhardt</w:t>
      </w:r>
      <w:r w:rsidR="004A1CB4" w:rsidRPr="003718D4">
        <w:rPr>
          <w:rFonts w:eastAsia="Times New Roman" w:cs="Times New Roman"/>
        </w:rPr>
        <w:t xml:space="preserve"> (1963) 222</w:t>
      </w:r>
      <w:r w:rsidR="0090133E">
        <w:rPr>
          <w:rFonts w:eastAsia="Times New Roman" w:cs="Times New Roman"/>
        </w:rPr>
        <w:t> </w:t>
      </w:r>
      <w:r w:rsidR="004A1CB4" w:rsidRPr="003718D4">
        <w:rPr>
          <w:rFonts w:eastAsia="Times New Roman" w:cs="Times New Roman"/>
        </w:rPr>
        <w:t xml:space="preserve">Cal.App.2d 567, 591; </w:t>
      </w:r>
      <w:r w:rsidR="0090133E">
        <w:rPr>
          <w:rFonts w:eastAsia="Times New Roman" w:cs="Times New Roman"/>
        </w:rPr>
        <w:t xml:space="preserve">Judicial </w:t>
      </w:r>
      <w:r w:rsidR="0080647A">
        <w:rPr>
          <w:rFonts w:eastAsia="Times New Roman" w:cs="Times New Roman"/>
        </w:rPr>
        <w:t>C</w:t>
      </w:r>
      <w:r w:rsidR="0090133E">
        <w:rPr>
          <w:rFonts w:eastAsia="Times New Roman" w:cs="Times New Roman"/>
        </w:rPr>
        <w:t xml:space="preserve">ouncil </w:t>
      </w:r>
      <w:r w:rsidR="00CA0A54">
        <w:rPr>
          <w:rFonts w:eastAsia="Times New Roman" w:cs="Times New Roman"/>
        </w:rPr>
        <w:t xml:space="preserve">of Cal., Crim. Jury Instns. (2012) Bench Notes to </w:t>
      </w:r>
      <w:r w:rsidR="00DE469B" w:rsidRPr="003718D4">
        <w:rPr>
          <w:rFonts w:eastAsia="Times New Roman" w:cs="Times New Roman"/>
          <w:bdr w:val="none" w:sz="0" w:space="0" w:color="auto" w:frame="1"/>
          <w:shd w:val="clear" w:color="auto" w:fill="FFFFFF"/>
        </w:rPr>
        <w:t xml:space="preserve">CALCRIM </w:t>
      </w:r>
      <w:r w:rsidR="008C1AB2">
        <w:rPr>
          <w:rFonts w:eastAsia="Times New Roman" w:cs="Times New Roman"/>
        </w:rPr>
        <w:t>No.</w:t>
      </w:r>
      <w:r w:rsidR="00FD52D5" w:rsidRPr="003718D4">
        <w:rPr>
          <w:rFonts w:eastAsia="Times New Roman" w:cs="Times New Roman"/>
        </w:rPr>
        <w:t xml:space="preserve"> 240</w:t>
      </w:r>
      <w:r w:rsidR="002F193F" w:rsidRPr="003718D4">
        <w:rPr>
          <w:rFonts w:eastAsia="Times New Roman" w:cs="Times New Roman"/>
        </w:rPr>
        <w:t xml:space="preserve">.)  </w:t>
      </w:r>
      <w:r w:rsidR="00EF3D52">
        <w:rPr>
          <w:rFonts w:eastAsia="Times New Roman" w:cs="Times New Roman"/>
        </w:rPr>
        <w:t xml:space="preserve">But this sua sponte duty </w:t>
      </w:r>
      <w:r w:rsidR="006D68C6">
        <w:rPr>
          <w:rFonts w:eastAsia="Times New Roman" w:cs="Times New Roman"/>
        </w:rPr>
        <w:t xml:space="preserve">kicks in only where the evidence justifies giving such an instruction.  </w:t>
      </w:r>
      <w:r w:rsidR="00441910" w:rsidRPr="00FC6C6B">
        <w:rPr>
          <w:rFonts w:eastAsia="Times New Roman" w:cs="Times New Roman"/>
          <w:color w:val="000000"/>
        </w:rPr>
        <w:t>Here, w</w:t>
      </w:r>
      <w:r w:rsidR="002F193F" w:rsidRPr="00FC6C6B">
        <w:rPr>
          <w:rFonts w:eastAsia="Times New Roman" w:cs="Times New Roman"/>
          <w:color w:val="000000"/>
        </w:rPr>
        <w:t xml:space="preserve">e must assume </w:t>
      </w:r>
      <w:r w:rsidR="00B418E5">
        <w:rPr>
          <w:rFonts w:eastAsia="Times New Roman" w:cs="Times New Roman"/>
          <w:color w:val="000000"/>
        </w:rPr>
        <w:t xml:space="preserve">the court understood its </w:t>
      </w:r>
      <w:r w:rsidR="00092520">
        <w:rPr>
          <w:rFonts w:eastAsia="Times New Roman" w:cs="Times New Roman"/>
          <w:color w:val="000000"/>
        </w:rPr>
        <w:t>instructional obligations an</w:t>
      </w:r>
      <w:r w:rsidR="006463F5">
        <w:rPr>
          <w:rFonts w:eastAsia="Times New Roman" w:cs="Times New Roman"/>
          <w:color w:val="000000"/>
        </w:rPr>
        <w:t>d</w:t>
      </w:r>
      <w:r w:rsidR="00830EBD">
        <w:rPr>
          <w:rFonts w:eastAsia="Times New Roman" w:cs="Times New Roman"/>
          <w:color w:val="000000"/>
        </w:rPr>
        <w:t xml:space="preserve"> saw </w:t>
      </w:r>
      <w:r w:rsidR="00271F10" w:rsidRPr="00FC6C6B">
        <w:rPr>
          <w:rFonts w:eastAsia="Times New Roman" w:cs="Times New Roman"/>
          <w:color w:val="000000"/>
        </w:rPr>
        <w:t xml:space="preserve">no evidence to </w:t>
      </w:r>
      <w:r w:rsidR="0035257C">
        <w:rPr>
          <w:rFonts w:eastAsia="Times New Roman" w:cs="Times New Roman"/>
          <w:color w:val="000000"/>
        </w:rPr>
        <w:t xml:space="preserve">instruct </w:t>
      </w:r>
      <w:r w:rsidR="00C512D6">
        <w:rPr>
          <w:rFonts w:eastAsia="Times New Roman" w:cs="Times New Roman"/>
          <w:color w:val="000000"/>
        </w:rPr>
        <w:t>on the legal meaning of causation</w:t>
      </w:r>
      <w:r w:rsidR="00654901">
        <w:rPr>
          <w:rFonts w:eastAsia="Times New Roman" w:cs="Times New Roman"/>
          <w:color w:val="000000"/>
        </w:rPr>
        <w:t xml:space="preserve">. </w:t>
      </w:r>
    </w:p>
    <w:p w14:paraId="40F2FAE4" w14:textId="1D71CBF4" w:rsidR="00CE4EB6" w:rsidRDefault="00C42495" w:rsidP="00CE4EB6">
      <w:pPr>
        <w:shd w:val="clear" w:color="auto" w:fill="FFFFFF"/>
        <w:rPr>
          <w:rFonts w:eastAsia="Times New Roman" w:cs="Times New Roman"/>
          <w:color w:val="000000"/>
        </w:rPr>
      </w:pPr>
      <w:r>
        <w:rPr>
          <w:rFonts w:eastAsia="Times New Roman" w:cs="Times New Roman"/>
          <w:color w:val="000000"/>
        </w:rPr>
        <w:t xml:space="preserve">Nor was there an </w:t>
      </w:r>
      <w:r w:rsidR="00D7693D" w:rsidRPr="00FC6C6B">
        <w:rPr>
          <w:rFonts w:eastAsia="Times New Roman" w:cs="Times New Roman"/>
          <w:color w:val="000000"/>
        </w:rPr>
        <w:t xml:space="preserve">aiding and abetting instruction allowing the jury to convict Beaudreaux </w:t>
      </w:r>
      <w:r>
        <w:rPr>
          <w:rFonts w:eastAsia="Times New Roman" w:cs="Times New Roman"/>
          <w:color w:val="000000"/>
        </w:rPr>
        <w:t xml:space="preserve">as an accomplice to </w:t>
      </w:r>
      <w:r w:rsidR="00D7693D" w:rsidRPr="00FC6C6B">
        <w:rPr>
          <w:rFonts w:eastAsia="Times New Roman" w:cs="Times New Roman"/>
          <w:color w:val="000000"/>
        </w:rPr>
        <w:t>the conduct of Crowder</w:t>
      </w:r>
      <w:r>
        <w:rPr>
          <w:rFonts w:eastAsia="Times New Roman" w:cs="Times New Roman"/>
          <w:color w:val="000000"/>
        </w:rPr>
        <w:t>.</w:t>
      </w:r>
      <w:r w:rsidR="00573CC0">
        <w:rPr>
          <w:rFonts w:eastAsia="Times New Roman" w:cs="Times New Roman"/>
          <w:color w:val="000000"/>
        </w:rPr>
        <w:t xml:space="preserve"> </w:t>
      </w:r>
      <w:r w:rsidR="009C2E5F">
        <w:rPr>
          <w:rFonts w:eastAsia="Times New Roman" w:cs="Times New Roman"/>
          <w:color w:val="000000"/>
        </w:rPr>
        <w:t xml:space="preserve"> </w:t>
      </w:r>
      <w:r w:rsidR="00CE31E7">
        <w:rPr>
          <w:rFonts w:eastAsia="Times New Roman" w:cs="Times New Roman"/>
          <w:color w:val="000000"/>
        </w:rPr>
        <w:t>I</w:t>
      </w:r>
      <w:r w:rsidR="009F5DA9" w:rsidRPr="00FC6C6B">
        <w:rPr>
          <w:rFonts w:eastAsia="Times New Roman" w:cs="Times New Roman"/>
          <w:color w:val="000000"/>
        </w:rPr>
        <w:t xml:space="preserve">t is </w:t>
      </w:r>
      <w:r w:rsidR="00424809" w:rsidRPr="00FC6C6B">
        <w:rPr>
          <w:rFonts w:eastAsia="Times New Roman" w:cs="Times New Roman"/>
          <w:color w:val="000000"/>
        </w:rPr>
        <w:t>true that</w:t>
      </w:r>
      <w:r w:rsidR="00E0090D">
        <w:rPr>
          <w:rFonts w:eastAsia="Times New Roman" w:cs="Times New Roman"/>
          <w:color w:val="000000"/>
        </w:rPr>
        <w:t xml:space="preserve"> </w:t>
      </w:r>
      <w:r w:rsidR="002B176D" w:rsidRPr="00FC6C6B">
        <w:rPr>
          <w:rFonts w:eastAsia="Times New Roman" w:cs="Times New Roman"/>
          <w:color w:val="000000"/>
        </w:rPr>
        <w:t xml:space="preserve">an aiding and abetting </w:t>
      </w:r>
      <w:r w:rsidR="004F3D34" w:rsidRPr="00FC6C6B">
        <w:rPr>
          <w:rFonts w:eastAsia="Times New Roman" w:cs="Times New Roman"/>
          <w:color w:val="000000"/>
        </w:rPr>
        <w:t xml:space="preserve">charge </w:t>
      </w:r>
      <w:r w:rsidR="002B176D" w:rsidRPr="00FC6C6B">
        <w:rPr>
          <w:rFonts w:eastAsia="Times New Roman" w:cs="Times New Roman"/>
          <w:color w:val="000000"/>
        </w:rPr>
        <w:t xml:space="preserve">was </w:t>
      </w:r>
      <w:r w:rsidR="00E0090D">
        <w:rPr>
          <w:rFonts w:eastAsia="Times New Roman" w:cs="Times New Roman"/>
          <w:color w:val="000000"/>
        </w:rPr>
        <w:t xml:space="preserve">indirectly </w:t>
      </w:r>
      <w:r w:rsidR="002B176D" w:rsidRPr="00FC6C6B">
        <w:rPr>
          <w:rFonts w:eastAsia="Times New Roman" w:cs="Times New Roman"/>
          <w:color w:val="000000"/>
        </w:rPr>
        <w:t xml:space="preserve">given in the form of the accomplice </w:t>
      </w:r>
      <w:r w:rsidR="005864CB" w:rsidRPr="00FC6C6B">
        <w:rPr>
          <w:rFonts w:eastAsia="Times New Roman" w:cs="Times New Roman"/>
          <w:color w:val="000000"/>
        </w:rPr>
        <w:t xml:space="preserve">witness </w:t>
      </w:r>
      <w:r w:rsidR="004F3D34" w:rsidRPr="00FC6C6B">
        <w:rPr>
          <w:rFonts w:eastAsia="Times New Roman" w:cs="Times New Roman"/>
          <w:color w:val="000000"/>
        </w:rPr>
        <w:t xml:space="preserve">instruction </w:t>
      </w:r>
      <w:r w:rsidR="00750508" w:rsidRPr="00FC6C6B">
        <w:rPr>
          <w:rFonts w:eastAsia="Times New Roman" w:cs="Times New Roman"/>
          <w:color w:val="000000"/>
        </w:rPr>
        <w:t xml:space="preserve">pertaining to Crowder’s testimony. </w:t>
      </w:r>
      <w:r w:rsidR="00F94AC4" w:rsidRPr="00FC6C6B">
        <w:rPr>
          <w:rFonts w:eastAsia="Times New Roman" w:cs="Times New Roman"/>
          <w:color w:val="000000"/>
        </w:rPr>
        <w:t xml:space="preserve"> </w:t>
      </w:r>
      <w:r w:rsidR="00761644" w:rsidRPr="00FC6C6B">
        <w:rPr>
          <w:rFonts w:eastAsia="Times New Roman" w:cs="Times New Roman"/>
          <w:color w:val="000000"/>
        </w:rPr>
        <w:t xml:space="preserve">It is </w:t>
      </w:r>
      <w:r w:rsidR="00EB5602">
        <w:rPr>
          <w:rFonts w:eastAsia="Times New Roman" w:cs="Times New Roman"/>
          <w:color w:val="000000"/>
        </w:rPr>
        <w:t xml:space="preserve">also </w:t>
      </w:r>
      <w:r w:rsidR="00761644" w:rsidRPr="00FC6C6B">
        <w:rPr>
          <w:rFonts w:eastAsia="Times New Roman" w:cs="Times New Roman"/>
          <w:color w:val="000000"/>
        </w:rPr>
        <w:t xml:space="preserve">true that </w:t>
      </w:r>
      <w:r w:rsidR="006E62FC" w:rsidRPr="00FC6C6B">
        <w:rPr>
          <w:rFonts w:eastAsia="Times New Roman" w:cs="Times New Roman"/>
          <w:color w:val="000000"/>
        </w:rPr>
        <w:t xml:space="preserve">there is a sentence </w:t>
      </w:r>
      <w:r w:rsidR="001E6AF8">
        <w:rPr>
          <w:rFonts w:eastAsia="Times New Roman" w:cs="Times New Roman"/>
          <w:color w:val="000000"/>
        </w:rPr>
        <w:t>in t</w:t>
      </w:r>
      <w:r w:rsidR="00BF7F9C">
        <w:rPr>
          <w:rFonts w:eastAsia="Times New Roman" w:cs="Times New Roman"/>
          <w:color w:val="000000"/>
        </w:rPr>
        <w:t xml:space="preserve">his </w:t>
      </w:r>
      <w:r w:rsidR="001E6AF8">
        <w:rPr>
          <w:rFonts w:eastAsia="Times New Roman" w:cs="Times New Roman"/>
          <w:color w:val="000000"/>
        </w:rPr>
        <w:t>instruction</w:t>
      </w:r>
      <w:r w:rsidR="00C619C3">
        <w:rPr>
          <w:rFonts w:eastAsia="Times New Roman" w:cs="Times New Roman"/>
          <w:color w:val="000000"/>
        </w:rPr>
        <w:t xml:space="preserve"> </w:t>
      </w:r>
      <w:r w:rsidR="006E62FC" w:rsidRPr="00FC6C6B">
        <w:rPr>
          <w:rFonts w:eastAsia="Times New Roman" w:cs="Times New Roman"/>
          <w:color w:val="000000"/>
        </w:rPr>
        <w:t xml:space="preserve">stating that </w:t>
      </w:r>
      <w:r w:rsidR="00396244" w:rsidRPr="00FC6C6B">
        <w:rPr>
          <w:rFonts w:eastAsia="Times New Roman" w:cs="Times New Roman"/>
          <w:color w:val="000000"/>
        </w:rPr>
        <w:t xml:space="preserve">a witness may be </w:t>
      </w:r>
      <w:r w:rsidR="00732F96" w:rsidRPr="00FC6C6B">
        <w:rPr>
          <w:rFonts w:eastAsia="Times New Roman" w:cs="Times New Roman"/>
          <w:color w:val="000000"/>
        </w:rPr>
        <w:t>“</w:t>
      </w:r>
      <w:r w:rsidR="00396244" w:rsidRPr="00FC6C6B">
        <w:rPr>
          <w:rFonts w:eastAsia="Times New Roman" w:cs="Times New Roman"/>
          <w:color w:val="000000"/>
        </w:rPr>
        <w:t>subject to pros</w:t>
      </w:r>
      <w:r w:rsidR="00B80915" w:rsidRPr="00FC6C6B">
        <w:rPr>
          <w:rFonts w:eastAsia="Times New Roman" w:cs="Times New Roman"/>
          <w:color w:val="000000"/>
        </w:rPr>
        <w:t>ec</w:t>
      </w:r>
      <w:r w:rsidR="00CD4405" w:rsidRPr="00FC6C6B">
        <w:rPr>
          <w:rFonts w:eastAsia="Times New Roman" w:cs="Times New Roman"/>
          <w:color w:val="000000"/>
        </w:rPr>
        <w:t>u</w:t>
      </w:r>
      <w:r w:rsidR="00B80915" w:rsidRPr="00FC6C6B">
        <w:rPr>
          <w:rFonts w:eastAsia="Times New Roman" w:cs="Times New Roman"/>
          <w:color w:val="000000"/>
        </w:rPr>
        <w:t>tion</w:t>
      </w:r>
      <w:r w:rsidR="00732F96" w:rsidRPr="00FC6C6B">
        <w:rPr>
          <w:rFonts w:eastAsia="Times New Roman" w:cs="Times New Roman"/>
          <w:color w:val="000000"/>
        </w:rPr>
        <w:t>” i</w:t>
      </w:r>
      <w:r w:rsidR="009318BD" w:rsidRPr="00FC6C6B">
        <w:rPr>
          <w:rFonts w:eastAsia="Times New Roman" w:cs="Times New Roman"/>
          <w:color w:val="000000"/>
        </w:rPr>
        <w:t xml:space="preserve">f he </w:t>
      </w:r>
      <w:r w:rsidR="00A9580F" w:rsidRPr="00FC6C6B">
        <w:rPr>
          <w:rFonts w:eastAsia="Times New Roman" w:cs="Times New Roman"/>
          <w:color w:val="000000"/>
        </w:rPr>
        <w:t>either “person</w:t>
      </w:r>
      <w:r w:rsidR="00666D88" w:rsidRPr="00FC6C6B">
        <w:rPr>
          <w:rFonts w:eastAsia="Times New Roman" w:cs="Times New Roman"/>
          <w:color w:val="000000"/>
        </w:rPr>
        <w:t>ally committed</w:t>
      </w:r>
      <w:r w:rsidR="004409D5" w:rsidRPr="00FC6C6B">
        <w:rPr>
          <w:rFonts w:eastAsia="Times New Roman" w:cs="Times New Roman"/>
          <w:color w:val="000000"/>
        </w:rPr>
        <w:t>”</w:t>
      </w:r>
      <w:r w:rsidR="00666D88" w:rsidRPr="00FC6C6B">
        <w:rPr>
          <w:rFonts w:eastAsia="Times New Roman" w:cs="Times New Roman"/>
          <w:color w:val="000000"/>
        </w:rPr>
        <w:t xml:space="preserve"> the </w:t>
      </w:r>
      <w:r w:rsidR="004409D5" w:rsidRPr="00FC6C6B">
        <w:rPr>
          <w:rFonts w:eastAsia="Times New Roman" w:cs="Times New Roman"/>
          <w:color w:val="000000"/>
        </w:rPr>
        <w:t xml:space="preserve">charged </w:t>
      </w:r>
      <w:r w:rsidR="00666D88" w:rsidRPr="00FC6C6B">
        <w:rPr>
          <w:rFonts w:eastAsia="Times New Roman" w:cs="Times New Roman"/>
          <w:color w:val="000000"/>
        </w:rPr>
        <w:t xml:space="preserve">crime or was </w:t>
      </w:r>
      <w:r w:rsidR="004409D5" w:rsidRPr="00FC6C6B">
        <w:rPr>
          <w:rFonts w:eastAsia="Times New Roman" w:cs="Times New Roman"/>
          <w:color w:val="000000"/>
        </w:rPr>
        <w:t>“</w:t>
      </w:r>
      <w:r w:rsidR="00666D88" w:rsidRPr="00FC6C6B">
        <w:rPr>
          <w:rFonts w:eastAsia="Times New Roman" w:cs="Times New Roman"/>
          <w:color w:val="000000"/>
        </w:rPr>
        <w:t xml:space="preserve">an accomplice to </w:t>
      </w:r>
      <w:r w:rsidR="00B5698D">
        <w:rPr>
          <w:rFonts w:eastAsia="Times New Roman" w:cs="Times New Roman"/>
          <w:color w:val="000000"/>
        </w:rPr>
        <w:t>[</w:t>
      </w:r>
      <w:r w:rsidR="00666D88" w:rsidRPr="00FC6C6B">
        <w:rPr>
          <w:rFonts w:eastAsia="Times New Roman" w:cs="Times New Roman"/>
          <w:color w:val="000000"/>
        </w:rPr>
        <w:t>it</w:t>
      </w:r>
      <w:r w:rsidR="00B5698D">
        <w:rPr>
          <w:rFonts w:eastAsia="Times New Roman" w:cs="Times New Roman"/>
          <w:color w:val="000000"/>
        </w:rPr>
        <w:t>]</w:t>
      </w:r>
      <w:r w:rsidR="00761644" w:rsidRPr="00FC6C6B">
        <w:rPr>
          <w:rFonts w:eastAsia="Times New Roman" w:cs="Times New Roman"/>
          <w:color w:val="000000"/>
        </w:rPr>
        <w:t>.</w:t>
      </w:r>
      <w:r w:rsidR="00666D88" w:rsidRPr="00FC6C6B">
        <w:rPr>
          <w:rFonts w:eastAsia="Times New Roman" w:cs="Times New Roman"/>
          <w:color w:val="000000"/>
        </w:rPr>
        <w:t>”</w:t>
      </w:r>
      <w:r w:rsidR="00761644" w:rsidRPr="00FC6C6B">
        <w:rPr>
          <w:rFonts w:eastAsia="Times New Roman" w:cs="Times New Roman"/>
          <w:color w:val="000000"/>
        </w:rPr>
        <w:t xml:space="preserve">  But </w:t>
      </w:r>
      <w:r w:rsidR="002C2ADB" w:rsidRPr="00FC6C6B">
        <w:rPr>
          <w:rFonts w:eastAsia="Times New Roman" w:cs="Times New Roman"/>
          <w:color w:val="000000"/>
        </w:rPr>
        <w:t>we do not think any reasonable jur</w:t>
      </w:r>
      <w:r w:rsidR="00EB3469" w:rsidRPr="00FC6C6B">
        <w:rPr>
          <w:rFonts w:eastAsia="Times New Roman" w:cs="Times New Roman"/>
          <w:color w:val="000000"/>
        </w:rPr>
        <w:t>or</w:t>
      </w:r>
      <w:r w:rsidR="002C2ADB" w:rsidRPr="00FC6C6B">
        <w:rPr>
          <w:rFonts w:eastAsia="Times New Roman" w:cs="Times New Roman"/>
          <w:color w:val="000000"/>
        </w:rPr>
        <w:t xml:space="preserve"> would have </w:t>
      </w:r>
      <w:r w:rsidR="001E342E" w:rsidRPr="00FC6C6B">
        <w:rPr>
          <w:rFonts w:eastAsia="Times New Roman" w:cs="Times New Roman"/>
          <w:color w:val="000000"/>
        </w:rPr>
        <w:t xml:space="preserve">cherry-picked </w:t>
      </w:r>
      <w:r w:rsidR="00666D88" w:rsidRPr="00FC6C6B">
        <w:rPr>
          <w:rFonts w:eastAsia="Times New Roman" w:cs="Times New Roman"/>
          <w:color w:val="000000"/>
        </w:rPr>
        <w:t>th</w:t>
      </w:r>
      <w:r w:rsidR="00FE0FDC">
        <w:rPr>
          <w:rFonts w:eastAsia="Times New Roman" w:cs="Times New Roman"/>
          <w:color w:val="000000"/>
        </w:rPr>
        <w:t>e</w:t>
      </w:r>
      <w:r w:rsidR="004633AC" w:rsidRPr="00FC6C6B">
        <w:rPr>
          <w:rFonts w:eastAsia="Times New Roman" w:cs="Times New Roman"/>
          <w:color w:val="000000"/>
        </w:rPr>
        <w:t xml:space="preserve"> reference to “personal” commission of a crime</w:t>
      </w:r>
      <w:r w:rsidR="008366C8" w:rsidRPr="00FC6C6B">
        <w:rPr>
          <w:rFonts w:eastAsia="Times New Roman" w:cs="Times New Roman"/>
          <w:color w:val="000000"/>
        </w:rPr>
        <w:t xml:space="preserve"> in </w:t>
      </w:r>
      <w:r w:rsidR="00DC1F60">
        <w:rPr>
          <w:rFonts w:eastAsia="Times New Roman" w:cs="Times New Roman"/>
          <w:color w:val="000000"/>
        </w:rPr>
        <w:t xml:space="preserve">an </w:t>
      </w:r>
      <w:r w:rsidR="008366C8" w:rsidRPr="00FC6C6B">
        <w:rPr>
          <w:rFonts w:eastAsia="Times New Roman" w:cs="Times New Roman"/>
          <w:color w:val="000000"/>
        </w:rPr>
        <w:t>accomplice witness instruction</w:t>
      </w:r>
      <w:r w:rsidR="00C5450D">
        <w:rPr>
          <w:rFonts w:eastAsia="Times New Roman" w:cs="Times New Roman"/>
          <w:color w:val="000000"/>
        </w:rPr>
        <w:t xml:space="preserve"> designed to </w:t>
      </w:r>
      <w:r w:rsidR="00290856">
        <w:rPr>
          <w:rFonts w:eastAsia="Times New Roman" w:cs="Times New Roman"/>
          <w:color w:val="000000"/>
        </w:rPr>
        <w:t xml:space="preserve">provide </w:t>
      </w:r>
      <w:r w:rsidR="00A63793">
        <w:rPr>
          <w:rFonts w:eastAsia="Times New Roman" w:cs="Times New Roman"/>
          <w:color w:val="000000"/>
        </w:rPr>
        <w:t xml:space="preserve">guidance for </w:t>
      </w:r>
      <w:r w:rsidR="00290856">
        <w:rPr>
          <w:rFonts w:eastAsia="Times New Roman" w:cs="Times New Roman"/>
          <w:color w:val="000000"/>
        </w:rPr>
        <w:t xml:space="preserve">the </w:t>
      </w:r>
      <w:r w:rsidR="00C5450D">
        <w:rPr>
          <w:rFonts w:eastAsia="Times New Roman" w:cs="Times New Roman"/>
          <w:color w:val="000000"/>
        </w:rPr>
        <w:t>evaluati</w:t>
      </w:r>
      <w:r w:rsidR="00290856">
        <w:rPr>
          <w:rFonts w:eastAsia="Times New Roman" w:cs="Times New Roman"/>
          <w:color w:val="000000"/>
        </w:rPr>
        <w:t xml:space="preserve">on of </w:t>
      </w:r>
      <w:r w:rsidR="00C5450D">
        <w:rPr>
          <w:rFonts w:eastAsia="Times New Roman" w:cs="Times New Roman"/>
          <w:color w:val="000000"/>
        </w:rPr>
        <w:t>Crowder’s credibility</w:t>
      </w:r>
      <w:r w:rsidR="004633AC" w:rsidRPr="00FC6C6B">
        <w:rPr>
          <w:rFonts w:eastAsia="Times New Roman" w:cs="Times New Roman"/>
          <w:color w:val="000000"/>
        </w:rPr>
        <w:t xml:space="preserve"> </w:t>
      </w:r>
      <w:r w:rsidR="0062168C" w:rsidRPr="00FC6C6B">
        <w:rPr>
          <w:rFonts w:eastAsia="Times New Roman" w:cs="Times New Roman"/>
          <w:color w:val="000000"/>
        </w:rPr>
        <w:t>and</w:t>
      </w:r>
      <w:r w:rsidR="00D33EEA">
        <w:rPr>
          <w:rFonts w:eastAsia="Times New Roman" w:cs="Times New Roman"/>
          <w:color w:val="000000"/>
        </w:rPr>
        <w:t>,</w:t>
      </w:r>
      <w:r w:rsidR="0062168C" w:rsidRPr="00FC6C6B">
        <w:rPr>
          <w:rFonts w:eastAsia="Times New Roman" w:cs="Times New Roman"/>
          <w:color w:val="000000"/>
        </w:rPr>
        <w:t xml:space="preserve"> </w:t>
      </w:r>
      <w:r w:rsidR="00273BA7">
        <w:rPr>
          <w:rFonts w:eastAsia="Times New Roman" w:cs="Times New Roman"/>
          <w:color w:val="000000"/>
        </w:rPr>
        <w:t>based on that</w:t>
      </w:r>
      <w:r w:rsidR="00C5450D">
        <w:rPr>
          <w:rFonts w:eastAsia="Times New Roman" w:cs="Times New Roman"/>
          <w:color w:val="000000"/>
        </w:rPr>
        <w:t xml:space="preserve"> guidance</w:t>
      </w:r>
      <w:r w:rsidR="00273BA7">
        <w:rPr>
          <w:rFonts w:eastAsia="Times New Roman" w:cs="Times New Roman"/>
          <w:color w:val="000000"/>
        </w:rPr>
        <w:t xml:space="preserve">, </w:t>
      </w:r>
      <w:r w:rsidR="00353A89" w:rsidRPr="00FC6C6B">
        <w:rPr>
          <w:rFonts w:eastAsia="Times New Roman" w:cs="Times New Roman"/>
          <w:color w:val="000000"/>
        </w:rPr>
        <w:t>con</w:t>
      </w:r>
      <w:r w:rsidR="00E32C73" w:rsidRPr="00FC6C6B">
        <w:rPr>
          <w:rFonts w:eastAsia="Times New Roman" w:cs="Times New Roman"/>
          <w:color w:val="000000"/>
        </w:rPr>
        <w:t>clude</w:t>
      </w:r>
      <w:r w:rsidR="00BC4307" w:rsidRPr="00FC6C6B">
        <w:rPr>
          <w:rFonts w:eastAsia="Times New Roman" w:cs="Times New Roman"/>
          <w:color w:val="000000"/>
        </w:rPr>
        <w:t>d</w:t>
      </w:r>
      <w:r w:rsidR="0095548F" w:rsidRPr="00FC6C6B">
        <w:rPr>
          <w:rFonts w:eastAsia="Times New Roman" w:cs="Times New Roman"/>
          <w:color w:val="000000"/>
        </w:rPr>
        <w:t xml:space="preserve"> </w:t>
      </w:r>
      <w:r w:rsidR="006A7D60">
        <w:rPr>
          <w:rFonts w:eastAsia="Times New Roman" w:cs="Times New Roman"/>
          <w:color w:val="000000"/>
        </w:rPr>
        <w:t xml:space="preserve">Crowder </w:t>
      </w:r>
      <w:r w:rsidR="00EC7EA1" w:rsidRPr="00FC6C6B">
        <w:rPr>
          <w:rFonts w:eastAsia="Times New Roman" w:cs="Times New Roman"/>
          <w:color w:val="000000"/>
        </w:rPr>
        <w:t xml:space="preserve">personally </w:t>
      </w:r>
      <w:r w:rsidR="00323CD5" w:rsidRPr="00FC6C6B">
        <w:rPr>
          <w:rFonts w:eastAsia="Times New Roman" w:cs="Times New Roman"/>
          <w:color w:val="000000"/>
        </w:rPr>
        <w:t>shot</w:t>
      </w:r>
      <w:r w:rsidR="00CD4405" w:rsidRPr="00FC6C6B">
        <w:rPr>
          <w:rFonts w:eastAsia="Times New Roman" w:cs="Times New Roman"/>
          <w:color w:val="000000"/>
        </w:rPr>
        <w:t xml:space="preserve"> Drummond</w:t>
      </w:r>
      <w:r w:rsidR="000645B6">
        <w:rPr>
          <w:rFonts w:eastAsia="Times New Roman" w:cs="Times New Roman"/>
          <w:color w:val="000000"/>
        </w:rPr>
        <w:t>,</w:t>
      </w:r>
      <w:r w:rsidR="0095548F" w:rsidRPr="00FC6C6B">
        <w:rPr>
          <w:rFonts w:eastAsia="Times New Roman" w:cs="Times New Roman"/>
          <w:color w:val="000000"/>
        </w:rPr>
        <w:t xml:space="preserve"> </w:t>
      </w:r>
      <w:r w:rsidR="00C06403" w:rsidRPr="00FC6C6B">
        <w:rPr>
          <w:rFonts w:eastAsia="Times New Roman" w:cs="Times New Roman"/>
          <w:color w:val="000000"/>
        </w:rPr>
        <w:t>while</w:t>
      </w:r>
      <w:r w:rsidR="00B3284F" w:rsidRPr="00FC6C6B">
        <w:rPr>
          <w:rFonts w:eastAsia="Times New Roman" w:cs="Times New Roman"/>
          <w:color w:val="000000"/>
        </w:rPr>
        <w:t xml:space="preserve"> circuitously </w:t>
      </w:r>
      <w:r w:rsidR="0063294B" w:rsidRPr="00FC6C6B">
        <w:rPr>
          <w:rFonts w:eastAsia="Times New Roman" w:cs="Times New Roman"/>
          <w:color w:val="000000"/>
        </w:rPr>
        <w:t xml:space="preserve">voting to </w:t>
      </w:r>
      <w:r w:rsidR="00B3284F" w:rsidRPr="00FC6C6B">
        <w:rPr>
          <w:rFonts w:eastAsia="Times New Roman" w:cs="Times New Roman"/>
          <w:color w:val="000000"/>
        </w:rPr>
        <w:t>convict</w:t>
      </w:r>
      <w:r w:rsidR="00A658B1" w:rsidRPr="00FC6C6B">
        <w:rPr>
          <w:rFonts w:eastAsia="Times New Roman" w:cs="Times New Roman"/>
          <w:color w:val="000000"/>
        </w:rPr>
        <w:t xml:space="preserve"> </w:t>
      </w:r>
      <w:r w:rsidR="0040439C" w:rsidRPr="00FC6C6B">
        <w:rPr>
          <w:rFonts w:eastAsia="Times New Roman" w:cs="Times New Roman"/>
          <w:color w:val="000000"/>
        </w:rPr>
        <w:t>Beaudreaux as an a</w:t>
      </w:r>
      <w:r w:rsidR="00281595" w:rsidRPr="00FC6C6B">
        <w:rPr>
          <w:rFonts w:eastAsia="Times New Roman" w:cs="Times New Roman"/>
          <w:color w:val="000000"/>
        </w:rPr>
        <w:t>ccomplice</w:t>
      </w:r>
      <w:r>
        <w:rPr>
          <w:rFonts w:eastAsia="Times New Roman" w:cs="Times New Roman"/>
          <w:color w:val="000000"/>
        </w:rPr>
        <w:t xml:space="preserve"> without having to consider</w:t>
      </w:r>
      <w:r w:rsidR="00A53810">
        <w:rPr>
          <w:rFonts w:eastAsia="Times New Roman" w:cs="Times New Roman"/>
          <w:color w:val="000000"/>
        </w:rPr>
        <w:t xml:space="preserve"> his </w:t>
      </w:r>
      <w:r>
        <w:rPr>
          <w:rFonts w:eastAsia="Times New Roman" w:cs="Times New Roman"/>
          <w:color w:val="000000"/>
        </w:rPr>
        <w:t>mental state.</w:t>
      </w:r>
      <w:r w:rsidRPr="00FC6C6B">
        <w:rPr>
          <w:rFonts w:eastAsia="Times New Roman" w:cs="Times New Roman"/>
          <w:color w:val="000000"/>
        </w:rPr>
        <w:t xml:space="preserve"> </w:t>
      </w:r>
      <w:r>
        <w:rPr>
          <w:rFonts w:eastAsia="Times New Roman" w:cs="Times New Roman"/>
          <w:color w:val="000000"/>
        </w:rPr>
        <w:t xml:space="preserve"> </w:t>
      </w:r>
    </w:p>
    <w:p w14:paraId="642A685E" w14:textId="69D9C678" w:rsidR="00FE113A" w:rsidRDefault="00C42495" w:rsidP="00FE113A">
      <w:pPr>
        <w:shd w:val="clear" w:color="auto" w:fill="FFFFFF"/>
        <w:rPr>
          <w:rFonts w:eastAsia="Times New Roman" w:cs="Times New Roman"/>
          <w:color w:val="000000"/>
        </w:rPr>
      </w:pPr>
      <w:r>
        <w:rPr>
          <w:rFonts w:eastAsia="Times New Roman" w:cs="Times New Roman"/>
          <w:color w:val="000000"/>
        </w:rPr>
        <w:lastRenderedPageBreak/>
        <w:t>Th</w:t>
      </w:r>
      <w:r w:rsidR="002E12F6">
        <w:rPr>
          <w:rFonts w:eastAsia="Times New Roman" w:cs="Times New Roman"/>
          <w:color w:val="000000"/>
        </w:rPr>
        <w:t xml:space="preserve">e </w:t>
      </w:r>
      <w:r w:rsidR="000F0BF1">
        <w:rPr>
          <w:rFonts w:eastAsia="Times New Roman" w:cs="Times New Roman"/>
          <w:color w:val="000000"/>
        </w:rPr>
        <w:t xml:space="preserve">possibility </w:t>
      </w:r>
      <w:r w:rsidR="00893823">
        <w:rPr>
          <w:rFonts w:eastAsia="Times New Roman" w:cs="Times New Roman"/>
          <w:color w:val="000000"/>
        </w:rPr>
        <w:t xml:space="preserve">the </w:t>
      </w:r>
      <w:r w:rsidR="00460C28">
        <w:rPr>
          <w:rFonts w:eastAsia="Times New Roman" w:cs="Times New Roman"/>
          <w:color w:val="000000"/>
        </w:rPr>
        <w:t xml:space="preserve">accomplice witness instruction </w:t>
      </w:r>
      <w:r w:rsidR="001A06EC">
        <w:rPr>
          <w:rFonts w:eastAsia="Times New Roman" w:cs="Times New Roman"/>
          <w:color w:val="000000"/>
        </w:rPr>
        <w:t xml:space="preserve">may have been </w:t>
      </w:r>
      <w:r w:rsidR="004877A0">
        <w:rPr>
          <w:rFonts w:eastAsia="Times New Roman" w:cs="Times New Roman"/>
          <w:color w:val="000000"/>
        </w:rPr>
        <w:t xml:space="preserve">misread </w:t>
      </w:r>
      <w:r w:rsidR="009A1C74">
        <w:rPr>
          <w:rFonts w:eastAsia="Times New Roman" w:cs="Times New Roman"/>
          <w:color w:val="000000"/>
        </w:rPr>
        <w:t xml:space="preserve">in this manner strikes </w:t>
      </w:r>
      <w:r w:rsidR="005238B3">
        <w:rPr>
          <w:rFonts w:eastAsia="Times New Roman" w:cs="Times New Roman"/>
          <w:color w:val="000000"/>
        </w:rPr>
        <w:t>u</w:t>
      </w:r>
      <w:r w:rsidR="009A1C74">
        <w:rPr>
          <w:rFonts w:eastAsia="Times New Roman" w:cs="Times New Roman"/>
          <w:color w:val="000000"/>
        </w:rPr>
        <w:t xml:space="preserve">s as </w:t>
      </w:r>
      <w:r>
        <w:rPr>
          <w:rFonts w:eastAsia="Times New Roman" w:cs="Times New Roman"/>
          <w:color w:val="000000"/>
        </w:rPr>
        <w:t xml:space="preserve">highly </w:t>
      </w:r>
      <w:r w:rsidR="009A1C74">
        <w:rPr>
          <w:rFonts w:eastAsia="Times New Roman" w:cs="Times New Roman"/>
          <w:color w:val="000000"/>
        </w:rPr>
        <w:t xml:space="preserve">improbable. </w:t>
      </w:r>
      <w:r w:rsidR="00220219">
        <w:rPr>
          <w:rFonts w:eastAsia="Times New Roman" w:cs="Times New Roman"/>
          <w:color w:val="000000"/>
        </w:rPr>
        <w:t xml:space="preserve"> </w:t>
      </w:r>
      <w:r w:rsidR="005C2F45">
        <w:rPr>
          <w:rFonts w:eastAsia="Times New Roman" w:cs="Times New Roman"/>
          <w:color w:val="000000"/>
        </w:rPr>
        <w:t xml:space="preserve">By its terms, the instruction </w:t>
      </w:r>
      <w:r w:rsidR="00296794">
        <w:rPr>
          <w:rFonts w:eastAsia="Times New Roman" w:cs="Times New Roman"/>
          <w:color w:val="000000"/>
        </w:rPr>
        <w:t xml:space="preserve">cannot </w:t>
      </w:r>
      <w:r w:rsidR="00296794" w:rsidRPr="00FC6C6B">
        <w:rPr>
          <w:rFonts w:eastAsia="Times New Roman" w:cs="Times New Roman"/>
          <w:color w:val="000000"/>
        </w:rPr>
        <w:t xml:space="preserve">reasonably </w:t>
      </w:r>
      <w:r w:rsidR="00296794">
        <w:rPr>
          <w:rFonts w:eastAsia="Times New Roman" w:cs="Times New Roman"/>
          <w:color w:val="000000"/>
        </w:rPr>
        <w:t xml:space="preserve">be </w:t>
      </w:r>
      <w:r w:rsidR="00296794" w:rsidRPr="00FC6C6B">
        <w:rPr>
          <w:rFonts w:eastAsia="Times New Roman" w:cs="Times New Roman"/>
          <w:color w:val="000000"/>
        </w:rPr>
        <w:t xml:space="preserve">read to </w:t>
      </w:r>
      <w:r w:rsidR="00296794">
        <w:rPr>
          <w:rFonts w:eastAsia="Times New Roman" w:cs="Times New Roman"/>
          <w:color w:val="000000"/>
        </w:rPr>
        <w:t xml:space="preserve">invite the jury to consider </w:t>
      </w:r>
      <w:r w:rsidR="00296794" w:rsidRPr="00FC6C6B">
        <w:rPr>
          <w:rFonts w:eastAsia="Times New Roman" w:cs="Times New Roman"/>
          <w:color w:val="000000"/>
        </w:rPr>
        <w:t xml:space="preserve">whether </w:t>
      </w:r>
      <w:r w:rsidR="00296794">
        <w:rPr>
          <w:rFonts w:eastAsia="Times New Roman" w:cs="Times New Roman"/>
          <w:color w:val="000000"/>
        </w:rPr>
        <w:t xml:space="preserve">Crowder shot </w:t>
      </w:r>
      <w:r w:rsidR="00296794" w:rsidRPr="00FC6C6B">
        <w:rPr>
          <w:rFonts w:eastAsia="Times New Roman" w:cs="Times New Roman"/>
          <w:color w:val="000000"/>
        </w:rPr>
        <w:t>Drummond</w:t>
      </w:r>
      <w:r w:rsidR="00296794">
        <w:rPr>
          <w:rFonts w:eastAsia="Times New Roman" w:cs="Times New Roman"/>
          <w:color w:val="000000"/>
        </w:rPr>
        <w:t>.  Q</w:t>
      </w:r>
      <w:r w:rsidR="00296794" w:rsidRPr="00FC6C6B">
        <w:rPr>
          <w:rFonts w:eastAsia="Times New Roman" w:cs="Times New Roman"/>
          <w:color w:val="000000"/>
        </w:rPr>
        <w:t>uite to the contrary, the whole point of the instruction—which is</w:t>
      </w:r>
      <w:r w:rsidR="00296794" w:rsidRPr="004228AD">
        <w:rPr>
          <w:rFonts w:eastAsia="Times New Roman" w:cs="Times New Roman"/>
          <w:color w:val="000000"/>
        </w:rPr>
        <w:t xml:space="preserve"> reflected in its title, “Accomplice Testimony </w:t>
      </w:r>
      <w:r w:rsidR="00296794" w:rsidRPr="00EC11B5">
        <w:rPr>
          <w:rStyle w:val="Heading4Char"/>
        </w:rPr>
        <w:t>Must</w:t>
      </w:r>
      <w:r w:rsidR="00296794" w:rsidRPr="004228AD">
        <w:rPr>
          <w:rFonts w:eastAsia="Times New Roman" w:cs="Times New Roman"/>
          <w:color w:val="000000"/>
        </w:rPr>
        <w:t xml:space="preserve"> be Corroborated</w:t>
      </w:r>
      <w:r w:rsidR="00141434">
        <w:rPr>
          <w:rFonts w:eastAsia="Times New Roman" w:cs="Times New Roman"/>
          <w:color w:val="000000"/>
        </w:rPr>
        <w:t>:</w:t>
      </w:r>
      <w:r w:rsidR="00296794" w:rsidRPr="004228AD">
        <w:rPr>
          <w:rFonts w:eastAsia="Times New Roman" w:cs="Times New Roman"/>
          <w:color w:val="000000"/>
        </w:rPr>
        <w:t xml:space="preserve"> Dispute Whether Witness Is Accomplice”</w:t>
      </w:r>
      <w:r w:rsidR="00AB57F7">
        <w:rPr>
          <w:rFonts w:eastAsia="Times New Roman" w:cs="Times New Roman"/>
          <w:color w:val="000000"/>
        </w:rPr>
        <w:t xml:space="preserve"> (italics </w:t>
      </w:r>
      <w:r w:rsidR="008816E0">
        <w:rPr>
          <w:rFonts w:eastAsia="Times New Roman" w:cs="Times New Roman"/>
          <w:color w:val="000000"/>
        </w:rPr>
        <w:t>added</w:t>
      </w:r>
      <w:r w:rsidR="00AB57F7">
        <w:rPr>
          <w:rFonts w:eastAsia="Times New Roman" w:cs="Times New Roman"/>
          <w:color w:val="000000"/>
        </w:rPr>
        <w:t>)</w:t>
      </w:r>
      <w:r w:rsidR="00296794" w:rsidRPr="004228AD">
        <w:rPr>
          <w:rFonts w:eastAsia="Times New Roman" w:cs="Times New Roman"/>
          <w:color w:val="000000"/>
        </w:rPr>
        <w:t xml:space="preserve">—was to focus the jury on </w:t>
      </w:r>
      <w:r w:rsidR="00296794" w:rsidRPr="00212325">
        <w:rPr>
          <w:rFonts w:eastAsia="Times New Roman" w:cs="Times New Roman"/>
          <w:color w:val="000000"/>
        </w:rPr>
        <w:t xml:space="preserve">Crowder’s possible liability </w:t>
      </w:r>
      <w:r w:rsidR="00296794" w:rsidRPr="00A8192C">
        <w:rPr>
          <w:rFonts w:eastAsia="Times New Roman" w:cs="Times New Roman"/>
          <w:i/>
          <w:iCs/>
          <w:color w:val="000000"/>
        </w:rPr>
        <w:t>as an aider and abettor</w:t>
      </w:r>
      <w:r w:rsidR="00296794" w:rsidRPr="004228AD">
        <w:rPr>
          <w:rFonts w:eastAsia="Times New Roman" w:cs="Times New Roman"/>
          <w:color w:val="000000"/>
        </w:rPr>
        <w:t xml:space="preserve">, not on the possibility that he personally </w:t>
      </w:r>
      <w:r w:rsidR="00FE1BE3">
        <w:rPr>
          <w:rFonts w:eastAsia="Times New Roman" w:cs="Times New Roman"/>
          <w:color w:val="000000"/>
        </w:rPr>
        <w:t xml:space="preserve">was a </w:t>
      </w:r>
      <w:r w:rsidR="00296794">
        <w:rPr>
          <w:rFonts w:eastAsia="Times New Roman" w:cs="Times New Roman"/>
          <w:color w:val="000000"/>
        </w:rPr>
        <w:t>trigger</w:t>
      </w:r>
      <w:r w:rsidR="00FE1BE3">
        <w:rPr>
          <w:rFonts w:eastAsia="Times New Roman" w:cs="Times New Roman"/>
          <w:color w:val="000000"/>
        </w:rPr>
        <w:t>man</w:t>
      </w:r>
      <w:r w:rsidR="00296794">
        <w:rPr>
          <w:rFonts w:eastAsia="Times New Roman" w:cs="Times New Roman"/>
          <w:color w:val="000000"/>
        </w:rPr>
        <w:t xml:space="preserve">. </w:t>
      </w:r>
      <w:r w:rsidR="003744F6">
        <w:rPr>
          <w:rFonts w:eastAsia="Times New Roman" w:cs="Times New Roman"/>
          <w:color w:val="000000"/>
        </w:rPr>
        <w:t xml:space="preserve"> </w:t>
      </w:r>
      <w:r w:rsidR="001A06EC">
        <w:rPr>
          <w:rFonts w:eastAsia="Times New Roman" w:cs="Times New Roman"/>
          <w:color w:val="000000"/>
        </w:rPr>
        <w:t>A</w:t>
      </w:r>
      <w:r w:rsidR="008D4030">
        <w:rPr>
          <w:rFonts w:eastAsia="Times New Roman" w:cs="Times New Roman"/>
          <w:color w:val="000000"/>
        </w:rPr>
        <w:t xml:space="preserve">fter taking the </w:t>
      </w:r>
      <w:r w:rsidR="001A06EC">
        <w:rPr>
          <w:rFonts w:eastAsia="Times New Roman" w:cs="Times New Roman"/>
          <w:color w:val="000000"/>
        </w:rPr>
        <w:t xml:space="preserve">entirety of the record of </w:t>
      </w:r>
      <w:r w:rsidR="008D4030">
        <w:rPr>
          <w:rFonts w:eastAsia="Times New Roman" w:cs="Times New Roman"/>
          <w:color w:val="000000"/>
        </w:rPr>
        <w:t>conviction into account</w:t>
      </w:r>
      <w:r w:rsidR="00614321">
        <w:rPr>
          <w:rFonts w:eastAsia="Times New Roman" w:cs="Times New Roman"/>
          <w:color w:val="000000"/>
        </w:rPr>
        <w:t>, t</w:t>
      </w:r>
      <w:r w:rsidR="007F21E6">
        <w:rPr>
          <w:rFonts w:eastAsia="Times New Roman" w:cs="Times New Roman"/>
          <w:color w:val="000000"/>
        </w:rPr>
        <w:t xml:space="preserve">he dispositive consideration </w:t>
      </w:r>
      <w:r w:rsidR="000F0BF1">
        <w:rPr>
          <w:rFonts w:eastAsia="Times New Roman" w:cs="Times New Roman"/>
          <w:color w:val="000000"/>
        </w:rPr>
        <w:t xml:space="preserve">for us </w:t>
      </w:r>
      <w:r w:rsidR="007F21E6">
        <w:rPr>
          <w:rFonts w:eastAsia="Times New Roman" w:cs="Times New Roman"/>
          <w:color w:val="000000"/>
        </w:rPr>
        <w:t>is that,</w:t>
      </w:r>
      <w:r w:rsidR="00A92107">
        <w:rPr>
          <w:rFonts w:eastAsia="Times New Roman" w:cs="Times New Roman"/>
          <w:color w:val="000000"/>
        </w:rPr>
        <w:t xml:space="preserve"> while </w:t>
      </w:r>
      <w:r w:rsidR="00B37E7D" w:rsidRPr="00FC6C6B">
        <w:rPr>
          <w:rFonts w:eastAsia="Times New Roman" w:cs="Times New Roman"/>
          <w:color w:val="000000"/>
        </w:rPr>
        <w:t xml:space="preserve">Crowder was charged </w:t>
      </w:r>
      <w:r w:rsidR="00321F82">
        <w:rPr>
          <w:rFonts w:eastAsia="Times New Roman" w:cs="Times New Roman"/>
          <w:color w:val="000000"/>
        </w:rPr>
        <w:t xml:space="preserve">as a codefendant </w:t>
      </w:r>
      <w:r w:rsidR="00F241CE" w:rsidRPr="00FC6C6B">
        <w:rPr>
          <w:rFonts w:eastAsia="Times New Roman" w:cs="Times New Roman"/>
          <w:color w:val="000000"/>
        </w:rPr>
        <w:t xml:space="preserve">with </w:t>
      </w:r>
      <w:r w:rsidR="00610064" w:rsidRPr="00FC6C6B">
        <w:rPr>
          <w:rFonts w:eastAsia="Times New Roman" w:cs="Times New Roman"/>
          <w:color w:val="000000"/>
        </w:rPr>
        <w:t>murder</w:t>
      </w:r>
      <w:r w:rsidR="00BA49A6" w:rsidRPr="00FC6C6B">
        <w:rPr>
          <w:rFonts w:eastAsia="Times New Roman" w:cs="Times New Roman"/>
          <w:color w:val="000000"/>
        </w:rPr>
        <w:t xml:space="preserve">, </w:t>
      </w:r>
      <w:r w:rsidR="00B37E7D" w:rsidRPr="00FC6C6B">
        <w:rPr>
          <w:rFonts w:eastAsia="Times New Roman" w:cs="Times New Roman"/>
          <w:color w:val="000000"/>
        </w:rPr>
        <w:t xml:space="preserve">he was never charged with discharging a gun or inflicting great bodily injury on Drummond. </w:t>
      </w:r>
      <w:r w:rsidR="00A43460" w:rsidRPr="00FC6C6B">
        <w:rPr>
          <w:rFonts w:eastAsia="Times New Roman" w:cs="Times New Roman"/>
          <w:color w:val="000000"/>
        </w:rPr>
        <w:t xml:space="preserve"> </w:t>
      </w:r>
      <w:r w:rsidR="005238B3">
        <w:rPr>
          <w:rFonts w:eastAsia="Times New Roman" w:cs="Times New Roman"/>
          <w:color w:val="000000"/>
        </w:rPr>
        <w:t xml:space="preserve">Only one of two </w:t>
      </w:r>
      <w:r w:rsidR="006D327D">
        <w:rPr>
          <w:rFonts w:eastAsia="Times New Roman" w:cs="Times New Roman"/>
          <w:color w:val="000000"/>
        </w:rPr>
        <w:t xml:space="preserve">originally named </w:t>
      </w:r>
      <w:r w:rsidR="005238B3">
        <w:rPr>
          <w:rFonts w:eastAsia="Times New Roman" w:cs="Times New Roman"/>
          <w:color w:val="000000"/>
        </w:rPr>
        <w:t xml:space="preserve">defendants was </w:t>
      </w:r>
      <w:r w:rsidR="00305675">
        <w:rPr>
          <w:rFonts w:eastAsia="Times New Roman" w:cs="Times New Roman"/>
          <w:color w:val="000000"/>
        </w:rPr>
        <w:t>charged</w:t>
      </w:r>
      <w:r w:rsidR="0040523B">
        <w:rPr>
          <w:rFonts w:eastAsia="Times New Roman" w:cs="Times New Roman"/>
          <w:color w:val="000000"/>
        </w:rPr>
        <w:t xml:space="preserve">, </w:t>
      </w:r>
      <w:r w:rsidR="005E5FA8">
        <w:rPr>
          <w:rFonts w:eastAsia="Times New Roman" w:cs="Times New Roman"/>
          <w:color w:val="000000"/>
        </w:rPr>
        <w:t>convicted</w:t>
      </w:r>
      <w:r w:rsidR="00E43047">
        <w:rPr>
          <w:rFonts w:eastAsia="Times New Roman" w:cs="Times New Roman"/>
          <w:color w:val="000000"/>
        </w:rPr>
        <w:t>,</w:t>
      </w:r>
      <w:r w:rsidR="00632547">
        <w:rPr>
          <w:rFonts w:eastAsia="Times New Roman" w:cs="Times New Roman"/>
          <w:color w:val="000000"/>
        </w:rPr>
        <w:t xml:space="preserve"> and found to be </w:t>
      </w:r>
      <w:r w:rsidR="00661695">
        <w:rPr>
          <w:rFonts w:eastAsia="Times New Roman" w:cs="Times New Roman"/>
          <w:color w:val="000000"/>
        </w:rPr>
        <w:t xml:space="preserve">the fatal </w:t>
      </w:r>
      <w:r w:rsidR="00BD7EBE">
        <w:rPr>
          <w:rFonts w:eastAsia="Times New Roman" w:cs="Times New Roman"/>
          <w:color w:val="000000"/>
        </w:rPr>
        <w:t xml:space="preserve">shooter </w:t>
      </w:r>
      <w:r w:rsidR="004C46DE">
        <w:rPr>
          <w:rFonts w:eastAsia="Times New Roman" w:cs="Times New Roman"/>
          <w:color w:val="000000"/>
        </w:rPr>
        <w:t>in this case</w:t>
      </w:r>
      <w:r w:rsidR="00BD7EBE">
        <w:rPr>
          <w:rFonts w:eastAsia="Times New Roman" w:cs="Times New Roman"/>
          <w:color w:val="000000"/>
        </w:rPr>
        <w:t xml:space="preserve">, and </w:t>
      </w:r>
      <w:r w:rsidR="00632547">
        <w:rPr>
          <w:rFonts w:eastAsia="Times New Roman" w:cs="Times New Roman"/>
          <w:color w:val="000000"/>
        </w:rPr>
        <w:t xml:space="preserve">that </w:t>
      </w:r>
      <w:r w:rsidR="00A37BBC">
        <w:rPr>
          <w:rFonts w:eastAsia="Times New Roman" w:cs="Times New Roman"/>
          <w:color w:val="000000"/>
        </w:rPr>
        <w:t xml:space="preserve">defendant </w:t>
      </w:r>
      <w:r w:rsidR="00BD7EBE">
        <w:rPr>
          <w:rFonts w:eastAsia="Times New Roman" w:cs="Times New Roman"/>
          <w:color w:val="000000"/>
        </w:rPr>
        <w:t>was Beaudre</w:t>
      </w:r>
      <w:r w:rsidR="00ED53A7">
        <w:rPr>
          <w:rFonts w:eastAsia="Times New Roman" w:cs="Times New Roman"/>
          <w:color w:val="000000"/>
        </w:rPr>
        <w:t>a</w:t>
      </w:r>
      <w:r w:rsidR="00BD7EBE">
        <w:rPr>
          <w:rFonts w:eastAsia="Times New Roman" w:cs="Times New Roman"/>
          <w:color w:val="000000"/>
        </w:rPr>
        <w:t xml:space="preserve">ux. </w:t>
      </w:r>
    </w:p>
    <w:p w14:paraId="6B5B09E0" w14:textId="35D620B3" w:rsidR="00FE113A" w:rsidRPr="00FC6C6B" w:rsidRDefault="00C42495" w:rsidP="00FE113A">
      <w:pPr>
        <w:shd w:val="clear" w:color="auto" w:fill="FFFFFF"/>
        <w:rPr>
          <w:rFonts w:eastAsia="Times New Roman" w:cs="Times New Roman"/>
          <w:color w:val="000000"/>
        </w:rPr>
      </w:pPr>
      <w:r>
        <w:rPr>
          <w:rFonts w:eastAsia="Times New Roman" w:cs="Times New Roman"/>
          <w:color w:val="000000"/>
        </w:rPr>
        <w:t>Accordingly, r</w:t>
      </w:r>
      <w:r w:rsidRPr="00FC6C6B">
        <w:rPr>
          <w:rFonts w:eastAsia="Times New Roman" w:cs="Times New Roman"/>
          <w:color w:val="000000"/>
        </w:rPr>
        <w:t xml:space="preserve">eading </w:t>
      </w:r>
      <w:r>
        <w:rPr>
          <w:rFonts w:eastAsia="Times New Roman" w:cs="Times New Roman"/>
          <w:color w:val="000000"/>
        </w:rPr>
        <w:t xml:space="preserve">all </w:t>
      </w:r>
      <w:r w:rsidRPr="00FC6C6B">
        <w:rPr>
          <w:rFonts w:eastAsia="Times New Roman" w:cs="Times New Roman"/>
          <w:color w:val="000000"/>
        </w:rPr>
        <w:t xml:space="preserve">the </w:t>
      </w:r>
      <w:r>
        <w:rPr>
          <w:rFonts w:eastAsia="Times New Roman" w:cs="Times New Roman"/>
          <w:color w:val="000000"/>
        </w:rPr>
        <w:t xml:space="preserve">charges, the </w:t>
      </w:r>
      <w:r w:rsidRPr="00FC6C6B">
        <w:rPr>
          <w:rFonts w:eastAsia="Times New Roman" w:cs="Times New Roman"/>
          <w:color w:val="000000"/>
        </w:rPr>
        <w:t>instructions, the verdicts</w:t>
      </w:r>
      <w:r w:rsidR="00AF63F2">
        <w:rPr>
          <w:rFonts w:eastAsia="Times New Roman" w:cs="Times New Roman"/>
          <w:color w:val="000000"/>
        </w:rPr>
        <w:t>,</w:t>
      </w:r>
      <w:r w:rsidRPr="00FC6C6B">
        <w:rPr>
          <w:rFonts w:eastAsia="Times New Roman" w:cs="Times New Roman"/>
          <w:color w:val="000000"/>
        </w:rPr>
        <w:t xml:space="preserve"> and the findings as a whole, </w:t>
      </w:r>
      <w:r>
        <w:rPr>
          <w:rFonts w:eastAsia="Times New Roman" w:cs="Times New Roman"/>
          <w:color w:val="000000"/>
        </w:rPr>
        <w:t xml:space="preserve">we see no </w:t>
      </w:r>
      <w:r w:rsidRPr="00FC6C6B">
        <w:rPr>
          <w:rFonts w:eastAsia="Times New Roman" w:cs="Times New Roman"/>
          <w:color w:val="000000"/>
        </w:rPr>
        <w:t xml:space="preserve">legal route </w:t>
      </w:r>
      <w:r>
        <w:rPr>
          <w:rFonts w:eastAsia="Times New Roman" w:cs="Times New Roman"/>
          <w:color w:val="000000"/>
        </w:rPr>
        <w:t xml:space="preserve">Beaudreaux’s jury could have taken to </w:t>
      </w:r>
      <w:r w:rsidRPr="00FC6C6B">
        <w:rPr>
          <w:rFonts w:eastAsia="Times New Roman" w:cs="Times New Roman"/>
          <w:color w:val="000000"/>
        </w:rPr>
        <w:t>convict</w:t>
      </w:r>
      <w:r>
        <w:rPr>
          <w:rFonts w:eastAsia="Times New Roman" w:cs="Times New Roman"/>
          <w:color w:val="000000"/>
        </w:rPr>
        <w:t xml:space="preserve"> him </w:t>
      </w:r>
      <w:r w:rsidRPr="00FC6C6B">
        <w:rPr>
          <w:rFonts w:eastAsia="Times New Roman" w:cs="Times New Roman"/>
          <w:color w:val="000000"/>
        </w:rPr>
        <w:t xml:space="preserve">without finding he was Drummond’s actual killer.  </w:t>
      </w:r>
      <w:r>
        <w:rPr>
          <w:rFonts w:eastAsia="Times New Roman" w:cs="Times New Roman"/>
          <w:color w:val="000000"/>
        </w:rPr>
        <w:t xml:space="preserve">As our Fourth District, Division One colleagues stated in affirming the summary denial of resentencing relief for a defendant seeking resentencing relief in similar circumstances: </w:t>
      </w:r>
      <w:r w:rsidR="00FA2D04">
        <w:rPr>
          <w:rFonts w:eastAsia="Times New Roman" w:cs="Times New Roman"/>
          <w:color w:val="000000"/>
        </w:rPr>
        <w:t xml:space="preserve"> </w:t>
      </w:r>
      <w:r w:rsidRPr="00FC6C6B">
        <w:rPr>
          <w:color w:val="000000"/>
        </w:rPr>
        <w:t>“</w:t>
      </w:r>
      <w:r>
        <w:rPr>
          <w:color w:val="000000"/>
        </w:rPr>
        <w:t>W</w:t>
      </w:r>
      <w:r w:rsidRPr="00FC6C6B">
        <w:rPr>
          <w:rFonts w:eastAsia="Times New Roman" w:cs="Times New Roman"/>
          <w:color w:val="000000"/>
        </w:rPr>
        <w:t xml:space="preserve">ithout weighing conflicting evidence or making credibility determinations, the record of conviction irrefutably establishes as a matter of law that the jury determined </w:t>
      </w:r>
      <w:r>
        <w:rPr>
          <w:rFonts w:eastAsia="Times New Roman" w:cs="Times New Roman"/>
          <w:color w:val="000000"/>
        </w:rPr>
        <w:t xml:space="preserve">[the defendant] </w:t>
      </w:r>
      <w:r w:rsidRPr="00FC6C6B">
        <w:rPr>
          <w:rFonts w:eastAsia="Times New Roman" w:cs="Times New Roman"/>
          <w:color w:val="000000"/>
        </w:rPr>
        <w:t xml:space="preserve">was the actual killer. </w:t>
      </w:r>
      <w:r>
        <w:rPr>
          <w:rFonts w:eastAsia="Times New Roman" w:cs="Times New Roman"/>
          <w:color w:val="000000"/>
        </w:rPr>
        <w:t xml:space="preserve"> </w:t>
      </w:r>
      <w:r w:rsidRPr="00FC6C6B">
        <w:rPr>
          <w:rFonts w:eastAsia="Times New Roman" w:cs="Times New Roman"/>
          <w:color w:val="000000"/>
        </w:rPr>
        <w:t xml:space="preserve">The </w:t>
      </w:r>
      <w:r>
        <w:rPr>
          <w:rFonts w:eastAsia="Times New Roman" w:cs="Times New Roman"/>
          <w:color w:val="000000"/>
        </w:rPr>
        <w:t xml:space="preserve">[jury’s] </w:t>
      </w:r>
      <w:r w:rsidR="005D48C5">
        <w:rPr>
          <w:rFonts w:eastAsia="Times New Roman" w:cs="Times New Roman"/>
          <w:color w:val="000000"/>
        </w:rPr>
        <w:t>. . .</w:t>
      </w:r>
      <w:r>
        <w:rPr>
          <w:rFonts w:eastAsia="Times New Roman" w:cs="Times New Roman"/>
          <w:color w:val="000000"/>
        </w:rPr>
        <w:t xml:space="preserve"> </w:t>
      </w:r>
      <w:r w:rsidRPr="00FC6C6B">
        <w:rPr>
          <w:rFonts w:eastAsia="Times New Roman" w:cs="Times New Roman"/>
          <w:color w:val="000000"/>
        </w:rPr>
        <w:t xml:space="preserve">only path to convicting </w:t>
      </w:r>
      <w:r>
        <w:rPr>
          <w:rFonts w:eastAsia="Times New Roman" w:cs="Times New Roman"/>
          <w:color w:val="000000"/>
        </w:rPr>
        <w:t xml:space="preserve">[the defendant] </w:t>
      </w:r>
      <w:r w:rsidRPr="00FC6C6B">
        <w:rPr>
          <w:rFonts w:eastAsia="Times New Roman" w:cs="Times New Roman"/>
          <w:color w:val="000000"/>
        </w:rPr>
        <w:t>of first degree felony murder with special circumstances and a personal-infliction-of-great-bodily-injury enhancement was based on a finding she actually killed [the victim]</w:t>
      </w:r>
      <w:r>
        <w:rPr>
          <w:rFonts w:eastAsia="Times New Roman" w:cs="Times New Roman"/>
          <w:color w:val="000000"/>
        </w:rPr>
        <w:t>.</w:t>
      </w:r>
      <w:r w:rsidRPr="00FC6C6B">
        <w:rPr>
          <w:rFonts w:eastAsia="Times New Roman" w:cs="Times New Roman"/>
          <w:color w:val="000000"/>
        </w:rPr>
        <w:t xml:space="preserve">” </w:t>
      </w:r>
      <w:r>
        <w:rPr>
          <w:rFonts w:eastAsia="Times New Roman" w:cs="Times New Roman"/>
          <w:color w:val="000000"/>
        </w:rPr>
        <w:t xml:space="preserve"> (</w:t>
      </w:r>
      <w:r w:rsidRPr="00185903">
        <w:rPr>
          <w:rFonts w:eastAsia="Times New Roman" w:cs="Times New Roman"/>
          <w:i/>
          <w:iCs/>
          <w:color w:val="3D3D3D"/>
          <w:bdr w:val="none" w:sz="0" w:space="0" w:color="auto" w:frame="1"/>
        </w:rPr>
        <w:t>People v. Harden</w:t>
      </w:r>
      <w:r w:rsidR="00FB3DC3">
        <w:rPr>
          <w:rFonts w:eastAsia="Times New Roman" w:cs="Times New Roman"/>
          <w:color w:val="000000"/>
        </w:rPr>
        <w:t xml:space="preserve">, </w:t>
      </w:r>
      <w:r w:rsidR="00FB3DC3" w:rsidRPr="00FB3DC3">
        <w:rPr>
          <w:rFonts w:eastAsia="Times New Roman" w:cs="Times New Roman"/>
          <w:i/>
          <w:iCs/>
          <w:color w:val="000000"/>
        </w:rPr>
        <w:t>supra</w:t>
      </w:r>
      <w:r w:rsidR="00FB3DC3">
        <w:rPr>
          <w:rFonts w:eastAsia="Times New Roman" w:cs="Times New Roman"/>
          <w:color w:val="000000"/>
        </w:rPr>
        <w:t>,</w:t>
      </w:r>
      <w:r w:rsidRPr="00185903">
        <w:rPr>
          <w:rFonts w:eastAsia="Times New Roman" w:cs="Times New Roman"/>
          <w:color w:val="000000"/>
        </w:rPr>
        <w:t xml:space="preserve"> 81</w:t>
      </w:r>
      <w:r w:rsidR="007C73CD">
        <w:rPr>
          <w:rFonts w:eastAsia="Times New Roman" w:cs="Times New Roman"/>
          <w:color w:val="000000"/>
        </w:rPr>
        <w:t> </w:t>
      </w:r>
      <w:r w:rsidRPr="00185903">
        <w:rPr>
          <w:rFonts w:eastAsia="Times New Roman" w:cs="Times New Roman"/>
          <w:color w:val="000000"/>
        </w:rPr>
        <w:t xml:space="preserve">Cal.App.5th </w:t>
      </w:r>
      <w:r w:rsidR="00FB3DC3">
        <w:rPr>
          <w:rFonts w:eastAsia="Times New Roman" w:cs="Times New Roman"/>
          <w:color w:val="000000"/>
        </w:rPr>
        <w:t>at p.</w:t>
      </w:r>
      <w:r w:rsidR="00D67BF5">
        <w:rPr>
          <w:rFonts w:eastAsia="Times New Roman" w:cs="Times New Roman"/>
          <w:color w:val="000000"/>
        </w:rPr>
        <w:t> </w:t>
      </w:r>
      <w:r w:rsidRPr="00185903">
        <w:rPr>
          <w:rFonts w:eastAsia="Times New Roman" w:cs="Times New Roman"/>
          <w:color w:val="000000"/>
        </w:rPr>
        <w:t>56</w:t>
      </w:r>
      <w:r>
        <w:rPr>
          <w:rFonts w:eastAsia="Times New Roman" w:cs="Times New Roman"/>
          <w:color w:val="000000"/>
        </w:rPr>
        <w:t>.)</w:t>
      </w:r>
      <w:r w:rsidRPr="00FC6C6B">
        <w:rPr>
          <w:color w:val="000000"/>
        </w:rPr>
        <w:t xml:space="preserve"> </w:t>
      </w:r>
      <w:r w:rsidRPr="00FC6C6B">
        <w:rPr>
          <w:rFonts w:eastAsia="Times New Roman" w:cs="Times New Roman"/>
          <w:color w:val="000000"/>
        </w:rPr>
        <w:t xml:space="preserve"> </w:t>
      </w:r>
    </w:p>
    <w:p w14:paraId="5306E52A" w14:textId="4F1CA555" w:rsidR="008D2224" w:rsidRPr="004228AD" w:rsidRDefault="00C42495" w:rsidP="004228AD">
      <w:pPr>
        <w:shd w:val="clear" w:color="auto" w:fill="FFFFFF"/>
        <w:rPr>
          <w:rFonts w:eastAsia="Times New Roman" w:cs="Times New Roman"/>
          <w:color w:val="000000"/>
        </w:rPr>
      </w:pPr>
      <w:r>
        <w:rPr>
          <w:rFonts w:eastAsia="Times New Roman" w:cs="Times New Roman"/>
          <w:color w:val="000000"/>
        </w:rPr>
        <w:lastRenderedPageBreak/>
        <w:t>W</w:t>
      </w:r>
      <w:r w:rsidR="000D772F">
        <w:rPr>
          <w:rFonts w:eastAsia="Times New Roman" w:cs="Times New Roman"/>
          <w:color w:val="000000"/>
        </w:rPr>
        <w:t>e conclude n</w:t>
      </w:r>
      <w:r w:rsidR="00E36FED" w:rsidRPr="004228AD">
        <w:rPr>
          <w:rFonts w:eastAsia="Times New Roman" w:cs="Times New Roman"/>
          <w:color w:val="000000"/>
        </w:rPr>
        <w:t>o reasonable jur</w:t>
      </w:r>
      <w:r w:rsidR="001751F4" w:rsidRPr="004228AD">
        <w:rPr>
          <w:rFonts w:eastAsia="Times New Roman" w:cs="Times New Roman"/>
          <w:color w:val="000000"/>
        </w:rPr>
        <w:t xml:space="preserve">or </w:t>
      </w:r>
      <w:r w:rsidR="00110BA7" w:rsidRPr="004228AD">
        <w:rPr>
          <w:rFonts w:eastAsia="Times New Roman" w:cs="Times New Roman"/>
          <w:color w:val="000000"/>
        </w:rPr>
        <w:t>who</w:t>
      </w:r>
      <w:r w:rsidR="00330ABF" w:rsidRPr="004228AD">
        <w:rPr>
          <w:rFonts w:eastAsia="Times New Roman" w:cs="Times New Roman"/>
          <w:color w:val="000000"/>
        </w:rPr>
        <w:t xml:space="preserve"> </w:t>
      </w:r>
      <w:r w:rsidR="00E36FED" w:rsidRPr="004228AD">
        <w:rPr>
          <w:rFonts w:eastAsia="Times New Roman" w:cs="Times New Roman"/>
          <w:color w:val="000000"/>
        </w:rPr>
        <w:t>found</w:t>
      </w:r>
      <w:r w:rsidR="00AF43B2" w:rsidRPr="004228AD">
        <w:rPr>
          <w:rFonts w:eastAsia="Times New Roman" w:cs="Times New Roman"/>
          <w:color w:val="000000"/>
        </w:rPr>
        <w:t xml:space="preserve"> that</w:t>
      </w:r>
      <w:r w:rsidR="00E36FED" w:rsidRPr="004228AD">
        <w:rPr>
          <w:rFonts w:eastAsia="Times New Roman" w:cs="Times New Roman"/>
          <w:color w:val="000000"/>
        </w:rPr>
        <w:t xml:space="preserve"> </w:t>
      </w:r>
      <w:r w:rsidR="002F4A2D" w:rsidRPr="004228AD">
        <w:rPr>
          <w:rFonts w:eastAsia="Times New Roman" w:cs="Times New Roman"/>
          <w:color w:val="000000"/>
        </w:rPr>
        <w:t>Beaudreaux</w:t>
      </w:r>
      <w:r w:rsidR="00723E4B" w:rsidRPr="004228AD">
        <w:rPr>
          <w:rFonts w:eastAsia="Times New Roman" w:cs="Times New Roman"/>
          <w:color w:val="000000"/>
        </w:rPr>
        <w:t xml:space="preserve"> personally </w:t>
      </w:r>
      <w:r w:rsidR="00490319" w:rsidRPr="004228AD">
        <w:rPr>
          <w:rFonts w:eastAsia="Times New Roman" w:cs="Times New Roman"/>
          <w:color w:val="000000"/>
        </w:rPr>
        <w:t>discharged his gun</w:t>
      </w:r>
      <w:r w:rsidR="00993368" w:rsidRPr="004228AD">
        <w:rPr>
          <w:rFonts w:eastAsia="Times New Roman" w:cs="Times New Roman"/>
          <w:color w:val="000000"/>
        </w:rPr>
        <w:t xml:space="preserve"> and </w:t>
      </w:r>
      <w:r w:rsidR="00490319" w:rsidRPr="004228AD">
        <w:rPr>
          <w:rFonts w:eastAsia="Times New Roman" w:cs="Times New Roman"/>
          <w:color w:val="000000"/>
        </w:rPr>
        <w:t>caus</w:t>
      </w:r>
      <w:r w:rsidR="00D16914">
        <w:rPr>
          <w:rFonts w:eastAsia="Times New Roman" w:cs="Times New Roman"/>
          <w:color w:val="000000"/>
        </w:rPr>
        <w:t>ed</w:t>
      </w:r>
      <w:r w:rsidR="00DC409C" w:rsidRPr="004228AD">
        <w:rPr>
          <w:rFonts w:eastAsia="Times New Roman" w:cs="Times New Roman"/>
          <w:color w:val="000000"/>
        </w:rPr>
        <w:t xml:space="preserve"> great bodily injury </w:t>
      </w:r>
      <w:r w:rsidR="00DE084D">
        <w:rPr>
          <w:rFonts w:eastAsia="Times New Roman" w:cs="Times New Roman"/>
          <w:color w:val="000000"/>
        </w:rPr>
        <w:t>and death</w:t>
      </w:r>
      <w:r w:rsidR="00397B36">
        <w:rPr>
          <w:rFonts w:eastAsia="Times New Roman" w:cs="Times New Roman"/>
          <w:color w:val="000000"/>
        </w:rPr>
        <w:t xml:space="preserve"> </w:t>
      </w:r>
      <w:r w:rsidR="00EC4DEE">
        <w:rPr>
          <w:rFonts w:eastAsia="Times New Roman" w:cs="Times New Roman"/>
          <w:color w:val="000000"/>
        </w:rPr>
        <w:t>might have believed</w:t>
      </w:r>
      <w:r w:rsidR="008A1AEA" w:rsidRPr="004228AD">
        <w:rPr>
          <w:rFonts w:eastAsia="Times New Roman" w:cs="Times New Roman"/>
          <w:color w:val="000000"/>
        </w:rPr>
        <w:t xml:space="preserve"> </w:t>
      </w:r>
      <w:r w:rsidR="001751F4" w:rsidRPr="004228AD">
        <w:rPr>
          <w:rFonts w:eastAsia="Times New Roman" w:cs="Times New Roman"/>
          <w:color w:val="000000"/>
        </w:rPr>
        <w:t xml:space="preserve">Crowder </w:t>
      </w:r>
      <w:r w:rsidR="00E00D5F" w:rsidRPr="004228AD">
        <w:rPr>
          <w:rFonts w:eastAsia="Times New Roman" w:cs="Times New Roman"/>
          <w:color w:val="000000"/>
        </w:rPr>
        <w:t xml:space="preserve">personally </w:t>
      </w:r>
      <w:r w:rsidR="005C675C">
        <w:rPr>
          <w:rFonts w:eastAsia="Times New Roman" w:cs="Times New Roman"/>
          <w:color w:val="000000"/>
        </w:rPr>
        <w:t xml:space="preserve">did </w:t>
      </w:r>
      <w:r w:rsidR="001751F4" w:rsidRPr="004228AD">
        <w:rPr>
          <w:rFonts w:eastAsia="Times New Roman" w:cs="Times New Roman"/>
          <w:color w:val="000000"/>
        </w:rPr>
        <w:t xml:space="preserve">the same </w:t>
      </w:r>
      <w:r w:rsidR="005C675C">
        <w:rPr>
          <w:rFonts w:eastAsia="Times New Roman" w:cs="Times New Roman"/>
          <w:color w:val="000000"/>
        </w:rPr>
        <w:t xml:space="preserve">thing, </w:t>
      </w:r>
      <w:r w:rsidR="00231E6B">
        <w:rPr>
          <w:rFonts w:eastAsia="Times New Roman" w:cs="Times New Roman"/>
          <w:color w:val="000000"/>
        </w:rPr>
        <w:t>with Be</w:t>
      </w:r>
      <w:r w:rsidR="005A0AF9">
        <w:rPr>
          <w:rFonts w:eastAsia="Times New Roman" w:cs="Times New Roman"/>
          <w:color w:val="000000"/>
        </w:rPr>
        <w:t xml:space="preserve">audreaux only indirectly </w:t>
      </w:r>
      <w:r w:rsidR="005C675C">
        <w:rPr>
          <w:rFonts w:eastAsia="Times New Roman" w:cs="Times New Roman"/>
          <w:color w:val="000000"/>
        </w:rPr>
        <w:t xml:space="preserve">involved in the fatal </w:t>
      </w:r>
      <w:r w:rsidR="001751F4" w:rsidRPr="004228AD">
        <w:rPr>
          <w:rFonts w:eastAsia="Times New Roman" w:cs="Times New Roman"/>
          <w:color w:val="000000"/>
        </w:rPr>
        <w:t>act</w:t>
      </w:r>
      <w:r w:rsidR="004E26A3">
        <w:rPr>
          <w:rFonts w:eastAsia="Times New Roman" w:cs="Times New Roman"/>
          <w:color w:val="000000"/>
        </w:rPr>
        <w:t>,</w:t>
      </w:r>
      <w:r w:rsidR="00966808">
        <w:rPr>
          <w:rFonts w:eastAsia="Times New Roman" w:cs="Times New Roman"/>
          <w:color w:val="000000"/>
        </w:rPr>
        <w:t xml:space="preserve"> but liable for it nonethel</w:t>
      </w:r>
      <w:r w:rsidR="004E26A3">
        <w:rPr>
          <w:rFonts w:eastAsia="Times New Roman" w:cs="Times New Roman"/>
          <w:color w:val="000000"/>
        </w:rPr>
        <w:t>e</w:t>
      </w:r>
      <w:r w:rsidR="00966808">
        <w:rPr>
          <w:rFonts w:eastAsia="Times New Roman" w:cs="Times New Roman"/>
          <w:color w:val="000000"/>
        </w:rPr>
        <w:t>ss</w:t>
      </w:r>
      <w:r w:rsidR="005C675C">
        <w:rPr>
          <w:rFonts w:eastAsia="Times New Roman" w:cs="Times New Roman"/>
          <w:color w:val="000000"/>
        </w:rPr>
        <w:t xml:space="preserve">.  </w:t>
      </w:r>
      <w:r w:rsidR="008D0C50">
        <w:rPr>
          <w:rFonts w:eastAsia="Times New Roman" w:cs="Times New Roman"/>
          <w:color w:val="000000"/>
        </w:rPr>
        <w:t xml:space="preserve">Stated </w:t>
      </w:r>
      <w:r w:rsidR="00BC5328">
        <w:rPr>
          <w:rFonts w:eastAsia="Times New Roman" w:cs="Times New Roman"/>
          <w:color w:val="000000"/>
        </w:rPr>
        <w:t xml:space="preserve">in terms </w:t>
      </w:r>
      <w:r w:rsidR="00BD43D2">
        <w:rPr>
          <w:rFonts w:eastAsia="Times New Roman" w:cs="Times New Roman"/>
          <w:color w:val="000000"/>
        </w:rPr>
        <w:t xml:space="preserve">framed by </w:t>
      </w:r>
      <w:r w:rsidR="00BC5328">
        <w:rPr>
          <w:rFonts w:eastAsia="Times New Roman" w:cs="Times New Roman"/>
          <w:color w:val="000000"/>
        </w:rPr>
        <w:t xml:space="preserve">the pivotal legal issue here, </w:t>
      </w:r>
      <w:r w:rsidR="00837D30">
        <w:rPr>
          <w:rFonts w:eastAsia="Times New Roman" w:cs="Times New Roman"/>
          <w:color w:val="000000"/>
        </w:rPr>
        <w:t xml:space="preserve">we believe </w:t>
      </w:r>
      <w:r w:rsidR="002F7075">
        <w:rPr>
          <w:rFonts w:eastAsia="Times New Roman" w:cs="Times New Roman"/>
          <w:color w:val="000000"/>
        </w:rPr>
        <w:t xml:space="preserve">it would </w:t>
      </w:r>
      <w:r w:rsidR="003C7337">
        <w:rPr>
          <w:rFonts w:eastAsia="Times New Roman" w:cs="Times New Roman"/>
          <w:color w:val="000000"/>
        </w:rPr>
        <w:t xml:space="preserve">have been </w:t>
      </w:r>
      <w:r w:rsidR="002F7075">
        <w:rPr>
          <w:rFonts w:eastAsia="Times New Roman" w:cs="Times New Roman"/>
          <w:color w:val="000000"/>
        </w:rPr>
        <w:t xml:space="preserve">impossible </w:t>
      </w:r>
      <w:r w:rsidR="000719E7">
        <w:rPr>
          <w:rFonts w:eastAsia="Times New Roman" w:cs="Times New Roman"/>
          <w:color w:val="000000"/>
        </w:rPr>
        <w:t xml:space="preserve">on this record </w:t>
      </w:r>
      <w:r w:rsidR="002F7075">
        <w:rPr>
          <w:rFonts w:eastAsia="Times New Roman" w:cs="Times New Roman"/>
          <w:color w:val="000000"/>
        </w:rPr>
        <w:t xml:space="preserve">for a jury to have </w:t>
      </w:r>
      <w:r w:rsidR="002D32FD">
        <w:rPr>
          <w:rFonts w:eastAsia="Times New Roman" w:cs="Times New Roman"/>
          <w:color w:val="000000"/>
        </w:rPr>
        <w:t xml:space="preserve">made the findings it did without finding </w:t>
      </w:r>
      <w:r w:rsidR="00AD4E31">
        <w:rPr>
          <w:rFonts w:eastAsia="Times New Roman" w:cs="Times New Roman"/>
          <w:color w:val="000000"/>
        </w:rPr>
        <w:t xml:space="preserve">that Beaudreaux was Drummond’s actual </w:t>
      </w:r>
      <w:r w:rsidR="00AD4E31" w:rsidRPr="00535E7C">
        <w:rPr>
          <w:rFonts w:eastAsia="Times New Roman" w:cs="Times New Roman"/>
          <w:color w:val="000000"/>
        </w:rPr>
        <w:t xml:space="preserve">killer. </w:t>
      </w:r>
      <w:r w:rsidR="001D2586" w:rsidRPr="00535E7C">
        <w:rPr>
          <w:rFonts w:eastAsia="Times New Roman" w:cs="Times New Roman"/>
          <w:color w:val="000000"/>
        </w:rPr>
        <w:t xml:space="preserve"> (</w:t>
      </w:r>
      <w:r w:rsidR="00C02FAD" w:rsidRPr="00535E7C">
        <w:rPr>
          <w:rFonts w:eastAsia="Times New Roman" w:cs="Times New Roman"/>
          <w:color w:val="000000"/>
        </w:rPr>
        <w:t xml:space="preserve">Cf. </w:t>
      </w:r>
      <w:r w:rsidR="005F05AF" w:rsidRPr="005F05AF">
        <w:rPr>
          <w:rFonts w:eastAsia="Times New Roman" w:cs="Times New Roman"/>
          <w:i/>
          <w:iCs/>
          <w:color w:val="3D3D3D"/>
          <w:bdr w:val="none" w:sz="0" w:space="0" w:color="auto" w:frame="1"/>
        </w:rPr>
        <w:t>In</w:t>
      </w:r>
      <w:r w:rsidR="00C03D81">
        <w:rPr>
          <w:rFonts w:eastAsia="Times New Roman" w:cs="Times New Roman"/>
          <w:i/>
          <w:iCs/>
          <w:color w:val="3D3D3D"/>
          <w:bdr w:val="none" w:sz="0" w:space="0" w:color="auto" w:frame="1"/>
        </w:rPr>
        <w:t> </w:t>
      </w:r>
      <w:r w:rsidR="005F05AF" w:rsidRPr="005F05AF">
        <w:rPr>
          <w:rFonts w:eastAsia="Times New Roman" w:cs="Times New Roman"/>
          <w:i/>
          <w:iCs/>
          <w:color w:val="3D3D3D"/>
          <w:bdr w:val="none" w:sz="0" w:space="0" w:color="auto" w:frame="1"/>
        </w:rPr>
        <w:t>re Lopez</w:t>
      </w:r>
      <w:r w:rsidR="005F05AF" w:rsidRPr="005F05AF">
        <w:rPr>
          <w:rFonts w:eastAsia="Times New Roman" w:cs="Times New Roman"/>
          <w:color w:val="000000"/>
        </w:rPr>
        <w:t xml:space="preserve"> (2023) 14</w:t>
      </w:r>
      <w:r w:rsidR="00C03D81">
        <w:rPr>
          <w:rFonts w:eastAsia="Times New Roman" w:cs="Times New Roman"/>
          <w:color w:val="000000"/>
        </w:rPr>
        <w:t> </w:t>
      </w:r>
      <w:r w:rsidR="005F05AF" w:rsidRPr="005F05AF">
        <w:rPr>
          <w:rFonts w:eastAsia="Times New Roman" w:cs="Times New Roman"/>
          <w:color w:val="000000"/>
        </w:rPr>
        <w:t>Cal.5th 562, 5</w:t>
      </w:r>
      <w:r w:rsidR="00A84E03">
        <w:rPr>
          <w:rFonts w:eastAsia="Times New Roman" w:cs="Times New Roman"/>
          <w:color w:val="000000"/>
        </w:rPr>
        <w:t>91</w:t>
      </w:r>
      <w:r w:rsidR="00CE6B12">
        <w:t>–</w:t>
      </w:r>
      <w:r w:rsidR="00B06835">
        <w:rPr>
          <w:rFonts w:eastAsia="Times New Roman" w:cs="Times New Roman"/>
          <w:color w:val="000000"/>
        </w:rPr>
        <w:t>592</w:t>
      </w:r>
      <w:r w:rsidR="00D81656" w:rsidRPr="00535E7C">
        <w:rPr>
          <w:rFonts w:eastAsia="Times New Roman" w:cs="Times New Roman"/>
          <w:color w:val="000000"/>
        </w:rPr>
        <w:t xml:space="preserve"> [harmlessness </w:t>
      </w:r>
      <w:r w:rsidR="00C410F6">
        <w:rPr>
          <w:rFonts w:eastAsia="Times New Roman" w:cs="Times New Roman"/>
          <w:color w:val="000000"/>
        </w:rPr>
        <w:t xml:space="preserve">of </w:t>
      </w:r>
      <w:r w:rsidR="00286272">
        <w:rPr>
          <w:rFonts w:eastAsia="Times New Roman" w:cs="Times New Roman"/>
          <w:color w:val="000000"/>
        </w:rPr>
        <w:t>alternative-</w:t>
      </w:r>
      <w:r w:rsidR="00535E7C" w:rsidRPr="00535E7C">
        <w:rPr>
          <w:rFonts w:eastAsia="Times New Roman" w:cs="Times New Roman"/>
          <w:color w:val="000000"/>
        </w:rPr>
        <w:t>theory error</w:t>
      </w:r>
      <w:r w:rsidR="00C410F6">
        <w:rPr>
          <w:rFonts w:eastAsia="Times New Roman" w:cs="Times New Roman"/>
          <w:color w:val="000000"/>
        </w:rPr>
        <w:t xml:space="preserve"> </w:t>
      </w:r>
      <w:r w:rsidR="008E0752">
        <w:rPr>
          <w:rFonts w:eastAsia="Times New Roman" w:cs="Times New Roman"/>
          <w:color w:val="000000"/>
        </w:rPr>
        <w:t xml:space="preserve">in </w:t>
      </w:r>
      <w:r w:rsidR="00FA356B">
        <w:rPr>
          <w:rFonts w:eastAsia="Times New Roman" w:cs="Times New Roman"/>
          <w:color w:val="000000"/>
        </w:rPr>
        <w:t xml:space="preserve">murder </w:t>
      </w:r>
      <w:r w:rsidR="00A63302">
        <w:rPr>
          <w:rFonts w:eastAsia="Times New Roman" w:cs="Times New Roman"/>
          <w:color w:val="000000"/>
        </w:rPr>
        <w:t xml:space="preserve">verdict </w:t>
      </w:r>
      <w:r w:rsidR="00294DBC">
        <w:rPr>
          <w:rFonts w:eastAsia="Times New Roman" w:cs="Times New Roman"/>
          <w:color w:val="000000"/>
        </w:rPr>
        <w:t xml:space="preserve">because of </w:t>
      </w:r>
      <w:r w:rsidR="00701C7E">
        <w:rPr>
          <w:rFonts w:eastAsia="Times New Roman" w:cs="Times New Roman"/>
          <w:color w:val="000000"/>
        </w:rPr>
        <w:t xml:space="preserve">missing element </w:t>
      </w:r>
      <w:r w:rsidR="00294DBC">
        <w:rPr>
          <w:rFonts w:eastAsia="Times New Roman" w:cs="Times New Roman"/>
          <w:color w:val="000000"/>
        </w:rPr>
        <w:t xml:space="preserve">in </w:t>
      </w:r>
      <w:r w:rsidR="0092160A">
        <w:rPr>
          <w:rFonts w:eastAsia="Times New Roman" w:cs="Times New Roman"/>
          <w:color w:val="000000"/>
        </w:rPr>
        <w:t xml:space="preserve">jury </w:t>
      </w:r>
      <w:r w:rsidR="00A63302">
        <w:rPr>
          <w:rFonts w:eastAsia="Times New Roman" w:cs="Times New Roman"/>
          <w:color w:val="000000"/>
        </w:rPr>
        <w:t xml:space="preserve">instructions </w:t>
      </w:r>
      <w:r w:rsidR="0092160A">
        <w:rPr>
          <w:rFonts w:eastAsia="Times New Roman" w:cs="Times New Roman"/>
          <w:color w:val="000000"/>
        </w:rPr>
        <w:t xml:space="preserve">on murder </w:t>
      </w:r>
      <w:r w:rsidR="00C410F6">
        <w:rPr>
          <w:rFonts w:eastAsia="Times New Roman" w:cs="Times New Roman"/>
          <w:color w:val="000000"/>
        </w:rPr>
        <w:t>m</w:t>
      </w:r>
      <w:r w:rsidR="000C1738">
        <w:rPr>
          <w:rFonts w:eastAsia="Times New Roman" w:cs="Times New Roman"/>
          <w:color w:val="000000"/>
        </w:rPr>
        <w:t>ay</w:t>
      </w:r>
      <w:r w:rsidR="00C410F6">
        <w:rPr>
          <w:rFonts w:eastAsia="Times New Roman" w:cs="Times New Roman"/>
          <w:color w:val="000000"/>
        </w:rPr>
        <w:t xml:space="preserve"> be </w:t>
      </w:r>
      <w:r w:rsidR="0052769A">
        <w:rPr>
          <w:rFonts w:eastAsia="Times New Roman" w:cs="Times New Roman"/>
          <w:color w:val="000000"/>
        </w:rPr>
        <w:t>assessed</w:t>
      </w:r>
      <w:r w:rsidR="00C410F6">
        <w:rPr>
          <w:rFonts w:eastAsia="Times New Roman" w:cs="Times New Roman"/>
          <w:color w:val="000000"/>
        </w:rPr>
        <w:t xml:space="preserve"> in light of </w:t>
      </w:r>
      <w:r w:rsidR="0090438C">
        <w:rPr>
          <w:rFonts w:eastAsia="Times New Roman" w:cs="Times New Roman"/>
          <w:color w:val="000000"/>
        </w:rPr>
        <w:t xml:space="preserve">whether </w:t>
      </w:r>
      <w:r w:rsidR="00085624">
        <w:rPr>
          <w:rFonts w:eastAsia="Times New Roman" w:cs="Times New Roman"/>
          <w:color w:val="000000"/>
        </w:rPr>
        <w:t xml:space="preserve">other </w:t>
      </w:r>
      <w:r w:rsidR="00076ED9">
        <w:rPr>
          <w:rFonts w:eastAsia="Times New Roman" w:cs="Times New Roman"/>
          <w:color w:val="000000"/>
        </w:rPr>
        <w:t xml:space="preserve">jury </w:t>
      </w:r>
      <w:r w:rsidR="00085624">
        <w:rPr>
          <w:rFonts w:eastAsia="Times New Roman" w:cs="Times New Roman"/>
          <w:color w:val="000000"/>
        </w:rPr>
        <w:t xml:space="preserve">findings </w:t>
      </w:r>
      <w:r w:rsidR="0090438C">
        <w:rPr>
          <w:rFonts w:eastAsia="Times New Roman" w:cs="Times New Roman"/>
          <w:color w:val="000000"/>
        </w:rPr>
        <w:t>made it impossible to find guilt without also finding the missing element</w:t>
      </w:r>
      <w:r w:rsidR="00535E7C" w:rsidRPr="00535E7C">
        <w:rPr>
          <w:rFonts w:eastAsia="Times New Roman" w:cs="Times New Roman"/>
          <w:color w:val="000000"/>
        </w:rPr>
        <w:t>].</w:t>
      </w:r>
      <w:r w:rsidR="001D2586" w:rsidRPr="00535E7C">
        <w:rPr>
          <w:rFonts w:eastAsia="Times New Roman" w:cs="Times New Roman"/>
          <w:color w:val="000000"/>
        </w:rPr>
        <w:t xml:space="preserve">) </w:t>
      </w:r>
      <w:r w:rsidR="00535E7C" w:rsidRPr="00535E7C">
        <w:rPr>
          <w:rFonts w:eastAsia="Times New Roman" w:cs="Times New Roman"/>
          <w:color w:val="000000"/>
        </w:rPr>
        <w:t xml:space="preserve"> </w:t>
      </w:r>
      <w:r w:rsidR="00DA44C6">
        <w:rPr>
          <w:rFonts w:eastAsia="Times New Roman" w:cs="Times New Roman"/>
          <w:color w:val="000000"/>
        </w:rPr>
        <w:t>As a result, t</w:t>
      </w:r>
      <w:r w:rsidR="009F4F96" w:rsidRPr="004228AD">
        <w:rPr>
          <w:rFonts w:eastAsia="Times New Roman" w:cs="Times New Roman"/>
          <w:color w:val="000000"/>
        </w:rPr>
        <w:t xml:space="preserve">he trial court’s </w:t>
      </w:r>
      <w:r w:rsidR="00B95EE4" w:rsidRPr="004228AD">
        <w:rPr>
          <w:rFonts w:eastAsia="Times New Roman" w:cs="Times New Roman"/>
          <w:color w:val="000000"/>
        </w:rPr>
        <w:t xml:space="preserve">procedural errors in ordering </w:t>
      </w:r>
      <w:r w:rsidR="00B97861" w:rsidRPr="004228AD">
        <w:rPr>
          <w:rFonts w:eastAsia="Times New Roman" w:cs="Times New Roman"/>
          <w:color w:val="000000"/>
        </w:rPr>
        <w:t>the summary d</w:t>
      </w:r>
      <w:r w:rsidR="00A42D13" w:rsidRPr="004228AD">
        <w:rPr>
          <w:rFonts w:eastAsia="Times New Roman" w:cs="Times New Roman"/>
          <w:color w:val="000000"/>
        </w:rPr>
        <w:t xml:space="preserve">ismissal of </w:t>
      </w:r>
      <w:r w:rsidR="007D05D9" w:rsidRPr="004228AD">
        <w:rPr>
          <w:rFonts w:eastAsia="Times New Roman" w:cs="Times New Roman"/>
          <w:color w:val="000000"/>
        </w:rPr>
        <w:t xml:space="preserve">Beaudreaux’s </w:t>
      </w:r>
      <w:r w:rsidR="00CE6AB3">
        <w:rPr>
          <w:rFonts w:eastAsia="Times New Roman" w:cs="Times New Roman"/>
          <w:color w:val="000000"/>
        </w:rPr>
        <w:t xml:space="preserve">resentencing petition </w:t>
      </w:r>
      <w:r w:rsidR="002E39D4">
        <w:rPr>
          <w:rFonts w:eastAsia="Times New Roman" w:cs="Times New Roman"/>
          <w:color w:val="000000"/>
        </w:rPr>
        <w:t xml:space="preserve">at the prima facie stage of these </w:t>
      </w:r>
      <w:r w:rsidR="00561BCA">
        <w:rPr>
          <w:rFonts w:eastAsia="Times New Roman" w:cs="Times New Roman"/>
          <w:color w:val="000000"/>
        </w:rPr>
        <w:t xml:space="preserve">section 1172.6 </w:t>
      </w:r>
      <w:r w:rsidR="00CE6AB3">
        <w:rPr>
          <w:rFonts w:eastAsia="Times New Roman" w:cs="Times New Roman"/>
          <w:color w:val="000000"/>
        </w:rPr>
        <w:t xml:space="preserve">proceedings </w:t>
      </w:r>
      <w:r w:rsidR="00ED2048" w:rsidRPr="004228AD">
        <w:rPr>
          <w:rFonts w:eastAsia="Times New Roman" w:cs="Times New Roman"/>
          <w:color w:val="000000"/>
        </w:rPr>
        <w:t>are harmless</w:t>
      </w:r>
      <w:r w:rsidR="002E39D4">
        <w:rPr>
          <w:rFonts w:eastAsia="Times New Roman" w:cs="Times New Roman"/>
          <w:color w:val="000000"/>
        </w:rPr>
        <w:t xml:space="preserve">. </w:t>
      </w:r>
      <w:r w:rsidR="00B97861" w:rsidRPr="004228AD">
        <w:rPr>
          <w:rFonts w:eastAsia="Times New Roman" w:cs="Times New Roman"/>
          <w:color w:val="000000"/>
        </w:rPr>
        <w:t xml:space="preserve"> </w:t>
      </w:r>
    </w:p>
    <w:p w14:paraId="17EE42F6" w14:textId="3E4D0CDB" w:rsidR="00A64860" w:rsidRDefault="00C42495" w:rsidP="00322AAD">
      <w:pPr>
        <w:pStyle w:val="Heading1"/>
      </w:pPr>
      <w:r w:rsidRPr="00A64860">
        <w:t>DISPOSITION</w:t>
      </w:r>
    </w:p>
    <w:p w14:paraId="7FA6C5CC" w14:textId="28D2E947" w:rsidR="00322AAD" w:rsidRDefault="00C42495" w:rsidP="00322AAD">
      <w:r>
        <w:t xml:space="preserve">The order </w:t>
      </w:r>
      <w:r w:rsidR="00896B54">
        <w:t xml:space="preserve">dismissing Beaudreaux’s second petition for section 1172.6 relief </w:t>
      </w:r>
      <w:r>
        <w:t xml:space="preserve">is </w:t>
      </w:r>
      <w:r w:rsidR="004228AD">
        <w:t xml:space="preserve">affirmed.  </w:t>
      </w:r>
    </w:p>
    <w:p w14:paraId="16D13973" w14:textId="3E160A76" w:rsidR="00EE220A" w:rsidRDefault="00C42495" w:rsidP="00CE7356">
      <w:pPr>
        <w:tabs>
          <w:tab w:val="left" w:pos="6120"/>
        </w:tabs>
        <w:spacing w:before="240" w:line="240" w:lineRule="auto"/>
      </w:pPr>
      <w:r>
        <w:tab/>
        <w:t xml:space="preserve">STREETER, J. </w:t>
      </w:r>
    </w:p>
    <w:p w14:paraId="7395A4C6" w14:textId="77777777" w:rsidR="00EE220A" w:rsidRDefault="00C42495" w:rsidP="000B55FE">
      <w:pPr>
        <w:tabs>
          <w:tab w:val="left" w:pos="1620"/>
        </w:tabs>
        <w:spacing w:before="240" w:after="240" w:line="240" w:lineRule="auto"/>
        <w:ind w:firstLine="0"/>
      </w:pPr>
      <w:r>
        <w:t>WE CONCUR:</w:t>
      </w:r>
    </w:p>
    <w:p w14:paraId="4EDF4261" w14:textId="712B4AB7" w:rsidR="00EE220A" w:rsidRDefault="00C42495" w:rsidP="000B55FE">
      <w:pPr>
        <w:tabs>
          <w:tab w:val="left" w:pos="1620"/>
        </w:tabs>
        <w:spacing w:line="240" w:lineRule="auto"/>
        <w:ind w:firstLine="0"/>
      </w:pPr>
      <w:r>
        <w:t>BROWN,</w:t>
      </w:r>
      <w:r w:rsidR="00EB4EB8">
        <w:t xml:space="preserve"> P. </w:t>
      </w:r>
      <w:r>
        <w:t>J.</w:t>
      </w:r>
    </w:p>
    <w:p w14:paraId="66026637" w14:textId="77777777" w:rsidR="00EE220A" w:rsidRDefault="00C42495" w:rsidP="000B55FE">
      <w:pPr>
        <w:tabs>
          <w:tab w:val="left" w:pos="1620"/>
        </w:tabs>
        <w:spacing w:line="240" w:lineRule="auto"/>
        <w:ind w:firstLine="0"/>
      </w:pPr>
      <w:r>
        <w:t>GOLDMAN, J.</w:t>
      </w:r>
    </w:p>
    <w:p w14:paraId="7F803BA0" w14:textId="77777777" w:rsidR="00EB4EB8" w:rsidRDefault="00EB4EB8" w:rsidP="00885014">
      <w:pPr>
        <w:ind w:firstLine="0"/>
        <w:rPr>
          <w:rFonts w:cs="Times New Roman"/>
        </w:rPr>
        <w:sectPr w:rsidR="00EB4EB8" w:rsidSect="00E630EA">
          <w:pgSz w:w="12240" w:h="15840"/>
          <w:pgMar w:top="1440" w:right="1440" w:bottom="1440" w:left="1440" w:header="720" w:footer="720" w:gutter="0"/>
          <w:pgNumType w:start="1"/>
          <w:cols w:space="720"/>
          <w:docGrid w:linePitch="360"/>
        </w:sectPr>
      </w:pPr>
    </w:p>
    <w:p w14:paraId="528543ED" w14:textId="77777777" w:rsidR="006C3642" w:rsidRDefault="00C42495" w:rsidP="006C3642">
      <w:pPr>
        <w:spacing w:after="240"/>
        <w:ind w:left="2340" w:hanging="2340"/>
      </w:pPr>
      <w:r>
        <w:lastRenderedPageBreak/>
        <w:t xml:space="preserve">Trial Court:   </w:t>
      </w:r>
      <w:r w:rsidRPr="0092401B">
        <w:t xml:space="preserve">Superior Court of California, County of </w:t>
      </w:r>
      <w:r>
        <w:t>Alameda</w:t>
      </w:r>
    </w:p>
    <w:p w14:paraId="5D8BC006" w14:textId="77777777" w:rsidR="006C3642" w:rsidRDefault="00C42495" w:rsidP="006C3642">
      <w:pPr>
        <w:spacing w:after="240"/>
        <w:ind w:left="2340" w:hanging="2340"/>
      </w:pPr>
      <w:r>
        <w:t>Trial Judge:  Hon. Morris D. Jacobson</w:t>
      </w:r>
    </w:p>
    <w:p w14:paraId="555299B8" w14:textId="77777777" w:rsidR="006C3642" w:rsidRDefault="00C42495" w:rsidP="006C3642">
      <w:pPr>
        <w:spacing w:line="240" w:lineRule="auto"/>
        <w:ind w:left="1987" w:hanging="1987"/>
      </w:pPr>
      <w:r>
        <w:t xml:space="preserve">Counsel:        Janet J. Gray, under appointment by the Court of Appeal, for </w:t>
      </w:r>
      <w:r w:rsidRPr="00571DB6">
        <w:t>Defendant and Appellant.</w:t>
      </w:r>
      <w:r>
        <w:t xml:space="preserve"> </w:t>
      </w:r>
    </w:p>
    <w:p w14:paraId="5CE00521" w14:textId="77777777" w:rsidR="006C3642" w:rsidRDefault="006C3642" w:rsidP="006C3642">
      <w:pPr>
        <w:ind w:firstLine="0"/>
      </w:pPr>
    </w:p>
    <w:p w14:paraId="1931A24D" w14:textId="77777777" w:rsidR="006C3642" w:rsidRDefault="00C42495" w:rsidP="006C3642">
      <w:pPr>
        <w:spacing w:line="240" w:lineRule="auto"/>
        <w:ind w:left="1980" w:hanging="1980"/>
      </w:pPr>
      <w:r>
        <w:t xml:space="preserve">                       Rob Bonta, Attorney General, Lance E. Winters, Chief Assistant Attorney General, Jeffrey M. Laurence, Senior Assistant Attorney General, Bridget Billeter, Supervising Deputy Attorney General, and Masha A. Dabiza, Deputy Attorney General, for </w:t>
      </w:r>
      <w:r w:rsidRPr="001D1B01">
        <w:t>Plaintiff</w:t>
      </w:r>
      <w:r>
        <w:t xml:space="preserve"> and Respondent.</w:t>
      </w:r>
    </w:p>
    <w:p w14:paraId="75389661" w14:textId="31AA2163" w:rsidR="00A64860" w:rsidRDefault="00A64860" w:rsidP="00885014">
      <w:pPr>
        <w:ind w:firstLine="0"/>
        <w:rPr>
          <w:rFonts w:cs="Times New Roman"/>
        </w:rPr>
      </w:pPr>
    </w:p>
    <w:p w14:paraId="6A6E15CA" w14:textId="2D70CF6B" w:rsidR="00BF5A6E" w:rsidRDefault="00BF5A6E">
      <w:pPr>
        <w:ind w:firstLine="0"/>
        <w:rPr>
          <w:rFonts w:cs="Times New Roman"/>
        </w:rPr>
      </w:pPr>
    </w:p>
    <w:sectPr w:rsidR="00BF5A6E" w:rsidSect="007535D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C5599" w14:textId="77777777" w:rsidR="00C42495" w:rsidRDefault="00C42495">
      <w:pPr>
        <w:spacing w:line="240" w:lineRule="auto"/>
      </w:pPr>
      <w:r>
        <w:separator/>
      </w:r>
    </w:p>
  </w:endnote>
  <w:endnote w:type="continuationSeparator" w:id="0">
    <w:p w14:paraId="102829B2" w14:textId="77777777" w:rsidR="00C42495" w:rsidRDefault="00C4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enturySchoolbook">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5367498"/>
      <w:docPartObj>
        <w:docPartGallery w:val="Page Numbers (Bottom of Page)"/>
        <w:docPartUnique/>
      </w:docPartObj>
    </w:sdtPr>
    <w:sdtEndPr>
      <w:rPr>
        <w:noProof/>
      </w:rPr>
    </w:sdtEndPr>
    <w:sdtContent>
      <w:p w14:paraId="13422EF0" w14:textId="77777777" w:rsidR="00E630EA" w:rsidRDefault="00E630EA"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8D996" w14:textId="77777777" w:rsidR="00E630EA" w:rsidRPr="00BA35BA" w:rsidRDefault="00E630EA" w:rsidP="00BA35BA">
    <w:pPr>
      <w:pStyle w:val="Footer"/>
      <w:ind w:firstLine="0"/>
      <w:rPr>
        <w:sz w:val="20"/>
        <w:szCs w:val="20"/>
      </w:rPr>
    </w:pPr>
    <w:r w:rsidRPr="00BA35BA">
      <w:rPr>
        <w:i/>
        <w:iCs/>
        <w:sz w:val="20"/>
        <w:szCs w:val="20"/>
      </w:rPr>
      <w:t>People v. Beaudreaux</w:t>
    </w:r>
    <w:r w:rsidRPr="00BA35BA">
      <w:rPr>
        <w:sz w:val="20"/>
        <w:szCs w:val="20"/>
      </w:rPr>
      <w:t xml:space="preserve"> – A166001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FD995" w14:textId="77777777" w:rsidR="00C42495" w:rsidRDefault="00C424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891619"/>
      <w:docPartObj>
        <w:docPartGallery w:val="Page Numbers (Bottom of Page)"/>
        <w:docPartUnique/>
      </w:docPartObj>
    </w:sdtPr>
    <w:sdtEndPr>
      <w:rPr>
        <w:noProof/>
      </w:rPr>
    </w:sdtEndPr>
    <w:sdtContent>
      <w:p w14:paraId="61691297" w14:textId="77777777" w:rsidR="00BE6C7D" w:rsidRDefault="00C42495" w:rsidP="00E2772A">
        <w:pPr>
          <w:pStyle w:val="Footer"/>
          <w:tabs>
            <w:tab w:val="clear" w:pos="720"/>
          </w:tabs>
          <w:ind w:firstLine="0"/>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3AEA9" w14:textId="2391A978" w:rsidR="00EB4EB8" w:rsidRPr="006C0321" w:rsidRDefault="00C42495" w:rsidP="006C0321">
    <w:pPr>
      <w:pStyle w:val="Footer"/>
      <w:ind w:firstLine="0"/>
      <w:rPr>
        <w:sz w:val="20"/>
        <w:szCs w:val="20"/>
      </w:rPr>
    </w:pPr>
    <w:r w:rsidRPr="006C0321">
      <w:rPr>
        <w:i/>
        <w:iCs/>
        <w:sz w:val="20"/>
        <w:szCs w:val="20"/>
      </w:rPr>
      <w:t>People v. Beaudreaux</w:t>
    </w:r>
    <w:r w:rsidRPr="006C0321">
      <w:rPr>
        <w:sz w:val="20"/>
        <w:szCs w:val="20"/>
      </w:rPr>
      <w:t xml:space="preserve"> – A166001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322B0" w14:textId="77777777" w:rsidR="007535D4" w:rsidRDefault="00C42495" w:rsidP="003B2BC2">
      <w:pPr>
        <w:spacing w:line="240" w:lineRule="auto"/>
        <w:ind w:firstLine="0"/>
      </w:pPr>
      <w:r>
        <w:separator/>
      </w:r>
    </w:p>
  </w:footnote>
  <w:footnote w:type="continuationSeparator" w:id="0">
    <w:p w14:paraId="62790BFF" w14:textId="77777777" w:rsidR="007535D4" w:rsidRDefault="00C42495" w:rsidP="003B2BC2">
      <w:pPr>
        <w:spacing w:line="240" w:lineRule="auto"/>
        <w:ind w:firstLine="0"/>
      </w:pPr>
      <w:r>
        <w:continuationSeparator/>
      </w:r>
    </w:p>
  </w:footnote>
  <w:footnote w:type="continuationNotice" w:id="1">
    <w:p w14:paraId="791414DD" w14:textId="77777777" w:rsidR="007535D4" w:rsidRDefault="007535D4">
      <w:pPr>
        <w:spacing w:line="240" w:lineRule="auto"/>
      </w:pPr>
    </w:p>
  </w:footnote>
  <w:footnote w:id="2">
    <w:p w14:paraId="7A3C6E5D" w14:textId="77777777" w:rsidR="00E630EA" w:rsidRPr="00995332" w:rsidRDefault="00E630EA" w:rsidP="00E630EA">
      <w:pPr>
        <w:shd w:val="clear" w:color="auto" w:fill="FFFFFF"/>
        <w:spacing w:line="320" w:lineRule="atLeast"/>
        <w:rPr>
          <w:rFonts w:eastAsia="Times New Roman" w:cs="Arial"/>
        </w:rPr>
      </w:pPr>
      <w:r>
        <w:rPr>
          <w:rStyle w:val="FootnoteReference"/>
        </w:rPr>
        <w:footnoteRef/>
      </w:r>
      <w:r>
        <w:t xml:space="preserve"> </w:t>
      </w:r>
      <w:r w:rsidRPr="00995332">
        <w:t xml:space="preserve">Undesignated statutory references are to the Penal Code.  Originally numbered section 1170.95 when enacted in 2018 as Senate Bill </w:t>
      </w:r>
      <w:r>
        <w:t>No. </w:t>
      </w:r>
      <w:r w:rsidRPr="00995332">
        <w:t>1437</w:t>
      </w:r>
      <w:r w:rsidRPr="00995332">
        <w:rPr>
          <w:rFonts w:cs="Arial"/>
        </w:rPr>
        <w:t xml:space="preserve"> </w:t>
      </w:r>
      <w:r w:rsidRPr="00995332">
        <w:rPr>
          <w:rFonts w:cs="Arial"/>
          <w:shd w:val="clear" w:color="auto" w:fill="FFFFFF"/>
        </w:rPr>
        <w:t>(2017–2018 Reg. Sess.) (Stats. 2018, ch.</w:t>
      </w:r>
      <w:r>
        <w:rPr>
          <w:rFonts w:cs="Arial"/>
          <w:shd w:val="clear" w:color="auto" w:fill="FFFFFF"/>
        </w:rPr>
        <w:t> </w:t>
      </w:r>
      <w:r w:rsidRPr="00995332">
        <w:rPr>
          <w:rFonts w:cs="Arial"/>
          <w:shd w:val="clear" w:color="auto" w:fill="FFFFFF"/>
        </w:rPr>
        <w:t>1015</w:t>
      </w:r>
      <w:r>
        <w:rPr>
          <w:rFonts w:cs="Arial"/>
          <w:shd w:val="clear" w:color="auto" w:fill="FFFFFF"/>
        </w:rPr>
        <w:t>, § 4</w:t>
      </w:r>
      <w:r w:rsidRPr="00995332">
        <w:rPr>
          <w:rFonts w:eastAsia="Times New Roman" w:cs="Arial"/>
        </w:rPr>
        <w:t>)</w:t>
      </w:r>
      <w:r>
        <w:rPr>
          <w:rFonts w:eastAsia="Times New Roman" w:cs="Arial"/>
        </w:rPr>
        <w:t xml:space="preserve"> </w:t>
      </w:r>
      <w:r>
        <w:rPr>
          <w:rFonts w:cs="Arial"/>
          <w:shd w:val="clear" w:color="auto" w:fill="FFFFFF"/>
        </w:rPr>
        <w:t>(Senate Bill 1437)</w:t>
      </w:r>
      <w:r w:rsidRPr="00995332">
        <w:rPr>
          <w:rFonts w:eastAsia="Times New Roman" w:cs="Arial"/>
        </w:rPr>
        <w:t xml:space="preserve">, </w:t>
      </w:r>
      <w:r>
        <w:rPr>
          <w:rFonts w:eastAsia="Times New Roman" w:cs="Arial"/>
        </w:rPr>
        <w:t xml:space="preserve">the statute </w:t>
      </w:r>
      <w:r w:rsidRPr="00995332">
        <w:t xml:space="preserve">was renumbered </w:t>
      </w:r>
      <w:r>
        <w:t xml:space="preserve">to </w:t>
      </w:r>
      <w:r w:rsidRPr="00995332">
        <w:t>section 1172.6 effective June 30, 2022 (Stats. 2022, ch.</w:t>
      </w:r>
      <w:r>
        <w:t> </w:t>
      </w:r>
      <w:r w:rsidRPr="00995332">
        <w:t>58, §</w:t>
      </w:r>
      <w:r>
        <w:t> </w:t>
      </w:r>
      <w:r w:rsidRPr="00995332">
        <w:t xml:space="preserve">10).  Because this statutory change does not </w:t>
      </w:r>
      <w:r w:rsidRPr="00995332">
        <w:rPr>
          <w:rFonts w:eastAsia="Times New Roman" w:cs="Arial"/>
        </w:rPr>
        <w:t>affect our consideration of the issues raised in this appeal, we refer to the statute as section 1172.6 throughout the rest of this opinion</w:t>
      </w:r>
      <w:r>
        <w:rPr>
          <w:rFonts w:eastAsia="Times New Roman" w:cs="Arial"/>
        </w:rPr>
        <w:t xml:space="preserve"> even though it was referenced in the proceedings below by its former enumeration.</w:t>
      </w:r>
      <w:r w:rsidRPr="00995332">
        <w:rPr>
          <w:rFonts w:eastAsia="Times New Roman" w:cs="Arial"/>
        </w:rPr>
        <w:t xml:space="preserve">  </w:t>
      </w:r>
    </w:p>
    <w:p w14:paraId="7B62D8B9" w14:textId="77777777" w:rsidR="00E630EA" w:rsidRDefault="00E630EA" w:rsidP="00E630EA">
      <w:pPr>
        <w:pStyle w:val="FootnoteText"/>
      </w:pPr>
    </w:p>
  </w:footnote>
  <w:footnote w:id="3">
    <w:p w14:paraId="1A2123A0" w14:textId="77777777" w:rsidR="00E630EA" w:rsidRPr="009F69A3" w:rsidRDefault="00E630EA" w:rsidP="00E630EA">
      <w:pPr>
        <w:pStyle w:val="FootnoteText"/>
      </w:pPr>
      <w:r>
        <w:rPr>
          <w:rStyle w:val="FootnoteReference"/>
        </w:rPr>
        <w:footnoteRef/>
      </w:r>
      <w:r>
        <w:t xml:space="preserve"> The appellate record in this case also contains (1) the 2020 appellate court opinion, which, as further explained below, we may consider for procedural history only, and (2) a probation department report, which we cannot consider because, “[o]rdinarily, a probation officer’s report is not a part of the record of conviction.”  (</w:t>
      </w:r>
      <w:r>
        <w:rPr>
          <w:i/>
          <w:iCs/>
        </w:rPr>
        <w:t xml:space="preserve">People v. Del Rio </w:t>
      </w:r>
      <w:r>
        <w:t xml:space="preserve">(2023) 94 Cal.App.5th 47, 56, following </w:t>
      </w:r>
      <w:r>
        <w:rPr>
          <w:i/>
          <w:iCs/>
        </w:rPr>
        <w:t xml:space="preserve">People v. Burnes </w:t>
      </w:r>
      <w:r>
        <w:t xml:space="preserve">(2015) 242 Cal.App.4th 1452, 1458; accord, </w:t>
      </w:r>
      <w:r>
        <w:rPr>
          <w:i/>
          <w:iCs/>
        </w:rPr>
        <w:t xml:space="preserve">People v. Soto </w:t>
      </w:r>
      <w:r>
        <w:t>(2018) 23 Cal.App.5th 813, 816, fn. 2.)</w:t>
      </w:r>
    </w:p>
  </w:footnote>
  <w:footnote w:id="4">
    <w:p w14:paraId="49D923DA" w14:textId="68937F1A" w:rsidR="00FA48DA" w:rsidRPr="00995332" w:rsidRDefault="00C42495" w:rsidP="00FA48DA">
      <w:pPr>
        <w:shd w:val="clear" w:color="auto" w:fill="FFFFFF"/>
        <w:spacing w:line="320" w:lineRule="atLeast"/>
        <w:rPr>
          <w:rFonts w:eastAsia="Times New Roman" w:cs="Arial"/>
        </w:rPr>
      </w:pPr>
      <w:r>
        <w:rPr>
          <w:rStyle w:val="FootnoteReference"/>
        </w:rPr>
        <w:footnoteRef/>
      </w:r>
      <w:r>
        <w:t xml:space="preserve"> </w:t>
      </w:r>
      <w:r w:rsidRPr="00995332">
        <w:t xml:space="preserve">Undesignated statutory references are to the Penal Code.  Originally numbered section 1170.95 when enacted in 2018 as Senate Bill </w:t>
      </w:r>
      <w:r w:rsidR="00DE241B">
        <w:t>No. </w:t>
      </w:r>
      <w:r w:rsidRPr="00995332">
        <w:t>1437</w:t>
      </w:r>
      <w:r w:rsidRPr="00995332">
        <w:rPr>
          <w:rFonts w:cs="Arial"/>
        </w:rPr>
        <w:t xml:space="preserve"> </w:t>
      </w:r>
      <w:r w:rsidRPr="00995332">
        <w:rPr>
          <w:rFonts w:cs="Arial"/>
          <w:shd w:val="clear" w:color="auto" w:fill="FFFFFF"/>
        </w:rPr>
        <w:t>(2017–2018 Reg. Sess.) (Stats. 2018, ch.</w:t>
      </w:r>
      <w:r w:rsidR="00C96748">
        <w:rPr>
          <w:rFonts w:cs="Arial"/>
          <w:shd w:val="clear" w:color="auto" w:fill="FFFFFF"/>
        </w:rPr>
        <w:t> </w:t>
      </w:r>
      <w:r w:rsidRPr="00995332">
        <w:rPr>
          <w:rFonts w:cs="Arial"/>
          <w:shd w:val="clear" w:color="auto" w:fill="FFFFFF"/>
        </w:rPr>
        <w:t>1015</w:t>
      </w:r>
      <w:r>
        <w:rPr>
          <w:rFonts w:cs="Arial"/>
          <w:shd w:val="clear" w:color="auto" w:fill="FFFFFF"/>
        </w:rPr>
        <w:t>, §</w:t>
      </w:r>
      <w:r w:rsidR="00C96748">
        <w:rPr>
          <w:rFonts w:cs="Arial"/>
          <w:shd w:val="clear" w:color="auto" w:fill="FFFFFF"/>
        </w:rPr>
        <w:t> </w:t>
      </w:r>
      <w:r>
        <w:rPr>
          <w:rFonts w:cs="Arial"/>
          <w:shd w:val="clear" w:color="auto" w:fill="FFFFFF"/>
        </w:rPr>
        <w:t>4</w:t>
      </w:r>
      <w:r w:rsidRPr="00995332">
        <w:rPr>
          <w:rFonts w:eastAsia="Times New Roman" w:cs="Arial"/>
        </w:rPr>
        <w:t>)</w:t>
      </w:r>
      <w:r w:rsidR="00307E36">
        <w:rPr>
          <w:rFonts w:eastAsia="Times New Roman" w:cs="Arial"/>
        </w:rPr>
        <w:t xml:space="preserve"> </w:t>
      </w:r>
      <w:r w:rsidR="00307E36">
        <w:rPr>
          <w:rFonts w:cs="Arial"/>
          <w:shd w:val="clear" w:color="auto" w:fill="FFFFFF"/>
        </w:rPr>
        <w:t>(Senate Bill 1437)</w:t>
      </w:r>
      <w:r w:rsidRPr="00995332">
        <w:rPr>
          <w:rFonts w:eastAsia="Times New Roman" w:cs="Arial"/>
        </w:rPr>
        <w:t xml:space="preserve">, </w:t>
      </w:r>
      <w:r>
        <w:rPr>
          <w:rFonts w:eastAsia="Times New Roman" w:cs="Arial"/>
        </w:rPr>
        <w:t xml:space="preserve">the statute </w:t>
      </w:r>
      <w:r w:rsidRPr="00995332">
        <w:t xml:space="preserve">was renumbered </w:t>
      </w:r>
      <w:r>
        <w:t xml:space="preserve">to </w:t>
      </w:r>
      <w:r w:rsidRPr="00995332">
        <w:t>section 1172.6 effective June 30, 2022 (Stats. 2022, ch.</w:t>
      </w:r>
      <w:r w:rsidR="00C96748">
        <w:t> </w:t>
      </w:r>
      <w:r w:rsidRPr="00995332">
        <w:t>58, §</w:t>
      </w:r>
      <w:r w:rsidR="00C96748">
        <w:t> </w:t>
      </w:r>
      <w:r w:rsidRPr="00995332">
        <w:t xml:space="preserve">10).  Because this statutory change does not </w:t>
      </w:r>
      <w:r w:rsidRPr="00995332">
        <w:rPr>
          <w:rFonts w:eastAsia="Times New Roman" w:cs="Arial"/>
        </w:rPr>
        <w:t>affect our consideration of the issues raised in this appeal, we refer to the statute as section 1172.6 throughout the rest of this opinion</w:t>
      </w:r>
      <w:r>
        <w:rPr>
          <w:rFonts w:eastAsia="Times New Roman" w:cs="Arial"/>
        </w:rPr>
        <w:t xml:space="preserve"> even though it was referenced in the proceedings below by its former enumeration.</w:t>
      </w:r>
      <w:r w:rsidRPr="00995332">
        <w:rPr>
          <w:rFonts w:eastAsia="Times New Roman" w:cs="Arial"/>
        </w:rPr>
        <w:t xml:space="preserve">  </w:t>
      </w:r>
    </w:p>
    <w:p w14:paraId="2A413584" w14:textId="77777777" w:rsidR="00FA48DA" w:rsidRDefault="00FA48DA" w:rsidP="00FA48DA">
      <w:pPr>
        <w:pStyle w:val="FootnoteText"/>
      </w:pPr>
    </w:p>
  </w:footnote>
  <w:footnote w:id="5">
    <w:p w14:paraId="675B8DFD" w14:textId="4534B704" w:rsidR="00D1016A" w:rsidRPr="009F69A3" w:rsidRDefault="00C42495">
      <w:pPr>
        <w:pStyle w:val="FootnoteText"/>
      </w:pPr>
      <w:r>
        <w:rPr>
          <w:rStyle w:val="FootnoteReference"/>
        </w:rPr>
        <w:footnoteRef/>
      </w:r>
      <w:r>
        <w:t xml:space="preserve"> The </w:t>
      </w:r>
      <w:r w:rsidR="008C0950">
        <w:t>appellate record</w:t>
      </w:r>
      <w:r>
        <w:t xml:space="preserve"> </w:t>
      </w:r>
      <w:r w:rsidR="008C0950">
        <w:t xml:space="preserve">in this case </w:t>
      </w:r>
      <w:r>
        <w:t>also contain</w:t>
      </w:r>
      <w:r w:rsidR="001D4F56">
        <w:t>s (1)</w:t>
      </w:r>
      <w:r w:rsidR="00731C37">
        <w:t> </w:t>
      </w:r>
      <w:r w:rsidR="001D4F56">
        <w:t>the 20</w:t>
      </w:r>
      <w:r w:rsidR="00EA521D">
        <w:t>20</w:t>
      </w:r>
      <w:r w:rsidR="001D4F56">
        <w:t xml:space="preserve"> appellate court opinion</w:t>
      </w:r>
      <w:r w:rsidR="008602AC">
        <w:t>,</w:t>
      </w:r>
      <w:r w:rsidR="001D4F56">
        <w:t xml:space="preserve"> which, as </w:t>
      </w:r>
      <w:r w:rsidR="004D5071">
        <w:t>further explained below</w:t>
      </w:r>
      <w:r w:rsidR="001D4F56">
        <w:t xml:space="preserve">, we </w:t>
      </w:r>
      <w:r w:rsidR="00531033">
        <w:t xml:space="preserve">may consider for procedural history </w:t>
      </w:r>
      <w:r w:rsidR="00660BD6">
        <w:t>only</w:t>
      </w:r>
      <w:r w:rsidR="00F053DA">
        <w:t>,</w:t>
      </w:r>
      <w:r w:rsidR="001D4F56">
        <w:t xml:space="preserve"> and (2)</w:t>
      </w:r>
      <w:r w:rsidR="00DD211C">
        <w:t> </w:t>
      </w:r>
      <w:r>
        <w:t>a probation department report</w:t>
      </w:r>
      <w:r w:rsidR="008C0950">
        <w:t>,</w:t>
      </w:r>
      <w:r w:rsidR="001D4F56">
        <w:t xml:space="preserve"> which we cannot consider </w:t>
      </w:r>
      <w:r>
        <w:t>because</w:t>
      </w:r>
      <w:r w:rsidR="009F69A3">
        <w:t>, “[o]rdinarily,</w:t>
      </w:r>
      <w:r>
        <w:t xml:space="preserve"> a probation</w:t>
      </w:r>
      <w:r w:rsidR="009F69A3">
        <w:t xml:space="preserve"> officer’s</w:t>
      </w:r>
      <w:r>
        <w:t xml:space="preserve"> report is not a part of </w:t>
      </w:r>
      <w:r w:rsidR="009F69A3">
        <w:t>the</w:t>
      </w:r>
      <w:r>
        <w:t xml:space="preserve"> record of conviction.</w:t>
      </w:r>
      <w:r w:rsidR="009F69A3">
        <w:t>”</w:t>
      </w:r>
      <w:r>
        <w:t xml:space="preserve">  (</w:t>
      </w:r>
      <w:r w:rsidR="009F69A3">
        <w:rPr>
          <w:i/>
          <w:iCs/>
        </w:rPr>
        <w:t xml:space="preserve">People v. Del Rio </w:t>
      </w:r>
      <w:r w:rsidR="009F69A3">
        <w:t>(</w:t>
      </w:r>
      <w:r w:rsidR="006A4E09">
        <w:t>2023)</w:t>
      </w:r>
      <w:r w:rsidR="009F69A3">
        <w:t xml:space="preserve"> 94</w:t>
      </w:r>
      <w:r w:rsidR="006C7499">
        <w:t> </w:t>
      </w:r>
      <w:r w:rsidR="009F69A3">
        <w:t xml:space="preserve">Cal.App.5th 47, 56, following </w:t>
      </w:r>
      <w:r w:rsidR="009F69A3">
        <w:rPr>
          <w:i/>
          <w:iCs/>
        </w:rPr>
        <w:t xml:space="preserve">People v. Burnes </w:t>
      </w:r>
      <w:r w:rsidR="009F69A3">
        <w:t>(2015) 242</w:t>
      </w:r>
      <w:r w:rsidR="00DD211C">
        <w:t> </w:t>
      </w:r>
      <w:r w:rsidR="009F69A3">
        <w:t xml:space="preserve">Cal.App.4th 1452, 1458; accord, </w:t>
      </w:r>
      <w:r w:rsidR="009F69A3">
        <w:rPr>
          <w:i/>
          <w:iCs/>
        </w:rPr>
        <w:t xml:space="preserve">People v. Soto </w:t>
      </w:r>
      <w:r w:rsidR="009F69A3">
        <w:t>(2018) 23</w:t>
      </w:r>
      <w:r w:rsidR="00F21590">
        <w:t> </w:t>
      </w:r>
      <w:r w:rsidR="009F69A3">
        <w:t>Cal.App.5th 813, 816, fn.</w:t>
      </w:r>
      <w:r w:rsidR="00F21590">
        <w:t> </w:t>
      </w:r>
      <w:r w:rsidR="009F69A3">
        <w:t>2.)</w:t>
      </w:r>
    </w:p>
  </w:footnote>
  <w:footnote w:id="6">
    <w:p w14:paraId="6E901C10" w14:textId="4F174D1A" w:rsidR="00875AC6" w:rsidRDefault="00C42495">
      <w:pPr>
        <w:pStyle w:val="FootnoteText"/>
      </w:pPr>
      <w:r>
        <w:rPr>
          <w:rStyle w:val="FootnoteReference"/>
        </w:rPr>
        <w:footnoteRef/>
      </w:r>
      <w:r>
        <w:t xml:space="preserve"> The court stayed its sentences for Beaudreaux’s attempted robbery conviction and the special allegation</w:t>
      </w:r>
      <w:r w:rsidR="00B578F2">
        <w:t xml:space="preserve"> that accompanied that count</w:t>
      </w:r>
      <w:r>
        <w:t xml:space="preserve">.  </w:t>
      </w:r>
    </w:p>
  </w:footnote>
  <w:footnote w:id="7">
    <w:p w14:paraId="75478690" w14:textId="6B73FFFD" w:rsidR="00812F5C" w:rsidRPr="00A165A0" w:rsidRDefault="00C42495" w:rsidP="00812F5C">
      <w:pPr>
        <w:shd w:val="clear" w:color="auto" w:fill="FFFFFF"/>
        <w:spacing w:line="320" w:lineRule="atLeast"/>
      </w:pPr>
      <w:r w:rsidRPr="00A165A0">
        <w:rPr>
          <w:rStyle w:val="FootnoteReference"/>
        </w:rPr>
        <w:footnoteRef/>
      </w:r>
      <w:r w:rsidRPr="00A165A0">
        <w:rPr>
          <w:rFonts w:eastAsia="Times New Roman" w:cs="Times New Roman"/>
          <w:color w:val="000000"/>
        </w:rPr>
        <w:t xml:space="preserve"> </w:t>
      </w:r>
      <w:r>
        <w:rPr>
          <w:rFonts w:eastAsia="Times New Roman" w:cs="Times New Roman"/>
          <w:color w:val="000000"/>
        </w:rPr>
        <w:t xml:space="preserve">Issue preclusion is one branch of the broader </w:t>
      </w:r>
      <w:r w:rsidR="00E27A0F">
        <w:rPr>
          <w:rFonts w:eastAsia="Times New Roman" w:cs="Times New Roman"/>
          <w:color w:val="000000"/>
        </w:rPr>
        <w:t xml:space="preserve">set of </w:t>
      </w:r>
      <w:r>
        <w:rPr>
          <w:rFonts w:eastAsia="Times New Roman" w:cs="Times New Roman"/>
          <w:color w:val="000000"/>
        </w:rPr>
        <w:t xml:space="preserve">preclusionary </w:t>
      </w:r>
      <w:r w:rsidR="00385B94">
        <w:rPr>
          <w:rFonts w:eastAsia="Times New Roman" w:cs="Times New Roman"/>
          <w:color w:val="000000"/>
        </w:rPr>
        <w:t>rules</w:t>
      </w:r>
      <w:r>
        <w:rPr>
          <w:rFonts w:eastAsia="Times New Roman" w:cs="Times New Roman"/>
          <w:color w:val="000000"/>
        </w:rPr>
        <w:t xml:space="preserve"> known as res judicata. </w:t>
      </w:r>
      <w:r w:rsidR="00886692">
        <w:rPr>
          <w:rFonts w:eastAsia="Times New Roman" w:cs="Times New Roman"/>
          <w:color w:val="000000"/>
        </w:rPr>
        <w:t xml:space="preserve"> (S</w:t>
      </w:r>
      <w:r w:rsidR="00886692" w:rsidRPr="006B7D95">
        <w:rPr>
          <w:rFonts w:eastAsia="Times New Roman" w:cs="Times New Roman"/>
          <w:color w:val="000000"/>
        </w:rPr>
        <w:t xml:space="preserve">ee </w:t>
      </w:r>
      <w:r w:rsidR="00886692" w:rsidRPr="006B7D95">
        <w:rPr>
          <w:rFonts w:eastAsia="Times New Roman" w:cs="Times New Roman"/>
          <w:i/>
          <w:iCs/>
          <w:bdr w:val="none" w:sz="0" w:space="0" w:color="auto" w:frame="1"/>
        </w:rPr>
        <w:t>DKN Holdings LLC v. Faerber</w:t>
      </w:r>
      <w:r w:rsidR="00886692" w:rsidRPr="006B7D95">
        <w:rPr>
          <w:rFonts w:eastAsia="Times New Roman" w:cs="Times New Roman"/>
        </w:rPr>
        <w:t xml:space="preserve"> (2015) 61</w:t>
      </w:r>
      <w:r w:rsidR="001A1137">
        <w:rPr>
          <w:rFonts w:eastAsia="Times New Roman" w:cs="Times New Roman"/>
        </w:rPr>
        <w:t> </w:t>
      </w:r>
      <w:r w:rsidR="00886692" w:rsidRPr="006B7D95">
        <w:rPr>
          <w:rFonts w:eastAsia="Times New Roman" w:cs="Times New Roman"/>
        </w:rPr>
        <w:t xml:space="preserve">Cal.4th 813, 823–824.) </w:t>
      </w:r>
      <w:r>
        <w:rPr>
          <w:rFonts w:eastAsia="Times New Roman" w:cs="Times New Roman"/>
          <w:color w:val="000000"/>
        </w:rPr>
        <w:t xml:space="preserve"> “</w:t>
      </w:r>
      <w:r w:rsidRPr="00A165A0">
        <w:rPr>
          <w:rFonts w:eastAsia="Times New Roman" w:cs="Times New Roman"/>
          <w:color w:val="000000"/>
        </w:rPr>
        <w:t xml:space="preserve">Although the doctrine </w:t>
      </w:r>
      <w:r>
        <w:rPr>
          <w:rFonts w:eastAsia="Times New Roman" w:cs="Times New Roman"/>
          <w:color w:val="000000"/>
        </w:rPr>
        <w:t xml:space="preserve">[of res judicata] </w:t>
      </w:r>
      <w:r w:rsidRPr="00A165A0">
        <w:rPr>
          <w:rFonts w:eastAsia="Times New Roman" w:cs="Times New Roman"/>
          <w:color w:val="000000"/>
        </w:rPr>
        <w:t>has ancient roots [citation], its contours and associated terminology have evolved over time.</w:t>
      </w:r>
      <w:r>
        <w:rPr>
          <w:rFonts w:eastAsia="Times New Roman" w:cs="Times New Roman"/>
          <w:color w:val="000000"/>
        </w:rPr>
        <w:t xml:space="preserve"> </w:t>
      </w:r>
      <w:r w:rsidRPr="00A165A0">
        <w:rPr>
          <w:rFonts w:eastAsia="Times New Roman" w:cs="Times New Roman"/>
          <w:color w:val="000000"/>
        </w:rPr>
        <w:t xml:space="preserve"> We now refer to ‘claim preclusion’ rather than ‘res judicata’ [citation], </w:t>
      </w:r>
      <w:r w:rsidRPr="006B7D95">
        <w:rPr>
          <w:rFonts w:eastAsia="Times New Roman" w:cs="Times New Roman"/>
          <w:color w:val="000000"/>
        </w:rPr>
        <w:t>and use ‘issue preclusion’ in place of ‘direct or collateral estoppel</w:t>
      </w:r>
      <w:r w:rsidR="00091930">
        <w:rPr>
          <w:rFonts w:eastAsia="Times New Roman" w:cs="Times New Roman"/>
          <w:color w:val="000000"/>
        </w:rPr>
        <w:t>.</w:t>
      </w:r>
      <w:r w:rsidRPr="006B7D95">
        <w:rPr>
          <w:rFonts w:eastAsia="Times New Roman" w:cs="Times New Roman"/>
          <w:color w:val="000000"/>
        </w:rPr>
        <w:t>’</w:t>
      </w:r>
      <w:r w:rsidR="00606F5C">
        <w:rPr>
          <w:rFonts w:eastAsia="Times New Roman" w:cs="Times New Roman"/>
          <w:color w:val="000000"/>
        </w:rPr>
        <w:t> </w:t>
      </w:r>
      <w:r w:rsidRPr="006B7D95">
        <w:rPr>
          <w:rFonts w:eastAsia="Times New Roman" w:cs="Times New Roman"/>
          <w:color w:val="000000"/>
        </w:rPr>
        <w:t xml:space="preserve">” </w:t>
      </w:r>
      <w:r w:rsidR="00505CC0">
        <w:rPr>
          <w:rFonts w:eastAsia="Times New Roman" w:cs="Times New Roman"/>
          <w:color w:val="000000"/>
        </w:rPr>
        <w:t xml:space="preserve"> </w:t>
      </w:r>
      <w:r w:rsidRPr="006B7D95">
        <w:rPr>
          <w:rFonts w:eastAsia="Times New Roman" w:cs="Times New Roman"/>
          <w:color w:val="000000"/>
        </w:rPr>
        <w:t>(</w:t>
      </w:r>
      <w:r w:rsidRPr="006B7D95">
        <w:rPr>
          <w:rFonts w:eastAsia="Times New Roman" w:cs="Times New Roman"/>
          <w:i/>
          <w:iCs/>
          <w:color w:val="3D3D3D"/>
          <w:bdr w:val="none" w:sz="0" w:space="0" w:color="auto" w:frame="1"/>
        </w:rPr>
        <w:t>Samara v. Matar</w:t>
      </w:r>
      <w:r w:rsidRPr="006B7D95">
        <w:rPr>
          <w:rFonts w:eastAsia="Times New Roman" w:cs="Times New Roman"/>
          <w:color w:val="000000"/>
        </w:rPr>
        <w:t xml:space="preserve"> (2018) 5</w:t>
      </w:r>
      <w:r w:rsidR="00606F5C">
        <w:rPr>
          <w:rFonts w:eastAsia="Times New Roman" w:cs="Times New Roman"/>
          <w:color w:val="000000"/>
        </w:rPr>
        <w:t> </w:t>
      </w:r>
      <w:r w:rsidRPr="006B7D95">
        <w:rPr>
          <w:rFonts w:eastAsia="Times New Roman" w:cs="Times New Roman"/>
          <w:color w:val="000000"/>
        </w:rPr>
        <w:t>Cal.5th 322, 326</w:t>
      </w:r>
      <w:r w:rsidR="00886692">
        <w:rPr>
          <w:rFonts w:eastAsia="Times New Roman" w:cs="Times New Roman"/>
          <w:color w:val="000000"/>
        </w:rPr>
        <w:t xml:space="preserve">.) </w:t>
      </w:r>
      <w:r w:rsidRPr="006B7D95">
        <w:rPr>
          <w:rFonts w:eastAsia="Times New Roman" w:cs="Times New Roman"/>
        </w:rPr>
        <w:t xml:space="preserve"> Both claim preclusion and issue preclusion must be distinguished from the </w:t>
      </w:r>
      <w:r>
        <w:rPr>
          <w:rFonts w:eastAsia="Times New Roman" w:cs="Times New Roman"/>
        </w:rPr>
        <w:t xml:space="preserve">related </w:t>
      </w:r>
      <w:r w:rsidRPr="006B7D95">
        <w:rPr>
          <w:rFonts w:eastAsia="Times New Roman" w:cs="Times New Roman"/>
        </w:rPr>
        <w:t>doctrine of law</w:t>
      </w:r>
      <w:r w:rsidR="0014604D">
        <w:rPr>
          <w:rFonts w:eastAsia="Times New Roman" w:cs="Times New Roman"/>
        </w:rPr>
        <w:t xml:space="preserve"> </w:t>
      </w:r>
      <w:r w:rsidRPr="006B7D95">
        <w:rPr>
          <w:rFonts w:eastAsia="Times New Roman" w:cs="Times New Roman"/>
        </w:rPr>
        <w:t>of</w:t>
      </w:r>
      <w:r w:rsidR="0014604D">
        <w:rPr>
          <w:rFonts w:eastAsia="Times New Roman" w:cs="Times New Roman"/>
        </w:rPr>
        <w:t xml:space="preserve"> </w:t>
      </w:r>
      <w:r w:rsidRPr="006B7D95">
        <w:rPr>
          <w:rFonts w:eastAsia="Times New Roman" w:cs="Times New Roman"/>
        </w:rPr>
        <w:t>the</w:t>
      </w:r>
      <w:r w:rsidR="0014604D">
        <w:rPr>
          <w:rFonts w:eastAsia="Times New Roman" w:cs="Times New Roman"/>
        </w:rPr>
        <w:t xml:space="preserve"> </w:t>
      </w:r>
      <w:r w:rsidRPr="006B7D95">
        <w:rPr>
          <w:rFonts w:eastAsia="Times New Roman" w:cs="Times New Roman"/>
        </w:rPr>
        <w:t xml:space="preserve">case preclusion, which has </w:t>
      </w:r>
      <w:r w:rsidR="00505CC0">
        <w:rPr>
          <w:rFonts w:eastAsia="Times New Roman" w:cs="Times New Roman"/>
        </w:rPr>
        <w:t xml:space="preserve">to </w:t>
      </w:r>
      <w:r w:rsidRPr="006B7D95">
        <w:rPr>
          <w:rFonts w:eastAsia="Times New Roman" w:cs="Times New Roman"/>
        </w:rPr>
        <w:t xml:space="preserve">do with the </w:t>
      </w:r>
      <w:r w:rsidRPr="007D0024">
        <w:rPr>
          <w:rFonts w:eastAsia="Times New Roman" w:cs="Times New Roman"/>
          <w:i/>
          <w:iCs/>
        </w:rPr>
        <w:t>legal principles</w:t>
      </w:r>
      <w:r w:rsidRPr="006B7D95">
        <w:rPr>
          <w:rFonts w:eastAsia="Times New Roman" w:cs="Times New Roman"/>
        </w:rPr>
        <w:t xml:space="preserve"> governing a particular case</w:t>
      </w:r>
      <w:r>
        <w:rPr>
          <w:rFonts w:eastAsia="Times New Roman" w:cs="Times New Roman"/>
        </w:rPr>
        <w:t xml:space="preserve"> in subsequent proceedings following an appeal</w:t>
      </w:r>
      <w:r w:rsidRPr="006B7D95">
        <w:rPr>
          <w:rFonts w:eastAsia="Times New Roman" w:cs="Times New Roman"/>
        </w:rPr>
        <w:t xml:space="preserve">.  (See </w:t>
      </w:r>
      <w:r w:rsidRPr="006B7D95">
        <w:rPr>
          <w:rFonts w:eastAsia="Times New Roman" w:cs="Times New Roman"/>
          <w:i/>
          <w:iCs/>
        </w:rPr>
        <w:t>People v. Stanley</w:t>
      </w:r>
      <w:r w:rsidR="00E71FB7">
        <w:rPr>
          <w:rFonts w:eastAsia="Times New Roman" w:cs="Times New Roman"/>
        </w:rPr>
        <w:t xml:space="preserve"> </w:t>
      </w:r>
      <w:r w:rsidRPr="006B7D95">
        <w:rPr>
          <w:rFonts w:eastAsia="Times New Roman" w:cs="Times New Roman"/>
        </w:rPr>
        <w:t>(1995) 10</w:t>
      </w:r>
      <w:r w:rsidR="00606F5C">
        <w:rPr>
          <w:rFonts w:eastAsia="Times New Roman" w:cs="Times New Roman"/>
        </w:rPr>
        <w:t> </w:t>
      </w:r>
      <w:r w:rsidRPr="006B7D95">
        <w:rPr>
          <w:rFonts w:eastAsia="Times New Roman" w:cs="Times New Roman"/>
        </w:rPr>
        <w:t xml:space="preserve">Cal.4th 764, 786; </w:t>
      </w:r>
      <w:r w:rsidRPr="00C43BCB">
        <w:rPr>
          <w:rFonts w:eastAsia="Times New Roman" w:cs="Arial"/>
          <w:color w:val="000000"/>
        </w:rPr>
        <w:t>9 Witkin, Cal. Proc</w:t>
      </w:r>
      <w:r w:rsidR="00B05B6D">
        <w:rPr>
          <w:rFonts w:eastAsia="Times New Roman" w:cs="Arial"/>
          <w:color w:val="000000"/>
        </w:rPr>
        <w:t>edure</w:t>
      </w:r>
      <w:r w:rsidRPr="00C43BCB">
        <w:rPr>
          <w:rFonts w:eastAsia="Times New Roman" w:cs="Arial"/>
          <w:color w:val="000000"/>
        </w:rPr>
        <w:t xml:space="preserve"> </w:t>
      </w:r>
      <w:r w:rsidR="00345C72">
        <w:rPr>
          <w:rFonts w:eastAsia="Times New Roman" w:cs="Arial"/>
          <w:color w:val="000000"/>
        </w:rPr>
        <w:t>(</w:t>
      </w:r>
      <w:r w:rsidRPr="00C43BCB">
        <w:rPr>
          <w:rFonts w:eastAsia="Times New Roman" w:cs="Arial"/>
          <w:color w:val="000000"/>
        </w:rPr>
        <w:t>6th</w:t>
      </w:r>
      <w:r w:rsidR="00345C72">
        <w:rPr>
          <w:rFonts w:eastAsia="Times New Roman" w:cs="Arial"/>
          <w:color w:val="000000"/>
        </w:rPr>
        <w:t xml:space="preserve"> ed. 2023)</w:t>
      </w:r>
      <w:r w:rsidRPr="00C43BCB">
        <w:rPr>
          <w:rFonts w:eastAsia="Times New Roman" w:cs="Arial"/>
          <w:color w:val="000000"/>
        </w:rPr>
        <w:t xml:space="preserve"> Appeal</w:t>
      </w:r>
      <w:r w:rsidR="00E5742F">
        <w:rPr>
          <w:rFonts w:eastAsia="Times New Roman" w:cs="Arial"/>
          <w:color w:val="000000"/>
        </w:rPr>
        <w:t>,</w:t>
      </w:r>
      <w:r w:rsidRPr="00C43BCB">
        <w:rPr>
          <w:rFonts w:eastAsia="Times New Roman" w:cs="Arial"/>
          <w:color w:val="000000"/>
        </w:rPr>
        <w:t xml:space="preserve"> §</w:t>
      </w:r>
      <w:r w:rsidR="001A1137">
        <w:rPr>
          <w:rFonts w:eastAsia="Times New Roman" w:cs="Arial"/>
          <w:color w:val="000000"/>
        </w:rPr>
        <w:t> </w:t>
      </w:r>
      <w:r w:rsidRPr="00C43BCB">
        <w:rPr>
          <w:rFonts w:eastAsia="Times New Roman" w:cs="Arial"/>
          <w:color w:val="000000"/>
        </w:rPr>
        <w:t>480</w:t>
      </w:r>
      <w:r>
        <w:rPr>
          <w:rFonts w:eastAsia="Times New Roman" w:cs="Arial"/>
          <w:color w:val="000000"/>
        </w:rPr>
        <w:t>.</w:t>
      </w:r>
      <w:r w:rsidR="00E97373">
        <w:rPr>
          <w:rFonts w:eastAsia="Times New Roman" w:cs="Arial"/>
          <w:color w:val="000000"/>
        </w:rPr>
        <w:t>)</w:t>
      </w:r>
      <w:r w:rsidR="0005280C">
        <w:rPr>
          <w:rFonts w:eastAsia="Times New Roman" w:cs="Arial"/>
          <w:color w:val="000000"/>
        </w:rPr>
        <w:t xml:space="preserve">  </w:t>
      </w:r>
    </w:p>
  </w:footnote>
  <w:footnote w:id="8">
    <w:p w14:paraId="06886323" w14:textId="787A95B9" w:rsidR="00A81F1B" w:rsidRDefault="00C42495" w:rsidP="00C00B6C">
      <w:pPr>
        <w:shd w:val="clear" w:color="auto" w:fill="FFFFFF"/>
        <w:spacing w:line="320" w:lineRule="atLeast"/>
        <w:rPr>
          <w:rFonts w:eastAsia="Times New Roman" w:cs="Times New Roman"/>
          <w:color w:val="000000"/>
        </w:rPr>
      </w:pPr>
      <w:r>
        <w:rPr>
          <w:rStyle w:val="FootnoteReference"/>
        </w:rPr>
        <w:footnoteRef/>
      </w:r>
      <w:r>
        <w:t xml:space="preserve"> </w:t>
      </w:r>
      <w:r w:rsidR="002D393D">
        <w:t>In their briefs, b</w:t>
      </w:r>
      <w:r w:rsidR="00BA20DC">
        <w:rPr>
          <w:rFonts w:eastAsia="Times New Roman" w:cs="Times New Roman"/>
          <w:color w:val="000000"/>
        </w:rPr>
        <w:t xml:space="preserve">oth Beaudreaux and the People </w:t>
      </w:r>
      <w:r w:rsidR="00F15EF8">
        <w:rPr>
          <w:rFonts w:eastAsia="Times New Roman" w:cs="Times New Roman"/>
          <w:color w:val="000000"/>
        </w:rPr>
        <w:t xml:space="preserve">refer </w:t>
      </w:r>
      <w:r w:rsidR="000F34EC">
        <w:rPr>
          <w:rFonts w:eastAsia="Times New Roman" w:cs="Times New Roman"/>
          <w:color w:val="000000"/>
        </w:rPr>
        <w:t xml:space="preserve">somewhat </w:t>
      </w:r>
      <w:r w:rsidR="00104038">
        <w:rPr>
          <w:rFonts w:eastAsia="Times New Roman" w:cs="Times New Roman"/>
          <w:color w:val="000000"/>
        </w:rPr>
        <w:t xml:space="preserve">loosely </w:t>
      </w:r>
      <w:r w:rsidR="001077B9">
        <w:rPr>
          <w:rFonts w:eastAsia="Times New Roman" w:cs="Times New Roman"/>
          <w:color w:val="000000"/>
        </w:rPr>
        <w:t xml:space="preserve">to the </w:t>
      </w:r>
      <w:r w:rsidR="001569CE">
        <w:rPr>
          <w:rFonts w:eastAsia="Times New Roman" w:cs="Times New Roman"/>
          <w:color w:val="000000"/>
        </w:rPr>
        <w:t xml:space="preserve">bar on </w:t>
      </w:r>
      <w:r w:rsidR="001C272D">
        <w:rPr>
          <w:rFonts w:eastAsia="Times New Roman" w:cs="Times New Roman"/>
          <w:color w:val="000000"/>
        </w:rPr>
        <w:t>“successive petition</w:t>
      </w:r>
      <w:r w:rsidR="001569CE">
        <w:rPr>
          <w:rFonts w:eastAsia="Times New Roman" w:cs="Times New Roman"/>
          <w:color w:val="000000"/>
        </w:rPr>
        <w:t>s</w:t>
      </w:r>
      <w:r w:rsidR="001C272D">
        <w:rPr>
          <w:rFonts w:eastAsia="Times New Roman" w:cs="Times New Roman"/>
          <w:color w:val="000000"/>
        </w:rPr>
        <w:t>”</w:t>
      </w:r>
      <w:r w:rsidR="00474A6F">
        <w:rPr>
          <w:rFonts w:eastAsia="Times New Roman" w:cs="Times New Roman"/>
          <w:color w:val="000000"/>
        </w:rPr>
        <w:t xml:space="preserve"> in discussi</w:t>
      </w:r>
      <w:r w:rsidR="00A06C8D">
        <w:rPr>
          <w:rFonts w:eastAsia="Times New Roman" w:cs="Times New Roman"/>
          <w:color w:val="000000"/>
        </w:rPr>
        <w:t xml:space="preserve">ng </w:t>
      </w:r>
      <w:r w:rsidR="00474A6F">
        <w:rPr>
          <w:rFonts w:eastAsia="Times New Roman" w:cs="Times New Roman"/>
          <w:color w:val="000000"/>
        </w:rPr>
        <w:t>issue preclusion</w:t>
      </w:r>
      <w:r w:rsidR="00BA20DC">
        <w:rPr>
          <w:rFonts w:eastAsia="Times New Roman" w:cs="Times New Roman"/>
          <w:color w:val="000000"/>
        </w:rPr>
        <w:t>, apparently borrowing</w:t>
      </w:r>
      <w:r w:rsidR="00F443EB">
        <w:rPr>
          <w:rFonts w:eastAsia="Times New Roman" w:cs="Times New Roman"/>
          <w:color w:val="000000"/>
        </w:rPr>
        <w:t xml:space="preserve"> </w:t>
      </w:r>
      <w:r w:rsidR="001569CE">
        <w:rPr>
          <w:rFonts w:eastAsia="Times New Roman" w:cs="Times New Roman"/>
          <w:color w:val="000000"/>
        </w:rPr>
        <w:t xml:space="preserve">the concept </w:t>
      </w:r>
      <w:r w:rsidR="00BA20DC">
        <w:rPr>
          <w:rFonts w:eastAsia="Times New Roman" w:cs="Times New Roman"/>
          <w:color w:val="000000"/>
        </w:rPr>
        <w:t xml:space="preserve">from </w:t>
      </w:r>
      <w:r w:rsidR="00BA20DC" w:rsidRPr="0068023F">
        <w:rPr>
          <w:rFonts w:eastAsia="Times New Roman" w:cs="Times New Roman"/>
          <w:i/>
          <w:iCs/>
          <w:color w:val="000000"/>
        </w:rPr>
        <w:t>Farfan</w:t>
      </w:r>
      <w:r w:rsidR="0029591D">
        <w:t xml:space="preserve">. </w:t>
      </w:r>
      <w:r w:rsidR="000F34EC">
        <w:t xml:space="preserve"> </w:t>
      </w:r>
      <w:r w:rsidR="0029591D">
        <w:t>But t</w:t>
      </w:r>
      <w:r w:rsidR="00C76A77" w:rsidRPr="00F30928">
        <w:t>he</w:t>
      </w:r>
      <w:r w:rsidR="00442B92">
        <w:t xml:space="preserve"> appellate panel there </w:t>
      </w:r>
      <w:r w:rsidR="00C76A77" w:rsidRPr="00F30928">
        <w:t>used th</w:t>
      </w:r>
      <w:r w:rsidR="001F3018">
        <w:t xml:space="preserve">is </w:t>
      </w:r>
      <w:r w:rsidR="00E633D2">
        <w:t xml:space="preserve">phrase </w:t>
      </w:r>
      <w:r w:rsidR="00D94A2D" w:rsidRPr="00F30928">
        <w:t xml:space="preserve">to </w:t>
      </w:r>
      <w:r w:rsidR="00D94A2D" w:rsidRPr="00F30928">
        <w:rPr>
          <w:i/>
          <w:iCs/>
        </w:rPr>
        <w:t>describe</w:t>
      </w:r>
      <w:r w:rsidR="00D94A2D" w:rsidRPr="00F30928">
        <w:t xml:space="preserve"> the People</w:t>
      </w:r>
      <w:r w:rsidR="00422419">
        <w:t xml:space="preserve">’s unsuccessful argument for preclusion </w:t>
      </w:r>
      <w:r w:rsidR="00442B92">
        <w:t xml:space="preserve">in </w:t>
      </w:r>
      <w:r w:rsidR="00442B92" w:rsidRPr="00442B92">
        <w:rPr>
          <w:i/>
          <w:iCs/>
        </w:rPr>
        <w:t>Farfan</w:t>
      </w:r>
      <w:r w:rsidR="00812D74">
        <w:t xml:space="preserve">.  </w:t>
      </w:r>
      <w:r w:rsidR="0070259C">
        <w:t>(</w:t>
      </w:r>
      <w:r w:rsidR="00F91D2B" w:rsidRPr="0070259C">
        <w:rPr>
          <w:i/>
          <w:iCs/>
        </w:rPr>
        <w:t>Farfan</w:t>
      </w:r>
      <w:r w:rsidR="00F91D2B">
        <w:t xml:space="preserve">, </w:t>
      </w:r>
      <w:r w:rsidR="00F91D2B" w:rsidRPr="0070259C">
        <w:rPr>
          <w:i/>
          <w:iCs/>
        </w:rPr>
        <w:t>supra</w:t>
      </w:r>
      <w:r w:rsidR="0070259C">
        <w:t>,</w:t>
      </w:r>
      <w:r w:rsidR="00F91D2B">
        <w:t xml:space="preserve"> 71</w:t>
      </w:r>
      <w:r w:rsidR="00643048">
        <w:t> </w:t>
      </w:r>
      <w:r w:rsidR="00F91D2B">
        <w:t>Cal.App.5</w:t>
      </w:r>
      <w:r w:rsidR="00DD0FBF">
        <w:t>th</w:t>
      </w:r>
      <w:r w:rsidR="00F91D2B">
        <w:t xml:space="preserve"> at </w:t>
      </w:r>
      <w:r w:rsidR="0070259C">
        <w:t>p.</w:t>
      </w:r>
      <w:r w:rsidR="00643048">
        <w:t> </w:t>
      </w:r>
      <w:r w:rsidR="00F91D2B">
        <w:t>946</w:t>
      </w:r>
      <w:r w:rsidR="0070259C">
        <w:t>.</w:t>
      </w:r>
      <w:r w:rsidR="00F91D2B">
        <w:t>)</w:t>
      </w:r>
      <w:r w:rsidR="0070259C">
        <w:t xml:space="preserve"> </w:t>
      </w:r>
      <w:r w:rsidR="00AF1125" w:rsidRPr="00F30928">
        <w:t xml:space="preserve"> </w:t>
      </w:r>
      <w:r w:rsidR="00D45AA2">
        <w:t>W</w:t>
      </w:r>
      <w:r w:rsidR="00215B6F">
        <w:t>e do not read</w:t>
      </w:r>
      <w:r w:rsidR="004074BD">
        <w:t xml:space="preserve"> </w:t>
      </w:r>
      <w:r w:rsidR="00742D25">
        <w:t>it</w:t>
      </w:r>
      <w:r w:rsidR="00366323">
        <w:t>s</w:t>
      </w:r>
      <w:r w:rsidR="00742D25">
        <w:t xml:space="preserve"> </w:t>
      </w:r>
      <w:r w:rsidR="004074BD">
        <w:t xml:space="preserve">opinion </w:t>
      </w:r>
      <w:r w:rsidR="00107B61">
        <w:t xml:space="preserve">to </w:t>
      </w:r>
      <w:r w:rsidR="00CC53C1">
        <w:t xml:space="preserve">suggest </w:t>
      </w:r>
      <w:r w:rsidR="00215B6F">
        <w:t xml:space="preserve">that </w:t>
      </w:r>
      <w:r w:rsidR="0073032B">
        <w:t xml:space="preserve">the </w:t>
      </w:r>
      <w:r w:rsidR="004D568A">
        <w:t xml:space="preserve">bar </w:t>
      </w:r>
      <w:r w:rsidR="00D87DE9">
        <w:t>against</w:t>
      </w:r>
      <w:r w:rsidR="0073032B">
        <w:t xml:space="preserve"> successive </w:t>
      </w:r>
      <w:r w:rsidR="00D45AA2" w:rsidRPr="004D3646">
        <w:t xml:space="preserve">habeas </w:t>
      </w:r>
      <w:r w:rsidR="002247A4" w:rsidRPr="004D3646">
        <w:t xml:space="preserve">corpus </w:t>
      </w:r>
      <w:r w:rsidR="0073032B" w:rsidRPr="004D3646">
        <w:t>petition</w:t>
      </w:r>
      <w:r w:rsidR="00D87DE9" w:rsidRPr="004D3646">
        <w:t>s</w:t>
      </w:r>
      <w:r w:rsidR="00865DA9">
        <w:t xml:space="preserve">, </w:t>
      </w:r>
      <w:r w:rsidR="00C2017E">
        <w:t>a rul</w:t>
      </w:r>
      <w:r w:rsidR="003A7EC5">
        <w:t>e</w:t>
      </w:r>
      <w:r w:rsidR="00C2017E">
        <w:t xml:space="preserve"> with many complexities </w:t>
      </w:r>
      <w:r w:rsidR="00AF1125" w:rsidRPr="00064ACD">
        <w:t>particular to the law of habeas corpus</w:t>
      </w:r>
      <w:r w:rsidR="00293272" w:rsidRPr="00064ACD">
        <w:t xml:space="preserve"> (</w:t>
      </w:r>
      <w:r w:rsidR="00D8634F">
        <w:t>s</w:t>
      </w:r>
      <w:r w:rsidR="0098798B" w:rsidRPr="00064ACD">
        <w:t xml:space="preserve">ee </w:t>
      </w:r>
      <w:r w:rsidR="0098798B" w:rsidRPr="00064ACD">
        <w:rPr>
          <w:rFonts w:eastAsia="Times New Roman" w:cs="Times New Roman"/>
          <w:i/>
          <w:iCs/>
          <w:color w:val="3D3D3D"/>
          <w:bdr w:val="none" w:sz="0" w:space="0" w:color="auto" w:frame="1"/>
        </w:rPr>
        <w:t>In</w:t>
      </w:r>
      <w:r w:rsidR="00643048">
        <w:rPr>
          <w:rFonts w:eastAsia="Times New Roman" w:cs="Times New Roman"/>
          <w:i/>
          <w:iCs/>
          <w:color w:val="3D3D3D"/>
          <w:bdr w:val="none" w:sz="0" w:space="0" w:color="auto" w:frame="1"/>
        </w:rPr>
        <w:t> </w:t>
      </w:r>
      <w:r w:rsidR="0098798B" w:rsidRPr="00064ACD">
        <w:rPr>
          <w:rFonts w:eastAsia="Times New Roman" w:cs="Times New Roman"/>
          <w:i/>
          <w:iCs/>
          <w:color w:val="3D3D3D"/>
          <w:bdr w:val="none" w:sz="0" w:space="0" w:color="auto" w:frame="1"/>
        </w:rPr>
        <w:t>re Reno</w:t>
      </w:r>
      <w:r w:rsidR="0098798B" w:rsidRPr="00064ACD">
        <w:rPr>
          <w:rFonts w:eastAsia="Times New Roman" w:cs="Times New Roman"/>
          <w:color w:val="000000"/>
        </w:rPr>
        <w:t xml:space="preserve"> (2012) 55</w:t>
      </w:r>
      <w:r w:rsidR="00643048">
        <w:rPr>
          <w:rFonts w:eastAsia="Times New Roman" w:cs="Times New Roman"/>
          <w:color w:val="000000"/>
        </w:rPr>
        <w:t> </w:t>
      </w:r>
      <w:r w:rsidR="0098798B" w:rsidRPr="00064ACD">
        <w:rPr>
          <w:rFonts w:eastAsia="Times New Roman" w:cs="Times New Roman"/>
          <w:color w:val="000000"/>
        </w:rPr>
        <w:t>Cal.4th 428, 449</w:t>
      </w:r>
      <w:r w:rsidR="00F9117D">
        <w:t>–</w:t>
      </w:r>
      <w:r w:rsidR="0098798B" w:rsidRPr="00064ACD">
        <w:rPr>
          <w:rFonts w:eastAsia="Times New Roman" w:cs="Times New Roman"/>
          <w:color w:val="000000"/>
        </w:rPr>
        <w:t>453</w:t>
      </w:r>
      <w:r w:rsidR="00040D2D" w:rsidRPr="00411F75">
        <w:rPr>
          <w:rFonts w:eastAsia="Times New Roman" w:cs="Times New Roman"/>
          <w:color w:val="000000"/>
        </w:rPr>
        <w:t>;</w:t>
      </w:r>
      <w:r w:rsidR="0098798B" w:rsidRPr="00064ACD">
        <w:rPr>
          <w:rFonts w:eastAsia="Times New Roman" w:cs="Times New Roman"/>
          <w:color w:val="000000"/>
        </w:rPr>
        <w:t xml:space="preserve"> </w:t>
      </w:r>
      <w:r w:rsidR="00293272" w:rsidRPr="00064ACD">
        <w:rPr>
          <w:rFonts w:eastAsia="Times New Roman" w:cs="Times New Roman"/>
          <w:i/>
          <w:iCs/>
          <w:color w:val="3D3D3D"/>
          <w:bdr w:val="none" w:sz="0" w:space="0" w:color="auto" w:frame="1"/>
        </w:rPr>
        <w:t>In re Clark</w:t>
      </w:r>
      <w:r w:rsidR="00293272" w:rsidRPr="00064ACD">
        <w:rPr>
          <w:rFonts w:eastAsia="Times New Roman" w:cs="Times New Roman"/>
          <w:color w:val="000000"/>
        </w:rPr>
        <w:t xml:space="preserve"> (1993) 5</w:t>
      </w:r>
      <w:r w:rsidR="00894D9E">
        <w:rPr>
          <w:rFonts w:eastAsia="Times New Roman" w:cs="Times New Roman"/>
          <w:color w:val="000000"/>
        </w:rPr>
        <w:t> </w:t>
      </w:r>
      <w:r w:rsidR="00293272" w:rsidRPr="00064ACD">
        <w:rPr>
          <w:rFonts w:eastAsia="Times New Roman" w:cs="Times New Roman"/>
          <w:color w:val="000000"/>
        </w:rPr>
        <w:t>Cal.4th 750</w:t>
      </w:r>
      <w:r w:rsidR="002B7DBA" w:rsidRPr="00064ACD">
        <w:rPr>
          <w:rFonts w:eastAsia="Times New Roman" w:cs="Times New Roman"/>
          <w:color w:val="000000"/>
        </w:rPr>
        <w:t>, 767</w:t>
      </w:r>
      <w:r w:rsidR="00485447">
        <w:t>–</w:t>
      </w:r>
      <w:r w:rsidR="002B7DBA" w:rsidRPr="00064ACD">
        <w:rPr>
          <w:rFonts w:eastAsia="Times New Roman" w:cs="Times New Roman"/>
          <w:color w:val="000000"/>
        </w:rPr>
        <w:t>770</w:t>
      </w:r>
      <w:r w:rsidR="00461E77" w:rsidRPr="00064ACD">
        <w:rPr>
          <w:rFonts w:eastAsia="Times New Roman" w:cs="Times New Roman"/>
          <w:color w:val="000000"/>
        </w:rPr>
        <w:t>;</w:t>
      </w:r>
      <w:r w:rsidR="00064ACD" w:rsidRPr="00064ACD">
        <w:rPr>
          <w:rFonts w:eastAsia="Times New Roman" w:cs="Times New Roman"/>
          <w:color w:val="000000"/>
        </w:rPr>
        <w:t xml:space="preserve"> </w:t>
      </w:r>
      <w:r w:rsidR="00461E77" w:rsidRPr="00064ACD">
        <w:rPr>
          <w:rFonts w:eastAsia="Times New Roman" w:cs="Times New Roman"/>
          <w:color w:val="000000"/>
        </w:rPr>
        <w:t xml:space="preserve">cf. </w:t>
      </w:r>
      <w:r w:rsidR="00461E77" w:rsidRPr="00064ACD">
        <w:rPr>
          <w:rFonts w:eastAsia="Times New Roman" w:cs="Times New Roman"/>
          <w:i/>
          <w:iCs/>
          <w:color w:val="3D3D3D"/>
          <w:bdr w:val="none" w:sz="0" w:space="0" w:color="auto" w:frame="1"/>
        </w:rPr>
        <w:t>In re Friend</w:t>
      </w:r>
      <w:r w:rsidR="00461E77" w:rsidRPr="00064ACD">
        <w:rPr>
          <w:rFonts w:eastAsia="Times New Roman" w:cs="Times New Roman"/>
          <w:color w:val="000000"/>
        </w:rPr>
        <w:t xml:space="preserve"> (2021) 11</w:t>
      </w:r>
      <w:r w:rsidR="00643048">
        <w:rPr>
          <w:rFonts w:eastAsia="Times New Roman" w:cs="Times New Roman"/>
          <w:color w:val="000000"/>
        </w:rPr>
        <w:t> </w:t>
      </w:r>
      <w:r w:rsidR="00461E77" w:rsidRPr="00064ACD">
        <w:rPr>
          <w:rFonts w:eastAsia="Times New Roman" w:cs="Times New Roman"/>
          <w:color w:val="000000"/>
        </w:rPr>
        <w:t xml:space="preserve">Cal.5th 720, </w:t>
      </w:r>
      <w:r w:rsidR="00064ACD" w:rsidRPr="00064ACD">
        <w:rPr>
          <w:rFonts w:eastAsia="Times New Roman" w:cs="Times New Roman"/>
          <w:color w:val="000000"/>
        </w:rPr>
        <w:t xml:space="preserve">728, </w:t>
      </w:r>
      <w:r w:rsidR="00461E77" w:rsidRPr="00064ACD">
        <w:rPr>
          <w:rFonts w:eastAsia="Times New Roman" w:cs="Times New Roman"/>
          <w:color w:val="000000"/>
        </w:rPr>
        <w:t>737</w:t>
      </w:r>
      <w:r w:rsidR="002247A4">
        <w:rPr>
          <w:rFonts w:eastAsia="Times New Roman" w:cs="Times New Roman"/>
          <w:color w:val="000000"/>
        </w:rPr>
        <w:t xml:space="preserve"> [construing a statute that codifies the </w:t>
      </w:r>
      <w:r w:rsidR="006154E2">
        <w:rPr>
          <w:rFonts w:eastAsia="Times New Roman" w:cs="Times New Roman"/>
          <w:color w:val="000000"/>
        </w:rPr>
        <w:t>bar against successive habeas petitions in capital cases</w:t>
      </w:r>
      <w:r w:rsidR="00F97839">
        <w:rPr>
          <w:rFonts w:eastAsia="Times New Roman" w:cs="Times New Roman"/>
          <w:color w:val="000000"/>
        </w:rPr>
        <w:t>]</w:t>
      </w:r>
      <w:r w:rsidR="00064ACD" w:rsidRPr="00064ACD">
        <w:rPr>
          <w:rFonts w:eastAsia="Times New Roman" w:cs="Times New Roman"/>
          <w:color w:val="000000"/>
        </w:rPr>
        <w:t>)</w:t>
      </w:r>
      <w:r w:rsidR="00CB32B4">
        <w:rPr>
          <w:rFonts w:eastAsia="Times New Roman" w:cs="Times New Roman"/>
          <w:color w:val="000000"/>
        </w:rPr>
        <w:t>,</w:t>
      </w:r>
      <w:r w:rsidR="00865DA9">
        <w:rPr>
          <w:rFonts w:eastAsia="Times New Roman" w:cs="Times New Roman"/>
          <w:color w:val="000000"/>
        </w:rPr>
        <w:t xml:space="preserve"> </w:t>
      </w:r>
      <w:r w:rsidR="00865DA9">
        <w:t>may be equated with the doctrine of issue preclusion</w:t>
      </w:r>
      <w:r w:rsidR="002F6D91">
        <w:t xml:space="preserve"> as it applies in section</w:t>
      </w:r>
      <w:r w:rsidR="00023B40">
        <w:t> </w:t>
      </w:r>
      <w:r w:rsidR="002F6D91">
        <w:t>1172.6 proceedings</w:t>
      </w:r>
      <w:r w:rsidR="00D8634F">
        <w:t>.</w:t>
      </w:r>
      <w:r w:rsidR="00461E77" w:rsidRPr="00064ACD">
        <w:rPr>
          <w:rFonts w:eastAsia="Times New Roman" w:cs="Times New Roman"/>
          <w:color w:val="000000"/>
        </w:rPr>
        <w:t xml:space="preserve"> </w:t>
      </w:r>
      <w:r w:rsidR="00A66448">
        <w:rPr>
          <w:rFonts w:eastAsia="Times New Roman" w:cs="Times New Roman"/>
          <w:color w:val="000000"/>
        </w:rPr>
        <w:t xml:space="preserve"> </w:t>
      </w:r>
    </w:p>
    <w:p w14:paraId="256F2568" w14:textId="26BCAE83" w:rsidR="00830A9C" w:rsidRDefault="00C42495" w:rsidP="00C00B6C">
      <w:pPr>
        <w:shd w:val="clear" w:color="auto" w:fill="FFFFFF"/>
        <w:spacing w:line="320" w:lineRule="atLeast"/>
      </w:pPr>
      <w:r>
        <w:rPr>
          <w:rFonts w:eastAsia="Times New Roman" w:cs="Times New Roman"/>
          <w:color w:val="000000"/>
        </w:rPr>
        <w:t xml:space="preserve">It seems to us that the potential preclusive bar </w:t>
      </w:r>
      <w:r w:rsidR="00CF44A3">
        <w:rPr>
          <w:rFonts w:eastAsia="Times New Roman" w:cs="Times New Roman"/>
          <w:color w:val="000000"/>
        </w:rPr>
        <w:t xml:space="preserve">facing </w:t>
      </w:r>
      <w:r>
        <w:rPr>
          <w:rFonts w:eastAsia="Times New Roman" w:cs="Times New Roman"/>
          <w:color w:val="000000"/>
        </w:rPr>
        <w:t xml:space="preserve">a petitioner who brings more than one </w:t>
      </w:r>
      <w:r w:rsidR="009F06BD">
        <w:rPr>
          <w:rFonts w:eastAsia="Times New Roman" w:cs="Times New Roman"/>
          <w:color w:val="000000"/>
        </w:rPr>
        <w:t xml:space="preserve">section 1172.6 petition </w:t>
      </w:r>
      <w:r w:rsidR="001B4C0C">
        <w:rPr>
          <w:rFonts w:eastAsia="Times New Roman" w:cs="Times New Roman"/>
          <w:color w:val="000000"/>
        </w:rPr>
        <w:t xml:space="preserve">attacking the same conviction </w:t>
      </w:r>
      <w:r w:rsidR="009F06BD">
        <w:rPr>
          <w:rFonts w:eastAsia="Times New Roman" w:cs="Times New Roman"/>
          <w:color w:val="000000"/>
        </w:rPr>
        <w:t>is better</w:t>
      </w:r>
      <w:r w:rsidR="00732219">
        <w:rPr>
          <w:rFonts w:eastAsia="Times New Roman" w:cs="Times New Roman"/>
          <w:color w:val="000000"/>
        </w:rPr>
        <w:t xml:space="preserve"> analyzed under the rubric of claim preclusion</w:t>
      </w:r>
      <w:r w:rsidR="00E11615">
        <w:rPr>
          <w:rFonts w:eastAsia="Times New Roman" w:cs="Times New Roman"/>
          <w:color w:val="000000"/>
        </w:rPr>
        <w:t xml:space="preserve">, not by </w:t>
      </w:r>
      <w:r w:rsidR="00A96A4D">
        <w:rPr>
          <w:rFonts w:eastAsia="Times New Roman" w:cs="Times New Roman"/>
          <w:color w:val="000000"/>
        </w:rPr>
        <w:t xml:space="preserve">borrowing </w:t>
      </w:r>
      <w:r w:rsidR="00E11615">
        <w:rPr>
          <w:rFonts w:eastAsia="Times New Roman" w:cs="Times New Roman"/>
          <w:color w:val="000000"/>
        </w:rPr>
        <w:t xml:space="preserve">the </w:t>
      </w:r>
      <w:r w:rsidR="00F2478B">
        <w:rPr>
          <w:rFonts w:eastAsia="Times New Roman" w:cs="Times New Roman"/>
          <w:color w:val="000000"/>
        </w:rPr>
        <w:t xml:space="preserve">prohibition on </w:t>
      </w:r>
      <w:r w:rsidR="00E11615">
        <w:rPr>
          <w:rFonts w:eastAsia="Times New Roman" w:cs="Times New Roman"/>
          <w:color w:val="000000"/>
        </w:rPr>
        <w:t>successive petition</w:t>
      </w:r>
      <w:r w:rsidR="00F2478B">
        <w:rPr>
          <w:rFonts w:eastAsia="Times New Roman" w:cs="Times New Roman"/>
          <w:color w:val="000000"/>
        </w:rPr>
        <w:t xml:space="preserve">s from the law of habeas corpus. </w:t>
      </w:r>
      <w:r w:rsidR="00F1763C">
        <w:rPr>
          <w:rFonts w:eastAsia="Times New Roman" w:cs="Times New Roman"/>
          <w:color w:val="000000"/>
        </w:rPr>
        <w:t xml:space="preserve"> </w:t>
      </w:r>
      <w:r w:rsidR="003D5BA1">
        <w:rPr>
          <w:rFonts w:eastAsia="Times New Roman" w:cs="Times New Roman"/>
          <w:color w:val="000000"/>
        </w:rPr>
        <w:t xml:space="preserve">Indeed, </w:t>
      </w:r>
      <w:r w:rsidR="0042210F">
        <w:rPr>
          <w:rFonts w:eastAsia="Times New Roman" w:cs="Times New Roman"/>
          <w:color w:val="000000"/>
        </w:rPr>
        <w:t xml:space="preserve">although </w:t>
      </w:r>
      <w:r w:rsidR="003D5BA1">
        <w:rPr>
          <w:rFonts w:eastAsia="Times New Roman" w:cs="Times New Roman"/>
          <w:color w:val="000000"/>
        </w:rPr>
        <w:t>the trial court</w:t>
      </w:r>
      <w:r w:rsidR="0042210F">
        <w:rPr>
          <w:rFonts w:eastAsia="Times New Roman" w:cs="Times New Roman"/>
          <w:color w:val="000000"/>
        </w:rPr>
        <w:t xml:space="preserve"> cite</w:t>
      </w:r>
      <w:r w:rsidR="0075192D">
        <w:rPr>
          <w:rFonts w:eastAsia="Times New Roman" w:cs="Times New Roman"/>
          <w:color w:val="000000"/>
        </w:rPr>
        <w:t>d</w:t>
      </w:r>
      <w:r w:rsidR="0042210F">
        <w:rPr>
          <w:rFonts w:eastAsia="Times New Roman" w:cs="Times New Roman"/>
          <w:color w:val="000000"/>
        </w:rPr>
        <w:t xml:space="preserve"> no authority</w:t>
      </w:r>
      <w:r w:rsidR="00581B29">
        <w:rPr>
          <w:rFonts w:eastAsia="Times New Roman" w:cs="Times New Roman"/>
          <w:color w:val="000000"/>
        </w:rPr>
        <w:t xml:space="preserve"> and d</w:t>
      </w:r>
      <w:r w:rsidR="0075192D">
        <w:rPr>
          <w:rFonts w:eastAsia="Times New Roman" w:cs="Times New Roman"/>
          <w:color w:val="000000"/>
        </w:rPr>
        <w:t>id</w:t>
      </w:r>
      <w:r w:rsidR="00581B29">
        <w:rPr>
          <w:rFonts w:eastAsia="Times New Roman" w:cs="Times New Roman"/>
          <w:color w:val="000000"/>
        </w:rPr>
        <w:t xml:space="preserve"> not specify</w:t>
      </w:r>
      <w:r w:rsidR="009D6F3A">
        <w:rPr>
          <w:rFonts w:eastAsia="Times New Roman" w:cs="Times New Roman"/>
          <w:color w:val="000000"/>
        </w:rPr>
        <w:t xml:space="preserve"> precisely</w:t>
      </w:r>
      <w:r w:rsidR="00581B29">
        <w:rPr>
          <w:rFonts w:eastAsia="Times New Roman" w:cs="Times New Roman"/>
          <w:color w:val="000000"/>
        </w:rPr>
        <w:t xml:space="preserve"> what preclusionary doctrine it was applying, the gist of its order</w:t>
      </w:r>
      <w:r w:rsidR="0075192D">
        <w:rPr>
          <w:rFonts w:eastAsia="Times New Roman" w:cs="Times New Roman"/>
          <w:color w:val="000000"/>
        </w:rPr>
        <w:t xml:space="preserve"> </w:t>
      </w:r>
      <w:r w:rsidR="006E6DBE">
        <w:rPr>
          <w:rFonts w:eastAsia="Times New Roman" w:cs="Times New Roman"/>
          <w:color w:val="000000"/>
        </w:rPr>
        <w:t xml:space="preserve">appears to be </w:t>
      </w:r>
      <w:r w:rsidR="0075192D">
        <w:rPr>
          <w:rFonts w:eastAsia="Times New Roman" w:cs="Times New Roman"/>
          <w:color w:val="000000"/>
        </w:rPr>
        <w:t xml:space="preserve">framed in terms of claim preclusion.  </w:t>
      </w:r>
      <w:r w:rsidR="00B86E6A">
        <w:rPr>
          <w:rFonts w:eastAsia="Times New Roman" w:cs="Times New Roman"/>
          <w:color w:val="000000"/>
        </w:rPr>
        <w:t>But s</w:t>
      </w:r>
      <w:r w:rsidR="000A0BBE">
        <w:rPr>
          <w:rFonts w:eastAsia="Times New Roman" w:cs="Times New Roman"/>
          <w:color w:val="000000"/>
        </w:rPr>
        <w:t>ince n</w:t>
      </w:r>
      <w:r w:rsidR="00F1763C">
        <w:rPr>
          <w:rFonts w:eastAsia="Times New Roman" w:cs="Times New Roman"/>
          <w:color w:val="000000"/>
        </w:rPr>
        <w:t xml:space="preserve">o claim preclusion argument has been made </w:t>
      </w:r>
      <w:r w:rsidR="0075192D">
        <w:rPr>
          <w:rFonts w:eastAsia="Times New Roman" w:cs="Times New Roman"/>
          <w:color w:val="000000"/>
        </w:rPr>
        <w:t>on appeal</w:t>
      </w:r>
      <w:r w:rsidR="00CE7544">
        <w:rPr>
          <w:rFonts w:eastAsia="Times New Roman" w:cs="Times New Roman"/>
          <w:color w:val="000000"/>
        </w:rPr>
        <w:t xml:space="preserve">, </w:t>
      </w:r>
      <w:r w:rsidR="00B86E6A">
        <w:rPr>
          <w:rFonts w:eastAsia="Times New Roman" w:cs="Times New Roman"/>
          <w:color w:val="000000"/>
        </w:rPr>
        <w:t xml:space="preserve">and since the narrower doctrine </w:t>
      </w:r>
      <w:r w:rsidR="00E24260">
        <w:rPr>
          <w:rFonts w:eastAsia="Times New Roman" w:cs="Times New Roman"/>
          <w:color w:val="000000"/>
        </w:rPr>
        <w:t xml:space="preserve">of issue preclusion </w:t>
      </w:r>
      <w:r w:rsidR="005B4093">
        <w:rPr>
          <w:rFonts w:eastAsia="Times New Roman" w:cs="Times New Roman"/>
          <w:color w:val="000000"/>
        </w:rPr>
        <w:t xml:space="preserve">is sufficient for affirmance </w:t>
      </w:r>
      <w:r w:rsidR="003F345B">
        <w:rPr>
          <w:rFonts w:eastAsia="Times New Roman" w:cs="Times New Roman"/>
          <w:color w:val="000000"/>
        </w:rPr>
        <w:t xml:space="preserve">on this record, </w:t>
      </w:r>
      <w:r w:rsidR="00CE7544">
        <w:rPr>
          <w:rFonts w:eastAsia="Times New Roman" w:cs="Times New Roman"/>
          <w:color w:val="000000"/>
        </w:rPr>
        <w:t xml:space="preserve">we </w:t>
      </w:r>
      <w:r w:rsidR="000A0BBE">
        <w:rPr>
          <w:rFonts w:eastAsia="Times New Roman" w:cs="Times New Roman"/>
          <w:color w:val="000000"/>
        </w:rPr>
        <w:t xml:space="preserve">have no occasion to </w:t>
      </w:r>
      <w:r w:rsidR="00CE7544">
        <w:rPr>
          <w:rFonts w:eastAsia="Times New Roman" w:cs="Times New Roman"/>
          <w:color w:val="000000"/>
        </w:rPr>
        <w:t xml:space="preserve">address </w:t>
      </w:r>
      <w:r w:rsidR="000A0BBE">
        <w:rPr>
          <w:rFonts w:eastAsia="Times New Roman" w:cs="Times New Roman"/>
          <w:color w:val="000000"/>
        </w:rPr>
        <w:t xml:space="preserve">whether </w:t>
      </w:r>
      <w:r w:rsidR="00244F0D">
        <w:rPr>
          <w:rFonts w:eastAsia="Times New Roman" w:cs="Times New Roman"/>
          <w:color w:val="000000"/>
        </w:rPr>
        <w:t>th</w:t>
      </w:r>
      <w:r w:rsidR="00D30EB7">
        <w:rPr>
          <w:rFonts w:eastAsia="Times New Roman" w:cs="Times New Roman"/>
          <w:color w:val="000000"/>
        </w:rPr>
        <w:t>e cla</w:t>
      </w:r>
      <w:r w:rsidR="00BC1DD9">
        <w:rPr>
          <w:rFonts w:eastAsia="Times New Roman" w:cs="Times New Roman"/>
          <w:color w:val="000000"/>
        </w:rPr>
        <w:t>i</w:t>
      </w:r>
      <w:r w:rsidR="00D30EB7">
        <w:rPr>
          <w:rFonts w:eastAsia="Times New Roman" w:cs="Times New Roman"/>
          <w:color w:val="000000"/>
        </w:rPr>
        <w:t xml:space="preserve">m preclusion </w:t>
      </w:r>
      <w:r w:rsidR="000A0BBE">
        <w:rPr>
          <w:rFonts w:eastAsia="Times New Roman" w:cs="Times New Roman"/>
          <w:color w:val="000000"/>
        </w:rPr>
        <w:t xml:space="preserve">branch of </w:t>
      </w:r>
      <w:r w:rsidR="00F15EF8">
        <w:rPr>
          <w:rFonts w:eastAsia="Times New Roman" w:cs="Times New Roman"/>
          <w:color w:val="000000"/>
        </w:rPr>
        <w:t xml:space="preserve">res judicata </w:t>
      </w:r>
      <w:r w:rsidR="00CE7544">
        <w:rPr>
          <w:rFonts w:eastAsia="Times New Roman" w:cs="Times New Roman"/>
          <w:color w:val="000000"/>
        </w:rPr>
        <w:t>has any applicability</w:t>
      </w:r>
      <w:r w:rsidR="00F15EF8">
        <w:rPr>
          <w:rFonts w:eastAsia="Times New Roman" w:cs="Times New Roman"/>
          <w:color w:val="000000"/>
        </w:rPr>
        <w:t xml:space="preserve"> in this context</w:t>
      </w:r>
      <w:r w:rsidR="00CE7544">
        <w:rPr>
          <w:rFonts w:eastAsia="Times New Roman" w:cs="Times New Roman"/>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45C98" w14:textId="77777777" w:rsidR="00C42495" w:rsidRDefault="00C4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F4976" w14:textId="293CE4BE" w:rsidR="002E3448" w:rsidRPr="00B91F8B" w:rsidRDefault="002E3448" w:rsidP="00D22B6D">
    <w:pPr>
      <w:pStyle w:val="Header"/>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C3A7B" w14:textId="77777777" w:rsidR="00C42495" w:rsidRDefault="00C4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C452B"/>
    <w:multiLevelType w:val="hybridMultilevel"/>
    <w:tmpl w:val="BE5A0AAE"/>
    <w:lvl w:ilvl="0" w:tplc="E6E218C2">
      <w:start w:val="1"/>
      <w:numFmt w:val="upperRoman"/>
      <w:lvlText w:val="%1."/>
      <w:lvlJc w:val="left"/>
      <w:pPr>
        <w:ind w:left="1080" w:hanging="720"/>
      </w:pPr>
      <w:rPr>
        <w:rFonts w:hint="default"/>
      </w:rPr>
    </w:lvl>
    <w:lvl w:ilvl="1" w:tplc="406251B4" w:tentative="1">
      <w:start w:val="1"/>
      <w:numFmt w:val="lowerLetter"/>
      <w:lvlText w:val="%2."/>
      <w:lvlJc w:val="left"/>
      <w:pPr>
        <w:ind w:left="1440" w:hanging="360"/>
      </w:pPr>
    </w:lvl>
    <w:lvl w:ilvl="2" w:tplc="E3026114" w:tentative="1">
      <w:start w:val="1"/>
      <w:numFmt w:val="lowerRoman"/>
      <w:lvlText w:val="%3."/>
      <w:lvlJc w:val="right"/>
      <w:pPr>
        <w:ind w:left="2160" w:hanging="180"/>
      </w:pPr>
    </w:lvl>
    <w:lvl w:ilvl="3" w:tplc="A88EF9E2" w:tentative="1">
      <w:start w:val="1"/>
      <w:numFmt w:val="decimal"/>
      <w:lvlText w:val="%4."/>
      <w:lvlJc w:val="left"/>
      <w:pPr>
        <w:ind w:left="2880" w:hanging="360"/>
      </w:pPr>
    </w:lvl>
    <w:lvl w:ilvl="4" w:tplc="FBEA0A18" w:tentative="1">
      <w:start w:val="1"/>
      <w:numFmt w:val="lowerLetter"/>
      <w:lvlText w:val="%5."/>
      <w:lvlJc w:val="left"/>
      <w:pPr>
        <w:ind w:left="3600" w:hanging="360"/>
      </w:pPr>
    </w:lvl>
    <w:lvl w:ilvl="5" w:tplc="839C5EA6" w:tentative="1">
      <w:start w:val="1"/>
      <w:numFmt w:val="lowerRoman"/>
      <w:lvlText w:val="%6."/>
      <w:lvlJc w:val="right"/>
      <w:pPr>
        <w:ind w:left="4320" w:hanging="180"/>
      </w:pPr>
    </w:lvl>
    <w:lvl w:ilvl="6" w:tplc="9BE2B0F0" w:tentative="1">
      <w:start w:val="1"/>
      <w:numFmt w:val="decimal"/>
      <w:lvlText w:val="%7."/>
      <w:lvlJc w:val="left"/>
      <w:pPr>
        <w:ind w:left="5040" w:hanging="360"/>
      </w:pPr>
    </w:lvl>
    <w:lvl w:ilvl="7" w:tplc="681C9BC4" w:tentative="1">
      <w:start w:val="1"/>
      <w:numFmt w:val="lowerLetter"/>
      <w:lvlText w:val="%8."/>
      <w:lvlJc w:val="left"/>
      <w:pPr>
        <w:ind w:left="5760" w:hanging="360"/>
      </w:pPr>
    </w:lvl>
    <w:lvl w:ilvl="8" w:tplc="5E18308C" w:tentative="1">
      <w:start w:val="1"/>
      <w:numFmt w:val="lowerRoman"/>
      <w:lvlText w:val="%9."/>
      <w:lvlJc w:val="right"/>
      <w:pPr>
        <w:ind w:left="6480" w:hanging="180"/>
      </w:pPr>
    </w:lvl>
  </w:abstractNum>
  <w:abstractNum w:abstractNumId="1" w15:restartNumberingAfterBreak="0">
    <w:nsid w:val="1B1E7D42"/>
    <w:multiLevelType w:val="hybridMultilevel"/>
    <w:tmpl w:val="A8CC11C4"/>
    <w:lvl w:ilvl="0" w:tplc="6CEC20C6">
      <w:start w:val="1"/>
      <w:numFmt w:val="upperRoman"/>
      <w:pStyle w:val="Heading1"/>
      <w:lvlText w:val="%1."/>
      <w:lvlJc w:val="right"/>
      <w:pPr>
        <w:ind w:left="72" w:hanging="72"/>
      </w:pPr>
      <w:rPr>
        <w:rFonts w:hint="default"/>
        <w:b/>
        <w:i w:val="0"/>
        <w:sz w:val="26"/>
      </w:rPr>
    </w:lvl>
    <w:lvl w:ilvl="1" w:tplc="A456191A" w:tentative="1">
      <w:start w:val="1"/>
      <w:numFmt w:val="lowerLetter"/>
      <w:lvlText w:val="%2."/>
      <w:lvlJc w:val="left"/>
      <w:pPr>
        <w:ind w:left="8010" w:hanging="360"/>
      </w:pPr>
    </w:lvl>
    <w:lvl w:ilvl="2" w:tplc="4AE2424E" w:tentative="1">
      <w:start w:val="1"/>
      <w:numFmt w:val="lowerRoman"/>
      <w:lvlText w:val="%3."/>
      <w:lvlJc w:val="right"/>
      <w:pPr>
        <w:ind w:left="8730" w:hanging="180"/>
      </w:pPr>
    </w:lvl>
    <w:lvl w:ilvl="3" w:tplc="F908522A" w:tentative="1">
      <w:start w:val="1"/>
      <w:numFmt w:val="decimal"/>
      <w:lvlText w:val="%4."/>
      <w:lvlJc w:val="left"/>
      <w:pPr>
        <w:ind w:left="9450" w:hanging="360"/>
      </w:pPr>
    </w:lvl>
    <w:lvl w:ilvl="4" w:tplc="9D2E6124" w:tentative="1">
      <w:start w:val="1"/>
      <w:numFmt w:val="lowerLetter"/>
      <w:lvlText w:val="%5."/>
      <w:lvlJc w:val="left"/>
      <w:pPr>
        <w:ind w:left="10170" w:hanging="360"/>
      </w:pPr>
    </w:lvl>
    <w:lvl w:ilvl="5" w:tplc="1C042D50" w:tentative="1">
      <w:start w:val="1"/>
      <w:numFmt w:val="lowerRoman"/>
      <w:lvlText w:val="%6."/>
      <w:lvlJc w:val="right"/>
      <w:pPr>
        <w:ind w:left="10890" w:hanging="180"/>
      </w:pPr>
    </w:lvl>
    <w:lvl w:ilvl="6" w:tplc="ACDAC7CC" w:tentative="1">
      <w:start w:val="1"/>
      <w:numFmt w:val="decimal"/>
      <w:lvlText w:val="%7."/>
      <w:lvlJc w:val="left"/>
      <w:pPr>
        <w:ind w:left="11610" w:hanging="360"/>
      </w:pPr>
    </w:lvl>
    <w:lvl w:ilvl="7" w:tplc="6BA2A72C" w:tentative="1">
      <w:start w:val="1"/>
      <w:numFmt w:val="lowerLetter"/>
      <w:lvlText w:val="%8."/>
      <w:lvlJc w:val="left"/>
      <w:pPr>
        <w:ind w:left="12330" w:hanging="360"/>
      </w:pPr>
    </w:lvl>
    <w:lvl w:ilvl="8" w:tplc="E116A02A" w:tentative="1">
      <w:start w:val="1"/>
      <w:numFmt w:val="lowerRoman"/>
      <w:lvlText w:val="%9."/>
      <w:lvlJc w:val="right"/>
      <w:pPr>
        <w:ind w:left="13050" w:hanging="180"/>
      </w:pPr>
    </w:lvl>
  </w:abstractNum>
  <w:abstractNum w:abstractNumId="2" w15:restartNumberingAfterBreak="0">
    <w:nsid w:val="30C65D73"/>
    <w:multiLevelType w:val="hybridMultilevel"/>
    <w:tmpl w:val="BBD6B2C6"/>
    <w:lvl w:ilvl="0" w:tplc="7710116A">
      <w:start w:val="1"/>
      <w:numFmt w:val="upperLetter"/>
      <w:lvlText w:val="%1."/>
      <w:lvlJc w:val="left"/>
      <w:pPr>
        <w:ind w:left="794" w:hanging="360"/>
      </w:pPr>
    </w:lvl>
    <w:lvl w:ilvl="1" w:tplc="73CE07B8" w:tentative="1">
      <w:start w:val="1"/>
      <w:numFmt w:val="lowerLetter"/>
      <w:lvlText w:val="%2."/>
      <w:lvlJc w:val="left"/>
      <w:pPr>
        <w:ind w:left="1514" w:hanging="360"/>
      </w:pPr>
    </w:lvl>
    <w:lvl w:ilvl="2" w:tplc="89144276" w:tentative="1">
      <w:start w:val="1"/>
      <w:numFmt w:val="lowerRoman"/>
      <w:lvlText w:val="%3."/>
      <w:lvlJc w:val="right"/>
      <w:pPr>
        <w:ind w:left="2234" w:hanging="180"/>
      </w:pPr>
    </w:lvl>
    <w:lvl w:ilvl="3" w:tplc="3508F244" w:tentative="1">
      <w:start w:val="1"/>
      <w:numFmt w:val="decimal"/>
      <w:lvlText w:val="%4."/>
      <w:lvlJc w:val="left"/>
      <w:pPr>
        <w:ind w:left="2954" w:hanging="360"/>
      </w:pPr>
    </w:lvl>
    <w:lvl w:ilvl="4" w:tplc="DABAA9D4" w:tentative="1">
      <w:start w:val="1"/>
      <w:numFmt w:val="lowerLetter"/>
      <w:lvlText w:val="%5."/>
      <w:lvlJc w:val="left"/>
      <w:pPr>
        <w:ind w:left="3674" w:hanging="360"/>
      </w:pPr>
    </w:lvl>
    <w:lvl w:ilvl="5" w:tplc="9E2EBF16" w:tentative="1">
      <w:start w:val="1"/>
      <w:numFmt w:val="lowerRoman"/>
      <w:lvlText w:val="%6."/>
      <w:lvlJc w:val="right"/>
      <w:pPr>
        <w:ind w:left="4394" w:hanging="180"/>
      </w:pPr>
    </w:lvl>
    <w:lvl w:ilvl="6" w:tplc="50E48FF0" w:tentative="1">
      <w:start w:val="1"/>
      <w:numFmt w:val="decimal"/>
      <w:lvlText w:val="%7."/>
      <w:lvlJc w:val="left"/>
      <w:pPr>
        <w:ind w:left="5114" w:hanging="360"/>
      </w:pPr>
    </w:lvl>
    <w:lvl w:ilvl="7" w:tplc="63F296A4" w:tentative="1">
      <w:start w:val="1"/>
      <w:numFmt w:val="lowerLetter"/>
      <w:lvlText w:val="%8."/>
      <w:lvlJc w:val="left"/>
      <w:pPr>
        <w:ind w:left="5834" w:hanging="360"/>
      </w:pPr>
    </w:lvl>
    <w:lvl w:ilvl="8" w:tplc="79506000" w:tentative="1">
      <w:start w:val="1"/>
      <w:numFmt w:val="lowerRoman"/>
      <w:lvlText w:val="%9."/>
      <w:lvlJc w:val="right"/>
      <w:pPr>
        <w:ind w:left="6554" w:hanging="180"/>
      </w:pPr>
    </w:lvl>
  </w:abstractNum>
  <w:abstractNum w:abstractNumId="3" w15:restartNumberingAfterBreak="0">
    <w:nsid w:val="36DD0964"/>
    <w:multiLevelType w:val="hybridMultilevel"/>
    <w:tmpl w:val="3DDEBC36"/>
    <w:lvl w:ilvl="0" w:tplc="36547D48">
      <w:start w:val="1"/>
      <w:numFmt w:val="upperLetter"/>
      <w:lvlText w:val="%1."/>
      <w:lvlJc w:val="left"/>
      <w:pPr>
        <w:ind w:left="720" w:hanging="360"/>
      </w:pPr>
      <w:rPr>
        <w:i w:val="0"/>
        <w:iCs w:val="0"/>
      </w:rPr>
    </w:lvl>
    <w:lvl w:ilvl="1" w:tplc="BA04A614" w:tentative="1">
      <w:start w:val="1"/>
      <w:numFmt w:val="lowerLetter"/>
      <w:lvlText w:val="%2."/>
      <w:lvlJc w:val="left"/>
      <w:pPr>
        <w:ind w:left="1440" w:hanging="360"/>
      </w:pPr>
    </w:lvl>
    <w:lvl w:ilvl="2" w:tplc="FCC82834" w:tentative="1">
      <w:start w:val="1"/>
      <w:numFmt w:val="lowerRoman"/>
      <w:lvlText w:val="%3."/>
      <w:lvlJc w:val="right"/>
      <w:pPr>
        <w:ind w:left="2160" w:hanging="180"/>
      </w:pPr>
    </w:lvl>
    <w:lvl w:ilvl="3" w:tplc="A280B71C" w:tentative="1">
      <w:start w:val="1"/>
      <w:numFmt w:val="decimal"/>
      <w:lvlText w:val="%4."/>
      <w:lvlJc w:val="left"/>
      <w:pPr>
        <w:ind w:left="2880" w:hanging="360"/>
      </w:pPr>
    </w:lvl>
    <w:lvl w:ilvl="4" w:tplc="321484C0" w:tentative="1">
      <w:start w:val="1"/>
      <w:numFmt w:val="lowerLetter"/>
      <w:lvlText w:val="%5."/>
      <w:lvlJc w:val="left"/>
      <w:pPr>
        <w:ind w:left="3600" w:hanging="360"/>
      </w:pPr>
    </w:lvl>
    <w:lvl w:ilvl="5" w:tplc="35708F2C" w:tentative="1">
      <w:start w:val="1"/>
      <w:numFmt w:val="lowerRoman"/>
      <w:lvlText w:val="%6."/>
      <w:lvlJc w:val="right"/>
      <w:pPr>
        <w:ind w:left="4320" w:hanging="180"/>
      </w:pPr>
    </w:lvl>
    <w:lvl w:ilvl="6" w:tplc="2B781DE4" w:tentative="1">
      <w:start w:val="1"/>
      <w:numFmt w:val="decimal"/>
      <w:lvlText w:val="%7."/>
      <w:lvlJc w:val="left"/>
      <w:pPr>
        <w:ind w:left="5040" w:hanging="360"/>
      </w:pPr>
    </w:lvl>
    <w:lvl w:ilvl="7" w:tplc="23504168" w:tentative="1">
      <w:start w:val="1"/>
      <w:numFmt w:val="lowerLetter"/>
      <w:lvlText w:val="%8."/>
      <w:lvlJc w:val="left"/>
      <w:pPr>
        <w:ind w:left="5760" w:hanging="360"/>
      </w:pPr>
    </w:lvl>
    <w:lvl w:ilvl="8" w:tplc="9FB4575C" w:tentative="1">
      <w:start w:val="1"/>
      <w:numFmt w:val="lowerRoman"/>
      <w:lvlText w:val="%9."/>
      <w:lvlJc w:val="right"/>
      <w:pPr>
        <w:ind w:left="6480" w:hanging="180"/>
      </w:pPr>
    </w:lvl>
  </w:abstractNum>
  <w:abstractNum w:abstractNumId="4" w15:restartNumberingAfterBreak="0">
    <w:nsid w:val="38555485"/>
    <w:multiLevelType w:val="hybridMultilevel"/>
    <w:tmpl w:val="6A4A3494"/>
    <w:lvl w:ilvl="0" w:tplc="EA44C2F4">
      <w:start w:val="1"/>
      <w:numFmt w:val="decimal"/>
      <w:pStyle w:val="Heading3"/>
      <w:lvlText w:val="%1."/>
      <w:lvlJc w:val="left"/>
      <w:pPr>
        <w:ind w:left="1080" w:hanging="360"/>
      </w:pPr>
    </w:lvl>
    <w:lvl w:ilvl="1" w:tplc="91226858" w:tentative="1">
      <w:start w:val="1"/>
      <w:numFmt w:val="lowerLetter"/>
      <w:lvlText w:val="%2."/>
      <w:lvlJc w:val="left"/>
      <w:pPr>
        <w:ind w:left="1800" w:hanging="360"/>
      </w:pPr>
    </w:lvl>
    <w:lvl w:ilvl="2" w:tplc="6194F992" w:tentative="1">
      <w:start w:val="1"/>
      <w:numFmt w:val="lowerRoman"/>
      <w:lvlText w:val="%3."/>
      <w:lvlJc w:val="right"/>
      <w:pPr>
        <w:ind w:left="2520" w:hanging="180"/>
      </w:pPr>
    </w:lvl>
    <w:lvl w:ilvl="3" w:tplc="1C624E7A" w:tentative="1">
      <w:start w:val="1"/>
      <w:numFmt w:val="decimal"/>
      <w:lvlText w:val="%4."/>
      <w:lvlJc w:val="left"/>
      <w:pPr>
        <w:ind w:left="3240" w:hanging="360"/>
      </w:pPr>
    </w:lvl>
    <w:lvl w:ilvl="4" w:tplc="09B26C90" w:tentative="1">
      <w:start w:val="1"/>
      <w:numFmt w:val="lowerLetter"/>
      <w:lvlText w:val="%5."/>
      <w:lvlJc w:val="left"/>
      <w:pPr>
        <w:ind w:left="3960" w:hanging="360"/>
      </w:pPr>
    </w:lvl>
    <w:lvl w:ilvl="5" w:tplc="5CF49692" w:tentative="1">
      <w:start w:val="1"/>
      <w:numFmt w:val="lowerRoman"/>
      <w:lvlText w:val="%6."/>
      <w:lvlJc w:val="right"/>
      <w:pPr>
        <w:ind w:left="4680" w:hanging="180"/>
      </w:pPr>
    </w:lvl>
    <w:lvl w:ilvl="6" w:tplc="D99029EC" w:tentative="1">
      <w:start w:val="1"/>
      <w:numFmt w:val="decimal"/>
      <w:lvlText w:val="%7."/>
      <w:lvlJc w:val="left"/>
      <w:pPr>
        <w:ind w:left="5400" w:hanging="360"/>
      </w:pPr>
    </w:lvl>
    <w:lvl w:ilvl="7" w:tplc="9412FF72" w:tentative="1">
      <w:start w:val="1"/>
      <w:numFmt w:val="lowerLetter"/>
      <w:lvlText w:val="%8."/>
      <w:lvlJc w:val="left"/>
      <w:pPr>
        <w:ind w:left="6120" w:hanging="360"/>
      </w:pPr>
    </w:lvl>
    <w:lvl w:ilvl="8" w:tplc="6F6C1946" w:tentative="1">
      <w:start w:val="1"/>
      <w:numFmt w:val="lowerRoman"/>
      <w:lvlText w:val="%9."/>
      <w:lvlJc w:val="right"/>
      <w:pPr>
        <w:ind w:left="6840" w:hanging="180"/>
      </w:pPr>
    </w:lvl>
  </w:abstractNum>
  <w:abstractNum w:abstractNumId="5" w15:restartNumberingAfterBreak="0">
    <w:nsid w:val="3BC53C32"/>
    <w:multiLevelType w:val="hybridMultilevel"/>
    <w:tmpl w:val="3D485B22"/>
    <w:lvl w:ilvl="0" w:tplc="4972307C">
      <w:start w:val="1"/>
      <w:numFmt w:val="upperLetter"/>
      <w:pStyle w:val="Heading2"/>
      <w:lvlText w:val="%1."/>
      <w:lvlJc w:val="left"/>
      <w:pPr>
        <w:ind w:left="720" w:hanging="360"/>
      </w:pPr>
      <w:rPr>
        <w:i w:val="0"/>
        <w:iCs/>
      </w:rPr>
    </w:lvl>
    <w:lvl w:ilvl="1" w:tplc="8F3204E8" w:tentative="1">
      <w:start w:val="1"/>
      <w:numFmt w:val="lowerLetter"/>
      <w:lvlText w:val="%2."/>
      <w:lvlJc w:val="left"/>
      <w:pPr>
        <w:ind w:left="1440" w:hanging="360"/>
      </w:pPr>
    </w:lvl>
    <w:lvl w:ilvl="2" w:tplc="BAFE4A44" w:tentative="1">
      <w:start w:val="1"/>
      <w:numFmt w:val="lowerRoman"/>
      <w:lvlText w:val="%3."/>
      <w:lvlJc w:val="right"/>
      <w:pPr>
        <w:ind w:left="2160" w:hanging="180"/>
      </w:pPr>
    </w:lvl>
    <w:lvl w:ilvl="3" w:tplc="6A9E8C6A" w:tentative="1">
      <w:start w:val="1"/>
      <w:numFmt w:val="decimal"/>
      <w:lvlText w:val="%4."/>
      <w:lvlJc w:val="left"/>
      <w:pPr>
        <w:ind w:left="2880" w:hanging="360"/>
      </w:pPr>
    </w:lvl>
    <w:lvl w:ilvl="4" w:tplc="680ABDAC" w:tentative="1">
      <w:start w:val="1"/>
      <w:numFmt w:val="lowerLetter"/>
      <w:lvlText w:val="%5."/>
      <w:lvlJc w:val="left"/>
      <w:pPr>
        <w:ind w:left="3600" w:hanging="360"/>
      </w:pPr>
    </w:lvl>
    <w:lvl w:ilvl="5" w:tplc="03148324" w:tentative="1">
      <w:start w:val="1"/>
      <w:numFmt w:val="lowerRoman"/>
      <w:lvlText w:val="%6."/>
      <w:lvlJc w:val="right"/>
      <w:pPr>
        <w:ind w:left="4320" w:hanging="180"/>
      </w:pPr>
    </w:lvl>
    <w:lvl w:ilvl="6" w:tplc="6D3ABFF2" w:tentative="1">
      <w:start w:val="1"/>
      <w:numFmt w:val="decimal"/>
      <w:lvlText w:val="%7."/>
      <w:lvlJc w:val="left"/>
      <w:pPr>
        <w:ind w:left="5040" w:hanging="360"/>
      </w:pPr>
    </w:lvl>
    <w:lvl w:ilvl="7" w:tplc="3EDAC634" w:tentative="1">
      <w:start w:val="1"/>
      <w:numFmt w:val="lowerLetter"/>
      <w:lvlText w:val="%8."/>
      <w:lvlJc w:val="left"/>
      <w:pPr>
        <w:ind w:left="5760" w:hanging="360"/>
      </w:pPr>
    </w:lvl>
    <w:lvl w:ilvl="8" w:tplc="427E6F56" w:tentative="1">
      <w:start w:val="1"/>
      <w:numFmt w:val="lowerRoman"/>
      <w:lvlText w:val="%9."/>
      <w:lvlJc w:val="right"/>
      <w:pPr>
        <w:ind w:left="6480" w:hanging="180"/>
      </w:pPr>
    </w:lvl>
  </w:abstractNum>
  <w:abstractNum w:abstractNumId="6" w15:restartNumberingAfterBreak="0">
    <w:nsid w:val="45BF0187"/>
    <w:multiLevelType w:val="hybridMultilevel"/>
    <w:tmpl w:val="93DA97E0"/>
    <w:lvl w:ilvl="0" w:tplc="1A6C2AEE">
      <w:start w:val="1"/>
      <w:numFmt w:val="decimal"/>
      <w:lvlText w:val="%1."/>
      <w:lvlJc w:val="left"/>
      <w:pPr>
        <w:ind w:left="720" w:hanging="360"/>
      </w:pPr>
      <w:rPr>
        <w:rFonts w:hint="default"/>
      </w:rPr>
    </w:lvl>
    <w:lvl w:ilvl="1" w:tplc="49E40D7E" w:tentative="1">
      <w:start w:val="1"/>
      <w:numFmt w:val="lowerLetter"/>
      <w:lvlText w:val="%2."/>
      <w:lvlJc w:val="left"/>
      <w:pPr>
        <w:ind w:left="1440" w:hanging="360"/>
      </w:pPr>
    </w:lvl>
    <w:lvl w:ilvl="2" w:tplc="13FE6E98" w:tentative="1">
      <w:start w:val="1"/>
      <w:numFmt w:val="lowerRoman"/>
      <w:lvlText w:val="%3."/>
      <w:lvlJc w:val="right"/>
      <w:pPr>
        <w:ind w:left="2160" w:hanging="180"/>
      </w:pPr>
    </w:lvl>
    <w:lvl w:ilvl="3" w:tplc="4E08DDC0" w:tentative="1">
      <w:start w:val="1"/>
      <w:numFmt w:val="decimal"/>
      <w:lvlText w:val="%4."/>
      <w:lvlJc w:val="left"/>
      <w:pPr>
        <w:ind w:left="2880" w:hanging="360"/>
      </w:pPr>
    </w:lvl>
    <w:lvl w:ilvl="4" w:tplc="C770972A" w:tentative="1">
      <w:start w:val="1"/>
      <w:numFmt w:val="lowerLetter"/>
      <w:lvlText w:val="%5."/>
      <w:lvlJc w:val="left"/>
      <w:pPr>
        <w:ind w:left="3600" w:hanging="360"/>
      </w:pPr>
    </w:lvl>
    <w:lvl w:ilvl="5" w:tplc="B192BF4C" w:tentative="1">
      <w:start w:val="1"/>
      <w:numFmt w:val="lowerRoman"/>
      <w:lvlText w:val="%6."/>
      <w:lvlJc w:val="right"/>
      <w:pPr>
        <w:ind w:left="4320" w:hanging="180"/>
      </w:pPr>
    </w:lvl>
    <w:lvl w:ilvl="6" w:tplc="704444D6" w:tentative="1">
      <w:start w:val="1"/>
      <w:numFmt w:val="decimal"/>
      <w:lvlText w:val="%7."/>
      <w:lvlJc w:val="left"/>
      <w:pPr>
        <w:ind w:left="5040" w:hanging="360"/>
      </w:pPr>
    </w:lvl>
    <w:lvl w:ilvl="7" w:tplc="22A2F79E" w:tentative="1">
      <w:start w:val="1"/>
      <w:numFmt w:val="lowerLetter"/>
      <w:lvlText w:val="%8."/>
      <w:lvlJc w:val="left"/>
      <w:pPr>
        <w:ind w:left="5760" w:hanging="360"/>
      </w:pPr>
    </w:lvl>
    <w:lvl w:ilvl="8" w:tplc="F9803412" w:tentative="1">
      <w:start w:val="1"/>
      <w:numFmt w:val="lowerRoman"/>
      <w:lvlText w:val="%9."/>
      <w:lvlJc w:val="right"/>
      <w:pPr>
        <w:ind w:left="6480" w:hanging="180"/>
      </w:pPr>
    </w:lvl>
  </w:abstractNum>
  <w:abstractNum w:abstractNumId="7" w15:restartNumberingAfterBreak="0">
    <w:nsid w:val="46002679"/>
    <w:multiLevelType w:val="hybridMultilevel"/>
    <w:tmpl w:val="68A03632"/>
    <w:lvl w:ilvl="0" w:tplc="B53EB656">
      <w:start w:val="1"/>
      <w:numFmt w:val="upperLetter"/>
      <w:lvlText w:val="%1."/>
      <w:lvlJc w:val="left"/>
      <w:pPr>
        <w:ind w:left="720" w:hanging="360"/>
      </w:pPr>
    </w:lvl>
    <w:lvl w:ilvl="1" w:tplc="95E275CE" w:tentative="1">
      <w:start w:val="1"/>
      <w:numFmt w:val="lowerLetter"/>
      <w:lvlText w:val="%2."/>
      <w:lvlJc w:val="left"/>
      <w:pPr>
        <w:ind w:left="1440" w:hanging="360"/>
      </w:pPr>
    </w:lvl>
    <w:lvl w:ilvl="2" w:tplc="BD76EB70" w:tentative="1">
      <w:start w:val="1"/>
      <w:numFmt w:val="lowerRoman"/>
      <w:lvlText w:val="%3."/>
      <w:lvlJc w:val="right"/>
      <w:pPr>
        <w:ind w:left="2160" w:hanging="180"/>
      </w:pPr>
    </w:lvl>
    <w:lvl w:ilvl="3" w:tplc="B03EDFDC" w:tentative="1">
      <w:start w:val="1"/>
      <w:numFmt w:val="decimal"/>
      <w:lvlText w:val="%4."/>
      <w:lvlJc w:val="left"/>
      <w:pPr>
        <w:ind w:left="2880" w:hanging="360"/>
      </w:pPr>
    </w:lvl>
    <w:lvl w:ilvl="4" w:tplc="83FE2C04" w:tentative="1">
      <w:start w:val="1"/>
      <w:numFmt w:val="lowerLetter"/>
      <w:lvlText w:val="%5."/>
      <w:lvlJc w:val="left"/>
      <w:pPr>
        <w:ind w:left="3600" w:hanging="360"/>
      </w:pPr>
    </w:lvl>
    <w:lvl w:ilvl="5" w:tplc="EA2AFAAC" w:tentative="1">
      <w:start w:val="1"/>
      <w:numFmt w:val="lowerRoman"/>
      <w:lvlText w:val="%6."/>
      <w:lvlJc w:val="right"/>
      <w:pPr>
        <w:ind w:left="4320" w:hanging="180"/>
      </w:pPr>
    </w:lvl>
    <w:lvl w:ilvl="6" w:tplc="49A6D0AA" w:tentative="1">
      <w:start w:val="1"/>
      <w:numFmt w:val="decimal"/>
      <w:lvlText w:val="%7."/>
      <w:lvlJc w:val="left"/>
      <w:pPr>
        <w:ind w:left="5040" w:hanging="360"/>
      </w:pPr>
    </w:lvl>
    <w:lvl w:ilvl="7" w:tplc="A29266AE" w:tentative="1">
      <w:start w:val="1"/>
      <w:numFmt w:val="lowerLetter"/>
      <w:lvlText w:val="%8."/>
      <w:lvlJc w:val="left"/>
      <w:pPr>
        <w:ind w:left="5760" w:hanging="360"/>
      </w:pPr>
    </w:lvl>
    <w:lvl w:ilvl="8" w:tplc="9BCED4E6" w:tentative="1">
      <w:start w:val="1"/>
      <w:numFmt w:val="lowerRoman"/>
      <w:lvlText w:val="%9."/>
      <w:lvlJc w:val="right"/>
      <w:pPr>
        <w:ind w:left="6480" w:hanging="180"/>
      </w:pPr>
    </w:lvl>
  </w:abstractNum>
  <w:abstractNum w:abstractNumId="8" w15:restartNumberingAfterBreak="0">
    <w:nsid w:val="4A7C30E2"/>
    <w:multiLevelType w:val="hybridMultilevel"/>
    <w:tmpl w:val="1FC2E096"/>
    <w:lvl w:ilvl="0" w:tplc="A4142BEC">
      <w:start w:val="1"/>
      <w:numFmt w:val="lowerLetter"/>
      <w:pStyle w:val="Heading4"/>
      <w:lvlText w:val="%1."/>
      <w:lvlJc w:val="left"/>
      <w:pPr>
        <w:ind w:left="1440" w:hanging="360"/>
      </w:pPr>
      <w:rPr>
        <w:rFonts w:hint="default"/>
        <w:i w:val="0"/>
        <w:iCs w:val="0"/>
      </w:rPr>
    </w:lvl>
    <w:lvl w:ilvl="1" w:tplc="6AC0E182" w:tentative="1">
      <w:start w:val="1"/>
      <w:numFmt w:val="lowerLetter"/>
      <w:lvlText w:val="%2."/>
      <w:lvlJc w:val="left"/>
      <w:pPr>
        <w:ind w:left="2160" w:hanging="360"/>
      </w:pPr>
    </w:lvl>
    <w:lvl w:ilvl="2" w:tplc="B518F75A" w:tentative="1">
      <w:start w:val="1"/>
      <w:numFmt w:val="lowerRoman"/>
      <w:lvlText w:val="%3."/>
      <w:lvlJc w:val="right"/>
      <w:pPr>
        <w:ind w:left="2880" w:hanging="180"/>
      </w:pPr>
    </w:lvl>
    <w:lvl w:ilvl="3" w:tplc="DE74863E" w:tentative="1">
      <w:start w:val="1"/>
      <w:numFmt w:val="decimal"/>
      <w:lvlText w:val="%4."/>
      <w:lvlJc w:val="left"/>
      <w:pPr>
        <w:ind w:left="3600" w:hanging="360"/>
      </w:pPr>
    </w:lvl>
    <w:lvl w:ilvl="4" w:tplc="A2E6BF3E" w:tentative="1">
      <w:start w:val="1"/>
      <w:numFmt w:val="lowerLetter"/>
      <w:lvlText w:val="%5."/>
      <w:lvlJc w:val="left"/>
      <w:pPr>
        <w:ind w:left="4320" w:hanging="360"/>
      </w:pPr>
    </w:lvl>
    <w:lvl w:ilvl="5" w:tplc="4D0ACE2A" w:tentative="1">
      <w:start w:val="1"/>
      <w:numFmt w:val="lowerRoman"/>
      <w:lvlText w:val="%6."/>
      <w:lvlJc w:val="right"/>
      <w:pPr>
        <w:ind w:left="5040" w:hanging="180"/>
      </w:pPr>
    </w:lvl>
    <w:lvl w:ilvl="6" w:tplc="E184172C" w:tentative="1">
      <w:start w:val="1"/>
      <w:numFmt w:val="decimal"/>
      <w:lvlText w:val="%7."/>
      <w:lvlJc w:val="left"/>
      <w:pPr>
        <w:ind w:left="5760" w:hanging="360"/>
      </w:pPr>
    </w:lvl>
    <w:lvl w:ilvl="7" w:tplc="52782978" w:tentative="1">
      <w:start w:val="1"/>
      <w:numFmt w:val="lowerLetter"/>
      <w:lvlText w:val="%8."/>
      <w:lvlJc w:val="left"/>
      <w:pPr>
        <w:ind w:left="6480" w:hanging="360"/>
      </w:pPr>
    </w:lvl>
    <w:lvl w:ilvl="8" w:tplc="6254ADF2" w:tentative="1">
      <w:start w:val="1"/>
      <w:numFmt w:val="lowerRoman"/>
      <w:lvlText w:val="%9."/>
      <w:lvlJc w:val="right"/>
      <w:pPr>
        <w:ind w:left="7200" w:hanging="180"/>
      </w:pPr>
    </w:lvl>
  </w:abstractNum>
  <w:abstractNum w:abstractNumId="9" w15:restartNumberingAfterBreak="0">
    <w:nsid w:val="4D685F05"/>
    <w:multiLevelType w:val="hybridMultilevel"/>
    <w:tmpl w:val="29621E1C"/>
    <w:lvl w:ilvl="0" w:tplc="8B0A8AC0">
      <w:start w:val="1"/>
      <w:numFmt w:val="upperLetter"/>
      <w:lvlText w:val="%1."/>
      <w:lvlJc w:val="left"/>
      <w:pPr>
        <w:ind w:left="720" w:hanging="360"/>
      </w:pPr>
      <w:rPr>
        <w:i w:val="0"/>
        <w:iCs w:val="0"/>
      </w:rPr>
    </w:lvl>
    <w:lvl w:ilvl="1" w:tplc="914481BE" w:tentative="1">
      <w:start w:val="1"/>
      <w:numFmt w:val="lowerLetter"/>
      <w:lvlText w:val="%2."/>
      <w:lvlJc w:val="left"/>
      <w:pPr>
        <w:ind w:left="1440" w:hanging="360"/>
      </w:pPr>
    </w:lvl>
    <w:lvl w:ilvl="2" w:tplc="C67E768C" w:tentative="1">
      <w:start w:val="1"/>
      <w:numFmt w:val="lowerRoman"/>
      <w:lvlText w:val="%3."/>
      <w:lvlJc w:val="right"/>
      <w:pPr>
        <w:ind w:left="2160" w:hanging="180"/>
      </w:pPr>
    </w:lvl>
    <w:lvl w:ilvl="3" w:tplc="4226F786" w:tentative="1">
      <w:start w:val="1"/>
      <w:numFmt w:val="decimal"/>
      <w:lvlText w:val="%4."/>
      <w:lvlJc w:val="left"/>
      <w:pPr>
        <w:ind w:left="2880" w:hanging="360"/>
      </w:pPr>
    </w:lvl>
    <w:lvl w:ilvl="4" w:tplc="84C27A22" w:tentative="1">
      <w:start w:val="1"/>
      <w:numFmt w:val="lowerLetter"/>
      <w:lvlText w:val="%5."/>
      <w:lvlJc w:val="left"/>
      <w:pPr>
        <w:ind w:left="3600" w:hanging="360"/>
      </w:pPr>
    </w:lvl>
    <w:lvl w:ilvl="5" w:tplc="D084D436" w:tentative="1">
      <w:start w:val="1"/>
      <w:numFmt w:val="lowerRoman"/>
      <w:lvlText w:val="%6."/>
      <w:lvlJc w:val="right"/>
      <w:pPr>
        <w:ind w:left="4320" w:hanging="180"/>
      </w:pPr>
    </w:lvl>
    <w:lvl w:ilvl="6" w:tplc="91E20C80" w:tentative="1">
      <w:start w:val="1"/>
      <w:numFmt w:val="decimal"/>
      <w:lvlText w:val="%7."/>
      <w:lvlJc w:val="left"/>
      <w:pPr>
        <w:ind w:left="5040" w:hanging="360"/>
      </w:pPr>
    </w:lvl>
    <w:lvl w:ilvl="7" w:tplc="CF848814" w:tentative="1">
      <w:start w:val="1"/>
      <w:numFmt w:val="lowerLetter"/>
      <w:lvlText w:val="%8."/>
      <w:lvlJc w:val="left"/>
      <w:pPr>
        <w:ind w:left="5760" w:hanging="360"/>
      </w:pPr>
    </w:lvl>
    <w:lvl w:ilvl="8" w:tplc="0554AA12" w:tentative="1">
      <w:start w:val="1"/>
      <w:numFmt w:val="lowerRoman"/>
      <w:lvlText w:val="%9."/>
      <w:lvlJc w:val="right"/>
      <w:pPr>
        <w:ind w:left="6480" w:hanging="180"/>
      </w:pPr>
    </w:lvl>
  </w:abstractNum>
  <w:abstractNum w:abstractNumId="10" w15:restartNumberingAfterBreak="0">
    <w:nsid w:val="608F07FA"/>
    <w:multiLevelType w:val="hybridMultilevel"/>
    <w:tmpl w:val="EA8EDFA0"/>
    <w:lvl w:ilvl="0" w:tplc="E1449ED4">
      <w:start w:val="3"/>
      <w:numFmt w:val="bullet"/>
      <w:lvlText w:val=""/>
      <w:lvlJc w:val="left"/>
      <w:pPr>
        <w:ind w:left="720" w:hanging="360"/>
      </w:pPr>
      <w:rPr>
        <w:rFonts w:ascii="Wingdings" w:eastAsiaTheme="minorHAnsi" w:hAnsi="Wingdings" w:cs="Times New Roman" w:hint="default"/>
      </w:rPr>
    </w:lvl>
    <w:lvl w:ilvl="1" w:tplc="AFBA2326" w:tentative="1">
      <w:start w:val="1"/>
      <w:numFmt w:val="bullet"/>
      <w:lvlText w:val="o"/>
      <w:lvlJc w:val="left"/>
      <w:pPr>
        <w:ind w:left="1440" w:hanging="360"/>
      </w:pPr>
      <w:rPr>
        <w:rFonts w:ascii="Courier New" w:hAnsi="Courier New" w:cs="Courier New" w:hint="default"/>
      </w:rPr>
    </w:lvl>
    <w:lvl w:ilvl="2" w:tplc="BD088F2C" w:tentative="1">
      <w:start w:val="1"/>
      <w:numFmt w:val="bullet"/>
      <w:lvlText w:val=""/>
      <w:lvlJc w:val="left"/>
      <w:pPr>
        <w:ind w:left="2160" w:hanging="360"/>
      </w:pPr>
      <w:rPr>
        <w:rFonts w:ascii="Wingdings" w:hAnsi="Wingdings" w:hint="default"/>
      </w:rPr>
    </w:lvl>
    <w:lvl w:ilvl="3" w:tplc="EFD2E278" w:tentative="1">
      <w:start w:val="1"/>
      <w:numFmt w:val="bullet"/>
      <w:lvlText w:val=""/>
      <w:lvlJc w:val="left"/>
      <w:pPr>
        <w:ind w:left="2880" w:hanging="360"/>
      </w:pPr>
      <w:rPr>
        <w:rFonts w:ascii="Symbol" w:hAnsi="Symbol" w:hint="default"/>
      </w:rPr>
    </w:lvl>
    <w:lvl w:ilvl="4" w:tplc="C0AE73DE" w:tentative="1">
      <w:start w:val="1"/>
      <w:numFmt w:val="bullet"/>
      <w:lvlText w:val="o"/>
      <w:lvlJc w:val="left"/>
      <w:pPr>
        <w:ind w:left="3600" w:hanging="360"/>
      </w:pPr>
      <w:rPr>
        <w:rFonts w:ascii="Courier New" w:hAnsi="Courier New" w:cs="Courier New" w:hint="default"/>
      </w:rPr>
    </w:lvl>
    <w:lvl w:ilvl="5" w:tplc="748ED13C" w:tentative="1">
      <w:start w:val="1"/>
      <w:numFmt w:val="bullet"/>
      <w:lvlText w:val=""/>
      <w:lvlJc w:val="left"/>
      <w:pPr>
        <w:ind w:left="4320" w:hanging="360"/>
      </w:pPr>
      <w:rPr>
        <w:rFonts w:ascii="Wingdings" w:hAnsi="Wingdings" w:hint="default"/>
      </w:rPr>
    </w:lvl>
    <w:lvl w:ilvl="6" w:tplc="6F3262DC" w:tentative="1">
      <w:start w:val="1"/>
      <w:numFmt w:val="bullet"/>
      <w:lvlText w:val=""/>
      <w:lvlJc w:val="left"/>
      <w:pPr>
        <w:ind w:left="5040" w:hanging="360"/>
      </w:pPr>
      <w:rPr>
        <w:rFonts w:ascii="Symbol" w:hAnsi="Symbol" w:hint="default"/>
      </w:rPr>
    </w:lvl>
    <w:lvl w:ilvl="7" w:tplc="14EAC98E" w:tentative="1">
      <w:start w:val="1"/>
      <w:numFmt w:val="bullet"/>
      <w:lvlText w:val="o"/>
      <w:lvlJc w:val="left"/>
      <w:pPr>
        <w:ind w:left="5760" w:hanging="360"/>
      </w:pPr>
      <w:rPr>
        <w:rFonts w:ascii="Courier New" w:hAnsi="Courier New" w:cs="Courier New" w:hint="default"/>
      </w:rPr>
    </w:lvl>
    <w:lvl w:ilvl="8" w:tplc="D61694F2" w:tentative="1">
      <w:start w:val="1"/>
      <w:numFmt w:val="bullet"/>
      <w:lvlText w:val=""/>
      <w:lvlJc w:val="left"/>
      <w:pPr>
        <w:ind w:left="6480" w:hanging="360"/>
      </w:pPr>
      <w:rPr>
        <w:rFonts w:ascii="Wingdings" w:hAnsi="Wingdings" w:hint="default"/>
      </w:rPr>
    </w:lvl>
  </w:abstractNum>
  <w:abstractNum w:abstractNumId="11" w15:restartNumberingAfterBreak="0">
    <w:nsid w:val="62E535B4"/>
    <w:multiLevelType w:val="hybridMultilevel"/>
    <w:tmpl w:val="D82A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441826">
    <w:abstractNumId w:val="1"/>
  </w:num>
  <w:num w:numId="2" w16cid:durableId="562913686">
    <w:abstractNumId w:val="5"/>
  </w:num>
  <w:num w:numId="3" w16cid:durableId="975640415">
    <w:abstractNumId w:val="4"/>
  </w:num>
  <w:num w:numId="4" w16cid:durableId="694119268">
    <w:abstractNumId w:val="8"/>
  </w:num>
  <w:num w:numId="5" w16cid:durableId="2074935591">
    <w:abstractNumId w:val="1"/>
    <w:lvlOverride w:ilvl="0">
      <w:startOverride w:val="1"/>
    </w:lvlOverride>
  </w:num>
  <w:num w:numId="6" w16cid:durableId="1472290053">
    <w:abstractNumId w:val="1"/>
    <w:lvlOverride w:ilvl="0">
      <w:startOverride w:val="1"/>
    </w:lvlOverride>
  </w:num>
  <w:num w:numId="7" w16cid:durableId="1791777356">
    <w:abstractNumId w:val="1"/>
    <w:lvlOverride w:ilvl="0">
      <w:startOverride w:val="1"/>
    </w:lvlOverride>
  </w:num>
  <w:num w:numId="8" w16cid:durableId="156462744">
    <w:abstractNumId w:val="1"/>
    <w:lvlOverride w:ilvl="0">
      <w:startOverride w:val="1"/>
    </w:lvlOverride>
  </w:num>
  <w:num w:numId="9" w16cid:durableId="1163933336">
    <w:abstractNumId w:val="1"/>
    <w:lvlOverride w:ilvl="0">
      <w:startOverride w:val="1"/>
    </w:lvlOverride>
  </w:num>
  <w:num w:numId="10" w16cid:durableId="626158563">
    <w:abstractNumId w:val="1"/>
    <w:lvlOverride w:ilvl="0">
      <w:startOverride w:val="1"/>
    </w:lvlOverride>
  </w:num>
  <w:num w:numId="11" w16cid:durableId="1257523653">
    <w:abstractNumId w:val="1"/>
    <w:lvlOverride w:ilvl="0">
      <w:startOverride w:val="1"/>
    </w:lvlOverride>
  </w:num>
  <w:num w:numId="12" w16cid:durableId="565535228">
    <w:abstractNumId w:val="1"/>
    <w:lvlOverride w:ilvl="0">
      <w:startOverride w:val="1"/>
    </w:lvlOverride>
  </w:num>
  <w:num w:numId="13" w16cid:durableId="218904913">
    <w:abstractNumId w:val="1"/>
    <w:lvlOverride w:ilvl="0">
      <w:startOverride w:val="1"/>
    </w:lvlOverride>
  </w:num>
  <w:num w:numId="14" w16cid:durableId="1966308996">
    <w:abstractNumId w:val="1"/>
    <w:lvlOverride w:ilvl="0">
      <w:startOverride w:val="1"/>
    </w:lvlOverride>
  </w:num>
  <w:num w:numId="15" w16cid:durableId="1009799005">
    <w:abstractNumId w:val="1"/>
    <w:lvlOverride w:ilvl="0">
      <w:startOverride w:val="1"/>
    </w:lvlOverride>
  </w:num>
  <w:num w:numId="16" w16cid:durableId="1710690159">
    <w:abstractNumId w:val="1"/>
    <w:lvlOverride w:ilvl="0">
      <w:startOverride w:val="1"/>
    </w:lvlOverride>
  </w:num>
  <w:num w:numId="17" w16cid:durableId="1401559567">
    <w:abstractNumId w:val="1"/>
    <w:lvlOverride w:ilvl="0">
      <w:startOverride w:val="1"/>
    </w:lvlOverride>
  </w:num>
  <w:num w:numId="18" w16cid:durableId="752775719">
    <w:abstractNumId w:val="0"/>
  </w:num>
  <w:num w:numId="19" w16cid:durableId="1917324733">
    <w:abstractNumId w:val="10"/>
  </w:num>
  <w:num w:numId="20" w16cid:durableId="508832005">
    <w:abstractNumId w:val="6"/>
  </w:num>
  <w:num w:numId="21" w16cid:durableId="457576220">
    <w:abstractNumId w:val="9"/>
  </w:num>
  <w:num w:numId="22" w16cid:durableId="605965043">
    <w:abstractNumId w:val="3"/>
  </w:num>
  <w:num w:numId="23" w16cid:durableId="1378553883">
    <w:abstractNumId w:val="7"/>
  </w:num>
  <w:num w:numId="24" w16cid:durableId="10955880">
    <w:abstractNumId w:val="2"/>
  </w:num>
  <w:num w:numId="25" w16cid:durableId="1241981785">
    <w:abstractNumId w:val="5"/>
    <w:lvlOverride w:ilvl="0">
      <w:startOverride w:val="1"/>
    </w:lvlOverride>
  </w:num>
  <w:num w:numId="26" w16cid:durableId="1832021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04A"/>
    <w:rsid w:val="00000533"/>
    <w:rsid w:val="000005EB"/>
    <w:rsid w:val="00000ACC"/>
    <w:rsid w:val="00000CFD"/>
    <w:rsid w:val="00000D1F"/>
    <w:rsid w:val="0000109F"/>
    <w:rsid w:val="0000117A"/>
    <w:rsid w:val="00002AA4"/>
    <w:rsid w:val="0000300A"/>
    <w:rsid w:val="0000302C"/>
    <w:rsid w:val="000030B9"/>
    <w:rsid w:val="00003B4C"/>
    <w:rsid w:val="00004E75"/>
    <w:rsid w:val="000062AB"/>
    <w:rsid w:val="00006394"/>
    <w:rsid w:val="000067FD"/>
    <w:rsid w:val="000068D0"/>
    <w:rsid w:val="00006EFC"/>
    <w:rsid w:val="0000706F"/>
    <w:rsid w:val="000072F4"/>
    <w:rsid w:val="000077D2"/>
    <w:rsid w:val="00010295"/>
    <w:rsid w:val="000105DF"/>
    <w:rsid w:val="00010FE3"/>
    <w:rsid w:val="0001176B"/>
    <w:rsid w:val="00012E6D"/>
    <w:rsid w:val="0001326A"/>
    <w:rsid w:val="0001340E"/>
    <w:rsid w:val="00013715"/>
    <w:rsid w:val="00013F54"/>
    <w:rsid w:val="000145AA"/>
    <w:rsid w:val="00014F2E"/>
    <w:rsid w:val="000150DB"/>
    <w:rsid w:val="0001556E"/>
    <w:rsid w:val="0001565D"/>
    <w:rsid w:val="00015970"/>
    <w:rsid w:val="000161D5"/>
    <w:rsid w:val="00017140"/>
    <w:rsid w:val="00017246"/>
    <w:rsid w:val="0001724A"/>
    <w:rsid w:val="0002034F"/>
    <w:rsid w:val="00020E37"/>
    <w:rsid w:val="0002121B"/>
    <w:rsid w:val="00021B05"/>
    <w:rsid w:val="00021BE5"/>
    <w:rsid w:val="00022179"/>
    <w:rsid w:val="00022512"/>
    <w:rsid w:val="00022C75"/>
    <w:rsid w:val="00023668"/>
    <w:rsid w:val="00023728"/>
    <w:rsid w:val="00023A5F"/>
    <w:rsid w:val="00023B40"/>
    <w:rsid w:val="00023C27"/>
    <w:rsid w:val="00023DDA"/>
    <w:rsid w:val="00023F08"/>
    <w:rsid w:val="00023FF2"/>
    <w:rsid w:val="0002435C"/>
    <w:rsid w:val="0002449F"/>
    <w:rsid w:val="00024DEE"/>
    <w:rsid w:val="0002713E"/>
    <w:rsid w:val="00027337"/>
    <w:rsid w:val="0002741C"/>
    <w:rsid w:val="000277B4"/>
    <w:rsid w:val="00030137"/>
    <w:rsid w:val="00030731"/>
    <w:rsid w:val="00030963"/>
    <w:rsid w:val="00030DCE"/>
    <w:rsid w:val="00030F63"/>
    <w:rsid w:val="00031273"/>
    <w:rsid w:val="0003157A"/>
    <w:rsid w:val="000318A5"/>
    <w:rsid w:val="00032167"/>
    <w:rsid w:val="0003226B"/>
    <w:rsid w:val="00035028"/>
    <w:rsid w:val="0003520E"/>
    <w:rsid w:val="00035C0E"/>
    <w:rsid w:val="000364A1"/>
    <w:rsid w:val="000371CF"/>
    <w:rsid w:val="00037FD1"/>
    <w:rsid w:val="000401A3"/>
    <w:rsid w:val="000402CB"/>
    <w:rsid w:val="00040D2D"/>
    <w:rsid w:val="000419E5"/>
    <w:rsid w:val="00041BA4"/>
    <w:rsid w:val="0004213E"/>
    <w:rsid w:val="00043268"/>
    <w:rsid w:val="000436BA"/>
    <w:rsid w:val="00043844"/>
    <w:rsid w:val="00043CC7"/>
    <w:rsid w:val="00043E8E"/>
    <w:rsid w:val="00044787"/>
    <w:rsid w:val="000450A7"/>
    <w:rsid w:val="00045223"/>
    <w:rsid w:val="00045EAE"/>
    <w:rsid w:val="0004602F"/>
    <w:rsid w:val="000461AA"/>
    <w:rsid w:val="000462DD"/>
    <w:rsid w:val="000469A1"/>
    <w:rsid w:val="00047DD2"/>
    <w:rsid w:val="00047F73"/>
    <w:rsid w:val="00050212"/>
    <w:rsid w:val="00050298"/>
    <w:rsid w:val="0005075F"/>
    <w:rsid w:val="00050C5B"/>
    <w:rsid w:val="00051590"/>
    <w:rsid w:val="00051889"/>
    <w:rsid w:val="00052223"/>
    <w:rsid w:val="000523C6"/>
    <w:rsid w:val="00052572"/>
    <w:rsid w:val="0005260D"/>
    <w:rsid w:val="0005280C"/>
    <w:rsid w:val="000529F3"/>
    <w:rsid w:val="00053836"/>
    <w:rsid w:val="0005409E"/>
    <w:rsid w:val="00054618"/>
    <w:rsid w:val="0005569C"/>
    <w:rsid w:val="00055E2F"/>
    <w:rsid w:val="00056556"/>
    <w:rsid w:val="00057380"/>
    <w:rsid w:val="0005774A"/>
    <w:rsid w:val="000579C4"/>
    <w:rsid w:val="000579DC"/>
    <w:rsid w:val="0006081F"/>
    <w:rsid w:val="000608CE"/>
    <w:rsid w:val="000611B1"/>
    <w:rsid w:val="0006161C"/>
    <w:rsid w:val="00062074"/>
    <w:rsid w:val="000628AA"/>
    <w:rsid w:val="00062D82"/>
    <w:rsid w:val="00063913"/>
    <w:rsid w:val="00063F27"/>
    <w:rsid w:val="00063FC7"/>
    <w:rsid w:val="00064169"/>
    <w:rsid w:val="000645B6"/>
    <w:rsid w:val="00064A2A"/>
    <w:rsid w:val="00064ACD"/>
    <w:rsid w:val="00064C83"/>
    <w:rsid w:val="000651BB"/>
    <w:rsid w:val="000656F5"/>
    <w:rsid w:val="00065DA2"/>
    <w:rsid w:val="00065E62"/>
    <w:rsid w:val="00065F70"/>
    <w:rsid w:val="000665FD"/>
    <w:rsid w:val="00066967"/>
    <w:rsid w:val="00066CA6"/>
    <w:rsid w:val="00066D6E"/>
    <w:rsid w:val="00067367"/>
    <w:rsid w:val="00067985"/>
    <w:rsid w:val="0007018C"/>
    <w:rsid w:val="00070F67"/>
    <w:rsid w:val="000710B4"/>
    <w:rsid w:val="000714D5"/>
    <w:rsid w:val="000715D0"/>
    <w:rsid w:val="00071830"/>
    <w:rsid w:val="000719E7"/>
    <w:rsid w:val="00071D57"/>
    <w:rsid w:val="000720FD"/>
    <w:rsid w:val="00072301"/>
    <w:rsid w:val="000726D6"/>
    <w:rsid w:val="00072746"/>
    <w:rsid w:val="00072F12"/>
    <w:rsid w:val="0007334E"/>
    <w:rsid w:val="00073C22"/>
    <w:rsid w:val="0007501E"/>
    <w:rsid w:val="000758D9"/>
    <w:rsid w:val="000758E2"/>
    <w:rsid w:val="00075CD8"/>
    <w:rsid w:val="00075E0F"/>
    <w:rsid w:val="000765BE"/>
    <w:rsid w:val="00076ED9"/>
    <w:rsid w:val="000775C3"/>
    <w:rsid w:val="00077A5A"/>
    <w:rsid w:val="00080335"/>
    <w:rsid w:val="00080592"/>
    <w:rsid w:val="000817DF"/>
    <w:rsid w:val="00082728"/>
    <w:rsid w:val="00082D43"/>
    <w:rsid w:val="00083269"/>
    <w:rsid w:val="00083DCE"/>
    <w:rsid w:val="0008438F"/>
    <w:rsid w:val="000852FB"/>
    <w:rsid w:val="00085624"/>
    <w:rsid w:val="000862A5"/>
    <w:rsid w:val="00086372"/>
    <w:rsid w:val="0008663E"/>
    <w:rsid w:val="00086BF5"/>
    <w:rsid w:val="00086CD7"/>
    <w:rsid w:val="00086D68"/>
    <w:rsid w:val="00086DC5"/>
    <w:rsid w:val="000873E0"/>
    <w:rsid w:val="0008757A"/>
    <w:rsid w:val="00087634"/>
    <w:rsid w:val="0009011B"/>
    <w:rsid w:val="00090A97"/>
    <w:rsid w:val="00090B2D"/>
    <w:rsid w:val="00090F6F"/>
    <w:rsid w:val="00091588"/>
    <w:rsid w:val="000915B5"/>
    <w:rsid w:val="00091930"/>
    <w:rsid w:val="00091ECD"/>
    <w:rsid w:val="00091EE9"/>
    <w:rsid w:val="00092520"/>
    <w:rsid w:val="0009272B"/>
    <w:rsid w:val="00093028"/>
    <w:rsid w:val="00093335"/>
    <w:rsid w:val="00093482"/>
    <w:rsid w:val="00093D07"/>
    <w:rsid w:val="00095F72"/>
    <w:rsid w:val="000961E1"/>
    <w:rsid w:val="000965EE"/>
    <w:rsid w:val="00097419"/>
    <w:rsid w:val="000975A0"/>
    <w:rsid w:val="00097B6E"/>
    <w:rsid w:val="000A0755"/>
    <w:rsid w:val="000A0A4C"/>
    <w:rsid w:val="000A0BBE"/>
    <w:rsid w:val="000A0F01"/>
    <w:rsid w:val="000A0F86"/>
    <w:rsid w:val="000A15C9"/>
    <w:rsid w:val="000A1673"/>
    <w:rsid w:val="000A1E1D"/>
    <w:rsid w:val="000A21AF"/>
    <w:rsid w:val="000A2583"/>
    <w:rsid w:val="000A2C1E"/>
    <w:rsid w:val="000A2E25"/>
    <w:rsid w:val="000A2E2E"/>
    <w:rsid w:val="000A307E"/>
    <w:rsid w:val="000A3D80"/>
    <w:rsid w:val="000A3F1C"/>
    <w:rsid w:val="000A44EC"/>
    <w:rsid w:val="000A4578"/>
    <w:rsid w:val="000A4CDC"/>
    <w:rsid w:val="000A59D9"/>
    <w:rsid w:val="000A5CC6"/>
    <w:rsid w:val="000A5E90"/>
    <w:rsid w:val="000A6345"/>
    <w:rsid w:val="000A6DF5"/>
    <w:rsid w:val="000A7D30"/>
    <w:rsid w:val="000B0079"/>
    <w:rsid w:val="000B0388"/>
    <w:rsid w:val="000B093E"/>
    <w:rsid w:val="000B0B0D"/>
    <w:rsid w:val="000B0B9E"/>
    <w:rsid w:val="000B0C02"/>
    <w:rsid w:val="000B255E"/>
    <w:rsid w:val="000B279C"/>
    <w:rsid w:val="000B345E"/>
    <w:rsid w:val="000B3EE8"/>
    <w:rsid w:val="000B419B"/>
    <w:rsid w:val="000B4CDC"/>
    <w:rsid w:val="000B4FAA"/>
    <w:rsid w:val="000B52D2"/>
    <w:rsid w:val="000B55FE"/>
    <w:rsid w:val="000B5D2F"/>
    <w:rsid w:val="000B5FF2"/>
    <w:rsid w:val="000B64FC"/>
    <w:rsid w:val="000B6AEC"/>
    <w:rsid w:val="000B6EBF"/>
    <w:rsid w:val="000B7539"/>
    <w:rsid w:val="000C06A1"/>
    <w:rsid w:val="000C0886"/>
    <w:rsid w:val="000C0B56"/>
    <w:rsid w:val="000C0C2C"/>
    <w:rsid w:val="000C0C57"/>
    <w:rsid w:val="000C14C7"/>
    <w:rsid w:val="000C1738"/>
    <w:rsid w:val="000C1754"/>
    <w:rsid w:val="000C19EA"/>
    <w:rsid w:val="000C2870"/>
    <w:rsid w:val="000C2901"/>
    <w:rsid w:val="000C354A"/>
    <w:rsid w:val="000C3DB6"/>
    <w:rsid w:val="000C40B4"/>
    <w:rsid w:val="000C4C8D"/>
    <w:rsid w:val="000C51C0"/>
    <w:rsid w:val="000C54EA"/>
    <w:rsid w:val="000C602A"/>
    <w:rsid w:val="000C6165"/>
    <w:rsid w:val="000C62F0"/>
    <w:rsid w:val="000C64A4"/>
    <w:rsid w:val="000C6701"/>
    <w:rsid w:val="000C743F"/>
    <w:rsid w:val="000C7855"/>
    <w:rsid w:val="000C7B1F"/>
    <w:rsid w:val="000D0195"/>
    <w:rsid w:val="000D0351"/>
    <w:rsid w:val="000D1010"/>
    <w:rsid w:val="000D106A"/>
    <w:rsid w:val="000D1601"/>
    <w:rsid w:val="000D1887"/>
    <w:rsid w:val="000D1AF7"/>
    <w:rsid w:val="000D1F57"/>
    <w:rsid w:val="000D2AB3"/>
    <w:rsid w:val="000D2CFF"/>
    <w:rsid w:val="000D2DF8"/>
    <w:rsid w:val="000D32FC"/>
    <w:rsid w:val="000D36C4"/>
    <w:rsid w:val="000D39E5"/>
    <w:rsid w:val="000D406E"/>
    <w:rsid w:val="000D6493"/>
    <w:rsid w:val="000D66BF"/>
    <w:rsid w:val="000D7303"/>
    <w:rsid w:val="000D762A"/>
    <w:rsid w:val="000D772F"/>
    <w:rsid w:val="000D7C51"/>
    <w:rsid w:val="000E04CB"/>
    <w:rsid w:val="000E0C08"/>
    <w:rsid w:val="000E1412"/>
    <w:rsid w:val="000E21F9"/>
    <w:rsid w:val="000E28AB"/>
    <w:rsid w:val="000E32E1"/>
    <w:rsid w:val="000E37EE"/>
    <w:rsid w:val="000E3961"/>
    <w:rsid w:val="000E3BA5"/>
    <w:rsid w:val="000E3DB9"/>
    <w:rsid w:val="000E3E1B"/>
    <w:rsid w:val="000E3FB9"/>
    <w:rsid w:val="000E459D"/>
    <w:rsid w:val="000E4C4B"/>
    <w:rsid w:val="000E4D57"/>
    <w:rsid w:val="000E56CF"/>
    <w:rsid w:val="000E6161"/>
    <w:rsid w:val="000E665C"/>
    <w:rsid w:val="000E6C4D"/>
    <w:rsid w:val="000E6E07"/>
    <w:rsid w:val="000E7533"/>
    <w:rsid w:val="000E76C7"/>
    <w:rsid w:val="000F0803"/>
    <w:rsid w:val="000F0BAA"/>
    <w:rsid w:val="000F0BF1"/>
    <w:rsid w:val="000F10D2"/>
    <w:rsid w:val="000F1A9E"/>
    <w:rsid w:val="000F3285"/>
    <w:rsid w:val="000F34EC"/>
    <w:rsid w:val="000F367D"/>
    <w:rsid w:val="000F39BF"/>
    <w:rsid w:val="000F5303"/>
    <w:rsid w:val="000F5B8E"/>
    <w:rsid w:val="000F6046"/>
    <w:rsid w:val="000F6A50"/>
    <w:rsid w:val="000F7220"/>
    <w:rsid w:val="000F73CB"/>
    <w:rsid w:val="000F73F5"/>
    <w:rsid w:val="000F74D7"/>
    <w:rsid w:val="00101920"/>
    <w:rsid w:val="001023C3"/>
    <w:rsid w:val="00102C67"/>
    <w:rsid w:val="00103532"/>
    <w:rsid w:val="001036B2"/>
    <w:rsid w:val="00104038"/>
    <w:rsid w:val="00104167"/>
    <w:rsid w:val="00104558"/>
    <w:rsid w:val="001048F6"/>
    <w:rsid w:val="00104B03"/>
    <w:rsid w:val="00104FE1"/>
    <w:rsid w:val="001059C8"/>
    <w:rsid w:val="00105CC8"/>
    <w:rsid w:val="00105D17"/>
    <w:rsid w:val="0010610A"/>
    <w:rsid w:val="001069C8"/>
    <w:rsid w:val="00106B43"/>
    <w:rsid w:val="00106BEE"/>
    <w:rsid w:val="00106C63"/>
    <w:rsid w:val="001077B9"/>
    <w:rsid w:val="00107B61"/>
    <w:rsid w:val="001103BA"/>
    <w:rsid w:val="001104C8"/>
    <w:rsid w:val="00110BA7"/>
    <w:rsid w:val="00110F05"/>
    <w:rsid w:val="00111FB3"/>
    <w:rsid w:val="00112348"/>
    <w:rsid w:val="0011243D"/>
    <w:rsid w:val="00112971"/>
    <w:rsid w:val="00112CFD"/>
    <w:rsid w:val="001136E5"/>
    <w:rsid w:val="001138DA"/>
    <w:rsid w:val="00113AF1"/>
    <w:rsid w:val="00113F50"/>
    <w:rsid w:val="00114631"/>
    <w:rsid w:val="00114F77"/>
    <w:rsid w:val="00115486"/>
    <w:rsid w:val="001164F1"/>
    <w:rsid w:val="0011673F"/>
    <w:rsid w:val="00116FCD"/>
    <w:rsid w:val="00117A07"/>
    <w:rsid w:val="00117EE9"/>
    <w:rsid w:val="0012019A"/>
    <w:rsid w:val="0012058A"/>
    <w:rsid w:val="00120BCE"/>
    <w:rsid w:val="00120E29"/>
    <w:rsid w:val="0012103A"/>
    <w:rsid w:val="001212F1"/>
    <w:rsid w:val="00121B88"/>
    <w:rsid w:val="00121CD5"/>
    <w:rsid w:val="00121CDC"/>
    <w:rsid w:val="00121D8F"/>
    <w:rsid w:val="00122F66"/>
    <w:rsid w:val="0012327F"/>
    <w:rsid w:val="001232B4"/>
    <w:rsid w:val="001240B2"/>
    <w:rsid w:val="0012448D"/>
    <w:rsid w:val="001247FB"/>
    <w:rsid w:val="00124B5E"/>
    <w:rsid w:val="00124DAC"/>
    <w:rsid w:val="00124E8A"/>
    <w:rsid w:val="0012541F"/>
    <w:rsid w:val="00125F99"/>
    <w:rsid w:val="00126301"/>
    <w:rsid w:val="0012638F"/>
    <w:rsid w:val="0012672D"/>
    <w:rsid w:val="00127221"/>
    <w:rsid w:val="001278FF"/>
    <w:rsid w:val="0013033F"/>
    <w:rsid w:val="0013114E"/>
    <w:rsid w:val="0013141E"/>
    <w:rsid w:val="00131E6D"/>
    <w:rsid w:val="00133597"/>
    <w:rsid w:val="00135216"/>
    <w:rsid w:val="001355F3"/>
    <w:rsid w:val="00135621"/>
    <w:rsid w:val="00135943"/>
    <w:rsid w:val="001360ED"/>
    <w:rsid w:val="001368B8"/>
    <w:rsid w:val="001370F8"/>
    <w:rsid w:val="00137137"/>
    <w:rsid w:val="0013787D"/>
    <w:rsid w:val="00137DF2"/>
    <w:rsid w:val="0014027B"/>
    <w:rsid w:val="00140964"/>
    <w:rsid w:val="001409C3"/>
    <w:rsid w:val="00140BA5"/>
    <w:rsid w:val="00140D3B"/>
    <w:rsid w:val="001410CB"/>
    <w:rsid w:val="001413F0"/>
    <w:rsid w:val="00141434"/>
    <w:rsid w:val="00141BAD"/>
    <w:rsid w:val="00141DE8"/>
    <w:rsid w:val="00142957"/>
    <w:rsid w:val="00142BA2"/>
    <w:rsid w:val="001433FB"/>
    <w:rsid w:val="00143688"/>
    <w:rsid w:val="001438C9"/>
    <w:rsid w:val="001439C0"/>
    <w:rsid w:val="00143D8D"/>
    <w:rsid w:val="0014418F"/>
    <w:rsid w:val="001442A0"/>
    <w:rsid w:val="00144AB1"/>
    <w:rsid w:val="00144B93"/>
    <w:rsid w:val="00144C67"/>
    <w:rsid w:val="001451D5"/>
    <w:rsid w:val="0014604D"/>
    <w:rsid w:val="00146176"/>
    <w:rsid w:val="00146202"/>
    <w:rsid w:val="00146A94"/>
    <w:rsid w:val="00146BC3"/>
    <w:rsid w:val="00146BEF"/>
    <w:rsid w:val="001471A6"/>
    <w:rsid w:val="00147A6E"/>
    <w:rsid w:val="001507AD"/>
    <w:rsid w:val="00150867"/>
    <w:rsid w:val="0015090B"/>
    <w:rsid w:val="001509D9"/>
    <w:rsid w:val="00150A5C"/>
    <w:rsid w:val="00150D87"/>
    <w:rsid w:val="00150FDC"/>
    <w:rsid w:val="0015118E"/>
    <w:rsid w:val="00151705"/>
    <w:rsid w:val="00151C28"/>
    <w:rsid w:val="001526A5"/>
    <w:rsid w:val="00152A73"/>
    <w:rsid w:val="00152E7C"/>
    <w:rsid w:val="00152F6F"/>
    <w:rsid w:val="001531E8"/>
    <w:rsid w:val="00153676"/>
    <w:rsid w:val="001537FE"/>
    <w:rsid w:val="00153EE2"/>
    <w:rsid w:val="001541D1"/>
    <w:rsid w:val="001553AC"/>
    <w:rsid w:val="001555B9"/>
    <w:rsid w:val="00155961"/>
    <w:rsid w:val="00155A7A"/>
    <w:rsid w:val="00156264"/>
    <w:rsid w:val="001566D9"/>
    <w:rsid w:val="001569CE"/>
    <w:rsid w:val="00157034"/>
    <w:rsid w:val="00157071"/>
    <w:rsid w:val="0015761B"/>
    <w:rsid w:val="00157676"/>
    <w:rsid w:val="00160030"/>
    <w:rsid w:val="001600C5"/>
    <w:rsid w:val="0016047B"/>
    <w:rsid w:val="00160A07"/>
    <w:rsid w:val="00160E10"/>
    <w:rsid w:val="00163B30"/>
    <w:rsid w:val="00164C02"/>
    <w:rsid w:val="001654C9"/>
    <w:rsid w:val="00165B31"/>
    <w:rsid w:val="001661EF"/>
    <w:rsid w:val="0016621E"/>
    <w:rsid w:val="00166313"/>
    <w:rsid w:val="0016631A"/>
    <w:rsid w:val="00166BE6"/>
    <w:rsid w:val="0016712D"/>
    <w:rsid w:val="001702A0"/>
    <w:rsid w:val="00170401"/>
    <w:rsid w:val="001704B2"/>
    <w:rsid w:val="0017092D"/>
    <w:rsid w:val="00170965"/>
    <w:rsid w:val="001717EA"/>
    <w:rsid w:val="001718B8"/>
    <w:rsid w:val="00172DD5"/>
    <w:rsid w:val="0017328D"/>
    <w:rsid w:val="001737D8"/>
    <w:rsid w:val="00173816"/>
    <w:rsid w:val="0017385F"/>
    <w:rsid w:val="00173DE7"/>
    <w:rsid w:val="00174383"/>
    <w:rsid w:val="00174389"/>
    <w:rsid w:val="0017461F"/>
    <w:rsid w:val="00174C2B"/>
    <w:rsid w:val="00175077"/>
    <w:rsid w:val="001751F4"/>
    <w:rsid w:val="00175A7B"/>
    <w:rsid w:val="00175D9D"/>
    <w:rsid w:val="001761AB"/>
    <w:rsid w:val="001765F6"/>
    <w:rsid w:val="00176B18"/>
    <w:rsid w:val="00176BB2"/>
    <w:rsid w:val="0017706C"/>
    <w:rsid w:val="001772D4"/>
    <w:rsid w:val="001773E2"/>
    <w:rsid w:val="00177414"/>
    <w:rsid w:val="00177CCD"/>
    <w:rsid w:val="0018078D"/>
    <w:rsid w:val="00180812"/>
    <w:rsid w:val="0018118A"/>
    <w:rsid w:val="001814AE"/>
    <w:rsid w:val="00181CCB"/>
    <w:rsid w:val="00181FD4"/>
    <w:rsid w:val="001825B8"/>
    <w:rsid w:val="00182957"/>
    <w:rsid w:val="001831CC"/>
    <w:rsid w:val="00183D06"/>
    <w:rsid w:val="00183E8E"/>
    <w:rsid w:val="0018585F"/>
    <w:rsid w:val="00185903"/>
    <w:rsid w:val="001864AB"/>
    <w:rsid w:val="00186813"/>
    <w:rsid w:val="0018697B"/>
    <w:rsid w:val="00186E41"/>
    <w:rsid w:val="00186F85"/>
    <w:rsid w:val="0018701E"/>
    <w:rsid w:val="00187078"/>
    <w:rsid w:val="001878B0"/>
    <w:rsid w:val="001878C7"/>
    <w:rsid w:val="00190517"/>
    <w:rsid w:val="00190FF2"/>
    <w:rsid w:val="00191CA5"/>
    <w:rsid w:val="001926E4"/>
    <w:rsid w:val="00193147"/>
    <w:rsid w:val="001933F6"/>
    <w:rsid w:val="001935A3"/>
    <w:rsid w:val="00193774"/>
    <w:rsid w:val="0019488F"/>
    <w:rsid w:val="00194CDF"/>
    <w:rsid w:val="00195261"/>
    <w:rsid w:val="001953D3"/>
    <w:rsid w:val="001956C2"/>
    <w:rsid w:val="001960BB"/>
    <w:rsid w:val="001964F3"/>
    <w:rsid w:val="001967EC"/>
    <w:rsid w:val="001978F9"/>
    <w:rsid w:val="001978FF"/>
    <w:rsid w:val="001A06EC"/>
    <w:rsid w:val="001A1137"/>
    <w:rsid w:val="001A2364"/>
    <w:rsid w:val="001A2559"/>
    <w:rsid w:val="001A38A3"/>
    <w:rsid w:val="001A4753"/>
    <w:rsid w:val="001A4DCA"/>
    <w:rsid w:val="001A4F6E"/>
    <w:rsid w:val="001A5007"/>
    <w:rsid w:val="001A53A9"/>
    <w:rsid w:val="001A5EF9"/>
    <w:rsid w:val="001A62A0"/>
    <w:rsid w:val="001A635D"/>
    <w:rsid w:val="001A652C"/>
    <w:rsid w:val="001A6771"/>
    <w:rsid w:val="001A71BD"/>
    <w:rsid w:val="001B0775"/>
    <w:rsid w:val="001B0A0B"/>
    <w:rsid w:val="001B2145"/>
    <w:rsid w:val="001B37BC"/>
    <w:rsid w:val="001B3FF4"/>
    <w:rsid w:val="001B419D"/>
    <w:rsid w:val="001B45AC"/>
    <w:rsid w:val="001B4C00"/>
    <w:rsid w:val="001B4C0C"/>
    <w:rsid w:val="001B4E20"/>
    <w:rsid w:val="001B5623"/>
    <w:rsid w:val="001B5A61"/>
    <w:rsid w:val="001B5AFC"/>
    <w:rsid w:val="001B635E"/>
    <w:rsid w:val="001B6B63"/>
    <w:rsid w:val="001B7EA6"/>
    <w:rsid w:val="001C0683"/>
    <w:rsid w:val="001C0B2C"/>
    <w:rsid w:val="001C1149"/>
    <w:rsid w:val="001C1631"/>
    <w:rsid w:val="001C1B9B"/>
    <w:rsid w:val="001C1CEB"/>
    <w:rsid w:val="001C272D"/>
    <w:rsid w:val="001C28F2"/>
    <w:rsid w:val="001C2987"/>
    <w:rsid w:val="001C2B89"/>
    <w:rsid w:val="001C3FCA"/>
    <w:rsid w:val="001C4025"/>
    <w:rsid w:val="001C48C7"/>
    <w:rsid w:val="001C4B61"/>
    <w:rsid w:val="001C564B"/>
    <w:rsid w:val="001C6313"/>
    <w:rsid w:val="001C6B02"/>
    <w:rsid w:val="001C6E4B"/>
    <w:rsid w:val="001C7233"/>
    <w:rsid w:val="001D0A69"/>
    <w:rsid w:val="001D0F20"/>
    <w:rsid w:val="001D17B6"/>
    <w:rsid w:val="001D1B01"/>
    <w:rsid w:val="001D1BA6"/>
    <w:rsid w:val="001D1D74"/>
    <w:rsid w:val="001D2586"/>
    <w:rsid w:val="001D2F2B"/>
    <w:rsid w:val="001D407B"/>
    <w:rsid w:val="001D4188"/>
    <w:rsid w:val="001D43F3"/>
    <w:rsid w:val="001D48C7"/>
    <w:rsid w:val="001D4921"/>
    <w:rsid w:val="001D4E31"/>
    <w:rsid w:val="001D4F56"/>
    <w:rsid w:val="001D594F"/>
    <w:rsid w:val="001D62E0"/>
    <w:rsid w:val="001D676A"/>
    <w:rsid w:val="001D712C"/>
    <w:rsid w:val="001D76B7"/>
    <w:rsid w:val="001D79DC"/>
    <w:rsid w:val="001E0952"/>
    <w:rsid w:val="001E0D13"/>
    <w:rsid w:val="001E0FD9"/>
    <w:rsid w:val="001E1A61"/>
    <w:rsid w:val="001E2203"/>
    <w:rsid w:val="001E22AC"/>
    <w:rsid w:val="001E2AA1"/>
    <w:rsid w:val="001E342E"/>
    <w:rsid w:val="001E39CB"/>
    <w:rsid w:val="001E3B3C"/>
    <w:rsid w:val="001E3F87"/>
    <w:rsid w:val="001E44B9"/>
    <w:rsid w:val="001E4950"/>
    <w:rsid w:val="001E4B7A"/>
    <w:rsid w:val="001E531F"/>
    <w:rsid w:val="001E59CC"/>
    <w:rsid w:val="001E59E4"/>
    <w:rsid w:val="001E61CD"/>
    <w:rsid w:val="001E67C6"/>
    <w:rsid w:val="001E6AF8"/>
    <w:rsid w:val="001E6CAF"/>
    <w:rsid w:val="001E7987"/>
    <w:rsid w:val="001E7CE8"/>
    <w:rsid w:val="001F130D"/>
    <w:rsid w:val="001F2CA3"/>
    <w:rsid w:val="001F3018"/>
    <w:rsid w:val="001F3131"/>
    <w:rsid w:val="001F313D"/>
    <w:rsid w:val="001F3FF6"/>
    <w:rsid w:val="001F4135"/>
    <w:rsid w:val="001F414B"/>
    <w:rsid w:val="001F5397"/>
    <w:rsid w:val="001F5CDC"/>
    <w:rsid w:val="001F6781"/>
    <w:rsid w:val="001F6936"/>
    <w:rsid w:val="001F6C8C"/>
    <w:rsid w:val="001F7591"/>
    <w:rsid w:val="001F7643"/>
    <w:rsid w:val="001F7932"/>
    <w:rsid w:val="001F7AE4"/>
    <w:rsid w:val="00201390"/>
    <w:rsid w:val="0020194C"/>
    <w:rsid w:val="0020219C"/>
    <w:rsid w:val="00202386"/>
    <w:rsid w:val="002027AA"/>
    <w:rsid w:val="002034E5"/>
    <w:rsid w:val="00203947"/>
    <w:rsid w:val="002042E9"/>
    <w:rsid w:val="0020432F"/>
    <w:rsid w:val="002043A0"/>
    <w:rsid w:val="002045B0"/>
    <w:rsid w:val="002046B3"/>
    <w:rsid w:val="00204B9D"/>
    <w:rsid w:val="00204EFE"/>
    <w:rsid w:val="00204F42"/>
    <w:rsid w:val="002057B4"/>
    <w:rsid w:val="002059F9"/>
    <w:rsid w:val="00205BFF"/>
    <w:rsid w:val="00206780"/>
    <w:rsid w:val="002067C9"/>
    <w:rsid w:val="00206B01"/>
    <w:rsid w:val="0020708C"/>
    <w:rsid w:val="002071C7"/>
    <w:rsid w:val="00207326"/>
    <w:rsid w:val="00210309"/>
    <w:rsid w:val="00210354"/>
    <w:rsid w:val="002104AC"/>
    <w:rsid w:val="00210759"/>
    <w:rsid w:val="00210FC4"/>
    <w:rsid w:val="00211AC1"/>
    <w:rsid w:val="00212325"/>
    <w:rsid w:val="00212334"/>
    <w:rsid w:val="002124BD"/>
    <w:rsid w:val="00212CEA"/>
    <w:rsid w:val="00212D0F"/>
    <w:rsid w:val="00212DD6"/>
    <w:rsid w:val="0021335F"/>
    <w:rsid w:val="0021352D"/>
    <w:rsid w:val="00214127"/>
    <w:rsid w:val="002141E0"/>
    <w:rsid w:val="002146E7"/>
    <w:rsid w:val="00214D00"/>
    <w:rsid w:val="002150C5"/>
    <w:rsid w:val="00215713"/>
    <w:rsid w:val="00215B6F"/>
    <w:rsid w:val="00215F73"/>
    <w:rsid w:val="002161ED"/>
    <w:rsid w:val="00216298"/>
    <w:rsid w:val="00216571"/>
    <w:rsid w:val="0021680A"/>
    <w:rsid w:val="00216AB5"/>
    <w:rsid w:val="00216B72"/>
    <w:rsid w:val="00216DB7"/>
    <w:rsid w:val="0021740E"/>
    <w:rsid w:val="00217A3B"/>
    <w:rsid w:val="00217FD7"/>
    <w:rsid w:val="0022020A"/>
    <w:rsid w:val="00220219"/>
    <w:rsid w:val="0022063F"/>
    <w:rsid w:val="00220741"/>
    <w:rsid w:val="0022076E"/>
    <w:rsid w:val="00220877"/>
    <w:rsid w:val="00220C82"/>
    <w:rsid w:val="00221023"/>
    <w:rsid w:val="002210C4"/>
    <w:rsid w:val="00221535"/>
    <w:rsid w:val="00221632"/>
    <w:rsid w:val="00221C3A"/>
    <w:rsid w:val="00221F53"/>
    <w:rsid w:val="00222366"/>
    <w:rsid w:val="00222C7F"/>
    <w:rsid w:val="00222CBD"/>
    <w:rsid w:val="00223587"/>
    <w:rsid w:val="00224231"/>
    <w:rsid w:val="0022430F"/>
    <w:rsid w:val="002244A2"/>
    <w:rsid w:val="002246E8"/>
    <w:rsid w:val="0022479B"/>
    <w:rsid w:val="002247A4"/>
    <w:rsid w:val="002249E6"/>
    <w:rsid w:val="00224A2A"/>
    <w:rsid w:val="00224BB0"/>
    <w:rsid w:val="00224D51"/>
    <w:rsid w:val="00226070"/>
    <w:rsid w:val="0022724C"/>
    <w:rsid w:val="00227262"/>
    <w:rsid w:val="002278AA"/>
    <w:rsid w:val="00227AF4"/>
    <w:rsid w:val="002303A8"/>
    <w:rsid w:val="002312CC"/>
    <w:rsid w:val="002317BE"/>
    <w:rsid w:val="00231D45"/>
    <w:rsid w:val="00231E6B"/>
    <w:rsid w:val="00231F8E"/>
    <w:rsid w:val="00232633"/>
    <w:rsid w:val="00232643"/>
    <w:rsid w:val="002329C8"/>
    <w:rsid w:val="00232A73"/>
    <w:rsid w:val="00232ADF"/>
    <w:rsid w:val="00232BA7"/>
    <w:rsid w:val="00233629"/>
    <w:rsid w:val="0023368A"/>
    <w:rsid w:val="00233C20"/>
    <w:rsid w:val="00234722"/>
    <w:rsid w:val="00234FE4"/>
    <w:rsid w:val="00235040"/>
    <w:rsid w:val="0023509F"/>
    <w:rsid w:val="002367B3"/>
    <w:rsid w:val="002369B1"/>
    <w:rsid w:val="00236EDA"/>
    <w:rsid w:val="00237048"/>
    <w:rsid w:val="00237EE8"/>
    <w:rsid w:val="002406EB"/>
    <w:rsid w:val="0024153D"/>
    <w:rsid w:val="00241B22"/>
    <w:rsid w:val="00241F9E"/>
    <w:rsid w:val="00242314"/>
    <w:rsid w:val="00242C06"/>
    <w:rsid w:val="00242FA8"/>
    <w:rsid w:val="002430A1"/>
    <w:rsid w:val="002443D8"/>
    <w:rsid w:val="002445B1"/>
    <w:rsid w:val="00244803"/>
    <w:rsid w:val="002449C9"/>
    <w:rsid w:val="00244F0D"/>
    <w:rsid w:val="0024632D"/>
    <w:rsid w:val="0024723F"/>
    <w:rsid w:val="0024737C"/>
    <w:rsid w:val="00247E05"/>
    <w:rsid w:val="002510CE"/>
    <w:rsid w:val="0025194D"/>
    <w:rsid w:val="00251BEA"/>
    <w:rsid w:val="0025287A"/>
    <w:rsid w:val="00252A28"/>
    <w:rsid w:val="0025317E"/>
    <w:rsid w:val="00254225"/>
    <w:rsid w:val="0025425E"/>
    <w:rsid w:val="00254E7C"/>
    <w:rsid w:val="00254EE5"/>
    <w:rsid w:val="00254F9D"/>
    <w:rsid w:val="00254FCB"/>
    <w:rsid w:val="002551AE"/>
    <w:rsid w:val="002552DC"/>
    <w:rsid w:val="002554CF"/>
    <w:rsid w:val="00255F0D"/>
    <w:rsid w:val="002574A1"/>
    <w:rsid w:val="0025751D"/>
    <w:rsid w:val="0025777F"/>
    <w:rsid w:val="00257948"/>
    <w:rsid w:val="002602EB"/>
    <w:rsid w:val="00260C2E"/>
    <w:rsid w:val="00261715"/>
    <w:rsid w:val="00261E79"/>
    <w:rsid w:val="00261EEE"/>
    <w:rsid w:val="00262233"/>
    <w:rsid w:val="002626D6"/>
    <w:rsid w:val="00262A75"/>
    <w:rsid w:val="00262A81"/>
    <w:rsid w:val="00262DB0"/>
    <w:rsid w:val="00262FB5"/>
    <w:rsid w:val="00263254"/>
    <w:rsid w:val="00263A20"/>
    <w:rsid w:val="00264440"/>
    <w:rsid w:val="002648E1"/>
    <w:rsid w:val="0026491D"/>
    <w:rsid w:val="00264B4D"/>
    <w:rsid w:val="00264F31"/>
    <w:rsid w:val="00264F72"/>
    <w:rsid w:val="00265150"/>
    <w:rsid w:val="002656F0"/>
    <w:rsid w:val="002659ED"/>
    <w:rsid w:val="00265BDD"/>
    <w:rsid w:val="00266632"/>
    <w:rsid w:val="00266AF1"/>
    <w:rsid w:val="002702AC"/>
    <w:rsid w:val="0027045B"/>
    <w:rsid w:val="0027088D"/>
    <w:rsid w:val="002714DC"/>
    <w:rsid w:val="00271507"/>
    <w:rsid w:val="002715B4"/>
    <w:rsid w:val="00271F10"/>
    <w:rsid w:val="00272331"/>
    <w:rsid w:val="00272553"/>
    <w:rsid w:val="0027264A"/>
    <w:rsid w:val="002729F2"/>
    <w:rsid w:val="00273B4B"/>
    <w:rsid w:val="00273BA7"/>
    <w:rsid w:val="00273E51"/>
    <w:rsid w:val="00274218"/>
    <w:rsid w:val="002746CC"/>
    <w:rsid w:val="00275340"/>
    <w:rsid w:val="0027553B"/>
    <w:rsid w:val="002756BB"/>
    <w:rsid w:val="00275DB9"/>
    <w:rsid w:val="00275DED"/>
    <w:rsid w:val="002761A1"/>
    <w:rsid w:val="00276F4E"/>
    <w:rsid w:val="002774FD"/>
    <w:rsid w:val="0027785A"/>
    <w:rsid w:val="00277CCB"/>
    <w:rsid w:val="00277FBC"/>
    <w:rsid w:val="0028061E"/>
    <w:rsid w:val="002809D7"/>
    <w:rsid w:val="00280F11"/>
    <w:rsid w:val="00281595"/>
    <w:rsid w:val="00282174"/>
    <w:rsid w:val="002824BA"/>
    <w:rsid w:val="00282785"/>
    <w:rsid w:val="00282D87"/>
    <w:rsid w:val="002837A1"/>
    <w:rsid w:val="00283CE3"/>
    <w:rsid w:val="00285004"/>
    <w:rsid w:val="002854B6"/>
    <w:rsid w:val="0028615B"/>
    <w:rsid w:val="00286272"/>
    <w:rsid w:val="00286F02"/>
    <w:rsid w:val="00287017"/>
    <w:rsid w:val="002876A9"/>
    <w:rsid w:val="002906C8"/>
    <w:rsid w:val="002906F2"/>
    <w:rsid w:val="00290856"/>
    <w:rsid w:val="00290CD7"/>
    <w:rsid w:val="002921B7"/>
    <w:rsid w:val="00292375"/>
    <w:rsid w:val="00292D87"/>
    <w:rsid w:val="00293272"/>
    <w:rsid w:val="00293797"/>
    <w:rsid w:val="00293D15"/>
    <w:rsid w:val="0029420E"/>
    <w:rsid w:val="0029455F"/>
    <w:rsid w:val="00294637"/>
    <w:rsid w:val="00294BD0"/>
    <w:rsid w:val="00294DBC"/>
    <w:rsid w:val="00294E6E"/>
    <w:rsid w:val="00295596"/>
    <w:rsid w:val="0029591D"/>
    <w:rsid w:val="00295CE1"/>
    <w:rsid w:val="00296453"/>
    <w:rsid w:val="00296476"/>
    <w:rsid w:val="0029662B"/>
    <w:rsid w:val="00296794"/>
    <w:rsid w:val="002967AC"/>
    <w:rsid w:val="002969C1"/>
    <w:rsid w:val="00296E2E"/>
    <w:rsid w:val="00296FF8"/>
    <w:rsid w:val="0029713B"/>
    <w:rsid w:val="00297304"/>
    <w:rsid w:val="00297A88"/>
    <w:rsid w:val="00297D6D"/>
    <w:rsid w:val="00297D9A"/>
    <w:rsid w:val="002A0297"/>
    <w:rsid w:val="002A0D2A"/>
    <w:rsid w:val="002A1073"/>
    <w:rsid w:val="002A23FA"/>
    <w:rsid w:val="002A28C2"/>
    <w:rsid w:val="002A2C4B"/>
    <w:rsid w:val="002A2E74"/>
    <w:rsid w:val="002A3BD4"/>
    <w:rsid w:val="002A3C34"/>
    <w:rsid w:val="002A3F29"/>
    <w:rsid w:val="002A5153"/>
    <w:rsid w:val="002A5E1A"/>
    <w:rsid w:val="002A6BB3"/>
    <w:rsid w:val="002A72E9"/>
    <w:rsid w:val="002A7BA5"/>
    <w:rsid w:val="002B0DDF"/>
    <w:rsid w:val="002B0E8A"/>
    <w:rsid w:val="002B176D"/>
    <w:rsid w:val="002B22E5"/>
    <w:rsid w:val="002B27D1"/>
    <w:rsid w:val="002B349C"/>
    <w:rsid w:val="002B4604"/>
    <w:rsid w:val="002B4946"/>
    <w:rsid w:val="002B4B30"/>
    <w:rsid w:val="002B52A5"/>
    <w:rsid w:val="002B5E6D"/>
    <w:rsid w:val="002B6E2A"/>
    <w:rsid w:val="002B7419"/>
    <w:rsid w:val="002B7DBA"/>
    <w:rsid w:val="002B7E8D"/>
    <w:rsid w:val="002C0C41"/>
    <w:rsid w:val="002C100D"/>
    <w:rsid w:val="002C140B"/>
    <w:rsid w:val="002C1967"/>
    <w:rsid w:val="002C1A66"/>
    <w:rsid w:val="002C1B44"/>
    <w:rsid w:val="002C299B"/>
    <w:rsid w:val="002C2ADB"/>
    <w:rsid w:val="002C2DF1"/>
    <w:rsid w:val="002C2E5F"/>
    <w:rsid w:val="002C2E8B"/>
    <w:rsid w:val="002C311C"/>
    <w:rsid w:val="002C3462"/>
    <w:rsid w:val="002C35B8"/>
    <w:rsid w:val="002C3715"/>
    <w:rsid w:val="002C493E"/>
    <w:rsid w:val="002C49B8"/>
    <w:rsid w:val="002C5156"/>
    <w:rsid w:val="002C5496"/>
    <w:rsid w:val="002C5AB0"/>
    <w:rsid w:val="002C5BD3"/>
    <w:rsid w:val="002C5C54"/>
    <w:rsid w:val="002C60E9"/>
    <w:rsid w:val="002C6A6B"/>
    <w:rsid w:val="002C6B6F"/>
    <w:rsid w:val="002C6E49"/>
    <w:rsid w:val="002C6F46"/>
    <w:rsid w:val="002C7C44"/>
    <w:rsid w:val="002C7CE1"/>
    <w:rsid w:val="002D0874"/>
    <w:rsid w:val="002D0A51"/>
    <w:rsid w:val="002D13A3"/>
    <w:rsid w:val="002D1567"/>
    <w:rsid w:val="002D169E"/>
    <w:rsid w:val="002D1AD7"/>
    <w:rsid w:val="002D1DF7"/>
    <w:rsid w:val="002D1E05"/>
    <w:rsid w:val="002D211D"/>
    <w:rsid w:val="002D2230"/>
    <w:rsid w:val="002D2577"/>
    <w:rsid w:val="002D32FD"/>
    <w:rsid w:val="002D3425"/>
    <w:rsid w:val="002D358A"/>
    <w:rsid w:val="002D393D"/>
    <w:rsid w:val="002D3CAA"/>
    <w:rsid w:val="002D41BB"/>
    <w:rsid w:val="002D4369"/>
    <w:rsid w:val="002D4429"/>
    <w:rsid w:val="002D5B9C"/>
    <w:rsid w:val="002D6081"/>
    <w:rsid w:val="002D677D"/>
    <w:rsid w:val="002D6900"/>
    <w:rsid w:val="002D7188"/>
    <w:rsid w:val="002D791E"/>
    <w:rsid w:val="002D7BC7"/>
    <w:rsid w:val="002D7D06"/>
    <w:rsid w:val="002E0E65"/>
    <w:rsid w:val="002E12F6"/>
    <w:rsid w:val="002E2714"/>
    <w:rsid w:val="002E2F68"/>
    <w:rsid w:val="002E2FF4"/>
    <w:rsid w:val="002E3448"/>
    <w:rsid w:val="002E3820"/>
    <w:rsid w:val="002E38F5"/>
    <w:rsid w:val="002E39D4"/>
    <w:rsid w:val="002E431D"/>
    <w:rsid w:val="002E4A3F"/>
    <w:rsid w:val="002E4D37"/>
    <w:rsid w:val="002E535D"/>
    <w:rsid w:val="002E5513"/>
    <w:rsid w:val="002E5729"/>
    <w:rsid w:val="002E5B9A"/>
    <w:rsid w:val="002E61E7"/>
    <w:rsid w:val="002E63A2"/>
    <w:rsid w:val="002E6E05"/>
    <w:rsid w:val="002E7028"/>
    <w:rsid w:val="002F0400"/>
    <w:rsid w:val="002F1190"/>
    <w:rsid w:val="002F16F6"/>
    <w:rsid w:val="002F193F"/>
    <w:rsid w:val="002F1C4C"/>
    <w:rsid w:val="002F2EAE"/>
    <w:rsid w:val="002F2F33"/>
    <w:rsid w:val="002F2F5D"/>
    <w:rsid w:val="002F30F5"/>
    <w:rsid w:val="002F326D"/>
    <w:rsid w:val="002F32B5"/>
    <w:rsid w:val="002F35D8"/>
    <w:rsid w:val="002F4195"/>
    <w:rsid w:val="002F459C"/>
    <w:rsid w:val="002F4872"/>
    <w:rsid w:val="002F4A16"/>
    <w:rsid w:val="002F4A2D"/>
    <w:rsid w:val="002F4E33"/>
    <w:rsid w:val="002F550B"/>
    <w:rsid w:val="002F63A1"/>
    <w:rsid w:val="002F6D91"/>
    <w:rsid w:val="002F6F96"/>
    <w:rsid w:val="002F701B"/>
    <w:rsid w:val="002F7075"/>
    <w:rsid w:val="002F7DAC"/>
    <w:rsid w:val="003003AF"/>
    <w:rsid w:val="003004CA"/>
    <w:rsid w:val="003006E9"/>
    <w:rsid w:val="00300809"/>
    <w:rsid w:val="00300A06"/>
    <w:rsid w:val="00300ED4"/>
    <w:rsid w:val="0030196C"/>
    <w:rsid w:val="00301B09"/>
    <w:rsid w:val="00301EB6"/>
    <w:rsid w:val="0030207B"/>
    <w:rsid w:val="00302B8B"/>
    <w:rsid w:val="00303583"/>
    <w:rsid w:val="00303AB2"/>
    <w:rsid w:val="00303F57"/>
    <w:rsid w:val="00304242"/>
    <w:rsid w:val="003045AF"/>
    <w:rsid w:val="0030495B"/>
    <w:rsid w:val="00304F48"/>
    <w:rsid w:val="00305448"/>
    <w:rsid w:val="00305675"/>
    <w:rsid w:val="0030570E"/>
    <w:rsid w:val="00305B2E"/>
    <w:rsid w:val="00305EE9"/>
    <w:rsid w:val="003062D7"/>
    <w:rsid w:val="0030632D"/>
    <w:rsid w:val="00306587"/>
    <w:rsid w:val="0030746B"/>
    <w:rsid w:val="00307578"/>
    <w:rsid w:val="003077E9"/>
    <w:rsid w:val="00307E36"/>
    <w:rsid w:val="00310357"/>
    <w:rsid w:val="003104C3"/>
    <w:rsid w:val="00310C9D"/>
    <w:rsid w:val="00310E28"/>
    <w:rsid w:val="00310E8F"/>
    <w:rsid w:val="00311EA4"/>
    <w:rsid w:val="00311F9C"/>
    <w:rsid w:val="00312197"/>
    <w:rsid w:val="003139BF"/>
    <w:rsid w:val="00314054"/>
    <w:rsid w:val="003148FA"/>
    <w:rsid w:val="00314CFE"/>
    <w:rsid w:val="0031513A"/>
    <w:rsid w:val="00315837"/>
    <w:rsid w:val="003158B5"/>
    <w:rsid w:val="00315CA9"/>
    <w:rsid w:val="00315CD9"/>
    <w:rsid w:val="003163ED"/>
    <w:rsid w:val="00317485"/>
    <w:rsid w:val="00317BFD"/>
    <w:rsid w:val="00320471"/>
    <w:rsid w:val="00320574"/>
    <w:rsid w:val="00321A6A"/>
    <w:rsid w:val="00321A99"/>
    <w:rsid w:val="00321F82"/>
    <w:rsid w:val="0032223E"/>
    <w:rsid w:val="00322AAD"/>
    <w:rsid w:val="00323CD5"/>
    <w:rsid w:val="00323F91"/>
    <w:rsid w:val="00324813"/>
    <w:rsid w:val="0032513F"/>
    <w:rsid w:val="0032533F"/>
    <w:rsid w:val="003256C5"/>
    <w:rsid w:val="003258B9"/>
    <w:rsid w:val="00325CE5"/>
    <w:rsid w:val="00326506"/>
    <w:rsid w:val="00326759"/>
    <w:rsid w:val="00327663"/>
    <w:rsid w:val="0033011D"/>
    <w:rsid w:val="00330ABF"/>
    <w:rsid w:val="00330DE0"/>
    <w:rsid w:val="003317E2"/>
    <w:rsid w:val="003324CD"/>
    <w:rsid w:val="003338CD"/>
    <w:rsid w:val="003339C4"/>
    <w:rsid w:val="00333C88"/>
    <w:rsid w:val="00334F51"/>
    <w:rsid w:val="003350C2"/>
    <w:rsid w:val="00335174"/>
    <w:rsid w:val="003353AB"/>
    <w:rsid w:val="003355A1"/>
    <w:rsid w:val="003357C6"/>
    <w:rsid w:val="00336198"/>
    <w:rsid w:val="0033640F"/>
    <w:rsid w:val="00336504"/>
    <w:rsid w:val="003372DB"/>
    <w:rsid w:val="00337FFC"/>
    <w:rsid w:val="00341009"/>
    <w:rsid w:val="00341103"/>
    <w:rsid w:val="00341294"/>
    <w:rsid w:val="003416B6"/>
    <w:rsid w:val="00343397"/>
    <w:rsid w:val="003442B8"/>
    <w:rsid w:val="003443F5"/>
    <w:rsid w:val="00344647"/>
    <w:rsid w:val="00344C46"/>
    <w:rsid w:val="00344E41"/>
    <w:rsid w:val="00345004"/>
    <w:rsid w:val="0034501F"/>
    <w:rsid w:val="0034517D"/>
    <w:rsid w:val="0034594D"/>
    <w:rsid w:val="00345C72"/>
    <w:rsid w:val="00346A94"/>
    <w:rsid w:val="00346D8D"/>
    <w:rsid w:val="00346EF7"/>
    <w:rsid w:val="003477E0"/>
    <w:rsid w:val="00347FC0"/>
    <w:rsid w:val="003508F1"/>
    <w:rsid w:val="00350F90"/>
    <w:rsid w:val="00351A14"/>
    <w:rsid w:val="0035257C"/>
    <w:rsid w:val="0035298B"/>
    <w:rsid w:val="00353A89"/>
    <w:rsid w:val="00353A8B"/>
    <w:rsid w:val="00354141"/>
    <w:rsid w:val="003547DD"/>
    <w:rsid w:val="0035606C"/>
    <w:rsid w:val="003561ED"/>
    <w:rsid w:val="003566E8"/>
    <w:rsid w:val="0035704D"/>
    <w:rsid w:val="00357155"/>
    <w:rsid w:val="0035723C"/>
    <w:rsid w:val="00357265"/>
    <w:rsid w:val="00357323"/>
    <w:rsid w:val="00357BCE"/>
    <w:rsid w:val="00357F20"/>
    <w:rsid w:val="003608DB"/>
    <w:rsid w:val="00360B7C"/>
    <w:rsid w:val="00360CDB"/>
    <w:rsid w:val="00360EED"/>
    <w:rsid w:val="003615D7"/>
    <w:rsid w:val="003618E2"/>
    <w:rsid w:val="00362A16"/>
    <w:rsid w:val="00362D0F"/>
    <w:rsid w:val="00362D24"/>
    <w:rsid w:val="00362D97"/>
    <w:rsid w:val="00363078"/>
    <w:rsid w:val="00363DC1"/>
    <w:rsid w:val="00363FAD"/>
    <w:rsid w:val="00364029"/>
    <w:rsid w:val="00364689"/>
    <w:rsid w:val="00364B68"/>
    <w:rsid w:val="00364D09"/>
    <w:rsid w:val="00364D7A"/>
    <w:rsid w:val="0036578A"/>
    <w:rsid w:val="00366323"/>
    <w:rsid w:val="00366A4B"/>
    <w:rsid w:val="00366AB3"/>
    <w:rsid w:val="00367296"/>
    <w:rsid w:val="00367C6E"/>
    <w:rsid w:val="00367E9D"/>
    <w:rsid w:val="00367F09"/>
    <w:rsid w:val="00370BE7"/>
    <w:rsid w:val="00370DEB"/>
    <w:rsid w:val="003718D4"/>
    <w:rsid w:val="00371AE4"/>
    <w:rsid w:val="00372261"/>
    <w:rsid w:val="003723CB"/>
    <w:rsid w:val="003730CB"/>
    <w:rsid w:val="00373164"/>
    <w:rsid w:val="00373708"/>
    <w:rsid w:val="00373CC6"/>
    <w:rsid w:val="003743FE"/>
    <w:rsid w:val="003744F6"/>
    <w:rsid w:val="00374804"/>
    <w:rsid w:val="00375883"/>
    <w:rsid w:val="00375D0A"/>
    <w:rsid w:val="00375FF0"/>
    <w:rsid w:val="003764B4"/>
    <w:rsid w:val="00376525"/>
    <w:rsid w:val="0037658B"/>
    <w:rsid w:val="00376926"/>
    <w:rsid w:val="00376B2B"/>
    <w:rsid w:val="0037760E"/>
    <w:rsid w:val="003802C3"/>
    <w:rsid w:val="003807B3"/>
    <w:rsid w:val="00382772"/>
    <w:rsid w:val="00383110"/>
    <w:rsid w:val="00383E12"/>
    <w:rsid w:val="00385B94"/>
    <w:rsid w:val="00386B82"/>
    <w:rsid w:val="00386D14"/>
    <w:rsid w:val="00386D28"/>
    <w:rsid w:val="00387645"/>
    <w:rsid w:val="003876BA"/>
    <w:rsid w:val="00387C21"/>
    <w:rsid w:val="0039027B"/>
    <w:rsid w:val="003917C7"/>
    <w:rsid w:val="003920CE"/>
    <w:rsid w:val="00392C3B"/>
    <w:rsid w:val="00393E43"/>
    <w:rsid w:val="003944E9"/>
    <w:rsid w:val="00394626"/>
    <w:rsid w:val="0039487C"/>
    <w:rsid w:val="003948B4"/>
    <w:rsid w:val="0039501A"/>
    <w:rsid w:val="0039536F"/>
    <w:rsid w:val="00396244"/>
    <w:rsid w:val="00396AD0"/>
    <w:rsid w:val="00396F5B"/>
    <w:rsid w:val="00396F97"/>
    <w:rsid w:val="003971E3"/>
    <w:rsid w:val="00397513"/>
    <w:rsid w:val="00397B36"/>
    <w:rsid w:val="003A071C"/>
    <w:rsid w:val="003A0AF8"/>
    <w:rsid w:val="003A0C31"/>
    <w:rsid w:val="003A1295"/>
    <w:rsid w:val="003A15B4"/>
    <w:rsid w:val="003A1BC4"/>
    <w:rsid w:val="003A1EEF"/>
    <w:rsid w:val="003A2085"/>
    <w:rsid w:val="003A2CFC"/>
    <w:rsid w:val="003A2EA6"/>
    <w:rsid w:val="003A351E"/>
    <w:rsid w:val="003A4655"/>
    <w:rsid w:val="003A4A52"/>
    <w:rsid w:val="003A5A4F"/>
    <w:rsid w:val="003A6453"/>
    <w:rsid w:val="003A6DDD"/>
    <w:rsid w:val="003A6E77"/>
    <w:rsid w:val="003A75A9"/>
    <w:rsid w:val="003A773D"/>
    <w:rsid w:val="003A7ACF"/>
    <w:rsid w:val="003A7EC5"/>
    <w:rsid w:val="003B034A"/>
    <w:rsid w:val="003B078E"/>
    <w:rsid w:val="003B2BC2"/>
    <w:rsid w:val="003B316B"/>
    <w:rsid w:val="003B321C"/>
    <w:rsid w:val="003B3C70"/>
    <w:rsid w:val="003B3CA9"/>
    <w:rsid w:val="003B451B"/>
    <w:rsid w:val="003B4DA9"/>
    <w:rsid w:val="003B52C9"/>
    <w:rsid w:val="003B593F"/>
    <w:rsid w:val="003B6AA9"/>
    <w:rsid w:val="003B6AE1"/>
    <w:rsid w:val="003B71A6"/>
    <w:rsid w:val="003B72F1"/>
    <w:rsid w:val="003C08DC"/>
    <w:rsid w:val="003C1443"/>
    <w:rsid w:val="003C15DF"/>
    <w:rsid w:val="003C1E02"/>
    <w:rsid w:val="003C26B1"/>
    <w:rsid w:val="003C2A10"/>
    <w:rsid w:val="003C2D45"/>
    <w:rsid w:val="003C3243"/>
    <w:rsid w:val="003C3C95"/>
    <w:rsid w:val="003C3DB9"/>
    <w:rsid w:val="003C40D5"/>
    <w:rsid w:val="003C48FD"/>
    <w:rsid w:val="003C4DCB"/>
    <w:rsid w:val="003C51EA"/>
    <w:rsid w:val="003C5C49"/>
    <w:rsid w:val="003C632E"/>
    <w:rsid w:val="003C6386"/>
    <w:rsid w:val="003C6B19"/>
    <w:rsid w:val="003C6E2D"/>
    <w:rsid w:val="003C7337"/>
    <w:rsid w:val="003C78CE"/>
    <w:rsid w:val="003C78DD"/>
    <w:rsid w:val="003C7C99"/>
    <w:rsid w:val="003D0074"/>
    <w:rsid w:val="003D031D"/>
    <w:rsid w:val="003D183E"/>
    <w:rsid w:val="003D1C67"/>
    <w:rsid w:val="003D2088"/>
    <w:rsid w:val="003D27F2"/>
    <w:rsid w:val="003D37A3"/>
    <w:rsid w:val="003D3C6B"/>
    <w:rsid w:val="003D4386"/>
    <w:rsid w:val="003D43D0"/>
    <w:rsid w:val="003D444E"/>
    <w:rsid w:val="003D464F"/>
    <w:rsid w:val="003D473D"/>
    <w:rsid w:val="003D4A5A"/>
    <w:rsid w:val="003D4D7D"/>
    <w:rsid w:val="003D58FF"/>
    <w:rsid w:val="003D5BA1"/>
    <w:rsid w:val="003D5EB8"/>
    <w:rsid w:val="003D6DF0"/>
    <w:rsid w:val="003D76DF"/>
    <w:rsid w:val="003D7939"/>
    <w:rsid w:val="003D7C30"/>
    <w:rsid w:val="003D7F66"/>
    <w:rsid w:val="003E024E"/>
    <w:rsid w:val="003E0371"/>
    <w:rsid w:val="003E06B7"/>
    <w:rsid w:val="003E0EE6"/>
    <w:rsid w:val="003E199D"/>
    <w:rsid w:val="003E1F4A"/>
    <w:rsid w:val="003E2F68"/>
    <w:rsid w:val="003E30A0"/>
    <w:rsid w:val="003E3476"/>
    <w:rsid w:val="003E3477"/>
    <w:rsid w:val="003E34C3"/>
    <w:rsid w:val="003E3F71"/>
    <w:rsid w:val="003E44F2"/>
    <w:rsid w:val="003E48F2"/>
    <w:rsid w:val="003E4F33"/>
    <w:rsid w:val="003E4F9F"/>
    <w:rsid w:val="003E6034"/>
    <w:rsid w:val="003E75DD"/>
    <w:rsid w:val="003F094A"/>
    <w:rsid w:val="003F175B"/>
    <w:rsid w:val="003F2A1E"/>
    <w:rsid w:val="003F2A4F"/>
    <w:rsid w:val="003F345B"/>
    <w:rsid w:val="003F34AC"/>
    <w:rsid w:val="003F37E7"/>
    <w:rsid w:val="003F3B2A"/>
    <w:rsid w:val="003F3FA4"/>
    <w:rsid w:val="003F4C0D"/>
    <w:rsid w:val="003F4E24"/>
    <w:rsid w:val="003F4E98"/>
    <w:rsid w:val="003F4FC6"/>
    <w:rsid w:val="003F5001"/>
    <w:rsid w:val="003F52D1"/>
    <w:rsid w:val="003F5C22"/>
    <w:rsid w:val="003F5CD3"/>
    <w:rsid w:val="003F66C2"/>
    <w:rsid w:val="003F677F"/>
    <w:rsid w:val="003F6B75"/>
    <w:rsid w:val="003F705C"/>
    <w:rsid w:val="003F739F"/>
    <w:rsid w:val="003F7406"/>
    <w:rsid w:val="003F75B4"/>
    <w:rsid w:val="003F7D03"/>
    <w:rsid w:val="00400257"/>
    <w:rsid w:val="004002F5"/>
    <w:rsid w:val="004010CD"/>
    <w:rsid w:val="00402128"/>
    <w:rsid w:val="0040219F"/>
    <w:rsid w:val="00402D8D"/>
    <w:rsid w:val="0040439C"/>
    <w:rsid w:val="00404528"/>
    <w:rsid w:val="00404BC3"/>
    <w:rsid w:val="00404DBF"/>
    <w:rsid w:val="0040523B"/>
    <w:rsid w:val="00405D4C"/>
    <w:rsid w:val="004064BC"/>
    <w:rsid w:val="004064F8"/>
    <w:rsid w:val="004074BD"/>
    <w:rsid w:val="004077DA"/>
    <w:rsid w:val="004100CE"/>
    <w:rsid w:val="004109AA"/>
    <w:rsid w:val="00410C51"/>
    <w:rsid w:val="00411F75"/>
    <w:rsid w:val="0041255D"/>
    <w:rsid w:val="00412B5A"/>
    <w:rsid w:val="00412D05"/>
    <w:rsid w:val="00413D98"/>
    <w:rsid w:val="00414172"/>
    <w:rsid w:val="004141A6"/>
    <w:rsid w:val="004144C7"/>
    <w:rsid w:val="00414B26"/>
    <w:rsid w:val="00415BEE"/>
    <w:rsid w:val="00415DDA"/>
    <w:rsid w:val="00417F13"/>
    <w:rsid w:val="00420149"/>
    <w:rsid w:val="0042065E"/>
    <w:rsid w:val="004210FD"/>
    <w:rsid w:val="00421118"/>
    <w:rsid w:val="00421588"/>
    <w:rsid w:val="00421757"/>
    <w:rsid w:val="0042210F"/>
    <w:rsid w:val="00422419"/>
    <w:rsid w:val="00422624"/>
    <w:rsid w:val="004228AD"/>
    <w:rsid w:val="00423A4B"/>
    <w:rsid w:val="00423ADE"/>
    <w:rsid w:val="00423C6B"/>
    <w:rsid w:val="0042478F"/>
    <w:rsid w:val="00424809"/>
    <w:rsid w:val="00424C78"/>
    <w:rsid w:val="00424E6F"/>
    <w:rsid w:val="00425077"/>
    <w:rsid w:val="004260A0"/>
    <w:rsid w:val="004262EA"/>
    <w:rsid w:val="00426592"/>
    <w:rsid w:val="0042713C"/>
    <w:rsid w:val="004271A6"/>
    <w:rsid w:val="00427521"/>
    <w:rsid w:val="004279AC"/>
    <w:rsid w:val="00427F8E"/>
    <w:rsid w:val="004309F1"/>
    <w:rsid w:val="00430E1F"/>
    <w:rsid w:val="00430EE4"/>
    <w:rsid w:val="004311CF"/>
    <w:rsid w:val="00431707"/>
    <w:rsid w:val="004317C0"/>
    <w:rsid w:val="00431EE3"/>
    <w:rsid w:val="00433172"/>
    <w:rsid w:val="0043353A"/>
    <w:rsid w:val="0043381E"/>
    <w:rsid w:val="00435031"/>
    <w:rsid w:val="00435C74"/>
    <w:rsid w:val="00437636"/>
    <w:rsid w:val="004409D5"/>
    <w:rsid w:val="00441799"/>
    <w:rsid w:val="00441910"/>
    <w:rsid w:val="004428A9"/>
    <w:rsid w:val="00442AAB"/>
    <w:rsid w:val="00442B92"/>
    <w:rsid w:val="00443CAE"/>
    <w:rsid w:val="004440FB"/>
    <w:rsid w:val="00446014"/>
    <w:rsid w:val="0044625F"/>
    <w:rsid w:val="00446CC6"/>
    <w:rsid w:val="0044765C"/>
    <w:rsid w:val="00447F5E"/>
    <w:rsid w:val="00447F7B"/>
    <w:rsid w:val="004516F7"/>
    <w:rsid w:val="00451850"/>
    <w:rsid w:val="00453068"/>
    <w:rsid w:val="0045307A"/>
    <w:rsid w:val="0045312C"/>
    <w:rsid w:val="00453BF5"/>
    <w:rsid w:val="00453E79"/>
    <w:rsid w:val="0045420D"/>
    <w:rsid w:val="00454AD5"/>
    <w:rsid w:val="00454BF8"/>
    <w:rsid w:val="00454F3C"/>
    <w:rsid w:val="004556BA"/>
    <w:rsid w:val="00456DEE"/>
    <w:rsid w:val="00460B85"/>
    <w:rsid w:val="00460C28"/>
    <w:rsid w:val="00460C4A"/>
    <w:rsid w:val="00461563"/>
    <w:rsid w:val="004615AC"/>
    <w:rsid w:val="00461A9A"/>
    <w:rsid w:val="00461B3B"/>
    <w:rsid w:val="00461E77"/>
    <w:rsid w:val="004622AE"/>
    <w:rsid w:val="004623C7"/>
    <w:rsid w:val="004628AC"/>
    <w:rsid w:val="00462EFC"/>
    <w:rsid w:val="00463084"/>
    <w:rsid w:val="004633AC"/>
    <w:rsid w:val="00464835"/>
    <w:rsid w:val="004649DB"/>
    <w:rsid w:val="00464A66"/>
    <w:rsid w:val="00465812"/>
    <w:rsid w:val="00465930"/>
    <w:rsid w:val="004661E7"/>
    <w:rsid w:val="00466FA1"/>
    <w:rsid w:val="004673E2"/>
    <w:rsid w:val="00467B73"/>
    <w:rsid w:val="00470209"/>
    <w:rsid w:val="004709C5"/>
    <w:rsid w:val="00470A1F"/>
    <w:rsid w:val="00471F6A"/>
    <w:rsid w:val="00472521"/>
    <w:rsid w:val="00472C98"/>
    <w:rsid w:val="00472F87"/>
    <w:rsid w:val="0047436A"/>
    <w:rsid w:val="004744CD"/>
    <w:rsid w:val="004745D4"/>
    <w:rsid w:val="004749EA"/>
    <w:rsid w:val="00474A6F"/>
    <w:rsid w:val="00474B2E"/>
    <w:rsid w:val="00474E27"/>
    <w:rsid w:val="0047539E"/>
    <w:rsid w:val="00475667"/>
    <w:rsid w:val="00475763"/>
    <w:rsid w:val="004761F5"/>
    <w:rsid w:val="004764DD"/>
    <w:rsid w:val="004771EC"/>
    <w:rsid w:val="00477628"/>
    <w:rsid w:val="004776D2"/>
    <w:rsid w:val="004776F3"/>
    <w:rsid w:val="0047783C"/>
    <w:rsid w:val="00477ADF"/>
    <w:rsid w:val="0048033F"/>
    <w:rsid w:val="00480588"/>
    <w:rsid w:val="004805DD"/>
    <w:rsid w:val="00480833"/>
    <w:rsid w:val="00480A0B"/>
    <w:rsid w:val="0048111F"/>
    <w:rsid w:val="00481393"/>
    <w:rsid w:val="00481A06"/>
    <w:rsid w:val="00481B02"/>
    <w:rsid w:val="00481F9B"/>
    <w:rsid w:val="004820FF"/>
    <w:rsid w:val="00482954"/>
    <w:rsid w:val="00482F88"/>
    <w:rsid w:val="00483176"/>
    <w:rsid w:val="004832EC"/>
    <w:rsid w:val="00483FA8"/>
    <w:rsid w:val="00484BD4"/>
    <w:rsid w:val="00485447"/>
    <w:rsid w:val="004855B1"/>
    <w:rsid w:val="00485E6D"/>
    <w:rsid w:val="00486A04"/>
    <w:rsid w:val="00487208"/>
    <w:rsid w:val="004874F7"/>
    <w:rsid w:val="0048760B"/>
    <w:rsid w:val="004877A0"/>
    <w:rsid w:val="00487DE1"/>
    <w:rsid w:val="00487EDE"/>
    <w:rsid w:val="00490319"/>
    <w:rsid w:val="00490ED7"/>
    <w:rsid w:val="0049105E"/>
    <w:rsid w:val="00491254"/>
    <w:rsid w:val="004922EF"/>
    <w:rsid w:val="00492511"/>
    <w:rsid w:val="00492681"/>
    <w:rsid w:val="004927E9"/>
    <w:rsid w:val="00492AAB"/>
    <w:rsid w:val="00492BBA"/>
    <w:rsid w:val="004932EE"/>
    <w:rsid w:val="00493A37"/>
    <w:rsid w:val="00493B19"/>
    <w:rsid w:val="00493FEF"/>
    <w:rsid w:val="004949F5"/>
    <w:rsid w:val="00494B52"/>
    <w:rsid w:val="00495736"/>
    <w:rsid w:val="00495B42"/>
    <w:rsid w:val="00496400"/>
    <w:rsid w:val="004964EA"/>
    <w:rsid w:val="00496611"/>
    <w:rsid w:val="00496AE4"/>
    <w:rsid w:val="004971B6"/>
    <w:rsid w:val="004974D8"/>
    <w:rsid w:val="00497A44"/>
    <w:rsid w:val="004A0544"/>
    <w:rsid w:val="004A06E1"/>
    <w:rsid w:val="004A0BB8"/>
    <w:rsid w:val="004A11BC"/>
    <w:rsid w:val="004A12F1"/>
    <w:rsid w:val="004A1693"/>
    <w:rsid w:val="004A19F9"/>
    <w:rsid w:val="004A1CB4"/>
    <w:rsid w:val="004A207D"/>
    <w:rsid w:val="004A2329"/>
    <w:rsid w:val="004A2410"/>
    <w:rsid w:val="004A25FC"/>
    <w:rsid w:val="004A2B3E"/>
    <w:rsid w:val="004A2E1B"/>
    <w:rsid w:val="004A2FB4"/>
    <w:rsid w:val="004A3555"/>
    <w:rsid w:val="004A3824"/>
    <w:rsid w:val="004A3929"/>
    <w:rsid w:val="004A430F"/>
    <w:rsid w:val="004A550F"/>
    <w:rsid w:val="004A5632"/>
    <w:rsid w:val="004A593D"/>
    <w:rsid w:val="004A5A78"/>
    <w:rsid w:val="004A5DBA"/>
    <w:rsid w:val="004A60A6"/>
    <w:rsid w:val="004A64FF"/>
    <w:rsid w:val="004A6CF3"/>
    <w:rsid w:val="004A707E"/>
    <w:rsid w:val="004A71B1"/>
    <w:rsid w:val="004A72B7"/>
    <w:rsid w:val="004B0771"/>
    <w:rsid w:val="004B12C9"/>
    <w:rsid w:val="004B135F"/>
    <w:rsid w:val="004B1AD1"/>
    <w:rsid w:val="004B1E2F"/>
    <w:rsid w:val="004B2852"/>
    <w:rsid w:val="004B2FD8"/>
    <w:rsid w:val="004B3049"/>
    <w:rsid w:val="004B33A6"/>
    <w:rsid w:val="004B34BA"/>
    <w:rsid w:val="004B4979"/>
    <w:rsid w:val="004B4A52"/>
    <w:rsid w:val="004B4CB5"/>
    <w:rsid w:val="004B5AE5"/>
    <w:rsid w:val="004B692A"/>
    <w:rsid w:val="004B6962"/>
    <w:rsid w:val="004B6B79"/>
    <w:rsid w:val="004B6F32"/>
    <w:rsid w:val="004B7915"/>
    <w:rsid w:val="004C01E0"/>
    <w:rsid w:val="004C0460"/>
    <w:rsid w:val="004C0FFB"/>
    <w:rsid w:val="004C13C3"/>
    <w:rsid w:val="004C2D14"/>
    <w:rsid w:val="004C36BD"/>
    <w:rsid w:val="004C3EE8"/>
    <w:rsid w:val="004C456F"/>
    <w:rsid w:val="004C46DE"/>
    <w:rsid w:val="004C50A6"/>
    <w:rsid w:val="004C5CD5"/>
    <w:rsid w:val="004C5FE3"/>
    <w:rsid w:val="004C6507"/>
    <w:rsid w:val="004C6573"/>
    <w:rsid w:val="004C677A"/>
    <w:rsid w:val="004C6BCF"/>
    <w:rsid w:val="004C71BF"/>
    <w:rsid w:val="004C75E9"/>
    <w:rsid w:val="004C7880"/>
    <w:rsid w:val="004C7AB9"/>
    <w:rsid w:val="004C7BF6"/>
    <w:rsid w:val="004C7D2C"/>
    <w:rsid w:val="004D0543"/>
    <w:rsid w:val="004D0C67"/>
    <w:rsid w:val="004D106C"/>
    <w:rsid w:val="004D12E8"/>
    <w:rsid w:val="004D16D1"/>
    <w:rsid w:val="004D17C1"/>
    <w:rsid w:val="004D18F8"/>
    <w:rsid w:val="004D20C6"/>
    <w:rsid w:val="004D3646"/>
    <w:rsid w:val="004D3851"/>
    <w:rsid w:val="004D3B77"/>
    <w:rsid w:val="004D4264"/>
    <w:rsid w:val="004D43CA"/>
    <w:rsid w:val="004D4643"/>
    <w:rsid w:val="004D4781"/>
    <w:rsid w:val="004D5071"/>
    <w:rsid w:val="004D5122"/>
    <w:rsid w:val="004D568A"/>
    <w:rsid w:val="004D6767"/>
    <w:rsid w:val="004D71BA"/>
    <w:rsid w:val="004D7257"/>
    <w:rsid w:val="004D772A"/>
    <w:rsid w:val="004D7E51"/>
    <w:rsid w:val="004E0157"/>
    <w:rsid w:val="004E0185"/>
    <w:rsid w:val="004E0570"/>
    <w:rsid w:val="004E0839"/>
    <w:rsid w:val="004E0BFD"/>
    <w:rsid w:val="004E0FE4"/>
    <w:rsid w:val="004E26A3"/>
    <w:rsid w:val="004E4856"/>
    <w:rsid w:val="004E48A8"/>
    <w:rsid w:val="004E4BD3"/>
    <w:rsid w:val="004E4CC9"/>
    <w:rsid w:val="004E5240"/>
    <w:rsid w:val="004E5374"/>
    <w:rsid w:val="004E5AAB"/>
    <w:rsid w:val="004E625B"/>
    <w:rsid w:val="004E6836"/>
    <w:rsid w:val="004E6C93"/>
    <w:rsid w:val="004E6CA5"/>
    <w:rsid w:val="004E6F97"/>
    <w:rsid w:val="004E71BD"/>
    <w:rsid w:val="004E77CC"/>
    <w:rsid w:val="004F040E"/>
    <w:rsid w:val="004F04F6"/>
    <w:rsid w:val="004F0772"/>
    <w:rsid w:val="004F0A95"/>
    <w:rsid w:val="004F0EFB"/>
    <w:rsid w:val="004F1727"/>
    <w:rsid w:val="004F203C"/>
    <w:rsid w:val="004F2114"/>
    <w:rsid w:val="004F2ED2"/>
    <w:rsid w:val="004F30B1"/>
    <w:rsid w:val="004F3D34"/>
    <w:rsid w:val="004F51F1"/>
    <w:rsid w:val="004F5EED"/>
    <w:rsid w:val="004F63C8"/>
    <w:rsid w:val="004F6412"/>
    <w:rsid w:val="004F6A6D"/>
    <w:rsid w:val="004F6DCA"/>
    <w:rsid w:val="004F7054"/>
    <w:rsid w:val="004F773F"/>
    <w:rsid w:val="004F7C1C"/>
    <w:rsid w:val="004F7EA5"/>
    <w:rsid w:val="0050000A"/>
    <w:rsid w:val="005003A3"/>
    <w:rsid w:val="005004EF"/>
    <w:rsid w:val="00500698"/>
    <w:rsid w:val="00501A83"/>
    <w:rsid w:val="00502E6B"/>
    <w:rsid w:val="0050381B"/>
    <w:rsid w:val="00505A85"/>
    <w:rsid w:val="00505B0F"/>
    <w:rsid w:val="00505CC0"/>
    <w:rsid w:val="00506917"/>
    <w:rsid w:val="00506F1B"/>
    <w:rsid w:val="00507912"/>
    <w:rsid w:val="00510D47"/>
    <w:rsid w:val="00510E7B"/>
    <w:rsid w:val="00510EEF"/>
    <w:rsid w:val="00511132"/>
    <w:rsid w:val="005113A9"/>
    <w:rsid w:val="00511D94"/>
    <w:rsid w:val="0051227F"/>
    <w:rsid w:val="00512532"/>
    <w:rsid w:val="0051282C"/>
    <w:rsid w:val="005136E7"/>
    <w:rsid w:val="005136FA"/>
    <w:rsid w:val="005148D2"/>
    <w:rsid w:val="005157D0"/>
    <w:rsid w:val="00515857"/>
    <w:rsid w:val="00515D8C"/>
    <w:rsid w:val="005163A1"/>
    <w:rsid w:val="00516AF1"/>
    <w:rsid w:val="005170CE"/>
    <w:rsid w:val="00517273"/>
    <w:rsid w:val="00517D12"/>
    <w:rsid w:val="00520122"/>
    <w:rsid w:val="005205DF"/>
    <w:rsid w:val="00520A98"/>
    <w:rsid w:val="00520EBF"/>
    <w:rsid w:val="00521A07"/>
    <w:rsid w:val="00521E2D"/>
    <w:rsid w:val="00521F12"/>
    <w:rsid w:val="0052233A"/>
    <w:rsid w:val="0052269D"/>
    <w:rsid w:val="00522CFA"/>
    <w:rsid w:val="005238B3"/>
    <w:rsid w:val="005240CD"/>
    <w:rsid w:val="00524211"/>
    <w:rsid w:val="00524E22"/>
    <w:rsid w:val="00524EDC"/>
    <w:rsid w:val="00525CD9"/>
    <w:rsid w:val="00525D5C"/>
    <w:rsid w:val="00526D25"/>
    <w:rsid w:val="0052769A"/>
    <w:rsid w:val="005277E7"/>
    <w:rsid w:val="0052794E"/>
    <w:rsid w:val="00530386"/>
    <w:rsid w:val="00531033"/>
    <w:rsid w:val="005318FE"/>
    <w:rsid w:val="00531A1F"/>
    <w:rsid w:val="00531C20"/>
    <w:rsid w:val="005323D7"/>
    <w:rsid w:val="00532DE5"/>
    <w:rsid w:val="0053453E"/>
    <w:rsid w:val="00534872"/>
    <w:rsid w:val="00535596"/>
    <w:rsid w:val="005356B7"/>
    <w:rsid w:val="0053592E"/>
    <w:rsid w:val="00535D2C"/>
    <w:rsid w:val="00535E7C"/>
    <w:rsid w:val="00536D53"/>
    <w:rsid w:val="0053725E"/>
    <w:rsid w:val="00537E1F"/>
    <w:rsid w:val="00540EC2"/>
    <w:rsid w:val="00541349"/>
    <w:rsid w:val="00541632"/>
    <w:rsid w:val="00541657"/>
    <w:rsid w:val="005416B7"/>
    <w:rsid w:val="00541A0B"/>
    <w:rsid w:val="00541BF6"/>
    <w:rsid w:val="005430DE"/>
    <w:rsid w:val="0054315E"/>
    <w:rsid w:val="0054316A"/>
    <w:rsid w:val="005431DC"/>
    <w:rsid w:val="005434CE"/>
    <w:rsid w:val="00543754"/>
    <w:rsid w:val="00543D26"/>
    <w:rsid w:val="00543FB8"/>
    <w:rsid w:val="00544020"/>
    <w:rsid w:val="00544026"/>
    <w:rsid w:val="00544710"/>
    <w:rsid w:val="00544CB5"/>
    <w:rsid w:val="005451D6"/>
    <w:rsid w:val="005452D8"/>
    <w:rsid w:val="00545398"/>
    <w:rsid w:val="005454D7"/>
    <w:rsid w:val="00545FCD"/>
    <w:rsid w:val="00546F0B"/>
    <w:rsid w:val="00551101"/>
    <w:rsid w:val="00552095"/>
    <w:rsid w:val="00552C63"/>
    <w:rsid w:val="0055345C"/>
    <w:rsid w:val="005548A0"/>
    <w:rsid w:val="00555148"/>
    <w:rsid w:val="00555261"/>
    <w:rsid w:val="00555444"/>
    <w:rsid w:val="00556B22"/>
    <w:rsid w:val="00556D5C"/>
    <w:rsid w:val="00557456"/>
    <w:rsid w:val="00557623"/>
    <w:rsid w:val="00557AA9"/>
    <w:rsid w:val="00560467"/>
    <w:rsid w:val="005608FE"/>
    <w:rsid w:val="00560A88"/>
    <w:rsid w:val="00560AF4"/>
    <w:rsid w:val="005612AA"/>
    <w:rsid w:val="00561BCA"/>
    <w:rsid w:val="00562139"/>
    <w:rsid w:val="005621FB"/>
    <w:rsid w:val="0056228A"/>
    <w:rsid w:val="00562498"/>
    <w:rsid w:val="00562AC2"/>
    <w:rsid w:val="00562CD5"/>
    <w:rsid w:val="00562FE4"/>
    <w:rsid w:val="0056359E"/>
    <w:rsid w:val="005636EF"/>
    <w:rsid w:val="0056377E"/>
    <w:rsid w:val="00564433"/>
    <w:rsid w:val="00564777"/>
    <w:rsid w:val="00564A16"/>
    <w:rsid w:val="00564AEF"/>
    <w:rsid w:val="00564B8E"/>
    <w:rsid w:val="005650FD"/>
    <w:rsid w:val="00565407"/>
    <w:rsid w:val="0056582F"/>
    <w:rsid w:val="00565B20"/>
    <w:rsid w:val="00565B2D"/>
    <w:rsid w:val="005661FA"/>
    <w:rsid w:val="005663C0"/>
    <w:rsid w:val="005663D7"/>
    <w:rsid w:val="0056683A"/>
    <w:rsid w:val="00566BAD"/>
    <w:rsid w:val="00566E3F"/>
    <w:rsid w:val="0056720A"/>
    <w:rsid w:val="00567589"/>
    <w:rsid w:val="00567B10"/>
    <w:rsid w:val="005704DD"/>
    <w:rsid w:val="00570740"/>
    <w:rsid w:val="00571620"/>
    <w:rsid w:val="0057180C"/>
    <w:rsid w:val="0057196A"/>
    <w:rsid w:val="00571DB6"/>
    <w:rsid w:val="00572430"/>
    <w:rsid w:val="005727D1"/>
    <w:rsid w:val="00572916"/>
    <w:rsid w:val="00572C6F"/>
    <w:rsid w:val="00572D68"/>
    <w:rsid w:val="0057328D"/>
    <w:rsid w:val="005732FD"/>
    <w:rsid w:val="00573861"/>
    <w:rsid w:val="00573CC0"/>
    <w:rsid w:val="00574204"/>
    <w:rsid w:val="00574831"/>
    <w:rsid w:val="00574E12"/>
    <w:rsid w:val="005755E7"/>
    <w:rsid w:val="0057597D"/>
    <w:rsid w:val="00575DEC"/>
    <w:rsid w:val="005762B5"/>
    <w:rsid w:val="005766E4"/>
    <w:rsid w:val="00576930"/>
    <w:rsid w:val="00576D70"/>
    <w:rsid w:val="005773CB"/>
    <w:rsid w:val="0058006D"/>
    <w:rsid w:val="0058060B"/>
    <w:rsid w:val="005813AC"/>
    <w:rsid w:val="00581605"/>
    <w:rsid w:val="00581B29"/>
    <w:rsid w:val="00581B54"/>
    <w:rsid w:val="00582864"/>
    <w:rsid w:val="00582F28"/>
    <w:rsid w:val="00583194"/>
    <w:rsid w:val="005834A0"/>
    <w:rsid w:val="00583A5A"/>
    <w:rsid w:val="00584495"/>
    <w:rsid w:val="005852ED"/>
    <w:rsid w:val="0058532E"/>
    <w:rsid w:val="00585760"/>
    <w:rsid w:val="0058589B"/>
    <w:rsid w:val="00585B8B"/>
    <w:rsid w:val="0058603F"/>
    <w:rsid w:val="005864CB"/>
    <w:rsid w:val="0058664A"/>
    <w:rsid w:val="0059086E"/>
    <w:rsid w:val="00590F0A"/>
    <w:rsid w:val="005910CF"/>
    <w:rsid w:val="005915BC"/>
    <w:rsid w:val="00591604"/>
    <w:rsid w:val="005918F7"/>
    <w:rsid w:val="00591E53"/>
    <w:rsid w:val="005920EA"/>
    <w:rsid w:val="0059386F"/>
    <w:rsid w:val="0059410D"/>
    <w:rsid w:val="00595187"/>
    <w:rsid w:val="005959A8"/>
    <w:rsid w:val="00596270"/>
    <w:rsid w:val="005966C8"/>
    <w:rsid w:val="00596E51"/>
    <w:rsid w:val="00597046"/>
    <w:rsid w:val="00597162"/>
    <w:rsid w:val="0059762B"/>
    <w:rsid w:val="00597AF5"/>
    <w:rsid w:val="00597CAD"/>
    <w:rsid w:val="005A0577"/>
    <w:rsid w:val="005A0AF9"/>
    <w:rsid w:val="005A0D45"/>
    <w:rsid w:val="005A2333"/>
    <w:rsid w:val="005A25AE"/>
    <w:rsid w:val="005A287B"/>
    <w:rsid w:val="005A2A56"/>
    <w:rsid w:val="005A2C8F"/>
    <w:rsid w:val="005A3380"/>
    <w:rsid w:val="005A3EA2"/>
    <w:rsid w:val="005A4B2F"/>
    <w:rsid w:val="005A5057"/>
    <w:rsid w:val="005A7886"/>
    <w:rsid w:val="005B15C7"/>
    <w:rsid w:val="005B165B"/>
    <w:rsid w:val="005B1B86"/>
    <w:rsid w:val="005B27ED"/>
    <w:rsid w:val="005B28F8"/>
    <w:rsid w:val="005B3781"/>
    <w:rsid w:val="005B3F4B"/>
    <w:rsid w:val="005B4093"/>
    <w:rsid w:val="005B4751"/>
    <w:rsid w:val="005B47A1"/>
    <w:rsid w:val="005B5EFA"/>
    <w:rsid w:val="005B6715"/>
    <w:rsid w:val="005B6B35"/>
    <w:rsid w:val="005B7359"/>
    <w:rsid w:val="005B7645"/>
    <w:rsid w:val="005B7B7A"/>
    <w:rsid w:val="005B7F80"/>
    <w:rsid w:val="005C02F8"/>
    <w:rsid w:val="005C034D"/>
    <w:rsid w:val="005C0590"/>
    <w:rsid w:val="005C0AA5"/>
    <w:rsid w:val="005C2997"/>
    <w:rsid w:val="005C2F45"/>
    <w:rsid w:val="005C36D2"/>
    <w:rsid w:val="005C3740"/>
    <w:rsid w:val="005C3ED0"/>
    <w:rsid w:val="005C42E9"/>
    <w:rsid w:val="005C4557"/>
    <w:rsid w:val="005C497E"/>
    <w:rsid w:val="005C4A43"/>
    <w:rsid w:val="005C4F1D"/>
    <w:rsid w:val="005C5064"/>
    <w:rsid w:val="005C6000"/>
    <w:rsid w:val="005C621C"/>
    <w:rsid w:val="005C62E2"/>
    <w:rsid w:val="005C675C"/>
    <w:rsid w:val="005C6F8F"/>
    <w:rsid w:val="005C6FDE"/>
    <w:rsid w:val="005C7311"/>
    <w:rsid w:val="005C7960"/>
    <w:rsid w:val="005C7E2A"/>
    <w:rsid w:val="005D0C62"/>
    <w:rsid w:val="005D189F"/>
    <w:rsid w:val="005D1D6D"/>
    <w:rsid w:val="005D2052"/>
    <w:rsid w:val="005D225E"/>
    <w:rsid w:val="005D314A"/>
    <w:rsid w:val="005D3425"/>
    <w:rsid w:val="005D39EB"/>
    <w:rsid w:val="005D3D64"/>
    <w:rsid w:val="005D3EDA"/>
    <w:rsid w:val="005D48C5"/>
    <w:rsid w:val="005D5E8A"/>
    <w:rsid w:val="005D64FC"/>
    <w:rsid w:val="005D6F2E"/>
    <w:rsid w:val="005D6FD8"/>
    <w:rsid w:val="005D71F5"/>
    <w:rsid w:val="005D72D1"/>
    <w:rsid w:val="005D75C8"/>
    <w:rsid w:val="005D7DB8"/>
    <w:rsid w:val="005E024B"/>
    <w:rsid w:val="005E065B"/>
    <w:rsid w:val="005E0AC9"/>
    <w:rsid w:val="005E124F"/>
    <w:rsid w:val="005E1705"/>
    <w:rsid w:val="005E279F"/>
    <w:rsid w:val="005E2FC6"/>
    <w:rsid w:val="005E3091"/>
    <w:rsid w:val="005E3176"/>
    <w:rsid w:val="005E394C"/>
    <w:rsid w:val="005E396E"/>
    <w:rsid w:val="005E3DD2"/>
    <w:rsid w:val="005E40DC"/>
    <w:rsid w:val="005E442A"/>
    <w:rsid w:val="005E453A"/>
    <w:rsid w:val="005E48A2"/>
    <w:rsid w:val="005E4A04"/>
    <w:rsid w:val="005E52A8"/>
    <w:rsid w:val="005E5C73"/>
    <w:rsid w:val="005E5DAF"/>
    <w:rsid w:val="005E5FA8"/>
    <w:rsid w:val="005E608C"/>
    <w:rsid w:val="005E6192"/>
    <w:rsid w:val="005E6781"/>
    <w:rsid w:val="005E6EF3"/>
    <w:rsid w:val="005E774C"/>
    <w:rsid w:val="005F009D"/>
    <w:rsid w:val="005F05AF"/>
    <w:rsid w:val="005F11C3"/>
    <w:rsid w:val="005F15D1"/>
    <w:rsid w:val="005F1B12"/>
    <w:rsid w:val="005F2305"/>
    <w:rsid w:val="005F2D8A"/>
    <w:rsid w:val="005F32A1"/>
    <w:rsid w:val="005F46C0"/>
    <w:rsid w:val="005F4F58"/>
    <w:rsid w:val="005F4FAF"/>
    <w:rsid w:val="005F506F"/>
    <w:rsid w:val="005F50E5"/>
    <w:rsid w:val="005F53BA"/>
    <w:rsid w:val="005F5D63"/>
    <w:rsid w:val="005F5FBF"/>
    <w:rsid w:val="005F6007"/>
    <w:rsid w:val="005F6518"/>
    <w:rsid w:val="005F67BD"/>
    <w:rsid w:val="005F6C8E"/>
    <w:rsid w:val="005F6F35"/>
    <w:rsid w:val="005F74F4"/>
    <w:rsid w:val="005F7E73"/>
    <w:rsid w:val="00600366"/>
    <w:rsid w:val="00600582"/>
    <w:rsid w:val="00601112"/>
    <w:rsid w:val="0060117E"/>
    <w:rsid w:val="006015BF"/>
    <w:rsid w:val="0060169F"/>
    <w:rsid w:val="006016FC"/>
    <w:rsid w:val="006023D8"/>
    <w:rsid w:val="00603AA8"/>
    <w:rsid w:val="00603CDB"/>
    <w:rsid w:val="00604317"/>
    <w:rsid w:val="006052F5"/>
    <w:rsid w:val="00605495"/>
    <w:rsid w:val="00605986"/>
    <w:rsid w:val="00605BCE"/>
    <w:rsid w:val="00605F14"/>
    <w:rsid w:val="00606C79"/>
    <w:rsid w:val="00606F5C"/>
    <w:rsid w:val="006072D1"/>
    <w:rsid w:val="006076BE"/>
    <w:rsid w:val="006076D0"/>
    <w:rsid w:val="006079C1"/>
    <w:rsid w:val="00610064"/>
    <w:rsid w:val="0061071D"/>
    <w:rsid w:val="00610855"/>
    <w:rsid w:val="0061130B"/>
    <w:rsid w:val="00611A0D"/>
    <w:rsid w:val="00612141"/>
    <w:rsid w:val="00612276"/>
    <w:rsid w:val="00613059"/>
    <w:rsid w:val="00613934"/>
    <w:rsid w:val="00613C93"/>
    <w:rsid w:val="00614321"/>
    <w:rsid w:val="00615388"/>
    <w:rsid w:val="006154E2"/>
    <w:rsid w:val="00615523"/>
    <w:rsid w:val="00616C46"/>
    <w:rsid w:val="006172C7"/>
    <w:rsid w:val="006173B3"/>
    <w:rsid w:val="006174EF"/>
    <w:rsid w:val="00617E46"/>
    <w:rsid w:val="00620157"/>
    <w:rsid w:val="006208CE"/>
    <w:rsid w:val="00620EF6"/>
    <w:rsid w:val="0062127B"/>
    <w:rsid w:val="006214CB"/>
    <w:rsid w:val="0062159F"/>
    <w:rsid w:val="0062168C"/>
    <w:rsid w:val="00621A5B"/>
    <w:rsid w:val="00621A73"/>
    <w:rsid w:val="00623666"/>
    <w:rsid w:val="00623BB4"/>
    <w:rsid w:val="00624E2F"/>
    <w:rsid w:val="00624FC3"/>
    <w:rsid w:val="006252E0"/>
    <w:rsid w:val="00625A83"/>
    <w:rsid w:val="00626400"/>
    <w:rsid w:val="006267C2"/>
    <w:rsid w:val="0062712A"/>
    <w:rsid w:val="0062798A"/>
    <w:rsid w:val="00627EC9"/>
    <w:rsid w:val="00627F38"/>
    <w:rsid w:val="00630947"/>
    <w:rsid w:val="0063122C"/>
    <w:rsid w:val="0063230C"/>
    <w:rsid w:val="00632387"/>
    <w:rsid w:val="00632547"/>
    <w:rsid w:val="0063294B"/>
    <w:rsid w:val="00632ADD"/>
    <w:rsid w:val="00632CC9"/>
    <w:rsid w:val="00632FC6"/>
    <w:rsid w:val="006339BC"/>
    <w:rsid w:val="00634D17"/>
    <w:rsid w:val="00635188"/>
    <w:rsid w:val="00635CCA"/>
    <w:rsid w:val="00635D58"/>
    <w:rsid w:val="0063626F"/>
    <w:rsid w:val="00636358"/>
    <w:rsid w:val="00636671"/>
    <w:rsid w:val="00636844"/>
    <w:rsid w:val="00636DCA"/>
    <w:rsid w:val="00637CD7"/>
    <w:rsid w:val="0064014F"/>
    <w:rsid w:val="0064084F"/>
    <w:rsid w:val="00640C14"/>
    <w:rsid w:val="00640F31"/>
    <w:rsid w:val="0064121D"/>
    <w:rsid w:val="00641BB2"/>
    <w:rsid w:val="0064254C"/>
    <w:rsid w:val="00642732"/>
    <w:rsid w:val="00643048"/>
    <w:rsid w:val="0064339A"/>
    <w:rsid w:val="006438FE"/>
    <w:rsid w:val="00643B2A"/>
    <w:rsid w:val="00643CDB"/>
    <w:rsid w:val="00643F82"/>
    <w:rsid w:val="006456E4"/>
    <w:rsid w:val="006461CE"/>
    <w:rsid w:val="006463C8"/>
    <w:rsid w:val="006463F5"/>
    <w:rsid w:val="0064667A"/>
    <w:rsid w:val="006466A7"/>
    <w:rsid w:val="006476AF"/>
    <w:rsid w:val="006501C2"/>
    <w:rsid w:val="00650824"/>
    <w:rsid w:val="00650D36"/>
    <w:rsid w:val="006511D7"/>
    <w:rsid w:val="006515F5"/>
    <w:rsid w:val="00651617"/>
    <w:rsid w:val="00651975"/>
    <w:rsid w:val="00651DC1"/>
    <w:rsid w:val="00651E9B"/>
    <w:rsid w:val="006520A1"/>
    <w:rsid w:val="0065221E"/>
    <w:rsid w:val="00652DC4"/>
    <w:rsid w:val="00654118"/>
    <w:rsid w:val="00654129"/>
    <w:rsid w:val="00654767"/>
    <w:rsid w:val="00654901"/>
    <w:rsid w:val="00654C4E"/>
    <w:rsid w:val="00654FFD"/>
    <w:rsid w:val="00655A93"/>
    <w:rsid w:val="00655B5B"/>
    <w:rsid w:val="00656B52"/>
    <w:rsid w:val="00656D6B"/>
    <w:rsid w:val="00656FEC"/>
    <w:rsid w:val="006570AA"/>
    <w:rsid w:val="006578DA"/>
    <w:rsid w:val="00657F3C"/>
    <w:rsid w:val="006606C9"/>
    <w:rsid w:val="00660BD6"/>
    <w:rsid w:val="00661695"/>
    <w:rsid w:val="006618AC"/>
    <w:rsid w:val="006627B2"/>
    <w:rsid w:val="006629BE"/>
    <w:rsid w:val="00662B88"/>
    <w:rsid w:val="00663248"/>
    <w:rsid w:val="00664259"/>
    <w:rsid w:val="00664742"/>
    <w:rsid w:val="006649CF"/>
    <w:rsid w:val="00664FB2"/>
    <w:rsid w:val="00665E5F"/>
    <w:rsid w:val="00666310"/>
    <w:rsid w:val="006668C2"/>
    <w:rsid w:val="00666A28"/>
    <w:rsid w:val="00666A42"/>
    <w:rsid w:val="00666D88"/>
    <w:rsid w:val="00666DAA"/>
    <w:rsid w:val="00667163"/>
    <w:rsid w:val="00667515"/>
    <w:rsid w:val="006678A5"/>
    <w:rsid w:val="00667A3B"/>
    <w:rsid w:val="00667B88"/>
    <w:rsid w:val="006700A8"/>
    <w:rsid w:val="00670B39"/>
    <w:rsid w:val="00670CC4"/>
    <w:rsid w:val="0067158B"/>
    <w:rsid w:val="006716BA"/>
    <w:rsid w:val="00671E02"/>
    <w:rsid w:val="00673B91"/>
    <w:rsid w:val="00673D7E"/>
    <w:rsid w:val="00673EA0"/>
    <w:rsid w:val="0067595A"/>
    <w:rsid w:val="006762B7"/>
    <w:rsid w:val="00676592"/>
    <w:rsid w:val="00676847"/>
    <w:rsid w:val="006768A8"/>
    <w:rsid w:val="00676D1F"/>
    <w:rsid w:val="00676FF0"/>
    <w:rsid w:val="0067751B"/>
    <w:rsid w:val="006779CD"/>
    <w:rsid w:val="00677A41"/>
    <w:rsid w:val="00680088"/>
    <w:rsid w:val="0068023F"/>
    <w:rsid w:val="006805D9"/>
    <w:rsid w:val="0068070D"/>
    <w:rsid w:val="00680CDB"/>
    <w:rsid w:val="00680EBF"/>
    <w:rsid w:val="00681882"/>
    <w:rsid w:val="0068233C"/>
    <w:rsid w:val="00682875"/>
    <w:rsid w:val="00682C90"/>
    <w:rsid w:val="00682CA3"/>
    <w:rsid w:val="00682D9F"/>
    <w:rsid w:val="006837E8"/>
    <w:rsid w:val="00683BD7"/>
    <w:rsid w:val="006840A7"/>
    <w:rsid w:val="0068419F"/>
    <w:rsid w:val="00684932"/>
    <w:rsid w:val="006855E6"/>
    <w:rsid w:val="00685C8B"/>
    <w:rsid w:val="006865E4"/>
    <w:rsid w:val="00686647"/>
    <w:rsid w:val="00686A5E"/>
    <w:rsid w:val="006870FE"/>
    <w:rsid w:val="00687369"/>
    <w:rsid w:val="006878CD"/>
    <w:rsid w:val="0068790F"/>
    <w:rsid w:val="00687E6A"/>
    <w:rsid w:val="00690AA6"/>
    <w:rsid w:val="00691EF3"/>
    <w:rsid w:val="00692A99"/>
    <w:rsid w:val="00692CEE"/>
    <w:rsid w:val="00693444"/>
    <w:rsid w:val="006936B6"/>
    <w:rsid w:val="006937A6"/>
    <w:rsid w:val="00693878"/>
    <w:rsid w:val="00693CEF"/>
    <w:rsid w:val="00694F26"/>
    <w:rsid w:val="006951C3"/>
    <w:rsid w:val="00695524"/>
    <w:rsid w:val="0069590F"/>
    <w:rsid w:val="00695C1D"/>
    <w:rsid w:val="00695FFE"/>
    <w:rsid w:val="0069618E"/>
    <w:rsid w:val="006970AD"/>
    <w:rsid w:val="00697142"/>
    <w:rsid w:val="0069741A"/>
    <w:rsid w:val="00697444"/>
    <w:rsid w:val="00697647"/>
    <w:rsid w:val="0069775C"/>
    <w:rsid w:val="006A0D5A"/>
    <w:rsid w:val="006A0EDF"/>
    <w:rsid w:val="006A10F5"/>
    <w:rsid w:val="006A135C"/>
    <w:rsid w:val="006A1549"/>
    <w:rsid w:val="006A1663"/>
    <w:rsid w:val="006A2ACF"/>
    <w:rsid w:val="006A2DC0"/>
    <w:rsid w:val="006A2DD5"/>
    <w:rsid w:val="006A3462"/>
    <w:rsid w:val="006A3C04"/>
    <w:rsid w:val="006A4E09"/>
    <w:rsid w:val="006A512A"/>
    <w:rsid w:val="006A53E2"/>
    <w:rsid w:val="006A5D87"/>
    <w:rsid w:val="006A6208"/>
    <w:rsid w:val="006A65D5"/>
    <w:rsid w:val="006A6D42"/>
    <w:rsid w:val="006A7802"/>
    <w:rsid w:val="006A7D60"/>
    <w:rsid w:val="006A7F93"/>
    <w:rsid w:val="006B0EA3"/>
    <w:rsid w:val="006B15C7"/>
    <w:rsid w:val="006B2156"/>
    <w:rsid w:val="006B390B"/>
    <w:rsid w:val="006B3A70"/>
    <w:rsid w:val="006B429C"/>
    <w:rsid w:val="006B48AA"/>
    <w:rsid w:val="006B49B8"/>
    <w:rsid w:val="006B5057"/>
    <w:rsid w:val="006B54B2"/>
    <w:rsid w:val="006B5C3B"/>
    <w:rsid w:val="006B6142"/>
    <w:rsid w:val="006B653E"/>
    <w:rsid w:val="006B774C"/>
    <w:rsid w:val="006B78CF"/>
    <w:rsid w:val="006B7A60"/>
    <w:rsid w:val="006B7D95"/>
    <w:rsid w:val="006B7E4D"/>
    <w:rsid w:val="006C0321"/>
    <w:rsid w:val="006C0BC7"/>
    <w:rsid w:val="006C0EC8"/>
    <w:rsid w:val="006C0F56"/>
    <w:rsid w:val="006C166B"/>
    <w:rsid w:val="006C17D9"/>
    <w:rsid w:val="006C2896"/>
    <w:rsid w:val="006C2A8F"/>
    <w:rsid w:val="006C3026"/>
    <w:rsid w:val="006C3187"/>
    <w:rsid w:val="006C3642"/>
    <w:rsid w:val="006C4366"/>
    <w:rsid w:val="006C46BD"/>
    <w:rsid w:val="006C515E"/>
    <w:rsid w:val="006C5BDD"/>
    <w:rsid w:val="006C6026"/>
    <w:rsid w:val="006C6A17"/>
    <w:rsid w:val="006C6C75"/>
    <w:rsid w:val="006C6D92"/>
    <w:rsid w:val="006C7104"/>
    <w:rsid w:val="006C7499"/>
    <w:rsid w:val="006C7838"/>
    <w:rsid w:val="006C7D7D"/>
    <w:rsid w:val="006D19B6"/>
    <w:rsid w:val="006D202A"/>
    <w:rsid w:val="006D2117"/>
    <w:rsid w:val="006D2A06"/>
    <w:rsid w:val="006D2DC2"/>
    <w:rsid w:val="006D327D"/>
    <w:rsid w:val="006D39A0"/>
    <w:rsid w:val="006D3AB1"/>
    <w:rsid w:val="006D3BCB"/>
    <w:rsid w:val="006D40C0"/>
    <w:rsid w:val="006D41D5"/>
    <w:rsid w:val="006D4AD4"/>
    <w:rsid w:val="006D521B"/>
    <w:rsid w:val="006D5804"/>
    <w:rsid w:val="006D614C"/>
    <w:rsid w:val="006D68C6"/>
    <w:rsid w:val="006D6947"/>
    <w:rsid w:val="006D69F5"/>
    <w:rsid w:val="006D6D24"/>
    <w:rsid w:val="006D747F"/>
    <w:rsid w:val="006D7A29"/>
    <w:rsid w:val="006D7C30"/>
    <w:rsid w:val="006D7EAF"/>
    <w:rsid w:val="006E041D"/>
    <w:rsid w:val="006E0A58"/>
    <w:rsid w:val="006E0D67"/>
    <w:rsid w:val="006E0EBD"/>
    <w:rsid w:val="006E2497"/>
    <w:rsid w:val="006E2F0C"/>
    <w:rsid w:val="006E31C6"/>
    <w:rsid w:val="006E3DF5"/>
    <w:rsid w:val="006E4F4D"/>
    <w:rsid w:val="006E5243"/>
    <w:rsid w:val="006E5B5C"/>
    <w:rsid w:val="006E62FC"/>
    <w:rsid w:val="006E6DBE"/>
    <w:rsid w:val="006E7817"/>
    <w:rsid w:val="006E7C56"/>
    <w:rsid w:val="006F0905"/>
    <w:rsid w:val="006F345B"/>
    <w:rsid w:val="006F3465"/>
    <w:rsid w:val="006F3BA6"/>
    <w:rsid w:val="006F42DD"/>
    <w:rsid w:val="006F56D7"/>
    <w:rsid w:val="006F5D40"/>
    <w:rsid w:val="006F676A"/>
    <w:rsid w:val="006F68C9"/>
    <w:rsid w:val="006F6A39"/>
    <w:rsid w:val="00700044"/>
    <w:rsid w:val="007000D3"/>
    <w:rsid w:val="0070031E"/>
    <w:rsid w:val="00700A44"/>
    <w:rsid w:val="00700CD8"/>
    <w:rsid w:val="00700FAD"/>
    <w:rsid w:val="007011DE"/>
    <w:rsid w:val="00701388"/>
    <w:rsid w:val="00701C7E"/>
    <w:rsid w:val="00702061"/>
    <w:rsid w:val="007023B3"/>
    <w:rsid w:val="00702551"/>
    <w:rsid w:val="0070259C"/>
    <w:rsid w:val="00703CDC"/>
    <w:rsid w:val="0070431E"/>
    <w:rsid w:val="007043A7"/>
    <w:rsid w:val="00704738"/>
    <w:rsid w:val="0070489D"/>
    <w:rsid w:val="00704BCC"/>
    <w:rsid w:val="00704D96"/>
    <w:rsid w:val="00704DA6"/>
    <w:rsid w:val="00704E90"/>
    <w:rsid w:val="007050A1"/>
    <w:rsid w:val="00705A78"/>
    <w:rsid w:val="00705AF7"/>
    <w:rsid w:val="007065E6"/>
    <w:rsid w:val="00706826"/>
    <w:rsid w:val="0070748E"/>
    <w:rsid w:val="007079C0"/>
    <w:rsid w:val="00707A04"/>
    <w:rsid w:val="00707B69"/>
    <w:rsid w:val="00707B92"/>
    <w:rsid w:val="00707EB5"/>
    <w:rsid w:val="00707ED5"/>
    <w:rsid w:val="007106BF"/>
    <w:rsid w:val="007106CE"/>
    <w:rsid w:val="007111E3"/>
    <w:rsid w:val="00711308"/>
    <w:rsid w:val="00711B3F"/>
    <w:rsid w:val="00711BAB"/>
    <w:rsid w:val="00711DA8"/>
    <w:rsid w:val="00712325"/>
    <w:rsid w:val="00713110"/>
    <w:rsid w:val="00713AEF"/>
    <w:rsid w:val="00713E24"/>
    <w:rsid w:val="007145BA"/>
    <w:rsid w:val="00714E48"/>
    <w:rsid w:val="00715DF1"/>
    <w:rsid w:val="007169A2"/>
    <w:rsid w:val="00716BCA"/>
    <w:rsid w:val="00716CFE"/>
    <w:rsid w:val="00717210"/>
    <w:rsid w:val="00717A73"/>
    <w:rsid w:val="007203E8"/>
    <w:rsid w:val="007207FB"/>
    <w:rsid w:val="00720BD9"/>
    <w:rsid w:val="0072157D"/>
    <w:rsid w:val="00721E29"/>
    <w:rsid w:val="00722108"/>
    <w:rsid w:val="007237CC"/>
    <w:rsid w:val="00723B73"/>
    <w:rsid w:val="00723E4B"/>
    <w:rsid w:val="00723FED"/>
    <w:rsid w:val="0072464E"/>
    <w:rsid w:val="0072484C"/>
    <w:rsid w:val="00725D59"/>
    <w:rsid w:val="00727217"/>
    <w:rsid w:val="00727444"/>
    <w:rsid w:val="00727CDF"/>
    <w:rsid w:val="0073032B"/>
    <w:rsid w:val="0073052C"/>
    <w:rsid w:val="00731289"/>
    <w:rsid w:val="00731303"/>
    <w:rsid w:val="00731576"/>
    <w:rsid w:val="007315C7"/>
    <w:rsid w:val="0073176F"/>
    <w:rsid w:val="00731C37"/>
    <w:rsid w:val="00732219"/>
    <w:rsid w:val="00732389"/>
    <w:rsid w:val="007327F1"/>
    <w:rsid w:val="00732F96"/>
    <w:rsid w:val="00733498"/>
    <w:rsid w:val="00733E78"/>
    <w:rsid w:val="00734660"/>
    <w:rsid w:val="00734A85"/>
    <w:rsid w:val="0073663B"/>
    <w:rsid w:val="007377E9"/>
    <w:rsid w:val="00737B68"/>
    <w:rsid w:val="007402E6"/>
    <w:rsid w:val="007408D6"/>
    <w:rsid w:val="00740ABF"/>
    <w:rsid w:val="00740D77"/>
    <w:rsid w:val="00740E82"/>
    <w:rsid w:val="00741A46"/>
    <w:rsid w:val="00741BC4"/>
    <w:rsid w:val="0074279E"/>
    <w:rsid w:val="00742D25"/>
    <w:rsid w:val="00742D5E"/>
    <w:rsid w:val="007443AD"/>
    <w:rsid w:val="007445CC"/>
    <w:rsid w:val="007446AB"/>
    <w:rsid w:val="00744FE0"/>
    <w:rsid w:val="007456AE"/>
    <w:rsid w:val="00745C61"/>
    <w:rsid w:val="00745E2D"/>
    <w:rsid w:val="00746542"/>
    <w:rsid w:val="007467E5"/>
    <w:rsid w:val="00746B52"/>
    <w:rsid w:val="00746D34"/>
    <w:rsid w:val="007478A4"/>
    <w:rsid w:val="0074798D"/>
    <w:rsid w:val="00747D38"/>
    <w:rsid w:val="0075001C"/>
    <w:rsid w:val="00750508"/>
    <w:rsid w:val="00750951"/>
    <w:rsid w:val="00750B99"/>
    <w:rsid w:val="00750DF6"/>
    <w:rsid w:val="0075136D"/>
    <w:rsid w:val="0075192D"/>
    <w:rsid w:val="00751BF8"/>
    <w:rsid w:val="00751DBA"/>
    <w:rsid w:val="007523C2"/>
    <w:rsid w:val="00752FC2"/>
    <w:rsid w:val="0075315D"/>
    <w:rsid w:val="007535D4"/>
    <w:rsid w:val="0075380C"/>
    <w:rsid w:val="00753F97"/>
    <w:rsid w:val="00753FEC"/>
    <w:rsid w:val="007542F9"/>
    <w:rsid w:val="007546C3"/>
    <w:rsid w:val="00754859"/>
    <w:rsid w:val="0075502D"/>
    <w:rsid w:val="007552E3"/>
    <w:rsid w:val="007559DC"/>
    <w:rsid w:val="007561EE"/>
    <w:rsid w:val="0075652E"/>
    <w:rsid w:val="00756804"/>
    <w:rsid w:val="0075708E"/>
    <w:rsid w:val="0075737D"/>
    <w:rsid w:val="007573AF"/>
    <w:rsid w:val="00757F5E"/>
    <w:rsid w:val="007611FC"/>
    <w:rsid w:val="00761644"/>
    <w:rsid w:val="00761717"/>
    <w:rsid w:val="0076187A"/>
    <w:rsid w:val="00761B2D"/>
    <w:rsid w:val="00762682"/>
    <w:rsid w:val="00762E41"/>
    <w:rsid w:val="00763179"/>
    <w:rsid w:val="0076344A"/>
    <w:rsid w:val="0076359A"/>
    <w:rsid w:val="007636F5"/>
    <w:rsid w:val="00763D8C"/>
    <w:rsid w:val="00763F47"/>
    <w:rsid w:val="0076441A"/>
    <w:rsid w:val="0076566C"/>
    <w:rsid w:val="007659E0"/>
    <w:rsid w:val="007669B2"/>
    <w:rsid w:val="00766AC8"/>
    <w:rsid w:val="00766B2E"/>
    <w:rsid w:val="007673F1"/>
    <w:rsid w:val="0077017D"/>
    <w:rsid w:val="0077059B"/>
    <w:rsid w:val="00770ED5"/>
    <w:rsid w:val="00771487"/>
    <w:rsid w:val="007717BD"/>
    <w:rsid w:val="00771D70"/>
    <w:rsid w:val="00772031"/>
    <w:rsid w:val="007723C5"/>
    <w:rsid w:val="00772461"/>
    <w:rsid w:val="0077294B"/>
    <w:rsid w:val="00772AB2"/>
    <w:rsid w:val="00772E22"/>
    <w:rsid w:val="00773144"/>
    <w:rsid w:val="00773897"/>
    <w:rsid w:val="00773B66"/>
    <w:rsid w:val="00774470"/>
    <w:rsid w:val="00774970"/>
    <w:rsid w:val="00775272"/>
    <w:rsid w:val="0077642E"/>
    <w:rsid w:val="00776D76"/>
    <w:rsid w:val="00777580"/>
    <w:rsid w:val="00777C89"/>
    <w:rsid w:val="0078011B"/>
    <w:rsid w:val="0078027B"/>
    <w:rsid w:val="0078052E"/>
    <w:rsid w:val="00780563"/>
    <w:rsid w:val="00780809"/>
    <w:rsid w:val="00780C68"/>
    <w:rsid w:val="00780DE0"/>
    <w:rsid w:val="00780FCA"/>
    <w:rsid w:val="00781949"/>
    <w:rsid w:val="007819F8"/>
    <w:rsid w:val="00781D4C"/>
    <w:rsid w:val="007821C7"/>
    <w:rsid w:val="0078244D"/>
    <w:rsid w:val="007827E2"/>
    <w:rsid w:val="007828ED"/>
    <w:rsid w:val="0078312B"/>
    <w:rsid w:val="007833CC"/>
    <w:rsid w:val="0078374C"/>
    <w:rsid w:val="00783AE0"/>
    <w:rsid w:val="00783D11"/>
    <w:rsid w:val="00783F20"/>
    <w:rsid w:val="0078435F"/>
    <w:rsid w:val="00784453"/>
    <w:rsid w:val="00784A8B"/>
    <w:rsid w:val="00786333"/>
    <w:rsid w:val="00786639"/>
    <w:rsid w:val="00786DC2"/>
    <w:rsid w:val="007871D6"/>
    <w:rsid w:val="007905D4"/>
    <w:rsid w:val="00792138"/>
    <w:rsid w:val="007922CD"/>
    <w:rsid w:val="00792FE0"/>
    <w:rsid w:val="00793026"/>
    <w:rsid w:val="007942DC"/>
    <w:rsid w:val="00794C21"/>
    <w:rsid w:val="00794DB4"/>
    <w:rsid w:val="00795C6F"/>
    <w:rsid w:val="00795DCB"/>
    <w:rsid w:val="00797463"/>
    <w:rsid w:val="00797812"/>
    <w:rsid w:val="00797FEA"/>
    <w:rsid w:val="007A017B"/>
    <w:rsid w:val="007A0232"/>
    <w:rsid w:val="007A02AD"/>
    <w:rsid w:val="007A03C6"/>
    <w:rsid w:val="007A0450"/>
    <w:rsid w:val="007A07AF"/>
    <w:rsid w:val="007A1160"/>
    <w:rsid w:val="007A1376"/>
    <w:rsid w:val="007A17C9"/>
    <w:rsid w:val="007A1DBC"/>
    <w:rsid w:val="007A21FD"/>
    <w:rsid w:val="007A2801"/>
    <w:rsid w:val="007A2ADA"/>
    <w:rsid w:val="007A2F98"/>
    <w:rsid w:val="007A36EE"/>
    <w:rsid w:val="007A3893"/>
    <w:rsid w:val="007A3CB4"/>
    <w:rsid w:val="007A3E4C"/>
    <w:rsid w:val="007A5088"/>
    <w:rsid w:val="007A5899"/>
    <w:rsid w:val="007A6004"/>
    <w:rsid w:val="007A63C0"/>
    <w:rsid w:val="007A6406"/>
    <w:rsid w:val="007A65B5"/>
    <w:rsid w:val="007A6CBA"/>
    <w:rsid w:val="007A711B"/>
    <w:rsid w:val="007A7361"/>
    <w:rsid w:val="007A7465"/>
    <w:rsid w:val="007A7A47"/>
    <w:rsid w:val="007A7D88"/>
    <w:rsid w:val="007B005C"/>
    <w:rsid w:val="007B06B1"/>
    <w:rsid w:val="007B159D"/>
    <w:rsid w:val="007B196A"/>
    <w:rsid w:val="007B1A28"/>
    <w:rsid w:val="007B1CDB"/>
    <w:rsid w:val="007B371A"/>
    <w:rsid w:val="007B3E29"/>
    <w:rsid w:val="007B3E59"/>
    <w:rsid w:val="007B43BE"/>
    <w:rsid w:val="007B4600"/>
    <w:rsid w:val="007B4AD0"/>
    <w:rsid w:val="007B4F79"/>
    <w:rsid w:val="007B5478"/>
    <w:rsid w:val="007B5928"/>
    <w:rsid w:val="007B5C24"/>
    <w:rsid w:val="007B6143"/>
    <w:rsid w:val="007B66C9"/>
    <w:rsid w:val="007B75E0"/>
    <w:rsid w:val="007B78C2"/>
    <w:rsid w:val="007C0BC9"/>
    <w:rsid w:val="007C0EFB"/>
    <w:rsid w:val="007C1301"/>
    <w:rsid w:val="007C27AF"/>
    <w:rsid w:val="007C3E37"/>
    <w:rsid w:val="007C4353"/>
    <w:rsid w:val="007C43D8"/>
    <w:rsid w:val="007C45D6"/>
    <w:rsid w:val="007C4B6D"/>
    <w:rsid w:val="007C575C"/>
    <w:rsid w:val="007C6302"/>
    <w:rsid w:val="007C66B0"/>
    <w:rsid w:val="007C67FA"/>
    <w:rsid w:val="007C6D49"/>
    <w:rsid w:val="007C73CD"/>
    <w:rsid w:val="007D0024"/>
    <w:rsid w:val="007D040B"/>
    <w:rsid w:val="007D05D9"/>
    <w:rsid w:val="007D06DE"/>
    <w:rsid w:val="007D06E4"/>
    <w:rsid w:val="007D0D90"/>
    <w:rsid w:val="007D2601"/>
    <w:rsid w:val="007D2733"/>
    <w:rsid w:val="007D2C96"/>
    <w:rsid w:val="007D2FD1"/>
    <w:rsid w:val="007D3793"/>
    <w:rsid w:val="007D3CFE"/>
    <w:rsid w:val="007D4B61"/>
    <w:rsid w:val="007D4F1D"/>
    <w:rsid w:val="007D5120"/>
    <w:rsid w:val="007D66B3"/>
    <w:rsid w:val="007D6857"/>
    <w:rsid w:val="007D693E"/>
    <w:rsid w:val="007D6C03"/>
    <w:rsid w:val="007D715A"/>
    <w:rsid w:val="007D762B"/>
    <w:rsid w:val="007D7ACD"/>
    <w:rsid w:val="007D7B89"/>
    <w:rsid w:val="007D7BA2"/>
    <w:rsid w:val="007E038F"/>
    <w:rsid w:val="007E0D79"/>
    <w:rsid w:val="007E0E75"/>
    <w:rsid w:val="007E12E4"/>
    <w:rsid w:val="007E1559"/>
    <w:rsid w:val="007E24C7"/>
    <w:rsid w:val="007E323C"/>
    <w:rsid w:val="007E3E84"/>
    <w:rsid w:val="007E488F"/>
    <w:rsid w:val="007E4AC2"/>
    <w:rsid w:val="007E4E48"/>
    <w:rsid w:val="007E51EB"/>
    <w:rsid w:val="007E65D0"/>
    <w:rsid w:val="007E66F5"/>
    <w:rsid w:val="007E7BA7"/>
    <w:rsid w:val="007F0520"/>
    <w:rsid w:val="007F0645"/>
    <w:rsid w:val="007F0770"/>
    <w:rsid w:val="007F12C9"/>
    <w:rsid w:val="007F1E25"/>
    <w:rsid w:val="007F1F07"/>
    <w:rsid w:val="007F21E6"/>
    <w:rsid w:val="007F23FE"/>
    <w:rsid w:val="007F39B5"/>
    <w:rsid w:val="007F433E"/>
    <w:rsid w:val="007F4D25"/>
    <w:rsid w:val="007F56FB"/>
    <w:rsid w:val="007F6513"/>
    <w:rsid w:val="007F6574"/>
    <w:rsid w:val="007F6598"/>
    <w:rsid w:val="007F6A22"/>
    <w:rsid w:val="007F6EBD"/>
    <w:rsid w:val="007F71A8"/>
    <w:rsid w:val="007F72B1"/>
    <w:rsid w:val="00801597"/>
    <w:rsid w:val="00801F2B"/>
    <w:rsid w:val="00802B96"/>
    <w:rsid w:val="00802C71"/>
    <w:rsid w:val="00803CF5"/>
    <w:rsid w:val="00803D04"/>
    <w:rsid w:val="008046F9"/>
    <w:rsid w:val="00804F63"/>
    <w:rsid w:val="00805368"/>
    <w:rsid w:val="0080584A"/>
    <w:rsid w:val="00805EB2"/>
    <w:rsid w:val="00805F76"/>
    <w:rsid w:val="00806337"/>
    <w:rsid w:val="0080647A"/>
    <w:rsid w:val="00806565"/>
    <w:rsid w:val="0080675B"/>
    <w:rsid w:val="00806B3D"/>
    <w:rsid w:val="00806EA1"/>
    <w:rsid w:val="00807A53"/>
    <w:rsid w:val="00807EBE"/>
    <w:rsid w:val="00810072"/>
    <w:rsid w:val="00810285"/>
    <w:rsid w:val="0081053F"/>
    <w:rsid w:val="0081129E"/>
    <w:rsid w:val="008112F0"/>
    <w:rsid w:val="00811A59"/>
    <w:rsid w:val="00811DCC"/>
    <w:rsid w:val="00812D74"/>
    <w:rsid w:val="00812F5C"/>
    <w:rsid w:val="00813577"/>
    <w:rsid w:val="00813D0E"/>
    <w:rsid w:val="00814575"/>
    <w:rsid w:val="00814668"/>
    <w:rsid w:val="00814A1C"/>
    <w:rsid w:val="00814C65"/>
    <w:rsid w:val="00814E78"/>
    <w:rsid w:val="00815D6E"/>
    <w:rsid w:val="00816128"/>
    <w:rsid w:val="00816928"/>
    <w:rsid w:val="00816D42"/>
    <w:rsid w:val="0081711B"/>
    <w:rsid w:val="00817210"/>
    <w:rsid w:val="00817738"/>
    <w:rsid w:val="00817B84"/>
    <w:rsid w:val="00817F39"/>
    <w:rsid w:val="0082066D"/>
    <w:rsid w:val="0082077E"/>
    <w:rsid w:val="0082098E"/>
    <w:rsid w:val="00820AEE"/>
    <w:rsid w:val="008218C3"/>
    <w:rsid w:val="00821C85"/>
    <w:rsid w:val="00822AA6"/>
    <w:rsid w:val="008232F7"/>
    <w:rsid w:val="008242B1"/>
    <w:rsid w:val="008253A3"/>
    <w:rsid w:val="008255BC"/>
    <w:rsid w:val="008255C9"/>
    <w:rsid w:val="008265C1"/>
    <w:rsid w:val="008265D3"/>
    <w:rsid w:val="00826947"/>
    <w:rsid w:val="00826CEB"/>
    <w:rsid w:val="008278FB"/>
    <w:rsid w:val="00827B7B"/>
    <w:rsid w:val="00827CFC"/>
    <w:rsid w:val="008303B3"/>
    <w:rsid w:val="00830A9C"/>
    <w:rsid w:val="00830EBD"/>
    <w:rsid w:val="008313D4"/>
    <w:rsid w:val="00831734"/>
    <w:rsid w:val="00831940"/>
    <w:rsid w:val="008321AC"/>
    <w:rsid w:val="00832DB2"/>
    <w:rsid w:val="008330FA"/>
    <w:rsid w:val="0083401B"/>
    <w:rsid w:val="0083447C"/>
    <w:rsid w:val="0083486E"/>
    <w:rsid w:val="00834BF1"/>
    <w:rsid w:val="008353AE"/>
    <w:rsid w:val="00835CB6"/>
    <w:rsid w:val="00835D5A"/>
    <w:rsid w:val="00835E09"/>
    <w:rsid w:val="008366C8"/>
    <w:rsid w:val="00836A50"/>
    <w:rsid w:val="00836DC7"/>
    <w:rsid w:val="00837839"/>
    <w:rsid w:val="008379FB"/>
    <w:rsid w:val="00837B9E"/>
    <w:rsid w:val="00837D30"/>
    <w:rsid w:val="00837F05"/>
    <w:rsid w:val="00840708"/>
    <w:rsid w:val="00840798"/>
    <w:rsid w:val="008413C8"/>
    <w:rsid w:val="0084189C"/>
    <w:rsid w:val="00841DA2"/>
    <w:rsid w:val="00841FA0"/>
    <w:rsid w:val="00842764"/>
    <w:rsid w:val="0084282E"/>
    <w:rsid w:val="008429F9"/>
    <w:rsid w:val="00842A57"/>
    <w:rsid w:val="00842E28"/>
    <w:rsid w:val="00843004"/>
    <w:rsid w:val="00843BE4"/>
    <w:rsid w:val="00844C8C"/>
    <w:rsid w:val="0084508A"/>
    <w:rsid w:val="008450E3"/>
    <w:rsid w:val="00845F3A"/>
    <w:rsid w:val="00846B37"/>
    <w:rsid w:val="00846EB7"/>
    <w:rsid w:val="00846F65"/>
    <w:rsid w:val="008479A0"/>
    <w:rsid w:val="00847BFE"/>
    <w:rsid w:val="00847BFF"/>
    <w:rsid w:val="0085015D"/>
    <w:rsid w:val="00850530"/>
    <w:rsid w:val="00850C37"/>
    <w:rsid w:val="00850DF7"/>
    <w:rsid w:val="00851440"/>
    <w:rsid w:val="0085288E"/>
    <w:rsid w:val="008529DC"/>
    <w:rsid w:val="00852C12"/>
    <w:rsid w:val="00853A67"/>
    <w:rsid w:val="00853D13"/>
    <w:rsid w:val="008541E4"/>
    <w:rsid w:val="00854676"/>
    <w:rsid w:val="008547F5"/>
    <w:rsid w:val="008553BB"/>
    <w:rsid w:val="008563F0"/>
    <w:rsid w:val="00857602"/>
    <w:rsid w:val="00857785"/>
    <w:rsid w:val="00857FD5"/>
    <w:rsid w:val="008602AC"/>
    <w:rsid w:val="00860615"/>
    <w:rsid w:val="008606B3"/>
    <w:rsid w:val="00860E77"/>
    <w:rsid w:val="0086124B"/>
    <w:rsid w:val="00861830"/>
    <w:rsid w:val="00861892"/>
    <w:rsid w:val="00861DBD"/>
    <w:rsid w:val="00862214"/>
    <w:rsid w:val="00862471"/>
    <w:rsid w:val="008632EF"/>
    <w:rsid w:val="00863315"/>
    <w:rsid w:val="00863335"/>
    <w:rsid w:val="0086357F"/>
    <w:rsid w:val="008643EC"/>
    <w:rsid w:val="0086447A"/>
    <w:rsid w:val="00864783"/>
    <w:rsid w:val="00864C48"/>
    <w:rsid w:val="00864CC1"/>
    <w:rsid w:val="00865557"/>
    <w:rsid w:val="008656ED"/>
    <w:rsid w:val="008657CD"/>
    <w:rsid w:val="008659D5"/>
    <w:rsid w:val="00865A23"/>
    <w:rsid w:val="00865AE7"/>
    <w:rsid w:val="00865D79"/>
    <w:rsid w:val="00865DA9"/>
    <w:rsid w:val="00866166"/>
    <w:rsid w:val="0086641E"/>
    <w:rsid w:val="0086654D"/>
    <w:rsid w:val="0086689A"/>
    <w:rsid w:val="0086699A"/>
    <w:rsid w:val="00866E1B"/>
    <w:rsid w:val="0086736C"/>
    <w:rsid w:val="0086795D"/>
    <w:rsid w:val="008706BE"/>
    <w:rsid w:val="00871208"/>
    <w:rsid w:val="008718CE"/>
    <w:rsid w:val="00871D73"/>
    <w:rsid w:val="00872122"/>
    <w:rsid w:val="008728DE"/>
    <w:rsid w:val="00872D89"/>
    <w:rsid w:val="00873040"/>
    <w:rsid w:val="00873923"/>
    <w:rsid w:val="00873AF1"/>
    <w:rsid w:val="0087442A"/>
    <w:rsid w:val="008745C4"/>
    <w:rsid w:val="00874855"/>
    <w:rsid w:val="00874AE4"/>
    <w:rsid w:val="00874B11"/>
    <w:rsid w:val="00874CB1"/>
    <w:rsid w:val="00874D8A"/>
    <w:rsid w:val="008751D0"/>
    <w:rsid w:val="00875520"/>
    <w:rsid w:val="0087584E"/>
    <w:rsid w:val="00875AC6"/>
    <w:rsid w:val="00876447"/>
    <w:rsid w:val="0087791C"/>
    <w:rsid w:val="00880178"/>
    <w:rsid w:val="00880B7D"/>
    <w:rsid w:val="00880CA1"/>
    <w:rsid w:val="008816E0"/>
    <w:rsid w:val="00881937"/>
    <w:rsid w:val="00882C5F"/>
    <w:rsid w:val="008832F6"/>
    <w:rsid w:val="0088400A"/>
    <w:rsid w:val="00884179"/>
    <w:rsid w:val="00884AAD"/>
    <w:rsid w:val="00884E5A"/>
    <w:rsid w:val="00885014"/>
    <w:rsid w:val="008850FB"/>
    <w:rsid w:val="0088574E"/>
    <w:rsid w:val="00885ADA"/>
    <w:rsid w:val="00885C1A"/>
    <w:rsid w:val="00886692"/>
    <w:rsid w:val="00886E26"/>
    <w:rsid w:val="00887111"/>
    <w:rsid w:val="00887271"/>
    <w:rsid w:val="008872EE"/>
    <w:rsid w:val="00887706"/>
    <w:rsid w:val="0088796D"/>
    <w:rsid w:val="00891060"/>
    <w:rsid w:val="00891CAB"/>
    <w:rsid w:val="008923CD"/>
    <w:rsid w:val="0089258C"/>
    <w:rsid w:val="00893163"/>
    <w:rsid w:val="00893823"/>
    <w:rsid w:val="00893C53"/>
    <w:rsid w:val="00893CA0"/>
    <w:rsid w:val="008946E2"/>
    <w:rsid w:val="008947A4"/>
    <w:rsid w:val="00894D9E"/>
    <w:rsid w:val="008952EB"/>
    <w:rsid w:val="0089542A"/>
    <w:rsid w:val="008959C6"/>
    <w:rsid w:val="008960FD"/>
    <w:rsid w:val="008965CE"/>
    <w:rsid w:val="00896B54"/>
    <w:rsid w:val="00896D1F"/>
    <w:rsid w:val="00896F01"/>
    <w:rsid w:val="00897CF8"/>
    <w:rsid w:val="008A0239"/>
    <w:rsid w:val="008A08EB"/>
    <w:rsid w:val="008A096B"/>
    <w:rsid w:val="008A1105"/>
    <w:rsid w:val="008A1AEA"/>
    <w:rsid w:val="008A1BE7"/>
    <w:rsid w:val="008A2221"/>
    <w:rsid w:val="008A3011"/>
    <w:rsid w:val="008A326D"/>
    <w:rsid w:val="008A3CB3"/>
    <w:rsid w:val="008A4032"/>
    <w:rsid w:val="008A41B0"/>
    <w:rsid w:val="008A4202"/>
    <w:rsid w:val="008A5734"/>
    <w:rsid w:val="008A5ECB"/>
    <w:rsid w:val="008A6E78"/>
    <w:rsid w:val="008A6E99"/>
    <w:rsid w:val="008A7198"/>
    <w:rsid w:val="008A79D0"/>
    <w:rsid w:val="008A7B9D"/>
    <w:rsid w:val="008A7CDF"/>
    <w:rsid w:val="008A7CF4"/>
    <w:rsid w:val="008B098E"/>
    <w:rsid w:val="008B0A32"/>
    <w:rsid w:val="008B0E5C"/>
    <w:rsid w:val="008B103C"/>
    <w:rsid w:val="008B1D17"/>
    <w:rsid w:val="008B3846"/>
    <w:rsid w:val="008B3DE0"/>
    <w:rsid w:val="008B43DE"/>
    <w:rsid w:val="008B49CB"/>
    <w:rsid w:val="008B4DE2"/>
    <w:rsid w:val="008B5263"/>
    <w:rsid w:val="008B545D"/>
    <w:rsid w:val="008B5ABD"/>
    <w:rsid w:val="008B5E75"/>
    <w:rsid w:val="008B641A"/>
    <w:rsid w:val="008B6B0F"/>
    <w:rsid w:val="008B7284"/>
    <w:rsid w:val="008B753B"/>
    <w:rsid w:val="008B7B4F"/>
    <w:rsid w:val="008C0950"/>
    <w:rsid w:val="008C0F14"/>
    <w:rsid w:val="008C1AB2"/>
    <w:rsid w:val="008C2788"/>
    <w:rsid w:val="008C296C"/>
    <w:rsid w:val="008C2B7B"/>
    <w:rsid w:val="008C2E2F"/>
    <w:rsid w:val="008C3547"/>
    <w:rsid w:val="008C356B"/>
    <w:rsid w:val="008C3684"/>
    <w:rsid w:val="008C39FE"/>
    <w:rsid w:val="008C3E33"/>
    <w:rsid w:val="008C3F1E"/>
    <w:rsid w:val="008C4D69"/>
    <w:rsid w:val="008C4D6A"/>
    <w:rsid w:val="008C6DFA"/>
    <w:rsid w:val="008C6E40"/>
    <w:rsid w:val="008C6FD9"/>
    <w:rsid w:val="008C7606"/>
    <w:rsid w:val="008C7674"/>
    <w:rsid w:val="008D00CC"/>
    <w:rsid w:val="008D03CC"/>
    <w:rsid w:val="008D0718"/>
    <w:rsid w:val="008D0845"/>
    <w:rsid w:val="008D0BA7"/>
    <w:rsid w:val="008D0C50"/>
    <w:rsid w:val="008D1D6F"/>
    <w:rsid w:val="008D20D6"/>
    <w:rsid w:val="008D2224"/>
    <w:rsid w:val="008D27BA"/>
    <w:rsid w:val="008D335A"/>
    <w:rsid w:val="008D342D"/>
    <w:rsid w:val="008D3451"/>
    <w:rsid w:val="008D4030"/>
    <w:rsid w:val="008D4157"/>
    <w:rsid w:val="008D433A"/>
    <w:rsid w:val="008D512E"/>
    <w:rsid w:val="008D5C93"/>
    <w:rsid w:val="008D5E82"/>
    <w:rsid w:val="008D6B21"/>
    <w:rsid w:val="008D78AC"/>
    <w:rsid w:val="008E003E"/>
    <w:rsid w:val="008E0752"/>
    <w:rsid w:val="008E07E8"/>
    <w:rsid w:val="008E0903"/>
    <w:rsid w:val="008E0E21"/>
    <w:rsid w:val="008E114D"/>
    <w:rsid w:val="008E1210"/>
    <w:rsid w:val="008E1945"/>
    <w:rsid w:val="008E1D06"/>
    <w:rsid w:val="008E209B"/>
    <w:rsid w:val="008E2792"/>
    <w:rsid w:val="008E3CC6"/>
    <w:rsid w:val="008E41DA"/>
    <w:rsid w:val="008E47C4"/>
    <w:rsid w:val="008E5C7D"/>
    <w:rsid w:val="008E5CB0"/>
    <w:rsid w:val="008E614D"/>
    <w:rsid w:val="008E67FF"/>
    <w:rsid w:val="008E6A12"/>
    <w:rsid w:val="008E6C6B"/>
    <w:rsid w:val="008E741C"/>
    <w:rsid w:val="008E76FF"/>
    <w:rsid w:val="008E7823"/>
    <w:rsid w:val="008E7F79"/>
    <w:rsid w:val="008F04B7"/>
    <w:rsid w:val="008F1311"/>
    <w:rsid w:val="008F1804"/>
    <w:rsid w:val="008F1FD4"/>
    <w:rsid w:val="008F29A0"/>
    <w:rsid w:val="008F2A08"/>
    <w:rsid w:val="008F2AFE"/>
    <w:rsid w:val="008F3176"/>
    <w:rsid w:val="008F392A"/>
    <w:rsid w:val="008F3990"/>
    <w:rsid w:val="008F3C2F"/>
    <w:rsid w:val="008F3F56"/>
    <w:rsid w:val="008F3F75"/>
    <w:rsid w:val="008F4195"/>
    <w:rsid w:val="008F4A8A"/>
    <w:rsid w:val="008F4CE2"/>
    <w:rsid w:val="008F51D1"/>
    <w:rsid w:val="008F54DF"/>
    <w:rsid w:val="008F5636"/>
    <w:rsid w:val="008F6130"/>
    <w:rsid w:val="008F6563"/>
    <w:rsid w:val="008F7205"/>
    <w:rsid w:val="008F781D"/>
    <w:rsid w:val="008F78F2"/>
    <w:rsid w:val="008F7DF1"/>
    <w:rsid w:val="009006E5"/>
    <w:rsid w:val="009006F3"/>
    <w:rsid w:val="0090077B"/>
    <w:rsid w:val="0090133E"/>
    <w:rsid w:val="00901643"/>
    <w:rsid w:val="00901EBC"/>
    <w:rsid w:val="00901ECC"/>
    <w:rsid w:val="009026A7"/>
    <w:rsid w:val="009033A8"/>
    <w:rsid w:val="00903D7A"/>
    <w:rsid w:val="00903E7C"/>
    <w:rsid w:val="00903FD4"/>
    <w:rsid w:val="0090438C"/>
    <w:rsid w:val="0090449D"/>
    <w:rsid w:val="00904DA5"/>
    <w:rsid w:val="00904E3B"/>
    <w:rsid w:val="009052B7"/>
    <w:rsid w:val="0090532D"/>
    <w:rsid w:val="00905362"/>
    <w:rsid w:val="009065D3"/>
    <w:rsid w:val="00907F5E"/>
    <w:rsid w:val="0091008C"/>
    <w:rsid w:val="0091029B"/>
    <w:rsid w:val="0091043C"/>
    <w:rsid w:val="00910798"/>
    <w:rsid w:val="00911529"/>
    <w:rsid w:val="00911BDC"/>
    <w:rsid w:val="009130D3"/>
    <w:rsid w:val="00913457"/>
    <w:rsid w:val="0091378B"/>
    <w:rsid w:val="00913A2C"/>
    <w:rsid w:val="00914873"/>
    <w:rsid w:val="00914985"/>
    <w:rsid w:val="009149B6"/>
    <w:rsid w:val="00914E38"/>
    <w:rsid w:val="00915372"/>
    <w:rsid w:val="00915EFB"/>
    <w:rsid w:val="00916EC4"/>
    <w:rsid w:val="00917135"/>
    <w:rsid w:val="0091749A"/>
    <w:rsid w:val="0092068F"/>
    <w:rsid w:val="00920CF8"/>
    <w:rsid w:val="00920FC5"/>
    <w:rsid w:val="00921266"/>
    <w:rsid w:val="0092136B"/>
    <w:rsid w:val="0092160A"/>
    <w:rsid w:val="00922113"/>
    <w:rsid w:val="009223BF"/>
    <w:rsid w:val="00922B00"/>
    <w:rsid w:val="00923780"/>
    <w:rsid w:val="00923933"/>
    <w:rsid w:val="00923D19"/>
    <w:rsid w:val="0092401B"/>
    <w:rsid w:val="00924445"/>
    <w:rsid w:val="00924488"/>
    <w:rsid w:val="00924B90"/>
    <w:rsid w:val="00926A44"/>
    <w:rsid w:val="00926D8A"/>
    <w:rsid w:val="009275A5"/>
    <w:rsid w:val="00927678"/>
    <w:rsid w:val="009279F2"/>
    <w:rsid w:val="00927BB9"/>
    <w:rsid w:val="00927D13"/>
    <w:rsid w:val="00930211"/>
    <w:rsid w:val="009309F4"/>
    <w:rsid w:val="00930AB5"/>
    <w:rsid w:val="009317E6"/>
    <w:rsid w:val="009318BD"/>
    <w:rsid w:val="009322A3"/>
    <w:rsid w:val="009325DC"/>
    <w:rsid w:val="009331C4"/>
    <w:rsid w:val="009332B3"/>
    <w:rsid w:val="00933333"/>
    <w:rsid w:val="009334BA"/>
    <w:rsid w:val="00933932"/>
    <w:rsid w:val="00933C25"/>
    <w:rsid w:val="009340C7"/>
    <w:rsid w:val="009344B3"/>
    <w:rsid w:val="00934D7F"/>
    <w:rsid w:val="0093630C"/>
    <w:rsid w:val="00936403"/>
    <w:rsid w:val="00936674"/>
    <w:rsid w:val="00936D4C"/>
    <w:rsid w:val="0093715A"/>
    <w:rsid w:val="009372AD"/>
    <w:rsid w:val="00937BC6"/>
    <w:rsid w:val="00937BE8"/>
    <w:rsid w:val="00940646"/>
    <w:rsid w:val="00940792"/>
    <w:rsid w:val="00940CFB"/>
    <w:rsid w:val="00942D51"/>
    <w:rsid w:val="00942D62"/>
    <w:rsid w:val="00942D87"/>
    <w:rsid w:val="00943787"/>
    <w:rsid w:val="00943E2C"/>
    <w:rsid w:val="00943E7C"/>
    <w:rsid w:val="00943FA7"/>
    <w:rsid w:val="0094402B"/>
    <w:rsid w:val="0094430D"/>
    <w:rsid w:val="00944C2C"/>
    <w:rsid w:val="009453C0"/>
    <w:rsid w:val="00945C13"/>
    <w:rsid w:val="00945D5B"/>
    <w:rsid w:val="0094650C"/>
    <w:rsid w:val="00946AFB"/>
    <w:rsid w:val="00946B2B"/>
    <w:rsid w:val="00946B6C"/>
    <w:rsid w:val="00946FDC"/>
    <w:rsid w:val="009477D6"/>
    <w:rsid w:val="00950304"/>
    <w:rsid w:val="0095035A"/>
    <w:rsid w:val="009507CC"/>
    <w:rsid w:val="00950989"/>
    <w:rsid w:val="009509BC"/>
    <w:rsid w:val="00950C1A"/>
    <w:rsid w:val="00951521"/>
    <w:rsid w:val="009517B2"/>
    <w:rsid w:val="0095182A"/>
    <w:rsid w:val="0095183D"/>
    <w:rsid w:val="009526FD"/>
    <w:rsid w:val="00952CB6"/>
    <w:rsid w:val="009536EC"/>
    <w:rsid w:val="00953BB1"/>
    <w:rsid w:val="0095548F"/>
    <w:rsid w:val="00955532"/>
    <w:rsid w:val="0095590C"/>
    <w:rsid w:val="00955D22"/>
    <w:rsid w:val="00955DA1"/>
    <w:rsid w:val="009562FB"/>
    <w:rsid w:val="00956357"/>
    <w:rsid w:val="00956F64"/>
    <w:rsid w:val="0095705F"/>
    <w:rsid w:val="00957065"/>
    <w:rsid w:val="0095750E"/>
    <w:rsid w:val="0095753D"/>
    <w:rsid w:val="00957858"/>
    <w:rsid w:val="00957D74"/>
    <w:rsid w:val="00961506"/>
    <w:rsid w:val="00961649"/>
    <w:rsid w:val="00961C7A"/>
    <w:rsid w:val="00962133"/>
    <w:rsid w:val="00962CFE"/>
    <w:rsid w:val="00963055"/>
    <w:rsid w:val="00963550"/>
    <w:rsid w:val="009637EF"/>
    <w:rsid w:val="00963E1A"/>
    <w:rsid w:val="00963FAF"/>
    <w:rsid w:val="0096416B"/>
    <w:rsid w:val="009657F7"/>
    <w:rsid w:val="00966079"/>
    <w:rsid w:val="0096629C"/>
    <w:rsid w:val="00966808"/>
    <w:rsid w:val="00966819"/>
    <w:rsid w:val="00966B81"/>
    <w:rsid w:val="00966EBB"/>
    <w:rsid w:val="00967199"/>
    <w:rsid w:val="009672BB"/>
    <w:rsid w:val="00967473"/>
    <w:rsid w:val="00967B72"/>
    <w:rsid w:val="00967D7C"/>
    <w:rsid w:val="0097042D"/>
    <w:rsid w:val="0097056F"/>
    <w:rsid w:val="0097072E"/>
    <w:rsid w:val="0097123D"/>
    <w:rsid w:val="00971A90"/>
    <w:rsid w:val="00971C2A"/>
    <w:rsid w:val="00971F71"/>
    <w:rsid w:val="009734AA"/>
    <w:rsid w:val="009742D8"/>
    <w:rsid w:val="009770FB"/>
    <w:rsid w:val="009772FF"/>
    <w:rsid w:val="0097751A"/>
    <w:rsid w:val="009778BB"/>
    <w:rsid w:val="009804F6"/>
    <w:rsid w:val="00980512"/>
    <w:rsid w:val="009808C4"/>
    <w:rsid w:val="00981701"/>
    <w:rsid w:val="009821F7"/>
    <w:rsid w:val="009826AA"/>
    <w:rsid w:val="00982CDC"/>
    <w:rsid w:val="00982E84"/>
    <w:rsid w:val="00983695"/>
    <w:rsid w:val="00983E59"/>
    <w:rsid w:val="009841B0"/>
    <w:rsid w:val="00984982"/>
    <w:rsid w:val="009856C3"/>
    <w:rsid w:val="009859AA"/>
    <w:rsid w:val="00985C4A"/>
    <w:rsid w:val="00985F05"/>
    <w:rsid w:val="0098639E"/>
    <w:rsid w:val="0098798B"/>
    <w:rsid w:val="00990048"/>
    <w:rsid w:val="009902EF"/>
    <w:rsid w:val="0099071C"/>
    <w:rsid w:val="0099090F"/>
    <w:rsid w:val="00991958"/>
    <w:rsid w:val="00991978"/>
    <w:rsid w:val="009924FB"/>
    <w:rsid w:val="00992F2B"/>
    <w:rsid w:val="00993196"/>
    <w:rsid w:val="00993368"/>
    <w:rsid w:val="00993A65"/>
    <w:rsid w:val="00993B99"/>
    <w:rsid w:val="00993D1F"/>
    <w:rsid w:val="00994A37"/>
    <w:rsid w:val="00995094"/>
    <w:rsid w:val="00995332"/>
    <w:rsid w:val="0099536D"/>
    <w:rsid w:val="0099539E"/>
    <w:rsid w:val="00995736"/>
    <w:rsid w:val="00995A48"/>
    <w:rsid w:val="00995EBA"/>
    <w:rsid w:val="00996B46"/>
    <w:rsid w:val="00996C71"/>
    <w:rsid w:val="00996EF0"/>
    <w:rsid w:val="009978F1"/>
    <w:rsid w:val="00997EC9"/>
    <w:rsid w:val="00997EFC"/>
    <w:rsid w:val="009A0030"/>
    <w:rsid w:val="009A01C6"/>
    <w:rsid w:val="009A03AF"/>
    <w:rsid w:val="009A1288"/>
    <w:rsid w:val="009A1C74"/>
    <w:rsid w:val="009A1CDA"/>
    <w:rsid w:val="009A21DF"/>
    <w:rsid w:val="009A2398"/>
    <w:rsid w:val="009A24AB"/>
    <w:rsid w:val="009A2A03"/>
    <w:rsid w:val="009A2A40"/>
    <w:rsid w:val="009A2DD4"/>
    <w:rsid w:val="009A2DF7"/>
    <w:rsid w:val="009A2E0B"/>
    <w:rsid w:val="009A2FA3"/>
    <w:rsid w:val="009A334D"/>
    <w:rsid w:val="009A3941"/>
    <w:rsid w:val="009A504B"/>
    <w:rsid w:val="009A5862"/>
    <w:rsid w:val="009A7DB2"/>
    <w:rsid w:val="009B046E"/>
    <w:rsid w:val="009B08A6"/>
    <w:rsid w:val="009B0CFC"/>
    <w:rsid w:val="009B1DCA"/>
    <w:rsid w:val="009B25CA"/>
    <w:rsid w:val="009B27EE"/>
    <w:rsid w:val="009B2976"/>
    <w:rsid w:val="009B2F6B"/>
    <w:rsid w:val="009B32BA"/>
    <w:rsid w:val="009B33A5"/>
    <w:rsid w:val="009B36FC"/>
    <w:rsid w:val="009B53E8"/>
    <w:rsid w:val="009B56A5"/>
    <w:rsid w:val="009B669D"/>
    <w:rsid w:val="009B69A2"/>
    <w:rsid w:val="009B733D"/>
    <w:rsid w:val="009C03FB"/>
    <w:rsid w:val="009C239D"/>
    <w:rsid w:val="009C2C1C"/>
    <w:rsid w:val="009C2E3B"/>
    <w:rsid w:val="009C2E5F"/>
    <w:rsid w:val="009C32C2"/>
    <w:rsid w:val="009C3AF8"/>
    <w:rsid w:val="009C3C9C"/>
    <w:rsid w:val="009C3ED3"/>
    <w:rsid w:val="009C442F"/>
    <w:rsid w:val="009C58C8"/>
    <w:rsid w:val="009C63A6"/>
    <w:rsid w:val="009C6493"/>
    <w:rsid w:val="009C6DBB"/>
    <w:rsid w:val="009C7148"/>
    <w:rsid w:val="009C739B"/>
    <w:rsid w:val="009C74DC"/>
    <w:rsid w:val="009C7797"/>
    <w:rsid w:val="009C77A0"/>
    <w:rsid w:val="009C7C6B"/>
    <w:rsid w:val="009C7E14"/>
    <w:rsid w:val="009D0AE1"/>
    <w:rsid w:val="009D11A4"/>
    <w:rsid w:val="009D1220"/>
    <w:rsid w:val="009D25E9"/>
    <w:rsid w:val="009D2989"/>
    <w:rsid w:val="009D2F5B"/>
    <w:rsid w:val="009D3A47"/>
    <w:rsid w:val="009D3E6D"/>
    <w:rsid w:val="009D4144"/>
    <w:rsid w:val="009D4DF2"/>
    <w:rsid w:val="009D506B"/>
    <w:rsid w:val="009D595D"/>
    <w:rsid w:val="009D5D88"/>
    <w:rsid w:val="009D5F9B"/>
    <w:rsid w:val="009D60EC"/>
    <w:rsid w:val="009D652F"/>
    <w:rsid w:val="009D6CCC"/>
    <w:rsid w:val="009D6F3A"/>
    <w:rsid w:val="009D7293"/>
    <w:rsid w:val="009E044B"/>
    <w:rsid w:val="009E083E"/>
    <w:rsid w:val="009E089E"/>
    <w:rsid w:val="009E0987"/>
    <w:rsid w:val="009E0DE6"/>
    <w:rsid w:val="009E1092"/>
    <w:rsid w:val="009E19B8"/>
    <w:rsid w:val="009E2080"/>
    <w:rsid w:val="009E2DD0"/>
    <w:rsid w:val="009E30AC"/>
    <w:rsid w:val="009E3A0D"/>
    <w:rsid w:val="009E3DB5"/>
    <w:rsid w:val="009E409E"/>
    <w:rsid w:val="009E4471"/>
    <w:rsid w:val="009E564A"/>
    <w:rsid w:val="009E5826"/>
    <w:rsid w:val="009E5F3F"/>
    <w:rsid w:val="009E6091"/>
    <w:rsid w:val="009E61F2"/>
    <w:rsid w:val="009E660D"/>
    <w:rsid w:val="009E6873"/>
    <w:rsid w:val="009E6D5D"/>
    <w:rsid w:val="009E6F82"/>
    <w:rsid w:val="009F06BD"/>
    <w:rsid w:val="009F09B3"/>
    <w:rsid w:val="009F1582"/>
    <w:rsid w:val="009F1750"/>
    <w:rsid w:val="009F17FE"/>
    <w:rsid w:val="009F1CE7"/>
    <w:rsid w:val="009F1F73"/>
    <w:rsid w:val="009F26B1"/>
    <w:rsid w:val="009F289C"/>
    <w:rsid w:val="009F2CCB"/>
    <w:rsid w:val="009F2EFA"/>
    <w:rsid w:val="009F39E5"/>
    <w:rsid w:val="009F3AF5"/>
    <w:rsid w:val="009F3D63"/>
    <w:rsid w:val="009F43BB"/>
    <w:rsid w:val="009F4F96"/>
    <w:rsid w:val="009F514D"/>
    <w:rsid w:val="009F58E7"/>
    <w:rsid w:val="009F5921"/>
    <w:rsid w:val="009F5DA9"/>
    <w:rsid w:val="009F6068"/>
    <w:rsid w:val="009F6490"/>
    <w:rsid w:val="009F6657"/>
    <w:rsid w:val="009F69A3"/>
    <w:rsid w:val="009F7804"/>
    <w:rsid w:val="009F7981"/>
    <w:rsid w:val="009F7E35"/>
    <w:rsid w:val="00A00193"/>
    <w:rsid w:val="00A00ECD"/>
    <w:rsid w:val="00A01073"/>
    <w:rsid w:val="00A0234E"/>
    <w:rsid w:val="00A02AB7"/>
    <w:rsid w:val="00A02CB1"/>
    <w:rsid w:val="00A03864"/>
    <w:rsid w:val="00A0404C"/>
    <w:rsid w:val="00A043ED"/>
    <w:rsid w:val="00A049DB"/>
    <w:rsid w:val="00A05736"/>
    <w:rsid w:val="00A05DD4"/>
    <w:rsid w:val="00A05E4E"/>
    <w:rsid w:val="00A06820"/>
    <w:rsid w:val="00A069EB"/>
    <w:rsid w:val="00A06BC0"/>
    <w:rsid w:val="00A06C8D"/>
    <w:rsid w:val="00A07B56"/>
    <w:rsid w:val="00A102EB"/>
    <w:rsid w:val="00A10398"/>
    <w:rsid w:val="00A10727"/>
    <w:rsid w:val="00A10A84"/>
    <w:rsid w:val="00A11002"/>
    <w:rsid w:val="00A115DC"/>
    <w:rsid w:val="00A11F6A"/>
    <w:rsid w:val="00A125E6"/>
    <w:rsid w:val="00A12D82"/>
    <w:rsid w:val="00A12E3E"/>
    <w:rsid w:val="00A12F9E"/>
    <w:rsid w:val="00A14838"/>
    <w:rsid w:val="00A15452"/>
    <w:rsid w:val="00A157CE"/>
    <w:rsid w:val="00A15861"/>
    <w:rsid w:val="00A15FB7"/>
    <w:rsid w:val="00A165A0"/>
    <w:rsid w:val="00A16E80"/>
    <w:rsid w:val="00A17222"/>
    <w:rsid w:val="00A1784A"/>
    <w:rsid w:val="00A20735"/>
    <w:rsid w:val="00A2086A"/>
    <w:rsid w:val="00A20D0A"/>
    <w:rsid w:val="00A21856"/>
    <w:rsid w:val="00A21D90"/>
    <w:rsid w:val="00A21E7C"/>
    <w:rsid w:val="00A2218E"/>
    <w:rsid w:val="00A226E3"/>
    <w:rsid w:val="00A22C76"/>
    <w:rsid w:val="00A23353"/>
    <w:rsid w:val="00A23DD0"/>
    <w:rsid w:val="00A24D47"/>
    <w:rsid w:val="00A25C8D"/>
    <w:rsid w:val="00A25ECD"/>
    <w:rsid w:val="00A26204"/>
    <w:rsid w:val="00A2630D"/>
    <w:rsid w:val="00A263D6"/>
    <w:rsid w:val="00A269DA"/>
    <w:rsid w:val="00A26B04"/>
    <w:rsid w:val="00A26B80"/>
    <w:rsid w:val="00A27037"/>
    <w:rsid w:val="00A272FE"/>
    <w:rsid w:val="00A2742B"/>
    <w:rsid w:val="00A301D6"/>
    <w:rsid w:val="00A3030F"/>
    <w:rsid w:val="00A3060D"/>
    <w:rsid w:val="00A309AF"/>
    <w:rsid w:val="00A30FE7"/>
    <w:rsid w:val="00A314EC"/>
    <w:rsid w:val="00A314FC"/>
    <w:rsid w:val="00A324F4"/>
    <w:rsid w:val="00A324FB"/>
    <w:rsid w:val="00A32A20"/>
    <w:rsid w:val="00A32AD0"/>
    <w:rsid w:val="00A3351B"/>
    <w:rsid w:val="00A33798"/>
    <w:rsid w:val="00A33E92"/>
    <w:rsid w:val="00A33EB3"/>
    <w:rsid w:val="00A340B7"/>
    <w:rsid w:val="00A34286"/>
    <w:rsid w:val="00A34308"/>
    <w:rsid w:val="00A3453E"/>
    <w:rsid w:val="00A34C6E"/>
    <w:rsid w:val="00A34DF6"/>
    <w:rsid w:val="00A351E3"/>
    <w:rsid w:val="00A355ED"/>
    <w:rsid w:val="00A36238"/>
    <w:rsid w:val="00A36378"/>
    <w:rsid w:val="00A375B5"/>
    <w:rsid w:val="00A3762F"/>
    <w:rsid w:val="00A376C2"/>
    <w:rsid w:val="00A3780F"/>
    <w:rsid w:val="00A37BBC"/>
    <w:rsid w:val="00A37DF6"/>
    <w:rsid w:val="00A40615"/>
    <w:rsid w:val="00A40916"/>
    <w:rsid w:val="00A4153A"/>
    <w:rsid w:val="00A41C66"/>
    <w:rsid w:val="00A41E72"/>
    <w:rsid w:val="00A41ED7"/>
    <w:rsid w:val="00A42C29"/>
    <w:rsid w:val="00A42D13"/>
    <w:rsid w:val="00A42FC3"/>
    <w:rsid w:val="00A430E2"/>
    <w:rsid w:val="00A43460"/>
    <w:rsid w:val="00A43DF2"/>
    <w:rsid w:val="00A44463"/>
    <w:rsid w:val="00A446F0"/>
    <w:rsid w:val="00A44D92"/>
    <w:rsid w:val="00A44FD6"/>
    <w:rsid w:val="00A451AB"/>
    <w:rsid w:val="00A452E0"/>
    <w:rsid w:val="00A467E0"/>
    <w:rsid w:val="00A468F0"/>
    <w:rsid w:val="00A47343"/>
    <w:rsid w:val="00A479D4"/>
    <w:rsid w:val="00A47B1C"/>
    <w:rsid w:val="00A47B73"/>
    <w:rsid w:val="00A500A4"/>
    <w:rsid w:val="00A51045"/>
    <w:rsid w:val="00A51817"/>
    <w:rsid w:val="00A51B4B"/>
    <w:rsid w:val="00A52607"/>
    <w:rsid w:val="00A533AB"/>
    <w:rsid w:val="00A53810"/>
    <w:rsid w:val="00A53C3E"/>
    <w:rsid w:val="00A54BEB"/>
    <w:rsid w:val="00A54C46"/>
    <w:rsid w:val="00A55B70"/>
    <w:rsid w:val="00A55DEC"/>
    <w:rsid w:val="00A56074"/>
    <w:rsid w:val="00A5640A"/>
    <w:rsid w:val="00A60E5F"/>
    <w:rsid w:val="00A6122E"/>
    <w:rsid w:val="00A62028"/>
    <w:rsid w:val="00A62EE5"/>
    <w:rsid w:val="00A63078"/>
    <w:rsid w:val="00A63138"/>
    <w:rsid w:val="00A6320F"/>
    <w:rsid w:val="00A63302"/>
    <w:rsid w:val="00A63312"/>
    <w:rsid w:val="00A633DC"/>
    <w:rsid w:val="00A63793"/>
    <w:rsid w:val="00A63964"/>
    <w:rsid w:val="00A6438D"/>
    <w:rsid w:val="00A6465B"/>
    <w:rsid w:val="00A64860"/>
    <w:rsid w:val="00A64C52"/>
    <w:rsid w:val="00A65567"/>
    <w:rsid w:val="00A658B1"/>
    <w:rsid w:val="00A66448"/>
    <w:rsid w:val="00A664BB"/>
    <w:rsid w:val="00A6664B"/>
    <w:rsid w:val="00A669FA"/>
    <w:rsid w:val="00A66E42"/>
    <w:rsid w:val="00A67304"/>
    <w:rsid w:val="00A67B2F"/>
    <w:rsid w:val="00A70455"/>
    <w:rsid w:val="00A70698"/>
    <w:rsid w:val="00A70DAC"/>
    <w:rsid w:val="00A70F2E"/>
    <w:rsid w:val="00A7100B"/>
    <w:rsid w:val="00A71852"/>
    <w:rsid w:val="00A71940"/>
    <w:rsid w:val="00A71FBA"/>
    <w:rsid w:val="00A72861"/>
    <w:rsid w:val="00A72B1F"/>
    <w:rsid w:val="00A72C71"/>
    <w:rsid w:val="00A72CCA"/>
    <w:rsid w:val="00A730A6"/>
    <w:rsid w:val="00A73319"/>
    <w:rsid w:val="00A741E7"/>
    <w:rsid w:val="00A7482E"/>
    <w:rsid w:val="00A74EA9"/>
    <w:rsid w:val="00A750B0"/>
    <w:rsid w:val="00A75A06"/>
    <w:rsid w:val="00A75B94"/>
    <w:rsid w:val="00A75E56"/>
    <w:rsid w:val="00A7616F"/>
    <w:rsid w:val="00A7673A"/>
    <w:rsid w:val="00A77ACA"/>
    <w:rsid w:val="00A77F97"/>
    <w:rsid w:val="00A801FF"/>
    <w:rsid w:val="00A80C83"/>
    <w:rsid w:val="00A8192C"/>
    <w:rsid w:val="00A81F1B"/>
    <w:rsid w:val="00A8229E"/>
    <w:rsid w:val="00A82A22"/>
    <w:rsid w:val="00A82DEE"/>
    <w:rsid w:val="00A82EA7"/>
    <w:rsid w:val="00A835B7"/>
    <w:rsid w:val="00A835C5"/>
    <w:rsid w:val="00A83E4D"/>
    <w:rsid w:val="00A84298"/>
    <w:rsid w:val="00A845B8"/>
    <w:rsid w:val="00A845D9"/>
    <w:rsid w:val="00A84E03"/>
    <w:rsid w:val="00A8509F"/>
    <w:rsid w:val="00A85132"/>
    <w:rsid w:val="00A8561B"/>
    <w:rsid w:val="00A85C1D"/>
    <w:rsid w:val="00A85EAB"/>
    <w:rsid w:val="00A86090"/>
    <w:rsid w:val="00A8660B"/>
    <w:rsid w:val="00A86AAB"/>
    <w:rsid w:val="00A86CE9"/>
    <w:rsid w:val="00A8717C"/>
    <w:rsid w:val="00A872C2"/>
    <w:rsid w:val="00A874B4"/>
    <w:rsid w:val="00A87D76"/>
    <w:rsid w:val="00A90676"/>
    <w:rsid w:val="00A909C4"/>
    <w:rsid w:val="00A90F5E"/>
    <w:rsid w:val="00A91553"/>
    <w:rsid w:val="00A9187D"/>
    <w:rsid w:val="00A92107"/>
    <w:rsid w:val="00A92D3A"/>
    <w:rsid w:val="00A93501"/>
    <w:rsid w:val="00A937E0"/>
    <w:rsid w:val="00A938BB"/>
    <w:rsid w:val="00A93AFF"/>
    <w:rsid w:val="00A94342"/>
    <w:rsid w:val="00A946CA"/>
    <w:rsid w:val="00A94D96"/>
    <w:rsid w:val="00A94E4D"/>
    <w:rsid w:val="00A94E94"/>
    <w:rsid w:val="00A94F72"/>
    <w:rsid w:val="00A94F95"/>
    <w:rsid w:val="00A95376"/>
    <w:rsid w:val="00A9580F"/>
    <w:rsid w:val="00A95B44"/>
    <w:rsid w:val="00A96851"/>
    <w:rsid w:val="00A96A4D"/>
    <w:rsid w:val="00A96B3D"/>
    <w:rsid w:val="00A97115"/>
    <w:rsid w:val="00A97515"/>
    <w:rsid w:val="00A97BEC"/>
    <w:rsid w:val="00A97FD6"/>
    <w:rsid w:val="00AA20B2"/>
    <w:rsid w:val="00AA20ED"/>
    <w:rsid w:val="00AA22DB"/>
    <w:rsid w:val="00AA2341"/>
    <w:rsid w:val="00AA4199"/>
    <w:rsid w:val="00AA434B"/>
    <w:rsid w:val="00AA4686"/>
    <w:rsid w:val="00AA49B0"/>
    <w:rsid w:val="00AA5348"/>
    <w:rsid w:val="00AA53D9"/>
    <w:rsid w:val="00AA5610"/>
    <w:rsid w:val="00AA5AF3"/>
    <w:rsid w:val="00AA5E5F"/>
    <w:rsid w:val="00AA606D"/>
    <w:rsid w:val="00AA64E3"/>
    <w:rsid w:val="00AA6DF3"/>
    <w:rsid w:val="00AB0386"/>
    <w:rsid w:val="00AB0408"/>
    <w:rsid w:val="00AB052B"/>
    <w:rsid w:val="00AB05A2"/>
    <w:rsid w:val="00AB0DC7"/>
    <w:rsid w:val="00AB1CDB"/>
    <w:rsid w:val="00AB1CF0"/>
    <w:rsid w:val="00AB208D"/>
    <w:rsid w:val="00AB2137"/>
    <w:rsid w:val="00AB21BE"/>
    <w:rsid w:val="00AB2850"/>
    <w:rsid w:val="00AB2BC6"/>
    <w:rsid w:val="00AB2C50"/>
    <w:rsid w:val="00AB2E24"/>
    <w:rsid w:val="00AB2E71"/>
    <w:rsid w:val="00AB31B8"/>
    <w:rsid w:val="00AB4017"/>
    <w:rsid w:val="00AB42EE"/>
    <w:rsid w:val="00AB49A3"/>
    <w:rsid w:val="00AB50E1"/>
    <w:rsid w:val="00AB516C"/>
    <w:rsid w:val="00AB57F7"/>
    <w:rsid w:val="00AB58AA"/>
    <w:rsid w:val="00AB64B9"/>
    <w:rsid w:val="00AB69AF"/>
    <w:rsid w:val="00AB6D6A"/>
    <w:rsid w:val="00AC0BFE"/>
    <w:rsid w:val="00AC0DAE"/>
    <w:rsid w:val="00AC14DE"/>
    <w:rsid w:val="00AC1844"/>
    <w:rsid w:val="00AC24BE"/>
    <w:rsid w:val="00AC29B8"/>
    <w:rsid w:val="00AC2E82"/>
    <w:rsid w:val="00AC2F7E"/>
    <w:rsid w:val="00AC3866"/>
    <w:rsid w:val="00AC3F07"/>
    <w:rsid w:val="00AC433E"/>
    <w:rsid w:val="00AC4587"/>
    <w:rsid w:val="00AC4616"/>
    <w:rsid w:val="00AC47F7"/>
    <w:rsid w:val="00AC4B08"/>
    <w:rsid w:val="00AC4F40"/>
    <w:rsid w:val="00AC517D"/>
    <w:rsid w:val="00AC523D"/>
    <w:rsid w:val="00AC572F"/>
    <w:rsid w:val="00AC60EA"/>
    <w:rsid w:val="00AC6845"/>
    <w:rsid w:val="00AC68BA"/>
    <w:rsid w:val="00AC6D89"/>
    <w:rsid w:val="00AC6F5C"/>
    <w:rsid w:val="00AC7A7B"/>
    <w:rsid w:val="00AC7ABF"/>
    <w:rsid w:val="00AC7E7D"/>
    <w:rsid w:val="00AD044D"/>
    <w:rsid w:val="00AD077D"/>
    <w:rsid w:val="00AD0930"/>
    <w:rsid w:val="00AD12E1"/>
    <w:rsid w:val="00AD15A2"/>
    <w:rsid w:val="00AD1C54"/>
    <w:rsid w:val="00AD1EBD"/>
    <w:rsid w:val="00AD2396"/>
    <w:rsid w:val="00AD3248"/>
    <w:rsid w:val="00AD3CBD"/>
    <w:rsid w:val="00AD4089"/>
    <w:rsid w:val="00AD41F5"/>
    <w:rsid w:val="00AD431B"/>
    <w:rsid w:val="00AD4CDC"/>
    <w:rsid w:val="00AD4E31"/>
    <w:rsid w:val="00AD4FAE"/>
    <w:rsid w:val="00AD5D23"/>
    <w:rsid w:val="00AD6B60"/>
    <w:rsid w:val="00AD7693"/>
    <w:rsid w:val="00AD778A"/>
    <w:rsid w:val="00AD7EF9"/>
    <w:rsid w:val="00AE00C6"/>
    <w:rsid w:val="00AE0F10"/>
    <w:rsid w:val="00AE23FF"/>
    <w:rsid w:val="00AE2BCA"/>
    <w:rsid w:val="00AE2EF0"/>
    <w:rsid w:val="00AE3451"/>
    <w:rsid w:val="00AE34F3"/>
    <w:rsid w:val="00AE3B00"/>
    <w:rsid w:val="00AE41A4"/>
    <w:rsid w:val="00AE41C8"/>
    <w:rsid w:val="00AE4538"/>
    <w:rsid w:val="00AE5DFD"/>
    <w:rsid w:val="00AE6659"/>
    <w:rsid w:val="00AE678E"/>
    <w:rsid w:val="00AE69B2"/>
    <w:rsid w:val="00AE765D"/>
    <w:rsid w:val="00AF089E"/>
    <w:rsid w:val="00AF10FF"/>
    <w:rsid w:val="00AF1125"/>
    <w:rsid w:val="00AF1A53"/>
    <w:rsid w:val="00AF1B82"/>
    <w:rsid w:val="00AF1D58"/>
    <w:rsid w:val="00AF2262"/>
    <w:rsid w:val="00AF27B0"/>
    <w:rsid w:val="00AF290D"/>
    <w:rsid w:val="00AF2D24"/>
    <w:rsid w:val="00AF2FFB"/>
    <w:rsid w:val="00AF332D"/>
    <w:rsid w:val="00AF43B2"/>
    <w:rsid w:val="00AF4702"/>
    <w:rsid w:val="00AF4813"/>
    <w:rsid w:val="00AF51E3"/>
    <w:rsid w:val="00AF62F8"/>
    <w:rsid w:val="00AF635B"/>
    <w:rsid w:val="00AF63F2"/>
    <w:rsid w:val="00AF6506"/>
    <w:rsid w:val="00AF6C72"/>
    <w:rsid w:val="00AF70CD"/>
    <w:rsid w:val="00B0053A"/>
    <w:rsid w:val="00B0097F"/>
    <w:rsid w:val="00B01A96"/>
    <w:rsid w:val="00B02D48"/>
    <w:rsid w:val="00B02D6C"/>
    <w:rsid w:val="00B02FD5"/>
    <w:rsid w:val="00B038C1"/>
    <w:rsid w:val="00B040A9"/>
    <w:rsid w:val="00B0425D"/>
    <w:rsid w:val="00B04668"/>
    <w:rsid w:val="00B05752"/>
    <w:rsid w:val="00B05B6D"/>
    <w:rsid w:val="00B05D51"/>
    <w:rsid w:val="00B0633B"/>
    <w:rsid w:val="00B06835"/>
    <w:rsid w:val="00B06E91"/>
    <w:rsid w:val="00B07623"/>
    <w:rsid w:val="00B079D0"/>
    <w:rsid w:val="00B07EC5"/>
    <w:rsid w:val="00B10741"/>
    <w:rsid w:val="00B109CC"/>
    <w:rsid w:val="00B10F5F"/>
    <w:rsid w:val="00B110C9"/>
    <w:rsid w:val="00B120B9"/>
    <w:rsid w:val="00B1211D"/>
    <w:rsid w:val="00B138DC"/>
    <w:rsid w:val="00B14AAC"/>
    <w:rsid w:val="00B156D9"/>
    <w:rsid w:val="00B16614"/>
    <w:rsid w:val="00B1687C"/>
    <w:rsid w:val="00B17020"/>
    <w:rsid w:val="00B20037"/>
    <w:rsid w:val="00B2033C"/>
    <w:rsid w:val="00B20557"/>
    <w:rsid w:val="00B20D70"/>
    <w:rsid w:val="00B20DE9"/>
    <w:rsid w:val="00B2142B"/>
    <w:rsid w:val="00B21C0B"/>
    <w:rsid w:val="00B22326"/>
    <w:rsid w:val="00B22608"/>
    <w:rsid w:val="00B23053"/>
    <w:rsid w:val="00B23A32"/>
    <w:rsid w:val="00B2413D"/>
    <w:rsid w:val="00B248F1"/>
    <w:rsid w:val="00B25061"/>
    <w:rsid w:val="00B2567F"/>
    <w:rsid w:val="00B26057"/>
    <w:rsid w:val="00B26B26"/>
    <w:rsid w:val="00B2702F"/>
    <w:rsid w:val="00B277DF"/>
    <w:rsid w:val="00B27AC1"/>
    <w:rsid w:val="00B31019"/>
    <w:rsid w:val="00B3116C"/>
    <w:rsid w:val="00B316A6"/>
    <w:rsid w:val="00B31898"/>
    <w:rsid w:val="00B31D55"/>
    <w:rsid w:val="00B32118"/>
    <w:rsid w:val="00B324C2"/>
    <w:rsid w:val="00B3284F"/>
    <w:rsid w:val="00B3317A"/>
    <w:rsid w:val="00B33BA1"/>
    <w:rsid w:val="00B33BE0"/>
    <w:rsid w:val="00B33F58"/>
    <w:rsid w:val="00B340C0"/>
    <w:rsid w:val="00B342F3"/>
    <w:rsid w:val="00B34C6E"/>
    <w:rsid w:val="00B34F5A"/>
    <w:rsid w:val="00B34FB2"/>
    <w:rsid w:val="00B3500F"/>
    <w:rsid w:val="00B35803"/>
    <w:rsid w:val="00B37E7D"/>
    <w:rsid w:val="00B4062C"/>
    <w:rsid w:val="00B41776"/>
    <w:rsid w:val="00B418E5"/>
    <w:rsid w:val="00B42281"/>
    <w:rsid w:val="00B43077"/>
    <w:rsid w:val="00B434F0"/>
    <w:rsid w:val="00B438B1"/>
    <w:rsid w:val="00B43D50"/>
    <w:rsid w:val="00B44104"/>
    <w:rsid w:val="00B44C63"/>
    <w:rsid w:val="00B45B98"/>
    <w:rsid w:val="00B463C8"/>
    <w:rsid w:val="00B468FA"/>
    <w:rsid w:val="00B46D2D"/>
    <w:rsid w:val="00B472FB"/>
    <w:rsid w:val="00B4751E"/>
    <w:rsid w:val="00B50131"/>
    <w:rsid w:val="00B5024B"/>
    <w:rsid w:val="00B50769"/>
    <w:rsid w:val="00B50B2E"/>
    <w:rsid w:val="00B50C7E"/>
    <w:rsid w:val="00B51147"/>
    <w:rsid w:val="00B511DA"/>
    <w:rsid w:val="00B52CC8"/>
    <w:rsid w:val="00B52D76"/>
    <w:rsid w:val="00B5351C"/>
    <w:rsid w:val="00B5363B"/>
    <w:rsid w:val="00B53889"/>
    <w:rsid w:val="00B53F7D"/>
    <w:rsid w:val="00B53FA9"/>
    <w:rsid w:val="00B54313"/>
    <w:rsid w:val="00B545E6"/>
    <w:rsid w:val="00B546DF"/>
    <w:rsid w:val="00B54787"/>
    <w:rsid w:val="00B549C6"/>
    <w:rsid w:val="00B55623"/>
    <w:rsid w:val="00B55B04"/>
    <w:rsid w:val="00B5698D"/>
    <w:rsid w:val="00B56A2A"/>
    <w:rsid w:val="00B56AFA"/>
    <w:rsid w:val="00B56FD9"/>
    <w:rsid w:val="00B5728B"/>
    <w:rsid w:val="00B57367"/>
    <w:rsid w:val="00B578F2"/>
    <w:rsid w:val="00B57D5A"/>
    <w:rsid w:val="00B610FD"/>
    <w:rsid w:val="00B61559"/>
    <w:rsid w:val="00B61FBE"/>
    <w:rsid w:val="00B62417"/>
    <w:rsid w:val="00B62704"/>
    <w:rsid w:val="00B63224"/>
    <w:rsid w:val="00B63497"/>
    <w:rsid w:val="00B63601"/>
    <w:rsid w:val="00B63BD2"/>
    <w:rsid w:val="00B63DC9"/>
    <w:rsid w:val="00B648DC"/>
    <w:rsid w:val="00B65446"/>
    <w:rsid w:val="00B65A02"/>
    <w:rsid w:val="00B65D99"/>
    <w:rsid w:val="00B66918"/>
    <w:rsid w:val="00B6741E"/>
    <w:rsid w:val="00B678B4"/>
    <w:rsid w:val="00B70281"/>
    <w:rsid w:val="00B70586"/>
    <w:rsid w:val="00B70FBF"/>
    <w:rsid w:val="00B72016"/>
    <w:rsid w:val="00B726AA"/>
    <w:rsid w:val="00B72AF9"/>
    <w:rsid w:val="00B731DB"/>
    <w:rsid w:val="00B73A87"/>
    <w:rsid w:val="00B745FB"/>
    <w:rsid w:val="00B74AC7"/>
    <w:rsid w:val="00B76250"/>
    <w:rsid w:val="00B7656D"/>
    <w:rsid w:val="00B7720C"/>
    <w:rsid w:val="00B77454"/>
    <w:rsid w:val="00B779F4"/>
    <w:rsid w:val="00B77CF3"/>
    <w:rsid w:val="00B8064E"/>
    <w:rsid w:val="00B80915"/>
    <w:rsid w:val="00B812E0"/>
    <w:rsid w:val="00B815C7"/>
    <w:rsid w:val="00B81FCB"/>
    <w:rsid w:val="00B824D2"/>
    <w:rsid w:val="00B825AD"/>
    <w:rsid w:val="00B83124"/>
    <w:rsid w:val="00B831DB"/>
    <w:rsid w:val="00B83796"/>
    <w:rsid w:val="00B83DD9"/>
    <w:rsid w:val="00B85498"/>
    <w:rsid w:val="00B85FDC"/>
    <w:rsid w:val="00B8601D"/>
    <w:rsid w:val="00B86E6A"/>
    <w:rsid w:val="00B875D0"/>
    <w:rsid w:val="00B876F8"/>
    <w:rsid w:val="00B87878"/>
    <w:rsid w:val="00B87BD8"/>
    <w:rsid w:val="00B87D67"/>
    <w:rsid w:val="00B906E2"/>
    <w:rsid w:val="00B90957"/>
    <w:rsid w:val="00B90DC3"/>
    <w:rsid w:val="00B910E9"/>
    <w:rsid w:val="00B91216"/>
    <w:rsid w:val="00B917F2"/>
    <w:rsid w:val="00B919BA"/>
    <w:rsid w:val="00B91F44"/>
    <w:rsid w:val="00B91F8B"/>
    <w:rsid w:val="00B92CEE"/>
    <w:rsid w:val="00B932B3"/>
    <w:rsid w:val="00B93904"/>
    <w:rsid w:val="00B93D05"/>
    <w:rsid w:val="00B944A9"/>
    <w:rsid w:val="00B95CF2"/>
    <w:rsid w:val="00B95EE4"/>
    <w:rsid w:val="00B964B7"/>
    <w:rsid w:val="00B9671C"/>
    <w:rsid w:val="00B96993"/>
    <w:rsid w:val="00B96F7D"/>
    <w:rsid w:val="00B9709D"/>
    <w:rsid w:val="00B970A6"/>
    <w:rsid w:val="00B970BA"/>
    <w:rsid w:val="00B972B8"/>
    <w:rsid w:val="00B97586"/>
    <w:rsid w:val="00B97861"/>
    <w:rsid w:val="00B97B0D"/>
    <w:rsid w:val="00B97BD6"/>
    <w:rsid w:val="00BA012A"/>
    <w:rsid w:val="00BA0166"/>
    <w:rsid w:val="00BA1847"/>
    <w:rsid w:val="00BA1975"/>
    <w:rsid w:val="00BA1CB3"/>
    <w:rsid w:val="00BA20DC"/>
    <w:rsid w:val="00BA224B"/>
    <w:rsid w:val="00BA2A5E"/>
    <w:rsid w:val="00BA2BF8"/>
    <w:rsid w:val="00BA30D2"/>
    <w:rsid w:val="00BA3827"/>
    <w:rsid w:val="00BA40C1"/>
    <w:rsid w:val="00BA40D3"/>
    <w:rsid w:val="00BA454B"/>
    <w:rsid w:val="00BA49A6"/>
    <w:rsid w:val="00BA4AA4"/>
    <w:rsid w:val="00BA59FA"/>
    <w:rsid w:val="00BA60C8"/>
    <w:rsid w:val="00BA61DE"/>
    <w:rsid w:val="00BA6209"/>
    <w:rsid w:val="00BA6962"/>
    <w:rsid w:val="00BA6A7C"/>
    <w:rsid w:val="00BA6ED2"/>
    <w:rsid w:val="00BA71A4"/>
    <w:rsid w:val="00BA7AD4"/>
    <w:rsid w:val="00BB01DA"/>
    <w:rsid w:val="00BB0705"/>
    <w:rsid w:val="00BB1469"/>
    <w:rsid w:val="00BB165B"/>
    <w:rsid w:val="00BB1C27"/>
    <w:rsid w:val="00BB1F27"/>
    <w:rsid w:val="00BB28F1"/>
    <w:rsid w:val="00BB2B27"/>
    <w:rsid w:val="00BB43BB"/>
    <w:rsid w:val="00BB4A12"/>
    <w:rsid w:val="00BB4AC1"/>
    <w:rsid w:val="00BB52BE"/>
    <w:rsid w:val="00BB6001"/>
    <w:rsid w:val="00BB672C"/>
    <w:rsid w:val="00BB673F"/>
    <w:rsid w:val="00BB75AD"/>
    <w:rsid w:val="00BB763F"/>
    <w:rsid w:val="00BB796B"/>
    <w:rsid w:val="00BB7A5D"/>
    <w:rsid w:val="00BB7DAD"/>
    <w:rsid w:val="00BB7ED2"/>
    <w:rsid w:val="00BC0045"/>
    <w:rsid w:val="00BC0251"/>
    <w:rsid w:val="00BC07C6"/>
    <w:rsid w:val="00BC0A5E"/>
    <w:rsid w:val="00BC0B7D"/>
    <w:rsid w:val="00BC1DD9"/>
    <w:rsid w:val="00BC1E8C"/>
    <w:rsid w:val="00BC29F2"/>
    <w:rsid w:val="00BC3611"/>
    <w:rsid w:val="00BC3856"/>
    <w:rsid w:val="00BC3D3F"/>
    <w:rsid w:val="00BC3ED7"/>
    <w:rsid w:val="00BC3F8E"/>
    <w:rsid w:val="00BC4307"/>
    <w:rsid w:val="00BC45D9"/>
    <w:rsid w:val="00BC4C48"/>
    <w:rsid w:val="00BC50EB"/>
    <w:rsid w:val="00BC5328"/>
    <w:rsid w:val="00BC55DE"/>
    <w:rsid w:val="00BC5A68"/>
    <w:rsid w:val="00BC6778"/>
    <w:rsid w:val="00BC6B83"/>
    <w:rsid w:val="00BC7011"/>
    <w:rsid w:val="00BD02D9"/>
    <w:rsid w:val="00BD079E"/>
    <w:rsid w:val="00BD0B38"/>
    <w:rsid w:val="00BD0CE4"/>
    <w:rsid w:val="00BD13F7"/>
    <w:rsid w:val="00BD1579"/>
    <w:rsid w:val="00BD1A5F"/>
    <w:rsid w:val="00BD1C14"/>
    <w:rsid w:val="00BD2235"/>
    <w:rsid w:val="00BD2432"/>
    <w:rsid w:val="00BD28DC"/>
    <w:rsid w:val="00BD38E9"/>
    <w:rsid w:val="00BD3EEC"/>
    <w:rsid w:val="00BD41E8"/>
    <w:rsid w:val="00BD43D2"/>
    <w:rsid w:val="00BD44A3"/>
    <w:rsid w:val="00BD4FBD"/>
    <w:rsid w:val="00BD577E"/>
    <w:rsid w:val="00BD58F9"/>
    <w:rsid w:val="00BD5B6F"/>
    <w:rsid w:val="00BD6B0D"/>
    <w:rsid w:val="00BD7957"/>
    <w:rsid w:val="00BD7DB4"/>
    <w:rsid w:val="00BD7EBE"/>
    <w:rsid w:val="00BD7F26"/>
    <w:rsid w:val="00BE01FD"/>
    <w:rsid w:val="00BE08A0"/>
    <w:rsid w:val="00BE0E7C"/>
    <w:rsid w:val="00BE116A"/>
    <w:rsid w:val="00BE13A0"/>
    <w:rsid w:val="00BE1457"/>
    <w:rsid w:val="00BE156C"/>
    <w:rsid w:val="00BE1615"/>
    <w:rsid w:val="00BE20C4"/>
    <w:rsid w:val="00BE2875"/>
    <w:rsid w:val="00BE327A"/>
    <w:rsid w:val="00BE4556"/>
    <w:rsid w:val="00BE5734"/>
    <w:rsid w:val="00BE627C"/>
    <w:rsid w:val="00BE6C7D"/>
    <w:rsid w:val="00BE779B"/>
    <w:rsid w:val="00BE7809"/>
    <w:rsid w:val="00BE785F"/>
    <w:rsid w:val="00BE7E2E"/>
    <w:rsid w:val="00BF00E8"/>
    <w:rsid w:val="00BF03F0"/>
    <w:rsid w:val="00BF0F41"/>
    <w:rsid w:val="00BF1031"/>
    <w:rsid w:val="00BF2F35"/>
    <w:rsid w:val="00BF2F64"/>
    <w:rsid w:val="00BF30BD"/>
    <w:rsid w:val="00BF3C4D"/>
    <w:rsid w:val="00BF43B1"/>
    <w:rsid w:val="00BF48D0"/>
    <w:rsid w:val="00BF4975"/>
    <w:rsid w:val="00BF55D1"/>
    <w:rsid w:val="00BF57FD"/>
    <w:rsid w:val="00BF5839"/>
    <w:rsid w:val="00BF5922"/>
    <w:rsid w:val="00BF5939"/>
    <w:rsid w:val="00BF5A6E"/>
    <w:rsid w:val="00BF61B4"/>
    <w:rsid w:val="00BF61DE"/>
    <w:rsid w:val="00BF6BB2"/>
    <w:rsid w:val="00BF6D88"/>
    <w:rsid w:val="00BF6DF6"/>
    <w:rsid w:val="00BF7F6E"/>
    <w:rsid w:val="00BF7F9C"/>
    <w:rsid w:val="00C00734"/>
    <w:rsid w:val="00C00892"/>
    <w:rsid w:val="00C00B6C"/>
    <w:rsid w:val="00C00C08"/>
    <w:rsid w:val="00C0159E"/>
    <w:rsid w:val="00C019CD"/>
    <w:rsid w:val="00C01D2C"/>
    <w:rsid w:val="00C0238E"/>
    <w:rsid w:val="00C026F9"/>
    <w:rsid w:val="00C028E8"/>
    <w:rsid w:val="00C02FAD"/>
    <w:rsid w:val="00C032B0"/>
    <w:rsid w:val="00C03D81"/>
    <w:rsid w:val="00C0439B"/>
    <w:rsid w:val="00C04C4E"/>
    <w:rsid w:val="00C054FE"/>
    <w:rsid w:val="00C06403"/>
    <w:rsid w:val="00C066AA"/>
    <w:rsid w:val="00C07061"/>
    <w:rsid w:val="00C07933"/>
    <w:rsid w:val="00C106E3"/>
    <w:rsid w:val="00C1102A"/>
    <w:rsid w:val="00C110C8"/>
    <w:rsid w:val="00C110DE"/>
    <w:rsid w:val="00C11BAC"/>
    <w:rsid w:val="00C1346B"/>
    <w:rsid w:val="00C13998"/>
    <w:rsid w:val="00C14B5E"/>
    <w:rsid w:val="00C14BF2"/>
    <w:rsid w:val="00C14BF3"/>
    <w:rsid w:val="00C14E79"/>
    <w:rsid w:val="00C14FBA"/>
    <w:rsid w:val="00C1510C"/>
    <w:rsid w:val="00C1577B"/>
    <w:rsid w:val="00C15852"/>
    <w:rsid w:val="00C1596C"/>
    <w:rsid w:val="00C15EF6"/>
    <w:rsid w:val="00C16D68"/>
    <w:rsid w:val="00C16E2F"/>
    <w:rsid w:val="00C17293"/>
    <w:rsid w:val="00C17925"/>
    <w:rsid w:val="00C2017E"/>
    <w:rsid w:val="00C2032C"/>
    <w:rsid w:val="00C21374"/>
    <w:rsid w:val="00C21541"/>
    <w:rsid w:val="00C21AB0"/>
    <w:rsid w:val="00C22ABD"/>
    <w:rsid w:val="00C22C73"/>
    <w:rsid w:val="00C2523B"/>
    <w:rsid w:val="00C25E04"/>
    <w:rsid w:val="00C26068"/>
    <w:rsid w:val="00C27A75"/>
    <w:rsid w:val="00C27AF5"/>
    <w:rsid w:val="00C304C9"/>
    <w:rsid w:val="00C30B94"/>
    <w:rsid w:val="00C30F5A"/>
    <w:rsid w:val="00C31218"/>
    <w:rsid w:val="00C313A3"/>
    <w:rsid w:val="00C3146B"/>
    <w:rsid w:val="00C314EC"/>
    <w:rsid w:val="00C31C33"/>
    <w:rsid w:val="00C31E33"/>
    <w:rsid w:val="00C32605"/>
    <w:rsid w:val="00C3262F"/>
    <w:rsid w:val="00C33A5F"/>
    <w:rsid w:val="00C33E13"/>
    <w:rsid w:val="00C33FB5"/>
    <w:rsid w:val="00C34F53"/>
    <w:rsid w:val="00C35326"/>
    <w:rsid w:val="00C35603"/>
    <w:rsid w:val="00C361A0"/>
    <w:rsid w:val="00C37918"/>
    <w:rsid w:val="00C37C3E"/>
    <w:rsid w:val="00C4062F"/>
    <w:rsid w:val="00C410F6"/>
    <w:rsid w:val="00C41DA0"/>
    <w:rsid w:val="00C42495"/>
    <w:rsid w:val="00C43234"/>
    <w:rsid w:val="00C4382C"/>
    <w:rsid w:val="00C438CA"/>
    <w:rsid w:val="00C43BCB"/>
    <w:rsid w:val="00C43E23"/>
    <w:rsid w:val="00C43EEC"/>
    <w:rsid w:val="00C44936"/>
    <w:rsid w:val="00C44D14"/>
    <w:rsid w:val="00C45446"/>
    <w:rsid w:val="00C4676A"/>
    <w:rsid w:val="00C46D7C"/>
    <w:rsid w:val="00C473FC"/>
    <w:rsid w:val="00C512D6"/>
    <w:rsid w:val="00C513FA"/>
    <w:rsid w:val="00C5172C"/>
    <w:rsid w:val="00C52BC7"/>
    <w:rsid w:val="00C532E3"/>
    <w:rsid w:val="00C541CD"/>
    <w:rsid w:val="00C5450D"/>
    <w:rsid w:val="00C55719"/>
    <w:rsid w:val="00C558B2"/>
    <w:rsid w:val="00C55C26"/>
    <w:rsid w:val="00C563F6"/>
    <w:rsid w:val="00C569A3"/>
    <w:rsid w:val="00C57514"/>
    <w:rsid w:val="00C57834"/>
    <w:rsid w:val="00C6062D"/>
    <w:rsid w:val="00C619C3"/>
    <w:rsid w:val="00C61ACB"/>
    <w:rsid w:val="00C61E7F"/>
    <w:rsid w:val="00C61F71"/>
    <w:rsid w:val="00C62191"/>
    <w:rsid w:val="00C63D27"/>
    <w:rsid w:val="00C63E72"/>
    <w:rsid w:val="00C6449A"/>
    <w:rsid w:val="00C65115"/>
    <w:rsid w:val="00C65401"/>
    <w:rsid w:val="00C6547E"/>
    <w:rsid w:val="00C65A65"/>
    <w:rsid w:val="00C65CDD"/>
    <w:rsid w:val="00C66376"/>
    <w:rsid w:val="00C66754"/>
    <w:rsid w:val="00C66B2F"/>
    <w:rsid w:val="00C67101"/>
    <w:rsid w:val="00C675C5"/>
    <w:rsid w:val="00C67701"/>
    <w:rsid w:val="00C70313"/>
    <w:rsid w:val="00C7034E"/>
    <w:rsid w:val="00C7084E"/>
    <w:rsid w:val="00C70B7A"/>
    <w:rsid w:val="00C7231A"/>
    <w:rsid w:val="00C725CC"/>
    <w:rsid w:val="00C72F49"/>
    <w:rsid w:val="00C732B0"/>
    <w:rsid w:val="00C738C7"/>
    <w:rsid w:val="00C7404A"/>
    <w:rsid w:val="00C7439B"/>
    <w:rsid w:val="00C74553"/>
    <w:rsid w:val="00C74BBE"/>
    <w:rsid w:val="00C75624"/>
    <w:rsid w:val="00C75AD5"/>
    <w:rsid w:val="00C75B9A"/>
    <w:rsid w:val="00C76456"/>
    <w:rsid w:val="00C76A77"/>
    <w:rsid w:val="00C7738F"/>
    <w:rsid w:val="00C7760A"/>
    <w:rsid w:val="00C77E4B"/>
    <w:rsid w:val="00C80A9D"/>
    <w:rsid w:val="00C80CA1"/>
    <w:rsid w:val="00C80ED6"/>
    <w:rsid w:val="00C813BB"/>
    <w:rsid w:val="00C817E0"/>
    <w:rsid w:val="00C819AE"/>
    <w:rsid w:val="00C81BDF"/>
    <w:rsid w:val="00C82B3E"/>
    <w:rsid w:val="00C82E14"/>
    <w:rsid w:val="00C82E53"/>
    <w:rsid w:val="00C83018"/>
    <w:rsid w:val="00C8312B"/>
    <w:rsid w:val="00C83CFB"/>
    <w:rsid w:val="00C83F55"/>
    <w:rsid w:val="00C84E1F"/>
    <w:rsid w:val="00C84E9B"/>
    <w:rsid w:val="00C8529E"/>
    <w:rsid w:val="00C85477"/>
    <w:rsid w:val="00C8562A"/>
    <w:rsid w:val="00C85753"/>
    <w:rsid w:val="00C85A0D"/>
    <w:rsid w:val="00C85D98"/>
    <w:rsid w:val="00C86076"/>
    <w:rsid w:val="00C86280"/>
    <w:rsid w:val="00C86364"/>
    <w:rsid w:val="00C8656E"/>
    <w:rsid w:val="00C86C8A"/>
    <w:rsid w:val="00C87FDD"/>
    <w:rsid w:val="00C904DC"/>
    <w:rsid w:val="00C90D08"/>
    <w:rsid w:val="00C9119C"/>
    <w:rsid w:val="00C915E8"/>
    <w:rsid w:val="00C91893"/>
    <w:rsid w:val="00C91954"/>
    <w:rsid w:val="00C92162"/>
    <w:rsid w:val="00C92979"/>
    <w:rsid w:val="00C92E9F"/>
    <w:rsid w:val="00C934D4"/>
    <w:rsid w:val="00C93FDD"/>
    <w:rsid w:val="00C95690"/>
    <w:rsid w:val="00C95BFD"/>
    <w:rsid w:val="00C95CB2"/>
    <w:rsid w:val="00C95DB9"/>
    <w:rsid w:val="00C96719"/>
    <w:rsid w:val="00C96748"/>
    <w:rsid w:val="00C96C87"/>
    <w:rsid w:val="00C96CF2"/>
    <w:rsid w:val="00C96EB6"/>
    <w:rsid w:val="00C96F69"/>
    <w:rsid w:val="00C974F6"/>
    <w:rsid w:val="00CA0A54"/>
    <w:rsid w:val="00CA0E35"/>
    <w:rsid w:val="00CA0F67"/>
    <w:rsid w:val="00CA1856"/>
    <w:rsid w:val="00CA2AB7"/>
    <w:rsid w:val="00CA2D90"/>
    <w:rsid w:val="00CA2F01"/>
    <w:rsid w:val="00CA2F88"/>
    <w:rsid w:val="00CA32ED"/>
    <w:rsid w:val="00CA381D"/>
    <w:rsid w:val="00CA5024"/>
    <w:rsid w:val="00CA5228"/>
    <w:rsid w:val="00CA597E"/>
    <w:rsid w:val="00CA5998"/>
    <w:rsid w:val="00CA6CBA"/>
    <w:rsid w:val="00CA7E7D"/>
    <w:rsid w:val="00CB0B9B"/>
    <w:rsid w:val="00CB0FE2"/>
    <w:rsid w:val="00CB10D6"/>
    <w:rsid w:val="00CB21E9"/>
    <w:rsid w:val="00CB2B9F"/>
    <w:rsid w:val="00CB32B4"/>
    <w:rsid w:val="00CB3379"/>
    <w:rsid w:val="00CB3952"/>
    <w:rsid w:val="00CB39DC"/>
    <w:rsid w:val="00CB40B5"/>
    <w:rsid w:val="00CB4526"/>
    <w:rsid w:val="00CB45BF"/>
    <w:rsid w:val="00CB45FD"/>
    <w:rsid w:val="00CB524E"/>
    <w:rsid w:val="00CB5B37"/>
    <w:rsid w:val="00CB61F6"/>
    <w:rsid w:val="00CB6340"/>
    <w:rsid w:val="00CB6617"/>
    <w:rsid w:val="00CB69C7"/>
    <w:rsid w:val="00CC0AA2"/>
    <w:rsid w:val="00CC0C29"/>
    <w:rsid w:val="00CC0FB7"/>
    <w:rsid w:val="00CC140C"/>
    <w:rsid w:val="00CC266A"/>
    <w:rsid w:val="00CC2717"/>
    <w:rsid w:val="00CC328D"/>
    <w:rsid w:val="00CC3950"/>
    <w:rsid w:val="00CC447C"/>
    <w:rsid w:val="00CC4556"/>
    <w:rsid w:val="00CC4A58"/>
    <w:rsid w:val="00CC4BD1"/>
    <w:rsid w:val="00CC4C0D"/>
    <w:rsid w:val="00CC5363"/>
    <w:rsid w:val="00CC53C1"/>
    <w:rsid w:val="00CC5E7B"/>
    <w:rsid w:val="00CC605F"/>
    <w:rsid w:val="00CC6B48"/>
    <w:rsid w:val="00CC7BC0"/>
    <w:rsid w:val="00CD14D7"/>
    <w:rsid w:val="00CD15BA"/>
    <w:rsid w:val="00CD18E2"/>
    <w:rsid w:val="00CD2136"/>
    <w:rsid w:val="00CD36AA"/>
    <w:rsid w:val="00CD36FE"/>
    <w:rsid w:val="00CD3D0C"/>
    <w:rsid w:val="00CD3D29"/>
    <w:rsid w:val="00CD4405"/>
    <w:rsid w:val="00CD4C1E"/>
    <w:rsid w:val="00CD536E"/>
    <w:rsid w:val="00CD5400"/>
    <w:rsid w:val="00CD5A4F"/>
    <w:rsid w:val="00CD64DB"/>
    <w:rsid w:val="00CD64EE"/>
    <w:rsid w:val="00CD655B"/>
    <w:rsid w:val="00CD6716"/>
    <w:rsid w:val="00CD6750"/>
    <w:rsid w:val="00CD71EE"/>
    <w:rsid w:val="00CE06D9"/>
    <w:rsid w:val="00CE09AA"/>
    <w:rsid w:val="00CE0A6E"/>
    <w:rsid w:val="00CE120F"/>
    <w:rsid w:val="00CE12E2"/>
    <w:rsid w:val="00CE1EC8"/>
    <w:rsid w:val="00CE239D"/>
    <w:rsid w:val="00CE2617"/>
    <w:rsid w:val="00CE31E7"/>
    <w:rsid w:val="00CE34C4"/>
    <w:rsid w:val="00CE38BA"/>
    <w:rsid w:val="00CE48BE"/>
    <w:rsid w:val="00CE4EB6"/>
    <w:rsid w:val="00CE507F"/>
    <w:rsid w:val="00CE5322"/>
    <w:rsid w:val="00CE5886"/>
    <w:rsid w:val="00CE59F3"/>
    <w:rsid w:val="00CE61BC"/>
    <w:rsid w:val="00CE63B6"/>
    <w:rsid w:val="00CE6664"/>
    <w:rsid w:val="00CE6AB3"/>
    <w:rsid w:val="00CE6B12"/>
    <w:rsid w:val="00CE6D1D"/>
    <w:rsid w:val="00CE7073"/>
    <w:rsid w:val="00CE71C8"/>
    <w:rsid w:val="00CE7356"/>
    <w:rsid w:val="00CE74E7"/>
    <w:rsid w:val="00CE7544"/>
    <w:rsid w:val="00CE75E2"/>
    <w:rsid w:val="00CE767D"/>
    <w:rsid w:val="00CF053C"/>
    <w:rsid w:val="00CF14C4"/>
    <w:rsid w:val="00CF151A"/>
    <w:rsid w:val="00CF15F7"/>
    <w:rsid w:val="00CF1BD2"/>
    <w:rsid w:val="00CF1C8E"/>
    <w:rsid w:val="00CF2109"/>
    <w:rsid w:val="00CF2160"/>
    <w:rsid w:val="00CF2A35"/>
    <w:rsid w:val="00CF2F2A"/>
    <w:rsid w:val="00CF3131"/>
    <w:rsid w:val="00CF36F6"/>
    <w:rsid w:val="00CF3C53"/>
    <w:rsid w:val="00CF3CB1"/>
    <w:rsid w:val="00CF413A"/>
    <w:rsid w:val="00CF44A3"/>
    <w:rsid w:val="00CF5122"/>
    <w:rsid w:val="00CF5477"/>
    <w:rsid w:val="00CF54E3"/>
    <w:rsid w:val="00CF6CB2"/>
    <w:rsid w:val="00D00667"/>
    <w:rsid w:val="00D014A3"/>
    <w:rsid w:val="00D029D3"/>
    <w:rsid w:val="00D0339A"/>
    <w:rsid w:val="00D042AE"/>
    <w:rsid w:val="00D04693"/>
    <w:rsid w:val="00D04860"/>
    <w:rsid w:val="00D054B9"/>
    <w:rsid w:val="00D061B4"/>
    <w:rsid w:val="00D072E0"/>
    <w:rsid w:val="00D1016A"/>
    <w:rsid w:val="00D1096D"/>
    <w:rsid w:val="00D1185C"/>
    <w:rsid w:val="00D11A80"/>
    <w:rsid w:val="00D11B4C"/>
    <w:rsid w:val="00D13172"/>
    <w:rsid w:val="00D136C2"/>
    <w:rsid w:val="00D136F7"/>
    <w:rsid w:val="00D13DF6"/>
    <w:rsid w:val="00D1520C"/>
    <w:rsid w:val="00D153D2"/>
    <w:rsid w:val="00D16914"/>
    <w:rsid w:val="00D16FA1"/>
    <w:rsid w:val="00D178A4"/>
    <w:rsid w:val="00D17D41"/>
    <w:rsid w:val="00D2006C"/>
    <w:rsid w:val="00D202C3"/>
    <w:rsid w:val="00D20576"/>
    <w:rsid w:val="00D207CD"/>
    <w:rsid w:val="00D20DED"/>
    <w:rsid w:val="00D20E40"/>
    <w:rsid w:val="00D21876"/>
    <w:rsid w:val="00D21C5F"/>
    <w:rsid w:val="00D2251D"/>
    <w:rsid w:val="00D22B6D"/>
    <w:rsid w:val="00D23671"/>
    <w:rsid w:val="00D242DA"/>
    <w:rsid w:val="00D246D9"/>
    <w:rsid w:val="00D2555B"/>
    <w:rsid w:val="00D26001"/>
    <w:rsid w:val="00D273FD"/>
    <w:rsid w:val="00D2741C"/>
    <w:rsid w:val="00D27AA1"/>
    <w:rsid w:val="00D27B3B"/>
    <w:rsid w:val="00D30555"/>
    <w:rsid w:val="00D3069B"/>
    <w:rsid w:val="00D30EB7"/>
    <w:rsid w:val="00D30F79"/>
    <w:rsid w:val="00D323FD"/>
    <w:rsid w:val="00D32F28"/>
    <w:rsid w:val="00D33475"/>
    <w:rsid w:val="00D33B55"/>
    <w:rsid w:val="00D33EEA"/>
    <w:rsid w:val="00D34BF0"/>
    <w:rsid w:val="00D34D3F"/>
    <w:rsid w:val="00D34EE9"/>
    <w:rsid w:val="00D357CD"/>
    <w:rsid w:val="00D358D1"/>
    <w:rsid w:val="00D35996"/>
    <w:rsid w:val="00D35A7F"/>
    <w:rsid w:val="00D35E70"/>
    <w:rsid w:val="00D35F92"/>
    <w:rsid w:val="00D36035"/>
    <w:rsid w:val="00D365DE"/>
    <w:rsid w:val="00D36DBD"/>
    <w:rsid w:val="00D36EE8"/>
    <w:rsid w:val="00D36F89"/>
    <w:rsid w:val="00D37687"/>
    <w:rsid w:val="00D4026D"/>
    <w:rsid w:val="00D403AA"/>
    <w:rsid w:val="00D41786"/>
    <w:rsid w:val="00D42F71"/>
    <w:rsid w:val="00D42F8E"/>
    <w:rsid w:val="00D448A7"/>
    <w:rsid w:val="00D44C9E"/>
    <w:rsid w:val="00D4561B"/>
    <w:rsid w:val="00D4598D"/>
    <w:rsid w:val="00D45AA2"/>
    <w:rsid w:val="00D45BE7"/>
    <w:rsid w:val="00D462E3"/>
    <w:rsid w:val="00D4730D"/>
    <w:rsid w:val="00D47977"/>
    <w:rsid w:val="00D47CDF"/>
    <w:rsid w:val="00D47D92"/>
    <w:rsid w:val="00D501FC"/>
    <w:rsid w:val="00D50981"/>
    <w:rsid w:val="00D50C15"/>
    <w:rsid w:val="00D50E68"/>
    <w:rsid w:val="00D51127"/>
    <w:rsid w:val="00D51527"/>
    <w:rsid w:val="00D51AE3"/>
    <w:rsid w:val="00D5242D"/>
    <w:rsid w:val="00D52481"/>
    <w:rsid w:val="00D52D9E"/>
    <w:rsid w:val="00D52E5D"/>
    <w:rsid w:val="00D53089"/>
    <w:rsid w:val="00D53379"/>
    <w:rsid w:val="00D53871"/>
    <w:rsid w:val="00D547E0"/>
    <w:rsid w:val="00D54991"/>
    <w:rsid w:val="00D54E2B"/>
    <w:rsid w:val="00D54EEB"/>
    <w:rsid w:val="00D56174"/>
    <w:rsid w:val="00D566E4"/>
    <w:rsid w:val="00D56CCB"/>
    <w:rsid w:val="00D57500"/>
    <w:rsid w:val="00D57BB9"/>
    <w:rsid w:val="00D57C23"/>
    <w:rsid w:val="00D57E11"/>
    <w:rsid w:val="00D60232"/>
    <w:rsid w:val="00D60253"/>
    <w:rsid w:val="00D60AF5"/>
    <w:rsid w:val="00D612A2"/>
    <w:rsid w:val="00D61786"/>
    <w:rsid w:val="00D617F5"/>
    <w:rsid w:val="00D6180A"/>
    <w:rsid w:val="00D6198B"/>
    <w:rsid w:val="00D619EF"/>
    <w:rsid w:val="00D61D46"/>
    <w:rsid w:val="00D61EF9"/>
    <w:rsid w:val="00D62781"/>
    <w:rsid w:val="00D6284C"/>
    <w:rsid w:val="00D64094"/>
    <w:rsid w:val="00D648D7"/>
    <w:rsid w:val="00D64A27"/>
    <w:rsid w:val="00D64E9C"/>
    <w:rsid w:val="00D667D9"/>
    <w:rsid w:val="00D66ECE"/>
    <w:rsid w:val="00D67895"/>
    <w:rsid w:val="00D679C5"/>
    <w:rsid w:val="00D67BF5"/>
    <w:rsid w:val="00D67EA2"/>
    <w:rsid w:val="00D700B8"/>
    <w:rsid w:val="00D7143E"/>
    <w:rsid w:val="00D72203"/>
    <w:rsid w:val="00D724EF"/>
    <w:rsid w:val="00D72EFE"/>
    <w:rsid w:val="00D7312F"/>
    <w:rsid w:val="00D731C8"/>
    <w:rsid w:val="00D73361"/>
    <w:rsid w:val="00D73A8F"/>
    <w:rsid w:val="00D73BA0"/>
    <w:rsid w:val="00D73C51"/>
    <w:rsid w:val="00D7430B"/>
    <w:rsid w:val="00D74441"/>
    <w:rsid w:val="00D75008"/>
    <w:rsid w:val="00D75766"/>
    <w:rsid w:val="00D76236"/>
    <w:rsid w:val="00D767DC"/>
    <w:rsid w:val="00D7693D"/>
    <w:rsid w:val="00D769A2"/>
    <w:rsid w:val="00D8038C"/>
    <w:rsid w:val="00D80798"/>
    <w:rsid w:val="00D808DA"/>
    <w:rsid w:val="00D80929"/>
    <w:rsid w:val="00D8103B"/>
    <w:rsid w:val="00D81275"/>
    <w:rsid w:val="00D81656"/>
    <w:rsid w:val="00D821FE"/>
    <w:rsid w:val="00D82261"/>
    <w:rsid w:val="00D822C3"/>
    <w:rsid w:val="00D82FF7"/>
    <w:rsid w:val="00D84003"/>
    <w:rsid w:val="00D84014"/>
    <w:rsid w:val="00D84093"/>
    <w:rsid w:val="00D8479C"/>
    <w:rsid w:val="00D85352"/>
    <w:rsid w:val="00D85634"/>
    <w:rsid w:val="00D85A5B"/>
    <w:rsid w:val="00D8607C"/>
    <w:rsid w:val="00D8627C"/>
    <w:rsid w:val="00D8634F"/>
    <w:rsid w:val="00D86576"/>
    <w:rsid w:val="00D86AC5"/>
    <w:rsid w:val="00D872B1"/>
    <w:rsid w:val="00D87871"/>
    <w:rsid w:val="00D87DE9"/>
    <w:rsid w:val="00D9028B"/>
    <w:rsid w:val="00D90537"/>
    <w:rsid w:val="00D90F19"/>
    <w:rsid w:val="00D91A8E"/>
    <w:rsid w:val="00D92215"/>
    <w:rsid w:val="00D92493"/>
    <w:rsid w:val="00D92C66"/>
    <w:rsid w:val="00D92CB8"/>
    <w:rsid w:val="00D937F5"/>
    <w:rsid w:val="00D93A47"/>
    <w:rsid w:val="00D9433D"/>
    <w:rsid w:val="00D9471E"/>
    <w:rsid w:val="00D94A2D"/>
    <w:rsid w:val="00D94B17"/>
    <w:rsid w:val="00D9504E"/>
    <w:rsid w:val="00D95797"/>
    <w:rsid w:val="00D95EA3"/>
    <w:rsid w:val="00D9674B"/>
    <w:rsid w:val="00D97F5C"/>
    <w:rsid w:val="00DA00BA"/>
    <w:rsid w:val="00DA0603"/>
    <w:rsid w:val="00DA08BA"/>
    <w:rsid w:val="00DA1AF8"/>
    <w:rsid w:val="00DA1EFF"/>
    <w:rsid w:val="00DA23C8"/>
    <w:rsid w:val="00DA2CC4"/>
    <w:rsid w:val="00DA3124"/>
    <w:rsid w:val="00DA39E0"/>
    <w:rsid w:val="00DA44AB"/>
    <w:rsid w:val="00DA44C6"/>
    <w:rsid w:val="00DA5735"/>
    <w:rsid w:val="00DA5D7A"/>
    <w:rsid w:val="00DA5EF2"/>
    <w:rsid w:val="00DA66B9"/>
    <w:rsid w:val="00DA688E"/>
    <w:rsid w:val="00DA69FE"/>
    <w:rsid w:val="00DA6FBA"/>
    <w:rsid w:val="00DB01B2"/>
    <w:rsid w:val="00DB097E"/>
    <w:rsid w:val="00DB0D83"/>
    <w:rsid w:val="00DB0E83"/>
    <w:rsid w:val="00DB15A1"/>
    <w:rsid w:val="00DB1E5A"/>
    <w:rsid w:val="00DB1EE4"/>
    <w:rsid w:val="00DB22E0"/>
    <w:rsid w:val="00DB452B"/>
    <w:rsid w:val="00DB454D"/>
    <w:rsid w:val="00DB5730"/>
    <w:rsid w:val="00DB670E"/>
    <w:rsid w:val="00DB68EB"/>
    <w:rsid w:val="00DB7A7A"/>
    <w:rsid w:val="00DB7F67"/>
    <w:rsid w:val="00DC14D7"/>
    <w:rsid w:val="00DC19DD"/>
    <w:rsid w:val="00DC1F60"/>
    <w:rsid w:val="00DC295E"/>
    <w:rsid w:val="00DC2CEB"/>
    <w:rsid w:val="00DC3243"/>
    <w:rsid w:val="00DC3AF5"/>
    <w:rsid w:val="00DC409C"/>
    <w:rsid w:val="00DC43D6"/>
    <w:rsid w:val="00DC45E7"/>
    <w:rsid w:val="00DC48F1"/>
    <w:rsid w:val="00DC4CB8"/>
    <w:rsid w:val="00DC6869"/>
    <w:rsid w:val="00DC71C7"/>
    <w:rsid w:val="00DC7258"/>
    <w:rsid w:val="00DC725A"/>
    <w:rsid w:val="00DC7545"/>
    <w:rsid w:val="00DC77C3"/>
    <w:rsid w:val="00DC7BAE"/>
    <w:rsid w:val="00DC7CC5"/>
    <w:rsid w:val="00DD02B4"/>
    <w:rsid w:val="00DD0FBF"/>
    <w:rsid w:val="00DD17CD"/>
    <w:rsid w:val="00DD1910"/>
    <w:rsid w:val="00DD1BD9"/>
    <w:rsid w:val="00DD211C"/>
    <w:rsid w:val="00DD3527"/>
    <w:rsid w:val="00DD39BC"/>
    <w:rsid w:val="00DD3A9C"/>
    <w:rsid w:val="00DD4528"/>
    <w:rsid w:val="00DD4A70"/>
    <w:rsid w:val="00DD4F19"/>
    <w:rsid w:val="00DD58E6"/>
    <w:rsid w:val="00DD5BC7"/>
    <w:rsid w:val="00DD5CA0"/>
    <w:rsid w:val="00DD5DF4"/>
    <w:rsid w:val="00DD6883"/>
    <w:rsid w:val="00DD6A5B"/>
    <w:rsid w:val="00DD7181"/>
    <w:rsid w:val="00DD72C1"/>
    <w:rsid w:val="00DD765E"/>
    <w:rsid w:val="00DD783C"/>
    <w:rsid w:val="00DD7F22"/>
    <w:rsid w:val="00DE0099"/>
    <w:rsid w:val="00DE041A"/>
    <w:rsid w:val="00DE0777"/>
    <w:rsid w:val="00DE084D"/>
    <w:rsid w:val="00DE241B"/>
    <w:rsid w:val="00DE3F2C"/>
    <w:rsid w:val="00DE3F99"/>
    <w:rsid w:val="00DE41AF"/>
    <w:rsid w:val="00DE4271"/>
    <w:rsid w:val="00DE469B"/>
    <w:rsid w:val="00DE46D1"/>
    <w:rsid w:val="00DE5501"/>
    <w:rsid w:val="00DE5870"/>
    <w:rsid w:val="00DE5D81"/>
    <w:rsid w:val="00DE6D57"/>
    <w:rsid w:val="00DE6FA9"/>
    <w:rsid w:val="00DE7823"/>
    <w:rsid w:val="00DF0D01"/>
    <w:rsid w:val="00DF208E"/>
    <w:rsid w:val="00DF2BAD"/>
    <w:rsid w:val="00DF40BE"/>
    <w:rsid w:val="00DF4D73"/>
    <w:rsid w:val="00DF5AF1"/>
    <w:rsid w:val="00DF5D81"/>
    <w:rsid w:val="00DF6578"/>
    <w:rsid w:val="00DF6973"/>
    <w:rsid w:val="00DF6DC9"/>
    <w:rsid w:val="00DF72AC"/>
    <w:rsid w:val="00E00758"/>
    <w:rsid w:val="00E0090D"/>
    <w:rsid w:val="00E00D5F"/>
    <w:rsid w:val="00E00E9D"/>
    <w:rsid w:val="00E01E60"/>
    <w:rsid w:val="00E022E9"/>
    <w:rsid w:val="00E025D6"/>
    <w:rsid w:val="00E027D5"/>
    <w:rsid w:val="00E03D93"/>
    <w:rsid w:val="00E0464C"/>
    <w:rsid w:val="00E04890"/>
    <w:rsid w:val="00E05976"/>
    <w:rsid w:val="00E05DA7"/>
    <w:rsid w:val="00E05E65"/>
    <w:rsid w:val="00E05F93"/>
    <w:rsid w:val="00E066A6"/>
    <w:rsid w:val="00E071C4"/>
    <w:rsid w:val="00E07918"/>
    <w:rsid w:val="00E0798D"/>
    <w:rsid w:val="00E07FEE"/>
    <w:rsid w:val="00E101DE"/>
    <w:rsid w:val="00E10340"/>
    <w:rsid w:val="00E108A6"/>
    <w:rsid w:val="00E11615"/>
    <w:rsid w:val="00E11909"/>
    <w:rsid w:val="00E11AF8"/>
    <w:rsid w:val="00E132EC"/>
    <w:rsid w:val="00E13F0B"/>
    <w:rsid w:val="00E13FD6"/>
    <w:rsid w:val="00E148DC"/>
    <w:rsid w:val="00E14FD1"/>
    <w:rsid w:val="00E15009"/>
    <w:rsid w:val="00E16533"/>
    <w:rsid w:val="00E16AB9"/>
    <w:rsid w:val="00E16E4E"/>
    <w:rsid w:val="00E1741E"/>
    <w:rsid w:val="00E17688"/>
    <w:rsid w:val="00E17731"/>
    <w:rsid w:val="00E1797B"/>
    <w:rsid w:val="00E200EB"/>
    <w:rsid w:val="00E2070E"/>
    <w:rsid w:val="00E208EF"/>
    <w:rsid w:val="00E209B5"/>
    <w:rsid w:val="00E20AF7"/>
    <w:rsid w:val="00E22CC1"/>
    <w:rsid w:val="00E2318A"/>
    <w:rsid w:val="00E232C7"/>
    <w:rsid w:val="00E2336B"/>
    <w:rsid w:val="00E23A70"/>
    <w:rsid w:val="00E24260"/>
    <w:rsid w:val="00E24465"/>
    <w:rsid w:val="00E25CCE"/>
    <w:rsid w:val="00E26A87"/>
    <w:rsid w:val="00E2772A"/>
    <w:rsid w:val="00E27A0F"/>
    <w:rsid w:val="00E303BB"/>
    <w:rsid w:val="00E30611"/>
    <w:rsid w:val="00E30790"/>
    <w:rsid w:val="00E3161E"/>
    <w:rsid w:val="00E316D2"/>
    <w:rsid w:val="00E32704"/>
    <w:rsid w:val="00E32C0F"/>
    <w:rsid w:val="00E32C73"/>
    <w:rsid w:val="00E32E0B"/>
    <w:rsid w:val="00E33DB4"/>
    <w:rsid w:val="00E33EB4"/>
    <w:rsid w:val="00E33F22"/>
    <w:rsid w:val="00E34AB0"/>
    <w:rsid w:val="00E34B43"/>
    <w:rsid w:val="00E34C4B"/>
    <w:rsid w:val="00E356BE"/>
    <w:rsid w:val="00E358BF"/>
    <w:rsid w:val="00E35939"/>
    <w:rsid w:val="00E3646F"/>
    <w:rsid w:val="00E36FED"/>
    <w:rsid w:val="00E374B8"/>
    <w:rsid w:val="00E406FD"/>
    <w:rsid w:val="00E40A8C"/>
    <w:rsid w:val="00E41573"/>
    <w:rsid w:val="00E41CA5"/>
    <w:rsid w:val="00E42110"/>
    <w:rsid w:val="00E4225E"/>
    <w:rsid w:val="00E42BED"/>
    <w:rsid w:val="00E42CB6"/>
    <w:rsid w:val="00E42FFD"/>
    <w:rsid w:val="00E43047"/>
    <w:rsid w:val="00E4366C"/>
    <w:rsid w:val="00E436DD"/>
    <w:rsid w:val="00E43972"/>
    <w:rsid w:val="00E43CE1"/>
    <w:rsid w:val="00E43D6B"/>
    <w:rsid w:val="00E43D82"/>
    <w:rsid w:val="00E43ECF"/>
    <w:rsid w:val="00E44652"/>
    <w:rsid w:val="00E44656"/>
    <w:rsid w:val="00E44748"/>
    <w:rsid w:val="00E44CF1"/>
    <w:rsid w:val="00E44D72"/>
    <w:rsid w:val="00E45BE4"/>
    <w:rsid w:val="00E46121"/>
    <w:rsid w:val="00E4658C"/>
    <w:rsid w:val="00E4702C"/>
    <w:rsid w:val="00E4783C"/>
    <w:rsid w:val="00E47924"/>
    <w:rsid w:val="00E47BF6"/>
    <w:rsid w:val="00E5064D"/>
    <w:rsid w:val="00E508D4"/>
    <w:rsid w:val="00E50C6B"/>
    <w:rsid w:val="00E51324"/>
    <w:rsid w:val="00E51821"/>
    <w:rsid w:val="00E522D2"/>
    <w:rsid w:val="00E53530"/>
    <w:rsid w:val="00E53817"/>
    <w:rsid w:val="00E540BA"/>
    <w:rsid w:val="00E54221"/>
    <w:rsid w:val="00E5464D"/>
    <w:rsid w:val="00E54AE4"/>
    <w:rsid w:val="00E54B4D"/>
    <w:rsid w:val="00E5538D"/>
    <w:rsid w:val="00E55783"/>
    <w:rsid w:val="00E557E0"/>
    <w:rsid w:val="00E55EBA"/>
    <w:rsid w:val="00E55F1A"/>
    <w:rsid w:val="00E56BC5"/>
    <w:rsid w:val="00E5742F"/>
    <w:rsid w:val="00E5776F"/>
    <w:rsid w:val="00E57ED5"/>
    <w:rsid w:val="00E57FD4"/>
    <w:rsid w:val="00E601D5"/>
    <w:rsid w:val="00E602F0"/>
    <w:rsid w:val="00E60E3B"/>
    <w:rsid w:val="00E617CD"/>
    <w:rsid w:val="00E61852"/>
    <w:rsid w:val="00E61A8F"/>
    <w:rsid w:val="00E61C8E"/>
    <w:rsid w:val="00E630EA"/>
    <w:rsid w:val="00E633D2"/>
    <w:rsid w:val="00E63639"/>
    <w:rsid w:val="00E63645"/>
    <w:rsid w:val="00E63795"/>
    <w:rsid w:val="00E638AE"/>
    <w:rsid w:val="00E63BD3"/>
    <w:rsid w:val="00E66276"/>
    <w:rsid w:val="00E6669C"/>
    <w:rsid w:val="00E6679F"/>
    <w:rsid w:val="00E67270"/>
    <w:rsid w:val="00E673ED"/>
    <w:rsid w:val="00E67798"/>
    <w:rsid w:val="00E6784B"/>
    <w:rsid w:val="00E67C70"/>
    <w:rsid w:val="00E70178"/>
    <w:rsid w:val="00E70887"/>
    <w:rsid w:val="00E70915"/>
    <w:rsid w:val="00E70C35"/>
    <w:rsid w:val="00E7111B"/>
    <w:rsid w:val="00E7127E"/>
    <w:rsid w:val="00E71437"/>
    <w:rsid w:val="00E71486"/>
    <w:rsid w:val="00E71C4E"/>
    <w:rsid w:val="00E71FB7"/>
    <w:rsid w:val="00E72A2D"/>
    <w:rsid w:val="00E72AA9"/>
    <w:rsid w:val="00E72CFF"/>
    <w:rsid w:val="00E730DC"/>
    <w:rsid w:val="00E73633"/>
    <w:rsid w:val="00E74439"/>
    <w:rsid w:val="00E755D8"/>
    <w:rsid w:val="00E7575A"/>
    <w:rsid w:val="00E75CB2"/>
    <w:rsid w:val="00E76630"/>
    <w:rsid w:val="00E76B9E"/>
    <w:rsid w:val="00E7731A"/>
    <w:rsid w:val="00E77FEF"/>
    <w:rsid w:val="00E80297"/>
    <w:rsid w:val="00E8116E"/>
    <w:rsid w:val="00E81598"/>
    <w:rsid w:val="00E8186B"/>
    <w:rsid w:val="00E81A09"/>
    <w:rsid w:val="00E81B2A"/>
    <w:rsid w:val="00E81D16"/>
    <w:rsid w:val="00E81DBE"/>
    <w:rsid w:val="00E824D7"/>
    <w:rsid w:val="00E82A72"/>
    <w:rsid w:val="00E8345A"/>
    <w:rsid w:val="00E83F89"/>
    <w:rsid w:val="00E84504"/>
    <w:rsid w:val="00E846CE"/>
    <w:rsid w:val="00E84DBE"/>
    <w:rsid w:val="00E85AA4"/>
    <w:rsid w:val="00E85BAF"/>
    <w:rsid w:val="00E85D13"/>
    <w:rsid w:val="00E85F56"/>
    <w:rsid w:val="00E8693A"/>
    <w:rsid w:val="00E86E6F"/>
    <w:rsid w:val="00E86EE7"/>
    <w:rsid w:val="00E906F4"/>
    <w:rsid w:val="00E9073F"/>
    <w:rsid w:val="00E9078A"/>
    <w:rsid w:val="00E910D2"/>
    <w:rsid w:val="00E9188B"/>
    <w:rsid w:val="00E91D69"/>
    <w:rsid w:val="00E925F8"/>
    <w:rsid w:val="00E928BD"/>
    <w:rsid w:val="00E936A4"/>
    <w:rsid w:val="00E936BE"/>
    <w:rsid w:val="00E9391D"/>
    <w:rsid w:val="00E93C46"/>
    <w:rsid w:val="00E95967"/>
    <w:rsid w:val="00E959F8"/>
    <w:rsid w:val="00E95BE2"/>
    <w:rsid w:val="00E9711A"/>
    <w:rsid w:val="00E9732E"/>
    <w:rsid w:val="00E97373"/>
    <w:rsid w:val="00EA0581"/>
    <w:rsid w:val="00EA0FBD"/>
    <w:rsid w:val="00EA30AD"/>
    <w:rsid w:val="00EA3BBE"/>
    <w:rsid w:val="00EA4B11"/>
    <w:rsid w:val="00EA4B61"/>
    <w:rsid w:val="00EA4F9F"/>
    <w:rsid w:val="00EA5091"/>
    <w:rsid w:val="00EA521D"/>
    <w:rsid w:val="00EA5C2E"/>
    <w:rsid w:val="00EA60C4"/>
    <w:rsid w:val="00EA632D"/>
    <w:rsid w:val="00EA64B8"/>
    <w:rsid w:val="00EA65E2"/>
    <w:rsid w:val="00EA7A44"/>
    <w:rsid w:val="00EA7B72"/>
    <w:rsid w:val="00EB0384"/>
    <w:rsid w:val="00EB0751"/>
    <w:rsid w:val="00EB12B0"/>
    <w:rsid w:val="00EB1692"/>
    <w:rsid w:val="00EB1FFE"/>
    <w:rsid w:val="00EB2115"/>
    <w:rsid w:val="00EB2D9E"/>
    <w:rsid w:val="00EB32D2"/>
    <w:rsid w:val="00EB3435"/>
    <w:rsid w:val="00EB3469"/>
    <w:rsid w:val="00EB3674"/>
    <w:rsid w:val="00EB3FDD"/>
    <w:rsid w:val="00EB43DD"/>
    <w:rsid w:val="00EB45B1"/>
    <w:rsid w:val="00EB4628"/>
    <w:rsid w:val="00EB4DDE"/>
    <w:rsid w:val="00EB4EB8"/>
    <w:rsid w:val="00EB5602"/>
    <w:rsid w:val="00EB5AD4"/>
    <w:rsid w:val="00EB62CD"/>
    <w:rsid w:val="00EB6937"/>
    <w:rsid w:val="00EB749F"/>
    <w:rsid w:val="00EC0EA0"/>
    <w:rsid w:val="00EC11B5"/>
    <w:rsid w:val="00EC154B"/>
    <w:rsid w:val="00EC1B08"/>
    <w:rsid w:val="00EC34CB"/>
    <w:rsid w:val="00EC38F8"/>
    <w:rsid w:val="00EC41E2"/>
    <w:rsid w:val="00EC4489"/>
    <w:rsid w:val="00EC4A55"/>
    <w:rsid w:val="00EC4DEE"/>
    <w:rsid w:val="00EC4E18"/>
    <w:rsid w:val="00EC54EA"/>
    <w:rsid w:val="00EC55DD"/>
    <w:rsid w:val="00EC58D0"/>
    <w:rsid w:val="00EC5E99"/>
    <w:rsid w:val="00EC6537"/>
    <w:rsid w:val="00EC6696"/>
    <w:rsid w:val="00EC72ED"/>
    <w:rsid w:val="00EC72EE"/>
    <w:rsid w:val="00EC731E"/>
    <w:rsid w:val="00EC7455"/>
    <w:rsid w:val="00EC7AE9"/>
    <w:rsid w:val="00EC7EA1"/>
    <w:rsid w:val="00EC7EEB"/>
    <w:rsid w:val="00ED019B"/>
    <w:rsid w:val="00ED031C"/>
    <w:rsid w:val="00ED056D"/>
    <w:rsid w:val="00ED0D05"/>
    <w:rsid w:val="00ED14A8"/>
    <w:rsid w:val="00ED1CF7"/>
    <w:rsid w:val="00ED2048"/>
    <w:rsid w:val="00ED20D6"/>
    <w:rsid w:val="00ED267B"/>
    <w:rsid w:val="00ED31F9"/>
    <w:rsid w:val="00ED3628"/>
    <w:rsid w:val="00ED3E63"/>
    <w:rsid w:val="00ED479C"/>
    <w:rsid w:val="00ED4D49"/>
    <w:rsid w:val="00ED4E83"/>
    <w:rsid w:val="00ED53A7"/>
    <w:rsid w:val="00ED57C6"/>
    <w:rsid w:val="00ED594D"/>
    <w:rsid w:val="00ED5BA6"/>
    <w:rsid w:val="00ED5BF5"/>
    <w:rsid w:val="00ED6DCA"/>
    <w:rsid w:val="00ED6E37"/>
    <w:rsid w:val="00ED7692"/>
    <w:rsid w:val="00ED7AF5"/>
    <w:rsid w:val="00ED7D6E"/>
    <w:rsid w:val="00ED7DC1"/>
    <w:rsid w:val="00EE05C7"/>
    <w:rsid w:val="00EE0714"/>
    <w:rsid w:val="00EE0727"/>
    <w:rsid w:val="00EE1120"/>
    <w:rsid w:val="00EE13A3"/>
    <w:rsid w:val="00EE13CE"/>
    <w:rsid w:val="00EE1BF6"/>
    <w:rsid w:val="00EE220A"/>
    <w:rsid w:val="00EE232D"/>
    <w:rsid w:val="00EE41FE"/>
    <w:rsid w:val="00EE4869"/>
    <w:rsid w:val="00EE4F9D"/>
    <w:rsid w:val="00EE5230"/>
    <w:rsid w:val="00EE5CBC"/>
    <w:rsid w:val="00EE5D6D"/>
    <w:rsid w:val="00EE62E5"/>
    <w:rsid w:val="00EE6465"/>
    <w:rsid w:val="00EF1287"/>
    <w:rsid w:val="00EF12FD"/>
    <w:rsid w:val="00EF23AC"/>
    <w:rsid w:val="00EF3442"/>
    <w:rsid w:val="00EF34BD"/>
    <w:rsid w:val="00EF392F"/>
    <w:rsid w:val="00EF3D52"/>
    <w:rsid w:val="00EF3DEC"/>
    <w:rsid w:val="00EF4C90"/>
    <w:rsid w:val="00EF4D9D"/>
    <w:rsid w:val="00EF4ECA"/>
    <w:rsid w:val="00EF506C"/>
    <w:rsid w:val="00EF50EC"/>
    <w:rsid w:val="00EF5404"/>
    <w:rsid w:val="00EF6939"/>
    <w:rsid w:val="00EF7230"/>
    <w:rsid w:val="00EF73C4"/>
    <w:rsid w:val="00EF766D"/>
    <w:rsid w:val="00EF78D9"/>
    <w:rsid w:val="00F0127C"/>
    <w:rsid w:val="00F012C5"/>
    <w:rsid w:val="00F01549"/>
    <w:rsid w:val="00F018F0"/>
    <w:rsid w:val="00F01BAF"/>
    <w:rsid w:val="00F02A15"/>
    <w:rsid w:val="00F02BC1"/>
    <w:rsid w:val="00F047BD"/>
    <w:rsid w:val="00F04C9D"/>
    <w:rsid w:val="00F0506F"/>
    <w:rsid w:val="00F053DA"/>
    <w:rsid w:val="00F05455"/>
    <w:rsid w:val="00F055C2"/>
    <w:rsid w:val="00F05667"/>
    <w:rsid w:val="00F05E60"/>
    <w:rsid w:val="00F066A0"/>
    <w:rsid w:val="00F06CEB"/>
    <w:rsid w:val="00F07980"/>
    <w:rsid w:val="00F07B25"/>
    <w:rsid w:val="00F07E4C"/>
    <w:rsid w:val="00F10217"/>
    <w:rsid w:val="00F1036F"/>
    <w:rsid w:val="00F10480"/>
    <w:rsid w:val="00F10A94"/>
    <w:rsid w:val="00F11013"/>
    <w:rsid w:val="00F117F8"/>
    <w:rsid w:val="00F118C3"/>
    <w:rsid w:val="00F12080"/>
    <w:rsid w:val="00F12112"/>
    <w:rsid w:val="00F128C3"/>
    <w:rsid w:val="00F12D59"/>
    <w:rsid w:val="00F133D4"/>
    <w:rsid w:val="00F13507"/>
    <w:rsid w:val="00F13960"/>
    <w:rsid w:val="00F13DFE"/>
    <w:rsid w:val="00F13F08"/>
    <w:rsid w:val="00F1435E"/>
    <w:rsid w:val="00F14DF6"/>
    <w:rsid w:val="00F15802"/>
    <w:rsid w:val="00F15899"/>
    <w:rsid w:val="00F158CF"/>
    <w:rsid w:val="00F159A9"/>
    <w:rsid w:val="00F15EF8"/>
    <w:rsid w:val="00F1669C"/>
    <w:rsid w:val="00F1763C"/>
    <w:rsid w:val="00F20789"/>
    <w:rsid w:val="00F2099E"/>
    <w:rsid w:val="00F211AB"/>
    <w:rsid w:val="00F21590"/>
    <w:rsid w:val="00F21F6D"/>
    <w:rsid w:val="00F22400"/>
    <w:rsid w:val="00F239EC"/>
    <w:rsid w:val="00F241CE"/>
    <w:rsid w:val="00F245C0"/>
    <w:rsid w:val="00F2478B"/>
    <w:rsid w:val="00F25414"/>
    <w:rsid w:val="00F25513"/>
    <w:rsid w:val="00F25730"/>
    <w:rsid w:val="00F261A3"/>
    <w:rsid w:val="00F26E08"/>
    <w:rsid w:val="00F273BE"/>
    <w:rsid w:val="00F27400"/>
    <w:rsid w:val="00F27C97"/>
    <w:rsid w:val="00F27F25"/>
    <w:rsid w:val="00F30928"/>
    <w:rsid w:val="00F32214"/>
    <w:rsid w:val="00F32470"/>
    <w:rsid w:val="00F335E6"/>
    <w:rsid w:val="00F335F6"/>
    <w:rsid w:val="00F33946"/>
    <w:rsid w:val="00F33DBA"/>
    <w:rsid w:val="00F347CD"/>
    <w:rsid w:val="00F36B0B"/>
    <w:rsid w:val="00F3795E"/>
    <w:rsid w:val="00F40678"/>
    <w:rsid w:val="00F40C2E"/>
    <w:rsid w:val="00F40F0C"/>
    <w:rsid w:val="00F4110F"/>
    <w:rsid w:val="00F41966"/>
    <w:rsid w:val="00F41F48"/>
    <w:rsid w:val="00F4369B"/>
    <w:rsid w:val="00F43BCB"/>
    <w:rsid w:val="00F43CDF"/>
    <w:rsid w:val="00F443EB"/>
    <w:rsid w:val="00F4463B"/>
    <w:rsid w:val="00F44861"/>
    <w:rsid w:val="00F45049"/>
    <w:rsid w:val="00F45074"/>
    <w:rsid w:val="00F450B4"/>
    <w:rsid w:val="00F454AF"/>
    <w:rsid w:val="00F462F0"/>
    <w:rsid w:val="00F46797"/>
    <w:rsid w:val="00F4714F"/>
    <w:rsid w:val="00F50273"/>
    <w:rsid w:val="00F50448"/>
    <w:rsid w:val="00F50786"/>
    <w:rsid w:val="00F50FA7"/>
    <w:rsid w:val="00F510D3"/>
    <w:rsid w:val="00F51C80"/>
    <w:rsid w:val="00F52696"/>
    <w:rsid w:val="00F52D65"/>
    <w:rsid w:val="00F53158"/>
    <w:rsid w:val="00F536E3"/>
    <w:rsid w:val="00F546A3"/>
    <w:rsid w:val="00F54A74"/>
    <w:rsid w:val="00F55022"/>
    <w:rsid w:val="00F55BDF"/>
    <w:rsid w:val="00F5631F"/>
    <w:rsid w:val="00F56A16"/>
    <w:rsid w:val="00F57321"/>
    <w:rsid w:val="00F603F5"/>
    <w:rsid w:val="00F60463"/>
    <w:rsid w:val="00F60829"/>
    <w:rsid w:val="00F60C52"/>
    <w:rsid w:val="00F613F3"/>
    <w:rsid w:val="00F61A22"/>
    <w:rsid w:val="00F6251E"/>
    <w:rsid w:val="00F64526"/>
    <w:rsid w:val="00F64612"/>
    <w:rsid w:val="00F65F7D"/>
    <w:rsid w:val="00F66298"/>
    <w:rsid w:val="00F662A4"/>
    <w:rsid w:val="00F6673C"/>
    <w:rsid w:val="00F66809"/>
    <w:rsid w:val="00F668E2"/>
    <w:rsid w:val="00F66ACB"/>
    <w:rsid w:val="00F66CBB"/>
    <w:rsid w:val="00F66D22"/>
    <w:rsid w:val="00F673E7"/>
    <w:rsid w:val="00F67602"/>
    <w:rsid w:val="00F67964"/>
    <w:rsid w:val="00F711E7"/>
    <w:rsid w:val="00F72A81"/>
    <w:rsid w:val="00F73003"/>
    <w:rsid w:val="00F73624"/>
    <w:rsid w:val="00F742DA"/>
    <w:rsid w:val="00F748C3"/>
    <w:rsid w:val="00F74E95"/>
    <w:rsid w:val="00F7524C"/>
    <w:rsid w:val="00F75B98"/>
    <w:rsid w:val="00F76B1A"/>
    <w:rsid w:val="00F76C5E"/>
    <w:rsid w:val="00F77F6A"/>
    <w:rsid w:val="00F80331"/>
    <w:rsid w:val="00F8046E"/>
    <w:rsid w:val="00F818C1"/>
    <w:rsid w:val="00F81C11"/>
    <w:rsid w:val="00F81C45"/>
    <w:rsid w:val="00F824FE"/>
    <w:rsid w:val="00F8266B"/>
    <w:rsid w:val="00F82E6C"/>
    <w:rsid w:val="00F82F5B"/>
    <w:rsid w:val="00F83B7D"/>
    <w:rsid w:val="00F847EE"/>
    <w:rsid w:val="00F84986"/>
    <w:rsid w:val="00F84A17"/>
    <w:rsid w:val="00F84F22"/>
    <w:rsid w:val="00F84F52"/>
    <w:rsid w:val="00F85575"/>
    <w:rsid w:val="00F857C5"/>
    <w:rsid w:val="00F85CE6"/>
    <w:rsid w:val="00F85E6D"/>
    <w:rsid w:val="00F8607F"/>
    <w:rsid w:val="00F869B5"/>
    <w:rsid w:val="00F8702C"/>
    <w:rsid w:val="00F87290"/>
    <w:rsid w:val="00F87C6A"/>
    <w:rsid w:val="00F9030B"/>
    <w:rsid w:val="00F906B1"/>
    <w:rsid w:val="00F90B46"/>
    <w:rsid w:val="00F9117D"/>
    <w:rsid w:val="00F917B6"/>
    <w:rsid w:val="00F91D2B"/>
    <w:rsid w:val="00F9220E"/>
    <w:rsid w:val="00F924BB"/>
    <w:rsid w:val="00F93167"/>
    <w:rsid w:val="00F93C8F"/>
    <w:rsid w:val="00F942C3"/>
    <w:rsid w:val="00F94AC4"/>
    <w:rsid w:val="00F95141"/>
    <w:rsid w:val="00F95339"/>
    <w:rsid w:val="00F95CA1"/>
    <w:rsid w:val="00F960E7"/>
    <w:rsid w:val="00F9682D"/>
    <w:rsid w:val="00F969E2"/>
    <w:rsid w:val="00F96B25"/>
    <w:rsid w:val="00F97839"/>
    <w:rsid w:val="00F9789F"/>
    <w:rsid w:val="00FA070C"/>
    <w:rsid w:val="00FA12B7"/>
    <w:rsid w:val="00FA1B54"/>
    <w:rsid w:val="00FA20D3"/>
    <w:rsid w:val="00FA2309"/>
    <w:rsid w:val="00FA26F2"/>
    <w:rsid w:val="00FA2B4A"/>
    <w:rsid w:val="00FA2D04"/>
    <w:rsid w:val="00FA3129"/>
    <w:rsid w:val="00FA3154"/>
    <w:rsid w:val="00FA356B"/>
    <w:rsid w:val="00FA3B2A"/>
    <w:rsid w:val="00FA3B33"/>
    <w:rsid w:val="00FA3BF3"/>
    <w:rsid w:val="00FA3C60"/>
    <w:rsid w:val="00FA3EA7"/>
    <w:rsid w:val="00FA4533"/>
    <w:rsid w:val="00FA47EE"/>
    <w:rsid w:val="00FA48DA"/>
    <w:rsid w:val="00FA4FB4"/>
    <w:rsid w:val="00FA573E"/>
    <w:rsid w:val="00FA58A4"/>
    <w:rsid w:val="00FA5D5D"/>
    <w:rsid w:val="00FA6247"/>
    <w:rsid w:val="00FA63E6"/>
    <w:rsid w:val="00FA6541"/>
    <w:rsid w:val="00FA6A6E"/>
    <w:rsid w:val="00FA7BC2"/>
    <w:rsid w:val="00FB03C2"/>
    <w:rsid w:val="00FB0E45"/>
    <w:rsid w:val="00FB19C5"/>
    <w:rsid w:val="00FB2AA9"/>
    <w:rsid w:val="00FB2C42"/>
    <w:rsid w:val="00FB2D2C"/>
    <w:rsid w:val="00FB2D2E"/>
    <w:rsid w:val="00FB2D47"/>
    <w:rsid w:val="00FB3C0F"/>
    <w:rsid w:val="00FB3DC3"/>
    <w:rsid w:val="00FB456F"/>
    <w:rsid w:val="00FB45B2"/>
    <w:rsid w:val="00FB55D6"/>
    <w:rsid w:val="00FB68CC"/>
    <w:rsid w:val="00FB6BE3"/>
    <w:rsid w:val="00FB776A"/>
    <w:rsid w:val="00FB7B80"/>
    <w:rsid w:val="00FB7F5A"/>
    <w:rsid w:val="00FC0060"/>
    <w:rsid w:val="00FC0689"/>
    <w:rsid w:val="00FC0C07"/>
    <w:rsid w:val="00FC0E96"/>
    <w:rsid w:val="00FC1046"/>
    <w:rsid w:val="00FC20A1"/>
    <w:rsid w:val="00FC250E"/>
    <w:rsid w:val="00FC3DF1"/>
    <w:rsid w:val="00FC48F6"/>
    <w:rsid w:val="00FC4BCE"/>
    <w:rsid w:val="00FC4E64"/>
    <w:rsid w:val="00FC54D9"/>
    <w:rsid w:val="00FC55B3"/>
    <w:rsid w:val="00FC6C6B"/>
    <w:rsid w:val="00FC6DB4"/>
    <w:rsid w:val="00FC6F51"/>
    <w:rsid w:val="00FC7711"/>
    <w:rsid w:val="00FC7D2D"/>
    <w:rsid w:val="00FD0041"/>
    <w:rsid w:val="00FD0088"/>
    <w:rsid w:val="00FD0588"/>
    <w:rsid w:val="00FD0E08"/>
    <w:rsid w:val="00FD0EDD"/>
    <w:rsid w:val="00FD1575"/>
    <w:rsid w:val="00FD15D4"/>
    <w:rsid w:val="00FD16EC"/>
    <w:rsid w:val="00FD18EF"/>
    <w:rsid w:val="00FD1CCA"/>
    <w:rsid w:val="00FD1F10"/>
    <w:rsid w:val="00FD2C11"/>
    <w:rsid w:val="00FD2C6B"/>
    <w:rsid w:val="00FD343F"/>
    <w:rsid w:val="00FD3902"/>
    <w:rsid w:val="00FD3A3E"/>
    <w:rsid w:val="00FD41DC"/>
    <w:rsid w:val="00FD4492"/>
    <w:rsid w:val="00FD4F02"/>
    <w:rsid w:val="00FD50E4"/>
    <w:rsid w:val="00FD520F"/>
    <w:rsid w:val="00FD52D5"/>
    <w:rsid w:val="00FD5D72"/>
    <w:rsid w:val="00FD6351"/>
    <w:rsid w:val="00FD6986"/>
    <w:rsid w:val="00FD729C"/>
    <w:rsid w:val="00FD775D"/>
    <w:rsid w:val="00FD7A7C"/>
    <w:rsid w:val="00FD7DDD"/>
    <w:rsid w:val="00FE00CC"/>
    <w:rsid w:val="00FE06CE"/>
    <w:rsid w:val="00FE0A73"/>
    <w:rsid w:val="00FE0FDC"/>
    <w:rsid w:val="00FE113A"/>
    <w:rsid w:val="00FE12B3"/>
    <w:rsid w:val="00FE1BE3"/>
    <w:rsid w:val="00FE29F9"/>
    <w:rsid w:val="00FE34BB"/>
    <w:rsid w:val="00FE37A4"/>
    <w:rsid w:val="00FE4195"/>
    <w:rsid w:val="00FE4236"/>
    <w:rsid w:val="00FE4C49"/>
    <w:rsid w:val="00FE4E4B"/>
    <w:rsid w:val="00FE55D4"/>
    <w:rsid w:val="00FE60A0"/>
    <w:rsid w:val="00FE641D"/>
    <w:rsid w:val="00FE649F"/>
    <w:rsid w:val="00FE6BA7"/>
    <w:rsid w:val="00FE6E3C"/>
    <w:rsid w:val="00FE7015"/>
    <w:rsid w:val="00FE77CB"/>
    <w:rsid w:val="00FF127A"/>
    <w:rsid w:val="00FF1496"/>
    <w:rsid w:val="00FF1507"/>
    <w:rsid w:val="00FF16CF"/>
    <w:rsid w:val="00FF1A1D"/>
    <w:rsid w:val="00FF25D4"/>
    <w:rsid w:val="00FF2812"/>
    <w:rsid w:val="00FF283F"/>
    <w:rsid w:val="00FF3519"/>
    <w:rsid w:val="00FF35A5"/>
    <w:rsid w:val="00FF3726"/>
    <w:rsid w:val="00FF3739"/>
    <w:rsid w:val="00FF37AD"/>
    <w:rsid w:val="00FF46EA"/>
    <w:rsid w:val="00FF47D6"/>
    <w:rsid w:val="00FF5378"/>
    <w:rsid w:val="00FF58EA"/>
    <w:rsid w:val="00FF59F4"/>
    <w:rsid w:val="00FF5B55"/>
    <w:rsid w:val="00FF5E04"/>
    <w:rsid w:val="00FF5E2A"/>
    <w:rsid w:val="00FF60C5"/>
    <w:rsid w:val="00FF754E"/>
    <w:rsid w:val="00FF7CF4"/>
    <w:rsid w:val="00FF7FA6"/>
    <w:rsid w:val="3CEA8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987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customStyle="1" w:styleId="title-text">
    <w:name w:val="title-text"/>
    <w:basedOn w:val="DefaultParagraphFont"/>
    <w:rsid w:val="005B7F80"/>
  </w:style>
  <w:style w:type="character" w:customStyle="1" w:styleId="Date1">
    <w:name w:val="Date1"/>
    <w:basedOn w:val="DefaultParagraphFont"/>
    <w:rsid w:val="005B7F80"/>
  </w:style>
  <w:style w:type="character" w:customStyle="1" w:styleId="active-reporter">
    <w:name w:val="active-reporter"/>
    <w:basedOn w:val="DefaultParagraphFont"/>
    <w:rsid w:val="005B7F80"/>
  </w:style>
  <w:style w:type="character" w:styleId="Hyperlink">
    <w:name w:val="Hyperlink"/>
    <w:basedOn w:val="DefaultParagraphFont"/>
    <w:uiPriority w:val="99"/>
    <w:unhideWhenUsed/>
    <w:rsid w:val="00336198"/>
    <w:rPr>
      <w:color w:val="0000FF"/>
      <w:u w:val="single"/>
    </w:rPr>
  </w:style>
  <w:style w:type="character" w:customStyle="1" w:styleId="ssrfcpassagedeactivated">
    <w:name w:val="ss_rfcpassage_deactivated"/>
    <w:basedOn w:val="DefaultParagraphFont"/>
    <w:rsid w:val="00336198"/>
  </w:style>
  <w:style w:type="character" w:customStyle="1" w:styleId="ssit">
    <w:name w:val="ss_it"/>
    <w:basedOn w:val="DefaultParagraphFont"/>
    <w:rsid w:val="00336198"/>
  </w:style>
  <w:style w:type="character" w:customStyle="1" w:styleId="UnresolvedMention1">
    <w:name w:val="Unresolved Mention1"/>
    <w:basedOn w:val="DefaultParagraphFont"/>
    <w:uiPriority w:val="99"/>
    <w:semiHidden/>
    <w:unhideWhenUsed/>
    <w:rsid w:val="006016FC"/>
    <w:rPr>
      <w:color w:val="605E5C"/>
      <w:shd w:val="clear" w:color="auto" w:fill="E1DFDD"/>
    </w:rPr>
  </w:style>
  <w:style w:type="character" w:customStyle="1" w:styleId="ssbf">
    <w:name w:val="ss_bf"/>
    <w:basedOn w:val="DefaultParagraphFont"/>
    <w:rsid w:val="002B22E5"/>
  </w:style>
  <w:style w:type="character" w:customStyle="1" w:styleId="ssrfcsection">
    <w:name w:val="ss_rfcsection"/>
    <w:basedOn w:val="DefaultParagraphFont"/>
    <w:rsid w:val="00865D79"/>
  </w:style>
  <w:style w:type="character" w:customStyle="1" w:styleId="ssheadnotelink">
    <w:name w:val="ss_headnotelink"/>
    <w:basedOn w:val="DefaultParagraphFont"/>
    <w:rsid w:val="007B6143"/>
  </w:style>
  <w:style w:type="character" w:customStyle="1" w:styleId="coconcept811">
    <w:name w:val="co_concept_8_11"/>
    <w:basedOn w:val="DefaultParagraphFont"/>
    <w:rsid w:val="00C76456"/>
  </w:style>
  <w:style w:type="character" w:styleId="Emphasis">
    <w:name w:val="Emphasis"/>
    <w:basedOn w:val="DefaultParagraphFont"/>
    <w:uiPriority w:val="20"/>
    <w:qFormat/>
    <w:rsid w:val="00C76456"/>
    <w:rPr>
      <w:i/>
      <w:iCs/>
    </w:rPr>
  </w:style>
  <w:style w:type="character" w:customStyle="1" w:styleId="coconcept2125">
    <w:name w:val="co_concept_21_25"/>
    <w:basedOn w:val="DefaultParagraphFont"/>
    <w:rsid w:val="00C76456"/>
  </w:style>
  <w:style w:type="character" w:customStyle="1" w:styleId="coconcept16">
    <w:name w:val="co_concept_1_6"/>
    <w:basedOn w:val="DefaultParagraphFont"/>
    <w:rsid w:val="00C76456"/>
  </w:style>
  <w:style w:type="character" w:customStyle="1" w:styleId="coconcept1315">
    <w:name w:val="co_concept_13_15"/>
    <w:basedOn w:val="DefaultParagraphFont"/>
    <w:rsid w:val="00C76456"/>
  </w:style>
  <w:style w:type="character" w:customStyle="1" w:styleId="costarpage">
    <w:name w:val="co_starpage"/>
    <w:basedOn w:val="DefaultParagraphFont"/>
    <w:rsid w:val="00C76456"/>
  </w:style>
  <w:style w:type="character" w:customStyle="1" w:styleId="cohl">
    <w:name w:val="co_hl"/>
    <w:basedOn w:val="DefaultParagraphFont"/>
    <w:rsid w:val="00B8064E"/>
  </w:style>
  <w:style w:type="character" w:customStyle="1" w:styleId="coconcept2939">
    <w:name w:val="co_concept_29_39"/>
    <w:basedOn w:val="DefaultParagraphFont"/>
    <w:rsid w:val="005F53BA"/>
  </w:style>
  <w:style w:type="character" w:customStyle="1" w:styleId="coconcept13">
    <w:name w:val="co_concept_1_3"/>
    <w:basedOn w:val="DefaultParagraphFont"/>
    <w:rsid w:val="00A467E0"/>
  </w:style>
  <w:style w:type="character" w:customStyle="1" w:styleId="coconcept2328">
    <w:name w:val="co_concept_23_28"/>
    <w:basedOn w:val="DefaultParagraphFont"/>
    <w:rsid w:val="00A467E0"/>
  </w:style>
  <w:style w:type="character" w:customStyle="1" w:styleId="cosearchterm">
    <w:name w:val="co_searchterm"/>
    <w:basedOn w:val="DefaultParagraphFont"/>
    <w:rsid w:val="009A1288"/>
  </w:style>
  <w:style w:type="character" w:customStyle="1" w:styleId="coconcept1114">
    <w:name w:val="co_concept_11_14"/>
    <w:basedOn w:val="DefaultParagraphFont"/>
    <w:rsid w:val="006E2F0C"/>
  </w:style>
  <w:style w:type="character" w:customStyle="1" w:styleId="coconcept1921">
    <w:name w:val="co_concept_19_21"/>
    <w:basedOn w:val="DefaultParagraphFont"/>
    <w:rsid w:val="006E2F0C"/>
  </w:style>
  <w:style w:type="character" w:customStyle="1" w:styleId="coconcept2628">
    <w:name w:val="co_concept_26_28"/>
    <w:basedOn w:val="DefaultParagraphFont"/>
    <w:rsid w:val="006E2F0C"/>
  </w:style>
  <w:style w:type="character" w:customStyle="1" w:styleId="coinlinekeyciteflag">
    <w:name w:val="co_inlinekeyciteflag"/>
    <w:basedOn w:val="DefaultParagraphFont"/>
    <w:rsid w:val="00847BFF"/>
  </w:style>
  <w:style w:type="character" w:customStyle="1" w:styleId="coconcept1215">
    <w:name w:val="co_concept_12_15"/>
    <w:basedOn w:val="DefaultParagraphFont"/>
    <w:rsid w:val="00C43BCB"/>
  </w:style>
  <w:style w:type="paragraph" w:styleId="Revision">
    <w:name w:val="Revision"/>
    <w:hidden/>
    <w:uiPriority w:val="99"/>
    <w:semiHidden/>
    <w:rsid w:val="00745E2D"/>
    <w:pPr>
      <w:spacing w:line="240" w:lineRule="auto"/>
    </w:pPr>
  </w:style>
  <w:style w:type="character" w:styleId="CommentReference">
    <w:name w:val="annotation reference"/>
    <w:basedOn w:val="DefaultParagraphFont"/>
    <w:uiPriority w:val="99"/>
    <w:semiHidden/>
    <w:unhideWhenUsed/>
    <w:rsid w:val="00B93904"/>
    <w:rPr>
      <w:sz w:val="16"/>
      <w:szCs w:val="16"/>
    </w:rPr>
  </w:style>
  <w:style w:type="paragraph" w:styleId="CommentText">
    <w:name w:val="annotation text"/>
    <w:basedOn w:val="Normal"/>
    <w:link w:val="CommentTextChar"/>
    <w:uiPriority w:val="99"/>
    <w:unhideWhenUsed/>
    <w:rsid w:val="00B93904"/>
    <w:pPr>
      <w:spacing w:line="240" w:lineRule="auto"/>
    </w:pPr>
    <w:rPr>
      <w:sz w:val="20"/>
      <w:szCs w:val="20"/>
    </w:rPr>
  </w:style>
  <w:style w:type="character" w:customStyle="1" w:styleId="CommentTextChar">
    <w:name w:val="Comment Text Char"/>
    <w:basedOn w:val="DefaultParagraphFont"/>
    <w:link w:val="CommentText"/>
    <w:uiPriority w:val="99"/>
    <w:rsid w:val="00B93904"/>
    <w:rPr>
      <w:sz w:val="20"/>
      <w:szCs w:val="20"/>
    </w:rPr>
  </w:style>
  <w:style w:type="paragraph" w:styleId="CommentSubject">
    <w:name w:val="annotation subject"/>
    <w:basedOn w:val="CommentText"/>
    <w:next w:val="CommentText"/>
    <w:link w:val="CommentSubjectChar"/>
    <w:uiPriority w:val="99"/>
    <w:semiHidden/>
    <w:unhideWhenUsed/>
    <w:rsid w:val="00B93904"/>
    <w:rPr>
      <w:b/>
      <w:bCs/>
    </w:rPr>
  </w:style>
  <w:style w:type="character" w:customStyle="1" w:styleId="CommentSubjectChar">
    <w:name w:val="Comment Subject Char"/>
    <w:basedOn w:val="CommentTextChar"/>
    <w:link w:val="CommentSubject"/>
    <w:uiPriority w:val="99"/>
    <w:semiHidden/>
    <w:rsid w:val="00B93904"/>
    <w:rPr>
      <w:b/>
      <w:bCs/>
      <w:sz w:val="20"/>
      <w:szCs w:val="20"/>
    </w:rPr>
  </w:style>
  <w:style w:type="character" w:customStyle="1" w:styleId="coconcept812">
    <w:name w:val="co_concept_8_12"/>
    <w:basedOn w:val="DefaultParagraphFont"/>
    <w:rsid w:val="002E3448"/>
  </w:style>
  <w:style w:type="character" w:customStyle="1" w:styleId="coconcept1721">
    <w:name w:val="co_concept_17_21"/>
    <w:basedOn w:val="DefaultParagraphFont"/>
    <w:rsid w:val="002E3448"/>
  </w:style>
  <w:style w:type="character" w:customStyle="1" w:styleId="coconcept1113">
    <w:name w:val="co_concept_11_13"/>
    <w:basedOn w:val="DefaultParagraphFont"/>
    <w:rsid w:val="002E3448"/>
  </w:style>
  <w:style w:type="character" w:customStyle="1" w:styleId="coconcept1823">
    <w:name w:val="co_concept_18_23"/>
    <w:basedOn w:val="DefaultParagraphFont"/>
    <w:rsid w:val="002E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7393</Words>
  <Characters>39187</Characters>
  <Application>Microsoft Office Word</Application>
  <DocSecurity>0</DocSecurity>
  <Lines>723</Lines>
  <Paragraphs>121</Paragraphs>
  <ScaleCrop>false</ScaleCrop>
  <Manager/>
  <Company/>
  <LinksUpToDate>false</LinksUpToDate>
  <CharactersWithSpaces>46901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2024-04-17T21:48:00Z</dcterms:created>
  <dcterms:modified xsi:type="dcterms:W3CDTF">2024-04-17T21:48:00Z</dcterms:modified>
  <cp:category/>
</cp:coreProperties>
</file>