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B7E6" w14:textId="4081C40B" w:rsidR="00203E58" w:rsidRPr="00E35083" w:rsidRDefault="005A2E4C" w:rsidP="00E35083">
      <w:pPr>
        <w:tabs>
          <w:tab w:val="clear" w:pos="720"/>
        </w:tabs>
        <w:spacing w:line="240" w:lineRule="auto"/>
        <w:rPr>
          <w:sz w:val="20"/>
          <w:szCs w:val="20"/>
        </w:rPr>
      </w:pPr>
      <w:r w:rsidRPr="00E35083">
        <w:rPr>
          <w:sz w:val="20"/>
          <w:szCs w:val="20"/>
        </w:rPr>
        <w:t xml:space="preserve">Filed </w:t>
      </w:r>
      <w:proofErr w:type="gramStart"/>
      <w:r w:rsidR="008711FF">
        <w:rPr>
          <w:sz w:val="20"/>
          <w:szCs w:val="20"/>
        </w:rPr>
        <w:t>3/2</w:t>
      </w:r>
      <w:r w:rsidR="0011754C">
        <w:rPr>
          <w:sz w:val="20"/>
          <w:szCs w:val="20"/>
        </w:rPr>
        <w:t>8</w:t>
      </w:r>
      <w:r w:rsidR="008711FF">
        <w:rPr>
          <w:sz w:val="20"/>
          <w:szCs w:val="20"/>
        </w:rPr>
        <w:t>/24</w:t>
      </w:r>
      <w:proofErr w:type="gramEnd"/>
    </w:p>
    <w:p w14:paraId="1FD072EC" w14:textId="77777777" w:rsidR="00203E58" w:rsidRPr="00E35083" w:rsidRDefault="005A2E4C" w:rsidP="00E35083">
      <w:pPr>
        <w:tabs>
          <w:tab w:val="clear" w:pos="720"/>
        </w:tabs>
        <w:spacing w:line="240" w:lineRule="auto"/>
        <w:jc w:val="center"/>
        <w:rPr>
          <w:b/>
        </w:rPr>
      </w:pPr>
      <w:r w:rsidRPr="00E35083">
        <w:rPr>
          <w:b/>
        </w:rPr>
        <w:t>CERTIFIED FOR PUBLICATION</w:t>
      </w:r>
    </w:p>
    <w:p w14:paraId="0AEA5809" w14:textId="77777777" w:rsidR="00203E58" w:rsidRPr="00E35083" w:rsidRDefault="00203E58" w:rsidP="00E35083">
      <w:pPr>
        <w:tabs>
          <w:tab w:val="clear" w:pos="720"/>
        </w:tabs>
        <w:spacing w:line="240" w:lineRule="auto"/>
        <w:jc w:val="center"/>
      </w:pPr>
    </w:p>
    <w:p w14:paraId="34D267B9" w14:textId="1AD57B5D" w:rsidR="008C69C3" w:rsidRPr="00E35083" w:rsidRDefault="005A2E4C" w:rsidP="00E35083">
      <w:pPr>
        <w:tabs>
          <w:tab w:val="clear" w:pos="720"/>
        </w:tabs>
        <w:spacing w:line="240" w:lineRule="auto"/>
        <w:jc w:val="center"/>
      </w:pPr>
      <w:r w:rsidRPr="00E35083">
        <w:t>IN THE COURT OF APPEAL OF THE STATE OF CALIFORNIA</w:t>
      </w:r>
    </w:p>
    <w:p w14:paraId="4DD2227E" w14:textId="11821BFC" w:rsidR="00B03982" w:rsidRPr="00E35083" w:rsidRDefault="00B03982" w:rsidP="00E35083">
      <w:pPr>
        <w:tabs>
          <w:tab w:val="clear" w:pos="720"/>
        </w:tabs>
        <w:spacing w:line="240" w:lineRule="auto"/>
        <w:jc w:val="center"/>
      </w:pPr>
    </w:p>
    <w:p w14:paraId="47784EB7" w14:textId="1357F0E8" w:rsidR="00B03982" w:rsidRPr="00E35083" w:rsidRDefault="005A2E4C" w:rsidP="00E35083">
      <w:pPr>
        <w:tabs>
          <w:tab w:val="clear" w:pos="720"/>
        </w:tabs>
        <w:spacing w:line="240" w:lineRule="auto"/>
        <w:jc w:val="center"/>
      </w:pPr>
      <w:r w:rsidRPr="00E35083">
        <w:t>FIRST APPELLATE DISTRICT</w:t>
      </w:r>
    </w:p>
    <w:p w14:paraId="2FC1A151" w14:textId="32565A46" w:rsidR="00B03982" w:rsidRPr="00E35083" w:rsidRDefault="00B03982" w:rsidP="00E35083">
      <w:pPr>
        <w:tabs>
          <w:tab w:val="clear" w:pos="720"/>
        </w:tabs>
        <w:spacing w:line="240" w:lineRule="auto"/>
        <w:jc w:val="center"/>
      </w:pPr>
    </w:p>
    <w:p w14:paraId="35D1EB99" w14:textId="5724F859" w:rsidR="00B03982" w:rsidRPr="00E35083" w:rsidRDefault="005A2E4C" w:rsidP="00E35083">
      <w:pPr>
        <w:tabs>
          <w:tab w:val="clear" w:pos="720"/>
        </w:tabs>
        <w:spacing w:line="240" w:lineRule="auto"/>
        <w:jc w:val="center"/>
      </w:pPr>
      <w:r w:rsidRPr="00E35083">
        <w:t>DIVISION FIVE</w:t>
      </w:r>
    </w:p>
    <w:p w14:paraId="405841A7" w14:textId="14DB7CE9" w:rsidR="00B03982" w:rsidRPr="00E35083" w:rsidRDefault="00B03982" w:rsidP="00E35083">
      <w:pPr>
        <w:tabs>
          <w:tab w:val="clear" w:pos="720"/>
        </w:tabs>
        <w:spacing w:line="240" w:lineRule="auto"/>
        <w:jc w:val="center"/>
      </w:pPr>
    </w:p>
    <w:p w14:paraId="4353B6EF" w14:textId="7D9DC2D1" w:rsidR="00B03982" w:rsidRPr="00E35083" w:rsidRDefault="00B03982" w:rsidP="00E35083">
      <w:pPr>
        <w:tabs>
          <w:tab w:val="clear" w:pos="720"/>
        </w:tabs>
        <w:spacing w:line="240" w:lineRule="auto"/>
        <w:jc w:val="center"/>
      </w:pPr>
    </w:p>
    <w:tbl>
      <w:tblPr>
        <w:tblW w:w="9540" w:type="dxa"/>
        <w:tblLayout w:type="fixed"/>
        <w:tblLook w:val="0000" w:firstRow="0" w:lastRow="0" w:firstColumn="0" w:lastColumn="0" w:noHBand="0" w:noVBand="0"/>
      </w:tblPr>
      <w:tblGrid>
        <w:gridCol w:w="4770"/>
        <w:gridCol w:w="4770"/>
      </w:tblGrid>
      <w:tr w:rsidR="00506D91" w14:paraId="5B4534CC" w14:textId="77777777" w:rsidTr="009B71C5">
        <w:trPr>
          <w:trHeight w:val="1709"/>
        </w:trPr>
        <w:tc>
          <w:tcPr>
            <w:tcW w:w="4770" w:type="dxa"/>
            <w:tcBorders>
              <w:bottom w:val="single" w:sz="4" w:space="0" w:color="auto"/>
              <w:right w:val="single" w:sz="4" w:space="0" w:color="auto"/>
            </w:tcBorders>
            <w:shd w:val="clear" w:color="auto" w:fill="auto"/>
          </w:tcPr>
          <w:p w14:paraId="3F23F29A" w14:textId="77777777" w:rsidR="00B03982" w:rsidRPr="00E35083" w:rsidRDefault="005A2E4C" w:rsidP="00E35083">
            <w:pPr>
              <w:tabs>
                <w:tab w:val="clear" w:pos="720"/>
              </w:tabs>
              <w:spacing w:after="120" w:line="240" w:lineRule="auto"/>
            </w:pPr>
            <w:r w:rsidRPr="00E35083">
              <w:t>THE PEOPLE,</w:t>
            </w:r>
          </w:p>
          <w:p w14:paraId="016C0642" w14:textId="77777777" w:rsidR="00B03982" w:rsidRPr="00E35083" w:rsidRDefault="005A2E4C" w:rsidP="00E35083">
            <w:pPr>
              <w:tabs>
                <w:tab w:val="clear" w:pos="720"/>
              </w:tabs>
              <w:spacing w:after="120" w:line="240" w:lineRule="auto"/>
            </w:pPr>
            <w:r w:rsidRPr="00E35083">
              <w:tab/>
              <w:t>Plaintiff and Respondent,</w:t>
            </w:r>
          </w:p>
          <w:p w14:paraId="30DED71B" w14:textId="77777777" w:rsidR="00B03982" w:rsidRPr="00E35083" w:rsidRDefault="005A2E4C" w:rsidP="00E35083">
            <w:pPr>
              <w:tabs>
                <w:tab w:val="clear" w:pos="720"/>
              </w:tabs>
              <w:spacing w:after="120" w:line="240" w:lineRule="auto"/>
            </w:pPr>
            <w:r w:rsidRPr="00E35083">
              <w:t>v.</w:t>
            </w:r>
          </w:p>
          <w:p w14:paraId="487F032B" w14:textId="77777777" w:rsidR="00B03982" w:rsidRPr="00E35083" w:rsidRDefault="005A2E4C" w:rsidP="00E35083">
            <w:pPr>
              <w:tabs>
                <w:tab w:val="clear" w:pos="720"/>
              </w:tabs>
              <w:spacing w:after="120" w:line="240" w:lineRule="auto"/>
            </w:pPr>
            <w:r w:rsidRPr="00E35083">
              <w:t>MARIO GUADALUPE SERRANO,</w:t>
            </w:r>
          </w:p>
          <w:p w14:paraId="7F1FE8B4" w14:textId="4BA96ED3" w:rsidR="00B03982" w:rsidRPr="00E35083" w:rsidRDefault="005A2E4C" w:rsidP="00E35083">
            <w:pPr>
              <w:tabs>
                <w:tab w:val="clear" w:pos="720"/>
              </w:tabs>
              <w:spacing w:after="120" w:line="240" w:lineRule="auto"/>
            </w:pPr>
            <w:r w:rsidRPr="00E35083">
              <w:tab/>
              <w:t>Defendant and Appellant.</w:t>
            </w:r>
          </w:p>
        </w:tc>
        <w:tc>
          <w:tcPr>
            <w:tcW w:w="4770" w:type="dxa"/>
            <w:tcBorders>
              <w:left w:val="single" w:sz="4" w:space="0" w:color="auto"/>
            </w:tcBorders>
            <w:shd w:val="clear" w:color="auto" w:fill="auto"/>
          </w:tcPr>
          <w:p w14:paraId="22F0397C" w14:textId="77777777" w:rsidR="00B03982" w:rsidRPr="00E35083" w:rsidRDefault="00B03982" w:rsidP="00E35083">
            <w:pPr>
              <w:tabs>
                <w:tab w:val="clear" w:pos="720"/>
              </w:tabs>
              <w:spacing w:after="120" w:line="240" w:lineRule="auto"/>
            </w:pPr>
          </w:p>
          <w:p w14:paraId="5654FF44" w14:textId="77777777" w:rsidR="00B03982" w:rsidRPr="00E35083" w:rsidRDefault="005A2E4C" w:rsidP="00E35083">
            <w:pPr>
              <w:tabs>
                <w:tab w:val="clear" w:pos="720"/>
              </w:tabs>
              <w:spacing w:after="120" w:line="240" w:lineRule="auto"/>
            </w:pPr>
            <w:r w:rsidRPr="00E35083">
              <w:t xml:space="preserve">      A166011</w:t>
            </w:r>
          </w:p>
          <w:p w14:paraId="2BD292F1" w14:textId="77777777" w:rsidR="00B03982" w:rsidRPr="00E35083" w:rsidRDefault="00B03982" w:rsidP="00E35083">
            <w:pPr>
              <w:tabs>
                <w:tab w:val="clear" w:pos="720"/>
              </w:tabs>
              <w:spacing w:after="120" w:line="240" w:lineRule="auto"/>
            </w:pPr>
          </w:p>
          <w:p w14:paraId="28B1AED0" w14:textId="77777777" w:rsidR="001D424A" w:rsidRPr="00E35083" w:rsidRDefault="005A2E4C" w:rsidP="00E35083">
            <w:pPr>
              <w:tabs>
                <w:tab w:val="clear" w:pos="720"/>
              </w:tabs>
              <w:spacing w:line="240" w:lineRule="auto"/>
            </w:pPr>
            <w:r w:rsidRPr="00E35083">
              <w:t xml:space="preserve">      (Contra Costa County </w:t>
            </w:r>
          </w:p>
          <w:p w14:paraId="062F2FB0" w14:textId="6BEE20BB" w:rsidR="00B03982" w:rsidRPr="00E35083" w:rsidRDefault="005A2E4C" w:rsidP="00E35083">
            <w:pPr>
              <w:tabs>
                <w:tab w:val="clear" w:pos="720"/>
              </w:tabs>
              <w:spacing w:line="240" w:lineRule="auto"/>
            </w:pPr>
            <w:r w:rsidRPr="00E35083">
              <w:t xml:space="preserve">       Super. Ct. No. </w:t>
            </w:r>
            <w:r w:rsidR="00325787" w:rsidRPr="00E35083">
              <w:t>0</w:t>
            </w:r>
            <w:r w:rsidRPr="00E35083">
              <w:t>5-171324</w:t>
            </w:r>
            <w:r w:rsidR="006902F7" w:rsidRPr="00E35083">
              <w:t>-</w:t>
            </w:r>
            <w:r w:rsidRPr="00E35083">
              <w:t>7)</w:t>
            </w:r>
          </w:p>
        </w:tc>
      </w:tr>
    </w:tbl>
    <w:p w14:paraId="2847BD85" w14:textId="47C42FB3" w:rsidR="00B03982" w:rsidRPr="00E35083" w:rsidRDefault="00B03982" w:rsidP="00E35083">
      <w:pPr>
        <w:tabs>
          <w:tab w:val="clear" w:pos="720"/>
        </w:tabs>
        <w:spacing w:line="360" w:lineRule="auto"/>
      </w:pPr>
    </w:p>
    <w:p w14:paraId="64E901CC" w14:textId="249899CE" w:rsidR="007E1EA9" w:rsidRPr="00E35083" w:rsidRDefault="005A2E4C" w:rsidP="00E35083">
      <w:pPr>
        <w:tabs>
          <w:tab w:val="clear" w:pos="720"/>
        </w:tabs>
        <w:spacing w:line="360" w:lineRule="auto"/>
      </w:pPr>
      <w:r w:rsidRPr="00E35083">
        <w:tab/>
      </w:r>
      <w:r w:rsidR="002F7F22" w:rsidRPr="00E35083">
        <w:t xml:space="preserve">This appeal addresses whether substantial evidence supports a jury’s findings of premeditated and deliberate attempted murder where the defendant engages in a shootout with police immediately after crashing </w:t>
      </w:r>
      <w:r w:rsidR="00134A36" w:rsidRPr="00E35083">
        <w:t>a</w:t>
      </w:r>
      <w:r w:rsidR="002F7F22" w:rsidRPr="00E35083">
        <w:t xml:space="preserve"> stolen vehicle in a busy intersection, and whether a trial court has discretion to strike those findings pursuant to Penal Code section 1385, </w:t>
      </w:r>
      <w:r w:rsidR="004956BF" w:rsidRPr="00E35083">
        <w:t>subdivision (c)</w:t>
      </w:r>
      <w:r w:rsidR="002F7F22" w:rsidRPr="00E35083">
        <w:t>.</w:t>
      </w:r>
      <w:r>
        <w:rPr>
          <w:rStyle w:val="FootnoteReference"/>
        </w:rPr>
        <w:footnoteReference w:id="1"/>
      </w:r>
      <w:r w:rsidR="002F7F22" w:rsidRPr="00E35083">
        <w:t xml:space="preserve">  We answer the first question in the affirmative and the second in the negative.</w:t>
      </w:r>
    </w:p>
    <w:p w14:paraId="5EE382B3" w14:textId="55BCFB3F" w:rsidR="007D28FF" w:rsidRPr="00E35083" w:rsidRDefault="005A2E4C" w:rsidP="00E35083">
      <w:pPr>
        <w:tabs>
          <w:tab w:val="clear" w:pos="720"/>
        </w:tabs>
        <w:spacing w:line="360" w:lineRule="auto"/>
      </w:pPr>
      <w:r w:rsidRPr="00E35083">
        <w:tab/>
      </w:r>
      <w:r w:rsidR="002F7F22" w:rsidRPr="00E35083">
        <w:t>D</w:t>
      </w:r>
      <w:r w:rsidR="00B03982" w:rsidRPr="00E35083">
        <w:t xml:space="preserve">efendant Mario Guadalupe Serrano </w:t>
      </w:r>
      <w:r w:rsidR="002F7F22" w:rsidRPr="00E35083">
        <w:t>appeals from judgment after being</w:t>
      </w:r>
      <w:r w:rsidR="00B03982" w:rsidRPr="00E35083">
        <w:t xml:space="preserve"> convicted of 13 criminal counts, </w:t>
      </w:r>
      <w:r w:rsidRPr="00E35083">
        <w:t xml:space="preserve">which </w:t>
      </w:r>
      <w:r w:rsidR="00B03982" w:rsidRPr="00E35083">
        <w:t>includ</w:t>
      </w:r>
      <w:r w:rsidRPr="00E35083">
        <w:t>ed</w:t>
      </w:r>
      <w:r w:rsidR="00B03982" w:rsidRPr="00E35083">
        <w:t xml:space="preserve"> two counts of</w:t>
      </w:r>
      <w:r w:rsidR="00E63117" w:rsidRPr="00E35083">
        <w:t xml:space="preserve"> </w:t>
      </w:r>
      <w:r w:rsidR="0023281F" w:rsidRPr="00E35083">
        <w:t xml:space="preserve">premeditated </w:t>
      </w:r>
      <w:r w:rsidR="00B03982" w:rsidRPr="00E35083">
        <w:t>attempted</w:t>
      </w:r>
      <w:r w:rsidR="00E63117" w:rsidRPr="00E35083">
        <w:t xml:space="preserve"> </w:t>
      </w:r>
      <w:r w:rsidR="00B03982" w:rsidRPr="00E35083">
        <w:t>murder of a peace officer</w:t>
      </w:r>
      <w:r w:rsidR="0023281F" w:rsidRPr="00E35083">
        <w:t xml:space="preserve">.  After the trial court dismissed five of the six firearm enhancements found true by the jury, </w:t>
      </w:r>
      <w:r w:rsidR="00FF0456" w:rsidRPr="00E35083">
        <w:t xml:space="preserve">it sentenced </w:t>
      </w:r>
      <w:r w:rsidR="0023281F" w:rsidRPr="00E35083">
        <w:t xml:space="preserve">defendant </w:t>
      </w:r>
      <w:r w:rsidR="00FF0456" w:rsidRPr="00E35083">
        <w:t>to</w:t>
      </w:r>
      <w:r w:rsidR="0023281F" w:rsidRPr="00E35083">
        <w:t xml:space="preserve"> a total determinate </w:t>
      </w:r>
      <w:r w:rsidR="00FF0456" w:rsidRPr="00E35083">
        <w:t>term</w:t>
      </w:r>
      <w:r w:rsidR="0023281F" w:rsidRPr="00E35083">
        <w:t xml:space="preserve"> of </w:t>
      </w:r>
      <w:r w:rsidR="00602DC7" w:rsidRPr="00E35083">
        <w:t>35 years 8 months</w:t>
      </w:r>
      <w:r w:rsidR="0023281F" w:rsidRPr="00E35083">
        <w:t xml:space="preserve"> and a total indeterminate </w:t>
      </w:r>
      <w:r w:rsidR="00FF0456" w:rsidRPr="00E35083">
        <w:t>term</w:t>
      </w:r>
      <w:r w:rsidRPr="00E35083">
        <w:t xml:space="preserve"> </w:t>
      </w:r>
      <w:r w:rsidR="0023281F" w:rsidRPr="00E35083">
        <w:t>of 30 years to life</w:t>
      </w:r>
      <w:r w:rsidR="00B03982" w:rsidRPr="00E35083">
        <w:t>.</w:t>
      </w:r>
    </w:p>
    <w:p w14:paraId="58B347D2" w14:textId="0FE3B154" w:rsidR="00B03982" w:rsidRPr="00E35083" w:rsidRDefault="005A2E4C" w:rsidP="00E35083">
      <w:pPr>
        <w:tabs>
          <w:tab w:val="clear" w:pos="720"/>
        </w:tabs>
        <w:spacing w:line="360" w:lineRule="auto"/>
      </w:pPr>
      <w:r w:rsidRPr="00E35083">
        <w:lastRenderedPageBreak/>
        <w:tab/>
        <w:t xml:space="preserve">On appeal, defendant contends the jury’s findings on counts </w:t>
      </w:r>
      <w:r w:rsidR="00B34D2C" w:rsidRPr="00E35083">
        <w:t>1 and 3</w:t>
      </w:r>
      <w:r w:rsidR="00807CD1" w:rsidRPr="00E35083">
        <w:t>,</w:t>
      </w:r>
      <w:r w:rsidRPr="00E35083">
        <w:t xml:space="preserve"> that he acted with premeditation and delibera</w:t>
      </w:r>
      <w:r w:rsidRPr="00E35083">
        <w:t xml:space="preserve">tion </w:t>
      </w:r>
      <w:r w:rsidR="00735174" w:rsidRPr="00E35083">
        <w:t>in</w:t>
      </w:r>
      <w:r w:rsidRPr="00E35083">
        <w:t xml:space="preserve"> committing attempted murder</w:t>
      </w:r>
      <w:r w:rsidR="00807CD1" w:rsidRPr="00E35083">
        <w:t>,</w:t>
      </w:r>
      <w:r w:rsidRPr="00E35083">
        <w:t xml:space="preserve"> are unsupported by sufficient </w:t>
      </w:r>
      <w:r w:rsidR="00735174" w:rsidRPr="00E35083">
        <w:t>evidence;</w:t>
      </w:r>
      <w:r w:rsidRPr="00E35083">
        <w:t xml:space="preserve"> the trial court failed to exercise its discretion to consider striking the premeditation and deliberation findings pursuant to section 1385, </w:t>
      </w:r>
      <w:r w:rsidR="00807CD1" w:rsidRPr="00E35083">
        <w:t>subdivision (c);</w:t>
      </w:r>
      <w:r w:rsidRPr="00E35083">
        <w:t xml:space="preserve"> and the trial court e</w:t>
      </w:r>
      <w:r w:rsidRPr="00E35083">
        <w:t xml:space="preserve">rroneously pronounced at the sentencing hearing that the 20-year sentence imposed for the firearm enhancement attached to his determinate term rather than his indeterminate term.  Only defendant’s last argument has merit.  </w:t>
      </w:r>
      <w:r w:rsidR="00603BF7" w:rsidRPr="00E35083">
        <w:t>W</w:t>
      </w:r>
      <w:r w:rsidRPr="00E35083">
        <w:t xml:space="preserve">e </w:t>
      </w:r>
      <w:r w:rsidR="00603BF7" w:rsidRPr="00E35083">
        <w:t xml:space="preserve">thus </w:t>
      </w:r>
      <w:r w:rsidRPr="00E35083">
        <w:t>issue a limited remand to</w:t>
      </w:r>
      <w:r w:rsidRPr="00E35083">
        <w:t xml:space="preserve"> permit the trial court to correct its sentencing error with respect to the </w:t>
      </w:r>
      <w:r w:rsidR="00FA1667" w:rsidRPr="00E35083">
        <w:t xml:space="preserve">20-year </w:t>
      </w:r>
      <w:r w:rsidRPr="00E35083">
        <w:t xml:space="preserve">firearm enhancement </w:t>
      </w:r>
      <w:r w:rsidR="00FA1667" w:rsidRPr="00E35083">
        <w:t xml:space="preserve">accompanying </w:t>
      </w:r>
      <w:r w:rsidR="00053AD1" w:rsidRPr="00E35083">
        <w:t>count 1</w:t>
      </w:r>
      <w:r w:rsidR="00FA1667" w:rsidRPr="00E35083">
        <w:t xml:space="preserve"> and otherwise affirm.</w:t>
      </w:r>
    </w:p>
    <w:p w14:paraId="1441A51A" w14:textId="112D8E2F" w:rsidR="00B03982" w:rsidRPr="00E35083" w:rsidRDefault="005A2E4C" w:rsidP="00E35083">
      <w:pPr>
        <w:keepNext/>
        <w:tabs>
          <w:tab w:val="clear" w:pos="720"/>
        </w:tabs>
        <w:spacing w:line="360" w:lineRule="auto"/>
        <w:jc w:val="center"/>
        <w:rPr>
          <w:b/>
          <w:bCs/>
        </w:rPr>
      </w:pPr>
      <w:r w:rsidRPr="00E35083">
        <w:rPr>
          <w:b/>
          <w:bCs/>
        </w:rPr>
        <w:t>PROCEDURAL AND FACTUAL BACKGROUND</w:t>
      </w:r>
    </w:p>
    <w:p w14:paraId="18085E5D" w14:textId="1C5FCFDD" w:rsidR="00887871" w:rsidRPr="00E35083" w:rsidRDefault="005A2E4C" w:rsidP="00E35083">
      <w:pPr>
        <w:tabs>
          <w:tab w:val="clear" w:pos="720"/>
        </w:tabs>
        <w:spacing w:line="360" w:lineRule="auto"/>
      </w:pPr>
      <w:r w:rsidRPr="00E35083">
        <w:tab/>
        <w:t xml:space="preserve">Following a </w:t>
      </w:r>
      <w:r w:rsidR="00053AD1" w:rsidRPr="00E35083">
        <w:t>three-day</w:t>
      </w:r>
      <w:r w:rsidRPr="00E35083">
        <w:t xml:space="preserve"> crime spree </w:t>
      </w:r>
      <w:r w:rsidR="00416F21" w:rsidRPr="00E35083">
        <w:t xml:space="preserve">in May 2016 </w:t>
      </w:r>
      <w:r w:rsidRPr="00E35083">
        <w:t xml:space="preserve">involving six separate incidents, </w:t>
      </w:r>
      <w:r w:rsidR="00B03982" w:rsidRPr="00E35083">
        <w:t xml:space="preserve">defendant was charged by </w:t>
      </w:r>
      <w:r w:rsidR="007D4F0F" w:rsidRPr="00E35083">
        <w:t xml:space="preserve">amended </w:t>
      </w:r>
      <w:r w:rsidR="00B03982" w:rsidRPr="00E35083">
        <w:t>information with</w:t>
      </w:r>
      <w:r w:rsidR="00416F21" w:rsidRPr="00E35083">
        <w:t xml:space="preserve">: </w:t>
      </w:r>
      <w:r w:rsidR="001370F9" w:rsidRPr="00E35083">
        <w:t xml:space="preserve"> </w:t>
      </w:r>
      <w:r w:rsidR="007D4F0F" w:rsidRPr="00E35083">
        <w:t xml:space="preserve">two counts of attempted premeditated murder of a peace officer (counts </w:t>
      </w:r>
      <w:r w:rsidR="00136018" w:rsidRPr="00E35083">
        <w:t>1 and 3</w:t>
      </w:r>
      <w:r w:rsidR="007D4F0F" w:rsidRPr="00E35083">
        <w:t xml:space="preserve">; </w:t>
      </w:r>
      <w:r w:rsidR="00136018" w:rsidRPr="00E35083">
        <w:t xml:space="preserve">Pen. Code, </w:t>
      </w:r>
      <w:r w:rsidR="007D4F0F" w:rsidRPr="00E35083">
        <w:t>§§</w:t>
      </w:r>
      <w:r w:rsidR="00136018" w:rsidRPr="00E35083">
        <w:t> </w:t>
      </w:r>
      <w:r w:rsidR="007D4F0F" w:rsidRPr="00E35083">
        <w:t xml:space="preserve">187, subd. (a), 664, subds. (e), (f)); two counts of assault with a firearm upon a peace officer (counts </w:t>
      </w:r>
      <w:r w:rsidR="00A256BE" w:rsidRPr="00E35083">
        <w:t>2 and 4</w:t>
      </w:r>
      <w:r w:rsidR="007D4F0F" w:rsidRPr="00E35083">
        <w:t xml:space="preserve">; </w:t>
      </w:r>
      <w:r w:rsidR="0050202D" w:rsidRPr="00E35083">
        <w:t xml:space="preserve">Pen. Code, </w:t>
      </w:r>
      <w:r w:rsidR="007D4F0F" w:rsidRPr="00E35083">
        <w:t>§</w:t>
      </w:r>
      <w:r w:rsidR="0050202D" w:rsidRPr="00E35083">
        <w:t> </w:t>
      </w:r>
      <w:r w:rsidR="007D4F0F" w:rsidRPr="00E35083">
        <w:t xml:space="preserve">245, subd. (d)(1)); felony vandalism </w:t>
      </w:r>
      <w:r w:rsidR="00062A0C" w:rsidRPr="00E35083">
        <w:t>by</w:t>
      </w:r>
      <w:r w:rsidR="007D4F0F" w:rsidRPr="00E35083">
        <w:t xml:space="preserve"> damaging and destroying property over $400 (</w:t>
      </w:r>
      <w:r w:rsidR="00AE6CD5" w:rsidRPr="00E35083">
        <w:t>count 5</w:t>
      </w:r>
      <w:r w:rsidR="007D4F0F" w:rsidRPr="00E35083">
        <w:t xml:space="preserve">; </w:t>
      </w:r>
      <w:r w:rsidR="00AE6CD5" w:rsidRPr="00E35083">
        <w:t xml:space="preserve">Pen. Code, </w:t>
      </w:r>
      <w:r w:rsidR="007D4F0F" w:rsidRPr="00E35083">
        <w:t>§</w:t>
      </w:r>
      <w:r w:rsidR="00AE6CD5" w:rsidRPr="00E35083">
        <w:t> </w:t>
      </w:r>
      <w:r w:rsidR="007D4F0F" w:rsidRPr="00E35083">
        <w:t>594, subd. (b)(1)); arson of property of another (</w:t>
      </w:r>
      <w:r w:rsidR="00AE6CD5" w:rsidRPr="00E35083">
        <w:t>count 6</w:t>
      </w:r>
      <w:r w:rsidR="007D4F0F" w:rsidRPr="00E35083">
        <w:t xml:space="preserve">; </w:t>
      </w:r>
      <w:r w:rsidR="00AE6CD5" w:rsidRPr="00E35083">
        <w:t xml:space="preserve">Pen. Code, </w:t>
      </w:r>
      <w:r w:rsidR="007D4F0F" w:rsidRPr="00E35083">
        <w:t>§</w:t>
      </w:r>
      <w:r w:rsidR="00AE6CD5" w:rsidRPr="00E35083">
        <w:t> </w:t>
      </w:r>
      <w:r w:rsidR="007D4F0F" w:rsidRPr="00E35083">
        <w:t>451, subd. (d)); first degree residential burglary (</w:t>
      </w:r>
      <w:r w:rsidR="00AE6CD5" w:rsidRPr="00E35083">
        <w:t>count 7</w:t>
      </w:r>
      <w:r w:rsidR="007D4F0F" w:rsidRPr="00E35083">
        <w:t xml:space="preserve">; </w:t>
      </w:r>
      <w:r w:rsidR="00AE6CD5" w:rsidRPr="00E35083">
        <w:t xml:space="preserve">Pen. Code, </w:t>
      </w:r>
      <w:r w:rsidR="007D4F0F" w:rsidRPr="00E35083">
        <w:t>§</w:t>
      </w:r>
      <w:r w:rsidR="00AE6CD5" w:rsidRPr="00E35083">
        <w:t> </w:t>
      </w:r>
      <w:r w:rsidR="007D4F0F" w:rsidRPr="00E35083">
        <w:t>459); grand theft firearm (</w:t>
      </w:r>
      <w:r w:rsidR="00AE6CD5" w:rsidRPr="00E35083">
        <w:t>count 8</w:t>
      </w:r>
      <w:r w:rsidR="007D4F0F" w:rsidRPr="00E35083">
        <w:t xml:space="preserve">; </w:t>
      </w:r>
      <w:r w:rsidR="00AE6CD5" w:rsidRPr="00E35083">
        <w:t xml:space="preserve">Pen. Code, </w:t>
      </w:r>
      <w:r w:rsidR="007D4F0F" w:rsidRPr="00E35083">
        <w:t>§</w:t>
      </w:r>
      <w:r w:rsidR="00AE6CD5" w:rsidRPr="00E35083">
        <w:t> </w:t>
      </w:r>
      <w:r w:rsidR="007D4F0F" w:rsidRPr="00E35083">
        <w:t>487, subd. (d)(2)); driving or taking a vehicle without consent (</w:t>
      </w:r>
      <w:r w:rsidR="00AE6CD5" w:rsidRPr="00E35083">
        <w:t>count 9</w:t>
      </w:r>
      <w:r w:rsidR="007D4F0F" w:rsidRPr="00E35083">
        <w:t xml:space="preserve">; </w:t>
      </w:r>
      <w:proofErr w:type="spellStart"/>
      <w:r w:rsidR="007D4F0F" w:rsidRPr="00E35083">
        <w:t>Veh</w:t>
      </w:r>
      <w:proofErr w:type="spellEnd"/>
      <w:r w:rsidR="007D4F0F" w:rsidRPr="00E35083">
        <w:t>. Code</w:t>
      </w:r>
      <w:r w:rsidR="00AE6CD5" w:rsidRPr="00E35083">
        <w:t>,</w:t>
      </w:r>
      <w:r w:rsidR="007D4F0F" w:rsidRPr="00E35083">
        <w:t xml:space="preserve"> §</w:t>
      </w:r>
      <w:r w:rsidR="00AE6CD5" w:rsidRPr="00E35083">
        <w:t> </w:t>
      </w:r>
      <w:r w:rsidR="007D4F0F" w:rsidRPr="00E35083">
        <w:t xml:space="preserve">10851, subd. (a)); two counts of shooting at an inhabited dwelling (counts </w:t>
      </w:r>
      <w:r w:rsidR="00D82665" w:rsidRPr="00E35083">
        <w:t>10 and 11</w:t>
      </w:r>
      <w:r w:rsidR="007D4F0F" w:rsidRPr="00E35083">
        <w:t xml:space="preserve">; </w:t>
      </w:r>
      <w:r w:rsidR="00D82665" w:rsidRPr="00E35083">
        <w:t xml:space="preserve">Pen. Code, </w:t>
      </w:r>
      <w:r w:rsidR="007D4F0F" w:rsidRPr="00E35083">
        <w:t>§</w:t>
      </w:r>
      <w:r w:rsidR="00D82665" w:rsidRPr="00E35083">
        <w:t> </w:t>
      </w:r>
      <w:r w:rsidR="007D4F0F" w:rsidRPr="00E35083">
        <w:t>246); carjacking (</w:t>
      </w:r>
      <w:r w:rsidR="00D82665" w:rsidRPr="00E35083">
        <w:t>count 12</w:t>
      </w:r>
      <w:r w:rsidR="007D4F0F" w:rsidRPr="00E35083">
        <w:t xml:space="preserve">; </w:t>
      </w:r>
      <w:r w:rsidR="00D82665" w:rsidRPr="00E35083">
        <w:t xml:space="preserve">Pen. Code, </w:t>
      </w:r>
      <w:r w:rsidR="007D4F0F" w:rsidRPr="00E35083">
        <w:t>§</w:t>
      </w:r>
      <w:r w:rsidR="00D82665" w:rsidRPr="00E35083">
        <w:t> </w:t>
      </w:r>
      <w:r w:rsidR="007D4F0F" w:rsidRPr="00E35083">
        <w:t>215, subd. (a)); and fleeing a pursuing peace officer’s motor vehicle while driving reckless</w:t>
      </w:r>
      <w:r w:rsidR="00776237" w:rsidRPr="00E35083">
        <w:t xml:space="preserve">ly </w:t>
      </w:r>
      <w:r w:rsidR="007D4F0F" w:rsidRPr="00E35083">
        <w:t>(</w:t>
      </w:r>
      <w:r w:rsidR="00776237" w:rsidRPr="00E35083">
        <w:t>count 13</w:t>
      </w:r>
      <w:r w:rsidR="007D4F0F" w:rsidRPr="00E35083">
        <w:t xml:space="preserve">; </w:t>
      </w:r>
      <w:proofErr w:type="spellStart"/>
      <w:r w:rsidR="007D4F0F" w:rsidRPr="00E35083">
        <w:t>Veh</w:t>
      </w:r>
      <w:proofErr w:type="spellEnd"/>
      <w:r w:rsidR="007D4F0F" w:rsidRPr="00E35083">
        <w:t>. Code</w:t>
      </w:r>
      <w:r w:rsidR="00776237" w:rsidRPr="00E35083">
        <w:t>,</w:t>
      </w:r>
      <w:r w:rsidR="007D4F0F" w:rsidRPr="00E35083">
        <w:t xml:space="preserve"> </w:t>
      </w:r>
      <w:r w:rsidR="00776237" w:rsidRPr="00E35083">
        <w:t>§ 2800.2</w:t>
      </w:r>
      <w:r w:rsidR="007D4F0F" w:rsidRPr="00E35083">
        <w:t>)</w:t>
      </w:r>
      <w:r w:rsidR="001B3EF5" w:rsidRPr="00E35083">
        <w:t xml:space="preserve">.  As to counts </w:t>
      </w:r>
      <w:r w:rsidR="00563B1C" w:rsidRPr="00E35083">
        <w:t>1 and 2</w:t>
      </w:r>
      <w:r w:rsidR="001B3EF5" w:rsidRPr="00E35083">
        <w:t xml:space="preserve">, </w:t>
      </w:r>
      <w:r w:rsidRPr="00E35083">
        <w:t xml:space="preserve">it was alleged defendant personally and intentionally discharged a shotgun, causing great bodily injury.  Various </w:t>
      </w:r>
      <w:r w:rsidRPr="00E35083">
        <w:lastRenderedPageBreak/>
        <w:t xml:space="preserve">firearm enhancements were also alleged as to counts </w:t>
      </w:r>
      <w:r w:rsidR="005B21B5" w:rsidRPr="00E35083">
        <w:t>3, 4, 12, and 13</w:t>
      </w:r>
      <w:r w:rsidRPr="00E35083">
        <w:t xml:space="preserve">.  Trial began on </w:t>
      </w:r>
      <w:r w:rsidR="005B21B5" w:rsidRPr="00E35083">
        <w:t>January 15</w:t>
      </w:r>
      <w:r w:rsidRPr="00E35083">
        <w:t>, 2019.</w:t>
      </w:r>
    </w:p>
    <w:p w14:paraId="5BE2098A" w14:textId="4D926EEE" w:rsidR="00887871" w:rsidRPr="00E35083" w:rsidRDefault="005A2E4C" w:rsidP="00E35083">
      <w:pPr>
        <w:pStyle w:val="ListParagraph"/>
        <w:keepNext/>
        <w:numPr>
          <w:ilvl w:val="0"/>
          <w:numId w:val="2"/>
        </w:numPr>
        <w:tabs>
          <w:tab w:val="clear" w:pos="720"/>
        </w:tabs>
        <w:spacing w:line="360" w:lineRule="auto"/>
        <w:ind w:hanging="720"/>
        <w:rPr>
          <w:b/>
          <w:bCs/>
          <w:i/>
          <w:iCs/>
        </w:rPr>
      </w:pPr>
      <w:r w:rsidRPr="00E35083">
        <w:rPr>
          <w:b/>
          <w:bCs/>
          <w:i/>
          <w:iCs/>
        </w:rPr>
        <w:t>T</w:t>
      </w:r>
      <w:r w:rsidR="00E510E7" w:rsidRPr="00E35083">
        <w:rPr>
          <w:b/>
          <w:bCs/>
          <w:i/>
          <w:iCs/>
        </w:rPr>
        <w:t>rial</w:t>
      </w:r>
      <w:r w:rsidRPr="00E35083">
        <w:rPr>
          <w:b/>
          <w:bCs/>
          <w:i/>
          <w:iCs/>
        </w:rPr>
        <w:t>.</w:t>
      </w:r>
    </w:p>
    <w:p w14:paraId="6BCD7EEE" w14:textId="032ED08E" w:rsidR="00887871" w:rsidRPr="00E35083" w:rsidRDefault="005A2E4C" w:rsidP="00E35083">
      <w:pPr>
        <w:pStyle w:val="ListParagraph"/>
        <w:numPr>
          <w:ilvl w:val="1"/>
          <w:numId w:val="2"/>
        </w:numPr>
        <w:tabs>
          <w:tab w:val="clear" w:pos="720"/>
        </w:tabs>
        <w:spacing w:line="360" w:lineRule="auto"/>
        <w:ind w:left="1440" w:hanging="720"/>
        <w:rPr>
          <w:b/>
          <w:bCs/>
        </w:rPr>
      </w:pPr>
      <w:r w:rsidRPr="00E35083">
        <w:rPr>
          <w:b/>
          <w:bCs/>
        </w:rPr>
        <w:t xml:space="preserve">Vandalism: </w:t>
      </w:r>
      <w:r w:rsidR="005B21B5" w:rsidRPr="00E35083">
        <w:rPr>
          <w:b/>
          <w:bCs/>
        </w:rPr>
        <w:t xml:space="preserve"> </w:t>
      </w:r>
      <w:r w:rsidRPr="00E35083">
        <w:rPr>
          <w:b/>
          <w:bCs/>
        </w:rPr>
        <w:t>May 2, 2016</w:t>
      </w:r>
      <w:r w:rsidR="00416F21" w:rsidRPr="00E35083">
        <w:rPr>
          <w:b/>
          <w:bCs/>
        </w:rPr>
        <w:t xml:space="preserve"> (Count 5)</w:t>
      </w:r>
      <w:r w:rsidRPr="00E35083">
        <w:rPr>
          <w:b/>
          <w:bCs/>
        </w:rPr>
        <w:t>.</w:t>
      </w:r>
    </w:p>
    <w:p w14:paraId="279A2B67" w14:textId="2FFEC618" w:rsidR="00431F2A" w:rsidRPr="00E35083" w:rsidRDefault="005A2E4C" w:rsidP="00E35083">
      <w:pPr>
        <w:tabs>
          <w:tab w:val="clear" w:pos="720"/>
        </w:tabs>
        <w:spacing w:line="360" w:lineRule="auto"/>
      </w:pPr>
      <w:r w:rsidRPr="00E35083">
        <w:tab/>
        <w:t xml:space="preserve">Just before </w:t>
      </w:r>
      <w:r w:rsidR="005B21B5" w:rsidRPr="00E35083">
        <w:t>5 p.m. on May 2,</w:t>
      </w:r>
      <w:r w:rsidRPr="00E35083">
        <w:t xml:space="preserve"> 2016, defendant </w:t>
      </w:r>
      <w:r w:rsidR="00662C37" w:rsidRPr="00E35083">
        <w:t>opened the glass front doors of the</w:t>
      </w:r>
      <w:r w:rsidRPr="00E35083">
        <w:t xml:space="preserve"> </w:t>
      </w:r>
      <w:proofErr w:type="gramStart"/>
      <w:r w:rsidRPr="00E35083">
        <w:t>fast food</w:t>
      </w:r>
      <w:proofErr w:type="gramEnd"/>
      <w:r w:rsidRPr="00E35083">
        <w:t xml:space="preserve"> restaurant in Antioch where </w:t>
      </w:r>
      <w:r w:rsidR="007E1EA9" w:rsidRPr="00E35083">
        <w:t>h</w:t>
      </w:r>
      <w:r w:rsidRPr="00E35083">
        <w:t xml:space="preserve">is girlfriend, </w:t>
      </w:r>
      <w:r w:rsidR="00BD086C" w:rsidRPr="00E35083">
        <w:t>Jane Doe</w:t>
      </w:r>
      <w:r w:rsidRPr="00E35083">
        <w:t xml:space="preserve">, was employed. </w:t>
      </w:r>
      <w:r w:rsidR="00BD086C" w:rsidRPr="00E35083">
        <w:t xml:space="preserve"> </w:t>
      </w:r>
      <w:r w:rsidR="00662C37" w:rsidRPr="00E35083">
        <w:t>Defendant yelled something to the effect of, “This is for [</w:t>
      </w:r>
      <w:r w:rsidR="00BD086C" w:rsidRPr="00E35083">
        <w:t>Jane</w:t>
      </w:r>
      <w:r w:rsidR="00662C37" w:rsidRPr="00E35083">
        <w:t xml:space="preserve">],” as he smashed </w:t>
      </w:r>
      <w:r w:rsidR="008315F5" w:rsidRPr="00E35083">
        <w:t>both</w:t>
      </w:r>
      <w:r w:rsidR="00662C37" w:rsidRPr="00E35083">
        <w:t xml:space="preserve"> doors with a metal tire iron, shattering glass everywhere.  The restaurant was forced to close for several hours and to pay </w:t>
      </w:r>
      <w:r w:rsidR="00BD086C" w:rsidRPr="00E35083">
        <w:t>about</w:t>
      </w:r>
      <w:r w:rsidR="00662C37" w:rsidRPr="00E35083">
        <w:t xml:space="preserve"> $</w:t>
      </w:r>
      <w:r w:rsidR="00BD086C" w:rsidRPr="00E35083">
        <w:t>2</w:t>
      </w:r>
      <w:r w:rsidR="00662C37" w:rsidRPr="00E35083">
        <w:t>,</w:t>
      </w:r>
      <w:r w:rsidR="00BD086C" w:rsidRPr="00E35083">
        <w:t>0</w:t>
      </w:r>
      <w:r w:rsidR="00662C37" w:rsidRPr="00E35083">
        <w:t>00 in repairs.</w:t>
      </w:r>
    </w:p>
    <w:p w14:paraId="1584AE76" w14:textId="4963D40B" w:rsidR="00431F2A" w:rsidRPr="00E35083" w:rsidRDefault="005A2E4C" w:rsidP="00E35083">
      <w:pPr>
        <w:tabs>
          <w:tab w:val="clear" w:pos="720"/>
        </w:tabs>
        <w:spacing w:line="360" w:lineRule="auto"/>
      </w:pPr>
      <w:r w:rsidRPr="00E35083">
        <w:tab/>
      </w:r>
      <w:r w:rsidR="00662C37" w:rsidRPr="00E35083">
        <w:t>Earlier that day, t</w:t>
      </w:r>
      <w:r w:rsidR="00416F21" w:rsidRPr="00E35083">
        <w:t xml:space="preserve">he couple </w:t>
      </w:r>
      <w:r w:rsidR="005B21B5" w:rsidRPr="00E35083">
        <w:t>returned</w:t>
      </w:r>
      <w:r w:rsidR="00416F21" w:rsidRPr="00E35083">
        <w:t xml:space="preserve"> from a trip to Southern California to visit </w:t>
      </w:r>
      <w:r w:rsidRPr="00E35083">
        <w:t>defendant’s daughter</w:t>
      </w:r>
      <w:r w:rsidR="00FF0456" w:rsidRPr="00E35083">
        <w:t xml:space="preserve"> and other family members</w:t>
      </w:r>
      <w:r w:rsidR="00416F21" w:rsidRPr="00E35083">
        <w:t xml:space="preserve">.  During their trip, defendant repeatedly </w:t>
      </w:r>
      <w:r w:rsidR="005B21B5" w:rsidRPr="00E35083">
        <w:t>accused Jane of</w:t>
      </w:r>
      <w:r w:rsidR="00416F21" w:rsidRPr="00E35083">
        <w:t xml:space="preserve"> cheating on him and </w:t>
      </w:r>
      <w:r w:rsidRPr="00E35083">
        <w:t>refused to leave her alone, even with his family</w:t>
      </w:r>
      <w:r w:rsidR="007E1EA9" w:rsidRPr="00E35083">
        <w:t xml:space="preserve"> present</w:t>
      </w:r>
      <w:r w:rsidR="00416F21" w:rsidRPr="00E35083">
        <w:t xml:space="preserve">. </w:t>
      </w:r>
      <w:r w:rsidRPr="00E35083">
        <w:t xml:space="preserve"> When defendant </w:t>
      </w:r>
      <w:r w:rsidR="005B21B5" w:rsidRPr="00E35083">
        <w:t>dropped Jane off</w:t>
      </w:r>
      <w:r w:rsidRPr="00E35083">
        <w:t xml:space="preserve"> at work </w:t>
      </w:r>
      <w:r w:rsidR="00662C37" w:rsidRPr="00E35083">
        <w:t xml:space="preserve">that morning </w:t>
      </w:r>
      <w:r w:rsidRPr="00E35083">
        <w:t>for he</w:t>
      </w:r>
      <w:r w:rsidR="00662C37" w:rsidRPr="00E35083">
        <w:t>r</w:t>
      </w:r>
      <w:r w:rsidRPr="00E35083">
        <w:t xml:space="preserve"> </w:t>
      </w:r>
      <w:r w:rsidR="007E1EA9" w:rsidRPr="00E35083">
        <w:t>early morning</w:t>
      </w:r>
      <w:r w:rsidRPr="00E35083">
        <w:t xml:space="preserve"> shift, he accused her of lying about having to work and refused to </w:t>
      </w:r>
      <w:r w:rsidR="007E1EA9" w:rsidRPr="00E35083">
        <w:t>turn over</w:t>
      </w:r>
      <w:r w:rsidRPr="00E35083">
        <w:t xml:space="preserve"> her purse or keys.</w:t>
      </w:r>
    </w:p>
    <w:p w14:paraId="7DDDB50B" w14:textId="18459A26" w:rsidR="00887871" w:rsidRPr="00E35083" w:rsidRDefault="005A2E4C" w:rsidP="00E35083">
      <w:pPr>
        <w:tabs>
          <w:tab w:val="clear" w:pos="720"/>
        </w:tabs>
        <w:spacing w:line="360" w:lineRule="auto"/>
      </w:pPr>
      <w:r w:rsidRPr="00E35083">
        <w:tab/>
        <w:t xml:space="preserve">Later, </w:t>
      </w:r>
      <w:r w:rsidR="005B21B5" w:rsidRPr="00E35083">
        <w:t>when Jane called</w:t>
      </w:r>
      <w:r w:rsidRPr="00E35083">
        <w:t xml:space="preserve"> defendant to bring her the purse and keys, he drove their shared car, a </w:t>
      </w:r>
      <w:r w:rsidR="007E1EA9" w:rsidRPr="00E35083">
        <w:t xml:space="preserve">white </w:t>
      </w:r>
      <w:r w:rsidRPr="00E35083">
        <w:t>Dodge Char</w:t>
      </w:r>
      <w:r w:rsidRPr="00E35083">
        <w:t xml:space="preserve">ger, to the </w:t>
      </w:r>
      <w:r w:rsidR="008F6AEC" w:rsidRPr="00E35083">
        <w:t>restaurant;</w:t>
      </w:r>
      <w:r w:rsidRPr="00E35083">
        <w:t xml:space="preserve"> parked it in the drive-through </w:t>
      </w:r>
      <w:r w:rsidR="008F6AEC" w:rsidRPr="00E35083">
        <w:t>lane;</w:t>
      </w:r>
      <w:r w:rsidRPr="00E35083">
        <w:t xml:space="preserve"> locked the </w:t>
      </w:r>
      <w:r w:rsidR="008F6AEC" w:rsidRPr="00E35083">
        <w:t>doors;</w:t>
      </w:r>
      <w:r w:rsidRPr="00E35083">
        <w:t xml:space="preserve"> and left.  </w:t>
      </w:r>
      <w:r w:rsidR="008F6AEC" w:rsidRPr="00E35083">
        <w:t>Jane and her coworkers</w:t>
      </w:r>
      <w:r w:rsidRPr="00E35083">
        <w:t xml:space="preserve"> were forced to break the car window </w:t>
      </w:r>
      <w:proofErr w:type="gramStart"/>
      <w:r w:rsidRPr="00E35083">
        <w:t>in order to</w:t>
      </w:r>
      <w:proofErr w:type="gramEnd"/>
      <w:r w:rsidRPr="00E35083">
        <w:t xml:space="preserve"> move </w:t>
      </w:r>
      <w:r w:rsidR="008F6AEC" w:rsidRPr="00E35083">
        <w:t>the car</w:t>
      </w:r>
      <w:r w:rsidRPr="00E35083">
        <w:t xml:space="preserve"> from the drive-through lane</w:t>
      </w:r>
      <w:r w:rsidR="007E1EA9" w:rsidRPr="00E35083">
        <w:t>.  A</w:t>
      </w:r>
      <w:r w:rsidRPr="00E35083">
        <w:t xml:space="preserve"> tow truck </w:t>
      </w:r>
      <w:r w:rsidR="007E1EA9" w:rsidRPr="00E35083">
        <w:t xml:space="preserve">had to be called </w:t>
      </w:r>
      <w:r w:rsidRPr="00E35083">
        <w:t>to move the car back to</w:t>
      </w:r>
      <w:r w:rsidRPr="00E35083">
        <w:t xml:space="preserve"> </w:t>
      </w:r>
      <w:r w:rsidR="008F6AEC" w:rsidRPr="00E35083">
        <w:t>Jane’s</w:t>
      </w:r>
      <w:r w:rsidR="00CE2388" w:rsidRPr="00E35083">
        <w:t xml:space="preserve"> house,</w:t>
      </w:r>
      <w:r w:rsidRPr="00E35083">
        <w:t xml:space="preserve"> where she lived with defendant.</w:t>
      </w:r>
      <w:r w:rsidR="00416F21" w:rsidRPr="00E35083">
        <w:t xml:space="preserve"> </w:t>
      </w:r>
      <w:r w:rsidRPr="00E35083">
        <w:t xml:space="preserve"> </w:t>
      </w:r>
      <w:r w:rsidR="008F6AEC" w:rsidRPr="00E35083">
        <w:t>Jane eventually walked</w:t>
      </w:r>
      <w:r w:rsidRPr="00E35083">
        <w:t xml:space="preserve"> home from the restaurant after work</w:t>
      </w:r>
      <w:r w:rsidR="00662C37" w:rsidRPr="00E35083">
        <w:t xml:space="preserve">.  She never spoke to defendant again and had the locks changed on her apartment because she was </w:t>
      </w:r>
      <w:r w:rsidR="007E1EA9" w:rsidRPr="00E35083">
        <w:t>afraid</w:t>
      </w:r>
      <w:r w:rsidR="00662C37" w:rsidRPr="00E35083">
        <w:t>.</w:t>
      </w:r>
    </w:p>
    <w:p w14:paraId="506E8595" w14:textId="57574CFC" w:rsidR="00416F21" w:rsidRPr="00E35083" w:rsidRDefault="005A2E4C" w:rsidP="00E35083">
      <w:pPr>
        <w:pStyle w:val="ListParagraph"/>
        <w:keepNext/>
        <w:numPr>
          <w:ilvl w:val="1"/>
          <w:numId w:val="2"/>
        </w:numPr>
        <w:tabs>
          <w:tab w:val="clear" w:pos="720"/>
        </w:tabs>
        <w:spacing w:line="360" w:lineRule="auto"/>
        <w:ind w:left="1440" w:hanging="720"/>
        <w:rPr>
          <w:b/>
          <w:bCs/>
        </w:rPr>
      </w:pPr>
      <w:r w:rsidRPr="00E35083">
        <w:rPr>
          <w:b/>
          <w:bCs/>
        </w:rPr>
        <w:t xml:space="preserve">Arson: </w:t>
      </w:r>
      <w:r w:rsidR="008F6AEC" w:rsidRPr="00E35083">
        <w:rPr>
          <w:b/>
          <w:bCs/>
        </w:rPr>
        <w:t xml:space="preserve"> </w:t>
      </w:r>
      <w:r w:rsidRPr="00E35083">
        <w:rPr>
          <w:b/>
          <w:bCs/>
        </w:rPr>
        <w:t>May 2, 2016 (Count 6).</w:t>
      </w:r>
    </w:p>
    <w:p w14:paraId="50D6EBCD" w14:textId="35CBDA8B" w:rsidR="008B028E" w:rsidRPr="00E35083" w:rsidRDefault="005A2E4C" w:rsidP="00E35083">
      <w:pPr>
        <w:tabs>
          <w:tab w:val="clear" w:pos="720"/>
        </w:tabs>
        <w:spacing w:line="360" w:lineRule="auto"/>
      </w:pPr>
      <w:r w:rsidRPr="00E35083">
        <w:tab/>
      </w:r>
      <w:r w:rsidR="008F6AEC" w:rsidRPr="00E35083">
        <w:t>Approximately 5 p.m.</w:t>
      </w:r>
      <w:r w:rsidR="009B068F" w:rsidRPr="00E35083">
        <w:t xml:space="preserve"> on </w:t>
      </w:r>
      <w:r w:rsidR="008F6AEC" w:rsidRPr="00E35083">
        <w:t>May 2,</w:t>
      </w:r>
      <w:r w:rsidR="009B068F" w:rsidRPr="00E35083">
        <w:t xml:space="preserve"> 2016, the fire department responded to a report of a car fire in </w:t>
      </w:r>
      <w:r w:rsidR="006B6B8E" w:rsidRPr="00E35083">
        <w:t>Pittsburg</w:t>
      </w:r>
      <w:r w:rsidR="009B068F" w:rsidRPr="00E35083">
        <w:t xml:space="preserve">, less than two miles from the restaurant </w:t>
      </w:r>
      <w:r w:rsidR="009B068F" w:rsidRPr="00E35083">
        <w:lastRenderedPageBreak/>
        <w:t xml:space="preserve">where </w:t>
      </w:r>
      <w:r w:rsidR="006B6B8E" w:rsidRPr="00E35083">
        <w:t>Jane worked</w:t>
      </w:r>
      <w:r w:rsidR="009B068F" w:rsidRPr="00E35083">
        <w:t>.  The responders found a white Dodge Charger registered t</w:t>
      </w:r>
      <w:r w:rsidRPr="00E35083">
        <w:t xml:space="preserve">o </w:t>
      </w:r>
      <w:r w:rsidR="00FF0456" w:rsidRPr="00E35083">
        <w:t>d</w:t>
      </w:r>
      <w:r w:rsidRPr="00E35083">
        <w:t xml:space="preserve">efendant and </w:t>
      </w:r>
      <w:r w:rsidR="006B6B8E" w:rsidRPr="00E35083">
        <w:t>Jane ablaze</w:t>
      </w:r>
      <w:r w:rsidR="009B068F" w:rsidRPr="00E35083">
        <w:t xml:space="preserve">.  </w:t>
      </w:r>
      <w:r w:rsidR="00FF0456" w:rsidRPr="00E35083">
        <w:t>It appeared that t</w:t>
      </w:r>
      <w:r w:rsidR="009B068F" w:rsidRPr="00E35083">
        <w:t xml:space="preserve">he car </w:t>
      </w:r>
      <w:r w:rsidR="00FF0456" w:rsidRPr="00E35083">
        <w:t>had</w:t>
      </w:r>
      <w:r w:rsidR="009B068F" w:rsidRPr="00E35083">
        <w:t xml:space="preserve"> been abandoned and </w:t>
      </w:r>
      <w:r w:rsidR="00FF0456" w:rsidRPr="00E35083">
        <w:t xml:space="preserve">that </w:t>
      </w:r>
      <w:r w:rsidR="009B068F" w:rsidRPr="00E35083">
        <w:t>brake lines and lines within the engine compartment had been cut.  A blood droplet was found on the driver’s side door</w:t>
      </w:r>
      <w:r w:rsidR="006B6B8E" w:rsidRPr="00E35083">
        <w:t>,</w:t>
      </w:r>
      <w:r w:rsidR="009B068F" w:rsidRPr="00E35083">
        <w:t xml:space="preserve"> and there was a strong gasoline odor inside the passenger compartment although the gas tank was not damaged.  Based on its investigation, the fire department determined the fire was intentionally set by igniting gasoline inside the passenger compartment.</w:t>
      </w:r>
    </w:p>
    <w:p w14:paraId="4043568B" w14:textId="7EE306B2" w:rsidR="008B028E" w:rsidRPr="00E35083" w:rsidRDefault="005A2E4C" w:rsidP="00E35083">
      <w:pPr>
        <w:pStyle w:val="ListParagraph"/>
        <w:keepNext/>
        <w:numPr>
          <w:ilvl w:val="1"/>
          <w:numId w:val="2"/>
        </w:numPr>
        <w:tabs>
          <w:tab w:val="clear" w:pos="720"/>
        </w:tabs>
        <w:spacing w:line="360" w:lineRule="auto"/>
        <w:ind w:left="1440" w:hanging="720"/>
        <w:rPr>
          <w:b/>
          <w:bCs/>
        </w:rPr>
      </w:pPr>
      <w:r w:rsidRPr="00E35083">
        <w:rPr>
          <w:b/>
          <w:bCs/>
        </w:rPr>
        <w:t xml:space="preserve">Residential Burglary: </w:t>
      </w:r>
      <w:r w:rsidR="006B6B8E" w:rsidRPr="00E35083">
        <w:rPr>
          <w:b/>
          <w:bCs/>
        </w:rPr>
        <w:t xml:space="preserve"> </w:t>
      </w:r>
      <w:r w:rsidRPr="00E35083">
        <w:rPr>
          <w:b/>
          <w:bCs/>
        </w:rPr>
        <w:t xml:space="preserve">May </w:t>
      </w:r>
      <w:r w:rsidR="006B6B8E" w:rsidRPr="00E35083">
        <w:rPr>
          <w:b/>
          <w:bCs/>
        </w:rPr>
        <w:t>2–3</w:t>
      </w:r>
      <w:r w:rsidRPr="00E35083">
        <w:rPr>
          <w:b/>
          <w:bCs/>
        </w:rPr>
        <w:t xml:space="preserve">, 2016 (Counts </w:t>
      </w:r>
      <w:r w:rsidR="006B6B8E" w:rsidRPr="00E35083">
        <w:rPr>
          <w:b/>
          <w:bCs/>
        </w:rPr>
        <w:t>7–9</w:t>
      </w:r>
      <w:r w:rsidRPr="00E35083">
        <w:rPr>
          <w:b/>
          <w:bCs/>
        </w:rPr>
        <w:t>).</w:t>
      </w:r>
    </w:p>
    <w:p w14:paraId="2D07A106" w14:textId="0891E797" w:rsidR="008B028E" w:rsidRPr="00E35083" w:rsidRDefault="005A2E4C" w:rsidP="00E35083">
      <w:pPr>
        <w:tabs>
          <w:tab w:val="clear" w:pos="720"/>
        </w:tabs>
        <w:spacing w:line="360" w:lineRule="auto"/>
      </w:pPr>
      <w:r w:rsidRPr="00E35083">
        <w:tab/>
      </w:r>
      <w:r w:rsidR="000413FE" w:rsidRPr="00E35083">
        <w:t xml:space="preserve">In May 2016, </w:t>
      </w:r>
      <w:r w:rsidR="006B6B8E" w:rsidRPr="00E35083">
        <w:t>Kit S.</w:t>
      </w:r>
      <w:r w:rsidR="000413FE" w:rsidRPr="00E35083">
        <w:t xml:space="preserve"> lived in a rural area in Clayton.  The weekend of </w:t>
      </w:r>
      <w:r w:rsidR="006B6B8E" w:rsidRPr="00E35083">
        <w:t>May 1,</w:t>
      </w:r>
      <w:r w:rsidR="000413FE" w:rsidRPr="00E35083">
        <w:t xml:space="preserve"> 2016, </w:t>
      </w:r>
      <w:r w:rsidR="00162EDB" w:rsidRPr="00E35083">
        <w:t>she</w:t>
      </w:r>
      <w:r w:rsidR="000413FE" w:rsidRPr="00E35083">
        <w:t xml:space="preserve"> left town on a business trip.  Her</w:t>
      </w:r>
      <w:r w:rsidR="001873FA" w:rsidRPr="00E35083">
        <w:t xml:space="preserve"> </w:t>
      </w:r>
      <w:r w:rsidR="000413FE" w:rsidRPr="00E35083">
        <w:t xml:space="preserve">white </w:t>
      </w:r>
      <w:r w:rsidR="006B6B8E" w:rsidRPr="00E35083">
        <w:t>Chevrolet</w:t>
      </w:r>
      <w:r w:rsidR="000413FE" w:rsidRPr="00E35083">
        <w:t xml:space="preserve"> truck was parked outside her house.  </w:t>
      </w:r>
      <w:r w:rsidR="001873FA" w:rsidRPr="00E35083">
        <w:t>She</w:t>
      </w:r>
      <w:r w:rsidR="000413FE" w:rsidRPr="00E35083">
        <w:t xml:space="preserve"> also had two guns</w:t>
      </w:r>
      <w:r w:rsidR="007139CE" w:rsidRPr="00E35083">
        <w:t>,</w:t>
      </w:r>
      <w:r w:rsidR="000413FE" w:rsidRPr="00E35083">
        <w:t xml:space="preserve"> stored in </w:t>
      </w:r>
      <w:r w:rsidR="00FF0456" w:rsidRPr="00E35083">
        <w:t>a</w:t>
      </w:r>
      <w:r w:rsidR="000413FE" w:rsidRPr="00E35083">
        <w:t xml:space="preserve"> bedroom of her house.</w:t>
      </w:r>
    </w:p>
    <w:p w14:paraId="598764C9" w14:textId="698973B8" w:rsidR="004937A6" w:rsidRPr="00E35083" w:rsidRDefault="005A2E4C" w:rsidP="00E35083">
      <w:pPr>
        <w:tabs>
          <w:tab w:val="clear" w:pos="720"/>
        </w:tabs>
        <w:spacing w:line="360" w:lineRule="auto"/>
      </w:pPr>
      <w:r w:rsidRPr="00E35083">
        <w:tab/>
        <w:t xml:space="preserve">On </w:t>
      </w:r>
      <w:r w:rsidR="007139CE" w:rsidRPr="00E35083">
        <w:t>May 4,</w:t>
      </w:r>
      <w:r w:rsidRPr="00E35083">
        <w:t xml:space="preserve"> 2016, </w:t>
      </w:r>
      <w:r w:rsidR="00146A99" w:rsidRPr="00E35083">
        <w:t>around 7:30 p.m., deputy sheriffs</w:t>
      </w:r>
      <w:r w:rsidRPr="00E35083">
        <w:t xml:space="preserve"> were disp</w:t>
      </w:r>
      <w:r w:rsidRPr="00E35083">
        <w:t xml:space="preserve">atched to Kit’s house to contact the owner of a vehicle that had been involved in a series of crimes.  The deputies saw broken windows and a ladder leading to the balcony.  They entered the house and found it ransacked.  Pictures </w:t>
      </w:r>
      <w:r w:rsidR="004970F0" w:rsidRPr="00E35083">
        <w:t>had been</w:t>
      </w:r>
      <w:r w:rsidRPr="00E35083">
        <w:t xml:space="preserve"> ripped off the </w:t>
      </w:r>
      <w:r w:rsidRPr="00E35083">
        <w:t>walls</w:t>
      </w:r>
      <w:r w:rsidR="007139CE" w:rsidRPr="00E35083">
        <w:t>,</w:t>
      </w:r>
      <w:r w:rsidRPr="00E35083">
        <w:t xml:space="preserve"> </w:t>
      </w:r>
      <w:r w:rsidR="00162EDB" w:rsidRPr="00E35083">
        <w:t xml:space="preserve">and there were </w:t>
      </w:r>
      <w:r w:rsidRPr="00E35083">
        <w:t>piles of bullets around the house</w:t>
      </w:r>
      <w:r w:rsidR="004970F0" w:rsidRPr="00E35083">
        <w:t>.  W</w:t>
      </w:r>
      <w:r w:rsidRPr="00E35083">
        <w:t xml:space="preserve">indows and a sliding door </w:t>
      </w:r>
      <w:r w:rsidR="004970F0" w:rsidRPr="00E35083">
        <w:t>had been</w:t>
      </w:r>
      <w:r w:rsidR="00162EDB" w:rsidRPr="00E35083">
        <w:t xml:space="preserve"> </w:t>
      </w:r>
      <w:r w:rsidRPr="00E35083">
        <w:t>screwed shut and butcher knives</w:t>
      </w:r>
      <w:r w:rsidR="004970F0" w:rsidRPr="00E35083">
        <w:t xml:space="preserve"> </w:t>
      </w:r>
      <w:r w:rsidRPr="00E35083">
        <w:t xml:space="preserve">placed by the windows.  </w:t>
      </w:r>
      <w:r w:rsidR="00162EDB" w:rsidRPr="00E35083">
        <w:t>F</w:t>
      </w:r>
      <w:r w:rsidRPr="00E35083">
        <w:t xml:space="preserve">urniture had been moved to </w:t>
      </w:r>
      <w:r w:rsidR="00162EDB" w:rsidRPr="00E35083">
        <w:t>impede access into and out of</w:t>
      </w:r>
      <w:r w:rsidRPr="00E35083">
        <w:t xml:space="preserve"> the house, and blood was everywhere.</w:t>
      </w:r>
    </w:p>
    <w:p w14:paraId="702FED52" w14:textId="2D16A155" w:rsidR="000413FE" w:rsidRPr="00E35083" w:rsidRDefault="005A2E4C" w:rsidP="00E35083">
      <w:pPr>
        <w:tabs>
          <w:tab w:val="clear" w:pos="720"/>
        </w:tabs>
        <w:spacing w:line="360" w:lineRule="auto"/>
      </w:pPr>
      <w:r w:rsidRPr="00E35083">
        <w:tab/>
        <w:t>After retu</w:t>
      </w:r>
      <w:r w:rsidRPr="00E35083">
        <w:t xml:space="preserve">rning from her trip, Kit found a wallet in her house containing defendant’s driver’s license, </w:t>
      </w:r>
      <w:r w:rsidR="007139CE" w:rsidRPr="00E35083">
        <w:t>Jane’s</w:t>
      </w:r>
      <w:r w:rsidR="00CE2388" w:rsidRPr="00E35083">
        <w:t xml:space="preserve"> debit card,</w:t>
      </w:r>
      <w:r w:rsidRPr="00E35083">
        <w:t xml:space="preserve"> an appointment reminder car</w:t>
      </w:r>
      <w:r w:rsidR="00162EDB" w:rsidRPr="00E35083">
        <w:t>d</w:t>
      </w:r>
      <w:r w:rsidRPr="00E35083">
        <w:t xml:space="preserve"> with defendant’s name</w:t>
      </w:r>
      <w:r w:rsidR="00162EDB" w:rsidRPr="00E35083">
        <w:t xml:space="preserve"> on it</w:t>
      </w:r>
      <w:r w:rsidRPr="00E35083">
        <w:t>, a pay stub</w:t>
      </w:r>
      <w:r w:rsidR="007139CE" w:rsidRPr="00E35083">
        <w:t>,</w:t>
      </w:r>
      <w:r w:rsidRPr="00E35083">
        <w:t xml:space="preserve"> and a prom photograph of defendant.  </w:t>
      </w:r>
      <w:r w:rsidR="007E1EA9" w:rsidRPr="00E35083">
        <w:t>She also found that one shotgun and her white truck were missing.</w:t>
      </w:r>
    </w:p>
    <w:p w14:paraId="123C1EF6" w14:textId="30FA3605" w:rsidR="008B028E" w:rsidRPr="00E35083" w:rsidRDefault="005A2E4C" w:rsidP="00E35083">
      <w:pPr>
        <w:pStyle w:val="ListParagraph"/>
        <w:keepNext/>
        <w:numPr>
          <w:ilvl w:val="1"/>
          <w:numId w:val="2"/>
        </w:numPr>
        <w:tabs>
          <w:tab w:val="clear" w:pos="720"/>
        </w:tabs>
        <w:spacing w:after="120" w:line="240" w:lineRule="auto"/>
        <w:ind w:left="1440" w:hanging="720"/>
      </w:pPr>
      <w:r w:rsidRPr="00E35083">
        <w:rPr>
          <w:b/>
          <w:bCs/>
        </w:rPr>
        <w:lastRenderedPageBreak/>
        <w:t xml:space="preserve">Shooting at an Inhabited Dwelling: </w:t>
      </w:r>
      <w:r w:rsidR="007139CE" w:rsidRPr="00E35083">
        <w:rPr>
          <w:b/>
          <w:bCs/>
        </w:rPr>
        <w:t xml:space="preserve"> </w:t>
      </w:r>
      <w:r w:rsidRPr="00E35083">
        <w:rPr>
          <w:b/>
          <w:bCs/>
        </w:rPr>
        <w:t>May 4, 2016 (Counts</w:t>
      </w:r>
      <w:r w:rsidR="00ED5A92" w:rsidRPr="00E35083">
        <w:rPr>
          <w:b/>
          <w:bCs/>
        </w:rPr>
        <w:t> </w:t>
      </w:r>
      <w:r w:rsidR="007139CE" w:rsidRPr="00E35083">
        <w:rPr>
          <w:b/>
          <w:bCs/>
        </w:rPr>
        <w:t>10–11</w:t>
      </w:r>
      <w:r w:rsidRPr="00E35083">
        <w:rPr>
          <w:b/>
          <w:bCs/>
        </w:rPr>
        <w:t>).</w:t>
      </w:r>
    </w:p>
    <w:p w14:paraId="67F419C7" w14:textId="324082CE" w:rsidR="003C4342" w:rsidRPr="00E35083" w:rsidRDefault="005A2E4C" w:rsidP="00E35083">
      <w:pPr>
        <w:tabs>
          <w:tab w:val="clear" w:pos="720"/>
        </w:tabs>
        <w:spacing w:line="360" w:lineRule="auto"/>
      </w:pPr>
      <w:r w:rsidRPr="00E35083">
        <w:tab/>
        <w:t xml:space="preserve">On </w:t>
      </w:r>
      <w:r w:rsidR="007139CE" w:rsidRPr="00E35083">
        <w:t>May 4,</w:t>
      </w:r>
      <w:r w:rsidRPr="00E35083">
        <w:t xml:space="preserve"> 2016</w:t>
      </w:r>
      <w:r w:rsidR="00F861DE" w:rsidRPr="00E35083">
        <w:t>,</w:t>
      </w:r>
      <w:r w:rsidRPr="00E35083">
        <w:t xml:space="preserve"> just before </w:t>
      </w:r>
      <w:r w:rsidR="007139CE" w:rsidRPr="00E35083">
        <w:t>11 a.m.,</w:t>
      </w:r>
      <w:r w:rsidRPr="00E35083">
        <w:t xml:space="preserve"> defendant drove to the drive-through window of the </w:t>
      </w:r>
      <w:proofErr w:type="gramStart"/>
      <w:r w:rsidRPr="00E35083">
        <w:t>fast food</w:t>
      </w:r>
      <w:proofErr w:type="gramEnd"/>
      <w:r w:rsidRPr="00E35083">
        <w:t xml:space="preserve"> restaurant </w:t>
      </w:r>
      <w:r w:rsidR="007139CE" w:rsidRPr="00E35083">
        <w:t>where Jane worked</w:t>
      </w:r>
      <w:r w:rsidRPr="00E35083">
        <w:t xml:space="preserve"> and asked the employee at the wind</w:t>
      </w:r>
      <w:r w:rsidRPr="00E35083">
        <w:t xml:space="preserve">ow </w:t>
      </w:r>
      <w:r w:rsidR="007139CE" w:rsidRPr="00E35083">
        <w:t>whether Jane was there</w:t>
      </w:r>
      <w:r w:rsidRPr="00E35083">
        <w:t>.  Although the employee told him no</w:t>
      </w:r>
      <w:r w:rsidR="00F861DE" w:rsidRPr="00E35083">
        <w:t xml:space="preserve"> t</w:t>
      </w:r>
      <w:r w:rsidR="00BD086C" w:rsidRPr="00E35083">
        <w:t>hree times</w:t>
      </w:r>
      <w:r w:rsidRPr="00E35083">
        <w:t xml:space="preserve">, defendant </w:t>
      </w:r>
      <w:r w:rsidR="00BD086C" w:rsidRPr="00E35083">
        <w:t xml:space="preserve">pulled out a gun and </w:t>
      </w:r>
      <w:r w:rsidRPr="00E35083">
        <w:t xml:space="preserve">asked </w:t>
      </w:r>
      <w:r w:rsidR="00F861DE" w:rsidRPr="00E35083">
        <w:t>to “</w:t>
      </w:r>
      <w:r w:rsidRPr="00E35083">
        <w:t xml:space="preserve">come in to get her.”  The employee ran to hide, </w:t>
      </w:r>
      <w:r w:rsidR="00240DCF" w:rsidRPr="00E35083">
        <w:t xml:space="preserve">while </w:t>
      </w:r>
      <w:r w:rsidRPr="00E35083">
        <w:t xml:space="preserve">telling a </w:t>
      </w:r>
      <w:proofErr w:type="spellStart"/>
      <w:r w:rsidR="00CE2388" w:rsidRPr="00E35083">
        <w:t>coemployee</w:t>
      </w:r>
      <w:proofErr w:type="spellEnd"/>
      <w:r w:rsidRPr="00E35083">
        <w:t xml:space="preserve"> that defendant was </w:t>
      </w:r>
      <w:r w:rsidR="00F861DE" w:rsidRPr="00E35083">
        <w:t>outside</w:t>
      </w:r>
      <w:r w:rsidRPr="00E35083">
        <w:t xml:space="preserve"> with a gun.  The</w:t>
      </w:r>
      <w:r w:rsidR="00F861DE" w:rsidRPr="00E35083">
        <w:t xml:space="preserve"> pair</w:t>
      </w:r>
      <w:r w:rsidRPr="00E35083">
        <w:t xml:space="preserve"> ran with </w:t>
      </w:r>
      <w:r w:rsidR="009A0C04" w:rsidRPr="00E35083">
        <w:t>several</w:t>
      </w:r>
      <w:r w:rsidRPr="00E35083">
        <w:t xml:space="preserve"> other employees into the freezer, where they tried to call the police but did not have cellular reception.</w:t>
      </w:r>
    </w:p>
    <w:p w14:paraId="1F26FED9" w14:textId="7E101505" w:rsidR="008B028E" w:rsidRPr="00E35083" w:rsidRDefault="005A2E4C" w:rsidP="00E35083">
      <w:pPr>
        <w:tabs>
          <w:tab w:val="clear" w:pos="720"/>
        </w:tabs>
        <w:spacing w:line="360" w:lineRule="auto"/>
      </w:pPr>
      <w:r w:rsidRPr="00E35083">
        <w:tab/>
      </w:r>
      <w:r w:rsidR="00F861DE" w:rsidRPr="00E35083">
        <w:t xml:space="preserve">While they hid, </w:t>
      </w:r>
      <w:r w:rsidR="00BD086C" w:rsidRPr="00E35083">
        <w:t xml:space="preserve">about </w:t>
      </w:r>
      <w:r w:rsidR="00F861DE" w:rsidRPr="00E35083">
        <w:t>f</w:t>
      </w:r>
      <w:r w:rsidRPr="00E35083">
        <w:t xml:space="preserve">our </w:t>
      </w:r>
      <w:r w:rsidR="00CE2388" w:rsidRPr="00E35083">
        <w:t>gunshots</w:t>
      </w:r>
      <w:r w:rsidRPr="00E35083">
        <w:t xml:space="preserve"> were fired into the restaurant’s large-paned glass windows in front of an area designated as t</w:t>
      </w:r>
      <w:r w:rsidRPr="00E35083">
        <w:t xml:space="preserve">he children’s play space.  </w:t>
      </w:r>
      <w:r w:rsidR="00A5517F" w:rsidRPr="00E35083">
        <w:t>An employee who was between the restaurant’s lobby and play space was hit on his cheeks and left pectoral with three “little balls” that caused mark</w:t>
      </w:r>
      <w:r w:rsidR="00F861DE" w:rsidRPr="00E35083">
        <w:t>ing</w:t>
      </w:r>
      <w:r w:rsidR="00A5517F" w:rsidRPr="00E35083">
        <w:t xml:space="preserve">s and swelling.  </w:t>
      </w:r>
      <w:r w:rsidRPr="00E35083">
        <w:t>The physical evidence</w:t>
      </w:r>
      <w:r w:rsidR="00A5517F" w:rsidRPr="00E35083">
        <w:t xml:space="preserve">, </w:t>
      </w:r>
      <w:r w:rsidR="00F861DE" w:rsidRPr="00E35083">
        <w:t xml:space="preserve">including </w:t>
      </w:r>
      <w:r w:rsidR="00A5517F" w:rsidRPr="00E35083">
        <w:t>a shotgun cup and</w:t>
      </w:r>
      <w:r w:rsidR="00F861DE" w:rsidRPr="00E35083">
        <w:t xml:space="preserve"> an </w:t>
      </w:r>
      <w:r w:rsidR="00A5517F" w:rsidRPr="00E35083">
        <w:t>expended shell,</w:t>
      </w:r>
      <w:r w:rsidRPr="00E35083">
        <w:t xml:space="preserve"> </w:t>
      </w:r>
      <w:r w:rsidR="00F861DE" w:rsidRPr="00E35083">
        <w:t>proved</w:t>
      </w:r>
      <w:r w:rsidR="00A5517F" w:rsidRPr="00E35083">
        <w:t xml:space="preserve"> the shots came from a shotgun loaded with </w:t>
      </w:r>
      <w:r w:rsidR="00CE2388" w:rsidRPr="00E35083">
        <w:t>bird shot</w:t>
      </w:r>
      <w:r w:rsidR="00A5517F" w:rsidRPr="00E35083">
        <w:t xml:space="preserve">.  </w:t>
      </w:r>
      <w:r w:rsidR="00F861DE" w:rsidRPr="00E35083">
        <w:t>Defendant was later identified in a</w:t>
      </w:r>
      <w:r w:rsidR="00A5517F" w:rsidRPr="00E35083">
        <w:t xml:space="preserve"> </w:t>
      </w:r>
      <w:r w:rsidR="00CE2388" w:rsidRPr="00E35083">
        <w:t>dashboard camera</w:t>
      </w:r>
      <w:r w:rsidR="00A5517F" w:rsidRPr="00E35083">
        <w:t xml:space="preserve"> video of the incident </w:t>
      </w:r>
      <w:r w:rsidR="00F861DE" w:rsidRPr="00E35083">
        <w:t>as the driver</w:t>
      </w:r>
      <w:r w:rsidR="00A5517F" w:rsidRPr="00E35083">
        <w:t xml:space="preserve"> of a </w:t>
      </w:r>
      <w:r w:rsidR="00E663E1" w:rsidRPr="00E35083">
        <w:t xml:space="preserve">white </w:t>
      </w:r>
      <w:r w:rsidR="00A5517F" w:rsidRPr="00E35083">
        <w:t>truck.</w:t>
      </w:r>
    </w:p>
    <w:p w14:paraId="3F4208D0" w14:textId="4A035ED8" w:rsidR="00A5517F" w:rsidRPr="00E35083" w:rsidRDefault="005A2E4C" w:rsidP="00E35083">
      <w:pPr>
        <w:tabs>
          <w:tab w:val="clear" w:pos="720"/>
        </w:tabs>
        <w:spacing w:line="360" w:lineRule="auto"/>
      </w:pPr>
      <w:r w:rsidRPr="00E35083">
        <w:tab/>
        <w:t xml:space="preserve">Just after </w:t>
      </w:r>
      <w:r w:rsidR="00CE2388" w:rsidRPr="00E35083">
        <w:t>11 a.m.</w:t>
      </w:r>
      <w:r w:rsidRPr="00E35083">
        <w:t xml:space="preserve"> on the same day, </w:t>
      </w:r>
      <w:r w:rsidR="00E663E1" w:rsidRPr="00E35083">
        <w:t xml:space="preserve">a neighbor of </w:t>
      </w:r>
      <w:r w:rsidR="00CE2388" w:rsidRPr="00E35083">
        <w:t>Jane’s cousin</w:t>
      </w:r>
      <w:r w:rsidR="00E663E1" w:rsidRPr="00E35083">
        <w:t xml:space="preserve"> was outside his house on Beacon Street in Pittsburg.  The neighbor witnessed a man in a white truck pull up in front of </w:t>
      </w:r>
      <w:r w:rsidR="00CE2388" w:rsidRPr="00E35083">
        <w:t>Jane’s cousin’s house</w:t>
      </w:r>
      <w:r w:rsidR="00E663E1" w:rsidRPr="00E35083">
        <w:t xml:space="preserve"> and exit the truck with a shotgun.  This man, later identified as defendant, shouted </w:t>
      </w:r>
      <w:r w:rsidR="00CE2388" w:rsidRPr="00E35083">
        <w:t>“</w:t>
      </w:r>
      <w:proofErr w:type="spellStart"/>
      <w:r w:rsidR="00CE2388" w:rsidRPr="00E35083">
        <w:t>cabr</w:t>
      </w:r>
      <w:r w:rsidR="00CE2388" w:rsidRPr="00E35083">
        <w:rPr>
          <w:rFonts w:cs="Times New Roman"/>
        </w:rPr>
        <w:t>ó</w:t>
      </w:r>
      <w:r w:rsidR="00CE2388" w:rsidRPr="00E35083">
        <w:t>n</w:t>
      </w:r>
      <w:proofErr w:type="spellEnd"/>
      <w:r w:rsidR="00CE2388" w:rsidRPr="00E35083">
        <w:t>”</w:t>
      </w:r>
      <w:r w:rsidR="00E663E1" w:rsidRPr="00E35083">
        <w:t xml:space="preserve"> and shot through the front window of </w:t>
      </w:r>
      <w:r w:rsidR="00CE2388" w:rsidRPr="00E35083">
        <w:t>Jane’s cousin’s house</w:t>
      </w:r>
      <w:r w:rsidR="00E663E1" w:rsidRPr="00E35083">
        <w:t xml:space="preserve"> before returning to the truck and leaving.</w:t>
      </w:r>
    </w:p>
    <w:p w14:paraId="71B75158" w14:textId="44346012" w:rsidR="008B028E" w:rsidRPr="00E35083" w:rsidRDefault="005A2E4C" w:rsidP="00E35083">
      <w:pPr>
        <w:pStyle w:val="ListParagraph"/>
        <w:keepNext/>
        <w:numPr>
          <w:ilvl w:val="1"/>
          <w:numId w:val="2"/>
        </w:numPr>
        <w:tabs>
          <w:tab w:val="clear" w:pos="720"/>
        </w:tabs>
        <w:spacing w:line="360" w:lineRule="auto"/>
        <w:ind w:left="1440" w:hanging="720"/>
        <w:rPr>
          <w:b/>
          <w:bCs/>
        </w:rPr>
      </w:pPr>
      <w:r w:rsidRPr="00E35083">
        <w:rPr>
          <w:b/>
          <w:bCs/>
        </w:rPr>
        <w:t xml:space="preserve">Carjacking: </w:t>
      </w:r>
      <w:r w:rsidR="00ED5A92" w:rsidRPr="00E35083">
        <w:rPr>
          <w:b/>
          <w:bCs/>
        </w:rPr>
        <w:t xml:space="preserve"> </w:t>
      </w:r>
      <w:r w:rsidRPr="00E35083">
        <w:rPr>
          <w:b/>
          <w:bCs/>
        </w:rPr>
        <w:t>May 4, 2016 (Count 12).</w:t>
      </w:r>
    </w:p>
    <w:p w14:paraId="56960FCE" w14:textId="32C8CAF5" w:rsidR="008B028E" w:rsidRPr="00E35083" w:rsidRDefault="005A2E4C" w:rsidP="00E35083">
      <w:pPr>
        <w:tabs>
          <w:tab w:val="clear" w:pos="720"/>
        </w:tabs>
        <w:spacing w:line="360" w:lineRule="auto"/>
      </w:pPr>
      <w:r w:rsidRPr="00E35083">
        <w:tab/>
      </w:r>
      <w:r w:rsidR="009A0C04" w:rsidRPr="00E35083">
        <w:t xml:space="preserve">In the early evening of </w:t>
      </w:r>
      <w:r w:rsidR="00B33F8B" w:rsidRPr="00E35083">
        <w:t>May 4,</w:t>
      </w:r>
      <w:r w:rsidR="00F82127" w:rsidRPr="00E35083">
        <w:t xml:space="preserve"> 2016, T.L., a high school student, and several friends were </w:t>
      </w:r>
      <w:r w:rsidR="00BD086C" w:rsidRPr="00E35083">
        <w:t>“hanging out”</w:t>
      </w:r>
      <w:r w:rsidR="00F82127" w:rsidRPr="00E35083">
        <w:t xml:space="preserve"> in a rural area </w:t>
      </w:r>
      <w:r w:rsidR="00F861DE" w:rsidRPr="00E35083">
        <w:t>on</w:t>
      </w:r>
      <w:r w:rsidR="00F82127" w:rsidRPr="00E35083">
        <w:t xml:space="preserve"> Franklin Canyon Road</w:t>
      </w:r>
      <w:r w:rsidR="00B33F8B" w:rsidRPr="00E35083">
        <w:t>,</w:t>
      </w:r>
      <w:r w:rsidR="00F82127" w:rsidRPr="00E35083">
        <w:t xml:space="preserve"> taking photographs.  A white truck arrived and parked about 40 feet </w:t>
      </w:r>
      <w:r w:rsidR="00BD086C" w:rsidRPr="00E35083">
        <w:t>away</w:t>
      </w:r>
      <w:r w:rsidR="00F82127" w:rsidRPr="00E35083">
        <w:t xml:space="preserve">.  </w:t>
      </w:r>
      <w:r w:rsidR="00F82127" w:rsidRPr="00E35083">
        <w:lastRenderedPageBreak/>
        <w:t xml:space="preserve">Defendant got out of the truck and approached with a shotgun “in a ready </w:t>
      </w:r>
      <w:r w:rsidR="00B33F8B" w:rsidRPr="00E35083">
        <w:t>position </w:t>
      </w:r>
      <w:proofErr w:type="gramStart"/>
      <w:r w:rsidR="00B33F8B" w:rsidRPr="00E35083">
        <w:t>. . . .</w:t>
      </w:r>
      <w:proofErr w:type="gramEnd"/>
      <w:r w:rsidR="00F82127" w:rsidRPr="00E35083">
        <w:t>”  Defendant asked T.L. for the keys to his 199</w:t>
      </w:r>
      <w:r w:rsidR="00BD086C" w:rsidRPr="00E35083">
        <w:t>7</w:t>
      </w:r>
      <w:r w:rsidR="00F82127" w:rsidRPr="00E35083">
        <w:t xml:space="preserve"> BMW, and T.L. complied.  Defendant warned the group not to call the police and </w:t>
      </w:r>
      <w:r w:rsidR="00F861DE" w:rsidRPr="00E35083">
        <w:t>said</w:t>
      </w:r>
      <w:r w:rsidR="00F82127" w:rsidRPr="00E35083">
        <w:t xml:space="preserve"> he would be back.  He then drove off in the BMW toward the entrance of eastbound </w:t>
      </w:r>
      <w:r w:rsidR="00B33F8B" w:rsidRPr="00E35083">
        <w:t>Highway 4</w:t>
      </w:r>
      <w:r w:rsidR="00F82127" w:rsidRPr="00E35083">
        <w:t xml:space="preserve">. </w:t>
      </w:r>
      <w:r w:rsidR="00BD086C" w:rsidRPr="00E35083">
        <w:t xml:space="preserve"> One of T.L.’s friends called 911.</w:t>
      </w:r>
    </w:p>
    <w:p w14:paraId="02C3FA79" w14:textId="06B5C2C0" w:rsidR="00F82127" w:rsidRPr="00E35083" w:rsidRDefault="005A2E4C" w:rsidP="00E35083">
      <w:pPr>
        <w:tabs>
          <w:tab w:val="clear" w:pos="720"/>
        </w:tabs>
        <w:spacing w:line="360" w:lineRule="auto"/>
      </w:pPr>
      <w:r w:rsidRPr="00E35083">
        <w:tab/>
      </w:r>
      <w:r w:rsidR="00BD086C" w:rsidRPr="00E35083">
        <w:t>The police arrived and searched the white truck that defendant left behind, finding s</w:t>
      </w:r>
      <w:r w:rsidRPr="00E35083">
        <w:t>everal spent ammunition shells and rounds of live ammunition.</w:t>
      </w:r>
    </w:p>
    <w:p w14:paraId="6EA78D39" w14:textId="19D60902" w:rsidR="008B028E" w:rsidRPr="00E35083" w:rsidRDefault="005A2E4C" w:rsidP="00E35083">
      <w:pPr>
        <w:pStyle w:val="ListParagraph"/>
        <w:keepNext/>
        <w:numPr>
          <w:ilvl w:val="1"/>
          <w:numId w:val="2"/>
        </w:numPr>
        <w:tabs>
          <w:tab w:val="clear" w:pos="720"/>
        </w:tabs>
        <w:spacing w:after="120" w:line="240" w:lineRule="auto"/>
        <w:ind w:left="1440" w:hanging="720"/>
        <w:rPr>
          <w:b/>
          <w:bCs/>
        </w:rPr>
      </w:pPr>
      <w:r w:rsidRPr="00E35083">
        <w:rPr>
          <w:b/>
          <w:bCs/>
        </w:rPr>
        <w:t>Fleeing the Police, Assault with a Firearm</w:t>
      </w:r>
      <w:r w:rsidR="00B33F8B" w:rsidRPr="00E35083">
        <w:rPr>
          <w:b/>
          <w:bCs/>
        </w:rPr>
        <w:t>,</w:t>
      </w:r>
      <w:r w:rsidRPr="00E35083">
        <w:rPr>
          <w:b/>
          <w:bCs/>
        </w:rPr>
        <w:t xml:space="preserve"> and Attempted Murder</w:t>
      </w:r>
      <w:r w:rsidR="003271D6">
        <w:rPr>
          <w:b/>
          <w:bCs/>
        </w:rPr>
        <w:t xml:space="preserve">: </w:t>
      </w:r>
      <w:r w:rsidR="00091FEE">
        <w:rPr>
          <w:b/>
          <w:bCs/>
        </w:rPr>
        <w:t xml:space="preserve"> </w:t>
      </w:r>
      <w:r w:rsidR="003271D6">
        <w:rPr>
          <w:b/>
          <w:bCs/>
        </w:rPr>
        <w:t>May 4, 2016</w:t>
      </w:r>
      <w:r w:rsidRPr="00E35083">
        <w:rPr>
          <w:b/>
          <w:bCs/>
        </w:rPr>
        <w:t xml:space="preserve"> (Counts </w:t>
      </w:r>
      <w:r w:rsidR="00B33F8B" w:rsidRPr="00E35083">
        <w:rPr>
          <w:b/>
          <w:bCs/>
        </w:rPr>
        <w:t>1-4</w:t>
      </w:r>
      <w:r w:rsidRPr="00E35083">
        <w:rPr>
          <w:b/>
          <w:bCs/>
        </w:rPr>
        <w:t>, 13).</w:t>
      </w:r>
    </w:p>
    <w:p w14:paraId="24E0B48A" w14:textId="05FCFEEB" w:rsidR="00836721" w:rsidRPr="00E35083" w:rsidRDefault="005A2E4C" w:rsidP="00E35083">
      <w:pPr>
        <w:tabs>
          <w:tab w:val="clear" w:pos="720"/>
        </w:tabs>
        <w:spacing w:line="360" w:lineRule="auto"/>
      </w:pPr>
      <w:r w:rsidRPr="00E35083">
        <w:tab/>
      </w:r>
      <w:r w:rsidR="00914038" w:rsidRPr="00E35083">
        <w:t>Around</w:t>
      </w:r>
      <w:r w:rsidR="009B303F" w:rsidRPr="00E35083">
        <w:t xml:space="preserve"> </w:t>
      </w:r>
      <w:r w:rsidR="00914038" w:rsidRPr="00E35083">
        <w:t>6 p.m. on May 4,</w:t>
      </w:r>
      <w:r w:rsidR="009B303F" w:rsidRPr="00E35083">
        <w:t xml:space="preserve"> 2016, Officers Smith and Duggar of the Antioch Police Department were on patrol in separate marked police cars.  Both officers responded to a report of </w:t>
      </w:r>
      <w:r w:rsidR="00914038" w:rsidRPr="00E35083">
        <w:t>defendant’s</w:t>
      </w:r>
      <w:r w:rsidR="009B303F" w:rsidRPr="00E35083">
        <w:t xml:space="preserve"> driving a stolen BMW near Auto Center Drive and </w:t>
      </w:r>
      <w:r w:rsidR="00914038" w:rsidRPr="00E35083">
        <w:t>Pittsburg–Antioch</w:t>
      </w:r>
      <w:r w:rsidR="009B303F" w:rsidRPr="00E35083">
        <w:t xml:space="preserve"> Highway.  Officer Smith, parked in an industrial lot, saw the stolen BMW with no license plates and began following it.  Once Officer Duggar arrived, both officers activated their overhead lights.</w:t>
      </w:r>
    </w:p>
    <w:p w14:paraId="41CE4AE8" w14:textId="754A1FC8" w:rsidR="00D52F84" w:rsidRPr="00E35083" w:rsidRDefault="005A2E4C" w:rsidP="00E35083">
      <w:pPr>
        <w:tabs>
          <w:tab w:val="clear" w:pos="720"/>
        </w:tabs>
        <w:spacing w:line="360" w:lineRule="auto"/>
      </w:pPr>
      <w:r w:rsidRPr="00E35083">
        <w:tab/>
        <w:t xml:space="preserve">Defendant sped up to 60 to 80 </w:t>
      </w:r>
      <w:r w:rsidR="00914038" w:rsidRPr="00E35083">
        <w:t>miles per hour</w:t>
      </w:r>
      <w:r w:rsidRPr="00E35083">
        <w:t xml:space="preserve"> as he drove erratically</w:t>
      </w:r>
      <w:r w:rsidR="00914038" w:rsidRPr="00E35083">
        <w:t>,</w:t>
      </w:r>
      <w:r w:rsidRPr="00E35083">
        <w:t xml:space="preserve"> southbound on Auto Center Drive.</w:t>
      </w:r>
      <w:r w:rsidR="009B303F" w:rsidRPr="00E35083">
        <w:t xml:space="preserve"> </w:t>
      </w:r>
      <w:r w:rsidRPr="00E35083">
        <w:t xml:space="preserve"> Although it was </w:t>
      </w:r>
      <w:proofErr w:type="gramStart"/>
      <w:r w:rsidRPr="00E35083">
        <w:t>rush</w:t>
      </w:r>
      <w:proofErr w:type="gramEnd"/>
      <w:r w:rsidRPr="00E35083">
        <w:t xml:space="preserve"> hour, defe</w:t>
      </w:r>
      <w:r w:rsidRPr="00E35083">
        <w:t xml:space="preserve">ndant did not stop at a single red light as he entered Century Boulevard. </w:t>
      </w:r>
      <w:r w:rsidR="001314DB" w:rsidRPr="00E35083">
        <w:t xml:space="preserve"> At some point, Officer Smith lost sight of defendant.  However, as he approached the intersection of Leland and Loveridge</w:t>
      </w:r>
      <w:r w:rsidR="009A0C04" w:rsidRPr="00E35083">
        <w:t xml:space="preserve"> Roads</w:t>
      </w:r>
      <w:r w:rsidR="001314DB" w:rsidRPr="00E35083">
        <w:t xml:space="preserve">, Officer Smith saw a light-colored </w:t>
      </w:r>
      <w:r w:rsidR="00914038" w:rsidRPr="00E35083">
        <w:t>Chevrolet</w:t>
      </w:r>
      <w:r w:rsidR="001314DB" w:rsidRPr="00E35083">
        <w:t xml:space="preserve"> Suburban in the middle of the interse</w:t>
      </w:r>
      <w:r w:rsidRPr="00E35083">
        <w:t>c</w:t>
      </w:r>
      <w:r w:rsidR="001314DB" w:rsidRPr="00E35083">
        <w:t>t</w:t>
      </w:r>
      <w:r w:rsidRPr="00E35083">
        <w:t>ion</w:t>
      </w:r>
      <w:r w:rsidR="001314DB" w:rsidRPr="00E35083">
        <w:t xml:space="preserve"> </w:t>
      </w:r>
      <w:r w:rsidRPr="00E35083">
        <w:t xml:space="preserve">with major damage.  The BMW had run the red light and collided with the Suburban and another car before colliding with some street signage and coming to a stop on the north side of the intersection.  Officer Smith </w:t>
      </w:r>
      <w:r w:rsidR="004204E1" w:rsidRPr="00E35083">
        <w:t>saw</w:t>
      </w:r>
      <w:r w:rsidRPr="00E35083">
        <w:t xml:space="preserve"> defendant standing outside the crashed</w:t>
      </w:r>
      <w:r w:rsidRPr="00E35083">
        <w:t xml:space="preserve"> BMW </w:t>
      </w:r>
      <w:r w:rsidR="004204E1" w:rsidRPr="00E35083">
        <w:t>using the car</w:t>
      </w:r>
      <w:r w:rsidRPr="00E35083">
        <w:t xml:space="preserve"> door </w:t>
      </w:r>
      <w:r w:rsidR="004204E1" w:rsidRPr="00E35083">
        <w:t>as concealment as he</w:t>
      </w:r>
      <w:r w:rsidRPr="00E35083">
        <w:t xml:space="preserve"> point</w:t>
      </w:r>
      <w:r w:rsidR="004204E1" w:rsidRPr="00E35083">
        <w:t>ed</w:t>
      </w:r>
      <w:r w:rsidRPr="00E35083">
        <w:t xml:space="preserve"> a firearm in </w:t>
      </w:r>
      <w:r w:rsidR="004204E1" w:rsidRPr="00E35083">
        <w:t>the officer’</w:t>
      </w:r>
      <w:r w:rsidRPr="00E35083">
        <w:t>s direction.</w:t>
      </w:r>
    </w:p>
    <w:p w14:paraId="34AF90CF" w14:textId="23213A2C" w:rsidR="004204E1" w:rsidRPr="00E35083" w:rsidRDefault="005A2E4C" w:rsidP="00E35083">
      <w:pPr>
        <w:tabs>
          <w:tab w:val="clear" w:pos="720"/>
        </w:tabs>
        <w:spacing w:line="360" w:lineRule="auto"/>
      </w:pPr>
      <w:r w:rsidRPr="00E35083">
        <w:lastRenderedPageBreak/>
        <w:tab/>
      </w:r>
      <w:r w:rsidR="00A50BE8" w:rsidRPr="00E35083">
        <w:t xml:space="preserve">Officer Smith slammed on his brakes as he saw </w:t>
      </w:r>
      <w:r w:rsidRPr="00E35083">
        <w:t>a</w:t>
      </w:r>
      <w:r w:rsidR="00A50BE8" w:rsidRPr="00E35083">
        <w:t xml:space="preserve"> muzzle blast from defendant’s firearm</w:t>
      </w:r>
      <w:r w:rsidRPr="00E35083">
        <w:t xml:space="preserve">.  He immediately felt an impact to the side of his face that felt like </w:t>
      </w:r>
      <w:r w:rsidR="00C34089" w:rsidRPr="00E35083">
        <w:t>“</w:t>
      </w:r>
      <w:r w:rsidRPr="00E35083">
        <w:t>having</w:t>
      </w:r>
      <w:r w:rsidRPr="00E35083">
        <w:t xml:space="preserve"> a cinder block thrown at </w:t>
      </w:r>
      <w:r w:rsidR="00C34089" w:rsidRPr="00E35083">
        <w:t>[him].”</w:t>
      </w:r>
      <w:r w:rsidR="00A50BE8" w:rsidRPr="00E35083">
        <w:t xml:space="preserve">  Officer Smith </w:t>
      </w:r>
      <w:r w:rsidRPr="00E35083">
        <w:t xml:space="preserve">felt blood running down his face and thought he might lose consciousness.  After </w:t>
      </w:r>
      <w:r w:rsidR="00A50BE8" w:rsidRPr="00E35083">
        <w:t>hear</w:t>
      </w:r>
      <w:r w:rsidRPr="00E35083">
        <w:t xml:space="preserve">ing </w:t>
      </w:r>
      <w:r w:rsidR="00A50BE8" w:rsidRPr="00E35083">
        <w:t>a second muzzle blast</w:t>
      </w:r>
      <w:r w:rsidRPr="00E35083">
        <w:t xml:space="preserve">, </w:t>
      </w:r>
      <w:r w:rsidR="00A50BE8" w:rsidRPr="00E35083">
        <w:t>Officer Smith returned fire on defendant with his pistol</w:t>
      </w:r>
      <w:r w:rsidRPr="00E35083">
        <w:t>,</w:t>
      </w:r>
      <w:r w:rsidR="00A50BE8" w:rsidRPr="00E35083">
        <w:t xml:space="preserve"> </w:t>
      </w:r>
      <w:r w:rsidRPr="00E35083">
        <w:t>shooting about three rounds through h</w:t>
      </w:r>
      <w:r w:rsidRPr="00E35083">
        <w:t xml:space="preserve">is own windshield. </w:t>
      </w:r>
      <w:r w:rsidR="00FD4F3F" w:rsidRPr="00E35083">
        <w:t xml:space="preserve"> Officer Smith then opened his car door, put the car into drive, waited for a break in the gunfire, and ran </w:t>
      </w:r>
      <w:r w:rsidR="00C34089" w:rsidRPr="00E35083">
        <w:t>toward</w:t>
      </w:r>
      <w:r w:rsidR="00FD4F3F" w:rsidRPr="00E35083">
        <w:t xml:space="preserve"> the Suburban.  Before he reached the vehicle, Officer Smith slipped and fell.  As he got up, Officer Duggar arrived and got out of his car.  Officer Duggar’s car provided cover until both men could r</w:t>
      </w:r>
      <w:r w:rsidR="003963A8" w:rsidRPr="00E35083">
        <w:t>un behind</w:t>
      </w:r>
      <w:r w:rsidR="00FD4F3F" w:rsidRPr="00E35083">
        <w:t xml:space="preserve"> the Suburban.</w:t>
      </w:r>
    </w:p>
    <w:p w14:paraId="7D6699F3" w14:textId="6AA465F2" w:rsidR="007E0C74" w:rsidRPr="00E35083" w:rsidRDefault="005A2E4C" w:rsidP="00E35083">
      <w:pPr>
        <w:tabs>
          <w:tab w:val="clear" w:pos="720"/>
        </w:tabs>
        <w:spacing w:line="360" w:lineRule="auto"/>
      </w:pPr>
      <w:r w:rsidRPr="00E35083">
        <w:tab/>
      </w:r>
      <w:proofErr w:type="gramStart"/>
      <w:r w:rsidRPr="00E35083">
        <w:t>Similar to</w:t>
      </w:r>
      <w:proofErr w:type="gramEnd"/>
      <w:r w:rsidRPr="00E35083">
        <w:t xml:space="preserve"> Officer Smith, </w:t>
      </w:r>
      <w:r w:rsidR="00D9748D" w:rsidRPr="00E35083">
        <w:t xml:space="preserve">when </w:t>
      </w:r>
      <w:r w:rsidRPr="00E35083">
        <w:t xml:space="preserve">Officer Duggar </w:t>
      </w:r>
      <w:r w:rsidR="00D9748D" w:rsidRPr="00E35083">
        <w:t xml:space="preserve">arrived at the scene, he </w:t>
      </w:r>
      <w:r w:rsidRPr="00E35083">
        <w:t xml:space="preserve">saw defendant standing </w:t>
      </w:r>
      <w:r w:rsidR="000E1B41" w:rsidRPr="00E35083">
        <w:t>over</w:t>
      </w:r>
      <w:r w:rsidRPr="00E35083">
        <w:t xml:space="preserve"> the doorframe of the </w:t>
      </w:r>
      <w:r w:rsidR="000E1B41" w:rsidRPr="00E35083">
        <w:t xml:space="preserve">stolen, crashed </w:t>
      </w:r>
      <w:r w:rsidRPr="00E35083">
        <w:t xml:space="preserve">BMW </w:t>
      </w:r>
      <w:r w:rsidR="000E1B41" w:rsidRPr="00E35083">
        <w:t>w</w:t>
      </w:r>
      <w:r w:rsidRPr="00E35083">
        <w:t xml:space="preserve">ith a </w:t>
      </w:r>
      <w:r w:rsidR="00A50C55" w:rsidRPr="00E35083">
        <w:t>“</w:t>
      </w:r>
      <w:r w:rsidRPr="00E35083">
        <w:t>long r</w:t>
      </w:r>
      <w:r w:rsidRPr="00E35083">
        <w:t>ifle-style weap</w:t>
      </w:r>
      <w:r w:rsidR="000E1B41" w:rsidRPr="00E35083">
        <w:t>o</w:t>
      </w:r>
      <w:r w:rsidRPr="00E35083">
        <w:t>n</w:t>
      </w:r>
      <w:r w:rsidR="00A50C55" w:rsidRPr="00E35083">
        <w:t>”</w:t>
      </w:r>
      <w:r w:rsidRPr="00E35083">
        <w:t xml:space="preserve"> aimed in Officer Smith’s</w:t>
      </w:r>
      <w:r w:rsidR="000E1B41" w:rsidRPr="00E35083">
        <w:t xml:space="preserve"> </w:t>
      </w:r>
      <w:r w:rsidRPr="00E35083">
        <w:t>direction.</w:t>
      </w:r>
      <w:r w:rsidR="000E1B41" w:rsidRPr="00E35083">
        <w:t xml:space="preserve">  Officer Duggar saw at least one muzzle blast aimed at Officer Smith.  Then Officer Duggar saw defendant pivot and point his gun at him, prompting Officer Duggar to slam on the brakes.  As Officer Duggar attempted to put his car into park, he saw a second muzzle flash in his direction.  He got out of the car</w:t>
      </w:r>
      <w:r w:rsidRPr="00E35083">
        <w:t xml:space="preserve"> as it</w:t>
      </w:r>
      <w:r w:rsidR="000E1B41" w:rsidRPr="00E35083">
        <w:t xml:space="preserve"> continued to roll forward.  Officer Duggar then </w:t>
      </w:r>
      <w:r w:rsidRPr="00E35083">
        <w:t>joined Officer Smith</w:t>
      </w:r>
      <w:r w:rsidR="000E1B41" w:rsidRPr="00E35083">
        <w:t xml:space="preserve"> behind the Suburban and fired at least two shots at defendant.  </w:t>
      </w:r>
      <w:r w:rsidRPr="00E35083">
        <w:t>A</w:t>
      </w:r>
      <w:r w:rsidR="00953769" w:rsidRPr="00E35083">
        <w:t>f</w:t>
      </w:r>
      <w:r w:rsidRPr="00E35083">
        <w:t>t</w:t>
      </w:r>
      <w:r w:rsidR="00953769" w:rsidRPr="00E35083">
        <w:t>er th</w:t>
      </w:r>
      <w:r w:rsidRPr="00E35083">
        <w:t xml:space="preserve">e officers </w:t>
      </w:r>
      <w:r w:rsidR="00C34089" w:rsidRPr="00E35083">
        <w:t>did not hear</w:t>
      </w:r>
      <w:r w:rsidRPr="00E35083">
        <w:t xml:space="preserve"> any shots for several seconds, </w:t>
      </w:r>
      <w:r w:rsidR="00953769" w:rsidRPr="00E35083">
        <w:t>t</w:t>
      </w:r>
      <w:r w:rsidRPr="00E35083">
        <w:t>hey approached defendant and were able to take him into custody.</w:t>
      </w:r>
      <w:r>
        <w:rPr>
          <w:rStyle w:val="FootnoteReference"/>
        </w:rPr>
        <w:footnoteReference w:id="2"/>
      </w:r>
    </w:p>
    <w:p w14:paraId="5DB1AD89" w14:textId="3013263C" w:rsidR="0007157C" w:rsidRPr="00E35083" w:rsidRDefault="005A2E4C" w:rsidP="00E35083">
      <w:pPr>
        <w:tabs>
          <w:tab w:val="clear" w:pos="720"/>
        </w:tabs>
        <w:spacing w:line="360" w:lineRule="auto"/>
      </w:pPr>
      <w:r w:rsidRPr="00E35083">
        <w:tab/>
      </w:r>
      <w:r w:rsidR="009A0C04" w:rsidRPr="00E35083">
        <w:t>The</w:t>
      </w:r>
      <w:r w:rsidR="00D7160D" w:rsidRPr="00E35083">
        <w:t xml:space="preserve"> p</w:t>
      </w:r>
      <w:r w:rsidR="009C4A82" w:rsidRPr="00E35083">
        <w:t xml:space="preserve">olice </w:t>
      </w:r>
      <w:r w:rsidR="009A0C04" w:rsidRPr="00E35083">
        <w:t xml:space="preserve">later </w:t>
      </w:r>
      <w:r w:rsidR="009C4A82" w:rsidRPr="00E35083">
        <w:t>recovered a</w:t>
      </w:r>
      <w:r w:rsidR="00DC3AB6" w:rsidRPr="00E35083">
        <w:t xml:space="preserve"> Remington </w:t>
      </w:r>
      <w:r w:rsidR="00ED7367" w:rsidRPr="00E35083">
        <w:t xml:space="preserve">Model 870 </w:t>
      </w:r>
      <w:proofErr w:type="spellStart"/>
      <w:r w:rsidR="00ED7367" w:rsidRPr="00E35083">
        <w:t>Wingmaster</w:t>
      </w:r>
      <w:proofErr w:type="spellEnd"/>
      <w:r w:rsidR="00DC3AB6" w:rsidRPr="00E35083">
        <w:t xml:space="preserve"> shotgun</w:t>
      </w:r>
      <w:r w:rsidR="009A0C04" w:rsidRPr="00E35083">
        <w:t>,</w:t>
      </w:r>
      <w:r w:rsidR="00DC3AB6" w:rsidRPr="00E35083">
        <w:t xml:space="preserve"> six shotgun shells (four fired and two unfired)</w:t>
      </w:r>
      <w:r w:rsidR="009A0C04" w:rsidRPr="00E35083">
        <w:t>,</w:t>
      </w:r>
      <w:r w:rsidR="00DC3AB6" w:rsidRPr="00E35083">
        <w:t xml:space="preserve"> </w:t>
      </w:r>
      <w:r w:rsidR="009C4A82" w:rsidRPr="00E35083">
        <w:t xml:space="preserve">and </w:t>
      </w:r>
      <w:r w:rsidR="00ED7367" w:rsidRPr="00E35083">
        <w:t>13</w:t>
      </w:r>
      <w:r w:rsidR="009C4A82" w:rsidRPr="00E35083">
        <w:t xml:space="preserve"> expended </w:t>
      </w:r>
      <w:r w:rsidR="009C4A82" w:rsidRPr="00E35083">
        <w:lastRenderedPageBreak/>
        <w:t>handgun rounds</w:t>
      </w:r>
      <w:r w:rsidR="00DC3AB6" w:rsidRPr="00E35083">
        <w:t xml:space="preserve">. </w:t>
      </w:r>
      <w:r w:rsidR="00D7160D" w:rsidRPr="00E35083">
        <w:t xml:space="preserve"> Defendant’s crash and shootout with the police </w:t>
      </w:r>
      <w:r w:rsidRPr="00E35083">
        <w:t xml:space="preserve">were memorialized </w:t>
      </w:r>
      <w:r w:rsidR="00ED7367" w:rsidRPr="00E35083">
        <w:t>in</w:t>
      </w:r>
      <w:r w:rsidRPr="00E35083">
        <w:t xml:space="preserve"> video footage from a municipal camera that was played </w:t>
      </w:r>
      <w:r w:rsidR="00D7160D" w:rsidRPr="00E35083">
        <w:t>at trial</w:t>
      </w:r>
      <w:r w:rsidRPr="00E35083">
        <w:t>.</w:t>
      </w:r>
    </w:p>
    <w:p w14:paraId="2FE8AF6D" w14:textId="4460DE69" w:rsidR="00887871" w:rsidRPr="00E35083" w:rsidRDefault="005A2E4C" w:rsidP="00E35083">
      <w:pPr>
        <w:pStyle w:val="ListParagraph"/>
        <w:keepNext/>
        <w:numPr>
          <w:ilvl w:val="0"/>
          <w:numId w:val="2"/>
        </w:numPr>
        <w:tabs>
          <w:tab w:val="clear" w:pos="720"/>
        </w:tabs>
        <w:spacing w:line="360" w:lineRule="auto"/>
        <w:ind w:hanging="720"/>
        <w:rPr>
          <w:b/>
          <w:bCs/>
          <w:i/>
          <w:iCs/>
        </w:rPr>
      </w:pPr>
      <w:r w:rsidRPr="00E35083">
        <w:rPr>
          <w:b/>
          <w:bCs/>
          <w:i/>
          <w:iCs/>
        </w:rPr>
        <w:t xml:space="preserve">The Verdict, Sentencing and </w:t>
      </w:r>
      <w:r w:rsidRPr="00E35083">
        <w:rPr>
          <w:b/>
          <w:bCs/>
          <w:i/>
          <w:iCs/>
        </w:rPr>
        <w:t>Appeal.</w:t>
      </w:r>
    </w:p>
    <w:p w14:paraId="112AC68B" w14:textId="7981B536" w:rsidR="00887871" w:rsidRPr="00E35083" w:rsidRDefault="005A2E4C" w:rsidP="00E35083">
      <w:pPr>
        <w:tabs>
          <w:tab w:val="clear" w:pos="720"/>
        </w:tabs>
        <w:spacing w:line="360" w:lineRule="auto"/>
      </w:pPr>
      <w:r w:rsidRPr="00E35083">
        <w:tab/>
        <w:t xml:space="preserve">On </w:t>
      </w:r>
      <w:r w:rsidR="00ED7367" w:rsidRPr="00E35083">
        <w:t>February 6</w:t>
      </w:r>
      <w:r w:rsidRPr="00E35083">
        <w:t xml:space="preserve">, 2019, the jury found defendant guilty of all counts and found true all enhancement allegations with the following </w:t>
      </w:r>
      <w:r w:rsidR="007B108D" w:rsidRPr="00E35083">
        <w:t>exception:</w:t>
      </w:r>
      <w:r w:rsidRPr="00E35083">
        <w:t xml:space="preserve">  As to counts </w:t>
      </w:r>
      <w:r w:rsidR="00ED7367" w:rsidRPr="00E35083">
        <w:t>1 and 2</w:t>
      </w:r>
      <w:r w:rsidRPr="00E35083">
        <w:t xml:space="preserve">, the jury found the </w:t>
      </w:r>
      <w:r w:rsidR="00ED7367" w:rsidRPr="00E35083">
        <w:t>great bodily injury</w:t>
      </w:r>
      <w:r w:rsidRPr="00E35083">
        <w:t xml:space="preserve"> allegation not true but found true the specia</w:t>
      </w:r>
      <w:r w:rsidRPr="00E35083">
        <w:t>l allegation that defendant personally and intentionally discharged a firearm.</w:t>
      </w:r>
    </w:p>
    <w:p w14:paraId="2FA57D6F" w14:textId="6F7BAC2A" w:rsidR="00B03982" w:rsidRPr="00E35083" w:rsidRDefault="005A2E4C" w:rsidP="00E35083">
      <w:pPr>
        <w:tabs>
          <w:tab w:val="clear" w:pos="720"/>
        </w:tabs>
        <w:spacing w:line="360" w:lineRule="auto"/>
      </w:pPr>
      <w:r w:rsidRPr="00E35083">
        <w:tab/>
      </w:r>
      <w:r w:rsidR="00964857" w:rsidRPr="00E35083">
        <w:t>At the</w:t>
      </w:r>
      <w:r w:rsidRPr="00E35083">
        <w:t xml:space="preserve"> </w:t>
      </w:r>
      <w:r w:rsidR="00ED7367" w:rsidRPr="00E35083">
        <w:t>June 21</w:t>
      </w:r>
      <w:r w:rsidR="00964857" w:rsidRPr="00E35083">
        <w:t>, 20</w:t>
      </w:r>
      <w:r w:rsidR="00023E0E" w:rsidRPr="00E35083">
        <w:t>22</w:t>
      </w:r>
      <w:r w:rsidRPr="00E35083">
        <w:t xml:space="preserve">, </w:t>
      </w:r>
      <w:r w:rsidR="00964857" w:rsidRPr="00E35083">
        <w:t xml:space="preserve">sentencing hearing, the trial court dismissed </w:t>
      </w:r>
      <w:r w:rsidR="00023E0E" w:rsidRPr="00E35083">
        <w:t>all</w:t>
      </w:r>
      <w:r w:rsidR="00964857" w:rsidRPr="00E35083">
        <w:t xml:space="preserve"> firearm enhancements </w:t>
      </w:r>
      <w:r w:rsidR="00023E0E" w:rsidRPr="00E35083">
        <w:t xml:space="preserve">except for the 20-year firearm enhancement attached to </w:t>
      </w:r>
      <w:r w:rsidR="00ED7367" w:rsidRPr="00E35083">
        <w:t>count 1</w:t>
      </w:r>
      <w:r w:rsidR="00023E0E" w:rsidRPr="00E35083">
        <w:t xml:space="preserve"> </w:t>
      </w:r>
      <w:r w:rsidR="00964857" w:rsidRPr="00E35083">
        <w:t xml:space="preserve">pursuant to section 1385, </w:t>
      </w:r>
      <w:r w:rsidR="00ED7367" w:rsidRPr="00E35083">
        <w:t>subdivision (c)</w:t>
      </w:r>
      <w:r w:rsidR="00964857" w:rsidRPr="00E35083">
        <w:t>.  T</w:t>
      </w:r>
      <w:r w:rsidRPr="00E35083">
        <w:t xml:space="preserve">he court </w:t>
      </w:r>
      <w:r w:rsidR="00964857" w:rsidRPr="00E35083">
        <w:t xml:space="preserve">then </w:t>
      </w:r>
      <w:r w:rsidRPr="00E35083">
        <w:t xml:space="preserve">sentenced defendant </w:t>
      </w:r>
      <w:r w:rsidR="00964857" w:rsidRPr="00E35083">
        <w:t xml:space="preserve">on </w:t>
      </w:r>
      <w:r w:rsidR="00023E0E" w:rsidRPr="00E35083">
        <w:t xml:space="preserve">counts </w:t>
      </w:r>
      <w:r w:rsidR="00ED7367" w:rsidRPr="00E35083">
        <w:t>1 and 3</w:t>
      </w:r>
      <w:r w:rsidR="00023E0E" w:rsidRPr="00E35083">
        <w:t xml:space="preserve"> </w:t>
      </w:r>
      <w:r w:rsidR="00964857" w:rsidRPr="00E35083">
        <w:t xml:space="preserve">to two consecutive </w:t>
      </w:r>
      <w:r w:rsidR="00ED7367" w:rsidRPr="00E35083">
        <w:t>15 years to life</w:t>
      </w:r>
      <w:r w:rsidR="009A0C04" w:rsidRPr="00E35083">
        <w:t xml:space="preserve"> terms</w:t>
      </w:r>
      <w:r w:rsidR="00023E0E" w:rsidRPr="00E35083">
        <w:t>, totaling 30 years to life</w:t>
      </w:r>
      <w:r w:rsidR="00964857" w:rsidRPr="00E35083">
        <w:t xml:space="preserve">.  With respect to </w:t>
      </w:r>
      <w:r w:rsidR="00023E0E" w:rsidRPr="00E35083">
        <w:t xml:space="preserve">the </w:t>
      </w:r>
      <w:r w:rsidR="00964857" w:rsidRPr="00E35083">
        <w:t xml:space="preserve">remaining counts and the firearm enhancement, defendant was sentenced to a total determinate term of </w:t>
      </w:r>
      <w:r w:rsidR="00ED7367" w:rsidRPr="00E35083">
        <w:t>35 years 8 months</w:t>
      </w:r>
      <w:r w:rsidR="00964857" w:rsidRPr="00E35083">
        <w:t xml:space="preserve">.  </w:t>
      </w:r>
      <w:r w:rsidR="00607E26" w:rsidRPr="00E35083">
        <w:t>D</w:t>
      </w:r>
      <w:r w:rsidRPr="00E35083">
        <w:t>efendant timely appeal</w:t>
      </w:r>
      <w:r w:rsidR="00607E26" w:rsidRPr="00E35083">
        <w:t>ed</w:t>
      </w:r>
      <w:r w:rsidRPr="00E35083">
        <w:t>.</w:t>
      </w:r>
    </w:p>
    <w:p w14:paraId="4739946B" w14:textId="77777777" w:rsidR="00B03982" w:rsidRPr="00E35083" w:rsidRDefault="005A2E4C" w:rsidP="00E35083">
      <w:pPr>
        <w:keepNext/>
        <w:tabs>
          <w:tab w:val="clear" w:pos="720"/>
        </w:tabs>
        <w:spacing w:line="360" w:lineRule="auto"/>
        <w:jc w:val="center"/>
        <w:rPr>
          <w:b/>
          <w:bCs/>
        </w:rPr>
      </w:pPr>
      <w:r w:rsidRPr="00E35083">
        <w:rPr>
          <w:b/>
          <w:bCs/>
        </w:rPr>
        <w:t>DISCUSSION</w:t>
      </w:r>
    </w:p>
    <w:p w14:paraId="470EECD3" w14:textId="005B85E8" w:rsidR="00B03982" w:rsidRPr="00E35083" w:rsidRDefault="005A2E4C" w:rsidP="00E35083">
      <w:pPr>
        <w:tabs>
          <w:tab w:val="clear" w:pos="720"/>
        </w:tabs>
        <w:spacing w:line="360" w:lineRule="auto"/>
      </w:pPr>
      <w:r w:rsidRPr="00E35083">
        <w:tab/>
      </w:r>
      <w:r w:rsidR="00EE3C2B" w:rsidRPr="00E35083">
        <w:t xml:space="preserve">Defendant contends: </w:t>
      </w:r>
      <w:r w:rsidR="00ED7367" w:rsidRPr="00E35083">
        <w:t>(1) the</w:t>
      </w:r>
      <w:r w:rsidR="006D1D99" w:rsidRPr="00E35083">
        <w:t xml:space="preserve"> </w:t>
      </w:r>
      <w:r w:rsidR="00EE3C2B" w:rsidRPr="00E35083">
        <w:t xml:space="preserve">evidence </w:t>
      </w:r>
      <w:r w:rsidR="006D1D99" w:rsidRPr="00E35083">
        <w:t xml:space="preserve">is </w:t>
      </w:r>
      <w:r w:rsidR="00902C31" w:rsidRPr="00E35083">
        <w:t>i</w:t>
      </w:r>
      <w:r w:rsidR="006D1D99" w:rsidRPr="00E35083">
        <w:t>n</w:t>
      </w:r>
      <w:r w:rsidR="00902C31" w:rsidRPr="00E35083">
        <w:t>s</w:t>
      </w:r>
      <w:r w:rsidR="006D1D99" w:rsidRPr="00E35083">
        <w:t>ufficient</w:t>
      </w:r>
      <w:r w:rsidR="00D11F18" w:rsidRPr="00E35083">
        <w:t xml:space="preserve"> to </w:t>
      </w:r>
      <w:r w:rsidR="00EE3C2B" w:rsidRPr="00E35083">
        <w:t xml:space="preserve">support </w:t>
      </w:r>
      <w:r w:rsidR="00B947C1" w:rsidRPr="00E35083">
        <w:t>the</w:t>
      </w:r>
      <w:r w:rsidR="00EE3C2B" w:rsidRPr="00E35083">
        <w:t xml:space="preserve"> </w:t>
      </w:r>
      <w:r w:rsidR="006D1D99" w:rsidRPr="00E35083">
        <w:t xml:space="preserve">jury’s </w:t>
      </w:r>
      <w:r w:rsidR="00EE3C2B" w:rsidRPr="00E35083">
        <w:t xml:space="preserve">finding </w:t>
      </w:r>
      <w:r w:rsidR="00D11F18" w:rsidRPr="00E35083">
        <w:t xml:space="preserve">beyond a reasonable doubt </w:t>
      </w:r>
      <w:r w:rsidR="00EE3C2B" w:rsidRPr="00E35083">
        <w:t xml:space="preserve">that he committed attempted murder with premeditation and deliberation; </w:t>
      </w:r>
      <w:r w:rsidR="00ED7367" w:rsidRPr="00E35083">
        <w:t>(2) the</w:t>
      </w:r>
      <w:r w:rsidR="00A1603D" w:rsidRPr="00E35083">
        <w:t xml:space="preserve"> trial court failed to exercise its discretion to consider striking his premeditation</w:t>
      </w:r>
      <w:r w:rsidR="00B947C1" w:rsidRPr="00E35083">
        <w:t xml:space="preserve"> </w:t>
      </w:r>
      <w:r w:rsidR="00902C31" w:rsidRPr="00E35083">
        <w:t xml:space="preserve">and deliberation </w:t>
      </w:r>
      <w:r w:rsidR="00A1603D" w:rsidRPr="00E35083">
        <w:t xml:space="preserve">enhancements under section 1385, </w:t>
      </w:r>
      <w:r w:rsidR="00ED7367" w:rsidRPr="00E35083">
        <w:t>subdivision (c)</w:t>
      </w:r>
      <w:r w:rsidR="006C7B6D" w:rsidRPr="00E35083">
        <w:t xml:space="preserve"> (hereinafter, section 1385(c))</w:t>
      </w:r>
      <w:r w:rsidR="00A1603D" w:rsidRPr="00E35083">
        <w:t>;</w:t>
      </w:r>
      <w:r w:rsidR="000B0983" w:rsidRPr="00E35083">
        <w:t xml:space="preserve"> and</w:t>
      </w:r>
      <w:r w:rsidR="00A1603D" w:rsidRPr="00E35083">
        <w:t xml:space="preserve"> </w:t>
      </w:r>
      <w:r w:rsidR="00ED7367" w:rsidRPr="00E35083">
        <w:t>(3) the</w:t>
      </w:r>
      <w:r w:rsidR="000B0983" w:rsidRPr="00E35083">
        <w:t xml:space="preserve"> trial court imposed an unauthorized sentence </w:t>
      </w:r>
      <w:r w:rsidR="00B947C1" w:rsidRPr="00E35083">
        <w:t xml:space="preserve">by incorrectly attaching the 20-year sentence for the </w:t>
      </w:r>
      <w:r w:rsidR="000B0983" w:rsidRPr="00E35083">
        <w:t xml:space="preserve">firearm enhancement </w:t>
      </w:r>
      <w:r w:rsidR="00B947C1" w:rsidRPr="00E35083">
        <w:t xml:space="preserve">to defendant’s determinate term </w:t>
      </w:r>
      <w:r w:rsidR="00902C31" w:rsidRPr="00E35083">
        <w:t>rather than</w:t>
      </w:r>
      <w:r w:rsidR="00B947C1" w:rsidRPr="00E35083">
        <w:t xml:space="preserve"> his indeterminate term</w:t>
      </w:r>
      <w:r w:rsidR="00EE3C2B" w:rsidRPr="00E35083">
        <w:t>.</w:t>
      </w:r>
      <w:r w:rsidR="006C7B6D" w:rsidRPr="00E35083">
        <w:t xml:space="preserve">  We address each contention in turn.</w:t>
      </w:r>
    </w:p>
    <w:p w14:paraId="39AB8047" w14:textId="1A826112" w:rsidR="006C7B6D" w:rsidRPr="00E35083" w:rsidRDefault="005A2E4C" w:rsidP="00E35083">
      <w:pPr>
        <w:pStyle w:val="ListParagraph"/>
        <w:keepNext/>
        <w:numPr>
          <w:ilvl w:val="0"/>
          <w:numId w:val="4"/>
        </w:numPr>
        <w:tabs>
          <w:tab w:val="clear" w:pos="720"/>
        </w:tabs>
        <w:spacing w:line="360" w:lineRule="auto"/>
        <w:ind w:left="720"/>
        <w:rPr>
          <w:b/>
          <w:bCs/>
          <w:i/>
          <w:iCs/>
        </w:rPr>
      </w:pPr>
      <w:r w:rsidRPr="00E35083">
        <w:rPr>
          <w:b/>
          <w:bCs/>
          <w:i/>
          <w:iCs/>
        </w:rPr>
        <w:lastRenderedPageBreak/>
        <w:t>Evidence of Premeditation and Deliberation.</w:t>
      </w:r>
    </w:p>
    <w:p w14:paraId="343F9547" w14:textId="0EE81771" w:rsidR="00953769" w:rsidRPr="00E35083" w:rsidRDefault="005A2E4C" w:rsidP="00E35083">
      <w:pPr>
        <w:tabs>
          <w:tab w:val="clear" w:pos="720"/>
        </w:tabs>
        <w:spacing w:line="360" w:lineRule="auto"/>
      </w:pPr>
      <w:r w:rsidRPr="00E35083">
        <w:tab/>
      </w:r>
      <w:r w:rsidR="00CE03D1" w:rsidRPr="00E35083">
        <w:t>D</w:t>
      </w:r>
      <w:r w:rsidR="0007157C" w:rsidRPr="00E35083">
        <w:t xml:space="preserve">efendant paints his </w:t>
      </w:r>
      <w:r w:rsidR="00902C31" w:rsidRPr="00E35083">
        <w:t xml:space="preserve">first </w:t>
      </w:r>
      <w:r w:rsidR="00CE03D1" w:rsidRPr="00E35083">
        <w:t>challenge</w:t>
      </w:r>
      <w:r w:rsidR="0007157C" w:rsidRPr="00E35083">
        <w:t xml:space="preserve"> as a denial of due process,</w:t>
      </w:r>
      <w:r w:rsidR="00CE03D1" w:rsidRPr="00E35083">
        <w:t xml:space="preserve"> arguing </w:t>
      </w:r>
      <w:r w:rsidR="008C4A15" w:rsidRPr="00E35083">
        <w:t xml:space="preserve">that in the absence of “constitutionally sufficient evidence” of premeditation and deliberation, his convictions on counts </w:t>
      </w:r>
      <w:r w:rsidR="00ED7367" w:rsidRPr="00E35083">
        <w:t>1 and 3</w:t>
      </w:r>
      <w:r w:rsidR="008C4A15" w:rsidRPr="00E35083">
        <w:t xml:space="preserve"> cannot stand</w:t>
      </w:r>
      <w:r w:rsidR="00CE03D1" w:rsidRPr="00E35083">
        <w:t>.</w:t>
      </w:r>
    </w:p>
    <w:p w14:paraId="11ECFD84" w14:textId="25A1B46F" w:rsidR="006D1D99" w:rsidRPr="00E35083" w:rsidRDefault="005A2E4C" w:rsidP="00E35083">
      <w:pPr>
        <w:tabs>
          <w:tab w:val="clear" w:pos="720"/>
        </w:tabs>
        <w:spacing w:line="360" w:lineRule="auto"/>
      </w:pPr>
      <w:r w:rsidRPr="00E35083">
        <w:tab/>
        <w:t>T</w:t>
      </w:r>
      <w:r w:rsidR="0007157C" w:rsidRPr="00E35083">
        <w:t xml:space="preserve">he standard of review when a criminal defendant challenges the sufficiency of evidence is </w:t>
      </w:r>
      <w:r w:rsidR="00ED7367" w:rsidRPr="00E35083">
        <w:t>well established</w:t>
      </w:r>
      <w:r w:rsidR="0007157C" w:rsidRPr="00E35083">
        <w:t xml:space="preserve">.  </w:t>
      </w:r>
      <w:r w:rsidRPr="00E35083">
        <w:t xml:space="preserve">“In </w:t>
      </w:r>
      <w:r w:rsidRPr="00E35083">
        <w:rPr>
          <w:rStyle w:val="ssrfcsection"/>
          <w:bdr w:val="none" w:sz="0" w:space="0" w:color="auto" w:frame="1"/>
          <w:shd w:val="clear" w:color="auto" w:fill="FFFFFF"/>
        </w:rPr>
        <w:t>evaluating a claim regarding the sufficiency of the evidence, we review the record ‘in the light</w:t>
      </w:r>
      <w:r w:rsidRPr="00E35083">
        <w:rPr>
          <w:rStyle w:val="ssrfcsection"/>
          <w:bdr w:val="none" w:sz="0" w:space="0" w:color="auto" w:frame="1"/>
          <w:shd w:val="clear" w:color="auto" w:fill="FFFFFF"/>
        </w:rPr>
        <w:t xml:space="preserve"> most favorable to the judgment below to determine whether it discloses substantial evidence—that is, evidence which is reasonable, credible, and of solid value—such that a reasonable trier of fact could find the defendant guilty beyond a reasonable </w:t>
      </w:r>
      <w:r w:rsidR="00ED7367" w:rsidRPr="00E35083">
        <w:rPr>
          <w:rStyle w:val="ssrfcsection"/>
          <w:bdr w:val="none" w:sz="0" w:space="0" w:color="auto" w:frame="1"/>
          <w:shd w:val="clear" w:color="auto" w:fill="FFFFFF"/>
        </w:rPr>
        <w:t>doubt.’  [Citation.] . . . ‘The</w:t>
      </w:r>
      <w:r w:rsidR="00E46543" w:rsidRPr="00E35083">
        <w:rPr>
          <w:rStyle w:val="ssrfcsection"/>
          <w:bdr w:val="none" w:sz="0" w:space="0" w:color="auto" w:frame="1"/>
          <w:shd w:val="clear" w:color="auto" w:fill="FFFFFF"/>
        </w:rPr>
        <w:t xml:space="preserve"> standard of review is the same in cases in which the prosecution relies mainly on circumstantial </w:t>
      </w:r>
      <w:r w:rsidR="00ED7367" w:rsidRPr="00E35083">
        <w:rPr>
          <w:rStyle w:val="ssrfcpassagedeactivated"/>
          <w:bdr w:val="none" w:sz="0" w:space="0" w:color="auto" w:frame="1"/>
          <w:shd w:val="clear" w:color="auto" w:fill="FFFFFF"/>
        </w:rPr>
        <w:t>evidence.’  [Citations.]  ‘We</w:t>
      </w:r>
      <w:r w:rsidRPr="00E35083">
        <w:rPr>
          <w:rStyle w:val="ssrfcpassagedeactivated"/>
          <w:bdr w:val="none" w:sz="0" w:space="0" w:color="auto" w:frame="1"/>
          <w:shd w:val="clear" w:color="auto" w:fill="FFFFFF"/>
        </w:rPr>
        <w:t xml:space="preserve"> presume in support of the judgment the existence of every fact the trier of fact reasonably could infer from the </w:t>
      </w:r>
      <w:r w:rsidR="004A0934" w:rsidRPr="00E35083">
        <w:t>evidence.</w:t>
      </w:r>
      <w:proofErr w:type="gramStart"/>
      <w:r w:rsidR="004A0934" w:rsidRPr="00E35083">
        <w:t>’ ”</w:t>
      </w:r>
      <w:proofErr w:type="gramEnd"/>
      <w:r w:rsidRPr="00E35083">
        <w:t xml:space="preserve">  (</w:t>
      </w:r>
      <w:r w:rsidRPr="00E35083">
        <w:rPr>
          <w:i/>
          <w:iCs/>
        </w:rPr>
        <w:t xml:space="preserve">People v. </w:t>
      </w:r>
      <w:proofErr w:type="spellStart"/>
      <w:r w:rsidRPr="00E35083">
        <w:rPr>
          <w:i/>
          <w:iCs/>
        </w:rPr>
        <w:t>Westerfield</w:t>
      </w:r>
      <w:proofErr w:type="spellEnd"/>
      <w:r w:rsidRPr="00E35083">
        <w:t xml:space="preserve"> (2019) 6 Cal.5th 632, 713.)</w:t>
      </w:r>
    </w:p>
    <w:p w14:paraId="4203A4CD" w14:textId="57F216FC" w:rsidR="0027557B" w:rsidRPr="00E35083" w:rsidRDefault="005A2E4C" w:rsidP="00E35083">
      <w:pPr>
        <w:pStyle w:val="NormalWeb"/>
        <w:spacing w:before="0" w:beforeAutospacing="0" w:after="0" w:afterAutospacing="0" w:line="360" w:lineRule="auto"/>
        <w:textAlignment w:val="baseline"/>
        <w:rPr>
          <w:rFonts w:ascii="Century Schoolbook" w:hAnsi="Century Schoolbook"/>
          <w:sz w:val="26"/>
          <w:szCs w:val="26"/>
        </w:rPr>
      </w:pPr>
      <w:r w:rsidRPr="00E35083">
        <w:rPr>
          <w:rFonts w:ascii="Century Schoolbook" w:hAnsi="Century Schoolbook"/>
          <w:sz w:val="26"/>
          <w:szCs w:val="26"/>
        </w:rPr>
        <w:tab/>
      </w:r>
      <w:r w:rsidR="00806284" w:rsidRPr="00E35083">
        <w:rPr>
          <w:rFonts w:ascii="Century Schoolbook" w:hAnsi="Century Schoolbook"/>
          <w:sz w:val="26"/>
          <w:szCs w:val="26"/>
        </w:rPr>
        <w:t xml:space="preserve">In conducting this review, </w:t>
      </w:r>
      <w:r w:rsidRPr="00E35083">
        <w:rPr>
          <w:rFonts w:ascii="Century Schoolbook" w:hAnsi="Century Schoolbook"/>
          <w:sz w:val="26"/>
          <w:szCs w:val="26"/>
        </w:rPr>
        <w:t>“</w:t>
      </w:r>
      <w:r w:rsidR="00806284" w:rsidRPr="00E35083">
        <w:rPr>
          <w:rFonts w:ascii="Century Schoolbook" w:hAnsi="Century Schoolbook"/>
          <w:sz w:val="26"/>
          <w:szCs w:val="26"/>
        </w:rPr>
        <w:t>[w]</w:t>
      </w:r>
      <w:r w:rsidRPr="00E35083">
        <w:rPr>
          <w:rStyle w:val="ssrfcsection"/>
          <w:rFonts w:ascii="Century Schoolbook" w:hAnsi="Century Schoolbook"/>
          <w:sz w:val="26"/>
          <w:szCs w:val="26"/>
          <w:bdr w:val="none" w:sz="0" w:space="0" w:color="auto" w:frame="1"/>
        </w:rPr>
        <w:t xml:space="preserve">e focus </w:t>
      </w:r>
      <w:proofErr w:type="gramStart"/>
      <w:r w:rsidR="004A0934" w:rsidRPr="00E35083">
        <w:rPr>
          <w:rStyle w:val="ssrfcsection"/>
          <w:rFonts w:ascii="Century Schoolbook" w:hAnsi="Century Schoolbook"/>
          <w:sz w:val="26"/>
          <w:szCs w:val="26"/>
          <w:bdr w:val="none" w:sz="0" w:space="0" w:color="auto" w:frame="1"/>
        </w:rPr>
        <w:t>‘ “</w:t>
      </w:r>
      <w:proofErr w:type="gramEnd"/>
      <w:r w:rsidR="004A0934" w:rsidRPr="00E35083">
        <w:rPr>
          <w:rStyle w:val="ssrfcsection"/>
          <w:rFonts w:ascii="Century Schoolbook" w:hAnsi="Century Schoolbook"/>
          <w:sz w:val="26"/>
          <w:szCs w:val="26"/>
          <w:bdr w:val="none" w:sz="0" w:space="0" w:color="auto" w:frame="1"/>
        </w:rPr>
        <w:t xml:space="preserve">on the </w:t>
      </w:r>
      <w:r w:rsidR="004A0934" w:rsidRPr="00E35083">
        <w:rPr>
          <w:rStyle w:val="ssrfcsection"/>
          <w:rFonts w:ascii="Century Schoolbook" w:hAnsi="Century Schoolbook"/>
          <w:i/>
          <w:iCs/>
          <w:sz w:val="26"/>
          <w:szCs w:val="26"/>
          <w:bdr w:val="none" w:sz="0" w:space="0" w:color="auto" w:frame="1"/>
        </w:rPr>
        <w:t>whole</w:t>
      </w:r>
      <w:r w:rsidR="004A0934" w:rsidRPr="00E35083">
        <w:rPr>
          <w:rStyle w:val="ssrfcsection"/>
          <w:rFonts w:ascii="Century Schoolbook" w:hAnsi="Century Schoolbook"/>
          <w:sz w:val="26"/>
          <w:szCs w:val="26"/>
          <w:bdr w:val="none" w:sz="0" w:space="0" w:color="auto" w:frame="1"/>
        </w:rPr>
        <w:t xml:space="preserve"> record</w:t>
      </w:r>
      <w:r w:rsidRPr="00E35083">
        <w:rPr>
          <w:rStyle w:val="ssrfcsection"/>
          <w:rFonts w:ascii="Century Schoolbook" w:hAnsi="Century Schoolbook"/>
          <w:sz w:val="26"/>
          <w:szCs w:val="26"/>
          <w:bdr w:val="none" w:sz="0" w:space="0" w:color="auto" w:frame="1"/>
        </w:rPr>
        <w:t xml:space="preserve"> of evidence pr</w:t>
      </w:r>
      <w:r w:rsidRPr="00E35083">
        <w:rPr>
          <w:rStyle w:val="ssrfcsection"/>
          <w:rFonts w:ascii="Century Schoolbook" w:hAnsi="Century Schoolbook"/>
          <w:sz w:val="26"/>
          <w:szCs w:val="26"/>
          <w:bdr w:val="none" w:sz="0" w:space="0" w:color="auto" w:frame="1"/>
        </w:rPr>
        <w:t xml:space="preserve">esented to the trier of fact, rather than on </w:t>
      </w:r>
      <w:r w:rsidR="004A0934" w:rsidRPr="00E35083">
        <w:rPr>
          <w:rStyle w:val="ssrfcsection"/>
          <w:rFonts w:ascii="Century Schoolbook" w:hAnsi="Century Schoolbook"/>
          <w:sz w:val="26"/>
          <w:szCs w:val="26"/>
          <w:bdr w:val="none" w:sz="0" w:space="0" w:color="auto" w:frame="1"/>
        </w:rPr>
        <w:t>‘ “isolated</w:t>
      </w:r>
      <w:r w:rsidRPr="00E35083">
        <w:rPr>
          <w:rStyle w:val="ssrfcsection"/>
          <w:rFonts w:ascii="Century Schoolbook" w:hAnsi="Century Schoolbook"/>
          <w:sz w:val="26"/>
          <w:szCs w:val="26"/>
          <w:bdr w:val="none" w:sz="0" w:space="0" w:color="auto" w:frame="1"/>
        </w:rPr>
        <w:t xml:space="preserve"> bits of </w:t>
      </w:r>
      <w:r w:rsidR="004A0934" w:rsidRPr="00E35083">
        <w:rPr>
          <w:rStyle w:val="ssrfcsection"/>
          <w:rFonts w:ascii="Century Schoolbook" w:hAnsi="Century Schoolbook"/>
          <w:sz w:val="26"/>
          <w:szCs w:val="26"/>
          <w:bdr w:val="none" w:sz="0" w:space="0" w:color="auto" w:frame="1"/>
        </w:rPr>
        <w:t>evidence.” ’ ” ’</w:t>
      </w:r>
      <w:r w:rsidRPr="00E35083">
        <w:rPr>
          <w:rStyle w:val="ssrfcsection"/>
          <w:rFonts w:ascii="Century Schoolbook" w:hAnsi="Century Schoolbook"/>
          <w:sz w:val="26"/>
          <w:szCs w:val="26"/>
          <w:bdr w:val="none" w:sz="0" w:space="0" w:color="auto" w:frame="1"/>
        </w:rPr>
        <w:t xml:space="preserve"> </w:t>
      </w:r>
      <w:r w:rsidR="004A0934" w:rsidRPr="00E35083">
        <w:rPr>
          <w:rStyle w:val="ssrfcsection"/>
          <w:rFonts w:ascii="Century Schoolbook" w:hAnsi="Century Schoolbook"/>
          <w:sz w:val="26"/>
          <w:szCs w:val="26"/>
          <w:bdr w:val="none" w:sz="0" w:space="0" w:color="auto" w:frame="1"/>
        </w:rPr>
        <w:t xml:space="preserve"> [Citation.]  </w:t>
      </w:r>
      <w:proofErr w:type="gramStart"/>
      <w:r w:rsidR="004A0934" w:rsidRPr="00E35083">
        <w:rPr>
          <w:rStyle w:val="ssrfcsection"/>
          <w:rFonts w:ascii="Century Schoolbook" w:hAnsi="Century Schoolbook"/>
          <w:sz w:val="26"/>
          <w:szCs w:val="26"/>
          <w:bdr w:val="none" w:sz="0" w:space="0" w:color="auto" w:frame="1"/>
        </w:rPr>
        <w:t>‘ “</w:t>
      </w:r>
      <w:proofErr w:type="gramEnd"/>
      <w:r w:rsidR="004A0934" w:rsidRPr="00E35083">
        <w:rPr>
          <w:rStyle w:val="ssrfcsection"/>
          <w:rFonts w:ascii="Century Schoolbook" w:hAnsi="Century Schoolbook"/>
          <w:sz w:val="26"/>
          <w:szCs w:val="26"/>
          <w:bdr w:val="none" w:sz="0" w:space="0" w:color="auto" w:frame="1"/>
        </w:rPr>
        <w:t> ‘ “If the circumstances</w:t>
      </w:r>
      <w:r w:rsidRPr="00E35083">
        <w:rPr>
          <w:rStyle w:val="ssrfcsection"/>
          <w:rFonts w:ascii="Century Schoolbook" w:hAnsi="Century Schoolbook"/>
          <w:sz w:val="26"/>
          <w:szCs w:val="26"/>
          <w:bdr w:val="none" w:sz="0" w:space="0" w:color="auto" w:frame="1"/>
        </w:rPr>
        <w:t xml:space="preserve"> reasonably justify the trier of fact</w:t>
      </w:r>
      <w:r w:rsidR="00D13E47" w:rsidRPr="00E35083">
        <w:rPr>
          <w:rStyle w:val="ssrfcsection"/>
          <w:rFonts w:ascii="Century Schoolbook" w:hAnsi="Century Schoolbook"/>
          <w:sz w:val="26"/>
          <w:szCs w:val="26"/>
          <w:bdr w:val="none" w:sz="0" w:space="0" w:color="auto" w:frame="1"/>
        </w:rPr>
        <w:t>’</w:t>
      </w:r>
      <w:r w:rsidRPr="00E35083">
        <w:rPr>
          <w:rStyle w:val="ssrfcsection"/>
          <w:rFonts w:ascii="Century Schoolbook" w:hAnsi="Century Schoolbook"/>
          <w:sz w:val="26"/>
          <w:szCs w:val="26"/>
          <w:bdr w:val="none" w:sz="0" w:space="0" w:color="auto" w:frame="1"/>
        </w:rPr>
        <w:t xml:space="preserve">s findings, the opinion of the reviewing court that the circumstances might also be reasonably </w:t>
      </w:r>
      <w:r w:rsidRPr="00E35083">
        <w:rPr>
          <w:rStyle w:val="ssrfcsection"/>
          <w:rFonts w:ascii="Century Schoolbook" w:hAnsi="Century Schoolbook"/>
          <w:sz w:val="26"/>
          <w:szCs w:val="26"/>
          <w:bdr w:val="none" w:sz="0" w:space="0" w:color="auto" w:frame="1"/>
        </w:rPr>
        <w:t xml:space="preserve">reconciled with a contrary finding does not warrant a reversal of the </w:t>
      </w:r>
      <w:r w:rsidR="004A0934" w:rsidRPr="00E35083">
        <w:rPr>
          <w:rStyle w:val="ssrfcpassagedeactivated"/>
          <w:rFonts w:ascii="Century Schoolbook" w:hAnsi="Century Schoolbook"/>
          <w:sz w:val="26"/>
          <w:szCs w:val="26"/>
          <w:bdr w:val="none" w:sz="0" w:space="0" w:color="auto" w:frame="1"/>
        </w:rPr>
        <w:t>judgment.” ’ ” ’  [Citations.]  Instead,</w:t>
      </w:r>
      <w:r w:rsidRPr="00E35083">
        <w:rPr>
          <w:rStyle w:val="ssrfcpassagedeactivated"/>
          <w:rFonts w:ascii="Century Schoolbook" w:hAnsi="Century Schoolbook"/>
          <w:sz w:val="26"/>
          <w:szCs w:val="26"/>
          <w:bdr w:val="none" w:sz="0" w:space="0" w:color="auto" w:frame="1"/>
        </w:rPr>
        <w:t xml:space="preserve"> reversal is required only if </w:t>
      </w:r>
      <w:proofErr w:type="gramStart"/>
      <w:r w:rsidR="004A0934" w:rsidRPr="00E35083">
        <w:rPr>
          <w:rStyle w:val="ssrfcpassagedeactivated"/>
          <w:rFonts w:ascii="Century Schoolbook" w:hAnsi="Century Schoolbook"/>
          <w:sz w:val="26"/>
          <w:szCs w:val="26"/>
          <w:bdr w:val="none" w:sz="0" w:space="0" w:color="auto" w:frame="1"/>
        </w:rPr>
        <w:t>‘ “</w:t>
      </w:r>
      <w:proofErr w:type="gramEnd"/>
      <w:r w:rsidR="004A0934" w:rsidRPr="00E35083">
        <w:rPr>
          <w:rStyle w:val="ssrfcpassagedeactivated"/>
          <w:rFonts w:ascii="Century Schoolbook" w:hAnsi="Century Schoolbook"/>
          <w:sz w:val="26"/>
          <w:szCs w:val="26"/>
          <w:bdr w:val="none" w:sz="0" w:space="0" w:color="auto" w:frame="1"/>
        </w:rPr>
        <w:t>it</w:t>
      </w:r>
      <w:r w:rsidRPr="00E35083">
        <w:rPr>
          <w:rStyle w:val="ssrfcpassagedeactivated"/>
          <w:rFonts w:ascii="Century Schoolbook" w:hAnsi="Century Schoolbook"/>
          <w:sz w:val="26"/>
          <w:szCs w:val="26"/>
          <w:bdr w:val="none" w:sz="0" w:space="0" w:color="auto" w:frame="1"/>
        </w:rPr>
        <w:t xml:space="preserve"> appears ‘that upon no hypothesis whatever is there sufficient substantial evidence to support </w:t>
      </w:r>
      <w:r w:rsidR="004A0934" w:rsidRPr="00E35083">
        <w:rPr>
          <w:rStyle w:val="ssrfcpassagedeactivated"/>
          <w:rFonts w:ascii="Century Schoolbook" w:hAnsi="Century Schoolbook"/>
          <w:sz w:val="26"/>
          <w:szCs w:val="26"/>
          <w:bdr w:val="none" w:sz="0" w:space="0" w:color="auto" w:frame="1"/>
        </w:rPr>
        <w:t>[the conviction].’ ” ’  [Citation.]</w:t>
      </w:r>
      <w:r w:rsidRPr="00E35083">
        <w:rPr>
          <w:rStyle w:val="ssrfcpassagedeactivated"/>
          <w:rFonts w:ascii="Century Schoolbook" w:hAnsi="Century Schoolbook"/>
          <w:sz w:val="26"/>
          <w:szCs w:val="26"/>
          <w:bdr w:val="none" w:sz="0" w:space="0" w:color="auto" w:frame="1"/>
        </w:rPr>
        <w:t xml:space="preserve"> [¶] </w:t>
      </w:r>
      <w:r w:rsidRPr="00E35083">
        <w:rPr>
          <w:rStyle w:val="ssrfcsection"/>
          <w:rFonts w:ascii="Century Schoolbook" w:hAnsi="Century Schoolbook"/>
          <w:sz w:val="26"/>
          <w:szCs w:val="26"/>
          <w:bdr w:val="none" w:sz="0" w:space="0" w:color="auto" w:frame="1"/>
        </w:rPr>
        <w:t xml:space="preserve">Given this deferential standard of review, a ‘defendant bears an enormous burden in claiming there is insufficient </w:t>
      </w:r>
      <w:r w:rsidR="00620C4D" w:rsidRPr="00E35083">
        <w:rPr>
          <w:rStyle w:val="ssrfcsection"/>
          <w:rFonts w:ascii="Century Schoolbook" w:hAnsi="Century Schoolbook"/>
          <w:sz w:val="26"/>
          <w:szCs w:val="26"/>
          <w:bdr w:val="none" w:sz="0" w:space="0" w:color="auto" w:frame="1"/>
        </w:rPr>
        <w:t>evidence’</w:t>
      </w:r>
      <w:r w:rsidRPr="00E35083">
        <w:rPr>
          <w:rStyle w:val="ssrfcsection"/>
          <w:rFonts w:ascii="Century Schoolbook" w:hAnsi="Century Schoolbook"/>
          <w:sz w:val="26"/>
          <w:szCs w:val="26"/>
          <w:bdr w:val="none" w:sz="0" w:space="0" w:color="auto" w:frame="1"/>
        </w:rPr>
        <w:t xml:space="preserve"> to support a </w:t>
      </w:r>
      <w:r w:rsidR="00620C4D" w:rsidRPr="00E35083">
        <w:rPr>
          <w:rFonts w:ascii="Century Schoolbook" w:hAnsi="Century Schoolbook"/>
          <w:sz w:val="26"/>
          <w:szCs w:val="26"/>
        </w:rPr>
        <w:t>conviction.”</w:t>
      </w:r>
      <w:r w:rsidRPr="00E35083">
        <w:rPr>
          <w:rFonts w:ascii="Century Schoolbook" w:hAnsi="Century Schoolbook"/>
          <w:sz w:val="26"/>
          <w:szCs w:val="26"/>
        </w:rPr>
        <w:t xml:space="preserve">  (</w:t>
      </w:r>
      <w:r w:rsidRPr="00E35083">
        <w:rPr>
          <w:rFonts w:ascii="Century Schoolbook" w:hAnsi="Century Schoolbook"/>
          <w:i/>
          <w:iCs/>
          <w:sz w:val="26"/>
          <w:szCs w:val="26"/>
        </w:rPr>
        <w:t>People v. Wear</w:t>
      </w:r>
      <w:r w:rsidRPr="00E35083">
        <w:rPr>
          <w:rFonts w:ascii="Century Schoolbook" w:hAnsi="Century Schoolbook"/>
          <w:sz w:val="26"/>
          <w:szCs w:val="26"/>
        </w:rPr>
        <w:t xml:space="preserve"> (2020) 44 Cal.App.5th 1007, 1019</w:t>
      </w:r>
      <w:r w:rsidR="00F94A79" w:rsidRPr="00E35083">
        <w:rPr>
          <w:rFonts w:ascii="Century Schoolbook" w:hAnsi="Century Schoolbook"/>
          <w:sz w:val="26"/>
          <w:szCs w:val="26"/>
        </w:rPr>
        <w:t>–</w:t>
      </w:r>
      <w:r w:rsidRPr="00E35083">
        <w:rPr>
          <w:rFonts w:ascii="Century Schoolbook" w:hAnsi="Century Schoolbook"/>
          <w:sz w:val="26"/>
          <w:szCs w:val="26"/>
        </w:rPr>
        <w:t>1020.)</w:t>
      </w:r>
    </w:p>
    <w:p w14:paraId="7E903E27" w14:textId="295DC789" w:rsidR="00CC2966" w:rsidRPr="00E35083" w:rsidRDefault="005A2E4C" w:rsidP="00E35083">
      <w:pPr>
        <w:pStyle w:val="NormalWeb"/>
        <w:spacing w:before="0" w:beforeAutospacing="0" w:after="0" w:afterAutospacing="0" w:line="360" w:lineRule="auto"/>
        <w:textAlignment w:val="baseline"/>
        <w:rPr>
          <w:rFonts w:ascii="Century Schoolbook" w:hAnsi="Century Schoolbook"/>
          <w:sz w:val="26"/>
          <w:szCs w:val="26"/>
        </w:rPr>
      </w:pPr>
      <w:r w:rsidRPr="00E35083">
        <w:rPr>
          <w:rFonts w:ascii="Century Schoolbook" w:hAnsi="Century Schoolbook"/>
          <w:sz w:val="26"/>
          <w:szCs w:val="26"/>
        </w:rPr>
        <w:lastRenderedPageBreak/>
        <w:tab/>
        <w:t xml:space="preserve">Relevant </w:t>
      </w:r>
      <w:r w:rsidR="00091FEE">
        <w:rPr>
          <w:rFonts w:ascii="Century Schoolbook" w:hAnsi="Century Schoolbook"/>
          <w:sz w:val="26"/>
          <w:szCs w:val="26"/>
        </w:rPr>
        <w:t>to this evidentiary challenge</w:t>
      </w:r>
      <w:r w:rsidRPr="00E35083">
        <w:rPr>
          <w:rFonts w:ascii="Century Schoolbook" w:hAnsi="Century Schoolbook"/>
          <w:sz w:val="26"/>
          <w:szCs w:val="26"/>
        </w:rPr>
        <w:t xml:space="preserve">, the requisite state of mind for premeditation and deliberation </w:t>
      </w:r>
      <w:proofErr w:type="gramStart"/>
      <w:r w:rsidR="00A506C9" w:rsidRPr="00E35083">
        <w:rPr>
          <w:rStyle w:val="ssrfcsection"/>
          <w:rFonts w:ascii="Century Schoolbook" w:hAnsi="Century Schoolbook"/>
          <w:sz w:val="26"/>
          <w:szCs w:val="26"/>
          <w:bdr w:val="none" w:sz="0" w:space="0" w:color="auto" w:frame="1"/>
          <w:shd w:val="clear" w:color="auto" w:fill="FFFFFF"/>
        </w:rPr>
        <w:t>“ ‘</w:t>
      </w:r>
      <w:proofErr w:type="gramEnd"/>
      <w:r w:rsidR="00A506C9" w:rsidRPr="00E35083">
        <w:rPr>
          <w:rStyle w:val="ssrfcsection"/>
          <w:rFonts w:ascii="Century Schoolbook" w:hAnsi="Century Schoolbook"/>
          <w:sz w:val="26"/>
          <w:szCs w:val="26"/>
          <w:bdr w:val="none" w:sz="0" w:space="0" w:color="auto" w:frame="1"/>
          <w:shd w:val="clear" w:color="auto" w:fill="FFFFFF"/>
        </w:rPr>
        <w:t>is</w:t>
      </w:r>
      <w:r w:rsidRPr="00E35083">
        <w:rPr>
          <w:rStyle w:val="ssrfcsection"/>
          <w:rFonts w:ascii="Century Schoolbook" w:hAnsi="Century Schoolbook"/>
          <w:sz w:val="26"/>
          <w:szCs w:val="26"/>
          <w:bdr w:val="none" w:sz="0" w:space="0" w:color="auto" w:frame="1"/>
          <w:shd w:val="clear" w:color="auto" w:fill="FFFFFF"/>
        </w:rPr>
        <w:t xml:space="preserve"> uniquely subjective and </w:t>
      </w:r>
      <w:r w:rsidR="00A506C9" w:rsidRPr="00E35083">
        <w:rPr>
          <w:rStyle w:val="ssrfcsection"/>
          <w:rFonts w:ascii="Century Schoolbook" w:hAnsi="Century Schoolbook"/>
          <w:sz w:val="26"/>
          <w:szCs w:val="26"/>
          <w:bdr w:val="none" w:sz="0" w:space="0" w:color="auto" w:frame="1"/>
          <w:shd w:val="clear" w:color="auto" w:fill="FFFFFF"/>
        </w:rPr>
        <w:t>personal.  It</w:t>
      </w:r>
      <w:r w:rsidRPr="00E35083">
        <w:rPr>
          <w:rStyle w:val="ssrfcsection"/>
          <w:rFonts w:ascii="Century Schoolbook" w:hAnsi="Century Schoolbook"/>
          <w:sz w:val="26"/>
          <w:szCs w:val="26"/>
          <w:bdr w:val="none" w:sz="0" w:space="0" w:color="auto" w:frame="1"/>
          <w:shd w:val="clear" w:color="auto" w:fill="FFFFFF"/>
        </w:rPr>
        <w:t xml:space="preserve"> requires more than a showing of intent to kill; the killer must act deliberately, carefully weighing the considerations for and against a choice to kill before he or she completes the acts that caused the death.’ </w:t>
      </w:r>
      <w:r w:rsidR="00A506C9" w:rsidRPr="00E35083">
        <w:rPr>
          <w:rStyle w:val="ssrfcsection"/>
          <w:rFonts w:ascii="Century Schoolbook" w:hAnsi="Century Schoolbook"/>
          <w:sz w:val="26"/>
          <w:szCs w:val="26"/>
          <w:bdr w:val="none" w:sz="0" w:space="0" w:color="auto" w:frame="1"/>
          <w:shd w:val="clear" w:color="auto" w:fill="FFFFFF"/>
        </w:rPr>
        <w:t xml:space="preserve"> </w:t>
      </w:r>
      <w:r w:rsidRPr="00E35083">
        <w:rPr>
          <w:rStyle w:val="ssrfcsection"/>
          <w:rFonts w:ascii="Century Schoolbook" w:hAnsi="Century Schoolbook"/>
          <w:sz w:val="26"/>
          <w:szCs w:val="26"/>
          <w:bdr w:val="none" w:sz="0" w:space="0" w:color="auto" w:frame="1"/>
          <w:shd w:val="clear" w:color="auto" w:fill="FFFFFF"/>
        </w:rPr>
        <w:t>(</w:t>
      </w:r>
      <w:r w:rsidRPr="00E35083">
        <w:rPr>
          <w:rStyle w:val="ssrfcsection"/>
          <w:rFonts w:ascii="Century Schoolbook" w:hAnsi="Century Schoolbook"/>
          <w:i/>
          <w:iCs/>
          <w:sz w:val="26"/>
          <w:szCs w:val="26"/>
          <w:bdr w:val="none" w:sz="0" w:space="0" w:color="auto" w:frame="1"/>
          <w:shd w:val="clear" w:color="auto" w:fill="FFFFFF"/>
        </w:rPr>
        <w:t>People v. Chiu</w:t>
      </w:r>
      <w:r w:rsidRPr="00E35083">
        <w:rPr>
          <w:rStyle w:val="ssrfcsection"/>
          <w:rFonts w:ascii="Century Schoolbook" w:hAnsi="Century Schoolbook"/>
          <w:sz w:val="26"/>
          <w:szCs w:val="26"/>
          <w:bdr w:val="none" w:sz="0" w:space="0" w:color="auto" w:frame="1"/>
          <w:shd w:val="clear" w:color="auto" w:fill="FFFFFF"/>
        </w:rPr>
        <w:t xml:space="preserve"> (2014) 59 Cal.4th 155, </w:t>
      </w:r>
      <w:r w:rsidR="00A506C9" w:rsidRPr="00E35083">
        <w:rPr>
          <w:rStyle w:val="ssrfcsection"/>
          <w:rFonts w:ascii="Century Schoolbook" w:hAnsi="Century Schoolbook"/>
          <w:sz w:val="26"/>
          <w:szCs w:val="26"/>
          <w:bdr w:val="none" w:sz="0" w:space="0" w:color="auto" w:frame="1"/>
          <w:shd w:val="clear" w:color="auto" w:fill="FFFFFF"/>
        </w:rPr>
        <w:t>166 [citations].</w:t>
      </w:r>
      <w:r w:rsidRPr="00E35083">
        <w:rPr>
          <w:rStyle w:val="ssrfcsection"/>
          <w:rFonts w:ascii="Century Schoolbook" w:hAnsi="Century Schoolbook"/>
          <w:sz w:val="26"/>
          <w:szCs w:val="26"/>
          <w:bdr w:val="none" w:sz="0" w:space="0" w:color="auto" w:frame="1"/>
          <w:shd w:val="clear" w:color="auto" w:fill="FFFFFF"/>
        </w:rPr>
        <w:t>)</w:t>
      </w:r>
      <w:r w:rsidR="00A506C9" w:rsidRPr="00E35083">
        <w:rPr>
          <w:rStyle w:val="ssrfcsection"/>
          <w:rFonts w:ascii="Century Schoolbook" w:hAnsi="Century Schoolbook"/>
          <w:sz w:val="26"/>
          <w:szCs w:val="26"/>
          <w:bdr w:val="none" w:sz="0" w:space="0" w:color="auto" w:frame="1"/>
          <w:shd w:val="clear" w:color="auto" w:fill="FFFFFF"/>
        </w:rPr>
        <w:t xml:space="preserve">  </w:t>
      </w:r>
      <w:r w:rsidRPr="00E35083">
        <w:rPr>
          <w:rStyle w:val="ssrfcpassagedeactivated"/>
          <w:rFonts w:ascii="Century Schoolbook" w:hAnsi="Century Schoolbook"/>
          <w:sz w:val="26"/>
          <w:szCs w:val="26"/>
          <w:bdr w:val="none" w:sz="0" w:space="0" w:color="auto" w:frame="1"/>
          <w:shd w:val="clear" w:color="auto" w:fill="FFFFFF"/>
        </w:rPr>
        <w:t xml:space="preserve">‘[T]he reflection necessary to establish premeditation and </w:t>
      </w:r>
      <w:r w:rsidR="00A506C9" w:rsidRPr="00E35083">
        <w:rPr>
          <w:rStyle w:val="ssrfcpassagedeactivated"/>
          <w:rFonts w:ascii="Century Schoolbook" w:hAnsi="Century Schoolbook"/>
          <w:sz w:val="26"/>
          <w:szCs w:val="26"/>
          <w:bdr w:val="none" w:sz="0" w:space="0" w:color="auto" w:frame="1"/>
          <w:shd w:val="clear" w:color="auto" w:fill="FFFFFF"/>
        </w:rPr>
        <w:t>deliberation is</w:t>
      </w:r>
      <w:r w:rsidRPr="00E35083">
        <w:rPr>
          <w:rStyle w:val="ssrfcpassagedeactivated"/>
          <w:rFonts w:ascii="Century Schoolbook" w:hAnsi="Century Schoolbook"/>
          <w:sz w:val="26"/>
          <w:szCs w:val="26"/>
          <w:bdr w:val="none" w:sz="0" w:space="0" w:color="auto" w:frame="1"/>
          <w:shd w:val="clear" w:color="auto" w:fill="FFFFFF"/>
        </w:rPr>
        <w:t xml:space="preserve"> not measured by duration of time</w:t>
      </w:r>
      <w:proofErr w:type="gramStart"/>
      <w:r w:rsidRPr="00E35083">
        <w:rPr>
          <w:rStyle w:val="ssrfcpassagedeactivated"/>
          <w:rFonts w:ascii="Century Schoolbook" w:hAnsi="Century Schoolbook"/>
          <w:sz w:val="26"/>
          <w:szCs w:val="26"/>
          <w:bdr w:val="none" w:sz="0" w:space="0" w:color="auto" w:frame="1"/>
          <w:shd w:val="clear" w:color="auto" w:fill="FFFFFF"/>
        </w:rPr>
        <w:t xml:space="preserve">: </w:t>
      </w:r>
      <w:r w:rsidR="00A506C9" w:rsidRPr="00E35083">
        <w:rPr>
          <w:rStyle w:val="ssrfcpassagedeactivated"/>
          <w:rFonts w:ascii="Century Schoolbook" w:hAnsi="Century Schoolbook"/>
          <w:sz w:val="26"/>
          <w:szCs w:val="26"/>
          <w:bdr w:val="none" w:sz="0" w:space="0" w:color="auto" w:frame="1"/>
          <w:shd w:val="clear" w:color="auto" w:fill="FFFFFF"/>
        </w:rPr>
        <w:t xml:space="preserve"> </w:t>
      </w:r>
      <w:r w:rsidRPr="00E35083">
        <w:rPr>
          <w:rStyle w:val="ssrfcpassagedeactivated"/>
          <w:rFonts w:ascii="Century Schoolbook" w:hAnsi="Century Schoolbook"/>
          <w:sz w:val="26"/>
          <w:szCs w:val="26"/>
          <w:bdr w:val="none" w:sz="0" w:space="0" w:color="auto" w:frame="1"/>
          <w:shd w:val="clear" w:color="auto" w:fill="FFFFFF"/>
        </w:rPr>
        <w:t>“</w:t>
      </w:r>
      <w:proofErr w:type="gramEnd"/>
      <w:r w:rsidRPr="00E35083">
        <w:rPr>
          <w:rStyle w:val="ssrfcpassagedeactivated"/>
          <w:rFonts w:ascii="Century Schoolbook" w:hAnsi="Century Schoolbook"/>
          <w:sz w:val="26"/>
          <w:szCs w:val="26"/>
          <w:bdr w:val="none" w:sz="0" w:space="0" w:color="auto" w:frame="1"/>
          <w:shd w:val="clear" w:color="auto" w:fill="FFFFFF"/>
        </w:rPr>
        <w:t>Thoughts may follow each other with great rapidity and cold, calculated</w:t>
      </w:r>
      <w:r w:rsidR="00916506" w:rsidRPr="00E35083">
        <w:rPr>
          <w:rStyle w:val="ssrfcpassagedeactivated"/>
          <w:rFonts w:ascii="Century Schoolbook" w:hAnsi="Century Schoolbook"/>
          <w:sz w:val="26"/>
          <w:szCs w:val="26"/>
          <w:bdr w:val="none" w:sz="0" w:space="0" w:color="auto" w:frame="1"/>
          <w:shd w:val="clear" w:color="auto" w:fill="FFFFFF"/>
        </w:rPr>
        <w:t xml:space="preserve"> </w:t>
      </w:r>
      <w:r w:rsidRPr="00E35083">
        <w:rPr>
          <w:rStyle w:val="ssrfcpassagedeactivated"/>
          <w:rFonts w:ascii="Century Schoolbook" w:hAnsi="Century Schoolbook"/>
          <w:sz w:val="26"/>
          <w:szCs w:val="26"/>
          <w:bdr w:val="none" w:sz="0" w:space="0" w:color="auto" w:frame="1"/>
          <w:shd w:val="clear" w:color="auto" w:fill="FFFFFF"/>
        </w:rPr>
        <w:t>judgment may be arrived at quickly, but the express requ</w:t>
      </w:r>
      <w:r w:rsidRPr="00E35083">
        <w:rPr>
          <w:rStyle w:val="ssrfcpassagedeactivated"/>
          <w:rFonts w:ascii="Century Schoolbook" w:hAnsi="Century Schoolbook"/>
          <w:sz w:val="26"/>
          <w:szCs w:val="26"/>
          <w:bdr w:val="none" w:sz="0" w:space="0" w:color="auto" w:frame="1"/>
          <w:shd w:val="clear" w:color="auto" w:fill="FFFFFF"/>
        </w:rPr>
        <w:t xml:space="preserve">irement for a concurrence of deliberation and premeditation excludes from murder of the first degree those homicides </w:t>
      </w:r>
      <w:r w:rsidR="00A506C9" w:rsidRPr="00E35083">
        <w:rPr>
          <w:rStyle w:val="ssrfcpassagedeactivated"/>
          <w:rFonts w:ascii="Century Schoolbook" w:hAnsi="Century Schoolbook"/>
          <w:sz w:val="26"/>
          <w:szCs w:val="26"/>
          <w:bdr w:val="none" w:sz="0" w:space="0" w:color="auto" w:frame="1"/>
          <w:shd w:val="clear" w:color="auto" w:fill="FFFFFF"/>
        </w:rPr>
        <w:t>. . .</w:t>
      </w:r>
      <w:r w:rsidRPr="00E35083">
        <w:rPr>
          <w:rStyle w:val="ssrfcpassagedeactivated"/>
          <w:rFonts w:ascii="Century Schoolbook" w:hAnsi="Century Schoolbook"/>
          <w:sz w:val="26"/>
          <w:szCs w:val="26"/>
          <w:bdr w:val="none" w:sz="0" w:space="0" w:color="auto" w:frame="1"/>
          <w:shd w:val="clear" w:color="auto" w:fill="FFFFFF"/>
        </w:rPr>
        <w:t xml:space="preserve"> which are the result of mere unconsidered or rash impulse hastily </w:t>
      </w:r>
      <w:r w:rsidR="00A506C9" w:rsidRPr="00E35083">
        <w:rPr>
          <w:rStyle w:val="ssrfcpassagedeactivated"/>
          <w:rFonts w:ascii="Century Schoolbook" w:hAnsi="Century Schoolbook"/>
          <w:sz w:val="26"/>
          <w:szCs w:val="26"/>
          <w:bdr w:val="none" w:sz="0" w:space="0" w:color="auto" w:frame="1"/>
          <w:shd w:val="clear" w:color="auto" w:fill="FFFFFF"/>
        </w:rPr>
        <w:t>executed.” ’  [Citation.]”</w:t>
      </w:r>
      <w:r w:rsidRPr="00E35083">
        <w:rPr>
          <w:rFonts w:ascii="Century Schoolbook" w:hAnsi="Century Schoolbook"/>
          <w:sz w:val="26"/>
          <w:szCs w:val="26"/>
        </w:rPr>
        <w:t xml:space="preserve">  (</w:t>
      </w:r>
      <w:r w:rsidRPr="00E35083">
        <w:rPr>
          <w:rFonts w:ascii="Century Schoolbook" w:hAnsi="Century Schoolbook"/>
          <w:i/>
          <w:iCs/>
          <w:sz w:val="26"/>
          <w:szCs w:val="26"/>
        </w:rPr>
        <w:t>People v. Wear, supra</w:t>
      </w:r>
      <w:r w:rsidRPr="00E35083">
        <w:rPr>
          <w:rFonts w:ascii="Century Schoolbook" w:hAnsi="Century Schoolbook"/>
          <w:sz w:val="26"/>
          <w:szCs w:val="26"/>
        </w:rPr>
        <w:t xml:space="preserve">, 44 Cal.App.5th </w:t>
      </w:r>
      <w:r w:rsidRPr="00E35083">
        <w:rPr>
          <w:rFonts w:ascii="Century Schoolbook" w:hAnsi="Century Schoolbook"/>
          <w:sz w:val="26"/>
          <w:szCs w:val="26"/>
        </w:rPr>
        <w:t>at pp. 1020</w:t>
      </w:r>
      <w:r w:rsidR="00FD0E5E" w:rsidRPr="00E35083">
        <w:rPr>
          <w:rFonts w:ascii="Century Schoolbook" w:hAnsi="Century Schoolbook"/>
          <w:sz w:val="26"/>
          <w:szCs w:val="26"/>
        </w:rPr>
        <w:t>–</w:t>
      </w:r>
      <w:r w:rsidRPr="00E35083">
        <w:rPr>
          <w:rFonts w:ascii="Century Schoolbook" w:hAnsi="Century Schoolbook"/>
          <w:sz w:val="26"/>
          <w:szCs w:val="26"/>
        </w:rPr>
        <w:t>1021</w:t>
      </w:r>
      <w:r w:rsidR="00B70E31" w:rsidRPr="00E35083">
        <w:rPr>
          <w:rFonts w:ascii="Century Schoolbook" w:hAnsi="Century Schoolbook"/>
          <w:sz w:val="26"/>
          <w:szCs w:val="26"/>
        </w:rPr>
        <w:t xml:space="preserve">; </w:t>
      </w:r>
      <w:r w:rsidR="00A506C9" w:rsidRPr="00E35083">
        <w:rPr>
          <w:rFonts w:ascii="Century Schoolbook" w:hAnsi="Century Schoolbook"/>
          <w:sz w:val="26"/>
          <w:szCs w:val="26"/>
        </w:rPr>
        <w:t>see</w:t>
      </w:r>
      <w:r w:rsidR="00B70E31" w:rsidRPr="00E35083">
        <w:rPr>
          <w:rFonts w:ascii="Century Schoolbook" w:hAnsi="Century Schoolbook"/>
          <w:sz w:val="26"/>
          <w:szCs w:val="26"/>
        </w:rPr>
        <w:t xml:space="preserve"> </w:t>
      </w:r>
      <w:r w:rsidR="00B70E31" w:rsidRPr="00E35083">
        <w:rPr>
          <w:rFonts w:ascii="Century Schoolbook" w:hAnsi="Century Schoolbook"/>
          <w:i/>
          <w:iCs/>
          <w:sz w:val="26"/>
          <w:szCs w:val="26"/>
        </w:rPr>
        <w:t>People v. Herrera</w:t>
      </w:r>
      <w:r w:rsidR="00B70E31" w:rsidRPr="00E35083">
        <w:rPr>
          <w:rFonts w:ascii="Century Schoolbook" w:hAnsi="Century Schoolbook"/>
          <w:sz w:val="26"/>
          <w:szCs w:val="26"/>
        </w:rPr>
        <w:t xml:space="preserve"> (1999) 70 Cal.App.4th 1456, </w:t>
      </w:r>
      <w:r w:rsidR="00A506C9" w:rsidRPr="00E35083">
        <w:rPr>
          <w:rFonts w:ascii="Century Schoolbook" w:hAnsi="Century Schoolbook"/>
          <w:sz w:val="26"/>
          <w:szCs w:val="26"/>
        </w:rPr>
        <w:t>1462–1463</w:t>
      </w:r>
      <w:r w:rsidR="00B70E31" w:rsidRPr="00E35083">
        <w:rPr>
          <w:rFonts w:ascii="Century Schoolbook" w:hAnsi="Century Schoolbook"/>
          <w:sz w:val="26"/>
          <w:szCs w:val="26"/>
        </w:rPr>
        <w:t xml:space="preserve">, fn. 8, disapproved on another ground in </w:t>
      </w:r>
      <w:r w:rsidR="00B70E31" w:rsidRPr="00E35083">
        <w:rPr>
          <w:rFonts w:ascii="Century Schoolbook" w:hAnsi="Century Schoolbook"/>
          <w:i/>
          <w:iCs/>
          <w:sz w:val="26"/>
          <w:szCs w:val="26"/>
        </w:rPr>
        <w:t>People v. Mesa</w:t>
      </w:r>
      <w:r w:rsidR="00B70E31" w:rsidRPr="00E35083">
        <w:rPr>
          <w:rFonts w:ascii="Century Schoolbook" w:hAnsi="Century Schoolbook"/>
          <w:sz w:val="26"/>
          <w:szCs w:val="26"/>
        </w:rPr>
        <w:t xml:space="preserve"> (2012) 54 Cal.4th 191, </w:t>
      </w:r>
      <w:r w:rsidR="00916506" w:rsidRPr="00E35083">
        <w:rPr>
          <w:rFonts w:ascii="Century Schoolbook" w:hAnsi="Century Schoolbook"/>
          <w:sz w:val="26"/>
          <w:szCs w:val="26"/>
        </w:rPr>
        <w:t>198–</w:t>
      </w:r>
      <w:r w:rsidR="00B70E31" w:rsidRPr="00E35083">
        <w:rPr>
          <w:rFonts w:ascii="Century Schoolbook" w:hAnsi="Century Schoolbook"/>
          <w:sz w:val="26"/>
          <w:szCs w:val="26"/>
        </w:rPr>
        <w:t>199</w:t>
      </w:r>
      <w:r w:rsidR="00A506C9" w:rsidRPr="00E35083">
        <w:rPr>
          <w:rStyle w:val="ssrfcsection"/>
          <w:rFonts w:ascii="Century Schoolbook" w:hAnsi="Century Schoolbook"/>
          <w:sz w:val="26"/>
          <w:szCs w:val="26"/>
          <w:bdr w:val="none" w:sz="0" w:space="0" w:color="auto" w:frame="1"/>
          <w:shd w:val="clear" w:color="auto" w:fill="FFFFFF"/>
        </w:rPr>
        <w:t xml:space="preserve"> </w:t>
      </w:r>
      <w:r w:rsidR="00B70E31" w:rsidRPr="00E35083">
        <w:rPr>
          <w:rStyle w:val="ssrfcsection"/>
          <w:rFonts w:ascii="Century Schoolbook" w:hAnsi="Century Schoolbook"/>
          <w:sz w:val="26"/>
          <w:szCs w:val="26"/>
          <w:bdr w:val="none" w:sz="0" w:space="0" w:color="auto" w:frame="1"/>
          <w:shd w:val="clear" w:color="auto" w:fill="FFFFFF"/>
        </w:rPr>
        <w:t>[</w:t>
      </w:r>
      <w:r w:rsidR="00B70E31" w:rsidRPr="00E35083">
        <w:rPr>
          <w:rStyle w:val="ssrfcpassagedeactivated"/>
          <w:rFonts w:ascii="Century Schoolbook" w:hAnsi="Century Schoolbook"/>
          <w:sz w:val="26"/>
          <w:szCs w:val="26"/>
          <w:bdr w:val="none" w:sz="0" w:space="0" w:color="auto" w:frame="1"/>
          <w:shd w:val="clear" w:color="auto" w:fill="FFFFFF"/>
        </w:rPr>
        <w:t>substantial evidence review of premeditation and deliberation is the same for murder and attempted murder]</w:t>
      </w:r>
      <w:r w:rsidRPr="00E35083">
        <w:rPr>
          <w:rFonts w:ascii="Century Schoolbook" w:hAnsi="Century Schoolbook"/>
          <w:sz w:val="26"/>
          <w:szCs w:val="26"/>
        </w:rPr>
        <w:t>.)</w:t>
      </w:r>
    </w:p>
    <w:p w14:paraId="6228A2C9" w14:textId="653202E6" w:rsidR="00E83DB4" w:rsidRPr="00E35083" w:rsidRDefault="005A2E4C" w:rsidP="00E35083">
      <w:pPr>
        <w:pStyle w:val="NormalWeb"/>
        <w:spacing w:before="0" w:beforeAutospacing="0" w:after="0" w:afterAutospacing="0" w:line="360" w:lineRule="auto"/>
        <w:textAlignment w:val="baseline"/>
        <w:rPr>
          <w:rFonts w:ascii="Century Schoolbook" w:hAnsi="Century Schoolbook"/>
          <w:sz w:val="26"/>
          <w:szCs w:val="26"/>
          <w:shd w:val="clear" w:color="auto" w:fill="FFFFFF"/>
        </w:rPr>
      </w:pPr>
      <w:r w:rsidRPr="00E35083">
        <w:rPr>
          <w:rFonts w:ascii="Century Schoolbook" w:hAnsi="Century Schoolbook"/>
          <w:sz w:val="26"/>
          <w:szCs w:val="26"/>
        </w:rPr>
        <w:tab/>
      </w:r>
      <w:r w:rsidR="000C595D">
        <w:rPr>
          <w:rFonts w:ascii="Century Schoolbook" w:hAnsi="Century Schoolbook"/>
          <w:sz w:val="26"/>
          <w:szCs w:val="26"/>
          <w:shd w:val="clear" w:color="auto" w:fill="FFFFFF"/>
        </w:rPr>
        <w:t>D</w:t>
      </w:r>
      <w:r w:rsidRPr="00E35083">
        <w:rPr>
          <w:rFonts w:ascii="Century Schoolbook" w:hAnsi="Century Schoolbook"/>
          <w:sz w:val="26"/>
          <w:szCs w:val="26"/>
          <w:shd w:val="clear" w:color="auto" w:fill="FFFFFF"/>
        </w:rPr>
        <w:t xml:space="preserve">efendant contends there was insufficient evidence </w:t>
      </w:r>
      <w:r w:rsidR="00806284" w:rsidRPr="00E35083">
        <w:rPr>
          <w:rFonts w:ascii="Century Schoolbook" w:hAnsi="Century Schoolbook"/>
          <w:sz w:val="26"/>
          <w:szCs w:val="26"/>
          <w:shd w:val="clear" w:color="auto" w:fill="FFFFFF"/>
        </w:rPr>
        <w:t>supporting the</w:t>
      </w:r>
      <w:r w:rsidR="009C4A82" w:rsidRPr="00E35083">
        <w:rPr>
          <w:rFonts w:ascii="Century Schoolbook" w:hAnsi="Century Schoolbook"/>
          <w:sz w:val="26"/>
          <w:szCs w:val="26"/>
          <w:shd w:val="clear" w:color="auto" w:fill="FFFFFF"/>
        </w:rPr>
        <w:t xml:space="preserve"> finding</w:t>
      </w:r>
      <w:r w:rsidR="00806284" w:rsidRPr="00E35083">
        <w:rPr>
          <w:rFonts w:ascii="Century Schoolbook" w:hAnsi="Century Schoolbook"/>
          <w:sz w:val="26"/>
          <w:szCs w:val="26"/>
          <w:shd w:val="clear" w:color="auto" w:fill="FFFFFF"/>
        </w:rPr>
        <w:t>s</w:t>
      </w:r>
      <w:r w:rsidR="009C4A82" w:rsidRPr="00E35083">
        <w:rPr>
          <w:rFonts w:ascii="Century Schoolbook" w:hAnsi="Century Schoolbook"/>
          <w:sz w:val="26"/>
          <w:szCs w:val="26"/>
          <w:shd w:val="clear" w:color="auto" w:fill="FFFFFF"/>
        </w:rPr>
        <w:t xml:space="preserve"> of</w:t>
      </w:r>
      <w:r w:rsidRPr="00E35083">
        <w:rPr>
          <w:rFonts w:ascii="Century Schoolbook" w:hAnsi="Century Schoolbook"/>
          <w:sz w:val="26"/>
          <w:szCs w:val="26"/>
          <w:shd w:val="clear" w:color="auto" w:fill="FFFFFF"/>
        </w:rPr>
        <w:t xml:space="preserve"> premeditation and deliberation</w:t>
      </w:r>
      <w:r w:rsidR="009C4A82" w:rsidRPr="00E35083">
        <w:rPr>
          <w:rFonts w:ascii="Century Schoolbook" w:hAnsi="Century Schoolbook"/>
          <w:sz w:val="26"/>
          <w:szCs w:val="26"/>
          <w:shd w:val="clear" w:color="auto" w:fill="FFFFFF"/>
        </w:rPr>
        <w:t xml:space="preserve"> </w:t>
      </w:r>
      <w:r w:rsidRPr="00E35083">
        <w:rPr>
          <w:rFonts w:ascii="Century Schoolbook" w:hAnsi="Century Schoolbook"/>
          <w:sz w:val="26"/>
          <w:szCs w:val="26"/>
          <w:shd w:val="clear" w:color="auto" w:fill="FFFFFF"/>
        </w:rPr>
        <w:t xml:space="preserve">because </w:t>
      </w:r>
      <w:r w:rsidR="009C4A82" w:rsidRPr="00E35083">
        <w:rPr>
          <w:rFonts w:ascii="Century Schoolbook" w:hAnsi="Century Schoolbook"/>
          <w:sz w:val="26"/>
          <w:szCs w:val="26"/>
          <w:shd w:val="clear" w:color="auto" w:fill="FFFFFF"/>
        </w:rPr>
        <w:t>all three</w:t>
      </w:r>
      <w:r w:rsidRPr="00E35083">
        <w:rPr>
          <w:rFonts w:ascii="Century Schoolbook" w:hAnsi="Century Schoolbook"/>
          <w:sz w:val="26"/>
          <w:szCs w:val="26"/>
          <w:shd w:val="clear" w:color="auto" w:fill="FFFFFF"/>
        </w:rPr>
        <w:t xml:space="preserve"> categories of evidence set forth </w:t>
      </w:r>
      <w:r w:rsidR="00A506C9" w:rsidRPr="00E35083">
        <w:rPr>
          <w:rFonts w:ascii="Century Schoolbook" w:hAnsi="Century Schoolbook"/>
          <w:sz w:val="26"/>
          <w:szCs w:val="26"/>
          <w:shd w:val="clear" w:color="auto" w:fill="FFFFFF"/>
        </w:rPr>
        <w:t xml:space="preserve">in </w:t>
      </w:r>
      <w:r w:rsidR="00A506C9" w:rsidRPr="00E35083">
        <w:rPr>
          <w:rFonts w:ascii="Century Schoolbook" w:hAnsi="Century Schoolbook"/>
          <w:i/>
          <w:iCs/>
          <w:sz w:val="26"/>
          <w:szCs w:val="26"/>
          <w:shd w:val="clear" w:color="auto" w:fill="FFFFFF"/>
        </w:rPr>
        <w:t>People v.</w:t>
      </w:r>
      <w:r w:rsidRPr="00E35083">
        <w:rPr>
          <w:rFonts w:ascii="Century Schoolbook" w:hAnsi="Century Schoolbook"/>
          <w:i/>
          <w:iCs/>
          <w:sz w:val="26"/>
          <w:szCs w:val="26"/>
          <w:shd w:val="clear" w:color="auto" w:fill="FFFFFF"/>
        </w:rPr>
        <w:t xml:space="preserve"> Anderson</w:t>
      </w:r>
      <w:r w:rsidRPr="00E35083">
        <w:rPr>
          <w:rFonts w:ascii="Century Schoolbook" w:hAnsi="Century Schoolbook"/>
          <w:sz w:val="26"/>
          <w:szCs w:val="26"/>
          <w:shd w:val="clear" w:color="auto" w:fill="FFFFFF"/>
        </w:rPr>
        <w:t xml:space="preserve"> (1968) 70 Cal.2d 15</w:t>
      </w:r>
      <w:r w:rsidR="00FF5534" w:rsidRPr="00E35083">
        <w:rPr>
          <w:rFonts w:ascii="Century Schoolbook" w:hAnsi="Century Schoolbook"/>
          <w:sz w:val="26"/>
          <w:szCs w:val="26"/>
          <w:shd w:val="clear" w:color="auto" w:fill="FFFFFF"/>
        </w:rPr>
        <w:t xml:space="preserve"> (</w:t>
      </w:r>
      <w:r w:rsidR="00FF5534" w:rsidRPr="00E35083">
        <w:rPr>
          <w:rFonts w:ascii="Century Schoolbook" w:hAnsi="Century Schoolbook"/>
          <w:i/>
          <w:iCs/>
          <w:sz w:val="26"/>
          <w:szCs w:val="26"/>
          <w:shd w:val="clear" w:color="auto" w:fill="FFFFFF"/>
        </w:rPr>
        <w:t>Anderson</w:t>
      </w:r>
      <w:r w:rsidR="00FF5534" w:rsidRPr="00E35083">
        <w:rPr>
          <w:rFonts w:ascii="Century Schoolbook" w:hAnsi="Century Schoolbook"/>
          <w:sz w:val="26"/>
          <w:szCs w:val="26"/>
          <w:shd w:val="clear" w:color="auto" w:fill="FFFFFF"/>
        </w:rPr>
        <w:t>)</w:t>
      </w:r>
      <w:r w:rsidR="00A506C9" w:rsidRPr="00E35083">
        <w:rPr>
          <w:rFonts w:ascii="Century Schoolbook" w:hAnsi="Century Schoolbook"/>
          <w:sz w:val="26"/>
          <w:szCs w:val="26"/>
          <w:shd w:val="clear" w:color="auto" w:fill="FFFFFF"/>
        </w:rPr>
        <w:t xml:space="preserve"> </w:t>
      </w:r>
      <w:r w:rsidRPr="00E35083">
        <w:rPr>
          <w:rFonts w:ascii="Century Schoolbook" w:hAnsi="Century Schoolbook"/>
          <w:sz w:val="26"/>
          <w:szCs w:val="26"/>
          <w:shd w:val="clear" w:color="auto" w:fill="FFFFFF"/>
        </w:rPr>
        <w:t xml:space="preserve">were </w:t>
      </w:r>
      <w:r w:rsidR="009C4A82" w:rsidRPr="00E35083">
        <w:rPr>
          <w:rFonts w:ascii="Century Schoolbook" w:hAnsi="Century Schoolbook"/>
          <w:sz w:val="26"/>
          <w:szCs w:val="26"/>
          <w:shd w:val="clear" w:color="auto" w:fill="FFFFFF"/>
        </w:rPr>
        <w:t>absent</w:t>
      </w:r>
      <w:r w:rsidRPr="00E35083">
        <w:rPr>
          <w:rFonts w:ascii="Century Schoolbook" w:hAnsi="Century Schoolbook"/>
          <w:sz w:val="26"/>
          <w:szCs w:val="26"/>
          <w:shd w:val="clear" w:color="auto" w:fill="FFFFFF"/>
        </w:rPr>
        <w:t xml:space="preserve">.  </w:t>
      </w:r>
      <w:r w:rsidR="00E46543" w:rsidRPr="00E35083">
        <w:rPr>
          <w:rFonts w:ascii="Century Schoolbook" w:hAnsi="Century Schoolbook"/>
          <w:sz w:val="26"/>
          <w:szCs w:val="26"/>
          <w:shd w:val="clear" w:color="auto" w:fill="FFFFFF"/>
        </w:rPr>
        <w:t>“</w:t>
      </w:r>
      <w:r w:rsidR="00A506C9" w:rsidRPr="00E35083">
        <w:rPr>
          <w:rFonts w:ascii="Century Schoolbook" w:hAnsi="Century Schoolbook"/>
          <w:sz w:val="26"/>
          <w:szCs w:val="26"/>
          <w:shd w:val="clear" w:color="auto" w:fill="FFFFFF"/>
        </w:rPr>
        <w:t xml:space="preserve">In </w:t>
      </w:r>
      <w:r w:rsidR="00A506C9" w:rsidRPr="00E35083">
        <w:rPr>
          <w:rFonts w:ascii="Century Schoolbook" w:hAnsi="Century Schoolbook"/>
          <w:i/>
          <w:iCs/>
          <w:sz w:val="26"/>
          <w:szCs w:val="26"/>
          <w:shd w:val="clear" w:color="auto" w:fill="FFFFFF"/>
        </w:rPr>
        <w:t>Anderson</w:t>
      </w:r>
      <w:r w:rsidR="00A506C9" w:rsidRPr="00E35083">
        <w:rPr>
          <w:rFonts w:ascii="Century Schoolbook" w:hAnsi="Century Schoolbook"/>
          <w:sz w:val="26"/>
          <w:szCs w:val="26"/>
          <w:shd w:val="clear" w:color="auto" w:fill="FFFFFF"/>
        </w:rPr>
        <w:t>, we ‘identified three</w:t>
      </w:r>
      <w:r w:rsidRPr="00E35083">
        <w:rPr>
          <w:rFonts w:ascii="Century Schoolbook" w:hAnsi="Century Schoolbook"/>
          <w:sz w:val="26"/>
          <w:szCs w:val="26"/>
          <w:shd w:val="clear" w:color="auto" w:fill="FFFFFF"/>
        </w:rPr>
        <w:t xml:space="preserve"> categories of evidence relevant to resolving the issue of premeditation and deliberation: </w:t>
      </w:r>
      <w:r w:rsidR="00A506C9" w:rsidRPr="00E35083">
        <w:rPr>
          <w:rFonts w:ascii="Century Schoolbook" w:hAnsi="Century Schoolbook"/>
          <w:sz w:val="26"/>
          <w:szCs w:val="26"/>
          <w:shd w:val="clear" w:color="auto" w:fill="FFFFFF"/>
        </w:rPr>
        <w:t xml:space="preserve"> </w:t>
      </w:r>
      <w:r w:rsidRPr="00E35083">
        <w:rPr>
          <w:rFonts w:ascii="Century Schoolbook" w:hAnsi="Century Schoolbook"/>
          <w:sz w:val="26"/>
          <w:szCs w:val="26"/>
          <w:shd w:val="clear" w:color="auto" w:fill="FFFFFF"/>
        </w:rPr>
        <w:t xml:space="preserve">planning activity, motive, and manner of killing.’ </w:t>
      </w:r>
      <w:r w:rsidR="00A506C9" w:rsidRPr="00E35083">
        <w:rPr>
          <w:rFonts w:ascii="Century Schoolbook" w:hAnsi="Century Schoolbook"/>
          <w:sz w:val="26"/>
          <w:szCs w:val="26"/>
          <w:shd w:val="clear" w:color="auto" w:fill="FFFFFF"/>
        </w:rPr>
        <w:t xml:space="preserve"> </w:t>
      </w:r>
      <w:r w:rsidRPr="00E35083">
        <w:rPr>
          <w:rFonts w:ascii="Century Schoolbook" w:hAnsi="Century Schoolbook"/>
          <w:sz w:val="26"/>
          <w:szCs w:val="26"/>
          <w:shd w:val="clear" w:color="auto" w:fill="FFFFFF"/>
        </w:rPr>
        <w:t xml:space="preserve">[Citation.] </w:t>
      </w:r>
      <w:r w:rsidR="00A506C9" w:rsidRPr="00E35083">
        <w:rPr>
          <w:rFonts w:ascii="Century Schoolbook" w:hAnsi="Century Schoolbook"/>
          <w:sz w:val="26"/>
          <w:szCs w:val="26"/>
          <w:shd w:val="clear" w:color="auto" w:fill="FFFFFF"/>
        </w:rPr>
        <w:t xml:space="preserve"> </w:t>
      </w:r>
      <w:r w:rsidRPr="00E35083">
        <w:rPr>
          <w:rFonts w:ascii="Century Schoolbook" w:hAnsi="Century Schoolbook"/>
          <w:sz w:val="26"/>
          <w:szCs w:val="26"/>
          <w:shd w:val="clear" w:color="auto" w:fill="FFFFFF"/>
        </w:rPr>
        <w:t>‘However, these factors are not exclusive, nor are they invariably</w:t>
      </w:r>
      <w:r w:rsidRPr="00E35083">
        <w:rPr>
          <w:rFonts w:ascii="Century Schoolbook" w:hAnsi="Century Schoolbook"/>
          <w:sz w:val="26"/>
          <w:szCs w:val="26"/>
          <w:shd w:val="clear" w:color="auto" w:fill="FFFFFF"/>
        </w:rPr>
        <w:t xml:space="preserve"> determinative.’ </w:t>
      </w:r>
      <w:r w:rsidR="00A506C9" w:rsidRPr="00E35083">
        <w:rPr>
          <w:rFonts w:ascii="Century Schoolbook" w:hAnsi="Century Schoolbook"/>
          <w:sz w:val="26"/>
          <w:szCs w:val="26"/>
          <w:shd w:val="clear" w:color="auto" w:fill="FFFFFF"/>
        </w:rPr>
        <w:t xml:space="preserve"> </w:t>
      </w:r>
      <w:r w:rsidRPr="00E35083">
        <w:rPr>
          <w:rFonts w:ascii="Century Schoolbook" w:hAnsi="Century Schoolbook"/>
          <w:sz w:val="26"/>
          <w:szCs w:val="26"/>
          <w:shd w:val="clear" w:color="auto" w:fill="FFFFFF"/>
        </w:rPr>
        <w:t xml:space="preserve">[Citation.] </w:t>
      </w:r>
      <w:r w:rsidR="00A506C9" w:rsidRPr="00E35083">
        <w:rPr>
          <w:rFonts w:ascii="Century Schoolbook" w:hAnsi="Century Schoolbook"/>
          <w:sz w:val="26"/>
          <w:szCs w:val="26"/>
          <w:shd w:val="clear" w:color="auto" w:fill="FFFFFF"/>
        </w:rPr>
        <w:t xml:space="preserve"> </w:t>
      </w:r>
      <w:proofErr w:type="gramStart"/>
      <w:r w:rsidR="00A506C9" w:rsidRPr="00E35083">
        <w:rPr>
          <w:rFonts w:ascii="Century Schoolbook" w:hAnsi="Century Schoolbook"/>
          <w:sz w:val="26"/>
          <w:szCs w:val="26"/>
          <w:shd w:val="clear" w:color="auto" w:fill="FFFFFF"/>
        </w:rPr>
        <w:t>‘ “</w:t>
      </w:r>
      <w:proofErr w:type="gramEnd"/>
      <w:r w:rsidR="00A506C9" w:rsidRPr="00E35083">
        <w:rPr>
          <w:rFonts w:ascii="Century Schoolbook" w:hAnsi="Century Schoolbook"/>
          <w:i/>
          <w:iCs/>
          <w:sz w:val="26"/>
          <w:szCs w:val="26"/>
          <w:shd w:val="clear" w:color="auto" w:fill="FFFFFF"/>
        </w:rPr>
        <w:t>Anderson</w:t>
      </w:r>
      <w:r w:rsidR="00A506C9" w:rsidRPr="00E35083">
        <w:rPr>
          <w:rFonts w:ascii="Century Schoolbook" w:hAnsi="Century Schoolbook"/>
          <w:sz w:val="26"/>
          <w:szCs w:val="26"/>
          <w:shd w:val="clear" w:color="auto" w:fill="FFFFFF"/>
        </w:rPr>
        <w:t xml:space="preserve"> was</w:t>
      </w:r>
      <w:r w:rsidRPr="00E35083">
        <w:rPr>
          <w:rFonts w:ascii="Century Schoolbook" w:hAnsi="Century Schoolbook"/>
          <w:sz w:val="26"/>
          <w:szCs w:val="26"/>
          <w:shd w:val="clear" w:color="auto" w:fill="FFFFFF"/>
        </w:rPr>
        <w:t xml:space="preserve"> simply intended to guide an appellate court’s assessment whether the evidence supports an inference that the killing occurred as the result of preexisting reflection rather than unconsidered or rash </w:t>
      </w:r>
      <w:r w:rsidR="00A506C9" w:rsidRPr="00E35083">
        <w:rPr>
          <w:rFonts w:ascii="Century Schoolbook" w:hAnsi="Century Schoolbook"/>
          <w:sz w:val="26"/>
          <w:szCs w:val="26"/>
          <w:shd w:val="clear" w:color="auto" w:fill="FFFFFF"/>
        </w:rPr>
        <w:t>impulse.  [Citation.]</w:t>
      </w:r>
      <w:proofErr w:type="gramStart"/>
      <w:r w:rsidR="00A506C9" w:rsidRPr="00E35083">
        <w:rPr>
          <w:rFonts w:ascii="Century Schoolbook" w:hAnsi="Century Schoolbook"/>
          <w:sz w:val="26"/>
          <w:szCs w:val="26"/>
          <w:shd w:val="clear" w:color="auto" w:fill="FFFFFF"/>
        </w:rPr>
        <w:t>” ’</w:t>
      </w:r>
      <w:proofErr w:type="gramEnd"/>
      <w:r w:rsidR="00A506C9" w:rsidRPr="00E35083">
        <w:rPr>
          <w:rFonts w:ascii="Century Schoolbook" w:hAnsi="Century Schoolbook"/>
          <w:sz w:val="26"/>
          <w:szCs w:val="26"/>
          <w:shd w:val="clear" w:color="auto" w:fill="FFFFFF"/>
        </w:rPr>
        <w:t xml:space="preserve">  </w:t>
      </w:r>
      <w:r w:rsidR="00A506C9" w:rsidRPr="00E35083">
        <w:rPr>
          <w:rFonts w:ascii="Century Schoolbook" w:hAnsi="Century Schoolbook"/>
          <w:sz w:val="26"/>
          <w:szCs w:val="26"/>
          <w:shd w:val="clear" w:color="auto" w:fill="FFFFFF"/>
        </w:rPr>
        <w:lastRenderedPageBreak/>
        <w:t>[Citation.]”</w:t>
      </w:r>
      <w:r w:rsidRPr="00E35083">
        <w:rPr>
          <w:rFonts w:ascii="Century Schoolbook" w:hAnsi="Century Schoolbook"/>
          <w:sz w:val="26"/>
          <w:szCs w:val="26"/>
          <w:shd w:val="clear" w:color="auto" w:fill="FFFFFF"/>
        </w:rPr>
        <w:t xml:space="preserve"> </w:t>
      </w:r>
      <w:r w:rsidR="00204F85" w:rsidRPr="00E35083">
        <w:rPr>
          <w:rFonts w:ascii="Century Schoolbook" w:hAnsi="Century Schoolbook"/>
          <w:sz w:val="26"/>
          <w:szCs w:val="26"/>
          <w:shd w:val="clear" w:color="auto" w:fill="FFFFFF"/>
        </w:rPr>
        <w:t xml:space="preserve"> </w:t>
      </w:r>
      <w:r w:rsidRPr="00E35083">
        <w:rPr>
          <w:rFonts w:ascii="Century Schoolbook" w:hAnsi="Century Schoolbook"/>
          <w:sz w:val="26"/>
          <w:szCs w:val="26"/>
          <w:shd w:val="clear" w:color="auto" w:fill="FFFFFF"/>
        </w:rPr>
        <w:t>(</w:t>
      </w:r>
      <w:r w:rsidRPr="00E35083">
        <w:rPr>
          <w:rFonts w:ascii="Century Schoolbook" w:hAnsi="Century Schoolbook"/>
          <w:i/>
          <w:iCs/>
          <w:sz w:val="26"/>
          <w:szCs w:val="26"/>
          <w:shd w:val="clear" w:color="auto" w:fill="FFFFFF"/>
        </w:rPr>
        <w:t>People v. Streeter</w:t>
      </w:r>
      <w:r w:rsidRPr="00E35083">
        <w:rPr>
          <w:rFonts w:ascii="Century Schoolbook" w:hAnsi="Century Schoolbook"/>
          <w:sz w:val="26"/>
          <w:szCs w:val="26"/>
          <w:shd w:val="clear" w:color="auto" w:fill="FFFFFF"/>
        </w:rPr>
        <w:t xml:space="preserve"> (2012) 54 Cal.4th 205, 242.)</w:t>
      </w:r>
      <w:r w:rsidR="00806284" w:rsidRPr="00E35083">
        <w:rPr>
          <w:rFonts w:ascii="Century Schoolbook" w:hAnsi="Century Schoolbook"/>
          <w:sz w:val="26"/>
          <w:szCs w:val="26"/>
          <w:shd w:val="clear" w:color="auto" w:fill="FFFFFF"/>
        </w:rPr>
        <w:t xml:space="preserve">  We consider these categories to the extent they are relevant in this case.</w:t>
      </w:r>
    </w:p>
    <w:p w14:paraId="2D621A91" w14:textId="369D32F4" w:rsidR="00EA2580" w:rsidRPr="00E35083" w:rsidRDefault="005A2E4C" w:rsidP="00E35083">
      <w:pPr>
        <w:pStyle w:val="NormalWeb"/>
        <w:spacing w:before="0" w:beforeAutospacing="0" w:after="0" w:afterAutospacing="0" w:line="360" w:lineRule="auto"/>
        <w:textAlignment w:val="baseline"/>
        <w:rPr>
          <w:rFonts w:ascii="Century Schoolbook" w:hAnsi="Century Schoolbook"/>
          <w:sz w:val="26"/>
          <w:szCs w:val="26"/>
        </w:rPr>
      </w:pPr>
      <w:r w:rsidRPr="00E35083">
        <w:rPr>
          <w:rFonts w:ascii="Century Schoolbook" w:hAnsi="Century Schoolbook"/>
          <w:sz w:val="26"/>
          <w:szCs w:val="26"/>
          <w:shd w:val="clear" w:color="auto" w:fill="FFFFFF"/>
        </w:rPr>
        <w:tab/>
        <w:t xml:space="preserve">Beginning with the manner of </w:t>
      </w:r>
      <w:r w:rsidR="00953769" w:rsidRPr="00E35083">
        <w:rPr>
          <w:rFonts w:ascii="Century Schoolbook" w:hAnsi="Century Schoolbook"/>
          <w:sz w:val="26"/>
          <w:szCs w:val="26"/>
          <w:shd w:val="clear" w:color="auto" w:fill="FFFFFF"/>
        </w:rPr>
        <w:t>the shooting</w:t>
      </w:r>
      <w:r w:rsidRPr="00E35083">
        <w:rPr>
          <w:rFonts w:ascii="Century Schoolbook" w:hAnsi="Century Schoolbook"/>
          <w:sz w:val="26"/>
          <w:szCs w:val="26"/>
          <w:shd w:val="clear" w:color="auto" w:fill="FFFFFF"/>
        </w:rPr>
        <w:t xml:space="preserve">, </w:t>
      </w:r>
      <w:r w:rsidR="00A36AE6" w:rsidRPr="00E35083">
        <w:rPr>
          <w:rFonts w:ascii="Century Schoolbook" w:hAnsi="Century Schoolbook"/>
          <w:sz w:val="26"/>
          <w:szCs w:val="26"/>
        </w:rPr>
        <w:t>Officer Smith</w:t>
      </w:r>
      <w:r w:rsidR="00C15E27" w:rsidRPr="00E35083">
        <w:rPr>
          <w:rFonts w:ascii="Century Schoolbook" w:hAnsi="Century Schoolbook"/>
          <w:sz w:val="26"/>
          <w:szCs w:val="26"/>
        </w:rPr>
        <w:t xml:space="preserve"> was </w:t>
      </w:r>
      <w:r w:rsidR="00A36AE6" w:rsidRPr="00E35083">
        <w:rPr>
          <w:rFonts w:ascii="Century Schoolbook" w:hAnsi="Century Schoolbook"/>
          <w:sz w:val="26"/>
          <w:szCs w:val="26"/>
        </w:rPr>
        <w:t xml:space="preserve">the first officer to arrive </w:t>
      </w:r>
      <w:r w:rsidR="00987DF9" w:rsidRPr="00E35083">
        <w:rPr>
          <w:rFonts w:ascii="Century Schoolbook" w:hAnsi="Century Schoolbook"/>
          <w:sz w:val="26"/>
          <w:szCs w:val="26"/>
        </w:rPr>
        <w:t xml:space="preserve">at the scene </w:t>
      </w:r>
      <w:r w:rsidR="00A36AE6" w:rsidRPr="00E35083">
        <w:rPr>
          <w:rFonts w:ascii="Century Schoolbook" w:hAnsi="Century Schoolbook"/>
          <w:sz w:val="26"/>
          <w:szCs w:val="26"/>
        </w:rPr>
        <w:t xml:space="preserve">after </w:t>
      </w:r>
      <w:r w:rsidR="003F7525" w:rsidRPr="00E35083">
        <w:rPr>
          <w:rFonts w:ascii="Century Schoolbook" w:hAnsi="Century Schoolbook"/>
          <w:sz w:val="26"/>
          <w:szCs w:val="26"/>
        </w:rPr>
        <w:t xml:space="preserve">defendant, driving </w:t>
      </w:r>
      <w:r w:rsidR="00806284" w:rsidRPr="00E35083">
        <w:rPr>
          <w:rFonts w:ascii="Century Schoolbook" w:hAnsi="Century Schoolbook"/>
          <w:sz w:val="26"/>
          <w:szCs w:val="26"/>
        </w:rPr>
        <w:t>a</w:t>
      </w:r>
      <w:r w:rsidR="00A36AE6" w:rsidRPr="00E35083">
        <w:rPr>
          <w:rFonts w:ascii="Century Schoolbook" w:hAnsi="Century Schoolbook"/>
          <w:sz w:val="26"/>
          <w:szCs w:val="26"/>
        </w:rPr>
        <w:t xml:space="preserve"> stolen BMW</w:t>
      </w:r>
      <w:r w:rsidR="003F7525" w:rsidRPr="00E35083">
        <w:rPr>
          <w:rFonts w:ascii="Century Schoolbook" w:hAnsi="Century Schoolbook"/>
          <w:sz w:val="26"/>
          <w:szCs w:val="26"/>
        </w:rPr>
        <w:t>,</w:t>
      </w:r>
      <w:r w:rsidR="00A36AE6" w:rsidRPr="00E35083">
        <w:rPr>
          <w:rFonts w:ascii="Century Schoolbook" w:hAnsi="Century Schoolbook"/>
          <w:sz w:val="26"/>
          <w:szCs w:val="26"/>
        </w:rPr>
        <w:t xml:space="preserve"> crashed through </w:t>
      </w:r>
      <w:r w:rsidR="00806284" w:rsidRPr="00E35083">
        <w:rPr>
          <w:rFonts w:ascii="Century Schoolbook" w:hAnsi="Century Schoolbook"/>
          <w:sz w:val="26"/>
          <w:szCs w:val="26"/>
        </w:rPr>
        <w:t xml:space="preserve">a busy </w:t>
      </w:r>
      <w:r w:rsidR="00B47C8F" w:rsidRPr="00E35083">
        <w:rPr>
          <w:rFonts w:ascii="Century Schoolbook" w:hAnsi="Century Schoolbook"/>
          <w:sz w:val="26"/>
          <w:szCs w:val="26"/>
        </w:rPr>
        <w:t>intersection during rush hour</w:t>
      </w:r>
      <w:r w:rsidR="00A36AE6" w:rsidRPr="00E35083">
        <w:rPr>
          <w:rFonts w:ascii="Century Schoolbook" w:hAnsi="Century Schoolbook"/>
          <w:sz w:val="26"/>
          <w:szCs w:val="26"/>
        </w:rPr>
        <w:t xml:space="preserve">. </w:t>
      </w:r>
      <w:r w:rsidR="004050C8" w:rsidRPr="00E35083">
        <w:rPr>
          <w:rFonts w:ascii="Century Schoolbook" w:hAnsi="Century Schoolbook"/>
          <w:sz w:val="26"/>
          <w:szCs w:val="26"/>
        </w:rPr>
        <w:t xml:space="preserve"> Officer Smith </w:t>
      </w:r>
      <w:r w:rsidR="00C15E27" w:rsidRPr="00E35083">
        <w:rPr>
          <w:rFonts w:ascii="Century Schoolbook" w:hAnsi="Century Schoolbook"/>
          <w:sz w:val="26"/>
          <w:szCs w:val="26"/>
        </w:rPr>
        <w:t xml:space="preserve">testified that he </w:t>
      </w:r>
      <w:r w:rsidR="00987DF9" w:rsidRPr="00E35083">
        <w:rPr>
          <w:rFonts w:ascii="Century Schoolbook" w:hAnsi="Century Schoolbook"/>
          <w:sz w:val="26"/>
          <w:szCs w:val="26"/>
        </w:rPr>
        <w:t>saw</w:t>
      </w:r>
      <w:r w:rsidR="004050C8" w:rsidRPr="00E35083">
        <w:rPr>
          <w:rFonts w:ascii="Century Schoolbook" w:hAnsi="Century Schoolbook"/>
          <w:sz w:val="26"/>
          <w:szCs w:val="26"/>
        </w:rPr>
        <w:t xml:space="preserve"> defendant outside the BMW with a rifle or a shotgun perched over the top of the car, using the door as concealment.  Officer Smith could see the </w:t>
      </w:r>
      <w:r w:rsidR="00987DF9" w:rsidRPr="00E35083">
        <w:rPr>
          <w:rFonts w:ascii="Century Schoolbook" w:hAnsi="Century Schoolbook"/>
          <w:sz w:val="26"/>
          <w:szCs w:val="26"/>
        </w:rPr>
        <w:t xml:space="preserve">gun’s </w:t>
      </w:r>
      <w:r w:rsidR="004050C8" w:rsidRPr="00E35083">
        <w:rPr>
          <w:rFonts w:ascii="Century Schoolbook" w:hAnsi="Century Schoolbook"/>
          <w:sz w:val="26"/>
          <w:szCs w:val="26"/>
        </w:rPr>
        <w:t xml:space="preserve">barrel.  He then heard a loud bang and saw a muzzle flash </w:t>
      </w:r>
      <w:r w:rsidR="00987DF9" w:rsidRPr="00E35083">
        <w:rPr>
          <w:rFonts w:ascii="Century Schoolbook" w:hAnsi="Century Schoolbook"/>
          <w:sz w:val="26"/>
          <w:szCs w:val="26"/>
        </w:rPr>
        <w:t>just</w:t>
      </w:r>
      <w:r w:rsidR="004050C8" w:rsidRPr="00E35083">
        <w:rPr>
          <w:rFonts w:ascii="Century Schoolbook" w:hAnsi="Century Schoolbook"/>
          <w:sz w:val="26"/>
          <w:szCs w:val="26"/>
        </w:rPr>
        <w:t xml:space="preserve"> before </w:t>
      </w:r>
      <w:r w:rsidR="003F7525" w:rsidRPr="00E35083">
        <w:rPr>
          <w:rFonts w:ascii="Century Schoolbook" w:hAnsi="Century Schoolbook"/>
          <w:sz w:val="26"/>
          <w:szCs w:val="26"/>
        </w:rPr>
        <w:t>something</w:t>
      </w:r>
      <w:r w:rsidR="004050C8" w:rsidRPr="00E35083">
        <w:rPr>
          <w:rFonts w:ascii="Century Schoolbook" w:hAnsi="Century Schoolbook"/>
          <w:sz w:val="26"/>
          <w:szCs w:val="26"/>
        </w:rPr>
        <w:t xml:space="preserve"> impact</w:t>
      </w:r>
      <w:r w:rsidR="003F7525" w:rsidRPr="00E35083">
        <w:rPr>
          <w:rFonts w:ascii="Century Schoolbook" w:hAnsi="Century Schoolbook"/>
          <w:sz w:val="26"/>
          <w:szCs w:val="26"/>
        </w:rPr>
        <w:t>ed</w:t>
      </w:r>
      <w:r w:rsidR="004050C8" w:rsidRPr="00E35083">
        <w:rPr>
          <w:rFonts w:ascii="Century Schoolbook" w:hAnsi="Century Schoolbook"/>
          <w:sz w:val="26"/>
          <w:szCs w:val="26"/>
        </w:rPr>
        <w:t xml:space="preserve"> the left side of his face</w:t>
      </w:r>
      <w:r w:rsidR="00987DF9" w:rsidRPr="00E35083">
        <w:rPr>
          <w:rFonts w:ascii="Century Schoolbook" w:hAnsi="Century Schoolbook"/>
          <w:sz w:val="26"/>
          <w:szCs w:val="26"/>
        </w:rPr>
        <w:t xml:space="preserve"> that </w:t>
      </w:r>
      <w:r w:rsidR="003F7525" w:rsidRPr="00E35083">
        <w:rPr>
          <w:rFonts w:ascii="Century Schoolbook" w:hAnsi="Century Schoolbook"/>
          <w:sz w:val="26"/>
          <w:szCs w:val="26"/>
        </w:rPr>
        <w:t xml:space="preserve">felt like being </w:t>
      </w:r>
      <w:r w:rsidR="00987DF9" w:rsidRPr="00E35083">
        <w:rPr>
          <w:rFonts w:ascii="Century Schoolbook" w:hAnsi="Century Schoolbook"/>
          <w:sz w:val="26"/>
          <w:szCs w:val="26"/>
        </w:rPr>
        <w:t xml:space="preserve">hit with a </w:t>
      </w:r>
      <w:r w:rsidR="009C3BFA" w:rsidRPr="00E35083">
        <w:rPr>
          <w:rFonts w:ascii="Century Schoolbook" w:hAnsi="Century Schoolbook"/>
          <w:sz w:val="26"/>
          <w:szCs w:val="26"/>
        </w:rPr>
        <w:t>cinder block</w:t>
      </w:r>
      <w:r w:rsidR="004050C8" w:rsidRPr="00E35083">
        <w:rPr>
          <w:rFonts w:ascii="Century Schoolbook" w:hAnsi="Century Schoolbook"/>
          <w:sz w:val="26"/>
          <w:szCs w:val="26"/>
        </w:rPr>
        <w:t>.</w:t>
      </w:r>
    </w:p>
    <w:p w14:paraId="1F0D5B0A" w14:textId="7BAC4785" w:rsidR="005239BD" w:rsidRPr="00E35083" w:rsidRDefault="005A2E4C" w:rsidP="00E35083">
      <w:pPr>
        <w:tabs>
          <w:tab w:val="clear" w:pos="720"/>
        </w:tabs>
        <w:spacing w:line="360" w:lineRule="auto"/>
      </w:pPr>
      <w:r w:rsidRPr="00E35083">
        <w:tab/>
        <w:t xml:space="preserve">When </w:t>
      </w:r>
      <w:r w:rsidR="004050C8" w:rsidRPr="00E35083">
        <w:t>Officer Duggar</w:t>
      </w:r>
      <w:r w:rsidRPr="00E35083">
        <w:t xml:space="preserve"> arrived</w:t>
      </w:r>
      <w:r w:rsidR="009C3BFA" w:rsidRPr="00E35083">
        <w:t>,</w:t>
      </w:r>
      <w:r w:rsidR="00987DF9" w:rsidRPr="00E35083">
        <w:t xml:space="preserve"> </w:t>
      </w:r>
      <w:r w:rsidR="003F7525" w:rsidRPr="00E35083">
        <w:t>shortly</w:t>
      </w:r>
      <w:r w:rsidR="00F317B0" w:rsidRPr="00E35083">
        <w:t xml:space="preserve"> after Officer Smith</w:t>
      </w:r>
      <w:r w:rsidR="004050C8" w:rsidRPr="00E35083">
        <w:t xml:space="preserve">, </w:t>
      </w:r>
      <w:r w:rsidRPr="00E35083">
        <w:t xml:space="preserve">he saw Officer Smith’s </w:t>
      </w:r>
      <w:r w:rsidR="008904FE" w:rsidRPr="00E35083">
        <w:t xml:space="preserve">patrol </w:t>
      </w:r>
      <w:r w:rsidRPr="00E35083">
        <w:t xml:space="preserve">car on the </w:t>
      </w:r>
      <w:r w:rsidR="004050C8" w:rsidRPr="00E35083">
        <w:t>n</w:t>
      </w:r>
      <w:r w:rsidRPr="00E35083">
        <w:t>orth side of the</w:t>
      </w:r>
      <w:r w:rsidR="004050C8" w:rsidRPr="00E35083">
        <w:t xml:space="preserve"> </w:t>
      </w:r>
      <w:r w:rsidRPr="00E35083">
        <w:t>in</w:t>
      </w:r>
      <w:r w:rsidR="004050C8" w:rsidRPr="00E35083">
        <w:t>t</w:t>
      </w:r>
      <w:r w:rsidRPr="00E35083">
        <w:t>e</w:t>
      </w:r>
      <w:r w:rsidR="004050C8" w:rsidRPr="00E35083">
        <w:t>r</w:t>
      </w:r>
      <w:r w:rsidRPr="00E35083">
        <w:t>sectio</w:t>
      </w:r>
      <w:r w:rsidR="004050C8" w:rsidRPr="00E35083">
        <w:t>n</w:t>
      </w:r>
      <w:r w:rsidRPr="00E35083">
        <w:t xml:space="preserve"> and defendant</w:t>
      </w:r>
      <w:r w:rsidR="004050C8" w:rsidRPr="00E35083">
        <w:t>,</w:t>
      </w:r>
      <w:r w:rsidRPr="00E35083">
        <w:t xml:space="preserve"> </w:t>
      </w:r>
      <w:r w:rsidR="00C43962" w:rsidRPr="00E35083">
        <w:t>poised</w:t>
      </w:r>
      <w:r w:rsidRPr="00E35083">
        <w:t xml:space="preserve"> at the doorframe of the BMW</w:t>
      </w:r>
      <w:r w:rsidR="003F7525" w:rsidRPr="00E35083">
        <w:t>,</w:t>
      </w:r>
      <w:r w:rsidRPr="00E35083">
        <w:t xml:space="preserve"> pointing a long rifle-style weapon in Officer Smith’s direction.  Officer Duggar saw at least one muzzle blast aimed at Officer Smith</w:t>
      </w:r>
      <w:r w:rsidR="00C43962" w:rsidRPr="00E35083">
        <w:t xml:space="preserve"> before</w:t>
      </w:r>
      <w:r w:rsidRPr="00E35083">
        <w:t xml:space="preserve"> </w:t>
      </w:r>
      <w:r w:rsidR="00F317B0" w:rsidRPr="00E35083">
        <w:t xml:space="preserve">he saw </w:t>
      </w:r>
      <w:r w:rsidRPr="00E35083">
        <w:t xml:space="preserve">defendant </w:t>
      </w:r>
      <w:r w:rsidR="00F317B0" w:rsidRPr="00E35083">
        <w:t>pivot around</w:t>
      </w:r>
      <w:r w:rsidRPr="00E35083">
        <w:t xml:space="preserve"> and point his gun at Officer Duggar.  Officer Duggar slammed on </w:t>
      </w:r>
      <w:r w:rsidR="003F7525" w:rsidRPr="00E35083">
        <w:t>his</w:t>
      </w:r>
      <w:r w:rsidRPr="00E35083">
        <w:t xml:space="preserve"> brakes and </w:t>
      </w:r>
      <w:r w:rsidR="00B3048A" w:rsidRPr="00E35083">
        <w:t xml:space="preserve">was </w:t>
      </w:r>
      <w:r w:rsidRPr="00E35083">
        <w:t>a</w:t>
      </w:r>
      <w:r w:rsidRPr="00E35083">
        <w:t>ttempt</w:t>
      </w:r>
      <w:r w:rsidR="00C43962" w:rsidRPr="00E35083">
        <w:t>ing</w:t>
      </w:r>
      <w:r w:rsidRPr="00E35083">
        <w:t xml:space="preserve"> to put </w:t>
      </w:r>
      <w:r w:rsidR="00B3048A" w:rsidRPr="00E35083">
        <w:t>his</w:t>
      </w:r>
      <w:r w:rsidRPr="00E35083">
        <w:t xml:space="preserve"> </w:t>
      </w:r>
      <w:r w:rsidR="008904FE" w:rsidRPr="00E35083">
        <w:t xml:space="preserve">patrol </w:t>
      </w:r>
      <w:r w:rsidRPr="00E35083">
        <w:t>car in park</w:t>
      </w:r>
      <w:r w:rsidR="00B3048A" w:rsidRPr="00E35083">
        <w:t xml:space="preserve"> when he saw a second muzzle flash in his direction</w:t>
      </w:r>
      <w:r w:rsidR="00EE538B" w:rsidRPr="00E35083">
        <w:t xml:space="preserve">. </w:t>
      </w:r>
      <w:r w:rsidR="00987DF9" w:rsidRPr="00E35083">
        <w:t xml:space="preserve"> He </w:t>
      </w:r>
      <w:r w:rsidR="00C43962" w:rsidRPr="00E35083">
        <w:t>left</w:t>
      </w:r>
      <w:r w:rsidR="00987DF9" w:rsidRPr="00E35083">
        <w:t xml:space="preserve"> his car and moved behind </w:t>
      </w:r>
      <w:r w:rsidR="00806284" w:rsidRPr="00E35083">
        <w:t>a</w:t>
      </w:r>
      <w:r w:rsidR="00987DF9" w:rsidRPr="00E35083">
        <w:t xml:space="preserve"> Suburban</w:t>
      </w:r>
      <w:r w:rsidR="003F7525" w:rsidRPr="00E35083">
        <w:t>, where he and</w:t>
      </w:r>
      <w:r w:rsidR="00987DF9" w:rsidRPr="00E35083">
        <w:t xml:space="preserve"> Officer Smith fired multiple shots at defendant and</w:t>
      </w:r>
      <w:r w:rsidR="00F317B0" w:rsidRPr="00E35083">
        <w:t xml:space="preserve"> were</w:t>
      </w:r>
      <w:r w:rsidR="00987DF9" w:rsidRPr="00E35083">
        <w:t xml:space="preserve"> eventually able to approach </w:t>
      </w:r>
      <w:r w:rsidR="008904FE" w:rsidRPr="00E35083">
        <w:t xml:space="preserve">defendant </w:t>
      </w:r>
      <w:r w:rsidR="00F317B0" w:rsidRPr="00E35083">
        <w:t xml:space="preserve">and take </w:t>
      </w:r>
      <w:r w:rsidR="00806284" w:rsidRPr="00E35083">
        <w:t>him</w:t>
      </w:r>
      <w:r w:rsidR="00F317B0" w:rsidRPr="00E35083">
        <w:t xml:space="preserve"> </w:t>
      </w:r>
      <w:r w:rsidR="00987DF9" w:rsidRPr="00E35083">
        <w:t>into custody.</w:t>
      </w:r>
    </w:p>
    <w:p w14:paraId="1BDDECCD" w14:textId="2C1E1F65" w:rsidR="009B540B" w:rsidRPr="00E35083" w:rsidRDefault="005A2E4C" w:rsidP="00E35083">
      <w:pPr>
        <w:tabs>
          <w:tab w:val="clear" w:pos="720"/>
        </w:tabs>
        <w:spacing w:line="360" w:lineRule="auto"/>
      </w:pPr>
      <w:r w:rsidRPr="00E35083">
        <w:tab/>
      </w:r>
      <w:r w:rsidR="00C43962" w:rsidRPr="00E35083">
        <w:t xml:space="preserve">Several </w:t>
      </w:r>
      <w:r w:rsidR="003C374C" w:rsidRPr="00E35083">
        <w:t>other</w:t>
      </w:r>
      <w:r w:rsidR="006D1D99" w:rsidRPr="00E35083">
        <w:t xml:space="preserve"> eyewitnesses </w:t>
      </w:r>
      <w:r w:rsidR="00F317B0" w:rsidRPr="00E35083">
        <w:t>al</w:t>
      </w:r>
      <w:r w:rsidR="00C43962" w:rsidRPr="00E35083">
        <w:t>so testified</w:t>
      </w:r>
      <w:r w:rsidR="003C374C" w:rsidRPr="00E35083">
        <w:t xml:space="preserve">.  </w:t>
      </w:r>
      <w:r w:rsidR="009C3BFA" w:rsidRPr="00E35083">
        <w:t>Timothy W.</w:t>
      </w:r>
      <w:r w:rsidR="003C374C" w:rsidRPr="00E35083">
        <w:t xml:space="preserve"> was in the lef</w:t>
      </w:r>
      <w:r w:rsidR="006D1D99" w:rsidRPr="00E35083">
        <w:t>t</w:t>
      </w:r>
      <w:r w:rsidR="003C374C" w:rsidRPr="00E35083">
        <w:t xml:space="preserve"> </w:t>
      </w:r>
      <w:r w:rsidR="009C3BFA" w:rsidRPr="00E35083">
        <w:t>turn</w:t>
      </w:r>
      <w:r w:rsidR="003C374C" w:rsidRPr="00E35083">
        <w:t xml:space="preserve"> lane when the stolen BMW </w:t>
      </w:r>
      <w:r w:rsidR="00A36AE6" w:rsidRPr="00E35083">
        <w:t>pushed into</w:t>
      </w:r>
      <w:r w:rsidR="003C374C" w:rsidRPr="00E35083">
        <w:t xml:space="preserve"> </w:t>
      </w:r>
      <w:r w:rsidR="00225EA3" w:rsidRPr="00E35083">
        <w:t xml:space="preserve">a car that then pushed into </w:t>
      </w:r>
      <w:r w:rsidR="003C374C" w:rsidRPr="00E35083">
        <w:t xml:space="preserve">his car after </w:t>
      </w:r>
      <w:r w:rsidR="00C43962" w:rsidRPr="00E35083">
        <w:t>first hitting</w:t>
      </w:r>
      <w:r w:rsidR="003C374C" w:rsidRPr="00E35083">
        <w:t xml:space="preserve"> the Suburban. </w:t>
      </w:r>
      <w:r w:rsidR="0007157C" w:rsidRPr="00E35083">
        <w:t xml:space="preserve"> </w:t>
      </w:r>
      <w:r w:rsidR="003C374C" w:rsidRPr="00E35083">
        <w:t>According to Timothy, defendant got out of the BMW after the c</w:t>
      </w:r>
      <w:r w:rsidR="00F317B0" w:rsidRPr="00E35083">
        <w:t>rash</w:t>
      </w:r>
      <w:r w:rsidR="003C374C" w:rsidRPr="00E35083">
        <w:t>, looked at Timothy and the person next to him, reached back into the BMW</w:t>
      </w:r>
      <w:r w:rsidR="009C3BFA" w:rsidRPr="00E35083">
        <w:t>,</w:t>
      </w:r>
      <w:r w:rsidR="003C374C" w:rsidRPr="00E35083">
        <w:t xml:space="preserve"> and retrieved a gun.  Defendant </w:t>
      </w:r>
      <w:r w:rsidR="00C43962" w:rsidRPr="00E35083">
        <w:t xml:space="preserve">then </w:t>
      </w:r>
      <w:r w:rsidR="003C374C" w:rsidRPr="00E35083">
        <w:t xml:space="preserve">held the gun over the </w:t>
      </w:r>
      <w:r w:rsidR="00C43962" w:rsidRPr="00E35083">
        <w:t>BMW</w:t>
      </w:r>
      <w:r w:rsidR="003C374C" w:rsidRPr="00E35083">
        <w:t>’s roof and shot the first police car to arrive at the intersection</w:t>
      </w:r>
      <w:r w:rsidR="004050C8" w:rsidRPr="00E35083">
        <w:t xml:space="preserve"> through the driver’s side window</w:t>
      </w:r>
      <w:r w:rsidR="00A36AE6" w:rsidRPr="00E35083">
        <w:t>.</w:t>
      </w:r>
      <w:r w:rsidR="0007157C" w:rsidRPr="00E35083">
        <w:t xml:space="preserve"> </w:t>
      </w:r>
      <w:r w:rsidR="00A36AE6" w:rsidRPr="00E35083">
        <w:t xml:space="preserve"> </w:t>
      </w:r>
      <w:r w:rsidR="00C43962" w:rsidRPr="00E35083">
        <w:t>As</w:t>
      </w:r>
      <w:r w:rsidR="00EE538B" w:rsidRPr="00E35083">
        <w:t xml:space="preserve"> Timothy watched</w:t>
      </w:r>
      <w:r w:rsidR="00C43962" w:rsidRPr="00E35083">
        <w:t>,</w:t>
      </w:r>
      <w:r w:rsidR="00EE538B" w:rsidRPr="00E35083">
        <w:t xml:space="preserve"> </w:t>
      </w:r>
      <w:r w:rsidR="00EE538B" w:rsidRPr="00E35083">
        <w:lastRenderedPageBreak/>
        <w:t xml:space="preserve">defendant </w:t>
      </w:r>
      <w:r w:rsidR="00C43962" w:rsidRPr="00E35083">
        <w:t xml:space="preserve">then </w:t>
      </w:r>
      <w:r w:rsidR="00EE538B" w:rsidRPr="00E35083">
        <w:t xml:space="preserve">turned his body to shoot </w:t>
      </w:r>
      <w:r w:rsidR="009C3BFA" w:rsidRPr="00E35083">
        <w:t>toward</w:t>
      </w:r>
      <w:r w:rsidR="00EE538B" w:rsidRPr="00E35083">
        <w:t xml:space="preserve"> a second officer wh</w:t>
      </w:r>
      <w:r w:rsidR="00F317B0" w:rsidRPr="00E35083">
        <w:t xml:space="preserve">o </w:t>
      </w:r>
      <w:r w:rsidR="00E62052" w:rsidRPr="00E35083">
        <w:t xml:space="preserve">arrived </w:t>
      </w:r>
      <w:r w:rsidR="00F317B0" w:rsidRPr="00E35083">
        <w:t>shortly</w:t>
      </w:r>
      <w:r w:rsidR="00EE538B" w:rsidRPr="00E35083">
        <w:t xml:space="preserve"> after the first officer. </w:t>
      </w:r>
      <w:r w:rsidR="003F7525" w:rsidRPr="00E35083">
        <w:t xml:space="preserve"> </w:t>
      </w:r>
      <w:r w:rsidR="00EE538B" w:rsidRPr="00E35083">
        <w:t>Consistent with Timothy’s testimon</w:t>
      </w:r>
      <w:r w:rsidR="00A36AE6" w:rsidRPr="00E35083">
        <w:t xml:space="preserve">y, </w:t>
      </w:r>
      <w:r w:rsidR="009C3BFA" w:rsidRPr="00E35083">
        <w:t>Kyle M.</w:t>
      </w:r>
      <w:r w:rsidR="00C43962" w:rsidRPr="00E35083">
        <w:t xml:space="preserve"> </w:t>
      </w:r>
      <w:r w:rsidR="00A36AE6" w:rsidRPr="00E35083">
        <w:t>saw defendant get out of his car</w:t>
      </w:r>
      <w:r w:rsidR="00806284" w:rsidRPr="00E35083">
        <w:t xml:space="preserve"> and</w:t>
      </w:r>
      <w:r w:rsidR="00A36AE6" w:rsidRPr="00E35083">
        <w:t xml:space="preserve"> look around</w:t>
      </w:r>
      <w:r w:rsidR="00806284" w:rsidRPr="00E35083">
        <w:t xml:space="preserve"> before</w:t>
      </w:r>
      <w:r w:rsidR="00A36AE6" w:rsidRPr="00E35083">
        <w:t xml:space="preserve"> return</w:t>
      </w:r>
      <w:r w:rsidR="00806284" w:rsidRPr="00E35083">
        <w:t>ing</w:t>
      </w:r>
      <w:r w:rsidR="00A36AE6" w:rsidRPr="00E35083">
        <w:t xml:space="preserve"> to his car to grab a gun. </w:t>
      </w:r>
      <w:r w:rsidR="00EE538B" w:rsidRPr="00E35083">
        <w:t xml:space="preserve"> And </w:t>
      </w:r>
      <w:r w:rsidR="009C3BFA" w:rsidRPr="00E35083">
        <w:t>Greg T.</w:t>
      </w:r>
      <w:r w:rsidR="00EE538B" w:rsidRPr="00E35083">
        <w:t xml:space="preserve"> saw defendant aim his gun at multiple police cars, shooting in one direction </w:t>
      </w:r>
      <w:r w:rsidR="003F7525" w:rsidRPr="00E35083">
        <w:t>before</w:t>
      </w:r>
      <w:r w:rsidR="00EE538B" w:rsidRPr="00E35083">
        <w:t xml:space="preserve"> shooting across the street in the other direction.</w:t>
      </w:r>
    </w:p>
    <w:p w14:paraId="43B329A1" w14:textId="785E0FAA" w:rsidR="00C15E27" w:rsidRPr="00E35083" w:rsidRDefault="005A2E4C" w:rsidP="00E35083">
      <w:pPr>
        <w:tabs>
          <w:tab w:val="clear" w:pos="720"/>
        </w:tabs>
        <w:spacing w:line="360" w:lineRule="auto"/>
      </w:pPr>
      <w:r w:rsidRPr="00E35083">
        <w:tab/>
        <w:t>Physical evidence presented at trial supported th</w:t>
      </w:r>
      <w:r w:rsidR="00E62052" w:rsidRPr="00E35083">
        <w:t>e</w:t>
      </w:r>
      <w:r w:rsidRPr="00E35083">
        <w:t xml:space="preserve"> witness testimony.  Both officers’ cars sustai</w:t>
      </w:r>
      <w:r w:rsidRPr="00E35083">
        <w:t>ned pellet damage from the shells fired from defendant’s shotgun</w:t>
      </w:r>
      <w:r w:rsidR="00E62052" w:rsidRPr="00E35083">
        <w:t xml:space="preserve">, which contained </w:t>
      </w:r>
      <w:r w:rsidR="009C3BFA" w:rsidRPr="00E35083">
        <w:t>bird shot</w:t>
      </w:r>
      <w:r w:rsidRPr="00E35083">
        <w:t>.  Officer Smith’s car had pellet damage to the driver’s side door and mirror, as well as a broken driver’s side window.  Officer Duggar’s car had pellet damage to t</w:t>
      </w:r>
      <w:r w:rsidRPr="00E35083">
        <w:t xml:space="preserve">he windshield, front hood, and left side bumper.  The shotgun </w:t>
      </w:r>
      <w:r w:rsidR="00975649" w:rsidRPr="00E35083">
        <w:t xml:space="preserve">that defendant fired </w:t>
      </w:r>
      <w:r w:rsidRPr="00E35083">
        <w:t>was a “pump-action” gun, meaning th</w:t>
      </w:r>
      <w:r w:rsidR="00975649" w:rsidRPr="00E35083">
        <w:t xml:space="preserve">at </w:t>
      </w:r>
      <w:r w:rsidRPr="00E35083">
        <w:t xml:space="preserve">after a shot was fired, </w:t>
      </w:r>
      <w:r w:rsidR="00975649" w:rsidRPr="00E35083">
        <w:t xml:space="preserve">the gun </w:t>
      </w:r>
      <w:r w:rsidRPr="00E35083">
        <w:t xml:space="preserve">would have to be racked from the front and back to cycle another shot shell into the chamber for firing. </w:t>
      </w:r>
      <w:r w:rsidR="00975649" w:rsidRPr="00E35083">
        <w:t xml:space="preserve"> </w:t>
      </w:r>
      <w:r w:rsidR="00806284" w:rsidRPr="00E35083">
        <w:t>F</w:t>
      </w:r>
      <w:r w:rsidR="00975649" w:rsidRPr="00E35083">
        <w:t xml:space="preserve">our fired shotgun shells </w:t>
      </w:r>
      <w:r w:rsidR="00806284" w:rsidRPr="00E35083">
        <w:t xml:space="preserve">were recovered </w:t>
      </w:r>
      <w:r w:rsidR="00975649" w:rsidRPr="00E35083">
        <w:t>from the scene</w:t>
      </w:r>
      <w:r w:rsidR="00806284" w:rsidRPr="00E35083">
        <w:t xml:space="preserve"> after the shooting ended</w:t>
      </w:r>
      <w:r w:rsidR="00975649" w:rsidRPr="00E35083">
        <w:t>.</w:t>
      </w:r>
    </w:p>
    <w:p w14:paraId="70FB0E2B" w14:textId="7D689DC8" w:rsidR="00C15E27" w:rsidRPr="00E35083" w:rsidRDefault="005A2E4C" w:rsidP="00E35083">
      <w:pPr>
        <w:tabs>
          <w:tab w:val="clear" w:pos="720"/>
        </w:tabs>
        <w:spacing w:line="360" w:lineRule="auto"/>
      </w:pPr>
      <w:r w:rsidRPr="00E35083">
        <w:tab/>
      </w:r>
      <w:r w:rsidR="00E62052" w:rsidRPr="00E35083">
        <w:t>Based on this evidence,</w:t>
      </w:r>
      <w:r w:rsidR="00567759" w:rsidRPr="00E35083">
        <w:t xml:space="preserve"> </w:t>
      </w:r>
      <w:r w:rsidR="00E62052" w:rsidRPr="00E35083">
        <w:t xml:space="preserve">the jury could </w:t>
      </w:r>
      <w:r w:rsidR="009C3BFA" w:rsidRPr="00E35083">
        <w:t>reasonably have inferred</w:t>
      </w:r>
      <w:r w:rsidR="00567759" w:rsidRPr="00E35083">
        <w:t xml:space="preserve"> </w:t>
      </w:r>
      <w:r w:rsidR="007D5A6C" w:rsidRPr="00E35083">
        <w:t xml:space="preserve">that </w:t>
      </w:r>
      <w:r w:rsidR="00567759" w:rsidRPr="00E35083">
        <w:t xml:space="preserve">defendant racked </w:t>
      </w:r>
      <w:r w:rsidRPr="00E35083">
        <w:t>his</w:t>
      </w:r>
      <w:r w:rsidR="00567759" w:rsidRPr="00E35083">
        <w:t xml:space="preserve"> shotgun from front to back at least four times as he took aim and fired</w:t>
      </w:r>
      <w:r w:rsidR="00E62052" w:rsidRPr="00E35083">
        <w:t>,</w:t>
      </w:r>
      <w:r w:rsidR="00567759" w:rsidRPr="00E35083">
        <w:t xml:space="preserve"> </w:t>
      </w:r>
      <w:r w:rsidR="00E62052" w:rsidRPr="00E35083">
        <w:t xml:space="preserve">first </w:t>
      </w:r>
      <w:r w:rsidR="00567759" w:rsidRPr="00E35083">
        <w:t xml:space="preserve">at </w:t>
      </w:r>
      <w:r w:rsidR="00E62052" w:rsidRPr="00E35083">
        <w:t>Officer Smith and then at O</w:t>
      </w:r>
      <w:r w:rsidR="00567759" w:rsidRPr="00E35083">
        <w:t>fficer</w:t>
      </w:r>
      <w:r w:rsidR="00E62052" w:rsidRPr="00E35083">
        <w:t xml:space="preserve"> Duggar</w:t>
      </w:r>
      <w:r w:rsidR="00567759" w:rsidRPr="00E35083">
        <w:t xml:space="preserve">, a methodical process </w:t>
      </w:r>
      <w:r w:rsidR="00B06BCB" w:rsidRPr="00E35083">
        <w:t>requir</w:t>
      </w:r>
      <w:r w:rsidRPr="00E35083">
        <w:t>ing</w:t>
      </w:r>
      <w:r w:rsidR="00B06BCB" w:rsidRPr="00E35083">
        <w:t xml:space="preserve"> </w:t>
      </w:r>
      <w:proofErr w:type="gramStart"/>
      <w:r w:rsidR="009C3BFA" w:rsidRPr="00E35083">
        <w:rPr>
          <w:shd w:val="clear" w:color="auto" w:fill="FFFFFF"/>
        </w:rPr>
        <w:t>“ ‘</w:t>
      </w:r>
      <w:proofErr w:type="gramEnd"/>
      <w:r w:rsidR="009C3BFA" w:rsidRPr="00E35083">
        <w:rPr>
          <w:shd w:val="clear" w:color="auto" w:fill="FFFFFF"/>
        </w:rPr>
        <w:t> “careful</w:t>
      </w:r>
      <w:r w:rsidRPr="00E35083">
        <w:rPr>
          <w:shd w:val="clear" w:color="auto" w:fill="FFFFFF"/>
        </w:rPr>
        <w:t xml:space="preserve"> thought and weighing of considerations for and against the propos</w:t>
      </w:r>
      <w:r w:rsidRPr="00E35083">
        <w:rPr>
          <w:shd w:val="clear" w:color="auto" w:fill="FFFFFF"/>
        </w:rPr>
        <w:t xml:space="preserve">ed course of </w:t>
      </w:r>
      <w:r w:rsidR="009C3BFA" w:rsidRPr="00E35083">
        <w:rPr>
          <w:shd w:val="clear" w:color="auto" w:fill="FFFFFF"/>
        </w:rPr>
        <w:t>action” ’ ”—the</w:t>
      </w:r>
      <w:r w:rsidRPr="00E35083">
        <w:rPr>
          <w:shd w:val="clear" w:color="auto" w:fill="FFFFFF"/>
        </w:rPr>
        <w:t xml:space="preserve"> </w:t>
      </w:r>
      <w:r w:rsidR="00E62052" w:rsidRPr="00E35083">
        <w:rPr>
          <w:shd w:val="clear" w:color="auto" w:fill="FFFFFF"/>
        </w:rPr>
        <w:t>very hallmark</w:t>
      </w:r>
      <w:r w:rsidRPr="00E35083">
        <w:rPr>
          <w:shd w:val="clear" w:color="auto" w:fill="FFFFFF"/>
        </w:rPr>
        <w:t>s of premeditation and deliberation.  (</w:t>
      </w:r>
      <w:r w:rsidRPr="00E35083">
        <w:rPr>
          <w:i/>
          <w:iCs/>
          <w:shd w:val="clear" w:color="auto" w:fill="FFFFFF"/>
        </w:rPr>
        <w:t>People v. Lee</w:t>
      </w:r>
      <w:r w:rsidRPr="00E35083">
        <w:rPr>
          <w:shd w:val="clear" w:color="auto" w:fill="FFFFFF"/>
        </w:rPr>
        <w:t xml:space="preserve"> (2011) 51 Cal.4th 620, 636.)</w:t>
      </w:r>
      <w:r w:rsidR="00B06BCB" w:rsidRPr="00E35083">
        <w:t xml:space="preserve">  In</w:t>
      </w:r>
      <w:r w:rsidR="00806284" w:rsidRPr="00E35083">
        <w:t xml:space="preserve"> fact</w:t>
      </w:r>
      <w:r w:rsidR="00B06BCB" w:rsidRPr="00E35083">
        <w:t xml:space="preserve">, it is difficult to imagine a </w:t>
      </w:r>
      <w:r w:rsidR="00806284" w:rsidRPr="00E35083">
        <w:t xml:space="preserve">scenario where </w:t>
      </w:r>
      <w:r w:rsidR="00343466" w:rsidRPr="00E35083">
        <w:t>a</w:t>
      </w:r>
      <w:r w:rsidR="00806284" w:rsidRPr="00E35083">
        <w:t xml:space="preserve"> </w:t>
      </w:r>
      <w:r w:rsidRPr="00E35083">
        <w:t xml:space="preserve">defendant </w:t>
      </w:r>
      <w:r w:rsidR="0040728C" w:rsidRPr="00E35083">
        <w:t xml:space="preserve">repeatedly </w:t>
      </w:r>
      <w:r w:rsidR="00B06BCB" w:rsidRPr="00E35083">
        <w:t>rack</w:t>
      </w:r>
      <w:r w:rsidR="00806284" w:rsidRPr="00E35083">
        <w:t>s</w:t>
      </w:r>
      <w:r w:rsidR="00B06BCB" w:rsidRPr="00E35083">
        <w:t xml:space="preserve"> </w:t>
      </w:r>
      <w:r w:rsidR="00495050" w:rsidRPr="00E35083">
        <w:t>a</w:t>
      </w:r>
      <w:r w:rsidR="00B06BCB" w:rsidRPr="00E35083">
        <w:t xml:space="preserve"> firearm to prepare a shell for firing, tak</w:t>
      </w:r>
      <w:r w:rsidR="00806284" w:rsidRPr="00E35083">
        <w:t>es</w:t>
      </w:r>
      <w:r w:rsidR="00B06BCB" w:rsidRPr="00E35083">
        <w:t xml:space="preserve"> aim</w:t>
      </w:r>
      <w:r w:rsidR="00343466" w:rsidRPr="00E35083">
        <w:t>,</w:t>
      </w:r>
      <w:r w:rsidR="00B06BCB" w:rsidRPr="00E35083">
        <w:t xml:space="preserve"> and then fir</w:t>
      </w:r>
      <w:r w:rsidR="00806284" w:rsidRPr="00E35083">
        <w:t>es</w:t>
      </w:r>
      <w:r w:rsidR="00B06BCB" w:rsidRPr="00E35083">
        <w:t xml:space="preserve"> </w:t>
      </w:r>
      <w:r w:rsidR="00343466" w:rsidRPr="00E35083">
        <w:t>toward</w:t>
      </w:r>
      <w:r w:rsidRPr="00E35083">
        <w:t xml:space="preserve"> </w:t>
      </w:r>
      <w:r w:rsidR="00806284" w:rsidRPr="00E35083">
        <w:t>two people</w:t>
      </w:r>
      <w:r w:rsidRPr="00E35083">
        <w:t xml:space="preserve"> </w:t>
      </w:r>
      <w:r w:rsidR="00B06BCB" w:rsidRPr="00E35083">
        <w:rPr>
          <w:i/>
          <w:iCs/>
        </w:rPr>
        <w:t>without</w:t>
      </w:r>
      <w:r w:rsidR="00B06BCB" w:rsidRPr="00E35083">
        <w:t xml:space="preserve"> harboring </w:t>
      </w:r>
      <w:r w:rsidRPr="00E35083">
        <w:t>the</w:t>
      </w:r>
      <w:r w:rsidR="00B06BCB" w:rsidRPr="00E35083">
        <w:t xml:space="preserve"> intent to kill th</w:t>
      </w:r>
      <w:r w:rsidR="00806284" w:rsidRPr="00E35083">
        <w:t>em</w:t>
      </w:r>
      <w:r w:rsidR="00B06BCB" w:rsidRPr="00E35083">
        <w:t xml:space="preserve">. </w:t>
      </w:r>
      <w:r w:rsidRPr="00E35083">
        <w:t xml:space="preserve"> </w:t>
      </w:r>
      <w:r w:rsidR="007367C4" w:rsidRPr="00E35083">
        <w:t>(</w:t>
      </w:r>
      <w:r w:rsidR="00343466" w:rsidRPr="00E35083">
        <w:t xml:space="preserve">See </w:t>
      </w:r>
      <w:r w:rsidR="00343466" w:rsidRPr="00E35083">
        <w:rPr>
          <w:i/>
          <w:iCs/>
        </w:rPr>
        <w:t>ibid.</w:t>
      </w:r>
      <w:r w:rsidR="007367C4" w:rsidRPr="00E35083">
        <w:t xml:space="preserve"> [“</w:t>
      </w:r>
      <w:r w:rsidR="007367C4" w:rsidRPr="00E35083">
        <w:rPr>
          <w:shd w:val="clear" w:color="auto" w:fill="FFFFFF"/>
        </w:rPr>
        <w:t xml:space="preserve">After </w:t>
      </w:r>
      <w:r w:rsidR="00192130" w:rsidRPr="00E35083">
        <w:rPr>
          <w:shd w:val="clear" w:color="auto" w:fill="FFFFFF"/>
        </w:rPr>
        <w:t>[</w:t>
      </w:r>
      <w:r w:rsidR="0040728C" w:rsidRPr="00E35083">
        <w:rPr>
          <w:shd w:val="clear" w:color="auto" w:fill="FFFFFF"/>
        </w:rPr>
        <w:t>defendant’s friend]</w:t>
      </w:r>
      <w:r w:rsidR="007367C4" w:rsidRPr="00E35083">
        <w:rPr>
          <w:shd w:val="clear" w:color="auto" w:fill="FFFFFF"/>
        </w:rPr>
        <w:t xml:space="preserve"> fired a few shots from the gun at the first lookout, defendant reloaded the gun, supporting an inference that he had brought </w:t>
      </w:r>
      <w:r w:rsidR="007367C4" w:rsidRPr="00E35083">
        <w:rPr>
          <w:shd w:val="clear" w:color="auto" w:fill="FFFFFF"/>
        </w:rPr>
        <w:lastRenderedPageBreak/>
        <w:t>extra ammunition as well</w:t>
      </w:r>
      <w:r w:rsidR="0040728C" w:rsidRPr="00E35083">
        <w:rPr>
          <w:shd w:val="clear" w:color="auto" w:fill="FFFFFF"/>
        </w:rPr>
        <w:t>”</w:t>
      </w:r>
      <w:r w:rsidR="007367C4" w:rsidRPr="00E35083">
        <w:t xml:space="preserve">]; see also </w:t>
      </w:r>
      <w:r w:rsidR="007367C4" w:rsidRPr="00E35083">
        <w:rPr>
          <w:i/>
          <w:iCs/>
        </w:rPr>
        <w:t>People v. Steele</w:t>
      </w:r>
      <w:r w:rsidR="007367C4" w:rsidRPr="00E35083">
        <w:t xml:space="preserve"> (2002) 27 Cal.4th 1230, 1250 [where the</w:t>
      </w:r>
      <w:r w:rsidR="007367C4" w:rsidRPr="00E35083">
        <w:rPr>
          <w:shd w:val="clear" w:color="auto" w:fill="FFFFFF"/>
        </w:rPr>
        <w:t xml:space="preserve"> defendant carried the fatal knife into the victim’s home, it was </w:t>
      </w:r>
      <w:r w:rsidR="00343466" w:rsidRPr="00E35083">
        <w:rPr>
          <w:shd w:val="clear" w:color="auto" w:fill="FFFFFF"/>
        </w:rPr>
        <w:t>“ ‘reasonable</w:t>
      </w:r>
      <w:r w:rsidR="007367C4" w:rsidRPr="00E35083">
        <w:rPr>
          <w:shd w:val="clear" w:color="auto" w:fill="FFFFFF"/>
        </w:rPr>
        <w:t xml:space="preserve"> to infer that he considered the possibility of homicide from the </w:t>
      </w:r>
      <w:r w:rsidR="00343466" w:rsidRPr="00E35083">
        <w:rPr>
          <w:shd w:val="clear" w:color="auto" w:fill="FFFFFF"/>
        </w:rPr>
        <w:t>outset’ ”</w:t>
      </w:r>
      <w:r w:rsidR="007367C4" w:rsidRPr="00E35083">
        <w:t>]</w:t>
      </w:r>
      <w:r w:rsidR="00D13E47" w:rsidRPr="00E35083">
        <w:t xml:space="preserve">; </w:t>
      </w:r>
      <w:r w:rsidR="00D13E47" w:rsidRPr="00E35083">
        <w:rPr>
          <w:i/>
          <w:iCs/>
        </w:rPr>
        <w:t>People v. Villegas</w:t>
      </w:r>
      <w:r w:rsidR="00D13E47" w:rsidRPr="00E35083">
        <w:t xml:space="preserve"> (2001) 92 Cal.App.4th 1217, 1225 [</w:t>
      </w:r>
      <w:r w:rsidR="00343466" w:rsidRPr="00E35083">
        <w:rPr>
          <w:shd w:val="clear" w:color="auto" w:fill="FFFFFF"/>
        </w:rPr>
        <w:t>“ ‘The</w:t>
      </w:r>
      <w:r w:rsidR="00EC2D52" w:rsidRPr="00E35083">
        <w:rPr>
          <w:shd w:val="clear" w:color="auto" w:fill="FFFFFF"/>
        </w:rPr>
        <w:t xml:space="preserve"> act of firing toward a victim at a close, but not point blank, range “in a manner that could have inflicted a mortal wound had the bullet been on target is sufficient to support an inference of intent to </w:t>
      </w:r>
      <w:r w:rsidR="00343466" w:rsidRPr="00E35083">
        <w:t>kill” ’ ”</w:t>
      </w:r>
      <w:r w:rsidR="00D13E47" w:rsidRPr="00E35083">
        <w:t>]</w:t>
      </w:r>
      <w:r w:rsidR="007367C4" w:rsidRPr="00E35083">
        <w:t>.)</w:t>
      </w:r>
    </w:p>
    <w:p w14:paraId="2D6A2FF5" w14:textId="1CFB8112" w:rsidR="001318A1" w:rsidRPr="00E35083" w:rsidRDefault="005A2E4C" w:rsidP="00E35083">
      <w:pPr>
        <w:tabs>
          <w:tab w:val="clear" w:pos="720"/>
        </w:tabs>
        <w:spacing w:line="360" w:lineRule="auto"/>
        <w:rPr>
          <w:shd w:val="clear" w:color="auto" w:fill="FFFFFF"/>
        </w:rPr>
      </w:pPr>
      <w:r w:rsidRPr="00E35083">
        <w:tab/>
      </w:r>
      <w:r w:rsidR="003F7525" w:rsidRPr="00E35083">
        <w:t>While no</w:t>
      </w:r>
      <w:r w:rsidRPr="00E35083">
        <w:t xml:space="preserve">thing more </w:t>
      </w:r>
      <w:r w:rsidR="00A7226B" w:rsidRPr="00E35083">
        <w:t>i</w:t>
      </w:r>
      <w:r w:rsidRPr="00E35083">
        <w:t xml:space="preserve">s required to affirm </w:t>
      </w:r>
      <w:r w:rsidR="003F7525" w:rsidRPr="00E35083">
        <w:t>the jury’s finding</w:t>
      </w:r>
      <w:r w:rsidR="007D5A6C" w:rsidRPr="00E35083">
        <w:t>s</w:t>
      </w:r>
      <w:r w:rsidRPr="00E35083">
        <w:t xml:space="preserve"> </w:t>
      </w:r>
      <w:r w:rsidRPr="00E35083">
        <w:rPr>
          <w:shd w:val="clear" w:color="auto" w:fill="FFFFFF"/>
        </w:rPr>
        <w:t>(</w:t>
      </w:r>
      <w:r w:rsidRPr="00E35083">
        <w:rPr>
          <w:i/>
          <w:iCs/>
          <w:shd w:val="clear" w:color="auto" w:fill="FFFFFF"/>
        </w:rPr>
        <w:t>People v. Streeter, supra</w:t>
      </w:r>
      <w:r w:rsidRPr="00E35083">
        <w:rPr>
          <w:shd w:val="clear" w:color="auto" w:fill="FFFFFF"/>
        </w:rPr>
        <w:t>, 54 Cal.4th at p. 242)</w:t>
      </w:r>
      <w:r w:rsidR="003F7525" w:rsidRPr="00E35083">
        <w:rPr>
          <w:shd w:val="clear" w:color="auto" w:fill="FFFFFF"/>
        </w:rPr>
        <w:t>, we n</w:t>
      </w:r>
      <w:r w:rsidRPr="00E35083">
        <w:rPr>
          <w:shd w:val="clear" w:color="auto" w:fill="FFFFFF"/>
        </w:rPr>
        <w:t xml:space="preserve">onetheless briefly touch on another </w:t>
      </w:r>
      <w:r w:rsidRPr="00E35083">
        <w:rPr>
          <w:i/>
          <w:iCs/>
          <w:shd w:val="clear" w:color="auto" w:fill="FFFFFF"/>
        </w:rPr>
        <w:t>Anderson</w:t>
      </w:r>
      <w:r w:rsidRPr="00E35083">
        <w:rPr>
          <w:shd w:val="clear" w:color="auto" w:fill="FFFFFF"/>
        </w:rPr>
        <w:t xml:space="preserve"> consideration</w:t>
      </w:r>
      <w:r w:rsidR="007D5A6C" w:rsidRPr="00E35083">
        <w:rPr>
          <w:shd w:val="clear" w:color="auto" w:fill="FFFFFF"/>
        </w:rPr>
        <w:t>:</w:t>
      </w:r>
      <w:r w:rsidRPr="00E35083">
        <w:rPr>
          <w:shd w:val="clear" w:color="auto" w:fill="FFFFFF"/>
        </w:rPr>
        <w:t xml:space="preserve"> </w:t>
      </w:r>
      <w:r w:rsidR="00343466" w:rsidRPr="00E35083">
        <w:rPr>
          <w:shd w:val="clear" w:color="auto" w:fill="FFFFFF"/>
        </w:rPr>
        <w:t xml:space="preserve"> </w:t>
      </w:r>
      <w:r w:rsidRPr="00E35083">
        <w:rPr>
          <w:shd w:val="clear" w:color="auto" w:fill="FFFFFF"/>
        </w:rPr>
        <w:t>evidence of pl</w:t>
      </w:r>
      <w:r w:rsidR="00FF5534" w:rsidRPr="00E35083">
        <w:rPr>
          <w:shd w:val="clear" w:color="auto" w:fill="FFFFFF"/>
        </w:rPr>
        <w:t xml:space="preserve">anning.  </w:t>
      </w:r>
      <w:r w:rsidR="00241A13" w:rsidRPr="00E35083">
        <w:rPr>
          <w:shd w:val="clear" w:color="auto" w:fill="FFFFFF"/>
        </w:rPr>
        <w:t>(</w:t>
      </w:r>
      <w:r w:rsidR="00241A13" w:rsidRPr="00E35083">
        <w:rPr>
          <w:i/>
          <w:iCs/>
          <w:shd w:val="clear" w:color="auto" w:fill="FFFFFF"/>
        </w:rPr>
        <w:t>Streeter</w:t>
      </w:r>
      <w:r w:rsidR="00241A13" w:rsidRPr="00E35083">
        <w:rPr>
          <w:shd w:val="clear" w:color="auto" w:fill="FFFFFF"/>
        </w:rPr>
        <w:t>, at p. 242.)</w:t>
      </w:r>
      <w:r w:rsidR="00FF5534" w:rsidRPr="00E35083">
        <w:rPr>
          <w:shd w:val="clear" w:color="auto" w:fill="FFFFFF"/>
        </w:rPr>
        <w:t xml:space="preserve">  As the People note, </w:t>
      </w:r>
      <w:r w:rsidR="004A69D3" w:rsidRPr="00E35083">
        <w:rPr>
          <w:shd w:val="clear" w:color="auto" w:fill="FFFFFF"/>
        </w:rPr>
        <w:t xml:space="preserve">when the deputies entered </w:t>
      </w:r>
      <w:r w:rsidR="00343466" w:rsidRPr="00E35083">
        <w:rPr>
          <w:shd w:val="clear" w:color="auto" w:fill="FFFFFF"/>
        </w:rPr>
        <w:t>Kit S.’s</w:t>
      </w:r>
      <w:r w:rsidR="004A69D3" w:rsidRPr="00E35083">
        <w:rPr>
          <w:shd w:val="clear" w:color="auto" w:fill="FFFFFF"/>
        </w:rPr>
        <w:t xml:space="preserve"> house to investigate defendant’s criminal activity, </w:t>
      </w:r>
      <w:r w:rsidR="00A7226B" w:rsidRPr="00E35083">
        <w:rPr>
          <w:shd w:val="clear" w:color="auto" w:fill="FFFFFF"/>
        </w:rPr>
        <w:t xml:space="preserve">they found it </w:t>
      </w:r>
      <w:r w:rsidR="004A69D3" w:rsidRPr="00E35083">
        <w:rPr>
          <w:shd w:val="clear" w:color="auto" w:fill="FFFFFF"/>
        </w:rPr>
        <w:t xml:space="preserve">ransacked, </w:t>
      </w:r>
      <w:r w:rsidR="00A7226B" w:rsidRPr="00E35083">
        <w:rPr>
          <w:shd w:val="clear" w:color="auto" w:fill="FFFFFF"/>
        </w:rPr>
        <w:t xml:space="preserve">with </w:t>
      </w:r>
      <w:r w:rsidR="004A69D3" w:rsidRPr="00E35083">
        <w:rPr>
          <w:shd w:val="clear" w:color="auto" w:fill="FFFFFF"/>
        </w:rPr>
        <w:t xml:space="preserve">windows and doors screwed shut and knives and piles of bullets placed strategically around the house.  </w:t>
      </w:r>
      <w:r w:rsidR="00A7226B" w:rsidRPr="00E35083">
        <w:rPr>
          <w:shd w:val="clear" w:color="auto" w:fill="FFFFFF"/>
        </w:rPr>
        <w:t>The</w:t>
      </w:r>
      <w:r w:rsidR="004A69D3" w:rsidRPr="00E35083">
        <w:rPr>
          <w:shd w:val="clear" w:color="auto" w:fill="FFFFFF"/>
        </w:rPr>
        <w:t xml:space="preserve"> furniture had </w:t>
      </w:r>
      <w:r w:rsidR="00A7226B" w:rsidRPr="00E35083">
        <w:rPr>
          <w:shd w:val="clear" w:color="auto" w:fill="FFFFFF"/>
        </w:rPr>
        <w:t xml:space="preserve">also </w:t>
      </w:r>
      <w:r w:rsidR="004A69D3" w:rsidRPr="00E35083">
        <w:rPr>
          <w:shd w:val="clear" w:color="auto" w:fill="FFFFFF"/>
        </w:rPr>
        <w:t xml:space="preserve">been moved in such a way to prevent people from easily maneuvering into or around the house.  </w:t>
      </w:r>
      <w:r w:rsidR="00A7226B" w:rsidRPr="00E35083">
        <w:rPr>
          <w:shd w:val="clear" w:color="auto" w:fill="FFFFFF"/>
        </w:rPr>
        <w:t>Based on this evidence, t</w:t>
      </w:r>
      <w:r w:rsidR="004A69D3" w:rsidRPr="00E35083">
        <w:rPr>
          <w:shd w:val="clear" w:color="auto" w:fill="FFFFFF"/>
        </w:rPr>
        <w:t xml:space="preserve">he jury could </w:t>
      </w:r>
      <w:r w:rsidR="00343466" w:rsidRPr="00E35083">
        <w:rPr>
          <w:shd w:val="clear" w:color="auto" w:fill="FFFFFF"/>
        </w:rPr>
        <w:t>reasonably have inferred</w:t>
      </w:r>
      <w:r w:rsidR="00A7226B" w:rsidRPr="00E35083">
        <w:rPr>
          <w:shd w:val="clear" w:color="auto" w:fill="FFFFFF"/>
        </w:rPr>
        <w:t xml:space="preserve"> </w:t>
      </w:r>
      <w:r w:rsidR="00E67692" w:rsidRPr="00E35083">
        <w:rPr>
          <w:shd w:val="clear" w:color="auto" w:fill="FFFFFF"/>
        </w:rPr>
        <w:t>that</w:t>
      </w:r>
      <w:r w:rsidR="0040728C" w:rsidRPr="00E35083">
        <w:rPr>
          <w:shd w:val="clear" w:color="auto" w:fill="FFFFFF"/>
        </w:rPr>
        <w:t xml:space="preserve"> </w:t>
      </w:r>
      <w:r w:rsidR="004A69D3" w:rsidRPr="00E35083">
        <w:rPr>
          <w:shd w:val="clear" w:color="auto" w:fill="FFFFFF"/>
        </w:rPr>
        <w:t xml:space="preserve">defendant had </w:t>
      </w:r>
      <w:r w:rsidR="008315F5" w:rsidRPr="00E35083">
        <w:rPr>
          <w:shd w:val="clear" w:color="auto" w:fill="FFFFFF"/>
        </w:rPr>
        <w:t>affected</w:t>
      </w:r>
      <w:r w:rsidR="004A69D3" w:rsidRPr="00E35083">
        <w:rPr>
          <w:shd w:val="clear" w:color="auto" w:fill="FFFFFF"/>
        </w:rPr>
        <w:t xml:space="preserve"> a plan to conceal himself with the </w:t>
      </w:r>
      <w:r w:rsidR="00A7226B" w:rsidRPr="00E35083">
        <w:rPr>
          <w:shd w:val="clear" w:color="auto" w:fill="FFFFFF"/>
        </w:rPr>
        <w:t xml:space="preserve">weapons required </w:t>
      </w:r>
      <w:r w:rsidR="004A69D3" w:rsidRPr="00E35083">
        <w:rPr>
          <w:shd w:val="clear" w:color="auto" w:fill="FFFFFF"/>
        </w:rPr>
        <w:t xml:space="preserve">to attack </w:t>
      </w:r>
      <w:r w:rsidR="00A7226B" w:rsidRPr="00E35083">
        <w:rPr>
          <w:shd w:val="clear" w:color="auto" w:fill="FFFFFF"/>
        </w:rPr>
        <w:t>or</w:t>
      </w:r>
      <w:r w:rsidR="004A69D3" w:rsidRPr="00E35083">
        <w:rPr>
          <w:shd w:val="clear" w:color="auto" w:fill="FFFFFF"/>
        </w:rPr>
        <w:t xml:space="preserve"> defend </w:t>
      </w:r>
      <w:r w:rsidR="003F7525" w:rsidRPr="00E35083">
        <w:rPr>
          <w:shd w:val="clear" w:color="auto" w:fill="FFFFFF"/>
        </w:rPr>
        <w:t xml:space="preserve">himself </w:t>
      </w:r>
      <w:r w:rsidR="004A69D3" w:rsidRPr="00E35083">
        <w:rPr>
          <w:shd w:val="clear" w:color="auto" w:fill="FFFFFF"/>
        </w:rPr>
        <w:t xml:space="preserve">effectively should the police or anyone else try to </w:t>
      </w:r>
      <w:r w:rsidR="007D5A6C" w:rsidRPr="00E35083">
        <w:rPr>
          <w:shd w:val="clear" w:color="auto" w:fill="FFFFFF"/>
        </w:rPr>
        <w:t>approach him</w:t>
      </w:r>
      <w:r w:rsidR="004A69D3" w:rsidRPr="00E35083">
        <w:rPr>
          <w:shd w:val="clear" w:color="auto" w:fill="FFFFFF"/>
        </w:rPr>
        <w:t xml:space="preserve">.  </w:t>
      </w:r>
      <w:r w:rsidR="00E67692" w:rsidRPr="00E35083">
        <w:rPr>
          <w:shd w:val="clear" w:color="auto" w:fill="FFFFFF"/>
        </w:rPr>
        <w:t xml:space="preserve">In other words, the evidence </w:t>
      </w:r>
      <w:r w:rsidR="008C4A15" w:rsidRPr="00E35083">
        <w:rPr>
          <w:shd w:val="clear" w:color="auto" w:fill="FFFFFF"/>
        </w:rPr>
        <w:t xml:space="preserve">supports </w:t>
      </w:r>
      <w:r w:rsidR="00A7226B" w:rsidRPr="00E35083">
        <w:rPr>
          <w:shd w:val="clear" w:color="auto" w:fill="FFFFFF"/>
        </w:rPr>
        <w:t>a</w:t>
      </w:r>
      <w:r w:rsidR="008C4A15" w:rsidRPr="00E35083">
        <w:rPr>
          <w:shd w:val="clear" w:color="auto" w:fill="FFFFFF"/>
        </w:rPr>
        <w:t xml:space="preserve"> reasonable inference that defendant had no intent to run away or peacefully surrender to police; rather, he intended to shoot to kill to avoid capture.  (</w:t>
      </w:r>
      <w:r w:rsidR="00343466" w:rsidRPr="00E35083">
        <w:rPr>
          <w:shd w:val="clear" w:color="auto" w:fill="FFFFFF"/>
        </w:rPr>
        <w:t xml:space="preserve">See </w:t>
      </w:r>
      <w:r w:rsidR="007367C4" w:rsidRPr="00E35083">
        <w:rPr>
          <w:i/>
          <w:iCs/>
          <w:shd w:val="clear" w:color="auto" w:fill="FFFFFF"/>
        </w:rPr>
        <w:t>People v. Lee, supra</w:t>
      </w:r>
      <w:r w:rsidR="007367C4" w:rsidRPr="00E35083">
        <w:rPr>
          <w:shd w:val="clear" w:color="auto" w:fill="FFFFFF"/>
        </w:rPr>
        <w:t xml:space="preserve">, 51 Cal.4th at p. 636 [upholding premeditation finding where, </w:t>
      </w:r>
      <w:r w:rsidR="00343466" w:rsidRPr="00E35083">
        <w:rPr>
          <w:shd w:val="clear" w:color="auto" w:fill="FFFFFF"/>
        </w:rPr>
        <w:t>inter alia</w:t>
      </w:r>
      <w:r w:rsidR="007367C4" w:rsidRPr="00E35083">
        <w:rPr>
          <w:shd w:val="clear" w:color="auto" w:fill="FFFFFF"/>
        </w:rPr>
        <w:t>, defendant brought a loaded handgun with him on the night [of the killing], indicating he had considered the possibility of a violent encounter”].</w:t>
      </w:r>
      <w:r w:rsidR="008C4A15" w:rsidRPr="00E35083">
        <w:rPr>
          <w:shd w:val="clear" w:color="auto" w:fill="FFFFFF"/>
        </w:rPr>
        <w:t>)</w:t>
      </w:r>
    </w:p>
    <w:p w14:paraId="2E01F30B" w14:textId="48BB9396" w:rsidR="006C7B6D" w:rsidRPr="00E35083" w:rsidRDefault="005A2E4C" w:rsidP="00E35083">
      <w:pPr>
        <w:tabs>
          <w:tab w:val="clear" w:pos="720"/>
        </w:tabs>
        <w:spacing w:line="360" w:lineRule="auto"/>
      </w:pPr>
      <w:r w:rsidRPr="00E35083">
        <w:rPr>
          <w:shd w:val="clear" w:color="auto" w:fill="FFFFFF"/>
        </w:rPr>
        <w:tab/>
      </w:r>
      <w:r w:rsidR="007D5A6C" w:rsidRPr="00E35083">
        <w:rPr>
          <w:shd w:val="clear" w:color="auto" w:fill="FFFFFF"/>
        </w:rPr>
        <w:t>Thus, f</w:t>
      </w:r>
      <w:r w:rsidRPr="00E35083">
        <w:rPr>
          <w:shd w:val="clear" w:color="auto" w:fill="FFFFFF"/>
        </w:rPr>
        <w:t xml:space="preserve">or the reasons stated, </w:t>
      </w:r>
      <w:r w:rsidR="00371AE2" w:rsidRPr="00E35083">
        <w:rPr>
          <w:shd w:val="clear" w:color="auto" w:fill="FFFFFF"/>
        </w:rPr>
        <w:t>we conclude there was sufficient evidence from which the jury could have found defendant guilty of premeditated attempted murder of two peace officers</w:t>
      </w:r>
      <w:r w:rsidR="007D5A6C" w:rsidRPr="00E35083">
        <w:rPr>
          <w:shd w:val="clear" w:color="auto" w:fill="FFFFFF"/>
        </w:rPr>
        <w:t xml:space="preserve"> beyond a reasonable doubt</w:t>
      </w:r>
      <w:r w:rsidRPr="00E35083">
        <w:rPr>
          <w:shd w:val="clear" w:color="auto" w:fill="FFFFFF"/>
        </w:rPr>
        <w:t>.</w:t>
      </w:r>
    </w:p>
    <w:p w14:paraId="72E3954B" w14:textId="6DDD54FD" w:rsidR="006C7B6D" w:rsidRPr="00E35083" w:rsidRDefault="005A2E4C" w:rsidP="00E35083">
      <w:pPr>
        <w:pStyle w:val="ListParagraph"/>
        <w:keepNext/>
        <w:numPr>
          <w:ilvl w:val="0"/>
          <w:numId w:val="4"/>
        </w:numPr>
        <w:tabs>
          <w:tab w:val="clear" w:pos="720"/>
        </w:tabs>
        <w:spacing w:line="360" w:lineRule="auto"/>
        <w:ind w:left="720"/>
        <w:rPr>
          <w:i/>
          <w:iCs/>
        </w:rPr>
      </w:pPr>
      <w:r w:rsidRPr="00E35083">
        <w:rPr>
          <w:b/>
          <w:bCs/>
          <w:i/>
          <w:iCs/>
        </w:rPr>
        <w:lastRenderedPageBreak/>
        <w:t>Exercise of Discretion Under Section 1385(c).</w:t>
      </w:r>
    </w:p>
    <w:p w14:paraId="5A0F9701" w14:textId="66E1A317" w:rsidR="00954715" w:rsidRPr="00E35083" w:rsidRDefault="005A2E4C" w:rsidP="00E35083">
      <w:pPr>
        <w:tabs>
          <w:tab w:val="clear" w:pos="720"/>
        </w:tabs>
        <w:spacing w:line="360" w:lineRule="auto"/>
      </w:pPr>
      <w:r w:rsidRPr="00E35083">
        <w:tab/>
      </w:r>
      <w:r w:rsidR="00C0568C" w:rsidRPr="00E35083">
        <w:t>Defe</w:t>
      </w:r>
      <w:r w:rsidR="009C4A82" w:rsidRPr="00E35083">
        <w:t xml:space="preserve">ndant next argues the trial court erred by failing to exercise its discretion </w:t>
      </w:r>
      <w:r w:rsidR="00D7160D" w:rsidRPr="00E35083">
        <w:t xml:space="preserve">under section 1385(c) </w:t>
      </w:r>
      <w:r w:rsidR="009C4A82" w:rsidRPr="00E35083">
        <w:t>to consider</w:t>
      </w:r>
      <w:r w:rsidR="00D7160D" w:rsidRPr="00E35083">
        <w:t xml:space="preserve"> striking the </w:t>
      </w:r>
      <w:r w:rsidR="007B0DC9" w:rsidRPr="00E35083">
        <w:t xml:space="preserve">jury’s </w:t>
      </w:r>
      <w:r w:rsidR="00D7160D" w:rsidRPr="00E35083">
        <w:t xml:space="preserve">premeditation and deliberation </w:t>
      </w:r>
      <w:r w:rsidR="007B0DC9" w:rsidRPr="00E35083">
        <w:t>findings.</w:t>
      </w:r>
      <w:r w:rsidR="00D7160D" w:rsidRPr="00E35083">
        <w:t xml:space="preserve">  Defendant </w:t>
      </w:r>
      <w:r w:rsidR="009B7450" w:rsidRPr="00E35083">
        <w:t xml:space="preserve">concedes </w:t>
      </w:r>
      <w:r w:rsidR="00D7160D" w:rsidRPr="00E35083">
        <w:t>the court invoke</w:t>
      </w:r>
      <w:r w:rsidRPr="00E35083">
        <w:t>d</w:t>
      </w:r>
      <w:r w:rsidR="00D7160D" w:rsidRPr="00E35083">
        <w:t xml:space="preserve"> section 1385(c) </w:t>
      </w:r>
      <w:r w:rsidR="009B7450" w:rsidRPr="00E35083">
        <w:t>to</w:t>
      </w:r>
      <w:r w:rsidR="00D7160D" w:rsidRPr="00E35083">
        <w:t xml:space="preserve"> </w:t>
      </w:r>
      <w:r w:rsidRPr="00E35083">
        <w:t>dismiss</w:t>
      </w:r>
      <w:r w:rsidR="00D7160D" w:rsidRPr="00E35083">
        <w:t xml:space="preserve"> five of the six firearm </w:t>
      </w:r>
      <w:r w:rsidR="001938C5" w:rsidRPr="00E35083">
        <w:t>enhancements,</w:t>
      </w:r>
      <w:r w:rsidRPr="00E35083">
        <w:t xml:space="preserve"> </w:t>
      </w:r>
      <w:r w:rsidR="008315F5" w:rsidRPr="00E35083">
        <w:t>yet</w:t>
      </w:r>
      <w:r w:rsidR="00D7160D" w:rsidRPr="00E35083">
        <w:t xml:space="preserve"> he insists the court was unaware </w:t>
      </w:r>
      <w:r w:rsidRPr="00E35083">
        <w:t>this provision also afforded it discretion to dismiss the premeditation and deliberation</w:t>
      </w:r>
      <w:r w:rsidR="009B7450" w:rsidRPr="00E35083">
        <w:t xml:space="preserve"> </w:t>
      </w:r>
      <w:r w:rsidR="007B0DC9" w:rsidRPr="00E35083">
        <w:t>finding</w:t>
      </w:r>
      <w:r w:rsidR="009B7450" w:rsidRPr="00E35083">
        <w:t>s</w:t>
      </w:r>
      <w:r w:rsidRPr="00E35083">
        <w:t>.</w:t>
      </w:r>
    </w:p>
    <w:p w14:paraId="6AFE1190" w14:textId="525B20D4" w:rsidR="009B7450" w:rsidRPr="00E35083" w:rsidRDefault="005A2E4C" w:rsidP="00E35083">
      <w:pPr>
        <w:tabs>
          <w:tab w:val="clear" w:pos="720"/>
        </w:tabs>
        <w:spacing w:line="360" w:lineRule="auto"/>
      </w:pPr>
      <w:r w:rsidRPr="00E35083">
        <w:tab/>
        <w:t xml:space="preserve">The People respond that section 1385(c) does not apply to premeditation and deliberation </w:t>
      </w:r>
      <w:r w:rsidR="007B0DC9" w:rsidRPr="00E35083">
        <w:t xml:space="preserve">findings </w:t>
      </w:r>
      <w:r w:rsidRPr="00E35083">
        <w:t>b</w:t>
      </w:r>
      <w:r w:rsidRPr="00E35083">
        <w:t>ecause they are not enhancements.  We agree.</w:t>
      </w:r>
    </w:p>
    <w:p w14:paraId="04CAADB2" w14:textId="31876403" w:rsidR="00C930C1" w:rsidRPr="00E35083" w:rsidRDefault="005A2E4C" w:rsidP="00E35083">
      <w:pPr>
        <w:tabs>
          <w:tab w:val="clear" w:pos="720"/>
        </w:tabs>
        <w:spacing w:line="360" w:lineRule="auto"/>
        <w:textAlignment w:val="baseline"/>
      </w:pPr>
      <w:r w:rsidRPr="00E35083">
        <w:tab/>
        <w:t>Section 1385(c) provides in relevant part</w:t>
      </w:r>
      <w:proofErr w:type="gramStart"/>
      <w:r w:rsidRPr="00E35083">
        <w:t xml:space="preserve">: </w:t>
      </w:r>
      <w:r w:rsidR="001938C5" w:rsidRPr="00E35083">
        <w:t xml:space="preserve"> “</w:t>
      </w:r>
      <w:proofErr w:type="gramEnd"/>
      <w:r w:rsidR="001938C5" w:rsidRPr="00E35083">
        <w:t>(1) Notwithstanding</w:t>
      </w:r>
      <w:r w:rsidRPr="00E35083">
        <w:rPr>
          <w:rFonts w:eastAsia="Times New Roman" w:cs="Times New Roman"/>
          <w:bdr w:val="none" w:sz="0" w:space="0" w:color="auto" w:frame="1"/>
        </w:rPr>
        <w:t xml:space="preserve"> any other law, the court shall dismiss an enhancement if it is in the furtherance of justice to do so, except if dismissal of that enhancement is</w:t>
      </w:r>
      <w:r w:rsidRPr="00E35083">
        <w:rPr>
          <w:rFonts w:eastAsia="Times New Roman" w:cs="Times New Roman"/>
          <w:bdr w:val="none" w:sz="0" w:space="0" w:color="auto" w:frame="1"/>
        </w:rPr>
        <w:t xml:space="preserve"> prohibited by any initiative statute.</w:t>
      </w:r>
      <w:r w:rsidR="007B0DC9" w:rsidRPr="00E35083">
        <w:rPr>
          <w:rFonts w:eastAsia="Times New Roman" w:cs="Times New Roman"/>
          <w:bdr w:val="none" w:sz="0" w:space="0" w:color="auto" w:frame="1"/>
        </w:rPr>
        <w:t xml:space="preserve"> [¶] </w:t>
      </w:r>
      <w:r w:rsidRPr="00E35083">
        <w:rPr>
          <w:rFonts w:eastAsia="Times New Roman" w:cs="Times New Roman"/>
          <w:bdr w:val="none" w:sz="0" w:space="0" w:color="auto" w:frame="1"/>
        </w:rPr>
        <w:t xml:space="preserve">(2) In exercising its discretion under this subdivision, the court shall consider and afford great weight to evidence offered by the defendant to prove that any of the mitigating circumstances in subparagraphs </w:t>
      </w:r>
      <w:r w:rsidR="001938C5" w:rsidRPr="00E35083">
        <w:rPr>
          <w:rFonts w:eastAsia="Times New Roman" w:cs="Times New Roman"/>
          <w:bdr w:val="none" w:sz="0" w:space="0" w:color="auto" w:frame="1"/>
        </w:rPr>
        <w:t>(A) to (I)</w:t>
      </w:r>
      <w:r w:rsidRPr="00E35083">
        <w:rPr>
          <w:rFonts w:eastAsia="Times New Roman" w:cs="Times New Roman"/>
          <w:bdr w:val="none" w:sz="0" w:space="0" w:color="auto" w:frame="1"/>
        </w:rPr>
        <w:t xml:space="preserve"> are present. </w:t>
      </w:r>
      <w:r w:rsidR="001938C5" w:rsidRPr="00E35083">
        <w:rPr>
          <w:rFonts w:eastAsia="Times New Roman" w:cs="Times New Roman"/>
          <w:bdr w:val="none" w:sz="0" w:space="0" w:color="auto" w:frame="1"/>
        </w:rPr>
        <w:t xml:space="preserve"> </w:t>
      </w:r>
      <w:r w:rsidRPr="00E35083">
        <w:rPr>
          <w:rFonts w:eastAsia="Times New Roman" w:cs="Times New Roman"/>
          <w:bdr w:val="none" w:sz="0" w:space="0" w:color="auto" w:frame="1"/>
        </w:rPr>
        <w:t xml:space="preserve">Proof of the presence of one or more of these circumstances weighs greatly in favor of dismissing the enhancement, unless the court finds that dismissal of the enhancement would endanger public safety. </w:t>
      </w:r>
      <w:r w:rsidR="001938C5" w:rsidRPr="00E35083">
        <w:rPr>
          <w:rFonts w:eastAsia="Times New Roman" w:cs="Times New Roman"/>
          <w:bdr w:val="none" w:sz="0" w:space="0" w:color="auto" w:frame="1"/>
        </w:rPr>
        <w:t xml:space="preserve"> </w:t>
      </w:r>
      <w:r w:rsidRPr="00E35083">
        <w:rPr>
          <w:rFonts w:eastAsia="Times New Roman" w:cs="Times New Roman"/>
          <w:bdr w:val="none" w:sz="0" w:space="0" w:color="auto" w:frame="1"/>
        </w:rPr>
        <w:t>‘Endanger public safety’ mea</w:t>
      </w:r>
      <w:r w:rsidRPr="00E35083">
        <w:rPr>
          <w:rFonts w:eastAsia="Times New Roman" w:cs="Times New Roman"/>
          <w:bdr w:val="none" w:sz="0" w:space="0" w:color="auto" w:frame="1"/>
        </w:rPr>
        <w:t xml:space="preserve">ns there is a likelihood that the dismissal of the enhancement would result in physical injury or other </w:t>
      </w:r>
      <w:proofErr w:type="gramStart"/>
      <w:r w:rsidRPr="00E35083">
        <w:rPr>
          <w:rFonts w:eastAsia="Times New Roman" w:cs="Times New Roman"/>
          <w:bdr w:val="none" w:sz="0" w:space="0" w:color="auto" w:frame="1"/>
        </w:rPr>
        <w:t>serious danger</w:t>
      </w:r>
      <w:proofErr w:type="gramEnd"/>
      <w:r w:rsidRPr="00E35083">
        <w:rPr>
          <w:rFonts w:eastAsia="Times New Roman" w:cs="Times New Roman"/>
          <w:bdr w:val="none" w:sz="0" w:space="0" w:color="auto" w:frame="1"/>
        </w:rPr>
        <w:t xml:space="preserve"> to </w:t>
      </w:r>
      <w:r w:rsidR="001938C5" w:rsidRPr="00E35083">
        <w:rPr>
          <w:rFonts w:eastAsia="Times New Roman" w:cs="Times New Roman"/>
          <w:bdr w:val="none" w:sz="0" w:space="0" w:color="auto" w:frame="1"/>
        </w:rPr>
        <w:t>others. . . .</w:t>
      </w:r>
      <w:r w:rsidRPr="00E35083">
        <w:t>”</w:t>
      </w:r>
      <w:r>
        <w:rPr>
          <w:rStyle w:val="FootnoteReference"/>
        </w:rPr>
        <w:footnoteReference w:id="3"/>
      </w:r>
      <w:r w:rsidR="0025693F" w:rsidRPr="00E35083">
        <w:t xml:space="preserve"> </w:t>
      </w:r>
      <w:r w:rsidR="007B0DC9" w:rsidRPr="00E35083">
        <w:t xml:space="preserve"> </w:t>
      </w:r>
      <w:r w:rsidR="0025693F" w:rsidRPr="00E35083">
        <w:t xml:space="preserve">(§ 1385, subd. </w:t>
      </w:r>
      <w:r w:rsidR="001938C5" w:rsidRPr="00E35083">
        <w:t>(c)(1)</w:t>
      </w:r>
      <w:proofErr w:type="gramStart"/>
      <w:r w:rsidR="001938C5" w:rsidRPr="00E35083">
        <w:t>–(</w:t>
      </w:r>
      <w:proofErr w:type="gramEnd"/>
      <w:r w:rsidR="001938C5" w:rsidRPr="00E35083">
        <w:t>2)</w:t>
      </w:r>
      <w:r w:rsidR="0025693F" w:rsidRPr="00E35083">
        <w:t>.)</w:t>
      </w:r>
    </w:p>
    <w:p w14:paraId="0D5E7F2C" w14:textId="0D073AA9" w:rsidR="00694239" w:rsidRPr="00E35083" w:rsidRDefault="005A2E4C" w:rsidP="00E35083">
      <w:pPr>
        <w:tabs>
          <w:tab w:val="clear" w:pos="720"/>
        </w:tabs>
        <w:spacing w:line="360" w:lineRule="auto"/>
        <w:textAlignment w:val="baseline"/>
      </w:pPr>
      <w:r w:rsidRPr="00E35083">
        <w:lastRenderedPageBreak/>
        <w:tab/>
      </w:r>
      <w:r w:rsidR="007B0DC9" w:rsidRPr="00E35083">
        <w:t>Here</w:t>
      </w:r>
      <w:r w:rsidRPr="00E35083">
        <w:t>, the trial court found</w:t>
      </w:r>
      <w:r w:rsidR="007B0DC9" w:rsidRPr="00E35083">
        <w:t xml:space="preserve"> </w:t>
      </w:r>
      <w:r w:rsidRPr="00E35083">
        <w:t>at least three mitigatin</w:t>
      </w:r>
      <w:r w:rsidR="007B0DC9" w:rsidRPr="00E35083">
        <w:t>g</w:t>
      </w:r>
      <w:r w:rsidR="00D7160D" w:rsidRPr="00E35083">
        <w:t xml:space="preserve"> </w:t>
      </w:r>
      <w:r w:rsidRPr="00E35083">
        <w:t xml:space="preserve">circumstances </w:t>
      </w:r>
      <w:r w:rsidR="00FE004D" w:rsidRPr="00E35083">
        <w:t>in</w:t>
      </w:r>
      <w:r w:rsidRPr="00E35083">
        <w:t xml:space="preserve"> dismissing all </w:t>
      </w:r>
      <w:r w:rsidR="00880529" w:rsidRPr="00E35083">
        <w:t>b</w:t>
      </w:r>
      <w:r w:rsidRPr="00E35083">
        <w:t xml:space="preserve">ut one firearm enhancement: </w:t>
      </w:r>
      <w:r w:rsidR="00FE004D" w:rsidRPr="00E35083">
        <w:t>(1) the</w:t>
      </w:r>
      <w:r w:rsidRPr="00E35083">
        <w:t xml:space="preserve"> </w:t>
      </w:r>
      <w:r w:rsidR="00880529" w:rsidRPr="00E35083">
        <w:t xml:space="preserve">charged </w:t>
      </w:r>
      <w:r w:rsidRPr="00E35083">
        <w:t xml:space="preserve">enhancements could result in a sentence exceeding 20 years; </w:t>
      </w:r>
      <w:r w:rsidR="00FE004D" w:rsidRPr="00E35083">
        <w:t>(2) the</w:t>
      </w:r>
      <w:r w:rsidRPr="00E35083">
        <w:t xml:space="preserve"> current offense was connected to defendant’s childhood trauma; and </w:t>
      </w:r>
      <w:r w:rsidR="00FE004D" w:rsidRPr="00E35083">
        <w:t>(3) the</w:t>
      </w:r>
      <w:r w:rsidRPr="00E35083">
        <w:t xml:space="preserve"> current offense was also connected to his mental illness.  (§ 1385, </w:t>
      </w:r>
      <w:r w:rsidR="00FE004D" w:rsidRPr="00E35083">
        <w:t>subd. (c)(2)(C)–(E)</w:t>
      </w:r>
      <w:r w:rsidRPr="00E35083">
        <w:t>.)</w:t>
      </w:r>
      <w:r w:rsidR="00FE004D" w:rsidRPr="00E35083">
        <w:t xml:space="preserve"> </w:t>
      </w:r>
      <w:r w:rsidRPr="00E35083">
        <w:t xml:space="preserve"> </w:t>
      </w:r>
      <w:r w:rsidR="007B0DC9" w:rsidRPr="00E35083">
        <w:t>Nothing in the record reflects, however, that t</w:t>
      </w:r>
      <w:r w:rsidRPr="00E35083">
        <w:t xml:space="preserve">he court </w:t>
      </w:r>
      <w:r w:rsidR="007B0DC9" w:rsidRPr="00E35083">
        <w:t>considered dismissing the jury’s premeditation and deliberation findings based on t</w:t>
      </w:r>
      <w:r w:rsidRPr="00E35083">
        <w:t>hese mitigating circumstances.  This was not error</w:t>
      </w:r>
      <w:r w:rsidR="007B0DC9" w:rsidRPr="00E35083">
        <w:t>, as the statute did not require it</w:t>
      </w:r>
      <w:r w:rsidRPr="00E35083">
        <w:t>.</w:t>
      </w:r>
    </w:p>
    <w:p w14:paraId="646627E5" w14:textId="3B34881F" w:rsidR="00850053" w:rsidRPr="00E35083" w:rsidRDefault="005A2E4C" w:rsidP="00E35083">
      <w:pPr>
        <w:tabs>
          <w:tab w:val="clear" w:pos="720"/>
        </w:tabs>
        <w:spacing w:line="360" w:lineRule="auto"/>
        <w:textAlignment w:val="baseline"/>
        <w:rPr>
          <w:rStyle w:val="ssrfcpassagedeactivated"/>
          <w:bdr w:val="none" w:sz="0" w:space="0" w:color="auto" w:frame="1"/>
          <w:shd w:val="clear" w:color="auto" w:fill="FFFFFF"/>
        </w:rPr>
      </w:pPr>
      <w:r w:rsidRPr="00E35083">
        <w:tab/>
      </w:r>
      <w:r w:rsidR="006C01CC" w:rsidRPr="00E35083">
        <w:rPr>
          <w:rStyle w:val="ssrfcpassagedeactivated"/>
          <w:bdr w:val="none" w:sz="0" w:space="0" w:color="auto" w:frame="1"/>
          <w:shd w:val="clear" w:color="auto" w:fill="FFFFFF"/>
        </w:rPr>
        <w:t xml:space="preserve">Defendant’s </w:t>
      </w:r>
      <w:r w:rsidR="00FB56DB" w:rsidRPr="00E35083">
        <w:rPr>
          <w:rStyle w:val="ssrfcpassagedeactivated"/>
          <w:bdr w:val="none" w:sz="0" w:space="0" w:color="auto" w:frame="1"/>
          <w:shd w:val="clear" w:color="auto" w:fill="FFFFFF"/>
        </w:rPr>
        <w:t xml:space="preserve">contrary </w:t>
      </w:r>
      <w:r w:rsidR="006C01CC" w:rsidRPr="00E35083">
        <w:rPr>
          <w:rStyle w:val="ssrfcpassagedeactivated"/>
          <w:bdr w:val="none" w:sz="0" w:space="0" w:color="auto" w:frame="1"/>
          <w:shd w:val="clear" w:color="auto" w:fill="FFFFFF"/>
        </w:rPr>
        <w:t>argument hinges on his claim that the allegations of premeditation and deliberation accompanying the attempted murder counts constitute “enhancement</w:t>
      </w:r>
      <w:r w:rsidR="006302C2" w:rsidRPr="00E35083">
        <w:rPr>
          <w:rStyle w:val="ssrfcpassagedeactivated"/>
          <w:bdr w:val="none" w:sz="0" w:space="0" w:color="auto" w:frame="1"/>
          <w:shd w:val="clear" w:color="auto" w:fill="FFFFFF"/>
        </w:rPr>
        <w:t>[s]</w:t>
      </w:r>
      <w:r w:rsidR="006C01CC" w:rsidRPr="00E35083">
        <w:rPr>
          <w:rStyle w:val="ssrfcpassagedeactivated"/>
          <w:bdr w:val="none" w:sz="0" w:space="0" w:color="auto" w:frame="1"/>
          <w:shd w:val="clear" w:color="auto" w:fill="FFFFFF"/>
        </w:rPr>
        <w:t xml:space="preserve">” within the meaning of section 1385(c).  </w:t>
      </w:r>
      <w:r w:rsidRPr="00E35083">
        <w:rPr>
          <w:rStyle w:val="ssrfcpassagedeactivated"/>
          <w:bdr w:val="none" w:sz="0" w:space="0" w:color="auto" w:frame="1"/>
          <w:shd w:val="clear" w:color="auto" w:fill="FFFFFF"/>
        </w:rPr>
        <w:t>W</w:t>
      </w:r>
      <w:r w:rsidR="006302C2" w:rsidRPr="00E35083">
        <w:rPr>
          <w:rStyle w:val="ssrfcpassagedeactivated"/>
          <w:bdr w:val="none" w:sz="0" w:space="0" w:color="auto" w:frame="1"/>
          <w:shd w:val="clear" w:color="auto" w:fill="FFFFFF"/>
        </w:rPr>
        <w:t xml:space="preserve">e conclude </w:t>
      </w:r>
      <w:r w:rsidRPr="00E35083">
        <w:rPr>
          <w:rStyle w:val="ssrfcpassagedeactivated"/>
          <w:bdr w:val="none" w:sz="0" w:space="0" w:color="auto" w:frame="1"/>
          <w:shd w:val="clear" w:color="auto" w:fill="FFFFFF"/>
        </w:rPr>
        <w:t xml:space="preserve">the plain language of </w:t>
      </w:r>
      <w:r w:rsidR="006302C2" w:rsidRPr="00E35083">
        <w:rPr>
          <w:rStyle w:val="ssrfcpassagedeactivated"/>
          <w:bdr w:val="none" w:sz="0" w:space="0" w:color="auto" w:frame="1"/>
          <w:shd w:val="clear" w:color="auto" w:fill="FFFFFF"/>
        </w:rPr>
        <w:t>section 1385(c) does not support his claim</w:t>
      </w:r>
      <w:r w:rsidR="006C01CC" w:rsidRPr="00E35083">
        <w:rPr>
          <w:rStyle w:val="ssrfcpassagedeactivated"/>
          <w:bdr w:val="none" w:sz="0" w:space="0" w:color="auto" w:frame="1"/>
          <w:shd w:val="clear" w:color="auto" w:fill="FFFFFF"/>
        </w:rPr>
        <w:t>.</w:t>
      </w:r>
    </w:p>
    <w:p w14:paraId="0B0D4C93" w14:textId="6FE41454" w:rsidR="005E0848" w:rsidRPr="00E35083" w:rsidRDefault="005A2E4C" w:rsidP="00E35083">
      <w:pPr>
        <w:tabs>
          <w:tab w:val="clear" w:pos="720"/>
        </w:tabs>
        <w:spacing w:line="360" w:lineRule="auto"/>
        <w:textAlignment w:val="baseline"/>
        <w:rPr>
          <w:rStyle w:val="ssrfcpassagedeactivated"/>
          <w:bdr w:val="none" w:sz="0" w:space="0" w:color="auto" w:frame="1"/>
          <w:shd w:val="clear" w:color="auto" w:fill="FFFFFF"/>
        </w:rPr>
      </w:pPr>
      <w:r w:rsidRPr="00E35083">
        <w:rPr>
          <w:rStyle w:val="ssrfcpassagedeactivated"/>
          <w:bdr w:val="none" w:sz="0" w:space="0" w:color="auto" w:frame="1"/>
          <w:shd w:val="clear" w:color="auto" w:fill="FFFFFF"/>
        </w:rPr>
        <w:tab/>
      </w:r>
      <w:r w:rsidRPr="00E35083">
        <w:rPr>
          <w:shd w:val="clear" w:color="auto" w:fill="FFFFFF"/>
        </w:rPr>
        <w:t xml:space="preserve">Whether section </w:t>
      </w:r>
      <w:r w:rsidR="00BF5C2E" w:rsidRPr="00E35083">
        <w:rPr>
          <w:shd w:val="clear" w:color="auto" w:fill="FFFFFF"/>
        </w:rPr>
        <w:t>1385(c) applies</w:t>
      </w:r>
      <w:r w:rsidRPr="00E35083">
        <w:rPr>
          <w:shd w:val="clear" w:color="auto" w:fill="FFFFFF"/>
        </w:rPr>
        <w:t xml:space="preserve"> to </w:t>
      </w:r>
      <w:r w:rsidR="00F2796E" w:rsidRPr="00E35083">
        <w:rPr>
          <w:shd w:val="clear" w:color="auto" w:fill="FFFFFF"/>
        </w:rPr>
        <w:t>a finding of premeditation and deliberation is a</w:t>
      </w:r>
      <w:r w:rsidRPr="00E35083">
        <w:rPr>
          <w:shd w:val="clear" w:color="auto" w:fill="FFFFFF"/>
        </w:rPr>
        <w:t xml:space="preserve"> question of statutory interpretation</w:t>
      </w:r>
      <w:r w:rsidR="00F2796E" w:rsidRPr="00E35083">
        <w:rPr>
          <w:shd w:val="clear" w:color="auto" w:fill="FFFFFF"/>
        </w:rPr>
        <w:t xml:space="preserve"> </w:t>
      </w:r>
      <w:r w:rsidRPr="00E35083">
        <w:rPr>
          <w:shd w:val="clear" w:color="auto" w:fill="FFFFFF"/>
        </w:rPr>
        <w:t>review</w:t>
      </w:r>
      <w:r w:rsidR="00F2796E" w:rsidRPr="00E35083">
        <w:rPr>
          <w:shd w:val="clear" w:color="auto" w:fill="FFFFFF"/>
        </w:rPr>
        <w:t xml:space="preserve">ed </w:t>
      </w:r>
      <w:r w:rsidR="00BF5C2E" w:rsidRPr="00E35083">
        <w:rPr>
          <w:shd w:val="clear" w:color="auto" w:fill="FFFFFF"/>
        </w:rPr>
        <w:t>de novo on appeal</w:t>
      </w:r>
      <w:r w:rsidRPr="00E35083">
        <w:rPr>
          <w:shd w:val="clear" w:color="auto" w:fill="FFFFFF"/>
        </w:rPr>
        <w:t xml:space="preserve">. </w:t>
      </w:r>
      <w:r w:rsidR="00F2796E" w:rsidRPr="00E35083">
        <w:rPr>
          <w:shd w:val="clear" w:color="auto" w:fill="FFFFFF"/>
        </w:rPr>
        <w:t xml:space="preserve"> </w:t>
      </w:r>
      <w:r w:rsidRPr="00E35083">
        <w:rPr>
          <w:shd w:val="clear" w:color="auto" w:fill="FFFFFF"/>
        </w:rPr>
        <w:t>(</w:t>
      </w:r>
      <w:r w:rsidR="00F2796E" w:rsidRPr="00E35083">
        <w:rPr>
          <w:i/>
          <w:iCs/>
          <w:shd w:val="clear" w:color="auto" w:fill="FFFFFF"/>
        </w:rPr>
        <w:t>People v. Tirado</w:t>
      </w:r>
      <w:r w:rsidR="00F2796E" w:rsidRPr="00E35083">
        <w:rPr>
          <w:shd w:val="clear" w:color="auto" w:fill="FFFFFF"/>
        </w:rPr>
        <w:t xml:space="preserve"> (2022) 12 Cal.5th 688, 694</w:t>
      </w:r>
      <w:r w:rsidRPr="00E35083">
        <w:rPr>
          <w:shd w:val="clear" w:color="auto" w:fill="FFFFFF"/>
        </w:rPr>
        <w:t>.)</w:t>
      </w:r>
      <w:r w:rsidR="006302C2" w:rsidRPr="00E35083">
        <w:rPr>
          <w:rStyle w:val="ssrfcpassagedeactivated"/>
          <w:bdr w:val="none" w:sz="0" w:space="0" w:color="auto" w:frame="1"/>
          <w:shd w:val="clear" w:color="auto" w:fill="FFFFFF"/>
        </w:rPr>
        <w:t xml:space="preserve"> </w:t>
      </w:r>
      <w:r w:rsidR="00BF5C2E" w:rsidRPr="00E35083">
        <w:rPr>
          <w:rStyle w:val="ssrfcpassagedeactivated"/>
          <w:bdr w:val="none" w:sz="0" w:space="0" w:color="auto" w:frame="1"/>
          <w:shd w:val="clear" w:color="auto" w:fill="FFFFFF"/>
        </w:rPr>
        <w:t xml:space="preserve"> </w:t>
      </w:r>
      <w:proofErr w:type="gramStart"/>
      <w:r w:rsidR="00BF5C2E" w:rsidRPr="00E35083">
        <w:rPr>
          <w:rStyle w:val="ssrfcpassagedeactivated"/>
          <w:bdr w:val="none" w:sz="0" w:space="0" w:color="auto" w:frame="1"/>
          <w:shd w:val="clear" w:color="auto" w:fill="FFFFFF"/>
        </w:rPr>
        <w:t>“ ‘</w:t>
      </w:r>
      <w:proofErr w:type="gramEnd"/>
      <w:r w:rsidR="00BF5C2E" w:rsidRPr="00E35083">
        <w:rPr>
          <w:rStyle w:val="ssrfcpassagedeactivated"/>
          <w:bdr w:val="none" w:sz="0" w:space="0" w:color="auto" w:frame="1"/>
          <w:shd w:val="clear" w:color="auto" w:fill="FFFFFF"/>
        </w:rPr>
        <w:t>Under</w:t>
      </w:r>
      <w:r w:rsidR="00F2796E" w:rsidRPr="00E35083">
        <w:rPr>
          <w:rStyle w:val="ssrfcpassagedeactivated"/>
          <w:bdr w:val="none" w:sz="0" w:space="0" w:color="auto" w:frame="1"/>
          <w:shd w:val="clear" w:color="auto" w:fill="FFFFFF"/>
        </w:rPr>
        <w:t xml:space="preserve"> settled canons of statutory </w:t>
      </w:r>
      <w:r w:rsidR="00BF5C2E" w:rsidRPr="00E35083">
        <w:rPr>
          <w:rStyle w:val="ssrfcpassagedeactivated"/>
          <w:bdr w:val="none" w:sz="0" w:space="0" w:color="auto" w:frame="1"/>
          <w:shd w:val="clear" w:color="auto" w:fill="FFFFFF"/>
        </w:rPr>
        <w:t>construction, in</w:t>
      </w:r>
      <w:r w:rsidR="00F2796E" w:rsidRPr="00E35083">
        <w:rPr>
          <w:rStyle w:val="ssrfcpassagedeactivated"/>
          <w:bdr w:val="none" w:sz="0" w:space="0" w:color="auto" w:frame="1"/>
          <w:shd w:val="clear" w:color="auto" w:fill="FFFFFF"/>
        </w:rPr>
        <w:t xml:space="preserve"> construing a statute we ascertain the Legislature’s intent in order to effectuate the law</w:t>
      </w:r>
      <w:r w:rsidR="00FB56DB" w:rsidRPr="00E35083">
        <w:rPr>
          <w:rStyle w:val="ssrfcpassagedeactivated"/>
          <w:bdr w:val="none" w:sz="0" w:space="0" w:color="auto" w:frame="1"/>
          <w:shd w:val="clear" w:color="auto" w:fill="FFFFFF"/>
        </w:rPr>
        <w:t>’</w:t>
      </w:r>
      <w:r w:rsidR="00F2796E" w:rsidRPr="00E35083">
        <w:rPr>
          <w:rStyle w:val="ssrfcpassagedeactivated"/>
          <w:bdr w:val="none" w:sz="0" w:space="0" w:color="auto" w:frame="1"/>
          <w:shd w:val="clear" w:color="auto" w:fill="FFFFFF"/>
        </w:rPr>
        <w:t xml:space="preserve">s </w:t>
      </w:r>
      <w:r w:rsidR="00BF5C2E" w:rsidRPr="00E35083">
        <w:rPr>
          <w:rStyle w:val="ssrfcsection"/>
          <w:bdr w:val="none" w:sz="0" w:space="0" w:color="auto" w:frame="1"/>
          <w:shd w:val="clear" w:color="auto" w:fill="FFFFFF"/>
        </w:rPr>
        <w:t>purpose.  [Citation.]  We</w:t>
      </w:r>
      <w:r w:rsidR="00F2796E" w:rsidRPr="00E35083">
        <w:rPr>
          <w:rStyle w:val="ssrfcsection"/>
          <w:bdr w:val="none" w:sz="0" w:space="0" w:color="auto" w:frame="1"/>
          <w:shd w:val="clear" w:color="auto" w:fill="FFFFFF"/>
        </w:rPr>
        <w:t xml:space="preserve"> must look to the statute’s words and give them their usual and ordinary meaning. </w:t>
      </w:r>
      <w:r w:rsidR="00BF5C2E" w:rsidRPr="00E35083">
        <w:rPr>
          <w:rStyle w:val="ssrfcsection"/>
          <w:bdr w:val="none" w:sz="0" w:space="0" w:color="auto" w:frame="1"/>
          <w:shd w:val="clear" w:color="auto" w:fill="FFFFFF"/>
        </w:rPr>
        <w:t xml:space="preserve"> [Citation.]  The</w:t>
      </w:r>
      <w:r w:rsidR="00F2796E" w:rsidRPr="00E35083">
        <w:rPr>
          <w:rStyle w:val="ssrfcsection"/>
          <w:bdr w:val="none" w:sz="0" w:space="0" w:color="auto" w:frame="1"/>
          <w:shd w:val="clear" w:color="auto" w:fill="FFFFFF"/>
        </w:rPr>
        <w:t xml:space="preserve"> statute’s plain meaning controls the court</w:t>
      </w:r>
      <w:r w:rsidR="0053039A" w:rsidRPr="00E35083">
        <w:rPr>
          <w:rStyle w:val="ssrfcsection"/>
          <w:bdr w:val="none" w:sz="0" w:space="0" w:color="auto" w:frame="1"/>
          <w:shd w:val="clear" w:color="auto" w:fill="FFFFFF"/>
        </w:rPr>
        <w:t>’</w:t>
      </w:r>
      <w:r w:rsidR="00F2796E" w:rsidRPr="00E35083">
        <w:rPr>
          <w:rStyle w:val="ssrfcsection"/>
          <w:bdr w:val="none" w:sz="0" w:space="0" w:color="auto" w:frame="1"/>
          <w:shd w:val="clear" w:color="auto" w:fill="FFFFFF"/>
        </w:rPr>
        <w:t xml:space="preserve">s interpretation unless its words are ambiguous.’ </w:t>
      </w:r>
      <w:r w:rsidR="00BF5C2E" w:rsidRPr="00E35083">
        <w:rPr>
          <w:rStyle w:val="ssrfcpassagedeactivated"/>
          <w:bdr w:val="none" w:sz="0" w:space="0" w:color="auto" w:frame="1"/>
          <w:shd w:val="clear" w:color="auto" w:fill="FFFFFF"/>
        </w:rPr>
        <w:t xml:space="preserve"> [Citations.]  If</w:t>
      </w:r>
      <w:r w:rsidR="00F2796E" w:rsidRPr="00E35083">
        <w:rPr>
          <w:rStyle w:val="ssrfcpassagedeactivated"/>
          <w:bdr w:val="none" w:sz="0" w:space="0" w:color="auto" w:frame="1"/>
          <w:shd w:val="clear" w:color="auto" w:fill="FFFFFF"/>
        </w:rPr>
        <w:t xml:space="preserve"> the words in the statute do not, by themselves, provide a reliable indicator of legislative intent, </w:t>
      </w:r>
      <w:r w:rsidR="0061051C" w:rsidRPr="00E35083">
        <w:rPr>
          <w:rStyle w:val="ssrfcpassagedeactivated"/>
          <w:bdr w:val="none" w:sz="0" w:space="0" w:color="auto" w:frame="1"/>
          <w:shd w:val="clear" w:color="auto" w:fill="FFFFFF"/>
        </w:rPr>
        <w:t>‘</w:t>
      </w:r>
      <w:r w:rsidR="00F2796E" w:rsidRPr="00E35083">
        <w:rPr>
          <w:rStyle w:val="ssrfcpassagedeactivated"/>
          <w:bdr w:val="none" w:sz="0" w:space="0" w:color="auto" w:frame="1"/>
          <w:shd w:val="clear" w:color="auto" w:fill="FFFFFF"/>
        </w:rPr>
        <w:t>[s]</w:t>
      </w:r>
      <w:proofErr w:type="spellStart"/>
      <w:r w:rsidR="00F2796E" w:rsidRPr="00E35083">
        <w:rPr>
          <w:rStyle w:val="ssrfcpassagedeactivated"/>
          <w:bdr w:val="none" w:sz="0" w:space="0" w:color="auto" w:frame="1"/>
          <w:shd w:val="clear" w:color="auto" w:fill="FFFFFF"/>
        </w:rPr>
        <w:t>tatutory</w:t>
      </w:r>
      <w:proofErr w:type="spellEnd"/>
      <w:r w:rsidR="00F2796E" w:rsidRPr="00E35083">
        <w:rPr>
          <w:rStyle w:val="ssrfcpassagedeactivated"/>
          <w:bdr w:val="none" w:sz="0" w:space="0" w:color="auto" w:frame="1"/>
          <w:shd w:val="clear" w:color="auto" w:fill="FFFFFF"/>
        </w:rPr>
        <w:t xml:space="preserve"> ambiguities often may be resolved by examining the context in which the language appears and adopting the construction which best serves to harmonize the statute internally and with related </w:t>
      </w:r>
      <w:r w:rsidR="00BF5C2E" w:rsidRPr="00E35083">
        <w:rPr>
          <w:shd w:val="clear" w:color="auto" w:fill="FFFFFF"/>
        </w:rPr>
        <w:t>statutes.’ . . . If</w:t>
      </w:r>
      <w:r w:rsidR="00F2796E" w:rsidRPr="00E35083">
        <w:rPr>
          <w:shd w:val="clear" w:color="auto" w:fill="FFFFFF"/>
        </w:rPr>
        <w:t xml:space="preserve"> the statute is ambiguous, we may consider a variety of extrinsic aids, including legislative history, the statute’s purpose, and public policy.”  (</w:t>
      </w:r>
      <w:r w:rsidR="00F2796E" w:rsidRPr="00E35083">
        <w:rPr>
          <w:i/>
          <w:iCs/>
          <w:shd w:val="clear" w:color="auto" w:fill="FFFFFF"/>
        </w:rPr>
        <w:t>People v. Arias</w:t>
      </w:r>
      <w:r w:rsidR="00F2796E" w:rsidRPr="00E35083">
        <w:rPr>
          <w:shd w:val="clear" w:color="auto" w:fill="FFFFFF"/>
        </w:rPr>
        <w:t xml:space="preserve"> (2008) 49 Cal.4th 169, 177.)</w:t>
      </w:r>
    </w:p>
    <w:p w14:paraId="1C185F42" w14:textId="03113BB5" w:rsidR="006302C2" w:rsidRPr="00E35083" w:rsidRDefault="005A2E4C" w:rsidP="00E35083">
      <w:pPr>
        <w:tabs>
          <w:tab w:val="clear" w:pos="720"/>
        </w:tabs>
        <w:spacing w:line="360" w:lineRule="auto"/>
        <w:textAlignment w:val="baseline"/>
        <w:rPr>
          <w:rStyle w:val="ssrfcpassagedeactivated"/>
          <w:bdr w:val="none" w:sz="0" w:space="0" w:color="auto" w:frame="1"/>
          <w:shd w:val="clear" w:color="auto" w:fill="FFFFFF"/>
        </w:rPr>
      </w:pPr>
      <w:r w:rsidRPr="00E35083">
        <w:rPr>
          <w:rStyle w:val="ssrfcpassagedeactivated"/>
          <w:bdr w:val="none" w:sz="0" w:space="0" w:color="auto" w:frame="1"/>
          <w:shd w:val="clear" w:color="auto" w:fill="FFFFFF"/>
        </w:rPr>
        <w:lastRenderedPageBreak/>
        <w:tab/>
      </w:r>
      <w:r w:rsidR="00FB56DB" w:rsidRPr="00E35083">
        <w:rPr>
          <w:rStyle w:val="ssrfcpassagedeactivated"/>
          <w:bdr w:val="none" w:sz="0" w:space="0" w:color="auto" w:frame="1"/>
          <w:shd w:val="clear" w:color="auto" w:fill="FFFFFF"/>
        </w:rPr>
        <w:t xml:space="preserve">Turning to the statute at hand, </w:t>
      </w:r>
      <w:r w:rsidRPr="00E35083">
        <w:rPr>
          <w:rStyle w:val="ssrfcpassagedeactivated"/>
          <w:bdr w:val="none" w:sz="0" w:space="0" w:color="auto" w:frame="1"/>
          <w:shd w:val="clear" w:color="auto" w:fill="FFFFFF"/>
        </w:rPr>
        <w:t>“</w:t>
      </w:r>
      <w:r w:rsidR="00BF5C2E" w:rsidRPr="00E35083">
        <w:rPr>
          <w:rStyle w:val="ssrfcsection"/>
          <w:bdr w:val="none" w:sz="0" w:space="0" w:color="auto" w:frame="1"/>
          <w:shd w:val="clear" w:color="auto" w:fill="FFFFFF"/>
        </w:rPr>
        <w:t>[s]</w:t>
      </w:r>
      <w:proofErr w:type="spellStart"/>
      <w:r w:rsidR="00BF5C2E" w:rsidRPr="00E35083">
        <w:rPr>
          <w:rStyle w:val="ssrfcsection"/>
          <w:bdr w:val="none" w:sz="0" w:space="0" w:color="auto" w:frame="1"/>
          <w:shd w:val="clear" w:color="auto" w:fill="FFFFFF"/>
        </w:rPr>
        <w:t>ubdivision</w:t>
      </w:r>
      <w:proofErr w:type="spellEnd"/>
      <w:r w:rsidR="00BF5C2E" w:rsidRPr="00E35083">
        <w:rPr>
          <w:rStyle w:val="ssrfcsection"/>
          <w:bdr w:val="none" w:sz="0" w:space="0" w:color="auto" w:frame="1"/>
          <w:shd w:val="clear" w:color="auto" w:fill="FFFFFF"/>
        </w:rPr>
        <w:t> (c) of section 1385 expressly</w:t>
      </w:r>
      <w:r w:rsidRPr="00E35083">
        <w:rPr>
          <w:rStyle w:val="ssrfcsection"/>
          <w:bdr w:val="none" w:sz="0" w:space="0" w:color="auto" w:frame="1"/>
          <w:shd w:val="clear" w:color="auto" w:fill="FFFFFF"/>
        </w:rPr>
        <w:t xml:space="preserve"> applies to the dismissal of an ‘enhancement.’ </w:t>
      </w:r>
      <w:r w:rsidR="00204F85" w:rsidRPr="00E35083">
        <w:rPr>
          <w:rStyle w:val="ssrfcsection"/>
          <w:bdr w:val="none" w:sz="0" w:space="0" w:color="auto" w:frame="1"/>
          <w:shd w:val="clear" w:color="auto" w:fill="FFFFFF"/>
        </w:rPr>
        <w:t xml:space="preserve"> </w:t>
      </w:r>
      <w:r w:rsidRPr="00E35083">
        <w:rPr>
          <w:rStyle w:val="ssrfcsection"/>
          <w:bdr w:val="none" w:sz="0" w:space="0" w:color="auto" w:frame="1"/>
          <w:shd w:val="clear" w:color="auto" w:fill="FFFFFF"/>
        </w:rPr>
        <w:t>(§ 1385, subd. (c)(1).)</w:t>
      </w:r>
      <w:r w:rsidR="00BF5C2E" w:rsidRPr="00E35083">
        <w:rPr>
          <w:rStyle w:val="ssrfcsection"/>
          <w:bdr w:val="none" w:sz="0" w:space="0" w:color="auto" w:frame="1"/>
          <w:shd w:val="clear" w:color="auto" w:fill="FFFFFF"/>
        </w:rPr>
        <w:t xml:space="preserve">  ‘Ordinarily</w:t>
      </w:r>
      <w:r w:rsidRPr="00E35083">
        <w:rPr>
          <w:rStyle w:val="ssrfcsection"/>
          <w:bdr w:val="none" w:sz="0" w:space="0" w:color="auto" w:frame="1"/>
          <w:shd w:val="clear" w:color="auto" w:fill="FFFFFF"/>
        </w:rPr>
        <w:t xml:space="preserve"> words used in a statute are presumed to be used in accordance with their established legal or t</w:t>
      </w:r>
      <w:r w:rsidRPr="00E35083">
        <w:rPr>
          <w:rStyle w:val="ssrfcsection"/>
          <w:bdr w:val="none" w:sz="0" w:space="0" w:color="auto" w:frame="1"/>
          <w:shd w:val="clear" w:color="auto" w:fill="FFFFFF"/>
        </w:rPr>
        <w:t>echnical meaning.’</w:t>
      </w:r>
      <w:r w:rsidR="00204F85" w:rsidRPr="00E35083">
        <w:rPr>
          <w:rStyle w:val="ssrfcsection"/>
          <w:bdr w:val="none" w:sz="0" w:space="0" w:color="auto" w:frame="1"/>
          <w:shd w:val="clear" w:color="auto" w:fill="FFFFFF"/>
        </w:rPr>
        <w:t xml:space="preserve"> </w:t>
      </w:r>
      <w:r w:rsidRPr="00E35083">
        <w:rPr>
          <w:rStyle w:val="ssrfcsection"/>
          <w:bdr w:val="none" w:sz="0" w:space="0" w:color="auto" w:frame="1"/>
          <w:shd w:val="clear" w:color="auto" w:fill="FFFFFF"/>
        </w:rPr>
        <w:t xml:space="preserve"> [Citation.] </w:t>
      </w:r>
      <w:r w:rsidR="00204F85" w:rsidRPr="00E35083">
        <w:rPr>
          <w:rStyle w:val="ssrfcsection"/>
          <w:bdr w:val="none" w:sz="0" w:space="0" w:color="auto" w:frame="1"/>
          <w:shd w:val="clear" w:color="auto" w:fill="FFFFFF"/>
        </w:rPr>
        <w:t xml:space="preserve"> </w:t>
      </w:r>
      <w:r w:rsidRPr="00E35083">
        <w:rPr>
          <w:rStyle w:val="ssrfcsection"/>
          <w:bdr w:val="none" w:sz="0" w:space="0" w:color="auto" w:frame="1"/>
          <w:shd w:val="clear" w:color="auto" w:fill="FFFFFF"/>
        </w:rPr>
        <w:t xml:space="preserve">The term ‘enhancement’ has a well-established technical meaning in California law. </w:t>
      </w:r>
      <w:r w:rsidR="00EE1F66" w:rsidRPr="00E35083">
        <w:rPr>
          <w:rStyle w:val="ssrfcsection"/>
          <w:bdr w:val="none" w:sz="0" w:space="0" w:color="auto" w:frame="1"/>
          <w:shd w:val="clear" w:color="auto" w:fill="FFFFFF"/>
        </w:rPr>
        <w:t xml:space="preserve"> </w:t>
      </w:r>
      <w:r w:rsidRPr="00E35083">
        <w:rPr>
          <w:rStyle w:val="ssrfcsection"/>
          <w:bdr w:val="none" w:sz="0" w:space="0" w:color="auto" w:frame="1"/>
          <w:shd w:val="clear" w:color="auto" w:fill="FFFFFF"/>
        </w:rPr>
        <w:t>([</w:t>
      </w:r>
      <w:r w:rsidRPr="00E35083">
        <w:rPr>
          <w:rStyle w:val="ssrfcsection"/>
          <w:i/>
          <w:iCs/>
          <w:bdr w:val="none" w:sz="0" w:space="0" w:color="auto" w:frame="1"/>
          <w:shd w:val="clear" w:color="auto" w:fill="FFFFFF"/>
        </w:rPr>
        <w:t xml:space="preserve">People v. </w:t>
      </w:r>
      <w:r w:rsidR="00EE1F66" w:rsidRPr="00E35083">
        <w:rPr>
          <w:rStyle w:val="ssrfcsection"/>
          <w:i/>
          <w:iCs/>
          <w:bdr w:val="none" w:sz="0" w:space="0" w:color="auto" w:frame="1"/>
          <w:shd w:val="clear" w:color="auto" w:fill="FFFFFF"/>
        </w:rPr>
        <w:t>Superior Court (Romero)</w:t>
      </w:r>
      <w:r w:rsidRPr="00E35083">
        <w:rPr>
          <w:rStyle w:val="ssrfcsection"/>
          <w:bdr w:val="none" w:sz="0" w:space="0" w:color="auto" w:frame="1"/>
          <w:shd w:val="clear" w:color="auto" w:fill="FFFFFF"/>
        </w:rPr>
        <w:t xml:space="preserve"> (1996)] 13 Cal.4th [497,] </w:t>
      </w:r>
      <w:r w:rsidR="00EE1F66" w:rsidRPr="00E35083">
        <w:rPr>
          <w:rStyle w:val="ssrfcsection"/>
          <w:bdr w:val="none" w:sz="0" w:space="0" w:color="auto" w:frame="1"/>
          <w:shd w:val="clear" w:color="auto" w:fill="FFFFFF"/>
        </w:rPr>
        <w:t>526–527</w:t>
      </w:r>
      <w:r w:rsidRPr="00E35083">
        <w:rPr>
          <w:rStyle w:val="ssrfcsection"/>
          <w:bdr w:val="none" w:sz="0" w:space="0" w:color="auto" w:frame="1"/>
          <w:shd w:val="clear" w:color="auto" w:fill="FFFFFF"/>
        </w:rPr>
        <w:t>.)</w:t>
      </w:r>
      <w:r w:rsidR="00EE1F66" w:rsidRPr="00E35083">
        <w:rPr>
          <w:rStyle w:val="ssrfcsection"/>
          <w:bdr w:val="none" w:sz="0" w:space="0" w:color="auto" w:frame="1"/>
          <w:shd w:val="clear" w:color="auto" w:fill="FFFFFF"/>
        </w:rPr>
        <w:t xml:space="preserve">  </w:t>
      </w:r>
      <w:r w:rsidRPr="00E35083">
        <w:rPr>
          <w:rStyle w:val="ssrfcsection"/>
          <w:bdr w:val="none" w:sz="0" w:space="0" w:color="auto" w:frame="1"/>
          <w:shd w:val="clear" w:color="auto" w:fill="FFFFFF"/>
        </w:rPr>
        <w:t>‘A sentence enhancement is “an additional term of imprisonment add</w:t>
      </w:r>
      <w:r w:rsidRPr="00E35083">
        <w:rPr>
          <w:rStyle w:val="ssrfcsection"/>
          <w:bdr w:val="none" w:sz="0" w:space="0" w:color="auto" w:frame="1"/>
          <w:shd w:val="clear" w:color="auto" w:fill="FFFFFF"/>
        </w:rPr>
        <w:t xml:space="preserve">ed to the base </w:t>
      </w:r>
      <w:r w:rsidR="00EE1F66" w:rsidRPr="00E35083">
        <w:rPr>
          <w:rStyle w:val="ssrfcsection"/>
          <w:bdr w:val="none" w:sz="0" w:space="0" w:color="auto" w:frame="1"/>
          <w:shd w:val="clear" w:color="auto" w:fill="FFFFFF"/>
        </w:rPr>
        <w:t>term.</w:t>
      </w:r>
      <w:proofErr w:type="gramStart"/>
      <w:r w:rsidR="00EE1F66" w:rsidRPr="00E35083">
        <w:rPr>
          <w:rStyle w:val="ssrfcsection"/>
          <w:bdr w:val="none" w:sz="0" w:space="0" w:color="auto" w:frame="1"/>
          <w:shd w:val="clear" w:color="auto" w:fill="FFFFFF"/>
        </w:rPr>
        <w:t>” ’</w:t>
      </w:r>
      <w:proofErr w:type="gramEnd"/>
      <w:r w:rsidR="00EE1F66" w:rsidRPr="00E35083">
        <w:rPr>
          <w:rStyle w:val="ssrfcsection"/>
          <w:bdr w:val="none" w:sz="0" w:space="0" w:color="auto" w:frame="1"/>
          <w:shd w:val="clear" w:color="auto" w:fill="FFFFFF"/>
        </w:rPr>
        <w:t xml:space="preserve">  </w:t>
      </w:r>
      <w:r w:rsidRPr="00E35083">
        <w:rPr>
          <w:rStyle w:val="ssrfcsection"/>
          <w:bdr w:val="none" w:sz="0" w:space="0" w:color="auto" w:frame="1"/>
          <w:shd w:val="clear" w:color="auto" w:fill="FFFFFF"/>
        </w:rPr>
        <w:t>(</w:t>
      </w:r>
      <w:r w:rsidRPr="00E35083">
        <w:rPr>
          <w:rStyle w:val="ssrfcsection"/>
          <w:i/>
          <w:iCs/>
          <w:bdr w:val="none" w:sz="0" w:space="0" w:color="auto" w:frame="1"/>
          <w:shd w:val="clear" w:color="auto" w:fill="FFFFFF"/>
        </w:rPr>
        <w:t>People v. Jefferson</w:t>
      </w:r>
      <w:r w:rsidRPr="00E35083">
        <w:rPr>
          <w:rStyle w:val="ssrfcsection"/>
          <w:bdr w:val="none" w:sz="0" w:space="0" w:color="auto" w:frame="1"/>
          <w:shd w:val="clear" w:color="auto" w:fill="FFFFFF"/>
        </w:rPr>
        <w:t xml:space="preserve"> (1999) 21 Cal.4th 86, </w:t>
      </w:r>
      <w:r w:rsidR="00EE1F66" w:rsidRPr="00E35083">
        <w:rPr>
          <w:rStyle w:val="ssrfcsection"/>
          <w:bdr w:val="none" w:sz="0" w:space="0" w:color="auto" w:frame="1"/>
          <w:shd w:val="clear" w:color="auto" w:fill="FFFFFF"/>
        </w:rPr>
        <w:t>101 [citations], italics omitted; [citations].</w:t>
      </w:r>
      <w:r w:rsidRPr="00E35083">
        <w:rPr>
          <w:rStyle w:val="ssrfcsection"/>
          <w:bdr w:val="none" w:sz="0" w:space="0" w:color="auto" w:frame="1"/>
          <w:shd w:val="clear" w:color="auto" w:fill="FFFFFF"/>
        </w:rPr>
        <w:t>)”</w:t>
      </w:r>
      <w:r w:rsidR="00EE1F66" w:rsidRPr="00E35083">
        <w:rPr>
          <w:rStyle w:val="ssrfcsection"/>
          <w:bdr w:val="none" w:sz="0" w:space="0" w:color="auto" w:frame="1"/>
          <w:shd w:val="clear" w:color="auto" w:fill="FFFFFF"/>
        </w:rPr>
        <w:t xml:space="preserve">  </w:t>
      </w:r>
      <w:r w:rsidRPr="00E35083">
        <w:rPr>
          <w:rStyle w:val="ssrfcpassagedeactivated"/>
          <w:bdr w:val="none" w:sz="0" w:space="0" w:color="auto" w:frame="1"/>
          <w:shd w:val="clear" w:color="auto" w:fill="FFFFFF"/>
        </w:rPr>
        <w:t>(</w:t>
      </w:r>
      <w:r w:rsidRPr="00E35083">
        <w:rPr>
          <w:rStyle w:val="ssrfcpassagedeactivated"/>
          <w:i/>
          <w:iCs/>
          <w:bdr w:val="none" w:sz="0" w:space="0" w:color="auto" w:frame="1"/>
          <w:shd w:val="clear" w:color="auto" w:fill="FFFFFF"/>
        </w:rPr>
        <w:t>People v. Burke</w:t>
      </w:r>
      <w:r w:rsidRPr="00E35083">
        <w:rPr>
          <w:rStyle w:val="ssrfcpassagedeactivated"/>
          <w:bdr w:val="none" w:sz="0" w:space="0" w:color="auto" w:frame="1"/>
          <w:shd w:val="clear" w:color="auto" w:fill="FFFFFF"/>
        </w:rPr>
        <w:t xml:space="preserve"> (2023) 89 Cal.App.5th 237, 243 (</w:t>
      </w:r>
      <w:r w:rsidRPr="00E35083">
        <w:rPr>
          <w:rStyle w:val="ssrfcpassagedeactivated"/>
          <w:i/>
          <w:iCs/>
          <w:bdr w:val="none" w:sz="0" w:space="0" w:color="auto" w:frame="1"/>
          <w:shd w:val="clear" w:color="auto" w:fill="FFFFFF"/>
        </w:rPr>
        <w:t>Burke</w:t>
      </w:r>
      <w:r w:rsidRPr="00E35083">
        <w:rPr>
          <w:rStyle w:val="ssrfcpassagedeactivated"/>
          <w:bdr w:val="none" w:sz="0" w:space="0" w:color="auto" w:frame="1"/>
          <w:shd w:val="clear" w:color="auto" w:fill="FFFFFF"/>
        </w:rPr>
        <w:t>).)</w:t>
      </w:r>
    </w:p>
    <w:p w14:paraId="18B80C48" w14:textId="0DFBE695" w:rsidR="00BA3C74" w:rsidRPr="00E35083" w:rsidRDefault="005A2E4C" w:rsidP="00E35083">
      <w:pPr>
        <w:tabs>
          <w:tab w:val="clear" w:pos="720"/>
        </w:tabs>
        <w:spacing w:line="360" w:lineRule="auto"/>
        <w:textAlignment w:val="baseline"/>
        <w:rPr>
          <w:rStyle w:val="ssrfcpassagedeactivated"/>
          <w:bdr w:val="none" w:sz="0" w:space="0" w:color="auto" w:frame="1"/>
          <w:shd w:val="clear" w:color="auto" w:fill="FFFFFF"/>
        </w:rPr>
      </w:pPr>
      <w:r w:rsidRPr="00E35083">
        <w:rPr>
          <w:rStyle w:val="ssrfcpassagedeactivated"/>
          <w:bdr w:val="none" w:sz="0" w:space="0" w:color="auto" w:frame="1"/>
          <w:shd w:val="clear" w:color="auto" w:fill="FFFFFF"/>
        </w:rPr>
        <w:tab/>
        <w:t xml:space="preserve">Our </w:t>
      </w:r>
      <w:r w:rsidR="00890FD6" w:rsidRPr="00E35083">
        <w:rPr>
          <w:rStyle w:val="ssrfcpassagedeactivated"/>
          <w:bdr w:val="none" w:sz="0" w:space="0" w:color="auto" w:frame="1"/>
          <w:shd w:val="clear" w:color="auto" w:fill="FFFFFF"/>
        </w:rPr>
        <w:t>appellate</w:t>
      </w:r>
      <w:r w:rsidR="005E0848" w:rsidRPr="00E35083">
        <w:rPr>
          <w:rStyle w:val="ssrfcpassagedeactivated"/>
          <w:bdr w:val="none" w:sz="0" w:space="0" w:color="auto" w:frame="1"/>
          <w:shd w:val="clear" w:color="auto" w:fill="FFFFFF"/>
        </w:rPr>
        <w:t xml:space="preserve"> court</w:t>
      </w:r>
      <w:r w:rsidR="00890FD6" w:rsidRPr="00E35083">
        <w:rPr>
          <w:rStyle w:val="ssrfcpassagedeactivated"/>
          <w:bdr w:val="none" w:sz="0" w:space="0" w:color="auto" w:frame="1"/>
          <w:shd w:val="clear" w:color="auto" w:fill="FFFFFF"/>
        </w:rPr>
        <w:t>s</w:t>
      </w:r>
      <w:r w:rsidR="005E0848" w:rsidRPr="00E35083">
        <w:rPr>
          <w:rStyle w:val="ssrfcpassagedeactivated"/>
          <w:bdr w:val="none" w:sz="0" w:space="0" w:color="auto" w:frame="1"/>
          <w:shd w:val="clear" w:color="auto" w:fill="FFFFFF"/>
        </w:rPr>
        <w:t xml:space="preserve"> </w:t>
      </w:r>
      <w:r w:rsidR="00890FD6" w:rsidRPr="00E35083">
        <w:rPr>
          <w:rStyle w:val="ssrfcpassagedeactivated"/>
          <w:bdr w:val="none" w:sz="0" w:space="0" w:color="auto" w:frame="1"/>
          <w:shd w:val="clear" w:color="auto" w:fill="FFFFFF"/>
        </w:rPr>
        <w:t>have r</w:t>
      </w:r>
      <w:r w:rsidRPr="00E35083">
        <w:rPr>
          <w:rStyle w:val="ssrfcpassagedeactivated"/>
          <w:bdr w:val="none" w:sz="0" w:space="0" w:color="auto" w:frame="1"/>
          <w:shd w:val="clear" w:color="auto" w:fill="FFFFFF"/>
        </w:rPr>
        <w:t>outinely</w:t>
      </w:r>
      <w:r w:rsidR="00890FD6" w:rsidRPr="00E35083">
        <w:rPr>
          <w:rStyle w:val="ssrfcpassagedeactivated"/>
          <w:bdr w:val="none" w:sz="0" w:space="0" w:color="auto" w:frame="1"/>
          <w:shd w:val="clear" w:color="auto" w:fill="FFFFFF"/>
        </w:rPr>
        <w:t xml:space="preserve"> </w:t>
      </w:r>
      <w:r w:rsidR="005E0848" w:rsidRPr="00E35083">
        <w:rPr>
          <w:rStyle w:val="ssrfcpassagedeactivated"/>
          <w:bdr w:val="none" w:sz="0" w:space="0" w:color="auto" w:frame="1"/>
          <w:shd w:val="clear" w:color="auto" w:fill="FFFFFF"/>
        </w:rPr>
        <w:t xml:space="preserve">rejected the </w:t>
      </w:r>
      <w:r w:rsidR="00890FD6" w:rsidRPr="00E35083">
        <w:rPr>
          <w:rStyle w:val="ssrfcpassagedeactivated"/>
          <w:bdr w:val="none" w:sz="0" w:space="0" w:color="auto" w:frame="1"/>
          <w:shd w:val="clear" w:color="auto" w:fill="FFFFFF"/>
        </w:rPr>
        <w:t xml:space="preserve">argument </w:t>
      </w:r>
      <w:r w:rsidRPr="00E35083">
        <w:rPr>
          <w:rStyle w:val="ssrfcpassagedeactivated"/>
          <w:bdr w:val="none" w:sz="0" w:space="0" w:color="auto" w:frame="1"/>
          <w:shd w:val="clear" w:color="auto" w:fill="FFFFFF"/>
        </w:rPr>
        <w:t xml:space="preserve">that </w:t>
      </w:r>
      <w:r w:rsidR="006C01CC" w:rsidRPr="00E35083">
        <w:rPr>
          <w:rStyle w:val="ssrfcpassagedeactivated"/>
          <w:bdr w:val="none" w:sz="0" w:space="0" w:color="auto" w:frame="1"/>
          <w:shd w:val="clear" w:color="auto" w:fill="FFFFFF"/>
        </w:rPr>
        <w:t xml:space="preserve">the </w:t>
      </w:r>
      <w:r w:rsidR="002F2270" w:rsidRPr="00E35083">
        <w:rPr>
          <w:rStyle w:val="ssrfcpassagedeactivated"/>
          <w:bdr w:val="none" w:sz="0" w:space="0" w:color="auto" w:frame="1"/>
          <w:shd w:val="clear" w:color="auto" w:fill="FFFFFF"/>
        </w:rPr>
        <w:t>“Three Strikes” law</w:t>
      </w:r>
      <w:r w:rsidR="006C01CC" w:rsidRPr="00E35083">
        <w:rPr>
          <w:rStyle w:val="ssrfcpassagedeactivated"/>
          <w:bdr w:val="none" w:sz="0" w:space="0" w:color="auto" w:frame="1"/>
          <w:shd w:val="clear" w:color="auto" w:fill="FFFFFF"/>
        </w:rPr>
        <w:t xml:space="preserve"> </w:t>
      </w:r>
      <w:r w:rsidR="005E0848" w:rsidRPr="00E35083">
        <w:rPr>
          <w:rStyle w:val="ssrfcpassagedeactivated"/>
          <w:bdr w:val="none" w:sz="0" w:space="0" w:color="auto" w:frame="1"/>
          <w:shd w:val="clear" w:color="auto" w:fill="FFFFFF"/>
        </w:rPr>
        <w:t>constitutes</w:t>
      </w:r>
      <w:r w:rsidR="006C01CC" w:rsidRPr="00E35083">
        <w:rPr>
          <w:rStyle w:val="ssrfcpassagedeactivated"/>
          <w:bdr w:val="none" w:sz="0" w:space="0" w:color="auto" w:frame="1"/>
          <w:shd w:val="clear" w:color="auto" w:fill="FFFFFF"/>
        </w:rPr>
        <w:t xml:space="preserve"> an enhancement under section 1385(c), </w:t>
      </w:r>
      <w:r w:rsidR="005E0848" w:rsidRPr="00E35083">
        <w:rPr>
          <w:rStyle w:val="ssrfcpassagedeactivated"/>
          <w:bdr w:val="none" w:sz="0" w:space="0" w:color="auto" w:frame="1"/>
          <w:shd w:val="clear" w:color="auto" w:fill="FFFFFF"/>
        </w:rPr>
        <w:t xml:space="preserve">concluding </w:t>
      </w:r>
      <w:r w:rsidR="00F2796E" w:rsidRPr="00E35083">
        <w:rPr>
          <w:rStyle w:val="ssrfcpassagedeactivated"/>
          <w:bdr w:val="none" w:sz="0" w:space="0" w:color="auto" w:frame="1"/>
          <w:shd w:val="clear" w:color="auto" w:fill="FFFFFF"/>
        </w:rPr>
        <w:t xml:space="preserve">it is “well established” </w:t>
      </w:r>
      <w:r w:rsidR="00493E41" w:rsidRPr="00E35083">
        <w:rPr>
          <w:rStyle w:val="ssrfcpassagedeactivated"/>
          <w:bdr w:val="none" w:sz="0" w:space="0" w:color="auto" w:frame="1"/>
          <w:shd w:val="clear" w:color="auto" w:fill="FFFFFF"/>
        </w:rPr>
        <w:t xml:space="preserve">that </w:t>
      </w:r>
      <w:r w:rsidR="005E0848" w:rsidRPr="00E35083">
        <w:rPr>
          <w:rStyle w:val="ssrfcpassagedeactivated"/>
          <w:bdr w:val="none" w:sz="0" w:space="0" w:color="auto" w:frame="1"/>
          <w:shd w:val="clear" w:color="auto" w:fill="FFFFFF"/>
        </w:rPr>
        <w:t>the law is instead “</w:t>
      </w:r>
      <w:r w:rsidR="006C01CC" w:rsidRPr="00E35083">
        <w:rPr>
          <w:rStyle w:val="ssrfcpassagedeactivated"/>
          <w:bdr w:val="none" w:sz="0" w:space="0" w:color="auto" w:frame="1"/>
          <w:shd w:val="clear" w:color="auto" w:fill="FFFFFF"/>
        </w:rPr>
        <w:t>an alternative sentencing scheme for the current offense.</w:t>
      </w:r>
      <w:r w:rsidR="005E0848" w:rsidRPr="00E35083">
        <w:rPr>
          <w:rStyle w:val="ssrfcpassagedeactivated"/>
          <w:bdr w:val="none" w:sz="0" w:space="0" w:color="auto" w:frame="1"/>
          <w:shd w:val="clear" w:color="auto" w:fill="FFFFFF"/>
        </w:rPr>
        <w:t>”</w:t>
      </w:r>
      <w:r w:rsidR="006C01CC" w:rsidRPr="00E35083">
        <w:rPr>
          <w:rStyle w:val="ssrfcpassagedeactivated"/>
          <w:bdr w:val="none" w:sz="0" w:space="0" w:color="auto" w:frame="1"/>
          <w:shd w:val="clear" w:color="auto" w:fill="FFFFFF"/>
        </w:rPr>
        <w:t xml:space="preserve"> </w:t>
      </w:r>
      <w:r w:rsidR="005E0848" w:rsidRPr="00E35083">
        <w:rPr>
          <w:rStyle w:val="ssrfcpassagedeactivated"/>
          <w:bdr w:val="none" w:sz="0" w:space="0" w:color="auto" w:frame="1"/>
          <w:shd w:val="clear" w:color="auto" w:fill="FFFFFF"/>
        </w:rPr>
        <w:t xml:space="preserve"> </w:t>
      </w:r>
      <w:r w:rsidR="006C01CC" w:rsidRPr="00E35083">
        <w:rPr>
          <w:rStyle w:val="ssrfcpassagedeactivated"/>
          <w:bdr w:val="none" w:sz="0" w:space="0" w:color="auto" w:frame="1"/>
          <w:shd w:val="clear" w:color="auto" w:fill="FFFFFF"/>
        </w:rPr>
        <w:t>(</w:t>
      </w:r>
      <w:r w:rsidR="005E0848" w:rsidRPr="00E35083">
        <w:rPr>
          <w:rStyle w:val="ssrfcpassagedeactivated"/>
          <w:i/>
          <w:iCs/>
          <w:bdr w:val="none" w:sz="0" w:space="0" w:color="auto" w:frame="1"/>
          <w:shd w:val="clear" w:color="auto" w:fill="FFFFFF"/>
        </w:rPr>
        <w:t>Burke, supra</w:t>
      </w:r>
      <w:r w:rsidR="005E0848" w:rsidRPr="00E35083">
        <w:rPr>
          <w:rStyle w:val="ssrfcpassagedeactivated"/>
          <w:bdr w:val="none" w:sz="0" w:space="0" w:color="auto" w:frame="1"/>
          <w:shd w:val="clear" w:color="auto" w:fill="FFFFFF"/>
        </w:rPr>
        <w:t>, 89 Cal.App.5th at p. 243</w:t>
      </w:r>
      <w:r w:rsidR="00890FD6" w:rsidRPr="00E35083">
        <w:rPr>
          <w:rStyle w:val="ssrfcpassagedeactivated"/>
          <w:bdr w:val="none" w:sz="0" w:space="0" w:color="auto" w:frame="1"/>
          <w:shd w:val="clear" w:color="auto" w:fill="FFFFFF"/>
        </w:rPr>
        <w:t xml:space="preserve">; </w:t>
      </w:r>
      <w:r w:rsidR="00890FD6" w:rsidRPr="00E35083">
        <w:rPr>
          <w:rStyle w:val="ssrfcpassagedeactivated"/>
          <w:i/>
          <w:iCs/>
          <w:bdr w:val="none" w:sz="0" w:space="0" w:color="auto" w:frame="1"/>
          <w:shd w:val="clear" w:color="auto" w:fill="FFFFFF"/>
        </w:rPr>
        <w:t>People v. Dain</w:t>
      </w:r>
      <w:r w:rsidR="00890FD6" w:rsidRPr="00E35083">
        <w:rPr>
          <w:rStyle w:val="ssrfcpassagedeactivated"/>
          <w:bdr w:val="none" w:sz="0" w:space="0" w:color="auto" w:frame="1"/>
          <w:shd w:val="clear" w:color="auto" w:fill="FFFFFF"/>
        </w:rPr>
        <w:t xml:space="preserve"> (2024) </w:t>
      </w:r>
      <w:r w:rsidR="004267D0" w:rsidRPr="00E35083">
        <w:rPr>
          <w:rStyle w:val="ssrfcpassagedeactivated"/>
          <w:bdr w:val="none" w:sz="0" w:space="0" w:color="auto" w:frame="1"/>
          <w:shd w:val="clear" w:color="auto" w:fill="FFFFFF"/>
        </w:rPr>
        <w:t>99</w:t>
      </w:r>
      <w:r w:rsidR="00850053" w:rsidRPr="00E35083">
        <w:rPr>
          <w:rStyle w:val="ssrfcpassagedeactivated"/>
          <w:bdr w:val="none" w:sz="0" w:space="0" w:color="auto" w:frame="1"/>
          <w:shd w:val="clear" w:color="auto" w:fill="FFFFFF"/>
        </w:rPr>
        <w:t xml:space="preserve"> </w:t>
      </w:r>
      <w:r w:rsidR="00890FD6" w:rsidRPr="00E35083">
        <w:rPr>
          <w:rStyle w:val="ssrfcpassagedeactivated"/>
          <w:bdr w:val="none" w:sz="0" w:space="0" w:color="auto" w:frame="1"/>
          <w:shd w:val="clear" w:color="auto" w:fill="FFFFFF"/>
        </w:rPr>
        <w:t xml:space="preserve">Cal.App.5th </w:t>
      </w:r>
      <w:r w:rsidR="004267D0" w:rsidRPr="00E35083">
        <w:rPr>
          <w:rStyle w:val="ssrfcpassagedeactivated"/>
          <w:bdr w:val="none" w:sz="0" w:space="0" w:color="auto" w:frame="1"/>
          <w:shd w:val="clear" w:color="auto" w:fill="FFFFFF"/>
        </w:rPr>
        <w:t>399</w:t>
      </w:r>
      <w:r w:rsidR="00850053" w:rsidRPr="00E35083">
        <w:rPr>
          <w:rStyle w:val="ssrfcpassagedeactivated"/>
          <w:bdr w:val="none" w:sz="0" w:space="0" w:color="auto" w:frame="1"/>
          <w:shd w:val="clear" w:color="auto" w:fill="FFFFFF"/>
        </w:rPr>
        <w:t>, 4</w:t>
      </w:r>
      <w:r w:rsidR="004267D0" w:rsidRPr="00E35083">
        <w:rPr>
          <w:rStyle w:val="ssrfcpassagedeactivated"/>
          <w:bdr w:val="none" w:sz="0" w:space="0" w:color="auto" w:frame="1"/>
          <w:shd w:val="clear" w:color="auto" w:fill="FFFFFF"/>
        </w:rPr>
        <w:t>10</w:t>
      </w:r>
      <w:r w:rsidR="00850053" w:rsidRPr="00E35083">
        <w:rPr>
          <w:rStyle w:val="ssrfcpassagedeactivated"/>
          <w:bdr w:val="none" w:sz="0" w:space="0" w:color="auto" w:frame="1"/>
          <w:shd w:val="clear" w:color="auto" w:fill="FFFFFF"/>
        </w:rPr>
        <w:t xml:space="preserve"> (</w:t>
      </w:r>
      <w:r w:rsidR="00850053" w:rsidRPr="00E35083">
        <w:rPr>
          <w:rStyle w:val="ssrfcpassagedeactivated"/>
          <w:i/>
          <w:iCs/>
          <w:bdr w:val="none" w:sz="0" w:space="0" w:color="auto" w:frame="1"/>
          <w:shd w:val="clear" w:color="auto" w:fill="FFFFFF"/>
        </w:rPr>
        <w:t>Dain</w:t>
      </w:r>
      <w:r w:rsidR="00850053" w:rsidRPr="00E35083">
        <w:rPr>
          <w:rStyle w:val="ssrfcpassagedeactivated"/>
          <w:bdr w:val="none" w:sz="0" w:space="0" w:color="auto" w:frame="1"/>
          <w:shd w:val="clear" w:color="auto" w:fill="FFFFFF"/>
        </w:rPr>
        <w:t>).)</w:t>
      </w:r>
      <w:r w:rsidR="005E0848" w:rsidRPr="00E35083">
        <w:rPr>
          <w:rStyle w:val="ssrfcpassagedeactivated"/>
          <w:bdr w:val="none" w:sz="0" w:space="0" w:color="auto" w:frame="1"/>
          <w:shd w:val="clear" w:color="auto" w:fill="FFFFFF"/>
        </w:rPr>
        <w:t xml:space="preserve"> </w:t>
      </w:r>
      <w:r w:rsidRPr="00E35083">
        <w:rPr>
          <w:rStyle w:val="ssrfcpassagedeactivated"/>
          <w:bdr w:val="none" w:sz="0" w:space="0" w:color="auto" w:frame="1"/>
          <w:shd w:val="clear" w:color="auto" w:fill="FFFFFF"/>
        </w:rPr>
        <w:t xml:space="preserve"> </w:t>
      </w:r>
      <w:r w:rsidR="001D7153" w:rsidRPr="00E35083">
        <w:rPr>
          <w:rStyle w:val="ssrfcpassagedeactivated"/>
          <w:bdr w:val="none" w:sz="0" w:space="0" w:color="auto" w:frame="1"/>
          <w:shd w:val="clear" w:color="auto" w:fill="FFFFFF"/>
        </w:rPr>
        <w:t xml:space="preserve">In reaching this conclusion, these courts have </w:t>
      </w:r>
      <w:r w:rsidR="001947D1" w:rsidRPr="00E35083">
        <w:rPr>
          <w:rStyle w:val="ssrfcpassagedeactivated"/>
          <w:bdr w:val="none" w:sz="0" w:space="0" w:color="auto" w:frame="1"/>
          <w:shd w:val="clear" w:color="auto" w:fill="FFFFFF"/>
        </w:rPr>
        <w:t>“</w:t>
      </w:r>
      <w:r w:rsidRPr="00E35083">
        <w:rPr>
          <w:shd w:val="clear" w:color="auto" w:fill="FFFFFF"/>
        </w:rPr>
        <w:t>presume</w:t>
      </w:r>
      <w:r w:rsidR="001D7153" w:rsidRPr="00E35083">
        <w:rPr>
          <w:shd w:val="clear" w:color="auto" w:fill="FFFFFF"/>
        </w:rPr>
        <w:t>[d]</w:t>
      </w:r>
      <w:r w:rsidRPr="00E35083">
        <w:rPr>
          <w:shd w:val="clear" w:color="auto" w:fill="FFFFFF"/>
        </w:rPr>
        <w:t xml:space="preserve"> the Legislature was aware of, and acquiesced in, both th</w:t>
      </w:r>
      <w:r w:rsidR="001D7153" w:rsidRPr="00E35083">
        <w:rPr>
          <w:shd w:val="clear" w:color="auto" w:fill="FFFFFF"/>
        </w:rPr>
        <w:t>is</w:t>
      </w:r>
      <w:r w:rsidRPr="00E35083">
        <w:rPr>
          <w:shd w:val="clear" w:color="auto" w:fill="FFFFFF"/>
        </w:rPr>
        <w:t xml:space="preserve"> established judicial definition of enhancement and the distinction between an enhancement and an alternativ</w:t>
      </w:r>
      <w:r w:rsidRPr="00E35083">
        <w:rPr>
          <w:shd w:val="clear" w:color="auto" w:fill="FFFFFF"/>
        </w:rPr>
        <w:t>e sentencing scheme such as the Three Strikes law.</w:t>
      </w:r>
      <w:r w:rsidR="005815FD" w:rsidRPr="00E35083">
        <w:rPr>
          <w:shd w:val="clear" w:color="auto" w:fill="FFFFFF"/>
        </w:rPr>
        <w:t xml:space="preserve"> </w:t>
      </w:r>
      <w:r w:rsidR="002F2270" w:rsidRPr="00E35083">
        <w:rPr>
          <w:shd w:val="clear" w:color="auto" w:fill="FFFFFF"/>
        </w:rPr>
        <w:t xml:space="preserve"> </w:t>
      </w:r>
      <w:r w:rsidR="005815FD" w:rsidRPr="00E35083">
        <w:rPr>
          <w:shd w:val="clear" w:color="auto" w:fill="FFFFFF"/>
        </w:rPr>
        <w:t xml:space="preserve">[Citation.] </w:t>
      </w:r>
      <w:r w:rsidR="002F2270" w:rsidRPr="00E35083">
        <w:rPr>
          <w:shd w:val="clear" w:color="auto" w:fill="FFFFFF"/>
        </w:rPr>
        <w:t xml:space="preserve"> </w:t>
      </w:r>
      <w:r w:rsidR="005815FD" w:rsidRPr="00E35083">
        <w:rPr>
          <w:rStyle w:val="ssrfcpassagedeactivated"/>
          <w:bdr w:val="none" w:sz="0" w:space="0" w:color="auto" w:frame="1"/>
          <w:shd w:val="clear" w:color="auto" w:fill="FFFFFF"/>
        </w:rPr>
        <w:t xml:space="preserve">The Legislature did not otherwise define the word ‘enhancement’ </w:t>
      </w:r>
      <w:r w:rsidR="002F2270" w:rsidRPr="00E35083">
        <w:rPr>
          <w:rStyle w:val="ssrfcpassagedeactivated"/>
          <w:bdr w:val="none" w:sz="0" w:space="0" w:color="auto" w:frame="1"/>
          <w:shd w:val="clear" w:color="auto" w:fill="FFFFFF"/>
        </w:rPr>
        <w:t>in section</w:t>
      </w:r>
      <w:r w:rsidR="005815FD" w:rsidRPr="00E35083">
        <w:rPr>
          <w:rStyle w:val="ssrfcpassagedeactivated"/>
          <w:bdr w:val="none" w:sz="0" w:space="0" w:color="auto" w:frame="1"/>
          <w:shd w:val="clear" w:color="auto" w:fill="FFFFFF"/>
        </w:rPr>
        <w:t xml:space="preserve"> 1385.</w:t>
      </w:r>
      <w:r w:rsidRPr="00E35083">
        <w:rPr>
          <w:shd w:val="clear" w:color="auto" w:fill="FFFFFF"/>
        </w:rPr>
        <w:t xml:space="preserve">” </w:t>
      </w:r>
      <w:r w:rsidR="005E0848" w:rsidRPr="00E35083">
        <w:rPr>
          <w:rStyle w:val="ssrfcpassagedeactivated"/>
          <w:bdr w:val="none" w:sz="0" w:space="0" w:color="auto" w:frame="1"/>
          <w:shd w:val="clear" w:color="auto" w:fill="FFFFFF"/>
        </w:rPr>
        <w:t xml:space="preserve"> </w:t>
      </w:r>
      <w:r w:rsidR="00850053" w:rsidRPr="00E35083">
        <w:rPr>
          <w:rStyle w:val="ssrfcpassagedeactivated"/>
          <w:bdr w:val="none" w:sz="0" w:space="0" w:color="auto" w:frame="1"/>
          <w:shd w:val="clear" w:color="auto" w:fill="FFFFFF"/>
        </w:rPr>
        <w:t>(</w:t>
      </w:r>
      <w:r w:rsidR="00850053" w:rsidRPr="00E35083">
        <w:rPr>
          <w:rStyle w:val="ssrfcpassagedeactivated"/>
          <w:i/>
          <w:iCs/>
          <w:bdr w:val="none" w:sz="0" w:space="0" w:color="auto" w:frame="1"/>
          <w:shd w:val="clear" w:color="auto" w:fill="FFFFFF"/>
        </w:rPr>
        <w:t>Burke, supra</w:t>
      </w:r>
      <w:r w:rsidR="00850053" w:rsidRPr="00E35083">
        <w:rPr>
          <w:rStyle w:val="ssrfcpassagedeactivated"/>
          <w:bdr w:val="none" w:sz="0" w:space="0" w:color="auto" w:frame="1"/>
          <w:shd w:val="clear" w:color="auto" w:fill="FFFFFF"/>
        </w:rPr>
        <w:t xml:space="preserve">, at p. 243; </w:t>
      </w:r>
      <w:r w:rsidR="00850053" w:rsidRPr="00E35083">
        <w:rPr>
          <w:rStyle w:val="ssrfcpassagedeactivated"/>
          <w:i/>
          <w:iCs/>
          <w:bdr w:val="none" w:sz="0" w:space="0" w:color="auto" w:frame="1"/>
          <w:shd w:val="clear" w:color="auto" w:fill="FFFFFF"/>
        </w:rPr>
        <w:t>Dain, supra</w:t>
      </w:r>
      <w:r w:rsidR="00850053" w:rsidRPr="00E35083">
        <w:rPr>
          <w:rStyle w:val="ssrfcpassagedeactivated"/>
          <w:bdr w:val="none" w:sz="0" w:space="0" w:color="auto" w:frame="1"/>
          <w:shd w:val="clear" w:color="auto" w:fill="FFFFFF"/>
        </w:rPr>
        <w:t>, at p</w:t>
      </w:r>
      <w:r w:rsidR="004267D0" w:rsidRPr="00E35083">
        <w:rPr>
          <w:rStyle w:val="ssrfcpassagedeactivated"/>
          <w:bdr w:val="none" w:sz="0" w:space="0" w:color="auto" w:frame="1"/>
          <w:shd w:val="clear" w:color="auto" w:fill="FFFFFF"/>
        </w:rPr>
        <w:t>p</w:t>
      </w:r>
      <w:r w:rsidR="00850053" w:rsidRPr="00E35083">
        <w:rPr>
          <w:rStyle w:val="ssrfcpassagedeactivated"/>
          <w:bdr w:val="none" w:sz="0" w:space="0" w:color="auto" w:frame="1"/>
          <w:shd w:val="clear" w:color="auto" w:fill="FFFFFF"/>
        </w:rPr>
        <w:t>. 4</w:t>
      </w:r>
      <w:r w:rsidR="004267D0" w:rsidRPr="00E35083">
        <w:rPr>
          <w:rStyle w:val="ssrfcpassagedeactivated"/>
          <w:bdr w:val="none" w:sz="0" w:space="0" w:color="auto" w:frame="1"/>
          <w:shd w:val="clear" w:color="auto" w:fill="FFFFFF"/>
        </w:rPr>
        <w:t>10–411</w:t>
      </w:r>
      <w:r w:rsidR="00493E41" w:rsidRPr="00E35083">
        <w:rPr>
          <w:rStyle w:val="ssrfcpassagedeactivated"/>
          <w:bdr w:val="none" w:sz="0" w:space="0" w:color="auto" w:frame="1"/>
          <w:shd w:val="clear" w:color="auto" w:fill="FFFFFF"/>
        </w:rPr>
        <w:t xml:space="preserve">.)  </w:t>
      </w:r>
      <w:r w:rsidR="001D7153" w:rsidRPr="00E35083">
        <w:rPr>
          <w:rStyle w:val="ssrfcpassagedeactivated"/>
          <w:bdr w:val="none" w:sz="0" w:space="0" w:color="auto" w:frame="1"/>
          <w:shd w:val="clear" w:color="auto" w:fill="FFFFFF"/>
        </w:rPr>
        <w:t xml:space="preserve">Yet, </w:t>
      </w:r>
      <w:r w:rsidR="00850053" w:rsidRPr="00E35083">
        <w:rPr>
          <w:rStyle w:val="ssrfcpassagedeactivated"/>
          <w:bdr w:val="none" w:sz="0" w:space="0" w:color="auto" w:frame="1"/>
          <w:shd w:val="clear" w:color="auto" w:fill="FFFFFF"/>
        </w:rPr>
        <w:t>“</w:t>
      </w:r>
      <w:r w:rsidR="00493E41" w:rsidRPr="00E35083">
        <w:rPr>
          <w:rStyle w:val="ssrfcpassagedeactivated"/>
          <w:bdr w:val="none" w:sz="0" w:space="0" w:color="auto" w:frame="1"/>
          <w:shd w:val="clear" w:color="auto" w:fill="FFFFFF"/>
        </w:rPr>
        <w:t>[</w:t>
      </w:r>
      <w:proofErr w:type="spellStart"/>
      <w:r w:rsidR="00493E41" w:rsidRPr="00E35083">
        <w:rPr>
          <w:rStyle w:val="ssrfcpassagedeactivated"/>
          <w:bdr w:val="none" w:sz="0" w:space="0" w:color="auto" w:frame="1"/>
          <w:shd w:val="clear" w:color="auto" w:fill="FFFFFF"/>
        </w:rPr>
        <w:t>i</w:t>
      </w:r>
      <w:proofErr w:type="spellEnd"/>
      <w:r w:rsidR="00493E41" w:rsidRPr="00E35083">
        <w:rPr>
          <w:rStyle w:val="ssrfcpassagedeactivated"/>
          <w:bdr w:val="none" w:sz="0" w:space="0" w:color="auto" w:frame="1"/>
          <w:shd w:val="clear" w:color="auto" w:fill="FFFFFF"/>
        </w:rPr>
        <w:t>]</w:t>
      </w:r>
      <w:r w:rsidR="00850053" w:rsidRPr="00E35083">
        <w:rPr>
          <w:shd w:val="clear" w:color="auto" w:fill="FFFFFF"/>
        </w:rPr>
        <w:t xml:space="preserve">f the Legislature had </w:t>
      </w:r>
      <w:r w:rsidR="002F2270" w:rsidRPr="00E35083">
        <w:rPr>
          <w:shd w:val="clear" w:color="auto" w:fill="FFFFFF"/>
        </w:rPr>
        <w:t>wanted section 1385, subdivision (c) to</w:t>
      </w:r>
      <w:r w:rsidR="00850053" w:rsidRPr="00E35083">
        <w:rPr>
          <w:shd w:val="clear" w:color="auto" w:fill="FFFFFF"/>
        </w:rPr>
        <w:t xml:space="preserve"> apply to prior strikes as well as to enhancements as legally defined, it would have said so</w:t>
      </w:r>
      <w:r w:rsidR="00493E41" w:rsidRPr="00E35083">
        <w:rPr>
          <w:shd w:val="clear" w:color="auto" w:fill="FFFFFF"/>
        </w:rPr>
        <w:t>.</w:t>
      </w:r>
      <w:r w:rsidR="00850053" w:rsidRPr="00E35083">
        <w:rPr>
          <w:rStyle w:val="ssrfcpassagedeactivated"/>
          <w:bdr w:val="none" w:sz="0" w:space="0" w:color="auto" w:frame="1"/>
          <w:shd w:val="clear" w:color="auto" w:fill="FFFFFF"/>
        </w:rPr>
        <w:t>”</w:t>
      </w:r>
      <w:r w:rsidR="00493E41" w:rsidRPr="00E35083">
        <w:rPr>
          <w:rStyle w:val="ssrfcpassagedeactivated"/>
          <w:bdr w:val="none" w:sz="0" w:space="0" w:color="auto" w:frame="1"/>
          <w:shd w:val="clear" w:color="auto" w:fill="FFFFFF"/>
        </w:rPr>
        <w:t xml:space="preserve">  (</w:t>
      </w:r>
      <w:r w:rsidR="00493E41" w:rsidRPr="00E35083">
        <w:rPr>
          <w:rStyle w:val="ssrfcpassagedeactivated"/>
          <w:i/>
          <w:iCs/>
          <w:bdr w:val="none" w:sz="0" w:space="0" w:color="auto" w:frame="1"/>
          <w:shd w:val="clear" w:color="auto" w:fill="FFFFFF"/>
        </w:rPr>
        <w:t>People v. Olay</w:t>
      </w:r>
      <w:r w:rsidR="00493E41" w:rsidRPr="00E35083">
        <w:rPr>
          <w:rStyle w:val="ssrfcpassagedeactivated"/>
          <w:bdr w:val="none" w:sz="0" w:space="0" w:color="auto" w:frame="1"/>
          <w:shd w:val="clear" w:color="auto" w:fill="FFFFFF"/>
        </w:rPr>
        <w:t xml:space="preserve"> (2023) 98 Cal.App.5th 60, 67</w:t>
      </w:r>
      <w:r w:rsidR="005815FD" w:rsidRPr="00E35083">
        <w:rPr>
          <w:rStyle w:val="ssrfcpassagedeactivated"/>
          <w:bdr w:val="none" w:sz="0" w:space="0" w:color="auto" w:frame="1"/>
          <w:shd w:val="clear" w:color="auto" w:fill="FFFFFF"/>
        </w:rPr>
        <w:t xml:space="preserve"> (</w:t>
      </w:r>
      <w:r w:rsidR="005815FD" w:rsidRPr="00E35083">
        <w:rPr>
          <w:rStyle w:val="ssrfcpassagedeactivated"/>
          <w:i/>
          <w:iCs/>
          <w:bdr w:val="none" w:sz="0" w:space="0" w:color="auto" w:frame="1"/>
          <w:shd w:val="clear" w:color="auto" w:fill="FFFFFF"/>
        </w:rPr>
        <w:t>Olay</w:t>
      </w:r>
      <w:r w:rsidR="005815FD" w:rsidRPr="00E35083">
        <w:rPr>
          <w:rStyle w:val="ssrfcpassagedeactivated"/>
          <w:bdr w:val="none" w:sz="0" w:space="0" w:color="auto" w:frame="1"/>
          <w:shd w:val="clear" w:color="auto" w:fill="FFFFFF"/>
        </w:rPr>
        <w:t>)</w:t>
      </w:r>
      <w:r w:rsidR="00850053" w:rsidRPr="00E35083">
        <w:rPr>
          <w:rStyle w:val="ssrfcpassagedeactivated"/>
          <w:bdr w:val="none" w:sz="0" w:space="0" w:color="auto" w:frame="1"/>
          <w:shd w:val="clear" w:color="auto" w:fill="FFFFFF"/>
        </w:rPr>
        <w:t>.)</w:t>
      </w:r>
    </w:p>
    <w:p w14:paraId="1A1F4D9C" w14:textId="5ED47603" w:rsidR="0053039A" w:rsidRPr="00E35083" w:rsidRDefault="005A2E4C" w:rsidP="00E35083">
      <w:pPr>
        <w:tabs>
          <w:tab w:val="clear" w:pos="720"/>
        </w:tabs>
        <w:spacing w:line="360" w:lineRule="auto"/>
        <w:textAlignment w:val="baseline"/>
        <w:rPr>
          <w:shd w:val="clear" w:color="auto" w:fill="FFFFFF"/>
        </w:rPr>
      </w:pPr>
      <w:r w:rsidRPr="00E35083">
        <w:rPr>
          <w:rStyle w:val="ssrfcpassagedeactivated"/>
          <w:bdr w:val="none" w:sz="0" w:space="0" w:color="auto" w:frame="1"/>
          <w:shd w:val="clear" w:color="auto" w:fill="FFFFFF"/>
        </w:rPr>
        <w:lastRenderedPageBreak/>
        <w:tab/>
      </w:r>
      <w:r w:rsidR="001D7153" w:rsidRPr="00E35083">
        <w:rPr>
          <w:rStyle w:val="ssrfcpassagedeactivated"/>
          <w:bdr w:val="none" w:sz="0" w:space="0" w:color="auto" w:frame="1"/>
          <w:shd w:val="clear" w:color="auto" w:fill="FFFFFF"/>
        </w:rPr>
        <w:t>We conclude t</w:t>
      </w:r>
      <w:r w:rsidR="005E0848" w:rsidRPr="00E35083">
        <w:rPr>
          <w:rStyle w:val="ssrfcpassagedeactivated"/>
          <w:bdr w:val="none" w:sz="0" w:space="0" w:color="auto" w:frame="1"/>
          <w:shd w:val="clear" w:color="auto" w:fill="FFFFFF"/>
        </w:rPr>
        <w:t>h</w:t>
      </w:r>
      <w:r w:rsidR="00EC2D52" w:rsidRPr="00E35083">
        <w:rPr>
          <w:rStyle w:val="ssrfcpassagedeactivated"/>
          <w:bdr w:val="none" w:sz="0" w:space="0" w:color="auto" w:frame="1"/>
          <w:shd w:val="clear" w:color="auto" w:fill="FFFFFF"/>
        </w:rPr>
        <w:t xml:space="preserve">is same reasoning applies to </w:t>
      </w:r>
      <w:r w:rsidR="00986FC1" w:rsidRPr="00E35083">
        <w:rPr>
          <w:rStyle w:val="ssrfcpassagedeactivated"/>
          <w:bdr w:val="none" w:sz="0" w:space="0" w:color="auto" w:frame="1"/>
          <w:shd w:val="clear" w:color="auto" w:fill="FFFFFF"/>
        </w:rPr>
        <w:t>pr</w:t>
      </w:r>
      <w:r w:rsidR="005E0848" w:rsidRPr="00E35083">
        <w:rPr>
          <w:rStyle w:val="ssrfcpassagedeactivated"/>
          <w:bdr w:val="none" w:sz="0" w:space="0" w:color="auto" w:frame="1"/>
          <w:shd w:val="clear" w:color="auto" w:fill="FFFFFF"/>
        </w:rPr>
        <w:t>e</w:t>
      </w:r>
      <w:r w:rsidR="00986FC1" w:rsidRPr="00E35083">
        <w:rPr>
          <w:rStyle w:val="ssrfcpassagedeactivated"/>
          <w:bdr w:val="none" w:sz="0" w:space="0" w:color="auto" w:frame="1"/>
          <w:shd w:val="clear" w:color="auto" w:fill="FFFFFF"/>
        </w:rPr>
        <w:t xml:space="preserve">meditation </w:t>
      </w:r>
      <w:r w:rsidRPr="00E35083">
        <w:rPr>
          <w:rStyle w:val="ssrfcpassagedeactivated"/>
          <w:bdr w:val="none" w:sz="0" w:space="0" w:color="auto" w:frame="1"/>
          <w:shd w:val="clear" w:color="auto" w:fill="FFFFFF"/>
        </w:rPr>
        <w:t xml:space="preserve">and deliberation </w:t>
      </w:r>
      <w:r w:rsidR="00986FC1" w:rsidRPr="00E35083">
        <w:rPr>
          <w:rStyle w:val="ssrfcpassagedeactivated"/>
          <w:bdr w:val="none" w:sz="0" w:space="0" w:color="auto" w:frame="1"/>
          <w:shd w:val="clear" w:color="auto" w:fill="FFFFFF"/>
        </w:rPr>
        <w:t>finding</w:t>
      </w:r>
      <w:r w:rsidRPr="00E35083">
        <w:rPr>
          <w:rStyle w:val="ssrfcpassagedeactivated"/>
          <w:bdr w:val="none" w:sz="0" w:space="0" w:color="auto" w:frame="1"/>
          <w:shd w:val="clear" w:color="auto" w:fill="FFFFFF"/>
        </w:rPr>
        <w:t>s</w:t>
      </w:r>
      <w:r w:rsidR="00986FC1" w:rsidRPr="00E35083">
        <w:rPr>
          <w:rStyle w:val="ssrfcpassagedeactivated"/>
          <w:bdr w:val="none" w:sz="0" w:space="0" w:color="auto" w:frame="1"/>
          <w:shd w:val="clear" w:color="auto" w:fill="FFFFFF"/>
        </w:rPr>
        <w:t>.</w:t>
      </w:r>
      <w:r>
        <w:rPr>
          <w:rStyle w:val="FootnoteReference"/>
          <w:bdr w:val="none" w:sz="0" w:space="0" w:color="auto" w:frame="1"/>
          <w:shd w:val="clear" w:color="auto" w:fill="FFFFFF"/>
        </w:rPr>
        <w:footnoteReference w:id="4"/>
      </w:r>
      <w:r w:rsidR="008E2367" w:rsidRPr="00E35083">
        <w:rPr>
          <w:rStyle w:val="ssrfcpassagedeactivated"/>
          <w:bdr w:val="none" w:sz="0" w:space="0" w:color="auto" w:frame="1"/>
          <w:shd w:val="clear" w:color="auto" w:fill="FFFFFF"/>
        </w:rPr>
        <w:t xml:space="preserve">  To begin, defendant received </w:t>
      </w:r>
      <w:r w:rsidR="008E2367" w:rsidRPr="00E35083">
        <w:rPr>
          <w:shd w:val="clear" w:color="auto" w:fill="FFFFFF"/>
        </w:rPr>
        <w:t>two indeterminate terms of 15 years to life, one for each count of premeditated and deliberate attempted murder of a peace officer.  This sentence was imposed pursuant to s</w:t>
      </w:r>
      <w:r w:rsidR="00EC2D52" w:rsidRPr="00E35083">
        <w:rPr>
          <w:rStyle w:val="ssrfcpassagedeactivated"/>
          <w:bdr w:val="none" w:sz="0" w:space="0" w:color="auto" w:frame="1"/>
          <w:shd w:val="clear" w:color="auto" w:fill="FFFFFF"/>
        </w:rPr>
        <w:t>ection</w:t>
      </w:r>
      <w:r w:rsidR="007B68C4" w:rsidRPr="00E35083">
        <w:rPr>
          <w:rStyle w:val="ssrfcpassagedeactivated"/>
          <w:bdr w:val="none" w:sz="0" w:space="0" w:color="auto" w:frame="1"/>
          <w:shd w:val="clear" w:color="auto" w:fill="FFFFFF"/>
        </w:rPr>
        <w:t>s</w:t>
      </w:r>
      <w:r w:rsidR="00EC2D52" w:rsidRPr="00E35083">
        <w:rPr>
          <w:rStyle w:val="ssrfcpassagedeactivated"/>
          <w:bdr w:val="none" w:sz="0" w:space="0" w:color="auto" w:frame="1"/>
          <w:shd w:val="clear" w:color="auto" w:fill="FFFFFF"/>
        </w:rPr>
        <w:t xml:space="preserve"> </w:t>
      </w:r>
      <w:r w:rsidR="007B68C4" w:rsidRPr="00E35083">
        <w:rPr>
          <w:rStyle w:val="ssrfcpassagedeactivated"/>
          <w:bdr w:val="none" w:sz="0" w:space="0" w:color="auto" w:frame="1"/>
          <w:shd w:val="clear" w:color="auto" w:fill="FFFFFF"/>
        </w:rPr>
        <w:t>187, subdivision</w:t>
      </w:r>
      <w:r w:rsidR="00C65DE4" w:rsidRPr="00E35083">
        <w:rPr>
          <w:rStyle w:val="ssrfcpassagedeactivated"/>
          <w:bdr w:val="none" w:sz="0" w:space="0" w:color="auto" w:frame="1"/>
          <w:shd w:val="clear" w:color="auto" w:fill="FFFFFF"/>
        </w:rPr>
        <w:t> </w:t>
      </w:r>
      <w:r w:rsidR="007B68C4" w:rsidRPr="00E35083">
        <w:rPr>
          <w:rStyle w:val="ssrfcpassagedeactivated"/>
          <w:bdr w:val="none" w:sz="0" w:space="0" w:color="auto" w:frame="1"/>
          <w:shd w:val="clear" w:color="auto" w:fill="FFFFFF"/>
        </w:rPr>
        <w:t>(a)</w:t>
      </w:r>
      <w:r w:rsidR="00C65DE4" w:rsidRPr="00E35083">
        <w:rPr>
          <w:rStyle w:val="ssrfcpassagedeactivated"/>
          <w:bdr w:val="none" w:sz="0" w:space="0" w:color="auto" w:frame="1"/>
          <w:shd w:val="clear" w:color="auto" w:fill="FFFFFF"/>
        </w:rPr>
        <w:t>,</w:t>
      </w:r>
      <w:r w:rsidR="007B68C4" w:rsidRPr="00E35083">
        <w:rPr>
          <w:rStyle w:val="ssrfcpassagedeactivated"/>
          <w:bdr w:val="none" w:sz="0" w:space="0" w:color="auto" w:frame="1"/>
          <w:shd w:val="clear" w:color="auto" w:fill="FFFFFF"/>
        </w:rPr>
        <w:t xml:space="preserve"> and </w:t>
      </w:r>
      <w:r w:rsidR="00EC2D52" w:rsidRPr="00E35083">
        <w:rPr>
          <w:rStyle w:val="ssrfcpassagedeactivated"/>
          <w:bdr w:val="none" w:sz="0" w:space="0" w:color="auto" w:frame="1"/>
          <w:shd w:val="clear" w:color="auto" w:fill="FFFFFF"/>
        </w:rPr>
        <w:t>664</w:t>
      </w:r>
      <w:r w:rsidR="008E2367" w:rsidRPr="00E35083">
        <w:rPr>
          <w:rStyle w:val="ssrfcpassagedeactivated"/>
          <w:bdr w:val="none" w:sz="0" w:space="0" w:color="auto" w:frame="1"/>
          <w:shd w:val="clear" w:color="auto" w:fill="FFFFFF"/>
        </w:rPr>
        <w:t xml:space="preserve">.  </w:t>
      </w:r>
      <w:r w:rsidR="007B68C4" w:rsidRPr="00E35083">
        <w:rPr>
          <w:rStyle w:val="ssrfcpassagedeactivated"/>
          <w:bdr w:val="none" w:sz="0" w:space="0" w:color="auto" w:frame="1"/>
          <w:shd w:val="clear" w:color="auto" w:fill="FFFFFF"/>
        </w:rPr>
        <w:t>Relevant here</w:t>
      </w:r>
      <w:r w:rsidR="008E2367" w:rsidRPr="00E35083">
        <w:rPr>
          <w:rStyle w:val="ssrfcpassagedeactivated"/>
          <w:bdr w:val="none" w:sz="0" w:space="0" w:color="auto" w:frame="1"/>
          <w:shd w:val="clear" w:color="auto" w:fill="FFFFFF"/>
        </w:rPr>
        <w:t>, section 664, s</w:t>
      </w:r>
      <w:r w:rsidR="00930C0E" w:rsidRPr="00E35083">
        <w:rPr>
          <w:shd w:val="clear" w:color="auto" w:fill="F9F9F9"/>
        </w:rPr>
        <w:t>ubdivision</w:t>
      </w:r>
      <w:r w:rsidR="00C65DE4" w:rsidRPr="00E35083">
        <w:rPr>
          <w:shd w:val="clear" w:color="auto" w:fill="F9F9F9"/>
        </w:rPr>
        <w:t> </w:t>
      </w:r>
      <w:r w:rsidR="00930C0E" w:rsidRPr="00E35083">
        <w:rPr>
          <w:shd w:val="clear" w:color="auto" w:fill="F9F9F9"/>
        </w:rPr>
        <w:t>(e) provides</w:t>
      </w:r>
      <w:proofErr w:type="gramStart"/>
      <w:r w:rsidR="008E2367" w:rsidRPr="00E35083">
        <w:rPr>
          <w:shd w:val="clear" w:color="auto" w:fill="F9F9F9"/>
        </w:rPr>
        <w:t>:</w:t>
      </w:r>
      <w:r w:rsidR="00930C0E" w:rsidRPr="00E35083">
        <w:rPr>
          <w:shd w:val="clear" w:color="auto" w:fill="F9F9F9"/>
        </w:rPr>
        <w:t xml:space="preserve"> </w:t>
      </w:r>
      <w:r w:rsidR="00C65DE4" w:rsidRPr="00E35083">
        <w:rPr>
          <w:shd w:val="clear" w:color="auto" w:fill="F9F9F9"/>
        </w:rPr>
        <w:t xml:space="preserve"> </w:t>
      </w:r>
      <w:r w:rsidR="00930C0E" w:rsidRPr="00E35083">
        <w:rPr>
          <w:shd w:val="clear" w:color="auto" w:fill="F9F9F9"/>
        </w:rPr>
        <w:t>“</w:t>
      </w:r>
      <w:proofErr w:type="gramEnd"/>
      <w:r w:rsidR="00930C0E" w:rsidRPr="00E35083">
        <w:rPr>
          <w:rStyle w:val="ssparacontent"/>
          <w:bdr w:val="none" w:sz="0" w:space="0" w:color="auto" w:frame="1"/>
          <w:shd w:val="clear" w:color="auto" w:fill="FFFFFF"/>
        </w:rPr>
        <w:t xml:space="preserve">Notwithstanding </w:t>
      </w:r>
      <w:r w:rsidR="00C65DE4" w:rsidRPr="00E35083">
        <w:rPr>
          <w:rStyle w:val="ssparacontent"/>
          <w:bdr w:val="none" w:sz="0" w:space="0" w:color="auto" w:frame="1"/>
          <w:shd w:val="clear" w:color="auto" w:fill="FFFFFF"/>
        </w:rPr>
        <w:t>subdivision (a),</w:t>
      </w:r>
      <w:r w:rsidR="008E2367" w:rsidRPr="00E35083">
        <w:rPr>
          <w:rStyle w:val="ssparacontent"/>
          <w:bdr w:val="none" w:sz="0" w:space="0" w:color="auto" w:frame="1"/>
          <w:shd w:val="clear" w:color="auto" w:fill="FFFFFF"/>
        </w:rPr>
        <w:t>[</w:t>
      </w:r>
      <w:r>
        <w:rPr>
          <w:rStyle w:val="FootnoteReference"/>
          <w:bdr w:val="none" w:sz="0" w:space="0" w:color="auto" w:frame="1"/>
          <w:shd w:val="clear" w:color="auto" w:fill="FFFFFF"/>
        </w:rPr>
        <w:footnoteReference w:id="5"/>
      </w:r>
      <w:r w:rsidR="008E2367" w:rsidRPr="00E35083">
        <w:rPr>
          <w:rStyle w:val="ssparacontent"/>
          <w:bdr w:val="none" w:sz="0" w:space="0" w:color="auto" w:frame="1"/>
          <w:shd w:val="clear" w:color="auto" w:fill="FFFFFF"/>
        </w:rPr>
        <w:t>]</w:t>
      </w:r>
      <w:r w:rsidR="00930C0E" w:rsidRPr="00E35083">
        <w:rPr>
          <w:rStyle w:val="ssparacontent"/>
          <w:bdr w:val="none" w:sz="0" w:space="0" w:color="auto" w:frame="1"/>
          <w:shd w:val="clear" w:color="auto" w:fill="FFFFFF"/>
        </w:rPr>
        <w:t xml:space="preserve"> if attempted </w:t>
      </w:r>
      <w:r w:rsidR="00930C0E" w:rsidRPr="00E35083">
        <w:rPr>
          <w:rStyle w:val="ssparacontent"/>
          <w:bdr w:val="none" w:sz="0" w:space="0" w:color="auto" w:frame="1"/>
          <w:shd w:val="clear" w:color="auto" w:fill="FFFFFF"/>
        </w:rPr>
        <w:lastRenderedPageBreak/>
        <w:t xml:space="preserve">murder is committed upon a peace </w:t>
      </w:r>
      <w:r w:rsidR="00C65DE4" w:rsidRPr="00E35083">
        <w:rPr>
          <w:rStyle w:val="ssparacontent"/>
          <w:bdr w:val="none" w:sz="0" w:space="0" w:color="auto" w:frame="1"/>
          <w:shd w:val="clear" w:color="auto" w:fill="FFFFFF"/>
        </w:rPr>
        <w:t>officer . . . ,</w:t>
      </w:r>
      <w:r w:rsidR="00930C0E" w:rsidRPr="00E35083">
        <w:rPr>
          <w:rStyle w:val="ssparacontent"/>
          <w:bdr w:val="none" w:sz="0" w:space="0" w:color="auto" w:frame="1"/>
          <w:shd w:val="clear" w:color="auto" w:fill="FFFFFF"/>
        </w:rPr>
        <w:t xml:space="preserve"> and the person who commits the offense knows or reasonably should know that the victim is a peace </w:t>
      </w:r>
      <w:r w:rsidR="00C65DE4" w:rsidRPr="00E35083">
        <w:rPr>
          <w:rStyle w:val="ssparacontent"/>
          <w:bdr w:val="none" w:sz="0" w:space="0" w:color="auto" w:frame="1"/>
          <w:shd w:val="clear" w:color="auto" w:fill="FFFFFF"/>
        </w:rPr>
        <w:t>officer . . . ,</w:t>
      </w:r>
      <w:r w:rsidR="00930C0E" w:rsidRPr="00E35083">
        <w:rPr>
          <w:rStyle w:val="ssparacontent"/>
          <w:bdr w:val="none" w:sz="0" w:space="0" w:color="auto" w:frame="1"/>
          <w:shd w:val="clear" w:color="auto" w:fill="FFFFFF"/>
        </w:rPr>
        <w:t xml:space="preserve"> the person guilty of the attempt shall be punished by imprisonment in the state prison for life with the possibility of </w:t>
      </w:r>
      <w:r w:rsidR="00B17695">
        <w:rPr>
          <w:rStyle w:val="ssparacontent"/>
          <w:bdr w:val="none" w:sz="0" w:space="0" w:color="auto" w:frame="1"/>
          <w:shd w:val="clear" w:color="auto" w:fill="FFFFFF"/>
        </w:rPr>
        <w:t>parole.”  (</w:t>
      </w:r>
      <w:r w:rsidR="00B17695" w:rsidRPr="00E35083">
        <w:rPr>
          <w:rStyle w:val="ssrfcsection"/>
          <w:bdr w:val="none" w:sz="0" w:space="0" w:color="auto" w:frame="1"/>
          <w:shd w:val="clear" w:color="auto" w:fill="FFFFFF"/>
        </w:rPr>
        <w:t>§</w:t>
      </w:r>
      <w:r w:rsidR="00B17695">
        <w:rPr>
          <w:rStyle w:val="ssrfcsection"/>
          <w:bdr w:val="none" w:sz="0" w:space="0" w:color="auto" w:frame="1"/>
          <w:shd w:val="clear" w:color="auto" w:fill="FFFFFF"/>
        </w:rPr>
        <w:t> 664, subd. (e).)  However, “if the</w:t>
      </w:r>
      <w:r w:rsidR="00930C0E" w:rsidRPr="00E35083">
        <w:rPr>
          <w:shd w:val="clear" w:color="auto" w:fill="FFFFFF"/>
        </w:rPr>
        <w:t xml:space="preserve"> elements of </w:t>
      </w:r>
      <w:r w:rsidR="00C65DE4" w:rsidRPr="00E35083">
        <w:rPr>
          <w:shd w:val="clear" w:color="auto" w:fill="FFFFFF"/>
        </w:rPr>
        <w:t>subdivision (e)</w:t>
      </w:r>
      <w:r w:rsidR="00930C0E" w:rsidRPr="00E35083">
        <w:rPr>
          <w:shd w:val="clear" w:color="auto" w:fill="FFFFFF"/>
        </w:rPr>
        <w:t xml:space="preserve"> are proven in an attempted murder and it is also charged and admitted or found to be true by the trier of fact that the attempted murder was willful, deliberate, and premeditated, the person guilty of the attempt shall be punished by imprisonment in the state prison for 15 years to life.”</w:t>
      </w:r>
      <w:r w:rsidR="00D464FD">
        <w:rPr>
          <w:shd w:val="clear" w:color="auto" w:fill="FFFFFF"/>
        </w:rPr>
        <w:t xml:space="preserve">  (</w:t>
      </w:r>
      <w:r w:rsidR="00D464FD" w:rsidRPr="00E35083">
        <w:rPr>
          <w:rStyle w:val="ssrfcsection"/>
          <w:bdr w:val="none" w:sz="0" w:space="0" w:color="auto" w:frame="1"/>
          <w:shd w:val="clear" w:color="auto" w:fill="FFFFFF"/>
        </w:rPr>
        <w:t>§</w:t>
      </w:r>
      <w:r w:rsidR="00D464FD">
        <w:rPr>
          <w:rStyle w:val="ssrfcsection"/>
          <w:bdr w:val="none" w:sz="0" w:space="0" w:color="auto" w:frame="1"/>
          <w:shd w:val="clear" w:color="auto" w:fill="FFFFFF"/>
        </w:rPr>
        <w:t> 664, subd. (f).)</w:t>
      </w:r>
    </w:p>
    <w:p w14:paraId="11D651A0" w14:textId="77777777" w:rsidR="00AC2CB0" w:rsidRDefault="005A2E4C" w:rsidP="00E35083">
      <w:pPr>
        <w:tabs>
          <w:tab w:val="clear" w:pos="720"/>
        </w:tabs>
        <w:spacing w:line="360" w:lineRule="auto"/>
        <w:textAlignment w:val="baseline"/>
        <w:rPr>
          <w:shd w:val="clear" w:color="auto" w:fill="FFFFFF"/>
        </w:rPr>
      </w:pPr>
      <w:r w:rsidRPr="00E35083">
        <w:rPr>
          <w:shd w:val="clear" w:color="auto" w:fill="FFFFFF"/>
        </w:rPr>
        <w:tab/>
      </w:r>
      <w:r w:rsidR="001D7153" w:rsidRPr="00E35083">
        <w:rPr>
          <w:shd w:val="clear" w:color="auto" w:fill="FFFFFF"/>
        </w:rPr>
        <w:t xml:space="preserve">Section 664, subdivisions </w:t>
      </w:r>
      <w:r w:rsidR="00C65DE4" w:rsidRPr="00E35083">
        <w:rPr>
          <w:shd w:val="clear" w:color="auto" w:fill="FFFFFF"/>
        </w:rPr>
        <w:t>(e) and (f)</w:t>
      </w:r>
      <w:r w:rsidR="008E2367" w:rsidRPr="00E35083">
        <w:rPr>
          <w:shd w:val="clear" w:color="auto" w:fill="FFFFFF"/>
        </w:rPr>
        <w:t xml:space="preserve"> provide alternative </w:t>
      </w:r>
      <w:r w:rsidR="001D7153" w:rsidRPr="00E35083">
        <w:rPr>
          <w:shd w:val="clear" w:color="auto" w:fill="FFFFFF"/>
        </w:rPr>
        <w:t>penalty provisions</w:t>
      </w:r>
      <w:r w:rsidR="008E2367" w:rsidRPr="00E35083">
        <w:rPr>
          <w:shd w:val="clear" w:color="auto" w:fill="FFFFFF"/>
        </w:rPr>
        <w:t xml:space="preserve"> depending on whether the underlying offense of attempted murder of a peace officer was committed with</w:t>
      </w:r>
      <w:r w:rsidR="00D464FD">
        <w:rPr>
          <w:shd w:val="clear" w:color="auto" w:fill="FFFFFF"/>
        </w:rPr>
        <w:t xml:space="preserve"> premeditation and deliberation.  As explained in </w:t>
      </w:r>
      <w:r w:rsidR="00D464FD">
        <w:rPr>
          <w:i/>
          <w:iCs/>
          <w:shd w:val="clear" w:color="auto" w:fill="FFFFFF"/>
        </w:rPr>
        <w:t>People v. Bright</w:t>
      </w:r>
      <w:r w:rsidR="00D464FD">
        <w:rPr>
          <w:shd w:val="clear" w:color="auto" w:fill="FFFFFF"/>
        </w:rPr>
        <w:t xml:space="preserve"> (1996) 12 Cal.4th 652, in discussing a comparable provision,</w:t>
      </w:r>
      <w:r w:rsidR="00927094">
        <w:rPr>
          <w:shd w:val="clear" w:color="auto" w:fill="FFFFFF"/>
        </w:rPr>
        <w:t xml:space="preserve"> “section 664, subdivision (a),</w:t>
      </w:r>
      <w:r w:rsidR="001D7215" w:rsidRPr="00E35083">
        <w:rPr>
          <w:shd w:val="clear" w:color="auto" w:fill="FFFFFF"/>
        </w:rPr>
        <w:t xml:space="preserve"> prescribing a punishment of life imprisonment with the possibility of parole for an attempt to commit murder that is ‘willful, deliberate, and premeditated’ </w:t>
      </w:r>
      <w:r w:rsidR="00C65DE4" w:rsidRPr="00E35083">
        <w:rPr>
          <w:shd w:val="clear" w:color="auto" w:fill="FFFFFF"/>
        </w:rPr>
        <w:t>does not</w:t>
      </w:r>
      <w:r w:rsidR="001D7215" w:rsidRPr="00E35083">
        <w:rPr>
          <w:shd w:val="clear" w:color="auto" w:fill="FFFFFF"/>
        </w:rPr>
        <w:t xml:space="preserve"> establish a greater degree of attempted murder but, rather, sets forth a </w:t>
      </w:r>
      <w:r w:rsidR="001D7215" w:rsidRPr="00E35083">
        <w:rPr>
          <w:i/>
          <w:iCs/>
          <w:shd w:val="clear" w:color="auto" w:fill="FFFFFF"/>
        </w:rPr>
        <w:t>penalty provision</w:t>
      </w:r>
      <w:r w:rsidR="001D7215" w:rsidRPr="00E35083">
        <w:rPr>
          <w:shd w:val="clear" w:color="auto" w:fill="FFFFFF"/>
        </w:rPr>
        <w:t xml:space="preserve"> prescribing an increased sentence (a greater base term) to be imposed upon a defendant’s conviction of attempted murder when the additional specified circumstances are found true by the </w:t>
      </w:r>
      <w:r w:rsidR="00750693">
        <w:rPr>
          <w:shd w:val="clear" w:color="auto" w:fill="FFFFFF"/>
        </w:rPr>
        <w:t>trier of fact.”  (</w:t>
      </w:r>
      <w:r w:rsidR="00750693">
        <w:rPr>
          <w:i/>
          <w:iCs/>
          <w:shd w:val="clear" w:color="auto" w:fill="FFFFFF"/>
        </w:rPr>
        <w:t>Bright, supra</w:t>
      </w:r>
      <w:r w:rsidR="00750693">
        <w:rPr>
          <w:shd w:val="clear" w:color="auto" w:fill="FFFFFF"/>
        </w:rPr>
        <w:t xml:space="preserve">, at p. 669, disapproved on another ground in </w:t>
      </w:r>
      <w:r w:rsidR="00750693">
        <w:rPr>
          <w:i/>
          <w:iCs/>
          <w:shd w:val="clear" w:color="auto" w:fill="FFFFFF"/>
        </w:rPr>
        <w:t>People v. Seel</w:t>
      </w:r>
      <w:r w:rsidR="00750693">
        <w:rPr>
          <w:shd w:val="clear" w:color="auto" w:fill="FFFFFF"/>
        </w:rPr>
        <w:t xml:space="preserve"> (2004) 34 Cal.4th 535, 550, fn. 6.)</w:t>
      </w:r>
    </w:p>
    <w:p w14:paraId="6FA02744" w14:textId="4756E567" w:rsidR="00C60FEF" w:rsidRPr="00442B19" w:rsidRDefault="005A2E4C" w:rsidP="00442B19">
      <w:pPr>
        <w:tabs>
          <w:tab w:val="clear" w:pos="720"/>
        </w:tabs>
        <w:spacing w:line="360" w:lineRule="auto"/>
        <w:ind w:firstLine="720"/>
        <w:textAlignment w:val="baseline"/>
        <w:rPr>
          <w:rStyle w:val="ssrfcpassagedeactivated"/>
          <w:shd w:val="clear" w:color="auto" w:fill="F9F9F9"/>
        </w:rPr>
      </w:pPr>
      <w:r>
        <w:rPr>
          <w:shd w:val="clear" w:color="auto" w:fill="FFFFFF"/>
        </w:rPr>
        <w:t xml:space="preserve">In harmony with </w:t>
      </w:r>
      <w:r>
        <w:rPr>
          <w:i/>
          <w:iCs/>
          <w:shd w:val="clear" w:color="auto" w:fill="FFFFFF"/>
        </w:rPr>
        <w:t>Bright</w:t>
      </w:r>
      <w:r>
        <w:rPr>
          <w:shd w:val="clear" w:color="auto" w:fill="FFFFFF"/>
        </w:rPr>
        <w:t xml:space="preserve">, the California Supreme Court, in </w:t>
      </w:r>
      <w:r>
        <w:rPr>
          <w:i/>
          <w:iCs/>
          <w:shd w:val="clear" w:color="auto" w:fill="FFFFFF"/>
        </w:rPr>
        <w:t>People v. Jones</w:t>
      </w:r>
      <w:r>
        <w:rPr>
          <w:shd w:val="clear" w:color="auto" w:fill="FFFFFF"/>
        </w:rPr>
        <w:t xml:space="preserve"> (2009) 47 Cal.4th 566 (</w:t>
      </w:r>
      <w:r>
        <w:rPr>
          <w:i/>
          <w:iCs/>
          <w:shd w:val="clear" w:color="auto" w:fill="FFFFFF"/>
        </w:rPr>
        <w:t>Jones</w:t>
      </w:r>
      <w:r>
        <w:rPr>
          <w:shd w:val="clear" w:color="auto" w:fill="FFFFFF"/>
        </w:rPr>
        <w:t xml:space="preserve">), elucidated </w:t>
      </w:r>
      <w:proofErr w:type="gramStart"/>
      <w:r>
        <w:rPr>
          <w:shd w:val="clear" w:color="auto" w:fill="FFFFFF"/>
        </w:rPr>
        <w:t>that certain statutes</w:t>
      </w:r>
      <w:proofErr w:type="gramEnd"/>
      <w:r>
        <w:rPr>
          <w:shd w:val="clear" w:color="auto" w:fill="FFFFFF"/>
        </w:rPr>
        <w:t xml:space="preserve"> (including </w:t>
      </w:r>
      <w:r w:rsidRPr="00E35083">
        <w:rPr>
          <w:rStyle w:val="ssrfcsection"/>
          <w:bdr w:val="none" w:sz="0" w:space="0" w:color="auto" w:frame="1"/>
          <w:shd w:val="clear" w:color="auto" w:fill="FFFFFF"/>
        </w:rPr>
        <w:t>§</w:t>
      </w:r>
      <w:r>
        <w:rPr>
          <w:rStyle w:val="ssrfcsection"/>
          <w:bdr w:val="none" w:sz="0" w:space="0" w:color="auto" w:frame="1"/>
          <w:shd w:val="clear" w:color="auto" w:fill="FFFFFF"/>
        </w:rPr>
        <w:t> 186.22, subd. (b)(4)) se</w:t>
      </w:r>
      <w:r w:rsidR="00442B19">
        <w:rPr>
          <w:rStyle w:val="ssrfcsection"/>
          <w:bdr w:val="none" w:sz="0" w:space="0" w:color="auto" w:frame="1"/>
          <w:shd w:val="clear" w:color="auto" w:fill="FFFFFF"/>
        </w:rPr>
        <w:t xml:space="preserve">t forth an alternative penalty provision for the underlying felony </w:t>
      </w:r>
      <w:r w:rsidRPr="00E35083">
        <w:rPr>
          <w:rStyle w:val="ssrfcsection"/>
          <w:bdr w:val="none" w:sz="0" w:space="0" w:color="auto" w:frame="1"/>
          <w:shd w:val="clear" w:color="auto" w:fill="FFFFFF"/>
        </w:rPr>
        <w:t xml:space="preserve">that is distinct from </w:t>
      </w:r>
      <w:r w:rsidR="00D13E47" w:rsidRPr="00E35083">
        <w:rPr>
          <w:rStyle w:val="ssrfcsection"/>
          <w:bdr w:val="none" w:sz="0" w:space="0" w:color="auto" w:frame="1"/>
          <w:shd w:val="clear" w:color="auto" w:fill="FFFFFF"/>
        </w:rPr>
        <w:t>providing a sentence enhancement as punishment in addition to the base term imposed for a felony</w:t>
      </w:r>
      <w:proofErr w:type="gramStart"/>
      <w:r w:rsidRPr="00E35083">
        <w:rPr>
          <w:rStyle w:val="ssrfcsection"/>
          <w:bdr w:val="none" w:sz="0" w:space="0" w:color="auto" w:frame="1"/>
          <w:shd w:val="clear" w:color="auto" w:fill="FFFFFF"/>
        </w:rPr>
        <w:t>:</w:t>
      </w:r>
      <w:r w:rsidR="00D13E47" w:rsidRPr="00E35083">
        <w:rPr>
          <w:rStyle w:val="ssrfcsection"/>
          <w:bdr w:val="none" w:sz="0" w:space="0" w:color="auto" w:frame="1"/>
          <w:shd w:val="clear" w:color="auto" w:fill="FFFFFF"/>
        </w:rPr>
        <w:t xml:space="preserve"> </w:t>
      </w:r>
      <w:r w:rsidR="00C65DE4" w:rsidRPr="00E35083">
        <w:rPr>
          <w:rStyle w:val="ssrfcsection"/>
          <w:bdr w:val="none" w:sz="0" w:space="0" w:color="auto" w:frame="1"/>
          <w:shd w:val="clear" w:color="auto" w:fill="FFFFFF"/>
        </w:rPr>
        <w:t xml:space="preserve"> </w:t>
      </w:r>
      <w:r w:rsidRPr="00E35083">
        <w:rPr>
          <w:rStyle w:val="ssrfcsection"/>
          <w:bdr w:val="none" w:sz="0" w:space="0" w:color="auto" w:frame="1"/>
          <w:shd w:val="clear" w:color="auto" w:fill="FFFFFF"/>
        </w:rPr>
        <w:t>“</w:t>
      </w:r>
      <w:proofErr w:type="gramEnd"/>
      <w:r w:rsidR="00D13E47" w:rsidRPr="00E35083">
        <w:rPr>
          <w:rStyle w:val="ssrfcsection"/>
          <w:bdr w:val="none" w:sz="0" w:space="0" w:color="auto" w:frame="1"/>
          <w:shd w:val="clear" w:color="auto" w:fill="FFFFFF"/>
        </w:rPr>
        <w:t xml:space="preserve">The </w:t>
      </w:r>
      <w:r w:rsidR="00D13E47" w:rsidRPr="00E35083">
        <w:rPr>
          <w:rStyle w:val="ssrfcsection"/>
          <w:bdr w:val="none" w:sz="0" w:space="0" w:color="auto" w:frame="1"/>
          <w:shd w:val="clear" w:color="auto" w:fill="FFFFFF"/>
        </w:rPr>
        <w:lastRenderedPageBreak/>
        <w:t xml:space="preserve">difference between the two is subtle but </w:t>
      </w:r>
      <w:r w:rsidR="00C65DE4" w:rsidRPr="00E35083">
        <w:rPr>
          <w:rStyle w:val="ssrfcpassagedeactivated"/>
          <w:bdr w:val="none" w:sz="0" w:space="0" w:color="auto" w:frame="1"/>
          <w:shd w:val="clear" w:color="auto" w:fill="FFFFFF"/>
        </w:rPr>
        <w:t>significant.  ‘Unlike</w:t>
      </w:r>
      <w:r w:rsidR="00D13E47" w:rsidRPr="00E35083">
        <w:rPr>
          <w:rStyle w:val="ssrfcpassagedeactivated"/>
          <w:bdr w:val="none" w:sz="0" w:space="0" w:color="auto" w:frame="1"/>
          <w:shd w:val="clear" w:color="auto" w:fill="FFFFFF"/>
        </w:rPr>
        <w:t xml:space="preserve"> an enhancement, which provides for </w:t>
      </w:r>
      <w:r w:rsidR="00C65DE4" w:rsidRPr="00E35083">
        <w:rPr>
          <w:rStyle w:val="ssrfcpassagedeactivated"/>
          <w:bdr w:val="none" w:sz="0" w:space="0" w:color="auto" w:frame="1"/>
          <w:shd w:val="clear" w:color="auto" w:fill="FFFFFF"/>
        </w:rPr>
        <w:t xml:space="preserve">an </w:t>
      </w:r>
      <w:r w:rsidR="00C65DE4" w:rsidRPr="00E35083">
        <w:rPr>
          <w:rStyle w:val="ssrfcpassagedeactivated"/>
          <w:i/>
          <w:iCs/>
          <w:bdr w:val="none" w:sz="0" w:space="0" w:color="auto" w:frame="1"/>
          <w:shd w:val="clear" w:color="auto" w:fill="FFFFFF"/>
        </w:rPr>
        <w:t>additional term</w:t>
      </w:r>
      <w:r w:rsidR="00C65DE4" w:rsidRPr="00E35083">
        <w:rPr>
          <w:rStyle w:val="ssrfcpassagedeactivated"/>
          <w:bdr w:val="none" w:sz="0" w:space="0" w:color="auto" w:frame="1"/>
          <w:shd w:val="clear" w:color="auto" w:fill="FFFFFF"/>
        </w:rPr>
        <w:t xml:space="preserve"> of</w:t>
      </w:r>
      <w:r w:rsidR="00D13E47" w:rsidRPr="00E35083">
        <w:rPr>
          <w:rStyle w:val="ssrfcpassagedeactivated"/>
          <w:bdr w:val="none" w:sz="0" w:space="0" w:color="auto" w:frame="1"/>
          <w:shd w:val="clear" w:color="auto" w:fill="FFFFFF"/>
        </w:rPr>
        <w:t xml:space="preserve"> imprisonment, [a penalty provision] sets forth an alternate </w:t>
      </w:r>
      <w:r w:rsidR="00C65DE4" w:rsidRPr="00E35083">
        <w:rPr>
          <w:rStyle w:val="ssit"/>
          <w:bdr w:val="none" w:sz="0" w:space="0" w:color="auto" w:frame="1"/>
          <w:shd w:val="clear" w:color="auto" w:fill="FFFFFF"/>
        </w:rPr>
        <w:t xml:space="preserve">penalty </w:t>
      </w:r>
      <w:r w:rsidR="00C65DE4" w:rsidRPr="00E35083">
        <w:rPr>
          <w:rStyle w:val="ssit"/>
          <w:i/>
          <w:iCs/>
          <w:bdr w:val="none" w:sz="0" w:space="0" w:color="auto" w:frame="1"/>
          <w:shd w:val="clear" w:color="auto" w:fill="FFFFFF"/>
        </w:rPr>
        <w:t>for</w:t>
      </w:r>
      <w:r w:rsidR="00D13E47" w:rsidRPr="00E35083">
        <w:rPr>
          <w:rStyle w:val="ssit"/>
          <w:i/>
          <w:iCs/>
          <w:bdr w:val="none" w:sz="0" w:space="0" w:color="auto" w:frame="1"/>
          <w:shd w:val="clear" w:color="auto" w:fill="FFFFFF"/>
        </w:rPr>
        <w:t xml:space="preserve"> the underlying felony itself</w:t>
      </w:r>
      <w:r w:rsidR="00D13E47" w:rsidRPr="00E35083">
        <w:rPr>
          <w:rStyle w:val="ssrfcpassagedeactivated"/>
          <w:bdr w:val="none" w:sz="0" w:space="0" w:color="auto" w:frame="1"/>
          <w:shd w:val="clear" w:color="auto" w:fill="FFFFFF"/>
        </w:rPr>
        <w:t>, when the jury has determined that the defendant has satisfied the conditions specified in the statute.</w:t>
      </w:r>
      <w:r w:rsidR="00670D6F" w:rsidRPr="00E35083">
        <w:rPr>
          <w:rStyle w:val="ssrfcpassagedeactivated"/>
          <w:bdr w:val="none" w:sz="0" w:space="0" w:color="auto" w:frame="1"/>
          <w:shd w:val="clear" w:color="auto" w:fill="FFFFFF"/>
        </w:rPr>
        <w:t>’</w:t>
      </w:r>
      <w:r w:rsidR="00D13E47" w:rsidRPr="00E35083">
        <w:rPr>
          <w:rStyle w:val="ssrfcpassagedeactivated"/>
          <w:bdr w:val="none" w:sz="0" w:space="0" w:color="auto" w:frame="1"/>
          <w:shd w:val="clear" w:color="auto" w:fill="FFFFFF"/>
        </w:rPr>
        <w:t xml:space="preserve"> </w:t>
      </w:r>
      <w:r w:rsidR="00C65DE4" w:rsidRPr="00E35083">
        <w:rPr>
          <w:rStyle w:val="ssrfcpassagedeactivated"/>
          <w:bdr w:val="none" w:sz="0" w:space="0" w:color="auto" w:frame="1"/>
          <w:shd w:val="clear" w:color="auto" w:fill="FFFFFF"/>
        </w:rPr>
        <w:t xml:space="preserve"> </w:t>
      </w:r>
      <w:r w:rsidR="00D13E47" w:rsidRPr="00E35083">
        <w:rPr>
          <w:rStyle w:val="ssrfcpassagedeactivated"/>
          <w:bdr w:val="none" w:sz="0" w:space="0" w:color="auto" w:frame="1"/>
          <w:shd w:val="clear" w:color="auto" w:fill="FFFFFF"/>
        </w:rPr>
        <w:t>[Citation</w:t>
      </w:r>
      <w:r w:rsidR="00670D6F" w:rsidRPr="00E35083">
        <w:rPr>
          <w:rStyle w:val="ssrfcpassagedeactivated"/>
          <w:bdr w:val="none" w:sz="0" w:space="0" w:color="auto" w:frame="1"/>
          <w:shd w:val="clear" w:color="auto" w:fill="FFFFFF"/>
        </w:rPr>
        <w:t>s</w:t>
      </w:r>
      <w:r w:rsidR="00D13E47" w:rsidRPr="00E35083">
        <w:rPr>
          <w:rStyle w:val="ssrfcpassagedeactivated"/>
          <w:bdr w:val="none" w:sz="0" w:space="0" w:color="auto" w:frame="1"/>
          <w:shd w:val="clear" w:color="auto" w:fill="FFFFFF"/>
        </w:rPr>
        <w:t>.]</w:t>
      </w:r>
      <w:r w:rsidRPr="00E35083">
        <w:rPr>
          <w:rStyle w:val="ssrfcpassagedeactivated"/>
          <w:bdr w:val="none" w:sz="0" w:space="0" w:color="auto" w:frame="1"/>
          <w:shd w:val="clear" w:color="auto" w:fill="FFFFFF"/>
        </w:rPr>
        <w:t>”  (</w:t>
      </w:r>
      <w:r w:rsidRPr="00E35083">
        <w:rPr>
          <w:rStyle w:val="ssrfcpassagedeactivated"/>
          <w:i/>
          <w:iCs/>
          <w:bdr w:val="none" w:sz="0" w:space="0" w:color="auto" w:frame="1"/>
          <w:shd w:val="clear" w:color="auto" w:fill="FFFFFF"/>
        </w:rPr>
        <w:t>Jones, supra</w:t>
      </w:r>
      <w:r w:rsidRPr="00E35083">
        <w:rPr>
          <w:rStyle w:val="ssrfcpassagedeactivated"/>
          <w:bdr w:val="none" w:sz="0" w:space="0" w:color="auto" w:frame="1"/>
          <w:shd w:val="clear" w:color="auto" w:fill="FFFFFF"/>
        </w:rPr>
        <w:t>, at p. 578.)</w:t>
      </w:r>
      <w:r w:rsidR="00F90C25" w:rsidRPr="00E35083">
        <w:rPr>
          <w:rStyle w:val="ssrfcpassagedeactivated"/>
          <w:bdr w:val="none" w:sz="0" w:space="0" w:color="auto" w:frame="1"/>
          <w:shd w:val="clear" w:color="auto" w:fill="FFFFFF"/>
        </w:rPr>
        <w:t xml:space="preserve">  “</w:t>
      </w:r>
      <w:r w:rsidR="00F90C25" w:rsidRPr="00E35083">
        <w:rPr>
          <w:shd w:val="clear" w:color="auto" w:fill="FFFFFF"/>
        </w:rPr>
        <w:t xml:space="preserve">It usually does so either by allowing a misdemeanor to be punished as a felony under the determinate sentencing law (DSL) </w:t>
      </w:r>
      <w:proofErr w:type="gramStart"/>
      <w:r w:rsidR="00F90C25" w:rsidRPr="00E35083">
        <w:rPr>
          <w:shd w:val="clear" w:color="auto" w:fill="FFFFFF"/>
        </w:rPr>
        <w:t>or[</w:t>
      </w:r>
      <w:proofErr w:type="gramEnd"/>
      <w:r w:rsidR="00F90C25" w:rsidRPr="00E35083">
        <w:rPr>
          <w:shd w:val="clear" w:color="auto" w:fill="FFFFFF"/>
        </w:rPr>
        <w:t xml:space="preserve">, as here,] by removing a </w:t>
      </w:r>
      <w:r w:rsidR="00C65DE4" w:rsidRPr="00E35083">
        <w:rPr>
          <w:shd w:val="clear" w:color="auto" w:fill="FFFFFF"/>
        </w:rPr>
        <w:t xml:space="preserve">crime </w:t>
      </w:r>
      <w:r w:rsidR="00C65DE4" w:rsidRPr="00E35083">
        <w:rPr>
          <w:i/>
          <w:iCs/>
          <w:shd w:val="clear" w:color="auto" w:fill="FFFFFF"/>
        </w:rPr>
        <w:t>from</w:t>
      </w:r>
      <w:r w:rsidR="00C65DE4" w:rsidRPr="00E35083">
        <w:rPr>
          <w:shd w:val="clear" w:color="auto" w:fill="FFFFFF"/>
        </w:rPr>
        <w:t xml:space="preserve"> the</w:t>
      </w:r>
      <w:r w:rsidR="00F90C25" w:rsidRPr="00E35083">
        <w:rPr>
          <w:shd w:val="clear" w:color="auto" w:fill="FFFFFF"/>
        </w:rPr>
        <w:t xml:space="preserve"> DSL and bringing it under an alternative sentencing scheme such as the ‘Three Strikes’ law. </w:t>
      </w:r>
      <w:r w:rsidR="00C65DE4" w:rsidRPr="00E35083">
        <w:rPr>
          <w:shd w:val="clear" w:color="auto" w:fill="FFFFFF"/>
        </w:rPr>
        <w:t xml:space="preserve"> </w:t>
      </w:r>
      <w:r w:rsidR="00F90C25" w:rsidRPr="00E35083">
        <w:rPr>
          <w:shd w:val="clear" w:color="auto" w:fill="FFFFFF"/>
        </w:rPr>
        <w:t xml:space="preserve">Thus, we can most easily identify a penalty provision by contrast to what it is not: </w:t>
      </w:r>
      <w:r w:rsidR="00C65DE4" w:rsidRPr="00E35083">
        <w:rPr>
          <w:shd w:val="clear" w:color="auto" w:fill="FFFFFF"/>
        </w:rPr>
        <w:t xml:space="preserve"> </w:t>
      </w:r>
      <w:r w:rsidR="00F90C25" w:rsidRPr="00E35083">
        <w:rPr>
          <w:shd w:val="clear" w:color="auto" w:fill="FFFFFF"/>
        </w:rPr>
        <w:t>an enhancement or a substantive offense.</w:t>
      </w:r>
      <w:r w:rsidR="00F90C25" w:rsidRPr="00E35083">
        <w:rPr>
          <w:rStyle w:val="ssrfcpassagedeactivated"/>
          <w:bdr w:val="none" w:sz="0" w:space="0" w:color="auto" w:frame="1"/>
          <w:shd w:val="clear" w:color="auto" w:fill="FFFFFF"/>
        </w:rPr>
        <w:t>”  (</w:t>
      </w:r>
      <w:r w:rsidR="00F90C25" w:rsidRPr="00E35083">
        <w:rPr>
          <w:rStyle w:val="ssrfcpassagedeactivated"/>
          <w:i/>
          <w:iCs/>
          <w:bdr w:val="none" w:sz="0" w:space="0" w:color="auto" w:frame="1"/>
          <w:shd w:val="clear" w:color="auto" w:fill="FFFFFF"/>
        </w:rPr>
        <w:t xml:space="preserve">People v. </w:t>
      </w:r>
      <w:proofErr w:type="spellStart"/>
      <w:r w:rsidR="00F90C25" w:rsidRPr="00E35083">
        <w:rPr>
          <w:rStyle w:val="ssrfcpassagedeactivated"/>
          <w:i/>
          <w:iCs/>
          <w:bdr w:val="none" w:sz="0" w:space="0" w:color="auto" w:frame="1"/>
          <w:shd w:val="clear" w:color="auto" w:fill="FFFFFF"/>
        </w:rPr>
        <w:t>Escarega</w:t>
      </w:r>
      <w:proofErr w:type="spellEnd"/>
      <w:r w:rsidR="00F90C25" w:rsidRPr="00E35083">
        <w:rPr>
          <w:rStyle w:val="ssrfcpassagedeactivated"/>
          <w:bdr w:val="none" w:sz="0" w:space="0" w:color="auto" w:frame="1"/>
          <w:shd w:val="clear" w:color="auto" w:fill="FFFFFF"/>
        </w:rPr>
        <w:t xml:space="preserve"> (2019) 32 Cal.App.5th 362, 376.)</w:t>
      </w:r>
    </w:p>
    <w:p w14:paraId="60E53C9B" w14:textId="2335E551" w:rsidR="006C7B6D" w:rsidRPr="00E35083" w:rsidRDefault="005A2E4C" w:rsidP="00E35083">
      <w:pPr>
        <w:tabs>
          <w:tab w:val="clear" w:pos="720"/>
        </w:tabs>
        <w:spacing w:line="360" w:lineRule="auto"/>
        <w:textAlignment w:val="baseline"/>
        <w:rPr>
          <w:rFonts w:eastAsia="Times New Roman" w:cs="Times New Roman"/>
        </w:rPr>
      </w:pPr>
      <w:r w:rsidRPr="00E35083">
        <w:rPr>
          <w:rStyle w:val="ssrfcpassagedeactivated"/>
          <w:bdr w:val="none" w:sz="0" w:space="0" w:color="auto" w:frame="1"/>
          <w:shd w:val="clear" w:color="auto" w:fill="FFFFFF"/>
        </w:rPr>
        <w:tab/>
        <w:t xml:space="preserve">Based on this authority, we interpret section 664, subdivisions </w:t>
      </w:r>
      <w:r w:rsidR="00C65DE4" w:rsidRPr="00E35083">
        <w:rPr>
          <w:rStyle w:val="ssrfcpassagedeactivated"/>
          <w:bdr w:val="none" w:sz="0" w:space="0" w:color="auto" w:frame="1"/>
          <w:shd w:val="clear" w:color="auto" w:fill="FFFFFF"/>
        </w:rPr>
        <w:t>(a), (e) and</w:t>
      </w:r>
      <w:r w:rsidR="00123DCD" w:rsidRPr="00E35083">
        <w:rPr>
          <w:rStyle w:val="ssrfcpassagedeactivated"/>
          <w:bdr w:val="none" w:sz="0" w:space="0" w:color="auto" w:frame="1"/>
          <w:shd w:val="clear" w:color="auto" w:fill="FFFFFF"/>
        </w:rPr>
        <w:t> </w:t>
      </w:r>
      <w:r w:rsidR="00C65DE4" w:rsidRPr="00E35083">
        <w:rPr>
          <w:rStyle w:val="ssrfcpassagedeactivated"/>
          <w:bdr w:val="none" w:sz="0" w:space="0" w:color="auto" w:frame="1"/>
          <w:shd w:val="clear" w:color="auto" w:fill="FFFFFF"/>
        </w:rPr>
        <w:t>(f)</w:t>
      </w:r>
      <w:r w:rsidRPr="00E35083">
        <w:rPr>
          <w:rStyle w:val="ssrfcpassagedeactivated"/>
          <w:bdr w:val="none" w:sz="0" w:space="0" w:color="auto" w:frame="1"/>
          <w:shd w:val="clear" w:color="auto" w:fill="FFFFFF"/>
        </w:rPr>
        <w:t xml:space="preserve"> </w:t>
      </w:r>
      <w:r w:rsidR="00D13E47" w:rsidRPr="00E35083">
        <w:rPr>
          <w:rStyle w:val="ssrfcsection"/>
          <w:bdr w:val="none" w:sz="0" w:space="0" w:color="auto" w:frame="1"/>
          <w:shd w:val="clear" w:color="auto" w:fill="FFFFFF"/>
        </w:rPr>
        <w:t xml:space="preserve">as providing </w:t>
      </w:r>
      <w:r w:rsidR="00C65DE4" w:rsidRPr="00E35083">
        <w:rPr>
          <w:rStyle w:val="ssrfcsection"/>
          <w:bdr w:val="none" w:sz="0" w:space="0" w:color="auto" w:frame="1"/>
          <w:shd w:val="clear" w:color="auto" w:fill="FFFFFF"/>
        </w:rPr>
        <w:t>alternative</w:t>
      </w:r>
      <w:r w:rsidR="00D13E47" w:rsidRPr="00E35083">
        <w:rPr>
          <w:rStyle w:val="ssrfcsection"/>
          <w:bdr w:val="none" w:sz="0" w:space="0" w:color="auto" w:frame="1"/>
          <w:shd w:val="clear" w:color="auto" w:fill="FFFFFF"/>
        </w:rPr>
        <w:t xml:space="preserve"> penalt</w:t>
      </w:r>
      <w:r w:rsidR="0053039A" w:rsidRPr="00E35083">
        <w:rPr>
          <w:rStyle w:val="ssrfcsection"/>
          <w:bdr w:val="none" w:sz="0" w:space="0" w:color="auto" w:frame="1"/>
          <w:shd w:val="clear" w:color="auto" w:fill="FFFFFF"/>
        </w:rPr>
        <w:t>ies</w:t>
      </w:r>
      <w:r w:rsidR="00D13E47" w:rsidRPr="00E35083">
        <w:rPr>
          <w:rStyle w:val="ssrfcsection"/>
          <w:bdr w:val="none" w:sz="0" w:space="0" w:color="auto" w:frame="1"/>
          <w:shd w:val="clear" w:color="auto" w:fill="FFFFFF"/>
        </w:rPr>
        <w:t xml:space="preserve"> for the offense</w:t>
      </w:r>
      <w:r w:rsidRPr="00E35083">
        <w:rPr>
          <w:rStyle w:val="ssrfcsection"/>
          <w:bdr w:val="none" w:sz="0" w:space="0" w:color="auto" w:frame="1"/>
          <w:shd w:val="clear" w:color="auto" w:fill="FFFFFF"/>
        </w:rPr>
        <w:t>s</w:t>
      </w:r>
      <w:r w:rsidR="00D13E47" w:rsidRPr="00E35083">
        <w:rPr>
          <w:rStyle w:val="ssrfcsection"/>
          <w:bdr w:val="none" w:sz="0" w:space="0" w:color="auto" w:frame="1"/>
          <w:shd w:val="clear" w:color="auto" w:fill="FFFFFF"/>
        </w:rPr>
        <w:t xml:space="preserve"> of attempted murder </w:t>
      </w:r>
      <w:r w:rsidRPr="00E35083">
        <w:rPr>
          <w:rStyle w:val="ssrfcsection"/>
          <w:bdr w:val="none" w:sz="0" w:space="0" w:color="auto" w:frame="1"/>
          <w:shd w:val="clear" w:color="auto" w:fill="FFFFFF"/>
        </w:rPr>
        <w:t>and attempted murder of a peace officer</w:t>
      </w:r>
      <w:r w:rsidR="00D13E47" w:rsidRPr="00E35083">
        <w:rPr>
          <w:rStyle w:val="ssrfcsection"/>
          <w:bdr w:val="none" w:sz="0" w:space="0" w:color="auto" w:frame="1"/>
          <w:shd w:val="clear" w:color="auto" w:fill="FFFFFF"/>
        </w:rPr>
        <w:t xml:space="preserve"> committed with premeditation</w:t>
      </w:r>
      <w:r w:rsidRPr="00E35083">
        <w:rPr>
          <w:rStyle w:val="ssrfcsection"/>
          <w:bdr w:val="none" w:sz="0" w:space="0" w:color="auto" w:frame="1"/>
          <w:shd w:val="clear" w:color="auto" w:fill="FFFFFF"/>
        </w:rPr>
        <w:t xml:space="preserve"> and deliberation</w:t>
      </w:r>
      <w:r w:rsidR="00F104D8" w:rsidRPr="00E35083">
        <w:rPr>
          <w:rStyle w:val="ssrfcsection"/>
          <w:bdr w:val="none" w:sz="0" w:space="0" w:color="auto" w:frame="1"/>
          <w:shd w:val="clear" w:color="auto" w:fill="FFFFFF"/>
        </w:rPr>
        <w:t xml:space="preserve"> rather than enhancement</w:t>
      </w:r>
      <w:r w:rsidR="0053039A" w:rsidRPr="00E35083">
        <w:rPr>
          <w:rStyle w:val="ssrfcsection"/>
          <w:bdr w:val="none" w:sz="0" w:space="0" w:color="auto" w:frame="1"/>
          <w:shd w:val="clear" w:color="auto" w:fill="FFFFFF"/>
        </w:rPr>
        <w:t>s</w:t>
      </w:r>
      <w:r w:rsidR="00D13E47" w:rsidRPr="00E35083">
        <w:rPr>
          <w:rStyle w:val="ssrfcsection"/>
          <w:bdr w:val="none" w:sz="0" w:space="0" w:color="auto" w:frame="1"/>
          <w:shd w:val="clear" w:color="auto" w:fill="FFFFFF"/>
        </w:rPr>
        <w:t>.</w:t>
      </w:r>
      <w:r w:rsidRPr="00E35083">
        <w:rPr>
          <w:rStyle w:val="ssrfcsection"/>
          <w:bdr w:val="none" w:sz="0" w:space="0" w:color="auto" w:frame="1"/>
          <w:shd w:val="clear" w:color="auto" w:fill="FFFFFF"/>
        </w:rPr>
        <w:t xml:space="preserve">  As such, </w:t>
      </w:r>
      <w:r w:rsidR="006C01CC" w:rsidRPr="00E35083">
        <w:rPr>
          <w:rStyle w:val="ssrfcpassagedeactivated"/>
          <w:bdr w:val="none" w:sz="0" w:space="0" w:color="auto" w:frame="1"/>
          <w:shd w:val="clear" w:color="auto" w:fill="FFFFFF"/>
        </w:rPr>
        <w:t xml:space="preserve">section 1385(c) </w:t>
      </w:r>
      <w:r w:rsidRPr="00E35083">
        <w:rPr>
          <w:rStyle w:val="ssrfcpassagedeactivated"/>
          <w:bdr w:val="none" w:sz="0" w:space="0" w:color="auto" w:frame="1"/>
          <w:shd w:val="clear" w:color="auto" w:fill="FFFFFF"/>
        </w:rPr>
        <w:t xml:space="preserve">did not </w:t>
      </w:r>
      <w:r w:rsidR="0053039A" w:rsidRPr="00E35083">
        <w:rPr>
          <w:rStyle w:val="ssrfcpassagedeactivated"/>
          <w:bdr w:val="none" w:sz="0" w:space="0" w:color="auto" w:frame="1"/>
          <w:shd w:val="clear" w:color="auto" w:fill="FFFFFF"/>
        </w:rPr>
        <w:t>afford</w:t>
      </w:r>
      <w:r w:rsidRPr="00E35083">
        <w:rPr>
          <w:rStyle w:val="ssrfcpassagedeactivated"/>
          <w:bdr w:val="none" w:sz="0" w:space="0" w:color="auto" w:frame="1"/>
          <w:shd w:val="clear" w:color="auto" w:fill="FFFFFF"/>
        </w:rPr>
        <w:t xml:space="preserve"> the trial court discretion</w:t>
      </w:r>
      <w:r w:rsidR="006C01CC" w:rsidRPr="00E35083">
        <w:rPr>
          <w:rStyle w:val="ssrfcpassagedeactivated"/>
          <w:bdr w:val="none" w:sz="0" w:space="0" w:color="auto" w:frame="1"/>
          <w:shd w:val="clear" w:color="auto" w:fill="FFFFFF"/>
        </w:rPr>
        <w:t xml:space="preserve"> to dismiss the </w:t>
      </w:r>
      <w:r w:rsidR="005E0848" w:rsidRPr="00E35083">
        <w:rPr>
          <w:rStyle w:val="ssrfcpassagedeactivated"/>
          <w:bdr w:val="none" w:sz="0" w:space="0" w:color="auto" w:frame="1"/>
          <w:shd w:val="clear" w:color="auto" w:fill="FFFFFF"/>
        </w:rPr>
        <w:t xml:space="preserve">jury’s </w:t>
      </w:r>
      <w:r w:rsidR="006C01CC" w:rsidRPr="00E35083">
        <w:rPr>
          <w:rStyle w:val="ssrfcpassagedeactivated"/>
          <w:bdr w:val="none" w:sz="0" w:space="0" w:color="auto" w:frame="1"/>
          <w:shd w:val="clear" w:color="auto" w:fill="FFFFFF"/>
        </w:rPr>
        <w:t xml:space="preserve">premeditation and deliberation </w:t>
      </w:r>
      <w:r w:rsidRPr="00E35083">
        <w:rPr>
          <w:rStyle w:val="ssrfcpassagedeactivated"/>
          <w:bdr w:val="none" w:sz="0" w:space="0" w:color="auto" w:frame="1"/>
          <w:shd w:val="clear" w:color="auto" w:fill="FFFFFF"/>
        </w:rPr>
        <w:t xml:space="preserve">findings </w:t>
      </w:r>
      <w:r w:rsidR="006C01CC" w:rsidRPr="00E35083">
        <w:rPr>
          <w:rStyle w:val="ssrfcpassagedeactivated"/>
          <w:bdr w:val="none" w:sz="0" w:space="0" w:color="auto" w:frame="1"/>
          <w:shd w:val="clear" w:color="auto" w:fill="FFFFFF"/>
        </w:rPr>
        <w:t xml:space="preserve">based on the evidence of defendant’s mitigating </w:t>
      </w:r>
      <w:r w:rsidR="00C65DE4" w:rsidRPr="00E35083">
        <w:rPr>
          <w:shd w:val="clear" w:color="auto" w:fill="FFFFFF"/>
        </w:rPr>
        <w:t>circumstances.  Had the Legislature wanted section 1385(c) to</w:t>
      </w:r>
      <w:r w:rsidRPr="00E35083">
        <w:rPr>
          <w:shd w:val="clear" w:color="auto" w:fill="FFFFFF"/>
        </w:rPr>
        <w:t xml:space="preserve"> apply to </w:t>
      </w:r>
      <w:r w:rsidR="00F104D8" w:rsidRPr="00E35083">
        <w:rPr>
          <w:shd w:val="clear" w:color="auto" w:fill="FFFFFF"/>
        </w:rPr>
        <w:t>premeditation findings</w:t>
      </w:r>
      <w:r w:rsidRPr="00E35083">
        <w:rPr>
          <w:shd w:val="clear" w:color="auto" w:fill="FFFFFF"/>
        </w:rPr>
        <w:t xml:space="preserve"> as well as to enhancements as legally defined, it would have said so.</w:t>
      </w:r>
      <w:r w:rsidR="00F104D8" w:rsidRPr="00E35083">
        <w:rPr>
          <w:shd w:val="clear" w:color="auto" w:fill="FFFFFF"/>
        </w:rPr>
        <w:t xml:space="preserve">  (</w:t>
      </w:r>
      <w:r w:rsidR="00F104D8" w:rsidRPr="00E35083">
        <w:rPr>
          <w:i/>
          <w:iCs/>
          <w:shd w:val="clear" w:color="auto" w:fill="FFFFFF"/>
        </w:rPr>
        <w:t>Olay, supra</w:t>
      </w:r>
      <w:r w:rsidR="00F104D8" w:rsidRPr="00E35083">
        <w:rPr>
          <w:shd w:val="clear" w:color="auto" w:fill="FFFFFF"/>
        </w:rPr>
        <w:t xml:space="preserve">, </w:t>
      </w:r>
      <w:r w:rsidR="00F104D8" w:rsidRPr="00E35083">
        <w:rPr>
          <w:rStyle w:val="ssrfcpassagedeactivated"/>
          <w:bdr w:val="none" w:sz="0" w:space="0" w:color="auto" w:frame="1"/>
          <w:shd w:val="clear" w:color="auto" w:fill="FFFFFF"/>
        </w:rPr>
        <w:t xml:space="preserve">98 Cal.App.5th at p. 67; </w:t>
      </w:r>
      <w:r w:rsidR="00F4488A" w:rsidRPr="00E35083">
        <w:rPr>
          <w:rStyle w:val="ssrfcpassagedeactivated"/>
          <w:bdr w:val="none" w:sz="0" w:space="0" w:color="auto" w:frame="1"/>
          <w:shd w:val="clear" w:color="auto" w:fill="FFFFFF"/>
        </w:rPr>
        <w:t>see</w:t>
      </w:r>
      <w:r w:rsidR="007B71E2" w:rsidRPr="00E35083">
        <w:rPr>
          <w:rStyle w:val="ssrfcpassagedeactivated"/>
          <w:bdr w:val="none" w:sz="0" w:space="0" w:color="auto" w:frame="1"/>
          <w:shd w:val="clear" w:color="auto" w:fill="FFFFFF"/>
        </w:rPr>
        <w:t xml:space="preserve"> </w:t>
      </w:r>
      <w:r w:rsidR="007B71E2" w:rsidRPr="00E35083">
        <w:rPr>
          <w:i/>
          <w:iCs/>
          <w:shd w:val="clear" w:color="auto" w:fill="FFFFFF"/>
        </w:rPr>
        <w:t>People</w:t>
      </w:r>
      <w:r w:rsidR="00F104D8" w:rsidRPr="00E35083">
        <w:rPr>
          <w:i/>
          <w:iCs/>
          <w:shd w:val="clear" w:color="auto" w:fill="FFFFFF"/>
        </w:rPr>
        <w:t xml:space="preserve"> v. </w:t>
      </w:r>
      <w:r w:rsidR="007B71E2" w:rsidRPr="00E35083">
        <w:rPr>
          <w:i/>
          <w:iCs/>
          <w:shd w:val="clear" w:color="auto" w:fill="FFFFFF"/>
        </w:rPr>
        <w:t>Brookfield</w:t>
      </w:r>
      <w:r w:rsidR="00F104D8" w:rsidRPr="00E35083">
        <w:rPr>
          <w:shd w:val="clear" w:color="auto" w:fill="FFFFFF"/>
        </w:rPr>
        <w:t xml:space="preserve"> (200</w:t>
      </w:r>
      <w:r w:rsidR="007B71E2" w:rsidRPr="00E35083">
        <w:rPr>
          <w:shd w:val="clear" w:color="auto" w:fill="FFFFFF"/>
        </w:rPr>
        <w:t>9</w:t>
      </w:r>
      <w:r w:rsidR="00F104D8" w:rsidRPr="00E35083">
        <w:rPr>
          <w:shd w:val="clear" w:color="auto" w:fill="FFFFFF"/>
        </w:rPr>
        <w:t xml:space="preserve">) </w:t>
      </w:r>
      <w:r w:rsidR="007B71E2" w:rsidRPr="00E35083">
        <w:rPr>
          <w:shd w:val="clear" w:color="auto" w:fill="FFFFFF"/>
        </w:rPr>
        <w:t>47</w:t>
      </w:r>
      <w:r w:rsidR="00F104D8" w:rsidRPr="00E35083">
        <w:rPr>
          <w:shd w:val="clear" w:color="auto" w:fill="FFFFFF"/>
        </w:rPr>
        <w:t xml:space="preserve"> Cal.4th </w:t>
      </w:r>
      <w:r w:rsidR="007B71E2" w:rsidRPr="00E35083">
        <w:rPr>
          <w:shd w:val="clear" w:color="auto" w:fill="FFFFFF"/>
        </w:rPr>
        <w:t>583</w:t>
      </w:r>
      <w:r w:rsidR="00F104D8" w:rsidRPr="00E35083">
        <w:rPr>
          <w:shd w:val="clear" w:color="auto" w:fill="FFFFFF"/>
        </w:rPr>
        <w:t xml:space="preserve">, </w:t>
      </w:r>
      <w:r w:rsidR="007B71E2" w:rsidRPr="00E35083">
        <w:rPr>
          <w:shd w:val="clear" w:color="auto" w:fill="FFFFFF"/>
        </w:rPr>
        <w:t>593</w:t>
      </w:r>
      <w:r w:rsidR="00935C66" w:rsidRPr="00E35083">
        <w:rPr>
          <w:shd w:val="clear" w:color="auto" w:fill="FFFFFF"/>
        </w:rPr>
        <w:t>–</w:t>
      </w:r>
      <w:r w:rsidR="007B71E2" w:rsidRPr="00E35083">
        <w:rPr>
          <w:shd w:val="clear" w:color="auto" w:fill="FFFFFF"/>
        </w:rPr>
        <w:t>595</w:t>
      </w:r>
      <w:r w:rsidR="00F104D8" w:rsidRPr="00E35083">
        <w:rPr>
          <w:shd w:val="clear" w:color="auto" w:fill="FFFFFF"/>
        </w:rPr>
        <w:t xml:space="preserve"> [</w:t>
      </w:r>
      <w:r w:rsidR="007B71E2" w:rsidRPr="00E35083">
        <w:rPr>
          <w:shd w:val="clear" w:color="auto" w:fill="FFFFFF"/>
        </w:rPr>
        <w:t xml:space="preserve">noting the court’s recent trend in drawing a “strict distinction </w:t>
      </w:r>
      <w:r w:rsidR="00F4488A" w:rsidRPr="00E35083">
        <w:rPr>
          <w:shd w:val="clear" w:color="auto" w:fill="FFFFFF"/>
        </w:rPr>
        <w:t>. . .</w:t>
      </w:r>
      <w:r w:rsidR="007B71E2" w:rsidRPr="00E35083">
        <w:rPr>
          <w:shd w:val="clear" w:color="auto" w:fill="FFFFFF"/>
        </w:rPr>
        <w:t xml:space="preserve"> between sentence enhancements and penalty provisions” and calling on “the Legislature </w:t>
      </w:r>
      <w:r w:rsidR="00F4488A" w:rsidRPr="00E35083">
        <w:rPr>
          <w:shd w:val="clear" w:color="auto" w:fill="FFFFFF"/>
        </w:rPr>
        <w:t>. . .</w:t>
      </w:r>
      <w:r w:rsidR="007B71E2" w:rsidRPr="00E35083">
        <w:rPr>
          <w:shd w:val="clear" w:color="auto" w:fill="FFFFFF"/>
        </w:rPr>
        <w:t>to consider [this distinction] in any future legislation on the subject”</w:t>
      </w:r>
      <w:r w:rsidR="00F104D8" w:rsidRPr="00E35083">
        <w:rPr>
          <w:shd w:val="clear" w:color="auto" w:fill="FFFFFF"/>
        </w:rPr>
        <w:t>].)</w:t>
      </w:r>
      <w:r w:rsidR="00C4592F" w:rsidRPr="00E35083">
        <w:rPr>
          <w:shd w:val="clear" w:color="auto" w:fill="FFFFFF"/>
        </w:rPr>
        <w:t xml:space="preserve">  Defendant’s argument thus fails.</w:t>
      </w:r>
    </w:p>
    <w:p w14:paraId="69CF480F" w14:textId="6258BA57" w:rsidR="006C7B6D" w:rsidRPr="00E35083" w:rsidRDefault="005A2E4C" w:rsidP="00E35083">
      <w:pPr>
        <w:pStyle w:val="ListParagraph"/>
        <w:keepNext/>
        <w:numPr>
          <w:ilvl w:val="0"/>
          <w:numId w:val="4"/>
        </w:numPr>
        <w:tabs>
          <w:tab w:val="clear" w:pos="720"/>
        </w:tabs>
        <w:spacing w:line="360" w:lineRule="auto"/>
        <w:ind w:left="720"/>
        <w:rPr>
          <w:b/>
          <w:bCs/>
          <w:i/>
          <w:iCs/>
        </w:rPr>
      </w:pPr>
      <w:r w:rsidRPr="00E35083">
        <w:rPr>
          <w:b/>
          <w:bCs/>
          <w:i/>
          <w:iCs/>
        </w:rPr>
        <w:lastRenderedPageBreak/>
        <w:t>Unauthorized Sentence: Count 1 Enhancement.</w:t>
      </w:r>
    </w:p>
    <w:p w14:paraId="0EB546A1" w14:textId="3D0016AD" w:rsidR="006C7B6D" w:rsidRPr="00E35083" w:rsidRDefault="005A2E4C" w:rsidP="00E35083">
      <w:pPr>
        <w:tabs>
          <w:tab w:val="clear" w:pos="720"/>
        </w:tabs>
        <w:spacing w:line="360" w:lineRule="auto"/>
      </w:pPr>
      <w:r w:rsidRPr="00E35083">
        <w:rPr>
          <w:b/>
          <w:bCs/>
        </w:rPr>
        <w:tab/>
      </w:r>
      <w:r w:rsidRPr="00E35083">
        <w:t xml:space="preserve">Lastly, the parties agree the trial court erred </w:t>
      </w:r>
      <w:r w:rsidR="00F4488A" w:rsidRPr="00E35083">
        <w:t>in</w:t>
      </w:r>
      <w:r w:rsidR="00B947C1" w:rsidRPr="00E35083">
        <w:t xml:space="preserve"> </w:t>
      </w:r>
      <w:r w:rsidR="00E91500" w:rsidRPr="00E35083">
        <w:t xml:space="preserve">orally </w:t>
      </w:r>
      <w:r w:rsidR="00B947C1" w:rsidRPr="00E35083">
        <w:t xml:space="preserve">pronouncing that </w:t>
      </w:r>
      <w:r w:rsidRPr="00E35083">
        <w:t xml:space="preserve">the </w:t>
      </w:r>
      <w:r w:rsidR="00B947C1" w:rsidRPr="00E35083">
        <w:t xml:space="preserve">20-year </w:t>
      </w:r>
      <w:r w:rsidRPr="00E35083">
        <w:t xml:space="preserve">sentence imposed for the firearm enhancement </w:t>
      </w:r>
      <w:r w:rsidR="00B947C1" w:rsidRPr="00E35083">
        <w:t xml:space="preserve">accompanying </w:t>
      </w:r>
      <w:r w:rsidR="00F4488A" w:rsidRPr="00E35083">
        <w:t>count 1</w:t>
      </w:r>
      <w:r w:rsidR="00B947C1" w:rsidRPr="00E35083">
        <w:t xml:space="preserve"> attached to defendant’s</w:t>
      </w:r>
      <w:r w:rsidRPr="00E35083">
        <w:t xml:space="preserve"> determinate term. </w:t>
      </w:r>
      <w:r w:rsidR="00E91500" w:rsidRPr="00E35083">
        <w:t xml:space="preserve"> (</w:t>
      </w:r>
      <w:r w:rsidR="00C4592F" w:rsidRPr="00E35083">
        <w:t xml:space="preserve">See </w:t>
      </w:r>
      <w:r w:rsidR="00E91500" w:rsidRPr="00E35083">
        <w:t>§ 12022.53, subd. (c) [“a person who, in the commission of [an enumerated felony], personally and intentionally discharges a firearm, shall be punished by an additional and consecutive term of imprisonment in the state prison for 20 years”].)</w:t>
      </w:r>
      <w:r w:rsidR="00F4488A" w:rsidRPr="00E35083">
        <w:t xml:space="preserve"> </w:t>
      </w:r>
      <w:r w:rsidR="00B947C1" w:rsidRPr="00E35083">
        <w:t xml:space="preserve"> </w:t>
      </w:r>
      <w:r w:rsidR="00E91500" w:rsidRPr="00E35083">
        <w:t>We also agree.</w:t>
      </w:r>
    </w:p>
    <w:p w14:paraId="23592BB6" w14:textId="15158EE9" w:rsidR="00D7256B" w:rsidRPr="00E35083" w:rsidRDefault="005A2E4C" w:rsidP="00E35083">
      <w:pPr>
        <w:tabs>
          <w:tab w:val="clear" w:pos="720"/>
        </w:tabs>
        <w:spacing w:line="360" w:lineRule="auto"/>
      </w:pPr>
      <w:r w:rsidRPr="00E35083">
        <w:tab/>
      </w:r>
      <w:r w:rsidR="00E91500" w:rsidRPr="00E35083">
        <w:t xml:space="preserve">At the sentencing hearing, the court imposed an indeterminate term of 30 years to life for counts </w:t>
      </w:r>
      <w:r w:rsidR="00F4488A" w:rsidRPr="00E35083">
        <w:t>1 and 3</w:t>
      </w:r>
      <w:r w:rsidR="00E91500" w:rsidRPr="00E35083">
        <w:t xml:space="preserve">. </w:t>
      </w:r>
      <w:r w:rsidR="00F4488A" w:rsidRPr="00E35083">
        <w:t xml:space="preserve"> </w:t>
      </w:r>
      <w:r w:rsidR="00E91500" w:rsidRPr="00E35083">
        <w:t xml:space="preserve">The court also </w:t>
      </w:r>
      <w:r w:rsidRPr="00E35083">
        <w:t>imposed</w:t>
      </w:r>
      <w:r w:rsidR="00E91500" w:rsidRPr="00E35083">
        <w:t xml:space="preserve"> a consecutive determinate term of </w:t>
      </w:r>
      <w:r w:rsidR="00F4488A" w:rsidRPr="00E35083">
        <w:t>35 years 8 months</w:t>
      </w:r>
      <w:r w:rsidR="00E91500" w:rsidRPr="00E35083">
        <w:t>, a total term that included the 20</w:t>
      </w:r>
      <w:r w:rsidR="00B67F4D" w:rsidRPr="00E35083">
        <w:noBreakHyphen/>
      </w:r>
      <w:r w:rsidR="00E91500" w:rsidRPr="00E35083">
        <w:t xml:space="preserve">year term for the firearm enhancement that accompanied </w:t>
      </w:r>
      <w:r w:rsidR="00F4488A" w:rsidRPr="00E35083">
        <w:t>count 1</w:t>
      </w:r>
      <w:r w:rsidR="00E91500" w:rsidRPr="00E35083">
        <w:t xml:space="preserve">.  </w:t>
      </w:r>
      <w:r w:rsidRPr="00E35083">
        <w:t>In the abstract of judgm</w:t>
      </w:r>
      <w:r w:rsidRPr="00E35083">
        <w:t>ent, however, th</w:t>
      </w:r>
      <w:r w:rsidR="00E91500" w:rsidRPr="00E35083">
        <w:t xml:space="preserve">is 20-year term </w:t>
      </w:r>
      <w:r w:rsidRPr="00E35083">
        <w:t xml:space="preserve">is attached to </w:t>
      </w:r>
      <w:r w:rsidR="00E91500" w:rsidRPr="00E35083">
        <w:t>defendant’s</w:t>
      </w:r>
      <w:r w:rsidRPr="00E35083">
        <w:t xml:space="preserve"> indeterminate sentence</w:t>
      </w:r>
      <w:r w:rsidR="001D1BC7" w:rsidRPr="00E35083">
        <w:t xml:space="preserve"> of 30 years to life</w:t>
      </w:r>
      <w:r w:rsidRPr="00E35083">
        <w:t xml:space="preserve">.  </w:t>
      </w:r>
      <w:r w:rsidR="00E91500" w:rsidRPr="00E35083">
        <w:t>As such, t</w:t>
      </w:r>
      <w:r w:rsidRPr="00E35083">
        <w:t xml:space="preserve">he abstract of judgment </w:t>
      </w:r>
      <w:r w:rsidR="00E91500" w:rsidRPr="00E35083">
        <w:t xml:space="preserve">specifies a total </w:t>
      </w:r>
      <w:r w:rsidRPr="00E35083">
        <w:t xml:space="preserve">determinate </w:t>
      </w:r>
      <w:r w:rsidR="00E91500" w:rsidRPr="00E35083">
        <w:t xml:space="preserve">term </w:t>
      </w:r>
      <w:r w:rsidRPr="00E35083">
        <w:t xml:space="preserve">of </w:t>
      </w:r>
      <w:r w:rsidR="00F4488A" w:rsidRPr="00E35083">
        <w:t>15 years 8 months</w:t>
      </w:r>
      <w:r w:rsidR="00E91500" w:rsidRPr="00E35083">
        <w:t xml:space="preserve"> and a total indeterminate term of </w:t>
      </w:r>
      <w:r w:rsidR="001D1BC7" w:rsidRPr="00E35083">
        <w:t>30 years to life plus 20 years</w:t>
      </w:r>
      <w:r w:rsidRPr="00E35083">
        <w:t>.</w:t>
      </w:r>
    </w:p>
    <w:p w14:paraId="7D349302" w14:textId="6A1A1728" w:rsidR="00464AE0" w:rsidRPr="00E35083" w:rsidRDefault="005A2E4C" w:rsidP="00E35083">
      <w:pPr>
        <w:tabs>
          <w:tab w:val="clear" w:pos="720"/>
        </w:tabs>
        <w:spacing w:line="360" w:lineRule="auto"/>
      </w:pPr>
      <w:r w:rsidRPr="00E35083">
        <w:tab/>
      </w:r>
      <w:r w:rsidR="00E91500" w:rsidRPr="00E35083">
        <w:t xml:space="preserve">The abstract of judgment is </w:t>
      </w:r>
      <w:r w:rsidR="008315F5" w:rsidRPr="00E35083">
        <w:t>correct since</w:t>
      </w:r>
      <w:r w:rsidR="00E91500" w:rsidRPr="00E35083">
        <w:t xml:space="preserve"> </w:t>
      </w:r>
      <w:r w:rsidR="004324C8" w:rsidRPr="00E35083">
        <w:t xml:space="preserve">the firearm enhancement is attached to </w:t>
      </w:r>
      <w:r w:rsidRPr="00E35083">
        <w:t>defendant’s</w:t>
      </w:r>
      <w:r w:rsidR="004324C8" w:rsidRPr="00E35083">
        <w:t xml:space="preserve"> indeterminate term for </w:t>
      </w:r>
      <w:r w:rsidR="00F4488A" w:rsidRPr="00E35083">
        <w:t>count 1</w:t>
      </w:r>
      <w:r w:rsidRPr="00E35083">
        <w:t>.  T</w:t>
      </w:r>
      <w:r w:rsidR="004324C8" w:rsidRPr="00E35083">
        <w:t>he oral pronouncement</w:t>
      </w:r>
      <w:r w:rsidRPr="00E35083">
        <w:t>, to the contrary,</w:t>
      </w:r>
      <w:r w:rsidR="004324C8" w:rsidRPr="00E35083">
        <w:t xml:space="preserve"> </w:t>
      </w:r>
      <w:r w:rsidRPr="00E35083">
        <w:t>is</w:t>
      </w:r>
      <w:r w:rsidR="004324C8" w:rsidRPr="00E35083">
        <w:t xml:space="preserve"> incorrect to the extent it attaches the firearm enhancement to </w:t>
      </w:r>
      <w:r w:rsidRPr="00E35083">
        <w:t>defendant</w:t>
      </w:r>
      <w:r w:rsidR="004324C8" w:rsidRPr="00E35083">
        <w:t>’s determinate term.</w:t>
      </w:r>
      <w:r w:rsidRPr="00E35083">
        <w:t xml:space="preserve">  Thus, because </w:t>
      </w:r>
      <w:r w:rsidR="00F4488A" w:rsidRPr="00E35083">
        <w:t>when</w:t>
      </w:r>
      <w:r w:rsidRPr="00E35083">
        <w:t xml:space="preserve">, as here, </w:t>
      </w:r>
      <w:r w:rsidRPr="00E35083">
        <w:rPr>
          <w:shd w:val="clear" w:color="auto" w:fill="FFFFFF"/>
        </w:rPr>
        <w:t xml:space="preserve">a discrepancy exists between the oral pronouncement of judgment and the abstract of judgment, the oral pronouncement ordinarily </w:t>
      </w:r>
      <w:r w:rsidR="00F4488A" w:rsidRPr="00E35083">
        <w:rPr>
          <w:rStyle w:val="ssrfcsection"/>
          <w:bdr w:val="none" w:sz="0" w:space="0" w:color="auto" w:frame="1"/>
          <w:shd w:val="clear" w:color="auto" w:fill="FFFFFF"/>
        </w:rPr>
        <w:t>controls (</w:t>
      </w:r>
      <w:r w:rsidR="00F4488A" w:rsidRPr="00E35083">
        <w:rPr>
          <w:rStyle w:val="ssrfcsection"/>
          <w:i/>
          <w:iCs/>
          <w:bdr w:val="none" w:sz="0" w:space="0" w:color="auto" w:frame="1"/>
          <w:shd w:val="clear" w:color="auto" w:fill="FFFFFF"/>
        </w:rPr>
        <w:t>People v.</w:t>
      </w:r>
      <w:r w:rsidRPr="00E35083">
        <w:rPr>
          <w:rStyle w:val="ssrfcsection"/>
          <w:i/>
          <w:iCs/>
          <w:bdr w:val="none" w:sz="0" w:space="0" w:color="auto" w:frame="1"/>
          <w:shd w:val="clear" w:color="auto" w:fill="FFFFFF"/>
        </w:rPr>
        <w:t xml:space="preserve"> Mitchell</w:t>
      </w:r>
      <w:r w:rsidRPr="00E35083">
        <w:rPr>
          <w:rStyle w:val="ssrfcsection"/>
          <w:bdr w:val="none" w:sz="0" w:space="0" w:color="auto" w:frame="1"/>
          <w:shd w:val="clear" w:color="auto" w:fill="FFFFFF"/>
        </w:rPr>
        <w:t xml:space="preserve"> (2001) 26 Cal.4th 181, </w:t>
      </w:r>
      <w:r w:rsidR="00F4488A" w:rsidRPr="00E35083">
        <w:rPr>
          <w:rStyle w:val="ssrfcsection"/>
          <w:bdr w:val="none" w:sz="0" w:space="0" w:color="auto" w:frame="1"/>
          <w:shd w:val="clear" w:color="auto" w:fill="FFFFFF"/>
        </w:rPr>
        <w:t>185–186</w:t>
      </w:r>
      <w:r w:rsidRPr="00E35083">
        <w:rPr>
          <w:rStyle w:val="ssrfcsection"/>
          <w:bdr w:val="none" w:sz="0" w:space="0" w:color="auto" w:frame="1"/>
          <w:shd w:val="clear" w:color="auto" w:fill="FFFFFF"/>
        </w:rPr>
        <w:t>)</w:t>
      </w:r>
      <w:r w:rsidRPr="00E35083">
        <w:rPr>
          <w:shd w:val="clear" w:color="auto" w:fill="FFFFFF"/>
        </w:rPr>
        <w:t>, we will order</w:t>
      </w:r>
      <w:bookmarkStart w:id="0" w:name="PAGE_7051"/>
      <w:r w:rsidRPr="00E35083">
        <w:rPr>
          <w:shd w:val="clear" w:color="auto" w:fill="FFFFFF"/>
        </w:rPr>
        <w:t xml:space="preserve"> a limited remand to permit</w:t>
      </w:r>
      <w:bookmarkEnd w:id="0"/>
      <w:r w:rsidRPr="00E35083">
        <w:rPr>
          <w:shd w:val="clear" w:color="auto" w:fill="FFFFFF"/>
        </w:rPr>
        <w:t xml:space="preserve"> the trial court to clarify for the record </w:t>
      </w:r>
      <w:r w:rsidR="00CE1CF4" w:rsidRPr="00E35083">
        <w:rPr>
          <w:shd w:val="clear" w:color="auto" w:fill="FFFFFF"/>
        </w:rPr>
        <w:t xml:space="preserve">that </w:t>
      </w:r>
      <w:r w:rsidR="00CE1CF4" w:rsidRPr="00E35083">
        <w:t>the 20-year term for the firearm enhancement is attached to defendant’s indeterminate term.</w:t>
      </w:r>
    </w:p>
    <w:p w14:paraId="34972F37" w14:textId="77777777" w:rsidR="00B03982" w:rsidRPr="00E35083" w:rsidRDefault="005A2E4C" w:rsidP="00E35083">
      <w:pPr>
        <w:keepNext/>
        <w:tabs>
          <w:tab w:val="clear" w:pos="720"/>
        </w:tabs>
        <w:spacing w:line="360" w:lineRule="auto"/>
        <w:jc w:val="center"/>
        <w:rPr>
          <w:b/>
          <w:bCs/>
        </w:rPr>
      </w:pPr>
      <w:r w:rsidRPr="00E35083">
        <w:rPr>
          <w:b/>
          <w:bCs/>
        </w:rPr>
        <w:lastRenderedPageBreak/>
        <w:t>DISPOSITION</w:t>
      </w:r>
    </w:p>
    <w:p w14:paraId="43D461C2" w14:textId="795DC56F" w:rsidR="00B03982" w:rsidRPr="00E35083" w:rsidRDefault="005A2E4C" w:rsidP="00E35083">
      <w:pPr>
        <w:tabs>
          <w:tab w:val="clear" w:pos="720"/>
        </w:tabs>
        <w:spacing w:line="360" w:lineRule="auto"/>
      </w:pPr>
      <w:r w:rsidRPr="00E35083">
        <w:tab/>
        <w:t>Th</w:t>
      </w:r>
      <w:r w:rsidR="00B947C1" w:rsidRPr="00E35083">
        <w:t xml:space="preserve">is matter is remanded to the trial court for the limited purpose of correcting the </w:t>
      </w:r>
      <w:r w:rsidR="001D1BC7" w:rsidRPr="00E35083">
        <w:t xml:space="preserve">record to reflect </w:t>
      </w:r>
      <w:r w:rsidR="00CE1CF4" w:rsidRPr="00E35083">
        <w:t>that</w:t>
      </w:r>
      <w:r w:rsidR="00B947C1" w:rsidRPr="00E35083">
        <w:t xml:space="preserve"> the 20-year sentence for the firearm enhancement </w:t>
      </w:r>
      <w:r w:rsidR="001D1BC7" w:rsidRPr="00E35083">
        <w:t xml:space="preserve">accompanying </w:t>
      </w:r>
      <w:r w:rsidR="00F4488A" w:rsidRPr="00E35083">
        <w:t>count 1</w:t>
      </w:r>
      <w:r w:rsidR="001D1BC7" w:rsidRPr="00E35083">
        <w:t xml:space="preserve"> </w:t>
      </w:r>
      <w:r w:rsidR="00CE1CF4" w:rsidRPr="00E35083">
        <w:t>is attached t</w:t>
      </w:r>
      <w:r w:rsidR="00B947C1" w:rsidRPr="00E35083">
        <w:t>o defendant’s indeterminate term</w:t>
      </w:r>
      <w:r w:rsidR="00531044" w:rsidRPr="00E35083">
        <w:t xml:space="preserve"> </w:t>
      </w:r>
      <w:r w:rsidR="00CE1CF4" w:rsidRPr="00E35083">
        <w:t>and not</w:t>
      </w:r>
      <w:r w:rsidR="00531044" w:rsidRPr="00E35083">
        <w:t xml:space="preserve"> his determinate term</w:t>
      </w:r>
      <w:r w:rsidR="00B947C1" w:rsidRPr="00E35083">
        <w:t>.  In all other regards, the judgment is affirmed</w:t>
      </w:r>
      <w:r w:rsidRPr="00E35083">
        <w:t>.</w:t>
      </w:r>
    </w:p>
    <w:p w14:paraId="4C66C423" w14:textId="77183FF5" w:rsidR="00B03982" w:rsidRPr="00E35083" w:rsidRDefault="00B03982" w:rsidP="00E35083">
      <w:pPr>
        <w:tabs>
          <w:tab w:val="clear" w:pos="720"/>
        </w:tabs>
        <w:spacing w:line="360" w:lineRule="auto"/>
      </w:pPr>
    </w:p>
    <w:p w14:paraId="77CF962A" w14:textId="47387443" w:rsidR="00B67F4D" w:rsidRPr="00E35083" w:rsidRDefault="005A2E4C" w:rsidP="00E35083">
      <w:pPr>
        <w:tabs>
          <w:tab w:val="clear" w:pos="720"/>
        </w:tabs>
        <w:spacing w:line="240" w:lineRule="auto"/>
      </w:pPr>
      <w:r w:rsidRPr="00E35083">
        <w:tab/>
      </w:r>
      <w:r w:rsidRPr="00E35083">
        <w:tab/>
      </w:r>
      <w:r w:rsidRPr="00E35083">
        <w:tab/>
      </w:r>
      <w:r w:rsidRPr="00E35083">
        <w:tab/>
      </w:r>
      <w:r w:rsidRPr="00E35083">
        <w:tab/>
      </w:r>
      <w:r w:rsidRPr="00E35083">
        <w:tab/>
      </w:r>
      <w:r w:rsidRPr="00E35083">
        <w:tab/>
        <w:t>Jackson, P. J.</w:t>
      </w:r>
    </w:p>
    <w:p w14:paraId="7C564856" w14:textId="77777777" w:rsidR="00B67F4D" w:rsidRPr="00E35083" w:rsidRDefault="00B67F4D" w:rsidP="00E35083">
      <w:pPr>
        <w:tabs>
          <w:tab w:val="clear" w:pos="720"/>
        </w:tabs>
        <w:spacing w:line="240" w:lineRule="auto"/>
      </w:pPr>
    </w:p>
    <w:p w14:paraId="56642FCB" w14:textId="5C8A68D8" w:rsidR="00B67F4D" w:rsidRPr="00E35083" w:rsidRDefault="005A2E4C" w:rsidP="00E35083">
      <w:pPr>
        <w:tabs>
          <w:tab w:val="clear" w:pos="720"/>
        </w:tabs>
        <w:spacing w:line="240" w:lineRule="auto"/>
      </w:pPr>
      <w:r w:rsidRPr="00E35083">
        <w:t>WE CONCUR:</w:t>
      </w:r>
    </w:p>
    <w:p w14:paraId="21749AEC" w14:textId="77777777" w:rsidR="00B67F4D" w:rsidRPr="00E35083" w:rsidRDefault="00B67F4D" w:rsidP="00E35083">
      <w:pPr>
        <w:tabs>
          <w:tab w:val="clear" w:pos="720"/>
        </w:tabs>
        <w:spacing w:line="240" w:lineRule="auto"/>
      </w:pPr>
    </w:p>
    <w:p w14:paraId="0C89D8F5" w14:textId="1526AC23" w:rsidR="00B67F4D" w:rsidRPr="00E35083" w:rsidRDefault="005A2E4C" w:rsidP="00E35083">
      <w:pPr>
        <w:tabs>
          <w:tab w:val="clear" w:pos="720"/>
        </w:tabs>
        <w:spacing w:line="240" w:lineRule="auto"/>
      </w:pPr>
      <w:r w:rsidRPr="00E35083">
        <w:t>Simons, J.</w:t>
      </w:r>
    </w:p>
    <w:p w14:paraId="23F13B60" w14:textId="6F1B11F1" w:rsidR="00B67F4D" w:rsidRPr="00E35083" w:rsidRDefault="005A2E4C" w:rsidP="00E35083">
      <w:pPr>
        <w:tabs>
          <w:tab w:val="clear" w:pos="720"/>
        </w:tabs>
        <w:spacing w:line="240" w:lineRule="auto"/>
      </w:pPr>
      <w:r w:rsidRPr="00E35083">
        <w:t>Burns, J.</w:t>
      </w:r>
    </w:p>
    <w:p w14:paraId="2DBAB8D3" w14:textId="77777777" w:rsidR="00B67F4D" w:rsidRPr="00E35083" w:rsidRDefault="00B67F4D" w:rsidP="00E35083">
      <w:pPr>
        <w:tabs>
          <w:tab w:val="clear" w:pos="720"/>
        </w:tabs>
        <w:spacing w:line="240" w:lineRule="auto"/>
      </w:pPr>
    </w:p>
    <w:p w14:paraId="6E2B1DA3" w14:textId="77777777" w:rsidR="00A421E3" w:rsidRPr="00E35083" w:rsidRDefault="00A421E3" w:rsidP="00E35083">
      <w:pPr>
        <w:tabs>
          <w:tab w:val="clear" w:pos="720"/>
        </w:tabs>
        <w:spacing w:line="240" w:lineRule="auto"/>
      </w:pPr>
    </w:p>
    <w:p w14:paraId="7C34C37A" w14:textId="77777777" w:rsidR="00A421E3" w:rsidRPr="00E35083" w:rsidRDefault="00A421E3" w:rsidP="00E35083">
      <w:pPr>
        <w:tabs>
          <w:tab w:val="clear" w:pos="720"/>
        </w:tabs>
        <w:spacing w:line="240" w:lineRule="auto"/>
      </w:pPr>
    </w:p>
    <w:p w14:paraId="11AEBCB4" w14:textId="77777777" w:rsidR="00A421E3" w:rsidRPr="00E35083" w:rsidRDefault="00A421E3" w:rsidP="00E35083">
      <w:pPr>
        <w:tabs>
          <w:tab w:val="clear" w:pos="720"/>
        </w:tabs>
        <w:spacing w:line="240" w:lineRule="auto"/>
      </w:pPr>
    </w:p>
    <w:p w14:paraId="017C6114" w14:textId="77777777" w:rsidR="00A421E3" w:rsidRPr="00E35083" w:rsidRDefault="00A421E3" w:rsidP="00E35083">
      <w:pPr>
        <w:tabs>
          <w:tab w:val="clear" w:pos="720"/>
        </w:tabs>
        <w:spacing w:line="240" w:lineRule="auto"/>
      </w:pPr>
    </w:p>
    <w:p w14:paraId="1F0FFA69" w14:textId="77777777" w:rsidR="00A421E3" w:rsidRPr="00E35083" w:rsidRDefault="00A421E3" w:rsidP="00E35083">
      <w:pPr>
        <w:tabs>
          <w:tab w:val="clear" w:pos="720"/>
        </w:tabs>
        <w:spacing w:line="240" w:lineRule="auto"/>
      </w:pPr>
    </w:p>
    <w:p w14:paraId="62D80972" w14:textId="77777777" w:rsidR="00A421E3" w:rsidRPr="00E35083" w:rsidRDefault="00A421E3" w:rsidP="00E35083">
      <w:pPr>
        <w:tabs>
          <w:tab w:val="clear" w:pos="720"/>
        </w:tabs>
        <w:spacing w:line="240" w:lineRule="auto"/>
      </w:pPr>
    </w:p>
    <w:p w14:paraId="37D411DD" w14:textId="77777777" w:rsidR="00A421E3" w:rsidRPr="00E35083" w:rsidRDefault="00A421E3" w:rsidP="00E35083">
      <w:pPr>
        <w:tabs>
          <w:tab w:val="clear" w:pos="720"/>
        </w:tabs>
        <w:spacing w:line="240" w:lineRule="auto"/>
      </w:pPr>
    </w:p>
    <w:p w14:paraId="61867B19" w14:textId="77777777" w:rsidR="00A421E3" w:rsidRPr="00E35083" w:rsidRDefault="00A421E3" w:rsidP="00E35083">
      <w:pPr>
        <w:tabs>
          <w:tab w:val="clear" w:pos="720"/>
        </w:tabs>
        <w:spacing w:line="240" w:lineRule="auto"/>
      </w:pPr>
    </w:p>
    <w:p w14:paraId="0AC1F128" w14:textId="77777777" w:rsidR="00A421E3" w:rsidRPr="00E35083" w:rsidRDefault="00A421E3" w:rsidP="00E35083">
      <w:pPr>
        <w:tabs>
          <w:tab w:val="clear" w:pos="720"/>
        </w:tabs>
        <w:spacing w:line="240" w:lineRule="auto"/>
      </w:pPr>
    </w:p>
    <w:p w14:paraId="25DED3C4" w14:textId="77777777" w:rsidR="00A421E3" w:rsidRPr="00E35083" w:rsidRDefault="00A421E3" w:rsidP="00E35083">
      <w:pPr>
        <w:tabs>
          <w:tab w:val="clear" w:pos="720"/>
        </w:tabs>
        <w:spacing w:line="240" w:lineRule="auto"/>
      </w:pPr>
    </w:p>
    <w:p w14:paraId="643A89D8" w14:textId="77777777" w:rsidR="00A421E3" w:rsidRPr="00E35083" w:rsidRDefault="00A421E3" w:rsidP="00E35083">
      <w:pPr>
        <w:tabs>
          <w:tab w:val="clear" w:pos="720"/>
        </w:tabs>
        <w:spacing w:line="240" w:lineRule="auto"/>
      </w:pPr>
    </w:p>
    <w:p w14:paraId="54CD64E2" w14:textId="77777777" w:rsidR="00A421E3" w:rsidRDefault="00A421E3" w:rsidP="00E35083">
      <w:pPr>
        <w:tabs>
          <w:tab w:val="clear" w:pos="720"/>
        </w:tabs>
        <w:spacing w:line="240" w:lineRule="auto"/>
      </w:pPr>
    </w:p>
    <w:p w14:paraId="6558E82C" w14:textId="77777777" w:rsidR="005247CE" w:rsidRDefault="005247CE" w:rsidP="00E35083">
      <w:pPr>
        <w:tabs>
          <w:tab w:val="clear" w:pos="720"/>
        </w:tabs>
        <w:spacing w:line="240" w:lineRule="auto"/>
      </w:pPr>
    </w:p>
    <w:p w14:paraId="26F54D54" w14:textId="77777777" w:rsidR="005247CE" w:rsidRDefault="005247CE" w:rsidP="00E35083">
      <w:pPr>
        <w:tabs>
          <w:tab w:val="clear" w:pos="720"/>
        </w:tabs>
        <w:spacing w:line="240" w:lineRule="auto"/>
      </w:pPr>
    </w:p>
    <w:p w14:paraId="5A655C85" w14:textId="77777777" w:rsidR="005247CE" w:rsidRDefault="005247CE" w:rsidP="00E35083">
      <w:pPr>
        <w:tabs>
          <w:tab w:val="clear" w:pos="720"/>
        </w:tabs>
        <w:spacing w:line="240" w:lineRule="auto"/>
      </w:pPr>
    </w:p>
    <w:p w14:paraId="45831BD5" w14:textId="77777777" w:rsidR="005247CE" w:rsidRDefault="005247CE" w:rsidP="00E35083">
      <w:pPr>
        <w:tabs>
          <w:tab w:val="clear" w:pos="720"/>
        </w:tabs>
        <w:spacing w:line="240" w:lineRule="auto"/>
      </w:pPr>
    </w:p>
    <w:p w14:paraId="2558E44A" w14:textId="77777777" w:rsidR="005247CE" w:rsidRDefault="005247CE" w:rsidP="00E35083">
      <w:pPr>
        <w:tabs>
          <w:tab w:val="clear" w:pos="720"/>
        </w:tabs>
        <w:spacing w:line="240" w:lineRule="auto"/>
      </w:pPr>
    </w:p>
    <w:p w14:paraId="0F4382C3" w14:textId="77777777" w:rsidR="005247CE" w:rsidRDefault="005247CE" w:rsidP="00E35083">
      <w:pPr>
        <w:tabs>
          <w:tab w:val="clear" w:pos="720"/>
        </w:tabs>
        <w:spacing w:line="240" w:lineRule="auto"/>
      </w:pPr>
    </w:p>
    <w:p w14:paraId="048D3522" w14:textId="77777777" w:rsidR="005247CE" w:rsidRDefault="005247CE" w:rsidP="00E35083">
      <w:pPr>
        <w:tabs>
          <w:tab w:val="clear" w:pos="720"/>
        </w:tabs>
        <w:spacing w:line="240" w:lineRule="auto"/>
      </w:pPr>
    </w:p>
    <w:p w14:paraId="74FE1914" w14:textId="77777777" w:rsidR="005247CE" w:rsidRDefault="005247CE" w:rsidP="00E35083">
      <w:pPr>
        <w:tabs>
          <w:tab w:val="clear" w:pos="720"/>
        </w:tabs>
        <w:spacing w:line="240" w:lineRule="auto"/>
      </w:pPr>
    </w:p>
    <w:p w14:paraId="1A06A022" w14:textId="779BD00C" w:rsidR="00A421E3" w:rsidRPr="005247CE" w:rsidRDefault="005A2E4C" w:rsidP="00E35083">
      <w:pPr>
        <w:tabs>
          <w:tab w:val="clear" w:pos="720"/>
        </w:tabs>
        <w:spacing w:line="240" w:lineRule="auto"/>
        <w:rPr>
          <w:i/>
          <w:iCs/>
          <w:sz w:val="20"/>
          <w:szCs w:val="20"/>
        </w:rPr>
      </w:pPr>
      <w:r w:rsidRPr="005247CE">
        <w:rPr>
          <w:sz w:val="20"/>
          <w:szCs w:val="20"/>
        </w:rPr>
        <w:t>A166011/</w:t>
      </w:r>
      <w:r w:rsidRPr="005247CE">
        <w:rPr>
          <w:i/>
          <w:iCs/>
          <w:sz w:val="20"/>
          <w:szCs w:val="20"/>
        </w:rPr>
        <w:t>People v. Mario Guadalupe Serrano</w:t>
      </w:r>
    </w:p>
    <w:p w14:paraId="7FB1FBDD" w14:textId="6A1838CE" w:rsidR="00FB0456" w:rsidRPr="00E35083" w:rsidRDefault="005A2E4C" w:rsidP="00E35083">
      <w:pPr>
        <w:tabs>
          <w:tab w:val="clear" w:pos="720"/>
        </w:tabs>
        <w:spacing w:line="360" w:lineRule="auto"/>
      </w:pPr>
      <w:r w:rsidRPr="00E35083">
        <w:br w:type="page"/>
      </w:r>
    </w:p>
    <w:p w14:paraId="08480546" w14:textId="006B4581" w:rsidR="00E72D03" w:rsidRPr="00E35083" w:rsidRDefault="005A2E4C" w:rsidP="00E35083">
      <w:pPr>
        <w:tabs>
          <w:tab w:val="clear" w:pos="720"/>
        </w:tabs>
        <w:spacing w:line="240" w:lineRule="auto"/>
        <w:rPr>
          <w:u w:val="single"/>
        </w:rPr>
      </w:pPr>
      <w:r w:rsidRPr="00E35083">
        <w:rPr>
          <w:u w:val="single"/>
        </w:rPr>
        <w:lastRenderedPageBreak/>
        <w:t>A166011/People v. Mario Guadalupe Serrano</w:t>
      </w:r>
    </w:p>
    <w:p w14:paraId="4DFF0B59" w14:textId="77777777" w:rsidR="00E72D03" w:rsidRPr="00E35083" w:rsidRDefault="00E72D03" w:rsidP="00E35083">
      <w:pPr>
        <w:tabs>
          <w:tab w:val="clear" w:pos="720"/>
        </w:tabs>
        <w:spacing w:line="240" w:lineRule="auto"/>
      </w:pPr>
    </w:p>
    <w:tbl>
      <w:tblPr>
        <w:tblW w:w="9450" w:type="dxa"/>
        <w:tblLayout w:type="fixed"/>
        <w:tblLook w:val="06A0" w:firstRow="1" w:lastRow="0" w:firstColumn="1" w:lastColumn="0" w:noHBand="1" w:noVBand="1"/>
      </w:tblPr>
      <w:tblGrid>
        <w:gridCol w:w="2250"/>
        <w:gridCol w:w="7200"/>
      </w:tblGrid>
      <w:tr w:rsidR="00506D91" w14:paraId="2D23F89B" w14:textId="77777777" w:rsidTr="003D4059">
        <w:tc>
          <w:tcPr>
            <w:tcW w:w="2250" w:type="dxa"/>
            <w:shd w:val="clear" w:color="auto" w:fill="auto"/>
          </w:tcPr>
          <w:p w14:paraId="449F1831" w14:textId="77777777" w:rsidR="005260E1" w:rsidRPr="00E35083" w:rsidRDefault="005A2E4C" w:rsidP="00E35083">
            <w:pPr>
              <w:tabs>
                <w:tab w:val="clear" w:pos="720"/>
              </w:tabs>
              <w:spacing w:line="240" w:lineRule="auto"/>
              <w:ind w:left="-106"/>
              <w:rPr>
                <w:rFonts w:eastAsia="Century Schoolbook" w:cs="Century Schoolbook"/>
              </w:rPr>
            </w:pPr>
            <w:r w:rsidRPr="00E35083">
              <w:rPr>
                <w:rFonts w:eastAsia="Century Schoolbook" w:cs="Century Schoolbook"/>
              </w:rPr>
              <w:t>Trial Court:</w:t>
            </w:r>
          </w:p>
        </w:tc>
        <w:tc>
          <w:tcPr>
            <w:tcW w:w="7200" w:type="dxa"/>
            <w:shd w:val="clear" w:color="auto" w:fill="auto"/>
          </w:tcPr>
          <w:p w14:paraId="266FE153" w14:textId="2E8D1883" w:rsidR="005260E1" w:rsidRPr="00E35083" w:rsidRDefault="005A2E4C" w:rsidP="00E35083">
            <w:pPr>
              <w:tabs>
                <w:tab w:val="clear" w:pos="720"/>
              </w:tabs>
              <w:spacing w:line="240" w:lineRule="auto"/>
              <w:rPr>
                <w:rFonts w:eastAsia="Century Schoolbook" w:cs="Century Schoolbook"/>
              </w:rPr>
            </w:pPr>
            <w:r w:rsidRPr="00E35083">
              <w:rPr>
                <w:rFonts w:eastAsia="Century Schoolbook" w:cs="Century Schoolbook"/>
              </w:rPr>
              <w:t xml:space="preserve">Superior Court of the County of </w:t>
            </w:r>
            <w:r w:rsidR="00EA074D" w:rsidRPr="00E35083">
              <w:rPr>
                <w:rFonts w:eastAsia="Century Schoolbook" w:cs="Century Schoolbook"/>
              </w:rPr>
              <w:t>Contra Costa</w:t>
            </w:r>
          </w:p>
        </w:tc>
      </w:tr>
      <w:tr w:rsidR="00506D91" w14:paraId="0F75A7A2" w14:textId="77777777" w:rsidTr="003D4059">
        <w:tc>
          <w:tcPr>
            <w:tcW w:w="2250" w:type="dxa"/>
            <w:shd w:val="clear" w:color="auto" w:fill="auto"/>
          </w:tcPr>
          <w:p w14:paraId="580528C6" w14:textId="77777777" w:rsidR="005260E1" w:rsidRPr="00E35083" w:rsidRDefault="005260E1" w:rsidP="00E35083">
            <w:pPr>
              <w:tabs>
                <w:tab w:val="clear" w:pos="720"/>
              </w:tabs>
              <w:spacing w:line="240" w:lineRule="auto"/>
              <w:ind w:left="-106"/>
              <w:rPr>
                <w:rFonts w:eastAsia="Century Schoolbook" w:cs="Century Schoolbook"/>
              </w:rPr>
            </w:pPr>
          </w:p>
        </w:tc>
        <w:tc>
          <w:tcPr>
            <w:tcW w:w="7200" w:type="dxa"/>
            <w:shd w:val="clear" w:color="auto" w:fill="auto"/>
          </w:tcPr>
          <w:p w14:paraId="58FA254C" w14:textId="77777777" w:rsidR="005260E1" w:rsidRPr="00E35083" w:rsidRDefault="005260E1" w:rsidP="00E35083">
            <w:pPr>
              <w:tabs>
                <w:tab w:val="clear" w:pos="720"/>
              </w:tabs>
              <w:spacing w:line="240" w:lineRule="auto"/>
              <w:rPr>
                <w:rFonts w:eastAsia="Century Schoolbook" w:cs="Century Schoolbook"/>
              </w:rPr>
            </w:pPr>
          </w:p>
        </w:tc>
      </w:tr>
      <w:tr w:rsidR="00506D91" w14:paraId="146BF966" w14:textId="77777777" w:rsidTr="003D4059">
        <w:tc>
          <w:tcPr>
            <w:tcW w:w="2250" w:type="dxa"/>
            <w:shd w:val="clear" w:color="auto" w:fill="auto"/>
          </w:tcPr>
          <w:p w14:paraId="2FACAF38" w14:textId="77777777" w:rsidR="005260E1" w:rsidRPr="00E35083" w:rsidRDefault="005A2E4C" w:rsidP="00E35083">
            <w:pPr>
              <w:tabs>
                <w:tab w:val="clear" w:pos="720"/>
              </w:tabs>
              <w:spacing w:line="240" w:lineRule="auto"/>
              <w:ind w:left="-106"/>
              <w:rPr>
                <w:rFonts w:eastAsia="Century Schoolbook" w:cs="Century Schoolbook"/>
              </w:rPr>
            </w:pPr>
            <w:r w:rsidRPr="00E35083">
              <w:rPr>
                <w:rFonts w:eastAsia="Century Schoolbook" w:cs="Century Schoolbook"/>
              </w:rPr>
              <w:t>Trial Judge:</w:t>
            </w:r>
          </w:p>
        </w:tc>
        <w:tc>
          <w:tcPr>
            <w:tcW w:w="7200" w:type="dxa"/>
            <w:shd w:val="clear" w:color="auto" w:fill="auto"/>
          </w:tcPr>
          <w:p w14:paraId="0ECAC81F" w14:textId="458476DC" w:rsidR="005260E1" w:rsidRPr="00E35083" w:rsidRDefault="005A2E4C" w:rsidP="00E35083">
            <w:pPr>
              <w:tabs>
                <w:tab w:val="clear" w:pos="720"/>
              </w:tabs>
              <w:spacing w:line="240" w:lineRule="auto"/>
              <w:rPr>
                <w:rFonts w:eastAsia="Century Schoolbook" w:cs="Century Schoolbook"/>
              </w:rPr>
            </w:pPr>
            <w:r w:rsidRPr="00E35083">
              <w:rPr>
                <w:rFonts w:eastAsia="Century Schoolbook" w:cs="Century Schoolbook"/>
              </w:rPr>
              <w:t>Nancy Davis Stark</w:t>
            </w:r>
          </w:p>
        </w:tc>
      </w:tr>
      <w:tr w:rsidR="00506D91" w14:paraId="516D336B" w14:textId="77777777" w:rsidTr="003D4059">
        <w:tc>
          <w:tcPr>
            <w:tcW w:w="2250" w:type="dxa"/>
            <w:shd w:val="clear" w:color="auto" w:fill="auto"/>
          </w:tcPr>
          <w:p w14:paraId="0D4B7102" w14:textId="77777777" w:rsidR="005260E1" w:rsidRPr="00E35083" w:rsidRDefault="005260E1" w:rsidP="00E35083">
            <w:pPr>
              <w:tabs>
                <w:tab w:val="clear" w:pos="720"/>
              </w:tabs>
              <w:spacing w:line="240" w:lineRule="auto"/>
              <w:ind w:left="-106"/>
              <w:rPr>
                <w:rFonts w:eastAsia="Century Schoolbook" w:cs="Century Schoolbook"/>
              </w:rPr>
            </w:pPr>
          </w:p>
        </w:tc>
        <w:tc>
          <w:tcPr>
            <w:tcW w:w="7200" w:type="dxa"/>
            <w:shd w:val="clear" w:color="auto" w:fill="auto"/>
          </w:tcPr>
          <w:p w14:paraId="223B20FC" w14:textId="77777777" w:rsidR="005260E1" w:rsidRPr="00E35083" w:rsidRDefault="005260E1" w:rsidP="00E35083">
            <w:pPr>
              <w:tabs>
                <w:tab w:val="clear" w:pos="720"/>
              </w:tabs>
              <w:spacing w:line="240" w:lineRule="auto"/>
              <w:rPr>
                <w:rFonts w:eastAsia="Century Schoolbook" w:cs="Century Schoolbook"/>
              </w:rPr>
            </w:pPr>
          </w:p>
        </w:tc>
      </w:tr>
      <w:tr w:rsidR="00506D91" w14:paraId="42865D72" w14:textId="77777777" w:rsidTr="003D4059">
        <w:tc>
          <w:tcPr>
            <w:tcW w:w="2250" w:type="dxa"/>
            <w:shd w:val="clear" w:color="auto" w:fill="auto"/>
          </w:tcPr>
          <w:p w14:paraId="655A81D6" w14:textId="77777777" w:rsidR="005260E1" w:rsidRPr="00E35083" w:rsidRDefault="005A2E4C" w:rsidP="00E35083">
            <w:pPr>
              <w:tabs>
                <w:tab w:val="clear" w:pos="720"/>
              </w:tabs>
              <w:spacing w:line="240" w:lineRule="auto"/>
              <w:ind w:left="-106"/>
              <w:rPr>
                <w:rFonts w:eastAsia="Century Schoolbook" w:cs="Century Schoolbook"/>
              </w:rPr>
            </w:pPr>
            <w:r w:rsidRPr="00E35083">
              <w:rPr>
                <w:rFonts w:eastAsia="Century Schoolbook" w:cs="Century Schoolbook"/>
              </w:rPr>
              <w:t>Counsel:</w:t>
            </w:r>
          </w:p>
        </w:tc>
        <w:tc>
          <w:tcPr>
            <w:tcW w:w="7200" w:type="dxa"/>
            <w:shd w:val="clear" w:color="auto" w:fill="auto"/>
          </w:tcPr>
          <w:p w14:paraId="5C33D325" w14:textId="33ADBAC8" w:rsidR="005260E1" w:rsidRPr="00E35083" w:rsidRDefault="005A2E4C" w:rsidP="00E35083">
            <w:pPr>
              <w:tabs>
                <w:tab w:val="clear" w:pos="720"/>
              </w:tabs>
              <w:spacing w:line="240" w:lineRule="auto"/>
              <w:ind w:left="615" w:hanging="615"/>
              <w:rPr>
                <w:rFonts w:eastAsia="Century Schoolbook" w:cs="Century Schoolbook"/>
              </w:rPr>
            </w:pPr>
            <w:r w:rsidRPr="00E35083">
              <w:rPr>
                <w:rFonts w:eastAsia="Century Schoolbook" w:cs="Century Schoolbook"/>
              </w:rPr>
              <w:t xml:space="preserve">Eric </w:t>
            </w:r>
            <w:proofErr w:type="spellStart"/>
            <w:r w:rsidR="00AA3091" w:rsidRPr="00E35083">
              <w:rPr>
                <w:rFonts w:eastAsia="Century Schoolbook" w:cs="Century Schoolbook"/>
              </w:rPr>
              <w:t>Multhaup</w:t>
            </w:r>
            <w:proofErr w:type="spellEnd"/>
            <w:r w:rsidRPr="00E35083">
              <w:rPr>
                <w:rFonts w:eastAsia="Century Schoolbook" w:cs="Century Schoolbook"/>
              </w:rPr>
              <w:t xml:space="preserve">, under appointment by the Court </w:t>
            </w:r>
            <w:r w:rsidR="00AA3091" w:rsidRPr="00E35083">
              <w:rPr>
                <w:rFonts w:eastAsia="Century Schoolbook" w:cs="Century Schoolbook"/>
              </w:rPr>
              <w:t xml:space="preserve">of </w:t>
            </w:r>
            <w:r w:rsidRPr="00E35083">
              <w:rPr>
                <w:rFonts w:eastAsia="Century Schoolbook" w:cs="Century Schoolbook"/>
              </w:rPr>
              <w:t>Appeal, for Defendant and Appellant.</w:t>
            </w:r>
          </w:p>
          <w:p w14:paraId="4B381B91" w14:textId="77777777" w:rsidR="005260E1" w:rsidRPr="00E35083" w:rsidRDefault="005260E1" w:rsidP="00E35083">
            <w:pPr>
              <w:tabs>
                <w:tab w:val="clear" w:pos="720"/>
              </w:tabs>
              <w:spacing w:line="240" w:lineRule="auto"/>
              <w:rPr>
                <w:rFonts w:eastAsia="Century Schoolbook" w:cs="Century Schoolbook"/>
              </w:rPr>
            </w:pPr>
          </w:p>
        </w:tc>
      </w:tr>
      <w:tr w:rsidR="00506D91" w14:paraId="7BB18492" w14:textId="77777777" w:rsidTr="003D4059">
        <w:tc>
          <w:tcPr>
            <w:tcW w:w="2250" w:type="dxa"/>
            <w:shd w:val="clear" w:color="auto" w:fill="auto"/>
          </w:tcPr>
          <w:p w14:paraId="37BBBB1A" w14:textId="77777777" w:rsidR="005260E1" w:rsidRPr="00E35083" w:rsidRDefault="005260E1" w:rsidP="00E35083">
            <w:pPr>
              <w:tabs>
                <w:tab w:val="clear" w:pos="720"/>
              </w:tabs>
              <w:spacing w:line="240" w:lineRule="auto"/>
              <w:ind w:left="-106"/>
              <w:rPr>
                <w:rFonts w:eastAsia="Century Schoolbook" w:cs="Century Schoolbook"/>
              </w:rPr>
            </w:pPr>
          </w:p>
        </w:tc>
        <w:tc>
          <w:tcPr>
            <w:tcW w:w="7200" w:type="dxa"/>
            <w:shd w:val="clear" w:color="auto" w:fill="auto"/>
          </w:tcPr>
          <w:p w14:paraId="3805A25F" w14:textId="00D4993B" w:rsidR="005260E1" w:rsidRPr="00E35083" w:rsidRDefault="005A2E4C" w:rsidP="00E35083">
            <w:pPr>
              <w:tabs>
                <w:tab w:val="clear" w:pos="720"/>
              </w:tabs>
              <w:spacing w:line="240" w:lineRule="auto"/>
              <w:ind w:left="615" w:hanging="615"/>
              <w:rPr>
                <w:rFonts w:eastAsia="Century Schoolbook" w:cs="Century Schoolbook"/>
              </w:rPr>
            </w:pPr>
            <w:r w:rsidRPr="00E35083">
              <w:rPr>
                <w:rFonts w:eastAsia="Century Schoolbook" w:cs="Century Schoolbook"/>
              </w:rPr>
              <w:t xml:space="preserve">Rob Bonta, Attorney General, Lance E. Winters and </w:t>
            </w:r>
            <w:r w:rsidR="00B55491">
              <w:rPr>
                <w:rFonts w:eastAsia="Century Schoolbook" w:cs="Century Schoolbook"/>
              </w:rPr>
              <w:t xml:space="preserve">Susan Sullivan </w:t>
            </w:r>
            <w:proofErr w:type="spellStart"/>
            <w:r w:rsidR="00B55491">
              <w:rPr>
                <w:rFonts w:eastAsia="Century Schoolbook" w:cs="Century Schoolbook"/>
              </w:rPr>
              <w:t>Pithey</w:t>
            </w:r>
            <w:proofErr w:type="spellEnd"/>
            <w:r w:rsidRPr="00E35083">
              <w:rPr>
                <w:rFonts w:eastAsia="Century Schoolbook" w:cs="Century Schoolbook"/>
              </w:rPr>
              <w:t xml:space="preserve">, Assistant Attorneys General, </w:t>
            </w:r>
            <w:r w:rsidR="002679A5" w:rsidRPr="00E35083">
              <w:rPr>
                <w:rFonts w:eastAsia="Century Schoolbook" w:cs="Century Schoolbook"/>
              </w:rPr>
              <w:t>Steven D. Matthews</w:t>
            </w:r>
            <w:r w:rsidRPr="00E35083">
              <w:rPr>
                <w:rFonts w:eastAsia="Century Schoolbook" w:cs="Century Schoolbook"/>
              </w:rPr>
              <w:t xml:space="preserve"> and A</w:t>
            </w:r>
            <w:r w:rsidR="004E4771" w:rsidRPr="00E35083">
              <w:rPr>
                <w:rFonts w:eastAsia="Century Schoolbook" w:cs="Century Schoolbook"/>
              </w:rPr>
              <w:t>manda V. Lopez</w:t>
            </w:r>
            <w:r w:rsidRPr="00E35083">
              <w:rPr>
                <w:rFonts w:eastAsia="Century Schoolbook" w:cs="Century Schoolbook"/>
              </w:rPr>
              <w:t>, Deputy Attorneys General, for Plaintiff and Respondent.</w:t>
            </w:r>
          </w:p>
          <w:p w14:paraId="4B32ECC1" w14:textId="77777777" w:rsidR="005260E1" w:rsidRPr="00E35083" w:rsidRDefault="005260E1" w:rsidP="00E35083">
            <w:pPr>
              <w:tabs>
                <w:tab w:val="clear" w:pos="720"/>
              </w:tabs>
              <w:spacing w:line="240" w:lineRule="auto"/>
              <w:ind w:left="720" w:hanging="720"/>
              <w:rPr>
                <w:rFonts w:eastAsia="Century Schoolbook" w:cs="Century Schoolbook"/>
              </w:rPr>
            </w:pPr>
          </w:p>
        </w:tc>
      </w:tr>
    </w:tbl>
    <w:p w14:paraId="3E4829DA" w14:textId="77777777" w:rsidR="00FB0456" w:rsidRPr="00E35083" w:rsidRDefault="00FB0456" w:rsidP="00E35083">
      <w:pPr>
        <w:tabs>
          <w:tab w:val="clear" w:pos="720"/>
        </w:tabs>
        <w:spacing w:line="240" w:lineRule="auto"/>
      </w:pPr>
    </w:p>
    <w:sectPr w:rsidR="00FB0456" w:rsidRPr="00E35083" w:rsidSect="00B74C86">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E12A" w14:textId="77777777" w:rsidR="005A2E4C" w:rsidRDefault="005A2E4C">
      <w:pPr>
        <w:spacing w:line="240" w:lineRule="auto"/>
      </w:pPr>
      <w:r>
        <w:separator/>
      </w:r>
    </w:p>
  </w:endnote>
  <w:endnote w:type="continuationSeparator" w:id="0">
    <w:p w14:paraId="6874AAE1" w14:textId="77777777" w:rsidR="005A2E4C" w:rsidRDefault="005A2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A943" w14:textId="19BF28A6" w:rsidR="00B03982" w:rsidRDefault="005A2E4C" w:rsidP="009B6F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060907" w14:textId="3E9FF288" w:rsidR="00B03982" w:rsidRDefault="005A2E4C" w:rsidP="009B6F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E75D0E" w14:textId="77777777" w:rsidR="00B03982" w:rsidRDefault="00B03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1760" w14:textId="6AA88603" w:rsidR="00B03982" w:rsidRPr="00203E58" w:rsidRDefault="005A2E4C" w:rsidP="00203E58">
    <w:pPr>
      <w:pStyle w:val="Footer"/>
      <w:framePr w:wrap="around" w:vAnchor="text" w:hAnchor="margin" w:xAlign="center" w:y="1"/>
      <w:tabs>
        <w:tab w:val="clear" w:pos="720"/>
        <w:tab w:val="clear" w:pos="4680"/>
        <w:tab w:val="clear" w:pos="9360"/>
      </w:tabs>
      <w:rPr>
        <w:rStyle w:val="PageNumber"/>
      </w:rPr>
    </w:pPr>
    <w:r w:rsidRPr="00203E58">
      <w:rPr>
        <w:rStyle w:val="PageNumber"/>
      </w:rPr>
      <w:fldChar w:fldCharType="begin"/>
    </w:r>
    <w:r w:rsidRPr="00203E58">
      <w:rPr>
        <w:rStyle w:val="PageNumber"/>
      </w:rPr>
      <w:instrText xml:space="preserve"> PAGE </w:instrText>
    </w:r>
    <w:r w:rsidRPr="00203E58">
      <w:rPr>
        <w:rStyle w:val="PageNumber"/>
      </w:rPr>
      <w:fldChar w:fldCharType="separate"/>
    </w:r>
    <w:r w:rsidRPr="00203E58">
      <w:rPr>
        <w:rStyle w:val="PageNumber"/>
        <w:noProof/>
      </w:rPr>
      <w:t>1</w:t>
    </w:r>
    <w:r w:rsidRPr="00203E58">
      <w:rPr>
        <w:rStyle w:val="PageNumber"/>
      </w:rPr>
      <w:fldChar w:fldCharType="end"/>
    </w:r>
  </w:p>
  <w:p w14:paraId="0BB0A93E" w14:textId="77777777" w:rsidR="00B03982" w:rsidRPr="00203E58" w:rsidRDefault="00B03982" w:rsidP="00203E58">
    <w:pPr>
      <w:pStyle w:val="Footer"/>
      <w:tabs>
        <w:tab w:val="clear" w:pos="720"/>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1C36" w14:textId="77777777" w:rsidR="00070CE4" w:rsidRDefault="005A2E4C" w:rsidP="00B03982">
      <w:pPr>
        <w:spacing w:line="240" w:lineRule="auto"/>
      </w:pPr>
      <w:r>
        <w:separator/>
      </w:r>
    </w:p>
  </w:footnote>
  <w:footnote w:type="continuationSeparator" w:id="0">
    <w:p w14:paraId="2900A0BD" w14:textId="77777777" w:rsidR="00070CE4" w:rsidRDefault="005A2E4C" w:rsidP="00B03982">
      <w:pPr>
        <w:spacing w:line="240" w:lineRule="auto"/>
      </w:pPr>
      <w:r>
        <w:continuationSeparator/>
      </w:r>
    </w:p>
  </w:footnote>
  <w:footnote w:id="1">
    <w:p w14:paraId="405E346E" w14:textId="1F50CA13" w:rsidR="002F7F22" w:rsidRPr="00E66266" w:rsidRDefault="005A2E4C" w:rsidP="007A5921">
      <w:pPr>
        <w:pStyle w:val="FootnoteText"/>
        <w:spacing w:after="120"/>
        <w:ind w:firstLine="720"/>
        <w:rPr>
          <w:szCs w:val="26"/>
        </w:rPr>
      </w:pPr>
      <w:r w:rsidRPr="00E66266">
        <w:rPr>
          <w:rStyle w:val="FootnoteReference"/>
          <w:szCs w:val="26"/>
        </w:rPr>
        <w:footnoteRef/>
      </w:r>
      <w:r w:rsidRPr="00E66266">
        <w:rPr>
          <w:szCs w:val="26"/>
        </w:rPr>
        <w:t xml:space="preserve"> Unless otherwise stated, all statutory citations herein are to the Penal Code.</w:t>
      </w:r>
    </w:p>
  </w:footnote>
  <w:footnote w:id="2">
    <w:p w14:paraId="7138ADA3" w14:textId="68732CDD" w:rsidR="009A0C04" w:rsidRPr="00E66266" w:rsidRDefault="005A2E4C" w:rsidP="007A5921">
      <w:pPr>
        <w:pStyle w:val="FootnoteText"/>
        <w:spacing w:after="120"/>
        <w:ind w:firstLine="720"/>
        <w:rPr>
          <w:szCs w:val="26"/>
        </w:rPr>
      </w:pPr>
      <w:r w:rsidRPr="00E66266">
        <w:rPr>
          <w:rStyle w:val="FootnoteReference"/>
          <w:szCs w:val="26"/>
        </w:rPr>
        <w:footnoteRef/>
      </w:r>
      <w:r w:rsidRPr="00E66266">
        <w:rPr>
          <w:szCs w:val="26"/>
        </w:rPr>
        <w:t xml:space="preserve"> Officer Smith received medical treatment for shotgun pellets that had “peppered” his head.  As of trial, he still suffered chronic headaches and jaw disfunction.</w:t>
      </w:r>
    </w:p>
  </w:footnote>
  <w:footnote w:id="3">
    <w:p w14:paraId="0BDD684C" w14:textId="3A2A00EE" w:rsidR="00D3019A" w:rsidRPr="00E66266" w:rsidRDefault="005A2E4C" w:rsidP="007A5921">
      <w:pPr>
        <w:pStyle w:val="FootnoteText"/>
        <w:spacing w:after="120"/>
        <w:ind w:firstLine="720"/>
        <w:rPr>
          <w:szCs w:val="26"/>
        </w:rPr>
      </w:pPr>
      <w:r w:rsidRPr="00E66266">
        <w:rPr>
          <w:rStyle w:val="FootnoteReference"/>
          <w:szCs w:val="26"/>
        </w:rPr>
        <w:footnoteRef/>
      </w:r>
      <w:r w:rsidRPr="00E66266">
        <w:rPr>
          <w:szCs w:val="26"/>
        </w:rPr>
        <w:t xml:space="preserve"> Th</w:t>
      </w:r>
      <w:r w:rsidRPr="00E66266">
        <w:rPr>
          <w:szCs w:val="26"/>
        </w:rPr>
        <w:t xml:space="preserve">e California Supreme Court has granted </w:t>
      </w:r>
      <w:r w:rsidR="00FE004D" w:rsidRPr="00E66266">
        <w:rPr>
          <w:szCs w:val="26"/>
        </w:rPr>
        <w:t>review</w:t>
      </w:r>
      <w:r w:rsidRPr="00E66266">
        <w:rPr>
          <w:szCs w:val="26"/>
        </w:rPr>
        <w:t xml:space="preserve"> to consider whether section 1385(c)’s mandate that </w:t>
      </w:r>
      <w:r w:rsidRPr="00E66266">
        <w:rPr>
          <w:szCs w:val="26"/>
          <w:shd w:val="clear" w:color="auto" w:fill="FFFFFF"/>
        </w:rPr>
        <w:t xml:space="preserve">trial courts </w:t>
      </w:r>
      <w:r w:rsidR="00FE004D" w:rsidRPr="00E66266">
        <w:rPr>
          <w:szCs w:val="26"/>
          <w:shd w:val="clear" w:color="auto" w:fill="FFFFFF"/>
        </w:rPr>
        <w:t>afford great weight</w:t>
      </w:r>
      <w:r w:rsidRPr="00E66266">
        <w:rPr>
          <w:szCs w:val="26"/>
          <w:shd w:val="clear" w:color="auto" w:fill="FFFFFF"/>
        </w:rPr>
        <w:t xml:space="preserve"> to enumerated mitigating circumstances (Stats. 2021, </w:t>
      </w:r>
      <w:proofErr w:type="spellStart"/>
      <w:r w:rsidRPr="00E66266">
        <w:rPr>
          <w:szCs w:val="26"/>
          <w:shd w:val="clear" w:color="auto" w:fill="FFFFFF"/>
        </w:rPr>
        <w:t>ch.</w:t>
      </w:r>
      <w:proofErr w:type="spellEnd"/>
      <w:r w:rsidRPr="00E66266">
        <w:rPr>
          <w:szCs w:val="26"/>
          <w:shd w:val="clear" w:color="auto" w:fill="FFFFFF"/>
        </w:rPr>
        <w:t xml:space="preserve"> 721) creates a rebuttable presumption in favor of dismissing an enhan</w:t>
      </w:r>
      <w:r w:rsidRPr="00E66266">
        <w:rPr>
          <w:szCs w:val="26"/>
          <w:shd w:val="clear" w:color="auto" w:fill="FFFFFF"/>
        </w:rPr>
        <w:t xml:space="preserve">cement unless the trial court finds dismissal would endanger public safety.  </w:t>
      </w:r>
      <w:r w:rsidR="00FE004D" w:rsidRPr="00E66266">
        <w:rPr>
          <w:szCs w:val="26"/>
        </w:rPr>
        <w:t>(</w:t>
      </w:r>
      <w:r w:rsidR="00FE004D" w:rsidRPr="00E66266">
        <w:rPr>
          <w:i/>
          <w:iCs/>
          <w:szCs w:val="26"/>
        </w:rPr>
        <w:t>People v. Walker</w:t>
      </w:r>
      <w:r w:rsidR="00FE004D" w:rsidRPr="00E66266">
        <w:rPr>
          <w:szCs w:val="26"/>
        </w:rPr>
        <w:t xml:space="preserve"> (2022) 86 Cal.App.5th 386, review granted Mar. 22, 2023, S278309.)</w:t>
      </w:r>
    </w:p>
  </w:footnote>
  <w:footnote w:id="4">
    <w:p w14:paraId="25A5527C" w14:textId="1F403A7F" w:rsidR="008812B0" w:rsidRPr="00E66266" w:rsidRDefault="005A2E4C" w:rsidP="007A5921">
      <w:pPr>
        <w:pStyle w:val="FootnoteText"/>
        <w:spacing w:after="120"/>
        <w:ind w:firstLine="720"/>
        <w:rPr>
          <w:szCs w:val="26"/>
        </w:rPr>
      </w:pPr>
      <w:r w:rsidRPr="00E66266">
        <w:rPr>
          <w:rStyle w:val="FootnoteReference"/>
          <w:szCs w:val="26"/>
        </w:rPr>
        <w:footnoteRef/>
      </w:r>
      <w:r w:rsidRPr="00E66266">
        <w:rPr>
          <w:szCs w:val="26"/>
        </w:rPr>
        <w:t xml:space="preserve"> Our colleagues based th</w:t>
      </w:r>
      <w:r w:rsidR="001D7153" w:rsidRPr="00E66266">
        <w:rPr>
          <w:szCs w:val="26"/>
        </w:rPr>
        <w:t>eir</w:t>
      </w:r>
      <w:r w:rsidRPr="00E66266">
        <w:rPr>
          <w:szCs w:val="26"/>
        </w:rPr>
        <w:t xml:space="preserve"> conclusion </w:t>
      </w:r>
      <w:r w:rsidR="001D7153" w:rsidRPr="00E66266">
        <w:rPr>
          <w:rStyle w:val="ssrfcpassagedeactivated"/>
          <w:szCs w:val="26"/>
          <w:bdr w:val="none" w:sz="0" w:space="0" w:color="auto" w:frame="1"/>
          <w:shd w:val="clear" w:color="auto" w:fill="FFFFFF"/>
        </w:rPr>
        <w:t>that section 1385(c) does not apply to alternative penalty schemes such as the Three Strikes law</w:t>
      </w:r>
      <w:r w:rsidR="001D7153" w:rsidRPr="00E66266">
        <w:rPr>
          <w:szCs w:val="26"/>
        </w:rPr>
        <w:t xml:space="preserve"> </w:t>
      </w:r>
      <w:r w:rsidRPr="00E66266">
        <w:rPr>
          <w:szCs w:val="26"/>
        </w:rPr>
        <w:t>on the plain and unambiguous language of section 1385(c)</w:t>
      </w:r>
      <w:r w:rsidR="001D7153" w:rsidRPr="00E66266">
        <w:rPr>
          <w:szCs w:val="26"/>
        </w:rPr>
        <w:t>, which</w:t>
      </w:r>
      <w:r w:rsidRPr="00E66266">
        <w:rPr>
          <w:szCs w:val="26"/>
        </w:rPr>
        <w:t xml:space="preserve"> limit</w:t>
      </w:r>
      <w:r w:rsidR="001D7153" w:rsidRPr="00E66266">
        <w:rPr>
          <w:szCs w:val="26"/>
        </w:rPr>
        <w:t>s</w:t>
      </w:r>
      <w:r w:rsidRPr="00E66266">
        <w:rPr>
          <w:szCs w:val="26"/>
        </w:rPr>
        <w:t xml:space="preserve"> the court’s discretion to the dismissal of an “enhancement</w:t>
      </w:r>
      <w:r w:rsidR="001D7153" w:rsidRPr="00E66266">
        <w:rPr>
          <w:szCs w:val="26"/>
        </w:rPr>
        <w:t>.</w:t>
      </w:r>
      <w:r w:rsidRPr="00E66266">
        <w:rPr>
          <w:szCs w:val="26"/>
        </w:rPr>
        <w:t xml:space="preserve">” </w:t>
      </w:r>
      <w:r w:rsidR="001D7153" w:rsidRPr="00E66266">
        <w:rPr>
          <w:szCs w:val="26"/>
        </w:rPr>
        <w:t xml:space="preserve"> As such, they saw no</w:t>
      </w:r>
      <w:r w:rsidRPr="00E66266">
        <w:rPr>
          <w:szCs w:val="26"/>
        </w:rPr>
        <w:t xml:space="preserve"> need to </w:t>
      </w:r>
      <w:r w:rsidRPr="00E66266">
        <w:rPr>
          <w:rStyle w:val="ssrfcpassagedeactivated"/>
          <w:szCs w:val="26"/>
          <w:bdr w:val="none" w:sz="0" w:space="0" w:color="auto" w:frame="1"/>
          <w:shd w:val="clear" w:color="auto" w:fill="FFFFFF"/>
        </w:rPr>
        <w:t>consider the legislative history.  (</w:t>
      </w:r>
      <w:r w:rsidRPr="00E66266">
        <w:rPr>
          <w:rStyle w:val="ssrfcpassagedeactivated"/>
          <w:i/>
          <w:iCs/>
          <w:szCs w:val="26"/>
          <w:bdr w:val="none" w:sz="0" w:space="0" w:color="auto" w:frame="1"/>
          <w:shd w:val="clear" w:color="auto" w:fill="FFFFFF"/>
        </w:rPr>
        <w:t xml:space="preserve">Burke, </w:t>
      </w:r>
      <w:r w:rsidRPr="00E66266">
        <w:rPr>
          <w:rStyle w:val="ssrfcpassagedeactivated"/>
          <w:i/>
          <w:iCs/>
          <w:szCs w:val="26"/>
          <w:bdr w:val="none" w:sz="0" w:space="0" w:color="auto" w:frame="1"/>
          <w:shd w:val="clear" w:color="auto" w:fill="FFFFFF"/>
        </w:rPr>
        <w:t>supra</w:t>
      </w:r>
      <w:r w:rsidRPr="00E66266">
        <w:rPr>
          <w:rStyle w:val="ssrfcpassagedeactivated"/>
          <w:szCs w:val="26"/>
          <w:bdr w:val="none" w:sz="0" w:space="0" w:color="auto" w:frame="1"/>
          <w:shd w:val="clear" w:color="auto" w:fill="FFFFFF"/>
        </w:rPr>
        <w:t xml:space="preserve">, 89 Cal.App.5th at p. 244; </w:t>
      </w:r>
      <w:r w:rsidRPr="00E66266">
        <w:rPr>
          <w:rStyle w:val="ssrfcpassagedeactivated"/>
          <w:i/>
          <w:iCs/>
          <w:szCs w:val="26"/>
          <w:bdr w:val="none" w:sz="0" w:space="0" w:color="auto" w:frame="1"/>
          <w:shd w:val="clear" w:color="auto" w:fill="FFFFFF"/>
        </w:rPr>
        <w:t>Dain, supra</w:t>
      </w:r>
      <w:r w:rsidRPr="00E66266">
        <w:rPr>
          <w:rStyle w:val="ssrfcpassagedeactivated"/>
          <w:szCs w:val="26"/>
          <w:bdr w:val="none" w:sz="0" w:space="0" w:color="auto" w:frame="1"/>
          <w:shd w:val="clear" w:color="auto" w:fill="FFFFFF"/>
        </w:rPr>
        <w:t xml:space="preserve">, </w:t>
      </w:r>
      <w:r w:rsidR="002547AC" w:rsidRPr="00E66266">
        <w:rPr>
          <w:rStyle w:val="ssrfcpassagedeactivated"/>
          <w:szCs w:val="26"/>
          <w:bdr w:val="none" w:sz="0" w:space="0" w:color="auto" w:frame="1"/>
          <w:shd w:val="clear" w:color="auto" w:fill="FFFFFF"/>
        </w:rPr>
        <w:t>99</w:t>
      </w:r>
      <w:r w:rsidRPr="00E66266">
        <w:rPr>
          <w:rStyle w:val="ssrfcpassagedeactivated"/>
          <w:szCs w:val="26"/>
          <w:bdr w:val="none" w:sz="0" w:space="0" w:color="auto" w:frame="1"/>
          <w:shd w:val="clear" w:color="auto" w:fill="FFFFFF"/>
        </w:rPr>
        <w:t xml:space="preserve"> Cal.App.5th at pp. </w:t>
      </w:r>
      <w:r w:rsidR="002547AC" w:rsidRPr="00E66266">
        <w:rPr>
          <w:rStyle w:val="ssrfcpassagedeactivated"/>
          <w:szCs w:val="26"/>
          <w:bdr w:val="none" w:sz="0" w:space="0" w:color="auto" w:frame="1"/>
          <w:shd w:val="clear" w:color="auto" w:fill="FFFFFF"/>
        </w:rPr>
        <w:t>410–411</w:t>
      </w:r>
      <w:r w:rsidRPr="00E66266">
        <w:rPr>
          <w:rStyle w:val="ssrfcpassagedeactivated"/>
          <w:szCs w:val="26"/>
          <w:bdr w:val="none" w:sz="0" w:space="0" w:color="auto" w:frame="1"/>
          <w:shd w:val="clear" w:color="auto" w:fill="FFFFFF"/>
        </w:rPr>
        <w:t>.)  Nonetheless,</w:t>
      </w:r>
      <w:r w:rsidR="008259C1" w:rsidRPr="00E66266">
        <w:rPr>
          <w:rStyle w:val="ssrfcpassagedeactivated"/>
          <w:szCs w:val="26"/>
          <w:bdr w:val="none" w:sz="0" w:space="0" w:color="auto" w:frame="1"/>
          <w:shd w:val="clear" w:color="auto" w:fill="FFFFFF"/>
        </w:rPr>
        <w:t xml:space="preserve"> this division of the First Appellate District</w:t>
      </w:r>
      <w:r w:rsidRPr="00E66266">
        <w:rPr>
          <w:rStyle w:val="ssrfcpassagedeactivated"/>
          <w:szCs w:val="26"/>
          <w:bdr w:val="none" w:sz="0" w:space="0" w:color="auto" w:frame="1"/>
          <w:shd w:val="clear" w:color="auto" w:fill="FFFFFF"/>
        </w:rPr>
        <w:t xml:space="preserve"> in </w:t>
      </w:r>
      <w:r w:rsidRPr="00E66266">
        <w:rPr>
          <w:rStyle w:val="ssrfcpassagedeactivated"/>
          <w:i/>
          <w:iCs/>
          <w:szCs w:val="26"/>
          <w:bdr w:val="none" w:sz="0" w:space="0" w:color="auto" w:frame="1"/>
          <w:shd w:val="clear" w:color="auto" w:fill="FFFFFF"/>
        </w:rPr>
        <w:t>Olay</w:t>
      </w:r>
      <w:r w:rsidRPr="00E66266">
        <w:rPr>
          <w:rStyle w:val="ssrfcpassagedeactivated"/>
          <w:szCs w:val="26"/>
          <w:bdr w:val="none" w:sz="0" w:space="0" w:color="auto" w:frame="1"/>
          <w:shd w:val="clear" w:color="auto" w:fill="FFFFFF"/>
        </w:rPr>
        <w:t xml:space="preserve"> examined the legislative history and found further support for </w:t>
      </w:r>
      <w:r w:rsidR="001D7153" w:rsidRPr="00E66266">
        <w:rPr>
          <w:rStyle w:val="ssrfcpassagedeactivated"/>
          <w:szCs w:val="26"/>
          <w:bdr w:val="none" w:sz="0" w:space="0" w:color="auto" w:frame="1"/>
          <w:shd w:val="clear" w:color="auto" w:fill="FFFFFF"/>
        </w:rPr>
        <w:t>thi</w:t>
      </w:r>
      <w:r w:rsidRPr="00E66266">
        <w:rPr>
          <w:rStyle w:val="ssrfcpassagedeactivated"/>
          <w:szCs w:val="26"/>
          <w:bdr w:val="none" w:sz="0" w:space="0" w:color="auto" w:frame="1"/>
          <w:shd w:val="clear" w:color="auto" w:fill="FFFFFF"/>
        </w:rPr>
        <w:t>s conclusion</w:t>
      </w:r>
      <w:proofErr w:type="gramStart"/>
      <w:r w:rsidRPr="00E66266">
        <w:rPr>
          <w:rStyle w:val="ssrfcpassagedeactivated"/>
          <w:szCs w:val="26"/>
          <w:bdr w:val="none" w:sz="0" w:space="0" w:color="auto" w:frame="1"/>
          <w:shd w:val="clear" w:color="auto" w:fill="FFFFFF"/>
        </w:rPr>
        <w:t xml:space="preserve">: </w:t>
      </w:r>
      <w:r w:rsidR="002F2270" w:rsidRPr="00E66266">
        <w:rPr>
          <w:rStyle w:val="ssrfcpassagedeactivated"/>
          <w:szCs w:val="26"/>
          <w:bdr w:val="none" w:sz="0" w:space="0" w:color="auto" w:frame="1"/>
          <w:shd w:val="clear" w:color="auto" w:fill="FFFFFF"/>
        </w:rPr>
        <w:t xml:space="preserve"> </w:t>
      </w:r>
      <w:r w:rsidRPr="00E66266">
        <w:rPr>
          <w:rStyle w:val="ssrfcpassagedeactivated"/>
          <w:szCs w:val="26"/>
          <w:bdr w:val="none" w:sz="0" w:space="0" w:color="auto" w:frame="1"/>
          <w:shd w:val="clear" w:color="auto" w:fill="FFFFFF"/>
        </w:rPr>
        <w:t>“</w:t>
      </w:r>
      <w:proofErr w:type="gramEnd"/>
      <w:r w:rsidRPr="00E66266">
        <w:rPr>
          <w:rStyle w:val="ssrfcsection"/>
          <w:szCs w:val="26"/>
          <w:bdr w:val="none" w:sz="0" w:space="0" w:color="auto" w:frame="1"/>
          <w:shd w:val="clear" w:color="auto" w:fill="FFFFFF"/>
        </w:rPr>
        <w:t xml:space="preserve">The June 2021 bill analysis </w:t>
      </w:r>
      <w:r w:rsidRPr="00E66266">
        <w:rPr>
          <w:rStyle w:val="ssrfcsection"/>
          <w:szCs w:val="26"/>
          <w:bdr w:val="none" w:sz="0" w:space="0" w:color="auto" w:frame="1"/>
          <w:shd w:val="clear" w:color="auto" w:fill="FFFFFF"/>
        </w:rPr>
        <w:t xml:space="preserve">of Senate Bill 81 by the Assembly Committee on Public Safety distinguished an ‘enhancement’ from ‘an alternative penalty scheme’ like the Three Strikes law. </w:t>
      </w:r>
      <w:r w:rsidR="007251B7" w:rsidRPr="00E66266">
        <w:rPr>
          <w:rStyle w:val="ssrfcsection"/>
          <w:szCs w:val="26"/>
          <w:bdr w:val="none" w:sz="0" w:space="0" w:color="auto" w:frame="1"/>
          <w:shd w:val="clear" w:color="auto" w:fill="FFFFFF"/>
        </w:rPr>
        <w:t xml:space="preserve"> </w:t>
      </w:r>
      <w:r w:rsidRPr="00E66266">
        <w:rPr>
          <w:rStyle w:val="ssrfcsection"/>
          <w:szCs w:val="26"/>
          <w:bdr w:val="none" w:sz="0" w:space="0" w:color="auto" w:frame="1"/>
          <w:shd w:val="clear" w:color="auto" w:fill="FFFFFF"/>
        </w:rPr>
        <w:t>(</w:t>
      </w:r>
      <w:proofErr w:type="spellStart"/>
      <w:r w:rsidR="007251B7" w:rsidRPr="00E66266">
        <w:rPr>
          <w:rStyle w:val="ssrfcpassagedeactivated"/>
          <w:szCs w:val="26"/>
          <w:bdr w:val="none" w:sz="0" w:space="0" w:color="auto" w:frame="1"/>
          <w:shd w:val="clear" w:color="auto" w:fill="FFFFFF"/>
        </w:rPr>
        <w:t>Assem</w:t>
      </w:r>
      <w:proofErr w:type="spellEnd"/>
      <w:r w:rsidR="007251B7" w:rsidRPr="00E66266">
        <w:rPr>
          <w:rStyle w:val="ssrfcpassagedeactivated"/>
          <w:szCs w:val="26"/>
          <w:bdr w:val="none" w:sz="0" w:space="0" w:color="auto" w:frame="1"/>
          <w:shd w:val="clear" w:color="auto" w:fill="FFFFFF"/>
        </w:rPr>
        <w:t>. Com.</w:t>
      </w:r>
      <w:r w:rsidRPr="00E66266">
        <w:rPr>
          <w:rStyle w:val="ssrfcpassagedeactivated"/>
          <w:szCs w:val="26"/>
          <w:bdr w:val="none" w:sz="0" w:space="0" w:color="auto" w:frame="1"/>
          <w:shd w:val="clear" w:color="auto" w:fill="FFFFFF"/>
        </w:rPr>
        <w:t xml:space="preserve"> on Public Safety, Analysis of Sen. Bill No. </w:t>
      </w:r>
      <w:r w:rsidR="007251B7" w:rsidRPr="00E66266">
        <w:rPr>
          <w:rStyle w:val="ssrfcpassagedeactivated"/>
          <w:szCs w:val="26"/>
          <w:bdr w:val="none" w:sz="0" w:space="0" w:color="auto" w:frame="1"/>
          <w:shd w:val="clear" w:color="auto" w:fill="FFFFFF"/>
        </w:rPr>
        <w:t xml:space="preserve">81, </w:t>
      </w:r>
      <w:r w:rsidR="007251B7" w:rsidRPr="00E66266">
        <w:rPr>
          <w:rStyle w:val="ssrfcpassagedeactivated"/>
          <w:i/>
          <w:iCs/>
          <w:szCs w:val="26"/>
          <w:bdr w:val="none" w:sz="0" w:space="0" w:color="auto" w:frame="1"/>
          <w:shd w:val="clear" w:color="auto" w:fill="FFFFFF"/>
        </w:rPr>
        <w:t>supra</w:t>
      </w:r>
      <w:r w:rsidR="007251B7" w:rsidRPr="00E66266">
        <w:rPr>
          <w:rStyle w:val="ssrfcpassagedeactivated"/>
          <w:szCs w:val="26"/>
          <w:bdr w:val="none" w:sz="0" w:space="0" w:color="auto" w:frame="1"/>
          <w:shd w:val="clear" w:color="auto" w:fill="FFFFFF"/>
        </w:rPr>
        <w:t>,</w:t>
      </w:r>
      <w:r w:rsidRPr="00E66266">
        <w:rPr>
          <w:rStyle w:val="ssrfcpassagedeactivated"/>
          <w:szCs w:val="26"/>
          <w:bdr w:val="none" w:sz="0" w:space="0" w:color="auto" w:frame="1"/>
          <w:shd w:val="clear" w:color="auto" w:fill="FFFFFF"/>
        </w:rPr>
        <w:t xml:space="preserve"> as amended </w:t>
      </w:r>
      <w:r w:rsidR="007251B7" w:rsidRPr="00E66266">
        <w:rPr>
          <w:rStyle w:val="ssrfcpassagedeactivated"/>
          <w:szCs w:val="26"/>
          <w:bdr w:val="none" w:sz="0" w:space="0" w:color="auto" w:frame="1"/>
          <w:shd w:val="clear" w:color="auto" w:fill="FFFFFF"/>
        </w:rPr>
        <w:t>Apr. 27</w:t>
      </w:r>
      <w:r w:rsidRPr="00E66266">
        <w:rPr>
          <w:rStyle w:val="ssrfcpassagedeactivated"/>
          <w:szCs w:val="26"/>
          <w:bdr w:val="none" w:sz="0" w:space="0" w:color="auto" w:frame="1"/>
          <w:shd w:val="clear" w:color="auto" w:fill="FFFFFF"/>
        </w:rPr>
        <w:t xml:space="preserve">, 2021, at pp. 5–6, </w:t>
      </w:r>
      <w:r w:rsidR="007251B7" w:rsidRPr="00E66266">
        <w:rPr>
          <w:rStyle w:val="ssrfcpassagedeactivated"/>
          <w:szCs w:val="26"/>
          <w:bdr w:val="none" w:sz="0" w:space="0" w:color="auto" w:frame="1"/>
          <w:shd w:val="clear" w:color="auto" w:fill="FFFFFF"/>
        </w:rPr>
        <w:t>citing Cal.</w:t>
      </w:r>
      <w:r w:rsidRPr="00E66266">
        <w:rPr>
          <w:rStyle w:val="ssrfcpassagedeactivated"/>
          <w:szCs w:val="26"/>
          <w:bdr w:val="none" w:sz="0" w:space="0" w:color="auto" w:frame="1"/>
          <w:shd w:val="clear" w:color="auto" w:fill="FFFFFF"/>
        </w:rPr>
        <w:t xml:space="preserve"> Rules of Court, rule </w:t>
      </w:r>
      <w:r w:rsidR="007251B7" w:rsidRPr="00E66266">
        <w:rPr>
          <w:rStyle w:val="ssrfcpassagedeactivated"/>
          <w:szCs w:val="26"/>
          <w:bdr w:val="none" w:sz="0" w:space="0" w:color="auto" w:frame="1"/>
          <w:shd w:val="clear" w:color="auto" w:fill="FFFFFF"/>
        </w:rPr>
        <w:t xml:space="preserve">4.405(3), </w:t>
      </w:r>
      <w:r w:rsidR="007251B7" w:rsidRPr="00E66266">
        <w:rPr>
          <w:rStyle w:val="ssrfcpassagedeactivated"/>
          <w:i/>
          <w:iCs/>
          <w:szCs w:val="26"/>
          <w:bdr w:val="none" w:sz="0" w:space="0" w:color="auto" w:frame="1"/>
          <w:shd w:val="clear" w:color="auto" w:fill="FFFFFF"/>
        </w:rPr>
        <w:t>Robert L. v.</w:t>
      </w:r>
      <w:r w:rsidRPr="00E66266">
        <w:rPr>
          <w:rStyle w:val="ssrfcpassagedeactivated"/>
          <w:i/>
          <w:iCs/>
          <w:szCs w:val="26"/>
          <w:bdr w:val="none" w:sz="0" w:space="0" w:color="auto" w:frame="1"/>
          <w:shd w:val="clear" w:color="auto" w:fill="FFFFFF"/>
        </w:rPr>
        <w:t xml:space="preserve"> Superior Court</w:t>
      </w:r>
      <w:r w:rsidRPr="00E66266">
        <w:rPr>
          <w:rStyle w:val="ssrfcpassagedeactivated"/>
          <w:szCs w:val="26"/>
          <w:bdr w:val="none" w:sz="0" w:space="0" w:color="auto" w:frame="1"/>
          <w:shd w:val="clear" w:color="auto" w:fill="FFFFFF"/>
        </w:rPr>
        <w:t xml:space="preserve"> (2003) 30 Cal.4th 894, 898</w:t>
      </w:r>
      <w:r w:rsidR="002547AC" w:rsidRPr="00E66266">
        <w:rPr>
          <w:rStyle w:val="ssrfcpassagedeactivated"/>
          <w:szCs w:val="26"/>
          <w:bdr w:val="none" w:sz="0" w:space="0" w:color="auto" w:frame="1"/>
          <w:shd w:val="clear" w:color="auto" w:fill="FFFFFF"/>
        </w:rPr>
        <w:t>–</w:t>
      </w:r>
      <w:r w:rsidRPr="00E66266">
        <w:rPr>
          <w:rStyle w:val="ssrfcpassagedeactivated"/>
          <w:szCs w:val="26"/>
          <w:bdr w:val="none" w:sz="0" w:space="0" w:color="auto" w:frame="1"/>
          <w:shd w:val="clear" w:color="auto" w:fill="FFFFFF"/>
        </w:rPr>
        <w:t xml:space="preserve">899 </w:t>
      </w:r>
      <w:r w:rsidR="007251B7" w:rsidRPr="00E66266">
        <w:rPr>
          <w:rStyle w:val="ssrfcpassagedeactivated"/>
          <w:szCs w:val="26"/>
          <w:bdr w:val="none" w:sz="0" w:space="0" w:color="auto" w:frame="1"/>
          <w:shd w:val="clear" w:color="auto" w:fill="FFFFFF"/>
        </w:rPr>
        <w:t>[citations]</w:t>
      </w:r>
      <w:r w:rsidRPr="00E66266">
        <w:rPr>
          <w:rStyle w:val="ssrfcpassagedeactivated"/>
          <w:szCs w:val="26"/>
          <w:bdr w:val="none" w:sz="0" w:space="0" w:color="auto" w:frame="1"/>
          <w:shd w:val="clear" w:color="auto" w:fill="FFFFFF"/>
        </w:rPr>
        <w:t xml:space="preserve">, </w:t>
      </w:r>
      <w:r w:rsidR="007251B7" w:rsidRPr="00E66266">
        <w:rPr>
          <w:rStyle w:val="ssrfcpassagedeactivated"/>
          <w:szCs w:val="26"/>
          <w:bdr w:val="none" w:sz="0" w:space="0" w:color="auto" w:frame="1"/>
          <w:shd w:val="clear" w:color="auto" w:fill="FFFFFF"/>
        </w:rPr>
        <w:t xml:space="preserve">and </w:t>
      </w:r>
      <w:r w:rsidR="007251B7" w:rsidRPr="00E66266">
        <w:rPr>
          <w:rStyle w:val="ssrfcpassagedeactivated"/>
          <w:i/>
          <w:iCs/>
          <w:szCs w:val="26"/>
          <w:bdr w:val="none" w:sz="0" w:space="0" w:color="auto" w:frame="1"/>
          <w:shd w:val="clear" w:color="auto" w:fill="FFFFFF"/>
        </w:rPr>
        <w:t>People v.</w:t>
      </w:r>
      <w:r w:rsidRPr="00E66266">
        <w:rPr>
          <w:rStyle w:val="ssrfcpassagedeactivated"/>
          <w:i/>
          <w:iCs/>
          <w:szCs w:val="26"/>
          <w:bdr w:val="none" w:sz="0" w:space="0" w:color="auto" w:frame="1"/>
          <w:shd w:val="clear" w:color="auto" w:fill="FFFFFF"/>
        </w:rPr>
        <w:t xml:space="preserve"> Jefferson</w:t>
      </w:r>
      <w:r w:rsidRPr="00E66266">
        <w:rPr>
          <w:rStyle w:val="ssrfcpassagedeactivated"/>
          <w:szCs w:val="26"/>
          <w:bdr w:val="none" w:sz="0" w:space="0" w:color="auto" w:frame="1"/>
          <w:shd w:val="clear" w:color="auto" w:fill="FFFFFF"/>
        </w:rPr>
        <w:t xml:space="preserve"> (1999) 21 Cal.4th 86, </w:t>
      </w:r>
      <w:r w:rsidR="007251B7" w:rsidRPr="00E66266">
        <w:rPr>
          <w:rStyle w:val="ssrfcpassagedeactivated"/>
          <w:szCs w:val="26"/>
          <w:bdr w:val="none" w:sz="0" w:space="0" w:color="auto" w:frame="1"/>
          <w:shd w:val="clear" w:color="auto" w:fill="FFFFFF"/>
        </w:rPr>
        <w:t>101 [citations]</w:t>
      </w:r>
      <w:r w:rsidRPr="00E66266">
        <w:rPr>
          <w:rStyle w:val="ssrfcpassagedeactivated"/>
          <w:szCs w:val="26"/>
          <w:bdr w:val="none" w:sz="0" w:space="0" w:color="auto" w:frame="1"/>
          <w:shd w:val="clear" w:color="auto" w:fill="FFFFFF"/>
        </w:rPr>
        <w:t>.)</w:t>
      </w:r>
      <w:r w:rsidR="007251B7" w:rsidRPr="00E66266">
        <w:rPr>
          <w:szCs w:val="26"/>
          <w:shd w:val="clear" w:color="auto" w:fill="FFFFFF"/>
        </w:rPr>
        <w:t xml:space="preserve">  After</w:t>
      </w:r>
      <w:r w:rsidRPr="00E66266">
        <w:rPr>
          <w:szCs w:val="26"/>
          <w:shd w:val="clear" w:color="auto" w:fill="FFFFFF"/>
        </w:rPr>
        <w:t xml:space="preserve"> making that distinction, the bill analysis states, in no uncertain terms, that ‘[t]he presumption created by this bill applies to </w:t>
      </w:r>
      <w:r w:rsidR="00D24C7D" w:rsidRPr="00E66266">
        <w:rPr>
          <w:rStyle w:val="ssit"/>
          <w:szCs w:val="26"/>
          <w:bdr w:val="none" w:sz="0" w:space="0" w:color="auto" w:frame="1"/>
          <w:shd w:val="clear" w:color="auto" w:fill="FFFFFF"/>
        </w:rPr>
        <w:t xml:space="preserve">enhancements . . . </w:t>
      </w:r>
      <w:r w:rsidR="00D24C7D" w:rsidRPr="00E66266">
        <w:rPr>
          <w:rStyle w:val="ssit"/>
          <w:i/>
          <w:iCs/>
          <w:szCs w:val="26"/>
          <w:bdr w:val="none" w:sz="0" w:space="0" w:color="auto" w:frame="1"/>
          <w:shd w:val="clear" w:color="auto" w:fill="FFFFFF"/>
        </w:rPr>
        <w:t>but</w:t>
      </w:r>
      <w:r w:rsidRPr="00E66266">
        <w:rPr>
          <w:rStyle w:val="ssit"/>
          <w:i/>
          <w:iCs/>
          <w:szCs w:val="26"/>
          <w:bdr w:val="none" w:sz="0" w:space="0" w:color="auto" w:frame="1"/>
          <w:shd w:val="clear" w:color="auto" w:fill="FFFFFF"/>
        </w:rPr>
        <w:t xml:space="preserve"> does not encompass alternative penalty schemes</w:t>
      </w:r>
      <w:r w:rsidRPr="00E66266">
        <w:rPr>
          <w:szCs w:val="26"/>
          <w:shd w:val="clear" w:color="auto" w:fill="FFFFFF"/>
        </w:rPr>
        <w:t>.’</w:t>
      </w:r>
      <w:r w:rsidR="002547AC" w:rsidRPr="00E66266">
        <w:rPr>
          <w:szCs w:val="26"/>
          <w:shd w:val="clear" w:color="auto" w:fill="FFFFFF"/>
        </w:rPr>
        <w:t xml:space="preserve"> </w:t>
      </w:r>
      <w:r w:rsidRPr="00E66266">
        <w:rPr>
          <w:szCs w:val="26"/>
          <w:shd w:val="clear" w:color="auto" w:fill="FFFFFF"/>
        </w:rPr>
        <w:t xml:space="preserve"> (</w:t>
      </w:r>
      <w:proofErr w:type="spellStart"/>
      <w:r w:rsidR="00D24C7D" w:rsidRPr="00E66266">
        <w:rPr>
          <w:rStyle w:val="ssrfcpassagedeactivated"/>
          <w:szCs w:val="26"/>
          <w:bdr w:val="none" w:sz="0" w:space="0" w:color="auto" w:frame="1"/>
          <w:shd w:val="clear" w:color="auto" w:fill="FFFFFF"/>
        </w:rPr>
        <w:t>Assem</w:t>
      </w:r>
      <w:proofErr w:type="spellEnd"/>
      <w:r w:rsidR="00D24C7D" w:rsidRPr="00E66266">
        <w:rPr>
          <w:rStyle w:val="ssrfcpassagedeactivated"/>
          <w:szCs w:val="26"/>
          <w:bdr w:val="none" w:sz="0" w:space="0" w:color="auto" w:frame="1"/>
          <w:shd w:val="clear" w:color="auto" w:fill="FFFFFF"/>
        </w:rPr>
        <w:t>. Com.</w:t>
      </w:r>
      <w:r w:rsidRPr="00E66266">
        <w:rPr>
          <w:rStyle w:val="ssrfcpassagedeactivated"/>
          <w:szCs w:val="26"/>
          <w:bdr w:val="none" w:sz="0" w:space="0" w:color="auto" w:frame="1"/>
          <w:shd w:val="clear" w:color="auto" w:fill="FFFFFF"/>
        </w:rPr>
        <w:t xml:space="preserve"> on Public Safety, Analysis of Sen. Bill No. </w:t>
      </w:r>
      <w:r w:rsidR="00D24C7D" w:rsidRPr="00E66266">
        <w:rPr>
          <w:rStyle w:val="ssrfcpassagedeactivated"/>
          <w:szCs w:val="26"/>
          <w:bdr w:val="none" w:sz="0" w:space="0" w:color="auto" w:frame="1"/>
          <w:shd w:val="clear" w:color="auto" w:fill="FFFFFF"/>
        </w:rPr>
        <w:t xml:space="preserve">81, </w:t>
      </w:r>
      <w:r w:rsidR="00D24C7D" w:rsidRPr="00E66266">
        <w:rPr>
          <w:rStyle w:val="ssrfcpassagedeactivated"/>
          <w:i/>
          <w:iCs/>
          <w:szCs w:val="26"/>
          <w:bdr w:val="none" w:sz="0" w:space="0" w:color="auto" w:frame="1"/>
          <w:shd w:val="clear" w:color="auto" w:fill="FFFFFF"/>
        </w:rPr>
        <w:t>supra</w:t>
      </w:r>
      <w:r w:rsidR="00D24C7D" w:rsidRPr="00E66266">
        <w:rPr>
          <w:rStyle w:val="ssrfcpassagedeactivated"/>
          <w:szCs w:val="26"/>
          <w:bdr w:val="none" w:sz="0" w:space="0" w:color="auto" w:frame="1"/>
          <w:shd w:val="clear" w:color="auto" w:fill="FFFFFF"/>
        </w:rPr>
        <w:t>,</w:t>
      </w:r>
      <w:r w:rsidRPr="00E66266">
        <w:rPr>
          <w:rStyle w:val="ssrfcpassagedeactivated"/>
          <w:szCs w:val="26"/>
          <w:bdr w:val="none" w:sz="0" w:space="0" w:color="auto" w:frame="1"/>
          <w:shd w:val="clear" w:color="auto" w:fill="FFFFFF"/>
        </w:rPr>
        <w:t xml:space="preserve"> as amended </w:t>
      </w:r>
      <w:r w:rsidR="00D24C7D" w:rsidRPr="00E66266">
        <w:rPr>
          <w:rStyle w:val="ssrfcpassagedeactivated"/>
          <w:szCs w:val="26"/>
          <w:bdr w:val="none" w:sz="0" w:space="0" w:color="auto" w:frame="1"/>
          <w:shd w:val="clear" w:color="auto" w:fill="FFFFFF"/>
        </w:rPr>
        <w:t>Apr. 27</w:t>
      </w:r>
      <w:r w:rsidRPr="00E66266">
        <w:rPr>
          <w:rStyle w:val="ssrfcpassagedeactivated"/>
          <w:szCs w:val="26"/>
          <w:bdr w:val="none" w:sz="0" w:space="0" w:color="auto" w:frame="1"/>
          <w:shd w:val="clear" w:color="auto" w:fill="FFFFFF"/>
        </w:rPr>
        <w:t xml:space="preserve">, 2021, at p. 6, italics added.) </w:t>
      </w:r>
      <w:r w:rsidR="002547AC" w:rsidRPr="00E66266">
        <w:rPr>
          <w:rStyle w:val="ssrfcpassagedeactivated"/>
          <w:szCs w:val="26"/>
          <w:bdr w:val="none" w:sz="0" w:space="0" w:color="auto" w:frame="1"/>
          <w:shd w:val="clear" w:color="auto" w:fill="FFFFFF"/>
        </w:rPr>
        <w:t xml:space="preserve"> </w:t>
      </w:r>
      <w:r w:rsidRPr="00E66266">
        <w:rPr>
          <w:rStyle w:val="ssrfcpassagedeactivated"/>
          <w:szCs w:val="26"/>
          <w:bdr w:val="none" w:sz="0" w:space="0" w:color="auto" w:frame="1"/>
          <w:shd w:val="clear" w:color="auto" w:fill="FFFFFF"/>
        </w:rPr>
        <w:t>A more unambiguous statement of the Legislature’s intent to adopt the legal meaning o</w:t>
      </w:r>
      <w:r w:rsidRPr="00E66266">
        <w:rPr>
          <w:rStyle w:val="ssrfcpassagedeactivated"/>
          <w:szCs w:val="26"/>
          <w:bdr w:val="none" w:sz="0" w:space="0" w:color="auto" w:frame="1"/>
          <w:shd w:val="clear" w:color="auto" w:fill="FFFFFF"/>
        </w:rPr>
        <w:t xml:space="preserve">f enhancement </w:t>
      </w:r>
      <w:r w:rsidR="00D24C7D" w:rsidRPr="00E66266">
        <w:rPr>
          <w:rStyle w:val="ssrfcpassagedeactivated"/>
          <w:szCs w:val="26"/>
          <w:bdr w:val="none" w:sz="0" w:space="0" w:color="auto" w:frame="1"/>
          <w:shd w:val="clear" w:color="auto" w:fill="FFFFFF"/>
        </w:rPr>
        <w:t>for section 1385, subdivision (c) can</w:t>
      </w:r>
      <w:r w:rsidRPr="00E66266">
        <w:rPr>
          <w:rStyle w:val="ssrfcpassagedeactivated"/>
          <w:szCs w:val="26"/>
          <w:bdr w:val="none" w:sz="0" w:space="0" w:color="auto" w:frame="1"/>
          <w:shd w:val="clear" w:color="auto" w:fill="FFFFFF"/>
        </w:rPr>
        <w:t xml:space="preserve"> hardly be imagined.”  (</w:t>
      </w:r>
      <w:r w:rsidRPr="00E66266">
        <w:rPr>
          <w:rStyle w:val="ssrfcpassagedeactivated"/>
          <w:i/>
          <w:iCs/>
          <w:szCs w:val="26"/>
          <w:bdr w:val="none" w:sz="0" w:space="0" w:color="auto" w:frame="1"/>
          <w:shd w:val="clear" w:color="auto" w:fill="FFFFFF"/>
        </w:rPr>
        <w:t>Olay, supra</w:t>
      </w:r>
      <w:r w:rsidRPr="00E66266">
        <w:rPr>
          <w:rStyle w:val="ssrfcpassagedeactivated"/>
          <w:szCs w:val="26"/>
          <w:bdr w:val="none" w:sz="0" w:space="0" w:color="auto" w:frame="1"/>
          <w:shd w:val="clear" w:color="auto" w:fill="FFFFFF"/>
        </w:rPr>
        <w:t>, 98 Cal.App.5th at p. 6</w:t>
      </w:r>
      <w:r w:rsidR="002547AC" w:rsidRPr="00E66266">
        <w:rPr>
          <w:rStyle w:val="ssrfcpassagedeactivated"/>
          <w:szCs w:val="26"/>
          <w:bdr w:val="none" w:sz="0" w:space="0" w:color="auto" w:frame="1"/>
          <w:shd w:val="clear" w:color="auto" w:fill="FFFFFF"/>
        </w:rPr>
        <w:t>7</w:t>
      </w:r>
      <w:r w:rsidRPr="00E66266">
        <w:rPr>
          <w:rStyle w:val="ssrfcpassagedeactivated"/>
          <w:szCs w:val="26"/>
          <w:bdr w:val="none" w:sz="0" w:space="0" w:color="auto" w:frame="1"/>
          <w:shd w:val="clear" w:color="auto" w:fill="FFFFFF"/>
        </w:rPr>
        <w:t xml:space="preserve">.)  Although we agree resort to legislative history is not required, we find </w:t>
      </w:r>
      <w:r w:rsidR="001D7153" w:rsidRPr="00E66266">
        <w:rPr>
          <w:rStyle w:val="ssrfcpassagedeactivated"/>
          <w:szCs w:val="26"/>
          <w:bdr w:val="none" w:sz="0" w:space="0" w:color="auto" w:frame="1"/>
          <w:shd w:val="clear" w:color="auto" w:fill="FFFFFF"/>
        </w:rPr>
        <w:t xml:space="preserve">this </w:t>
      </w:r>
      <w:r w:rsidRPr="00E66266">
        <w:rPr>
          <w:rStyle w:val="ssrfcpassagedeactivated"/>
          <w:szCs w:val="26"/>
          <w:bdr w:val="none" w:sz="0" w:space="0" w:color="auto" w:frame="1"/>
          <w:shd w:val="clear" w:color="auto" w:fill="FFFFFF"/>
        </w:rPr>
        <w:t>analysis persuasive.</w:t>
      </w:r>
    </w:p>
  </w:footnote>
  <w:footnote w:id="5">
    <w:p w14:paraId="7CBC2FDF" w14:textId="7EA0414F" w:rsidR="008E2367" w:rsidRPr="00E66266" w:rsidRDefault="005A2E4C" w:rsidP="007A5921">
      <w:pPr>
        <w:pStyle w:val="FootnoteText"/>
        <w:spacing w:after="120"/>
        <w:ind w:firstLine="720"/>
        <w:rPr>
          <w:szCs w:val="26"/>
        </w:rPr>
      </w:pPr>
      <w:r w:rsidRPr="00E66266">
        <w:rPr>
          <w:rStyle w:val="FootnoteReference"/>
          <w:szCs w:val="26"/>
        </w:rPr>
        <w:footnoteRef/>
      </w:r>
      <w:r w:rsidRPr="00E66266">
        <w:rPr>
          <w:szCs w:val="26"/>
        </w:rPr>
        <w:t xml:space="preserve"> Section 664</w:t>
      </w:r>
      <w:r w:rsidRPr="00E66266">
        <w:rPr>
          <w:rStyle w:val="ssrfcpassagedeactivated"/>
          <w:szCs w:val="26"/>
          <w:bdr w:val="none" w:sz="0" w:space="0" w:color="auto" w:frame="1"/>
          <w:shd w:val="clear" w:color="auto" w:fill="FFFFFF"/>
        </w:rPr>
        <w:t>, subdivision</w:t>
      </w:r>
      <w:r w:rsidR="007251B7" w:rsidRPr="00E66266">
        <w:rPr>
          <w:rStyle w:val="ssrfcpassagedeactivated"/>
          <w:szCs w:val="26"/>
          <w:bdr w:val="none" w:sz="0" w:space="0" w:color="auto" w:frame="1"/>
          <w:shd w:val="clear" w:color="auto" w:fill="FFFFFF"/>
        </w:rPr>
        <w:t> </w:t>
      </w:r>
      <w:r w:rsidRPr="00E66266">
        <w:rPr>
          <w:rStyle w:val="ssrfcpassagedeactivated"/>
          <w:szCs w:val="26"/>
          <w:bdr w:val="none" w:sz="0" w:space="0" w:color="auto" w:frame="1"/>
          <w:shd w:val="clear" w:color="auto" w:fill="FFFFFF"/>
        </w:rPr>
        <w:t>(a) provides in relevant part that</w:t>
      </w:r>
      <w:r w:rsidR="005315C2">
        <w:rPr>
          <w:rStyle w:val="ssrfcpassagedeactivated"/>
          <w:szCs w:val="26"/>
          <w:bdr w:val="none" w:sz="0" w:space="0" w:color="auto" w:frame="1"/>
          <w:shd w:val="clear" w:color="auto" w:fill="FFFFFF"/>
        </w:rPr>
        <w:t xml:space="preserve"> “</w:t>
      </w:r>
      <w:r w:rsidR="005315C2" w:rsidRPr="005315C2">
        <w:rPr>
          <w:rStyle w:val="ssrfcpassagedeactivated"/>
          <w:szCs w:val="26"/>
          <w:bdr w:val="none" w:sz="0" w:space="0" w:color="auto" w:frame="1"/>
          <w:shd w:val="clear" w:color="auto" w:fill="FFFFFF"/>
        </w:rPr>
        <w:t>if the crime attempted is willful, deliberate, and premeditated murder, as defined in Section 189, the person guilty of that attempt shall be punished by imprisonment in the state prison for life with the possibility of parole</w:t>
      </w:r>
      <w:proofErr w:type="gramStart"/>
      <w:r w:rsidR="00B5678F">
        <w:rPr>
          <w:rStyle w:val="ssrfcpassagedeactivated"/>
          <w:szCs w:val="26"/>
          <w:bdr w:val="none" w:sz="0" w:space="0" w:color="auto" w:frame="1"/>
          <w:shd w:val="clear" w:color="auto" w:fill="FFFFFF"/>
        </w:rPr>
        <w:t>. . . .</w:t>
      </w:r>
      <w:proofErr w:type="gramEnd"/>
      <w:r w:rsidR="005315C2" w:rsidRPr="005315C2">
        <w:rPr>
          <w:rStyle w:val="ssrfcpassagedeactivated"/>
          <w:szCs w:val="26"/>
          <w:bdr w:val="none" w:sz="0" w:space="0" w:color="auto" w:frame="1"/>
          <w:shd w:val="clear" w:color="auto" w:fill="FFFFFF"/>
        </w:rPr>
        <w:t xml:space="preserve"> </w:t>
      </w:r>
      <w:r w:rsidR="00B5678F">
        <w:rPr>
          <w:rStyle w:val="ssrfcpassagedeactivated"/>
          <w:szCs w:val="26"/>
          <w:bdr w:val="none" w:sz="0" w:space="0" w:color="auto" w:frame="1"/>
          <w:shd w:val="clear" w:color="auto" w:fill="FFFFFF"/>
        </w:rPr>
        <w:t xml:space="preserve"> </w:t>
      </w:r>
      <w:r w:rsidR="005315C2" w:rsidRPr="005315C2">
        <w:rPr>
          <w:rStyle w:val="ssrfcpassagedeactivated"/>
          <w:szCs w:val="26"/>
          <w:bdr w:val="none" w:sz="0" w:space="0" w:color="auto" w:frame="1"/>
          <w:shd w:val="clear" w:color="auto" w:fill="FFFFFF"/>
        </w:rPr>
        <w:t>The additional term provided in this section for attempted willful, deliberate, and premeditated murder shall not be imposed unless the fact that the attempted murder was willful, deliberate, and premeditated is charged in the accusatory pleading and admitted or found to be true by the trier of fact.</w:t>
      </w:r>
      <w:r w:rsidR="00B5678F">
        <w:rPr>
          <w:rStyle w:val="ssrfcpassagedeactivated"/>
          <w:szCs w:val="26"/>
          <w:bdr w:val="none" w:sz="0" w:space="0" w:color="auto" w:frame="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4C08" w14:textId="77777777" w:rsidR="003D4DA6" w:rsidRPr="00B74C86" w:rsidRDefault="003D4DA6" w:rsidP="00B74C86">
    <w:pPr>
      <w:pStyle w:val="Header"/>
      <w:tabs>
        <w:tab w:val="clear" w:pos="720"/>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CD43" w14:textId="35DC524B" w:rsidR="0092113F" w:rsidRDefault="0092113F" w:rsidP="009211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03EB2"/>
    <w:multiLevelType w:val="hybridMultilevel"/>
    <w:tmpl w:val="CD14FB7C"/>
    <w:lvl w:ilvl="0" w:tplc="4642C7D6">
      <w:start w:val="1"/>
      <w:numFmt w:val="decimal"/>
      <w:lvlText w:val="%1."/>
      <w:lvlJc w:val="left"/>
      <w:pPr>
        <w:ind w:left="720" w:hanging="360"/>
      </w:pPr>
    </w:lvl>
    <w:lvl w:ilvl="1" w:tplc="FD542846" w:tentative="1">
      <w:start w:val="1"/>
      <w:numFmt w:val="lowerLetter"/>
      <w:lvlText w:val="%2."/>
      <w:lvlJc w:val="left"/>
      <w:pPr>
        <w:ind w:left="1440" w:hanging="360"/>
      </w:pPr>
    </w:lvl>
    <w:lvl w:ilvl="2" w:tplc="85BE555E" w:tentative="1">
      <w:start w:val="1"/>
      <w:numFmt w:val="lowerRoman"/>
      <w:lvlText w:val="%3."/>
      <w:lvlJc w:val="right"/>
      <w:pPr>
        <w:ind w:left="2160" w:hanging="180"/>
      </w:pPr>
    </w:lvl>
    <w:lvl w:ilvl="3" w:tplc="50FA1140" w:tentative="1">
      <w:start w:val="1"/>
      <w:numFmt w:val="decimal"/>
      <w:lvlText w:val="%4."/>
      <w:lvlJc w:val="left"/>
      <w:pPr>
        <w:ind w:left="2880" w:hanging="360"/>
      </w:pPr>
    </w:lvl>
    <w:lvl w:ilvl="4" w:tplc="1FE290BE" w:tentative="1">
      <w:start w:val="1"/>
      <w:numFmt w:val="lowerLetter"/>
      <w:lvlText w:val="%5."/>
      <w:lvlJc w:val="left"/>
      <w:pPr>
        <w:ind w:left="3600" w:hanging="360"/>
      </w:pPr>
    </w:lvl>
    <w:lvl w:ilvl="5" w:tplc="5658E2FE" w:tentative="1">
      <w:start w:val="1"/>
      <w:numFmt w:val="lowerRoman"/>
      <w:lvlText w:val="%6."/>
      <w:lvlJc w:val="right"/>
      <w:pPr>
        <w:ind w:left="4320" w:hanging="180"/>
      </w:pPr>
    </w:lvl>
    <w:lvl w:ilvl="6" w:tplc="CE82C814" w:tentative="1">
      <w:start w:val="1"/>
      <w:numFmt w:val="decimal"/>
      <w:lvlText w:val="%7."/>
      <w:lvlJc w:val="left"/>
      <w:pPr>
        <w:ind w:left="5040" w:hanging="360"/>
      </w:pPr>
    </w:lvl>
    <w:lvl w:ilvl="7" w:tplc="1AC8D514" w:tentative="1">
      <w:start w:val="1"/>
      <w:numFmt w:val="lowerLetter"/>
      <w:lvlText w:val="%8."/>
      <w:lvlJc w:val="left"/>
      <w:pPr>
        <w:ind w:left="5760" w:hanging="360"/>
      </w:pPr>
    </w:lvl>
    <w:lvl w:ilvl="8" w:tplc="0A56CF8C" w:tentative="1">
      <w:start w:val="1"/>
      <w:numFmt w:val="lowerRoman"/>
      <w:lvlText w:val="%9."/>
      <w:lvlJc w:val="right"/>
      <w:pPr>
        <w:ind w:left="6480" w:hanging="180"/>
      </w:pPr>
    </w:lvl>
  </w:abstractNum>
  <w:abstractNum w:abstractNumId="1" w15:restartNumberingAfterBreak="0">
    <w:nsid w:val="49062938"/>
    <w:multiLevelType w:val="hybridMultilevel"/>
    <w:tmpl w:val="44363CCC"/>
    <w:lvl w:ilvl="0" w:tplc="F950F4F2">
      <w:start w:val="1"/>
      <w:numFmt w:val="upperRoman"/>
      <w:lvlText w:val="%1."/>
      <w:lvlJc w:val="left"/>
      <w:pPr>
        <w:ind w:left="720" w:hanging="360"/>
      </w:pPr>
      <w:rPr>
        <w:rFonts w:hint="default"/>
        <w:i w:val="0"/>
        <w:iCs w:val="0"/>
      </w:rPr>
    </w:lvl>
    <w:lvl w:ilvl="1" w:tplc="AE3CCC9E">
      <w:start w:val="1"/>
      <w:numFmt w:val="upperLetter"/>
      <w:lvlText w:val="%2."/>
      <w:lvlJc w:val="left"/>
      <w:pPr>
        <w:ind w:left="1500" w:hanging="420"/>
      </w:pPr>
      <w:rPr>
        <w:rFonts w:hint="default"/>
        <w:b/>
        <w:bCs/>
      </w:rPr>
    </w:lvl>
    <w:lvl w:ilvl="2" w:tplc="4DA8B67C" w:tentative="1">
      <w:start w:val="1"/>
      <w:numFmt w:val="lowerRoman"/>
      <w:lvlText w:val="%3."/>
      <w:lvlJc w:val="right"/>
      <w:pPr>
        <w:ind w:left="2160" w:hanging="180"/>
      </w:pPr>
    </w:lvl>
    <w:lvl w:ilvl="3" w:tplc="50926C38" w:tentative="1">
      <w:start w:val="1"/>
      <w:numFmt w:val="decimal"/>
      <w:lvlText w:val="%4."/>
      <w:lvlJc w:val="left"/>
      <w:pPr>
        <w:ind w:left="2880" w:hanging="360"/>
      </w:pPr>
    </w:lvl>
    <w:lvl w:ilvl="4" w:tplc="0CC088FE" w:tentative="1">
      <w:start w:val="1"/>
      <w:numFmt w:val="lowerLetter"/>
      <w:lvlText w:val="%5."/>
      <w:lvlJc w:val="left"/>
      <w:pPr>
        <w:ind w:left="3600" w:hanging="360"/>
      </w:pPr>
    </w:lvl>
    <w:lvl w:ilvl="5" w:tplc="0D6C2EC4" w:tentative="1">
      <w:start w:val="1"/>
      <w:numFmt w:val="lowerRoman"/>
      <w:lvlText w:val="%6."/>
      <w:lvlJc w:val="right"/>
      <w:pPr>
        <w:ind w:left="4320" w:hanging="180"/>
      </w:pPr>
    </w:lvl>
    <w:lvl w:ilvl="6" w:tplc="7DE066B8" w:tentative="1">
      <w:start w:val="1"/>
      <w:numFmt w:val="decimal"/>
      <w:lvlText w:val="%7."/>
      <w:lvlJc w:val="left"/>
      <w:pPr>
        <w:ind w:left="5040" w:hanging="360"/>
      </w:pPr>
    </w:lvl>
    <w:lvl w:ilvl="7" w:tplc="08CE2F3E" w:tentative="1">
      <w:start w:val="1"/>
      <w:numFmt w:val="lowerLetter"/>
      <w:lvlText w:val="%8."/>
      <w:lvlJc w:val="left"/>
      <w:pPr>
        <w:ind w:left="5760" w:hanging="360"/>
      </w:pPr>
    </w:lvl>
    <w:lvl w:ilvl="8" w:tplc="BE2078B8" w:tentative="1">
      <w:start w:val="1"/>
      <w:numFmt w:val="lowerRoman"/>
      <w:lvlText w:val="%9."/>
      <w:lvlJc w:val="right"/>
      <w:pPr>
        <w:ind w:left="6480" w:hanging="180"/>
      </w:pPr>
    </w:lvl>
  </w:abstractNum>
  <w:abstractNum w:abstractNumId="2" w15:restartNumberingAfterBreak="0">
    <w:nsid w:val="575E7468"/>
    <w:multiLevelType w:val="hybridMultilevel"/>
    <w:tmpl w:val="96F605AE"/>
    <w:lvl w:ilvl="0" w:tplc="EFF41448">
      <w:start w:val="1"/>
      <w:numFmt w:val="upperRoman"/>
      <w:lvlText w:val="%1."/>
      <w:lvlJc w:val="left"/>
      <w:pPr>
        <w:ind w:left="1080" w:hanging="720"/>
      </w:pPr>
      <w:rPr>
        <w:rFonts w:hint="default"/>
        <w:b/>
        <w:bCs/>
        <w:i w:val="0"/>
        <w:iCs w:val="0"/>
      </w:rPr>
    </w:lvl>
    <w:lvl w:ilvl="1" w:tplc="64E8A600" w:tentative="1">
      <w:start w:val="1"/>
      <w:numFmt w:val="lowerLetter"/>
      <w:lvlText w:val="%2."/>
      <w:lvlJc w:val="left"/>
      <w:pPr>
        <w:ind w:left="1440" w:hanging="360"/>
      </w:pPr>
    </w:lvl>
    <w:lvl w:ilvl="2" w:tplc="BA5E2966" w:tentative="1">
      <w:start w:val="1"/>
      <w:numFmt w:val="lowerRoman"/>
      <w:lvlText w:val="%3."/>
      <w:lvlJc w:val="right"/>
      <w:pPr>
        <w:ind w:left="2160" w:hanging="180"/>
      </w:pPr>
    </w:lvl>
    <w:lvl w:ilvl="3" w:tplc="A9E07E98" w:tentative="1">
      <w:start w:val="1"/>
      <w:numFmt w:val="decimal"/>
      <w:lvlText w:val="%4."/>
      <w:lvlJc w:val="left"/>
      <w:pPr>
        <w:ind w:left="2880" w:hanging="360"/>
      </w:pPr>
    </w:lvl>
    <w:lvl w:ilvl="4" w:tplc="351E0880" w:tentative="1">
      <w:start w:val="1"/>
      <w:numFmt w:val="lowerLetter"/>
      <w:lvlText w:val="%5."/>
      <w:lvlJc w:val="left"/>
      <w:pPr>
        <w:ind w:left="3600" w:hanging="360"/>
      </w:pPr>
    </w:lvl>
    <w:lvl w:ilvl="5" w:tplc="7A8A99C4" w:tentative="1">
      <w:start w:val="1"/>
      <w:numFmt w:val="lowerRoman"/>
      <w:lvlText w:val="%6."/>
      <w:lvlJc w:val="right"/>
      <w:pPr>
        <w:ind w:left="4320" w:hanging="180"/>
      </w:pPr>
    </w:lvl>
    <w:lvl w:ilvl="6" w:tplc="9F02B3B2" w:tentative="1">
      <w:start w:val="1"/>
      <w:numFmt w:val="decimal"/>
      <w:lvlText w:val="%7."/>
      <w:lvlJc w:val="left"/>
      <w:pPr>
        <w:ind w:left="5040" w:hanging="360"/>
      </w:pPr>
    </w:lvl>
    <w:lvl w:ilvl="7" w:tplc="346EC6DA" w:tentative="1">
      <w:start w:val="1"/>
      <w:numFmt w:val="lowerLetter"/>
      <w:lvlText w:val="%8."/>
      <w:lvlJc w:val="left"/>
      <w:pPr>
        <w:ind w:left="5760" w:hanging="360"/>
      </w:pPr>
    </w:lvl>
    <w:lvl w:ilvl="8" w:tplc="50067918" w:tentative="1">
      <w:start w:val="1"/>
      <w:numFmt w:val="lowerRoman"/>
      <w:lvlText w:val="%9."/>
      <w:lvlJc w:val="right"/>
      <w:pPr>
        <w:ind w:left="6480" w:hanging="180"/>
      </w:pPr>
    </w:lvl>
  </w:abstractNum>
  <w:abstractNum w:abstractNumId="3" w15:restartNumberingAfterBreak="0">
    <w:nsid w:val="77542532"/>
    <w:multiLevelType w:val="hybridMultilevel"/>
    <w:tmpl w:val="42DA19CC"/>
    <w:lvl w:ilvl="0" w:tplc="73AE3976">
      <w:start w:val="1"/>
      <w:numFmt w:val="decimal"/>
      <w:lvlText w:val="%1."/>
      <w:lvlJc w:val="left"/>
      <w:pPr>
        <w:ind w:left="720" w:hanging="360"/>
      </w:pPr>
    </w:lvl>
    <w:lvl w:ilvl="1" w:tplc="C824C9F2" w:tentative="1">
      <w:start w:val="1"/>
      <w:numFmt w:val="lowerLetter"/>
      <w:lvlText w:val="%2."/>
      <w:lvlJc w:val="left"/>
      <w:pPr>
        <w:ind w:left="1440" w:hanging="360"/>
      </w:pPr>
    </w:lvl>
    <w:lvl w:ilvl="2" w:tplc="F7C01508" w:tentative="1">
      <w:start w:val="1"/>
      <w:numFmt w:val="lowerRoman"/>
      <w:lvlText w:val="%3."/>
      <w:lvlJc w:val="right"/>
      <w:pPr>
        <w:ind w:left="2160" w:hanging="180"/>
      </w:pPr>
    </w:lvl>
    <w:lvl w:ilvl="3" w:tplc="23E8E3C6" w:tentative="1">
      <w:start w:val="1"/>
      <w:numFmt w:val="decimal"/>
      <w:lvlText w:val="%4."/>
      <w:lvlJc w:val="left"/>
      <w:pPr>
        <w:ind w:left="2880" w:hanging="360"/>
      </w:pPr>
    </w:lvl>
    <w:lvl w:ilvl="4" w:tplc="E37A64F0" w:tentative="1">
      <w:start w:val="1"/>
      <w:numFmt w:val="lowerLetter"/>
      <w:lvlText w:val="%5."/>
      <w:lvlJc w:val="left"/>
      <w:pPr>
        <w:ind w:left="3600" w:hanging="360"/>
      </w:pPr>
    </w:lvl>
    <w:lvl w:ilvl="5" w:tplc="A6FEED30" w:tentative="1">
      <w:start w:val="1"/>
      <w:numFmt w:val="lowerRoman"/>
      <w:lvlText w:val="%6."/>
      <w:lvlJc w:val="right"/>
      <w:pPr>
        <w:ind w:left="4320" w:hanging="180"/>
      </w:pPr>
    </w:lvl>
    <w:lvl w:ilvl="6" w:tplc="03D6A560" w:tentative="1">
      <w:start w:val="1"/>
      <w:numFmt w:val="decimal"/>
      <w:lvlText w:val="%7."/>
      <w:lvlJc w:val="left"/>
      <w:pPr>
        <w:ind w:left="5040" w:hanging="360"/>
      </w:pPr>
    </w:lvl>
    <w:lvl w:ilvl="7" w:tplc="F9249C4A" w:tentative="1">
      <w:start w:val="1"/>
      <w:numFmt w:val="lowerLetter"/>
      <w:lvlText w:val="%8."/>
      <w:lvlJc w:val="left"/>
      <w:pPr>
        <w:ind w:left="5760" w:hanging="360"/>
      </w:pPr>
    </w:lvl>
    <w:lvl w:ilvl="8" w:tplc="44D27802" w:tentative="1">
      <w:start w:val="1"/>
      <w:numFmt w:val="lowerRoman"/>
      <w:lvlText w:val="%9."/>
      <w:lvlJc w:val="right"/>
      <w:pPr>
        <w:ind w:left="6480" w:hanging="180"/>
      </w:pPr>
    </w:lvl>
  </w:abstractNum>
  <w:num w:numId="1" w16cid:durableId="1835100984">
    <w:abstractNumId w:val="3"/>
  </w:num>
  <w:num w:numId="2" w16cid:durableId="1032338445">
    <w:abstractNumId w:val="1"/>
  </w:num>
  <w:num w:numId="3" w16cid:durableId="1827085344">
    <w:abstractNumId w:val="0"/>
  </w:num>
  <w:num w:numId="4" w16cid:durableId="330064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82"/>
    <w:rsid w:val="00010169"/>
    <w:rsid w:val="0001658D"/>
    <w:rsid w:val="000169DB"/>
    <w:rsid w:val="00023E0E"/>
    <w:rsid w:val="00032B31"/>
    <w:rsid w:val="000413FE"/>
    <w:rsid w:val="00053AD1"/>
    <w:rsid w:val="000600DC"/>
    <w:rsid w:val="00062A0C"/>
    <w:rsid w:val="00070CE4"/>
    <w:rsid w:val="0007157C"/>
    <w:rsid w:val="000820C2"/>
    <w:rsid w:val="00091FEE"/>
    <w:rsid w:val="00094AB3"/>
    <w:rsid w:val="000A3BA8"/>
    <w:rsid w:val="000A7CA6"/>
    <w:rsid w:val="000B0983"/>
    <w:rsid w:val="000C595D"/>
    <w:rsid w:val="000C662C"/>
    <w:rsid w:val="000E1B41"/>
    <w:rsid w:val="00103EC7"/>
    <w:rsid w:val="00104997"/>
    <w:rsid w:val="0011754C"/>
    <w:rsid w:val="00123DCD"/>
    <w:rsid w:val="001314DB"/>
    <w:rsid w:val="001318A1"/>
    <w:rsid w:val="00134A36"/>
    <w:rsid w:val="00136018"/>
    <w:rsid w:val="00136B62"/>
    <w:rsid w:val="001370F9"/>
    <w:rsid w:val="00146A99"/>
    <w:rsid w:val="00162EDB"/>
    <w:rsid w:val="00164508"/>
    <w:rsid w:val="001873FA"/>
    <w:rsid w:val="00192130"/>
    <w:rsid w:val="00192A19"/>
    <w:rsid w:val="001938C5"/>
    <w:rsid w:val="001947D1"/>
    <w:rsid w:val="001B2E57"/>
    <w:rsid w:val="001B3EF5"/>
    <w:rsid w:val="001D1BC7"/>
    <w:rsid w:val="001D424A"/>
    <w:rsid w:val="001D7153"/>
    <w:rsid w:val="001D7215"/>
    <w:rsid w:val="001D7574"/>
    <w:rsid w:val="00203862"/>
    <w:rsid w:val="00203E58"/>
    <w:rsid w:val="00204F85"/>
    <w:rsid w:val="00215A20"/>
    <w:rsid w:val="002226E5"/>
    <w:rsid w:val="0022511B"/>
    <w:rsid w:val="00225EA3"/>
    <w:rsid w:val="0023281F"/>
    <w:rsid w:val="00240AB5"/>
    <w:rsid w:val="00240DCF"/>
    <w:rsid w:val="00241A13"/>
    <w:rsid w:val="002547AC"/>
    <w:rsid w:val="0025693F"/>
    <w:rsid w:val="00261435"/>
    <w:rsid w:val="002679A5"/>
    <w:rsid w:val="0027557B"/>
    <w:rsid w:val="00276951"/>
    <w:rsid w:val="002B2667"/>
    <w:rsid w:val="002C7449"/>
    <w:rsid w:val="002D4A98"/>
    <w:rsid w:val="002F2270"/>
    <w:rsid w:val="002F6AFC"/>
    <w:rsid w:val="002F7F22"/>
    <w:rsid w:val="00315D2B"/>
    <w:rsid w:val="00325787"/>
    <w:rsid w:val="003271D6"/>
    <w:rsid w:val="00343466"/>
    <w:rsid w:val="00354F8B"/>
    <w:rsid w:val="00371AE2"/>
    <w:rsid w:val="0037386D"/>
    <w:rsid w:val="00382EBD"/>
    <w:rsid w:val="0039493F"/>
    <w:rsid w:val="003963A8"/>
    <w:rsid w:val="003C374C"/>
    <w:rsid w:val="003C4342"/>
    <w:rsid w:val="003D4DA6"/>
    <w:rsid w:val="003E6098"/>
    <w:rsid w:val="003F0FA9"/>
    <w:rsid w:val="003F7525"/>
    <w:rsid w:val="004050C8"/>
    <w:rsid w:val="0040728C"/>
    <w:rsid w:val="00407DFA"/>
    <w:rsid w:val="00416F21"/>
    <w:rsid w:val="004204E1"/>
    <w:rsid w:val="004267D0"/>
    <w:rsid w:val="00431F2A"/>
    <w:rsid w:val="004324C8"/>
    <w:rsid w:val="004367F9"/>
    <w:rsid w:val="00442B19"/>
    <w:rsid w:val="0045674B"/>
    <w:rsid w:val="00464AE0"/>
    <w:rsid w:val="004937A6"/>
    <w:rsid w:val="00493E41"/>
    <w:rsid w:val="00495050"/>
    <w:rsid w:val="004956BF"/>
    <w:rsid w:val="004970F0"/>
    <w:rsid w:val="004A0934"/>
    <w:rsid w:val="004A69D3"/>
    <w:rsid w:val="004D22EF"/>
    <w:rsid w:val="004D699F"/>
    <w:rsid w:val="004E4771"/>
    <w:rsid w:val="0050202D"/>
    <w:rsid w:val="00503093"/>
    <w:rsid w:val="0050443E"/>
    <w:rsid w:val="00506D91"/>
    <w:rsid w:val="00511664"/>
    <w:rsid w:val="0051394E"/>
    <w:rsid w:val="0052313A"/>
    <w:rsid w:val="005239BD"/>
    <w:rsid w:val="005247CE"/>
    <w:rsid w:val="005260E1"/>
    <w:rsid w:val="0053039A"/>
    <w:rsid w:val="00531044"/>
    <w:rsid w:val="005315C2"/>
    <w:rsid w:val="00563B1C"/>
    <w:rsid w:val="00567759"/>
    <w:rsid w:val="005815FD"/>
    <w:rsid w:val="00585DC2"/>
    <w:rsid w:val="00587970"/>
    <w:rsid w:val="00592981"/>
    <w:rsid w:val="005A2E4C"/>
    <w:rsid w:val="005B21B5"/>
    <w:rsid w:val="005B3AE6"/>
    <w:rsid w:val="005B4896"/>
    <w:rsid w:val="005B4A64"/>
    <w:rsid w:val="005D5B2B"/>
    <w:rsid w:val="005D6739"/>
    <w:rsid w:val="005E0848"/>
    <w:rsid w:val="00602DC7"/>
    <w:rsid w:val="00603BF7"/>
    <w:rsid w:val="00607E26"/>
    <w:rsid w:val="0061051C"/>
    <w:rsid w:val="00616104"/>
    <w:rsid w:val="00620C4D"/>
    <w:rsid w:val="006302C2"/>
    <w:rsid w:val="00630335"/>
    <w:rsid w:val="00662C37"/>
    <w:rsid w:val="00670D6F"/>
    <w:rsid w:val="00684077"/>
    <w:rsid w:val="006902F7"/>
    <w:rsid w:val="00694239"/>
    <w:rsid w:val="00695788"/>
    <w:rsid w:val="006A5F17"/>
    <w:rsid w:val="006B6B8E"/>
    <w:rsid w:val="006B7375"/>
    <w:rsid w:val="006C01CC"/>
    <w:rsid w:val="006C7B6D"/>
    <w:rsid w:val="006D1D99"/>
    <w:rsid w:val="007139CE"/>
    <w:rsid w:val="0072059A"/>
    <w:rsid w:val="0072224E"/>
    <w:rsid w:val="007251B7"/>
    <w:rsid w:val="00726456"/>
    <w:rsid w:val="00731443"/>
    <w:rsid w:val="00735174"/>
    <w:rsid w:val="007367C4"/>
    <w:rsid w:val="00740DEB"/>
    <w:rsid w:val="0074368B"/>
    <w:rsid w:val="00750693"/>
    <w:rsid w:val="00763474"/>
    <w:rsid w:val="00774858"/>
    <w:rsid w:val="00776237"/>
    <w:rsid w:val="00776DFF"/>
    <w:rsid w:val="007A5921"/>
    <w:rsid w:val="007B0DC9"/>
    <w:rsid w:val="007B108D"/>
    <w:rsid w:val="007B68C4"/>
    <w:rsid w:val="007B71E2"/>
    <w:rsid w:val="007D28FF"/>
    <w:rsid w:val="007D4F0F"/>
    <w:rsid w:val="007D5A6C"/>
    <w:rsid w:val="007E0C74"/>
    <w:rsid w:val="007E1EA9"/>
    <w:rsid w:val="007F585D"/>
    <w:rsid w:val="00806284"/>
    <w:rsid w:val="00807CD1"/>
    <w:rsid w:val="008126C4"/>
    <w:rsid w:val="00825600"/>
    <w:rsid w:val="008259C1"/>
    <w:rsid w:val="008315F5"/>
    <w:rsid w:val="00834195"/>
    <w:rsid w:val="008358FD"/>
    <w:rsid w:val="00836721"/>
    <w:rsid w:val="00837B8F"/>
    <w:rsid w:val="00850053"/>
    <w:rsid w:val="008711FF"/>
    <w:rsid w:val="008779B2"/>
    <w:rsid w:val="00880529"/>
    <w:rsid w:val="008812B0"/>
    <w:rsid w:val="00887871"/>
    <w:rsid w:val="008904FE"/>
    <w:rsid w:val="00890FD6"/>
    <w:rsid w:val="008A3753"/>
    <w:rsid w:val="008B028E"/>
    <w:rsid w:val="008B523D"/>
    <w:rsid w:val="008C2A66"/>
    <w:rsid w:val="008C4A15"/>
    <w:rsid w:val="008C69C3"/>
    <w:rsid w:val="008E2367"/>
    <w:rsid w:val="008E3CC4"/>
    <w:rsid w:val="008F475E"/>
    <w:rsid w:val="008F6AEC"/>
    <w:rsid w:val="00902C31"/>
    <w:rsid w:val="009101D6"/>
    <w:rsid w:val="00913590"/>
    <w:rsid w:val="00914038"/>
    <w:rsid w:val="00916506"/>
    <w:rsid w:val="0092113F"/>
    <w:rsid w:val="00924EBF"/>
    <w:rsid w:val="00927094"/>
    <w:rsid w:val="00930C0E"/>
    <w:rsid w:val="00935C66"/>
    <w:rsid w:val="009459F4"/>
    <w:rsid w:val="0094676D"/>
    <w:rsid w:val="009516BB"/>
    <w:rsid w:val="00953769"/>
    <w:rsid w:val="00954715"/>
    <w:rsid w:val="009623AF"/>
    <w:rsid w:val="00964857"/>
    <w:rsid w:val="00975649"/>
    <w:rsid w:val="00986FC1"/>
    <w:rsid w:val="00987DF9"/>
    <w:rsid w:val="009A0C04"/>
    <w:rsid w:val="009B068F"/>
    <w:rsid w:val="009B2389"/>
    <w:rsid w:val="009B303F"/>
    <w:rsid w:val="009B540B"/>
    <w:rsid w:val="009B661C"/>
    <w:rsid w:val="009B6F55"/>
    <w:rsid w:val="009B71C5"/>
    <w:rsid w:val="009B7450"/>
    <w:rsid w:val="009C3875"/>
    <w:rsid w:val="009C3BFA"/>
    <w:rsid w:val="009C4A82"/>
    <w:rsid w:val="009F2BF9"/>
    <w:rsid w:val="009F357D"/>
    <w:rsid w:val="00A1603D"/>
    <w:rsid w:val="00A22082"/>
    <w:rsid w:val="00A256BE"/>
    <w:rsid w:val="00A25D7F"/>
    <w:rsid w:val="00A307EA"/>
    <w:rsid w:val="00A36AE6"/>
    <w:rsid w:val="00A421E3"/>
    <w:rsid w:val="00A506C9"/>
    <w:rsid w:val="00A50BE8"/>
    <w:rsid w:val="00A50C55"/>
    <w:rsid w:val="00A5517F"/>
    <w:rsid w:val="00A641D2"/>
    <w:rsid w:val="00A7226B"/>
    <w:rsid w:val="00A95A4F"/>
    <w:rsid w:val="00AA3091"/>
    <w:rsid w:val="00AB3B54"/>
    <w:rsid w:val="00AC207E"/>
    <w:rsid w:val="00AC2CB0"/>
    <w:rsid w:val="00AE522C"/>
    <w:rsid w:val="00AE6CD5"/>
    <w:rsid w:val="00B03982"/>
    <w:rsid w:val="00B051DC"/>
    <w:rsid w:val="00B06BCB"/>
    <w:rsid w:val="00B17695"/>
    <w:rsid w:val="00B22C09"/>
    <w:rsid w:val="00B3048A"/>
    <w:rsid w:val="00B311EF"/>
    <w:rsid w:val="00B33F8B"/>
    <w:rsid w:val="00B34D2C"/>
    <w:rsid w:val="00B361E7"/>
    <w:rsid w:val="00B47C8F"/>
    <w:rsid w:val="00B55491"/>
    <w:rsid w:val="00B5678F"/>
    <w:rsid w:val="00B67F4D"/>
    <w:rsid w:val="00B70E31"/>
    <w:rsid w:val="00B74C86"/>
    <w:rsid w:val="00B947C1"/>
    <w:rsid w:val="00BA3C74"/>
    <w:rsid w:val="00BA6B97"/>
    <w:rsid w:val="00BD086C"/>
    <w:rsid w:val="00BF5C2E"/>
    <w:rsid w:val="00C0568C"/>
    <w:rsid w:val="00C10451"/>
    <w:rsid w:val="00C15E27"/>
    <w:rsid w:val="00C34089"/>
    <w:rsid w:val="00C43962"/>
    <w:rsid w:val="00C44C16"/>
    <w:rsid w:val="00C4592F"/>
    <w:rsid w:val="00C47268"/>
    <w:rsid w:val="00C60FEF"/>
    <w:rsid w:val="00C62735"/>
    <w:rsid w:val="00C62737"/>
    <w:rsid w:val="00C65DE4"/>
    <w:rsid w:val="00C861A1"/>
    <w:rsid w:val="00C90E9A"/>
    <w:rsid w:val="00C930C1"/>
    <w:rsid w:val="00CB07DE"/>
    <w:rsid w:val="00CB45AC"/>
    <w:rsid w:val="00CC2966"/>
    <w:rsid w:val="00CC55FD"/>
    <w:rsid w:val="00CD7589"/>
    <w:rsid w:val="00CE03D1"/>
    <w:rsid w:val="00CE1CF4"/>
    <w:rsid w:val="00CE2388"/>
    <w:rsid w:val="00D11F18"/>
    <w:rsid w:val="00D13E47"/>
    <w:rsid w:val="00D205F4"/>
    <w:rsid w:val="00D24C7D"/>
    <w:rsid w:val="00D3019A"/>
    <w:rsid w:val="00D42513"/>
    <w:rsid w:val="00D464FD"/>
    <w:rsid w:val="00D52F84"/>
    <w:rsid w:val="00D5447D"/>
    <w:rsid w:val="00D7160D"/>
    <w:rsid w:val="00D7256B"/>
    <w:rsid w:val="00D75AB2"/>
    <w:rsid w:val="00D82665"/>
    <w:rsid w:val="00D9748D"/>
    <w:rsid w:val="00DC3AB6"/>
    <w:rsid w:val="00DF0B27"/>
    <w:rsid w:val="00DF30BE"/>
    <w:rsid w:val="00DF7179"/>
    <w:rsid w:val="00E35083"/>
    <w:rsid w:val="00E428AD"/>
    <w:rsid w:val="00E46543"/>
    <w:rsid w:val="00E510E7"/>
    <w:rsid w:val="00E62052"/>
    <w:rsid w:val="00E63117"/>
    <w:rsid w:val="00E66266"/>
    <w:rsid w:val="00E663E1"/>
    <w:rsid w:val="00E668FA"/>
    <w:rsid w:val="00E67692"/>
    <w:rsid w:val="00E72D03"/>
    <w:rsid w:val="00E83DB4"/>
    <w:rsid w:val="00E91500"/>
    <w:rsid w:val="00E93AB6"/>
    <w:rsid w:val="00EA074D"/>
    <w:rsid w:val="00EA2580"/>
    <w:rsid w:val="00EC2D52"/>
    <w:rsid w:val="00ED5A92"/>
    <w:rsid w:val="00ED7367"/>
    <w:rsid w:val="00EE1F66"/>
    <w:rsid w:val="00EE3C2B"/>
    <w:rsid w:val="00EE427F"/>
    <w:rsid w:val="00EE538B"/>
    <w:rsid w:val="00F104D8"/>
    <w:rsid w:val="00F250E7"/>
    <w:rsid w:val="00F2796E"/>
    <w:rsid w:val="00F317B0"/>
    <w:rsid w:val="00F4488A"/>
    <w:rsid w:val="00F56D36"/>
    <w:rsid w:val="00F66C18"/>
    <w:rsid w:val="00F82127"/>
    <w:rsid w:val="00F8390B"/>
    <w:rsid w:val="00F861DE"/>
    <w:rsid w:val="00F90C25"/>
    <w:rsid w:val="00F94A79"/>
    <w:rsid w:val="00F97901"/>
    <w:rsid w:val="00FA1667"/>
    <w:rsid w:val="00FA27D6"/>
    <w:rsid w:val="00FA6EB1"/>
    <w:rsid w:val="00FB0456"/>
    <w:rsid w:val="00FB56DB"/>
    <w:rsid w:val="00FD0E5E"/>
    <w:rsid w:val="00FD4F3F"/>
    <w:rsid w:val="00FD7920"/>
    <w:rsid w:val="00FE004D"/>
    <w:rsid w:val="00FE0BC7"/>
    <w:rsid w:val="00FE5762"/>
    <w:rsid w:val="00FF0456"/>
    <w:rsid w:val="00FF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C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982"/>
    <w:pPr>
      <w:tabs>
        <w:tab w:val="center" w:pos="4680"/>
        <w:tab w:val="right" w:pos="9360"/>
      </w:tabs>
      <w:spacing w:line="240" w:lineRule="auto"/>
    </w:pPr>
  </w:style>
  <w:style w:type="character" w:customStyle="1" w:styleId="HeaderChar">
    <w:name w:val="Header Char"/>
    <w:basedOn w:val="DefaultParagraphFont"/>
    <w:link w:val="Header"/>
    <w:uiPriority w:val="99"/>
    <w:rsid w:val="00B03982"/>
  </w:style>
  <w:style w:type="paragraph" w:styleId="Footer">
    <w:name w:val="footer"/>
    <w:basedOn w:val="Normal"/>
    <w:link w:val="FooterChar"/>
    <w:uiPriority w:val="99"/>
    <w:unhideWhenUsed/>
    <w:rsid w:val="00B03982"/>
    <w:pPr>
      <w:tabs>
        <w:tab w:val="center" w:pos="4680"/>
        <w:tab w:val="right" w:pos="9360"/>
      </w:tabs>
      <w:spacing w:line="240" w:lineRule="auto"/>
    </w:pPr>
  </w:style>
  <w:style w:type="character" w:customStyle="1" w:styleId="FooterChar">
    <w:name w:val="Footer Char"/>
    <w:basedOn w:val="DefaultParagraphFont"/>
    <w:link w:val="Footer"/>
    <w:uiPriority w:val="99"/>
    <w:rsid w:val="00B03982"/>
  </w:style>
  <w:style w:type="character" w:styleId="PageNumber">
    <w:name w:val="page number"/>
    <w:basedOn w:val="DefaultParagraphFont"/>
    <w:uiPriority w:val="99"/>
    <w:semiHidden/>
    <w:unhideWhenUsed/>
    <w:rsid w:val="00B03982"/>
  </w:style>
  <w:style w:type="paragraph" w:styleId="FootnoteText">
    <w:name w:val="footnote text"/>
    <w:link w:val="FootnoteTextChar"/>
    <w:uiPriority w:val="99"/>
    <w:unhideWhenUsed/>
    <w:rsid w:val="00B03982"/>
    <w:pPr>
      <w:spacing w:line="240" w:lineRule="auto"/>
    </w:pPr>
    <w:rPr>
      <w:szCs w:val="20"/>
    </w:rPr>
  </w:style>
  <w:style w:type="character" w:customStyle="1" w:styleId="FootnoteTextChar">
    <w:name w:val="Footnote Text Char"/>
    <w:basedOn w:val="DefaultParagraphFont"/>
    <w:link w:val="FootnoteText"/>
    <w:uiPriority w:val="99"/>
    <w:rsid w:val="00B03982"/>
    <w:rPr>
      <w:szCs w:val="20"/>
    </w:rPr>
  </w:style>
  <w:style w:type="character" w:styleId="FootnoteReference">
    <w:name w:val="footnote reference"/>
    <w:basedOn w:val="DefaultParagraphFont"/>
    <w:uiPriority w:val="99"/>
    <w:semiHidden/>
    <w:unhideWhenUsed/>
    <w:rsid w:val="00A1603D"/>
    <w:rPr>
      <w:vertAlign w:val="superscript"/>
    </w:rPr>
  </w:style>
  <w:style w:type="character" w:customStyle="1" w:styleId="ssrfcsection">
    <w:name w:val="ss_rfcsection"/>
    <w:basedOn w:val="DefaultParagraphFont"/>
    <w:rsid w:val="006D1D99"/>
  </w:style>
  <w:style w:type="character" w:customStyle="1" w:styleId="ssrfcpassagedeactivated">
    <w:name w:val="ss_rfcpassage_deactivated"/>
    <w:basedOn w:val="DefaultParagraphFont"/>
    <w:rsid w:val="006D1D99"/>
  </w:style>
  <w:style w:type="paragraph" w:styleId="NormalWeb">
    <w:name w:val="Normal (Web)"/>
    <w:basedOn w:val="Normal"/>
    <w:uiPriority w:val="99"/>
    <w:unhideWhenUsed/>
    <w:rsid w:val="0027557B"/>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it">
    <w:name w:val="ss_it"/>
    <w:basedOn w:val="DefaultParagraphFont"/>
    <w:rsid w:val="0027557B"/>
  </w:style>
  <w:style w:type="character" w:styleId="Hyperlink">
    <w:name w:val="Hyperlink"/>
    <w:basedOn w:val="DefaultParagraphFont"/>
    <w:uiPriority w:val="99"/>
    <w:semiHidden/>
    <w:unhideWhenUsed/>
    <w:rsid w:val="0027557B"/>
    <w:rPr>
      <w:color w:val="0000FF"/>
      <w:u w:val="single"/>
    </w:rPr>
  </w:style>
  <w:style w:type="character" w:customStyle="1" w:styleId="ssheadnotelink">
    <w:name w:val="ss_headnotelink"/>
    <w:basedOn w:val="DefaultParagraphFont"/>
    <w:rsid w:val="0027557B"/>
  </w:style>
  <w:style w:type="character" w:customStyle="1" w:styleId="sssh">
    <w:name w:val="ss_sh"/>
    <w:basedOn w:val="DefaultParagraphFont"/>
    <w:rsid w:val="00C0568C"/>
  </w:style>
  <w:style w:type="character" w:customStyle="1" w:styleId="ssparalabel">
    <w:name w:val="ss_paralabel"/>
    <w:basedOn w:val="DefaultParagraphFont"/>
    <w:rsid w:val="00C930C1"/>
  </w:style>
  <w:style w:type="character" w:customStyle="1" w:styleId="ssparacontent">
    <w:name w:val="ss_paracontent"/>
    <w:basedOn w:val="DefaultParagraphFont"/>
    <w:rsid w:val="00C930C1"/>
  </w:style>
  <w:style w:type="character" w:customStyle="1" w:styleId="ssbf">
    <w:name w:val="ss_bf"/>
    <w:basedOn w:val="DefaultParagraphFont"/>
    <w:rsid w:val="00C930C1"/>
  </w:style>
  <w:style w:type="character" w:styleId="CommentReference">
    <w:name w:val="annotation reference"/>
    <w:basedOn w:val="DefaultParagraphFont"/>
    <w:uiPriority w:val="99"/>
    <w:semiHidden/>
    <w:unhideWhenUsed/>
    <w:rsid w:val="00E668FA"/>
    <w:rPr>
      <w:sz w:val="16"/>
      <w:szCs w:val="16"/>
    </w:rPr>
  </w:style>
  <w:style w:type="paragraph" w:styleId="CommentText">
    <w:name w:val="annotation text"/>
    <w:basedOn w:val="Normal"/>
    <w:link w:val="CommentTextChar"/>
    <w:uiPriority w:val="99"/>
    <w:unhideWhenUsed/>
    <w:rsid w:val="00E668FA"/>
    <w:pPr>
      <w:spacing w:line="240" w:lineRule="auto"/>
    </w:pPr>
    <w:rPr>
      <w:sz w:val="20"/>
      <w:szCs w:val="20"/>
    </w:rPr>
  </w:style>
  <w:style w:type="character" w:customStyle="1" w:styleId="CommentTextChar">
    <w:name w:val="Comment Text Char"/>
    <w:basedOn w:val="DefaultParagraphFont"/>
    <w:link w:val="CommentText"/>
    <w:uiPriority w:val="99"/>
    <w:rsid w:val="00E668FA"/>
    <w:rPr>
      <w:sz w:val="20"/>
      <w:szCs w:val="20"/>
    </w:rPr>
  </w:style>
  <w:style w:type="paragraph" w:styleId="CommentSubject">
    <w:name w:val="annotation subject"/>
    <w:basedOn w:val="CommentText"/>
    <w:next w:val="CommentText"/>
    <w:link w:val="CommentSubjectChar"/>
    <w:uiPriority w:val="99"/>
    <w:semiHidden/>
    <w:unhideWhenUsed/>
    <w:rsid w:val="00E668FA"/>
    <w:rPr>
      <w:b/>
      <w:bCs/>
    </w:rPr>
  </w:style>
  <w:style w:type="character" w:customStyle="1" w:styleId="CommentSubjectChar">
    <w:name w:val="Comment Subject Char"/>
    <w:basedOn w:val="CommentTextChar"/>
    <w:link w:val="CommentSubject"/>
    <w:uiPriority w:val="99"/>
    <w:semiHidden/>
    <w:rsid w:val="00E668FA"/>
    <w:rPr>
      <w:b/>
      <w:bCs/>
      <w:sz w:val="20"/>
      <w:szCs w:val="20"/>
    </w:rPr>
  </w:style>
  <w:style w:type="paragraph" w:styleId="Revision">
    <w:name w:val="Revision"/>
    <w:hidden/>
    <w:uiPriority w:val="99"/>
    <w:semiHidden/>
    <w:rsid w:val="0094676D"/>
    <w:pPr>
      <w:spacing w:line="240" w:lineRule="auto"/>
    </w:pPr>
  </w:style>
  <w:style w:type="paragraph" w:styleId="ListParagraph">
    <w:name w:val="List Paragraph"/>
    <w:basedOn w:val="Normal"/>
    <w:uiPriority w:val="34"/>
    <w:qFormat/>
    <w:rsid w:val="005B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9576-B26B-453B-B63E-9D7774B6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5644</Words>
  <Characters>29174</Characters>
  <Application>Microsoft Office Word</Application>
  <DocSecurity>0</DocSecurity>
  <Lines>566</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2024-03-28T18:24:00Z</dcterms:created>
  <dcterms:modified xsi:type="dcterms:W3CDTF">2024-03-28T18:24:00Z</dcterms:modified>
  <cp:category/>
</cp:coreProperties>
</file>