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AA25" w14:textId="12A0D36B" w:rsidR="00BD7E05" w:rsidRDefault="00BD7E05" w:rsidP="00BD7E05">
      <w:pPr>
        <w:spacing w:line="240" w:lineRule="auto"/>
        <w:rPr>
          <w:sz w:val="20"/>
          <w:szCs w:val="20"/>
        </w:rPr>
      </w:pPr>
      <w:r>
        <w:rPr>
          <w:sz w:val="20"/>
          <w:szCs w:val="20"/>
        </w:rPr>
        <w:t xml:space="preserve">Filed </w:t>
      </w:r>
      <w:r w:rsidR="00901B57">
        <w:rPr>
          <w:sz w:val="20"/>
          <w:szCs w:val="20"/>
        </w:rPr>
        <w:t>3/6/24</w:t>
      </w:r>
    </w:p>
    <w:p w14:paraId="1E33DBAF" w14:textId="14760E41" w:rsidR="00BD7E05" w:rsidRPr="007B53A4" w:rsidRDefault="00BD7E05" w:rsidP="007B53A4">
      <w:pPr>
        <w:spacing w:line="240" w:lineRule="auto"/>
        <w:jc w:val="center"/>
        <w:rPr>
          <w:szCs w:val="20"/>
        </w:rPr>
      </w:pPr>
      <w:r>
        <w:rPr>
          <w:b/>
          <w:szCs w:val="20"/>
        </w:rPr>
        <w:t>CERTIFIED FOR PARTIAL PUBLICATION</w:t>
      </w:r>
      <w:r>
        <w:rPr>
          <w:rStyle w:val="FootnoteReference"/>
          <w:b/>
          <w:szCs w:val="20"/>
        </w:rPr>
        <w:footnoteReference w:customMarkFollows="1" w:id="1"/>
        <w:t>*</w:t>
      </w:r>
    </w:p>
    <w:p w14:paraId="2492E737" w14:textId="77777777" w:rsidR="00BD7E05" w:rsidRPr="00BD7E05" w:rsidRDefault="00BD7E05" w:rsidP="00BD7E05">
      <w:pPr>
        <w:spacing w:line="240" w:lineRule="auto"/>
        <w:rPr>
          <w:sz w:val="20"/>
          <w:szCs w:val="20"/>
        </w:rPr>
      </w:pPr>
    </w:p>
    <w:p w14:paraId="7C1BB7F2" w14:textId="77777777" w:rsidR="00DE7304" w:rsidRDefault="00DE7304" w:rsidP="00072F6B">
      <w:pPr>
        <w:spacing w:line="240" w:lineRule="auto"/>
        <w:jc w:val="center"/>
      </w:pPr>
    </w:p>
    <w:p w14:paraId="09731B7E" w14:textId="6F99D8B6" w:rsidR="008C69C3" w:rsidRDefault="00072F6B" w:rsidP="00072F6B">
      <w:pPr>
        <w:spacing w:line="240" w:lineRule="auto"/>
        <w:jc w:val="center"/>
      </w:pPr>
      <w:r>
        <w:t>IN THE COURT OF APPEAL OF THE STATE OF CALIFORNIA</w:t>
      </w:r>
    </w:p>
    <w:p w14:paraId="5CB27683" w14:textId="457968A4" w:rsidR="00072F6B" w:rsidRDefault="00072F6B" w:rsidP="00072F6B">
      <w:pPr>
        <w:spacing w:line="240" w:lineRule="auto"/>
        <w:jc w:val="center"/>
      </w:pPr>
    </w:p>
    <w:p w14:paraId="5DB02861" w14:textId="7A9783E8" w:rsidR="00072F6B" w:rsidRDefault="00072F6B" w:rsidP="00072F6B">
      <w:pPr>
        <w:spacing w:line="240" w:lineRule="auto"/>
        <w:jc w:val="center"/>
      </w:pPr>
      <w:r>
        <w:t>FIRST APPELLATE DISTRICT</w:t>
      </w:r>
    </w:p>
    <w:p w14:paraId="21AC5B69" w14:textId="6C3B95FF" w:rsidR="00072F6B" w:rsidRDefault="00072F6B" w:rsidP="00072F6B">
      <w:pPr>
        <w:spacing w:line="240" w:lineRule="auto"/>
        <w:jc w:val="center"/>
      </w:pPr>
    </w:p>
    <w:p w14:paraId="44F64315" w14:textId="44576BB6" w:rsidR="00072F6B" w:rsidRDefault="00072F6B" w:rsidP="00072F6B">
      <w:pPr>
        <w:spacing w:line="240" w:lineRule="auto"/>
        <w:jc w:val="center"/>
      </w:pPr>
      <w:r>
        <w:t>DIVISION FIVE</w:t>
      </w:r>
    </w:p>
    <w:p w14:paraId="68CBF66A" w14:textId="73B91D6B" w:rsidR="00072F6B" w:rsidRDefault="00072F6B" w:rsidP="00072F6B">
      <w:pPr>
        <w:spacing w:line="240" w:lineRule="auto"/>
        <w:jc w:val="center"/>
      </w:pPr>
    </w:p>
    <w:p w14:paraId="1FAA74B4" w14:textId="694BE758" w:rsidR="00072F6B" w:rsidRDefault="00072F6B" w:rsidP="00072F6B">
      <w:pPr>
        <w:spacing w:line="240" w:lineRule="auto"/>
        <w:jc w:val="center"/>
      </w:pPr>
    </w:p>
    <w:tbl>
      <w:tblPr>
        <w:tblW w:w="0" w:type="auto"/>
        <w:tblLayout w:type="fixed"/>
        <w:tblLook w:val="0000" w:firstRow="0" w:lastRow="0" w:firstColumn="0" w:lastColumn="0" w:noHBand="0" w:noVBand="0"/>
      </w:tblPr>
      <w:tblGrid>
        <w:gridCol w:w="4680"/>
        <w:gridCol w:w="4680"/>
      </w:tblGrid>
      <w:tr w:rsidR="00072F6B" w14:paraId="3595FC43" w14:textId="77777777" w:rsidTr="00072F6B">
        <w:tc>
          <w:tcPr>
            <w:tcW w:w="4680" w:type="dxa"/>
            <w:tcBorders>
              <w:bottom w:val="single" w:sz="4" w:space="0" w:color="auto"/>
              <w:right w:val="single" w:sz="4" w:space="0" w:color="auto"/>
            </w:tcBorders>
            <w:shd w:val="clear" w:color="auto" w:fill="auto"/>
          </w:tcPr>
          <w:p w14:paraId="2FC4BFB3" w14:textId="691A5CEB" w:rsidR="00072F6B" w:rsidRDefault="00072F6B" w:rsidP="00072F6B">
            <w:pPr>
              <w:spacing w:after="120" w:line="240" w:lineRule="auto"/>
            </w:pPr>
            <w:r>
              <w:t xml:space="preserve">MOVE EDEN HOUSING </w:t>
            </w:r>
            <w:r w:rsidR="000B5985">
              <w:t>et al.</w:t>
            </w:r>
            <w:r>
              <w:t>,</w:t>
            </w:r>
          </w:p>
          <w:p w14:paraId="14BCCEA4" w14:textId="3B0AB85A" w:rsidR="00072F6B" w:rsidRDefault="00072F6B" w:rsidP="00072F6B">
            <w:pPr>
              <w:spacing w:after="120" w:line="240" w:lineRule="auto"/>
            </w:pPr>
            <w:r>
              <w:tab/>
            </w:r>
            <w:r w:rsidR="00F56E55">
              <w:t>Plaintiffs</w:t>
            </w:r>
            <w:r w:rsidR="000B5985">
              <w:t xml:space="preserve"> and Appellants</w:t>
            </w:r>
            <w:r>
              <w:t>,</w:t>
            </w:r>
          </w:p>
          <w:p w14:paraId="50A96E2B" w14:textId="77777777" w:rsidR="00072F6B" w:rsidRDefault="00072F6B" w:rsidP="00072F6B">
            <w:pPr>
              <w:spacing w:after="120" w:line="240" w:lineRule="auto"/>
            </w:pPr>
            <w:r>
              <w:t>v.</w:t>
            </w:r>
          </w:p>
          <w:p w14:paraId="08AFD3F8" w14:textId="336BA4B3" w:rsidR="00072F6B" w:rsidRDefault="000B5985" w:rsidP="00072F6B">
            <w:pPr>
              <w:spacing w:after="120" w:line="240" w:lineRule="auto"/>
            </w:pPr>
            <w:r>
              <w:t>CITY OF LIVERMORE et al.,</w:t>
            </w:r>
          </w:p>
          <w:p w14:paraId="34DC59A9" w14:textId="0039C9ED" w:rsidR="00072F6B" w:rsidRDefault="00072F6B" w:rsidP="00072F6B">
            <w:pPr>
              <w:spacing w:after="120" w:line="240" w:lineRule="auto"/>
            </w:pPr>
            <w:r>
              <w:tab/>
            </w:r>
            <w:r w:rsidR="00F56E55">
              <w:t xml:space="preserve">Defendants and </w:t>
            </w:r>
            <w:r>
              <w:t>Respondents;</w:t>
            </w:r>
          </w:p>
          <w:p w14:paraId="39AF1569" w14:textId="7B88A3C3" w:rsidR="00072F6B" w:rsidRDefault="000B5985" w:rsidP="00072F6B">
            <w:pPr>
              <w:spacing w:after="120" w:line="240" w:lineRule="auto"/>
            </w:pPr>
            <w:r>
              <w:t>EDEN HOUSING</w:t>
            </w:r>
            <w:r w:rsidR="00072F6B">
              <w:t>,</w:t>
            </w:r>
            <w:r>
              <w:t xml:space="preserve"> INC.</w:t>
            </w:r>
            <w:r w:rsidR="00DA7E23">
              <w:t>,</w:t>
            </w:r>
          </w:p>
          <w:p w14:paraId="377F88A4" w14:textId="4F493E71" w:rsidR="00072F6B" w:rsidRDefault="00072F6B" w:rsidP="00072F6B">
            <w:pPr>
              <w:spacing w:after="120" w:line="240" w:lineRule="auto"/>
            </w:pPr>
            <w:r>
              <w:tab/>
              <w:t>Real Party in Interest</w:t>
            </w:r>
            <w:r w:rsidR="00356E29">
              <w:t xml:space="preserve"> and Respondent</w:t>
            </w:r>
            <w:r>
              <w:t>.</w:t>
            </w:r>
          </w:p>
        </w:tc>
        <w:tc>
          <w:tcPr>
            <w:tcW w:w="4680" w:type="dxa"/>
            <w:tcBorders>
              <w:left w:val="single" w:sz="4" w:space="0" w:color="auto"/>
            </w:tcBorders>
            <w:shd w:val="clear" w:color="auto" w:fill="auto"/>
          </w:tcPr>
          <w:p w14:paraId="511BE8DD" w14:textId="26C95893" w:rsidR="00072F6B" w:rsidRDefault="00072F6B" w:rsidP="00072F6B">
            <w:pPr>
              <w:spacing w:line="240" w:lineRule="auto"/>
            </w:pPr>
          </w:p>
          <w:p w14:paraId="30DC853E" w14:textId="77777777" w:rsidR="00072F6B" w:rsidRDefault="00072F6B" w:rsidP="00072F6B">
            <w:pPr>
              <w:spacing w:line="240" w:lineRule="auto"/>
            </w:pPr>
          </w:p>
          <w:p w14:paraId="21DEC1F1" w14:textId="77777777" w:rsidR="00072F6B" w:rsidRDefault="00072F6B" w:rsidP="00072F6B">
            <w:pPr>
              <w:spacing w:line="240" w:lineRule="auto"/>
            </w:pPr>
          </w:p>
          <w:p w14:paraId="49686F3A" w14:textId="77777777" w:rsidR="00072F6B" w:rsidRDefault="00072F6B" w:rsidP="00072F6B">
            <w:pPr>
              <w:spacing w:line="240" w:lineRule="auto"/>
            </w:pPr>
          </w:p>
          <w:p w14:paraId="4A4E0EF2" w14:textId="27C11311" w:rsidR="00072F6B" w:rsidRDefault="00072F6B" w:rsidP="00072F6B">
            <w:pPr>
              <w:spacing w:line="240" w:lineRule="auto"/>
            </w:pPr>
            <w:r>
              <w:t xml:space="preserve">      A167346</w:t>
            </w:r>
          </w:p>
          <w:p w14:paraId="3013A31B" w14:textId="77777777" w:rsidR="00072F6B" w:rsidRDefault="00072F6B" w:rsidP="00072F6B">
            <w:pPr>
              <w:spacing w:line="240" w:lineRule="auto"/>
            </w:pPr>
          </w:p>
          <w:p w14:paraId="3DBC2623" w14:textId="77777777" w:rsidR="00072F6B" w:rsidRDefault="00072F6B" w:rsidP="00072F6B">
            <w:pPr>
              <w:spacing w:line="240" w:lineRule="auto"/>
            </w:pPr>
            <w:r>
              <w:t xml:space="preserve">      (Alameda County</w:t>
            </w:r>
          </w:p>
          <w:p w14:paraId="4EA51384" w14:textId="77777777" w:rsidR="00072F6B" w:rsidRDefault="00072F6B" w:rsidP="00072F6B">
            <w:pPr>
              <w:spacing w:line="240" w:lineRule="auto"/>
            </w:pPr>
            <w:r>
              <w:t xml:space="preserve">      Super. Ct. No. 22CV015399)</w:t>
            </w:r>
          </w:p>
          <w:p w14:paraId="32A9C276" w14:textId="5A1E11FE" w:rsidR="00072F6B" w:rsidRDefault="00072F6B" w:rsidP="00072F6B">
            <w:pPr>
              <w:spacing w:line="240" w:lineRule="auto"/>
            </w:pPr>
          </w:p>
        </w:tc>
      </w:tr>
    </w:tbl>
    <w:p w14:paraId="1FF6FF86" w14:textId="2DEA8B6B" w:rsidR="00072F6B" w:rsidRDefault="00072F6B" w:rsidP="00072F6B">
      <w:pPr>
        <w:spacing w:line="360" w:lineRule="auto"/>
      </w:pPr>
    </w:p>
    <w:p w14:paraId="793DFBF9" w14:textId="5E7FF8C6" w:rsidR="003A0384" w:rsidRDefault="00072F6B" w:rsidP="008713AC">
      <w:pPr>
        <w:spacing w:line="360" w:lineRule="auto"/>
      </w:pPr>
      <w:r>
        <w:tab/>
      </w:r>
      <w:r w:rsidR="00F56E55">
        <w:t>Plaintiffs</w:t>
      </w:r>
      <w:r w:rsidR="00C8015D">
        <w:t xml:space="preserve"> and a</w:t>
      </w:r>
      <w:r w:rsidR="008713AC">
        <w:t xml:space="preserve">ppellants </w:t>
      </w:r>
      <w:r w:rsidR="00C8015D">
        <w:t>Move Eden Housing</w:t>
      </w:r>
      <w:r w:rsidR="003767A7">
        <w:t xml:space="preserve"> (Move Eden)</w:t>
      </w:r>
      <w:r w:rsidR="00684614">
        <w:t>, Richard Ryon,</w:t>
      </w:r>
      <w:r w:rsidR="00C8015D">
        <w:t xml:space="preserve"> and</w:t>
      </w:r>
      <w:r w:rsidR="00691B6C">
        <w:t xml:space="preserve"> Thomas Ramos</w:t>
      </w:r>
      <w:r w:rsidR="00C8015D">
        <w:t xml:space="preserve"> (jointly, </w:t>
      </w:r>
      <w:r w:rsidR="00F56E55">
        <w:t>plaintiffs</w:t>
      </w:r>
      <w:r w:rsidR="00C8015D">
        <w:t xml:space="preserve">) </w:t>
      </w:r>
      <w:r w:rsidR="008713AC">
        <w:t xml:space="preserve">appeal the </w:t>
      </w:r>
      <w:r w:rsidR="001D0258">
        <w:t xml:space="preserve">superior </w:t>
      </w:r>
      <w:r w:rsidR="008713AC">
        <w:t>cour</w:t>
      </w:r>
      <w:r w:rsidR="00C8015D">
        <w:t>t’s</w:t>
      </w:r>
      <w:r w:rsidR="008713AC">
        <w:t xml:space="preserve"> denial of their petition for a writ of mandate requiring respondent</w:t>
      </w:r>
      <w:r w:rsidR="00FC2E5B">
        <w:t>s</w:t>
      </w:r>
      <w:r w:rsidR="008713AC">
        <w:t xml:space="preserve"> City of L</w:t>
      </w:r>
      <w:r w:rsidR="00FC2E5B">
        <w:t>ivermore (City) and Livermore City Clerk</w:t>
      </w:r>
      <w:r w:rsidR="00847885">
        <w:t xml:space="preserve"> Marie Weber</w:t>
      </w:r>
      <w:r w:rsidR="00FC2E5B">
        <w:t xml:space="preserve"> (City Clerk) </w:t>
      </w:r>
      <w:r w:rsidR="00736E44">
        <w:t xml:space="preserve">(jointly, respondents) </w:t>
      </w:r>
      <w:r w:rsidR="00FC2E5B">
        <w:t xml:space="preserve">to </w:t>
      </w:r>
      <w:r w:rsidR="00E12FA1">
        <w:t xml:space="preserve">process </w:t>
      </w:r>
      <w:r w:rsidR="00F56E55">
        <w:t>plaintiffs’</w:t>
      </w:r>
      <w:r w:rsidR="00E12FA1">
        <w:t xml:space="preserve"> </w:t>
      </w:r>
      <w:r w:rsidR="008713AC">
        <w:t xml:space="preserve">referendum </w:t>
      </w:r>
      <w:r w:rsidR="00610B51">
        <w:t>petition</w:t>
      </w:r>
      <w:r w:rsidR="00F0722D">
        <w:t xml:space="preserve"> in accordance with the Elections Code</w:t>
      </w:r>
      <w:r w:rsidR="00610B51">
        <w:t xml:space="preserve">.  The </w:t>
      </w:r>
      <w:r w:rsidR="0071776D">
        <w:t xml:space="preserve">proposed </w:t>
      </w:r>
      <w:r w:rsidR="00610B51">
        <w:t xml:space="preserve">referendum </w:t>
      </w:r>
      <w:r w:rsidR="00B1245E">
        <w:t>challenges a</w:t>
      </w:r>
      <w:r w:rsidR="005F2321">
        <w:t xml:space="preserve"> </w:t>
      </w:r>
      <w:r w:rsidR="00B1245E">
        <w:t>City Council</w:t>
      </w:r>
      <w:r w:rsidR="00DA7E23">
        <w:t xml:space="preserve"> </w:t>
      </w:r>
      <w:r w:rsidR="002E37DB">
        <w:t xml:space="preserve">resolution approving </w:t>
      </w:r>
      <w:r w:rsidR="002E37DB" w:rsidRPr="0053363D">
        <w:t>a</w:t>
      </w:r>
      <w:r w:rsidR="005B371E">
        <w:t xml:space="preserve"> development agreement </w:t>
      </w:r>
      <w:r w:rsidR="002E37DB">
        <w:t xml:space="preserve">between the City and real party in interest Eden Housing, Inc. (Eden Housing) for </w:t>
      </w:r>
      <w:r w:rsidR="00F41485">
        <w:t xml:space="preserve">development of </w:t>
      </w:r>
      <w:r w:rsidR="003A0384">
        <w:t>housing in downtown Livermore</w:t>
      </w:r>
      <w:r w:rsidR="00F41485">
        <w:t>.</w:t>
      </w:r>
    </w:p>
    <w:p w14:paraId="23BAAF14" w14:textId="4B0A1CA1" w:rsidR="008713AC" w:rsidRDefault="003A0384" w:rsidP="008713AC">
      <w:pPr>
        <w:spacing w:line="360" w:lineRule="auto"/>
      </w:pPr>
      <w:r>
        <w:lastRenderedPageBreak/>
        <w:tab/>
      </w:r>
      <w:r w:rsidR="000B3122">
        <w:t xml:space="preserve">The referendum petition presented to the City Clerk </w:t>
      </w:r>
      <w:r w:rsidR="0014487D">
        <w:t>contained more than the minimum number of signatures</w:t>
      </w:r>
      <w:r>
        <w:t xml:space="preserve"> required by the Election Code</w:t>
      </w:r>
      <w:r w:rsidR="0014487D">
        <w:t>, but</w:t>
      </w:r>
      <w:r w:rsidR="00096420">
        <w:t xml:space="preserve">, on advice from the City Attorney, the City Clerk refused to </w:t>
      </w:r>
      <w:r>
        <w:t xml:space="preserve">take further action on the </w:t>
      </w:r>
      <w:r w:rsidR="00AE7A1C">
        <w:t>petition</w:t>
      </w:r>
      <w:r w:rsidR="00096420">
        <w:t xml:space="preserve">.  </w:t>
      </w:r>
      <w:r w:rsidR="008713AC">
        <w:t xml:space="preserve">The City </w:t>
      </w:r>
      <w:r w:rsidR="00AE7A1C">
        <w:t xml:space="preserve">took the position that </w:t>
      </w:r>
      <w:r w:rsidR="00B1245E">
        <w:t xml:space="preserve">the </w:t>
      </w:r>
      <w:r w:rsidR="006A2860">
        <w:t xml:space="preserve">proposed </w:t>
      </w:r>
      <w:r w:rsidR="008713AC">
        <w:t xml:space="preserve">referendum </w:t>
      </w:r>
      <w:r w:rsidR="00C02306">
        <w:t xml:space="preserve">would be invalid because the </w:t>
      </w:r>
      <w:r w:rsidR="006A2860">
        <w:t>challenge</w:t>
      </w:r>
      <w:r w:rsidR="00C02306">
        <w:t>d resolution was</w:t>
      </w:r>
      <w:r w:rsidR="006A2860">
        <w:t xml:space="preserve"> an administrative act.  </w:t>
      </w:r>
      <w:r w:rsidR="008713AC">
        <w:t xml:space="preserve">The </w:t>
      </w:r>
      <w:r w:rsidR="00C2382C">
        <w:t>superior</w:t>
      </w:r>
      <w:r w:rsidR="008713AC">
        <w:t xml:space="preserve"> court agreed and denied </w:t>
      </w:r>
      <w:r w:rsidR="00667129">
        <w:t>the</w:t>
      </w:r>
      <w:r w:rsidR="006A2860">
        <w:t xml:space="preserve"> </w:t>
      </w:r>
      <w:r w:rsidR="00722420">
        <w:t xml:space="preserve">writ </w:t>
      </w:r>
      <w:r w:rsidR="008713AC">
        <w:t>petition.</w:t>
      </w:r>
    </w:p>
    <w:p w14:paraId="19F340E5" w14:textId="579C4878" w:rsidR="00072F6B" w:rsidRDefault="006A2860" w:rsidP="008713AC">
      <w:pPr>
        <w:spacing w:line="360" w:lineRule="auto"/>
      </w:pPr>
      <w:r>
        <w:tab/>
      </w:r>
      <w:r w:rsidR="008713AC">
        <w:t>We reverse</w:t>
      </w:r>
      <w:r w:rsidR="00722420">
        <w:t xml:space="preserve">.  </w:t>
      </w:r>
      <w:r w:rsidR="00BF486C">
        <w:t>A</w:t>
      </w:r>
      <w:r w:rsidR="009765DD">
        <w:t>doption of the challenged resolution was a legislative act subject to the referendum power</w:t>
      </w:r>
      <w:r w:rsidR="00AD5B25">
        <w:t xml:space="preserve">, because </w:t>
      </w:r>
      <w:r w:rsidR="00A42C38">
        <w:t xml:space="preserve">the </w:t>
      </w:r>
      <w:r w:rsidR="00667129">
        <w:t>development</w:t>
      </w:r>
      <w:r w:rsidR="00A42C38">
        <w:t xml:space="preserve"> agreement </w:t>
      </w:r>
      <w:r w:rsidR="00667129">
        <w:t xml:space="preserve">at issue </w:t>
      </w:r>
      <w:r w:rsidR="001D0258">
        <w:t xml:space="preserve">approved the </w:t>
      </w:r>
      <w:r w:rsidR="00BE0051">
        <w:t>construction</w:t>
      </w:r>
      <w:r w:rsidR="003F1C07">
        <w:t xml:space="preserve"> of</w:t>
      </w:r>
      <w:r w:rsidR="00BE0051">
        <w:t xml:space="preserve"> </w:t>
      </w:r>
      <w:r w:rsidR="003F1C07">
        <w:t>and improvements to</w:t>
      </w:r>
      <w:r w:rsidR="001D0258">
        <w:t xml:space="preserve"> a new public park</w:t>
      </w:r>
      <w:r w:rsidR="00494583">
        <w:t>.</w:t>
      </w:r>
      <w:r w:rsidR="003F1C07">
        <w:rPr>
          <w:rStyle w:val="FootnoteReference"/>
        </w:rPr>
        <w:footnoteReference w:id="2"/>
      </w:r>
      <w:r w:rsidR="00A42C38">
        <w:t xml:space="preserve"> </w:t>
      </w:r>
      <w:r w:rsidR="009765DD">
        <w:t xml:space="preserve"> </w:t>
      </w:r>
      <w:r w:rsidR="005E64EC">
        <w:t xml:space="preserve">We also conclude </w:t>
      </w:r>
      <w:r w:rsidR="009765DD">
        <w:t>that</w:t>
      </w:r>
      <w:r w:rsidR="00320C82">
        <w:t xml:space="preserve">, in approving </w:t>
      </w:r>
      <w:r w:rsidR="00FD041B">
        <w:t>the</w:t>
      </w:r>
      <w:r w:rsidR="00320C82">
        <w:t xml:space="preserve"> development agreement,</w:t>
      </w:r>
      <w:r w:rsidR="009765DD">
        <w:t xml:space="preserve"> the City did not act as </w:t>
      </w:r>
      <w:r w:rsidR="00616DDD">
        <w:t xml:space="preserve">an </w:t>
      </w:r>
      <w:r w:rsidR="009765DD">
        <w:t xml:space="preserve">administrative </w:t>
      </w:r>
      <w:r w:rsidR="00616DDD">
        <w:t>agent for the State of California</w:t>
      </w:r>
      <w:r w:rsidR="005E64EC">
        <w:t xml:space="preserve"> under the </w:t>
      </w:r>
      <w:r w:rsidR="00320C82">
        <w:t xml:space="preserve">statutes </w:t>
      </w:r>
      <w:r w:rsidR="005E5649">
        <w:t xml:space="preserve">dissolving </w:t>
      </w:r>
      <w:r w:rsidR="007E6993">
        <w:t>California’s</w:t>
      </w:r>
      <w:r w:rsidR="00320C82">
        <w:t xml:space="preserve"> redevelopment agencies</w:t>
      </w:r>
      <w:r w:rsidR="007A408C">
        <w:t>, enacted starting in 2011</w:t>
      </w:r>
      <w:r w:rsidR="00616DDD">
        <w:t xml:space="preserve">.  We direct the </w:t>
      </w:r>
      <w:r w:rsidR="005E5649">
        <w:t xml:space="preserve">superior </w:t>
      </w:r>
      <w:r w:rsidR="00073A7D">
        <w:t xml:space="preserve">court to </w:t>
      </w:r>
      <w:r w:rsidR="005E5649">
        <w:t>order</w:t>
      </w:r>
      <w:r w:rsidR="00073A7D">
        <w:t xml:space="preserve"> </w:t>
      </w:r>
      <w:r w:rsidR="00362C11">
        <w:t>respondents</w:t>
      </w:r>
      <w:r w:rsidR="00073A7D">
        <w:t xml:space="preserve"> to process the referendum petition as required by </w:t>
      </w:r>
      <w:r w:rsidR="0055573D">
        <w:t>the Elections Code</w:t>
      </w:r>
      <w:r w:rsidR="008713AC">
        <w:t>.</w:t>
      </w:r>
      <w:r w:rsidR="00E7150B">
        <w:t xml:space="preserve">  We also reverse the </w:t>
      </w:r>
      <w:r w:rsidR="003F1C07">
        <w:t xml:space="preserve">court’s </w:t>
      </w:r>
      <w:r w:rsidR="00E7150B">
        <w:t xml:space="preserve">order requiring </w:t>
      </w:r>
      <w:r w:rsidR="00F56E55">
        <w:t>plaintiffs</w:t>
      </w:r>
      <w:r w:rsidR="00E7150B">
        <w:t xml:space="preserve"> to file an undertaking </w:t>
      </w:r>
      <w:r w:rsidR="00AF5714">
        <w:t>under Code of Civil Procedure section 529.2</w:t>
      </w:r>
      <w:r w:rsidR="005E5649">
        <w:t xml:space="preserve"> as a security for costs and damages due to the action</w:t>
      </w:r>
      <w:r w:rsidR="00AF5714">
        <w:t>.</w:t>
      </w:r>
    </w:p>
    <w:p w14:paraId="52E0E1C4" w14:textId="0F3CE1F6" w:rsidR="00D200A8" w:rsidRDefault="00D200A8" w:rsidP="00D200A8">
      <w:pPr>
        <w:spacing w:line="360" w:lineRule="auto"/>
        <w:jc w:val="center"/>
      </w:pPr>
      <w:r>
        <w:t>BACKGROUND</w:t>
      </w:r>
    </w:p>
    <w:p w14:paraId="66384A4C" w14:textId="619E4616" w:rsidR="0042679D" w:rsidRDefault="00487DF6" w:rsidP="0042679D">
      <w:pPr>
        <w:spacing w:line="360" w:lineRule="auto"/>
      </w:pPr>
      <w:r>
        <w:tab/>
      </w:r>
      <w:r w:rsidR="0086647D">
        <w:t>Th</w:t>
      </w:r>
      <w:r w:rsidR="00B84561">
        <w:t xml:space="preserve">e present appeal involves a </w:t>
      </w:r>
      <w:r w:rsidR="008020FF">
        <w:t>proposed residential development and new public park in downtown Livermore</w:t>
      </w:r>
      <w:r w:rsidR="00684C7F">
        <w:t xml:space="preserve"> (the Project)</w:t>
      </w:r>
      <w:r w:rsidR="008020FF">
        <w:t xml:space="preserve">, at the location of a former </w:t>
      </w:r>
      <w:r w:rsidR="00CE1FCA">
        <w:t xml:space="preserve">supermarket, </w:t>
      </w:r>
      <w:r w:rsidR="00997D4F">
        <w:t xml:space="preserve">in an area </w:t>
      </w:r>
      <w:r w:rsidR="00494A32">
        <w:t>bound</w:t>
      </w:r>
      <w:r w:rsidR="00997D4F">
        <w:t>ed</w:t>
      </w:r>
      <w:r w:rsidR="00494A32">
        <w:t xml:space="preserve"> by Railroad Avenue, Livermore Avenue, First Street, and L Street </w:t>
      </w:r>
      <w:r w:rsidR="001024AD">
        <w:t>(the Property)</w:t>
      </w:r>
      <w:r w:rsidR="005D2BE0">
        <w:t>.</w:t>
      </w:r>
      <w:r w:rsidR="000943EE">
        <w:t xml:space="preserve">  </w:t>
      </w:r>
      <w:r w:rsidR="0042679D">
        <w:t xml:space="preserve">(See </w:t>
      </w:r>
      <w:r w:rsidR="0042679D" w:rsidRPr="00B12025">
        <w:rPr>
          <w:i/>
          <w:iCs/>
        </w:rPr>
        <w:t>Save Livermore Downtown v. City of Livermore</w:t>
      </w:r>
      <w:r w:rsidR="0042679D">
        <w:t xml:space="preserve"> (2022) 87 Cal.App.5th 1116</w:t>
      </w:r>
      <w:r w:rsidR="009C25D9">
        <w:t>, 1122</w:t>
      </w:r>
      <w:r w:rsidR="0042679D">
        <w:t xml:space="preserve"> (</w:t>
      </w:r>
      <w:r w:rsidR="0042679D">
        <w:rPr>
          <w:i/>
          <w:iCs/>
        </w:rPr>
        <w:t>Save Livermore</w:t>
      </w:r>
      <w:r w:rsidR="004870AC">
        <w:rPr>
          <w:i/>
          <w:iCs/>
        </w:rPr>
        <w:t xml:space="preserve"> Downtown</w:t>
      </w:r>
      <w:r w:rsidR="0042679D">
        <w:t>)</w:t>
      </w:r>
      <w:r w:rsidR="009C25D9">
        <w:t xml:space="preserve"> [describing </w:t>
      </w:r>
      <w:r w:rsidR="00691041">
        <w:t xml:space="preserve">the </w:t>
      </w:r>
      <w:r w:rsidR="009C25D9">
        <w:t xml:space="preserve">Project </w:t>
      </w:r>
      <w:r w:rsidR="00691041">
        <w:t>in a proceeding challenging the City’s compliance with environmental and zoning laws]</w:t>
      </w:r>
      <w:r w:rsidR="0042679D">
        <w:t>.)</w:t>
      </w:r>
    </w:p>
    <w:p w14:paraId="377860B9" w14:textId="347F1FB5" w:rsidR="00D200A8" w:rsidRDefault="00487DF6" w:rsidP="00B1795E">
      <w:pPr>
        <w:spacing w:line="360" w:lineRule="auto"/>
      </w:pPr>
      <w:r>
        <w:lastRenderedPageBreak/>
        <w:tab/>
      </w:r>
      <w:r w:rsidR="00E552F4">
        <w:t>In 2008, t</w:t>
      </w:r>
      <w:r w:rsidR="00BF5B33">
        <w:t xml:space="preserve">he </w:t>
      </w:r>
      <w:r w:rsidR="00E552F4">
        <w:t xml:space="preserve">City’s </w:t>
      </w:r>
      <w:r w:rsidR="00BF5B33">
        <w:t xml:space="preserve">former Redevelopment Agency </w:t>
      </w:r>
      <w:r w:rsidR="00E552F4">
        <w:t xml:space="preserve">acquired the Property </w:t>
      </w:r>
      <w:r w:rsidR="00086F5A">
        <w:t xml:space="preserve">using the City’s inclusionary housing funds, </w:t>
      </w:r>
      <w:r w:rsidR="00816932">
        <w:t>and</w:t>
      </w:r>
      <w:r w:rsidR="00684C7F">
        <w:t>,</w:t>
      </w:r>
      <w:r w:rsidR="00816932">
        <w:t xml:space="preserve"> in 2009</w:t>
      </w:r>
      <w:r w:rsidR="00684C7F">
        <w:t>,</w:t>
      </w:r>
      <w:r w:rsidR="00816932">
        <w:t xml:space="preserve"> a portion of the purchase price was refinanced </w:t>
      </w:r>
      <w:r w:rsidR="0054238F">
        <w:t xml:space="preserve">using “Residential Development Loan Program” funds from the State of California.  </w:t>
      </w:r>
      <w:r w:rsidR="00CD4615">
        <w:t xml:space="preserve">The funds were </w:t>
      </w:r>
      <w:r w:rsidR="00D200A8">
        <w:t xml:space="preserve">awarded </w:t>
      </w:r>
      <w:r w:rsidR="00CD4615">
        <w:t xml:space="preserve">to </w:t>
      </w:r>
      <w:r w:rsidR="00D200A8">
        <w:t xml:space="preserve">the City for </w:t>
      </w:r>
      <w:r w:rsidR="00AE31ED">
        <w:t>“</w:t>
      </w:r>
      <w:r w:rsidR="004A0FFB">
        <w:t xml:space="preserve">site </w:t>
      </w:r>
      <w:r w:rsidR="00D200A8">
        <w:t>acquisition and pre-development expenses</w:t>
      </w:r>
      <w:r w:rsidR="00AE31ED">
        <w:t>”</w:t>
      </w:r>
      <w:r w:rsidR="00D200A8">
        <w:t xml:space="preserve"> in the City’s downtown.  </w:t>
      </w:r>
      <w:r w:rsidR="00684C7F">
        <w:t>T</w:t>
      </w:r>
      <w:r w:rsidR="0074776F">
        <w:t>he City</w:t>
      </w:r>
      <w:r w:rsidR="00145163">
        <w:t xml:space="preserve"> </w:t>
      </w:r>
      <w:r w:rsidR="0074776F">
        <w:t xml:space="preserve">loaned the funds to the former Redevelopment Agency, and </w:t>
      </w:r>
      <w:r w:rsidR="00145163">
        <w:t xml:space="preserve">a deed restriction was recorded </w:t>
      </w:r>
      <w:r w:rsidR="0074776F">
        <w:t xml:space="preserve">requiring </w:t>
      </w:r>
      <w:r w:rsidR="00C93549">
        <w:t>any development</w:t>
      </w:r>
      <w:r w:rsidR="00D95B2A">
        <w:t xml:space="preserve"> of the Property to include </w:t>
      </w:r>
      <w:r w:rsidR="00264DE6">
        <w:t xml:space="preserve">“at least” 28 units of </w:t>
      </w:r>
      <w:r w:rsidR="00671567">
        <w:t xml:space="preserve">“low-income” housing and 56 units of “moderate-income” housing. </w:t>
      </w:r>
      <w:r w:rsidR="0074776F">
        <w:t xml:space="preserve"> </w:t>
      </w:r>
      <w:r w:rsidR="00671567">
        <w:t xml:space="preserve">The </w:t>
      </w:r>
      <w:r w:rsidR="00CA7B58">
        <w:t xml:space="preserve">restriction was “a condition of </w:t>
      </w:r>
      <w:r w:rsidR="00A858C8">
        <w:t>accepting</w:t>
      </w:r>
      <w:r w:rsidR="00CA7B58">
        <w:t xml:space="preserve">” the </w:t>
      </w:r>
      <w:r w:rsidR="006F1B26">
        <w:t xml:space="preserve">development funds from the State.  </w:t>
      </w:r>
      <w:r w:rsidR="00D200A8">
        <w:t>When the State of California dissolved the Redevelopment Agency</w:t>
      </w:r>
      <w:r w:rsidR="00684C7F">
        <w:t xml:space="preserve"> </w:t>
      </w:r>
      <w:r w:rsidR="000E59A3">
        <w:t>(see Part IV</w:t>
      </w:r>
      <w:r w:rsidR="00FD4E24">
        <w:t>.</w:t>
      </w:r>
      <w:r w:rsidR="000E59A3">
        <w:t xml:space="preserve">A., </w:t>
      </w:r>
      <w:r w:rsidR="00FD4E24">
        <w:rPr>
          <w:i/>
          <w:iCs/>
        </w:rPr>
        <w:t>post</w:t>
      </w:r>
      <w:r w:rsidR="000E59A3">
        <w:t>)</w:t>
      </w:r>
      <w:r w:rsidR="00D200A8">
        <w:t xml:space="preserve">, the Property </w:t>
      </w:r>
      <w:r w:rsidR="00B8196D">
        <w:t xml:space="preserve">was included </w:t>
      </w:r>
      <w:r w:rsidR="00D200A8">
        <w:t xml:space="preserve">in </w:t>
      </w:r>
      <w:r w:rsidR="00813F0B">
        <w:t>a long range property management plan</w:t>
      </w:r>
      <w:r w:rsidR="001F2134">
        <w:t xml:space="preserve"> (Long Range Plan)</w:t>
      </w:r>
      <w:r w:rsidR="00813F0B">
        <w:t>,</w:t>
      </w:r>
      <w:r w:rsidR="00D50514">
        <w:t xml:space="preserve"> </w:t>
      </w:r>
      <w:r w:rsidR="00D200A8">
        <w:t>which the State approved.</w:t>
      </w:r>
      <w:r w:rsidR="00B1795E">
        <w:t xml:space="preserve">  The </w:t>
      </w:r>
      <w:r w:rsidR="001F2134">
        <w:t>Long Range Plan</w:t>
      </w:r>
      <w:r w:rsidR="00B1795E">
        <w:t xml:space="preserve"> identified the Property as a housing asset to be transferred to the City as the successor to the former </w:t>
      </w:r>
      <w:r w:rsidR="001D2C00">
        <w:t>r</w:t>
      </w:r>
      <w:r w:rsidR="00B1795E">
        <w:t xml:space="preserve">edevelopment </w:t>
      </w:r>
      <w:r w:rsidR="001D2C00">
        <w:t>agency</w:t>
      </w:r>
      <w:r w:rsidR="00FE7DBA">
        <w:t xml:space="preserve">; </w:t>
      </w:r>
      <w:r w:rsidR="0027337D">
        <w:t>it specified that the “goal”</w:t>
      </w:r>
      <w:r w:rsidR="001D2C00">
        <w:t xml:space="preserve"> </w:t>
      </w:r>
      <w:r w:rsidR="002B683E">
        <w:t>is to develop the Property “as</w:t>
      </w:r>
      <w:r w:rsidR="00B1795E">
        <w:t xml:space="preserve"> a high</w:t>
      </w:r>
      <w:r w:rsidR="00FE7DBA">
        <w:t xml:space="preserve"> </w:t>
      </w:r>
      <w:r w:rsidR="00B1795E">
        <w:t xml:space="preserve">density </w:t>
      </w:r>
      <w:r w:rsidR="009F3264">
        <w:t>residential project</w:t>
      </w:r>
      <w:r w:rsidR="00812F04">
        <w:t xml:space="preserve"> </w:t>
      </w:r>
      <w:r w:rsidR="009F3264">
        <w:t>with an affordable component</w:t>
      </w:r>
      <w:r w:rsidR="002B683E">
        <w:t xml:space="preserve"> and repay the $5,000,000 State” redevelopment loan</w:t>
      </w:r>
      <w:r w:rsidR="009F3264">
        <w:t>.</w:t>
      </w:r>
    </w:p>
    <w:p w14:paraId="040B4051" w14:textId="65E62F5A" w:rsidR="00B1795E" w:rsidRDefault="00B1795E" w:rsidP="00FE5181">
      <w:pPr>
        <w:spacing w:line="360" w:lineRule="auto"/>
      </w:pPr>
      <w:r>
        <w:tab/>
        <w:t xml:space="preserve">In 2018, the City and Eden </w:t>
      </w:r>
      <w:r w:rsidR="000E59A3">
        <w:t xml:space="preserve">Housing </w:t>
      </w:r>
      <w:r>
        <w:t xml:space="preserve">entered into </w:t>
      </w:r>
      <w:r w:rsidR="0053363D">
        <w:t>a Disposition</w:t>
      </w:r>
      <w:r w:rsidR="00D4042A">
        <w:t xml:space="preserve"> and</w:t>
      </w:r>
      <w:r w:rsidR="0053363D">
        <w:t xml:space="preserve"> Development and Loan Agreement </w:t>
      </w:r>
      <w:r>
        <w:t xml:space="preserve">for </w:t>
      </w:r>
      <w:r w:rsidR="006070CC">
        <w:t xml:space="preserve">development of </w:t>
      </w:r>
      <w:r>
        <w:t>the Pro</w:t>
      </w:r>
      <w:r w:rsidR="006070CC">
        <w:t>perty</w:t>
      </w:r>
      <w:r>
        <w:t xml:space="preserve"> (2018 Agreement)</w:t>
      </w:r>
      <w:r w:rsidR="006070CC">
        <w:t xml:space="preserve">. </w:t>
      </w:r>
      <w:r>
        <w:t xml:space="preserve"> </w:t>
      </w:r>
      <w:r w:rsidR="00293E49">
        <w:t xml:space="preserve">The 2018 Agreement recited that, in January, the City Council </w:t>
      </w:r>
      <w:r w:rsidR="003B1357">
        <w:t>“approved the development of the Livermore Village Site</w:t>
      </w:r>
      <w:r w:rsidR="000E59A3">
        <w:rPr>
          <w:rStyle w:val="FootnoteReference"/>
        </w:rPr>
        <w:footnoteReference w:id="3"/>
      </w:r>
      <w:r w:rsidR="003B1357">
        <w:t xml:space="preserve"> to include a public park, up to 130 units of workforce housing, a science center, a black box theater, and retail space.”  </w:t>
      </w:r>
      <w:r>
        <w:t xml:space="preserve">The City </w:t>
      </w:r>
      <w:r w:rsidR="00F42E01">
        <w:t xml:space="preserve">selected Eden Housing to develop </w:t>
      </w:r>
      <w:r w:rsidR="00383701">
        <w:t xml:space="preserve">housing at </w:t>
      </w:r>
      <w:r w:rsidR="00F42E01">
        <w:t>the Property</w:t>
      </w:r>
      <w:r w:rsidR="007308DF">
        <w:t>, and the agreement states a portion of the Property “will be dedicated to the City for a park.”</w:t>
      </w:r>
      <w:r w:rsidR="00F65BAB">
        <w:t xml:space="preserve"> </w:t>
      </w:r>
      <w:r w:rsidR="00F42E01">
        <w:t xml:space="preserve"> </w:t>
      </w:r>
      <w:r w:rsidR="00F65BAB">
        <w:t xml:space="preserve">The City </w:t>
      </w:r>
      <w:r w:rsidR="00FA48C1">
        <w:t xml:space="preserve">agreed </w:t>
      </w:r>
      <w:r>
        <w:t xml:space="preserve">to sell the Property to Eden </w:t>
      </w:r>
      <w:r w:rsidR="001411C0">
        <w:t xml:space="preserve">Housing, </w:t>
      </w:r>
      <w:r w:rsidR="00D97842">
        <w:t>after s</w:t>
      </w:r>
      <w:r w:rsidR="00AE17F2">
        <w:t>atisfaction of various conditions</w:t>
      </w:r>
      <w:r w:rsidR="001411C0">
        <w:t>,</w:t>
      </w:r>
      <w:r w:rsidR="00AE17F2">
        <w:t xml:space="preserve"> </w:t>
      </w:r>
      <w:r w:rsidR="00FA48C1">
        <w:t xml:space="preserve">for the </w:t>
      </w:r>
      <w:r>
        <w:t xml:space="preserve">Property’s </w:t>
      </w:r>
      <w:r>
        <w:lastRenderedPageBreak/>
        <w:t>fair market value</w:t>
      </w:r>
      <w:r w:rsidR="00FA48C1">
        <w:t xml:space="preserve"> at the time of sale and </w:t>
      </w:r>
      <w:r>
        <w:t>to</w:t>
      </w:r>
      <w:r w:rsidR="00FA48C1">
        <w:t xml:space="preserve"> make </w:t>
      </w:r>
      <w:r>
        <w:t xml:space="preserve">“a future acquisition loan to </w:t>
      </w:r>
      <w:r w:rsidR="00104E63">
        <w:t>[Eden Housing]</w:t>
      </w:r>
      <w:r>
        <w:t xml:space="preserve"> in the amount</w:t>
      </w:r>
      <w:r w:rsidR="00FA48C1">
        <w:t xml:space="preserve"> </w:t>
      </w:r>
      <w:r>
        <w:t>of the Purchase Price of the Property</w:t>
      </w:r>
      <w:r w:rsidR="002F6E1C">
        <w:t>.</w:t>
      </w:r>
      <w:r>
        <w:t>”</w:t>
      </w:r>
      <w:r w:rsidR="002F6E1C">
        <w:t xml:space="preserve"> </w:t>
      </w:r>
      <w:r w:rsidR="00FA48C1">
        <w:t xml:space="preserve"> </w:t>
      </w:r>
      <w:r w:rsidR="00DC14ED">
        <w:t xml:space="preserve">The </w:t>
      </w:r>
      <w:r w:rsidR="009F4C29">
        <w:t xml:space="preserve">term of the </w:t>
      </w:r>
      <w:r w:rsidR="00DC14ED">
        <w:t xml:space="preserve">loan would </w:t>
      </w:r>
      <w:r w:rsidR="001D0258">
        <w:t>be 55 years</w:t>
      </w:r>
      <w:r w:rsidR="002E3489">
        <w:t>,</w:t>
      </w:r>
      <w:r w:rsidR="003508FF">
        <w:t xml:space="preserve"> at </w:t>
      </w:r>
      <w:r w:rsidR="0082056F">
        <w:t xml:space="preserve">either </w:t>
      </w:r>
      <w:r w:rsidR="003508FF">
        <w:t>“3% annual simple interest” or “the long-term applicable federal rate for annual compounding published by</w:t>
      </w:r>
      <w:r w:rsidR="00EF6495">
        <w:t xml:space="preserve"> </w:t>
      </w:r>
      <w:r w:rsidR="003508FF">
        <w:t>the Internal Revenue Service</w:t>
      </w:r>
      <w:r w:rsidR="003F1C07">
        <w:t>,</w:t>
      </w:r>
      <w:r w:rsidR="001D0258">
        <w:t>”</w:t>
      </w:r>
      <w:r w:rsidR="003F1C07">
        <w:t xml:space="preserve"> with the City and Eden Housing agreeing “</w:t>
      </w:r>
      <w:r w:rsidR="00FE5181">
        <w:t>upon the Site Acquisition Loan</w:t>
      </w:r>
      <w:r w:rsidR="001A2663">
        <w:t>’</w:t>
      </w:r>
      <w:r w:rsidR="00FE5181">
        <w:t>s applicable interest prior to Site acquisition,</w:t>
      </w:r>
      <w:r w:rsidR="001A2663">
        <w:t xml:space="preserve"> </w:t>
      </w:r>
      <w:r w:rsidR="00FE5181">
        <w:t>based on the Project</w:t>
      </w:r>
      <w:r w:rsidR="001A2663">
        <w:t>’</w:t>
      </w:r>
      <w:r w:rsidR="00FE5181">
        <w:t>s overall financial feasibility and Investor requirements.</w:t>
      </w:r>
      <w:r w:rsidR="001A2663">
        <w:t>”</w:t>
      </w:r>
      <w:r w:rsidR="00EF6495">
        <w:t xml:space="preserve">  </w:t>
      </w:r>
      <w:r w:rsidR="00FA48C1">
        <w:t>The 2018 Agreement also stated that Eden</w:t>
      </w:r>
      <w:r w:rsidR="00D73888">
        <w:t xml:space="preserve"> Housing</w:t>
      </w:r>
      <w:r w:rsidR="00FA48C1">
        <w:t xml:space="preserve"> “and City shall enter into an indemnity agreement to apportion any potential liability related to Hazardous Materials at, on, in, beneath, or from the Property from and after the date of the close of escrow between the</w:t>
      </w:r>
      <w:r w:rsidR="00272107">
        <w:t xml:space="preserve"> </w:t>
      </w:r>
      <w:r w:rsidR="00FA48C1">
        <w:t>Parties.</w:t>
      </w:r>
      <w:r w:rsidR="00606839">
        <w:t xml:space="preserve">  </w:t>
      </w:r>
      <w:r w:rsidR="00606839" w:rsidRPr="00606839">
        <w:t>The form of the inde</w:t>
      </w:r>
      <w:r w:rsidR="00B94777">
        <w:t>mn</w:t>
      </w:r>
      <w:r w:rsidR="00606839" w:rsidRPr="00606839">
        <w:t>ity agreement shall be mutually agreed upon by the Parties.</w:t>
      </w:r>
      <w:r w:rsidR="00FA48C1">
        <w:t>”</w:t>
      </w:r>
    </w:p>
    <w:p w14:paraId="75E77958" w14:textId="1E27938C" w:rsidR="00D200A8" w:rsidRDefault="00FA48C1" w:rsidP="00D8267B">
      <w:pPr>
        <w:spacing w:line="360" w:lineRule="auto"/>
      </w:pPr>
      <w:r>
        <w:tab/>
        <w:t xml:space="preserve">In December 2020, the City </w:t>
      </w:r>
      <w:r w:rsidR="00BA5F95">
        <w:t>reviewed “</w:t>
      </w:r>
      <w:r w:rsidR="00F5090A">
        <w:t>C</w:t>
      </w:r>
      <w:r w:rsidR="00BA5F95">
        <w:t xml:space="preserve">onceptual </w:t>
      </w:r>
      <w:r w:rsidR="00F5090A">
        <w:t>P</w:t>
      </w:r>
      <w:r w:rsidR="00BA5F95">
        <w:t>lans” and “instructed staff to move forward”</w:t>
      </w:r>
      <w:r w:rsidR="00F5090A">
        <w:t xml:space="preserve"> (capitalization omitted)</w:t>
      </w:r>
      <w:r w:rsidR="00BA5F95">
        <w:t xml:space="preserve"> with </w:t>
      </w:r>
      <w:r>
        <w:t>the Project</w:t>
      </w:r>
      <w:r w:rsidR="004A07DD">
        <w:t xml:space="preserve">. </w:t>
      </w:r>
      <w:r w:rsidR="00007D80">
        <w:t xml:space="preserve"> I</w:t>
      </w:r>
      <w:r>
        <w:t>n May 2021, the City approved land use entitlements for the Project</w:t>
      </w:r>
      <w:r w:rsidR="00755521">
        <w:t xml:space="preserve">, subject to conditions. </w:t>
      </w:r>
      <w:r>
        <w:t xml:space="preserve"> </w:t>
      </w:r>
      <w:r w:rsidR="00281F34">
        <w:t>That same month</w:t>
      </w:r>
      <w:r>
        <w:t>, the City approved an amended development agreement (2021 Agreement)</w:t>
      </w:r>
      <w:r w:rsidR="00C9369E">
        <w:t xml:space="preserve">.  </w:t>
      </w:r>
      <w:r w:rsidR="0035420D">
        <w:t xml:space="preserve">The </w:t>
      </w:r>
      <w:r w:rsidR="00080CE0">
        <w:t xml:space="preserve">approval </w:t>
      </w:r>
      <w:r w:rsidR="0035420D">
        <w:t xml:space="preserve">resolution </w:t>
      </w:r>
      <w:r w:rsidR="00C9539B">
        <w:t xml:space="preserve">and </w:t>
      </w:r>
      <w:r w:rsidR="00080CE0">
        <w:t xml:space="preserve">the </w:t>
      </w:r>
      <w:r w:rsidR="00C9539B">
        <w:t xml:space="preserve">2021 Agreement </w:t>
      </w:r>
      <w:r w:rsidR="0035420D">
        <w:t xml:space="preserve">recited that the City and Eden Housing </w:t>
      </w:r>
      <w:r w:rsidR="008105D8">
        <w:t>“wish to amend the [2018 Agreement] to clarify the definition of the Property subject to transfer by City for development of the Project, define development and financial obligations for Veteran</w:t>
      </w:r>
      <w:r w:rsidR="00EC14BE">
        <w:t>’</w:t>
      </w:r>
      <w:r w:rsidR="008105D8">
        <w:t>s Park, allow for reimbursement by City to Developer for certain emergency vehicle access road improvements adjacent to the Project, and to update the entitlement, financing and development timeline in the Schedule of Development.”</w:t>
      </w:r>
      <w:r w:rsidR="00EC14BE">
        <w:t xml:space="preserve"> </w:t>
      </w:r>
      <w:r>
        <w:t xml:space="preserve"> </w:t>
      </w:r>
      <w:r w:rsidR="00A626BE">
        <w:t xml:space="preserve">With respect to the park, the </w:t>
      </w:r>
      <w:r w:rsidR="00D8267B">
        <w:t>2021 A</w:t>
      </w:r>
      <w:r>
        <w:t>greement</w:t>
      </w:r>
      <w:r w:rsidR="00D8267B">
        <w:t xml:space="preserve"> stated, “</w:t>
      </w:r>
      <w:r>
        <w:t>[a]t City</w:t>
      </w:r>
      <w:r w:rsidR="00D8267B">
        <w:t>’</w:t>
      </w:r>
      <w:r>
        <w:t>s option, City and Developer may</w:t>
      </w:r>
      <w:r w:rsidR="00CC2A06">
        <w:t xml:space="preserve"> </w:t>
      </w:r>
      <w:r w:rsidR="00D8267B">
        <w:t xml:space="preserve">negotiate a future construction and reimbursement agreement with Developer to coordinate the construction of </w:t>
      </w:r>
      <w:r w:rsidR="00D8267B">
        <w:lastRenderedPageBreak/>
        <w:t>the Veteran’s</w:t>
      </w:r>
      <w:r w:rsidR="00D922D9">
        <w:t xml:space="preserve"> </w:t>
      </w:r>
      <w:r w:rsidR="00D8267B">
        <w:t>Park Improvements.  These improvements would be exclusive of any development loan provided by the City for development of the Project.”</w:t>
      </w:r>
    </w:p>
    <w:p w14:paraId="60ED39BE" w14:textId="571B2457" w:rsidR="00D8267B" w:rsidRDefault="00D8267B" w:rsidP="00B12025">
      <w:pPr>
        <w:spacing w:line="360" w:lineRule="auto"/>
      </w:pPr>
      <w:r>
        <w:tab/>
        <w:t xml:space="preserve">In </w:t>
      </w:r>
      <w:r w:rsidR="006317C7">
        <w:t>June 2021</w:t>
      </w:r>
      <w:r>
        <w:t>, a group known as Save Livermore Downtown filed a petition</w:t>
      </w:r>
      <w:r w:rsidR="006317C7">
        <w:t xml:space="preserve"> </w:t>
      </w:r>
      <w:r>
        <w:t xml:space="preserve">for a writ of mandate alleging that the City violated </w:t>
      </w:r>
      <w:r w:rsidR="00D5366F">
        <w:t>the California Environmental Quality Act (</w:t>
      </w:r>
      <w:r>
        <w:t>CEQA</w:t>
      </w:r>
      <w:r w:rsidR="00D5366F">
        <w:t>)</w:t>
      </w:r>
      <w:r>
        <w:t xml:space="preserve"> and </w:t>
      </w:r>
      <w:r w:rsidR="001F21B4">
        <w:t>s</w:t>
      </w:r>
      <w:r>
        <w:t xml:space="preserve">tate </w:t>
      </w:r>
      <w:r w:rsidR="001F21B4">
        <w:t>and local p</w:t>
      </w:r>
      <w:r>
        <w:t xml:space="preserve">lanning and </w:t>
      </w:r>
      <w:r w:rsidR="001F21B4">
        <w:t>z</w:t>
      </w:r>
      <w:r>
        <w:t xml:space="preserve">oning </w:t>
      </w:r>
      <w:r w:rsidR="001F21B4">
        <w:t>l</w:t>
      </w:r>
      <w:r>
        <w:t>aw</w:t>
      </w:r>
      <w:r w:rsidR="001F21B4">
        <w:t>s</w:t>
      </w:r>
      <w:r>
        <w:t xml:space="preserve"> in approving the Project.  The trial court denied the petition</w:t>
      </w:r>
      <w:r w:rsidR="000F56ED">
        <w:t xml:space="preserve"> and this court affirmed</w:t>
      </w:r>
      <w:r>
        <w:t xml:space="preserve">. </w:t>
      </w:r>
      <w:r w:rsidR="000F56ED">
        <w:t xml:space="preserve"> (</w:t>
      </w:r>
      <w:r w:rsidR="00B12025" w:rsidRPr="00B12025">
        <w:rPr>
          <w:i/>
          <w:iCs/>
        </w:rPr>
        <w:t>Save Livermore Downtown</w:t>
      </w:r>
      <w:r w:rsidR="004870AC">
        <w:t xml:space="preserve">, </w:t>
      </w:r>
      <w:r w:rsidR="004870AC">
        <w:rPr>
          <w:i/>
          <w:iCs/>
        </w:rPr>
        <w:t>supra</w:t>
      </w:r>
      <w:r w:rsidR="004870AC">
        <w:t>,</w:t>
      </w:r>
      <w:r w:rsidR="00B12025">
        <w:t xml:space="preserve"> 87 Cal.App.5th 1116</w:t>
      </w:r>
      <w:r w:rsidR="000F56ED">
        <w:t>.)</w:t>
      </w:r>
    </w:p>
    <w:p w14:paraId="702D4CEE" w14:textId="0BF020B9" w:rsidR="0053363D" w:rsidRDefault="000F56ED" w:rsidP="00312F23">
      <w:pPr>
        <w:spacing w:line="360" w:lineRule="auto"/>
      </w:pPr>
      <w:r>
        <w:tab/>
      </w:r>
      <w:r w:rsidR="00D60211">
        <w:t>O</w:t>
      </w:r>
      <w:r>
        <w:t>n May</w:t>
      </w:r>
      <w:r w:rsidR="00D60211">
        <w:t xml:space="preserve"> 24,</w:t>
      </w:r>
      <w:r>
        <w:t xml:space="preserve"> 2022, the City adopted Resolution </w:t>
      </w:r>
      <w:r w:rsidR="00CA5981">
        <w:t xml:space="preserve">No. </w:t>
      </w:r>
      <w:r>
        <w:t>2022-085</w:t>
      </w:r>
      <w:r w:rsidR="0053363D">
        <w:t xml:space="preserve"> (the</w:t>
      </w:r>
      <w:r w:rsidR="0095608F">
        <w:t xml:space="preserve"> </w:t>
      </w:r>
      <w:r w:rsidR="0053363D">
        <w:t>Resolution)</w:t>
      </w:r>
      <w:r>
        <w:t>,</w:t>
      </w:r>
      <w:r w:rsidR="0095608F">
        <w:t xml:space="preserve"> which is the subject of the present action. </w:t>
      </w:r>
      <w:r w:rsidR="001974FA">
        <w:t xml:space="preserve"> </w:t>
      </w:r>
      <w:r w:rsidR="0095608F">
        <w:t>The Resolution</w:t>
      </w:r>
      <w:r>
        <w:t xml:space="preserve"> </w:t>
      </w:r>
      <w:r w:rsidR="0053363D">
        <w:t xml:space="preserve">authorized the execution of </w:t>
      </w:r>
      <w:r w:rsidR="0053363D" w:rsidRPr="0053363D">
        <w:t xml:space="preserve">an </w:t>
      </w:r>
      <w:r w:rsidR="0053363D">
        <w:t>“</w:t>
      </w:r>
      <w:r w:rsidR="0053363D" w:rsidRPr="0053363D">
        <w:t>Amended and Restated</w:t>
      </w:r>
      <w:r w:rsidR="00EA39E3">
        <w:t xml:space="preserve"> Disposition</w:t>
      </w:r>
      <w:r w:rsidR="005775F4">
        <w:t>, Development and Loan Agreement</w:t>
      </w:r>
      <w:r w:rsidR="0053363D">
        <w:t>”</w:t>
      </w:r>
      <w:r w:rsidR="0053363D" w:rsidRPr="0053363D">
        <w:t xml:space="preserve"> </w:t>
      </w:r>
      <w:r w:rsidR="005775F4">
        <w:t xml:space="preserve">for the Project </w:t>
      </w:r>
      <w:r>
        <w:t xml:space="preserve">(2022 Agreement).  The </w:t>
      </w:r>
      <w:r w:rsidR="00E20A40">
        <w:t>2022 Agreement</w:t>
      </w:r>
      <w:r w:rsidR="0053363D" w:rsidRPr="0053363D">
        <w:t xml:space="preserve"> states that it supersedes the original </w:t>
      </w:r>
      <w:r w:rsidR="00E20A40">
        <w:t>2018 Agreement</w:t>
      </w:r>
      <w:r w:rsidR="009E3B5F">
        <w:t>, as amended in 2021</w:t>
      </w:r>
      <w:r w:rsidR="00E20A40">
        <w:t xml:space="preserve">.  </w:t>
      </w:r>
      <w:r w:rsidR="00904905">
        <w:t xml:space="preserve">Among other </w:t>
      </w:r>
      <w:r w:rsidR="0070192D">
        <w:t>provisions</w:t>
      </w:r>
      <w:r w:rsidR="00904905">
        <w:t>, t</w:t>
      </w:r>
      <w:r w:rsidR="00DC23F3">
        <w:t xml:space="preserve">he 2022 Agreement </w:t>
      </w:r>
      <w:r w:rsidR="00DC23F3" w:rsidRPr="00DC23F3">
        <w:t xml:space="preserve">requires the City to make a loan to Eden </w:t>
      </w:r>
      <w:r w:rsidR="00D37334">
        <w:t xml:space="preserve">Housing </w:t>
      </w:r>
      <w:r w:rsidR="00DC23F3" w:rsidRPr="00DC23F3">
        <w:t>for the purchase price of the Property</w:t>
      </w:r>
      <w:r w:rsidR="00A45AF3">
        <w:t xml:space="preserve"> (</w:t>
      </w:r>
      <w:r w:rsidR="00A45AF3" w:rsidRPr="00DC23F3">
        <w:t>$7</w:t>
      </w:r>
      <w:r w:rsidR="004D297B">
        <w:t>.</w:t>
      </w:r>
      <w:r w:rsidR="00A45AF3" w:rsidRPr="00DC23F3">
        <w:t>8</w:t>
      </w:r>
      <w:r w:rsidR="004D297B">
        <w:t xml:space="preserve"> million</w:t>
      </w:r>
      <w:r w:rsidR="00A45AF3">
        <w:t>)</w:t>
      </w:r>
      <w:r w:rsidR="00DC23F3" w:rsidRPr="00DC23F3">
        <w:t xml:space="preserve">, </w:t>
      </w:r>
      <w:r w:rsidR="004C048B">
        <w:t>at an interest rate of 3</w:t>
      </w:r>
      <w:r w:rsidR="007C787C">
        <w:t xml:space="preserve"> percent </w:t>
      </w:r>
      <w:r w:rsidR="004C048B">
        <w:t>and payable over 55 years.</w:t>
      </w:r>
      <w:r w:rsidR="00A45AF3">
        <w:t xml:space="preserve"> </w:t>
      </w:r>
      <w:r w:rsidR="004C048B">
        <w:t xml:space="preserve"> </w:t>
      </w:r>
      <w:r w:rsidR="00904905" w:rsidRPr="00904905">
        <w:t xml:space="preserve">The </w:t>
      </w:r>
      <w:r w:rsidR="00904905">
        <w:t>2022 Agreement</w:t>
      </w:r>
      <w:r w:rsidR="00904905" w:rsidRPr="00904905">
        <w:t xml:space="preserve"> also</w:t>
      </w:r>
      <w:r w:rsidR="00BB3609">
        <w:t xml:space="preserve"> reflects </w:t>
      </w:r>
      <w:r w:rsidR="001D0258">
        <w:t xml:space="preserve">the City’s decision </w:t>
      </w:r>
      <w:r w:rsidR="002B1791">
        <w:t xml:space="preserve">to </w:t>
      </w:r>
      <w:r w:rsidR="001D0258">
        <w:t xml:space="preserve">spend $5.5 million on </w:t>
      </w:r>
      <w:r w:rsidR="00C950EB">
        <w:t>construct</w:t>
      </w:r>
      <w:r w:rsidR="001D0258">
        <w:t>ing</w:t>
      </w:r>
      <w:r w:rsidR="00C950EB">
        <w:t xml:space="preserve"> </w:t>
      </w:r>
      <w:r w:rsidR="003F1C07">
        <w:t>and improv</w:t>
      </w:r>
      <w:r w:rsidR="001D0258">
        <w:t>ing</w:t>
      </w:r>
      <w:r w:rsidR="003F1C07">
        <w:t xml:space="preserve"> </w:t>
      </w:r>
      <w:r w:rsidR="00500787">
        <w:t>Veteran’s Par</w:t>
      </w:r>
      <w:r w:rsidR="0045115E">
        <w:t>k</w:t>
      </w:r>
      <w:r w:rsidR="00500787">
        <w:t xml:space="preserve"> as part of the Project</w:t>
      </w:r>
      <w:r w:rsidR="00904905" w:rsidRPr="00904905">
        <w:t>.</w:t>
      </w:r>
      <w:r w:rsidR="0062744D">
        <w:t xml:space="preserve"> </w:t>
      </w:r>
      <w:r w:rsidR="00904905" w:rsidRPr="00904905">
        <w:t xml:space="preserve"> </w:t>
      </w:r>
      <w:r w:rsidR="00DA27AD">
        <w:t>In particular</w:t>
      </w:r>
      <w:r w:rsidR="003F1C07">
        <w:t>,</w:t>
      </w:r>
      <w:r w:rsidR="009F1ED9">
        <w:t xml:space="preserve"> </w:t>
      </w:r>
      <w:r w:rsidR="0045115E">
        <w:t>the agreement provides</w:t>
      </w:r>
      <w:r w:rsidR="00DA27AD">
        <w:t>, “</w:t>
      </w:r>
      <w:r w:rsidR="00312F23">
        <w:t>The Parties</w:t>
      </w:r>
      <w:r w:rsidR="00E82899">
        <w:t xml:space="preserve"> </w:t>
      </w:r>
      <w:r w:rsidR="00312F23">
        <w:t>agree that the Developer will manage the construction of the Veteran</w:t>
      </w:r>
      <w:r w:rsidR="00C35541">
        <w:t>’</w:t>
      </w:r>
      <w:r w:rsidR="00312F23">
        <w:t>s Park Improvements but</w:t>
      </w:r>
      <w:r w:rsidR="00DA27AD">
        <w:t xml:space="preserve"> </w:t>
      </w:r>
      <w:r w:rsidR="00312F23">
        <w:t>that the City will pay for the costs of the Veteran</w:t>
      </w:r>
      <w:r w:rsidR="00C35541">
        <w:t>’</w:t>
      </w:r>
      <w:r w:rsidR="00312F23">
        <w:t xml:space="preserve">s Park Improvements at its sole expense. </w:t>
      </w:r>
      <w:r w:rsidR="00DA27AD">
        <w:t xml:space="preserve"> </w:t>
      </w:r>
      <w:r w:rsidR="00312F23">
        <w:t>City</w:t>
      </w:r>
      <w:r w:rsidR="00DA27AD">
        <w:t xml:space="preserve"> </w:t>
      </w:r>
      <w:r w:rsidR="00312F23">
        <w:t>and Developer will negotiate a future construction management and reimbursement agreement to</w:t>
      </w:r>
      <w:r w:rsidR="00DA27AD">
        <w:t xml:space="preserve"> </w:t>
      </w:r>
      <w:r w:rsidR="00312F23">
        <w:t>coordinate the construction of the Veteran</w:t>
      </w:r>
      <w:r w:rsidR="00C35541">
        <w:t>’</w:t>
      </w:r>
      <w:r w:rsidR="00312F23">
        <w:t xml:space="preserve">s Park Improvements. </w:t>
      </w:r>
      <w:r w:rsidR="00E82899">
        <w:t xml:space="preserve"> </w:t>
      </w:r>
      <w:r w:rsidR="00312F23">
        <w:t>The Agreement shall authorize</w:t>
      </w:r>
      <w:r w:rsidR="00E82899">
        <w:t xml:space="preserve"> </w:t>
      </w:r>
      <w:r w:rsidR="00312F23">
        <w:t>reimbursement for the construction of the park, per the designs and specifications issued by the</w:t>
      </w:r>
      <w:r w:rsidR="00E82899">
        <w:t xml:space="preserve"> </w:t>
      </w:r>
      <w:r w:rsidR="00312F23">
        <w:t>City, and shall not exceed</w:t>
      </w:r>
      <w:r w:rsidR="00E8487B">
        <w:t xml:space="preserve"> [$5.5 million] . . . </w:t>
      </w:r>
      <w:r w:rsidR="00312F23">
        <w:t>without</w:t>
      </w:r>
      <w:r w:rsidR="00E8487B">
        <w:t xml:space="preserve"> </w:t>
      </w:r>
      <w:r w:rsidR="00312F23">
        <w:t>additional approval of the City Council.</w:t>
      </w:r>
      <w:r w:rsidR="00E8487B">
        <w:t xml:space="preserve">”  </w:t>
      </w:r>
      <w:r w:rsidR="0062744D">
        <w:t xml:space="preserve">Finally, </w:t>
      </w:r>
      <w:r w:rsidR="00FC4587" w:rsidRPr="00FC4587">
        <w:t xml:space="preserve">to address historic subsurface contamination of the Property, the </w:t>
      </w:r>
      <w:r w:rsidR="00FC4587">
        <w:t>2022 Agreement</w:t>
      </w:r>
      <w:r w:rsidR="00FC4587" w:rsidRPr="00FC4587">
        <w:t xml:space="preserve"> requires the </w:t>
      </w:r>
      <w:r w:rsidR="00FC4587" w:rsidRPr="00FC4587">
        <w:lastRenderedPageBreak/>
        <w:t>City and Eden</w:t>
      </w:r>
      <w:r w:rsidR="004A59F0">
        <w:t xml:space="preserve"> Housing</w:t>
      </w:r>
      <w:r w:rsidR="00FC4587" w:rsidRPr="00FC4587">
        <w:t xml:space="preserve"> to enter into an indemnity agreement </w:t>
      </w:r>
      <w:r w:rsidR="002B2CDC">
        <w:t>“</w:t>
      </w:r>
      <w:r w:rsidR="00FC4587" w:rsidRPr="00FC4587">
        <w:t xml:space="preserve">to apportion costs and potential liability related to </w:t>
      </w:r>
      <w:r w:rsidR="001D0258">
        <w:t>H</w:t>
      </w:r>
      <w:r w:rsidR="00FC4587" w:rsidRPr="00FC4587">
        <w:t xml:space="preserve">azardous </w:t>
      </w:r>
      <w:r w:rsidR="001D0258">
        <w:t>M</w:t>
      </w:r>
      <w:r w:rsidR="00FC4587" w:rsidRPr="00FC4587">
        <w:t>aterials</w:t>
      </w:r>
      <w:r w:rsidR="001D0258">
        <w:t>”</w:t>
      </w:r>
      <w:r w:rsidR="00AA570A">
        <w:t xml:space="preserve"> at the Project site</w:t>
      </w:r>
      <w:r w:rsidR="00FC4587" w:rsidRPr="00FC4587">
        <w:t xml:space="preserve">, with </w:t>
      </w:r>
      <w:r w:rsidR="00613EC9">
        <w:t xml:space="preserve">the City’s </w:t>
      </w:r>
      <w:r w:rsidR="00FC4587" w:rsidRPr="00FC4587">
        <w:t>obligation</w:t>
      </w:r>
      <w:r w:rsidR="00613EC9">
        <w:t xml:space="preserve"> </w:t>
      </w:r>
      <w:r w:rsidR="00F02C08" w:rsidRPr="00F02C08">
        <w:t>not to exceed $4</w:t>
      </w:r>
      <w:r w:rsidR="004D297B">
        <w:t>.</w:t>
      </w:r>
      <w:r w:rsidR="00F02C08" w:rsidRPr="00F02C08">
        <w:t>3</w:t>
      </w:r>
      <w:r w:rsidR="004D297B">
        <w:t xml:space="preserve"> million</w:t>
      </w:r>
      <w:r w:rsidR="00832D33">
        <w:t>.</w:t>
      </w:r>
    </w:p>
    <w:p w14:paraId="367DAFDC" w14:textId="5F19A0DB" w:rsidR="00D97EC3" w:rsidRDefault="00322120" w:rsidP="007C240D">
      <w:pPr>
        <w:spacing w:line="360" w:lineRule="auto"/>
      </w:pPr>
      <w:r>
        <w:tab/>
      </w:r>
      <w:r w:rsidRPr="00322120">
        <w:t xml:space="preserve">On May 27, 2022, </w:t>
      </w:r>
      <w:r w:rsidR="00285B78">
        <w:t xml:space="preserve">counsel for </w:t>
      </w:r>
      <w:r w:rsidR="00A03BCC">
        <w:t>plaintiff</w:t>
      </w:r>
      <w:r w:rsidR="00807AB8">
        <w:t xml:space="preserve"> and appellant </w:t>
      </w:r>
      <w:r w:rsidR="00A25495">
        <w:t>Richard</w:t>
      </w:r>
      <w:r w:rsidR="00807AB8">
        <w:t xml:space="preserve"> </w:t>
      </w:r>
      <w:r w:rsidRPr="00322120">
        <w:t>Ry</w:t>
      </w:r>
      <w:r w:rsidR="00095650">
        <w:t>o</w:t>
      </w:r>
      <w:r w:rsidRPr="00322120">
        <w:t xml:space="preserve">n provided the City Clerk with a proposed summary of </w:t>
      </w:r>
      <w:r w:rsidR="009764D1">
        <w:t xml:space="preserve">the Resolution </w:t>
      </w:r>
      <w:r w:rsidR="0055080F">
        <w:t xml:space="preserve">for the purpose of a proposed </w:t>
      </w:r>
      <w:r w:rsidRPr="00322120">
        <w:t xml:space="preserve">referendum </w:t>
      </w:r>
      <w:r w:rsidR="004A59F0">
        <w:t xml:space="preserve">on </w:t>
      </w:r>
      <w:r w:rsidR="0055080F">
        <w:t xml:space="preserve">the </w:t>
      </w:r>
      <w:r w:rsidRPr="00322120">
        <w:t>Resolution.</w:t>
      </w:r>
      <w:r w:rsidR="00373868">
        <w:t xml:space="preserve">  </w:t>
      </w:r>
      <w:r w:rsidR="00F94C86">
        <w:t xml:space="preserve">On June 3, </w:t>
      </w:r>
      <w:r w:rsidR="00A03BCC">
        <w:t>plaintiff</w:t>
      </w:r>
      <w:r w:rsidR="00F94C86">
        <w:t xml:space="preserve"> and appellant Move Eden was formed to, among other things, </w:t>
      </w:r>
      <w:r w:rsidR="00821071" w:rsidRPr="00821071">
        <w:t>promot</w:t>
      </w:r>
      <w:r w:rsidR="00821071">
        <w:t>e</w:t>
      </w:r>
      <w:r w:rsidR="00821071" w:rsidRPr="00821071">
        <w:t xml:space="preserve"> the qualification of </w:t>
      </w:r>
      <w:r w:rsidR="00821071">
        <w:t xml:space="preserve">the proposed </w:t>
      </w:r>
      <w:r w:rsidR="00821071" w:rsidRPr="00821071">
        <w:t>referendum</w:t>
      </w:r>
      <w:r w:rsidR="00F94C86">
        <w:t xml:space="preserve">.  </w:t>
      </w:r>
      <w:r w:rsidR="00EF034D">
        <w:t>O</w:t>
      </w:r>
      <w:r w:rsidR="002230C5">
        <w:t>n June</w:t>
      </w:r>
      <w:r w:rsidR="00EF034D">
        <w:t xml:space="preserve"> 9</w:t>
      </w:r>
      <w:r w:rsidRPr="00322120">
        <w:t xml:space="preserve">, the City Attorney approved a summary </w:t>
      </w:r>
      <w:r w:rsidR="00BF74EE">
        <w:t xml:space="preserve">for purposes of the proposed </w:t>
      </w:r>
      <w:r w:rsidRPr="00322120">
        <w:t>referendum.</w:t>
      </w:r>
      <w:r w:rsidR="00032873">
        <w:t xml:space="preserve"> </w:t>
      </w:r>
      <w:r w:rsidRPr="00322120">
        <w:t xml:space="preserve"> </w:t>
      </w:r>
      <w:r w:rsidR="0014231C">
        <w:t xml:space="preserve">Move Eden </w:t>
      </w:r>
      <w:r w:rsidR="00821071">
        <w:t xml:space="preserve">then </w:t>
      </w:r>
      <w:r w:rsidR="00712BE3">
        <w:t xml:space="preserve">sought to </w:t>
      </w:r>
      <w:r w:rsidR="00396A5B">
        <w:t xml:space="preserve">obtain the </w:t>
      </w:r>
      <w:r w:rsidR="00B14AF4">
        <w:t>statutorily</w:t>
      </w:r>
      <w:r w:rsidR="00102B13">
        <w:t xml:space="preserve"> </w:t>
      </w:r>
      <w:r w:rsidR="00396A5B">
        <w:t xml:space="preserve">required number of signatures </w:t>
      </w:r>
      <w:r w:rsidR="00396A5B" w:rsidRPr="00CA272D">
        <w:t xml:space="preserve">from registered voters </w:t>
      </w:r>
      <w:r w:rsidR="00D97EC3">
        <w:t xml:space="preserve">to </w:t>
      </w:r>
      <w:r w:rsidR="00CA272D" w:rsidRPr="00CA272D">
        <w:t>qualify the referendum for the November 2022 ballot.</w:t>
      </w:r>
      <w:r w:rsidR="00D97EC3">
        <w:t xml:space="preserve"> </w:t>
      </w:r>
      <w:r w:rsidR="00CA272D" w:rsidRPr="00CA272D">
        <w:t xml:space="preserve"> </w:t>
      </w:r>
      <w:r w:rsidR="006D26D4">
        <w:t>O</w:t>
      </w:r>
      <w:r w:rsidR="004621C0">
        <w:t xml:space="preserve">n </w:t>
      </w:r>
      <w:r w:rsidR="00CA272D" w:rsidRPr="00CA272D">
        <w:t>July</w:t>
      </w:r>
      <w:r w:rsidR="006D26D4">
        <w:t xml:space="preserve"> 8</w:t>
      </w:r>
      <w:r w:rsidR="00CA272D" w:rsidRPr="00CA272D">
        <w:t xml:space="preserve">, the referendum proponents submitted the </w:t>
      </w:r>
      <w:r w:rsidR="00227A39" w:rsidRPr="00227A39">
        <w:t>referendum petition</w:t>
      </w:r>
      <w:r w:rsidR="00CA272D" w:rsidRPr="00CA272D">
        <w:t xml:space="preserve"> to the City Clerk</w:t>
      </w:r>
      <w:r w:rsidR="00686966">
        <w:t xml:space="preserve"> with </w:t>
      </w:r>
      <w:r w:rsidR="00360D3E">
        <w:t xml:space="preserve">more than the required number of </w:t>
      </w:r>
      <w:r w:rsidR="00DD0411">
        <w:t>signatures.</w:t>
      </w:r>
    </w:p>
    <w:p w14:paraId="369FE4EB" w14:textId="3D5B0082" w:rsidR="000846E3" w:rsidRDefault="00F4368D" w:rsidP="00AD0668">
      <w:pPr>
        <w:spacing w:line="360" w:lineRule="auto"/>
      </w:pPr>
      <w:r>
        <w:tab/>
        <w:t xml:space="preserve">On </w:t>
      </w:r>
      <w:r w:rsidR="006D26D4" w:rsidRPr="006D26D4">
        <w:t>July 13, 2022</w:t>
      </w:r>
      <w:r>
        <w:t xml:space="preserve">, </w:t>
      </w:r>
      <w:r w:rsidR="000846E3" w:rsidRPr="000846E3">
        <w:t xml:space="preserve">the City Clerk sent a letter to </w:t>
      </w:r>
      <w:r w:rsidR="00A03BCC">
        <w:t>plaintiff</w:t>
      </w:r>
      <w:r w:rsidR="00A8611A">
        <w:t xml:space="preserve"> and appellant</w:t>
      </w:r>
      <w:r w:rsidR="000846E3">
        <w:t xml:space="preserve"> </w:t>
      </w:r>
      <w:r w:rsidR="000846E3" w:rsidRPr="000846E3">
        <w:t xml:space="preserve">Ryon stating that </w:t>
      </w:r>
      <w:r w:rsidR="000846E3">
        <w:t xml:space="preserve">she </w:t>
      </w:r>
      <w:r w:rsidR="000846E3" w:rsidRPr="000846E3">
        <w:t xml:space="preserve">“took in the petition </w:t>
      </w:r>
      <w:r w:rsidR="00B56E62">
        <w:t>. . .</w:t>
      </w:r>
      <w:r w:rsidR="000846E3" w:rsidRPr="000846E3">
        <w:t xml:space="preserve"> for the purpose of making the </w:t>
      </w:r>
      <w:r w:rsidR="000846E3" w:rsidRPr="00B56E62">
        <w:rPr>
          <w:i/>
          <w:iCs/>
        </w:rPr>
        <w:t>prima facie</w:t>
      </w:r>
      <w:r w:rsidR="000846E3" w:rsidRPr="000846E3">
        <w:t xml:space="preserve"> count of signatures to determine whether the total number of</w:t>
      </w:r>
      <w:r w:rsidR="001154CB">
        <w:t xml:space="preserve"> </w:t>
      </w:r>
      <w:r w:rsidR="001154CB" w:rsidRPr="001154CB">
        <w:t xml:space="preserve">signatures equals or is in excess of the minimum number of signatures required, which is 5,702,” </w:t>
      </w:r>
      <w:r w:rsidR="001154CB">
        <w:t xml:space="preserve">citing </w:t>
      </w:r>
      <w:r w:rsidR="001154CB" w:rsidRPr="001154CB">
        <w:t>Elections Code section 9210.</w:t>
      </w:r>
      <w:r w:rsidR="00685387">
        <w:rPr>
          <w:rStyle w:val="FootnoteReference"/>
        </w:rPr>
        <w:footnoteReference w:id="4"/>
      </w:r>
      <w:r w:rsidR="001154CB">
        <w:t xml:space="preserve"> </w:t>
      </w:r>
      <w:r w:rsidR="001154CB" w:rsidRPr="001154CB">
        <w:t xml:space="preserve"> </w:t>
      </w:r>
      <w:r w:rsidR="00C353C5">
        <w:t>A</w:t>
      </w:r>
      <w:r w:rsidR="00534376">
        <w:t xml:space="preserve"> </w:t>
      </w:r>
      <w:r w:rsidR="00AD0668">
        <w:t xml:space="preserve">prima facie signature count </w:t>
      </w:r>
      <w:r w:rsidR="00C353C5">
        <w:t xml:space="preserve">was prepared, counting </w:t>
      </w:r>
      <w:r w:rsidR="00AD0668">
        <w:t>9,737 total signatures</w:t>
      </w:r>
      <w:r w:rsidR="00C353C5">
        <w:t xml:space="preserve"> and</w:t>
      </w:r>
      <w:r w:rsidR="00AD0668">
        <w:t xml:space="preserve"> </w:t>
      </w:r>
      <w:r w:rsidR="00457E54">
        <w:t>noting</w:t>
      </w:r>
      <w:r w:rsidR="00540E76">
        <w:t xml:space="preserve"> </w:t>
      </w:r>
      <w:r w:rsidR="00AD0668">
        <w:t xml:space="preserve">it was “not a determination that signatures are valid.”  </w:t>
      </w:r>
      <w:r w:rsidR="00E83557">
        <w:t xml:space="preserve">However, rather than </w:t>
      </w:r>
      <w:r w:rsidR="0034229E">
        <w:t>accepting the</w:t>
      </w:r>
      <w:r w:rsidR="00CF4938">
        <w:t xml:space="preserve"> petition for filing and </w:t>
      </w:r>
      <w:r w:rsidR="00A95AA4">
        <w:t xml:space="preserve">determining the validity of the signatures </w:t>
      </w:r>
      <w:r w:rsidR="001B2218">
        <w:t xml:space="preserve">pursuant to statutory </w:t>
      </w:r>
      <w:r w:rsidR="002E0844">
        <w:t>requirements</w:t>
      </w:r>
      <w:r w:rsidR="001B2218">
        <w:t xml:space="preserve"> </w:t>
      </w:r>
      <w:r w:rsidR="00E83557">
        <w:t xml:space="preserve">(see </w:t>
      </w:r>
      <w:r w:rsidR="0029298E">
        <w:t xml:space="preserve">Part II, </w:t>
      </w:r>
      <w:r w:rsidR="0045489A">
        <w:rPr>
          <w:i/>
          <w:iCs/>
        </w:rPr>
        <w:t>post</w:t>
      </w:r>
      <w:r w:rsidR="00E83557">
        <w:t>),</w:t>
      </w:r>
      <w:r w:rsidR="00A94472">
        <w:t xml:space="preserve"> the </w:t>
      </w:r>
      <w:r w:rsidR="00BD2192">
        <w:t xml:space="preserve">City Clerk’s </w:t>
      </w:r>
      <w:r w:rsidR="00A94472">
        <w:t>letter stated that,</w:t>
      </w:r>
      <w:r w:rsidR="00E83557">
        <w:t xml:space="preserve"> </w:t>
      </w:r>
      <w:r w:rsidR="00A94472" w:rsidRPr="00A94472">
        <w:t xml:space="preserve">“[b]ased on </w:t>
      </w:r>
      <w:r w:rsidR="00BD2192">
        <w:t xml:space="preserve">the </w:t>
      </w:r>
      <w:r w:rsidR="00A94472" w:rsidRPr="00A94472">
        <w:t xml:space="preserve">advice from the City Attorney and </w:t>
      </w:r>
      <w:r w:rsidR="003E1B5C">
        <w:t>s</w:t>
      </w:r>
      <w:r w:rsidR="00A94472" w:rsidRPr="00A94472">
        <w:t xml:space="preserve">pecial </w:t>
      </w:r>
      <w:r w:rsidR="003E1B5C">
        <w:t>c</w:t>
      </w:r>
      <w:r w:rsidR="00A94472" w:rsidRPr="00A94472">
        <w:t xml:space="preserve">ounsel, </w:t>
      </w:r>
      <w:r w:rsidR="003E1B5C">
        <w:t xml:space="preserve">. . . </w:t>
      </w:r>
      <w:r w:rsidR="00A94472" w:rsidRPr="00A94472">
        <w:t>the City has determined that Resolution No. 2022-085 was an administrative act, not a legislative act, and not subject to referendum.”</w:t>
      </w:r>
      <w:r w:rsidR="00E157D4">
        <w:t xml:space="preserve"> </w:t>
      </w:r>
      <w:r w:rsidR="00A94472" w:rsidRPr="00A94472">
        <w:t xml:space="preserve"> </w:t>
      </w:r>
      <w:r w:rsidR="00E157D4">
        <w:t xml:space="preserve">On that basis, </w:t>
      </w:r>
      <w:r w:rsidR="00A94472" w:rsidRPr="00A94472">
        <w:t xml:space="preserve">the City Clerk </w:t>
      </w:r>
      <w:r w:rsidR="00E157D4">
        <w:t>stated</w:t>
      </w:r>
      <w:r w:rsidR="00A94472" w:rsidRPr="00A94472">
        <w:t xml:space="preserve"> that</w:t>
      </w:r>
      <w:r w:rsidR="00212369">
        <w:t xml:space="preserve"> the petition is </w:t>
      </w:r>
      <w:r w:rsidR="000F60FA">
        <w:t xml:space="preserve">“not eligible for filing or </w:t>
      </w:r>
      <w:r w:rsidR="000F60FA">
        <w:lastRenderedPageBreak/>
        <w:t>processing as a referendum” and</w:t>
      </w:r>
      <w:r w:rsidR="00A94472" w:rsidRPr="00A94472">
        <w:t xml:space="preserve"> “the City is taking no further action on this petition.”</w:t>
      </w:r>
    </w:p>
    <w:p w14:paraId="31CE04B0" w14:textId="0A08DAD3" w:rsidR="00404739" w:rsidRPr="00A97A7E" w:rsidRDefault="00257AE4" w:rsidP="000F56ED">
      <w:pPr>
        <w:spacing w:line="360" w:lineRule="auto"/>
      </w:pPr>
      <w:r>
        <w:tab/>
      </w:r>
      <w:r w:rsidR="0012224C">
        <w:t>I</w:t>
      </w:r>
      <w:r w:rsidR="00FE7D18" w:rsidRPr="00FE7D18">
        <w:t xml:space="preserve">n August 2022, </w:t>
      </w:r>
      <w:r w:rsidR="00F56E55">
        <w:t>plaintiffs</w:t>
      </w:r>
      <w:r w:rsidR="00860559">
        <w:t xml:space="preserve"> commenced the present action by</w:t>
      </w:r>
      <w:r w:rsidR="00FE7D18" w:rsidRPr="00FE7D18">
        <w:t xml:space="preserve"> fil</w:t>
      </w:r>
      <w:r w:rsidR="00860559">
        <w:t>ing</w:t>
      </w:r>
      <w:r w:rsidR="00FE7D18" w:rsidRPr="00FE7D18">
        <w:t xml:space="preserve"> a petition for writ of mandate</w:t>
      </w:r>
      <w:r w:rsidR="003B73C9">
        <w:t xml:space="preserve"> (Petition)</w:t>
      </w:r>
      <w:r w:rsidR="00FE7D18" w:rsidRPr="00FE7D18">
        <w:t xml:space="preserve"> seeking to compel the City and the City Clerk to process the referendum petition in accordance with the Elections Code.</w:t>
      </w:r>
    </w:p>
    <w:p w14:paraId="6B109848" w14:textId="6B64F149" w:rsidR="0053363D" w:rsidRDefault="00404739" w:rsidP="000F56ED">
      <w:pPr>
        <w:spacing w:line="360" w:lineRule="auto"/>
      </w:pPr>
      <w:r>
        <w:tab/>
      </w:r>
      <w:r w:rsidR="0012224C">
        <w:t>I</w:t>
      </w:r>
      <w:r w:rsidRPr="00404739">
        <w:t xml:space="preserve">n September 2022, Eden </w:t>
      </w:r>
      <w:r w:rsidR="00F6714E">
        <w:t xml:space="preserve">Housing </w:t>
      </w:r>
      <w:r w:rsidRPr="00404739">
        <w:t>filed a motion for a bond pursuant to Code of Civil Procedure section 529.2.</w:t>
      </w:r>
      <w:r w:rsidR="00D32EEE">
        <w:t xml:space="preserve"> </w:t>
      </w:r>
      <w:r w:rsidRPr="00404739">
        <w:t xml:space="preserve"> </w:t>
      </w:r>
      <w:r w:rsidR="0099092D">
        <w:t xml:space="preserve">In October, </w:t>
      </w:r>
      <w:r w:rsidRPr="00404739">
        <w:t xml:space="preserve">the </w:t>
      </w:r>
      <w:r w:rsidR="001D0258">
        <w:t>s</w:t>
      </w:r>
      <w:r w:rsidR="001D0258" w:rsidRPr="00404739">
        <w:t xml:space="preserve">uperior </w:t>
      </w:r>
      <w:r w:rsidR="001D0258">
        <w:t>c</w:t>
      </w:r>
      <w:r w:rsidR="001D0258" w:rsidRPr="00404739">
        <w:t xml:space="preserve">ourt </w:t>
      </w:r>
      <w:r w:rsidRPr="00404739">
        <w:t>granted the motion</w:t>
      </w:r>
      <w:r w:rsidR="0099092D">
        <w:t xml:space="preserve">, </w:t>
      </w:r>
      <w:r w:rsidR="00970CFE">
        <w:t xml:space="preserve">directing </w:t>
      </w:r>
      <w:r w:rsidR="00F56E55">
        <w:t>plaintiffs</w:t>
      </w:r>
      <w:r w:rsidR="00970CFE">
        <w:t xml:space="preserve"> </w:t>
      </w:r>
      <w:r w:rsidR="00970CFE" w:rsidRPr="004C1E3C">
        <w:t>to</w:t>
      </w:r>
      <w:r w:rsidR="006B2122" w:rsidRPr="004C1E3C">
        <w:t xml:space="preserve"> </w:t>
      </w:r>
      <w:r w:rsidR="006F6131">
        <w:t xml:space="preserve">file an undertaking </w:t>
      </w:r>
      <w:r w:rsidR="006B2122" w:rsidRPr="004C1E3C">
        <w:t xml:space="preserve">in the amount of </w:t>
      </w:r>
      <w:r w:rsidR="004C1E3C" w:rsidRPr="004C1E3C">
        <w:t>$500,000</w:t>
      </w:r>
      <w:r w:rsidR="006F6131">
        <w:t xml:space="preserve"> as security for costs and damages</w:t>
      </w:r>
      <w:r w:rsidR="00E679A8">
        <w:t xml:space="preserve"> due to the action</w:t>
      </w:r>
      <w:r w:rsidR="004C1E3C" w:rsidRPr="004C1E3C">
        <w:t>.</w:t>
      </w:r>
    </w:p>
    <w:p w14:paraId="77EC1B44" w14:textId="014678E5" w:rsidR="00404739" w:rsidRDefault="00FC13B2" w:rsidP="00E91590">
      <w:pPr>
        <w:spacing w:line="360" w:lineRule="auto"/>
      </w:pPr>
      <w:r>
        <w:tab/>
        <w:t xml:space="preserve">In January 2023, the </w:t>
      </w:r>
      <w:r w:rsidR="001D0258">
        <w:t xml:space="preserve">superior court </w:t>
      </w:r>
      <w:r>
        <w:t>denied the Petition</w:t>
      </w:r>
      <w:r w:rsidR="002F46F0">
        <w:t xml:space="preserve"> on the merits</w:t>
      </w:r>
      <w:r w:rsidR="007E7EA7">
        <w:t xml:space="preserve">.  </w:t>
      </w:r>
      <w:r w:rsidR="007E7EA7" w:rsidRPr="007E7EA7">
        <w:t>The court</w:t>
      </w:r>
      <w:r w:rsidR="009B2AB5">
        <w:t xml:space="preserve"> concluded </w:t>
      </w:r>
      <w:r w:rsidR="005D4A0C">
        <w:t xml:space="preserve">the Resolution was </w:t>
      </w:r>
      <w:r w:rsidR="009E35FD">
        <w:t xml:space="preserve">not subject to challenge by referendum because it was </w:t>
      </w:r>
      <w:r w:rsidR="005D4A0C">
        <w:t xml:space="preserve">an administrative act </w:t>
      </w:r>
      <w:r w:rsidR="00354D53">
        <w:t xml:space="preserve">or, in the alternative, because the City </w:t>
      </w:r>
      <w:r w:rsidR="009E35FD">
        <w:t xml:space="preserve">acted </w:t>
      </w:r>
      <w:r w:rsidR="00354D53">
        <w:t xml:space="preserve">as an </w:t>
      </w:r>
      <w:r w:rsidR="00315F74">
        <w:t xml:space="preserve">administrative </w:t>
      </w:r>
      <w:r w:rsidR="00354D53">
        <w:t>agent of the State in adopting it</w:t>
      </w:r>
      <w:r w:rsidR="009E35FD">
        <w:t xml:space="preserve">. </w:t>
      </w:r>
      <w:r w:rsidR="00C86C21">
        <w:t xml:space="preserve"> </w:t>
      </w:r>
      <w:r w:rsidR="00CA36DB">
        <w:t xml:space="preserve">The court </w:t>
      </w:r>
      <w:r w:rsidR="000C0131">
        <w:t>concluded</w:t>
      </w:r>
      <w:r w:rsidR="00CA36DB">
        <w:t xml:space="preserve"> that either it was </w:t>
      </w:r>
      <w:r w:rsidR="005C04FD">
        <w:t xml:space="preserve">lawful </w:t>
      </w:r>
      <w:r w:rsidR="00CA36DB">
        <w:t xml:space="preserve">for the </w:t>
      </w:r>
      <w:r w:rsidR="007E7EA7" w:rsidRPr="007E7EA7">
        <w:t>City</w:t>
      </w:r>
      <w:r w:rsidR="00F0440A">
        <w:t xml:space="preserve"> Clerk</w:t>
      </w:r>
      <w:r w:rsidR="007E7EA7" w:rsidRPr="007E7EA7">
        <w:t xml:space="preserve"> </w:t>
      </w:r>
      <w:r w:rsidR="00CA36DB">
        <w:t xml:space="preserve">to refuse to </w:t>
      </w:r>
      <w:r w:rsidR="007E7EA7">
        <w:t xml:space="preserve">process the </w:t>
      </w:r>
      <w:r w:rsidR="007E7EA7" w:rsidRPr="007E7EA7">
        <w:t xml:space="preserve">referendum </w:t>
      </w:r>
      <w:r w:rsidR="007E7EA7">
        <w:t xml:space="preserve">petition, </w:t>
      </w:r>
      <w:r w:rsidR="00CA36DB">
        <w:t xml:space="preserve">or </w:t>
      </w:r>
      <w:r w:rsidR="007A1199">
        <w:t>it is proper to “</w:t>
      </w:r>
      <w:r w:rsidR="00747DEE">
        <w:t xml:space="preserve"> ‘</w:t>
      </w:r>
      <w:r w:rsidR="007A1199">
        <w:t>retroactively validate</w:t>
      </w:r>
      <w:r w:rsidR="00D1576B">
        <w:t>[]</w:t>
      </w:r>
      <w:r w:rsidR="00747DEE">
        <w:t xml:space="preserve">’ </w:t>
      </w:r>
      <w:r w:rsidR="007A1199">
        <w:t xml:space="preserve">” the </w:t>
      </w:r>
      <w:r w:rsidR="00CF753D">
        <w:t xml:space="preserve">conclusion that the proposed referendum is </w:t>
      </w:r>
      <w:r w:rsidR="007E7EA7" w:rsidRPr="007E7EA7">
        <w:t>invalid</w:t>
      </w:r>
      <w:r w:rsidR="00D47814">
        <w:t>, even if the City Clerk violated the law</w:t>
      </w:r>
      <w:r w:rsidR="007E7EA7" w:rsidRPr="007E7EA7">
        <w:t>.</w:t>
      </w:r>
      <w:r w:rsidR="00783069">
        <w:t xml:space="preserve"> </w:t>
      </w:r>
      <w:r w:rsidR="007E7EA7">
        <w:t xml:space="preserve"> </w:t>
      </w:r>
      <w:r w:rsidR="001F67FD">
        <w:t xml:space="preserve">The </w:t>
      </w:r>
      <w:r w:rsidR="00E35A9D">
        <w:t xml:space="preserve">superior </w:t>
      </w:r>
      <w:r w:rsidR="001F67FD">
        <w:t>court denied the Petition, and t</w:t>
      </w:r>
      <w:r>
        <w:t>he present appeal followed.</w:t>
      </w:r>
    </w:p>
    <w:p w14:paraId="7E65D78C" w14:textId="5236CD68" w:rsidR="00404739" w:rsidRDefault="00432389" w:rsidP="00432389">
      <w:pPr>
        <w:spacing w:line="360" w:lineRule="auto"/>
        <w:jc w:val="center"/>
      </w:pPr>
      <w:r>
        <w:t>DISCUSSION</w:t>
      </w:r>
    </w:p>
    <w:p w14:paraId="0C59E817" w14:textId="042560A8" w:rsidR="00673057" w:rsidRPr="00673057" w:rsidRDefault="007D4D04" w:rsidP="000E5549">
      <w:pPr>
        <w:spacing w:line="360" w:lineRule="auto"/>
        <w:rPr>
          <w:i/>
          <w:iCs/>
        </w:rPr>
      </w:pPr>
      <w:r>
        <w:t xml:space="preserve">I. </w:t>
      </w:r>
      <w:r w:rsidR="00673057">
        <w:tab/>
      </w:r>
      <w:r w:rsidR="00673057">
        <w:rPr>
          <w:i/>
          <w:iCs/>
        </w:rPr>
        <w:t>Standard of Review</w:t>
      </w:r>
    </w:p>
    <w:p w14:paraId="01B4B362" w14:textId="2285E41D" w:rsidR="00521CDD" w:rsidRDefault="008B5909" w:rsidP="00D96D74">
      <w:pPr>
        <w:spacing w:line="360" w:lineRule="auto"/>
      </w:pPr>
      <w:r>
        <w:tab/>
        <w:t>A t</w:t>
      </w:r>
      <w:r w:rsidRPr="008B5909">
        <w:t>raditional writ of mandate under Code of Civil Procedure section 1085 “</w:t>
      </w:r>
      <w:r w:rsidR="00E03248">
        <w:t xml:space="preserve"> ‘</w:t>
      </w:r>
      <w:r w:rsidRPr="008B5909">
        <w:t>is used to compel a public entity to perform a legal and usually ministerial duty.</w:t>
      </w:r>
      <w:r w:rsidR="00E03248">
        <w:t xml:space="preserve">’ </w:t>
      </w:r>
      <w:r w:rsidRPr="008B5909">
        <w:t xml:space="preserve">” </w:t>
      </w:r>
      <w:r>
        <w:t xml:space="preserve"> </w:t>
      </w:r>
      <w:r w:rsidRPr="008B5909">
        <w:t>(</w:t>
      </w:r>
      <w:r w:rsidRPr="008B5909">
        <w:rPr>
          <w:i/>
          <w:iCs/>
        </w:rPr>
        <w:t>Schmid v. City &amp; County of San Francisco</w:t>
      </w:r>
      <w:r w:rsidRPr="008B5909">
        <w:t xml:space="preserve"> (2021) 60</w:t>
      </w:r>
      <w:r w:rsidR="00F5641E">
        <w:t> </w:t>
      </w:r>
      <w:r w:rsidRPr="008B5909">
        <w:t>Cal.App.5th 470, 484</w:t>
      </w:r>
      <w:r>
        <w:t>–</w:t>
      </w:r>
      <w:r w:rsidRPr="008B5909">
        <w:t>485.)</w:t>
      </w:r>
      <w:r w:rsidR="00B24A68">
        <w:t xml:space="preserve"> </w:t>
      </w:r>
      <w:r w:rsidR="00521CDD">
        <w:t xml:space="preserve"> </w:t>
      </w:r>
      <w:r w:rsidR="00D96D74" w:rsidRPr="00D96D74">
        <w:t>“ ‘On appeal following a trial court</w:t>
      </w:r>
      <w:r w:rsidR="00FE7597">
        <w:t>’</w:t>
      </w:r>
      <w:r w:rsidR="00D96D74" w:rsidRPr="00D96D74">
        <w:t>s decision on a petition for a writ of mandate, the reviewing court “ ‘need only review the record to determine whether the trial court</w:t>
      </w:r>
      <w:r w:rsidR="005D20D4">
        <w:t>’</w:t>
      </w:r>
      <w:r w:rsidR="00D96D74" w:rsidRPr="00D96D74">
        <w:t xml:space="preserve">s findings are supported by </w:t>
      </w:r>
      <w:r w:rsidR="00D96D74" w:rsidRPr="00D96D74">
        <w:lastRenderedPageBreak/>
        <w:t xml:space="preserve">substantial evidence.’ ” </w:t>
      </w:r>
      <w:r w:rsidR="00FE7597">
        <w:t xml:space="preserve"> </w:t>
      </w:r>
      <w:r w:rsidR="00D96D74" w:rsidRPr="00D96D74">
        <w:t xml:space="preserve">[Citation.] </w:t>
      </w:r>
      <w:r w:rsidR="00FE7597">
        <w:t xml:space="preserve"> </w:t>
      </w:r>
      <w:r w:rsidR="00D96D74" w:rsidRPr="00D96D74">
        <w:t xml:space="preserve">However, we review questions of law independently. </w:t>
      </w:r>
      <w:r w:rsidR="00FE7597">
        <w:t xml:space="preserve"> </w:t>
      </w:r>
      <w:r w:rsidR="00D96D74" w:rsidRPr="00D96D74">
        <w:t xml:space="preserve">[Citation.] </w:t>
      </w:r>
      <w:r w:rsidR="00FE7597">
        <w:t xml:space="preserve"> </w:t>
      </w:r>
      <w:r w:rsidR="00D96D74" w:rsidRPr="00D96D74">
        <w:t xml:space="preserve">Where, as here, the facts are undisputed and the issue involves statutory interpretation, we exercise our independent judgment and review the matter de novo. </w:t>
      </w:r>
      <w:r w:rsidR="005D20D4">
        <w:t xml:space="preserve"> </w:t>
      </w:r>
      <w:r w:rsidR="00D96D74" w:rsidRPr="00D96D74">
        <w:t xml:space="preserve">[Citation.]’ </w:t>
      </w:r>
      <w:r w:rsidR="005D20D4">
        <w:t xml:space="preserve"> </w:t>
      </w:r>
      <w:r w:rsidR="00D96D74" w:rsidRPr="00D96D74">
        <w:t>[Citations.] [¶] The trial court</w:t>
      </w:r>
      <w:r w:rsidR="005D20D4">
        <w:t>’</w:t>
      </w:r>
      <w:r w:rsidR="00D96D74" w:rsidRPr="00D96D74">
        <w:t>s determination that [</w:t>
      </w:r>
      <w:r w:rsidR="005D20D4">
        <w:t>respondents’</w:t>
      </w:r>
      <w:r w:rsidR="00D96D74" w:rsidRPr="00D96D74">
        <w:t>] actions did not violate the Elections Code is a legal finding subject to independent review.</w:t>
      </w:r>
      <w:r w:rsidR="005D20D4">
        <w:t>”</w:t>
      </w:r>
      <w:r w:rsidR="00D96D74" w:rsidRPr="00D96D74">
        <w:t xml:space="preserve"> </w:t>
      </w:r>
      <w:r w:rsidR="005D20D4">
        <w:t xml:space="preserve"> </w:t>
      </w:r>
      <w:r w:rsidR="00D96D74" w:rsidRPr="00D96D74">
        <w:t>(</w:t>
      </w:r>
      <w:r w:rsidR="00D96D74" w:rsidRPr="005D20D4">
        <w:rPr>
          <w:i/>
          <w:iCs/>
        </w:rPr>
        <w:t>Lindelli v. Town of San Anselmo</w:t>
      </w:r>
      <w:r w:rsidR="00D96D74" w:rsidRPr="00D96D74">
        <w:t xml:space="preserve"> (2003) 111 Cal.App.4th 1099, 1104</w:t>
      </w:r>
      <w:r w:rsidR="005C5A20">
        <w:t xml:space="preserve"> </w:t>
      </w:r>
      <w:r w:rsidR="00D96D74" w:rsidRPr="00D96D74">
        <w:t>(</w:t>
      </w:r>
      <w:r w:rsidR="00D96D74" w:rsidRPr="005C5A20">
        <w:rPr>
          <w:i/>
          <w:iCs/>
        </w:rPr>
        <w:t>Lindelli</w:t>
      </w:r>
      <w:r w:rsidR="00D96D74" w:rsidRPr="00D96D74">
        <w:t>).)</w:t>
      </w:r>
    </w:p>
    <w:p w14:paraId="5865A5F1" w14:textId="423BB6C1" w:rsidR="007D4D04" w:rsidRDefault="00A27E48" w:rsidP="000E5549">
      <w:pPr>
        <w:spacing w:line="360" w:lineRule="auto"/>
      </w:pPr>
      <w:r>
        <w:t>I</w:t>
      </w:r>
      <w:r w:rsidR="00673057">
        <w:t>I.</w:t>
      </w:r>
      <w:r w:rsidR="00673057">
        <w:tab/>
      </w:r>
      <w:r w:rsidR="007D4D04" w:rsidRPr="007D4D04">
        <w:rPr>
          <w:i/>
          <w:iCs/>
        </w:rPr>
        <w:t>Referendum Process and Judicial Review</w:t>
      </w:r>
    </w:p>
    <w:p w14:paraId="1DE4D8A0" w14:textId="7DBD4C57" w:rsidR="00031789" w:rsidRDefault="000E5549" w:rsidP="00031789">
      <w:pPr>
        <w:spacing w:line="360" w:lineRule="auto"/>
      </w:pPr>
      <w:r>
        <w:tab/>
      </w:r>
      <w:r w:rsidR="00031789">
        <w:t>“Under the California Constitution, ‘[t]he legislative power of this State is vested in the California Legislature . . . but the people reserve to themselves the powers of initiative and referendum.’  (Cal. Const., art. IV, §</w:t>
      </w:r>
      <w:r w:rsidR="00F5641E">
        <w:t> </w:t>
      </w:r>
      <w:r w:rsidR="00031789">
        <w:t xml:space="preserve">1.) </w:t>
      </w:r>
      <w:r w:rsidR="00E967D5">
        <w:t>. . .</w:t>
      </w:r>
      <w:r w:rsidR="00031789">
        <w:t xml:space="preserve"> The initiative power allows voters to propose new measures and place them on the ballot for a popular vote.  If the measure is approved by popular vote, it becomes law.  (Cal. Const., art. II, </w:t>
      </w:r>
      <w:r w:rsidR="00A858C8">
        <w:t>§</w:t>
      </w:r>
      <w:r w:rsidR="00031789">
        <w:t>§ 8</w:t>
      </w:r>
      <w:r w:rsidR="00A858C8">
        <w:t>,</w:t>
      </w:r>
      <w:r w:rsidR="00031789">
        <w:t xml:space="preserve"> 10, subd. (a).)  The referendum power, by contrast, allows voters to weigh in on laws that have already been passed by their elected representatives.  Any voter or group of voters that gathers enough signatures can place a legislative enactment on the ballot for an up or down vote.  A referendum suspends operation of the law until it is approved by a majority of voters.”  (</w:t>
      </w:r>
      <w:r w:rsidR="00031789" w:rsidRPr="00031789">
        <w:rPr>
          <w:i/>
          <w:iCs/>
        </w:rPr>
        <w:t>Wilde v. City of Dunsmuir</w:t>
      </w:r>
      <w:r w:rsidR="00031789">
        <w:t xml:space="preserve"> (2020) 9 Cal.5th 1105, 1111.)</w:t>
      </w:r>
    </w:p>
    <w:p w14:paraId="76C85791" w14:textId="6FFBCD0A" w:rsidR="00C1148E" w:rsidRDefault="00031789" w:rsidP="00031789">
      <w:pPr>
        <w:spacing w:line="360" w:lineRule="auto"/>
      </w:pPr>
      <w:r>
        <w:tab/>
      </w:r>
      <w:r w:rsidR="000E5549">
        <w:t xml:space="preserve">“Under </w:t>
      </w:r>
      <w:r w:rsidR="00BF5FEC">
        <w:t>[]</w:t>
      </w:r>
      <w:r w:rsidR="000E5549">
        <w:t xml:space="preserve"> section 9237, if a petition protesting the adoption of an ordinance is signed by more than 10 percent of the voters of the city, </w:t>
      </w:r>
      <w:r w:rsidR="00783151">
        <w:t>‘</w:t>
      </w:r>
      <w:r w:rsidR="000E5549">
        <w:t>the effective date of the ordinance shall be suspended and the legislative body shall reconsider the ordinance.</w:t>
      </w:r>
      <w:r w:rsidR="00783151">
        <w:t xml:space="preserve">’ </w:t>
      </w:r>
      <w:r w:rsidR="000E5549">
        <w:t xml:space="preserve"> If the legislative body does not repeal the ordinance, then it </w:t>
      </w:r>
      <w:r w:rsidR="00783151">
        <w:t>‘</w:t>
      </w:r>
      <w:r w:rsidR="000E5549">
        <w:t>shall submit the ordinance to the voters</w:t>
      </w:r>
      <w:r w:rsidR="00783151">
        <w:t>’</w:t>
      </w:r>
      <w:r w:rsidR="000E5549">
        <w:t xml:space="preserve"> and </w:t>
      </w:r>
      <w:r w:rsidR="00783151">
        <w:t>‘</w:t>
      </w:r>
      <w:r w:rsidR="000E5549">
        <w:t>[t]he ordinance shall not become effective until a majority of the voters voting on the ordinance vote in favor of it.</w:t>
      </w:r>
      <w:r w:rsidR="00783151">
        <w:t>’</w:t>
      </w:r>
      <w:r w:rsidR="000E5549">
        <w:t xml:space="preserve"> </w:t>
      </w:r>
      <w:r w:rsidR="00783151">
        <w:t xml:space="preserve"> </w:t>
      </w:r>
      <w:r w:rsidR="000E5549">
        <w:t>(</w:t>
      </w:r>
      <w:r w:rsidR="00BF5FEC">
        <w:t>[]</w:t>
      </w:r>
      <w:r w:rsidR="000E5549">
        <w:t xml:space="preserve">§ 9241.) </w:t>
      </w:r>
      <w:r w:rsidR="00783151">
        <w:t xml:space="preserve"> </w:t>
      </w:r>
      <w:r w:rsidR="000E5549">
        <w:t xml:space="preserve">Local governments are not </w:t>
      </w:r>
      <w:r w:rsidR="000E5549">
        <w:lastRenderedPageBreak/>
        <w:t xml:space="preserve">empowered to exercise discretion in determining whether a duly certified referendum is placed on the ballot. </w:t>
      </w:r>
      <w:r w:rsidR="00783151">
        <w:t xml:space="preserve"> [Citation</w:t>
      </w:r>
      <w:r w:rsidR="00A858C8">
        <w:t>s</w:t>
      </w:r>
      <w:r w:rsidR="00783151">
        <w:t xml:space="preserve">.]  </w:t>
      </w:r>
      <w:r w:rsidR="000E5549">
        <w:t>If the local government believes an initiative or referendum is unlawful and should not be presented to voters, it should file a petition for a writ of mandate seeking to remove it from the ballot.</w:t>
      </w:r>
      <w:r w:rsidR="002A1E12">
        <w:t>”  (</w:t>
      </w:r>
      <w:r w:rsidR="000E5549" w:rsidRPr="002A1E12">
        <w:rPr>
          <w:i/>
          <w:iCs/>
        </w:rPr>
        <w:t>Save Lafayette v. City of Lafayette</w:t>
      </w:r>
      <w:r w:rsidR="002A1E12">
        <w:t xml:space="preserve"> (2018)</w:t>
      </w:r>
      <w:r w:rsidR="000E5549">
        <w:t xml:space="preserve"> 20 Cal.App.5th 657, 663</w:t>
      </w:r>
      <w:r w:rsidR="004975AB">
        <w:t xml:space="preserve"> (</w:t>
      </w:r>
      <w:r w:rsidR="004975AB">
        <w:rPr>
          <w:i/>
          <w:iCs/>
        </w:rPr>
        <w:t>Save Lafayette</w:t>
      </w:r>
      <w:r w:rsidR="004975AB">
        <w:t>)</w:t>
      </w:r>
      <w:r w:rsidR="00956C80">
        <w:t xml:space="preserve">; see also </w:t>
      </w:r>
      <w:r w:rsidR="00956C80" w:rsidRPr="000662A6">
        <w:rPr>
          <w:i/>
          <w:iCs/>
        </w:rPr>
        <w:t>Friends of Bay Meadows v. City of San Mateo</w:t>
      </w:r>
      <w:r w:rsidR="00956C80">
        <w:t xml:space="preserve"> (2007) 157 Cal.App.4th 1175, </w:t>
      </w:r>
      <w:r w:rsidR="00C64FA2">
        <w:t>1185</w:t>
      </w:r>
      <w:r w:rsidR="00ED7F7F">
        <w:t>–1186</w:t>
      </w:r>
      <w:r w:rsidR="00C64FA2">
        <w:t xml:space="preserve"> (</w:t>
      </w:r>
      <w:r w:rsidR="00C64FA2">
        <w:rPr>
          <w:i/>
          <w:iCs/>
        </w:rPr>
        <w:t>Bay Meadows</w:t>
      </w:r>
      <w:r w:rsidR="00C64FA2">
        <w:t>)</w:t>
      </w:r>
      <w:r w:rsidR="002A1E12">
        <w:t>.)</w:t>
      </w:r>
      <w:r w:rsidR="00092ACE">
        <w:rPr>
          <w:rStyle w:val="FootnoteReference"/>
        </w:rPr>
        <w:footnoteReference w:id="5"/>
      </w:r>
    </w:p>
    <w:p w14:paraId="7B1FD0C7" w14:textId="3C68D152" w:rsidR="004975AB" w:rsidRDefault="00406196" w:rsidP="004975AB">
      <w:pPr>
        <w:spacing w:line="360" w:lineRule="auto"/>
      </w:pPr>
      <w:r>
        <w:tab/>
        <w:t xml:space="preserve">Although the law is clear that </w:t>
      </w:r>
      <w:r w:rsidR="00686435">
        <w:t xml:space="preserve">local governments are not permitted to </w:t>
      </w:r>
      <w:r w:rsidR="004F3901">
        <w:t xml:space="preserve">refuse to process a referendum due to </w:t>
      </w:r>
      <w:r w:rsidR="00486535">
        <w:t xml:space="preserve">concerns about its validity, </w:t>
      </w:r>
      <w:r w:rsidR="00B27DA1">
        <w:t>“[i]</w:t>
      </w:r>
      <w:r>
        <w:t xml:space="preserve">n practice, and in the interest of equity and judicial economy, courts have allowed local governments to assert such invalidity as a </w:t>
      </w:r>
      <w:r w:rsidR="00B27DA1">
        <w:t>‘</w:t>
      </w:r>
      <w:r>
        <w:t>defense</w:t>
      </w:r>
      <w:r w:rsidR="00B27DA1">
        <w:t>’</w:t>
      </w:r>
      <w:r>
        <w:t xml:space="preserve"> in the original writ proceeding. </w:t>
      </w:r>
      <w:r w:rsidR="00B27DA1">
        <w:t xml:space="preserve"> [Citation.]  </w:t>
      </w:r>
      <w:r>
        <w:t xml:space="preserve">But in doing so, neither courts nor litigants should lose sight of the fact that the burden of establishing this </w:t>
      </w:r>
      <w:r w:rsidR="00B27DA1">
        <w:t>‘</w:t>
      </w:r>
      <w:r>
        <w:t>defense</w:t>
      </w:r>
      <w:r w:rsidR="00B27DA1">
        <w:t>’</w:t>
      </w:r>
      <w:r>
        <w:t xml:space="preserve"> falls squarely on the entity or person asserting the</w:t>
      </w:r>
      <w:r w:rsidR="00B27DA1">
        <w:t xml:space="preserve">” referendum’s </w:t>
      </w:r>
      <w:r>
        <w:t>invalidity.</w:t>
      </w:r>
      <w:r w:rsidR="00B27DA1">
        <w:t xml:space="preserve">  (</w:t>
      </w:r>
      <w:r w:rsidR="00092ACE" w:rsidRPr="00FB6FE9">
        <w:rPr>
          <w:i/>
          <w:iCs/>
        </w:rPr>
        <w:t>Save Stanislaus</w:t>
      </w:r>
      <w:r w:rsidR="00092ACE">
        <w:t xml:space="preserve">, </w:t>
      </w:r>
      <w:r w:rsidR="00092ACE">
        <w:rPr>
          <w:i/>
          <w:iCs/>
        </w:rPr>
        <w:t>supra</w:t>
      </w:r>
      <w:r w:rsidR="00092ACE">
        <w:t>, 13 Cal.App.4th at p. 150</w:t>
      </w:r>
      <w:r w:rsidR="00B27DA1">
        <w:t>.</w:t>
      </w:r>
      <w:r>
        <w:t>)</w:t>
      </w:r>
      <w:r w:rsidR="00B27DA1">
        <w:t xml:space="preserve">  The standard for such “</w:t>
      </w:r>
      <w:r w:rsidR="004975AB">
        <w:t>preelection review</w:t>
      </w:r>
      <w:r w:rsidR="00B27DA1">
        <w:t>”</w:t>
      </w:r>
      <w:r w:rsidR="004975AB">
        <w:t xml:space="preserve"> of a</w:t>
      </w:r>
      <w:r w:rsidR="00B27DA1">
        <w:t xml:space="preserve"> refer</w:t>
      </w:r>
      <w:r w:rsidR="00AF31C9">
        <w:t>endum</w:t>
      </w:r>
      <w:r w:rsidR="00B27DA1">
        <w:t xml:space="preserve"> “</w:t>
      </w:r>
      <w:r w:rsidR="004975AB">
        <w:t xml:space="preserve">is one of great deference where </w:t>
      </w:r>
      <w:r w:rsidR="00AF31C9">
        <w:lastRenderedPageBreak/>
        <w:t>‘</w:t>
      </w:r>
      <w:r w:rsidR="004975AB">
        <w:t>a court will remove an initiative</w:t>
      </w:r>
      <w:r w:rsidR="00AF31C9">
        <w:t xml:space="preserve"> [or referendum]</w:t>
      </w:r>
      <w:r w:rsidR="004975AB">
        <w:t xml:space="preserve"> from the ballot only </w:t>
      </w:r>
      <w:r w:rsidR="00AF31C9">
        <w:t>“</w:t>
      </w:r>
      <w:r w:rsidR="004975AB">
        <w:t>on a compelling showing that a proper case has been established for interfering.</w:t>
      </w:r>
      <w:r w:rsidR="00AF31C9">
        <w:t xml:space="preserve">” </w:t>
      </w:r>
      <w:r w:rsidR="004975AB">
        <w:t xml:space="preserve">’ </w:t>
      </w:r>
      <w:r w:rsidR="00AF31C9">
        <w:t xml:space="preserve"> [Citation.]</w:t>
      </w:r>
      <w:r w:rsidR="006C54EC">
        <w:t xml:space="preserve">  </w:t>
      </w:r>
      <w:r w:rsidR="004975AB">
        <w:t xml:space="preserve">If a city refuses to place a referendum on the ballot, </w:t>
      </w:r>
      <w:r w:rsidR="006C54EC">
        <w:t>‘</w:t>
      </w:r>
      <w:r w:rsidR="004975AB">
        <w:t>this refusal—improper as it is—may be retroactively validated by a judicial declaration that the measure should not be submitted to the voters.</w:t>
      </w:r>
      <w:r w:rsidR="006C54EC">
        <w:t>’ ”  (</w:t>
      </w:r>
      <w:r w:rsidR="006C54EC" w:rsidRPr="002A1E12">
        <w:rPr>
          <w:i/>
          <w:iCs/>
        </w:rPr>
        <w:t>Save Lafayette</w:t>
      </w:r>
      <w:r w:rsidR="006C54EC">
        <w:t xml:space="preserve">, </w:t>
      </w:r>
      <w:r w:rsidR="006C54EC">
        <w:rPr>
          <w:i/>
          <w:iCs/>
        </w:rPr>
        <w:t>supra</w:t>
      </w:r>
      <w:r w:rsidR="006C54EC">
        <w:t>, 20 Cal.App.5th at p</w:t>
      </w:r>
      <w:r w:rsidR="000F309A">
        <w:t>p</w:t>
      </w:r>
      <w:r w:rsidR="006C54EC">
        <w:t xml:space="preserve">. </w:t>
      </w:r>
      <w:r w:rsidR="000F309A">
        <w:t>663–664.)</w:t>
      </w:r>
    </w:p>
    <w:p w14:paraId="558E73BC" w14:textId="01282D90" w:rsidR="00496824" w:rsidRDefault="00496824" w:rsidP="00854039">
      <w:pPr>
        <w:spacing w:line="360" w:lineRule="auto"/>
      </w:pPr>
      <w:r>
        <w:tab/>
        <w:t xml:space="preserve">“The Constitution ‘speaks of the initiative and referendum, not as a right granted the people, but as a power reserved by them.’  [Citation.]  Since then, courts have consistently declared it their duty to ‘ “jealously guard” ’ and liberally construe the right so that it ‘ “be not improperly annulled.” ’ </w:t>
      </w:r>
      <w:r w:rsidR="001F0ABE">
        <w:t xml:space="preserve"> [Citation.]  </w:t>
      </w:r>
      <w:r>
        <w:t>Moreover, when weighing the tradeoffs associated with the initiative</w:t>
      </w:r>
      <w:r w:rsidR="00854039">
        <w:t xml:space="preserve"> [or referendum]</w:t>
      </w:r>
      <w:r>
        <w:t xml:space="preserve"> power, we have acknowledged the obligation to resolve doubts in favor of the exercise of the right whenever possible.</w:t>
      </w:r>
      <w:r w:rsidR="001F0ABE">
        <w:t>”  (</w:t>
      </w:r>
      <w:r w:rsidRPr="001F0ABE">
        <w:rPr>
          <w:i/>
          <w:iCs/>
        </w:rPr>
        <w:t>California Cannabis Coal. v. City of Upland</w:t>
      </w:r>
      <w:r w:rsidR="001F0ABE">
        <w:t xml:space="preserve"> (2017)</w:t>
      </w:r>
      <w:r>
        <w:t xml:space="preserve"> 3 Cal.5th 924, 934</w:t>
      </w:r>
      <w:r w:rsidR="00854039">
        <w:t xml:space="preserve">; see also </w:t>
      </w:r>
      <w:r w:rsidR="00854039" w:rsidRPr="00854039">
        <w:rPr>
          <w:i/>
          <w:iCs/>
        </w:rPr>
        <w:t>Associated Home Builders etc., Inc. v. City of Livermore</w:t>
      </w:r>
      <w:r w:rsidR="00854039">
        <w:t xml:space="preserve"> (1976) 18 Cal.3d 582, 591</w:t>
      </w:r>
      <w:r w:rsidR="00613A2F">
        <w:t xml:space="preserve"> (</w:t>
      </w:r>
      <w:r w:rsidR="00613A2F" w:rsidRPr="00854039">
        <w:rPr>
          <w:i/>
          <w:iCs/>
        </w:rPr>
        <w:t>Associated Home Builders</w:t>
      </w:r>
      <w:r w:rsidR="00613A2F">
        <w:t>)</w:t>
      </w:r>
      <w:r w:rsidR="00854039">
        <w:t>.)</w:t>
      </w:r>
    </w:p>
    <w:p w14:paraId="36482674" w14:textId="462FE209" w:rsidR="004A189C" w:rsidRDefault="004A189C" w:rsidP="000662A6">
      <w:pPr>
        <w:spacing w:line="360" w:lineRule="auto"/>
      </w:pPr>
      <w:r>
        <w:tab/>
        <w:t xml:space="preserve">Respondents appear to argue the City Clerk’s action was </w:t>
      </w:r>
      <w:r>
        <w:rPr>
          <w:i/>
          <w:iCs/>
        </w:rPr>
        <w:t>not</w:t>
      </w:r>
      <w:r>
        <w:t xml:space="preserve"> unlawful because the </w:t>
      </w:r>
      <w:r w:rsidR="00222ACC">
        <w:t xml:space="preserve">superior </w:t>
      </w:r>
      <w:r>
        <w:t xml:space="preserve">court subsequently agreed the proposed referendum was invalid.  They are mistaken.  An </w:t>
      </w:r>
      <w:r w:rsidRPr="00ED1E83">
        <w:t xml:space="preserve">election official </w:t>
      </w:r>
      <w:r>
        <w:t>may not “</w:t>
      </w:r>
      <w:r w:rsidRPr="00ED1E83">
        <w:t xml:space="preserve">refuse to submit an initiative </w:t>
      </w:r>
      <w:r>
        <w:t xml:space="preserve">[or referendum] </w:t>
      </w:r>
      <w:r w:rsidRPr="00ED1E83">
        <w:t>measure to the electorate on the ground that it deals with a matter not subject to the initiative</w:t>
      </w:r>
      <w:r>
        <w:t xml:space="preserve"> [or referendum].”  (</w:t>
      </w:r>
      <w:r w:rsidRPr="00532A4A">
        <w:rPr>
          <w:i/>
          <w:iCs/>
        </w:rPr>
        <w:t>Farley v. Healey</w:t>
      </w:r>
      <w:r>
        <w:t xml:space="preserve"> (1967) 67 Cal.2d 325, 327;</w:t>
      </w:r>
      <w:r w:rsidR="00295F40">
        <w:t xml:space="preserve"> accord </w:t>
      </w:r>
      <w:r w:rsidR="00295F40" w:rsidRPr="00374C7C">
        <w:rPr>
          <w:i/>
          <w:iCs/>
        </w:rPr>
        <w:t>Yost</w:t>
      </w:r>
      <w:r w:rsidR="00295F40">
        <w:t xml:space="preserve">, </w:t>
      </w:r>
      <w:r w:rsidR="00295F40">
        <w:rPr>
          <w:i/>
          <w:iCs/>
        </w:rPr>
        <w:t>supra</w:t>
      </w:r>
      <w:r w:rsidR="00295F40">
        <w:t>,</w:t>
      </w:r>
      <w:r w:rsidR="00295F40" w:rsidRPr="00374C7C">
        <w:rPr>
          <w:i/>
          <w:iCs/>
        </w:rPr>
        <w:t xml:space="preserve"> </w:t>
      </w:r>
      <w:r w:rsidR="00295F40">
        <w:t>36 Cal.3d at p. 564, fn. 2 [</w:t>
      </w:r>
      <w:r w:rsidR="00CF7111">
        <w:t xml:space="preserve">following </w:t>
      </w:r>
      <w:r w:rsidR="00CF7111">
        <w:rPr>
          <w:i/>
          <w:iCs/>
        </w:rPr>
        <w:t>Farley</w:t>
      </w:r>
      <w:r w:rsidR="00CF7111">
        <w:t xml:space="preserve"> in referendum context];</w:t>
      </w:r>
      <w:r>
        <w:t xml:space="preserve"> see also</w:t>
      </w:r>
      <w:r w:rsidR="000662A6">
        <w:t xml:space="preserve"> </w:t>
      </w:r>
      <w:r w:rsidR="000662A6" w:rsidRPr="000662A6">
        <w:rPr>
          <w:i/>
          <w:iCs/>
        </w:rPr>
        <w:t>Bay Meadows</w:t>
      </w:r>
      <w:r w:rsidR="001C50B5">
        <w:t xml:space="preserve">, </w:t>
      </w:r>
      <w:r w:rsidR="001C50B5">
        <w:rPr>
          <w:i/>
          <w:iCs/>
        </w:rPr>
        <w:t>supra</w:t>
      </w:r>
      <w:r w:rsidR="001C50B5">
        <w:t xml:space="preserve">, </w:t>
      </w:r>
      <w:r w:rsidR="000662A6">
        <w:t>157</w:t>
      </w:r>
      <w:r w:rsidR="0023450E">
        <w:t> </w:t>
      </w:r>
      <w:r w:rsidR="000662A6">
        <w:t xml:space="preserve">Cal.App.4th </w:t>
      </w:r>
      <w:r w:rsidR="001C50B5">
        <w:t xml:space="preserve">at p. </w:t>
      </w:r>
      <w:r w:rsidR="000662A6">
        <w:t>1187 [“The role of the election official is meant to be as impersonal as possible.  There is to be no concern with whether a referendum ‘will be valid if enacted.’ ”]</w:t>
      </w:r>
      <w:r>
        <w:t>.)</w:t>
      </w:r>
      <w:r w:rsidR="003A548A">
        <w:t xml:space="preserve">  Rather, “In certifying a referendum petition, a clerk’s duty is limited to the ministerial function of determining whether the </w:t>
      </w:r>
      <w:r w:rsidR="003A548A">
        <w:lastRenderedPageBreak/>
        <w:t>procedural requirements have been met.”  (</w:t>
      </w:r>
      <w:r w:rsidR="003A548A" w:rsidRPr="003A548A">
        <w:rPr>
          <w:i/>
          <w:iCs/>
        </w:rPr>
        <w:t>Lin v. City of Pleasanton</w:t>
      </w:r>
      <w:r w:rsidR="003A548A">
        <w:t xml:space="preserve"> (2009) 175 Cal.App.4th 1143, </w:t>
      </w:r>
      <w:r w:rsidR="00A858C8">
        <w:t xml:space="preserve">1155 </w:t>
      </w:r>
      <w:r w:rsidR="003A548A">
        <w:t>(2009).)</w:t>
      </w:r>
      <w:r>
        <w:t xml:space="preserve">  The case respondents rely upon, </w:t>
      </w:r>
      <w:r w:rsidRPr="001360C9">
        <w:rPr>
          <w:i/>
          <w:iCs/>
        </w:rPr>
        <w:t>Am. Fed</w:t>
      </w:r>
      <w:r>
        <w:rPr>
          <w:i/>
          <w:iCs/>
        </w:rPr>
        <w:t>’</w:t>
      </w:r>
      <w:r w:rsidRPr="001360C9">
        <w:rPr>
          <w:i/>
          <w:iCs/>
        </w:rPr>
        <w:t>n of Lab. v. Eu</w:t>
      </w:r>
      <w:r>
        <w:t xml:space="preserve"> (1984) 36 Cal.3d 687, is not to the contrary.  Th</w:t>
      </w:r>
      <w:r w:rsidR="00E60507">
        <w:t>at case did not involve a local government’s refusal to process a</w:t>
      </w:r>
      <w:r w:rsidR="007628B1">
        <w:t xml:space="preserve"> </w:t>
      </w:r>
      <w:r w:rsidR="00E60507">
        <w:t xml:space="preserve">petition; instead, </w:t>
      </w:r>
      <w:r>
        <w:t xml:space="preserve">opponents of </w:t>
      </w:r>
      <w:r w:rsidR="001D0258">
        <w:t>an</w:t>
      </w:r>
      <w:r w:rsidR="002F2BAA">
        <w:t xml:space="preserve"> </w:t>
      </w:r>
      <w:r>
        <w:t xml:space="preserve">initiative filed </w:t>
      </w:r>
      <w:r w:rsidR="002F2BAA">
        <w:t xml:space="preserve">an </w:t>
      </w:r>
      <w:r>
        <w:t xml:space="preserve">action to prevent </w:t>
      </w:r>
      <w:r w:rsidR="002F2BAA">
        <w:t>it</w:t>
      </w:r>
      <w:r>
        <w:t xml:space="preserve"> from appearing on </w:t>
      </w:r>
      <w:r w:rsidR="00150FC7">
        <w:t xml:space="preserve">the </w:t>
      </w:r>
      <w:r>
        <w:t>ballot.  (</w:t>
      </w:r>
      <w:r w:rsidRPr="00744148">
        <w:rPr>
          <w:i/>
          <w:iCs/>
        </w:rPr>
        <w:t>Id.</w:t>
      </w:r>
      <w:r>
        <w:t xml:space="preserve"> at p. 694.)</w:t>
      </w:r>
    </w:p>
    <w:p w14:paraId="1C86E510" w14:textId="051DF988" w:rsidR="007D4D04" w:rsidRDefault="007D4D04" w:rsidP="00EB4EA7">
      <w:pPr>
        <w:spacing w:line="360" w:lineRule="auto"/>
      </w:pPr>
      <w:r>
        <w:tab/>
        <w:t>In the present case</w:t>
      </w:r>
      <w:r w:rsidR="000F309A">
        <w:t>,</w:t>
      </w:r>
      <w:r>
        <w:t xml:space="preserve"> </w:t>
      </w:r>
      <w:r w:rsidR="009967B9">
        <w:t xml:space="preserve">the </w:t>
      </w:r>
      <w:r w:rsidR="00EB1720">
        <w:t xml:space="preserve">City Clerk </w:t>
      </w:r>
      <w:r w:rsidR="009967B9">
        <w:t xml:space="preserve">made a </w:t>
      </w:r>
      <w:r w:rsidR="00F95472">
        <w:t>determination “</w:t>
      </w:r>
      <w:r w:rsidR="00F95472" w:rsidRPr="00072286">
        <w:t>that the number of signatures, prima facie, equals or is in excess of the minimum number of signatures required</w:t>
      </w:r>
      <w:r w:rsidR="005E28B7">
        <w:t>.”  (</w:t>
      </w:r>
      <w:r w:rsidR="005E28B7" w:rsidRPr="00072286">
        <w:t>§ 9210, subd. (b)</w:t>
      </w:r>
      <w:r w:rsidR="005E28B7">
        <w:t xml:space="preserve">.)  </w:t>
      </w:r>
      <w:r w:rsidR="00905DF5">
        <w:t>I</w:t>
      </w:r>
      <w:r w:rsidR="00CB3AFF">
        <w:t>n</w:t>
      </w:r>
      <w:r w:rsidR="00905DF5">
        <w:t xml:space="preserve"> these circumstances, </w:t>
      </w:r>
      <w:r w:rsidR="00CB3AFF">
        <w:t xml:space="preserve">the </w:t>
      </w:r>
      <w:r w:rsidR="00697351">
        <w:t xml:space="preserve">law </w:t>
      </w:r>
      <w:r w:rsidR="00CB3AFF">
        <w:t xml:space="preserve">directs that the </w:t>
      </w:r>
      <w:r w:rsidR="00EB1720">
        <w:t xml:space="preserve">clerk </w:t>
      </w:r>
      <w:r w:rsidR="00CB3AFF">
        <w:t xml:space="preserve">“shall </w:t>
      </w:r>
      <w:r w:rsidR="00F95472" w:rsidRPr="00072286">
        <w:t>accept the petition for filing”</w:t>
      </w:r>
      <w:r w:rsidR="00EB1720">
        <w:t xml:space="preserve"> </w:t>
      </w:r>
      <w:r w:rsidR="00F95472" w:rsidRPr="00072286">
        <w:t>(</w:t>
      </w:r>
      <w:r w:rsidR="00697351" w:rsidRPr="00072286">
        <w:t>§ 9210, subd. (b)</w:t>
      </w:r>
      <w:r w:rsidR="00EB1720">
        <w:t>)</w:t>
      </w:r>
      <w:r w:rsidR="00B55E23">
        <w:t xml:space="preserve"> </w:t>
      </w:r>
      <w:r w:rsidR="00697351">
        <w:t xml:space="preserve">and </w:t>
      </w:r>
      <w:r w:rsidR="00B55E23">
        <w:t xml:space="preserve">then </w:t>
      </w:r>
      <w:r w:rsidR="00264193">
        <w:t xml:space="preserve">“shall </w:t>
      </w:r>
      <w:r w:rsidR="00B55E23" w:rsidRPr="00B55E23">
        <w:t>examine the petition and certify the result</w:t>
      </w:r>
      <w:r w:rsidR="0022587A">
        <w:t>s” pursuant to statutory procedures (</w:t>
      </w:r>
      <w:r w:rsidR="0022587A" w:rsidRPr="0022587A">
        <w:t>§ 9240</w:t>
      </w:r>
      <w:r w:rsidR="0022587A">
        <w:t>).</w:t>
      </w:r>
      <w:r w:rsidR="00656214">
        <w:rPr>
          <w:rStyle w:val="FootnoteReference"/>
        </w:rPr>
        <w:footnoteReference w:id="6"/>
      </w:r>
      <w:r w:rsidR="00BF16B9">
        <w:t xml:space="preserve">  “</w:t>
      </w:r>
      <w:r w:rsidR="00BF16B9" w:rsidRPr="00BF16B9">
        <w:t>The word ‘shall’ indicates a mandatory or ministerial duty.”</w:t>
      </w:r>
      <w:r w:rsidR="0022587A">
        <w:t xml:space="preserve">  </w:t>
      </w:r>
      <w:r w:rsidR="00BF16B9">
        <w:t>(</w:t>
      </w:r>
      <w:r w:rsidR="00BF16B9" w:rsidRPr="00513D5E">
        <w:rPr>
          <w:i/>
          <w:iCs/>
        </w:rPr>
        <w:t>Lazan v. Cnty. of Riverside</w:t>
      </w:r>
      <w:r w:rsidR="00BF16B9" w:rsidRPr="00BF16B9">
        <w:t xml:space="preserve"> (2006) 140 Cal.App.4th 453, 460</w:t>
      </w:r>
      <w:r w:rsidR="00BF16B9">
        <w:t xml:space="preserve">.)  But, instead of complying with her statutory obligations, the City </w:t>
      </w:r>
      <w:r>
        <w:t>Clerk</w:t>
      </w:r>
      <w:r w:rsidR="00EB4EA7">
        <w:t xml:space="preserve"> </w:t>
      </w:r>
      <w:r w:rsidR="00AC7CDD">
        <w:t xml:space="preserve">refused to process the referendum petition based </w:t>
      </w:r>
      <w:r w:rsidR="00AC7CDD">
        <w:lastRenderedPageBreak/>
        <w:t xml:space="preserve">on </w:t>
      </w:r>
      <w:r w:rsidR="00515D47">
        <w:t>legal</w:t>
      </w:r>
      <w:r w:rsidR="00AC7CDD">
        <w:t xml:space="preserve"> </w:t>
      </w:r>
      <w:r w:rsidR="00707C04">
        <w:t>advice</w:t>
      </w:r>
      <w:r w:rsidR="00AC7CDD">
        <w:t xml:space="preserve"> that the Resolution was not subject to the referendum power.  </w:t>
      </w:r>
      <w:r w:rsidR="00790C87">
        <w:t xml:space="preserve">In doing so, the City Clerk </w:t>
      </w:r>
      <w:r w:rsidR="000F1955">
        <w:t xml:space="preserve">violated her duties under the Elections Code.  </w:t>
      </w:r>
      <w:r w:rsidR="00CC03D3">
        <w:t>“</w:t>
      </w:r>
      <w:r w:rsidR="00A858C8">
        <w:t> ‘</w:t>
      </w:r>
      <w:r w:rsidR="009C4602">
        <w:t>I</w:t>
      </w:r>
      <w:r w:rsidR="00CC03D3">
        <w:t>mproper as</w:t>
      </w:r>
      <w:r w:rsidR="00A858C8">
        <w:t>’ </w:t>
      </w:r>
      <w:r w:rsidR="00CC03D3">
        <w:t>” the clerk’s conduct was</w:t>
      </w:r>
      <w:r w:rsidR="009C4602">
        <w:t xml:space="preserve">, </w:t>
      </w:r>
      <w:r w:rsidR="000F1955">
        <w:t>w</w:t>
      </w:r>
      <w:r>
        <w:t xml:space="preserve">e </w:t>
      </w:r>
      <w:r w:rsidR="009C4602">
        <w:t xml:space="preserve">nevertheless </w:t>
      </w:r>
      <w:r>
        <w:t xml:space="preserve">proceed to the question of whether the City has made a </w:t>
      </w:r>
      <w:r w:rsidR="0041304B">
        <w:t>“ ‘ “</w:t>
      </w:r>
      <w:r>
        <w:t>compelling showing</w:t>
      </w:r>
      <w:r w:rsidR="0041304B">
        <w:t xml:space="preserve">” ’ ” </w:t>
      </w:r>
      <w:r w:rsidR="0022624A">
        <w:t>that the proposed referendum “</w:t>
      </w:r>
      <w:r w:rsidR="00A858C8">
        <w:t> ‘</w:t>
      </w:r>
      <w:r w:rsidR="0022624A">
        <w:t>should not be submitted to the voters.</w:t>
      </w:r>
      <w:r w:rsidR="00A858C8">
        <w:t>’ </w:t>
      </w:r>
      <w:r w:rsidR="0022624A">
        <w:t>”  (</w:t>
      </w:r>
      <w:r w:rsidR="0022624A" w:rsidRPr="002A1E12">
        <w:rPr>
          <w:i/>
          <w:iCs/>
        </w:rPr>
        <w:t>Save Lafayette</w:t>
      </w:r>
      <w:r w:rsidR="0022624A">
        <w:t xml:space="preserve">, </w:t>
      </w:r>
      <w:r w:rsidR="0022624A">
        <w:rPr>
          <w:i/>
          <w:iCs/>
        </w:rPr>
        <w:t>supra</w:t>
      </w:r>
      <w:r w:rsidR="0022624A">
        <w:t>, 20 Cal.App.5th at pp. 663–664).</w:t>
      </w:r>
    </w:p>
    <w:p w14:paraId="5B9A0D85" w14:textId="784EB0B9" w:rsidR="000D5EEB" w:rsidRDefault="00A028CE" w:rsidP="004975AB">
      <w:pPr>
        <w:spacing w:line="360" w:lineRule="auto"/>
        <w:rPr>
          <w:i/>
          <w:iCs/>
        </w:rPr>
      </w:pPr>
      <w:r>
        <w:t>II</w:t>
      </w:r>
      <w:r w:rsidR="00962361">
        <w:t>I</w:t>
      </w:r>
      <w:r>
        <w:t xml:space="preserve">. </w:t>
      </w:r>
      <w:r>
        <w:tab/>
      </w:r>
      <w:r w:rsidR="0067546C">
        <w:rPr>
          <w:i/>
          <w:iCs/>
        </w:rPr>
        <w:t xml:space="preserve">Due to The </w:t>
      </w:r>
      <w:r w:rsidR="00CF6E44">
        <w:rPr>
          <w:i/>
          <w:iCs/>
        </w:rPr>
        <w:t xml:space="preserve">Policy Decision to </w:t>
      </w:r>
      <w:r w:rsidR="00C35541">
        <w:rPr>
          <w:i/>
          <w:iCs/>
        </w:rPr>
        <w:t xml:space="preserve">Construct and Improve </w:t>
      </w:r>
      <w:r w:rsidR="00CF6E44">
        <w:rPr>
          <w:i/>
          <w:iCs/>
        </w:rPr>
        <w:t>Veteran</w:t>
      </w:r>
      <w:r w:rsidR="00C35541">
        <w:rPr>
          <w:i/>
          <w:iCs/>
        </w:rPr>
        <w:t>’</w:t>
      </w:r>
      <w:r w:rsidR="00CF6E44">
        <w:rPr>
          <w:i/>
          <w:iCs/>
        </w:rPr>
        <w:t>s</w:t>
      </w:r>
      <w:r w:rsidR="0067546C">
        <w:rPr>
          <w:i/>
          <w:iCs/>
        </w:rPr>
        <w:t xml:space="preserve"> </w:t>
      </w:r>
      <w:r w:rsidR="00CF6E44">
        <w:rPr>
          <w:i/>
          <w:iCs/>
        </w:rPr>
        <w:t>Park</w:t>
      </w:r>
      <w:r w:rsidR="001D0077">
        <w:rPr>
          <w:i/>
          <w:iCs/>
        </w:rPr>
        <w:t>,</w:t>
      </w:r>
    </w:p>
    <w:p w14:paraId="164AA97A" w14:textId="079CECB1" w:rsidR="004975AB" w:rsidRPr="00A028CE" w:rsidRDefault="000D5EEB" w:rsidP="004975AB">
      <w:pPr>
        <w:spacing w:line="360" w:lineRule="auto"/>
        <w:rPr>
          <w:i/>
          <w:iCs/>
        </w:rPr>
      </w:pPr>
      <w:r>
        <w:rPr>
          <w:i/>
          <w:iCs/>
        </w:rPr>
        <w:tab/>
      </w:r>
      <w:r w:rsidR="00CE7FAE">
        <w:rPr>
          <w:i/>
          <w:iCs/>
        </w:rPr>
        <w:t xml:space="preserve">Adoption of </w:t>
      </w:r>
      <w:r w:rsidR="00387DE7">
        <w:rPr>
          <w:i/>
          <w:iCs/>
        </w:rPr>
        <w:t xml:space="preserve">The Resolution Was a </w:t>
      </w:r>
      <w:r w:rsidR="00A028CE">
        <w:rPr>
          <w:i/>
          <w:iCs/>
        </w:rPr>
        <w:t>Legislative</w:t>
      </w:r>
      <w:r w:rsidR="00387DE7">
        <w:rPr>
          <w:i/>
          <w:iCs/>
        </w:rPr>
        <w:t xml:space="preserve"> Act</w:t>
      </w:r>
    </w:p>
    <w:p w14:paraId="04126D52" w14:textId="69FA8007" w:rsidR="00A028CE" w:rsidRDefault="00434E60" w:rsidP="00387DE7">
      <w:pPr>
        <w:spacing w:line="360" w:lineRule="auto"/>
      </w:pPr>
      <w:r>
        <w:tab/>
      </w:r>
      <w:r w:rsidR="00387DE7">
        <w:t xml:space="preserve">“Courts have long observed that ‘[t]he power of referendum applies only to acts that are legislative in character; executive or administrative acts are not within the scope of that remedy.’ </w:t>
      </w:r>
      <w:r w:rsidR="00D404EE">
        <w:t xml:space="preserve">. . . </w:t>
      </w:r>
      <w:r w:rsidR="002D6FD2">
        <w:t>‘</w:t>
      </w:r>
      <w:r w:rsidR="00387DE7">
        <w:t>This legislative-administrative dichotomy reflects a determination to balance the ideal of direct legislation by the people against the practical necessity of freeing municipal governments from time consuming and costly referenda on merely administrative matters.</w:t>
      </w:r>
      <w:r w:rsidR="002D6FD2">
        <w:t>’</w:t>
      </w:r>
      <w:r w:rsidR="006A240B">
        <w:t> </w:t>
      </w:r>
      <w:r w:rsidR="00387DE7">
        <w:t xml:space="preserve">” </w:t>
      </w:r>
      <w:r w:rsidR="002D6FD2">
        <w:t xml:space="preserve"> </w:t>
      </w:r>
      <w:r w:rsidR="00387DE7">
        <w:t>(</w:t>
      </w:r>
      <w:r w:rsidR="002D6FD2" w:rsidRPr="002D6FD2">
        <w:rPr>
          <w:i/>
          <w:iCs/>
        </w:rPr>
        <w:t>San Bruno Comm. for Econ. Just. v. City of San Bruno</w:t>
      </w:r>
      <w:r w:rsidR="002D6FD2">
        <w:t xml:space="preserve"> (2017) 15</w:t>
      </w:r>
      <w:r w:rsidR="0023450E">
        <w:t> </w:t>
      </w:r>
      <w:r w:rsidR="002D6FD2">
        <w:t>Cal.App.5th 524, 530 (</w:t>
      </w:r>
      <w:r w:rsidR="002D6FD2">
        <w:rPr>
          <w:i/>
          <w:iCs/>
        </w:rPr>
        <w:t>San Bruno</w:t>
      </w:r>
      <w:r w:rsidR="002D6FD2">
        <w:t xml:space="preserve">); see also </w:t>
      </w:r>
      <w:r w:rsidR="002D6FD2" w:rsidRPr="00434E60">
        <w:rPr>
          <w:i/>
          <w:iCs/>
        </w:rPr>
        <w:t>Yost</w:t>
      </w:r>
      <w:r w:rsidR="002D6FD2">
        <w:t xml:space="preserve">, </w:t>
      </w:r>
      <w:r w:rsidR="002D6FD2">
        <w:rPr>
          <w:i/>
          <w:iCs/>
        </w:rPr>
        <w:t>supra</w:t>
      </w:r>
      <w:r w:rsidR="002D6FD2">
        <w:t>, 36 Cal.3d at p. 569 [“</w:t>
      </w:r>
      <w:r>
        <w:t>The powers of referendum and initiative apply only to legislative acts by a local governing body.”</w:t>
      </w:r>
      <w:r w:rsidR="002D6FD2">
        <w:t>].)</w:t>
      </w:r>
    </w:p>
    <w:p w14:paraId="1FC63453" w14:textId="77777777" w:rsidR="004936A0" w:rsidRDefault="001E7E79" w:rsidP="004936A0">
      <w:pPr>
        <w:spacing w:line="360" w:lineRule="auto"/>
      </w:pPr>
      <w:r>
        <w:tab/>
        <w:t>“</w:t>
      </w:r>
      <w:r w:rsidRPr="001E7E79">
        <w:t xml:space="preserve">Although the test is not precise and the published decisions reflect some inconsistency in approach, </w:t>
      </w:r>
      <w:r>
        <w:t>‘</w:t>
      </w:r>
      <w:r w:rsidRPr="001E7E79">
        <w:t xml:space="preserve">[l]egislative acts generally are those which declare a public purpose and make provisions for the ways and means of its accomplishment. </w:t>
      </w:r>
      <w:r w:rsidR="005A35D2">
        <w:t xml:space="preserve"> </w:t>
      </w:r>
      <w:r w:rsidRPr="001E7E79">
        <w:t>Administrative acts, on the other hand, are those which are necessary to carry out the legislative policies and purposes already declared by the legislative body.</w:t>
      </w:r>
      <w:r w:rsidR="005A35D2">
        <w:t xml:space="preserve">’  [Citation.]  </w:t>
      </w:r>
      <w:r w:rsidRPr="001E7E79">
        <w:t xml:space="preserve">Alternatively stated, </w:t>
      </w:r>
      <w:r w:rsidR="005A35D2">
        <w:t xml:space="preserve">‘ </w:t>
      </w:r>
      <w:r w:rsidRPr="001E7E79">
        <w:t xml:space="preserve">“[t]he power to be exercised is legislative in its nature </w:t>
      </w:r>
      <w:r w:rsidRPr="00C67990">
        <w:t>if it prescribes a new policy or plan</w:t>
      </w:r>
      <w:r w:rsidRPr="001E7E79">
        <w:t>; whereas, it is administrative in its nature if it merely pursues a plan already adopted by the legislative body itself, or some power superior to it.”</w:t>
      </w:r>
      <w:r w:rsidR="005A35D2">
        <w:t xml:space="preserve"> ’  </w:t>
      </w:r>
      <w:r w:rsidR="005A35D2">
        <w:lastRenderedPageBreak/>
        <w:t>[Citation.]  ‘</w:t>
      </w:r>
      <w:r w:rsidRPr="001E7E79">
        <w:t>The plausible rationale for this rule espoused in numerous cases is that to allow the referendum or initiative to be invoked to annul or delay the executive or administrative conduct would destroy the efficient administration of the business affairs of a city or municipality.</w:t>
      </w:r>
      <w:r w:rsidR="005A35D2">
        <w:t xml:space="preserve">’ </w:t>
      </w:r>
      <w:r w:rsidRPr="001E7E79">
        <w:t>”</w:t>
      </w:r>
      <w:r w:rsidR="005A35D2">
        <w:t xml:space="preserve"> </w:t>
      </w:r>
      <w:r w:rsidRPr="001E7E79">
        <w:t xml:space="preserve"> (</w:t>
      </w:r>
      <w:r w:rsidR="005A35D2" w:rsidRPr="005A35D2">
        <w:rPr>
          <w:i/>
          <w:iCs/>
        </w:rPr>
        <w:t>San Bruno</w:t>
      </w:r>
      <w:r w:rsidR="005A35D2">
        <w:t xml:space="preserve">, </w:t>
      </w:r>
      <w:r w:rsidR="005A35D2" w:rsidRPr="005A35D2">
        <w:rPr>
          <w:i/>
          <w:iCs/>
        </w:rPr>
        <w:t>supra</w:t>
      </w:r>
      <w:r w:rsidR="005A35D2">
        <w:t xml:space="preserve">, </w:t>
      </w:r>
      <w:r w:rsidR="005A35D2" w:rsidRPr="005A35D2">
        <w:t>15</w:t>
      </w:r>
      <w:r w:rsidR="005A35D2">
        <w:t xml:space="preserve"> Cal.App.5th </w:t>
      </w:r>
      <w:r w:rsidR="00C67990">
        <w:t xml:space="preserve">at p. </w:t>
      </w:r>
      <w:r w:rsidR="005A35D2">
        <w:t>530</w:t>
      </w:r>
      <w:r w:rsidR="00C67990">
        <w:t xml:space="preserve"> [italics omitted].)</w:t>
      </w:r>
    </w:p>
    <w:p w14:paraId="5E993BF3" w14:textId="2D296E5D" w:rsidR="004936A0" w:rsidRDefault="005A35D2" w:rsidP="004936A0">
      <w:pPr>
        <w:spacing w:line="360" w:lineRule="auto"/>
      </w:pPr>
      <w:r>
        <w:tab/>
      </w:r>
      <w:r w:rsidR="00D8582F">
        <w:t xml:space="preserve">The Supreme Court’s decision in </w:t>
      </w:r>
      <w:r w:rsidR="00D8582F" w:rsidRPr="00621705">
        <w:rPr>
          <w:i/>
          <w:iCs/>
        </w:rPr>
        <w:t xml:space="preserve">Hopping v. </w:t>
      </w:r>
      <w:r w:rsidR="00A858C8">
        <w:rPr>
          <w:i/>
          <w:iCs/>
        </w:rPr>
        <w:t>Council</w:t>
      </w:r>
      <w:r w:rsidR="00A858C8" w:rsidRPr="00621705">
        <w:rPr>
          <w:i/>
          <w:iCs/>
        </w:rPr>
        <w:t xml:space="preserve"> </w:t>
      </w:r>
      <w:r w:rsidR="00D8582F" w:rsidRPr="00621705">
        <w:rPr>
          <w:i/>
          <w:iCs/>
        </w:rPr>
        <w:t>of Richmond</w:t>
      </w:r>
      <w:r w:rsidR="00D8582F">
        <w:t xml:space="preserve"> (1915) 170 Cal. 605</w:t>
      </w:r>
      <w:r w:rsidR="00E51071">
        <w:t xml:space="preserve"> </w:t>
      </w:r>
      <w:r w:rsidR="00D8582F">
        <w:t>(</w:t>
      </w:r>
      <w:r w:rsidR="00D8582F">
        <w:rPr>
          <w:i/>
          <w:iCs/>
        </w:rPr>
        <w:t>Hopping</w:t>
      </w:r>
      <w:r w:rsidR="00D8582F">
        <w:t>)</w:t>
      </w:r>
      <w:r w:rsidR="00E51071">
        <w:t>, is instructive.</w:t>
      </w:r>
      <w:r w:rsidR="00621705">
        <w:t xml:space="preserve"> </w:t>
      </w:r>
      <w:r w:rsidR="000F16F5">
        <w:t xml:space="preserve"> In </w:t>
      </w:r>
      <w:r w:rsidR="000F16F5">
        <w:rPr>
          <w:i/>
          <w:iCs/>
        </w:rPr>
        <w:t>Hopping</w:t>
      </w:r>
      <w:r w:rsidR="000F16F5">
        <w:t xml:space="preserve">, </w:t>
      </w:r>
      <w:r w:rsidR="00864D40">
        <w:t xml:space="preserve">the issue was whether </w:t>
      </w:r>
      <w:r w:rsidR="00C0270B">
        <w:t>c</w:t>
      </w:r>
      <w:r w:rsidR="00864D40">
        <w:t xml:space="preserve">ity </w:t>
      </w:r>
      <w:r w:rsidR="00C0270B">
        <w:t>c</w:t>
      </w:r>
      <w:r w:rsidR="00864D40">
        <w:t>ouncil</w:t>
      </w:r>
      <w:r w:rsidR="00C0270B">
        <w:t xml:space="preserve"> resolutions providing “</w:t>
      </w:r>
      <w:r w:rsidR="00C0270B" w:rsidRPr="00C0270B">
        <w:t xml:space="preserve">for the acquisition </w:t>
      </w:r>
      <w:r w:rsidR="006A542B">
        <w:t xml:space="preserve">. . . </w:t>
      </w:r>
      <w:r w:rsidR="00C0270B" w:rsidRPr="00C0270B">
        <w:t>of certain tracts of land and the construction of a building thereon for a city hall and city offices</w:t>
      </w:r>
      <w:r w:rsidR="006265FB">
        <w:t xml:space="preserve">” </w:t>
      </w:r>
      <w:r w:rsidR="00AA4D1B">
        <w:t>w</w:t>
      </w:r>
      <w:r w:rsidR="006265FB">
        <w:t>ere</w:t>
      </w:r>
      <w:r w:rsidR="00AA4D1B">
        <w:t xml:space="preserve"> </w:t>
      </w:r>
      <w:r w:rsidR="00864D40">
        <w:t>legislative and subject to referendum.</w:t>
      </w:r>
      <w:r w:rsidR="006265FB">
        <w:t xml:space="preserve">  (</w:t>
      </w:r>
      <w:r w:rsidR="006265FB">
        <w:rPr>
          <w:i/>
          <w:iCs/>
        </w:rPr>
        <w:t>Id.</w:t>
      </w:r>
      <w:r w:rsidR="006265FB">
        <w:t xml:space="preserve"> at p. </w:t>
      </w:r>
      <w:r w:rsidR="00C90F1E">
        <w:t xml:space="preserve">607.)  </w:t>
      </w:r>
      <w:r w:rsidR="00864D40">
        <w:t xml:space="preserve">The Supreme Court concluded the </w:t>
      </w:r>
      <w:r w:rsidR="000B44F4">
        <w:t xml:space="preserve">challenged </w:t>
      </w:r>
      <w:r w:rsidR="00864D40">
        <w:t xml:space="preserve">resolutions were legislative </w:t>
      </w:r>
      <w:r w:rsidR="000B44F4">
        <w:t xml:space="preserve">because </w:t>
      </w:r>
      <w:r w:rsidR="00864D40">
        <w:t>“</w:t>
      </w:r>
      <w:r w:rsidR="00D03775">
        <w:t>[t]</w:t>
      </w:r>
      <w:r w:rsidR="00864D40">
        <w:t xml:space="preserve">hey involved and required a determination by the council that the public interest of the city required that it should have a city hall, that the same should be located on the land offered for that purpose, that said offer should be accepted, that a suitable building should be erected thereon, </w:t>
      </w:r>
      <w:r w:rsidR="00864D40" w:rsidRPr="00F9347B">
        <w:t>that the money of the city should be appropriated and used in the construction thereof</w:t>
      </w:r>
      <w:r w:rsidR="00864D40">
        <w:t>, and that, when completed, the building should be occupied and used by the city officers as a city hall and for municipal purposes</w:t>
      </w:r>
      <w:r w:rsidR="000B44F4">
        <w:t xml:space="preserve"> . . . .”</w:t>
      </w:r>
      <w:r w:rsidR="00E941D3">
        <w:t xml:space="preserve"> </w:t>
      </w:r>
      <w:r w:rsidR="00864D40">
        <w:t xml:space="preserve"> (</w:t>
      </w:r>
      <w:r w:rsidR="00E941D3">
        <w:rPr>
          <w:i/>
          <w:iCs/>
        </w:rPr>
        <w:t>Id.</w:t>
      </w:r>
      <w:r w:rsidR="00864D40">
        <w:t xml:space="preserve"> </w:t>
      </w:r>
      <w:r w:rsidR="00E941D3">
        <w:t>at pp.</w:t>
      </w:r>
      <w:r w:rsidR="0023450E">
        <w:t> </w:t>
      </w:r>
      <w:r w:rsidR="00864D40">
        <w:t>614–615</w:t>
      </w:r>
      <w:r w:rsidR="00D45F17">
        <w:t>; see also</w:t>
      </w:r>
      <w:r w:rsidR="002D1CA0">
        <w:t xml:space="preserve"> </w:t>
      </w:r>
      <w:r w:rsidR="002D1CA0" w:rsidRPr="002D1CA0">
        <w:rPr>
          <w:i/>
          <w:iCs/>
        </w:rPr>
        <w:t>Citizens Against a New Jail v. Bd. of Supervisors</w:t>
      </w:r>
      <w:r w:rsidR="002D1CA0">
        <w:t xml:space="preserve"> (1976) 63</w:t>
      </w:r>
      <w:r w:rsidR="0023450E">
        <w:t> </w:t>
      </w:r>
      <w:r w:rsidR="002D1CA0">
        <w:t xml:space="preserve">Cal.App.3d 559, 563 [“factors of cost and practicality” </w:t>
      </w:r>
      <w:r w:rsidR="00860300">
        <w:t xml:space="preserve">make </w:t>
      </w:r>
      <w:r w:rsidR="002D1CA0">
        <w:t xml:space="preserve">decision to </w:t>
      </w:r>
      <w:r w:rsidR="00610297">
        <w:t xml:space="preserve">build new jail or renovate </w:t>
      </w:r>
      <w:r w:rsidR="00824D43">
        <w:t xml:space="preserve">old jail </w:t>
      </w:r>
      <w:r w:rsidR="00610297">
        <w:t>legislative]</w:t>
      </w:r>
      <w:r w:rsidR="00824D43">
        <w:t>;</w:t>
      </w:r>
      <w:r w:rsidR="00302D8B">
        <w:t xml:space="preserve"> </w:t>
      </w:r>
      <w:r w:rsidR="00302D8B" w:rsidRPr="00302D8B">
        <w:rPr>
          <w:i/>
          <w:iCs/>
        </w:rPr>
        <w:t>Duran v. Cassidy</w:t>
      </w:r>
      <w:r w:rsidR="00302D8B">
        <w:t xml:space="preserve"> (1972) 28</w:t>
      </w:r>
      <w:r w:rsidR="0023450E">
        <w:t> </w:t>
      </w:r>
      <w:r w:rsidR="00302D8B">
        <w:t xml:space="preserve">Cal.App.3d 574, 581 </w:t>
      </w:r>
      <w:r w:rsidR="00CF66BA">
        <w:t xml:space="preserve">[whether to invest public funds in </w:t>
      </w:r>
      <w:r w:rsidR="00D03775">
        <w:t xml:space="preserve">a </w:t>
      </w:r>
      <w:r w:rsidR="00CF66BA">
        <w:t xml:space="preserve">municipal golf course is </w:t>
      </w:r>
      <w:r w:rsidR="00D03775">
        <w:t xml:space="preserve">a </w:t>
      </w:r>
      <w:r w:rsidR="00CF66BA">
        <w:t xml:space="preserve">legislative policy decision]; </w:t>
      </w:r>
      <w:r w:rsidR="00D45F17" w:rsidRPr="00D45F17">
        <w:rPr>
          <w:i/>
          <w:iCs/>
        </w:rPr>
        <w:t>Reagan v. City of Sausalito</w:t>
      </w:r>
      <w:r w:rsidR="00D45F17">
        <w:t xml:space="preserve"> (1962) 210</w:t>
      </w:r>
      <w:r w:rsidR="0023450E">
        <w:t> </w:t>
      </w:r>
      <w:r w:rsidR="00D45F17">
        <w:t>Cal.App.2d 618, 624</w:t>
      </w:r>
      <w:r w:rsidR="00B47043">
        <w:t xml:space="preserve">, </w:t>
      </w:r>
      <w:r w:rsidR="00DD3AD9">
        <w:t>628</w:t>
      </w:r>
      <w:r w:rsidR="00D370BD">
        <w:t xml:space="preserve"> (</w:t>
      </w:r>
      <w:r w:rsidR="00D370BD">
        <w:rPr>
          <w:i/>
          <w:iCs/>
        </w:rPr>
        <w:t>Reagan</w:t>
      </w:r>
      <w:r w:rsidR="00D370BD">
        <w:t>)</w:t>
      </w:r>
      <w:r w:rsidR="00D45F17">
        <w:t xml:space="preserve"> [decision to purchase property </w:t>
      </w:r>
      <w:r w:rsidR="00344FA9">
        <w:t xml:space="preserve">is </w:t>
      </w:r>
      <w:r w:rsidR="005A175D">
        <w:t xml:space="preserve">a </w:t>
      </w:r>
      <w:r w:rsidR="00344FA9">
        <w:t>legislative act]</w:t>
      </w:r>
      <w:r w:rsidR="007956EB">
        <w:t xml:space="preserve">; </w:t>
      </w:r>
      <w:r w:rsidR="00A97F4E" w:rsidRPr="00A97F4E">
        <w:rPr>
          <w:i/>
          <w:iCs/>
        </w:rPr>
        <w:t>Knowlton v. Hezmalhalch</w:t>
      </w:r>
      <w:r w:rsidR="00A97F4E">
        <w:t xml:space="preserve"> (1939) 32 Cal.App.2d 419, 435 [</w:t>
      </w:r>
      <w:r w:rsidR="00FE0F83">
        <w:t xml:space="preserve">determination to construct city hall and </w:t>
      </w:r>
      <w:r w:rsidR="00A97F4E">
        <w:t xml:space="preserve">appropriation of funds </w:t>
      </w:r>
      <w:r w:rsidR="00FE0F83">
        <w:t>there</w:t>
      </w:r>
      <w:r w:rsidR="00A97F4E">
        <w:t xml:space="preserve">for </w:t>
      </w:r>
      <w:r w:rsidR="00FE0F83">
        <w:t xml:space="preserve">were </w:t>
      </w:r>
      <w:r w:rsidR="00A97F4E">
        <w:t>legislative acts</w:t>
      </w:r>
      <w:r w:rsidR="00956071">
        <w:t xml:space="preserve">]; </w:t>
      </w:r>
      <w:r w:rsidR="00F94E92" w:rsidRPr="00607B1D">
        <w:rPr>
          <w:i/>
          <w:iCs/>
        </w:rPr>
        <w:t>Burdick v. City of San Diego</w:t>
      </w:r>
      <w:r w:rsidR="00F94E92">
        <w:t xml:space="preserve"> (1938) 29 Cal.App.2d 565, 569 </w:t>
      </w:r>
      <w:r w:rsidR="00F94E92">
        <w:lastRenderedPageBreak/>
        <w:t>(</w:t>
      </w:r>
      <w:r w:rsidR="00F94E92">
        <w:rPr>
          <w:i/>
          <w:iCs/>
        </w:rPr>
        <w:t>Burdick</w:t>
      </w:r>
      <w:r w:rsidR="00F94E92">
        <w:t>) [</w:t>
      </w:r>
      <w:r w:rsidR="00A466CD">
        <w:t xml:space="preserve">determination to construct police station and appropriation of funds therefor were </w:t>
      </w:r>
      <w:r w:rsidR="00F94E92">
        <w:t>legislative act</w:t>
      </w:r>
      <w:r w:rsidR="00A466CD">
        <w:t>s</w:t>
      </w:r>
      <w:r w:rsidR="00F94E92">
        <w:t>]</w:t>
      </w:r>
      <w:r w:rsidR="004936A0">
        <w:t>.)</w:t>
      </w:r>
    </w:p>
    <w:p w14:paraId="610C0837" w14:textId="452572B2" w:rsidR="00821E64" w:rsidRPr="00CD2CDD" w:rsidRDefault="00D662A2" w:rsidP="004936A0">
      <w:pPr>
        <w:spacing w:line="360" w:lineRule="auto"/>
      </w:pPr>
      <w:r>
        <w:tab/>
      </w:r>
      <w:r w:rsidR="008D087C">
        <w:t>T</w:t>
      </w:r>
      <w:r w:rsidR="002F0DB0">
        <w:t>he 2022 Agreement</w:t>
      </w:r>
      <w:r w:rsidR="00F12D77">
        <w:t>, for the first time,</w:t>
      </w:r>
      <w:r w:rsidR="002F0DB0">
        <w:t xml:space="preserve"> </w:t>
      </w:r>
      <w:r w:rsidR="00AC57FC">
        <w:t xml:space="preserve">authorizes </w:t>
      </w:r>
      <w:r w:rsidR="00772D1F">
        <w:t>the construction</w:t>
      </w:r>
      <w:r w:rsidR="00CC7E92">
        <w:t xml:space="preserve"> of</w:t>
      </w:r>
      <w:r w:rsidR="00772D1F">
        <w:t xml:space="preserve"> </w:t>
      </w:r>
      <w:r w:rsidR="008E32A6">
        <w:t xml:space="preserve">and </w:t>
      </w:r>
      <w:r w:rsidR="00772D1F">
        <w:t>improvement</w:t>
      </w:r>
      <w:r w:rsidR="00CC7E92">
        <w:t>s to</w:t>
      </w:r>
      <w:r w:rsidR="008E32A6">
        <w:t xml:space="preserve"> </w:t>
      </w:r>
      <w:r w:rsidR="00772D1F">
        <w:t>Veteran</w:t>
      </w:r>
      <w:r w:rsidR="00BB2B5B">
        <w:t>’s Park</w:t>
      </w:r>
      <w:r w:rsidR="006565DF">
        <w:t xml:space="preserve">.  </w:t>
      </w:r>
      <w:r w:rsidR="00F24F9A">
        <w:t xml:space="preserve">Respondents </w:t>
      </w:r>
      <w:r w:rsidR="0003398D">
        <w:t xml:space="preserve">argue </w:t>
      </w:r>
      <w:r w:rsidR="0055047B" w:rsidRPr="0055047B">
        <w:t xml:space="preserve">the </w:t>
      </w:r>
      <w:r w:rsidR="00821E64" w:rsidRPr="0055047B">
        <w:t>City</w:t>
      </w:r>
      <w:r w:rsidR="0055047B" w:rsidRPr="0055047B">
        <w:t xml:space="preserve"> had</w:t>
      </w:r>
      <w:r w:rsidR="00821E64" w:rsidRPr="0055047B">
        <w:t xml:space="preserve"> “already approved a future negotiation”</w:t>
      </w:r>
      <w:r w:rsidR="00A46EB5">
        <w:t xml:space="preserve"> regarding construction of Veteran</w:t>
      </w:r>
      <w:r w:rsidR="00C35541">
        <w:t>’</w:t>
      </w:r>
      <w:r w:rsidR="00A46EB5">
        <w:t>s Park</w:t>
      </w:r>
      <w:r w:rsidR="009F1800">
        <w:t>,</w:t>
      </w:r>
      <w:r w:rsidR="0055047B">
        <w:t xml:space="preserve"> but </w:t>
      </w:r>
      <w:r w:rsidR="001C4BFA">
        <w:t xml:space="preserve">we observe that the 2021 Agreement only states the City </w:t>
      </w:r>
      <w:r w:rsidR="00816939">
        <w:t xml:space="preserve">in its </w:t>
      </w:r>
      <w:r w:rsidR="006D165D">
        <w:t xml:space="preserve">“sole discretion” </w:t>
      </w:r>
      <w:r w:rsidR="001C4BFA">
        <w:t xml:space="preserve">has the </w:t>
      </w:r>
      <w:r w:rsidR="005D369D">
        <w:t xml:space="preserve">“option” </w:t>
      </w:r>
      <w:r w:rsidR="0019511E">
        <w:t xml:space="preserve">to </w:t>
      </w:r>
      <w:r w:rsidR="009F1800">
        <w:t xml:space="preserve">negotiate an agreement to </w:t>
      </w:r>
      <w:r w:rsidR="00F87AA7">
        <w:t>fund construction of the park</w:t>
      </w:r>
      <w:r w:rsidR="009F1E86">
        <w:t xml:space="preserve"> and improvements</w:t>
      </w:r>
      <w:r w:rsidR="00F87AA7">
        <w:t>.</w:t>
      </w:r>
      <w:r w:rsidR="00E770E9">
        <w:t xml:space="preserve"> </w:t>
      </w:r>
      <w:r w:rsidR="009F1800">
        <w:t xml:space="preserve"> </w:t>
      </w:r>
      <w:r w:rsidR="001D0258">
        <w:t xml:space="preserve">At oral argument, respondents argued only that the 2021 Agreement “put[] the </w:t>
      </w:r>
      <w:r w:rsidR="001D0258" w:rsidRPr="001D0258">
        <w:rPr>
          <w:i/>
          <w:iCs/>
        </w:rPr>
        <w:t>possibility</w:t>
      </w:r>
      <w:r w:rsidR="001D0258">
        <w:t xml:space="preserve"> on the table.”  (Italics added.)</w:t>
      </w:r>
      <w:r w:rsidR="007C2FB6">
        <w:t xml:space="preserve">  Thus, </w:t>
      </w:r>
      <w:r w:rsidR="001D0258">
        <w:t xml:space="preserve">the record demonstrates that the Resolution </w:t>
      </w:r>
      <w:r w:rsidR="00B84C39">
        <w:t xml:space="preserve">approving the </w:t>
      </w:r>
      <w:r w:rsidR="002F68BE">
        <w:t>2022 Agreement</w:t>
      </w:r>
      <w:r w:rsidR="001D0258">
        <w:t xml:space="preserve"> was the </w:t>
      </w:r>
      <w:r w:rsidR="00A20901">
        <w:t>initial</w:t>
      </w:r>
      <w:r w:rsidR="001D0258">
        <w:t xml:space="preserve"> relevant policy determination regarding the park</w:t>
      </w:r>
      <w:r w:rsidR="00CC7E92">
        <w:t>’s construction and improvements</w:t>
      </w:r>
      <w:r w:rsidR="001D0258">
        <w:t xml:space="preserve">. </w:t>
      </w:r>
      <w:r w:rsidR="002F68BE">
        <w:t xml:space="preserve"> </w:t>
      </w:r>
      <w:r w:rsidR="009A5B0D">
        <w:t>Contrary to respondents’ suggestion, with respect to the park, t</w:t>
      </w:r>
      <w:r w:rsidR="00CC7E92">
        <w:t xml:space="preserve">he Resolution did </w:t>
      </w:r>
      <w:r w:rsidR="002F68BE" w:rsidRPr="002E3489">
        <w:t>not</w:t>
      </w:r>
      <w:r w:rsidR="002F68BE">
        <w:t xml:space="preserve"> </w:t>
      </w:r>
      <w:r w:rsidR="00B84C39">
        <w:t xml:space="preserve">involve </w:t>
      </w:r>
      <w:r w:rsidR="004674F1">
        <w:rPr>
          <w:i/>
          <w:iCs/>
        </w:rPr>
        <w:t>mere</w:t>
      </w:r>
      <w:r w:rsidR="002F68BE" w:rsidRPr="002E3489">
        <w:rPr>
          <w:i/>
          <w:iCs/>
        </w:rPr>
        <w:t>ly</w:t>
      </w:r>
      <w:r w:rsidR="002F68BE">
        <w:t xml:space="preserve"> the </w:t>
      </w:r>
      <w:r w:rsidR="00E83A14">
        <w:t xml:space="preserve">City’s determination to </w:t>
      </w:r>
      <w:r w:rsidR="002F68BE">
        <w:t>appropriat</w:t>
      </w:r>
      <w:r w:rsidR="00E83A14">
        <w:t xml:space="preserve">e specific amounts of public </w:t>
      </w:r>
      <w:r w:rsidR="002F68BE">
        <w:t>funds</w:t>
      </w:r>
      <w:r w:rsidR="00575325">
        <w:t xml:space="preserve"> for a plan that had already </w:t>
      </w:r>
      <w:r w:rsidR="008D0F26">
        <w:t xml:space="preserve">been </w:t>
      </w:r>
      <w:r w:rsidR="00CC7E92">
        <w:t>adopted</w:t>
      </w:r>
      <w:r w:rsidR="002F68BE">
        <w:t xml:space="preserve">.  </w:t>
      </w:r>
    </w:p>
    <w:p w14:paraId="3881991B" w14:textId="239061C6" w:rsidR="00D45F17" w:rsidRDefault="00C33115" w:rsidP="00D45F17">
      <w:pPr>
        <w:spacing w:line="360" w:lineRule="auto"/>
      </w:pPr>
      <w:r>
        <w:tab/>
      </w:r>
      <w:r w:rsidR="00607B1D" w:rsidRPr="00607B1D">
        <w:rPr>
          <w:i/>
          <w:iCs/>
        </w:rPr>
        <w:t>Burdick</w:t>
      </w:r>
      <w:r w:rsidR="00A53EDB">
        <w:t xml:space="preserve"> </w:t>
      </w:r>
      <w:r w:rsidR="001149D4">
        <w:t>informs this analysis</w:t>
      </w:r>
      <w:r w:rsidR="00607B1D">
        <w:t xml:space="preserve">.  </w:t>
      </w:r>
      <w:r w:rsidR="006933E1">
        <w:t xml:space="preserve">There, the City of San Diego decided to erect </w:t>
      </w:r>
      <w:r w:rsidR="004462CE">
        <w:t>a police station at a designated site and</w:t>
      </w:r>
      <w:r w:rsidR="00607B1D">
        <w:t>,</w:t>
      </w:r>
      <w:r w:rsidR="004462CE">
        <w:t xml:space="preserve"> in a series of acts, </w:t>
      </w:r>
      <w:r w:rsidR="005970D9">
        <w:t>developed plans for the facility and appropriated funds for the project.  (</w:t>
      </w:r>
      <w:r w:rsidR="00A53EDB" w:rsidRPr="00A53EDB">
        <w:rPr>
          <w:i/>
          <w:iCs/>
        </w:rPr>
        <w:t>Burdick</w:t>
      </w:r>
      <w:r w:rsidR="00A53EDB">
        <w:t xml:space="preserve">, </w:t>
      </w:r>
      <w:r w:rsidR="00A53EDB" w:rsidRPr="00A53EDB">
        <w:rPr>
          <w:i/>
          <w:iCs/>
        </w:rPr>
        <w:t>supra</w:t>
      </w:r>
      <w:r w:rsidR="00A53EDB">
        <w:t xml:space="preserve">, 29 Cal.App.2d at pp. </w:t>
      </w:r>
      <w:r w:rsidR="005362E7">
        <w:t xml:space="preserve">566–568.)  </w:t>
      </w:r>
      <w:r w:rsidR="00236170">
        <w:t xml:space="preserve">Subsequently, the </w:t>
      </w:r>
      <w:r w:rsidR="00DE4993">
        <w:t>c</w:t>
      </w:r>
      <w:r w:rsidR="00236170">
        <w:t xml:space="preserve">ity </w:t>
      </w:r>
      <w:r w:rsidR="00DE4993">
        <w:t>c</w:t>
      </w:r>
      <w:r w:rsidR="00236170">
        <w:t xml:space="preserve">ouncil approved a resolution </w:t>
      </w:r>
      <w:r w:rsidR="00A454F5">
        <w:t xml:space="preserve">authorizing </w:t>
      </w:r>
      <w:r w:rsidR="001E74F0">
        <w:t>a call for construction bids.  (</w:t>
      </w:r>
      <w:r w:rsidR="001E74F0">
        <w:rPr>
          <w:i/>
          <w:iCs/>
        </w:rPr>
        <w:t>Id.</w:t>
      </w:r>
      <w:r w:rsidR="001E74F0">
        <w:t xml:space="preserve"> at pp. 568–569.)</w:t>
      </w:r>
      <w:r w:rsidR="00C61264">
        <w:t xml:space="preserve">  The court of appeal held </w:t>
      </w:r>
      <w:r w:rsidR="003C0ACB">
        <w:t xml:space="preserve">that the </w:t>
      </w:r>
      <w:r w:rsidR="003C0ACB" w:rsidRPr="00DE4993">
        <w:rPr>
          <w:i/>
          <w:iCs/>
        </w:rPr>
        <w:t>final</w:t>
      </w:r>
      <w:r w:rsidR="003C0ACB">
        <w:t xml:space="preserve"> resolution was </w:t>
      </w:r>
      <w:r w:rsidR="003C0ACB" w:rsidRPr="00DE4993">
        <w:rPr>
          <w:i/>
          <w:iCs/>
        </w:rPr>
        <w:t>not</w:t>
      </w:r>
      <w:r w:rsidR="003C0ACB">
        <w:t xml:space="preserve"> subject to referendum, explaining, “</w:t>
      </w:r>
      <w:r>
        <w:t xml:space="preserve">Prior to the passage of </w:t>
      </w:r>
      <w:r w:rsidR="003C0ACB">
        <w:t xml:space="preserve">[the </w:t>
      </w:r>
      <w:r>
        <w:t>resolution</w:t>
      </w:r>
      <w:r w:rsidR="003C0ACB">
        <w:t>]</w:t>
      </w:r>
      <w:r>
        <w:t xml:space="preserve">, the site for the police station had been designated and accepted. </w:t>
      </w:r>
      <w:r w:rsidR="00E13E16">
        <w:t xml:space="preserve"> </w:t>
      </w:r>
      <w:r>
        <w:t xml:space="preserve">The city council had decided to erect the structure on that site. </w:t>
      </w:r>
      <w:r w:rsidR="004C0BD0">
        <w:t xml:space="preserve"> </w:t>
      </w:r>
      <w:r>
        <w:t xml:space="preserve">Money for the work had been appropriated and was available. </w:t>
      </w:r>
      <w:r w:rsidR="004C0BD0">
        <w:t xml:space="preserve"> </w:t>
      </w:r>
      <w:r>
        <w:t xml:space="preserve">The plans for the building had been approved and remained unchanged. </w:t>
      </w:r>
      <w:r w:rsidR="004C0BD0">
        <w:t xml:space="preserve"> </w:t>
      </w:r>
      <w:r>
        <w:t xml:space="preserve">The specifications and form of the contract had been approved. </w:t>
      </w:r>
      <w:r w:rsidR="004C0BD0">
        <w:t xml:space="preserve"> </w:t>
      </w:r>
      <w:r>
        <w:t xml:space="preserve">The three earlier acts were legislative in character and fixed the </w:t>
      </w:r>
      <w:r>
        <w:lastRenderedPageBreak/>
        <w:t>policy of the City of San Diego to erect the police station on the designated site.</w:t>
      </w:r>
      <w:r w:rsidR="00C25AB4">
        <w:t>”  (</w:t>
      </w:r>
      <w:r w:rsidR="00C25AB4">
        <w:rPr>
          <w:i/>
          <w:iCs/>
        </w:rPr>
        <w:t>Id.</w:t>
      </w:r>
      <w:r w:rsidR="00C25AB4">
        <w:t xml:space="preserve"> at p. 569.)</w:t>
      </w:r>
      <w:r w:rsidR="00A45F38">
        <w:t xml:space="preserve">  In the present case, the challenged Resolution </w:t>
      </w:r>
      <w:r w:rsidR="008C136D">
        <w:t xml:space="preserve">is not analogous to the </w:t>
      </w:r>
      <w:r w:rsidR="00E13E16">
        <w:t xml:space="preserve">final </w:t>
      </w:r>
      <w:r w:rsidR="008C136D">
        <w:t xml:space="preserve">resolution at issue in </w:t>
      </w:r>
      <w:r w:rsidR="008C136D" w:rsidRPr="008C136D">
        <w:rPr>
          <w:i/>
          <w:iCs/>
        </w:rPr>
        <w:t>Burdick</w:t>
      </w:r>
      <w:r w:rsidR="008C136D">
        <w:t xml:space="preserve">; instead, </w:t>
      </w:r>
      <w:r w:rsidR="007176DF">
        <w:t xml:space="preserve">in approving </w:t>
      </w:r>
      <w:r w:rsidR="0079342A">
        <w:t xml:space="preserve">the </w:t>
      </w:r>
      <w:r w:rsidR="007176DF">
        <w:t xml:space="preserve">construction </w:t>
      </w:r>
      <w:r w:rsidR="0079342A">
        <w:t xml:space="preserve">and improvement </w:t>
      </w:r>
      <w:r w:rsidR="007176DF">
        <w:t>of Veteran</w:t>
      </w:r>
      <w:r w:rsidR="00C35541">
        <w:t>’</w:t>
      </w:r>
      <w:r w:rsidR="007176DF">
        <w:t>s Park</w:t>
      </w:r>
      <w:r w:rsidR="0079342A">
        <w:t>,</w:t>
      </w:r>
      <w:r w:rsidR="007176DF">
        <w:t xml:space="preserve"> </w:t>
      </w:r>
      <w:r w:rsidR="0079342A">
        <w:t>the Resolution</w:t>
      </w:r>
      <w:r w:rsidR="008C136D">
        <w:t xml:space="preserve"> </w:t>
      </w:r>
      <w:r w:rsidR="00564FA5" w:rsidRPr="008C136D">
        <w:t>corresponds</w:t>
      </w:r>
      <w:r w:rsidR="00564FA5">
        <w:t xml:space="preserve"> to the </w:t>
      </w:r>
      <w:r w:rsidR="00564FA5" w:rsidRPr="00F93C76">
        <w:rPr>
          <w:i/>
          <w:iCs/>
        </w:rPr>
        <w:t>prior</w:t>
      </w:r>
      <w:r w:rsidR="00564FA5">
        <w:t xml:space="preserve"> legislative </w:t>
      </w:r>
      <w:r w:rsidR="007176DF">
        <w:t>approv</w:t>
      </w:r>
      <w:r w:rsidR="004365BD">
        <w:t>al of</w:t>
      </w:r>
      <w:r w:rsidR="007176DF">
        <w:t xml:space="preserve"> construction of</w:t>
      </w:r>
      <w:r w:rsidR="00A556DF">
        <w:t xml:space="preserve"> a police station</w:t>
      </w:r>
      <w:r w:rsidR="00B1187B">
        <w:t>.</w:t>
      </w:r>
    </w:p>
    <w:p w14:paraId="68FEFE1B" w14:textId="73557036" w:rsidR="00EA4E51" w:rsidRDefault="00A055F8" w:rsidP="00B2196A">
      <w:pPr>
        <w:spacing w:line="360" w:lineRule="auto"/>
      </w:pPr>
      <w:r>
        <w:tab/>
      </w:r>
      <w:r w:rsidR="00D662A2">
        <w:t>T</w:t>
      </w:r>
      <w:r>
        <w:t xml:space="preserve">he trial court relied on </w:t>
      </w:r>
      <w:r>
        <w:rPr>
          <w:i/>
          <w:iCs/>
        </w:rPr>
        <w:t>San Bruno</w:t>
      </w:r>
      <w:r w:rsidR="00D8609D">
        <w:t xml:space="preserve">, </w:t>
      </w:r>
      <w:r w:rsidR="00D8609D">
        <w:rPr>
          <w:i/>
          <w:iCs/>
        </w:rPr>
        <w:t>supra</w:t>
      </w:r>
      <w:r w:rsidR="00D8609D">
        <w:t>, 15 Cal.App.5th 524,</w:t>
      </w:r>
      <w:r>
        <w:t xml:space="preserve"> </w:t>
      </w:r>
      <w:r w:rsidR="003D77C0">
        <w:t xml:space="preserve">in </w:t>
      </w:r>
      <w:r w:rsidR="002D026D">
        <w:t xml:space="preserve">deciding </w:t>
      </w:r>
      <w:r w:rsidR="003D77C0">
        <w:t>adoption of the Resolution was an administrative act</w:t>
      </w:r>
      <w:r w:rsidR="003D77C0" w:rsidRPr="00AE136F">
        <w:t xml:space="preserve">.  In </w:t>
      </w:r>
      <w:r w:rsidR="003D77C0" w:rsidRPr="00AE136F">
        <w:rPr>
          <w:i/>
          <w:iCs/>
        </w:rPr>
        <w:t>San Bruno</w:t>
      </w:r>
      <w:r w:rsidR="003D77C0" w:rsidRPr="00AE136F">
        <w:t xml:space="preserve">, </w:t>
      </w:r>
      <w:r w:rsidR="00EB2C51" w:rsidRPr="00AE136F">
        <w:t>the</w:t>
      </w:r>
      <w:r w:rsidR="00EB2C51">
        <w:t xml:space="preserve"> </w:t>
      </w:r>
      <w:r w:rsidR="00A858C8">
        <w:t>C</w:t>
      </w:r>
      <w:r w:rsidR="00EB2C51">
        <w:t xml:space="preserve">ourt </w:t>
      </w:r>
      <w:r w:rsidR="00FD26C2">
        <w:t xml:space="preserve">of </w:t>
      </w:r>
      <w:r w:rsidR="00A858C8">
        <w:t>A</w:t>
      </w:r>
      <w:r w:rsidR="00FD26C2">
        <w:t xml:space="preserve">ppeal </w:t>
      </w:r>
      <w:r w:rsidR="00EB2C51">
        <w:t xml:space="preserve">concluded a </w:t>
      </w:r>
      <w:r w:rsidR="00382DFF">
        <w:t xml:space="preserve">resolution approving the sale of property to a hotel developer was not a legislative act </w:t>
      </w:r>
      <w:r w:rsidR="00FD26C2">
        <w:t>subject to a referendum.</w:t>
      </w:r>
      <w:r w:rsidR="006A7EF9">
        <w:t xml:space="preserve">  (</w:t>
      </w:r>
      <w:r w:rsidR="00D8609D">
        <w:rPr>
          <w:i/>
          <w:iCs/>
        </w:rPr>
        <w:t>Id.</w:t>
      </w:r>
      <w:r w:rsidR="006A7EF9">
        <w:t xml:space="preserve"> at p. 528.)  </w:t>
      </w:r>
      <w:r w:rsidR="00735AAE">
        <w:t xml:space="preserve">The </w:t>
      </w:r>
      <w:r w:rsidR="00735AAE">
        <w:rPr>
          <w:i/>
          <w:iCs/>
        </w:rPr>
        <w:t>San Bruno</w:t>
      </w:r>
      <w:r w:rsidR="00735AAE">
        <w:t xml:space="preserve"> court </w:t>
      </w:r>
      <w:r w:rsidR="00B030C5">
        <w:t xml:space="preserve">distinguished </w:t>
      </w:r>
      <w:r w:rsidR="00B030C5">
        <w:rPr>
          <w:i/>
          <w:iCs/>
        </w:rPr>
        <w:t>Hopping</w:t>
      </w:r>
      <w:r w:rsidR="00B030C5">
        <w:t xml:space="preserve"> in language </w:t>
      </w:r>
      <w:r w:rsidR="00BD4F19">
        <w:t>that undermines respondents’ position</w:t>
      </w:r>
      <w:r w:rsidR="00B030C5">
        <w:t>: “In the present case, the City is not acquiring land for any municipal purpose, and is not appropriating any of its own funds in connection with the real estate transaction.  Instead, the City is selling land to a private developer for a profit, and is not providing any subsidy to the developer.”  (</w:t>
      </w:r>
      <w:r w:rsidR="00B030C5" w:rsidRPr="00B030C5">
        <w:rPr>
          <w:i/>
          <w:iCs/>
        </w:rPr>
        <w:t>San Bruno</w:t>
      </w:r>
      <w:r w:rsidR="00B030C5">
        <w:t xml:space="preserve">, at p. 531.)  </w:t>
      </w:r>
      <w:r w:rsidR="00E64A12">
        <w:t>In</w:t>
      </w:r>
      <w:r w:rsidR="00B030C5">
        <w:t xml:space="preserve"> contrast, the Resolution </w:t>
      </w:r>
      <w:r w:rsidR="00BC171A">
        <w:t xml:space="preserve">at issue here </w:t>
      </w:r>
      <w:r w:rsidR="009A4702">
        <w:t xml:space="preserve">involves </w:t>
      </w:r>
      <w:r w:rsidR="004D43AB">
        <w:t xml:space="preserve">a </w:t>
      </w:r>
      <w:r w:rsidR="0076436A">
        <w:t xml:space="preserve">public policy </w:t>
      </w:r>
      <w:r w:rsidR="009A4702">
        <w:t>determination to</w:t>
      </w:r>
      <w:r w:rsidR="00F07845">
        <w:t xml:space="preserve"> </w:t>
      </w:r>
      <w:r w:rsidR="0017720B">
        <w:t>construct</w:t>
      </w:r>
      <w:r w:rsidR="0079342A">
        <w:t xml:space="preserve"> and improve</w:t>
      </w:r>
      <w:r w:rsidR="0017720B">
        <w:t xml:space="preserve"> </w:t>
      </w:r>
      <w:r w:rsidR="00D901AB">
        <w:t>Veteran</w:t>
      </w:r>
      <w:r w:rsidR="00C35541">
        <w:t>’</w:t>
      </w:r>
      <w:r w:rsidR="00D901AB">
        <w:t>s Park at the public’s expense</w:t>
      </w:r>
      <w:r w:rsidR="00A928AA">
        <w:t xml:space="preserve">.  </w:t>
      </w:r>
      <w:r w:rsidR="00F07845">
        <w:t>(</w:t>
      </w:r>
      <w:r w:rsidR="00F07845" w:rsidRPr="00621705">
        <w:rPr>
          <w:i/>
          <w:iCs/>
        </w:rPr>
        <w:t>Hopping</w:t>
      </w:r>
      <w:r w:rsidR="00A928AA">
        <w:t xml:space="preserve">, </w:t>
      </w:r>
      <w:r w:rsidR="00A928AA">
        <w:rPr>
          <w:i/>
          <w:iCs/>
        </w:rPr>
        <w:t>supra</w:t>
      </w:r>
      <w:r w:rsidR="00A928AA">
        <w:t xml:space="preserve">, </w:t>
      </w:r>
      <w:r w:rsidR="00F07845">
        <w:t>170</w:t>
      </w:r>
      <w:r w:rsidR="0023450E">
        <w:t> </w:t>
      </w:r>
      <w:r w:rsidR="00F07845">
        <w:t xml:space="preserve">Cal. </w:t>
      </w:r>
      <w:r w:rsidR="00A928AA">
        <w:t xml:space="preserve">at pp. </w:t>
      </w:r>
      <w:r w:rsidR="00F07845">
        <w:t>613–614</w:t>
      </w:r>
      <w:r w:rsidR="00A928AA">
        <w:t>.)</w:t>
      </w:r>
    </w:p>
    <w:p w14:paraId="323F62BD" w14:textId="1389CCEB" w:rsidR="008E0A60" w:rsidRDefault="00EA4E51" w:rsidP="008E0A60">
      <w:pPr>
        <w:spacing w:line="360" w:lineRule="auto"/>
      </w:pPr>
      <w:r>
        <w:tab/>
      </w:r>
      <w:r w:rsidR="002146E5">
        <w:rPr>
          <w:i/>
          <w:iCs/>
        </w:rPr>
        <w:t>San Bruno</w:t>
      </w:r>
      <w:r w:rsidR="002146E5">
        <w:t xml:space="preserve"> also </w:t>
      </w:r>
      <w:r w:rsidR="00B2196A">
        <w:t>concluded the contract</w:t>
      </w:r>
      <w:r w:rsidR="002146E5">
        <w:t xml:space="preserve"> </w:t>
      </w:r>
      <w:r w:rsidR="00B2196A">
        <w:t xml:space="preserve">to sell land in that case was an administrative act </w:t>
      </w:r>
      <w:r w:rsidR="00154869">
        <w:t>because “</w:t>
      </w:r>
      <w:r w:rsidR="00B2196A">
        <w:t xml:space="preserve">the primary substantive decisions pertaining to the proposed development </w:t>
      </w:r>
      <w:r w:rsidR="00154869">
        <w:t>[had]</w:t>
      </w:r>
      <w:r w:rsidR="00B2196A">
        <w:t xml:space="preserve"> already been made.</w:t>
      </w:r>
      <w:r w:rsidR="00154869">
        <w:t>”  (</w:t>
      </w:r>
      <w:r w:rsidR="00B2196A" w:rsidRPr="00154869">
        <w:rPr>
          <w:i/>
          <w:iCs/>
        </w:rPr>
        <w:t>San Bruno</w:t>
      </w:r>
      <w:r w:rsidR="00154869">
        <w:t xml:space="preserve">, </w:t>
      </w:r>
      <w:r w:rsidR="00E10046" w:rsidRPr="006A7EF9">
        <w:rPr>
          <w:i/>
          <w:iCs/>
        </w:rPr>
        <w:t>supra</w:t>
      </w:r>
      <w:r w:rsidR="00E10046">
        <w:t>, 15</w:t>
      </w:r>
      <w:r w:rsidR="0023450E">
        <w:t> </w:t>
      </w:r>
      <w:r w:rsidR="00E10046">
        <w:t xml:space="preserve">Cal.App.5th at </w:t>
      </w:r>
      <w:r w:rsidR="00092E48">
        <w:t xml:space="preserve">p. </w:t>
      </w:r>
      <w:r w:rsidR="00B2196A">
        <w:t>536</w:t>
      </w:r>
      <w:r w:rsidR="00092E48">
        <w:t>.)</w:t>
      </w:r>
      <w:r>
        <w:t xml:space="preserve">  </w:t>
      </w:r>
      <w:r w:rsidR="001C0510">
        <w:t>I</w:t>
      </w:r>
      <w:r w:rsidR="00092E48">
        <w:t xml:space="preserve">n the present case, </w:t>
      </w:r>
      <w:r w:rsidR="00D22D45">
        <w:t xml:space="preserve">although </w:t>
      </w:r>
      <w:r w:rsidR="00092E48">
        <w:t>the</w:t>
      </w:r>
      <w:r w:rsidR="00B070AA">
        <w:t xml:space="preserve"> “primary substantive</w:t>
      </w:r>
      <w:r w:rsidR="00092E48">
        <w:t xml:space="preserve"> decisions</w:t>
      </w:r>
      <w:r w:rsidR="00B070AA">
        <w:t>”</w:t>
      </w:r>
      <w:r w:rsidR="00092E48">
        <w:t xml:space="preserve"> </w:t>
      </w:r>
      <w:r w:rsidR="009C0FC7">
        <w:t>relating to the</w:t>
      </w:r>
      <w:r w:rsidR="004D2254">
        <w:t xml:space="preserve"> housing aspects of the</w:t>
      </w:r>
      <w:r w:rsidR="009C0FC7">
        <w:t xml:space="preserve"> Project were </w:t>
      </w:r>
      <w:r w:rsidR="00092E48">
        <w:t xml:space="preserve">made prior to the </w:t>
      </w:r>
      <w:r w:rsidR="00B34C91">
        <w:t xml:space="preserve">2022 Agreement, </w:t>
      </w:r>
      <w:r w:rsidR="005D73A7">
        <w:t xml:space="preserve">the </w:t>
      </w:r>
      <w:r w:rsidR="006C7D90">
        <w:t xml:space="preserve">“primary substantive decisions” regarding </w:t>
      </w:r>
      <w:r w:rsidR="00774B53">
        <w:t>Veteran</w:t>
      </w:r>
      <w:r w:rsidR="00C35541">
        <w:t>’</w:t>
      </w:r>
      <w:r w:rsidR="00774B53">
        <w:t xml:space="preserve">s Park </w:t>
      </w:r>
      <w:r w:rsidR="00DB15EF">
        <w:t>were only set out in th</w:t>
      </w:r>
      <w:r w:rsidR="00F67C17">
        <w:t>e 2022</w:t>
      </w:r>
      <w:r w:rsidR="00DB15EF">
        <w:t xml:space="preserve"> A</w:t>
      </w:r>
      <w:r w:rsidR="00774B53">
        <w:t xml:space="preserve">greement.  </w:t>
      </w:r>
      <w:r w:rsidR="0056345D">
        <w:t>(</w:t>
      </w:r>
      <w:r w:rsidR="001455BE" w:rsidRPr="007169E7">
        <w:t>Cf.</w:t>
      </w:r>
      <w:r w:rsidR="00A13E36">
        <w:t xml:space="preserve"> </w:t>
      </w:r>
      <w:r w:rsidR="001455BE">
        <w:rPr>
          <w:i/>
          <w:iCs/>
        </w:rPr>
        <w:t xml:space="preserve">id. </w:t>
      </w:r>
      <w:r w:rsidR="00A13E36">
        <w:t>at p. 536</w:t>
      </w:r>
      <w:r w:rsidR="00020982">
        <w:rPr>
          <w:i/>
          <w:iCs/>
        </w:rPr>
        <w:t xml:space="preserve"> </w:t>
      </w:r>
      <w:r w:rsidR="00020982">
        <w:t>[noting that the</w:t>
      </w:r>
      <w:r w:rsidR="00020982" w:rsidRPr="00020982">
        <w:t xml:space="preserve"> resolution </w:t>
      </w:r>
      <w:r w:rsidR="00020982">
        <w:t>at issue in the case did “</w:t>
      </w:r>
      <w:r w:rsidR="00020982" w:rsidRPr="00020982">
        <w:t xml:space="preserve">not include any </w:t>
      </w:r>
      <w:r w:rsidR="00020982" w:rsidRPr="00020982">
        <w:lastRenderedPageBreak/>
        <w:t>new action to further amend the Specific Plan, adopt new legislation, or otherwise take legislative action</w:t>
      </w:r>
      <w:r w:rsidR="00011F6B">
        <w:t>”].)</w:t>
      </w:r>
      <w:r w:rsidR="00C01A7C">
        <w:t xml:space="preserve">  The City’s decision</w:t>
      </w:r>
      <w:r w:rsidR="005D73A7">
        <w:t xml:space="preserve"> to construct</w:t>
      </w:r>
      <w:r w:rsidR="0079342A">
        <w:t xml:space="preserve"> and improve</w:t>
      </w:r>
      <w:r w:rsidR="005D73A7">
        <w:t xml:space="preserve"> Veteran’s Park </w:t>
      </w:r>
      <w:r w:rsidR="0079342A">
        <w:t xml:space="preserve">for </w:t>
      </w:r>
      <w:r w:rsidR="0098294D">
        <w:t xml:space="preserve">$5.5 million </w:t>
      </w:r>
      <w:r w:rsidR="00F2612E">
        <w:t xml:space="preserve">was </w:t>
      </w:r>
      <w:r w:rsidR="00C01A7C">
        <w:t>“political in nature” (</w:t>
      </w:r>
      <w:r w:rsidR="009B4D10">
        <w:rPr>
          <w:i/>
          <w:iCs/>
        </w:rPr>
        <w:t>id.</w:t>
      </w:r>
      <w:r w:rsidR="00C01A7C" w:rsidRPr="00BF60E5">
        <w:t xml:space="preserve"> </w:t>
      </w:r>
      <w:r w:rsidR="00C01A7C">
        <w:t>at p.</w:t>
      </w:r>
      <w:r w:rsidR="0023450E">
        <w:t> </w:t>
      </w:r>
      <w:r w:rsidR="00C01A7C" w:rsidRPr="00BF60E5">
        <w:t>534</w:t>
      </w:r>
      <w:r w:rsidR="00C01A7C">
        <w:t>), and, in so deciding, the City “could consider the questions of public good, public interests, and public policy involved solely by virtue of and in the exercise of its legislative powers, and its action thereon was clearly an act in the exercise of that power.”  (</w:t>
      </w:r>
      <w:r w:rsidR="00C01A7C" w:rsidRPr="00DD082F">
        <w:rPr>
          <w:i/>
          <w:iCs/>
        </w:rPr>
        <w:t>Hopping</w:t>
      </w:r>
      <w:r w:rsidR="00C01A7C">
        <w:t xml:space="preserve">, </w:t>
      </w:r>
      <w:r w:rsidR="00C01A7C">
        <w:rPr>
          <w:i/>
          <w:iCs/>
        </w:rPr>
        <w:t>supra</w:t>
      </w:r>
      <w:r w:rsidR="00C01A7C">
        <w:t>, 170 Cal. at p. 615.)</w:t>
      </w:r>
    </w:p>
    <w:p w14:paraId="3680781B" w14:textId="77777777" w:rsidR="00927C82" w:rsidRDefault="00A028CE" w:rsidP="000F56ED">
      <w:pPr>
        <w:spacing w:line="360" w:lineRule="auto"/>
        <w:rPr>
          <w:i/>
          <w:iCs/>
        </w:rPr>
      </w:pPr>
      <w:r>
        <w:t>I</w:t>
      </w:r>
      <w:r w:rsidR="00962361">
        <w:t>V</w:t>
      </w:r>
      <w:r>
        <w:t xml:space="preserve">. </w:t>
      </w:r>
      <w:r>
        <w:tab/>
      </w:r>
      <w:r w:rsidR="00962361">
        <w:rPr>
          <w:i/>
          <w:iCs/>
        </w:rPr>
        <w:t>The City Was Not Acting as the State’s Administrative</w:t>
      </w:r>
      <w:r w:rsidR="005C665A">
        <w:rPr>
          <w:i/>
          <w:iCs/>
        </w:rPr>
        <w:t xml:space="preserve"> Agent</w:t>
      </w:r>
      <w:r w:rsidR="00927C82">
        <w:rPr>
          <w:i/>
          <w:iCs/>
        </w:rPr>
        <w:t xml:space="preserve"> in</w:t>
      </w:r>
    </w:p>
    <w:p w14:paraId="6FD53E7F" w14:textId="3232FECE" w:rsidR="00A028CE" w:rsidRPr="005C665A" w:rsidRDefault="00927C82" w:rsidP="000F56ED">
      <w:pPr>
        <w:spacing w:line="360" w:lineRule="auto"/>
        <w:rPr>
          <w:i/>
          <w:iCs/>
        </w:rPr>
      </w:pPr>
      <w:r>
        <w:rPr>
          <w:i/>
          <w:iCs/>
        </w:rPr>
        <w:tab/>
        <w:t>Approving the Resolution</w:t>
      </w:r>
    </w:p>
    <w:p w14:paraId="62FC0C3B" w14:textId="27C944BC" w:rsidR="00F236CC" w:rsidRDefault="00F236CC" w:rsidP="0016683E">
      <w:pPr>
        <w:spacing w:line="360" w:lineRule="auto"/>
      </w:pPr>
      <w:r>
        <w:tab/>
      </w:r>
      <w:r w:rsidR="00A644EC">
        <w:t>T</w:t>
      </w:r>
      <w:r>
        <w:t xml:space="preserve">he superior court </w:t>
      </w:r>
      <w:r w:rsidR="00A15D35">
        <w:t xml:space="preserve">also </w:t>
      </w:r>
      <w:r>
        <w:t xml:space="preserve">accepted </w:t>
      </w:r>
      <w:r w:rsidR="00A15D35">
        <w:t>respondents’</w:t>
      </w:r>
      <w:r>
        <w:t xml:space="preserve"> argument that, even if the Resolution would typically be considered a legislative act, approval of the Resolution </w:t>
      </w:r>
      <w:r w:rsidRPr="00A20999">
        <w:t>w</w:t>
      </w:r>
      <w:r>
        <w:t xml:space="preserve">as, in the language of </w:t>
      </w:r>
      <w:r>
        <w:rPr>
          <w:i/>
          <w:iCs/>
        </w:rPr>
        <w:t>Yost</w:t>
      </w:r>
      <w:r>
        <w:t>, “administrative in nature by virtue of the fact that the council was acting under the authority delegated by the state to implement [the redevelopment dissolution process]—that, in effect, the [dissolution law] preempts the exercise of the power of referendum.”  (</w:t>
      </w:r>
      <w:r w:rsidRPr="00966A2A">
        <w:rPr>
          <w:i/>
          <w:iCs/>
        </w:rPr>
        <w:t>Yost</w:t>
      </w:r>
      <w:r>
        <w:t xml:space="preserve">, </w:t>
      </w:r>
      <w:r>
        <w:rPr>
          <w:i/>
          <w:iCs/>
        </w:rPr>
        <w:t>supra</w:t>
      </w:r>
      <w:r>
        <w:t xml:space="preserve">, 36 Cal.3d at p. 570.)  </w:t>
      </w:r>
      <w:r w:rsidRPr="00EE416A">
        <w:t xml:space="preserve">We </w:t>
      </w:r>
      <w:r>
        <w:t xml:space="preserve">reject that </w:t>
      </w:r>
      <w:r w:rsidR="00A15D35">
        <w:t>alternate basis to affirm</w:t>
      </w:r>
      <w:r w:rsidRPr="00EE416A">
        <w:t>.</w:t>
      </w:r>
    </w:p>
    <w:p w14:paraId="5D3C9AE2" w14:textId="2818269B" w:rsidR="00433FA7" w:rsidRPr="00DB34E4" w:rsidRDefault="00433FA7" w:rsidP="0016683E">
      <w:pPr>
        <w:spacing w:line="360" w:lineRule="auto"/>
        <w:rPr>
          <w:i/>
          <w:iCs/>
        </w:rPr>
      </w:pPr>
      <w:r>
        <w:tab/>
        <w:t xml:space="preserve">A. </w:t>
      </w:r>
      <w:r>
        <w:tab/>
      </w:r>
      <w:r w:rsidR="00F236CC">
        <w:rPr>
          <w:i/>
          <w:iCs/>
        </w:rPr>
        <w:t>Legal Principles</w:t>
      </w:r>
      <w:r w:rsidR="00134DDF">
        <w:rPr>
          <w:i/>
          <w:iCs/>
        </w:rPr>
        <w:t xml:space="preserve"> and the Dissolution Law</w:t>
      </w:r>
    </w:p>
    <w:p w14:paraId="4B5B2811" w14:textId="61D34556" w:rsidR="00E0613E" w:rsidRDefault="005C665A" w:rsidP="0016683E">
      <w:pPr>
        <w:spacing w:line="360" w:lineRule="auto"/>
      </w:pPr>
      <w:r>
        <w:tab/>
      </w:r>
      <w:r w:rsidR="00434E60">
        <w:t>“</w:t>
      </w:r>
      <w:r w:rsidR="00817F83">
        <w:t>Acts of a local governing body which, in a purely local context, would otherwise be legislative and subject to referendum may</w:t>
      </w:r>
      <w:r w:rsidR="00CA7F22">
        <w:t xml:space="preserve"> . . .</w:t>
      </w:r>
      <w:r w:rsidR="00817F83">
        <w:t xml:space="preserve"> become administrative </w:t>
      </w:r>
      <w:r w:rsidR="008A1301">
        <w:t>‘</w:t>
      </w:r>
      <w:r w:rsidR="00817F83">
        <w:t>in a situation in which the state</w:t>
      </w:r>
      <w:r w:rsidR="008A1301">
        <w:t>’</w:t>
      </w:r>
      <w:r w:rsidR="00817F83">
        <w:t>s system of regulation over a matter of statewide concern is so pervasive as to convert the local legislative body into an administrative agent of the state</w:t>
      </w:r>
      <w:r w:rsidR="008A1301">
        <w:t>.’ ”</w:t>
      </w:r>
      <w:r w:rsidR="00817F83">
        <w:t xml:space="preserve"> </w:t>
      </w:r>
      <w:r w:rsidR="008A1301">
        <w:t xml:space="preserve"> </w:t>
      </w:r>
      <w:r w:rsidR="00817F83">
        <w:t>(</w:t>
      </w:r>
      <w:r w:rsidR="008A1301" w:rsidRPr="008A1301">
        <w:rPr>
          <w:i/>
          <w:iCs/>
        </w:rPr>
        <w:t>Yost</w:t>
      </w:r>
      <w:r w:rsidR="00134DDF">
        <w:t xml:space="preserve">, </w:t>
      </w:r>
      <w:r w:rsidR="00134DDF">
        <w:rPr>
          <w:i/>
          <w:iCs/>
        </w:rPr>
        <w:t>supra</w:t>
      </w:r>
      <w:r w:rsidR="003072DD">
        <w:t xml:space="preserve">, </w:t>
      </w:r>
      <w:r w:rsidR="008A1301">
        <w:t xml:space="preserve">36 Cal.3d </w:t>
      </w:r>
      <w:r w:rsidR="003072DD">
        <w:t>at p.</w:t>
      </w:r>
      <w:r w:rsidR="0023450E">
        <w:t> </w:t>
      </w:r>
      <w:r w:rsidR="008A1301">
        <w:t>570.)</w:t>
      </w:r>
      <w:r w:rsidR="00231D3F">
        <w:t xml:space="preserve">  </w:t>
      </w:r>
      <w:r w:rsidR="000A3193">
        <w:t>Stated differently,</w:t>
      </w:r>
      <w:r w:rsidR="00CC3C00">
        <w:t xml:space="preserve"> acts are considered administrative where</w:t>
      </w:r>
      <w:r w:rsidR="000A3193">
        <w:t xml:space="preserve"> “</w:t>
      </w:r>
      <w:r w:rsidR="008653A8">
        <w:t>the state has acted to establish the basic policy and has vested the responsibility for carrying out that policy</w:t>
      </w:r>
      <w:r w:rsidR="000A3193">
        <w:t>” to a local governing body.  (</w:t>
      </w:r>
      <w:r w:rsidR="008653A8" w:rsidRPr="000A3193">
        <w:rPr>
          <w:i/>
          <w:iCs/>
        </w:rPr>
        <w:t>Simpson v. Hite</w:t>
      </w:r>
      <w:r w:rsidR="000A3193">
        <w:t xml:space="preserve"> (1950)</w:t>
      </w:r>
      <w:r w:rsidR="008653A8">
        <w:t xml:space="preserve"> 36 Cal.2d 125, 130</w:t>
      </w:r>
      <w:r w:rsidR="000A3193">
        <w:t>.)</w:t>
      </w:r>
      <w:r w:rsidR="000731B0">
        <w:t xml:space="preserve">  </w:t>
      </w:r>
      <w:r w:rsidR="00F00F47">
        <w:t>Nevertheless</w:t>
      </w:r>
      <w:r w:rsidR="000731B0">
        <w:t>,</w:t>
      </w:r>
      <w:r w:rsidR="00F00F47">
        <w:t xml:space="preserve"> in light of the presumption in fa</w:t>
      </w:r>
      <w:r w:rsidR="00C563F3">
        <w:t xml:space="preserve">vor of the right to initiative and referendum, there must be </w:t>
      </w:r>
      <w:r w:rsidR="00040168">
        <w:t xml:space="preserve">a </w:t>
      </w:r>
      <w:r w:rsidR="0016683E">
        <w:t xml:space="preserve">“definite indication </w:t>
      </w:r>
      <w:r w:rsidR="0016683E">
        <w:lastRenderedPageBreak/>
        <w:t>that the Legislature, as part of the exercise of its power to preempt all local legislation in matters of statewide concern, has intended to restrict that right.”  (</w:t>
      </w:r>
      <w:r w:rsidR="0016683E" w:rsidRPr="0016683E">
        <w:rPr>
          <w:i/>
          <w:iCs/>
        </w:rPr>
        <w:t>DeVita</w:t>
      </w:r>
      <w:r w:rsidR="00093953">
        <w:t xml:space="preserve">, </w:t>
      </w:r>
      <w:r w:rsidR="00093953">
        <w:rPr>
          <w:i/>
          <w:iCs/>
        </w:rPr>
        <w:t>supra</w:t>
      </w:r>
      <w:r w:rsidR="00093953">
        <w:t xml:space="preserve">, </w:t>
      </w:r>
      <w:r w:rsidR="0016683E">
        <w:t xml:space="preserve">9 Cal.4th </w:t>
      </w:r>
      <w:r w:rsidR="000C75F1">
        <w:t xml:space="preserve">at p. </w:t>
      </w:r>
      <w:r w:rsidR="0016683E">
        <w:t>776</w:t>
      </w:r>
      <w:r w:rsidR="00005F1E">
        <w:t xml:space="preserve">; accord </w:t>
      </w:r>
      <w:r w:rsidR="00005F1E" w:rsidRPr="00056A0B">
        <w:rPr>
          <w:i/>
          <w:iCs/>
        </w:rPr>
        <w:t>City of Morgan Hill v. Bushey</w:t>
      </w:r>
      <w:r w:rsidR="00005F1E">
        <w:t xml:space="preserve"> (2018) 5 Cal.5th 1068, 10</w:t>
      </w:r>
      <w:r w:rsidR="00F72FB7">
        <w:t>78–1079</w:t>
      </w:r>
      <w:r w:rsidR="00005F1E">
        <w:t xml:space="preserve"> (</w:t>
      </w:r>
      <w:r w:rsidR="00005F1E">
        <w:rPr>
          <w:i/>
          <w:iCs/>
        </w:rPr>
        <w:t>Bushey</w:t>
      </w:r>
      <w:r w:rsidR="00005F1E">
        <w:t>)</w:t>
      </w:r>
      <w:r w:rsidR="0016683E">
        <w:t>.)</w:t>
      </w:r>
      <w:r w:rsidR="000731B0">
        <w:t xml:space="preserve"> </w:t>
      </w:r>
      <w:r w:rsidR="000A3193">
        <w:t xml:space="preserve">  </w:t>
      </w:r>
    </w:p>
    <w:p w14:paraId="453744C6" w14:textId="33CE06ED" w:rsidR="00F54DE9" w:rsidRDefault="005423CA" w:rsidP="00AC0C7B">
      <w:pPr>
        <w:spacing w:line="360" w:lineRule="auto"/>
      </w:pPr>
      <w:r>
        <w:tab/>
        <w:t>“In the aftermath of World War II, the Legislature authorized the formation of community redevelopment agencies in order to remediate urban decay.  [Citations.]  The Community Redevelopment Law ‘was intended to help local governments revitalize blighted communities.’ ”  (</w:t>
      </w:r>
      <w:r w:rsidRPr="005423CA">
        <w:rPr>
          <w:i/>
          <w:iCs/>
        </w:rPr>
        <w:t>California Redevelopment Assn. v. Matosantos</w:t>
      </w:r>
      <w:r>
        <w:t xml:space="preserve"> (2011) 53 Cal.4th 231, 245–</w:t>
      </w:r>
      <w:r w:rsidR="00743494">
        <w:t>2</w:t>
      </w:r>
      <w:r>
        <w:t>46</w:t>
      </w:r>
      <w:r w:rsidR="00743494">
        <w:t xml:space="preserve"> (</w:t>
      </w:r>
      <w:r w:rsidR="00743494" w:rsidRPr="005423CA">
        <w:rPr>
          <w:i/>
          <w:iCs/>
        </w:rPr>
        <w:t>Matosantos</w:t>
      </w:r>
      <w:r w:rsidR="00743494">
        <w:t>)</w:t>
      </w:r>
      <w:r w:rsidR="00AC0C7B">
        <w:t xml:space="preserve">; see also </w:t>
      </w:r>
      <w:r w:rsidR="00904767" w:rsidRPr="00904767">
        <w:rPr>
          <w:i/>
          <w:iCs/>
        </w:rPr>
        <w:t>Marek v. Napa Cmty. Redevelopment Agency</w:t>
      </w:r>
      <w:r w:rsidR="00904767">
        <w:t xml:space="preserve"> (1988) 46</w:t>
      </w:r>
      <w:r w:rsidR="00BB0289">
        <w:t> </w:t>
      </w:r>
      <w:r w:rsidR="00904767">
        <w:t>Cal.3d 1070, 1082 [</w:t>
      </w:r>
      <w:r w:rsidR="0066180D">
        <w:t xml:space="preserve">the redevelopment law </w:t>
      </w:r>
      <w:r w:rsidR="00904767">
        <w:t xml:space="preserve">was intended to </w:t>
      </w:r>
      <w:r w:rsidR="00960E67">
        <w:t xml:space="preserve">remove and prevent blight, </w:t>
      </w:r>
      <w:r w:rsidR="00F54DE9">
        <w:t xml:space="preserve">to </w:t>
      </w:r>
      <w:r w:rsidR="00960E67">
        <w:t xml:space="preserve">create jobs and </w:t>
      </w:r>
      <w:r w:rsidR="00AC0C7B">
        <w:t>low-to-</w:t>
      </w:r>
      <w:r w:rsidR="00960E67">
        <w:t xml:space="preserve">moderate income housing, and </w:t>
      </w:r>
      <w:r w:rsidR="00F54DE9">
        <w:t>to attract private investment].)</w:t>
      </w:r>
    </w:p>
    <w:p w14:paraId="715895A2" w14:textId="09031475" w:rsidR="001712F8" w:rsidRDefault="00F54DE9" w:rsidP="001712F8">
      <w:pPr>
        <w:spacing w:line="360" w:lineRule="auto"/>
      </w:pPr>
      <w:r>
        <w:tab/>
      </w:r>
      <w:r w:rsidR="00DB6677">
        <w:t>“</w:t>
      </w:r>
      <w:r w:rsidR="00A92697">
        <w:t>[I]</w:t>
      </w:r>
      <w:r w:rsidR="00DB6677">
        <w:t>n the summer of 2011 the Legislature enacted legislation . . . that barred any new redevelopment agency obligations, and established procedures for the windup and dissolution of the obligations of the nearly 400 redevelopment agencies then existing.”  (</w:t>
      </w:r>
      <w:r w:rsidR="00DB6677" w:rsidRPr="003E2F36">
        <w:rPr>
          <w:i/>
          <w:iCs/>
        </w:rPr>
        <w:t>City of Pasadena v. Cohen</w:t>
      </w:r>
      <w:r w:rsidR="00DB6677">
        <w:t xml:space="preserve"> (2014) 228 Cal.App.4th 1461, 1463.)</w:t>
      </w:r>
      <w:r w:rsidR="00874FFB">
        <w:rPr>
          <w:rStyle w:val="FootnoteReference"/>
        </w:rPr>
        <w:footnoteReference w:id="7"/>
      </w:r>
      <w:r w:rsidR="00DB6677">
        <w:t xml:space="preserve">  The move “reflected a state policy to curtail perceived abuses of the [</w:t>
      </w:r>
      <w:r w:rsidR="003F0404">
        <w:t>redevelopment law</w:t>
      </w:r>
      <w:r w:rsidR="00DB6677">
        <w:t xml:space="preserve">] by which [redevelopment agencies] and their </w:t>
      </w:r>
      <w:r w:rsidR="00243522">
        <w:t>‘</w:t>
      </w:r>
      <w:r w:rsidR="00DB6677">
        <w:t>sponsor</w:t>
      </w:r>
      <w:r w:rsidR="00243522">
        <w:t>’</w:t>
      </w:r>
      <w:r w:rsidR="00DB6677">
        <w:t xml:space="preserve"> entities (usually cities) . . . used an increasing </w:t>
      </w:r>
      <w:r w:rsidR="00DB6677">
        <w:lastRenderedPageBreak/>
        <w:t>share of local property taxes as ‘tax increments’ (increases in property tax attributable to [agency] projects) for their own benefit.”  (</w:t>
      </w:r>
      <w:r w:rsidR="00DB6677" w:rsidRPr="00631D83">
        <w:rPr>
          <w:i/>
          <w:iCs/>
        </w:rPr>
        <w:t>City of Grass Valley v. Cohen</w:t>
      </w:r>
      <w:r w:rsidR="00DB6677">
        <w:t xml:space="preserve"> (2017) 17 Cal.App.5th 567, 573</w:t>
      </w:r>
      <w:r w:rsidR="00F10AC8">
        <w:t xml:space="preserve">; see also </w:t>
      </w:r>
      <w:r w:rsidR="00F10AC8" w:rsidRPr="005423CA">
        <w:rPr>
          <w:i/>
          <w:iCs/>
        </w:rPr>
        <w:t>Matosantos</w:t>
      </w:r>
      <w:r w:rsidR="00F10AC8">
        <w:t xml:space="preserve">, </w:t>
      </w:r>
      <w:r w:rsidR="009E6319">
        <w:rPr>
          <w:i/>
          <w:iCs/>
        </w:rPr>
        <w:t>supra</w:t>
      </w:r>
      <w:r w:rsidR="009E6319">
        <w:t>, 53</w:t>
      </w:r>
      <w:r w:rsidR="00262954">
        <w:t> </w:t>
      </w:r>
      <w:r w:rsidR="009E6319">
        <w:t xml:space="preserve">Cal.4th at </w:t>
      </w:r>
      <w:r w:rsidR="00F10AC8">
        <w:t xml:space="preserve">p. </w:t>
      </w:r>
      <w:r w:rsidR="003E2F7D">
        <w:t>248</w:t>
      </w:r>
      <w:r w:rsidR="00F10AC8">
        <w:t xml:space="preserve"> [explaining </w:t>
      </w:r>
      <w:r w:rsidR="00243522">
        <w:t>that the Legislature was</w:t>
      </w:r>
      <w:r w:rsidR="007B0C84">
        <w:t xml:space="preserve"> particularl</w:t>
      </w:r>
      <w:r w:rsidR="003E2F7D">
        <w:t>y</w:t>
      </w:r>
      <w:r w:rsidR="00243522">
        <w:t xml:space="preserve"> concerned that property tax revenue</w:t>
      </w:r>
      <w:r w:rsidR="007B0C84">
        <w:t xml:space="preserve">s were shifted away from </w:t>
      </w:r>
      <w:r w:rsidR="003E2F7D">
        <w:t>school districts]</w:t>
      </w:r>
      <w:r w:rsidR="00085D49">
        <w:t xml:space="preserve">; </w:t>
      </w:r>
      <w:r w:rsidR="00085D49">
        <w:rPr>
          <w:i/>
          <w:iCs/>
        </w:rPr>
        <w:t>id.</w:t>
      </w:r>
      <w:r w:rsidR="00085D49">
        <w:t xml:space="preserve"> at p. </w:t>
      </w:r>
      <w:r w:rsidR="00E20929">
        <w:t xml:space="preserve">247 [pointing out that, by 2011, </w:t>
      </w:r>
      <w:r w:rsidR="00E87051">
        <w:t>redevelopment agencies received “12 percent of all property tax revenue in the state”]</w:t>
      </w:r>
      <w:r w:rsidR="001712F8">
        <w:t xml:space="preserve">; </w:t>
      </w:r>
      <w:r w:rsidR="00BD7C50" w:rsidRPr="00BD7C50">
        <w:rPr>
          <w:i/>
          <w:iCs/>
        </w:rPr>
        <w:t>Stephenshaw</w:t>
      </w:r>
      <w:r w:rsidR="008B4802">
        <w:t xml:space="preserve">, </w:t>
      </w:r>
      <w:r w:rsidR="008B4802">
        <w:rPr>
          <w:i/>
          <w:iCs/>
        </w:rPr>
        <w:t>supra</w:t>
      </w:r>
      <w:r w:rsidR="008B4802">
        <w:t xml:space="preserve">, </w:t>
      </w:r>
      <w:r w:rsidR="00BD7C50">
        <w:t xml:space="preserve">91 Cal.App.5th </w:t>
      </w:r>
      <w:r w:rsidR="008B4802">
        <w:t xml:space="preserve">at p. </w:t>
      </w:r>
      <w:r w:rsidR="00BD7C50">
        <w:t>357.)</w:t>
      </w:r>
    </w:p>
    <w:p w14:paraId="6376861A" w14:textId="571BC08B" w:rsidR="001E27DF" w:rsidRDefault="00DB6677" w:rsidP="005423CA">
      <w:pPr>
        <w:spacing w:line="360" w:lineRule="auto"/>
      </w:pPr>
      <w:r>
        <w:tab/>
        <w:t xml:space="preserve">Prior to dissolution, </w:t>
      </w:r>
      <w:r w:rsidR="005423CA">
        <w:t>redevelopment agenc</w:t>
      </w:r>
      <w:r w:rsidR="003A0688">
        <w:t>ies were usually “</w:t>
      </w:r>
      <w:r w:rsidR="005423CA">
        <w:t>governed by the sponsoring community</w:t>
      </w:r>
      <w:r w:rsidR="003A0688">
        <w:t>’</w:t>
      </w:r>
      <w:r w:rsidR="005423CA">
        <w:t xml:space="preserve">s own legislative body. </w:t>
      </w:r>
      <w:r w:rsidR="003A0688">
        <w:t xml:space="preserve"> [Citation</w:t>
      </w:r>
      <w:r w:rsidR="00BC3E2A">
        <w:t>s</w:t>
      </w:r>
      <w:r w:rsidR="003A0688">
        <w:t xml:space="preserve">.]  </w:t>
      </w:r>
      <w:r w:rsidR="005423CA">
        <w:t xml:space="preserve">An agency </w:t>
      </w:r>
      <w:r w:rsidR="00BC3E2A">
        <w:t>[was]</w:t>
      </w:r>
      <w:r w:rsidR="005423CA">
        <w:t xml:space="preserve"> authorized to </w:t>
      </w:r>
      <w:r w:rsidR="00BC3E2A">
        <w:t>‘</w:t>
      </w:r>
      <w:r w:rsidR="005423CA">
        <w:t>prepare and carry out plans for the improvement, rehabilitation, and redevelopment of blighted areas.</w:t>
      </w:r>
      <w:r w:rsidR="00BC3E2A">
        <w:t>’  [Citation.]  T</w:t>
      </w:r>
      <w:r w:rsidR="005423CA">
        <w:t xml:space="preserve">o carry out such redevelopment plans, agencies </w:t>
      </w:r>
      <w:r w:rsidR="00684C5E">
        <w:t>[could]</w:t>
      </w:r>
      <w:r w:rsidR="005423CA">
        <w:t xml:space="preserve"> acquire real property</w:t>
      </w:r>
      <w:r w:rsidR="008D2543">
        <w:t xml:space="preserve"> . . . </w:t>
      </w:r>
      <w:r w:rsidR="005423CA">
        <w:t>and undertake certain improvements to other public facilities in the project area</w:t>
      </w:r>
      <w:r w:rsidR="008D2543">
        <w:t xml:space="preserve"> [citation]</w:t>
      </w:r>
      <w:r w:rsidR="005423CA">
        <w:t xml:space="preserve">. </w:t>
      </w:r>
      <w:r w:rsidR="008D2543">
        <w:t xml:space="preserve"> </w:t>
      </w:r>
      <w:r w:rsidR="005423CA">
        <w:t xml:space="preserve">While redevelopment agencies </w:t>
      </w:r>
      <w:r w:rsidR="008D2543">
        <w:t>[]</w:t>
      </w:r>
      <w:r w:rsidR="005423CA">
        <w:t xml:space="preserve"> used their powers in a wide variety of ways, in one common type of project the redevelopment agency </w:t>
      </w:r>
      <w:r w:rsidR="00743494">
        <w:t>[bought]</w:t>
      </w:r>
      <w:r w:rsidR="005423CA">
        <w:t xml:space="preserve"> and </w:t>
      </w:r>
      <w:r w:rsidR="00743494">
        <w:t>[assembled]</w:t>
      </w:r>
      <w:r w:rsidR="005423CA">
        <w:t xml:space="preserve"> parcels of land, buil</w:t>
      </w:r>
      <w:r w:rsidR="00743494">
        <w:t xml:space="preserve">[t] </w:t>
      </w:r>
      <w:r w:rsidR="005423CA">
        <w:t>or enhance</w:t>
      </w:r>
      <w:r w:rsidR="00743494">
        <w:t>[d]</w:t>
      </w:r>
      <w:r w:rsidR="005423CA">
        <w:t xml:space="preserve"> the site</w:t>
      </w:r>
      <w:r w:rsidR="00743494">
        <w:t>’</w:t>
      </w:r>
      <w:r w:rsidR="005423CA">
        <w:t>s infrastructure, and transfer</w:t>
      </w:r>
      <w:r w:rsidR="00743494">
        <w:t>[red]</w:t>
      </w:r>
      <w:r w:rsidR="005423CA">
        <w:t xml:space="preserve"> the land to private parties on favorable terms for residential and/or commercial development.</w:t>
      </w:r>
      <w:r w:rsidR="00743494">
        <w:t>”  (</w:t>
      </w:r>
      <w:r w:rsidR="00AC52C6" w:rsidRPr="005423CA">
        <w:rPr>
          <w:i/>
          <w:iCs/>
        </w:rPr>
        <w:t>Matosantos</w:t>
      </w:r>
      <w:r w:rsidR="00AC52C6">
        <w:t xml:space="preserve">, </w:t>
      </w:r>
      <w:r w:rsidR="00AC52C6">
        <w:rPr>
          <w:i/>
          <w:iCs/>
        </w:rPr>
        <w:t>supra</w:t>
      </w:r>
      <w:r w:rsidR="00AC52C6">
        <w:t>, 53 Cal.4th at p. 246.)</w:t>
      </w:r>
    </w:p>
    <w:p w14:paraId="32FDE97E" w14:textId="49C71A50" w:rsidR="00252C89" w:rsidRDefault="001E27DF" w:rsidP="00252C89">
      <w:pPr>
        <w:spacing w:line="360" w:lineRule="auto"/>
      </w:pPr>
      <w:r>
        <w:tab/>
      </w:r>
      <w:r w:rsidR="00F535DF">
        <w:t xml:space="preserve">As explained in </w:t>
      </w:r>
      <w:r w:rsidR="00F535DF" w:rsidRPr="00F535DF">
        <w:rPr>
          <w:i/>
          <w:iCs/>
        </w:rPr>
        <w:t>Matosantos</w:t>
      </w:r>
      <w:r w:rsidR="00F535DF">
        <w:t>, t</w:t>
      </w:r>
      <w:r w:rsidRPr="00F535DF">
        <w:t>he</w:t>
      </w:r>
      <w:r>
        <w:t xml:space="preserve"> </w:t>
      </w:r>
      <w:r w:rsidR="00F535DF">
        <w:t xml:space="preserve">redevelopment </w:t>
      </w:r>
      <w:r>
        <w:t xml:space="preserve">dissolution </w:t>
      </w:r>
      <w:r w:rsidR="00F535DF">
        <w:t>legislation “</w:t>
      </w:r>
      <w:r>
        <w:t xml:space="preserve">dissolves all redevelopment agencies </w:t>
      </w:r>
      <w:r w:rsidR="001C25C7">
        <w:t>[citation]</w:t>
      </w:r>
      <w:r>
        <w:t xml:space="preserve"> and transfers control of redevelopment agency assets to successor agencies, which are contemplated to be the city or county that created the redevelopment agency </w:t>
      </w:r>
      <w:r w:rsidR="001C25C7">
        <w:t>[citations]. . . .  [S]</w:t>
      </w:r>
      <w:r>
        <w:t xml:space="preserve">uccessor agencies </w:t>
      </w:r>
      <w:r w:rsidR="001C25C7">
        <w:t xml:space="preserve">[are required] </w:t>
      </w:r>
      <w:r>
        <w:t>to continue to make payments and perform existing obligations.</w:t>
      </w:r>
      <w:r w:rsidR="00D16617">
        <w:t xml:space="preserve">”  </w:t>
      </w:r>
      <w:r w:rsidR="009A1293">
        <w:t>(</w:t>
      </w:r>
      <w:r w:rsidRPr="009A1293">
        <w:rPr>
          <w:i/>
          <w:iCs/>
        </w:rPr>
        <w:t>Matosantos</w:t>
      </w:r>
      <w:r>
        <w:t>,</w:t>
      </w:r>
      <w:r w:rsidR="009A1293">
        <w:t xml:space="preserve"> </w:t>
      </w:r>
      <w:r w:rsidR="009A1293">
        <w:rPr>
          <w:i/>
          <w:iCs/>
        </w:rPr>
        <w:t>supra</w:t>
      </w:r>
      <w:r w:rsidR="009A1293">
        <w:t>,</w:t>
      </w:r>
      <w:r>
        <w:t xml:space="preserve"> 53 Cal.4th </w:t>
      </w:r>
      <w:r w:rsidR="009A1293">
        <w:t xml:space="preserve">at p. </w:t>
      </w:r>
      <w:r>
        <w:t>251</w:t>
      </w:r>
      <w:r w:rsidR="00E37643">
        <w:t xml:space="preserve">; see </w:t>
      </w:r>
      <w:r w:rsidR="00E37643">
        <w:lastRenderedPageBreak/>
        <w:t>also</w:t>
      </w:r>
      <w:r w:rsidR="00557C9B">
        <w:t xml:space="preserve"> Health and Saf. Code</w:t>
      </w:r>
      <w:r w:rsidR="00114AD9">
        <w:t>,</w:t>
      </w:r>
      <w:r w:rsidR="00557C9B">
        <w:t xml:space="preserve"> § 34167;</w:t>
      </w:r>
      <w:r w:rsidR="00E37643">
        <w:t xml:space="preserve"> </w:t>
      </w:r>
      <w:r w:rsidR="00E37643" w:rsidRPr="00BD7C50">
        <w:rPr>
          <w:i/>
          <w:iCs/>
        </w:rPr>
        <w:t>Stephenshaw</w:t>
      </w:r>
      <w:r w:rsidR="00E37643">
        <w:t xml:space="preserve">, </w:t>
      </w:r>
      <w:r w:rsidR="00E37643">
        <w:rPr>
          <w:i/>
          <w:iCs/>
        </w:rPr>
        <w:t>supra</w:t>
      </w:r>
      <w:r w:rsidR="00E37643">
        <w:t>, 91 Cal.App.5th at p</w:t>
      </w:r>
      <w:r w:rsidR="00BC70D4">
        <w:t>p</w:t>
      </w:r>
      <w:r w:rsidR="00E37643">
        <w:t>.</w:t>
      </w:r>
      <w:r w:rsidR="00262954">
        <w:t> </w:t>
      </w:r>
      <w:r w:rsidR="00E37643">
        <w:t>357</w:t>
      </w:r>
      <w:r w:rsidR="009562AA">
        <w:t>–358</w:t>
      </w:r>
      <w:r w:rsidR="002A24A6">
        <w:t>.)</w:t>
      </w:r>
    </w:p>
    <w:p w14:paraId="05BA689A" w14:textId="0BA74F78" w:rsidR="009A1293" w:rsidRDefault="009A1293" w:rsidP="001E27DF">
      <w:pPr>
        <w:spacing w:line="360" w:lineRule="auto"/>
      </w:pPr>
      <w:r>
        <w:tab/>
        <w:t xml:space="preserve">As relevant in the present case, </w:t>
      </w:r>
      <w:r w:rsidR="00380070">
        <w:t>Health and Safety Code section 34191.5</w:t>
      </w:r>
      <w:r w:rsidR="001F728D">
        <w:t>, subdivision (b)</w:t>
      </w:r>
      <w:r w:rsidR="00380070">
        <w:t xml:space="preserve"> requires </w:t>
      </w:r>
      <w:r w:rsidR="00FF205F">
        <w:t xml:space="preserve">a successor agency to </w:t>
      </w:r>
      <w:r w:rsidR="001F728D">
        <w:t>“</w:t>
      </w:r>
      <w:r w:rsidR="001F728D" w:rsidRPr="001F728D">
        <w:t>prepare a long-range property management plan that addresses the disposition and use of the real properties of the former redevelopment agency</w:t>
      </w:r>
      <w:r w:rsidR="001F728D">
        <w:t>”</w:t>
      </w:r>
      <w:r w:rsidR="007360E3">
        <w:t xml:space="preserve"> and submit the plan for approval by the </w:t>
      </w:r>
      <w:r w:rsidR="00CD408A">
        <w:t>Department of Finance</w:t>
      </w:r>
      <w:r w:rsidR="00036AA3">
        <w:t xml:space="preserve"> and a local </w:t>
      </w:r>
      <w:r w:rsidR="003C24ED">
        <w:t>“</w:t>
      </w:r>
      <w:r w:rsidR="00036AA3">
        <w:t>oversight board</w:t>
      </w:r>
      <w:r w:rsidR="003C24ED">
        <w:t>”</w:t>
      </w:r>
      <w:r w:rsidR="00C8057F">
        <w:t xml:space="preserve"> (</w:t>
      </w:r>
      <w:r w:rsidR="00C8057F">
        <w:rPr>
          <w:i/>
          <w:iCs/>
        </w:rPr>
        <w:t xml:space="preserve">id. </w:t>
      </w:r>
      <w:r w:rsidR="00C8057F">
        <w:t>at §</w:t>
      </w:r>
      <w:r w:rsidR="00262954">
        <w:t> </w:t>
      </w:r>
      <w:r w:rsidR="00C8057F">
        <w:t>34179)</w:t>
      </w:r>
      <w:r w:rsidR="007360E3">
        <w:t xml:space="preserve">.  </w:t>
      </w:r>
      <w:r w:rsidR="0047340F">
        <w:t>The</w:t>
      </w:r>
      <w:r w:rsidR="0087127A">
        <w:t xml:space="preserve"> plan must inventory the </w:t>
      </w:r>
      <w:r w:rsidR="00BD1354">
        <w:t xml:space="preserve">former redevelopment agency </w:t>
      </w:r>
      <w:r w:rsidR="0087127A">
        <w:t>properties</w:t>
      </w:r>
      <w:r w:rsidR="0042699F">
        <w:t xml:space="preserve"> with </w:t>
      </w:r>
      <w:r w:rsidR="00254831">
        <w:t>specified</w:t>
      </w:r>
      <w:r w:rsidR="0042699F">
        <w:t xml:space="preserve"> information </w:t>
      </w:r>
      <w:r w:rsidR="0047340F">
        <w:t xml:space="preserve">and </w:t>
      </w:r>
      <w:r w:rsidR="00764614">
        <w:t>“[a]</w:t>
      </w:r>
      <w:r w:rsidR="00764614" w:rsidRPr="00764614">
        <w:t>ddress the use or disposition of all of the properties in the trust.</w:t>
      </w:r>
      <w:r w:rsidR="00764614">
        <w:t>”  (</w:t>
      </w:r>
      <w:r w:rsidR="00764614">
        <w:rPr>
          <w:i/>
          <w:iCs/>
        </w:rPr>
        <w:t xml:space="preserve">Id. </w:t>
      </w:r>
      <w:r w:rsidR="00764614">
        <w:t>at § 34191.5, subd. (</w:t>
      </w:r>
      <w:r w:rsidR="00C31791">
        <w:t>c</w:t>
      </w:r>
      <w:r w:rsidR="00764614">
        <w:t>)</w:t>
      </w:r>
      <w:r w:rsidR="00C31791">
        <w:t>.)</w:t>
      </w:r>
      <w:r w:rsidR="00965EC6">
        <w:t xml:space="preserve">  </w:t>
      </w:r>
      <w:r w:rsidR="00F14DF7">
        <w:t xml:space="preserve">A property may </w:t>
      </w:r>
      <w:r w:rsidR="00D77205">
        <w:t xml:space="preserve">not be transferred </w:t>
      </w:r>
      <w:r w:rsidR="002C1378">
        <w:t>“</w:t>
      </w:r>
      <w:r w:rsidR="002C1378" w:rsidRPr="002C1378">
        <w:t>unless the long-range property management plan has been approved by the oversight board and the Department of Finance</w:t>
      </w:r>
      <w:r w:rsidR="002C1378">
        <w:t xml:space="preserve">.”  </w:t>
      </w:r>
      <w:r w:rsidR="009A11E4">
        <w:t>(</w:t>
      </w:r>
      <w:r w:rsidR="009A11E4">
        <w:rPr>
          <w:i/>
          <w:iCs/>
        </w:rPr>
        <w:t xml:space="preserve">Id. </w:t>
      </w:r>
      <w:r w:rsidR="009A11E4">
        <w:t>at § 34191.5, subd. (c)(2)(C).)</w:t>
      </w:r>
      <w:r w:rsidR="008C333D">
        <w:t xml:space="preserve">  In reviewing such a plan, </w:t>
      </w:r>
      <w:r w:rsidR="00EE4EF1">
        <w:t>“[t]</w:t>
      </w:r>
      <w:r w:rsidR="00EE4EF1" w:rsidRPr="00EE4EF1">
        <w:t>he department shall only consider whether the long-range property management plan makes a good faith effort to address the requirements</w:t>
      </w:r>
      <w:r w:rsidR="00EA5CDA">
        <w:t xml:space="preserve"> set forth in subdivision (c)”</w:t>
      </w:r>
      <w:r w:rsidR="005923B4">
        <w:t xml:space="preserve"> (</w:t>
      </w:r>
      <w:r w:rsidR="005923B4">
        <w:rPr>
          <w:i/>
          <w:iCs/>
        </w:rPr>
        <w:t xml:space="preserve">id. </w:t>
      </w:r>
      <w:r w:rsidR="005923B4">
        <w:t>at § 34191.5, subd. (</w:t>
      </w:r>
      <w:r w:rsidR="005B250B">
        <w:t>d)</w:t>
      </w:r>
      <w:r w:rsidR="005923B4">
        <w:t>)</w:t>
      </w:r>
      <w:r w:rsidR="005B250B">
        <w:t>,</w:t>
      </w:r>
      <w:r w:rsidR="005923B4">
        <w:t xml:space="preserve"> </w:t>
      </w:r>
      <w:r w:rsidR="00EA5CDA">
        <w:t xml:space="preserve">requiring an inventory and </w:t>
      </w:r>
      <w:r w:rsidR="005923B4">
        <w:t xml:space="preserve">proposed </w:t>
      </w:r>
      <w:r w:rsidR="00EA5CDA">
        <w:t xml:space="preserve">disposition </w:t>
      </w:r>
      <w:r w:rsidR="005923B4">
        <w:t>of all properties.</w:t>
      </w:r>
      <w:r w:rsidR="00F54DC0">
        <w:t xml:space="preserve">  An approved plan “govern[s], and supersede[s] all other provisions relating to, the disposition and use of the real property assets of the former redevelopment agency.”  (</w:t>
      </w:r>
      <w:r w:rsidR="00F41518">
        <w:rPr>
          <w:i/>
          <w:iCs/>
        </w:rPr>
        <w:t>Id.</w:t>
      </w:r>
      <w:r w:rsidR="00F41518">
        <w:t xml:space="preserve"> at</w:t>
      </w:r>
      <w:r w:rsidR="00F41518">
        <w:rPr>
          <w:i/>
          <w:iCs/>
        </w:rPr>
        <w:t xml:space="preserve"> </w:t>
      </w:r>
      <w:r w:rsidR="00F54DC0" w:rsidRPr="00B27A2C">
        <w:t>§ 34191.</w:t>
      </w:r>
      <w:r w:rsidR="00F54DC0">
        <w:t xml:space="preserve">3, </w:t>
      </w:r>
      <w:r w:rsidR="00F54DC0" w:rsidRPr="00B27A2C">
        <w:t>subd. (</w:t>
      </w:r>
      <w:r w:rsidR="00F54DC0">
        <w:t>a</w:t>
      </w:r>
      <w:r w:rsidR="00F54DC0" w:rsidRPr="00B27A2C">
        <w:t>).)</w:t>
      </w:r>
      <w:r w:rsidR="00F54DC0">
        <w:t xml:space="preserve"> </w:t>
      </w:r>
      <w:r w:rsidR="00554ABF">
        <w:t xml:space="preserve"> Finally, the </w:t>
      </w:r>
      <w:r w:rsidR="0046365F">
        <w:t xml:space="preserve">legislation </w:t>
      </w:r>
      <w:r w:rsidR="00554ABF">
        <w:t>specifies that “[a]</w:t>
      </w:r>
      <w:r w:rsidR="00554ABF" w:rsidRPr="00554ABF">
        <w:t>ctions to implement the disposition of property pursuant to an approved long-range property management plan shall not require review by the department.</w:t>
      </w:r>
      <w:r w:rsidR="00554ABF">
        <w:t>”  (</w:t>
      </w:r>
      <w:r w:rsidR="00554ABF">
        <w:rPr>
          <w:i/>
          <w:iCs/>
        </w:rPr>
        <w:t xml:space="preserve">Id. </w:t>
      </w:r>
      <w:r w:rsidR="00554ABF">
        <w:t>at § 34191.5, subd. (</w:t>
      </w:r>
      <w:r w:rsidR="00365453">
        <w:t>f</w:t>
      </w:r>
      <w:r w:rsidR="00554ABF">
        <w:t>)</w:t>
      </w:r>
      <w:r w:rsidR="00365453">
        <w:t>.)</w:t>
      </w:r>
    </w:p>
    <w:p w14:paraId="7877D8CA" w14:textId="5CA4E660" w:rsidR="00F236CC" w:rsidRPr="00F236CC" w:rsidRDefault="00F236CC" w:rsidP="001E27DF">
      <w:pPr>
        <w:spacing w:line="360" w:lineRule="auto"/>
        <w:rPr>
          <w:i/>
          <w:iCs/>
        </w:rPr>
      </w:pPr>
      <w:r>
        <w:tab/>
        <w:t xml:space="preserve">B. </w:t>
      </w:r>
      <w:r>
        <w:tab/>
      </w:r>
      <w:r>
        <w:rPr>
          <w:i/>
          <w:iCs/>
        </w:rPr>
        <w:t xml:space="preserve">Respondents’ </w:t>
      </w:r>
      <w:r w:rsidR="004B3886">
        <w:rPr>
          <w:i/>
          <w:iCs/>
        </w:rPr>
        <w:t>Authorities</w:t>
      </w:r>
    </w:p>
    <w:p w14:paraId="5FA2277C" w14:textId="548E6F6C" w:rsidR="005423CA" w:rsidRDefault="00421516" w:rsidP="005423CA">
      <w:pPr>
        <w:spacing w:line="360" w:lineRule="auto"/>
      </w:pPr>
      <w:r>
        <w:tab/>
      </w:r>
      <w:r w:rsidR="0082013D">
        <w:t>T</w:t>
      </w:r>
      <w:r w:rsidR="007D2C2C">
        <w:t xml:space="preserve">he </w:t>
      </w:r>
      <w:r w:rsidR="00E36904">
        <w:t xml:space="preserve">City’s </w:t>
      </w:r>
      <w:r w:rsidR="00E85386">
        <w:t>Long Range Plan</w:t>
      </w:r>
      <w:r w:rsidR="007D2C2C">
        <w:t xml:space="preserve"> </w:t>
      </w:r>
      <w:r w:rsidR="00E36904">
        <w:t xml:space="preserve">identified the Property as a housing asset to be transferred to the City </w:t>
      </w:r>
      <w:r w:rsidR="00E85E5F">
        <w:t xml:space="preserve">with the “goal” of </w:t>
      </w:r>
      <w:r w:rsidR="00E36904">
        <w:t>development of a “high</w:t>
      </w:r>
      <w:r w:rsidR="00C53328">
        <w:t xml:space="preserve"> </w:t>
      </w:r>
      <w:r w:rsidR="00E36904">
        <w:t xml:space="preserve">density residential project with an affordable component.”  The </w:t>
      </w:r>
      <w:r w:rsidR="00E85386">
        <w:t>Long Range Plan</w:t>
      </w:r>
      <w:r w:rsidR="00E36904">
        <w:t xml:space="preserve"> was approved by the Department of Finance.</w:t>
      </w:r>
    </w:p>
    <w:p w14:paraId="49526A55" w14:textId="77555F24" w:rsidR="00E0613E" w:rsidRDefault="000B08A7" w:rsidP="006817E5">
      <w:pPr>
        <w:spacing w:line="360" w:lineRule="auto"/>
      </w:pPr>
      <w:r>
        <w:lastRenderedPageBreak/>
        <w:tab/>
      </w:r>
      <w:r w:rsidR="00A17679">
        <w:t xml:space="preserve">Respondents </w:t>
      </w:r>
      <w:r>
        <w:t>a</w:t>
      </w:r>
      <w:r w:rsidR="004E50D9">
        <w:t>ssert</w:t>
      </w:r>
      <w:r>
        <w:t xml:space="preserve"> that</w:t>
      </w:r>
      <w:r w:rsidR="004E50D9">
        <w:t xml:space="preserve"> “Redevelopment Dissolution preempts local governments’ legislative powers,” but </w:t>
      </w:r>
      <w:r w:rsidR="00A17679">
        <w:t>they</w:t>
      </w:r>
      <w:r w:rsidR="004E50D9">
        <w:t xml:space="preserve"> </w:t>
      </w:r>
      <w:r w:rsidR="007A42A9">
        <w:t xml:space="preserve">do not clarify </w:t>
      </w:r>
      <w:r w:rsidR="002867C9">
        <w:t xml:space="preserve">why </w:t>
      </w:r>
      <w:r w:rsidR="004E50D9">
        <w:t xml:space="preserve">that is so.  </w:t>
      </w:r>
      <w:r w:rsidR="00C7739E">
        <w:t>A</w:t>
      </w:r>
      <w:r w:rsidR="00812905">
        <w:t xml:space="preserve">lthough the </w:t>
      </w:r>
      <w:r w:rsidR="00C7739E">
        <w:t>D</w:t>
      </w:r>
      <w:r w:rsidR="00812905">
        <w:t xml:space="preserve">issolution </w:t>
      </w:r>
      <w:r w:rsidR="00C7739E">
        <w:t>Law</w:t>
      </w:r>
      <w:r w:rsidR="00812905">
        <w:t xml:space="preserve"> required</w:t>
      </w:r>
      <w:r w:rsidR="006817E5">
        <w:t xml:space="preserve"> the City to inventory and </w:t>
      </w:r>
      <w:r w:rsidR="00BF1560">
        <w:t xml:space="preserve">describe the </w:t>
      </w:r>
      <w:r w:rsidR="006817E5">
        <w:t>dispos</w:t>
      </w:r>
      <w:r w:rsidR="00BF1560">
        <w:t>ition</w:t>
      </w:r>
      <w:r w:rsidR="006817E5">
        <w:t xml:space="preserve"> of the former redevelopment agency properties, and although the approved </w:t>
      </w:r>
      <w:r w:rsidR="00E85386">
        <w:t>Long Range Plan</w:t>
      </w:r>
      <w:r w:rsidR="0046365F">
        <w:t xml:space="preserve"> thereafter governed the disposition of the Property, </w:t>
      </w:r>
      <w:r w:rsidR="00A17679">
        <w:t>respondents</w:t>
      </w:r>
      <w:r w:rsidR="00A41BC1">
        <w:t xml:space="preserve"> fail to explain how that rendered </w:t>
      </w:r>
      <w:r w:rsidR="00A17679">
        <w:t>the City’s</w:t>
      </w:r>
      <w:r w:rsidR="00A41BC1">
        <w:t xml:space="preserve"> decision to </w:t>
      </w:r>
      <w:r w:rsidR="002C73D0">
        <w:t xml:space="preserve">construct </w:t>
      </w:r>
      <w:r w:rsidR="008E145C">
        <w:t xml:space="preserve">and </w:t>
      </w:r>
      <w:r w:rsidR="002C73D0">
        <w:t>improve</w:t>
      </w:r>
      <w:r w:rsidR="00A41BC1">
        <w:t xml:space="preserve"> Veteran</w:t>
      </w:r>
      <w:r w:rsidR="00C35541">
        <w:t>’</w:t>
      </w:r>
      <w:r w:rsidR="00A41BC1">
        <w:t>s Park</w:t>
      </w:r>
      <w:r w:rsidR="00001D6B">
        <w:t xml:space="preserve"> </w:t>
      </w:r>
      <w:r w:rsidR="005B2B3F">
        <w:t xml:space="preserve">administrative.  </w:t>
      </w:r>
      <w:r w:rsidR="005F0CD2">
        <w:t>T</w:t>
      </w:r>
      <w:r w:rsidR="00C973E8">
        <w:t xml:space="preserve">he Long Range Plan says nothing about </w:t>
      </w:r>
      <w:r w:rsidR="00AD6461">
        <w:t xml:space="preserve">the </w:t>
      </w:r>
      <w:r w:rsidR="003A010E">
        <w:t>construction of a public park</w:t>
      </w:r>
      <w:r w:rsidR="0076577B">
        <w:t xml:space="preserve">, and </w:t>
      </w:r>
      <w:r w:rsidR="00BF1560">
        <w:t>respondents are</w:t>
      </w:r>
      <w:r w:rsidR="00E369FF">
        <w:t xml:space="preserve"> misplaced in arguing</w:t>
      </w:r>
      <w:r w:rsidR="00BF1560">
        <w:t xml:space="preserve"> the City</w:t>
      </w:r>
      <w:r w:rsidR="00E369FF">
        <w:t xml:space="preserve"> merely acted as an administrative agent of the State in making </w:t>
      </w:r>
      <w:r w:rsidR="00CE5BBF">
        <w:t xml:space="preserve">the </w:t>
      </w:r>
      <w:r w:rsidR="00E369FF">
        <w:t>policy decision</w:t>
      </w:r>
      <w:r w:rsidR="00346D95">
        <w:t xml:space="preserve"> to do so</w:t>
      </w:r>
      <w:r w:rsidR="00517D40">
        <w:t>.</w:t>
      </w:r>
    </w:p>
    <w:p w14:paraId="1FBED0A2" w14:textId="6F5EBA48" w:rsidR="004B1BAC" w:rsidRDefault="00ED31A2" w:rsidP="002B20B1">
      <w:pPr>
        <w:spacing w:line="360" w:lineRule="auto"/>
      </w:pPr>
      <w:r>
        <w:tab/>
        <w:t xml:space="preserve">The cases </w:t>
      </w:r>
      <w:r w:rsidR="00E85566">
        <w:t>respondents</w:t>
      </w:r>
      <w:r>
        <w:t xml:space="preserve"> rel</w:t>
      </w:r>
      <w:r w:rsidR="00E85566">
        <w:t xml:space="preserve">y upon </w:t>
      </w:r>
      <w:r>
        <w:t>are distinguishable because they involve instances</w:t>
      </w:r>
      <w:r w:rsidR="006F1BA6">
        <w:t xml:space="preserve"> where</w:t>
      </w:r>
      <w:r>
        <w:t xml:space="preserve"> “the local legislative body’s discretion was largely preempted by statutory mandate.”</w:t>
      </w:r>
      <w:r w:rsidR="007F3EB4">
        <w:t xml:space="preserve">  (</w:t>
      </w:r>
      <w:r w:rsidR="007F3EB4" w:rsidRPr="007F3EB4">
        <w:rPr>
          <w:i/>
          <w:iCs/>
        </w:rPr>
        <w:t>DeVita</w:t>
      </w:r>
      <w:r w:rsidR="00E568B6">
        <w:t xml:space="preserve">, </w:t>
      </w:r>
      <w:r w:rsidR="00E568B6">
        <w:rPr>
          <w:i/>
          <w:iCs/>
        </w:rPr>
        <w:t>supra</w:t>
      </w:r>
      <w:r w:rsidR="00E568B6">
        <w:t xml:space="preserve">, </w:t>
      </w:r>
      <w:r w:rsidR="007F3EB4">
        <w:t xml:space="preserve">9 Cal.4th </w:t>
      </w:r>
      <w:r w:rsidR="00E568B6">
        <w:t xml:space="preserve">at p. </w:t>
      </w:r>
      <w:r w:rsidR="007F3EB4">
        <w:t xml:space="preserve">776.)  Thus, in </w:t>
      </w:r>
      <w:r w:rsidRPr="007F3EB4">
        <w:rPr>
          <w:i/>
          <w:iCs/>
        </w:rPr>
        <w:t>Simpson v. Hite</w:t>
      </w:r>
      <w:r>
        <w:t xml:space="preserve">, </w:t>
      </w:r>
      <w:r w:rsidRPr="007F3EB4">
        <w:rPr>
          <w:i/>
          <w:iCs/>
        </w:rPr>
        <w:t>supra</w:t>
      </w:r>
      <w:r>
        <w:t xml:space="preserve">, 36 Cal.2d 125, 133–134, </w:t>
      </w:r>
      <w:r w:rsidR="00D07EA2">
        <w:t xml:space="preserve">the court held that the </w:t>
      </w:r>
      <w:r>
        <w:t>initiative or referendum power c</w:t>
      </w:r>
      <w:r w:rsidR="00D07EA2">
        <w:t xml:space="preserve">ould not </w:t>
      </w:r>
      <w:r>
        <w:t xml:space="preserve">be used to interfere with </w:t>
      </w:r>
      <w:r w:rsidR="00D07EA2">
        <w:t xml:space="preserve">a </w:t>
      </w:r>
      <w:r>
        <w:t>board of supervisors</w:t>
      </w:r>
      <w:r w:rsidR="003E71BF">
        <w:t>’</w:t>
      </w:r>
      <w:r>
        <w:t xml:space="preserve"> duty to provide suitable</w:t>
      </w:r>
      <w:r w:rsidR="00660EF0">
        <w:t xml:space="preserve"> </w:t>
      </w:r>
      <w:r>
        <w:t>accommodations for courts</w:t>
      </w:r>
      <w:r w:rsidR="00D07EA2">
        <w:t>.</w:t>
      </w:r>
      <w:r w:rsidR="00FD6536">
        <w:t xml:space="preserve">  But, as explained in </w:t>
      </w:r>
      <w:r w:rsidR="00FD6536">
        <w:rPr>
          <w:i/>
          <w:iCs/>
        </w:rPr>
        <w:t>Yost</w:t>
      </w:r>
      <w:r w:rsidR="00FD6536">
        <w:t xml:space="preserve">, </w:t>
      </w:r>
      <w:r w:rsidR="00FD6536">
        <w:rPr>
          <w:i/>
          <w:iCs/>
        </w:rPr>
        <w:t>supra</w:t>
      </w:r>
      <w:r w:rsidR="00FD6536">
        <w:t xml:space="preserve">, 36 Cal.3d at p. </w:t>
      </w:r>
      <w:r w:rsidR="00B540D0">
        <w:t xml:space="preserve">573, </w:t>
      </w:r>
      <w:r w:rsidR="00964129">
        <w:t>“</w:t>
      </w:r>
      <w:r w:rsidR="00964129" w:rsidRPr="00964129">
        <w:t>the </w:t>
      </w:r>
      <w:r w:rsidR="00964129" w:rsidRPr="00964129">
        <w:rPr>
          <w:i/>
          <w:iCs/>
        </w:rPr>
        <w:t>only</w:t>
      </w:r>
      <w:r w:rsidR="00964129" w:rsidRPr="00964129">
        <w:t> discretion left to the local government by the Legislature in </w:t>
      </w:r>
      <w:r w:rsidR="00964129" w:rsidRPr="00964129">
        <w:rPr>
          <w:i/>
          <w:iCs/>
        </w:rPr>
        <w:t>Simpson</w:t>
      </w:r>
      <w:r w:rsidR="00964129" w:rsidRPr="00964129">
        <w:t> was the choice of a site for a municipal and superior court.</w:t>
      </w:r>
      <w:r w:rsidR="00895B4C">
        <w:t xml:space="preserve">  </w:t>
      </w:r>
      <w:r w:rsidR="00895B4C" w:rsidRPr="00895B4C">
        <w:t>The board of supervisors had a duty to provide suitable quarters for the courts</w:t>
      </w:r>
      <w:r w:rsidR="00895B4C">
        <w:t>. . .</w:t>
      </w:r>
      <w:r w:rsidR="00964129">
        <w:t>”</w:t>
      </w:r>
      <w:r w:rsidR="004B374F">
        <w:t xml:space="preserve">  (See also </w:t>
      </w:r>
      <w:r w:rsidR="00056A0B" w:rsidRPr="00056A0B">
        <w:rPr>
          <w:i/>
          <w:iCs/>
        </w:rPr>
        <w:t>Bushey</w:t>
      </w:r>
      <w:r w:rsidR="00E568B6">
        <w:t xml:space="preserve">, </w:t>
      </w:r>
      <w:r w:rsidR="00E568B6">
        <w:rPr>
          <w:i/>
          <w:iCs/>
        </w:rPr>
        <w:t>supra</w:t>
      </w:r>
      <w:r w:rsidR="003E0C21">
        <w:t xml:space="preserve">, </w:t>
      </w:r>
      <w:r w:rsidR="00056A0B">
        <w:t xml:space="preserve">5 Cal.5th </w:t>
      </w:r>
      <w:r w:rsidR="003E0C21">
        <w:t>at p.</w:t>
      </w:r>
      <w:r w:rsidR="00262954">
        <w:t> </w:t>
      </w:r>
      <w:r w:rsidR="00056A0B">
        <w:t xml:space="preserve">1083 [distinguishing </w:t>
      </w:r>
      <w:r w:rsidR="00056A0B">
        <w:rPr>
          <w:i/>
          <w:iCs/>
        </w:rPr>
        <w:t>Simpson</w:t>
      </w:r>
      <w:r w:rsidR="00056A0B">
        <w:t xml:space="preserve"> on same ground]</w:t>
      </w:r>
      <w:r w:rsidR="003564A4">
        <w:t xml:space="preserve">; </w:t>
      </w:r>
      <w:r w:rsidR="002B20B1" w:rsidRPr="002B20B1">
        <w:rPr>
          <w:i/>
          <w:iCs/>
        </w:rPr>
        <w:t>Associated Home Builders</w:t>
      </w:r>
      <w:r w:rsidR="00D252C2">
        <w:t xml:space="preserve">, </w:t>
      </w:r>
      <w:r w:rsidR="00D252C2">
        <w:rPr>
          <w:i/>
          <w:iCs/>
        </w:rPr>
        <w:t>supra</w:t>
      </w:r>
      <w:r w:rsidR="00D252C2">
        <w:t xml:space="preserve">, </w:t>
      </w:r>
      <w:r w:rsidR="002B20B1">
        <w:t xml:space="preserve">18 Cal.3d </w:t>
      </w:r>
      <w:r w:rsidR="00D252C2">
        <w:t xml:space="preserve">at p. </w:t>
      </w:r>
      <w:r w:rsidR="002B20B1">
        <w:t xml:space="preserve">596, </w:t>
      </w:r>
      <w:r w:rsidR="00321BA9">
        <w:t xml:space="preserve">fn. 14 [characterizing </w:t>
      </w:r>
      <w:r w:rsidR="00321BA9">
        <w:rPr>
          <w:i/>
          <w:iCs/>
        </w:rPr>
        <w:t>Simpson</w:t>
      </w:r>
      <w:r w:rsidR="00321BA9">
        <w:t xml:space="preserve"> as a case “</w:t>
      </w:r>
      <w:r w:rsidR="00321BA9" w:rsidRPr="00321BA9">
        <w:t>in which the state</w:t>
      </w:r>
      <w:r w:rsidR="00321BA9">
        <w:t>’</w:t>
      </w:r>
      <w:r w:rsidR="00321BA9" w:rsidRPr="00321BA9">
        <w:t>s system of regulation over a matter of statewide concern is so pervasive as to convert the local legislative body into an administrative agent of the state</w:t>
      </w:r>
      <w:r w:rsidR="00321BA9">
        <w:t xml:space="preserve">”].)  </w:t>
      </w:r>
      <w:r w:rsidR="00E52D6B">
        <w:t>No analogous mandate constrained the City’s discretion</w:t>
      </w:r>
      <w:r w:rsidR="00FD6CC7">
        <w:t xml:space="preserve"> </w:t>
      </w:r>
      <w:r w:rsidR="00BF0D70">
        <w:t>here</w:t>
      </w:r>
      <w:r w:rsidR="00E52D6B">
        <w:t>.</w:t>
      </w:r>
    </w:p>
    <w:p w14:paraId="1A60E04A" w14:textId="39E698BB" w:rsidR="002C7E41" w:rsidRDefault="00B92063" w:rsidP="00873018">
      <w:pPr>
        <w:spacing w:line="360" w:lineRule="auto"/>
      </w:pPr>
      <w:r>
        <w:tab/>
      </w:r>
      <w:r w:rsidR="006E545C">
        <w:t xml:space="preserve">Also </w:t>
      </w:r>
      <w:r w:rsidR="00DF7C1D">
        <w:t xml:space="preserve">distinguishable </w:t>
      </w:r>
      <w:r w:rsidR="00D13DA9">
        <w:t xml:space="preserve">are </w:t>
      </w:r>
      <w:r w:rsidR="006E545C">
        <w:t xml:space="preserve">cases arising in the context of </w:t>
      </w:r>
      <w:r w:rsidR="00A61C6D">
        <w:t xml:space="preserve">the Housing Authorities Law, </w:t>
      </w:r>
      <w:r w:rsidR="00833CE3">
        <w:t>enacted “</w:t>
      </w:r>
      <w:r w:rsidR="00833CE3" w:rsidRPr="00833CE3">
        <w:t xml:space="preserve">to take advantage of the federal loans provided by </w:t>
      </w:r>
      <w:r w:rsidR="00833CE3" w:rsidRPr="00833CE3">
        <w:lastRenderedPageBreak/>
        <w:t>the United States Housing Authority Act of 1937</w:t>
      </w:r>
      <w:r w:rsidR="00833CE3">
        <w:t xml:space="preserve">” and </w:t>
      </w:r>
      <w:r w:rsidR="00144B2C">
        <w:t>thereby p</w:t>
      </w:r>
      <w:r w:rsidR="00B914A2">
        <w:t>rovide</w:t>
      </w:r>
      <w:r w:rsidR="00144B2C">
        <w:t xml:space="preserve"> for</w:t>
      </w:r>
      <w:r w:rsidR="00B914A2">
        <w:t xml:space="preserve"> “</w:t>
      </w:r>
      <w:r w:rsidR="00B914A2" w:rsidRPr="00B914A2">
        <w:t>low-rent, safe and sanitary dwellings</w:t>
      </w:r>
      <w:r w:rsidR="00B914A2">
        <w:t xml:space="preserve">” </w:t>
      </w:r>
      <w:r w:rsidR="00AC629E">
        <w:t>throughout the State</w:t>
      </w:r>
      <w:r w:rsidR="00144B2C">
        <w:t>.  (</w:t>
      </w:r>
      <w:r w:rsidR="00144B2C">
        <w:rPr>
          <w:i/>
          <w:iCs/>
        </w:rPr>
        <w:t xml:space="preserve">Kleiber v. San Francisco </w:t>
      </w:r>
      <w:r w:rsidR="00144B2C">
        <w:t xml:space="preserve">(1941) 18 Cal.2d 718, 719, </w:t>
      </w:r>
      <w:r w:rsidR="00AC629E">
        <w:t>723</w:t>
      </w:r>
      <w:r w:rsidR="00144B2C">
        <w:t xml:space="preserve"> (</w:t>
      </w:r>
      <w:r w:rsidR="00144B2C">
        <w:rPr>
          <w:i/>
          <w:iCs/>
        </w:rPr>
        <w:t>Kleiber</w:t>
      </w:r>
      <w:r w:rsidR="00144B2C">
        <w:t>)</w:t>
      </w:r>
      <w:r w:rsidR="0096205B">
        <w:t>.</w:t>
      </w:r>
      <w:r w:rsidR="00A644EC">
        <w:t>)</w:t>
      </w:r>
      <w:r w:rsidR="0096205B">
        <w:t xml:space="preserve">  </w:t>
      </w:r>
      <w:r w:rsidR="00E55A3D" w:rsidRPr="00120203">
        <w:t xml:space="preserve">The court in </w:t>
      </w:r>
      <w:r w:rsidR="00E55A3D" w:rsidRPr="00120203">
        <w:rPr>
          <w:i/>
          <w:iCs/>
        </w:rPr>
        <w:t>Klieber</w:t>
      </w:r>
      <w:r w:rsidR="00E55A3D" w:rsidRPr="00120203">
        <w:t xml:space="preserve"> </w:t>
      </w:r>
      <w:r w:rsidR="00C90AAC">
        <w:t>rejected</w:t>
      </w:r>
      <w:r w:rsidR="00E55A3D" w:rsidRPr="00120203">
        <w:t xml:space="preserve"> </w:t>
      </w:r>
      <w:r w:rsidR="00FA626A" w:rsidRPr="00120203">
        <w:t xml:space="preserve">a claim that certain </w:t>
      </w:r>
      <w:r w:rsidR="00EA2B43" w:rsidRPr="00120203">
        <w:t xml:space="preserve">contracts entered into pursuant to the Housing Authorities Law were </w:t>
      </w:r>
      <w:r w:rsidR="00D578B0" w:rsidRPr="00120203">
        <w:t xml:space="preserve">void because they were legislative acts </w:t>
      </w:r>
      <w:r w:rsidR="00336EDF" w:rsidRPr="00120203">
        <w:t xml:space="preserve">that under </w:t>
      </w:r>
      <w:r w:rsidR="00D578B0" w:rsidRPr="00120203">
        <w:t xml:space="preserve">the San Francisco charter </w:t>
      </w:r>
      <w:r w:rsidR="00120203" w:rsidRPr="00120203">
        <w:t xml:space="preserve">had to be </w:t>
      </w:r>
      <w:r w:rsidR="00167456">
        <w:t>accomplished</w:t>
      </w:r>
      <w:r w:rsidR="00120203" w:rsidRPr="00120203">
        <w:t xml:space="preserve"> by ordinance.  (</w:t>
      </w:r>
      <w:r w:rsidR="00120203" w:rsidRPr="00120203">
        <w:rPr>
          <w:i/>
          <w:iCs/>
        </w:rPr>
        <w:t>Kleiber</w:t>
      </w:r>
      <w:r w:rsidR="00120203" w:rsidRPr="00120203">
        <w:t>, at p.</w:t>
      </w:r>
      <w:r w:rsidR="00262954">
        <w:t> </w:t>
      </w:r>
      <w:r w:rsidR="00120203" w:rsidRPr="00120203">
        <w:t>719.)</w:t>
      </w:r>
      <w:r w:rsidR="00120203">
        <w:rPr>
          <w:b/>
          <w:bCs/>
        </w:rPr>
        <w:t xml:space="preserve">  </w:t>
      </w:r>
      <w:r w:rsidR="006305A6">
        <w:t>T</w:t>
      </w:r>
      <w:r w:rsidR="00031CD0">
        <w:t xml:space="preserve">he court </w:t>
      </w:r>
      <w:r w:rsidR="00C90AAC">
        <w:t xml:space="preserve">concluded that the challenged resolutions </w:t>
      </w:r>
      <w:r w:rsidR="00E11D21">
        <w:t>were</w:t>
      </w:r>
      <w:r w:rsidR="005D5D1D">
        <w:t xml:space="preserve"> administrative, </w:t>
      </w:r>
      <w:r w:rsidR="00397D72">
        <w:t xml:space="preserve">because </w:t>
      </w:r>
      <w:r w:rsidR="000C6E36">
        <w:t>“</w:t>
      </w:r>
      <w:r w:rsidR="002B0FDF">
        <w:t>[</w:t>
      </w:r>
      <w:r w:rsidR="00397D72">
        <w:t>t</w:t>
      </w:r>
      <w:r w:rsidR="002B0FDF">
        <w:t>]</w:t>
      </w:r>
      <w:r w:rsidR="00397D72">
        <w:t xml:space="preserve">he </w:t>
      </w:r>
      <w:r w:rsidR="000C6E36" w:rsidRPr="000C6E36">
        <w:t xml:space="preserve">public purpose here involved was declared and made law by the legislature of this state </w:t>
      </w:r>
      <w:r w:rsidR="00F61122">
        <w:t>. . . .</w:t>
      </w:r>
      <w:r w:rsidR="000C6E36">
        <w:t>”  (</w:t>
      </w:r>
      <w:r w:rsidR="000C6E36">
        <w:rPr>
          <w:i/>
          <w:iCs/>
        </w:rPr>
        <w:t>Id.</w:t>
      </w:r>
      <w:r w:rsidR="000C6E36">
        <w:t xml:space="preserve"> at p. 723.)  </w:t>
      </w:r>
      <w:r w:rsidR="005C6DAB">
        <w:t xml:space="preserve">Upon a local finding of necessity, the law </w:t>
      </w:r>
      <w:r w:rsidR="00391838">
        <w:t>provide</w:t>
      </w:r>
      <w:r w:rsidR="00A32B22">
        <w:t>d</w:t>
      </w:r>
      <w:r w:rsidR="00391838">
        <w:t xml:space="preserve"> for the </w:t>
      </w:r>
      <w:r w:rsidR="00A32B22">
        <w:t xml:space="preserve">operation of a local housing authority and </w:t>
      </w:r>
      <w:r w:rsidR="00FC7DAE">
        <w:t>“</w:t>
      </w:r>
      <w:r w:rsidR="00FC7DAE" w:rsidRPr="00FC7DAE">
        <w:t xml:space="preserve">prescribed the powers, duties and obligations of the authority and of the city in carrying out its salutary purposes. </w:t>
      </w:r>
      <w:r w:rsidR="00FC7DAE">
        <w:t xml:space="preserve"> </w:t>
      </w:r>
      <w:r w:rsidR="00FC7DAE" w:rsidRPr="00FC7DAE">
        <w:t xml:space="preserve">Every necessary legislative act was completed by the legislature. </w:t>
      </w:r>
      <w:r w:rsidR="00FC7DAE">
        <w:t xml:space="preserve"> </w:t>
      </w:r>
      <w:r w:rsidR="00FC7DAE" w:rsidRPr="00FC7DAE">
        <w:t>There was nothing left to do except to administer the law.</w:t>
      </w:r>
      <w:r w:rsidR="00FC7DAE">
        <w:t>”  (</w:t>
      </w:r>
      <w:r w:rsidR="00C74298">
        <w:rPr>
          <w:i/>
          <w:iCs/>
        </w:rPr>
        <w:t>Id.</w:t>
      </w:r>
      <w:r w:rsidR="00C74298">
        <w:t xml:space="preserve"> at pp. 720, 724.)</w:t>
      </w:r>
    </w:p>
    <w:p w14:paraId="6147FE58" w14:textId="0B773A38" w:rsidR="00CA25D0" w:rsidRDefault="002C7E41" w:rsidP="00873018">
      <w:pPr>
        <w:spacing w:line="360" w:lineRule="auto"/>
      </w:pPr>
      <w:r>
        <w:tab/>
      </w:r>
      <w:r w:rsidR="001A6B38">
        <w:t xml:space="preserve">In </w:t>
      </w:r>
      <w:r w:rsidR="0096219B" w:rsidRPr="0096219B">
        <w:rPr>
          <w:i/>
          <w:iCs/>
        </w:rPr>
        <w:t>Hous. Auth. of City of Los Angeles v. City of Los Angeles</w:t>
      </w:r>
      <w:r w:rsidR="0096219B">
        <w:t xml:space="preserve"> (1952) 38</w:t>
      </w:r>
      <w:r w:rsidR="00262954">
        <w:t> </w:t>
      </w:r>
      <w:r w:rsidR="0096219B">
        <w:t>Cal.2d 853</w:t>
      </w:r>
      <w:r w:rsidR="007D2ABE">
        <w:t xml:space="preserve"> (</w:t>
      </w:r>
      <w:r w:rsidR="007D2ABE">
        <w:rPr>
          <w:i/>
          <w:iCs/>
        </w:rPr>
        <w:t>Housing Authority</w:t>
      </w:r>
      <w:r w:rsidR="00853D16">
        <w:rPr>
          <w:i/>
          <w:iCs/>
        </w:rPr>
        <w:t xml:space="preserve"> of L.A.</w:t>
      </w:r>
      <w:r w:rsidR="007D2ABE">
        <w:t>)</w:t>
      </w:r>
      <w:r w:rsidR="0096219B">
        <w:t>,</w:t>
      </w:r>
      <w:r w:rsidR="00500F85">
        <w:t xml:space="preserve"> </w:t>
      </w:r>
      <w:r w:rsidR="005954B1">
        <w:t>the City of Los Angeles sought to avoid perform</w:t>
      </w:r>
      <w:r w:rsidR="007B7EA4">
        <w:t>ance of its obligations under an agreement between the city and</w:t>
      </w:r>
      <w:r w:rsidR="00546BE2">
        <w:t xml:space="preserve"> </w:t>
      </w:r>
      <w:r w:rsidR="007B7EA4">
        <w:t xml:space="preserve">the </w:t>
      </w:r>
      <w:r w:rsidR="004D7D07">
        <w:t>local h</w:t>
      </w:r>
      <w:r w:rsidR="007B7EA4">
        <w:t xml:space="preserve">ousing </w:t>
      </w:r>
      <w:r w:rsidR="004D7D07">
        <w:t>a</w:t>
      </w:r>
      <w:r w:rsidR="007B7EA4">
        <w:t>uthority</w:t>
      </w:r>
      <w:r w:rsidR="00AF5C14">
        <w:t xml:space="preserve"> relating to a previously</w:t>
      </w:r>
      <w:r w:rsidR="002B0FDF">
        <w:t xml:space="preserve"> </w:t>
      </w:r>
      <w:r w:rsidR="00AF5C14">
        <w:t>approved</w:t>
      </w:r>
      <w:r w:rsidR="00546BE2">
        <w:t xml:space="preserve"> </w:t>
      </w:r>
      <w:r w:rsidR="00536EEF">
        <w:t>project</w:t>
      </w:r>
      <w:r w:rsidR="007B7EA4">
        <w:t>.  (</w:t>
      </w:r>
      <w:r w:rsidR="007B7EA4">
        <w:rPr>
          <w:i/>
          <w:iCs/>
        </w:rPr>
        <w:t>Id.</w:t>
      </w:r>
      <w:r w:rsidR="007B7EA4">
        <w:t xml:space="preserve"> at </w:t>
      </w:r>
      <w:r w:rsidR="0036145B">
        <w:t>p</w:t>
      </w:r>
      <w:r w:rsidR="00536EEF">
        <w:t>p</w:t>
      </w:r>
      <w:r w:rsidR="0036145B">
        <w:t xml:space="preserve">. </w:t>
      </w:r>
      <w:r w:rsidR="00536EEF">
        <w:t>856–</w:t>
      </w:r>
      <w:r w:rsidR="0036145B">
        <w:t xml:space="preserve">857.)  </w:t>
      </w:r>
      <w:r w:rsidR="00685416">
        <w:t xml:space="preserve">The </w:t>
      </w:r>
      <w:r w:rsidR="008B57DA">
        <w:t>Supreme C</w:t>
      </w:r>
      <w:r w:rsidR="00685416">
        <w:t>ourt</w:t>
      </w:r>
      <w:r w:rsidR="007B7EA4">
        <w:t xml:space="preserve"> </w:t>
      </w:r>
      <w:r w:rsidR="00536EEF">
        <w:t xml:space="preserve">concluded that </w:t>
      </w:r>
      <w:r w:rsidR="009077FE">
        <w:t xml:space="preserve">the </w:t>
      </w:r>
      <w:r w:rsidR="00DB665C">
        <w:t xml:space="preserve">applicable state and federal laws did not permit </w:t>
      </w:r>
      <w:r w:rsidR="00E027C4">
        <w:t>“t</w:t>
      </w:r>
      <w:r w:rsidR="00E027C4" w:rsidRPr="00E027C4">
        <w:t>he city</w:t>
      </w:r>
      <w:r w:rsidR="00E027C4">
        <w:t>’</w:t>
      </w:r>
      <w:r w:rsidR="00E027C4" w:rsidRPr="00E027C4">
        <w:t>s attempted cancellation, abandonment and abrogation of its contracts</w:t>
      </w:r>
      <w:r w:rsidR="00E027C4">
        <w:t>.”</w:t>
      </w:r>
      <w:r w:rsidR="008A3BF8">
        <w:t xml:space="preserve">  (</w:t>
      </w:r>
      <w:r w:rsidR="008A3BF8">
        <w:rPr>
          <w:i/>
          <w:iCs/>
        </w:rPr>
        <w:t>Id.</w:t>
      </w:r>
      <w:r w:rsidR="008A3BF8">
        <w:t xml:space="preserve"> at p. 870.)</w:t>
      </w:r>
      <w:r w:rsidR="001E487E">
        <w:t xml:space="preserve">  </w:t>
      </w:r>
      <w:r w:rsidR="001934E1">
        <w:t xml:space="preserve">Citing </w:t>
      </w:r>
      <w:r w:rsidR="001934E1" w:rsidRPr="00401B97">
        <w:rPr>
          <w:i/>
          <w:iCs/>
        </w:rPr>
        <w:t>Kleiber</w:t>
      </w:r>
      <w:r w:rsidR="001934E1">
        <w:t>, the court concluded that</w:t>
      </w:r>
      <w:r w:rsidR="001E487E">
        <w:t>, “</w:t>
      </w:r>
      <w:r w:rsidR="00372130" w:rsidRPr="00372130">
        <w:t>having taken the initial discretionary action to bring the housing authority into operation and having approved a project and entered into a cooperation agreement,</w:t>
      </w:r>
      <w:r w:rsidR="00895168">
        <w:t xml:space="preserve"> </w:t>
      </w:r>
      <w:r w:rsidR="00372130" w:rsidRPr="00372130">
        <w:t>there was nothing left to be done by either contracting party but to perform administratively whatever was necessary to carry the agreement into effect</w:t>
      </w:r>
      <w:r w:rsidR="001E487E">
        <w:t>.”  (</w:t>
      </w:r>
      <w:r w:rsidR="001E487E">
        <w:rPr>
          <w:i/>
          <w:iCs/>
        </w:rPr>
        <w:t>Id.</w:t>
      </w:r>
      <w:r w:rsidR="001E487E">
        <w:t xml:space="preserve"> at p. 862.)</w:t>
      </w:r>
    </w:p>
    <w:p w14:paraId="6DCE6D2C" w14:textId="4A3E7E1F" w:rsidR="007313C5" w:rsidRDefault="00401B97" w:rsidP="006B2C5E">
      <w:pPr>
        <w:spacing w:line="360" w:lineRule="auto"/>
      </w:pPr>
      <w:r>
        <w:lastRenderedPageBreak/>
        <w:tab/>
        <w:t>A third housing authority case not cited by the parties is</w:t>
      </w:r>
      <w:r w:rsidR="006B2C5E">
        <w:t xml:space="preserve"> </w:t>
      </w:r>
      <w:r w:rsidR="006B2C5E" w:rsidRPr="006B2C5E">
        <w:rPr>
          <w:i/>
          <w:iCs/>
        </w:rPr>
        <w:t xml:space="preserve">Hous. Auth. of City of Eureka v. Superior Ct. </w:t>
      </w:r>
      <w:r w:rsidR="002B0FDF">
        <w:rPr>
          <w:i/>
          <w:iCs/>
        </w:rPr>
        <w:t>of</w:t>
      </w:r>
      <w:r w:rsidR="006B2C5E" w:rsidRPr="006B2C5E">
        <w:rPr>
          <w:i/>
          <w:iCs/>
        </w:rPr>
        <w:t xml:space="preserve"> Humboldt Cnty.</w:t>
      </w:r>
      <w:r w:rsidR="006B2C5E">
        <w:t xml:space="preserve"> (1950)</w:t>
      </w:r>
      <w:r w:rsidR="006B2C5E" w:rsidRPr="006B2C5E">
        <w:t xml:space="preserve"> 35 Cal.2d 550</w:t>
      </w:r>
      <w:r w:rsidR="006B2C5E">
        <w:t xml:space="preserve"> (</w:t>
      </w:r>
      <w:r w:rsidR="006B2C5E">
        <w:rPr>
          <w:i/>
          <w:iCs/>
        </w:rPr>
        <w:t>Housing Authority of Eureka</w:t>
      </w:r>
      <w:r w:rsidR="006B2C5E">
        <w:t xml:space="preserve">).  That case, unlike </w:t>
      </w:r>
      <w:r w:rsidR="006B2C5E">
        <w:rPr>
          <w:i/>
          <w:iCs/>
        </w:rPr>
        <w:t>Kleiber</w:t>
      </w:r>
      <w:r w:rsidR="006B2C5E">
        <w:t xml:space="preserve"> and </w:t>
      </w:r>
      <w:r w:rsidR="006B2C5E">
        <w:rPr>
          <w:i/>
          <w:iCs/>
        </w:rPr>
        <w:t>Housing Authority of L.A.</w:t>
      </w:r>
      <w:r w:rsidR="006B2C5E" w:rsidRPr="006B2C5E">
        <w:t>,</w:t>
      </w:r>
      <w:r w:rsidR="006B2C5E">
        <w:t xml:space="preserve"> did involve the referendum power.  There, </w:t>
      </w:r>
      <w:r w:rsidR="00E41C2D">
        <w:t xml:space="preserve">citizens sought to challenge by referendum the local housing authority’s </w:t>
      </w:r>
      <w:r w:rsidR="006B2C5E" w:rsidRPr="006B2C5E">
        <w:t xml:space="preserve">application to the federal government for a loan of money to be used in the construction of low-rent public housing, </w:t>
      </w:r>
      <w:r w:rsidR="006C0CE1">
        <w:t>approved by t</w:t>
      </w:r>
      <w:r w:rsidR="006B2C5E" w:rsidRPr="006B2C5E">
        <w:t>he city council</w:t>
      </w:r>
      <w:r w:rsidR="006C0CE1">
        <w:t xml:space="preserve">.  </w:t>
      </w:r>
      <w:r w:rsidR="00DB7BD6">
        <w:t>(</w:t>
      </w:r>
      <w:r w:rsidR="00DB7BD6">
        <w:rPr>
          <w:i/>
          <w:iCs/>
        </w:rPr>
        <w:t>Id.</w:t>
      </w:r>
      <w:r w:rsidR="00DB7BD6">
        <w:t xml:space="preserve"> at pp. 552–555.)  </w:t>
      </w:r>
      <w:r w:rsidR="00007818">
        <w:t xml:space="preserve">Citing </w:t>
      </w:r>
      <w:r w:rsidR="00007818">
        <w:rPr>
          <w:i/>
          <w:iCs/>
        </w:rPr>
        <w:t>Kleiber</w:t>
      </w:r>
      <w:r w:rsidR="00007818">
        <w:t xml:space="preserve">, the </w:t>
      </w:r>
      <w:r w:rsidR="00DE6B98">
        <w:t>Supreme C</w:t>
      </w:r>
      <w:r w:rsidR="00204F86">
        <w:t xml:space="preserve">ourt concluded that </w:t>
      </w:r>
      <w:r w:rsidR="00B6750C">
        <w:t xml:space="preserve">the city acted administratively in approving the loan application and, therefore, </w:t>
      </w:r>
      <w:r w:rsidR="005E7E39">
        <w:t>the resolution was not subject to the referendum power.  (</w:t>
      </w:r>
      <w:r w:rsidR="00007818">
        <w:rPr>
          <w:i/>
          <w:iCs/>
        </w:rPr>
        <w:t>Housing Authority of Eureka</w:t>
      </w:r>
      <w:r w:rsidR="005E7E39">
        <w:t xml:space="preserve">, at </w:t>
      </w:r>
      <w:r w:rsidR="007313C5">
        <w:t>pp. 558–559.)</w:t>
      </w:r>
    </w:p>
    <w:p w14:paraId="54EEAFC1" w14:textId="337C35B6" w:rsidR="00925D4F" w:rsidRDefault="00CA25D0" w:rsidP="00873018">
      <w:pPr>
        <w:spacing w:line="360" w:lineRule="auto"/>
      </w:pPr>
      <w:r>
        <w:tab/>
      </w:r>
      <w:r w:rsidR="005A49F1">
        <w:t xml:space="preserve">The Supreme Court </w:t>
      </w:r>
      <w:r w:rsidR="00DE6B98">
        <w:t xml:space="preserve">subsequently </w:t>
      </w:r>
      <w:r w:rsidR="005A49F1">
        <w:t xml:space="preserve">narrowly construed the </w:t>
      </w:r>
      <w:r w:rsidR="008E3C8D">
        <w:rPr>
          <w:i/>
          <w:iCs/>
        </w:rPr>
        <w:t xml:space="preserve">Housing Authority of </w:t>
      </w:r>
      <w:r w:rsidR="008E3C8D" w:rsidRPr="005A49F1">
        <w:rPr>
          <w:i/>
          <w:iCs/>
        </w:rPr>
        <w:t>Eureka</w:t>
      </w:r>
      <w:r w:rsidR="008E3C8D">
        <w:t xml:space="preserve"> </w:t>
      </w:r>
      <w:r w:rsidR="005A49F1">
        <w:t>decision</w:t>
      </w:r>
      <w:r w:rsidR="009C2F94">
        <w:t xml:space="preserve">.  </w:t>
      </w:r>
      <w:r w:rsidR="0031031C" w:rsidRPr="0031031C">
        <w:rPr>
          <w:i/>
          <w:iCs/>
        </w:rPr>
        <w:t>Bushey</w:t>
      </w:r>
      <w:r w:rsidR="0031031C">
        <w:t xml:space="preserve"> characterized the decision as </w:t>
      </w:r>
      <w:r w:rsidR="001E297D">
        <w:t>one “</w:t>
      </w:r>
      <w:r w:rsidR="0031031C" w:rsidRPr="0031031C">
        <w:t xml:space="preserve">where state law mandates a certain result with no discretion or that involves an </w:t>
      </w:r>
      <w:r w:rsidR="001E297D">
        <w:t>‘</w:t>
      </w:r>
      <w:r w:rsidR="0031031C" w:rsidRPr="0031031C">
        <w:t>administrative</w:t>
      </w:r>
      <w:r w:rsidR="001E297D">
        <w:t>’</w:t>
      </w:r>
      <w:r w:rsidR="0031031C" w:rsidRPr="0031031C">
        <w:t xml:space="preserve"> task.</w:t>
      </w:r>
      <w:r w:rsidR="001E297D">
        <w:t>”  (</w:t>
      </w:r>
      <w:r w:rsidR="0031031C" w:rsidRPr="0031031C">
        <w:rPr>
          <w:i/>
          <w:iCs/>
        </w:rPr>
        <w:t>Bushey</w:t>
      </w:r>
      <w:r w:rsidR="0031031C" w:rsidRPr="0031031C">
        <w:t>,</w:t>
      </w:r>
      <w:r w:rsidR="001E297D">
        <w:t xml:space="preserve"> </w:t>
      </w:r>
      <w:r w:rsidR="001E297D">
        <w:rPr>
          <w:i/>
          <w:iCs/>
        </w:rPr>
        <w:t>supra</w:t>
      </w:r>
      <w:r w:rsidR="001E297D">
        <w:t>,</w:t>
      </w:r>
      <w:r w:rsidR="0031031C" w:rsidRPr="0031031C">
        <w:t xml:space="preserve"> 5 Cal.5th </w:t>
      </w:r>
      <w:r w:rsidR="001E297D">
        <w:t xml:space="preserve">at p. </w:t>
      </w:r>
      <w:r w:rsidR="0031031C" w:rsidRPr="0031031C">
        <w:t>1083</w:t>
      </w:r>
      <w:r w:rsidR="001E297D">
        <w:t>.)</w:t>
      </w:r>
      <w:r w:rsidR="009B2FEC">
        <w:t xml:space="preserve">  Similarly, the court in </w:t>
      </w:r>
      <w:r w:rsidR="009B2FEC" w:rsidRPr="000338B9">
        <w:rPr>
          <w:i/>
          <w:iCs/>
        </w:rPr>
        <w:t>DeVita</w:t>
      </w:r>
      <w:r w:rsidR="009B2FEC">
        <w:t xml:space="preserve">, </w:t>
      </w:r>
      <w:r w:rsidR="009B2FEC">
        <w:rPr>
          <w:i/>
          <w:iCs/>
        </w:rPr>
        <w:t>supra</w:t>
      </w:r>
      <w:r w:rsidR="009B2FEC">
        <w:t xml:space="preserve">, 9 Cal.4th at p. 776, characterized </w:t>
      </w:r>
      <w:r w:rsidR="00E172B1">
        <w:t xml:space="preserve">the </w:t>
      </w:r>
      <w:r w:rsidR="00E172B1">
        <w:rPr>
          <w:i/>
          <w:iCs/>
        </w:rPr>
        <w:t xml:space="preserve">Housing Authority of </w:t>
      </w:r>
      <w:r w:rsidR="00E172B1" w:rsidRPr="005A49F1">
        <w:rPr>
          <w:i/>
          <w:iCs/>
        </w:rPr>
        <w:t>Eureka</w:t>
      </w:r>
      <w:r w:rsidR="00E172B1">
        <w:t xml:space="preserve"> decision as involving an “a</w:t>
      </w:r>
      <w:r w:rsidR="009B2FEC" w:rsidRPr="009B2FEC">
        <w:t>rea</w:t>
      </w:r>
      <w:r w:rsidR="00E172B1">
        <w:t>[]</w:t>
      </w:r>
      <w:r w:rsidR="009B2FEC" w:rsidRPr="009B2FEC">
        <w:t xml:space="preserve"> in which the local legislative body</w:t>
      </w:r>
      <w:r w:rsidR="00E172B1">
        <w:t>’</w:t>
      </w:r>
      <w:r w:rsidR="009B2FEC" w:rsidRPr="009B2FEC">
        <w:t>s discretion was largely preempted by statutory mandate</w:t>
      </w:r>
      <w:r w:rsidR="00E172B1">
        <w:t>.”</w:t>
      </w:r>
      <w:r w:rsidR="00727841">
        <w:t xml:space="preserve">  </w:t>
      </w:r>
      <w:r w:rsidR="007313C5" w:rsidRPr="008E3C8D">
        <w:t>T</w:t>
      </w:r>
      <w:r w:rsidR="0020350E" w:rsidRPr="008E3C8D">
        <w:t>he</w:t>
      </w:r>
      <w:r w:rsidR="0020350E">
        <w:t xml:space="preserve"> present </w:t>
      </w:r>
      <w:r w:rsidR="00C21455">
        <w:t>case is distinguishable</w:t>
      </w:r>
      <w:r w:rsidR="00DE6B98">
        <w:t xml:space="preserve">.  </w:t>
      </w:r>
      <w:r w:rsidR="005502A3">
        <w:t>T</w:t>
      </w:r>
      <w:r w:rsidR="00DE6B98">
        <w:t>he redevelopment dissolution laws sought to free up real estate resources held by redevelopment agencies while still honoring prior commitments.  (</w:t>
      </w:r>
      <w:r w:rsidR="00DE6B98" w:rsidRPr="00BD7C50">
        <w:rPr>
          <w:i/>
          <w:iCs/>
        </w:rPr>
        <w:t>Stephenshaw</w:t>
      </w:r>
      <w:r w:rsidR="00DE6B98">
        <w:t xml:space="preserve">, </w:t>
      </w:r>
      <w:r w:rsidR="00DE6B98">
        <w:rPr>
          <w:i/>
          <w:iCs/>
        </w:rPr>
        <w:t>supra</w:t>
      </w:r>
      <w:r w:rsidR="00DE6B98">
        <w:t>, 91 Cal.App.5th at p</w:t>
      </w:r>
      <w:r w:rsidR="00663F28">
        <w:t>p</w:t>
      </w:r>
      <w:r w:rsidR="00DE6B98">
        <w:t xml:space="preserve">. 357–358.)  </w:t>
      </w:r>
      <w:r w:rsidR="003E3F8A">
        <w:t xml:space="preserve">While </w:t>
      </w:r>
      <w:r w:rsidR="00C21455">
        <w:t xml:space="preserve">the Long Range Plan specifies use of the Property as </w:t>
      </w:r>
      <w:r w:rsidR="00F86155">
        <w:t xml:space="preserve">high density </w:t>
      </w:r>
      <w:r w:rsidR="00C21455">
        <w:t>housing</w:t>
      </w:r>
      <w:r w:rsidR="000F4B34">
        <w:t xml:space="preserve"> </w:t>
      </w:r>
      <w:r w:rsidR="00F86155">
        <w:t xml:space="preserve">with an </w:t>
      </w:r>
      <w:r w:rsidR="0024504C">
        <w:t xml:space="preserve">affordable component, </w:t>
      </w:r>
      <w:r w:rsidR="0063671B">
        <w:t xml:space="preserve">in </w:t>
      </w:r>
      <w:r w:rsidR="003F7FF5">
        <w:t>deciding to construct and improve Veteran</w:t>
      </w:r>
      <w:r w:rsidR="00C35541">
        <w:t>’</w:t>
      </w:r>
      <w:r w:rsidR="003F7FF5">
        <w:t>s Park</w:t>
      </w:r>
      <w:r w:rsidR="0063671B">
        <w:t xml:space="preserve">, </w:t>
      </w:r>
      <w:r w:rsidR="00D05219">
        <w:t xml:space="preserve">the City made </w:t>
      </w:r>
      <w:r w:rsidR="000B4744">
        <w:t xml:space="preserve">discretionary </w:t>
      </w:r>
      <w:r w:rsidR="00D05219">
        <w:t xml:space="preserve">policy </w:t>
      </w:r>
      <w:r w:rsidR="000B4744">
        <w:t>determinations</w:t>
      </w:r>
      <w:r w:rsidR="00D05219">
        <w:t xml:space="preserve"> </w:t>
      </w:r>
      <w:r w:rsidR="003C14A3">
        <w:t xml:space="preserve">that were not </w:t>
      </w:r>
      <w:r w:rsidR="0080116F">
        <w:t>dictated</w:t>
      </w:r>
      <w:r w:rsidR="003C14A3">
        <w:t xml:space="preserve"> by </w:t>
      </w:r>
      <w:r w:rsidR="000B4744">
        <w:t xml:space="preserve">the </w:t>
      </w:r>
      <w:r w:rsidR="0080116F">
        <w:t>Long Range Plan</w:t>
      </w:r>
      <w:r w:rsidR="00727841">
        <w:t xml:space="preserve"> or any provision of the </w:t>
      </w:r>
      <w:r w:rsidR="00B15AF5">
        <w:t>D</w:t>
      </w:r>
      <w:r w:rsidR="00727841">
        <w:t xml:space="preserve">issolution </w:t>
      </w:r>
      <w:r w:rsidR="00B15AF5">
        <w:t>L</w:t>
      </w:r>
      <w:r w:rsidR="00727841">
        <w:t>aw</w:t>
      </w:r>
      <w:r w:rsidR="00963FFC">
        <w:t xml:space="preserve">.  </w:t>
      </w:r>
      <w:r w:rsidR="0013644E">
        <w:t>Accordingly, contrary to respondents’ view, t</w:t>
      </w:r>
      <w:r w:rsidR="00D706B9">
        <w:t xml:space="preserve">his is not a case where </w:t>
      </w:r>
      <w:r w:rsidR="0013644E" w:rsidRPr="0013644E">
        <w:t>there is a “</w:t>
      </w:r>
      <w:r w:rsidR="00182529">
        <w:t xml:space="preserve"> ‘</w:t>
      </w:r>
      <w:r w:rsidR="0013644E" w:rsidRPr="0013644E">
        <w:t>definite indication</w:t>
      </w:r>
      <w:r w:rsidR="00182529">
        <w:t>’</w:t>
      </w:r>
      <w:r w:rsidR="0013644E" w:rsidRPr="0013644E">
        <w:t xml:space="preserve"> or </w:t>
      </w:r>
      <w:r w:rsidR="0013644E" w:rsidRPr="0013644E">
        <w:lastRenderedPageBreak/>
        <w:t xml:space="preserve">a </w:t>
      </w:r>
      <w:r w:rsidR="00182529">
        <w:t xml:space="preserve">‘ </w:t>
      </w:r>
      <w:r w:rsidR="0013644E" w:rsidRPr="0013644E">
        <w:t>“clear showing</w:t>
      </w:r>
      <w:r w:rsidR="00182529">
        <w:t xml:space="preserve">” </w:t>
      </w:r>
      <w:r w:rsidR="0013644E" w:rsidRPr="0013644E">
        <w:t>’ ”</w:t>
      </w:r>
      <w:r w:rsidR="00182529">
        <w:t xml:space="preserve"> </w:t>
      </w:r>
      <w:r w:rsidR="00116DED">
        <w:t>the Legislature intended, in enacting the</w:t>
      </w:r>
      <w:r w:rsidR="009D370B">
        <w:t xml:space="preserve"> </w:t>
      </w:r>
      <w:r w:rsidR="009E32A8">
        <w:t>D</w:t>
      </w:r>
      <w:r w:rsidR="009D370B">
        <w:t xml:space="preserve">issolution </w:t>
      </w:r>
      <w:r w:rsidR="009E32A8">
        <w:t>L</w:t>
      </w:r>
      <w:r w:rsidR="009D370B">
        <w:t>aw</w:t>
      </w:r>
      <w:r w:rsidR="00116DED">
        <w:t>, to</w:t>
      </w:r>
      <w:r w:rsidR="009D370B">
        <w:t xml:space="preserve"> </w:t>
      </w:r>
      <w:r w:rsidR="00CD634E">
        <w:t>“</w:t>
      </w:r>
      <w:r w:rsidR="00D73040">
        <w:t>limit</w:t>
      </w:r>
      <w:r w:rsidR="00CD634E">
        <w:t>[]</w:t>
      </w:r>
      <w:r w:rsidR="00D73040">
        <w:t xml:space="preserve"> the local legislative body</w:t>
      </w:r>
      <w:r w:rsidR="00CD634E">
        <w:t>’</w:t>
      </w:r>
      <w:r w:rsidR="00D73040">
        <w:t xml:space="preserve">s discretion such that its task </w:t>
      </w:r>
      <w:r w:rsidR="009D370B">
        <w:t>is</w:t>
      </w:r>
      <w:r w:rsidR="00D73040">
        <w:t xml:space="preserve"> </w:t>
      </w:r>
      <w:r w:rsidR="00CD634E">
        <w:t>‘</w:t>
      </w:r>
      <w:r w:rsidR="00D73040">
        <w:t>administrative</w:t>
      </w:r>
      <w:r w:rsidR="00CD634E">
        <w:t>’</w:t>
      </w:r>
      <w:r w:rsidR="00D73040">
        <w:t xml:space="preserve"> rather than </w:t>
      </w:r>
      <w:r w:rsidR="00CD634E">
        <w:t>‘l</w:t>
      </w:r>
      <w:r w:rsidR="00D73040">
        <w:t>egislative</w:t>
      </w:r>
      <w:r w:rsidR="00CD634E">
        <w:t xml:space="preserve">.’ </w:t>
      </w:r>
      <w:r w:rsidR="00D73040">
        <w:t>”</w:t>
      </w:r>
      <w:r w:rsidR="00CD634E">
        <w:t xml:space="preserve">  (</w:t>
      </w:r>
      <w:r w:rsidR="00D73040" w:rsidRPr="00CD634E">
        <w:rPr>
          <w:i/>
          <w:iCs/>
        </w:rPr>
        <w:t>Bushey</w:t>
      </w:r>
      <w:r w:rsidR="00D73040">
        <w:t xml:space="preserve">, </w:t>
      </w:r>
      <w:r w:rsidR="00CD634E">
        <w:t>at p. 1079.)</w:t>
      </w:r>
      <w:r w:rsidR="009730DD">
        <w:rPr>
          <w:rStyle w:val="FootnoteReference"/>
        </w:rPr>
        <w:footnoteReference w:id="8"/>
      </w:r>
    </w:p>
    <w:p w14:paraId="0E6117DD" w14:textId="5DEF5F3A" w:rsidR="004B3886" w:rsidRPr="004B3886" w:rsidRDefault="004B3886" w:rsidP="00467DE3">
      <w:pPr>
        <w:spacing w:line="360" w:lineRule="auto"/>
        <w:rPr>
          <w:i/>
          <w:iCs/>
        </w:rPr>
      </w:pPr>
      <w:r>
        <w:tab/>
        <w:t xml:space="preserve">C. </w:t>
      </w:r>
      <w:r>
        <w:tab/>
      </w:r>
      <w:r>
        <w:rPr>
          <w:i/>
          <w:iCs/>
        </w:rPr>
        <w:t xml:space="preserve">The </w:t>
      </w:r>
      <w:r>
        <w:t>Yost</w:t>
      </w:r>
      <w:r>
        <w:rPr>
          <w:i/>
          <w:iCs/>
        </w:rPr>
        <w:t xml:space="preserve"> and </w:t>
      </w:r>
      <w:r>
        <w:t>Bushey</w:t>
      </w:r>
      <w:r>
        <w:rPr>
          <w:i/>
          <w:iCs/>
        </w:rPr>
        <w:t xml:space="preserve"> Decisions</w:t>
      </w:r>
    </w:p>
    <w:p w14:paraId="454A5278" w14:textId="1FBB573F" w:rsidR="001F4F17" w:rsidRPr="001F4F17" w:rsidRDefault="00925D4F" w:rsidP="00467DE3">
      <w:pPr>
        <w:spacing w:line="360" w:lineRule="auto"/>
      </w:pPr>
      <w:r>
        <w:tab/>
      </w:r>
      <w:r w:rsidRPr="007A148A">
        <w:rPr>
          <w:i/>
          <w:iCs/>
        </w:rPr>
        <w:t>Yost</w:t>
      </w:r>
      <w:r>
        <w:t xml:space="preserve">, </w:t>
      </w:r>
      <w:r>
        <w:rPr>
          <w:i/>
          <w:iCs/>
        </w:rPr>
        <w:t>supra</w:t>
      </w:r>
      <w:r>
        <w:t>, 36 Cal.3d 561, is instructive.  Th</w:t>
      </w:r>
      <w:r w:rsidR="00D50C34">
        <w:t xml:space="preserve">at case involved </w:t>
      </w:r>
      <w:r w:rsidR="00D50C34" w:rsidRPr="00D50C34">
        <w:t xml:space="preserve">a petition for </w:t>
      </w:r>
      <w:r w:rsidR="00D50C34">
        <w:t xml:space="preserve">writ of </w:t>
      </w:r>
      <w:r w:rsidR="00D50C34" w:rsidRPr="00D50C34">
        <w:t xml:space="preserve">mandate to compel a city clerk to process a referendum petition </w:t>
      </w:r>
      <w:r w:rsidR="00B909B2">
        <w:t xml:space="preserve">challenging a </w:t>
      </w:r>
      <w:r w:rsidR="00D50C34" w:rsidRPr="00D50C34">
        <w:t>city council</w:t>
      </w:r>
      <w:r w:rsidR="00B909B2">
        <w:t>’</w:t>
      </w:r>
      <w:r w:rsidR="00D50C34" w:rsidRPr="00D50C34">
        <w:t>s authorization of a hotel and conference center on undeveloped coastal land pursuant to the city</w:t>
      </w:r>
      <w:r w:rsidR="00B909B2">
        <w:t>’</w:t>
      </w:r>
      <w:r w:rsidR="00D50C34" w:rsidRPr="00D50C34">
        <w:t>s local coastal plan approved by the Coastal Commission.</w:t>
      </w:r>
      <w:r w:rsidR="00B909B2">
        <w:t xml:space="preserve">  (</w:t>
      </w:r>
      <w:r w:rsidR="00B909B2">
        <w:rPr>
          <w:i/>
          <w:iCs/>
        </w:rPr>
        <w:t>Id.</w:t>
      </w:r>
      <w:r w:rsidR="00B909B2">
        <w:t xml:space="preserve"> at </w:t>
      </w:r>
      <w:r w:rsidR="00CB0418">
        <w:t xml:space="preserve">pp. </w:t>
      </w:r>
      <w:r w:rsidR="00055328">
        <w:t>565–566</w:t>
      </w:r>
      <w:r w:rsidR="00CB0418">
        <w:t>, 569</w:t>
      </w:r>
      <w:r w:rsidR="00B909B2">
        <w:t>.)</w:t>
      </w:r>
      <w:r w:rsidR="00085698">
        <w:t xml:space="preserve">  The Supreme Court held </w:t>
      </w:r>
      <w:r w:rsidR="0059686F">
        <w:t xml:space="preserve">that </w:t>
      </w:r>
      <w:r w:rsidR="00433B44">
        <w:t>the Coastal Act</w:t>
      </w:r>
      <w:r w:rsidR="0059686F">
        <w:t xml:space="preserve"> </w:t>
      </w:r>
      <w:r w:rsidR="00085698">
        <w:t xml:space="preserve">did </w:t>
      </w:r>
      <w:r w:rsidR="00085698" w:rsidRPr="00085698">
        <w:t>not preempt local planning authority or the power of the voters to act through referendum</w:t>
      </w:r>
      <w:r w:rsidR="005F42CD">
        <w:t>.</w:t>
      </w:r>
      <w:r w:rsidR="0066172F">
        <w:t xml:space="preserve">  (</w:t>
      </w:r>
      <w:r w:rsidR="0066172F">
        <w:rPr>
          <w:i/>
          <w:iCs/>
        </w:rPr>
        <w:t>Id.</w:t>
      </w:r>
      <w:r w:rsidR="0066172F">
        <w:t xml:space="preserve"> at </w:t>
      </w:r>
      <w:r w:rsidR="00EB69AA">
        <w:t xml:space="preserve">p. </w:t>
      </w:r>
      <w:r w:rsidR="007B540D">
        <w:t>565</w:t>
      </w:r>
      <w:r w:rsidR="0066172F">
        <w:t>.)</w:t>
      </w:r>
      <w:r w:rsidR="00C44D45">
        <w:t xml:space="preserve"> </w:t>
      </w:r>
      <w:r w:rsidR="00092E43">
        <w:t xml:space="preserve"> Although t</w:t>
      </w:r>
      <w:r w:rsidR="00092E43" w:rsidRPr="00092E43">
        <w:t xml:space="preserve">he </w:t>
      </w:r>
      <w:r w:rsidR="00092E43">
        <w:t>co</w:t>
      </w:r>
      <w:r w:rsidR="00092E43" w:rsidRPr="00092E43">
        <w:t>urt recognized</w:t>
      </w:r>
      <w:r w:rsidR="009C2B8B">
        <w:t xml:space="preserve"> that</w:t>
      </w:r>
      <w:r w:rsidR="00092E43" w:rsidRPr="00092E43">
        <w:t xml:space="preserve"> “the Coastal Act is an attempt to deal with coastal land use on a statewide basis</w:t>
      </w:r>
      <w:r w:rsidR="009C2B8B">
        <w:t>,</w:t>
      </w:r>
      <w:r w:rsidR="00092E43" w:rsidRPr="00092E43">
        <w:t xml:space="preserve">” </w:t>
      </w:r>
      <w:r w:rsidR="000C4AF2">
        <w:t xml:space="preserve">the court </w:t>
      </w:r>
      <w:r w:rsidR="00071DEA">
        <w:t>observed that</w:t>
      </w:r>
      <w:r w:rsidR="00D04A6E">
        <w:t xml:space="preserve"> the act only “</w:t>
      </w:r>
      <w:r w:rsidR="000C4AF2">
        <w:t>sets minimum standards and policies with which local governments within the coastal zone must comply; it does not mandate the action to be taken by a local government in implementing local land use controls.”  (</w:t>
      </w:r>
      <w:r w:rsidR="000C4AF2">
        <w:rPr>
          <w:i/>
          <w:iCs/>
        </w:rPr>
        <w:t>Id.</w:t>
      </w:r>
      <w:r w:rsidR="000C4AF2">
        <w:t xml:space="preserve"> at </w:t>
      </w:r>
      <w:r w:rsidR="00D7609D">
        <w:t>p</w:t>
      </w:r>
      <w:r w:rsidR="000C4AF2">
        <w:t xml:space="preserve">p. 571–572.)  </w:t>
      </w:r>
      <w:r w:rsidR="00873876">
        <w:t>Because t</w:t>
      </w:r>
      <w:r w:rsidR="009C2B8B">
        <w:t xml:space="preserve">he law </w:t>
      </w:r>
      <w:r w:rsidR="00092E43" w:rsidRPr="00092E43">
        <w:t>“leaves wide discretion to a local government not only to determine the contents of its land use plans, but to choose how to implement these plans</w:t>
      </w:r>
      <w:r w:rsidR="00873876">
        <w:t>,” in making planning decisions “</w:t>
      </w:r>
      <w:r w:rsidR="00092E43" w:rsidRPr="00092E43">
        <w:t xml:space="preserve">a city is acting legislatively and </w:t>
      </w:r>
      <w:r w:rsidR="00092E43" w:rsidRPr="00092E43">
        <w:lastRenderedPageBreak/>
        <w:t>its actions are subject to the normal referendum procedure.”</w:t>
      </w:r>
      <w:r w:rsidR="005822EE">
        <w:t xml:space="preserve">  </w:t>
      </w:r>
      <w:r w:rsidR="00092E43" w:rsidRPr="00092E43">
        <w:t>(</w:t>
      </w:r>
      <w:r w:rsidR="00092E43" w:rsidRPr="005822EE">
        <w:rPr>
          <w:i/>
          <w:iCs/>
        </w:rPr>
        <w:t>Id.</w:t>
      </w:r>
      <w:r w:rsidR="00092E43" w:rsidRPr="00092E43">
        <w:t xml:space="preserve"> at p</w:t>
      </w:r>
      <w:r w:rsidR="00E32F19">
        <w:t xml:space="preserve">. </w:t>
      </w:r>
      <w:r w:rsidR="00092E43" w:rsidRPr="00092E43">
        <w:t>573.)</w:t>
      </w:r>
      <w:r w:rsidR="00467DE3">
        <w:t xml:space="preserve">  </w:t>
      </w:r>
      <w:r w:rsidR="00CF378B">
        <w:t xml:space="preserve">Similarly, the </w:t>
      </w:r>
      <w:r w:rsidR="00722CBD">
        <w:t>D</w:t>
      </w:r>
      <w:r w:rsidR="00CF378B">
        <w:t xml:space="preserve">issolution </w:t>
      </w:r>
      <w:r w:rsidR="00722CBD">
        <w:t>Law</w:t>
      </w:r>
      <w:r w:rsidR="00CF378B">
        <w:t xml:space="preserve"> and the approved Long Range Plan </w:t>
      </w:r>
      <w:r w:rsidR="00E32F19">
        <w:t xml:space="preserve">left wide discretion to </w:t>
      </w:r>
      <w:r w:rsidR="002004CD">
        <w:t>the City</w:t>
      </w:r>
      <w:r w:rsidR="00E32F19">
        <w:t xml:space="preserve"> in </w:t>
      </w:r>
      <w:r w:rsidR="001C7506">
        <w:t xml:space="preserve">determining the </w:t>
      </w:r>
      <w:r w:rsidR="00605FAF">
        <w:t>content o</w:t>
      </w:r>
      <w:r w:rsidR="001C7506">
        <w:t xml:space="preserve">f the </w:t>
      </w:r>
      <w:r w:rsidR="002004CD">
        <w:t>2022 Agreement.</w:t>
      </w:r>
      <w:r w:rsidR="006C7791">
        <w:rPr>
          <w:rStyle w:val="FootnoteReference"/>
        </w:rPr>
        <w:footnoteReference w:id="9"/>
      </w:r>
    </w:p>
    <w:p w14:paraId="1D909106" w14:textId="5F9CEFBC" w:rsidR="00A310A9" w:rsidRDefault="007A148A" w:rsidP="00A310A9">
      <w:pPr>
        <w:spacing w:line="360" w:lineRule="auto"/>
      </w:pPr>
      <w:r>
        <w:tab/>
      </w:r>
      <w:r w:rsidR="000D5AE8">
        <w:rPr>
          <w:i/>
          <w:iCs/>
        </w:rPr>
        <w:t>Bushey</w:t>
      </w:r>
      <w:r w:rsidR="000D5AE8">
        <w:t xml:space="preserve">, </w:t>
      </w:r>
      <w:r w:rsidR="000D5AE8">
        <w:rPr>
          <w:i/>
          <w:iCs/>
        </w:rPr>
        <w:t>supra</w:t>
      </w:r>
      <w:r w:rsidR="000D5AE8">
        <w:t xml:space="preserve">, 5 Cal.5th 1068, </w:t>
      </w:r>
      <w:r w:rsidR="00D72192">
        <w:t xml:space="preserve">though </w:t>
      </w:r>
      <w:r w:rsidR="006C7791">
        <w:t xml:space="preserve">not cited by the parties, </w:t>
      </w:r>
      <w:r w:rsidR="008B7A1A">
        <w:t xml:space="preserve">is </w:t>
      </w:r>
      <w:r w:rsidR="00925D4F">
        <w:t xml:space="preserve">also </w:t>
      </w:r>
      <w:r w:rsidR="000D5AE8">
        <w:t>instructive.</w:t>
      </w:r>
      <w:r>
        <w:t xml:space="preserve">  </w:t>
      </w:r>
      <w:r w:rsidR="00DC19A4">
        <w:t xml:space="preserve">In </w:t>
      </w:r>
      <w:r w:rsidR="00DC19A4">
        <w:rPr>
          <w:i/>
          <w:iCs/>
        </w:rPr>
        <w:t>Bushey</w:t>
      </w:r>
      <w:r w:rsidR="00DC19A4">
        <w:t>, a c</w:t>
      </w:r>
      <w:r w:rsidR="00DC19A4" w:rsidRPr="00DC19A4">
        <w:t xml:space="preserve">ity filed </w:t>
      </w:r>
      <w:r w:rsidR="00DC19A4">
        <w:t xml:space="preserve">a </w:t>
      </w:r>
      <w:r w:rsidR="00DC19A4" w:rsidRPr="00DC19A4">
        <w:t xml:space="preserve">petition for writ of mandate </w:t>
      </w:r>
      <w:r w:rsidR="00CF0CDA">
        <w:t xml:space="preserve">contesting the validity of a </w:t>
      </w:r>
      <w:r w:rsidR="00DC19A4" w:rsidRPr="00DC19A4">
        <w:t xml:space="preserve">referendum </w:t>
      </w:r>
      <w:r w:rsidR="006C7791">
        <w:t xml:space="preserve">on </w:t>
      </w:r>
      <w:r w:rsidR="00CF0CDA">
        <w:t xml:space="preserve">a </w:t>
      </w:r>
      <w:r w:rsidR="00DC19A4" w:rsidRPr="00DC19A4">
        <w:t xml:space="preserve">city </w:t>
      </w:r>
      <w:r w:rsidR="00CF0CDA">
        <w:t xml:space="preserve">rezoning </w:t>
      </w:r>
      <w:r w:rsidR="00DC19A4" w:rsidRPr="00DC19A4">
        <w:t xml:space="preserve">ordinance </w:t>
      </w:r>
      <w:r w:rsidR="006C7791">
        <w:t xml:space="preserve">in support of </w:t>
      </w:r>
      <w:r w:rsidR="00BA53E6">
        <w:t xml:space="preserve">a </w:t>
      </w:r>
      <w:r w:rsidR="00DC19A4" w:rsidRPr="00DC19A4">
        <w:t>hotel project.</w:t>
      </w:r>
      <w:r w:rsidR="004F3912">
        <w:t xml:space="preserve">  (</w:t>
      </w:r>
      <w:r w:rsidR="004F3912">
        <w:rPr>
          <w:i/>
          <w:iCs/>
        </w:rPr>
        <w:t>Id.</w:t>
      </w:r>
      <w:r w:rsidR="004F3912">
        <w:t xml:space="preserve"> at pp. 1076–1077.)  </w:t>
      </w:r>
      <w:r w:rsidR="00CB6A59">
        <w:t>The Supreme Court held the ordinance was subject to challenge by referendum</w:t>
      </w:r>
      <w:r w:rsidR="002624D6">
        <w:t xml:space="preserve"> even though</w:t>
      </w:r>
      <w:r w:rsidR="00A67CF2">
        <w:t>, if approved,</w:t>
      </w:r>
      <w:r w:rsidR="002624D6">
        <w:t xml:space="preserve"> </w:t>
      </w:r>
      <w:r w:rsidR="003646ED">
        <w:t>the referendum</w:t>
      </w:r>
      <w:r w:rsidR="002624D6">
        <w:t xml:space="preserve"> </w:t>
      </w:r>
      <w:r w:rsidR="00A67CF2">
        <w:t>would create a</w:t>
      </w:r>
      <w:r w:rsidR="00D07EE1">
        <w:t xml:space="preserve"> temporary</w:t>
      </w:r>
      <w:r w:rsidR="00A67CF2">
        <w:t xml:space="preserve"> inconsistency with the city’s general plan.</w:t>
      </w:r>
      <w:r w:rsidR="00D07EE1">
        <w:t xml:space="preserve">  (</w:t>
      </w:r>
      <w:r w:rsidR="00D07EE1">
        <w:rPr>
          <w:i/>
          <w:iCs/>
        </w:rPr>
        <w:t>Id.</w:t>
      </w:r>
      <w:r w:rsidR="00D07EE1">
        <w:t xml:space="preserve"> at pp. </w:t>
      </w:r>
      <w:r w:rsidR="00A13DBF">
        <w:t>1075–1076.)</w:t>
      </w:r>
      <w:r w:rsidR="00A0489D">
        <w:t xml:space="preserve">  The court </w:t>
      </w:r>
      <w:r w:rsidR="00BD518A">
        <w:t xml:space="preserve">acknowledged </w:t>
      </w:r>
      <w:r w:rsidR="00A0489D">
        <w:t xml:space="preserve">that </w:t>
      </w:r>
      <w:r w:rsidR="00156296">
        <w:t xml:space="preserve">local </w:t>
      </w:r>
      <w:r w:rsidR="00A0489D" w:rsidRPr="00A0489D">
        <w:t xml:space="preserve">zoning and general plans raise issues of </w:t>
      </w:r>
      <w:r w:rsidR="00156296">
        <w:t>“ ‘</w:t>
      </w:r>
      <w:r w:rsidR="00A0489D" w:rsidRPr="00A0489D">
        <w:t>statewide concern</w:t>
      </w:r>
      <w:r w:rsidR="00156296">
        <w:t xml:space="preserve">’ </w:t>
      </w:r>
      <w:r w:rsidR="00A0489D" w:rsidRPr="00A0489D">
        <w:t>”</w:t>
      </w:r>
      <w:r w:rsidR="00156296">
        <w:t xml:space="preserve"> and that the </w:t>
      </w:r>
      <w:r w:rsidR="00A0489D" w:rsidRPr="00A0489D">
        <w:t xml:space="preserve">Legislature </w:t>
      </w:r>
      <w:r w:rsidR="00DB7E39">
        <w:t>had man</w:t>
      </w:r>
      <w:r w:rsidR="003916CF">
        <w:t>dated local governments to adopt general plans and required conformity between general plans and zoning</w:t>
      </w:r>
      <w:r w:rsidR="009C4821">
        <w:t xml:space="preserve"> ordinances</w:t>
      </w:r>
      <w:r w:rsidR="003916CF">
        <w:t>.</w:t>
      </w:r>
      <w:r w:rsidR="009C4821">
        <w:t xml:space="preserve">  (</w:t>
      </w:r>
      <w:r w:rsidR="00567847">
        <w:rPr>
          <w:i/>
          <w:iCs/>
        </w:rPr>
        <w:t>Id.</w:t>
      </w:r>
      <w:r w:rsidR="00567847">
        <w:t xml:space="preserve"> at p. 1079.)</w:t>
      </w:r>
      <w:r w:rsidR="00156296">
        <w:t xml:space="preserve">  </w:t>
      </w:r>
      <w:r w:rsidR="00BB31B2">
        <w:t xml:space="preserve">Nevertheless, the court </w:t>
      </w:r>
      <w:r w:rsidR="00BD518A">
        <w:t>concluded that</w:t>
      </w:r>
      <w:r w:rsidR="00BB31B2">
        <w:t xml:space="preserve"> the </w:t>
      </w:r>
      <w:r w:rsidR="00CC151A">
        <w:t xml:space="preserve">Legislature had </w:t>
      </w:r>
      <w:r w:rsidR="00CC151A">
        <w:rPr>
          <w:i/>
          <w:iCs/>
        </w:rPr>
        <w:t>not</w:t>
      </w:r>
      <w:r w:rsidR="00CC151A">
        <w:t xml:space="preserve"> “</w:t>
      </w:r>
      <w:r w:rsidR="00CC151A" w:rsidRPr="00CC151A">
        <w:t>preempted local electors’ power to challenge by referendum a local government ordinance</w:t>
      </w:r>
      <w:r w:rsidR="00CC151A">
        <w:t xml:space="preserve"> . . . </w:t>
      </w:r>
      <w:r w:rsidR="00CC151A" w:rsidRPr="00CC151A">
        <w:t>aligning the relevant zoning designations with the amended general plan.</w:t>
      </w:r>
      <w:r w:rsidR="00CC151A">
        <w:t xml:space="preserve">”  </w:t>
      </w:r>
      <w:r w:rsidR="008E64CA">
        <w:t>(</w:t>
      </w:r>
      <w:r w:rsidR="008E64CA">
        <w:rPr>
          <w:i/>
          <w:iCs/>
        </w:rPr>
        <w:t>Id.</w:t>
      </w:r>
      <w:r w:rsidR="008E64CA">
        <w:t xml:space="preserve"> at p.</w:t>
      </w:r>
      <w:r w:rsidR="00262954">
        <w:t> </w:t>
      </w:r>
      <w:r w:rsidR="008E64CA">
        <w:t>1080.)</w:t>
      </w:r>
      <w:r w:rsidR="00CB6A59">
        <w:t xml:space="preserve"> </w:t>
      </w:r>
      <w:r w:rsidR="00886F51">
        <w:t xml:space="preserve"> </w:t>
      </w:r>
      <w:r w:rsidR="006A7DFB">
        <w:t>Critically</w:t>
      </w:r>
      <w:r w:rsidR="00E7085C">
        <w:t>,</w:t>
      </w:r>
      <w:r w:rsidR="006A7DFB">
        <w:t xml:space="preserve"> </w:t>
      </w:r>
      <w:r w:rsidR="00A26F1E">
        <w:t xml:space="preserve">the </w:t>
      </w:r>
      <w:r w:rsidR="003C3A05">
        <w:t>local government</w:t>
      </w:r>
      <w:r w:rsidR="0096032C">
        <w:t xml:space="preserve"> </w:t>
      </w:r>
      <w:r w:rsidR="00632B76">
        <w:t xml:space="preserve">had </w:t>
      </w:r>
      <w:r w:rsidR="009607F5">
        <w:rPr>
          <w:i/>
          <w:iCs/>
        </w:rPr>
        <w:t xml:space="preserve">other </w:t>
      </w:r>
      <w:r w:rsidR="00022FAB">
        <w:t>options to bring the general plan and zoning into conformity if the referendum passed.</w:t>
      </w:r>
      <w:r w:rsidR="00476C92">
        <w:t xml:space="preserve">  (</w:t>
      </w:r>
      <w:r w:rsidR="00476C92">
        <w:rPr>
          <w:i/>
          <w:iCs/>
        </w:rPr>
        <w:t>Id.</w:t>
      </w:r>
      <w:r w:rsidR="00476C92">
        <w:t xml:space="preserve"> at p</w:t>
      </w:r>
      <w:r w:rsidR="00C169C0">
        <w:t>p</w:t>
      </w:r>
      <w:r w:rsidR="00476C92">
        <w:t>. 1083</w:t>
      </w:r>
      <w:r w:rsidR="00C169C0">
        <w:t>, 1090</w:t>
      </w:r>
      <w:r w:rsidR="00B865B9">
        <w:t>–1091</w:t>
      </w:r>
      <w:r w:rsidR="00476C92">
        <w:t>.)</w:t>
      </w:r>
      <w:r w:rsidR="00022FAB">
        <w:t xml:space="preserve">  As the court explained, “</w:t>
      </w:r>
      <w:r w:rsidR="00A310A9">
        <w:t xml:space="preserve">Where the local government can still implement one of multiple approaches to achieve consistency between the zoning ordinance and the general plan while complying with </w:t>
      </w:r>
      <w:r w:rsidR="00476C92">
        <w:t>[state law</w:t>
      </w:r>
      <w:r w:rsidR="00550E6D">
        <w:t>]</w:t>
      </w:r>
      <w:r w:rsidR="00A310A9">
        <w:t xml:space="preserve">, </w:t>
      </w:r>
      <w:r w:rsidR="00A310A9" w:rsidRPr="00550E6D">
        <w:rPr>
          <w:i/>
          <w:iCs/>
        </w:rPr>
        <w:lastRenderedPageBreak/>
        <w:t>the zoning ordinance is best understood as the product of a discretionary policy choice about the proper use of the land</w:t>
      </w:r>
      <w:r w:rsidR="00A310A9">
        <w:t>.</w:t>
      </w:r>
      <w:r w:rsidR="00550E6D">
        <w:t>”  (</w:t>
      </w:r>
      <w:r w:rsidR="00550E6D">
        <w:rPr>
          <w:i/>
          <w:iCs/>
        </w:rPr>
        <w:t>Id.</w:t>
      </w:r>
      <w:r w:rsidR="00C169C0">
        <w:t xml:space="preserve"> at p. 1083</w:t>
      </w:r>
      <w:r w:rsidR="00550E6D">
        <w:t xml:space="preserve"> [emphasis added].)  The same reasoning applies here.  Although the 2022 Agreement </w:t>
      </w:r>
      <w:r w:rsidR="007B718B">
        <w:t xml:space="preserve">is consistent with the Long Range Plan, it is not the </w:t>
      </w:r>
      <w:r w:rsidR="007B718B">
        <w:rPr>
          <w:i/>
          <w:iCs/>
        </w:rPr>
        <w:t>only</w:t>
      </w:r>
      <w:r w:rsidR="007B718B">
        <w:t xml:space="preserve"> consistent approach</w:t>
      </w:r>
      <w:r w:rsidR="0008471B">
        <w:t>.  Be</w:t>
      </w:r>
      <w:r w:rsidR="001743E8">
        <w:t xml:space="preserve">cause the City had </w:t>
      </w:r>
      <w:r w:rsidR="0008471B">
        <w:t xml:space="preserve">many choices about </w:t>
      </w:r>
      <w:r w:rsidR="0008471B">
        <w:rPr>
          <w:i/>
          <w:iCs/>
        </w:rPr>
        <w:t>how</w:t>
      </w:r>
      <w:r w:rsidR="0008471B">
        <w:t xml:space="preserve"> to </w:t>
      </w:r>
      <w:r w:rsidR="006A2552">
        <w:t xml:space="preserve">develop </w:t>
      </w:r>
      <w:r w:rsidR="005A4EFB">
        <w:t>the Property, its decision</w:t>
      </w:r>
      <w:r w:rsidR="006A2552">
        <w:t xml:space="preserve"> to construct and improve Veteran’s Park as part of the Project</w:t>
      </w:r>
      <w:r w:rsidR="005A4EFB">
        <w:t xml:space="preserve"> was</w:t>
      </w:r>
      <w:r w:rsidR="00E73D8E">
        <w:t xml:space="preserve">, as </w:t>
      </w:r>
      <w:r w:rsidR="00E73D8E">
        <w:rPr>
          <w:i/>
          <w:iCs/>
        </w:rPr>
        <w:t>Bushey</w:t>
      </w:r>
      <w:r w:rsidR="00723244">
        <w:rPr>
          <w:i/>
          <w:iCs/>
        </w:rPr>
        <w:t xml:space="preserve"> </w:t>
      </w:r>
      <w:r w:rsidR="00723244">
        <w:t>phrased it</w:t>
      </w:r>
      <w:r w:rsidR="00E73D8E">
        <w:t>,</w:t>
      </w:r>
      <w:r w:rsidR="005A4EFB">
        <w:t xml:space="preserve"> “</w:t>
      </w:r>
      <w:r w:rsidR="005A4EFB" w:rsidRPr="005A4EFB">
        <w:t>a discretionary policy choice about the proper use of the land.”</w:t>
      </w:r>
      <w:r w:rsidR="00E73D8E">
        <w:t xml:space="preserve">  (</w:t>
      </w:r>
      <w:r w:rsidR="00E73D8E">
        <w:rPr>
          <w:i/>
          <w:iCs/>
        </w:rPr>
        <w:t>Ibid.</w:t>
      </w:r>
      <w:r w:rsidR="00E73D8E">
        <w:t>)</w:t>
      </w:r>
    </w:p>
    <w:p w14:paraId="02DDAF6E" w14:textId="03CDFEAF" w:rsidR="004B3886" w:rsidRPr="004B3886" w:rsidRDefault="004B3886" w:rsidP="00A310A9">
      <w:pPr>
        <w:spacing w:line="360" w:lineRule="auto"/>
        <w:rPr>
          <w:i/>
          <w:iCs/>
        </w:rPr>
      </w:pPr>
      <w:r>
        <w:tab/>
        <w:t xml:space="preserve">D. </w:t>
      </w:r>
      <w:r>
        <w:tab/>
      </w:r>
      <w:r>
        <w:rPr>
          <w:i/>
          <w:iCs/>
        </w:rPr>
        <w:t>Conclusion</w:t>
      </w:r>
    </w:p>
    <w:p w14:paraId="04997351" w14:textId="532B3B7C" w:rsidR="00E52D6B" w:rsidRDefault="004B1BAC" w:rsidP="00026AB2">
      <w:pPr>
        <w:spacing w:line="360" w:lineRule="auto"/>
      </w:pPr>
      <w:r>
        <w:tab/>
      </w:r>
      <w:r w:rsidR="00B277FF">
        <w:t xml:space="preserve">Under </w:t>
      </w:r>
      <w:r w:rsidR="006D59AB">
        <w:t>respondents’</w:t>
      </w:r>
      <w:r w:rsidR="00B277FF">
        <w:t xml:space="preserve"> view, </w:t>
      </w:r>
      <w:r w:rsidR="00837118">
        <w:t>the City</w:t>
      </w:r>
      <w:r w:rsidR="00E40932">
        <w:t xml:space="preserve"> acts as a mere administrative agent of the State</w:t>
      </w:r>
      <w:r w:rsidR="00A272EA">
        <w:t xml:space="preserve"> in developing the Property as a “high density residential project with an affordable component</w:t>
      </w:r>
      <w:r w:rsidR="005A53DE">
        <w:t xml:space="preserve">,” regardless of the discretionary decisions </w:t>
      </w:r>
      <w:r w:rsidR="00040A46">
        <w:t>the City makes in doing so</w:t>
      </w:r>
      <w:r w:rsidR="00E050E3">
        <w:t xml:space="preserve">.  </w:t>
      </w:r>
      <w:r w:rsidR="006D59AB">
        <w:t>Respondents</w:t>
      </w:r>
      <w:r w:rsidR="00D94D85">
        <w:t xml:space="preserve"> are mistaken.  Because there is no “</w:t>
      </w:r>
      <w:r w:rsidR="00262954">
        <w:t> </w:t>
      </w:r>
      <w:r w:rsidR="0016756E">
        <w:t>‘</w:t>
      </w:r>
      <w:r w:rsidR="00D94D85">
        <w:t>definite indication</w:t>
      </w:r>
      <w:r w:rsidR="0016756E">
        <w:t>’ ” (</w:t>
      </w:r>
      <w:r w:rsidR="0016756E">
        <w:rPr>
          <w:i/>
          <w:iCs/>
        </w:rPr>
        <w:t>Bushey</w:t>
      </w:r>
      <w:r w:rsidR="0016756E">
        <w:t xml:space="preserve">, </w:t>
      </w:r>
      <w:r w:rsidR="0016756E">
        <w:rPr>
          <w:i/>
          <w:iCs/>
        </w:rPr>
        <w:t>supra</w:t>
      </w:r>
      <w:r w:rsidR="0016756E">
        <w:t>, 5 Cal.5th at pp. 1078–1079)</w:t>
      </w:r>
      <w:r w:rsidR="00D94D85">
        <w:t xml:space="preserve"> that the Legislature</w:t>
      </w:r>
      <w:r w:rsidR="00AD47B8">
        <w:t>,</w:t>
      </w:r>
      <w:r w:rsidR="00D4559B">
        <w:t xml:space="preserve"> in enacting the </w:t>
      </w:r>
      <w:r w:rsidR="00E917AB">
        <w:t>D</w:t>
      </w:r>
      <w:r w:rsidR="00D4559B">
        <w:t xml:space="preserve">issolution </w:t>
      </w:r>
      <w:r w:rsidR="00E917AB">
        <w:t>L</w:t>
      </w:r>
      <w:r w:rsidR="00D4559B">
        <w:t xml:space="preserve">aw, intended to </w:t>
      </w:r>
      <w:r w:rsidR="007254B5">
        <w:t>preempt local discretion</w:t>
      </w:r>
      <w:r w:rsidR="00274811">
        <w:t xml:space="preserve">ary policy decisions regarding </w:t>
      </w:r>
      <w:r w:rsidR="007E4B63">
        <w:t>municipal developments</w:t>
      </w:r>
      <w:r w:rsidR="007254B5">
        <w:t>, t</w:t>
      </w:r>
      <w:r>
        <w:t xml:space="preserve">he </w:t>
      </w:r>
      <w:r w:rsidR="00BC20A6">
        <w:t xml:space="preserve">superior court erred in concluding the referendum power </w:t>
      </w:r>
      <w:r w:rsidR="00FB2CA6">
        <w:t>did not encompass the Resolution on the ground that the City was acting as an administrative agent of the State.</w:t>
      </w:r>
    </w:p>
    <w:p w14:paraId="1908681E" w14:textId="347F6C5F" w:rsidR="00EB6086" w:rsidRDefault="0069728F" w:rsidP="00026AB2">
      <w:pPr>
        <w:spacing w:line="360" w:lineRule="auto"/>
        <w:rPr>
          <w:i/>
          <w:iCs/>
        </w:rPr>
      </w:pPr>
      <w:r>
        <w:t xml:space="preserve">V. </w:t>
      </w:r>
      <w:r>
        <w:tab/>
      </w:r>
      <w:r>
        <w:rPr>
          <w:i/>
          <w:iCs/>
        </w:rPr>
        <w:t xml:space="preserve">The </w:t>
      </w:r>
      <w:r w:rsidR="00EB6086">
        <w:rPr>
          <w:i/>
          <w:iCs/>
        </w:rPr>
        <w:t xml:space="preserve">City’s </w:t>
      </w:r>
      <w:r w:rsidR="00A92FD7">
        <w:rPr>
          <w:i/>
          <w:iCs/>
        </w:rPr>
        <w:t>Approval</w:t>
      </w:r>
      <w:r w:rsidR="00EB6086">
        <w:rPr>
          <w:i/>
          <w:iCs/>
        </w:rPr>
        <w:t>s</w:t>
      </w:r>
      <w:r w:rsidR="00A92FD7">
        <w:rPr>
          <w:i/>
          <w:iCs/>
        </w:rPr>
        <w:t xml:space="preserve"> of the </w:t>
      </w:r>
      <w:r>
        <w:rPr>
          <w:i/>
          <w:iCs/>
        </w:rPr>
        <w:t>L</w:t>
      </w:r>
      <w:r w:rsidR="00A92FD7">
        <w:rPr>
          <w:i/>
          <w:iCs/>
        </w:rPr>
        <w:t>oan Terms and Indemnification</w:t>
      </w:r>
      <w:r w:rsidR="00EB6086">
        <w:rPr>
          <w:i/>
          <w:iCs/>
        </w:rPr>
        <w:t xml:space="preserve"> Provision</w:t>
      </w:r>
    </w:p>
    <w:p w14:paraId="488A1834" w14:textId="224A5D23" w:rsidR="0069728F" w:rsidRPr="00EB6086" w:rsidRDefault="0036422B" w:rsidP="00026AB2">
      <w:pPr>
        <w:spacing w:line="360" w:lineRule="auto"/>
        <w:rPr>
          <w:i/>
          <w:iCs/>
        </w:rPr>
      </w:pPr>
      <w:r>
        <w:rPr>
          <w:i/>
          <w:iCs/>
        </w:rPr>
        <w:tab/>
      </w:r>
      <w:r w:rsidR="00A92FD7">
        <w:rPr>
          <w:i/>
          <w:iCs/>
        </w:rPr>
        <w:t xml:space="preserve">in </w:t>
      </w:r>
      <w:r w:rsidR="00AB39C7">
        <w:rPr>
          <w:i/>
          <w:iCs/>
        </w:rPr>
        <w:t>t</w:t>
      </w:r>
      <w:r w:rsidR="00A92FD7">
        <w:rPr>
          <w:i/>
          <w:iCs/>
        </w:rPr>
        <w:t xml:space="preserve">he 2022 Agreement </w:t>
      </w:r>
      <w:r w:rsidR="009D78F0">
        <w:rPr>
          <w:i/>
          <w:iCs/>
        </w:rPr>
        <w:t>Did Not Render</w:t>
      </w:r>
      <w:r w:rsidR="005B706E">
        <w:rPr>
          <w:i/>
          <w:iCs/>
        </w:rPr>
        <w:t xml:space="preserve"> the</w:t>
      </w:r>
      <w:r w:rsidR="009D78F0">
        <w:rPr>
          <w:i/>
          <w:iCs/>
        </w:rPr>
        <w:t xml:space="preserve"> Resolution </w:t>
      </w:r>
      <w:r w:rsidR="00A92FD7">
        <w:rPr>
          <w:i/>
          <w:iCs/>
        </w:rPr>
        <w:t>Legislative</w:t>
      </w:r>
    </w:p>
    <w:p w14:paraId="72FB44DD" w14:textId="6679BBF5" w:rsidR="00A96FEA" w:rsidRDefault="0036422B" w:rsidP="00E76BEF">
      <w:pPr>
        <w:spacing w:line="360" w:lineRule="auto"/>
      </w:pPr>
      <w:r>
        <w:tab/>
      </w:r>
      <w:r w:rsidR="00F56E55">
        <w:t>Plaintiffs</w:t>
      </w:r>
      <w:r w:rsidR="00E76BEF">
        <w:t xml:space="preserve"> also </w:t>
      </w:r>
      <w:r w:rsidR="006A2552">
        <w:t>contend</w:t>
      </w:r>
      <w:r w:rsidR="00E76BEF">
        <w:t xml:space="preserve"> the Resolution </w:t>
      </w:r>
      <w:r w:rsidR="00EA090C">
        <w:t>was legislative because</w:t>
      </w:r>
      <w:r w:rsidR="00DC17D2">
        <w:t>, in</w:t>
      </w:r>
      <w:r w:rsidR="00E76BEF">
        <w:t xml:space="preserve"> the 2022 Agreement, the City </w:t>
      </w:r>
      <w:r w:rsidR="00DC17D2">
        <w:t xml:space="preserve">(1) agreed to </w:t>
      </w:r>
      <w:r w:rsidR="00E76BEF">
        <w:t>provid</w:t>
      </w:r>
      <w:r w:rsidR="00DC17D2">
        <w:t xml:space="preserve">e </w:t>
      </w:r>
      <w:r w:rsidR="00E76BEF">
        <w:t>Eden Housing with a $7.8 million loan at 3</w:t>
      </w:r>
      <w:r w:rsidR="00BC09BE">
        <w:t xml:space="preserve"> percent </w:t>
      </w:r>
      <w:r w:rsidR="00E76BEF">
        <w:t>simple interest to be repaid over 55 years</w:t>
      </w:r>
      <w:r w:rsidR="00AE3CE3">
        <w:t>, and (2)</w:t>
      </w:r>
      <w:r w:rsidR="00E76BEF">
        <w:t xml:space="preserve"> </w:t>
      </w:r>
      <w:r w:rsidR="00DC17D2">
        <w:t xml:space="preserve">agreed to bear up to $4.3 million in liability </w:t>
      </w:r>
      <w:r w:rsidR="00A51111">
        <w:t>under an indemnification provision.</w:t>
      </w:r>
      <w:r w:rsidR="003E697F">
        <w:t xml:space="preserve">  At oral argument, both parties agreed</w:t>
      </w:r>
      <w:r w:rsidR="000A060C">
        <w:t xml:space="preserve"> that, </w:t>
      </w:r>
      <w:r w:rsidR="00D54A0C">
        <w:t>moving forward</w:t>
      </w:r>
      <w:r w:rsidR="000A060C">
        <w:t>,</w:t>
      </w:r>
      <w:r w:rsidR="003E697F">
        <w:t xml:space="preserve"> </w:t>
      </w:r>
      <w:r w:rsidR="00542D00">
        <w:t xml:space="preserve">it would be helpful for this court to resolve those </w:t>
      </w:r>
      <w:r w:rsidR="006A2552">
        <w:t>contention</w:t>
      </w:r>
      <w:r w:rsidR="00542D00">
        <w:t>s</w:t>
      </w:r>
      <w:r w:rsidR="00A96FEA">
        <w:t>.</w:t>
      </w:r>
    </w:p>
    <w:p w14:paraId="683FA888" w14:textId="11A825FA" w:rsidR="00EC5495" w:rsidRDefault="00A96FEA" w:rsidP="00AF5181">
      <w:pPr>
        <w:spacing w:line="360" w:lineRule="auto"/>
      </w:pPr>
      <w:r>
        <w:lastRenderedPageBreak/>
        <w:tab/>
      </w:r>
      <w:r w:rsidR="00455373">
        <w:t>As to the loan</w:t>
      </w:r>
      <w:r>
        <w:t xml:space="preserve"> terms, </w:t>
      </w:r>
      <w:r w:rsidR="0072680C">
        <w:t xml:space="preserve">the 2018 Agreement provided that, “The price of the property shall be equal to the appraised fair market value of the Property, and such appraisal shall be performed by an appraiser that is mutually agreed upon by the City and the Developer.” </w:t>
      </w:r>
      <w:r w:rsidR="00325BAB">
        <w:t xml:space="preserve"> </w:t>
      </w:r>
      <w:r w:rsidR="00D343E2">
        <w:t>T</w:t>
      </w:r>
      <w:r w:rsidR="00325BAB">
        <w:t xml:space="preserve">hat policy decision to sell the Property for fair market value was the relevant </w:t>
      </w:r>
      <w:r w:rsidR="00EC5495" w:rsidRPr="001E7E79">
        <w:t>declar</w:t>
      </w:r>
      <w:r w:rsidR="00EC5495">
        <w:t xml:space="preserve">ation of policy </w:t>
      </w:r>
      <w:r w:rsidR="00A66278">
        <w:t>and “</w:t>
      </w:r>
      <w:r w:rsidR="00EC5495" w:rsidRPr="001E7E79">
        <w:t>provision</w:t>
      </w:r>
      <w:r w:rsidR="009029F8">
        <w:t>[]</w:t>
      </w:r>
      <w:r w:rsidR="00EC5495" w:rsidRPr="001E7E79">
        <w:t xml:space="preserve"> for the ways and means of its accomplishment</w:t>
      </w:r>
      <w:r w:rsidR="009029F8">
        <w:t>,” and the subsequent approval of the amount</w:t>
      </w:r>
      <w:r w:rsidR="00A874D9">
        <w:t xml:space="preserve"> was an administrative act carrying out the previously </w:t>
      </w:r>
      <w:r w:rsidR="00AF5181">
        <w:t>determined “</w:t>
      </w:r>
      <w:r w:rsidR="00EC5495" w:rsidRPr="001E7E79">
        <w:t>legislative policies and purposes</w:t>
      </w:r>
      <w:r w:rsidR="00AF5181">
        <w:t>.”  (</w:t>
      </w:r>
      <w:r w:rsidR="00EC5495" w:rsidRPr="005A35D2">
        <w:rPr>
          <w:i/>
          <w:iCs/>
        </w:rPr>
        <w:t>San Bruno</w:t>
      </w:r>
      <w:r w:rsidR="00EC5495">
        <w:t xml:space="preserve">, </w:t>
      </w:r>
      <w:r w:rsidR="00EC5495" w:rsidRPr="005A35D2">
        <w:rPr>
          <w:i/>
          <w:iCs/>
        </w:rPr>
        <w:t>supra</w:t>
      </w:r>
      <w:r w:rsidR="00EC5495">
        <w:t xml:space="preserve">, </w:t>
      </w:r>
      <w:r w:rsidR="00EC5495" w:rsidRPr="005A35D2">
        <w:t>15</w:t>
      </w:r>
      <w:r w:rsidR="00EC5495">
        <w:t xml:space="preserve"> Cal.App.5th at p. 530</w:t>
      </w:r>
      <w:r w:rsidR="00AF5181">
        <w:t xml:space="preserve">.)  The same is true of the specification </w:t>
      </w:r>
      <w:r w:rsidR="004B0C27">
        <w:t>of 3</w:t>
      </w:r>
      <w:r w:rsidR="00AB5723">
        <w:t xml:space="preserve"> percent </w:t>
      </w:r>
      <w:r w:rsidR="004B0C27">
        <w:t>as the rate of interest.  The 2018 Agreement provided that 3</w:t>
      </w:r>
      <w:r w:rsidR="00AB5723">
        <w:t xml:space="preserve"> percent </w:t>
      </w:r>
      <w:r w:rsidR="004B0C27">
        <w:t xml:space="preserve">was one of two potential interest rates, with the rate to be </w:t>
      </w:r>
      <w:r w:rsidR="002B3E21">
        <w:t>agreed upon “</w:t>
      </w:r>
      <w:r w:rsidR="002B3E21" w:rsidRPr="002B3E21">
        <w:t>based on the Project</w:t>
      </w:r>
      <w:r w:rsidR="002B3E21">
        <w:t>’</w:t>
      </w:r>
      <w:r w:rsidR="002B3E21" w:rsidRPr="002B3E21">
        <w:t>s overall financial feasibility and Investor requirements.</w:t>
      </w:r>
      <w:r w:rsidR="002B3E21">
        <w:t xml:space="preserve">” </w:t>
      </w:r>
      <w:r w:rsidR="00EC5495">
        <w:t xml:space="preserve"> </w:t>
      </w:r>
      <w:r w:rsidR="002B3E21">
        <w:t xml:space="preserve">The </w:t>
      </w:r>
      <w:r w:rsidR="00735D89">
        <w:t xml:space="preserve">ultimate </w:t>
      </w:r>
      <w:r w:rsidR="002B3E21">
        <w:t xml:space="preserve">determination </w:t>
      </w:r>
      <w:r w:rsidR="00735D89">
        <w:t>that the Project finances supported selection of the 3</w:t>
      </w:r>
      <w:r w:rsidR="009D6BA1">
        <w:t xml:space="preserve"> percent </w:t>
      </w:r>
      <w:r w:rsidR="00735D89">
        <w:t xml:space="preserve">rate was an administrative determination pursuant to the policy established in the </w:t>
      </w:r>
      <w:r w:rsidR="00085D24">
        <w:t>2018 Agreement.  Finally, the 55-year loan term was already specified in the 2018 Agreement.  Accordingly, approval of the loan terms in the 2022 Agreement was not a legislative act.</w:t>
      </w:r>
    </w:p>
    <w:p w14:paraId="0690682C" w14:textId="5980DE95" w:rsidR="00641E56" w:rsidRDefault="00455373" w:rsidP="00641E56">
      <w:pPr>
        <w:spacing w:line="360" w:lineRule="auto"/>
      </w:pPr>
      <w:r>
        <w:tab/>
      </w:r>
      <w:r w:rsidR="003205E6">
        <w:t>T</w:t>
      </w:r>
      <w:r>
        <w:t>he indemnification provision</w:t>
      </w:r>
      <w:r w:rsidR="003205E6">
        <w:t xml:space="preserve"> in the 2022 Agreement authorizes the </w:t>
      </w:r>
      <w:r w:rsidR="00641E56">
        <w:t>City Manager “to negotiate and execute [an] indemnity and cooperation</w:t>
      </w:r>
    </w:p>
    <w:p w14:paraId="2FA61622" w14:textId="77777777" w:rsidR="00F306F3" w:rsidRDefault="00641E56" w:rsidP="00F306F3">
      <w:pPr>
        <w:spacing w:line="360" w:lineRule="auto"/>
      </w:pPr>
      <w:r>
        <w:t>agreement in an amount not to exceed $4,300,000</w:t>
      </w:r>
      <w:r w:rsidR="00085D24">
        <w:t>,</w:t>
      </w:r>
      <w:r>
        <w:t xml:space="preserve">” in order to </w:t>
      </w:r>
      <w:r w:rsidR="00F306F3">
        <w:t>“apportion costs and any potential liability related to Hazardous Materials at, on, in,</w:t>
      </w:r>
    </w:p>
    <w:p w14:paraId="5B9D105F" w14:textId="73E69FFC" w:rsidR="00C978E4" w:rsidRDefault="00F306F3" w:rsidP="00ED31A2">
      <w:pPr>
        <w:spacing w:line="360" w:lineRule="auto"/>
      </w:pPr>
      <w:r>
        <w:t xml:space="preserve">beneath, or from the Property . . .” </w:t>
      </w:r>
      <w:r w:rsidR="00085D24">
        <w:t xml:space="preserve"> </w:t>
      </w:r>
      <w:r w:rsidR="00633B8C">
        <w:t>A</w:t>
      </w:r>
      <w:r w:rsidR="003C6EAB">
        <w:t>t oral argument</w:t>
      </w:r>
      <w:r w:rsidR="00633B8C">
        <w:t>,</w:t>
      </w:r>
      <w:r w:rsidR="003C6EAB">
        <w:t xml:space="preserve"> </w:t>
      </w:r>
      <w:r w:rsidR="00F56E55">
        <w:t>plaintiffs</w:t>
      </w:r>
      <w:r w:rsidR="00290B11">
        <w:t xml:space="preserve"> </w:t>
      </w:r>
      <w:r w:rsidR="00F4322B" w:rsidRPr="00F4322B">
        <w:t xml:space="preserve">conceded that, </w:t>
      </w:r>
      <w:r w:rsidR="006435E3">
        <w:t xml:space="preserve">absent </w:t>
      </w:r>
      <w:r w:rsidR="0008240F">
        <w:t xml:space="preserve">agreement </w:t>
      </w:r>
      <w:r w:rsidR="006435E3">
        <w:t xml:space="preserve">from Eden Housing to </w:t>
      </w:r>
      <w:r w:rsidR="00633B8C">
        <w:t xml:space="preserve">assume a portion of the liability, </w:t>
      </w:r>
      <w:r w:rsidR="00F4322B" w:rsidRPr="00F4322B">
        <w:t>the City would bear the</w:t>
      </w:r>
      <w:r w:rsidR="000F7A6A">
        <w:t xml:space="preserve"> </w:t>
      </w:r>
      <w:r w:rsidR="00F4322B" w:rsidRPr="00F4322B">
        <w:t xml:space="preserve">liability.  </w:t>
      </w:r>
      <w:r w:rsidR="00F56E55">
        <w:t>Plaintiffs</w:t>
      </w:r>
      <w:r w:rsidR="000F7A6A">
        <w:t xml:space="preserve"> further </w:t>
      </w:r>
      <w:r w:rsidR="00F4322B" w:rsidRPr="00F4322B">
        <w:t xml:space="preserve">conceded that the effect of the 2022 Agreement was to cap the City’s potential liability at $4.3 million, and that the cap benefitted taxpayers by limiting the City’s </w:t>
      </w:r>
      <w:r w:rsidR="00F4322B" w:rsidRPr="00F4322B">
        <w:lastRenderedPageBreak/>
        <w:t xml:space="preserve">liability.  Finally, </w:t>
      </w:r>
      <w:r w:rsidR="00F56E55">
        <w:t>plaintiffs</w:t>
      </w:r>
      <w:r w:rsidR="000F7A6A">
        <w:t xml:space="preserve"> </w:t>
      </w:r>
      <w:r w:rsidR="00F4322B" w:rsidRPr="00F4322B">
        <w:t>conceded that approval by the City of a stand-alone agreement identical to the indemnification provision would be an administrative act.</w:t>
      </w:r>
      <w:r w:rsidR="00780647">
        <w:t xml:space="preserve">  On appeal, </w:t>
      </w:r>
      <w:r w:rsidR="00F56E55">
        <w:t>plaintiffs</w:t>
      </w:r>
      <w:r w:rsidR="00AD3B0F">
        <w:t>, as appell</w:t>
      </w:r>
      <w:r w:rsidR="00504DBA">
        <w:t xml:space="preserve">ants, </w:t>
      </w:r>
      <w:r w:rsidR="00AD3B0F">
        <w:t>bear</w:t>
      </w:r>
      <w:r w:rsidR="00504DBA">
        <w:t xml:space="preserve"> the burden of showing the superior court erred.  (</w:t>
      </w:r>
      <w:r w:rsidR="00D06DCF" w:rsidRPr="00D06DCF">
        <w:rPr>
          <w:i/>
          <w:iCs/>
        </w:rPr>
        <w:t>L.O. v. Kilrain</w:t>
      </w:r>
      <w:r w:rsidR="00D06DCF">
        <w:t xml:space="preserve"> (2023)</w:t>
      </w:r>
      <w:r w:rsidR="00D06DCF" w:rsidRPr="00D06DCF">
        <w:rPr>
          <w:i/>
          <w:iCs/>
        </w:rPr>
        <w:t xml:space="preserve"> </w:t>
      </w:r>
      <w:r w:rsidR="00D06DCF" w:rsidRPr="00D06DCF">
        <w:t>96 Cal.App.5th 616, 619</w:t>
      </w:r>
      <w:r w:rsidR="00504DBA" w:rsidRPr="00D06DCF">
        <w:t>.)</w:t>
      </w:r>
      <w:r w:rsidR="00504DBA">
        <w:t xml:space="preserve">  Given their concessions, they </w:t>
      </w:r>
      <w:r w:rsidR="00A96EF7">
        <w:t xml:space="preserve">fail to </w:t>
      </w:r>
      <w:r w:rsidR="00934336">
        <w:t>do so</w:t>
      </w:r>
      <w:r w:rsidR="00A96EF7">
        <w:t xml:space="preserve">.  They cite no authority </w:t>
      </w:r>
      <w:r w:rsidR="00DC4DAF">
        <w:t xml:space="preserve">that or reasoning why </w:t>
      </w:r>
      <w:r w:rsidR="00604CE0">
        <w:t>a municipal</w:t>
      </w:r>
      <w:r w:rsidR="00CD7EAD">
        <w:t xml:space="preserve">ity’s decision to enter into a contract </w:t>
      </w:r>
      <w:r w:rsidR="00604CE0">
        <w:t xml:space="preserve">that </w:t>
      </w:r>
      <w:r w:rsidR="00B3239B">
        <w:t xml:space="preserve">potentially saves </w:t>
      </w:r>
      <w:r w:rsidR="00CD7EAD">
        <w:t xml:space="preserve">public funds by </w:t>
      </w:r>
      <w:r w:rsidR="00DC4DAF">
        <w:t>limiting</w:t>
      </w:r>
      <w:r w:rsidR="00CD7EAD">
        <w:t xml:space="preserve"> liability is legislative</w:t>
      </w:r>
      <w:r w:rsidR="00F5641E">
        <w:t>, especially after the municipality has already approved a contract acknowledging its potential liability</w:t>
      </w:r>
      <w:r w:rsidR="0099108D">
        <w:t>.  And they cite no authority that or reasoning why a</w:t>
      </w:r>
      <w:r w:rsidR="00EA3C93">
        <w:t xml:space="preserve"> determination</w:t>
      </w:r>
      <w:r w:rsidR="0099108D">
        <w:t xml:space="preserve"> that is otherwise administrative may be treated as </w:t>
      </w:r>
      <w:r w:rsidR="00EA3C93">
        <w:t xml:space="preserve">legislative because </w:t>
      </w:r>
      <w:r w:rsidR="006A2552">
        <w:t xml:space="preserve">the provision at issue is </w:t>
      </w:r>
      <w:r w:rsidR="00F346D4">
        <w:t>part of a larger agreement</w:t>
      </w:r>
      <w:r w:rsidR="006A2552">
        <w:t xml:space="preserve">, the approval of which is </w:t>
      </w:r>
      <w:r w:rsidR="00F346D4">
        <w:t>legislative due to a wholly unrelated provision.</w:t>
      </w:r>
      <w:r w:rsidR="00EA3C93">
        <w:t xml:space="preserve"> </w:t>
      </w:r>
      <w:r w:rsidR="00AD3B0F">
        <w:t xml:space="preserve"> </w:t>
      </w:r>
      <w:r w:rsidR="00CE51A5">
        <w:t xml:space="preserve">Accordingly, </w:t>
      </w:r>
      <w:r w:rsidR="00F56E55">
        <w:t>plaintiffs</w:t>
      </w:r>
      <w:r w:rsidR="00DD0916">
        <w:t xml:space="preserve"> have not shown </w:t>
      </w:r>
      <w:r w:rsidR="00CE51A5">
        <w:t>approval of the indemnification provision in the 2022 Agreement was a legislative act.</w:t>
      </w:r>
      <w:r w:rsidR="00EB73EA">
        <w:rPr>
          <w:rStyle w:val="FootnoteReference"/>
        </w:rPr>
        <w:footnoteReference w:id="10"/>
      </w:r>
    </w:p>
    <w:p w14:paraId="738DA437" w14:textId="0AA4494F" w:rsidR="009D1B45" w:rsidRPr="009D1B45" w:rsidRDefault="009D1B45" w:rsidP="00ED31A2">
      <w:pPr>
        <w:spacing w:line="360" w:lineRule="auto"/>
        <w:rPr>
          <w:i/>
          <w:iCs/>
        </w:rPr>
      </w:pPr>
      <w:r>
        <w:t>V</w:t>
      </w:r>
      <w:r w:rsidR="00552AAE">
        <w:t>I</w:t>
      </w:r>
      <w:r>
        <w:t xml:space="preserve">. </w:t>
      </w:r>
      <w:r>
        <w:tab/>
      </w:r>
      <w:r>
        <w:rPr>
          <w:i/>
          <w:iCs/>
        </w:rPr>
        <w:t xml:space="preserve">The </w:t>
      </w:r>
      <w:r w:rsidR="00576DFA">
        <w:rPr>
          <w:i/>
          <w:iCs/>
        </w:rPr>
        <w:t xml:space="preserve">Superior Court Erred in </w:t>
      </w:r>
      <w:r w:rsidR="002C7728">
        <w:rPr>
          <w:i/>
          <w:iCs/>
        </w:rPr>
        <w:t>Requiring a Bond</w:t>
      </w:r>
    </w:p>
    <w:p w14:paraId="6EFDF5C5" w14:textId="5936DCFB" w:rsidR="008B3125" w:rsidRDefault="00E0613E" w:rsidP="006817E5">
      <w:pPr>
        <w:spacing w:line="360" w:lineRule="auto"/>
      </w:pPr>
      <w:r>
        <w:tab/>
      </w:r>
      <w:r w:rsidR="004A47DC">
        <w:t xml:space="preserve">As noted previously, the superior court required </w:t>
      </w:r>
      <w:r w:rsidR="00F56E55">
        <w:t>plaintiffs</w:t>
      </w:r>
      <w:r w:rsidR="004A47DC">
        <w:t xml:space="preserve"> to </w:t>
      </w:r>
      <w:r w:rsidR="00A23B62">
        <w:t xml:space="preserve">furnish </w:t>
      </w:r>
      <w:r w:rsidR="004A47DC">
        <w:t xml:space="preserve">an undertaking in the amount of $500,000 under </w:t>
      </w:r>
      <w:r w:rsidR="007C3EAA">
        <w:t>Code of Civil Procedure section 529.2</w:t>
      </w:r>
      <w:r w:rsidR="004A47DC">
        <w:t>.</w:t>
      </w:r>
      <w:r w:rsidR="0091520E">
        <w:t xml:space="preserve">  That statute</w:t>
      </w:r>
      <w:r w:rsidR="000848D4">
        <w:t xml:space="preserve"> provides that </w:t>
      </w:r>
      <w:r w:rsidR="00482ECF">
        <w:t>a defendant in a civil action “</w:t>
      </w:r>
      <w:r w:rsidR="00482ECF" w:rsidRPr="00482ECF">
        <w:t>brought by any plaintiff to challenge a housing project which is a development project</w:t>
      </w:r>
      <w:r w:rsidR="00482ECF">
        <w:t xml:space="preserve"> . . .</w:t>
      </w:r>
      <w:r w:rsidR="00482ECF" w:rsidRPr="00482ECF">
        <w:t xml:space="preserve"> and which meets or exceeds the requirements for low- or moderate-income </w:t>
      </w:r>
      <w:r w:rsidR="00482ECF" w:rsidRPr="00482ECF">
        <w:lastRenderedPageBreak/>
        <w:t>housing</w:t>
      </w:r>
      <w:r w:rsidR="00482ECF">
        <w:t>”</w:t>
      </w:r>
      <w:r w:rsidR="004B214A">
        <w:t xml:space="preserve"> may request an order requiring the plaintiff </w:t>
      </w:r>
      <w:r w:rsidR="00C0634E">
        <w:t>“</w:t>
      </w:r>
      <w:r w:rsidR="00C0634E" w:rsidRPr="00C0634E">
        <w:t>to furnish an undertaking as security for costs and any damages that may be incurred by the defendant by the conclusion of the action or proceeding as the result of a delay in carrying out the development project</w:t>
      </w:r>
      <w:r w:rsidR="00A25957">
        <w:t>.”</w:t>
      </w:r>
      <w:r w:rsidR="0003375B">
        <w:t xml:space="preserve">  (</w:t>
      </w:r>
      <w:r w:rsidR="00C82EE4">
        <w:t>Code Civ. Pro</w:t>
      </w:r>
      <w:r w:rsidR="00D7609D">
        <w:t>c</w:t>
      </w:r>
      <w:r w:rsidR="00C82EE4">
        <w:t>. § 529.2, subd. (a).)</w:t>
      </w:r>
      <w:r w:rsidR="00A25957">
        <w:t xml:space="preserve">  </w:t>
      </w:r>
      <w:r w:rsidR="00F27579">
        <w:t>“</w:t>
      </w:r>
      <w:r w:rsidR="00F27579" w:rsidRPr="00F27579">
        <w:t>The motion shall be made on the grounds that: (1) the action was brought in bad faith, vexatiously, for the purpose of delay, or to thwart the low- or moderate-income nature of the housing development project, and (2) the plaintiff will not suffer undue economic hardship by filing the undertaking.</w:t>
      </w:r>
      <w:r w:rsidR="008B3125">
        <w:t>”  (</w:t>
      </w:r>
      <w:r w:rsidR="008B3125">
        <w:rPr>
          <w:i/>
          <w:iCs/>
        </w:rPr>
        <w:t>Ibid.</w:t>
      </w:r>
      <w:r w:rsidR="008B3125">
        <w:t>)</w:t>
      </w:r>
    </w:p>
    <w:p w14:paraId="3D3EF300" w14:textId="17CCCCFA" w:rsidR="00CF7A0C" w:rsidRDefault="008B3125" w:rsidP="00D830AB">
      <w:pPr>
        <w:spacing w:line="360" w:lineRule="auto"/>
      </w:pPr>
      <w:r>
        <w:tab/>
      </w:r>
      <w:r w:rsidR="00A23B62">
        <w:t xml:space="preserve">On appeal, </w:t>
      </w:r>
      <w:r w:rsidR="00F56E55">
        <w:t>plaintiffs</w:t>
      </w:r>
      <w:r w:rsidR="004A47DC">
        <w:t xml:space="preserve"> contend </w:t>
      </w:r>
      <w:r w:rsidR="00F51859">
        <w:t xml:space="preserve">the superior court erred in concluding the present action is </w:t>
      </w:r>
      <w:r w:rsidR="00BF1FBD">
        <w:t>within the scope of Code of Civil Procedure section 529.2</w:t>
      </w:r>
      <w:r w:rsidR="003D11F3">
        <w:t xml:space="preserve">.  </w:t>
      </w:r>
      <w:r w:rsidR="00BF1FBD">
        <w:t>They argue th</w:t>
      </w:r>
      <w:r w:rsidR="00D830AB">
        <w:t>e writ was brought “to enforce provisions of the Elections Code and secure for the City’s voters their right to</w:t>
      </w:r>
      <w:r w:rsidR="00955C51">
        <w:t xml:space="preserve"> </w:t>
      </w:r>
      <w:r w:rsidR="00D7609D">
        <w:t>r</w:t>
      </w:r>
      <w:r w:rsidR="00D830AB">
        <w:t xml:space="preserve">eferendum” rather than to </w:t>
      </w:r>
      <w:r w:rsidR="00CF7A0C">
        <w:t>challenge the Project.</w:t>
      </w:r>
    </w:p>
    <w:p w14:paraId="698DB102" w14:textId="7016BBE5" w:rsidR="00CF7A0C" w:rsidRDefault="00CF7A0C" w:rsidP="00F61BB7">
      <w:pPr>
        <w:spacing w:line="360" w:lineRule="auto"/>
      </w:pPr>
      <w:r>
        <w:tab/>
      </w:r>
      <w:r w:rsidR="00BC7EB6">
        <w:t>We agree.  Although</w:t>
      </w:r>
      <w:r w:rsidR="00AF004F">
        <w:t xml:space="preserve"> the </w:t>
      </w:r>
      <w:r w:rsidR="00360816" w:rsidRPr="0062128D">
        <w:rPr>
          <w:i/>
          <w:iCs/>
        </w:rPr>
        <w:t xml:space="preserve">proposed </w:t>
      </w:r>
      <w:r w:rsidR="00AF004F" w:rsidRPr="0062128D">
        <w:rPr>
          <w:i/>
          <w:iCs/>
        </w:rPr>
        <w:t>referendum</w:t>
      </w:r>
      <w:r w:rsidR="00AF004F">
        <w:t xml:space="preserve"> </w:t>
      </w:r>
      <w:r w:rsidR="00360816">
        <w:t xml:space="preserve">challenges the Project and </w:t>
      </w:r>
      <w:r w:rsidR="00AF004F">
        <w:t>would have the effect of delaying the Project if</w:t>
      </w:r>
      <w:r w:rsidR="00945A3B">
        <w:t xml:space="preserve"> </w:t>
      </w:r>
      <w:r w:rsidR="006A2552">
        <w:t>it meets the statutory requirements</w:t>
      </w:r>
      <w:r w:rsidR="0091750D">
        <w:t xml:space="preserve">, </w:t>
      </w:r>
      <w:r w:rsidR="00360816">
        <w:t xml:space="preserve">the present action </w:t>
      </w:r>
      <w:r w:rsidR="00FA5B2E">
        <w:t xml:space="preserve">is not </w:t>
      </w:r>
      <w:r w:rsidR="00EE5A43">
        <w:t>itself a challenge to the Project.</w:t>
      </w:r>
      <w:r w:rsidR="007C2EB4">
        <w:t xml:space="preserve">  Instead, it is a challenge to the City Clerk’s </w:t>
      </w:r>
      <w:r w:rsidR="0093434F">
        <w:t>violation of the Elections Code.</w:t>
      </w:r>
      <w:r w:rsidR="00F61BB7">
        <w:t xml:space="preserve">  (Cf. </w:t>
      </w:r>
      <w:r w:rsidR="00F61BB7" w:rsidRPr="00F61BB7">
        <w:rPr>
          <w:i/>
          <w:iCs/>
        </w:rPr>
        <w:t>Save Livermore Downtown</w:t>
      </w:r>
      <w:r w:rsidR="00F61BB7">
        <w:t xml:space="preserve">, </w:t>
      </w:r>
      <w:r w:rsidR="00F61BB7">
        <w:rPr>
          <w:i/>
          <w:iCs/>
        </w:rPr>
        <w:t>supra</w:t>
      </w:r>
      <w:r w:rsidR="00FB1BF8">
        <w:t xml:space="preserve">, </w:t>
      </w:r>
      <w:r w:rsidR="00F61BB7">
        <w:t xml:space="preserve">87 Cal.App.5th </w:t>
      </w:r>
      <w:r w:rsidR="005472D6">
        <w:t>at p. 1</w:t>
      </w:r>
      <w:r w:rsidR="00F61BB7">
        <w:t>123</w:t>
      </w:r>
      <w:r w:rsidR="00FB1BF8">
        <w:t xml:space="preserve"> [bond appropriate in action alleging “the project violated state and local planning and zoning laws</w:t>
      </w:r>
      <w:r w:rsidR="00C60F8D">
        <w:t>” and CEQA].)</w:t>
      </w:r>
      <w:r w:rsidR="00EE5A43">
        <w:t xml:space="preserve">  </w:t>
      </w:r>
      <w:r w:rsidR="001E230F">
        <w:t>It is revealing that</w:t>
      </w:r>
      <w:r w:rsidR="00EE5A43">
        <w:t xml:space="preserve">, if the City Clerk had complied with her </w:t>
      </w:r>
      <w:r w:rsidR="0093434F">
        <w:t xml:space="preserve">legal </w:t>
      </w:r>
      <w:r w:rsidR="00EE5A43">
        <w:t xml:space="preserve">obligations and processed the referendum, </w:t>
      </w:r>
      <w:r w:rsidR="00D540A7">
        <w:t xml:space="preserve">then </w:t>
      </w:r>
      <w:r w:rsidR="00F56E55">
        <w:t>plaintiffs</w:t>
      </w:r>
      <w:r w:rsidR="00D540A7">
        <w:t xml:space="preserve"> would n</w:t>
      </w:r>
      <w:r w:rsidR="00F865DD">
        <w:t>ot</w:t>
      </w:r>
      <w:r w:rsidR="00D540A7">
        <w:t xml:space="preserve"> have had to file the present action.  Instead, </w:t>
      </w:r>
      <w:bookmarkStart w:id="0" w:name="_Hlk159919768"/>
      <w:r w:rsidR="00844220">
        <w:t xml:space="preserve">any </w:t>
      </w:r>
      <w:r w:rsidR="00D540A7">
        <w:t>challenge to the validity of the referendum could have been heard pursuant to a petition brought by the City</w:t>
      </w:r>
      <w:bookmarkEnd w:id="0"/>
      <w:r w:rsidR="003A74E7">
        <w:t>.  (</w:t>
      </w:r>
      <w:r w:rsidR="000D6C9D" w:rsidRPr="002A1E12">
        <w:rPr>
          <w:i/>
          <w:iCs/>
        </w:rPr>
        <w:t>Save Lafayette</w:t>
      </w:r>
      <w:r w:rsidR="000D6C9D">
        <w:t xml:space="preserve">, </w:t>
      </w:r>
      <w:r w:rsidR="000D6C9D">
        <w:rPr>
          <w:i/>
          <w:iCs/>
        </w:rPr>
        <w:t>supra</w:t>
      </w:r>
      <w:r w:rsidR="000D6C9D">
        <w:t>, 20</w:t>
      </w:r>
      <w:r w:rsidR="00C973D5">
        <w:t> </w:t>
      </w:r>
      <w:r w:rsidR="000D6C9D">
        <w:t xml:space="preserve">Cal.App.5th </w:t>
      </w:r>
      <w:r w:rsidR="00C419FC">
        <w:t>at p. </w:t>
      </w:r>
      <w:r w:rsidR="000D6C9D">
        <w:t xml:space="preserve">663 [“If the local government believes an initiative or referendum is unlawful and should not be presented to voters, it should file a petition for a </w:t>
      </w:r>
      <w:r w:rsidR="000D6C9D">
        <w:lastRenderedPageBreak/>
        <w:t xml:space="preserve">writ of mandate seeking to remove it from the ballot.”].)  </w:t>
      </w:r>
      <w:r w:rsidR="003A74E7">
        <w:t xml:space="preserve">In </w:t>
      </w:r>
      <w:r w:rsidR="003A74E7" w:rsidRPr="00B022AB">
        <w:rPr>
          <w:i/>
          <w:iCs/>
        </w:rPr>
        <w:t>those</w:t>
      </w:r>
      <w:r w:rsidR="003A74E7">
        <w:t xml:space="preserve"> circumstances, </w:t>
      </w:r>
      <w:r w:rsidR="005437A8">
        <w:t xml:space="preserve">no </w:t>
      </w:r>
      <w:r w:rsidR="00D46D27">
        <w:t xml:space="preserve">colorable claim </w:t>
      </w:r>
      <w:r w:rsidR="00B022AB">
        <w:t xml:space="preserve">that </w:t>
      </w:r>
      <w:r w:rsidR="00F56E55">
        <w:t>plaintiffs</w:t>
      </w:r>
      <w:r w:rsidR="00D46D27">
        <w:t xml:space="preserve"> were required to post a bond under Code of Civil Procedure section 529.2</w:t>
      </w:r>
      <w:r w:rsidR="004D6DAC">
        <w:t xml:space="preserve"> would exist</w:t>
      </w:r>
      <w:r w:rsidR="00D46D27">
        <w:t>.</w:t>
      </w:r>
      <w:r w:rsidR="00D91888">
        <w:t xml:space="preserve">  </w:t>
      </w:r>
      <w:r w:rsidR="00642B17">
        <w:t xml:space="preserve">Requiring </w:t>
      </w:r>
      <w:r w:rsidR="00F56E55">
        <w:t>plaintiffs</w:t>
      </w:r>
      <w:r w:rsidR="007F47EA">
        <w:t xml:space="preserve"> to file an undertaking in the present circumstances, in effect, reward</w:t>
      </w:r>
      <w:r w:rsidR="00607B97">
        <w:t>s</w:t>
      </w:r>
      <w:r w:rsidR="007F47EA">
        <w:t xml:space="preserve"> the City</w:t>
      </w:r>
      <w:r w:rsidR="00AA5C80">
        <w:t>’s</w:t>
      </w:r>
      <w:r w:rsidR="00CE7923">
        <w:t xml:space="preserve"> chosen partner Eden Housing </w:t>
      </w:r>
      <w:r w:rsidR="007F47EA">
        <w:t xml:space="preserve">for </w:t>
      </w:r>
      <w:r w:rsidR="00AA5C80">
        <w:t xml:space="preserve">the City’s </w:t>
      </w:r>
      <w:r w:rsidR="007F47EA">
        <w:t>violati</w:t>
      </w:r>
      <w:r w:rsidR="00A56AB9">
        <w:t>o</w:t>
      </w:r>
      <w:r w:rsidR="007F47EA">
        <w:t>n</w:t>
      </w:r>
      <w:r w:rsidR="00A56AB9">
        <w:t xml:space="preserve"> of </w:t>
      </w:r>
      <w:r w:rsidR="00CE7923">
        <w:t xml:space="preserve">clear and well-established </w:t>
      </w:r>
      <w:r w:rsidR="0027758D">
        <w:t>l</w:t>
      </w:r>
      <w:r w:rsidR="007F47EA">
        <w:t>aw</w:t>
      </w:r>
      <w:r w:rsidR="0027758D">
        <w:t xml:space="preserve"> protecting the people’s constitutional referendum power</w:t>
      </w:r>
      <w:r w:rsidR="00A56AB9">
        <w:t>.</w:t>
      </w:r>
      <w:r w:rsidR="004B3D16">
        <w:t xml:space="preserve">  (See Part II, </w:t>
      </w:r>
      <w:r w:rsidR="004B3D16" w:rsidRPr="00B54EE0">
        <w:rPr>
          <w:i/>
          <w:iCs/>
        </w:rPr>
        <w:t>ante</w:t>
      </w:r>
      <w:r w:rsidR="004B3D16">
        <w:t>.)</w:t>
      </w:r>
    </w:p>
    <w:p w14:paraId="25856346" w14:textId="2E6ABE72" w:rsidR="00B13257" w:rsidRDefault="00B13257" w:rsidP="00C252F4">
      <w:pPr>
        <w:spacing w:line="360" w:lineRule="auto"/>
      </w:pPr>
      <w:r>
        <w:tab/>
        <w:t xml:space="preserve">Real party in interest Eden Housing </w:t>
      </w:r>
      <w:r w:rsidRPr="00B926BC">
        <w:t>argues</w:t>
      </w:r>
      <w:r w:rsidR="00B926BC">
        <w:t xml:space="preserve"> that</w:t>
      </w:r>
      <w:r w:rsidR="00372293">
        <w:t xml:space="preserve">, in challenging the City Clerk’s refusal to process the </w:t>
      </w:r>
      <w:r w:rsidR="006A2552">
        <w:t>referendum p</w:t>
      </w:r>
      <w:r w:rsidR="00372293">
        <w:t xml:space="preserve">etition, </w:t>
      </w:r>
      <w:r w:rsidR="00F56E55">
        <w:t>plaintiffs’</w:t>
      </w:r>
      <w:r w:rsidR="00EB5511">
        <w:t xml:space="preserve"> action </w:t>
      </w:r>
      <w:r w:rsidR="00C252F4">
        <w:t>“challenges a City determination that directly impacts the Project</w:t>
      </w:r>
      <w:r w:rsidR="00372293">
        <w:t>.</w:t>
      </w:r>
      <w:r w:rsidR="00C252F4">
        <w:t>”</w:t>
      </w:r>
      <w:r w:rsidR="00372293">
        <w:t xml:space="preserve"> </w:t>
      </w:r>
      <w:r w:rsidR="00D97D23">
        <w:t xml:space="preserve"> B</w:t>
      </w:r>
      <w:r>
        <w:t>ut</w:t>
      </w:r>
      <w:r w:rsidR="0090264C">
        <w:t xml:space="preserve"> Eden Housing </w:t>
      </w:r>
      <w:r>
        <w:t xml:space="preserve">proposes no plain language interpretation of Code of Civil Procedure section 529.2 that </w:t>
      </w:r>
      <w:r w:rsidR="00D32744">
        <w:t xml:space="preserve">encompasses an action that </w:t>
      </w:r>
      <w:r w:rsidR="00E51081">
        <w:t xml:space="preserve">does not </w:t>
      </w:r>
      <w:r w:rsidR="005770F6">
        <w:t xml:space="preserve">directly </w:t>
      </w:r>
      <w:r w:rsidR="00E51081">
        <w:t xml:space="preserve">challenge any aspect of </w:t>
      </w:r>
      <w:r w:rsidR="00D32744">
        <w:t>a housing project.</w:t>
      </w:r>
      <w:r w:rsidR="00176FC1">
        <w:t xml:space="preserve">  At oral argument,</w:t>
      </w:r>
      <w:r w:rsidR="000D781F">
        <w:t xml:space="preserve"> Eden Housing attempted to analogize </w:t>
      </w:r>
      <w:r w:rsidR="00F56E55">
        <w:t>plaintiffs’</w:t>
      </w:r>
      <w:r w:rsidR="000D781F">
        <w:t xml:space="preserve"> action to enforce the referendum</w:t>
      </w:r>
      <w:r w:rsidR="006A2552">
        <w:t xml:space="preserve"> power</w:t>
      </w:r>
      <w:r w:rsidR="000D781F">
        <w:t xml:space="preserve"> to a CEQA action to enforce environmental protections</w:t>
      </w:r>
      <w:r w:rsidR="008F2C0E">
        <w:t>.  But</w:t>
      </w:r>
      <w:r w:rsidR="00CB4FAB">
        <w:t xml:space="preserve"> </w:t>
      </w:r>
      <w:r w:rsidR="000D781F">
        <w:t xml:space="preserve">Code of Civil Procedure section 529.2 expressly </w:t>
      </w:r>
      <w:r w:rsidR="00A10DB1">
        <w:t>states that CEQA actions are within the scope of the statute.  (</w:t>
      </w:r>
      <w:r w:rsidR="00607098">
        <w:t xml:space="preserve">Code Civ. Pro. </w:t>
      </w:r>
      <w:r w:rsidR="000F26B0">
        <w:t>§ 529.2</w:t>
      </w:r>
      <w:r w:rsidR="00C633A5">
        <w:t>, subd. (a)</w:t>
      </w:r>
      <w:r w:rsidR="00607098">
        <w:t xml:space="preserve"> [</w:t>
      </w:r>
      <w:r w:rsidR="009C6ECB">
        <w:t xml:space="preserve">referencing </w:t>
      </w:r>
      <w:r w:rsidR="00A35428">
        <w:t>“</w:t>
      </w:r>
      <w:r w:rsidR="009C6ECB">
        <w:t xml:space="preserve">actions </w:t>
      </w:r>
      <w:r w:rsidR="00C633A5" w:rsidRPr="00C633A5">
        <w:t>brought pursuant to Section 21167 of the Public Resources Code</w:t>
      </w:r>
      <w:r w:rsidR="00C633A5">
        <w:t>”].)</w:t>
      </w:r>
    </w:p>
    <w:p w14:paraId="08182F4F" w14:textId="0D444CFC" w:rsidR="00CB4F27" w:rsidRDefault="00CB4F27" w:rsidP="00D830AB">
      <w:pPr>
        <w:spacing w:line="360" w:lineRule="auto"/>
      </w:pPr>
      <w:r>
        <w:tab/>
        <w:t xml:space="preserve">Because the present action does not come within the plain language of Code of Civil Procedure section 529.2, the superior court erred </w:t>
      </w:r>
      <w:r w:rsidR="008E470E">
        <w:t xml:space="preserve">as a matter of law </w:t>
      </w:r>
      <w:r>
        <w:t xml:space="preserve">in requiring </w:t>
      </w:r>
      <w:r w:rsidR="00F56E55">
        <w:t>plaintiffs</w:t>
      </w:r>
      <w:r>
        <w:t xml:space="preserve"> to file an undertaking under that statute.</w:t>
      </w:r>
    </w:p>
    <w:p w14:paraId="3C86F0A0" w14:textId="11EBEC50" w:rsidR="00DC349C" w:rsidRDefault="00DC349C" w:rsidP="00DC349C">
      <w:pPr>
        <w:spacing w:line="360" w:lineRule="auto"/>
        <w:jc w:val="center"/>
      </w:pPr>
      <w:r>
        <w:t>DISPOSITION</w:t>
      </w:r>
    </w:p>
    <w:p w14:paraId="3682C8C6" w14:textId="7FB85755" w:rsidR="00DC349C" w:rsidRDefault="00DC349C" w:rsidP="00D8267B">
      <w:pPr>
        <w:spacing w:line="360" w:lineRule="auto"/>
      </w:pPr>
      <w:r>
        <w:tab/>
      </w:r>
      <w:r w:rsidR="00BD67FE" w:rsidRPr="00BD67FE">
        <w:t xml:space="preserve">The judgment is reversed and the case is remanded to the </w:t>
      </w:r>
      <w:r w:rsidR="00676BE7">
        <w:t xml:space="preserve">superior </w:t>
      </w:r>
      <w:r w:rsidR="00BD67FE" w:rsidRPr="00BD67FE">
        <w:t>court with directions to issue a peremptory writ of mandate ordering respondents to</w:t>
      </w:r>
      <w:r w:rsidR="00362C11">
        <w:t xml:space="preserve"> process the referendum petition and</w:t>
      </w:r>
      <w:r w:rsidR="00BD67FE" w:rsidRPr="00BD67FE">
        <w:t xml:space="preserve"> </w:t>
      </w:r>
      <w:r w:rsidR="00676BE7">
        <w:t xml:space="preserve">to </w:t>
      </w:r>
      <w:r w:rsidR="00BD67FE" w:rsidRPr="00BD67FE">
        <w:t>place the proposed referendum on the ballot for municipal election, provided there has been compliance with the formal filing requirements.</w:t>
      </w:r>
      <w:r w:rsidR="00AF50E1">
        <w:t xml:space="preserve"> </w:t>
      </w:r>
      <w:r w:rsidR="00CB0AF8">
        <w:t xml:space="preserve"> </w:t>
      </w:r>
      <w:r w:rsidR="00AF50E1">
        <w:t xml:space="preserve">The superior court’s order </w:t>
      </w:r>
      <w:r w:rsidR="00AF50E1">
        <w:lastRenderedPageBreak/>
        <w:t xml:space="preserve">requiring </w:t>
      </w:r>
      <w:r w:rsidR="00F56E55">
        <w:t>plaintiffs</w:t>
      </w:r>
      <w:r w:rsidR="00AF50E1">
        <w:t xml:space="preserve"> to file an undertaking under Code of Civil Procedure section 529.2 is also reversed.  </w:t>
      </w:r>
      <w:r w:rsidR="00B266E4">
        <w:t xml:space="preserve">Costs on appeal are awarded to </w:t>
      </w:r>
      <w:r w:rsidR="00F56E55">
        <w:t>plaintiffs</w:t>
      </w:r>
      <w:r w:rsidR="00635F7B">
        <w:t>/appellants</w:t>
      </w:r>
      <w:r w:rsidR="00B266E4">
        <w:t>.</w:t>
      </w:r>
    </w:p>
    <w:p w14:paraId="7D8BA7F6" w14:textId="77777777" w:rsidR="00F133FB" w:rsidRDefault="00F133FB" w:rsidP="00D8267B">
      <w:pPr>
        <w:spacing w:line="360" w:lineRule="auto"/>
      </w:pPr>
    </w:p>
    <w:p w14:paraId="3291E239" w14:textId="59736D94" w:rsidR="006E798D" w:rsidRDefault="006E798D" w:rsidP="005A4E26">
      <w:pPr>
        <w:spacing w:line="360" w:lineRule="auto"/>
      </w:pPr>
    </w:p>
    <w:p w14:paraId="57514A11" w14:textId="77777777" w:rsidR="00D7609D" w:rsidRDefault="00D7609D" w:rsidP="005A4E26">
      <w:pPr>
        <w:spacing w:line="360" w:lineRule="auto"/>
      </w:pPr>
    </w:p>
    <w:p w14:paraId="79091FD4" w14:textId="77777777" w:rsidR="00D7609D" w:rsidRPr="009A19F4" w:rsidRDefault="00D7609D" w:rsidP="00D7609D">
      <w:pPr>
        <w:tabs>
          <w:tab w:val="left" w:pos="6120"/>
        </w:tabs>
        <w:spacing w:line="360" w:lineRule="auto"/>
      </w:pPr>
    </w:p>
    <w:p w14:paraId="6E16FD47" w14:textId="77777777" w:rsidR="00D7609D" w:rsidRPr="009A19F4" w:rsidRDefault="00D7609D" w:rsidP="00D7609D">
      <w:pPr>
        <w:tabs>
          <w:tab w:val="left" w:pos="6120"/>
        </w:tabs>
        <w:spacing w:line="360" w:lineRule="auto"/>
      </w:pPr>
      <w:r w:rsidRPr="009A19F4">
        <w:tab/>
      </w:r>
      <w:r w:rsidRPr="009A19F4">
        <w:tab/>
        <w:t>SIMONS, J.</w:t>
      </w:r>
    </w:p>
    <w:p w14:paraId="02FF70FA" w14:textId="77777777" w:rsidR="00D7609D" w:rsidRPr="009A19F4" w:rsidRDefault="00D7609D" w:rsidP="00D7609D">
      <w:pPr>
        <w:tabs>
          <w:tab w:val="left" w:pos="6120"/>
        </w:tabs>
        <w:spacing w:line="360" w:lineRule="auto"/>
      </w:pPr>
      <w:r w:rsidRPr="009A19F4">
        <w:t xml:space="preserve">We concur. </w:t>
      </w:r>
    </w:p>
    <w:p w14:paraId="1C9DD4C1" w14:textId="77777777" w:rsidR="00D7609D" w:rsidRPr="009A19F4" w:rsidRDefault="00D7609D" w:rsidP="00D7609D">
      <w:pPr>
        <w:tabs>
          <w:tab w:val="left" w:pos="6120"/>
        </w:tabs>
        <w:spacing w:line="360" w:lineRule="auto"/>
      </w:pPr>
    </w:p>
    <w:p w14:paraId="6DF7B0DA" w14:textId="77777777" w:rsidR="00D7609D" w:rsidRPr="009A19F4" w:rsidRDefault="00D7609D" w:rsidP="007B53A4">
      <w:pPr>
        <w:tabs>
          <w:tab w:val="left" w:pos="6120"/>
        </w:tabs>
        <w:spacing w:line="240" w:lineRule="auto"/>
      </w:pPr>
      <w:r w:rsidRPr="009A19F4">
        <w:t>JACKSON, P. J.</w:t>
      </w:r>
    </w:p>
    <w:p w14:paraId="524889A4" w14:textId="77777777" w:rsidR="00D7609D" w:rsidRPr="009A19F4" w:rsidRDefault="00D7609D" w:rsidP="007B53A4">
      <w:pPr>
        <w:tabs>
          <w:tab w:val="left" w:pos="6120"/>
        </w:tabs>
        <w:spacing w:line="240" w:lineRule="auto"/>
        <w:rPr>
          <w:noProof/>
        </w:rPr>
      </w:pPr>
      <w:r>
        <w:rPr>
          <w:noProof/>
        </w:rPr>
        <w:t>CHOU</w:t>
      </w:r>
      <w:r w:rsidRPr="009A19F4">
        <w:rPr>
          <w:noProof/>
        </w:rPr>
        <w:t xml:space="preserve">, J. </w:t>
      </w:r>
    </w:p>
    <w:p w14:paraId="43D52887" w14:textId="77777777" w:rsidR="00D7609D" w:rsidRPr="009A19F4" w:rsidRDefault="00D7609D" w:rsidP="00D7609D">
      <w:pPr>
        <w:spacing w:line="360" w:lineRule="auto"/>
      </w:pPr>
    </w:p>
    <w:p w14:paraId="6380959D" w14:textId="77777777" w:rsidR="00D7609D" w:rsidRPr="009A19F4" w:rsidRDefault="00D7609D" w:rsidP="00D7609D">
      <w:pPr>
        <w:spacing w:line="360" w:lineRule="auto"/>
      </w:pPr>
    </w:p>
    <w:p w14:paraId="56F88851" w14:textId="77777777" w:rsidR="00D7609D" w:rsidRDefault="00D7609D" w:rsidP="00D7609D">
      <w:pPr>
        <w:spacing w:line="360" w:lineRule="auto"/>
      </w:pPr>
    </w:p>
    <w:p w14:paraId="03CA46DD" w14:textId="77777777" w:rsidR="00F5641E" w:rsidRDefault="00F5641E" w:rsidP="00D7609D">
      <w:pPr>
        <w:spacing w:line="360" w:lineRule="auto"/>
      </w:pPr>
    </w:p>
    <w:p w14:paraId="4F852255" w14:textId="77777777" w:rsidR="00F5641E" w:rsidRDefault="00F5641E" w:rsidP="00D7609D">
      <w:pPr>
        <w:spacing w:line="360" w:lineRule="auto"/>
      </w:pPr>
    </w:p>
    <w:p w14:paraId="58FA78C4" w14:textId="77777777" w:rsidR="00F5641E" w:rsidRDefault="00F5641E" w:rsidP="00D7609D">
      <w:pPr>
        <w:spacing w:line="360" w:lineRule="auto"/>
      </w:pPr>
    </w:p>
    <w:p w14:paraId="0E1E1908" w14:textId="77777777" w:rsidR="00F5641E" w:rsidRDefault="00F5641E" w:rsidP="00D7609D">
      <w:pPr>
        <w:spacing w:line="360" w:lineRule="auto"/>
      </w:pPr>
    </w:p>
    <w:p w14:paraId="763A1B10" w14:textId="77777777" w:rsidR="00F5641E" w:rsidRDefault="00F5641E" w:rsidP="00D7609D">
      <w:pPr>
        <w:spacing w:line="360" w:lineRule="auto"/>
      </w:pPr>
    </w:p>
    <w:p w14:paraId="13BA15D9" w14:textId="77777777" w:rsidR="00F5641E" w:rsidRDefault="00F5641E" w:rsidP="00D7609D">
      <w:pPr>
        <w:spacing w:line="360" w:lineRule="auto"/>
      </w:pPr>
    </w:p>
    <w:p w14:paraId="390FED47" w14:textId="77777777" w:rsidR="00F5641E" w:rsidRDefault="00F5641E" w:rsidP="00D7609D">
      <w:pPr>
        <w:spacing w:line="360" w:lineRule="auto"/>
      </w:pPr>
    </w:p>
    <w:p w14:paraId="52DDA934" w14:textId="77777777" w:rsidR="00F5641E" w:rsidRPr="009A19F4" w:rsidRDefault="00F5641E" w:rsidP="00D7609D">
      <w:pPr>
        <w:spacing w:line="360" w:lineRule="auto"/>
      </w:pPr>
    </w:p>
    <w:p w14:paraId="179274ED" w14:textId="77777777" w:rsidR="00D7609D" w:rsidRPr="009A19F4" w:rsidRDefault="00D7609D" w:rsidP="00D7609D">
      <w:pPr>
        <w:spacing w:line="360" w:lineRule="auto"/>
      </w:pPr>
      <w:r w:rsidRPr="00C304C5">
        <w:t>(A167346)</w:t>
      </w:r>
    </w:p>
    <w:p w14:paraId="689C7858" w14:textId="77777777" w:rsidR="00D7609D" w:rsidRPr="009A19F4" w:rsidRDefault="00D7609D" w:rsidP="00D7609D"/>
    <w:p w14:paraId="55C1B669" w14:textId="77777777" w:rsidR="00D7609D" w:rsidRDefault="00D7609D" w:rsidP="00D7609D">
      <w:pPr>
        <w:spacing w:line="360" w:lineRule="auto"/>
      </w:pPr>
    </w:p>
    <w:p w14:paraId="0822D925" w14:textId="77777777" w:rsidR="00D7609D" w:rsidRDefault="00D7609D" w:rsidP="005A4E26">
      <w:pPr>
        <w:spacing w:line="360" w:lineRule="auto"/>
      </w:pPr>
    </w:p>
    <w:p w14:paraId="30E6DED7" w14:textId="77777777" w:rsidR="003D5855" w:rsidRDefault="003D5855" w:rsidP="005A4E26">
      <w:pPr>
        <w:spacing w:line="360" w:lineRule="auto"/>
      </w:pPr>
    </w:p>
    <w:p w14:paraId="73D87BCA" w14:textId="77777777" w:rsidR="003D5855" w:rsidRPr="00C45A85" w:rsidRDefault="003D5855" w:rsidP="003D5855">
      <w:pPr>
        <w:spacing w:line="360" w:lineRule="auto"/>
        <w:rPr>
          <w:b/>
          <w:bCs/>
          <w:u w:val="single"/>
        </w:rPr>
      </w:pPr>
      <w:r>
        <w:rPr>
          <w:b/>
          <w:bCs/>
          <w:u w:val="single"/>
        </w:rPr>
        <w:lastRenderedPageBreak/>
        <w:t>Move Eden Housing, et al. v. City of Livermore, et al.</w:t>
      </w:r>
      <w:r w:rsidRPr="00C45A85">
        <w:rPr>
          <w:b/>
          <w:bCs/>
          <w:u w:val="single"/>
        </w:rPr>
        <w:t xml:space="preserve"> (</w:t>
      </w:r>
      <w:r>
        <w:rPr>
          <w:b/>
          <w:bCs/>
          <w:u w:val="single"/>
        </w:rPr>
        <w:t>A167346</w:t>
      </w:r>
      <w:r w:rsidRPr="00C45A85">
        <w:rPr>
          <w:b/>
          <w:bCs/>
          <w:u w:val="single"/>
        </w:rPr>
        <w:t>)</w:t>
      </w:r>
    </w:p>
    <w:p w14:paraId="5311EC6B" w14:textId="77777777" w:rsidR="003D5855" w:rsidRDefault="003D5855" w:rsidP="003D5855">
      <w:pPr>
        <w:spacing w:line="360" w:lineRule="auto"/>
      </w:pPr>
    </w:p>
    <w:p w14:paraId="71A79E68" w14:textId="77777777" w:rsidR="003D5855" w:rsidRDefault="003D5855" w:rsidP="003D5855">
      <w:pPr>
        <w:spacing w:line="360" w:lineRule="auto"/>
      </w:pPr>
      <w:r>
        <w:t>Trial Judge:</w:t>
      </w:r>
      <w:r>
        <w:tab/>
        <w:t>Hon. Michael Markman</w:t>
      </w:r>
    </w:p>
    <w:p w14:paraId="4674FE4E" w14:textId="77777777" w:rsidR="003D5855" w:rsidRDefault="003D5855" w:rsidP="003D5855">
      <w:pPr>
        <w:spacing w:line="360" w:lineRule="auto"/>
      </w:pPr>
    </w:p>
    <w:p w14:paraId="114CE05D" w14:textId="77777777" w:rsidR="003D5855" w:rsidRDefault="003D5855" w:rsidP="003D5855">
      <w:pPr>
        <w:spacing w:line="360" w:lineRule="auto"/>
      </w:pPr>
      <w:r>
        <w:t xml:space="preserve">Trial Court: </w:t>
      </w:r>
      <w:r>
        <w:tab/>
        <w:t>Alameda County Superior Court</w:t>
      </w:r>
    </w:p>
    <w:p w14:paraId="4D480416" w14:textId="77777777" w:rsidR="003D5855" w:rsidRDefault="003D5855" w:rsidP="003D5855">
      <w:pPr>
        <w:tabs>
          <w:tab w:val="left" w:pos="2160"/>
        </w:tabs>
        <w:spacing w:line="360" w:lineRule="auto"/>
      </w:pPr>
    </w:p>
    <w:p w14:paraId="5ED19196" w14:textId="77777777" w:rsidR="003D5855" w:rsidRDefault="003D5855" w:rsidP="003D5855">
      <w:pPr>
        <w:tabs>
          <w:tab w:val="left" w:pos="2160"/>
        </w:tabs>
        <w:spacing w:line="360" w:lineRule="auto"/>
        <w:ind w:left="2160" w:hanging="2160"/>
      </w:pPr>
      <w:r>
        <w:t xml:space="preserve">Attorneys: </w:t>
      </w:r>
      <w:r>
        <w:tab/>
      </w:r>
    </w:p>
    <w:p w14:paraId="28CB2047" w14:textId="524C5148" w:rsidR="003D5855" w:rsidRDefault="003D5855" w:rsidP="003D5855">
      <w:pPr>
        <w:tabs>
          <w:tab w:val="clear" w:pos="720"/>
          <w:tab w:val="left" w:pos="1440"/>
        </w:tabs>
        <w:spacing w:line="240" w:lineRule="auto"/>
        <w:ind w:left="720" w:hanging="1440"/>
      </w:pPr>
      <w:r>
        <w:tab/>
      </w:r>
      <w:r>
        <w:tab/>
        <w:t xml:space="preserve">Latham &amp; Watkins LLP, Winston P. Stromberg, Michelle Cornell-Davis, and Kevin A. Homrighausen for </w:t>
      </w:r>
      <w:r w:rsidR="00F56E55">
        <w:t>Plaintiffs</w:t>
      </w:r>
      <w:r>
        <w:t xml:space="preserve"> and Appellants.</w:t>
      </w:r>
    </w:p>
    <w:p w14:paraId="13A21624" w14:textId="77777777" w:rsidR="003D5855" w:rsidRDefault="003D5855" w:rsidP="003D5855">
      <w:pPr>
        <w:tabs>
          <w:tab w:val="left" w:pos="2160"/>
        </w:tabs>
        <w:spacing w:line="240" w:lineRule="auto"/>
        <w:ind w:left="2160" w:hanging="2160"/>
      </w:pPr>
    </w:p>
    <w:p w14:paraId="4C382E75" w14:textId="30383A59" w:rsidR="003D5855" w:rsidRDefault="003D5855" w:rsidP="003D5855">
      <w:pPr>
        <w:tabs>
          <w:tab w:val="clear" w:pos="720"/>
          <w:tab w:val="left" w:pos="1440"/>
        </w:tabs>
        <w:spacing w:line="240" w:lineRule="auto"/>
        <w:ind w:left="720" w:hanging="1440"/>
      </w:pPr>
      <w:r>
        <w:tab/>
      </w:r>
      <w:r>
        <w:tab/>
        <w:t xml:space="preserve">Richards, Watson &amp; Gershon, T. Peter Pierce and Steven A. Nguy; Jason Alcala and Kimberly D. Cilley, City Attorney, for </w:t>
      </w:r>
      <w:r w:rsidR="008E074A">
        <w:t xml:space="preserve">Defendants and </w:t>
      </w:r>
      <w:r>
        <w:t xml:space="preserve">Respondents. </w:t>
      </w:r>
    </w:p>
    <w:p w14:paraId="30734E33" w14:textId="77777777" w:rsidR="00412E48" w:rsidRDefault="00412E48" w:rsidP="003D5855">
      <w:pPr>
        <w:tabs>
          <w:tab w:val="clear" w:pos="720"/>
          <w:tab w:val="left" w:pos="1440"/>
        </w:tabs>
        <w:spacing w:line="240" w:lineRule="auto"/>
        <w:ind w:left="720" w:hanging="1440"/>
      </w:pPr>
    </w:p>
    <w:p w14:paraId="58145AB1" w14:textId="5E2BAC36" w:rsidR="00412E48" w:rsidRDefault="00412E48" w:rsidP="003D5855">
      <w:pPr>
        <w:tabs>
          <w:tab w:val="clear" w:pos="720"/>
          <w:tab w:val="left" w:pos="1440"/>
        </w:tabs>
        <w:spacing w:line="240" w:lineRule="auto"/>
        <w:ind w:left="720" w:hanging="1440"/>
      </w:pPr>
      <w:r>
        <w:tab/>
      </w:r>
      <w:r>
        <w:tab/>
        <w:t>Cox, Castle &amp; Nicholson LLP, Andrew B. Sabey, Scott B. Birkey, Robbie C. Hull, for Real Party in Interest</w:t>
      </w:r>
      <w:r w:rsidR="003009A1">
        <w:t xml:space="preserve"> and Respondents</w:t>
      </w:r>
      <w:r>
        <w:t xml:space="preserve">. </w:t>
      </w:r>
    </w:p>
    <w:p w14:paraId="3925A284" w14:textId="77777777" w:rsidR="003D5855" w:rsidRDefault="003D5855" w:rsidP="005A4E26">
      <w:pPr>
        <w:spacing w:line="360" w:lineRule="auto"/>
      </w:pPr>
    </w:p>
    <w:sectPr w:rsidR="003D5855" w:rsidSect="000D5F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EF45" w14:textId="77777777" w:rsidR="00D45C3F" w:rsidRDefault="00D45C3F" w:rsidP="00072F6B">
      <w:pPr>
        <w:spacing w:line="240" w:lineRule="auto"/>
      </w:pPr>
      <w:r>
        <w:separator/>
      </w:r>
    </w:p>
  </w:endnote>
  <w:endnote w:type="continuationSeparator" w:id="0">
    <w:p w14:paraId="41843FFB" w14:textId="77777777" w:rsidR="00D45C3F" w:rsidRDefault="00D45C3F" w:rsidP="0007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9C6F" w14:textId="136BD7CC" w:rsidR="00072F6B" w:rsidRDefault="00072F6B" w:rsidP="009821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32A7E7" w14:textId="2F5D4231" w:rsidR="00072F6B" w:rsidRDefault="00072F6B" w:rsidP="009821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37E726" w14:textId="77777777" w:rsidR="00072F6B" w:rsidRDefault="00072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F1FC" w14:textId="41A7CA5F" w:rsidR="00072F6B" w:rsidRDefault="00072F6B" w:rsidP="00072F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B1FAA1" w14:textId="77777777" w:rsidR="00072F6B" w:rsidRDefault="00072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F50E" w14:textId="77777777" w:rsidR="005F4CA3" w:rsidRDefault="005F4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77FA" w14:textId="77777777" w:rsidR="00D45C3F" w:rsidRDefault="00D45C3F" w:rsidP="00072F6B">
      <w:pPr>
        <w:spacing w:line="240" w:lineRule="auto"/>
      </w:pPr>
      <w:r>
        <w:separator/>
      </w:r>
    </w:p>
  </w:footnote>
  <w:footnote w:type="continuationSeparator" w:id="0">
    <w:p w14:paraId="5E2E81CF" w14:textId="77777777" w:rsidR="00D45C3F" w:rsidRDefault="00D45C3F" w:rsidP="00072F6B">
      <w:pPr>
        <w:spacing w:line="240" w:lineRule="auto"/>
      </w:pPr>
      <w:r>
        <w:continuationSeparator/>
      </w:r>
    </w:p>
  </w:footnote>
  <w:footnote w:id="1">
    <w:p w14:paraId="100D8B83" w14:textId="635325ED" w:rsidR="00BD7E05" w:rsidRDefault="00BD7E05" w:rsidP="00C45984">
      <w:pPr>
        <w:pStyle w:val="FootnoteText"/>
        <w:ind w:firstLine="720"/>
      </w:pPr>
      <w:r>
        <w:rPr>
          <w:rStyle w:val="FootnoteReference"/>
        </w:rPr>
        <w:t>*</w:t>
      </w:r>
      <w:r>
        <w:t xml:space="preserve"> Pursuant to California Rules of Court, rules 8.1105(b) and 8.1110, this opinion is certified for publication with the exception of part V. </w:t>
      </w:r>
    </w:p>
  </w:footnote>
  <w:footnote w:id="2">
    <w:p w14:paraId="2190E2B4" w14:textId="28D1E9DD" w:rsidR="003F1C07" w:rsidRDefault="003F1C07" w:rsidP="003F1C07">
      <w:pPr>
        <w:pStyle w:val="FootnoteText"/>
        <w:ind w:firstLine="720"/>
      </w:pPr>
      <w:r>
        <w:rPr>
          <w:rStyle w:val="FootnoteReference"/>
        </w:rPr>
        <w:footnoteRef/>
      </w:r>
      <w:r>
        <w:t xml:space="preserve"> In a portion of the opinion not certified for publication, we conclude the City did not act legislatively in approving loan terms and an indemnity provision relating to hazardous waste.</w:t>
      </w:r>
    </w:p>
  </w:footnote>
  <w:footnote w:id="3">
    <w:p w14:paraId="2C8954B6" w14:textId="3C3FB4FC" w:rsidR="000E59A3" w:rsidRDefault="000E59A3" w:rsidP="000E59A3">
      <w:pPr>
        <w:pStyle w:val="FootnoteText"/>
        <w:ind w:firstLine="720"/>
      </w:pPr>
      <w:r>
        <w:rPr>
          <w:rStyle w:val="FootnoteReference"/>
        </w:rPr>
        <w:footnoteRef/>
      </w:r>
      <w:r>
        <w:t xml:space="preserve"> The </w:t>
      </w:r>
      <w:r w:rsidR="003C22F6">
        <w:t xml:space="preserve">Livermore Village Site is a larger </w:t>
      </w:r>
      <w:r>
        <w:t>area that includes the Property.</w:t>
      </w:r>
    </w:p>
  </w:footnote>
  <w:footnote w:id="4">
    <w:p w14:paraId="1A7D8088" w14:textId="612CB283" w:rsidR="00685387" w:rsidRDefault="00685387" w:rsidP="00685387">
      <w:pPr>
        <w:pStyle w:val="FootnoteText"/>
        <w:ind w:firstLine="720"/>
      </w:pPr>
      <w:r>
        <w:rPr>
          <w:rStyle w:val="FootnoteReference"/>
        </w:rPr>
        <w:footnoteRef/>
      </w:r>
      <w:r>
        <w:t xml:space="preserve"> All undesignated section references are to the Elections Code.</w:t>
      </w:r>
    </w:p>
  </w:footnote>
  <w:footnote w:id="5">
    <w:p w14:paraId="41741AF4" w14:textId="730F08CD" w:rsidR="00092ACE" w:rsidRDefault="00092ACE" w:rsidP="00374C7C">
      <w:pPr>
        <w:pStyle w:val="FootnoteText"/>
        <w:ind w:firstLine="720"/>
      </w:pPr>
      <w:r>
        <w:rPr>
          <w:rStyle w:val="FootnoteReference"/>
        </w:rPr>
        <w:footnoteRef/>
      </w:r>
      <w:r>
        <w:t xml:space="preserve"> </w:t>
      </w:r>
      <w:r w:rsidRPr="00726D97">
        <w:t>Courts have not distinguished between referendums and initiatives with respect to the ministerial duty to act in accordance with the Elections Code in processing referendum and initiative petitions.</w:t>
      </w:r>
      <w:r>
        <w:t xml:space="preserve">  (See </w:t>
      </w:r>
      <w:r w:rsidRPr="00B27DA1">
        <w:rPr>
          <w:i/>
          <w:iCs/>
        </w:rPr>
        <w:t>Save Stanislaus Area Farm Econ. v. Bd. of Supervisors</w:t>
      </w:r>
      <w:r>
        <w:t xml:space="preserve"> (1993) 13 Cal.App.4th 141, 152</w:t>
      </w:r>
      <w:r w:rsidR="00A858C8">
        <w:t>, fn. 3</w:t>
      </w:r>
      <w:r>
        <w:t xml:space="preserve"> (</w:t>
      </w:r>
      <w:r w:rsidRPr="00B27DA1">
        <w:rPr>
          <w:i/>
          <w:iCs/>
        </w:rPr>
        <w:t>Save Stanislaus</w:t>
      </w:r>
      <w:r>
        <w:t>) [“There is no textual basis for construing the power of referendum as broader than the initiative power, or vice versa.”];</w:t>
      </w:r>
      <w:r w:rsidRPr="00D26688">
        <w:t xml:space="preserve"> see also, e.g.,</w:t>
      </w:r>
      <w:r>
        <w:t xml:space="preserve"> </w:t>
      </w:r>
      <w:r w:rsidR="00374C7C" w:rsidRPr="00374C7C">
        <w:rPr>
          <w:i/>
          <w:iCs/>
        </w:rPr>
        <w:t>Yost v. Thomas</w:t>
      </w:r>
      <w:r w:rsidR="00A565CB">
        <w:t xml:space="preserve"> (1984)</w:t>
      </w:r>
      <w:r w:rsidR="00374C7C">
        <w:t xml:space="preserve"> 36 Cal.3d 561, 56</w:t>
      </w:r>
      <w:r w:rsidR="00C23020">
        <w:t>4, fn. 2</w:t>
      </w:r>
      <w:r w:rsidR="00BC4E73">
        <w:t xml:space="preserve"> (</w:t>
      </w:r>
      <w:r w:rsidR="00BC4E73">
        <w:rPr>
          <w:i/>
          <w:iCs/>
        </w:rPr>
        <w:t>Yost</w:t>
      </w:r>
      <w:r w:rsidR="00BC4E73">
        <w:t>)</w:t>
      </w:r>
      <w:r w:rsidR="00C23020">
        <w:t xml:space="preserve"> </w:t>
      </w:r>
      <w:r w:rsidR="00A565CB">
        <w:t xml:space="preserve">[substituting word “referendum” for “initiative” in quoting prior case </w:t>
      </w:r>
      <w:r w:rsidR="00E819F3">
        <w:t>on issue of clerk’s duty to process referendum</w:t>
      </w:r>
      <w:r w:rsidR="00A565CB">
        <w:t>]</w:t>
      </w:r>
      <w:r w:rsidR="00E819F3">
        <w:t xml:space="preserve">; </w:t>
      </w:r>
      <w:r w:rsidRPr="002A1E12">
        <w:rPr>
          <w:i/>
          <w:iCs/>
        </w:rPr>
        <w:t>Save Lafayette</w:t>
      </w:r>
      <w:r>
        <w:t xml:space="preserve">, </w:t>
      </w:r>
      <w:r>
        <w:rPr>
          <w:i/>
          <w:iCs/>
        </w:rPr>
        <w:t>supra</w:t>
      </w:r>
      <w:r>
        <w:t>, 20 Cal.App.5th at pp. 663–664</w:t>
      </w:r>
      <w:r w:rsidR="00E819F3">
        <w:t xml:space="preserve"> [</w:t>
      </w:r>
      <w:r w:rsidR="00161608">
        <w:t>relying on both initiative and referendum caselaw on the topic</w:t>
      </w:r>
      <w:r w:rsidR="00E819F3">
        <w:t>]</w:t>
      </w:r>
      <w:r w:rsidR="00D26688">
        <w:t xml:space="preserve">.)  </w:t>
      </w:r>
      <w:r w:rsidR="00BF5FEC">
        <w:t>Respondents cite</w:t>
      </w:r>
      <w:r w:rsidR="00E13BC7">
        <w:t xml:space="preserve"> </w:t>
      </w:r>
      <w:r w:rsidRPr="007F3C01">
        <w:t>no authority to the contrary.</w:t>
      </w:r>
    </w:p>
    <w:p w14:paraId="10930245" w14:textId="20788003" w:rsidR="00BF5FEC" w:rsidRDefault="00BF5FEC" w:rsidP="00BF5FEC">
      <w:pPr>
        <w:pStyle w:val="FootnoteText"/>
        <w:ind w:firstLine="720"/>
      </w:pPr>
      <w:r>
        <w:t>We also observe that, “it is well established that any legislative act may be enacted by initiative and may be subject to referendum, regardless of whether that act is denominated an ‘ordinance’ or ‘resolution.’ ”  (</w:t>
      </w:r>
      <w:r w:rsidRPr="00BF5FEC">
        <w:rPr>
          <w:i/>
          <w:iCs/>
        </w:rPr>
        <w:t>DeVita v. Cnty. of Napa</w:t>
      </w:r>
      <w:r>
        <w:t xml:space="preserve"> (1995) 9 Cal.4th 763, 787</w:t>
      </w:r>
      <w:r w:rsidR="006F5843">
        <w:t>, fn. 9</w:t>
      </w:r>
      <w:r w:rsidR="000C75F1">
        <w:t xml:space="preserve"> (</w:t>
      </w:r>
      <w:r w:rsidR="000C75F1">
        <w:rPr>
          <w:i/>
          <w:iCs/>
        </w:rPr>
        <w:t>DeVita</w:t>
      </w:r>
      <w:r w:rsidR="000C75F1">
        <w:t>)</w:t>
      </w:r>
      <w:r w:rsidR="006F5843">
        <w:t>.</w:t>
      </w:r>
      <w:r>
        <w:t>)</w:t>
      </w:r>
    </w:p>
  </w:footnote>
  <w:footnote w:id="6">
    <w:p w14:paraId="2125BCC2" w14:textId="4391F1C5" w:rsidR="00656214" w:rsidRDefault="00656214" w:rsidP="00656214">
      <w:pPr>
        <w:pStyle w:val="FootnoteText"/>
        <w:ind w:firstLine="720"/>
      </w:pPr>
      <w:r>
        <w:rPr>
          <w:rStyle w:val="FootnoteReference"/>
        </w:rPr>
        <w:footnoteRef/>
      </w:r>
      <w:r>
        <w:t xml:space="preserve"> </w:t>
      </w:r>
      <w:r w:rsidR="007628B1">
        <w:t>S</w:t>
      </w:r>
      <w:r>
        <w:t>ection 9210 provides</w:t>
      </w:r>
      <w:r w:rsidR="008B3E29">
        <w:t xml:space="preserve"> in relevant part</w:t>
      </w:r>
      <w:r>
        <w:t>, “When the petition is presented for filing, the elections official shall do all of the following: [¶] (a) Ascertain the number of registered voters of the city last reported by the county elections official to the Secretary of State pursuant to Section 2187 effective at the time the notice specified in Section 9202 was published. [¶] (b) Determine the total number of signatures affixed to the petition.  If, from this examination, the elections official determines that the number of signatures, prima facie, equals or is in excess of the minimum number of signatures required, he or she shall accept the petition for filing.</w:t>
      </w:r>
      <w:r w:rsidR="008B3E29">
        <w:t>”</w:t>
      </w:r>
      <w:r>
        <w:t xml:space="preserve"> </w:t>
      </w:r>
      <w:r w:rsidR="007628B1">
        <w:t xml:space="preserve"> S</w:t>
      </w:r>
      <w:r w:rsidR="008B3E29">
        <w:t xml:space="preserve">ection 9240 </w:t>
      </w:r>
      <w:r w:rsidR="002864EF">
        <w:t>provides, “</w:t>
      </w:r>
      <w:r w:rsidR="002864EF" w:rsidRPr="002864EF">
        <w:t>After the petition has been filed as herein provided, the elections official shall examine the petition and certify the results in the same manner as are county petitions in Sections 9114 and 9115 except that, for the purposes of this section, references to the board of supervisors shall be treated as references to the legislative body of the city.</w:t>
      </w:r>
      <w:r w:rsidR="002864EF">
        <w:t>”</w:t>
      </w:r>
      <w:r w:rsidR="00E237E1">
        <w:t xml:space="preserve">  </w:t>
      </w:r>
      <w:r w:rsidR="00E237E1" w:rsidRPr="002864EF">
        <w:t>Sections 9114 and 9115</w:t>
      </w:r>
      <w:r w:rsidR="00E237E1">
        <w:t xml:space="preserve"> </w:t>
      </w:r>
      <w:r w:rsidR="008B121F">
        <w:t>detail</w:t>
      </w:r>
      <w:r w:rsidR="006F093B">
        <w:t xml:space="preserve"> procedures for validation of signatures on a petition.</w:t>
      </w:r>
      <w:r w:rsidR="00A46DD5">
        <w:t xml:space="preserve"> </w:t>
      </w:r>
      <w:r w:rsidR="00B26377">
        <w:t xml:space="preserve"> I</w:t>
      </w:r>
      <w:r w:rsidR="00B26377" w:rsidRPr="00B26377">
        <w:t xml:space="preserve">f “the petition is found to be sufficient, the elections official shall certify the results of the examination to the [city council].” </w:t>
      </w:r>
      <w:r w:rsidR="00B26377">
        <w:t xml:space="preserve"> </w:t>
      </w:r>
      <w:r w:rsidR="00B26377" w:rsidRPr="00B26377">
        <w:t>(§§ 9114, 9115, subd. (f).)</w:t>
      </w:r>
    </w:p>
  </w:footnote>
  <w:footnote w:id="7">
    <w:p w14:paraId="310BEF7F" w14:textId="09903667" w:rsidR="00874FFB" w:rsidRDefault="00874FFB" w:rsidP="008B4802">
      <w:pPr>
        <w:pStyle w:val="FootnoteText"/>
        <w:ind w:firstLine="720"/>
      </w:pPr>
      <w:r>
        <w:rPr>
          <w:rStyle w:val="FootnoteReference"/>
        </w:rPr>
        <w:footnoteRef/>
      </w:r>
      <w:r>
        <w:t xml:space="preserve"> </w:t>
      </w:r>
      <w:r w:rsidR="002F192D">
        <w:t xml:space="preserve">The initial legislation was </w:t>
      </w:r>
      <w:r>
        <w:t>Assem</w:t>
      </w:r>
      <w:r w:rsidR="00331F69">
        <w:t>bly</w:t>
      </w:r>
      <w:r>
        <w:t xml:space="preserve"> Bill No. 26 (2011-2012 1st Ex. Sess., ch. 5)</w:t>
      </w:r>
      <w:r w:rsidR="002F192D">
        <w:t xml:space="preserve">, </w:t>
      </w:r>
      <w:r w:rsidR="004910F5">
        <w:t xml:space="preserve">which was upheld in </w:t>
      </w:r>
      <w:r w:rsidR="004910F5" w:rsidRPr="004910F5">
        <w:rPr>
          <w:i/>
          <w:iCs/>
        </w:rPr>
        <w:t>Matosantos</w:t>
      </w:r>
      <w:r>
        <w:t xml:space="preserve"> </w:t>
      </w:r>
      <w:r w:rsidR="004910F5">
        <w:t>and went into effect on February 1, 2012</w:t>
      </w:r>
      <w:r w:rsidR="008F3D70">
        <w:t>.  (</w:t>
      </w:r>
      <w:r w:rsidR="008F3D70" w:rsidRPr="005423CA">
        <w:rPr>
          <w:i/>
          <w:iCs/>
        </w:rPr>
        <w:t>Matosantos</w:t>
      </w:r>
      <w:r w:rsidR="008F3D70">
        <w:t xml:space="preserve">, </w:t>
      </w:r>
      <w:r w:rsidR="008F3D70">
        <w:rPr>
          <w:i/>
          <w:iCs/>
        </w:rPr>
        <w:t>supra</w:t>
      </w:r>
      <w:r w:rsidR="009E6319">
        <w:t>,</w:t>
      </w:r>
      <w:r w:rsidR="008F3D70">
        <w:t xml:space="preserve"> 53 Cal.4th </w:t>
      </w:r>
      <w:r w:rsidR="009E6319">
        <w:t xml:space="preserve">at p. 275.)  </w:t>
      </w:r>
      <w:r w:rsidR="00DC5613">
        <w:t>“</w:t>
      </w:r>
      <w:r>
        <w:t>The Legislature subsequently adopted additional legislation—Assembly Bill No.</w:t>
      </w:r>
      <w:r w:rsidR="00BB0289">
        <w:t> </w:t>
      </w:r>
      <w:r>
        <w:t>1484 (2011-2012 Reg. Sess.</w:t>
      </w:r>
      <w:r w:rsidR="000F3265">
        <w:t>)</w:t>
      </w:r>
      <w:r>
        <w:t>, eff. June 27, 2012, Assembly Bill No. 471 (2013-2014 Reg. Sess.</w:t>
      </w:r>
      <w:r w:rsidR="000F3265">
        <w:t>)</w:t>
      </w:r>
      <w:r>
        <w:t>, eff. Feb. 18, 2014, and Senate Bill No. 107 (2015-2016 Reg. Sess.</w:t>
      </w:r>
      <w:r w:rsidR="000F3265">
        <w:t>)</w:t>
      </w:r>
      <w:r>
        <w:t xml:space="preserve">, eff. Sept. 22, 2015—to clarify or modify the dissolution and wind down process. </w:t>
      </w:r>
      <w:r w:rsidR="00DC5613">
        <w:t xml:space="preserve"> [Citations.]  </w:t>
      </w:r>
      <w:r>
        <w:t xml:space="preserve">Taken together, we shall refer to these laws as the </w:t>
      </w:r>
      <w:r w:rsidR="00DC5613">
        <w:t>‘</w:t>
      </w:r>
      <w:r>
        <w:t>Dissolution Law.</w:t>
      </w:r>
      <w:r w:rsidR="00DC5613">
        <w:t>’ ”  (</w:t>
      </w:r>
      <w:r w:rsidR="00DC5613" w:rsidRPr="00BD7C50">
        <w:rPr>
          <w:i/>
          <w:iCs/>
        </w:rPr>
        <w:t>City of Chula Vista v. Stephenshaw</w:t>
      </w:r>
      <w:r w:rsidR="00DC5613">
        <w:t xml:space="preserve"> (2023) 91</w:t>
      </w:r>
      <w:r w:rsidR="00BB0289">
        <w:t> </w:t>
      </w:r>
      <w:r w:rsidR="00DC5613">
        <w:t>Cal.App.5th 352, 357 (</w:t>
      </w:r>
      <w:r w:rsidR="00DC5613" w:rsidRPr="00BD7C50">
        <w:rPr>
          <w:i/>
          <w:iCs/>
        </w:rPr>
        <w:t>Stephenshaw</w:t>
      </w:r>
      <w:r w:rsidR="00DC5613">
        <w:t>).</w:t>
      </w:r>
      <w:r w:rsidR="003F0404">
        <w:t>)</w:t>
      </w:r>
    </w:p>
  </w:footnote>
  <w:footnote w:id="8">
    <w:p w14:paraId="0FD0A63A" w14:textId="16E33DDF" w:rsidR="009730DD" w:rsidRDefault="009730DD" w:rsidP="00472143">
      <w:pPr>
        <w:pStyle w:val="FootnoteText"/>
        <w:ind w:firstLine="720"/>
      </w:pPr>
      <w:r>
        <w:rPr>
          <w:rStyle w:val="FootnoteReference"/>
        </w:rPr>
        <w:footnoteRef/>
      </w:r>
      <w:r>
        <w:t xml:space="preserve"> </w:t>
      </w:r>
      <w:r w:rsidR="002E16D3">
        <w:t xml:space="preserve">Although respondents do not </w:t>
      </w:r>
      <w:r w:rsidR="009E32A8">
        <w:t>cite to the</w:t>
      </w:r>
      <w:r w:rsidR="003F10F2">
        <w:t>m</w:t>
      </w:r>
      <w:r w:rsidR="002E16D3">
        <w:t xml:space="preserve">, we </w:t>
      </w:r>
      <w:r w:rsidR="00B817D8">
        <w:t xml:space="preserve">observe </w:t>
      </w:r>
      <w:r w:rsidR="002E16D3">
        <w:t>that</w:t>
      </w:r>
      <w:r w:rsidR="006B510B">
        <w:t xml:space="preserve"> </w:t>
      </w:r>
      <w:r w:rsidR="00BD4796">
        <w:t>several cases have</w:t>
      </w:r>
      <w:r w:rsidR="009A00D6">
        <w:t xml:space="preserve"> </w:t>
      </w:r>
      <w:r w:rsidR="006B510B">
        <w:t>held that</w:t>
      </w:r>
      <w:r w:rsidR="00C82750">
        <w:t xml:space="preserve"> </w:t>
      </w:r>
      <w:r w:rsidR="007611C3">
        <w:t xml:space="preserve">local decisions </w:t>
      </w:r>
      <w:r w:rsidR="00C82750">
        <w:t xml:space="preserve">pursuant </w:t>
      </w:r>
      <w:r w:rsidR="00B3462A">
        <w:t xml:space="preserve">to the Community Redevelopment </w:t>
      </w:r>
      <w:r w:rsidR="00B5626C">
        <w:t xml:space="preserve">Law </w:t>
      </w:r>
      <w:r w:rsidR="007611C3">
        <w:t>were beyond the reach of the referendum power.  (</w:t>
      </w:r>
      <w:r w:rsidR="007611C3" w:rsidRPr="007611C3">
        <w:rPr>
          <w:i/>
          <w:iCs/>
        </w:rPr>
        <w:t>Gibbs v. City of Napa</w:t>
      </w:r>
      <w:r w:rsidR="007611C3">
        <w:t xml:space="preserve"> (19</w:t>
      </w:r>
      <w:r w:rsidR="00D7609D">
        <w:t>76</w:t>
      </w:r>
      <w:r w:rsidR="007611C3">
        <w:t>) 59 Cal.App.3d 148, 154</w:t>
      </w:r>
      <w:r w:rsidR="002A4B9F">
        <w:t xml:space="preserve">; see also </w:t>
      </w:r>
      <w:r w:rsidR="002A4B9F" w:rsidRPr="00CE6216">
        <w:rPr>
          <w:i/>
          <w:iCs/>
        </w:rPr>
        <w:t>PR/JSM Rivara LLC v. Cmty. Redevelopment Agency</w:t>
      </w:r>
      <w:r w:rsidR="002A4B9F">
        <w:t xml:space="preserve"> (2009) 180 Cal.App.4th 1475, 1482;</w:t>
      </w:r>
      <w:r w:rsidR="00472143">
        <w:t xml:space="preserve"> </w:t>
      </w:r>
      <w:r w:rsidR="00472143" w:rsidRPr="00472143">
        <w:rPr>
          <w:i/>
          <w:iCs/>
        </w:rPr>
        <w:t>Walker v. City of Salinas</w:t>
      </w:r>
      <w:r w:rsidR="00B369EA">
        <w:t xml:space="preserve"> (1976)</w:t>
      </w:r>
      <w:r w:rsidR="00472143">
        <w:t xml:space="preserve"> 56 Cal.App.3d 711, 718</w:t>
      </w:r>
      <w:r w:rsidR="00B369EA">
        <w:t>;</w:t>
      </w:r>
      <w:r w:rsidR="002A4B9F">
        <w:t xml:space="preserve"> </w:t>
      </w:r>
      <w:r w:rsidR="005C3856" w:rsidRPr="005C3856">
        <w:rPr>
          <w:i/>
          <w:iCs/>
        </w:rPr>
        <w:t>Andrews v. City of San Bernardino</w:t>
      </w:r>
      <w:r w:rsidR="005C3856">
        <w:t xml:space="preserve"> (1959) 175 Cal.App.2d 459</w:t>
      </w:r>
      <w:r w:rsidR="00B369EA">
        <w:t xml:space="preserve">.)  But </w:t>
      </w:r>
      <w:r w:rsidR="00CC37D3">
        <w:t xml:space="preserve">the City in this case did </w:t>
      </w:r>
      <w:r w:rsidR="00CC37D3" w:rsidRPr="00B369EA">
        <w:rPr>
          <w:i/>
          <w:iCs/>
        </w:rPr>
        <w:t>not</w:t>
      </w:r>
      <w:r w:rsidR="00CC37D3">
        <w:t xml:space="preserve"> act pursuant to </w:t>
      </w:r>
      <w:r w:rsidR="007C21AE">
        <w:t xml:space="preserve">the </w:t>
      </w:r>
      <w:r w:rsidR="00E8711F">
        <w:t>redevelopment law</w:t>
      </w:r>
      <w:r w:rsidR="00E625BB">
        <w:t>.  Instead, the</w:t>
      </w:r>
      <w:r w:rsidR="00DD4DA8">
        <w:t xml:space="preserve"> present case involves </w:t>
      </w:r>
      <w:r w:rsidR="00E8711F">
        <w:t xml:space="preserve">the </w:t>
      </w:r>
      <w:r w:rsidR="009A00D6">
        <w:rPr>
          <w:i/>
          <w:iCs/>
        </w:rPr>
        <w:t>D</w:t>
      </w:r>
      <w:r w:rsidR="00E8711F" w:rsidRPr="004F3513">
        <w:rPr>
          <w:i/>
          <w:iCs/>
        </w:rPr>
        <w:t>issolution</w:t>
      </w:r>
      <w:r w:rsidR="009A00D6">
        <w:rPr>
          <w:i/>
          <w:iCs/>
        </w:rPr>
        <w:t xml:space="preserve"> Law</w:t>
      </w:r>
      <w:r w:rsidR="001E1D1C">
        <w:t>.  A</w:t>
      </w:r>
      <w:r w:rsidR="00B327D6">
        <w:t xml:space="preserve">s we have explained, the City was bound only by the very general </w:t>
      </w:r>
      <w:r w:rsidR="00B42D09">
        <w:t xml:space="preserve">specification in the Long Range Plan to build </w:t>
      </w:r>
      <w:r w:rsidR="006A2552">
        <w:t xml:space="preserve">housing with an </w:t>
      </w:r>
      <w:r w:rsidR="00B42D09">
        <w:t xml:space="preserve">affordable </w:t>
      </w:r>
      <w:r w:rsidR="006A2552">
        <w:t xml:space="preserve">component </w:t>
      </w:r>
      <w:r w:rsidR="00B42D09">
        <w:t>on the Property</w:t>
      </w:r>
      <w:r w:rsidR="004F3513">
        <w:t>.</w:t>
      </w:r>
    </w:p>
  </w:footnote>
  <w:footnote w:id="9">
    <w:p w14:paraId="4E1C2812" w14:textId="22D197D6" w:rsidR="006C7791" w:rsidRPr="006C7791" w:rsidRDefault="006C7791" w:rsidP="00747561">
      <w:pPr>
        <w:pStyle w:val="FootnoteText"/>
        <w:ind w:firstLine="720"/>
      </w:pPr>
      <w:r>
        <w:rPr>
          <w:rStyle w:val="FootnoteReference"/>
        </w:rPr>
        <w:footnoteRef/>
      </w:r>
      <w:r>
        <w:t xml:space="preserve"> Respondents argue </w:t>
      </w:r>
      <w:r>
        <w:rPr>
          <w:i/>
          <w:iCs/>
        </w:rPr>
        <w:t>Yost</w:t>
      </w:r>
      <w:r>
        <w:t xml:space="preserve"> is distinguishable because</w:t>
      </w:r>
      <w:r w:rsidR="00747561">
        <w:t xml:space="preserve"> section 30500, subdivision (c) of the Public Resources Code states, “The precise content of each local coastal program shall be determined by the local government, consistent with Section 30501, in full consultation with the commission . . . .”  (See also </w:t>
      </w:r>
      <w:r w:rsidR="00747561" w:rsidRPr="00747561">
        <w:rPr>
          <w:i/>
          <w:iCs/>
        </w:rPr>
        <w:t>Yost</w:t>
      </w:r>
      <w:r w:rsidR="00747561">
        <w:t xml:space="preserve">, </w:t>
      </w:r>
      <w:r w:rsidR="00747561">
        <w:rPr>
          <w:i/>
          <w:iCs/>
        </w:rPr>
        <w:t>supra</w:t>
      </w:r>
      <w:r w:rsidR="00747561">
        <w:t xml:space="preserve">, 36 Cal.3d at pp. 571–572.)  However, even though the Dissolution Law </w:t>
      </w:r>
      <w:r w:rsidR="001A3AE5">
        <w:t xml:space="preserve">does not contain a precisely analogous provision, </w:t>
      </w:r>
      <w:r w:rsidR="002F67F4">
        <w:t xml:space="preserve">respondents point to no provision </w:t>
      </w:r>
      <w:r w:rsidR="00A109F5">
        <w:t xml:space="preserve">denying </w:t>
      </w:r>
      <w:r w:rsidR="00006A83">
        <w:t>cities</w:t>
      </w:r>
      <w:r w:rsidR="001A3AE5">
        <w:t xml:space="preserve"> </w:t>
      </w:r>
      <w:r w:rsidR="00587F41">
        <w:t>a comparable</w:t>
      </w:r>
      <w:r w:rsidR="001A3AE5">
        <w:t xml:space="preserve"> level of discretion</w:t>
      </w:r>
      <w:r w:rsidR="00006A83">
        <w:t xml:space="preserve"> over local developments</w:t>
      </w:r>
      <w:r w:rsidR="001A3AE5">
        <w:t>.</w:t>
      </w:r>
    </w:p>
  </w:footnote>
  <w:footnote w:id="10">
    <w:p w14:paraId="2188553A" w14:textId="0A8FD28E" w:rsidR="00EB73EA" w:rsidRPr="00223F13" w:rsidRDefault="00EB73EA" w:rsidP="00223F13">
      <w:pPr>
        <w:pStyle w:val="FootnoteText"/>
        <w:ind w:firstLine="720"/>
        <w:rPr>
          <w:u w:val="single"/>
        </w:rPr>
      </w:pPr>
      <w:r>
        <w:rPr>
          <w:rStyle w:val="FootnoteReference"/>
        </w:rPr>
        <w:footnoteRef/>
      </w:r>
      <w:r>
        <w:t xml:space="preserve"> </w:t>
      </w:r>
      <w:r w:rsidR="00223F13">
        <w:t>A</w:t>
      </w:r>
      <w:r>
        <w:t xml:space="preserve">t oral argument, </w:t>
      </w:r>
      <w:r w:rsidR="001D6677">
        <w:t xml:space="preserve">respondents </w:t>
      </w:r>
      <w:r w:rsidR="00E13F9A">
        <w:t xml:space="preserve">requested that </w:t>
      </w:r>
      <w:r w:rsidR="001D6677">
        <w:t xml:space="preserve">this court direct the superior court to process the referendum only as to those parts </w:t>
      </w:r>
      <w:r w:rsidR="00B00BBD">
        <w:t xml:space="preserve">of the 2022 Agreement that involved legislative determinations, citing </w:t>
      </w:r>
      <w:r w:rsidR="00223F13" w:rsidRPr="00223F13">
        <w:rPr>
          <w:i/>
          <w:iCs/>
        </w:rPr>
        <w:t>Dye v. Council of City of Compton</w:t>
      </w:r>
      <w:r w:rsidR="00223F13">
        <w:t xml:space="preserve">, 80 Cal.App.2d 486, 487.  </w:t>
      </w:r>
      <w:r w:rsidR="005A4E26">
        <w:t>But</w:t>
      </w:r>
      <w:r w:rsidR="00223F13">
        <w:t xml:space="preserve"> the issue in </w:t>
      </w:r>
      <w:r w:rsidR="00223F13">
        <w:rPr>
          <w:i/>
          <w:iCs/>
        </w:rPr>
        <w:t>Dye</w:t>
      </w:r>
      <w:r w:rsidR="00223F13" w:rsidRPr="00C978E4">
        <w:t xml:space="preserve"> was</w:t>
      </w:r>
      <w:r w:rsidR="005F7DED" w:rsidRPr="00C978E4">
        <w:t xml:space="preserve"> whether </w:t>
      </w:r>
      <w:r w:rsidR="00761571" w:rsidRPr="00C978E4">
        <w:t xml:space="preserve">the referendum power </w:t>
      </w:r>
      <w:r w:rsidR="00AC0357" w:rsidRPr="00C978E4">
        <w:t xml:space="preserve">permitted a </w:t>
      </w:r>
      <w:r w:rsidR="005A4E26" w:rsidRPr="00C978E4">
        <w:t>c</w:t>
      </w:r>
      <w:r w:rsidR="00382718" w:rsidRPr="00C978E4">
        <w:t>halleng</w:t>
      </w:r>
      <w:r w:rsidR="005A4E26" w:rsidRPr="00C978E4">
        <w:t>e to</w:t>
      </w:r>
      <w:r w:rsidR="00382718" w:rsidRPr="00C978E4">
        <w:t xml:space="preserve"> only parts of a cit</w:t>
      </w:r>
      <w:r w:rsidR="00AC0357" w:rsidRPr="00C978E4">
        <w:t>y</w:t>
      </w:r>
      <w:r w:rsidR="00382718" w:rsidRPr="00C978E4">
        <w:t xml:space="preserve"> ordinance.  (</w:t>
      </w:r>
      <w:r w:rsidR="00382718" w:rsidRPr="00C978E4">
        <w:rPr>
          <w:i/>
          <w:iCs/>
        </w:rPr>
        <w:t>Id.</w:t>
      </w:r>
      <w:r w:rsidR="00382718" w:rsidRPr="00C978E4">
        <w:t xml:space="preserve"> at p. 488.)  The court did not </w:t>
      </w:r>
      <w:r w:rsidR="000E4469" w:rsidRPr="00C978E4">
        <w:t xml:space="preserve">suggest that, where a referendum petition challenges the whole of a </w:t>
      </w:r>
      <w:r w:rsidR="00E13F9A" w:rsidRPr="00C978E4">
        <w:t>resolution or ordinance, as in the present case,</w:t>
      </w:r>
      <w:r w:rsidR="00AC0357" w:rsidRPr="00C978E4">
        <w:t xml:space="preserve"> </w:t>
      </w:r>
      <w:r w:rsidR="003D7DFA" w:rsidRPr="00C978E4">
        <w:t>it would be proper to limit the scope of the</w:t>
      </w:r>
      <w:r w:rsidR="000D3C14" w:rsidRPr="00C978E4">
        <w:t xml:space="preserve"> </w:t>
      </w:r>
      <w:r w:rsidR="005A4E26" w:rsidRPr="00C978E4">
        <w:t>referendum</w:t>
      </w:r>
      <w:r w:rsidR="003D7DFA" w:rsidRPr="00C978E4">
        <w:t>.</w:t>
      </w:r>
      <w:r w:rsidR="00F533FF" w:rsidRPr="00C978E4">
        <w:t xml:space="preserve"> </w:t>
      </w:r>
      <w:r w:rsidR="00745CA0" w:rsidRPr="00C978E4">
        <w:t xml:space="preserve"> </w:t>
      </w:r>
      <w:r w:rsidR="00C833EE" w:rsidRPr="00C978E4">
        <w:t>Given respondents’ failure to present authority supporting their request</w:t>
      </w:r>
      <w:r w:rsidR="00B579CB" w:rsidRPr="00C978E4">
        <w:t xml:space="preserve">, we decline </w:t>
      </w:r>
      <w:r w:rsidR="004C7924" w:rsidRPr="00C978E4">
        <w:t>it</w:t>
      </w:r>
      <w:r w:rsidR="00C833EE" w:rsidRPr="00C978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6A78" w14:textId="77777777" w:rsidR="005F4CA3" w:rsidRDefault="005F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3B6D" w14:textId="77777777" w:rsidR="005F4CA3" w:rsidRDefault="005F4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80F0" w14:textId="77777777" w:rsidR="005F4CA3" w:rsidRDefault="005F4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6B"/>
    <w:rsid w:val="0000165E"/>
    <w:rsid w:val="00001D6B"/>
    <w:rsid w:val="00003795"/>
    <w:rsid w:val="00005F1E"/>
    <w:rsid w:val="00006A83"/>
    <w:rsid w:val="00007297"/>
    <w:rsid w:val="0000764D"/>
    <w:rsid w:val="00007818"/>
    <w:rsid w:val="00007D80"/>
    <w:rsid w:val="00011F6B"/>
    <w:rsid w:val="0001439F"/>
    <w:rsid w:val="00020982"/>
    <w:rsid w:val="00022FAB"/>
    <w:rsid w:val="00026AB2"/>
    <w:rsid w:val="00027552"/>
    <w:rsid w:val="00031789"/>
    <w:rsid w:val="00031CD0"/>
    <w:rsid w:val="00032873"/>
    <w:rsid w:val="000334CF"/>
    <w:rsid w:val="0003375B"/>
    <w:rsid w:val="000338B9"/>
    <w:rsid w:val="0003398D"/>
    <w:rsid w:val="000357D5"/>
    <w:rsid w:val="0003612B"/>
    <w:rsid w:val="00036AA3"/>
    <w:rsid w:val="00040168"/>
    <w:rsid w:val="00040A46"/>
    <w:rsid w:val="0004219C"/>
    <w:rsid w:val="0004431A"/>
    <w:rsid w:val="000456E7"/>
    <w:rsid w:val="0004573D"/>
    <w:rsid w:val="00045C54"/>
    <w:rsid w:val="000472C4"/>
    <w:rsid w:val="00055328"/>
    <w:rsid w:val="0005668D"/>
    <w:rsid w:val="000567C6"/>
    <w:rsid w:val="00056A0B"/>
    <w:rsid w:val="00056FD9"/>
    <w:rsid w:val="00057F1E"/>
    <w:rsid w:val="00062FEE"/>
    <w:rsid w:val="000662A6"/>
    <w:rsid w:val="000667C0"/>
    <w:rsid w:val="00066D95"/>
    <w:rsid w:val="00067496"/>
    <w:rsid w:val="00071DCC"/>
    <w:rsid w:val="00071DEA"/>
    <w:rsid w:val="00072286"/>
    <w:rsid w:val="00072F6B"/>
    <w:rsid w:val="000731B0"/>
    <w:rsid w:val="00073A7D"/>
    <w:rsid w:val="0008009A"/>
    <w:rsid w:val="00080A7A"/>
    <w:rsid w:val="00080CE0"/>
    <w:rsid w:val="00081E9B"/>
    <w:rsid w:val="0008240F"/>
    <w:rsid w:val="000846E3"/>
    <w:rsid w:val="0008471B"/>
    <w:rsid w:val="000848D4"/>
    <w:rsid w:val="00085698"/>
    <w:rsid w:val="00085D24"/>
    <w:rsid w:val="00085D49"/>
    <w:rsid w:val="00086F5A"/>
    <w:rsid w:val="000927BF"/>
    <w:rsid w:val="00092ACE"/>
    <w:rsid w:val="00092E43"/>
    <w:rsid w:val="00092E48"/>
    <w:rsid w:val="00093953"/>
    <w:rsid w:val="000943EE"/>
    <w:rsid w:val="00095650"/>
    <w:rsid w:val="00096420"/>
    <w:rsid w:val="000964C2"/>
    <w:rsid w:val="00097B41"/>
    <w:rsid w:val="000A060C"/>
    <w:rsid w:val="000A0D7B"/>
    <w:rsid w:val="000A193E"/>
    <w:rsid w:val="000A3193"/>
    <w:rsid w:val="000B08A7"/>
    <w:rsid w:val="000B3122"/>
    <w:rsid w:val="000B43E7"/>
    <w:rsid w:val="000B44F4"/>
    <w:rsid w:val="000B4744"/>
    <w:rsid w:val="000B4C15"/>
    <w:rsid w:val="000B5985"/>
    <w:rsid w:val="000B5A7D"/>
    <w:rsid w:val="000B684F"/>
    <w:rsid w:val="000B6F41"/>
    <w:rsid w:val="000C0131"/>
    <w:rsid w:val="000C12F9"/>
    <w:rsid w:val="000C21A2"/>
    <w:rsid w:val="000C2931"/>
    <w:rsid w:val="000C3CA2"/>
    <w:rsid w:val="000C3CAA"/>
    <w:rsid w:val="000C3D94"/>
    <w:rsid w:val="000C4AF2"/>
    <w:rsid w:val="000C5D59"/>
    <w:rsid w:val="000C6E36"/>
    <w:rsid w:val="000C75F1"/>
    <w:rsid w:val="000C7B66"/>
    <w:rsid w:val="000C7D01"/>
    <w:rsid w:val="000C7FAB"/>
    <w:rsid w:val="000D28B9"/>
    <w:rsid w:val="000D3C14"/>
    <w:rsid w:val="000D5AE8"/>
    <w:rsid w:val="000D5D5F"/>
    <w:rsid w:val="000D5EEB"/>
    <w:rsid w:val="000D5F57"/>
    <w:rsid w:val="000D6C9D"/>
    <w:rsid w:val="000D781F"/>
    <w:rsid w:val="000E3C40"/>
    <w:rsid w:val="000E4469"/>
    <w:rsid w:val="000E5365"/>
    <w:rsid w:val="000E5549"/>
    <w:rsid w:val="000E59A3"/>
    <w:rsid w:val="000E734E"/>
    <w:rsid w:val="000F0F90"/>
    <w:rsid w:val="000F16F5"/>
    <w:rsid w:val="000F1955"/>
    <w:rsid w:val="000F2416"/>
    <w:rsid w:val="000F26B0"/>
    <w:rsid w:val="000F309A"/>
    <w:rsid w:val="000F3265"/>
    <w:rsid w:val="000F4B34"/>
    <w:rsid w:val="000F56ED"/>
    <w:rsid w:val="000F5F03"/>
    <w:rsid w:val="000F60FA"/>
    <w:rsid w:val="000F6894"/>
    <w:rsid w:val="000F6FEE"/>
    <w:rsid w:val="000F7517"/>
    <w:rsid w:val="000F7A6A"/>
    <w:rsid w:val="001024AD"/>
    <w:rsid w:val="00102B13"/>
    <w:rsid w:val="00104E63"/>
    <w:rsid w:val="001055C3"/>
    <w:rsid w:val="0010607C"/>
    <w:rsid w:val="00106E59"/>
    <w:rsid w:val="00107994"/>
    <w:rsid w:val="00112DD6"/>
    <w:rsid w:val="00114360"/>
    <w:rsid w:val="001149D4"/>
    <w:rsid w:val="00114AD9"/>
    <w:rsid w:val="001154CB"/>
    <w:rsid w:val="00116835"/>
    <w:rsid w:val="00116DED"/>
    <w:rsid w:val="00117534"/>
    <w:rsid w:val="00120203"/>
    <w:rsid w:val="0012224C"/>
    <w:rsid w:val="00124B3F"/>
    <w:rsid w:val="00130BFE"/>
    <w:rsid w:val="00134DDF"/>
    <w:rsid w:val="001360C9"/>
    <w:rsid w:val="0013644E"/>
    <w:rsid w:val="00140760"/>
    <w:rsid w:val="00141196"/>
    <w:rsid w:val="001411C0"/>
    <w:rsid w:val="0014231C"/>
    <w:rsid w:val="0014487D"/>
    <w:rsid w:val="00144B2C"/>
    <w:rsid w:val="00145163"/>
    <w:rsid w:val="001455BE"/>
    <w:rsid w:val="00145B86"/>
    <w:rsid w:val="00146172"/>
    <w:rsid w:val="00146867"/>
    <w:rsid w:val="00146F59"/>
    <w:rsid w:val="00147A09"/>
    <w:rsid w:val="00150262"/>
    <w:rsid w:val="00150FBD"/>
    <w:rsid w:val="00150FC7"/>
    <w:rsid w:val="00151A30"/>
    <w:rsid w:val="00154869"/>
    <w:rsid w:val="00156296"/>
    <w:rsid w:val="001606A7"/>
    <w:rsid w:val="00161527"/>
    <w:rsid w:val="00161608"/>
    <w:rsid w:val="00162EE7"/>
    <w:rsid w:val="0016442E"/>
    <w:rsid w:val="00165EC4"/>
    <w:rsid w:val="0016683E"/>
    <w:rsid w:val="00167456"/>
    <w:rsid w:val="0016756E"/>
    <w:rsid w:val="001712F8"/>
    <w:rsid w:val="001743E8"/>
    <w:rsid w:val="00176598"/>
    <w:rsid w:val="00176FC1"/>
    <w:rsid w:val="0017720B"/>
    <w:rsid w:val="00181AE5"/>
    <w:rsid w:val="001822EA"/>
    <w:rsid w:val="00182529"/>
    <w:rsid w:val="00183CF2"/>
    <w:rsid w:val="00183EC8"/>
    <w:rsid w:val="00184AED"/>
    <w:rsid w:val="001934E1"/>
    <w:rsid w:val="00194D4F"/>
    <w:rsid w:val="0019511E"/>
    <w:rsid w:val="00196F83"/>
    <w:rsid w:val="001974FA"/>
    <w:rsid w:val="001A1DFF"/>
    <w:rsid w:val="001A2663"/>
    <w:rsid w:val="001A3AE5"/>
    <w:rsid w:val="001A3D63"/>
    <w:rsid w:val="001A6B38"/>
    <w:rsid w:val="001A7997"/>
    <w:rsid w:val="001B126F"/>
    <w:rsid w:val="001B1AC4"/>
    <w:rsid w:val="001B2218"/>
    <w:rsid w:val="001B3900"/>
    <w:rsid w:val="001B3B3C"/>
    <w:rsid w:val="001B5BDE"/>
    <w:rsid w:val="001C0510"/>
    <w:rsid w:val="001C1CFF"/>
    <w:rsid w:val="001C25C7"/>
    <w:rsid w:val="001C342E"/>
    <w:rsid w:val="001C4BFA"/>
    <w:rsid w:val="001C50B5"/>
    <w:rsid w:val="001C5368"/>
    <w:rsid w:val="001C7506"/>
    <w:rsid w:val="001D0077"/>
    <w:rsid w:val="001D0258"/>
    <w:rsid w:val="001D0B35"/>
    <w:rsid w:val="001D26C8"/>
    <w:rsid w:val="001D2C00"/>
    <w:rsid w:val="001D41C6"/>
    <w:rsid w:val="001D65F9"/>
    <w:rsid w:val="001D6677"/>
    <w:rsid w:val="001E1A46"/>
    <w:rsid w:val="001E1D1C"/>
    <w:rsid w:val="001E230F"/>
    <w:rsid w:val="001E26B0"/>
    <w:rsid w:val="001E27DF"/>
    <w:rsid w:val="001E297D"/>
    <w:rsid w:val="001E487E"/>
    <w:rsid w:val="001E4ECE"/>
    <w:rsid w:val="001E68BB"/>
    <w:rsid w:val="001E74F0"/>
    <w:rsid w:val="001E7741"/>
    <w:rsid w:val="001E7E79"/>
    <w:rsid w:val="001F0ABE"/>
    <w:rsid w:val="001F2134"/>
    <w:rsid w:val="001F21B4"/>
    <w:rsid w:val="001F2631"/>
    <w:rsid w:val="001F2DCF"/>
    <w:rsid w:val="001F4A12"/>
    <w:rsid w:val="001F4F17"/>
    <w:rsid w:val="001F51B6"/>
    <w:rsid w:val="001F5E84"/>
    <w:rsid w:val="001F67FD"/>
    <w:rsid w:val="001F728D"/>
    <w:rsid w:val="002004CD"/>
    <w:rsid w:val="0020350E"/>
    <w:rsid w:val="00203649"/>
    <w:rsid w:val="00203CE0"/>
    <w:rsid w:val="00204F86"/>
    <w:rsid w:val="00206205"/>
    <w:rsid w:val="00212369"/>
    <w:rsid w:val="00212970"/>
    <w:rsid w:val="00213BCD"/>
    <w:rsid w:val="002146E5"/>
    <w:rsid w:val="00217CEA"/>
    <w:rsid w:val="00222ACC"/>
    <w:rsid w:val="00222D00"/>
    <w:rsid w:val="002230C5"/>
    <w:rsid w:val="00223F13"/>
    <w:rsid w:val="00224BE3"/>
    <w:rsid w:val="0022587A"/>
    <w:rsid w:val="0022624A"/>
    <w:rsid w:val="00227A39"/>
    <w:rsid w:val="00230162"/>
    <w:rsid w:val="00231723"/>
    <w:rsid w:val="00231D3F"/>
    <w:rsid w:val="0023311D"/>
    <w:rsid w:val="0023450E"/>
    <w:rsid w:val="00236170"/>
    <w:rsid w:val="00236AAB"/>
    <w:rsid w:val="00240758"/>
    <w:rsid w:val="00243522"/>
    <w:rsid w:val="00244F1D"/>
    <w:rsid w:val="0024504C"/>
    <w:rsid w:val="0024532C"/>
    <w:rsid w:val="00252275"/>
    <w:rsid w:val="00252C89"/>
    <w:rsid w:val="0025300D"/>
    <w:rsid w:val="00254831"/>
    <w:rsid w:val="00257AE4"/>
    <w:rsid w:val="00261B18"/>
    <w:rsid w:val="002623B1"/>
    <w:rsid w:val="002624D6"/>
    <w:rsid w:val="00262954"/>
    <w:rsid w:val="00264193"/>
    <w:rsid w:val="0026484D"/>
    <w:rsid w:val="00264DE6"/>
    <w:rsid w:val="0026620B"/>
    <w:rsid w:val="00266B7A"/>
    <w:rsid w:val="002673AC"/>
    <w:rsid w:val="00272107"/>
    <w:rsid w:val="0027337D"/>
    <w:rsid w:val="002735DF"/>
    <w:rsid w:val="00274811"/>
    <w:rsid w:val="0027758D"/>
    <w:rsid w:val="00277EB9"/>
    <w:rsid w:val="00281F34"/>
    <w:rsid w:val="00282656"/>
    <w:rsid w:val="00283668"/>
    <w:rsid w:val="00284873"/>
    <w:rsid w:val="00285B78"/>
    <w:rsid w:val="002864EF"/>
    <w:rsid w:val="002867C9"/>
    <w:rsid w:val="00290A05"/>
    <w:rsid w:val="00290B11"/>
    <w:rsid w:val="0029298E"/>
    <w:rsid w:val="00293E49"/>
    <w:rsid w:val="00294278"/>
    <w:rsid w:val="00295F40"/>
    <w:rsid w:val="002963E9"/>
    <w:rsid w:val="00297590"/>
    <w:rsid w:val="002A1A27"/>
    <w:rsid w:val="002A1DB3"/>
    <w:rsid w:val="002A1E12"/>
    <w:rsid w:val="002A24A6"/>
    <w:rsid w:val="002A261E"/>
    <w:rsid w:val="002A38B3"/>
    <w:rsid w:val="002A4B9F"/>
    <w:rsid w:val="002A62B6"/>
    <w:rsid w:val="002B0FDF"/>
    <w:rsid w:val="002B1791"/>
    <w:rsid w:val="002B20B1"/>
    <w:rsid w:val="002B2CDA"/>
    <w:rsid w:val="002B2CDC"/>
    <w:rsid w:val="002B31F2"/>
    <w:rsid w:val="002B3D7B"/>
    <w:rsid w:val="002B3E21"/>
    <w:rsid w:val="002B4699"/>
    <w:rsid w:val="002B5A17"/>
    <w:rsid w:val="002B683E"/>
    <w:rsid w:val="002C0871"/>
    <w:rsid w:val="002C124D"/>
    <w:rsid w:val="002C1378"/>
    <w:rsid w:val="002C3C6D"/>
    <w:rsid w:val="002C3F96"/>
    <w:rsid w:val="002C4574"/>
    <w:rsid w:val="002C5104"/>
    <w:rsid w:val="002C5768"/>
    <w:rsid w:val="002C7378"/>
    <w:rsid w:val="002C73D0"/>
    <w:rsid w:val="002C7728"/>
    <w:rsid w:val="002C7E41"/>
    <w:rsid w:val="002D026D"/>
    <w:rsid w:val="002D1CA0"/>
    <w:rsid w:val="002D6FD2"/>
    <w:rsid w:val="002E0443"/>
    <w:rsid w:val="002E0844"/>
    <w:rsid w:val="002E0994"/>
    <w:rsid w:val="002E1545"/>
    <w:rsid w:val="002E16D3"/>
    <w:rsid w:val="002E2D80"/>
    <w:rsid w:val="002E3489"/>
    <w:rsid w:val="002E37DB"/>
    <w:rsid w:val="002E41D6"/>
    <w:rsid w:val="002F0CED"/>
    <w:rsid w:val="002F0DB0"/>
    <w:rsid w:val="002F192D"/>
    <w:rsid w:val="002F2BAA"/>
    <w:rsid w:val="002F2BC1"/>
    <w:rsid w:val="002F4278"/>
    <w:rsid w:val="002F4601"/>
    <w:rsid w:val="002F46F0"/>
    <w:rsid w:val="002F6221"/>
    <w:rsid w:val="002F67F4"/>
    <w:rsid w:val="002F68BE"/>
    <w:rsid w:val="002F6E1C"/>
    <w:rsid w:val="003009A1"/>
    <w:rsid w:val="003013E3"/>
    <w:rsid w:val="00302D8B"/>
    <w:rsid w:val="003072DD"/>
    <w:rsid w:val="0031031C"/>
    <w:rsid w:val="00311568"/>
    <w:rsid w:val="0031294F"/>
    <w:rsid w:val="00312F23"/>
    <w:rsid w:val="0031346C"/>
    <w:rsid w:val="00315F74"/>
    <w:rsid w:val="00316B51"/>
    <w:rsid w:val="00317847"/>
    <w:rsid w:val="003178B3"/>
    <w:rsid w:val="0031795D"/>
    <w:rsid w:val="003205E6"/>
    <w:rsid w:val="003209A1"/>
    <w:rsid w:val="003209DB"/>
    <w:rsid w:val="00320C82"/>
    <w:rsid w:val="00321BA9"/>
    <w:rsid w:val="00322120"/>
    <w:rsid w:val="00322C9D"/>
    <w:rsid w:val="00325BAB"/>
    <w:rsid w:val="00326104"/>
    <w:rsid w:val="00331F69"/>
    <w:rsid w:val="00332A3E"/>
    <w:rsid w:val="00336EDF"/>
    <w:rsid w:val="0034067C"/>
    <w:rsid w:val="00341576"/>
    <w:rsid w:val="0034229E"/>
    <w:rsid w:val="00343EDD"/>
    <w:rsid w:val="00344FA9"/>
    <w:rsid w:val="00346D95"/>
    <w:rsid w:val="00346F9E"/>
    <w:rsid w:val="003508FF"/>
    <w:rsid w:val="0035420D"/>
    <w:rsid w:val="00354D53"/>
    <w:rsid w:val="00355B1F"/>
    <w:rsid w:val="003564A4"/>
    <w:rsid w:val="00356E29"/>
    <w:rsid w:val="00360816"/>
    <w:rsid w:val="003609AD"/>
    <w:rsid w:val="00360D3E"/>
    <w:rsid w:val="0036132F"/>
    <w:rsid w:val="0036145B"/>
    <w:rsid w:val="00362C11"/>
    <w:rsid w:val="0036422B"/>
    <w:rsid w:val="003646ED"/>
    <w:rsid w:val="00364E2E"/>
    <w:rsid w:val="00365453"/>
    <w:rsid w:val="00371403"/>
    <w:rsid w:val="00372130"/>
    <w:rsid w:val="00372293"/>
    <w:rsid w:val="00372DF5"/>
    <w:rsid w:val="0037336A"/>
    <w:rsid w:val="00373868"/>
    <w:rsid w:val="00374C7C"/>
    <w:rsid w:val="00375377"/>
    <w:rsid w:val="00376797"/>
    <w:rsid w:val="003767A7"/>
    <w:rsid w:val="00380070"/>
    <w:rsid w:val="00382718"/>
    <w:rsid w:val="00382DFF"/>
    <w:rsid w:val="00383701"/>
    <w:rsid w:val="003858AE"/>
    <w:rsid w:val="00387DE7"/>
    <w:rsid w:val="00390783"/>
    <w:rsid w:val="003916CF"/>
    <w:rsid w:val="00391838"/>
    <w:rsid w:val="0039469D"/>
    <w:rsid w:val="00396A5B"/>
    <w:rsid w:val="003976D0"/>
    <w:rsid w:val="00397D72"/>
    <w:rsid w:val="003A010E"/>
    <w:rsid w:val="003A0384"/>
    <w:rsid w:val="003A0688"/>
    <w:rsid w:val="003A0870"/>
    <w:rsid w:val="003A548A"/>
    <w:rsid w:val="003A5553"/>
    <w:rsid w:val="003A74E7"/>
    <w:rsid w:val="003A7ACA"/>
    <w:rsid w:val="003B0987"/>
    <w:rsid w:val="003B1357"/>
    <w:rsid w:val="003B273C"/>
    <w:rsid w:val="003B383E"/>
    <w:rsid w:val="003B55E0"/>
    <w:rsid w:val="003B5AE7"/>
    <w:rsid w:val="003B73C9"/>
    <w:rsid w:val="003C0ACB"/>
    <w:rsid w:val="003C14A3"/>
    <w:rsid w:val="003C22F6"/>
    <w:rsid w:val="003C24ED"/>
    <w:rsid w:val="003C3A05"/>
    <w:rsid w:val="003C6EAB"/>
    <w:rsid w:val="003D11F3"/>
    <w:rsid w:val="003D2A3F"/>
    <w:rsid w:val="003D2BB1"/>
    <w:rsid w:val="003D3716"/>
    <w:rsid w:val="003D3E82"/>
    <w:rsid w:val="003D4F3D"/>
    <w:rsid w:val="003D5855"/>
    <w:rsid w:val="003D5FFA"/>
    <w:rsid w:val="003D64CC"/>
    <w:rsid w:val="003D77C0"/>
    <w:rsid w:val="003D7DFA"/>
    <w:rsid w:val="003E097C"/>
    <w:rsid w:val="003E0C21"/>
    <w:rsid w:val="003E1B5C"/>
    <w:rsid w:val="003E2F36"/>
    <w:rsid w:val="003E2F4D"/>
    <w:rsid w:val="003E2F7D"/>
    <w:rsid w:val="003E3F8A"/>
    <w:rsid w:val="003E5941"/>
    <w:rsid w:val="003E616B"/>
    <w:rsid w:val="003E697F"/>
    <w:rsid w:val="003E71BF"/>
    <w:rsid w:val="003E7813"/>
    <w:rsid w:val="003F0404"/>
    <w:rsid w:val="003F05B2"/>
    <w:rsid w:val="003F10F2"/>
    <w:rsid w:val="003F1C07"/>
    <w:rsid w:val="003F5399"/>
    <w:rsid w:val="003F7A6E"/>
    <w:rsid w:val="003F7FF5"/>
    <w:rsid w:val="00400B45"/>
    <w:rsid w:val="0040168F"/>
    <w:rsid w:val="00401B97"/>
    <w:rsid w:val="004041C9"/>
    <w:rsid w:val="0040432D"/>
    <w:rsid w:val="00404739"/>
    <w:rsid w:val="00406196"/>
    <w:rsid w:val="00410346"/>
    <w:rsid w:val="00412E48"/>
    <w:rsid w:val="0041304B"/>
    <w:rsid w:val="00413BE0"/>
    <w:rsid w:val="00414657"/>
    <w:rsid w:val="0041525F"/>
    <w:rsid w:val="00421516"/>
    <w:rsid w:val="00425742"/>
    <w:rsid w:val="0042679D"/>
    <w:rsid w:val="0042699F"/>
    <w:rsid w:val="00431A22"/>
    <w:rsid w:val="00431B74"/>
    <w:rsid w:val="00432389"/>
    <w:rsid w:val="00433646"/>
    <w:rsid w:val="00433B44"/>
    <w:rsid w:val="00433FA7"/>
    <w:rsid w:val="00434E60"/>
    <w:rsid w:val="004365BD"/>
    <w:rsid w:val="00441150"/>
    <w:rsid w:val="004462CE"/>
    <w:rsid w:val="0045115E"/>
    <w:rsid w:val="00452FE9"/>
    <w:rsid w:val="004544A3"/>
    <w:rsid w:val="0045489A"/>
    <w:rsid w:val="00455373"/>
    <w:rsid w:val="00455E80"/>
    <w:rsid w:val="004578FA"/>
    <w:rsid w:val="00457E54"/>
    <w:rsid w:val="00460689"/>
    <w:rsid w:val="00460787"/>
    <w:rsid w:val="004621C0"/>
    <w:rsid w:val="0046365F"/>
    <w:rsid w:val="004653CD"/>
    <w:rsid w:val="004658DF"/>
    <w:rsid w:val="004674F1"/>
    <w:rsid w:val="00467DE3"/>
    <w:rsid w:val="00470D8C"/>
    <w:rsid w:val="004719F6"/>
    <w:rsid w:val="00472143"/>
    <w:rsid w:val="00472DBB"/>
    <w:rsid w:val="0047340F"/>
    <w:rsid w:val="0047475B"/>
    <w:rsid w:val="00474FAB"/>
    <w:rsid w:val="00476C92"/>
    <w:rsid w:val="00482ECF"/>
    <w:rsid w:val="00483E45"/>
    <w:rsid w:val="00486535"/>
    <w:rsid w:val="00486EBD"/>
    <w:rsid w:val="004870AC"/>
    <w:rsid w:val="00487DF6"/>
    <w:rsid w:val="00490D1A"/>
    <w:rsid w:val="004910F5"/>
    <w:rsid w:val="00492D37"/>
    <w:rsid w:val="00492DE7"/>
    <w:rsid w:val="004936A0"/>
    <w:rsid w:val="0049453E"/>
    <w:rsid w:val="00494583"/>
    <w:rsid w:val="00494A32"/>
    <w:rsid w:val="00495111"/>
    <w:rsid w:val="00495665"/>
    <w:rsid w:val="00496824"/>
    <w:rsid w:val="0049718C"/>
    <w:rsid w:val="004975AB"/>
    <w:rsid w:val="004A0132"/>
    <w:rsid w:val="004A07DD"/>
    <w:rsid w:val="004A0FFB"/>
    <w:rsid w:val="004A189C"/>
    <w:rsid w:val="004A19C1"/>
    <w:rsid w:val="004A40D4"/>
    <w:rsid w:val="004A47DC"/>
    <w:rsid w:val="004A59F0"/>
    <w:rsid w:val="004B0C27"/>
    <w:rsid w:val="004B1BAC"/>
    <w:rsid w:val="004B214A"/>
    <w:rsid w:val="004B36C6"/>
    <w:rsid w:val="004B374F"/>
    <w:rsid w:val="004B3886"/>
    <w:rsid w:val="004B3CC4"/>
    <w:rsid w:val="004B3D16"/>
    <w:rsid w:val="004B4E4D"/>
    <w:rsid w:val="004B4EF5"/>
    <w:rsid w:val="004B56B9"/>
    <w:rsid w:val="004C048B"/>
    <w:rsid w:val="004C0BD0"/>
    <w:rsid w:val="004C1E3C"/>
    <w:rsid w:val="004C20CD"/>
    <w:rsid w:val="004C2FE6"/>
    <w:rsid w:val="004C32CA"/>
    <w:rsid w:val="004C4D25"/>
    <w:rsid w:val="004C77CE"/>
    <w:rsid w:val="004C7924"/>
    <w:rsid w:val="004D0BA0"/>
    <w:rsid w:val="004D2254"/>
    <w:rsid w:val="004D297B"/>
    <w:rsid w:val="004D43AB"/>
    <w:rsid w:val="004D58ED"/>
    <w:rsid w:val="004D6227"/>
    <w:rsid w:val="004D6B55"/>
    <w:rsid w:val="004D6DAC"/>
    <w:rsid w:val="004D754F"/>
    <w:rsid w:val="004D7D07"/>
    <w:rsid w:val="004E21E8"/>
    <w:rsid w:val="004E22CC"/>
    <w:rsid w:val="004E50D9"/>
    <w:rsid w:val="004F0CC8"/>
    <w:rsid w:val="004F33E7"/>
    <w:rsid w:val="004F3513"/>
    <w:rsid w:val="004F3901"/>
    <w:rsid w:val="004F3912"/>
    <w:rsid w:val="004F3ACC"/>
    <w:rsid w:val="004F5084"/>
    <w:rsid w:val="004F5454"/>
    <w:rsid w:val="004F57CA"/>
    <w:rsid w:val="004F5AC3"/>
    <w:rsid w:val="004F7E2C"/>
    <w:rsid w:val="00500787"/>
    <w:rsid w:val="00500F85"/>
    <w:rsid w:val="005041FD"/>
    <w:rsid w:val="0050443E"/>
    <w:rsid w:val="00504DBA"/>
    <w:rsid w:val="00505FDD"/>
    <w:rsid w:val="005072A7"/>
    <w:rsid w:val="00511AA7"/>
    <w:rsid w:val="00513D5E"/>
    <w:rsid w:val="00514AD4"/>
    <w:rsid w:val="0051500C"/>
    <w:rsid w:val="00515D47"/>
    <w:rsid w:val="00517D40"/>
    <w:rsid w:val="00521CDD"/>
    <w:rsid w:val="00522413"/>
    <w:rsid w:val="00526ABC"/>
    <w:rsid w:val="00527D91"/>
    <w:rsid w:val="00531910"/>
    <w:rsid w:val="00532A4A"/>
    <w:rsid w:val="0053363D"/>
    <w:rsid w:val="00534376"/>
    <w:rsid w:val="005362E7"/>
    <w:rsid w:val="00536EEF"/>
    <w:rsid w:val="00540E76"/>
    <w:rsid w:val="00541D61"/>
    <w:rsid w:val="0054238F"/>
    <w:rsid w:val="005423CA"/>
    <w:rsid w:val="0054247F"/>
    <w:rsid w:val="00542D00"/>
    <w:rsid w:val="00542EBB"/>
    <w:rsid w:val="00543522"/>
    <w:rsid w:val="005437A8"/>
    <w:rsid w:val="00543ACF"/>
    <w:rsid w:val="005445D3"/>
    <w:rsid w:val="00545C7C"/>
    <w:rsid w:val="00546BE2"/>
    <w:rsid w:val="005472D6"/>
    <w:rsid w:val="00547549"/>
    <w:rsid w:val="005476F9"/>
    <w:rsid w:val="005502A3"/>
    <w:rsid w:val="0055047B"/>
    <w:rsid w:val="0055080F"/>
    <w:rsid w:val="00550E6D"/>
    <w:rsid w:val="00552AAE"/>
    <w:rsid w:val="00553786"/>
    <w:rsid w:val="00554ABF"/>
    <w:rsid w:val="0055548F"/>
    <w:rsid w:val="0055573D"/>
    <w:rsid w:val="00557C9B"/>
    <w:rsid w:val="005617DD"/>
    <w:rsid w:val="0056345D"/>
    <w:rsid w:val="0056384E"/>
    <w:rsid w:val="00563A1F"/>
    <w:rsid w:val="00564FA5"/>
    <w:rsid w:val="00567847"/>
    <w:rsid w:val="00567F0C"/>
    <w:rsid w:val="00574140"/>
    <w:rsid w:val="005742CD"/>
    <w:rsid w:val="00574A23"/>
    <w:rsid w:val="00575325"/>
    <w:rsid w:val="00575832"/>
    <w:rsid w:val="00576C3E"/>
    <w:rsid w:val="00576DFA"/>
    <w:rsid w:val="005770F6"/>
    <w:rsid w:val="005775F4"/>
    <w:rsid w:val="005822EE"/>
    <w:rsid w:val="00584949"/>
    <w:rsid w:val="00586047"/>
    <w:rsid w:val="00587984"/>
    <w:rsid w:val="00587F41"/>
    <w:rsid w:val="00591B31"/>
    <w:rsid w:val="005923B4"/>
    <w:rsid w:val="005954B1"/>
    <w:rsid w:val="0059686F"/>
    <w:rsid w:val="005970D9"/>
    <w:rsid w:val="005A175D"/>
    <w:rsid w:val="005A35D2"/>
    <w:rsid w:val="005A49F1"/>
    <w:rsid w:val="005A4E26"/>
    <w:rsid w:val="005A4EFB"/>
    <w:rsid w:val="005A532B"/>
    <w:rsid w:val="005A53DE"/>
    <w:rsid w:val="005B002D"/>
    <w:rsid w:val="005B0B08"/>
    <w:rsid w:val="005B250B"/>
    <w:rsid w:val="005B2B3F"/>
    <w:rsid w:val="005B371E"/>
    <w:rsid w:val="005B45C5"/>
    <w:rsid w:val="005B706E"/>
    <w:rsid w:val="005C04FD"/>
    <w:rsid w:val="005C0E25"/>
    <w:rsid w:val="005C14C8"/>
    <w:rsid w:val="005C16D4"/>
    <w:rsid w:val="005C29E2"/>
    <w:rsid w:val="005C3856"/>
    <w:rsid w:val="005C481F"/>
    <w:rsid w:val="005C5A20"/>
    <w:rsid w:val="005C5F3A"/>
    <w:rsid w:val="005C665A"/>
    <w:rsid w:val="005C6DAB"/>
    <w:rsid w:val="005D20D4"/>
    <w:rsid w:val="005D2BE0"/>
    <w:rsid w:val="005D369D"/>
    <w:rsid w:val="005D4A0C"/>
    <w:rsid w:val="005D5D1D"/>
    <w:rsid w:val="005D6118"/>
    <w:rsid w:val="005D69A0"/>
    <w:rsid w:val="005D6C0F"/>
    <w:rsid w:val="005D73A7"/>
    <w:rsid w:val="005E28B7"/>
    <w:rsid w:val="005E31D2"/>
    <w:rsid w:val="005E5649"/>
    <w:rsid w:val="005E64EC"/>
    <w:rsid w:val="005E6EB5"/>
    <w:rsid w:val="005E7DB1"/>
    <w:rsid w:val="005E7E39"/>
    <w:rsid w:val="005F0CD2"/>
    <w:rsid w:val="005F111F"/>
    <w:rsid w:val="005F2321"/>
    <w:rsid w:val="005F42CD"/>
    <w:rsid w:val="005F4CA3"/>
    <w:rsid w:val="005F643E"/>
    <w:rsid w:val="005F72C9"/>
    <w:rsid w:val="005F77A7"/>
    <w:rsid w:val="005F7DED"/>
    <w:rsid w:val="006040D5"/>
    <w:rsid w:val="00604CE0"/>
    <w:rsid w:val="00605FAF"/>
    <w:rsid w:val="00606839"/>
    <w:rsid w:val="00607098"/>
    <w:rsid w:val="006070CC"/>
    <w:rsid w:val="00607B1D"/>
    <w:rsid w:val="00607B97"/>
    <w:rsid w:val="00610297"/>
    <w:rsid w:val="00610B51"/>
    <w:rsid w:val="006125D1"/>
    <w:rsid w:val="006130D0"/>
    <w:rsid w:val="00613A2F"/>
    <w:rsid w:val="00613EC9"/>
    <w:rsid w:val="00616DDD"/>
    <w:rsid w:val="0062128D"/>
    <w:rsid w:val="00621705"/>
    <w:rsid w:val="006241CB"/>
    <w:rsid w:val="006261ED"/>
    <w:rsid w:val="006265FB"/>
    <w:rsid w:val="0062744D"/>
    <w:rsid w:val="006305A6"/>
    <w:rsid w:val="006317C7"/>
    <w:rsid w:val="00631D83"/>
    <w:rsid w:val="00632B76"/>
    <w:rsid w:val="00633517"/>
    <w:rsid w:val="00633B8C"/>
    <w:rsid w:val="006359A7"/>
    <w:rsid w:val="00635A08"/>
    <w:rsid w:val="00635F7B"/>
    <w:rsid w:val="0063671B"/>
    <w:rsid w:val="00637D74"/>
    <w:rsid w:val="00641E56"/>
    <w:rsid w:val="00642B17"/>
    <w:rsid w:val="006435E3"/>
    <w:rsid w:val="006453F0"/>
    <w:rsid w:val="006509E7"/>
    <w:rsid w:val="006528FD"/>
    <w:rsid w:val="00653B89"/>
    <w:rsid w:val="00656214"/>
    <w:rsid w:val="006565DF"/>
    <w:rsid w:val="00660EF0"/>
    <w:rsid w:val="0066172F"/>
    <w:rsid w:val="0066180D"/>
    <w:rsid w:val="006618E0"/>
    <w:rsid w:val="00662942"/>
    <w:rsid w:val="00663F28"/>
    <w:rsid w:val="00667129"/>
    <w:rsid w:val="00671567"/>
    <w:rsid w:val="00673057"/>
    <w:rsid w:val="0067546C"/>
    <w:rsid w:val="00676BE7"/>
    <w:rsid w:val="00676D06"/>
    <w:rsid w:val="006771E0"/>
    <w:rsid w:val="00677EB6"/>
    <w:rsid w:val="006817E5"/>
    <w:rsid w:val="00683B8C"/>
    <w:rsid w:val="00684614"/>
    <w:rsid w:val="00684B1E"/>
    <w:rsid w:val="00684C5E"/>
    <w:rsid w:val="00684C7F"/>
    <w:rsid w:val="00685387"/>
    <w:rsid w:val="00685416"/>
    <w:rsid w:val="00686435"/>
    <w:rsid w:val="00686966"/>
    <w:rsid w:val="00691041"/>
    <w:rsid w:val="00691B6C"/>
    <w:rsid w:val="006933E1"/>
    <w:rsid w:val="006961C5"/>
    <w:rsid w:val="0069728F"/>
    <w:rsid w:val="00697351"/>
    <w:rsid w:val="006A240B"/>
    <w:rsid w:val="006A2552"/>
    <w:rsid w:val="006A2860"/>
    <w:rsid w:val="006A542B"/>
    <w:rsid w:val="006A7DFB"/>
    <w:rsid w:val="006A7EF9"/>
    <w:rsid w:val="006B0361"/>
    <w:rsid w:val="006B2122"/>
    <w:rsid w:val="006B2C5E"/>
    <w:rsid w:val="006B510B"/>
    <w:rsid w:val="006B7D96"/>
    <w:rsid w:val="006C05AE"/>
    <w:rsid w:val="006C0B32"/>
    <w:rsid w:val="006C0CE1"/>
    <w:rsid w:val="006C15F8"/>
    <w:rsid w:val="006C26CE"/>
    <w:rsid w:val="006C273F"/>
    <w:rsid w:val="006C428D"/>
    <w:rsid w:val="006C54EC"/>
    <w:rsid w:val="006C7791"/>
    <w:rsid w:val="006C7D90"/>
    <w:rsid w:val="006D165D"/>
    <w:rsid w:val="006D26D4"/>
    <w:rsid w:val="006D59AB"/>
    <w:rsid w:val="006E545C"/>
    <w:rsid w:val="006E6087"/>
    <w:rsid w:val="006E798D"/>
    <w:rsid w:val="006F093B"/>
    <w:rsid w:val="006F1B26"/>
    <w:rsid w:val="006F1BA6"/>
    <w:rsid w:val="006F2161"/>
    <w:rsid w:val="006F3793"/>
    <w:rsid w:val="006F3A34"/>
    <w:rsid w:val="006F5843"/>
    <w:rsid w:val="006F6131"/>
    <w:rsid w:val="006F6A5D"/>
    <w:rsid w:val="006F7AB2"/>
    <w:rsid w:val="007003B6"/>
    <w:rsid w:val="0070192D"/>
    <w:rsid w:val="00701C82"/>
    <w:rsid w:val="00705F62"/>
    <w:rsid w:val="00707C04"/>
    <w:rsid w:val="00710F63"/>
    <w:rsid w:val="00712BE3"/>
    <w:rsid w:val="007130EB"/>
    <w:rsid w:val="007149C0"/>
    <w:rsid w:val="00715F63"/>
    <w:rsid w:val="007161F8"/>
    <w:rsid w:val="007169E7"/>
    <w:rsid w:val="007176DF"/>
    <w:rsid w:val="0071776D"/>
    <w:rsid w:val="00720432"/>
    <w:rsid w:val="00722420"/>
    <w:rsid w:val="00722CBD"/>
    <w:rsid w:val="00723244"/>
    <w:rsid w:val="00723D88"/>
    <w:rsid w:val="007254B5"/>
    <w:rsid w:val="0072680C"/>
    <w:rsid w:val="00726A91"/>
    <w:rsid w:val="00726D97"/>
    <w:rsid w:val="00727841"/>
    <w:rsid w:val="0073001B"/>
    <w:rsid w:val="007308DF"/>
    <w:rsid w:val="00730A46"/>
    <w:rsid w:val="007313C5"/>
    <w:rsid w:val="00733F51"/>
    <w:rsid w:val="00735AAE"/>
    <w:rsid w:val="00735D89"/>
    <w:rsid w:val="007360E3"/>
    <w:rsid w:val="00736E44"/>
    <w:rsid w:val="007372C6"/>
    <w:rsid w:val="00737EF1"/>
    <w:rsid w:val="00743494"/>
    <w:rsid w:val="00744148"/>
    <w:rsid w:val="007452D8"/>
    <w:rsid w:val="0074570A"/>
    <w:rsid w:val="00745CA0"/>
    <w:rsid w:val="00747561"/>
    <w:rsid w:val="00747584"/>
    <w:rsid w:val="0074776F"/>
    <w:rsid w:val="00747DEE"/>
    <w:rsid w:val="007500FD"/>
    <w:rsid w:val="007503E6"/>
    <w:rsid w:val="00752341"/>
    <w:rsid w:val="007527FA"/>
    <w:rsid w:val="007531CE"/>
    <w:rsid w:val="00755521"/>
    <w:rsid w:val="00760E05"/>
    <w:rsid w:val="007611C3"/>
    <w:rsid w:val="00761464"/>
    <w:rsid w:val="00761571"/>
    <w:rsid w:val="007616B0"/>
    <w:rsid w:val="007628B1"/>
    <w:rsid w:val="007636FE"/>
    <w:rsid w:val="0076436A"/>
    <w:rsid w:val="00764614"/>
    <w:rsid w:val="0076577B"/>
    <w:rsid w:val="0076774E"/>
    <w:rsid w:val="007729C0"/>
    <w:rsid w:val="00772D1F"/>
    <w:rsid w:val="00774B53"/>
    <w:rsid w:val="00775EE7"/>
    <w:rsid w:val="00777AD0"/>
    <w:rsid w:val="00780647"/>
    <w:rsid w:val="00783069"/>
    <w:rsid w:val="00783151"/>
    <w:rsid w:val="00786688"/>
    <w:rsid w:val="00786D8A"/>
    <w:rsid w:val="00790C87"/>
    <w:rsid w:val="00790FE3"/>
    <w:rsid w:val="00792F2E"/>
    <w:rsid w:val="0079342A"/>
    <w:rsid w:val="00793471"/>
    <w:rsid w:val="00794739"/>
    <w:rsid w:val="00794A0D"/>
    <w:rsid w:val="007956EB"/>
    <w:rsid w:val="00795CBF"/>
    <w:rsid w:val="007A0C7B"/>
    <w:rsid w:val="007A1199"/>
    <w:rsid w:val="007A148A"/>
    <w:rsid w:val="007A159C"/>
    <w:rsid w:val="007A19EA"/>
    <w:rsid w:val="007A408C"/>
    <w:rsid w:val="007A42A9"/>
    <w:rsid w:val="007A47DC"/>
    <w:rsid w:val="007A696E"/>
    <w:rsid w:val="007A74FA"/>
    <w:rsid w:val="007B0840"/>
    <w:rsid w:val="007B0C84"/>
    <w:rsid w:val="007B1051"/>
    <w:rsid w:val="007B1C95"/>
    <w:rsid w:val="007B1CA9"/>
    <w:rsid w:val="007B470D"/>
    <w:rsid w:val="007B53A4"/>
    <w:rsid w:val="007B540D"/>
    <w:rsid w:val="007B584B"/>
    <w:rsid w:val="007B5FBA"/>
    <w:rsid w:val="007B718B"/>
    <w:rsid w:val="007B77B2"/>
    <w:rsid w:val="007B7EA4"/>
    <w:rsid w:val="007C0F4A"/>
    <w:rsid w:val="007C21AE"/>
    <w:rsid w:val="007C240D"/>
    <w:rsid w:val="007C27F3"/>
    <w:rsid w:val="007C297F"/>
    <w:rsid w:val="007C2EB4"/>
    <w:rsid w:val="007C2FB6"/>
    <w:rsid w:val="007C3A8F"/>
    <w:rsid w:val="007C3EAA"/>
    <w:rsid w:val="007C55AD"/>
    <w:rsid w:val="007C5B00"/>
    <w:rsid w:val="007C6263"/>
    <w:rsid w:val="007C787C"/>
    <w:rsid w:val="007D0BB8"/>
    <w:rsid w:val="007D0E87"/>
    <w:rsid w:val="007D2702"/>
    <w:rsid w:val="007D2ABE"/>
    <w:rsid w:val="007D2C2C"/>
    <w:rsid w:val="007D3E5B"/>
    <w:rsid w:val="007D4C58"/>
    <w:rsid w:val="007D4D04"/>
    <w:rsid w:val="007D5128"/>
    <w:rsid w:val="007D69CF"/>
    <w:rsid w:val="007D76B2"/>
    <w:rsid w:val="007E06DF"/>
    <w:rsid w:val="007E267A"/>
    <w:rsid w:val="007E3C6B"/>
    <w:rsid w:val="007E47C3"/>
    <w:rsid w:val="007E4B63"/>
    <w:rsid w:val="007E594B"/>
    <w:rsid w:val="007E6993"/>
    <w:rsid w:val="007E7627"/>
    <w:rsid w:val="007E78EE"/>
    <w:rsid w:val="007E7EA7"/>
    <w:rsid w:val="007F2CD5"/>
    <w:rsid w:val="007F3698"/>
    <w:rsid w:val="007F3C01"/>
    <w:rsid w:val="007F3DC5"/>
    <w:rsid w:val="007F3EB4"/>
    <w:rsid w:val="007F47EA"/>
    <w:rsid w:val="00800652"/>
    <w:rsid w:val="0080116F"/>
    <w:rsid w:val="008020FF"/>
    <w:rsid w:val="00807AB8"/>
    <w:rsid w:val="00807CF4"/>
    <w:rsid w:val="00810187"/>
    <w:rsid w:val="0081020F"/>
    <w:rsid w:val="008105D8"/>
    <w:rsid w:val="00812905"/>
    <w:rsid w:val="00812F04"/>
    <w:rsid w:val="00813F0B"/>
    <w:rsid w:val="00816932"/>
    <w:rsid w:val="00816939"/>
    <w:rsid w:val="00817F83"/>
    <w:rsid w:val="0082013D"/>
    <w:rsid w:val="0082056F"/>
    <w:rsid w:val="00821071"/>
    <w:rsid w:val="00821E64"/>
    <w:rsid w:val="0082308A"/>
    <w:rsid w:val="00823D90"/>
    <w:rsid w:val="00824D43"/>
    <w:rsid w:val="008251EC"/>
    <w:rsid w:val="00830B89"/>
    <w:rsid w:val="00832846"/>
    <w:rsid w:val="00832D33"/>
    <w:rsid w:val="00832F24"/>
    <w:rsid w:val="00833CE3"/>
    <w:rsid w:val="00835AB8"/>
    <w:rsid w:val="00835B0B"/>
    <w:rsid w:val="00837118"/>
    <w:rsid w:val="00844220"/>
    <w:rsid w:val="00847885"/>
    <w:rsid w:val="00852045"/>
    <w:rsid w:val="008527DF"/>
    <w:rsid w:val="00853D16"/>
    <w:rsid w:val="00854039"/>
    <w:rsid w:val="00860300"/>
    <w:rsid w:val="00860559"/>
    <w:rsid w:val="008613B3"/>
    <w:rsid w:val="00864D40"/>
    <w:rsid w:val="008653A8"/>
    <w:rsid w:val="0086647D"/>
    <w:rsid w:val="00867D03"/>
    <w:rsid w:val="0087127A"/>
    <w:rsid w:val="008713AC"/>
    <w:rsid w:val="00871574"/>
    <w:rsid w:val="008716EB"/>
    <w:rsid w:val="00871A8E"/>
    <w:rsid w:val="00873018"/>
    <w:rsid w:val="00873876"/>
    <w:rsid w:val="00874FFB"/>
    <w:rsid w:val="00875CDE"/>
    <w:rsid w:val="00876BB1"/>
    <w:rsid w:val="00885FCE"/>
    <w:rsid w:val="00886F51"/>
    <w:rsid w:val="008873E7"/>
    <w:rsid w:val="00890BAE"/>
    <w:rsid w:val="00890C96"/>
    <w:rsid w:val="00895154"/>
    <w:rsid w:val="00895168"/>
    <w:rsid w:val="00895B4C"/>
    <w:rsid w:val="008A00C0"/>
    <w:rsid w:val="008A11E4"/>
    <w:rsid w:val="008A1301"/>
    <w:rsid w:val="008A3BF8"/>
    <w:rsid w:val="008A4942"/>
    <w:rsid w:val="008B121F"/>
    <w:rsid w:val="008B2D38"/>
    <w:rsid w:val="008B3125"/>
    <w:rsid w:val="008B3E29"/>
    <w:rsid w:val="008B4802"/>
    <w:rsid w:val="008B529E"/>
    <w:rsid w:val="008B576B"/>
    <w:rsid w:val="008B57DA"/>
    <w:rsid w:val="008B5909"/>
    <w:rsid w:val="008B7A1A"/>
    <w:rsid w:val="008C136D"/>
    <w:rsid w:val="008C333D"/>
    <w:rsid w:val="008C4F78"/>
    <w:rsid w:val="008C57EE"/>
    <w:rsid w:val="008C592E"/>
    <w:rsid w:val="008C69C3"/>
    <w:rsid w:val="008D087C"/>
    <w:rsid w:val="008D0F26"/>
    <w:rsid w:val="008D2543"/>
    <w:rsid w:val="008D254F"/>
    <w:rsid w:val="008D3130"/>
    <w:rsid w:val="008D3C24"/>
    <w:rsid w:val="008D6458"/>
    <w:rsid w:val="008E074A"/>
    <w:rsid w:val="008E0A60"/>
    <w:rsid w:val="008E145C"/>
    <w:rsid w:val="008E32A6"/>
    <w:rsid w:val="008E3C8D"/>
    <w:rsid w:val="008E470E"/>
    <w:rsid w:val="008E64CA"/>
    <w:rsid w:val="008E7399"/>
    <w:rsid w:val="008F0899"/>
    <w:rsid w:val="008F0D85"/>
    <w:rsid w:val="008F2771"/>
    <w:rsid w:val="008F2C0E"/>
    <w:rsid w:val="008F3B76"/>
    <w:rsid w:val="008F3D70"/>
    <w:rsid w:val="008F415A"/>
    <w:rsid w:val="008F646F"/>
    <w:rsid w:val="009005D4"/>
    <w:rsid w:val="0090118C"/>
    <w:rsid w:val="00901B57"/>
    <w:rsid w:val="00901FF2"/>
    <w:rsid w:val="0090264C"/>
    <w:rsid w:val="009029F8"/>
    <w:rsid w:val="00904767"/>
    <w:rsid w:val="00904905"/>
    <w:rsid w:val="00905DF5"/>
    <w:rsid w:val="009077FE"/>
    <w:rsid w:val="00907FE0"/>
    <w:rsid w:val="00912C29"/>
    <w:rsid w:val="00913D00"/>
    <w:rsid w:val="00914B14"/>
    <w:rsid w:val="0091520E"/>
    <w:rsid w:val="00916391"/>
    <w:rsid w:val="00916F1B"/>
    <w:rsid w:val="00917132"/>
    <w:rsid w:val="0091750D"/>
    <w:rsid w:val="00924D39"/>
    <w:rsid w:val="0092500E"/>
    <w:rsid w:val="00925D4F"/>
    <w:rsid w:val="00926C27"/>
    <w:rsid w:val="00927C82"/>
    <w:rsid w:val="00932A5E"/>
    <w:rsid w:val="00933780"/>
    <w:rsid w:val="00934336"/>
    <w:rsid w:val="0093434F"/>
    <w:rsid w:val="00936232"/>
    <w:rsid w:val="00936BAA"/>
    <w:rsid w:val="00941544"/>
    <w:rsid w:val="00943630"/>
    <w:rsid w:val="009450AA"/>
    <w:rsid w:val="00945A3B"/>
    <w:rsid w:val="00955C51"/>
    <w:rsid w:val="00956071"/>
    <w:rsid w:val="0095608F"/>
    <w:rsid w:val="009562AA"/>
    <w:rsid w:val="00956C80"/>
    <w:rsid w:val="0095765A"/>
    <w:rsid w:val="0096032C"/>
    <w:rsid w:val="009607F5"/>
    <w:rsid w:val="00960E67"/>
    <w:rsid w:val="0096183B"/>
    <w:rsid w:val="00961E12"/>
    <w:rsid w:val="0096205B"/>
    <w:rsid w:val="0096219B"/>
    <w:rsid w:val="00962361"/>
    <w:rsid w:val="00963FFC"/>
    <w:rsid w:val="00964129"/>
    <w:rsid w:val="00964C10"/>
    <w:rsid w:val="0096557C"/>
    <w:rsid w:val="00965EC6"/>
    <w:rsid w:val="00966A2A"/>
    <w:rsid w:val="00970255"/>
    <w:rsid w:val="00970543"/>
    <w:rsid w:val="00970CFE"/>
    <w:rsid w:val="00972933"/>
    <w:rsid w:val="00972D2C"/>
    <w:rsid w:val="009730DD"/>
    <w:rsid w:val="00976001"/>
    <w:rsid w:val="009764D1"/>
    <w:rsid w:val="009765DD"/>
    <w:rsid w:val="00980991"/>
    <w:rsid w:val="009811ED"/>
    <w:rsid w:val="009818C6"/>
    <w:rsid w:val="0098294D"/>
    <w:rsid w:val="00987CEA"/>
    <w:rsid w:val="00990028"/>
    <w:rsid w:val="0099092D"/>
    <w:rsid w:val="0099108D"/>
    <w:rsid w:val="00992E5D"/>
    <w:rsid w:val="00993C11"/>
    <w:rsid w:val="009959A7"/>
    <w:rsid w:val="0099663E"/>
    <w:rsid w:val="009967B9"/>
    <w:rsid w:val="00997205"/>
    <w:rsid w:val="009978F9"/>
    <w:rsid w:val="00997D4F"/>
    <w:rsid w:val="009A00D6"/>
    <w:rsid w:val="009A11E4"/>
    <w:rsid w:val="009A1293"/>
    <w:rsid w:val="009A42DF"/>
    <w:rsid w:val="009A4646"/>
    <w:rsid w:val="009A4702"/>
    <w:rsid w:val="009A4E37"/>
    <w:rsid w:val="009A4EC3"/>
    <w:rsid w:val="009A5B0D"/>
    <w:rsid w:val="009A6DC4"/>
    <w:rsid w:val="009B11B1"/>
    <w:rsid w:val="009B270C"/>
    <w:rsid w:val="009B2AB5"/>
    <w:rsid w:val="009B2FEC"/>
    <w:rsid w:val="009B4C1F"/>
    <w:rsid w:val="009B4D10"/>
    <w:rsid w:val="009B7E01"/>
    <w:rsid w:val="009C0BD3"/>
    <w:rsid w:val="009C0FC7"/>
    <w:rsid w:val="009C2499"/>
    <w:rsid w:val="009C25D9"/>
    <w:rsid w:val="009C2B8B"/>
    <w:rsid w:val="009C2F94"/>
    <w:rsid w:val="009C4602"/>
    <w:rsid w:val="009C4821"/>
    <w:rsid w:val="009C6ECB"/>
    <w:rsid w:val="009D1B45"/>
    <w:rsid w:val="009D1FED"/>
    <w:rsid w:val="009D23B3"/>
    <w:rsid w:val="009D355C"/>
    <w:rsid w:val="009D370B"/>
    <w:rsid w:val="009D4971"/>
    <w:rsid w:val="009D6BA1"/>
    <w:rsid w:val="009D7655"/>
    <w:rsid w:val="009D78F0"/>
    <w:rsid w:val="009E004B"/>
    <w:rsid w:val="009E18B9"/>
    <w:rsid w:val="009E32A8"/>
    <w:rsid w:val="009E33B4"/>
    <w:rsid w:val="009E35FD"/>
    <w:rsid w:val="009E3B5F"/>
    <w:rsid w:val="009E4523"/>
    <w:rsid w:val="009E5F1F"/>
    <w:rsid w:val="009E6319"/>
    <w:rsid w:val="009F0CBF"/>
    <w:rsid w:val="009F1800"/>
    <w:rsid w:val="009F1E86"/>
    <w:rsid w:val="009F1ED9"/>
    <w:rsid w:val="009F2767"/>
    <w:rsid w:val="009F2C16"/>
    <w:rsid w:val="009F3264"/>
    <w:rsid w:val="009F4C29"/>
    <w:rsid w:val="009F76D3"/>
    <w:rsid w:val="00A00173"/>
    <w:rsid w:val="00A01F95"/>
    <w:rsid w:val="00A028CE"/>
    <w:rsid w:val="00A02AEE"/>
    <w:rsid w:val="00A03BCC"/>
    <w:rsid w:val="00A0489D"/>
    <w:rsid w:val="00A055F8"/>
    <w:rsid w:val="00A0592D"/>
    <w:rsid w:val="00A07844"/>
    <w:rsid w:val="00A109F5"/>
    <w:rsid w:val="00A10DB1"/>
    <w:rsid w:val="00A11C28"/>
    <w:rsid w:val="00A13DBF"/>
    <w:rsid w:val="00A13E36"/>
    <w:rsid w:val="00A14A96"/>
    <w:rsid w:val="00A14C6B"/>
    <w:rsid w:val="00A15D35"/>
    <w:rsid w:val="00A16B2F"/>
    <w:rsid w:val="00A17679"/>
    <w:rsid w:val="00A20901"/>
    <w:rsid w:val="00A20999"/>
    <w:rsid w:val="00A20C1E"/>
    <w:rsid w:val="00A21FD0"/>
    <w:rsid w:val="00A23B62"/>
    <w:rsid w:val="00A2440B"/>
    <w:rsid w:val="00A25495"/>
    <w:rsid w:val="00A25957"/>
    <w:rsid w:val="00A26F1E"/>
    <w:rsid w:val="00A272EA"/>
    <w:rsid w:val="00A27BBD"/>
    <w:rsid w:val="00A27E48"/>
    <w:rsid w:val="00A30CB1"/>
    <w:rsid w:val="00A310A9"/>
    <w:rsid w:val="00A32B22"/>
    <w:rsid w:val="00A35428"/>
    <w:rsid w:val="00A35DEF"/>
    <w:rsid w:val="00A36082"/>
    <w:rsid w:val="00A3695C"/>
    <w:rsid w:val="00A40386"/>
    <w:rsid w:val="00A41BC1"/>
    <w:rsid w:val="00A42C38"/>
    <w:rsid w:val="00A42E05"/>
    <w:rsid w:val="00A438CC"/>
    <w:rsid w:val="00A440EE"/>
    <w:rsid w:val="00A441F6"/>
    <w:rsid w:val="00A454F5"/>
    <w:rsid w:val="00A45AF3"/>
    <w:rsid w:val="00A45F38"/>
    <w:rsid w:val="00A466CD"/>
    <w:rsid w:val="00A46820"/>
    <w:rsid w:val="00A46DD5"/>
    <w:rsid w:val="00A46EB5"/>
    <w:rsid w:val="00A51111"/>
    <w:rsid w:val="00A53EDB"/>
    <w:rsid w:val="00A556DF"/>
    <w:rsid w:val="00A565CB"/>
    <w:rsid w:val="00A56AB9"/>
    <w:rsid w:val="00A57FB2"/>
    <w:rsid w:val="00A61060"/>
    <w:rsid w:val="00A61C6D"/>
    <w:rsid w:val="00A622DF"/>
    <w:rsid w:val="00A626BE"/>
    <w:rsid w:val="00A644EC"/>
    <w:rsid w:val="00A649CF"/>
    <w:rsid w:val="00A66278"/>
    <w:rsid w:val="00A663AB"/>
    <w:rsid w:val="00A67CF2"/>
    <w:rsid w:val="00A70CB1"/>
    <w:rsid w:val="00A81361"/>
    <w:rsid w:val="00A8198D"/>
    <w:rsid w:val="00A81DCA"/>
    <w:rsid w:val="00A824BD"/>
    <w:rsid w:val="00A82860"/>
    <w:rsid w:val="00A833A4"/>
    <w:rsid w:val="00A858C8"/>
    <w:rsid w:val="00A8611A"/>
    <w:rsid w:val="00A874D9"/>
    <w:rsid w:val="00A909E3"/>
    <w:rsid w:val="00A9125D"/>
    <w:rsid w:val="00A92697"/>
    <w:rsid w:val="00A928AA"/>
    <w:rsid w:val="00A92FD7"/>
    <w:rsid w:val="00A94472"/>
    <w:rsid w:val="00A94AE1"/>
    <w:rsid w:val="00A95AA4"/>
    <w:rsid w:val="00A95E3E"/>
    <w:rsid w:val="00A96D6B"/>
    <w:rsid w:val="00A96DE5"/>
    <w:rsid w:val="00A96EF7"/>
    <w:rsid w:val="00A96FEA"/>
    <w:rsid w:val="00A97A7E"/>
    <w:rsid w:val="00A97B11"/>
    <w:rsid w:val="00A97F4E"/>
    <w:rsid w:val="00AA0B66"/>
    <w:rsid w:val="00AA1FD6"/>
    <w:rsid w:val="00AA216F"/>
    <w:rsid w:val="00AA3A73"/>
    <w:rsid w:val="00AA43B6"/>
    <w:rsid w:val="00AA4D1B"/>
    <w:rsid w:val="00AA5175"/>
    <w:rsid w:val="00AA570A"/>
    <w:rsid w:val="00AA5C80"/>
    <w:rsid w:val="00AA7BE1"/>
    <w:rsid w:val="00AB39C7"/>
    <w:rsid w:val="00AB4F16"/>
    <w:rsid w:val="00AB5723"/>
    <w:rsid w:val="00AC0357"/>
    <w:rsid w:val="00AC0C56"/>
    <w:rsid w:val="00AC0C7B"/>
    <w:rsid w:val="00AC438E"/>
    <w:rsid w:val="00AC52C6"/>
    <w:rsid w:val="00AC57FC"/>
    <w:rsid w:val="00AC629E"/>
    <w:rsid w:val="00AC7CDD"/>
    <w:rsid w:val="00AD0668"/>
    <w:rsid w:val="00AD1A56"/>
    <w:rsid w:val="00AD3823"/>
    <w:rsid w:val="00AD3B0F"/>
    <w:rsid w:val="00AD3C69"/>
    <w:rsid w:val="00AD3F58"/>
    <w:rsid w:val="00AD47B8"/>
    <w:rsid w:val="00AD5B25"/>
    <w:rsid w:val="00AD6461"/>
    <w:rsid w:val="00AE136F"/>
    <w:rsid w:val="00AE14DE"/>
    <w:rsid w:val="00AE17F2"/>
    <w:rsid w:val="00AE2710"/>
    <w:rsid w:val="00AE31ED"/>
    <w:rsid w:val="00AE3CE3"/>
    <w:rsid w:val="00AE54E5"/>
    <w:rsid w:val="00AE6938"/>
    <w:rsid w:val="00AE7219"/>
    <w:rsid w:val="00AE7A1C"/>
    <w:rsid w:val="00AF004F"/>
    <w:rsid w:val="00AF2A03"/>
    <w:rsid w:val="00AF31C9"/>
    <w:rsid w:val="00AF50E1"/>
    <w:rsid w:val="00AF5181"/>
    <w:rsid w:val="00AF5714"/>
    <w:rsid w:val="00AF5C14"/>
    <w:rsid w:val="00AF7F45"/>
    <w:rsid w:val="00B00BBD"/>
    <w:rsid w:val="00B022AB"/>
    <w:rsid w:val="00B02B43"/>
    <w:rsid w:val="00B030C5"/>
    <w:rsid w:val="00B04304"/>
    <w:rsid w:val="00B0499E"/>
    <w:rsid w:val="00B070AA"/>
    <w:rsid w:val="00B07F72"/>
    <w:rsid w:val="00B110D9"/>
    <w:rsid w:val="00B1187B"/>
    <w:rsid w:val="00B12025"/>
    <w:rsid w:val="00B1245E"/>
    <w:rsid w:val="00B13257"/>
    <w:rsid w:val="00B134F1"/>
    <w:rsid w:val="00B14AF4"/>
    <w:rsid w:val="00B15AF5"/>
    <w:rsid w:val="00B15BD1"/>
    <w:rsid w:val="00B1795E"/>
    <w:rsid w:val="00B17D5B"/>
    <w:rsid w:val="00B2196A"/>
    <w:rsid w:val="00B24A68"/>
    <w:rsid w:val="00B26377"/>
    <w:rsid w:val="00B266E4"/>
    <w:rsid w:val="00B2719D"/>
    <w:rsid w:val="00B277FF"/>
    <w:rsid w:val="00B27A2C"/>
    <w:rsid w:val="00B27DA1"/>
    <w:rsid w:val="00B322F6"/>
    <w:rsid w:val="00B3239B"/>
    <w:rsid w:val="00B327D6"/>
    <w:rsid w:val="00B3462A"/>
    <w:rsid w:val="00B34C91"/>
    <w:rsid w:val="00B36619"/>
    <w:rsid w:val="00B369EA"/>
    <w:rsid w:val="00B42D09"/>
    <w:rsid w:val="00B43AF0"/>
    <w:rsid w:val="00B47043"/>
    <w:rsid w:val="00B52E3A"/>
    <w:rsid w:val="00B540D0"/>
    <w:rsid w:val="00B54A2F"/>
    <w:rsid w:val="00B54EE0"/>
    <w:rsid w:val="00B55E23"/>
    <w:rsid w:val="00B5626C"/>
    <w:rsid w:val="00B56471"/>
    <w:rsid w:val="00B56E62"/>
    <w:rsid w:val="00B579CB"/>
    <w:rsid w:val="00B60731"/>
    <w:rsid w:val="00B6398A"/>
    <w:rsid w:val="00B659DC"/>
    <w:rsid w:val="00B66127"/>
    <w:rsid w:val="00B6750C"/>
    <w:rsid w:val="00B713A4"/>
    <w:rsid w:val="00B72769"/>
    <w:rsid w:val="00B72D5E"/>
    <w:rsid w:val="00B74425"/>
    <w:rsid w:val="00B771EB"/>
    <w:rsid w:val="00B817D8"/>
    <w:rsid w:val="00B8196D"/>
    <w:rsid w:val="00B824AD"/>
    <w:rsid w:val="00B84561"/>
    <w:rsid w:val="00B84C39"/>
    <w:rsid w:val="00B865B9"/>
    <w:rsid w:val="00B90565"/>
    <w:rsid w:val="00B909B2"/>
    <w:rsid w:val="00B914A2"/>
    <w:rsid w:val="00B92063"/>
    <w:rsid w:val="00B92169"/>
    <w:rsid w:val="00B926BC"/>
    <w:rsid w:val="00B941FC"/>
    <w:rsid w:val="00B94777"/>
    <w:rsid w:val="00B97BF1"/>
    <w:rsid w:val="00BA40C8"/>
    <w:rsid w:val="00BA53E6"/>
    <w:rsid w:val="00BA5F95"/>
    <w:rsid w:val="00BA7EA0"/>
    <w:rsid w:val="00BB0289"/>
    <w:rsid w:val="00BB0B30"/>
    <w:rsid w:val="00BB1020"/>
    <w:rsid w:val="00BB2B5B"/>
    <w:rsid w:val="00BB31B2"/>
    <w:rsid w:val="00BB3609"/>
    <w:rsid w:val="00BB7F92"/>
    <w:rsid w:val="00BC09BE"/>
    <w:rsid w:val="00BC171A"/>
    <w:rsid w:val="00BC20A6"/>
    <w:rsid w:val="00BC3E2A"/>
    <w:rsid w:val="00BC4E73"/>
    <w:rsid w:val="00BC4F08"/>
    <w:rsid w:val="00BC5F80"/>
    <w:rsid w:val="00BC70D4"/>
    <w:rsid w:val="00BC7EB6"/>
    <w:rsid w:val="00BD1354"/>
    <w:rsid w:val="00BD1AAB"/>
    <w:rsid w:val="00BD1F98"/>
    <w:rsid w:val="00BD2192"/>
    <w:rsid w:val="00BD2F7B"/>
    <w:rsid w:val="00BD4796"/>
    <w:rsid w:val="00BD4F19"/>
    <w:rsid w:val="00BD518A"/>
    <w:rsid w:val="00BD67FE"/>
    <w:rsid w:val="00BD7C50"/>
    <w:rsid w:val="00BD7E05"/>
    <w:rsid w:val="00BE0051"/>
    <w:rsid w:val="00BE1DE9"/>
    <w:rsid w:val="00BE3045"/>
    <w:rsid w:val="00BE3956"/>
    <w:rsid w:val="00BE3D93"/>
    <w:rsid w:val="00BE3E61"/>
    <w:rsid w:val="00BF06F7"/>
    <w:rsid w:val="00BF0D70"/>
    <w:rsid w:val="00BF1560"/>
    <w:rsid w:val="00BF16B9"/>
    <w:rsid w:val="00BF1FBD"/>
    <w:rsid w:val="00BF4464"/>
    <w:rsid w:val="00BF4553"/>
    <w:rsid w:val="00BF486C"/>
    <w:rsid w:val="00BF5B33"/>
    <w:rsid w:val="00BF5FEC"/>
    <w:rsid w:val="00BF60E5"/>
    <w:rsid w:val="00BF736D"/>
    <w:rsid w:val="00BF74EE"/>
    <w:rsid w:val="00C00A7E"/>
    <w:rsid w:val="00C01A7C"/>
    <w:rsid w:val="00C02306"/>
    <w:rsid w:val="00C0268A"/>
    <w:rsid w:val="00C0270B"/>
    <w:rsid w:val="00C05892"/>
    <w:rsid w:val="00C0634E"/>
    <w:rsid w:val="00C07667"/>
    <w:rsid w:val="00C1148E"/>
    <w:rsid w:val="00C167DD"/>
    <w:rsid w:val="00C169A4"/>
    <w:rsid w:val="00C169C0"/>
    <w:rsid w:val="00C20029"/>
    <w:rsid w:val="00C21455"/>
    <w:rsid w:val="00C2218E"/>
    <w:rsid w:val="00C23020"/>
    <w:rsid w:val="00C2382C"/>
    <w:rsid w:val="00C252F4"/>
    <w:rsid w:val="00C25AB4"/>
    <w:rsid w:val="00C25EE9"/>
    <w:rsid w:val="00C3065C"/>
    <w:rsid w:val="00C31791"/>
    <w:rsid w:val="00C33115"/>
    <w:rsid w:val="00C34D36"/>
    <w:rsid w:val="00C34DA8"/>
    <w:rsid w:val="00C353C5"/>
    <w:rsid w:val="00C35541"/>
    <w:rsid w:val="00C419FC"/>
    <w:rsid w:val="00C44D45"/>
    <w:rsid w:val="00C45984"/>
    <w:rsid w:val="00C52DE0"/>
    <w:rsid w:val="00C53328"/>
    <w:rsid w:val="00C53879"/>
    <w:rsid w:val="00C54852"/>
    <w:rsid w:val="00C55BA1"/>
    <w:rsid w:val="00C55D54"/>
    <w:rsid w:val="00C563F3"/>
    <w:rsid w:val="00C604F9"/>
    <w:rsid w:val="00C60939"/>
    <w:rsid w:val="00C60F8D"/>
    <w:rsid w:val="00C61264"/>
    <w:rsid w:val="00C612E0"/>
    <w:rsid w:val="00C61D51"/>
    <w:rsid w:val="00C633A5"/>
    <w:rsid w:val="00C64FA2"/>
    <w:rsid w:val="00C67416"/>
    <w:rsid w:val="00C67990"/>
    <w:rsid w:val="00C714BC"/>
    <w:rsid w:val="00C73750"/>
    <w:rsid w:val="00C73A8D"/>
    <w:rsid w:val="00C74298"/>
    <w:rsid w:val="00C76AE2"/>
    <w:rsid w:val="00C7739E"/>
    <w:rsid w:val="00C8015D"/>
    <w:rsid w:val="00C8057F"/>
    <w:rsid w:val="00C81C5F"/>
    <w:rsid w:val="00C82750"/>
    <w:rsid w:val="00C82EE4"/>
    <w:rsid w:val="00C833EE"/>
    <w:rsid w:val="00C86C21"/>
    <w:rsid w:val="00C90AAC"/>
    <w:rsid w:val="00C90F1E"/>
    <w:rsid w:val="00C91C67"/>
    <w:rsid w:val="00C920BD"/>
    <w:rsid w:val="00C93549"/>
    <w:rsid w:val="00C9369E"/>
    <w:rsid w:val="00C94625"/>
    <w:rsid w:val="00C949E2"/>
    <w:rsid w:val="00C950EB"/>
    <w:rsid w:val="00C9539B"/>
    <w:rsid w:val="00C973D5"/>
    <w:rsid w:val="00C973E8"/>
    <w:rsid w:val="00C978E4"/>
    <w:rsid w:val="00CA25D0"/>
    <w:rsid w:val="00CA272D"/>
    <w:rsid w:val="00CA2E8B"/>
    <w:rsid w:val="00CA36DB"/>
    <w:rsid w:val="00CA4DAE"/>
    <w:rsid w:val="00CA5981"/>
    <w:rsid w:val="00CA6139"/>
    <w:rsid w:val="00CA7B58"/>
    <w:rsid w:val="00CA7F22"/>
    <w:rsid w:val="00CB0418"/>
    <w:rsid w:val="00CB0AF8"/>
    <w:rsid w:val="00CB1FF8"/>
    <w:rsid w:val="00CB3091"/>
    <w:rsid w:val="00CB3AFF"/>
    <w:rsid w:val="00CB4138"/>
    <w:rsid w:val="00CB4F27"/>
    <w:rsid w:val="00CB4FAB"/>
    <w:rsid w:val="00CB5944"/>
    <w:rsid w:val="00CB5D49"/>
    <w:rsid w:val="00CB6A59"/>
    <w:rsid w:val="00CC03D3"/>
    <w:rsid w:val="00CC0C79"/>
    <w:rsid w:val="00CC151A"/>
    <w:rsid w:val="00CC20E1"/>
    <w:rsid w:val="00CC2A06"/>
    <w:rsid w:val="00CC37D3"/>
    <w:rsid w:val="00CC3C00"/>
    <w:rsid w:val="00CC4764"/>
    <w:rsid w:val="00CC4E7D"/>
    <w:rsid w:val="00CC7E92"/>
    <w:rsid w:val="00CD267F"/>
    <w:rsid w:val="00CD2CDD"/>
    <w:rsid w:val="00CD408A"/>
    <w:rsid w:val="00CD4615"/>
    <w:rsid w:val="00CD634E"/>
    <w:rsid w:val="00CD7EAD"/>
    <w:rsid w:val="00CE1FCA"/>
    <w:rsid w:val="00CE4C7A"/>
    <w:rsid w:val="00CE51A5"/>
    <w:rsid w:val="00CE5BBF"/>
    <w:rsid w:val="00CE6216"/>
    <w:rsid w:val="00CE770A"/>
    <w:rsid w:val="00CE7923"/>
    <w:rsid w:val="00CE7FAE"/>
    <w:rsid w:val="00CF0CDA"/>
    <w:rsid w:val="00CF2DC6"/>
    <w:rsid w:val="00CF32C2"/>
    <w:rsid w:val="00CF378B"/>
    <w:rsid w:val="00CF4938"/>
    <w:rsid w:val="00CF66BA"/>
    <w:rsid w:val="00CF6E44"/>
    <w:rsid w:val="00CF7111"/>
    <w:rsid w:val="00CF753D"/>
    <w:rsid w:val="00CF7A0C"/>
    <w:rsid w:val="00D03775"/>
    <w:rsid w:val="00D044D2"/>
    <w:rsid w:val="00D04A6E"/>
    <w:rsid w:val="00D05219"/>
    <w:rsid w:val="00D05F4A"/>
    <w:rsid w:val="00D06DCF"/>
    <w:rsid w:val="00D07EA2"/>
    <w:rsid w:val="00D07EE1"/>
    <w:rsid w:val="00D13DA9"/>
    <w:rsid w:val="00D1576B"/>
    <w:rsid w:val="00D16617"/>
    <w:rsid w:val="00D200A8"/>
    <w:rsid w:val="00D21A76"/>
    <w:rsid w:val="00D22B40"/>
    <w:rsid w:val="00D22D45"/>
    <w:rsid w:val="00D2457F"/>
    <w:rsid w:val="00D252C2"/>
    <w:rsid w:val="00D26688"/>
    <w:rsid w:val="00D269DD"/>
    <w:rsid w:val="00D32744"/>
    <w:rsid w:val="00D32EEE"/>
    <w:rsid w:val="00D343E2"/>
    <w:rsid w:val="00D34F9E"/>
    <w:rsid w:val="00D370BD"/>
    <w:rsid w:val="00D37334"/>
    <w:rsid w:val="00D4042A"/>
    <w:rsid w:val="00D404EE"/>
    <w:rsid w:val="00D40625"/>
    <w:rsid w:val="00D40751"/>
    <w:rsid w:val="00D411CF"/>
    <w:rsid w:val="00D4559B"/>
    <w:rsid w:val="00D45C3F"/>
    <w:rsid w:val="00D45D07"/>
    <w:rsid w:val="00D45F17"/>
    <w:rsid w:val="00D46D27"/>
    <w:rsid w:val="00D4719D"/>
    <w:rsid w:val="00D47814"/>
    <w:rsid w:val="00D50514"/>
    <w:rsid w:val="00D50C34"/>
    <w:rsid w:val="00D5366F"/>
    <w:rsid w:val="00D53840"/>
    <w:rsid w:val="00D540A7"/>
    <w:rsid w:val="00D54A0C"/>
    <w:rsid w:val="00D578B0"/>
    <w:rsid w:val="00D57C27"/>
    <w:rsid w:val="00D60211"/>
    <w:rsid w:val="00D61CA5"/>
    <w:rsid w:val="00D6252E"/>
    <w:rsid w:val="00D662A2"/>
    <w:rsid w:val="00D666D0"/>
    <w:rsid w:val="00D70318"/>
    <w:rsid w:val="00D706B9"/>
    <w:rsid w:val="00D72192"/>
    <w:rsid w:val="00D72D6A"/>
    <w:rsid w:val="00D73040"/>
    <w:rsid w:val="00D73888"/>
    <w:rsid w:val="00D740C6"/>
    <w:rsid w:val="00D7520F"/>
    <w:rsid w:val="00D7609D"/>
    <w:rsid w:val="00D76D6E"/>
    <w:rsid w:val="00D77205"/>
    <w:rsid w:val="00D8267B"/>
    <w:rsid w:val="00D82BEE"/>
    <w:rsid w:val="00D82CA2"/>
    <w:rsid w:val="00D830AB"/>
    <w:rsid w:val="00D856C1"/>
    <w:rsid w:val="00D8582F"/>
    <w:rsid w:val="00D8609D"/>
    <w:rsid w:val="00D901AB"/>
    <w:rsid w:val="00D908EC"/>
    <w:rsid w:val="00D9111C"/>
    <w:rsid w:val="00D91888"/>
    <w:rsid w:val="00D922D9"/>
    <w:rsid w:val="00D92841"/>
    <w:rsid w:val="00D9496F"/>
    <w:rsid w:val="00D94D85"/>
    <w:rsid w:val="00D95B2A"/>
    <w:rsid w:val="00D96D74"/>
    <w:rsid w:val="00D97842"/>
    <w:rsid w:val="00D97D23"/>
    <w:rsid w:val="00D97EC3"/>
    <w:rsid w:val="00DA1C6D"/>
    <w:rsid w:val="00DA27AD"/>
    <w:rsid w:val="00DA7993"/>
    <w:rsid w:val="00DA7E23"/>
    <w:rsid w:val="00DB15EF"/>
    <w:rsid w:val="00DB1BEB"/>
    <w:rsid w:val="00DB34E4"/>
    <w:rsid w:val="00DB665C"/>
    <w:rsid w:val="00DB6677"/>
    <w:rsid w:val="00DB68F4"/>
    <w:rsid w:val="00DB7BD6"/>
    <w:rsid w:val="00DB7E39"/>
    <w:rsid w:val="00DC1286"/>
    <w:rsid w:val="00DC14ED"/>
    <w:rsid w:val="00DC17D2"/>
    <w:rsid w:val="00DC19A4"/>
    <w:rsid w:val="00DC23F3"/>
    <w:rsid w:val="00DC349C"/>
    <w:rsid w:val="00DC4DAF"/>
    <w:rsid w:val="00DC5613"/>
    <w:rsid w:val="00DC5BB2"/>
    <w:rsid w:val="00DC6BF3"/>
    <w:rsid w:val="00DD0411"/>
    <w:rsid w:val="00DD082F"/>
    <w:rsid w:val="00DD0916"/>
    <w:rsid w:val="00DD3AD9"/>
    <w:rsid w:val="00DD3B26"/>
    <w:rsid w:val="00DD3EFC"/>
    <w:rsid w:val="00DD3F52"/>
    <w:rsid w:val="00DD4799"/>
    <w:rsid w:val="00DD4DA8"/>
    <w:rsid w:val="00DD6BD5"/>
    <w:rsid w:val="00DD70A6"/>
    <w:rsid w:val="00DE2423"/>
    <w:rsid w:val="00DE41E2"/>
    <w:rsid w:val="00DE4993"/>
    <w:rsid w:val="00DE4A48"/>
    <w:rsid w:val="00DE6B98"/>
    <w:rsid w:val="00DE7304"/>
    <w:rsid w:val="00DF5548"/>
    <w:rsid w:val="00DF7C1D"/>
    <w:rsid w:val="00E00F48"/>
    <w:rsid w:val="00E0177C"/>
    <w:rsid w:val="00E027C4"/>
    <w:rsid w:val="00E03248"/>
    <w:rsid w:val="00E049F0"/>
    <w:rsid w:val="00E050E3"/>
    <w:rsid w:val="00E0613E"/>
    <w:rsid w:val="00E10046"/>
    <w:rsid w:val="00E11D21"/>
    <w:rsid w:val="00E12FA1"/>
    <w:rsid w:val="00E13BC7"/>
    <w:rsid w:val="00E13E16"/>
    <w:rsid w:val="00E13F9A"/>
    <w:rsid w:val="00E157D4"/>
    <w:rsid w:val="00E1675D"/>
    <w:rsid w:val="00E172B1"/>
    <w:rsid w:val="00E20035"/>
    <w:rsid w:val="00E20929"/>
    <w:rsid w:val="00E20A40"/>
    <w:rsid w:val="00E21322"/>
    <w:rsid w:val="00E237E1"/>
    <w:rsid w:val="00E24E79"/>
    <w:rsid w:val="00E25475"/>
    <w:rsid w:val="00E25F48"/>
    <w:rsid w:val="00E2726B"/>
    <w:rsid w:val="00E32E05"/>
    <w:rsid w:val="00E32F19"/>
    <w:rsid w:val="00E3339D"/>
    <w:rsid w:val="00E346F4"/>
    <w:rsid w:val="00E35A9D"/>
    <w:rsid w:val="00E36904"/>
    <w:rsid w:val="00E369FF"/>
    <w:rsid w:val="00E37643"/>
    <w:rsid w:val="00E40932"/>
    <w:rsid w:val="00E40E4F"/>
    <w:rsid w:val="00E41C2D"/>
    <w:rsid w:val="00E47640"/>
    <w:rsid w:val="00E47AB3"/>
    <w:rsid w:val="00E51071"/>
    <w:rsid w:val="00E51081"/>
    <w:rsid w:val="00E51C2D"/>
    <w:rsid w:val="00E52D6B"/>
    <w:rsid w:val="00E52D82"/>
    <w:rsid w:val="00E5344F"/>
    <w:rsid w:val="00E54285"/>
    <w:rsid w:val="00E5464E"/>
    <w:rsid w:val="00E552F4"/>
    <w:rsid w:val="00E55A3D"/>
    <w:rsid w:val="00E565E2"/>
    <w:rsid w:val="00E568B6"/>
    <w:rsid w:val="00E60507"/>
    <w:rsid w:val="00E61753"/>
    <w:rsid w:val="00E625BB"/>
    <w:rsid w:val="00E636C4"/>
    <w:rsid w:val="00E64A12"/>
    <w:rsid w:val="00E679A8"/>
    <w:rsid w:val="00E7085C"/>
    <w:rsid w:val="00E7095F"/>
    <w:rsid w:val="00E7131D"/>
    <w:rsid w:val="00E7150B"/>
    <w:rsid w:val="00E73D8E"/>
    <w:rsid w:val="00E74D47"/>
    <w:rsid w:val="00E762FD"/>
    <w:rsid w:val="00E76745"/>
    <w:rsid w:val="00E76B22"/>
    <w:rsid w:val="00E76BEF"/>
    <w:rsid w:val="00E770E9"/>
    <w:rsid w:val="00E8156E"/>
    <w:rsid w:val="00E819F3"/>
    <w:rsid w:val="00E82899"/>
    <w:rsid w:val="00E83557"/>
    <w:rsid w:val="00E83A14"/>
    <w:rsid w:val="00E8487B"/>
    <w:rsid w:val="00E84ECC"/>
    <w:rsid w:val="00E85386"/>
    <w:rsid w:val="00E85566"/>
    <w:rsid w:val="00E85CC7"/>
    <w:rsid w:val="00E85E5F"/>
    <w:rsid w:val="00E87051"/>
    <w:rsid w:val="00E8711F"/>
    <w:rsid w:val="00E91590"/>
    <w:rsid w:val="00E917AB"/>
    <w:rsid w:val="00E941D3"/>
    <w:rsid w:val="00E967D5"/>
    <w:rsid w:val="00EA0226"/>
    <w:rsid w:val="00EA090C"/>
    <w:rsid w:val="00EA2B43"/>
    <w:rsid w:val="00EA39E3"/>
    <w:rsid w:val="00EA3C93"/>
    <w:rsid w:val="00EA4DDE"/>
    <w:rsid w:val="00EA4E51"/>
    <w:rsid w:val="00EA52DA"/>
    <w:rsid w:val="00EA59F7"/>
    <w:rsid w:val="00EA5CDA"/>
    <w:rsid w:val="00EB030C"/>
    <w:rsid w:val="00EB1720"/>
    <w:rsid w:val="00EB1CC4"/>
    <w:rsid w:val="00EB25A9"/>
    <w:rsid w:val="00EB2C51"/>
    <w:rsid w:val="00EB4EA7"/>
    <w:rsid w:val="00EB54F9"/>
    <w:rsid w:val="00EB5511"/>
    <w:rsid w:val="00EB6086"/>
    <w:rsid w:val="00EB69AA"/>
    <w:rsid w:val="00EB71D7"/>
    <w:rsid w:val="00EB73EA"/>
    <w:rsid w:val="00EC14BE"/>
    <w:rsid w:val="00EC1D42"/>
    <w:rsid w:val="00EC5495"/>
    <w:rsid w:val="00EC7FAF"/>
    <w:rsid w:val="00ED1A9B"/>
    <w:rsid w:val="00ED1E83"/>
    <w:rsid w:val="00ED31A2"/>
    <w:rsid w:val="00ED552C"/>
    <w:rsid w:val="00ED6614"/>
    <w:rsid w:val="00ED7F7F"/>
    <w:rsid w:val="00EE416A"/>
    <w:rsid w:val="00EE4EF1"/>
    <w:rsid w:val="00EE5A43"/>
    <w:rsid w:val="00EE5F25"/>
    <w:rsid w:val="00EE642A"/>
    <w:rsid w:val="00EF034D"/>
    <w:rsid w:val="00EF13F3"/>
    <w:rsid w:val="00EF1712"/>
    <w:rsid w:val="00EF6495"/>
    <w:rsid w:val="00F00F47"/>
    <w:rsid w:val="00F02627"/>
    <w:rsid w:val="00F02C08"/>
    <w:rsid w:val="00F0440A"/>
    <w:rsid w:val="00F04A5A"/>
    <w:rsid w:val="00F053A0"/>
    <w:rsid w:val="00F0722D"/>
    <w:rsid w:val="00F07845"/>
    <w:rsid w:val="00F10737"/>
    <w:rsid w:val="00F109AD"/>
    <w:rsid w:val="00F10AC8"/>
    <w:rsid w:val="00F119FB"/>
    <w:rsid w:val="00F12D77"/>
    <w:rsid w:val="00F131A9"/>
    <w:rsid w:val="00F133FB"/>
    <w:rsid w:val="00F13927"/>
    <w:rsid w:val="00F14DF7"/>
    <w:rsid w:val="00F15ABD"/>
    <w:rsid w:val="00F15DC9"/>
    <w:rsid w:val="00F20BA9"/>
    <w:rsid w:val="00F236CC"/>
    <w:rsid w:val="00F248A0"/>
    <w:rsid w:val="00F24F9A"/>
    <w:rsid w:val="00F2612E"/>
    <w:rsid w:val="00F27579"/>
    <w:rsid w:val="00F306F3"/>
    <w:rsid w:val="00F31A1E"/>
    <w:rsid w:val="00F346D4"/>
    <w:rsid w:val="00F3494F"/>
    <w:rsid w:val="00F36FD9"/>
    <w:rsid w:val="00F374A7"/>
    <w:rsid w:val="00F40B1C"/>
    <w:rsid w:val="00F41485"/>
    <w:rsid w:val="00F414CD"/>
    <w:rsid w:val="00F41518"/>
    <w:rsid w:val="00F42E01"/>
    <w:rsid w:val="00F4322B"/>
    <w:rsid w:val="00F4368D"/>
    <w:rsid w:val="00F501BC"/>
    <w:rsid w:val="00F5090A"/>
    <w:rsid w:val="00F51859"/>
    <w:rsid w:val="00F533FF"/>
    <w:rsid w:val="00F535DF"/>
    <w:rsid w:val="00F54DC0"/>
    <w:rsid w:val="00F54DE9"/>
    <w:rsid w:val="00F5620F"/>
    <w:rsid w:val="00F5641E"/>
    <w:rsid w:val="00F56E55"/>
    <w:rsid w:val="00F60B0E"/>
    <w:rsid w:val="00F61122"/>
    <w:rsid w:val="00F61BB7"/>
    <w:rsid w:val="00F64C2F"/>
    <w:rsid w:val="00F65BAB"/>
    <w:rsid w:val="00F6714E"/>
    <w:rsid w:val="00F67C17"/>
    <w:rsid w:val="00F67C45"/>
    <w:rsid w:val="00F70382"/>
    <w:rsid w:val="00F7264D"/>
    <w:rsid w:val="00F72867"/>
    <w:rsid w:val="00F72FB7"/>
    <w:rsid w:val="00F7350E"/>
    <w:rsid w:val="00F742D8"/>
    <w:rsid w:val="00F74C8C"/>
    <w:rsid w:val="00F76997"/>
    <w:rsid w:val="00F76C90"/>
    <w:rsid w:val="00F77D9E"/>
    <w:rsid w:val="00F8244F"/>
    <w:rsid w:val="00F85E20"/>
    <w:rsid w:val="00F85E40"/>
    <w:rsid w:val="00F86155"/>
    <w:rsid w:val="00F865DD"/>
    <w:rsid w:val="00F87917"/>
    <w:rsid w:val="00F87AA7"/>
    <w:rsid w:val="00F923D8"/>
    <w:rsid w:val="00F9347B"/>
    <w:rsid w:val="00F93C76"/>
    <w:rsid w:val="00F9489F"/>
    <w:rsid w:val="00F94C86"/>
    <w:rsid w:val="00F94E92"/>
    <w:rsid w:val="00F95472"/>
    <w:rsid w:val="00F95A63"/>
    <w:rsid w:val="00F9697F"/>
    <w:rsid w:val="00FA2157"/>
    <w:rsid w:val="00FA48C1"/>
    <w:rsid w:val="00FA4AD6"/>
    <w:rsid w:val="00FA5B2E"/>
    <w:rsid w:val="00FA626A"/>
    <w:rsid w:val="00FB1BF8"/>
    <w:rsid w:val="00FB2CA6"/>
    <w:rsid w:val="00FB6741"/>
    <w:rsid w:val="00FB6FE9"/>
    <w:rsid w:val="00FC0B66"/>
    <w:rsid w:val="00FC13B2"/>
    <w:rsid w:val="00FC2E5B"/>
    <w:rsid w:val="00FC3367"/>
    <w:rsid w:val="00FC4587"/>
    <w:rsid w:val="00FC574A"/>
    <w:rsid w:val="00FC6A73"/>
    <w:rsid w:val="00FC7DAE"/>
    <w:rsid w:val="00FD041B"/>
    <w:rsid w:val="00FD26C2"/>
    <w:rsid w:val="00FD4E24"/>
    <w:rsid w:val="00FD55AD"/>
    <w:rsid w:val="00FD6536"/>
    <w:rsid w:val="00FD693D"/>
    <w:rsid w:val="00FD6CC7"/>
    <w:rsid w:val="00FE0F83"/>
    <w:rsid w:val="00FE1280"/>
    <w:rsid w:val="00FE2600"/>
    <w:rsid w:val="00FE5181"/>
    <w:rsid w:val="00FE7597"/>
    <w:rsid w:val="00FE7D18"/>
    <w:rsid w:val="00FE7DBA"/>
    <w:rsid w:val="00FF0A2C"/>
    <w:rsid w:val="00FF205F"/>
    <w:rsid w:val="00FF2574"/>
    <w:rsid w:val="00FF4069"/>
    <w:rsid w:val="00FF4116"/>
    <w:rsid w:val="00FF5D5D"/>
    <w:rsid w:val="00FF5E47"/>
    <w:rsid w:val="00FF6703"/>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7C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6B"/>
    <w:pPr>
      <w:tabs>
        <w:tab w:val="center" w:pos="4680"/>
        <w:tab w:val="right" w:pos="9360"/>
      </w:tabs>
      <w:spacing w:line="240" w:lineRule="auto"/>
    </w:pPr>
  </w:style>
  <w:style w:type="character" w:customStyle="1" w:styleId="HeaderChar">
    <w:name w:val="Header Char"/>
    <w:basedOn w:val="DefaultParagraphFont"/>
    <w:link w:val="Header"/>
    <w:uiPriority w:val="99"/>
    <w:rsid w:val="00072F6B"/>
  </w:style>
  <w:style w:type="paragraph" w:styleId="Footer">
    <w:name w:val="footer"/>
    <w:basedOn w:val="Normal"/>
    <w:link w:val="FooterChar"/>
    <w:uiPriority w:val="99"/>
    <w:unhideWhenUsed/>
    <w:rsid w:val="00072F6B"/>
    <w:pPr>
      <w:tabs>
        <w:tab w:val="center" w:pos="4680"/>
        <w:tab w:val="right" w:pos="9360"/>
      </w:tabs>
      <w:spacing w:line="240" w:lineRule="auto"/>
    </w:pPr>
  </w:style>
  <w:style w:type="character" w:customStyle="1" w:styleId="FooterChar">
    <w:name w:val="Footer Char"/>
    <w:basedOn w:val="DefaultParagraphFont"/>
    <w:link w:val="Footer"/>
    <w:uiPriority w:val="99"/>
    <w:rsid w:val="00072F6B"/>
  </w:style>
  <w:style w:type="character" w:styleId="PageNumber">
    <w:name w:val="page number"/>
    <w:basedOn w:val="DefaultParagraphFont"/>
    <w:uiPriority w:val="99"/>
    <w:semiHidden/>
    <w:unhideWhenUsed/>
    <w:rsid w:val="00072F6B"/>
  </w:style>
  <w:style w:type="paragraph" w:styleId="FootnoteText">
    <w:name w:val="footnote text"/>
    <w:link w:val="FootnoteTextChar"/>
    <w:uiPriority w:val="99"/>
    <w:unhideWhenUsed/>
    <w:rsid w:val="00072F6B"/>
    <w:pPr>
      <w:spacing w:line="240" w:lineRule="auto"/>
    </w:pPr>
    <w:rPr>
      <w:szCs w:val="20"/>
    </w:rPr>
  </w:style>
  <w:style w:type="character" w:customStyle="1" w:styleId="FootnoteTextChar">
    <w:name w:val="Footnote Text Char"/>
    <w:basedOn w:val="DefaultParagraphFont"/>
    <w:link w:val="FootnoteText"/>
    <w:uiPriority w:val="99"/>
    <w:rsid w:val="00072F6B"/>
    <w:rPr>
      <w:szCs w:val="20"/>
    </w:rPr>
  </w:style>
  <w:style w:type="character" w:styleId="FootnoteReference">
    <w:name w:val="footnote reference"/>
    <w:basedOn w:val="DefaultParagraphFont"/>
    <w:uiPriority w:val="99"/>
    <w:semiHidden/>
    <w:unhideWhenUsed/>
    <w:rsid w:val="00DD0411"/>
    <w:rPr>
      <w:vertAlign w:val="superscript"/>
    </w:rPr>
  </w:style>
  <w:style w:type="character" w:styleId="Hyperlink">
    <w:name w:val="Hyperlink"/>
    <w:basedOn w:val="DefaultParagraphFont"/>
    <w:uiPriority w:val="99"/>
    <w:unhideWhenUsed/>
    <w:rsid w:val="003D4F3D"/>
    <w:rPr>
      <w:color w:val="0563C1" w:themeColor="hyperlink"/>
      <w:u w:val="single"/>
    </w:rPr>
  </w:style>
  <w:style w:type="character" w:styleId="UnresolvedMention">
    <w:name w:val="Unresolved Mention"/>
    <w:basedOn w:val="DefaultParagraphFont"/>
    <w:uiPriority w:val="99"/>
    <w:semiHidden/>
    <w:unhideWhenUsed/>
    <w:rsid w:val="003D4F3D"/>
    <w:rPr>
      <w:color w:val="605E5C"/>
      <w:shd w:val="clear" w:color="auto" w:fill="E1DFDD"/>
    </w:rPr>
  </w:style>
  <w:style w:type="paragraph" w:styleId="Revision">
    <w:name w:val="Revision"/>
    <w:hidden/>
    <w:uiPriority w:val="99"/>
    <w:semiHidden/>
    <w:rsid w:val="00A622DF"/>
    <w:pPr>
      <w:spacing w:line="240" w:lineRule="auto"/>
    </w:pPr>
  </w:style>
  <w:style w:type="character" w:styleId="CommentReference">
    <w:name w:val="annotation reference"/>
    <w:basedOn w:val="DefaultParagraphFont"/>
    <w:uiPriority w:val="99"/>
    <w:semiHidden/>
    <w:unhideWhenUsed/>
    <w:rsid w:val="00A644EC"/>
    <w:rPr>
      <w:sz w:val="16"/>
      <w:szCs w:val="16"/>
    </w:rPr>
  </w:style>
  <w:style w:type="paragraph" w:styleId="CommentText">
    <w:name w:val="annotation text"/>
    <w:basedOn w:val="Normal"/>
    <w:link w:val="CommentTextChar"/>
    <w:uiPriority w:val="99"/>
    <w:unhideWhenUsed/>
    <w:rsid w:val="00A644EC"/>
    <w:pPr>
      <w:spacing w:line="240" w:lineRule="auto"/>
    </w:pPr>
    <w:rPr>
      <w:sz w:val="20"/>
      <w:szCs w:val="20"/>
    </w:rPr>
  </w:style>
  <w:style w:type="character" w:customStyle="1" w:styleId="CommentTextChar">
    <w:name w:val="Comment Text Char"/>
    <w:basedOn w:val="DefaultParagraphFont"/>
    <w:link w:val="CommentText"/>
    <w:uiPriority w:val="99"/>
    <w:rsid w:val="00A644EC"/>
    <w:rPr>
      <w:sz w:val="20"/>
      <w:szCs w:val="20"/>
    </w:rPr>
  </w:style>
  <w:style w:type="paragraph" w:styleId="CommentSubject">
    <w:name w:val="annotation subject"/>
    <w:basedOn w:val="CommentText"/>
    <w:next w:val="CommentText"/>
    <w:link w:val="CommentSubjectChar"/>
    <w:uiPriority w:val="99"/>
    <w:semiHidden/>
    <w:unhideWhenUsed/>
    <w:rsid w:val="00A644EC"/>
    <w:rPr>
      <w:b/>
      <w:bCs/>
    </w:rPr>
  </w:style>
  <w:style w:type="character" w:customStyle="1" w:styleId="CommentSubjectChar">
    <w:name w:val="Comment Subject Char"/>
    <w:basedOn w:val="CommentTextChar"/>
    <w:link w:val="CommentSubject"/>
    <w:uiPriority w:val="99"/>
    <w:semiHidden/>
    <w:rsid w:val="00A64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81">
      <w:bodyDiv w:val="1"/>
      <w:marLeft w:val="0"/>
      <w:marRight w:val="0"/>
      <w:marTop w:val="0"/>
      <w:marBottom w:val="0"/>
      <w:divBdr>
        <w:top w:val="none" w:sz="0" w:space="0" w:color="auto"/>
        <w:left w:val="none" w:sz="0" w:space="0" w:color="auto"/>
        <w:bottom w:val="none" w:sz="0" w:space="0" w:color="auto"/>
        <w:right w:val="none" w:sz="0" w:space="0" w:color="auto"/>
      </w:divBdr>
      <w:divsChild>
        <w:div w:id="235096219">
          <w:marLeft w:val="0"/>
          <w:marRight w:val="0"/>
          <w:marTop w:val="0"/>
          <w:marBottom w:val="0"/>
          <w:divBdr>
            <w:top w:val="none" w:sz="0" w:space="0" w:color="3D3D3D"/>
            <w:left w:val="none" w:sz="0" w:space="0" w:color="3D3D3D"/>
            <w:bottom w:val="none" w:sz="0" w:space="0" w:color="3D3D3D"/>
            <w:right w:val="none" w:sz="0" w:space="0" w:color="3D3D3D"/>
          </w:divBdr>
          <w:divsChild>
            <w:div w:id="20105189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7415507">
      <w:bodyDiv w:val="1"/>
      <w:marLeft w:val="0"/>
      <w:marRight w:val="0"/>
      <w:marTop w:val="0"/>
      <w:marBottom w:val="0"/>
      <w:divBdr>
        <w:top w:val="none" w:sz="0" w:space="0" w:color="auto"/>
        <w:left w:val="none" w:sz="0" w:space="0" w:color="auto"/>
        <w:bottom w:val="none" w:sz="0" w:space="0" w:color="auto"/>
        <w:right w:val="none" w:sz="0" w:space="0" w:color="auto"/>
      </w:divBdr>
      <w:divsChild>
        <w:div w:id="689648120">
          <w:marLeft w:val="0"/>
          <w:marRight w:val="0"/>
          <w:marTop w:val="0"/>
          <w:marBottom w:val="0"/>
          <w:divBdr>
            <w:top w:val="none" w:sz="0" w:space="0" w:color="3D3D3D"/>
            <w:left w:val="none" w:sz="0" w:space="0" w:color="3D3D3D"/>
            <w:bottom w:val="none" w:sz="0" w:space="0" w:color="3D3D3D"/>
            <w:right w:val="none" w:sz="0" w:space="0" w:color="3D3D3D"/>
          </w:divBdr>
          <w:divsChild>
            <w:div w:id="3107579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650264">
      <w:bodyDiv w:val="1"/>
      <w:marLeft w:val="0"/>
      <w:marRight w:val="0"/>
      <w:marTop w:val="0"/>
      <w:marBottom w:val="0"/>
      <w:divBdr>
        <w:top w:val="none" w:sz="0" w:space="0" w:color="auto"/>
        <w:left w:val="none" w:sz="0" w:space="0" w:color="auto"/>
        <w:bottom w:val="none" w:sz="0" w:space="0" w:color="auto"/>
        <w:right w:val="none" w:sz="0" w:space="0" w:color="auto"/>
      </w:divBdr>
      <w:divsChild>
        <w:div w:id="478308616">
          <w:marLeft w:val="0"/>
          <w:marRight w:val="0"/>
          <w:marTop w:val="0"/>
          <w:marBottom w:val="0"/>
          <w:divBdr>
            <w:top w:val="none" w:sz="0" w:space="0" w:color="3D3D3D"/>
            <w:left w:val="none" w:sz="0" w:space="0" w:color="3D3D3D"/>
            <w:bottom w:val="none" w:sz="0" w:space="0" w:color="3D3D3D"/>
            <w:right w:val="none" w:sz="0" w:space="0" w:color="3D3D3D"/>
          </w:divBdr>
          <w:divsChild>
            <w:div w:id="20795931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2092352">
      <w:bodyDiv w:val="1"/>
      <w:marLeft w:val="0"/>
      <w:marRight w:val="0"/>
      <w:marTop w:val="0"/>
      <w:marBottom w:val="0"/>
      <w:divBdr>
        <w:top w:val="none" w:sz="0" w:space="0" w:color="auto"/>
        <w:left w:val="none" w:sz="0" w:space="0" w:color="auto"/>
        <w:bottom w:val="none" w:sz="0" w:space="0" w:color="auto"/>
        <w:right w:val="none" w:sz="0" w:space="0" w:color="auto"/>
      </w:divBdr>
      <w:divsChild>
        <w:div w:id="418067656">
          <w:marLeft w:val="0"/>
          <w:marRight w:val="0"/>
          <w:marTop w:val="0"/>
          <w:marBottom w:val="0"/>
          <w:divBdr>
            <w:top w:val="none" w:sz="0" w:space="0" w:color="3D3D3D"/>
            <w:left w:val="none" w:sz="0" w:space="0" w:color="3D3D3D"/>
            <w:bottom w:val="none" w:sz="0" w:space="0" w:color="3D3D3D"/>
            <w:right w:val="none" w:sz="0" w:space="0" w:color="3D3D3D"/>
          </w:divBdr>
          <w:divsChild>
            <w:div w:id="13775817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0340193">
      <w:bodyDiv w:val="1"/>
      <w:marLeft w:val="0"/>
      <w:marRight w:val="0"/>
      <w:marTop w:val="0"/>
      <w:marBottom w:val="0"/>
      <w:divBdr>
        <w:top w:val="none" w:sz="0" w:space="0" w:color="auto"/>
        <w:left w:val="none" w:sz="0" w:space="0" w:color="auto"/>
        <w:bottom w:val="none" w:sz="0" w:space="0" w:color="auto"/>
        <w:right w:val="none" w:sz="0" w:space="0" w:color="auto"/>
      </w:divBdr>
      <w:divsChild>
        <w:div w:id="2049455378">
          <w:marLeft w:val="0"/>
          <w:marRight w:val="0"/>
          <w:marTop w:val="0"/>
          <w:marBottom w:val="0"/>
          <w:divBdr>
            <w:top w:val="none" w:sz="0" w:space="0" w:color="3D3D3D"/>
            <w:left w:val="none" w:sz="0" w:space="0" w:color="3D3D3D"/>
            <w:bottom w:val="none" w:sz="0" w:space="0" w:color="3D3D3D"/>
            <w:right w:val="none" w:sz="0" w:space="0" w:color="3D3D3D"/>
          </w:divBdr>
          <w:divsChild>
            <w:div w:id="15241754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0415515">
      <w:bodyDiv w:val="1"/>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3D3D3D"/>
            <w:left w:val="none" w:sz="0" w:space="0" w:color="3D3D3D"/>
            <w:bottom w:val="none" w:sz="0" w:space="0" w:color="3D3D3D"/>
            <w:right w:val="none" w:sz="0" w:space="0" w:color="3D3D3D"/>
          </w:divBdr>
          <w:divsChild>
            <w:div w:id="12443409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7430016">
      <w:bodyDiv w:val="1"/>
      <w:marLeft w:val="0"/>
      <w:marRight w:val="0"/>
      <w:marTop w:val="0"/>
      <w:marBottom w:val="0"/>
      <w:divBdr>
        <w:top w:val="none" w:sz="0" w:space="0" w:color="auto"/>
        <w:left w:val="none" w:sz="0" w:space="0" w:color="auto"/>
        <w:bottom w:val="none" w:sz="0" w:space="0" w:color="auto"/>
        <w:right w:val="none" w:sz="0" w:space="0" w:color="auto"/>
      </w:divBdr>
      <w:divsChild>
        <w:div w:id="184175801">
          <w:marLeft w:val="0"/>
          <w:marRight w:val="0"/>
          <w:marTop w:val="0"/>
          <w:marBottom w:val="0"/>
          <w:divBdr>
            <w:top w:val="none" w:sz="0" w:space="0" w:color="3D3D3D"/>
            <w:left w:val="none" w:sz="0" w:space="0" w:color="3D3D3D"/>
            <w:bottom w:val="none" w:sz="0" w:space="0" w:color="3D3D3D"/>
            <w:right w:val="none" w:sz="0" w:space="0" w:color="3D3D3D"/>
          </w:divBdr>
          <w:divsChild>
            <w:div w:id="8737383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5007146">
      <w:bodyDiv w:val="1"/>
      <w:marLeft w:val="0"/>
      <w:marRight w:val="0"/>
      <w:marTop w:val="0"/>
      <w:marBottom w:val="0"/>
      <w:divBdr>
        <w:top w:val="none" w:sz="0" w:space="0" w:color="auto"/>
        <w:left w:val="none" w:sz="0" w:space="0" w:color="auto"/>
        <w:bottom w:val="none" w:sz="0" w:space="0" w:color="auto"/>
        <w:right w:val="none" w:sz="0" w:space="0" w:color="auto"/>
      </w:divBdr>
      <w:divsChild>
        <w:div w:id="746801784">
          <w:marLeft w:val="0"/>
          <w:marRight w:val="0"/>
          <w:marTop w:val="0"/>
          <w:marBottom w:val="0"/>
          <w:divBdr>
            <w:top w:val="none" w:sz="0" w:space="0" w:color="3D3D3D"/>
            <w:left w:val="none" w:sz="0" w:space="0" w:color="3D3D3D"/>
            <w:bottom w:val="none" w:sz="0" w:space="0" w:color="3D3D3D"/>
            <w:right w:val="none" w:sz="0" w:space="0" w:color="3D3D3D"/>
          </w:divBdr>
          <w:divsChild>
            <w:div w:id="12089517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7184635">
      <w:bodyDiv w:val="1"/>
      <w:marLeft w:val="0"/>
      <w:marRight w:val="0"/>
      <w:marTop w:val="0"/>
      <w:marBottom w:val="0"/>
      <w:divBdr>
        <w:top w:val="none" w:sz="0" w:space="0" w:color="auto"/>
        <w:left w:val="none" w:sz="0" w:space="0" w:color="auto"/>
        <w:bottom w:val="none" w:sz="0" w:space="0" w:color="auto"/>
        <w:right w:val="none" w:sz="0" w:space="0" w:color="auto"/>
      </w:divBdr>
      <w:divsChild>
        <w:div w:id="606035985">
          <w:marLeft w:val="0"/>
          <w:marRight w:val="0"/>
          <w:marTop w:val="0"/>
          <w:marBottom w:val="0"/>
          <w:divBdr>
            <w:top w:val="none" w:sz="0" w:space="0" w:color="3D3D3D"/>
            <w:left w:val="none" w:sz="0" w:space="0" w:color="3D3D3D"/>
            <w:bottom w:val="none" w:sz="0" w:space="0" w:color="3D3D3D"/>
            <w:right w:val="none" w:sz="0" w:space="0" w:color="3D3D3D"/>
          </w:divBdr>
          <w:divsChild>
            <w:div w:id="2423797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4540772">
      <w:bodyDiv w:val="1"/>
      <w:marLeft w:val="0"/>
      <w:marRight w:val="0"/>
      <w:marTop w:val="0"/>
      <w:marBottom w:val="0"/>
      <w:divBdr>
        <w:top w:val="none" w:sz="0" w:space="0" w:color="auto"/>
        <w:left w:val="none" w:sz="0" w:space="0" w:color="auto"/>
        <w:bottom w:val="none" w:sz="0" w:space="0" w:color="auto"/>
        <w:right w:val="none" w:sz="0" w:space="0" w:color="auto"/>
      </w:divBdr>
      <w:divsChild>
        <w:div w:id="168369067">
          <w:marLeft w:val="0"/>
          <w:marRight w:val="0"/>
          <w:marTop w:val="0"/>
          <w:marBottom w:val="0"/>
          <w:divBdr>
            <w:top w:val="none" w:sz="0" w:space="0" w:color="3D3D3D"/>
            <w:left w:val="none" w:sz="0" w:space="0" w:color="3D3D3D"/>
            <w:bottom w:val="none" w:sz="0" w:space="0" w:color="3D3D3D"/>
            <w:right w:val="none" w:sz="0" w:space="0" w:color="3D3D3D"/>
          </w:divBdr>
          <w:divsChild>
            <w:div w:id="11474051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9200094">
      <w:bodyDiv w:val="1"/>
      <w:marLeft w:val="0"/>
      <w:marRight w:val="0"/>
      <w:marTop w:val="0"/>
      <w:marBottom w:val="0"/>
      <w:divBdr>
        <w:top w:val="none" w:sz="0" w:space="0" w:color="auto"/>
        <w:left w:val="none" w:sz="0" w:space="0" w:color="auto"/>
        <w:bottom w:val="none" w:sz="0" w:space="0" w:color="auto"/>
        <w:right w:val="none" w:sz="0" w:space="0" w:color="auto"/>
      </w:divBdr>
      <w:divsChild>
        <w:div w:id="580061915">
          <w:marLeft w:val="0"/>
          <w:marRight w:val="0"/>
          <w:marTop w:val="0"/>
          <w:marBottom w:val="0"/>
          <w:divBdr>
            <w:top w:val="none" w:sz="0" w:space="0" w:color="3D3D3D"/>
            <w:left w:val="none" w:sz="0" w:space="0" w:color="3D3D3D"/>
            <w:bottom w:val="none" w:sz="0" w:space="0" w:color="3D3D3D"/>
            <w:right w:val="none" w:sz="0" w:space="0" w:color="3D3D3D"/>
          </w:divBdr>
          <w:divsChild>
            <w:div w:id="62103796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40305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495">
          <w:marLeft w:val="0"/>
          <w:marRight w:val="0"/>
          <w:marTop w:val="0"/>
          <w:marBottom w:val="0"/>
          <w:divBdr>
            <w:top w:val="none" w:sz="0" w:space="0" w:color="3D3D3D"/>
            <w:left w:val="none" w:sz="0" w:space="0" w:color="3D3D3D"/>
            <w:bottom w:val="none" w:sz="0" w:space="0" w:color="3D3D3D"/>
            <w:right w:val="none" w:sz="0" w:space="0" w:color="3D3D3D"/>
          </w:divBdr>
          <w:divsChild>
            <w:div w:id="13147232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0851598">
      <w:bodyDiv w:val="1"/>
      <w:marLeft w:val="0"/>
      <w:marRight w:val="0"/>
      <w:marTop w:val="0"/>
      <w:marBottom w:val="0"/>
      <w:divBdr>
        <w:top w:val="none" w:sz="0" w:space="0" w:color="auto"/>
        <w:left w:val="none" w:sz="0" w:space="0" w:color="auto"/>
        <w:bottom w:val="none" w:sz="0" w:space="0" w:color="auto"/>
        <w:right w:val="none" w:sz="0" w:space="0" w:color="auto"/>
      </w:divBdr>
      <w:divsChild>
        <w:div w:id="771825777">
          <w:marLeft w:val="0"/>
          <w:marRight w:val="0"/>
          <w:marTop w:val="0"/>
          <w:marBottom w:val="0"/>
          <w:divBdr>
            <w:top w:val="none" w:sz="0" w:space="0" w:color="auto"/>
            <w:left w:val="none" w:sz="0" w:space="0" w:color="auto"/>
            <w:bottom w:val="none" w:sz="0" w:space="0" w:color="auto"/>
            <w:right w:val="none" w:sz="0" w:space="0" w:color="auto"/>
          </w:divBdr>
          <w:divsChild>
            <w:div w:id="1901206718">
              <w:marLeft w:val="0"/>
              <w:marRight w:val="0"/>
              <w:marTop w:val="0"/>
              <w:marBottom w:val="0"/>
              <w:divBdr>
                <w:top w:val="none" w:sz="0" w:space="0" w:color="auto"/>
                <w:left w:val="none" w:sz="0" w:space="0" w:color="auto"/>
                <w:bottom w:val="none" w:sz="0" w:space="0" w:color="auto"/>
                <w:right w:val="none" w:sz="0" w:space="0" w:color="auto"/>
              </w:divBdr>
            </w:div>
          </w:divsChild>
        </w:div>
        <w:div w:id="495538068">
          <w:marLeft w:val="0"/>
          <w:marRight w:val="0"/>
          <w:marTop w:val="0"/>
          <w:marBottom w:val="0"/>
          <w:divBdr>
            <w:top w:val="none" w:sz="0" w:space="0" w:color="auto"/>
            <w:left w:val="none" w:sz="0" w:space="0" w:color="auto"/>
            <w:bottom w:val="none" w:sz="0" w:space="0" w:color="auto"/>
            <w:right w:val="none" w:sz="0" w:space="0" w:color="auto"/>
          </w:divBdr>
          <w:divsChild>
            <w:div w:id="687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7482">
      <w:bodyDiv w:val="1"/>
      <w:marLeft w:val="0"/>
      <w:marRight w:val="0"/>
      <w:marTop w:val="0"/>
      <w:marBottom w:val="0"/>
      <w:divBdr>
        <w:top w:val="none" w:sz="0" w:space="0" w:color="auto"/>
        <w:left w:val="none" w:sz="0" w:space="0" w:color="auto"/>
        <w:bottom w:val="none" w:sz="0" w:space="0" w:color="auto"/>
        <w:right w:val="none" w:sz="0" w:space="0" w:color="auto"/>
      </w:divBdr>
      <w:divsChild>
        <w:div w:id="1873877448">
          <w:marLeft w:val="0"/>
          <w:marRight w:val="0"/>
          <w:marTop w:val="0"/>
          <w:marBottom w:val="0"/>
          <w:divBdr>
            <w:top w:val="none" w:sz="0" w:space="0" w:color="3D3D3D"/>
            <w:left w:val="none" w:sz="0" w:space="0" w:color="3D3D3D"/>
            <w:bottom w:val="none" w:sz="0" w:space="0" w:color="3D3D3D"/>
            <w:right w:val="none" w:sz="0" w:space="0" w:color="3D3D3D"/>
          </w:divBdr>
          <w:divsChild>
            <w:div w:id="6028022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37927458">
      <w:bodyDiv w:val="1"/>
      <w:marLeft w:val="0"/>
      <w:marRight w:val="0"/>
      <w:marTop w:val="0"/>
      <w:marBottom w:val="0"/>
      <w:divBdr>
        <w:top w:val="none" w:sz="0" w:space="0" w:color="auto"/>
        <w:left w:val="none" w:sz="0" w:space="0" w:color="auto"/>
        <w:bottom w:val="none" w:sz="0" w:space="0" w:color="auto"/>
        <w:right w:val="none" w:sz="0" w:space="0" w:color="auto"/>
      </w:divBdr>
      <w:divsChild>
        <w:div w:id="751002828">
          <w:marLeft w:val="0"/>
          <w:marRight w:val="0"/>
          <w:marTop w:val="0"/>
          <w:marBottom w:val="0"/>
          <w:divBdr>
            <w:top w:val="none" w:sz="0" w:space="0" w:color="3D3D3D"/>
            <w:left w:val="none" w:sz="0" w:space="0" w:color="3D3D3D"/>
            <w:bottom w:val="none" w:sz="0" w:space="0" w:color="3D3D3D"/>
            <w:right w:val="none" w:sz="0" w:space="0" w:color="3D3D3D"/>
          </w:divBdr>
          <w:divsChild>
            <w:div w:id="17095722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63215077">
      <w:bodyDiv w:val="1"/>
      <w:marLeft w:val="0"/>
      <w:marRight w:val="0"/>
      <w:marTop w:val="0"/>
      <w:marBottom w:val="0"/>
      <w:divBdr>
        <w:top w:val="none" w:sz="0" w:space="0" w:color="auto"/>
        <w:left w:val="none" w:sz="0" w:space="0" w:color="auto"/>
        <w:bottom w:val="none" w:sz="0" w:space="0" w:color="auto"/>
        <w:right w:val="none" w:sz="0" w:space="0" w:color="auto"/>
      </w:divBdr>
      <w:divsChild>
        <w:div w:id="1098478197">
          <w:marLeft w:val="0"/>
          <w:marRight w:val="0"/>
          <w:marTop w:val="0"/>
          <w:marBottom w:val="0"/>
          <w:divBdr>
            <w:top w:val="none" w:sz="0" w:space="0" w:color="3D3D3D"/>
            <w:left w:val="none" w:sz="0" w:space="0" w:color="3D3D3D"/>
            <w:bottom w:val="none" w:sz="0" w:space="0" w:color="3D3D3D"/>
            <w:right w:val="none" w:sz="0" w:space="0" w:color="3D3D3D"/>
          </w:divBdr>
          <w:divsChild>
            <w:div w:id="1516805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11243810">
      <w:bodyDiv w:val="1"/>
      <w:marLeft w:val="0"/>
      <w:marRight w:val="0"/>
      <w:marTop w:val="0"/>
      <w:marBottom w:val="0"/>
      <w:divBdr>
        <w:top w:val="none" w:sz="0" w:space="0" w:color="auto"/>
        <w:left w:val="none" w:sz="0" w:space="0" w:color="auto"/>
        <w:bottom w:val="none" w:sz="0" w:space="0" w:color="auto"/>
        <w:right w:val="none" w:sz="0" w:space="0" w:color="auto"/>
      </w:divBdr>
      <w:divsChild>
        <w:div w:id="2078478261">
          <w:marLeft w:val="0"/>
          <w:marRight w:val="0"/>
          <w:marTop w:val="0"/>
          <w:marBottom w:val="0"/>
          <w:divBdr>
            <w:top w:val="none" w:sz="0" w:space="0" w:color="auto"/>
            <w:left w:val="none" w:sz="0" w:space="0" w:color="auto"/>
            <w:bottom w:val="none" w:sz="0" w:space="0" w:color="auto"/>
            <w:right w:val="none" w:sz="0" w:space="0" w:color="auto"/>
          </w:divBdr>
          <w:divsChild>
            <w:div w:id="1789473912">
              <w:marLeft w:val="0"/>
              <w:marRight w:val="0"/>
              <w:marTop w:val="0"/>
              <w:marBottom w:val="0"/>
              <w:divBdr>
                <w:top w:val="none" w:sz="0" w:space="0" w:color="auto"/>
                <w:left w:val="none" w:sz="0" w:space="0" w:color="auto"/>
                <w:bottom w:val="none" w:sz="0" w:space="0" w:color="auto"/>
                <w:right w:val="none" w:sz="0" w:space="0" w:color="auto"/>
              </w:divBdr>
            </w:div>
          </w:divsChild>
        </w:div>
        <w:div w:id="2017657735">
          <w:marLeft w:val="0"/>
          <w:marRight w:val="0"/>
          <w:marTop w:val="0"/>
          <w:marBottom w:val="0"/>
          <w:divBdr>
            <w:top w:val="none" w:sz="0" w:space="0" w:color="auto"/>
            <w:left w:val="none" w:sz="0" w:space="0" w:color="auto"/>
            <w:bottom w:val="none" w:sz="0" w:space="0" w:color="auto"/>
            <w:right w:val="none" w:sz="0" w:space="0" w:color="auto"/>
          </w:divBdr>
          <w:divsChild>
            <w:div w:id="979770583">
              <w:marLeft w:val="0"/>
              <w:marRight w:val="0"/>
              <w:marTop w:val="0"/>
              <w:marBottom w:val="0"/>
              <w:divBdr>
                <w:top w:val="none" w:sz="0" w:space="0" w:color="auto"/>
                <w:left w:val="none" w:sz="0" w:space="0" w:color="auto"/>
                <w:bottom w:val="none" w:sz="0" w:space="0" w:color="auto"/>
                <w:right w:val="none" w:sz="0" w:space="0" w:color="auto"/>
              </w:divBdr>
              <w:divsChild>
                <w:div w:id="4874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6607">
          <w:marLeft w:val="0"/>
          <w:marRight w:val="0"/>
          <w:marTop w:val="0"/>
          <w:marBottom w:val="0"/>
          <w:divBdr>
            <w:top w:val="none" w:sz="0" w:space="0" w:color="auto"/>
            <w:left w:val="none" w:sz="0" w:space="0" w:color="auto"/>
            <w:bottom w:val="none" w:sz="0" w:space="0" w:color="auto"/>
            <w:right w:val="none" w:sz="0" w:space="0" w:color="auto"/>
          </w:divBdr>
          <w:divsChild>
            <w:div w:id="359742372">
              <w:marLeft w:val="0"/>
              <w:marRight w:val="0"/>
              <w:marTop w:val="0"/>
              <w:marBottom w:val="0"/>
              <w:divBdr>
                <w:top w:val="none" w:sz="0" w:space="0" w:color="auto"/>
                <w:left w:val="none" w:sz="0" w:space="0" w:color="auto"/>
                <w:bottom w:val="none" w:sz="0" w:space="0" w:color="auto"/>
                <w:right w:val="none" w:sz="0" w:space="0" w:color="auto"/>
              </w:divBdr>
              <w:divsChild>
                <w:div w:id="17266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30378">
      <w:bodyDiv w:val="1"/>
      <w:marLeft w:val="0"/>
      <w:marRight w:val="0"/>
      <w:marTop w:val="0"/>
      <w:marBottom w:val="0"/>
      <w:divBdr>
        <w:top w:val="none" w:sz="0" w:space="0" w:color="auto"/>
        <w:left w:val="none" w:sz="0" w:space="0" w:color="auto"/>
        <w:bottom w:val="none" w:sz="0" w:space="0" w:color="auto"/>
        <w:right w:val="none" w:sz="0" w:space="0" w:color="auto"/>
      </w:divBdr>
      <w:divsChild>
        <w:div w:id="2072387553">
          <w:marLeft w:val="0"/>
          <w:marRight w:val="0"/>
          <w:marTop w:val="0"/>
          <w:marBottom w:val="0"/>
          <w:divBdr>
            <w:top w:val="none" w:sz="0" w:space="0" w:color="3D3D3D"/>
            <w:left w:val="none" w:sz="0" w:space="0" w:color="3D3D3D"/>
            <w:bottom w:val="none" w:sz="0" w:space="0" w:color="3D3D3D"/>
            <w:right w:val="none" w:sz="0" w:space="0" w:color="3D3D3D"/>
          </w:divBdr>
          <w:divsChild>
            <w:div w:id="2173283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64205334">
      <w:bodyDiv w:val="1"/>
      <w:marLeft w:val="0"/>
      <w:marRight w:val="0"/>
      <w:marTop w:val="0"/>
      <w:marBottom w:val="0"/>
      <w:divBdr>
        <w:top w:val="none" w:sz="0" w:space="0" w:color="auto"/>
        <w:left w:val="none" w:sz="0" w:space="0" w:color="auto"/>
        <w:bottom w:val="none" w:sz="0" w:space="0" w:color="auto"/>
        <w:right w:val="none" w:sz="0" w:space="0" w:color="auto"/>
      </w:divBdr>
      <w:divsChild>
        <w:div w:id="2103213679">
          <w:marLeft w:val="0"/>
          <w:marRight w:val="0"/>
          <w:marTop w:val="0"/>
          <w:marBottom w:val="0"/>
          <w:divBdr>
            <w:top w:val="none" w:sz="0" w:space="0" w:color="3D3D3D"/>
            <w:left w:val="none" w:sz="0" w:space="0" w:color="3D3D3D"/>
            <w:bottom w:val="none" w:sz="0" w:space="0" w:color="3D3D3D"/>
            <w:right w:val="none" w:sz="0" w:space="0" w:color="3D3D3D"/>
          </w:divBdr>
          <w:divsChild>
            <w:div w:id="16500184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7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35160018">
          <w:marLeft w:val="0"/>
          <w:marRight w:val="0"/>
          <w:marTop w:val="0"/>
          <w:marBottom w:val="0"/>
          <w:divBdr>
            <w:top w:val="none" w:sz="0" w:space="0" w:color="3D3D3D"/>
            <w:left w:val="none" w:sz="0" w:space="0" w:color="3D3D3D"/>
            <w:bottom w:val="none" w:sz="0" w:space="0" w:color="3D3D3D"/>
            <w:right w:val="none" w:sz="0" w:space="0" w:color="3D3D3D"/>
          </w:divBdr>
          <w:divsChild>
            <w:div w:id="15523783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75758394">
      <w:bodyDiv w:val="1"/>
      <w:marLeft w:val="0"/>
      <w:marRight w:val="0"/>
      <w:marTop w:val="0"/>
      <w:marBottom w:val="0"/>
      <w:divBdr>
        <w:top w:val="none" w:sz="0" w:space="0" w:color="auto"/>
        <w:left w:val="none" w:sz="0" w:space="0" w:color="auto"/>
        <w:bottom w:val="none" w:sz="0" w:space="0" w:color="auto"/>
        <w:right w:val="none" w:sz="0" w:space="0" w:color="auto"/>
      </w:divBdr>
      <w:divsChild>
        <w:div w:id="227157639">
          <w:marLeft w:val="0"/>
          <w:marRight w:val="0"/>
          <w:marTop w:val="0"/>
          <w:marBottom w:val="0"/>
          <w:divBdr>
            <w:top w:val="none" w:sz="0" w:space="0" w:color="3D3D3D"/>
            <w:left w:val="none" w:sz="0" w:space="0" w:color="3D3D3D"/>
            <w:bottom w:val="none" w:sz="0" w:space="0" w:color="3D3D3D"/>
            <w:right w:val="none" w:sz="0" w:space="0" w:color="3D3D3D"/>
          </w:divBdr>
          <w:divsChild>
            <w:div w:id="7558320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0584654">
      <w:bodyDiv w:val="1"/>
      <w:marLeft w:val="0"/>
      <w:marRight w:val="0"/>
      <w:marTop w:val="0"/>
      <w:marBottom w:val="0"/>
      <w:divBdr>
        <w:top w:val="none" w:sz="0" w:space="0" w:color="auto"/>
        <w:left w:val="none" w:sz="0" w:space="0" w:color="auto"/>
        <w:bottom w:val="none" w:sz="0" w:space="0" w:color="auto"/>
        <w:right w:val="none" w:sz="0" w:space="0" w:color="auto"/>
      </w:divBdr>
      <w:divsChild>
        <w:div w:id="1518348068">
          <w:marLeft w:val="0"/>
          <w:marRight w:val="0"/>
          <w:marTop w:val="0"/>
          <w:marBottom w:val="0"/>
          <w:divBdr>
            <w:top w:val="none" w:sz="0" w:space="0" w:color="3D3D3D"/>
            <w:left w:val="none" w:sz="0" w:space="0" w:color="3D3D3D"/>
            <w:bottom w:val="none" w:sz="0" w:space="0" w:color="3D3D3D"/>
            <w:right w:val="none" w:sz="0" w:space="0" w:color="3D3D3D"/>
          </w:divBdr>
          <w:divsChild>
            <w:div w:id="12912813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28302092">
      <w:bodyDiv w:val="1"/>
      <w:marLeft w:val="0"/>
      <w:marRight w:val="0"/>
      <w:marTop w:val="0"/>
      <w:marBottom w:val="0"/>
      <w:divBdr>
        <w:top w:val="none" w:sz="0" w:space="0" w:color="auto"/>
        <w:left w:val="none" w:sz="0" w:space="0" w:color="auto"/>
        <w:bottom w:val="none" w:sz="0" w:space="0" w:color="auto"/>
        <w:right w:val="none" w:sz="0" w:space="0" w:color="auto"/>
      </w:divBdr>
      <w:divsChild>
        <w:div w:id="262491956">
          <w:marLeft w:val="0"/>
          <w:marRight w:val="0"/>
          <w:marTop w:val="0"/>
          <w:marBottom w:val="0"/>
          <w:divBdr>
            <w:top w:val="none" w:sz="0" w:space="0" w:color="3D3D3D"/>
            <w:left w:val="none" w:sz="0" w:space="0" w:color="3D3D3D"/>
            <w:bottom w:val="none" w:sz="0" w:space="0" w:color="3D3D3D"/>
            <w:right w:val="none" w:sz="0" w:space="0" w:color="3D3D3D"/>
          </w:divBdr>
        </w:div>
      </w:divsChild>
    </w:div>
    <w:div w:id="542518748">
      <w:bodyDiv w:val="1"/>
      <w:marLeft w:val="0"/>
      <w:marRight w:val="0"/>
      <w:marTop w:val="0"/>
      <w:marBottom w:val="0"/>
      <w:divBdr>
        <w:top w:val="none" w:sz="0" w:space="0" w:color="auto"/>
        <w:left w:val="none" w:sz="0" w:space="0" w:color="auto"/>
        <w:bottom w:val="none" w:sz="0" w:space="0" w:color="auto"/>
        <w:right w:val="none" w:sz="0" w:space="0" w:color="auto"/>
      </w:divBdr>
      <w:divsChild>
        <w:div w:id="803426540">
          <w:marLeft w:val="0"/>
          <w:marRight w:val="0"/>
          <w:marTop w:val="0"/>
          <w:marBottom w:val="0"/>
          <w:divBdr>
            <w:top w:val="none" w:sz="0" w:space="0" w:color="3D3D3D"/>
            <w:left w:val="none" w:sz="0" w:space="0" w:color="3D3D3D"/>
            <w:bottom w:val="none" w:sz="0" w:space="0" w:color="3D3D3D"/>
            <w:right w:val="none" w:sz="0" w:space="0" w:color="3D3D3D"/>
          </w:divBdr>
          <w:divsChild>
            <w:div w:id="16394149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65384090">
      <w:bodyDiv w:val="1"/>
      <w:marLeft w:val="0"/>
      <w:marRight w:val="0"/>
      <w:marTop w:val="0"/>
      <w:marBottom w:val="0"/>
      <w:divBdr>
        <w:top w:val="none" w:sz="0" w:space="0" w:color="auto"/>
        <w:left w:val="none" w:sz="0" w:space="0" w:color="auto"/>
        <w:bottom w:val="none" w:sz="0" w:space="0" w:color="auto"/>
        <w:right w:val="none" w:sz="0" w:space="0" w:color="auto"/>
      </w:divBdr>
      <w:divsChild>
        <w:div w:id="1532763999">
          <w:marLeft w:val="0"/>
          <w:marRight w:val="0"/>
          <w:marTop w:val="0"/>
          <w:marBottom w:val="0"/>
          <w:divBdr>
            <w:top w:val="none" w:sz="0" w:space="0" w:color="3D3D3D"/>
            <w:left w:val="none" w:sz="0" w:space="0" w:color="3D3D3D"/>
            <w:bottom w:val="none" w:sz="0" w:space="0" w:color="3D3D3D"/>
            <w:right w:val="none" w:sz="0" w:space="0" w:color="3D3D3D"/>
          </w:divBdr>
          <w:divsChild>
            <w:div w:id="3181940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72859627">
      <w:bodyDiv w:val="1"/>
      <w:marLeft w:val="0"/>
      <w:marRight w:val="0"/>
      <w:marTop w:val="0"/>
      <w:marBottom w:val="0"/>
      <w:divBdr>
        <w:top w:val="none" w:sz="0" w:space="0" w:color="auto"/>
        <w:left w:val="none" w:sz="0" w:space="0" w:color="auto"/>
        <w:bottom w:val="none" w:sz="0" w:space="0" w:color="auto"/>
        <w:right w:val="none" w:sz="0" w:space="0" w:color="auto"/>
      </w:divBdr>
      <w:divsChild>
        <w:div w:id="1314480876">
          <w:marLeft w:val="0"/>
          <w:marRight w:val="0"/>
          <w:marTop w:val="0"/>
          <w:marBottom w:val="0"/>
          <w:divBdr>
            <w:top w:val="none" w:sz="0" w:space="0" w:color="3D3D3D"/>
            <w:left w:val="none" w:sz="0" w:space="0" w:color="3D3D3D"/>
            <w:bottom w:val="none" w:sz="0" w:space="0" w:color="3D3D3D"/>
            <w:right w:val="none" w:sz="0" w:space="0" w:color="3D3D3D"/>
          </w:divBdr>
          <w:divsChild>
            <w:div w:id="707792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94897788">
      <w:bodyDiv w:val="1"/>
      <w:marLeft w:val="0"/>
      <w:marRight w:val="0"/>
      <w:marTop w:val="0"/>
      <w:marBottom w:val="0"/>
      <w:divBdr>
        <w:top w:val="none" w:sz="0" w:space="0" w:color="auto"/>
        <w:left w:val="none" w:sz="0" w:space="0" w:color="auto"/>
        <w:bottom w:val="none" w:sz="0" w:space="0" w:color="auto"/>
        <w:right w:val="none" w:sz="0" w:space="0" w:color="auto"/>
      </w:divBdr>
      <w:divsChild>
        <w:div w:id="461391324">
          <w:marLeft w:val="0"/>
          <w:marRight w:val="0"/>
          <w:marTop w:val="0"/>
          <w:marBottom w:val="0"/>
          <w:divBdr>
            <w:top w:val="none" w:sz="0" w:space="0" w:color="3D3D3D"/>
            <w:left w:val="none" w:sz="0" w:space="0" w:color="3D3D3D"/>
            <w:bottom w:val="none" w:sz="0" w:space="0" w:color="3D3D3D"/>
            <w:right w:val="none" w:sz="0" w:space="0" w:color="3D3D3D"/>
          </w:divBdr>
          <w:divsChild>
            <w:div w:id="12296077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08322391">
      <w:bodyDiv w:val="1"/>
      <w:marLeft w:val="0"/>
      <w:marRight w:val="0"/>
      <w:marTop w:val="0"/>
      <w:marBottom w:val="0"/>
      <w:divBdr>
        <w:top w:val="none" w:sz="0" w:space="0" w:color="auto"/>
        <w:left w:val="none" w:sz="0" w:space="0" w:color="auto"/>
        <w:bottom w:val="none" w:sz="0" w:space="0" w:color="auto"/>
        <w:right w:val="none" w:sz="0" w:space="0" w:color="auto"/>
      </w:divBdr>
      <w:divsChild>
        <w:div w:id="2048488994">
          <w:marLeft w:val="0"/>
          <w:marRight w:val="0"/>
          <w:marTop w:val="0"/>
          <w:marBottom w:val="0"/>
          <w:divBdr>
            <w:top w:val="none" w:sz="0" w:space="0" w:color="3D3D3D"/>
            <w:left w:val="none" w:sz="0" w:space="0" w:color="3D3D3D"/>
            <w:bottom w:val="none" w:sz="0" w:space="0" w:color="3D3D3D"/>
            <w:right w:val="none" w:sz="0" w:space="0" w:color="3D3D3D"/>
          </w:divBdr>
          <w:divsChild>
            <w:div w:id="3138765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13826579">
      <w:bodyDiv w:val="1"/>
      <w:marLeft w:val="0"/>
      <w:marRight w:val="0"/>
      <w:marTop w:val="0"/>
      <w:marBottom w:val="0"/>
      <w:divBdr>
        <w:top w:val="none" w:sz="0" w:space="0" w:color="auto"/>
        <w:left w:val="none" w:sz="0" w:space="0" w:color="auto"/>
        <w:bottom w:val="none" w:sz="0" w:space="0" w:color="auto"/>
        <w:right w:val="none" w:sz="0" w:space="0" w:color="auto"/>
      </w:divBdr>
      <w:divsChild>
        <w:div w:id="51272308">
          <w:marLeft w:val="0"/>
          <w:marRight w:val="0"/>
          <w:marTop w:val="0"/>
          <w:marBottom w:val="0"/>
          <w:divBdr>
            <w:top w:val="none" w:sz="0" w:space="0" w:color="3D3D3D"/>
            <w:left w:val="none" w:sz="0" w:space="0" w:color="3D3D3D"/>
            <w:bottom w:val="none" w:sz="0" w:space="0" w:color="3D3D3D"/>
            <w:right w:val="none" w:sz="0" w:space="0" w:color="3D3D3D"/>
          </w:divBdr>
          <w:divsChild>
            <w:div w:id="21166368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1272902">
      <w:bodyDiv w:val="1"/>
      <w:marLeft w:val="0"/>
      <w:marRight w:val="0"/>
      <w:marTop w:val="0"/>
      <w:marBottom w:val="0"/>
      <w:divBdr>
        <w:top w:val="none" w:sz="0" w:space="0" w:color="auto"/>
        <w:left w:val="none" w:sz="0" w:space="0" w:color="auto"/>
        <w:bottom w:val="none" w:sz="0" w:space="0" w:color="auto"/>
        <w:right w:val="none" w:sz="0" w:space="0" w:color="auto"/>
      </w:divBdr>
      <w:divsChild>
        <w:div w:id="997881208">
          <w:marLeft w:val="0"/>
          <w:marRight w:val="0"/>
          <w:marTop w:val="0"/>
          <w:marBottom w:val="0"/>
          <w:divBdr>
            <w:top w:val="none" w:sz="0" w:space="0" w:color="3D3D3D"/>
            <w:left w:val="none" w:sz="0" w:space="0" w:color="3D3D3D"/>
            <w:bottom w:val="none" w:sz="0" w:space="0" w:color="3D3D3D"/>
            <w:right w:val="none" w:sz="0" w:space="0" w:color="3D3D3D"/>
          </w:divBdr>
          <w:divsChild>
            <w:div w:id="34212706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6935209">
      <w:bodyDiv w:val="1"/>
      <w:marLeft w:val="0"/>
      <w:marRight w:val="0"/>
      <w:marTop w:val="0"/>
      <w:marBottom w:val="0"/>
      <w:divBdr>
        <w:top w:val="none" w:sz="0" w:space="0" w:color="auto"/>
        <w:left w:val="none" w:sz="0" w:space="0" w:color="auto"/>
        <w:bottom w:val="none" w:sz="0" w:space="0" w:color="auto"/>
        <w:right w:val="none" w:sz="0" w:space="0" w:color="auto"/>
      </w:divBdr>
      <w:divsChild>
        <w:div w:id="1467548219">
          <w:marLeft w:val="0"/>
          <w:marRight w:val="0"/>
          <w:marTop w:val="0"/>
          <w:marBottom w:val="0"/>
          <w:divBdr>
            <w:top w:val="none" w:sz="0" w:space="0" w:color="3D3D3D"/>
            <w:left w:val="none" w:sz="0" w:space="0" w:color="3D3D3D"/>
            <w:bottom w:val="none" w:sz="0" w:space="0" w:color="3D3D3D"/>
            <w:right w:val="none" w:sz="0" w:space="0" w:color="3D3D3D"/>
          </w:divBdr>
          <w:divsChild>
            <w:div w:id="9799679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94887376">
      <w:bodyDiv w:val="1"/>
      <w:marLeft w:val="0"/>
      <w:marRight w:val="0"/>
      <w:marTop w:val="0"/>
      <w:marBottom w:val="0"/>
      <w:divBdr>
        <w:top w:val="none" w:sz="0" w:space="0" w:color="auto"/>
        <w:left w:val="none" w:sz="0" w:space="0" w:color="auto"/>
        <w:bottom w:val="none" w:sz="0" w:space="0" w:color="auto"/>
        <w:right w:val="none" w:sz="0" w:space="0" w:color="auto"/>
      </w:divBdr>
      <w:divsChild>
        <w:div w:id="936405944">
          <w:marLeft w:val="0"/>
          <w:marRight w:val="0"/>
          <w:marTop w:val="0"/>
          <w:marBottom w:val="0"/>
          <w:divBdr>
            <w:top w:val="none" w:sz="0" w:space="0" w:color="3D3D3D"/>
            <w:left w:val="none" w:sz="0" w:space="0" w:color="3D3D3D"/>
            <w:bottom w:val="none" w:sz="0" w:space="0" w:color="3D3D3D"/>
            <w:right w:val="none" w:sz="0" w:space="0" w:color="3D3D3D"/>
          </w:divBdr>
          <w:divsChild>
            <w:div w:id="2897532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03020873">
      <w:bodyDiv w:val="1"/>
      <w:marLeft w:val="0"/>
      <w:marRight w:val="0"/>
      <w:marTop w:val="0"/>
      <w:marBottom w:val="0"/>
      <w:divBdr>
        <w:top w:val="none" w:sz="0" w:space="0" w:color="auto"/>
        <w:left w:val="none" w:sz="0" w:space="0" w:color="auto"/>
        <w:bottom w:val="none" w:sz="0" w:space="0" w:color="auto"/>
        <w:right w:val="none" w:sz="0" w:space="0" w:color="auto"/>
      </w:divBdr>
      <w:divsChild>
        <w:div w:id="182519309">
          <w:marLeft w:val="0"/>
          <w:marRight w:val="0"/>
          <w:marTop w:val="0"/>
          <w:marBottom w:val="0"/>
          <w:divBdr>
            <w:top w:val="none" w:sz="0" w:space="0" w:color="3D3D3D"/>
            <w:left w:val="none" w:sz="0" w:space="0" w:color="3D3D3D"/>
            <w:bottom w:val="none" w:sz="0" w:space="0" w:color="3D3D3D"/>
            <w:right w:val="none" w:sz="0" w:space="0" w:color="3D3D3D"/>
          </w:divBdr>
          <w:divsChild>
            <w:div w:id="15154161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05955502">
      <w:bodyDiv w:val="1"/>
      <w:marLeft w:val="0"/>
      <w:marRight w:val="0"/>
      <w:marTop w:val="0"/>
      <w:marBottom w:val="0"/>
      <w:divBdr>
        <w:top w:val="none" w:sz="0" w:space="0" w:color="auto"/>
        <w:left w:val="none" w:sz="0" w:space="0" w:color="auto"/>
        <w:bottom w:val="none" w:sz="0" w:space="0" w:color="auto"/>
        <w:right w:val="none" w:sz="0" w:space="0" w:color="auto"/>
      </w:divBdr>
      <w:divsChild>
        <w:div w:id="1357579175">
          <w:marLeft w:val="0"/>
          <w:marRight w:val="0"/>
          <w:marTop w:val="0"/>
          <w:marBottom w:val="0"/>
          <w:divBdr>
            <w:top w:val="none" w:sz="0" w:space="0" w:color="3D3D3D"/>
            <w:left w:val="none" w:sz="0" w:space="0" w:color="3D3D3D"/>
            <w:bottom w:val="none" w:sz="0" w:space="0" w:color="3D3D3D"/>
            <w:right w:val="none" w:sz="0" w:space="0" w:color="3D3D3D"/>
          </w:divBdr>
          <w:divsChild>
            <w:div w:id="15808207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63460139">
      <w:bodyDiv w:val="1"/>
      <w:marLeft w:val="0"/>
      <w:marRight w:val="0"/>
      <w:marTop w:val="0"/>
      <w:marBottom w:val="0"/>
      <w:divBdr>
        <w:top w:val="none" w:sz="0" w:space="0" w:color="auto"/>
        <w:left w:val="none" w:sz="0" w:space="0" w:color="auto"/>
        <w:bottom w:val="none" w:sz="0" w:space="0" w:color="auto"/>
        <w:right w:val="none" w:sz="0" w:space="0" w:color="auto"/>
      </w:divBdr>
      <w:divsChild>
        <w:div w:id="1279217961">
          <w:marLeft w:val="0"/>
          <w:marRight w:val="0"/>
          <w:marTop w:val="0"/>
          <w:marBottom w:val="0"/>
          <w:divBdr>
            <w:top w:val="none" w:sz="0" w:space="0" w:color="3D3D3D"/>
            <w:left w:val="none" w:sz="0" w:space="0" w:color="3D3D3D"/>
            <w:bottom w:val="none" w:sz="0" w:space="0" w:color="3D3D3D"/>
            <w:right w:val="none" w:sz="0" w:space="0" w:color="3D3D3D"/>
          </w:divBdr>
          <w:divsChild>
            <w:div w:id="19000457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75101261">
      <w:bodyDiv w:val="1"/>
      <w:marLeft w:val="0"/>
      <w:marRight w:val="0"/>
      <w:marTop w:val="0"/>
      <w:marBottom w:val="0"/>
      <w:divBdr>
        <w:top w:val="none" w:sz="0" w:space="0" w:color="auto"/>
        <w:left w:val="none" w:sz="0" w:space="0" w:color="auto"/>
        <w:bottom w:val="none" w:sz="0" w:space="0" w:color="auto"/>
        <w:right w:val="none" w:sz="0" w:space="0" w:color="auto"/>
      </w:divBdr>
      <w:divsChild>
        <w:div w:id="1079331229">
          <w:marLeft w:val="0"/>
          <w:marRight w:val="0"/>
          <w:marTop w:val="0"/>
          <w:marBottom w:val="0"/>
          <w:divBdr>
            <w:top w:val="none" w:sz="0" w:space="0" w:color="3D3D3D"/>
            <w:left w:val="none" w:sz="0" w:space="0" w:color="3D3D3D"/>
            <w:bottom w:val="none" w:sz="0" w:space="0" w:color="3D3D3D"/>
            <w:right w:val="none" w:sz="0" w:space="0" w:color="3D3D3D"/>
          </w:divBdr>
          <w:divsChild>
            <w:div w:id="21130865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79641394">
      <w:bodyDiv w:val="1"/>
      <w:marLeft w:val="0"/>
      <w:marRight w:val="0"/>
      <w:marTop w:val="0"/>
      <w:marBottom w:val="0"/>
      <w:divBdr>
        <w:top w:val="none" w:sz="0" w:space="0" w:color="auto"/>
        <w:left w:val="none" w:sz="0" w:space="0" w:color="auto"/>
        <w:bottom w:val="none" w:sz="0" w:space="0" w:color="auto"/>
        <w:right w:val="none" w:sz="0" w:space="0" w:color="auto"/>
      </w:divBdr>
      <w:divsChild>
        <w:div w:id="418987614">
          <w:marLeft w:val="0"/>
          <w:marRight w:val="0"/>
          <w:marTop w:val="0"/>
          <w:marBottom w:val="0"/>
          <w:divBdr>
            <w:top w:val="none" w:sz="0" w:space="0" w:color="3D3D3D"/>
            <w:left w:val="none" w:sz="0" w:space="0" w:color="3D3D3D"/>
            <w:bottom w:val="none" w:sz="0" w:space="0" w:color="3D3D3D"/>
            <w:right w:val="none" w:sz="0" w:space="0" w:color="3D3D3D"/>
          </w:divBdr>
          <w:divsChild>
            <w:div w:id="1415031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98303853">
      <w:bodyDiv w:val="1"/>
      <w:marLeft w:val="0"/>
      <w:marRight w:val="0"/>
      <w:marTop w:val="0"/>
      <w:marBottom w:val="0"/>
      <w:divBdr>
        <w:top w:val="none" w:sz="0" w:space="0" w:color="auto"/>
        <w:left w:val="none" w:sz="0" w:space="0" w:color="auto"/>
        <w:bottom w:val="none" w:sz="0" w:space="0" w:color="auto"/>
        <w:right w:val="none" w:sz="0" w:space="0" w:color="auto"/>
      </w:divBdr>
      <w:divsChild>
        <w:div w:id="841820407">
          <w:marLeft w:val="0"/>
          <w:marRight w:val="0"/>
          <w:marTop w:val="0"/>
          <w:marBottom w:val="0"/>
          <w:divBdr>
            <w:top w:val="none" w:sz="0" w:space="0" w:color="3D3D3D"/>
            <w:left w:val="none" w:sz="0" w:space="0" w:color="3D3D3D"/>
            <w:bottom w:val="none" w:sz="0" w:space="0" w:color="3D3D3D"/>
            <w:right w:val="none" w:sz="0" w:space="0" w:color="3D3D3D"/>
          </w:divBdr>
          <w:divsChild>
            <w:div w:id="17893986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07090975">
      <w:bodyDiv w:val="1"/>
      <w:marLeft w:val="0"/>
      <w:marRight w:val="0"/>
      <w:marTop w:val="0"/>
      <w:marBottom w:val="0"/>
      <w:divBdr>
        <w:top w:val="none" w:sz="0" w:space="0" w:color="auto"/>
        <w:left w:val="none" w:sz="0" w:space="0" w:color="auto"/>
        <w:bottom w:val="none" w:sz="0" w:space="0" w:color="auto"/>
        <w:right w:val="none" w:sz="0" w:space="0" w:color="auto"/>
      </w:divBdr>
      <w:divsChild>
        <w:div w:id="465660967">
          <w:marLeft w:val="0"/>
          <w:marRight w:val="0"/>
          <w:marTop w:val="0"/>
          <w:marBottom w:val="0"/>
          <w:divBdr>
            <w:top w:val="none" w:sz="0" w:space="0" w:color="3D3D3D"/>
            <w:left w:val="none" w:sz="0" w:space="0" w:color="3D3D3D"/>
            <w:bottom w:val="none" w:sz="0" w:space="0" w:color="3D3D3D"/>
            <w:right w:val="none" w:sz="0" w:space="0" w:color="3D3D3D"/>
          </w:divBdr>
          <w:divsChild>
            <w:div w:id="12311892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29295009">
      <w:bodyDiv w:val="1"/>
      <w:marLeft w:val="0"/>
      <w:marRight w:val="0"/>
      <w:marTop w:val="0"/>
      <w:marBottom w:val="0"/>
      <w:divBdr>
        <w:top w:val="none" w:sz="0" w:space="0" w:color="auto"/>
        <w:left w:val="none" w:sz="0" w:space="0" w:color="auto"/>
        <w:bottom w:val="none" w:sz="0" w:space="0" w:color="auto"/>
        <w:right w:val="none" w:sz="0" w:space="0" w:color="auto"/>
      </w:divBdr>
      <w:divsChild>
        <w:div w:id="350617791">
          <w:marLeft w:val="0"/>
          <w:marRight w:val="0"/>
          <w:marTop w:val="0"/>
          <w:marBottom w:val="0"/>
          <w:divBdr>
            <w:top w:val="none" w:sz="0" w:space="0" w:color="3D3D3D"/>
            <w:left w:val="none" w:sz="0" w:space="0" w:color="3D3D3D"/>
            <w:bottom w:val="none" w:sz="0" w:space="0" w:color="3D3D3D"/>
            <w:right w:val="none" w:sz="0" w:space="0" w:color="3D3D3D"/>
          </w:divBdr>
          <w:divsChild>
            <w:div w:id="7855814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49568497">
      <w:bodyDiv w:val="1"/>
      <w:marLeft w:val="0"/>
      <w:marRight w:val="0"/>
      <w:marTop w:val="0"/>
      <w:marBottom w:val="0"/>
      <w:divBdr>
        <w:top w:val="none" w:sz="0" w:space="0" w:color="auto"/>
        <w:left w:val="none" w:sz="0" w:space="0" w:color="auto"/>
        <w:bottom w:val="none" w:sz="0" w:space="0" w:color="auto"/>
        <w:right w:val="none" w:sz="0" w:space="0" w:color="auto"/>
      </w:divBdr>
      <w:divsChild>
        <w:div w:id="1642272567">
          <w:marLeft w:val="0"/>
          <w:marRight w:val="0"/>
          <w:marTop w:val="0"/>
          <w:marBottom w:val="0"/>
          <w:divBdr>
            <w:top w:val="none" w:sz="0" w:space="0" w:color="3D3D3D"/>
            <w:left w:val="none" w:sz="0" w:space="0" w:color="3D3D3D"/>
            <w:bottom w:val="none" w:sz="0" w:space="0" w:color="3D3D3D"/>
            <w:right w:val="none" w:sz="0" w:space="0" w:color="3D3D3D"/>
          </w:divBdr>
          <w:divsChild>
            <w:div w:id="53276446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9732852">
      <w:bodyDiv w:val="1"/>
      <w:marLeft w:val="0"/>
      <w:marRight w:val="0"/>
      <w:marTop w:val="0"/>
      <w:marBottom w:val="0"/>
      <w:divBdr>
        <w:top w:val="none" w:sz="0" w:space="0" w:color="auto"/>
        <w:left w:val="none" w:sz="0" w:space="0" w:color="auto"/>
        <w:bottom w:val="none" w:sz="0" w:space="0" w:color="auto"/>
        <w:right w:val="none" w:sz="0" w:space="0" w:color="auto"/>
      </w:divBdr>
      <w:divsChild>
        <w:div w:id="17893161">
          <w:marLeft w:val="0"/>
          <w:marRight w:val="0"/>
          <w:marTop w:val="0"/>
          <w:marBottom w:val="0"/>
          <w:divBdr>
            <w:top w:val="none" w:sz="0" w:space="0" w:color="3D3D3D"/>
            <w:left w:val="none" w:sz="0" w:space="0" w:color="3D3D3D"/>
            <w:bottom w:val="none" w:sz="0" w:space="0" w:color="3D3D3D"/>
            <w:right w:val="none" w:sz="0" w:space="0" w:color="3D3D3D"/>
          </w:divBdr>
          <w:divsChild>
            <w:div w:id="14404915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13930161">
      <w:bodyDiv w:val="1"/>
      <w:marLeft w:val="0"/>
      <w:marRight w:val="0"/>
      <w:marTop w:val="0"/>
      <w:marBottom w:val="0"/>
      <w:divBdr>
        <w:top w:val="none" w:sz="0" w:space="0" w:color="auto"/>
        <w:left w:val="none" w:sz="0" w:space="0" w:color="auto"/>
        <w:bottom w:val="none" w:sz="0" w:space="0" w:color="auto"/>
        <w:right w:val="none" w:sz="0" w:space="0" w:color="auto"/>
      </w:divBdr>
      <w:divsChild>
        <w:div w:id="1527791075">
          <w:marLeft w:val="0"/>
          <w:marRight w:val="0"/>
          <w:marTop w:val="0"/>
          <w:marBottom w:val="0"/>
          <w:divBdr>
            <w:top w:val="none" w:sz="0" w:space="0" w:color="3D3D3D"/>
            <w:left w:val="none" w:sz="0" w:space="0" w:color="3D3D3D"/>
            <w:bottom w:val="none" w:sz="0" w:space="0" w:color="3D3D3D"/>
            <w:right w:val="none" w:sz="0" w:space="0" w:color="3D3D3D"/>
          </w:divBdr>
          <w:divsChild>
            <w:div w:id="8417735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18831327">
      <w:bodyDiv w:val="1"/>
      <w:marLeft w:val="0"/>
      <w:marRight w:val="0"/>
      <w:marTop w:val="0"/>
      <w:marBottom w:val="0"/>
      <w:divBdr>
        <w:top w:val="none" w:sz="0" w:space="0" w:color="auto"/>
        <w:left w:val="none" w:sz="0" w:space="0" w:color="auto"/>
        <w:bottom w:val="none" w:sz="0" w:space="0" w:color="auto"/>
        <w:right w:val="none" w:sz="0" w:space="0" w:color="auto"/>
      </w:divBdr>
      <w:divsChild>
        <w:div w:id="1449662771">
          <w:marLeft w:val="0"/>
          <w:marRight w:val="0"/>
          <w:marTop w:val="0"/>
          <w:marBottom w:val="0"/>
          <w:divBdr>
            <w:top w:val="none" w:sz="0" w:space="0" w:color="3D3D3D"/>
            <w:left w:val="none" w:sz="0" w:space="0" w:color="3D3D3D"/>
            <w:bottom w:val="none" w:sz="0" w:space="0" w:color="3D3D3D"/>
            <w:right w:val="none" w:sz="0" w:space="0" w:color="3D3D3D"/>
          </w:divBdr>
          <w:divsChild>
            <w:div w:id="11034513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3539536">
      <w:bodyDiv w:val="1"/>
      <w:marLeft w:val="0"/>
      <w:marRight w:val="0"/>
      <w:marTop w:val="0"/>
      <w:marBottom w:val="0"/>
      <w:divBdr>
        <w:top w:val="none" w:sz="0" w:space="0" w:color="auto"/>
        <w:left w:val="none" w:sz="0" w:space="0" w:color="auto"/>
        <w:bottom w:val="none" w:sz="0" w:space="0" w:color="auto"/>
        <w:right w:val="none" w:sz="0" w:space="0" w:color="auto"/>
      </w:divBdr>
      <w:divsChild>
        <w:div w:id="442265789">
          <w:marLeft w:val="0"/>
          <w:marRight w:val="0"/>
          <w:marTop w:val="0"/>
          <w:marBottom w:val="0"/>
          <w:divBdr>
            <w:top w:val="none" w:sz="0" w:space="0" w:color="3D3D3D"/>
            <w:left w:val="none" w:sz="0" w:space="0" w:color="3D3D3D"/>
            <w:bottom w:val="none" w:sz="0" w:space="0" w:color="3D3D3D"/>
            <w:right w:val="none" w:sz="0" w:space="0" w:color="3D3D3D"/>
          </w:divBdr>
          <w:divsChild>
            <w:div w:id="8116778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4339000">
      <w:bodyDiv w:val="1"/>
      <w:marLeft w:val="0"/>
      <w:marRight w:val="0"/>
      <w:marTop w:val="0"/>
      <w:marBottom w:val="0"/>
      <w:divBdr>
        <w:top w:val="none" w:sz="0" w:space="0" w:color="auto"/>
        <w:left w:val="none" w:sz="0" w:space="0" w:color="auto"/>
        <w:bottom w:val="none" w:sz="0" w:space="0" w:color="auto"/>
        <w:right w:val="none" w:sz="0" w:space="0" w:color="auto"/>
      </w:divBdr>
      <w:divsChild>
        <w:div w:id="2056617721">
          <w:marLeft w:val="0"/>
          <w:marRight w:val="0"/>
          <w:marTop w:val="0"/>
          <w:marBottom w:val="0"/>
          <w:divBdr>
            <w:top w:val="none" w:sz="0" w:space="0" w:color="3D3D3D"/>
            <w:left w:val="none" w:sz="0" w:space="0" w:color="3D3D3D"/>
            <w:bottom w:val="none" w:sz="0" w:space="0" w:color="3D3D3D"/>
            <w:right w:val="none" w:sz="0" w:space="0" w:color="3D3D3D"/>
          </w:divBdr>
          <w:divsChild>
            <w:div w:id="66987084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79842185">
      <w:bodyDiv w:val="1"/>
      <w:marLeft w:val="0"/>
      <w:marRight w:val="0"/>
      <w:marTop w:val="0"/>
      <w:marBottom w:val="0"/>
      <w:divBdr>
        <w:top w:val="none" w:sz="0" w:space="0" w:color="auto"/>
        <w:left w:val="none" w:sz="0" w:space="0" w:color="auto"/>
        <w:bottom w:val="none" w:sz="0" w:space="0" w:color="auto"/>
        <w:right w:val="none" w:sz="0" w:space="0" w:color="auto"/>
      </w:divBdr>
      <w:divsChild>
        <w:div w:id="1115636849">
          <w:marLeft w:val="0"/>
          <w:marRight w:val="0"/>
          <w:marTop w:val="0"/>
          <w:marBottom w:val="0"/>
          <w:divBdr>
            <w:top w:val="none" w:sz="0" w:space="0" w:color="3D3D3D"/>
            <w:left w:val="none" w:sz="0" w:space="0" w:color="3D3D3D"/>
            <w:bottom w:val="none" w:sz="0" w:space="0" w:color="3D3D3D"/>
            <w:right w:val="none" w:sz="0" w:space="0" w:color="3D3D3D"/>
          </w:divBdr>
          <w:divsChild>
            <w:div w:id="2728311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81619580">
      <w:bodyDiv w:val="1"/>
      <w:marLeft w:val="0"/>
      <w:marRight w:val="0"/>
      <w:marTop w:val="0"/>
      <w:marBottom w:val="0"/>
      <w:divBdr>
        <w:top w:val="none" w:sz="0" w:space="0" w:color="auto"/>
        <w:left w:val="none" w:sz="0" w:space="0" w:color="auto"/>
        <w:bottom w:val="none" w:sz="0" w:space="0" w:color="auto"/>
        <w:right w:val="none" w:sz="0" w:space="0" w:color="auto"/>
      </w:divBdr>
      <w:divsChild>
        <w:div w:id="646596317">
          <w:marLeft w:val="0"/>
          <w:marRight w:val="0"/>
          <w:marTop w:val="0"/>
          <w:marBottom w:val="0"/>
          <w:divBdr>
            <w:top w:val="none" w:sz="0" w:space="0" w:color="3D3D3D"/>
            <w:left w:val="none" w:sz="0" w:space="0" w:color="3D3D3D"/>
            <w:bottom w:val="none" w:sz="0" w:space="0" w:color="3D3D3D"/>
            <w:right w:val="none" w:sz="0" w:space="0" w:color="3D3D3D"/>
          </w:divBdr>
          <w:divsChild>
            <w:div w:id="10704686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843541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322">
          <w:marLeft w:val="0"/>
          <w:marRight w:val="0"/>
          <w:marTop w:val="0"/>
          <w:marBottom w:val="0"/>
          <w:divBdr>
            <w:top w:val="none" w:sz="0" w:space="0" w:color="3D3D3D"/>
            <w:left w:val="none" w:sz="0" w:space="0" w:color="3D3D3D"/>
            <w:bottom w:val="none" w:sz="0" w:space="0" w:color="3D3D3D"/>
            <w:right w:val="none" w:sz="0" w:space="0" w:color="3D3D3D"/>
          </w:divBdr>
          <w:divsChild>
            <w:div w:id="20278275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79331668">
      <w:bodyDiv w:val="1"/>
      <w:marLeft w:val="0"/>
      <w:marRight w:val="0"/>
      <w:marTop w:val="0"/>
      <w:marBottom w:val="0"/>
      <w:divBdr>
        <w:top w:val="none" w:sz="0" w:space="0" w:color="auto"/>
        <w:left w:val="none" w:sz="0" w:space="0" w:color="auto"/>
        <w:bottom w:val="none" w:sz="0" w:space="0" w:color="auto"/>
        <w:right w:val="none" w:sz="0" w:space="0" w:color="auto"/>
      </w:divBdr>
      <w:divsChild>
        <w:div w:id="375352055">
          <w:marLeft w:val="0"/>
          <w:marRight w:val="0"/>
          <w:marTop w:val="0"/>
          <w:marBottom w:val="0"/>
          <w:divBdr>
            <w:top w:val="none" w:sz="0" w:space="0" w:color="3D3D3D"/>
            <w:left w:val="none" w:sz="0" w:space="0" w:color="3D3D3D"/>
            <w:bottom w:val="none" w:sz="0" w:space="0" w:color="3D3D3D"/>
            <w:right w:val="none" w:sz="0" w:space="0" w:color="3D3D3D"/>
          </w:divBdr>
          <w:divsChild>
            <w:div w:id="14284970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3527365">
      <w:bodyDiv w:val="1"/>
      <w:marLeft w:val="0"/>
      <w:marRight w:val="0"/>
      <w:marTop w:val="0"/>
      <w:marBottom w:val="0"/>
      <w:divBdr>
        <w:top w:val="none" w:sz="0" w:space="0" w:color="auto"/>
        <w:left w:val="none" w:sz="0" w:space="0" w:color="auto"/>
        <w:bottom w:val="none" w:sz="0" w:space="0" w:color="auto"/>
        <w:right w:val="none" w:sz="0" w:space="0" w:color="auto"/>
      </w:divBdr>
      <w:divsChild>
        <w:div w:id="1470439521">
          <w:marLeft w:val="0"/>
          <w:marRight w:val="0"/>
          <w:marTop w:val="0"/>
          <w:marBottom w:val="0"/>
          <w:divBdr>
            <w:top w:val="none" w:sz="0" w:space="0" w:color="3D3D3D"/>
            <w:left w:val="none" w:sz="0" w:space="0" w:color="3D3D3D"/>
            <w:bottom w:val="none" w:sz="0" w:space="0" w:color="3D3D3D"/>
            <w:right w:val="none" w:sz="0" w:space="0" w:color="3D3D3D"/>
          </w:divBdr>
          <w:divsChild>
            <w:div w:id="139697143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04692907">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3D3D3D"/>
            <w:left w:val="none" w:sz="0" w:space="0" w:color="3D3D3D"/>
            <w:bottom w:val="none" w:sz="0" w:space="0" w:color="3D3D3D"/>
            <w:right w:val="none" w:sz="0" w:space="0" w:color="3D3D3D"/>
          </w:divBdr>
          <w:divsChild>
            <w:div w:id="12017456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1215445">
      <w:bodyDiv w:val="1"/>
      <w:marLeft w:val="0"/>
      <w:marRight w:val="0"/>
      <w:marTop w:val="0"/>
      <w:marBottom w:val="0"/>
      <w:divBdr>
        <w:top w:val="none" w:sz="0" w:space="0" w:color="auto"/>
        <w:left w:val="none" w:sz="0" w:space="0" w:color="auto"/>
        <w:bottom w:val="none" w:sz="0" w:space="0" w:color="auto"/>
        <w:right w:val="none" w:sz="0" w:space="0" w:color="auto"/>
      </w:divBdr>
      <w:divsChild>
        <w:div w:id="903370830">
          <w:marLeft w:val="0"/>
          <w:marRight w:val="0"/>
          <w:marTop w:val="0"/>
          <w:marBottom w:val="0"/>
          <w:divBdr>
            <w:top w:val="none" w:sz="0" w:space="0" w:color="3D3D3D"/>
            <w:left w:val="none" w:sz="0" w:space="0" w:color="3D3D3D"/>
            <w:bottom w:val="none" w:sz="0" w:space="0" w:color="3D3D3D"/>
            <w:right w:val="none" w:sz="0" w:space="0" w:color="3D3D3D"/>
          </w:divBdr>
          <w:divsChild>
            <w:div w:id="4393758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2308488">
      <w:bodyDiv w:val="1"/>
      <w:marLeft w:val="0"/>
      <w:marRight w:val="0"/>
      <w:marTop w:val="0"/>
      <w:marBottom w:val="0"/>
      <w:divBdr>
        <w:top w:val="none" w:sz="0" w:space="0" w:color="auto"/>
        <w:left w:val="none" w:sz="0" w:space="0" w:color="auto"/>
        <w:bottom w:val="none" w:sz="0" w:space="0" w:color="auto"/>
        <w:right w:val="none" w:sz="0" w:space="0" w:color="auto"/>
      </w:divBdr>
      <w:divsChild>
        <w:div w:id="1039938722">
          <w:marLeft w:val="0"/>
          <w:marRight w:val="0"/>
          <w:marTop w:val="0"/>
          <w:marBottom w:val="0"/>
          <w:divBdr>
            <w:top w:val="none" w:sz="0" w:space="0" w:color="3D3D3D"/>
            <w:left w:val="none" w:sz="0" w:space="0" w:color="3D3D3D"/>
            <w:bottom w:val="none" w:sz="0" w:space="0" w:color="3D3D3D"/>
            <w:right w:val="none" w:sz="0" w:space="0" w:color="3D3D3D"/>
          </w:divBdr>
          <w:divsChild>
            <w:div w:id="2144372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8127234">
      <w:bodyDiv w:val="1"/>
      <w:marLeft w:val="0"/>
      <w:marRight w:val="0"/>
      <w:marTop w:val="0"/>
      <w:marBottom w:val="0"/>
      <w:divBdr>
        <w:top w:val="none" w:sz="0" w:space="0" w:color="auto"/>
        <w:left w:val="none" w:sz="0" w:space="0" w:color="auto"/>
        <w:bottom w:val="none" w:sz="0" w:space="0" w:color="auto"/>
        <w:right w:val="none" w:sz="0" w:space="0" w:color="auto"/>
      </w:divBdr>
      <w:divsChild>
        <w:div w:id="1883708747">
          <w:marLeft w:val="0"/>
          <w:marRight w:val="0"/>
          <w:marTop w:val="0"/>
          <w:marBottom w:val="0"/>
          <w:divBdr>
            <w:top w:val="none" w:sz="0" w:space="0" w:color="3D3D3D"/>
            <w:left w:val="none" w:sz="0" w:space="0" w:color="3D3D3D"/>
            <w:bottom w:val="none" w:sz="0" w:space="0" w:color="3D3D3D"/>
            <w:right w:val="none" w:sz="0" w:space="0" w:color="3D3D3D"/>
          </w:divBdr>
          <w:divsChild>
            <w:div w:id="143537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45411447">
      <w:bodyDiv w:val="1"/>
      <w:marLeft w:val="0"/>
      <w:marRight w:val="0"/>
      <w:marTop w:val="0"/>
      <w:marBottom w:val="0"/>
      <w:divBdr>
        <w:top w:val="none" w:sz="0" w:space="0" w:color="auto"/>
        <w:left w:val="none" w:sz="0" w:space="0" w:color="auto"/>
        <w:bottom w:val="none" w:sz="0" w:space="0" w:color="auto"/>
        <w:right w:val="none" w:sz="0" w:space="0" w:color="auto"/>
      </w:divBdr>
      <w:divsChild>
        <w:div w:id="1190685795">
          <w:marLeft w:val="0"/>
          <w:marRight w:val="0"/>
          <w:marTop w:val="0"/>
          <w:marBottom w:val="0"/>
          <w:divBdr>
            <w:top w:val="none" w:sz="0" w:space="0" w:color="3D3D3D"/>
            <w:left w:val="none" w:sz="0" w:space="0" w:color="3D3D3D"/>
            <w:bottom w:val="none" w:sz="0" w:space="0" w:color="3D3D3D"/>
            <w:right w:val="none" w:sz="0" w:space="0" w:color="3D3D3D"/>
          </w:divBdr>
          <w:divsChild>
            <w:div w:id="14873586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0407816">
      <w:bodyDiv w:val="1"/>
      <w:marLeft w:val="0"/>
      <w:marRight w:val="0"/>
      <w:marTop w:val="0"/>
      <w:marBottom w:val="0"/>
      <w:divBdr>
        <w:top w:val="none" w:sz="0" w:space="0" w:color="auto"/>
        <w:left w:val="none" w:sz="0" w:space="0" w:color="auto"/>
        <w:bottom w:val="none" w:sz="0" w:space="0" w:color="auto"/>
        <w:right w:val="none" w:sz="0" w:space="0" w:color="auto"/>
      </w:divBdr>
      <w:divsChild>
        <w:div w:id="1582981172">
          <w:marLeft w:val="0"/>
          <w:marRight w:val="0"/>
          <w:marTop w:val="0"/>
          <w:marBottom w:val="0"/>
          <w:divBdr>
            <w:top w:val="none" w:sz="0" w:space="0" w:color="3D3D3D"/>
            <w:left w:val="none" w:sz="0" w:space="0" w:color="3D3D3D"/>
            <w:bottom w:val="none" w:sz="0" w:space="0" w:color="3D3D3D"/>
            <w:right w:val="none" w:sz="0" w:space="0" w:color="3D3D3D"/>
          </w:divBdr>
          <w:divsChild>
            <w:div w:id="187067602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94755259">
      <w:bodyDiv w:val="1"/>
      <w:marLeft w:val="0"/>
      <w:marRight w:val="0"/>
      <w:marTop w:val="0"/>
      <w:marBottom w:val="0"/>
      <w:divBdr>
        <w:top w:val="none" w:sz="0" w:space="0" w:color="auto"/>
        <w:left w:val="none" w:sz="0" w:space="0" w:color="auto"/>
        <w:bottom w:val="none" w:sz="0" w:space="0" w:color="auto"/>
        <w:right w:val="none" w:sz="0" w:space="0" w:color="auto"/>
      </w:divBdr>
      <w:divsChild>
        <w:div w:id="502859375">
          <w:marLeft w:val="0"/>
          <w:marRight w:val="0"/>
          <w:marTop w:val="0"/>
          <w:marBottom w:val="0"/>
          <w:divBdr>
            <w:top w:val="none" w:sz="0" w:space="0" w:color="3D3D3D"/>
            <w:left w:val="none" w:sz="0" w:space="0" w:color="3D3D3D"/>
            <w:bottom w:val="none" w:sz="0" w:space="0" w:color="3D3D3D"/>
            <w:right w:val="none" w:sz="0" w:space="0" w:color="3D3D3D"/>
          </w:divBdr>
          <w:divsChild>
            <w:div w:id="11100523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99797118">
      <w:bodyDiv w:val="1"/>
      <w:marLeft w:val="0"/>
      <w:marRight w:val="0"/>
      <w:marTop w:val="0"/>
      <w:marBottom w:val="0"/>
      <w:divBdr>
        <w:top w:val="none" w:sz="0" w:space="0" w:color="auto"/>
        <w:left w:val="none" w:sz="0" w:space="0" w:color="auto"/>
        <w:bottom w:val="none" w:sz="0" w:space="0" w:color="auto"/>
        <w:right w:val="none" w:sz="0" w:space="0" w:color="auto"/>
      </w:divBdr>
      <w:divsChild>
        <w:div w:id="211232886">
          <w:marLeft w:val="0"/>
          <w:marRight w:val="0"/>
          <w:marTop w:val="0"/>
          <w:marBottom w:val="0"/>
          <w:divBdr>
            <w:top w:val="none" w:sz="0" w:space="0" w:color="3D3D3D"/>
            <w:left w:val="none" w:sz="0" w:space="0" w:color="3D3D3D"/>
            <w:bottom w:val="none" w:sz="0" w:space="0" w:color="3D3D3D"/>
            <w:right w:val="none" w:sz="0" w:space="0" w:color="3D3D3D"/>
          </w:divBdr>
          <w:divsChild>
            <w:div w:id="11391012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22850357">
      <w:bodyDiv w:val="1"/>
      <w:marLeft w:val="0"/>
      <w:marRight w:val="0"/>
      <w:marTop w:val="0"/>
      <w:marBottom w:val="0"/>
      <w:divBdr>
        <w:top w:val="none" w:sz="0" w:space="0" w:color="auto"/>
        <w:left w:val="none" w:sz="0" w:space="0" w:color="auto"/>
        <w:bottom w:val="none" w:sz="0" w:space="0" w:color="auto"/>
        <w:right w:val="none" w:sz="0" w:space="0" w:color="auto"/>
      </w:divBdr>
      <w:divsChild>
        <w:div w:id="622612047">
          <w:marLeft w:val="0"/>
          <w:marRight w:val="0"/>
          <w:marTop w:val="0"/>
          <w:marBottom w:val="0"/>
          <w:divBdr>
            <w:top w:val="none" w:sz="0" w:space="0" w:color="3D3D3D"/>
            <w:left w:val="none" w:sz="0" w:space="0" w:color="3D3D3D"/>
            <w:bottom w:val="none" w:sz="0" w:space="0" w:color="3D3D3D"/>
            <w:right w:val="none" w:sz="0" w:space="0" w:color="3D3D3D"/>
          </w:divBdr>
          <w:divsChild>
            <w:div w:id="4838615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51377090">
      <w:bodyDiv w:val="1"/>
      <w:marLeft w:val="0"/>
      <w:marRight w:val="0"/>
      <w:marTop w:val="0"/>
      <w:marBottom w:val="0"/>
      <w:divBdr>
        <w:top w:val="none" w:sz="0" w:space="0" w:color="auto"/>
        <w:left w:val="none" w:sz="0" w:space="0" w:color="auto"/>
        <w:bottom w:val="none" w:sz="0" w:space="0" w:color="auto"/>
        <w:right w:val="none" w:sz="0" w:space="0" w:color="auto"/>
      </w:divBdr>
      <w:divsChild>
        <w:div w:id="1942375681">
          <w:marLeft w:val="0"/>
          <w:marRight w:val="0"/>
          <w:marTop w:val="0"/>
          <w:marBottom w:val="0"/>
          <w:divBdr>
            <w:top w:val="none" w:sz="0" w:space="0" w:color="3D3D3D"/>
            <w:left w:val="none" w:sz="0" w:space="0" w:color="3D3D3D"/>
            <w:bottom w:val="none" w:sz="0" w:space="0" w:color="3D3D3D"/>
            <w:right w:val="none" w:sz="0" w:space="0" w:color="3D3D3D"/>
          </w:divBdr>
          <w:divsChild>
            <w:div w:id="15011142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72264081">
      <w:bodyDiv w:val="1"/>
      <w:marLeft w:val="0"/>
      <w:marRight w:val="0"/>
      <w:marTop w:val="0"/>
      <w:marBottom w:val="0"/>
      <w:divBdr>
        <w:top w:val="none" w:sz="0" w:space="0" w:color="auto"/>
        <w:left w:val="none" w:sz="0" w:space="0" w:color="auto"/>
        <w:bottom w:val="none" w:sz="0" w:space="0" w:color="auto"/>
        <w:right w:val="none" w:sz="0" w:space="0" w:color="auto"/>
      </w:divBdr>
      <w:divsChild>
        <w:div w:id="1353919937">
          <w:marLeft w:val="0"/>
          <w:marRight w:val="0"/>
          <w:marTop w:val="0"/>
          <w:marBottom w:val="0"/>
          <w:divBdr>
            <w:top w:val="none" w:sz="0" w:space="0" w:color="3D3D3D"/>
            <w:left w:val="none" w:sz="0" w:space="0" w:color="3D3D3D"/>
            <w:bottom w:val="none" w:sz="0" w:space="0" w:color="3D3D3D"/>
            <w:right w:val="none" w:sz="0" w:space="0" w:color="3D3D3D"/>
          </w:divBdr>
          <w:divsChild>
            <w:div w:id="6272452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0521949">
      <w:bodyDiv w:val="1"/>
      <w:marLeft w:val="0"/>
      <w:marRight w:val="0"/>
      <w:marTop w:val="0"/>
      <w:marBottom w:val="0"/>
      <w:divBdr>
        <w:top w:val="none" w:sz="0" w:space="0" w:color="auto"/>
        <w:left w:val="none" w:sz="0" w:space="0" w:color="auto"/>
        <w:bottom w:val="none" w:sz="0" w:space="0" w:color="auto"/>
        <w:right w:val="none" w:sz="0" w:space="0" w:color="auto"/>
      </w:divBdr>
      <w:divsChild>
        <w:div w:id="367531896">
          <w:marLeft w:val="0"/>
          <w:marRight w:val="0"/>
          <w:marTop w:val="0"/>
          <w:marBottom w:val="0"/>
          <w:divBdr>
            <w:top w:val="none" w:sz="0" w:space="0" w:color="3D3D3D"/>
            <w:left w:val="none" w:sz="0" w:space="0" w:color="3D3D3D"/>
            <w:bottom w:val="none" w:sz="0" w:space="0" w:color="3D3D3D"/>
            <w:right w:val="none" w:sz="0" w:space="0" w:color="3D3D3D"/>
          </w:divBdr>
          <w:divsChild>
            <w:div w:id="200724283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8766683">
      <w:bodyDiv w:val="1"/>
      <w:marLeft w:val="0"/>
      <w:marRight w:val="0"/>
      <w:marTop w:val="0"/>
      <w:marBottom w:val="0"/>
      <w:divBdr>
        <w:top w:val="none" w:sz="0" w:space="0" w:color="auto"/>
        <w:left w:val="none" w:sz="0" w:space="0" w:color="auto"/>
        <w:bottom w:val="none" w:sz="0" w:space="0" w:color="auto"/>
        <w:right w:val="none" w:sz="0" w:space="0" w:color="auto"/>
      </w:divBdr>
      <w:divsChild>
        <w:div w:id="101152979">
          <w:marLeft w:val="0"/>
          <w:marRight w:val="0"/>
          <w:marTop w:val="0"/>
          <w:marBottom w:val="0"/>
          <w:divBdr>
            <w:top w:val="none" w:sz="0" w:space="0" w:color="3D3D3D"/>
            <w:left w:val="none" w:sz="0" w:space="0" w:color="3D3D3D"/>
            <w:bottom w:val="none" w:sz="0" w:space="0" w:color="3D3D3D"/>
            <w:right w:val="none" w:sz="0" w:space="0" w:color="3D3D3D"/>
          </w:divBdr>
          <w:divsChild>
            <w:div w:id="13548418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81536097">
      <w:bodyDiv w:val="1"/>
      <w:marLeft w:val="0"/>
      <w:marRight w:val="0"/>
      <w:marTop w:val="0"/>
      <w:marBottom w:val="0"/>
      <w:divBdr>
        <w:top w:val="none" w:sz="0" w:space="0" w:color="auto"/>
        <w:left w:val="none" w:sz="0" w:space="0" w:color="auto"/>
        <w:bottom w:val="none" w:sz="0" w:space="0" w:color="auto"/>
        <w:right w:val="none" w:sz="0" w:space="0" w:color="auto"/>
      </w:divBdr>
      <w:divsChild>
        <w:div w:id="110244733">
          <w:marLeft w:val="0"/>
          <w:marRight w:val="0"/>
          <w:marTop w:val="0"/>
          <w:marBottom w:val="0"/>
          <w:divBdr>
            <w:top w:val="none" w:sz="0" w:space="0" w:color="3D3D3D"/>
            <w:left w:val="none" w:sz="0" w:space="0" w:color="3D3D3D"/>
            <w:bottom w:val="none" w:sz="0" w:space="0" w:color="3D3D3D"/>
            <w:right w:val="none" w:sz="0" w:space="0" w:color="3D3D3D"/>
          </w:divBdr>
          <w:divsChild>
            <w:div w:id="161972513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94879106">
      <w:bodyDiv w:val="1"/>
      <w:marLeft w:val="0"/>
      <w:marRight w:val="0"/>
      <w:marTop w:val="0"/>
      <w:marBottom w:val="0"/>
      <w:divBdr>
        <w:top w:val="none" w:sz="0" w:space="0" w:color="auto"/>
        <w:left w:val="none" w:sz="0" w:space="0" w:color="auto"/>
        <w:bottom w:val="none" w:sz="0" w:space="0" w:color="auto"/>
        <w:right w:val="none" w:sz="0" w:space="0" w:color="auto"/>
      </w:divBdr>
      <w:divsChild>
        <w:div w:id="1528835524">
          <w:marLeft w:val="0"/>
          <w:marRight w:val="0"/>
          <w:marTop w:val="0"/>
          <w:marBottom w:val="0"/>
          <w:divBdr>
            <w:top w:val="none" w:sz="0" w:space="0" w:color="3D3D3D"/>
            <w:left w:val="none" w:sz="0" w:space="0" w:color="3D3D3D"/>
            <w:bottom w:val="none" w:sz="0" w:space="0" w:color="3D3D3D"/>
            <w:right w:val="none" w:sz="0" w:space="0" w:color="3D3D3D"/>
          </w:divBdr>
          <w:divsChild>
            <w:div w:id="43714659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04199469">
      <w:bodyDiv w:val="1"/>
      <w:marLeft w:val="0"/>
      <w:marRight w:val="0"/>
      <w:marTop w:val="0"/>
      <w:marBottom w:val="0"/>
      <w:divBdr>
        <w:top w:val="none" w:sz="0" w:space="0" w:color="auto"/>
        <w:left w:val="none" w:sz="0" w:space="0" w:color="auto"/>
        <w:bottom w:val="none" w:sz="0" w:space="0" w:color="auto"/>
        <w:right w:val="none" w:sz="0" w:space="0" w:color="auto"/>
      </w:divBdr>
      <w:divsChild>
        <w:div w:id="2008706822">
          <w:marLeft w:val="0"/>
          <w:marRight w:val="0"/>
          <w:marTop w:val="0"/>
          <w:marBottom w:val="0"/>
          <w:divBdr>
            <w:top w:val="none" w:sz="0" w:space="0" w:color="3D3D3D"/>
            <w:left w:val="none" w:sz="0" w:space="0" w:color="3D3D3D"/>
            <w:bottom w:val="none" w:sz="0" w:space="0" w:color="3D3D3D"/>
            <w:right w:val="none" w:sz="0" w:space="0" w:color="3D3D3D"/>
          </w:divBdr>
          <w:divsChild>
            <w:div w:id="462624362">
              <w:marLeft w:val="0"/>
              <w:marRight w:val="0"/>
              <w:marTop w:val="0"/>
              <w:marBottom w:val="0"/>
              <w:divBdr>
                <w:top w:val="none" w:sz="0" w:space="0" w:color="3D3D3D"/>
                <w:left w:val="none" w:sz="0" w:space="0" w:color="3D3D3D"/>
                <w:bottom w:val="none" w:sz="0" w:space="0" w:color="3D3D3D"/>
                <w:right w:val="none" w:sz="0" w:space="0" w:color="3D3D3D"/>
              </w:divBdr>
              <w:divsChild>
                <w:div w:id="292836202">
                  <w:marLeft w:val="0"/>
                  <w:marRight w:val="0"/>
                  <w:marTop w:val="0"/>
                  <w:marBottom w:val="0"/>
                  <w:divBdr>
                    <w:top w:val="none" w:sz="0" w:space="0" w:color="3D3D3D"/>
                    <w:left w:val="none" w:sz="0" w:space="0" w:color="3D3D3D"/>
                    <w:bottom w:val="none" w:sz="0" w:space="0" w:color="3D3D3D"/>
                    <w:right w:val="none" w:sz="0" w:space="0" w:color="3D3D3D"/>
                  </w:divBdr>
                </w:div>
              </w:divsChild>
            </w:div>
            <w:div w:id="702286480">
              <w:marLeft w:val="0"/>
              <w:marRight w:val="0"/>
              <w:marTop w:val="226"/>
              <w:marBottom w:val="0"/>
              <w:divBdr>
                <w:top w:val="none" w:sz="0" w:space="0" w:color="3D3D3D"/>
                <w:left w:val="none" w:sz="0" w:space="0" w:color="3D3D3D"/>
                <w:bottom w:val="none" w:sz="0" w:space="0" w:color="3D3D3D"/>
                <w:right w:val="none" w:sz="0" w:space="0" w:color="3D3D3D"/>
              </w:divBdr>
              <w:divsChild>
                <w:div w:id="1583300130">
                  <w:marLeft w:val="0"/>
                  <w:marRight w:val="0"/>
                  <w:marTop w:val="0"/>
                  <w:marBottom w:val="0"/>
                  <w:divBdr>
                    <w:top w:val="none" w:sz="0" w:space="0" w:color="3D3D3D"/>
                    <w:left w:val="none" w:sz="0" w:space="0" w:color="3D3D3D"/>
                    <w:bottom w:val="none" w:sz="0" w:space="0" w:color="3D3D3D"/>
                    <w:right w:val="none" w:sz="0" w:space="0" w:color="3D3D3D"/>
                  </w:divBdr>
                </w:div>
              </w:divsChild>
            </w:div>
            <w:div w:id="10508839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13452315">
      <w:bodyDiv w:val="1"/>
      <w:marLeft w:val="0"/>
      <w:marRight w:val="0"/>
      <w:marTop w:val="0"/>
      <w:marBottom w:val="0"/>
      <w:divBdr>
        <w:top w:val="none" w:sz="0" w:space="0" w:color="auto"/>
        <w:left w:val="none" w:sz="0" w:space="0" w:color="auto"/>
        <w:bottom w:val="none" w:sz="0" w:space="0" w:color="auto"/>
        <w:right w:val="none" w:sz="0" w:space="0" w:color="auto"/>
      </w:divBdr>
      <w:divsChild>
        <w:div w:id="1070347740">
          <w:marLeft w:val="0"/>
          <w:marRight w:val="0"/>
          <w:marTop w:val="0"/>
          <w:marBottom w:val="0"/>
          <w:divBdr>
            <w:top w:val="none" w:sz="0" w:space="0" w:color="3D3D3D"/>
            <w:left w:val="none" w:sz="0" w:space="0" w:color="3D3D3D"/>
            <w:bottom w:val="none" w:sz="0" w:space="0" w:color="3D3D3D"/>
            <w:right w:val="none" w:sz="0" w:space="0" w:color="3D3D3D"/>
          </w:divBdr>
          <w:divsChild>
            <w:div w:id="18218466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01140852">
      <w:bodyDiv w:val="1"/>
      <w:marLeft w:val="0"/>
      <w:marRight w:val="0"/>
      <w:marTop w:val="0"/>
      <w:marBottom w:val="0"/>
      <w:divBdr>
        <w:top w:val="none" w:sz="0" w:space="0" w:color="auto"/>
        <w:left w:val="none" w:sz="0" w:space="0" w:color="auto"/>
        <w:bottom w:val="none" w:sz="0" w:space="0" w:color="auto"/>
        <w:right w:val="none" w:sz="0" w:space="0" w:color="auto"/>
      </w:divBdr>
      <w:divsChild>
        <w:div w:id="506135515">
          <w:marLeft w:val="0"/>
          <w:marRight w:val="0"/>
          <w:marTop w:val="0"/>
          <w:marBottom w:val="0"/>
          <w:divBdr>
            <w:top w:val="none" w:sz="0" w:space="0" w:color="3D3D3D"/>
            <w:left w:val="none" w:sz="0" w:space="0" w:color="3D3D3D"/>
            <w:bottom w:val="none" w:sz="0" w:space="0" w:color="3D3D3D"/>
            <w:right w:val="none" w:sz="0" w:space="0" w:color="3D3D3D"/>
          </w:divBdr>
          <w:divsChild>
            <w:div w:id="3997891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59112168">
      <w:bodyDiv w:val="1"/>
      <w:marLeft w:val="0"/>
      <w:marRight w:val="0"/>
      <w:marTop w:val="0"/>
      <w:marBottom w:val="0"/>
      <w:divBdr>
        <w:top w:val="none" w:sz="0" w:space="0" w:color="auto"/>
        <w:left w:val="none" w:sz="0" w:space="0" w:color="auto"/>
        <w:bottom w:val="none" w:sz="0" w:space="0" w:color="auto"/>
        <w:right w:val="none" w:sz="0" w:space="0" w:color="auto"/>
      </w:divBdr>
      <w:divsChild>
        <w:div w:id="1974097698">
          <w:marLeft w:val="0"/>
          <w:marRight w:val="0"/>
          <w:marTop w:val="0"/>
          <w:marBottom w:val="0"/>
          <w:divBdr>
            <w:top w:val="none" w:sz="0" w:space="0" w:color="3D3D3D"/>
            <w:left w:val="none" w:sz="0" w:space="0" w:color="3D3D3D"/>
            <w:bottom w:val="none" w:sz="0" w:space="0" w:color="3D3D3D"/>
            <w:right w:val="none" w:sz="0" w:space="0" w:color="3D3D3D"/>
          </w:divBdr>
          <w:divsChild>
            <w:div w:id="11604656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48648955">
      <w:bodyDiv w:val="1"/>
      <w:marLeft w:val="0"/>
      <w:marRight w:val="0"/>
      <w:marTop w:val="0"/>
      <w:marBottom w:val="0"/>
      <w:divBdr>
        <w:top w:val="none" w:sz="0" w:space="0" w:color="auto"/>
        <w:left w:val="none" w:sz="0" w:space="0" w:color="auto"/>
        <w:bottom w:val="none" w:sz="0" w:space="0" w:color="auto"/>
        <w:right w:val="none" w:sz="0" w:space="0" w:color="auto"/>
      </w:divBdr>
      <w:divsChild>
        <w:div w:id="189074425">
          <w:marLeft w:val="0"/>
          <w:marRight w:val="0"/>
          <w:marTop w:val="0"/>
          <w:marBottom w:val="0"/>
          <w:divBdr>
            <w:top w:val="none" w:sz="0" w:space="0" w:color="3D3D3D"/>
            <w:left w:val="none" w:sz="0" w:space="0" w:color="3D3D3D"/>
            <w:bottom w:val="none" w:sz="0" w:space="0" w:color="3D3D3D"/>
            <w:right w:val="none" w:sz="0" w:space="0" w:color="3D3D3D"/>
          </w:divBdr>
          <w:divsChild>
            <w:div w:id="15629869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85424613">
      <w:bodyDiv w:val="1"/>
      <w:marLeft w:val="0"/>
      <w:marRight w:val="0"/>
      <w:marTop w:val="0"/>
      <w:marBottom w:val="0"/>
      <w:divBdr>
        <w:top w:val="none" w:sz="0" w:space="0" w:color="auto"/>
        <w:left w:val="none" w:sz="0" w:space="0" w:color="auto"/>
        <w:bottom w:val="none" w:sz="0" w:space="0" w:color="auto"/>
        <w:right w:val="none" w:sz="0" w:space="0" w:color="auto"/>
      </w:divBdr>
      <w:divsChild>
        <w:div w:id="1435906281">
          <w:marLeft w:val="0"/>
          <w:marRight w:val="0"/>
          <w:marTop w:val="0"/>
          <w:marBottom w:val="0"/>
          <w:divBdr>
            <w:top w:val="none" w:sz="0" w:space="0" w:color="3D3D3D"/>
            <w:left w:val="none" w:sz="0" w:space="0" w:color="3D3D3D"/>
            <w:bottom w:val="none" w:sz="0" w:space="0" w:color="3D3D3D"/>
            <w:right w:val="none" w:sz="0" w:space="0" w:color="3D3D3D"/>
          </w:divBdr>
          <w:divsChild>
            <w:div w:id="1259406685">
              <w:marLeft w:val="0"/>
              <w:marRight w:val="0"/>
              <w:marTop w:val="0"/>
              <w:marBottom w:val="0"/>
              <w:divBdr>
                <w:top w:val="none" w:sz="0" w:space="0" w:color="3D3D3D"/>
                <w:left w:val="none" w:sz="0" w:space="0" w:color="3D3D3D"/>
                <w:bottom w:val="none" w:sz="0" w:space="0" w:color="3D3D3D"/>
                <w:right w:val="none" w:sz="0" w:space="0" w:color="3D3D3D"/>
              </w:divBdr>
              <w:divsChild>
                <w:div w:id="1203053038">
                  <w:marLeft w:val="0"/>
                  <w:marRight w:val="0"/>
                  <w:marTop w:val="0"/>
                  <w:marBottom w:val="0"/>
                  <w:divBdr>
                    <w:top w:val="none" w:sz="0" w:space="0" w:color="3D3D3D"/>
                    <w:left w:val="none" w:sz="0" w:space="0" w:color="3D3D3D"/>
                    <w:bottom w:val="none" w:sz="0" w:space="0" w:color="3D3D3D"/>
                    <w:right w:val="none" w:sz="0" w:space="0" w:color="3D3D3D"/>
                  </w:divBdr>
                </w:div>
              </w:divsChild>
            </w:div>
            <w:div w:id="304091206">
              <w:marLeft w:val="0"/>
              <w:marRight w:val="0"/>
              <w:marTop w:val="226"/>
              <w:marBottom w:val="0"/>
              <w:divBdr>
                <w:top w:val="none" w:sz="0" w:space="0" w:color="3D3D3D"/>
                <w:left w:val="none" w:sz="0" w:space="0" w:color="3D3D3D"/>
                <w:bottom w:val="none" w:sz="0" w:space="0" w:color="3D3D3D"/>
                <w:right w:val="none" w:sz="0" w:space="0" w:color="3D3D3D"/>
              </w:divBdr>
              <w:divsChild>
                <w:div w:id="1320185731">
                  <w:marLeft w:val="0"/>
                  <w:marRight w:val="0"/>
                  <w:marTop w:val="0"/>
                  <w:marBottom w:val="0"/>
                  <w:divBdr>
                    <w:top w:val="none" w:sz="0" w:space="0" w:color="3D3D3D"/>
                    <w:left w:val="none" w:sz="0" w:space="0" w:color="3D3D3D"/>
                    <w:bottom w:val="none" w:sz="0" w:space="0" w:color="3D3D3D"/>
                    <w:right w:val="none" w:sz="0" w:space="0" w:color="3D3D3D"/>
                  </w:divBdr>
                </w:div>
              </w:divsChild>
            </w:div>
            <w:div w:id="13237771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95170362">
      <w:bodyDiv w:val="1"/>
      <w:marLeft w:val="0"/>
      <w:marRight w:val="0"/>
      <w:marTop w:val="0"/>
      <w:marBottom w:val="0"/>
      <w:divBdr>
        <w:top w:val="none" w:sz="0" w:space="0" w:color="auto"/>
        <w:left w:val="none" w:sz="0" w:space="0" w:color="auto"/>
        <w:bottom w:val="none" w:sz="0" w:space="0" w:color="auto"/>
        <w:right w:val="none" w:sz="0" w:space="0" w:color="auto"/>
      </w:divBdr>
      <w:divsChild>
        <w:div w:id="59328450">
          <w:marLeft w:val="0"/>
          <w:marRight w:val="0"/>
          <w:marTop w:val="0"/>
          <w:marBottom w:val="0"/>
          <w:divBdr>
            <w:top w:val="none" w:sz="0" w:space="0" w:color="3D3D3D"/>
            <w:left w:val="none" w:sz="0" w:space="0" w:color="3D3D3D"/>
            <w:bottom w:val="none" w:sz="0" w:space="0" w:color="3D3D3D"/>
            <w:right w:val="none" w:sz="0" w:space="0" w:color="3D3D3D"/>
          </w:divBdr>
          <w:divsChild>
            <w:div w:id="12250241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37072382">
      <w:bodyDiv w:val="1"/>
      <w:marLeft w:val="0"/>
      <w:marRight w:val="0"/>
      <w:marTop w:val="0"/>
      <w:marBottom w:val="0"/>
      <w:divBdr>
        <w:top w:val="none" w:sz="0" w:space="0" w:color="auto"/>
        <w:left w:val="none" w:sz="0" w:space="0" w:color="auto"/>
        <w:bottom w:val="none" w:sz="0" w:space="0" w:color="auto"/>
        <w:right w:val="none" w:sz="0" w:space="0" w:color="auto"/>
      </w:divBdr>
      <w:divsChild>
        <w:div w:id="1500003915">
          <w:marLeft w:val="0"/>
          <w:marRight w:val="0"/>
          <w:marTop w:val="0"/>
          <w:marBottom w:val="0"/>
          <w:divBdr>
            <w:top w:val="none" w:sz="0" w:space="0" w:color="3D3D3D"/>
            <w:left w:val="none" w:sz="0" w:space="0" w:color="3D3D3D"/>
            <w:bottom w:val="none" w:sz="0" w:space="0" w:color="3D3D3D"/>
            <w:right w:val="none" w:sz="0" w:space="0" w:color="3D3D3D"/>
          </w:divBdr>
          <w:divsChild>
            <w:div w:id="7154722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0039911">
      <w:bodyDiv w:val="1"/>
      <w:marLeft w:val="0"/>
      <w:marRight w:val="0"/>
      <w:marTop w:val="0"/>
      <w:marBottom w:val="0"/>
      <w:divBdr>
        <w:top w:val="none" w:sz="0" w:space="0" w:color="auto"/>
        <w:left w:val="none" w:sz="0" w:space="0" w:color="auto"/>
        <w:bottom w:val="none" w:sz="0" w:space="0" w:color="auto"/>
        <w:right w:val="none" w:sz="0" w:space="0" w:color="auto"/>
      </w:divBdr>
      <w:divsChild>
        <w:div w:id="1323119499">
          <w:marLeft w:val="0"/>
          <w:marRight w:val="0"/>
          <w:marTop w:val="0"/>
          <w:marBottom w:val="0"/>
          <w:divBdr>
            <w:top w:val="none" w:sz="0" w:space="0" w:color="3D3D3D"/>
            <w:left w:val="none" w:sz="0" w:space="0" w:color="3D3D3D"/>
            <w:bottom w:val="none" w:sz="0" w:space="0" w:color="3D3D3D"/>
            <w:right w:val="none" w:sz="0" w:space="0" w:color="3D3D3D"/>
          </w:divBdr>
          <w:divsChild>
            <w:div w:id="4958482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57717728">
      <w:bodyDiv w:val="1"/>
      <w:marLeft w:val="0"/>
      <w:marRight w:val="0"/>
      <w:marTop w:val="0"/>
      <w:marBottom w:val="0"/>
      <w:divBdr>
        <w:top w:val="none" w:sz="0" w:space="0" w:color="auto"/>
        <w:left w:val="none" w:sz="0" w:space="0" w:color="auto"/>
        <w:bottom w:val="none" w:sz="0" w:space="0" w:color="auto"/>
        <w:right w:val="none" w:sz="0" w:space="0" w:color="auto"/>
      </w:divBdr>
      <w:divsChild>
        <w:div w:id="1418211197">
          <w:marLeft w:val="0"/>
          <w:marRight w:val="0"/>
          <w:marTop w:val="0"/>
          <w:marBottom w:val="0"/>
          <w:divBdr>
            <w:top w:val="none" w:sz="0" w:space="0" w:color="3D3D3D"/>
            <w:left w:val="none" w:sz="0" w:space="0" w:color="3D3D3D"/>
            <w:bottom w:val="none" w:sz="0" w:space="0" w:color="3D3D3D"/>
            <w:right w:val="none" w:sz="0" w:space="0" w:color="3D3D3D"/>
          </w:divBdr>
          <w:divsChild>
            <w:div w:id="6444324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55994802">
          <w:marLeft w:val="0"/>
          <w:marRight w:val="0"/>
          <w:marTop w:val="0"/>
          <w:marBottom w:val="0"/>
          <w:divBdr>
            <w:top w:val="none" w:sz="0" w:space="0" w:color="3D3D3D"/>
            <w:left w:val="none" w:sz="0" w:space="0" w:color="3D3D3D"/>
            <w:bottom w:val="none" w:sz="0" w:space="0" w:color="3D3D3D"/>
            <w:right w:val="none" w:sz="0" w:space="0" w:color="3D3D3D"/>
          </w:divBdr>
          <w:divsChild>
            <w:div w:id="15389264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96103289">
      <w:bodyDiv w:val="1"/>
      <w:marLeft w:val="0"/>
      <w:marRight w:val="0"/>
      <w:marTop w:val="0"/>
      <w:marBottom w:val="0"/>
      <w:divBdr>
        <w:top w:val="none" w:sz="0" w:space="0" w:color="auto"/>
        <w:left w:val="none" w:sz="0" w:space="0" w:color="auto"/>
        <w:bottom w:val="none" w:sz="0" w:space="0" w:color="auto"/>
        <w:right w:val="none" w:sz="0" w:space="0" w:color="auto"/>
      </w:divBdr>
      <w:divsChild>
        <w:div w:id="544292945">
          <w:marLeft w:val="0"/>
          <w:marRight w:val="0"/>
          <w:marTop w:val="0"/>
          <w:marBottom w:val="0"/>
          <w:divBdr>
            <w:top w:val="none" w:sz="0" w:space="0" w:color="3D3D3D"/>
            <w:left w:val="none" w:sz="0" w:space="0" w:color="3D3D3D"/>
            <w:bottom w:val="none" w:sz="0" w:space="0" w:color="3D3D3D"/>
            <w:right w:val="none" w:sz="0" w:space="0" w:color="3D3D3D"/>
          </w:divBdr>
          <w:divsChild>
            <w:div w:id="3347228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97611699">
      <w:bodyDiv w:val="1"/>
      <w:marLeft w:val="0"/>
      <w:marRight w:val="0"/>
      <w:marTop w:val="0"/>
      <w:marBottom w:val="0"/>
      <w:divBdr>
        <w:top w:val="none" w:sz="0" w:space="0" w:color="auto"/>
        <w:left w:val="none" w:sz="0" w:space="0" w:color="auto"/>
        <w:bottom w:val="none" w:sz="0" w:space="0" w:color="auto"/>
        <w:right w:val="none" w:sz="0" w:space="0" w:color="auto"/>
      </w:divBdr>
      <w:divsChild>
        <w:div w:id="1602757447">
          <w:marLeft w:val="0"/>
          <w:marRight w:val="0"/>
          <w:marTop w:val="0"/>
          <w:marBottom w:val="0"/>
          <w:divBdr>
            <w:top w:val="none" w:sz="0" w:space="0" w:color="3D3D3D"/>
            <w:left w:val="none" w:sz="0" w:space="0" w:color="3D3D3D"/>
            <w:bottom w:val="none" w:sz="0" w:space="0" w:color="3D3D3D"/>
            <w:right w:val="none" w:sz="0" w:space="0" w:color="3D3D3D"/>
          </w:divBdr>
        </w:div>
      </w:divsChild>
    </w:div>
    <w:div w:id="2027053878">
      <w:bodyDiv w:val="1"/>
      <w:marLeft w:val="0"/>
      <w:marRight w:val="0"/>
      <w:marTop w:val="0"/>
      <w:marBottom w:val="0"/>
      <w:divBdr>
        <w:top w:val="none" w:sz="0" w:space="0" w:color="auto"/>
        <w:left w:val="none" w:sz="0" w:space="0" w:color="auto"/>
        <w:bottom w:val="none" w:sz="0" w:space="0" w:color="auto"/>
        <w:right w:val="none" w:sz="0" w:space="0" w:color="auto"/>
      </w:divBdr>
      <w:divsChild>
        <w:div w:id="1903441410">
          <w:marLeft w:val="0"/>
          <w:marRight w:val="0"/>
          <w:marTop w:val="0"/>
          <w:marBottom w:val="0"/>
          <w:divBdr>
            <w:top w:val="none" w:sz="0" w:space="0" w:color="3D3D3D"/>
            <w:left w:val="none" w:sz="0" w:space="0" w:color="3D3D3D"/>
            <w:bottom w:val="none" w:sz="0" w:space="0" w:color="3D3D3D"/>
            <w:right w:val="none" w:sz="0" w:space="0" w:color="3D3D3D"/>
          </w:divBdr>
          <w:divsChild>
            <w:div w:id="10578188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30181967">
      <w:bodyDiv w:val="1"/>
      <w:marLeft w:val="0"/>
      <w:marRight w:val="0"/>
      <w:marTop w:val="0"/>
      <w:marBottom w:val="0"/>
      <w:divBdr>
        <w:top w:val="none" w:sz="0" w:space="0" w:color="auto"/>
        <w:left w:val="none" w:sz="0" w:space="0" w:color="auto"/>
        <w:bottom w:val="none" w:sz="0" w:space="0" w:color="auto"/>
        <w:right w:val="none" w:sz="0" w:space="0" w:color="auto"/>
      </w:divBdr>
      <w:divsChild>
        <w:div w:id="733351490">
          <w:marLeft w:val="0"/>
          <w:marRight w:val="0"/>
          <w:marTop w:val="0"/>
          <w:marBottom w:val="0"/>
          <w:divBdr>
            <w:top w:val="none" w:sz="0" w:space="0" w:color="3D3D3D"/>
            <w:left w:val="none" w:sz="0" w:space="0" w:color="3D3D3D"/>
            <w:bottom w:val="none" w:sz="0" w:space="0" w:color="3D3D3D"/>
            <w:right w:val="none" w:sz="0" w:space="0" w:color="3D3D3D"/>
          </w:divBdr>
          <w:divsChild>
            <w:div w:id="7611434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47244443">
      <w:bodyDiv w:val="1"/>
      <w:marLeft w:val="0"/>
      <w:marRight w:val="0"/>
      <w:marTop w:val="0"/>
      <w:marBottom w:val="0"/>
      <w:divBdr>
        <w:top w:val="none" w:sz="0" w:space="0" w:color="auto"/>
        <w:left w:val="none" w:sz="0" w:space="0" w:color="auto"/>
        <w:bottom w:val="none" w:sz="0" w:space="0" w:color="auto"/>
        <w:right w:val="none" w:sz="0" w:space="0" w:color="auto"/>
      </w:divBdr>
      <w:divsChild>
        <w:div w:id="347677291">
          <w:marLeft w:val="0"/>
          <w:marRight w:val="0"/>
          <w:marTop w:val="0"/>
          <w:marBottom w:val="0"/>
          <w:divBdr>
            <w:top w:val="none" w:sz="0" w:space="0" w:color="3D3D3D"/>
            <w:left w:val="none" w:sz="0" w:space="0" w:color="3D3D3D"/>
            <w:bottom w:val="none" w:sz="0" w:space="0" w:color="3D3D3D"/>
            <w:right w:val="none" w:sz="0" w:space="0" w:color="3D3D3D"/>
          </w:divBdr>
          <w:divsChild>
            <w:div w:id="15532992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55233322">
      <w:bodyDiv w:val="1"/>
      <w:marLeft w:val="0"/>
      <w:marRight w:val="0"/>
      <w:marTop w:val="0"/>
      <w:marBottom w:val="0"/>
      <w:divBdr>
        <w:top w:val="none" w:sz="0" w:space="0" w:color="auto"/>
        <w:left w:val="none" w:sz="0" w:space="0" w:color="auto"/>
        <w:bottom w:val="none" w:sz="0" w:space="0" w:color="auto"/>
        <w:right w:val="none" w:sz="0" w:space="0" w:color="auto"/>
      </w:divBdr>
      <w:divsChild>
        <w:div w:id="607394187">
          <w:marLeft w:val="0"/>
          <w:marRight w:val="0"/>
          <w:marTop w:val="0"/>
          <w:marBottom w:val="0"/>
          <w:divBdr>
            <w:top w:val="none" w:sz="0" w:space="0" w:color="3D3D3D"/>
            <w:left w:val="none" w:sz="0" w:space="0" w:color="3D3D3D"/>
            <w:bottom w:val="none" w:sz="0" w:space="0" w:color="3D3D3D"/>
            <w:right w:val="none" w:sz="0" w:space="0" w:color="3D3D3D"/>
          </w:divBdr>
          <w:divsChild>
            <w:div w:id="210572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78242348">
      <w:bodyDiv w:val="1"/>
      <w:marLeft w:val="0"/>
      <w:marRight w:val="0"/>
      <w:marTop w:val="0"/>
      <w:marBottom w:val="0"/>
      <w:divBdr>
        <w:top w:val="none" w:sz="0" w:space="0" w:color="auto"/>
        <w:left w:val="none" w:sz="0" w:space="0" w:color="auto"/>
        <w:bottom w:val="none" w:sz="0" w:space="0" w:color="auto"/>
        <w:right w:val="none" w:sz="0" w:space="0" w:color="auto"/>
      </w:divBdr>
      <w:divsChild>
        <w:div w:id="322896426">
          <w:marLeft w:val="0"/>
          <w:marRight w:val="0"/>
          <w:marTop w:val="0"/>
          <w:marBottom w:val="0"/>
          <w:divBdr>
            <w:top w:val="none" w:sz="0" w:space="0" w:color="3D3D3D"/>
            <w:left w:val="none" w:sz="0" w:space="0" w:color="3D3D3D"/>
            <w:bottom w:val="none" w:sz="0" w:space="0" w:color="3D3D3D"/>
            <w:right w:val="none" w:sz="0" w:space="0" w:color="3D3D3D"/>
          </w:divBdr>
          <w:divsChild>
            <w:div w:id="17333133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12969037">
      <w:bodyDiv w:val="1"/>
      <w:marLeft w:val="0"/>
      <w:marRight w:val="0"/>
      <w:marTop w:val="0"/>
      <w:marBottom w:val="0"/>
      <w:divBdr>
        <w:top w:val="none" w:sz="0" w:space="0" w:color="auto"/>
        <w:left w:val="none" w:sz="0" w:space="0" w:color="auto"/>
        <w:bottom w:val="none" w:sz="0" w:space="0" w:color="auto"/>
        <w:right w:val="none" w:sz="0" w:space="0" w:color="auto"/>
      </w:divBdr>
      <w:divsChild>
        <w:div w:id="1494495135">
          <w:marLeft w:val="0"/>
          <w:marRight w:val="0"/>
          <w:marTop w:val="0"/>
          <w:marBottom w:val="0"/>
          <w:divBdr>
            <w:top w:val="none" w:sz="0" w:space="0" w:color="3D3D3D"/>
            <w:left w:val="none" w:sz="0" w:space="0" w:color="3D3D3D"/>
            <w:bottom w:val="none" w:sz="0" w:space="0" w:color="3D3D3D"/>
            <w:right w:val="none" w:sz="0" w:space="0" w:color="3D3D3D"/>
          </w:divBdr>
          <w:divsChild>
            <w:div w:id="3910821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8201</Words>
  <Characters>43337</Characters>
  <Application>Microsoft Office Word</Application>
  <DocSecurity>0</DocSecurity>
  <Lines>780</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2024-03-06T23:54:00Z</dcterms:created>
  <dcterms:modified xsi:type="dcterms:W3CDTF">2024-03-06T23:54:00Z</dcterms:modified>
  <cp:category/>
</cp:coreProperties>
</file>