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41AF8" w14:textId="676E35B2" w:rsidR="000D63F6" w:rsidRDefault="00235AFE" w:rsidP="00235AFE">
      <w:pPr>
        <w:pStyle w:val="Header"/>
        <w:rPr>
          <w:sz w:val="20"/>
          <w:szCs w:val="20"/>
        </w:rPr>
      </w:pPr>
      <w:r>
        <w:rPr>
          <w:sz w:val="20"/>
          <w:szCs w:val="20"/>
        </w:rPr>
        <w:t xml:space="preserve">Filed </w:t>
      </w:r>
      <w:r w:rsidR="00062D06">
        <w:rPr>
          <w:sz w:val="20"/>
          <w:szCs w:val="20"/>
        </w:rPr>
        <w:t>3/19/24</w:t>
      </w:r>
    </w:p>
    <w:p w14:paraId="207D97B6" w14:textId="77777777" w:rsidR="000D63F6" w:rsidRDefault="000D63F6" w:rsidP="000D63F6">
      <w:pPr>
        <w:pStyle w:val="Header"/>
        <w:rPr>
          <w:sz w:val="20"/>
          <w:szCs w:val="20"/>
        </w:rPr>
      </w:pPr>
    </w:p>
    <w:p w14:paraId="6A6433F7" w14:textId="5E3793F2" w:rsidR="000D63F6" w:rsidRPr="000D63F6" w:rsidRDefault="000D63F6" w:rsidP="000D63F6">
      <w:pPr>
        <w:pStyle w:val="Header"/>
        <w:jc w:val="center"/>
        <w:rPr>
          <w:szCs w:val="20"/>
        </w:rPr>
      </w:pPr>
      <w:r>
        <w:rPr>
          <w:b/>
          <w:szCs w:val="20"/>
        </w:rPr>
        <w:t>CERTIFIED FOR PARTIAL PUBLICATION</w:t>
      </w:r>
      <w:r>
        <w:rPr>
          <w:rStyle w:val="FootnoteReference"/>
          <w:b/>
          <w:szCs w:val="20"/>
        </w:rPr>
        <w:footnoteReference w:customMarkFollows="1" w:id="1"/>
        <w:t>*</w:t>
      </w:r>
    </w:p>
    <w:p w14:paraId="78268FB3" w14:textId="77777777" w:rsidR="000D63F6" w:rsidRPr="000D63F6" w:rsidRDefault="000D63F6" w:rsidP="000D63F6">
      <w:pPr>
        <w:pStyle w:val="Header"/>
        <w:rPr>
          <w:sz w:val="20"/>
          <w:szCs w:val="20"/>
        </w:rPr>
      </w:pPr>
    </w:p>
    <w:p w14:paraId="0DA5994B" w14:textId="25725BD4" w:rsidR="008C69C3" w:rsidRPr="0001127B" w:rsidRDefault="00FB769A" w:rsidP="00FB769A">
      <w:pPr>
        <w:spacing w:line="240" w:lineRule="auto"/>
        <w:jc w:val="center"/>
      </w:pPr>
      <w:r w:rsidRPr="0001127B">
        <w:t>IN THE COURT OF APPEAL OF THE STATE OF CALIFORNIA</w:t>
      </w:r>
    </w:p>
    <w:p w14:paraId="524E220D" w14:textId="77777777" w:rsidR="00FB769A" w:rsidRPr="0001127B" w:rsidRDefault="00FB769A" w:rsidP="00FB769A">
      <w:pPr>
        <w:spacing w:line="240" w:lineRule="auto"/>
        <w:jc w:val="center"/>
      </w:pPr>
    </w:p>
    <w:p w14:paraId="4D379FC1" w14:textId="69F87FE2" w:rsidR="00FB769A" w:rsidRPr="0001127B" w:rsidRDefault="00FB769A" w:rsidP="00FB769A">
      <w:pPr>
        <w:spacing w:line="240" w:lineRule="auto"/>
        <w:jc w:val="center"/>
      </w:pPr>
      <w:r w:rsidRPr="0001127B">
        <w:t>FIRST APPELLATE DISTRICT</w:t>
      </w:r>
    </w:p>
    <w:p w14:paraId="59D82BAE" w14:textId="77777777" w:rsidR="00FB769A" w:rsidRPr="0001127B" w:rsidRDefault="00FB769A" w:rsidP="00FB769A">
      <w:pPr>
        <w:spacing w:line="240" w:lineRule="auto"/>
        <w:jc w:val="center"/>
      </w:pPr>
    </w:p>
    <w:p w14:paraId="79D07E40" w14:textId="588990CF" w:rsidR="00FB769A" w:rsidRPr="0001127B" w:rsidRDefault="00FB769A" w:rsidP="00FB769A">
      <w:pPr>
        <w:spacing w:line="240" w:lineRule="auto"/>
        <w:jc w:val="center"/>
      </w:pPr>
      <w:r w:rsidRPr="0001127B">
        <w:t>DIVISION THREE</w:t>
      </w:r>
    </w:p>
    <w:p w14:paraId="5130D999" w14:textId="77777777" w:rsidR="00FB769A" w:rsidRPr="0001127B" w:rsidRDefault="00FB769A" w:rsidP="00FB769A">
      <w:pPr>
        <w:spacing w:line="240" w:lineRule="auto"/>
        <w:jc w:val="center"/>
      </w:pPr>
      <w:bookmarkStart w:id="0" w:name="_Hlk161824444"/>
    </w:p>
    <w:tbl>
      <w:tblPr>
        <w:tblW w:w="9450" w:type="dxa"/>
        <w:tblLayout w:type="fixed"/>
        <w:tblLook w:val="0000" w:firstRow="0" w:lastRow="0" w:firstColumn="0" w:lastColumn="0" w:noHBand="0" w:noVBand="0"/>
      </w:tblPr>
      <w:tblGrid>
        <w:gridCol w:w="4950"/>
        <w:gridCol w:w="4500"/>
      </w:tblGrid>
      <w:tr w:rsidR="00FB769A" w:rsidRPr="0001127B" w14:paraId="2EB94A1E" w14:textId="77777777" w:rsidTr="005F703A">
        <w:tc>
          <w:tcPr>
            <w:tcW w:w="4950" w:type="dxa"/>
            <w:tcBorders>
              <w:bottom w:val="single" w:sz="4" w:space="0" w:color="auto"/>
              <w:right w:val="single" w:sz="4" w:space="0" w:color="auto"/>
            </w:tcBorders>
            <w:shd w:val="clear" w:color="auto" w:fill="auto"/>
          </w:tcPr>
          <w:p w14:paraId="2B208AD5" w14:textId="331B2C55" w:rsidR="00FB769A" w:rsidRPr="0001127B" w:rsidRDefault="00FB769A" w:rsidP="00FB769A">
            <w:pPr>
              <w:spacing w:after="120" w:line="240" w:lineRule="auto"/>
            </w:pPr>
            <w:r w:rsidRPr="0001127B">
              <w:t>N</w:t>
            </w:r>
            <w:r w:rsidR="00766E42">
              <w:t>.</w:t>
            </w:r>
            <w:r w:rsidRPr="0001127B">
              <w:t>M</w:t>
            </w:r>
            <w:r w:rsidR="00766E42">
              <w:t>.</w:t>
            </w:r>
            <w:r w:rsidRPr="0001127B">
              <w:t>,</w:t>
            </w:r>
          </w:p>
          <w:p w14:paraId="709236E8" w14:textId="77777777" w:rsidR="00FB769A" w:rsidRPr="0001127B" w:rsidRDefault="00FB769A" w:rsidP="00FB769A">
            <w:pPr>
              <w:spacing w:after="120" w:line="240" w:lineRule="auto"/>
            </w:pPr>
            <w:r w:rsidRPr="0001127B">
              <w:tab/>
              <w:t>Plaintiff and Respondent,</w:t>
            </w:r>
          </w:p>
          <w:p w14:paraId="00263E39" w14:textId="77777777" w:rsidR="00FB769A" w:rsidRPr="0001127B" w:rsidRDefault="00FB769A" w:rsidP="00FB769A">
            <w:pPr>
              <w:spacing w:after="120" w:line="240" w:lineRule="auto"/>
            </w:pPr>
            <w:r w:rsidRPr="0001127B">
              <w:t>v.</w:t>
            </w:r>
          </w:p>
          <w:p w14:paraId="474E8CBF" w14:textId="640ADC36" w:rsidR="00FB769A" w:rsidRPr="0001127B" w:rsidRDefault="00FB769A" w:rsidP="00FB769A">
            <w:pPr>
              <w:spacing w:after="120" w:line="240" w:lineRule="auto"/>
            </w:pPr>
            <w:r w:rsidRPr="0001127B">
              <w:t>W</w:t>
            </w:r>
            <w:r w:rsidR="00B21213">
              <w:t>.</w:t>
            </w:r>
            <w:r w:rsidRPr="0001127B">
              <w:t>K</w:t>
            </w:r>
            <w:r w:rsidR="00B21213">
              <w:t>.</w:t>
            </w:r>
            <w:r w:rsidRPr="0001127B">
              <w:t>,</w:t>
            </w:r>
          </w:p>
          <w:p w14:paraId="59FAB3E1" w14:textId="2B7A603E" w:rsidR="00FB769A" w:rsidRPr="0001127B" w:rsidRDefault="00FB769A" w:rsidP="00FB769A">
            <w:pPr>
              <w:spacing w:after="120" w:line="240" w:lineRule="auto"/>
            </w:pPr>
            <w:r w:rsidRPr="0001127B">
              <w:tab/>
              <w:t>Defendant and Appellant.</w:t>
            </w:r>
          </w:p>
        </w:tc>
        <w:tc>
          <w:tcPr>
            <w:tcW w:w="4500" w:type="dxa"/>
            <w:tcBorders>
              <w:left w:val="single" w:sz="4" w:space="0" w:color="auto"/>
            </w:tcBorders>
            <w:shd w:val="clear" w:color="auto" w:fill="auto"/>
          </w:tcPr>
          <w:p w14:paraId="54821757" w14:textId="77777777" w:rsidR="00FB769A" w:rsidRPr="0001127B" w:rsidRDefault="00FB769A" w:rsidP="00FB769A">
            <w:pPr>
              <w:spacing w:line="240" w:lineRule="auto"/>
            </w:pPr>
          </w:p>
          <w:p w14:paraId="5A19E44A" w14:textId="77777777" w:rsidR="00FB769A" w:rsidRPr="0001127B" w:rsidRDefault="00FB769A" w:rsidP="00FB769A">
            <w:pPr>
              <w:spacing w:line="240" w:lineRule="auto"/>
            </w:pPr>
          </w:p>
          <w:p w14:paraId="2C465CDD" w14:textId="77777777" w:rsidR="00FB769A" w:rsidRPr="0001127B" w:rsidRDefault="00FB769A" w:rsidP="00FB769A">
            <w:pPr>
              <w:spacing w:line="240" w:lineRule="auto"/>
            </w:pPr>
            <w:r w:rsidRPr="0001127B">
              <w:t xml:space="preserve">      A168081</w:t>
            </w:r>
          </w:p>
          <w:p w14:paraId="21ABABC1" w14:textId="77777777" w:rsidR="00FB769A" w:rsidRPr="0001127B" w:rsidRDefault="00FB769A" w:rsidP="00FB769A">
            <w:pPr>
              <w:spacing w:line="240" w:lineRule="auto"/>
            </w:pPr>
          </w:p>
          <w:p w14:paraId="6067AA09" w14:textId="77777777" w:rsidR="00FB769A" w:rsidRPr="0001127B" w:rsidRDefault="00FB769A" w:rsidP="00FB769A">
            <w:pPr>
              <w:spacing w:line="240" w:lineRule="auto"/>
            </w:pPr>
            <w:r w:rsidRPr="0001127B">
              <w:t xml:space="preserve">      (Alameda County</w:t>
            </w:r>
          </w:p>
          <w:p w14:paraId="0CC05CAF" w14:textId="77777777" w:rsidR="00FB769A" w:rsidRPr="0001127B" w:rsidRDefault="00FB769A" w:rsidP="00FB769A">
            <w:pPr>
              <w:spacing w:line="240" w:lineRule="auto"/>
            </w:pPr>
            <w:r w:rsidRPr="0001127B">
              <w:t xml:space="preserve">      Super. Ct. No. HF23137250)</w:t>
            </w:r>
          </w:p>
          <w:p w14:paraId="01D3A04D" w14:textId="03F304FF" w:rsidR="00FB769A" w:rsidRPr="0001127B" w:rsidRDefault="00FB769A" w:rsidP="00FB769A">
            <w:pPr>
              <w:spacing w:line="240" w:lineRule="auto"/>
            </w:pPr>
          </w:p>
        </w:tc>
      </w:tr>
    </w:tbl>
    <w:p w14:paraId="0F560E36" w14:textId="77777777" w:rsidR="00FB769A" w:rsidRPr="0001127B" w:rsidRDefault="00FB769A" w:rsidP="00FB769A">
      <w:pPr>
        <w:spacing w:line="360" w:lineRule="auto"/>
      </w:pPr>
    </w:p>
    <w:p w14:paraId="530E7B55" w14:textId="123675FC" w:rsidR="002D1275" w:rsidRPr="0044160F" w:rsidRDefault="00FB769A" w:rsidP="00FB769A">
      <w:pPr>
        <w:spacing w:line="360" w:lineRule="auto"/>
        <w:rPr>
          <w:b/>
          <w:bCs/>
        </w:rPr>
      </w:pPr>
      <w:r w:rsidRPr="0001127B">
        <w:tab/>
      </w:r>
      <w:r w:rsidR="002D1275">
        <w:t>Defendant</w:t>
      </w:r>
      <w:r w:rsidR="00B21213">
        <w:t>,</w:t>
      </w:r>
      <w:r w:rsidR="002D1275">
        <w:t xml:space="preserve"> W</w:t>
      </w:r>
      <w:r w:rsidR="00B21213">
        <w:t>.</w:t>
      </w:r>
      <w:r w:rsidR="002D1275">
        <w:t>K</w:t>
      </w:r>
      <w:r w:rsidR="00B21213">
        <w:t>. (Husband),</w:t>
      </w:r>
      <w:r w:rsidR="002D1275">
        <w:t xml:space="preserve"> appeals after the trial court issued a domestic violence restraining order (DVRO) protecting plaintiff</w:t>
      </w:r>
      <w:r w:rsidR="00766E42">
        <w:t>,</w:t>
      </w:r>
      <w:r w:rsidR="002D1275">
        <w:t xml:space="preserve"> N</w:t>
      </w:r>
      <w:r w:rsidR="00766E42">
        <w:t>.</w:t>
      </w:r>
      <w:r w:rsidR="002D1275">
        <w:t>M</w:t>
      </w:r>
      <w:r w:rsidR="00766E42">
        <w:t>.</w:t>
      </w:r>
      <w:r w:rsidR="00B21213">
        <w:t xml:space="preserve"> (Wife)</w:t>
      </w:r>
      <w:r w:rsidR="00766E42">
        <w:t>,</w:t>
      </w:r>
      <w:r w:rsidR="002D1275">
        <w:t xml:space="preserve"> and the couple’s daughter.  In the published portion of our opinion we address </w:t>
      </w:r>
      <w:r w:rsidR="00C742A7">
        <w:t>the following</w:t>
      </w:r>
      <w:r w:rsidR="002D1275">
        <w:t xml:space="preserve"> question:  W</w:t>
      </w:r>
      <w:r w:rsidR="001B69A3" w:rsidRPr="0001127B">
        <w:t>hen a petitioner seeks a domestic violence restraining order, is a</w:t>
      </w:r>
      <w:r w:rsidR="002D1275">
        <w:t xml:space="preserve"> respondent</w:t>
      </w:r>
      <w:r w:rsidR="001B69A3" w:rsidRPr="0001127B">
        <w:t xml:space="preserve"> who has already responded to the petition entitled to a continuance of the hearing on the request “as a matter of course”?  (Fam. Code, § 245, subd. (a).)</w:t>
      </w:r>
      <w:r w:rsidR="002D1275">
        <w:t xml:space="preserve">  We conclude</w:t>
      </w:r>
      <w:r w:rsidR="006D7400">
        <w:t xml:space="preserve"> </w:t>
      </w:r>
      <w:r w:rsidR="00C742A7">
        <w:t xml:space="preserve">that </w:t>
      </w:r>
      <w:r w:rsidR="006D7400">
        <w:t>the trial court did not have a mandatory duty to grant a</w:t>
      </w:r>
      <w:r w:rsidR="002D1275">
        <w:t xml:space="preserve"> continuance under these circumstances</w:t>
      </w:r>
      <w:r w:rsidR="00764B38">
        <w:t xml:space="preserve">, and </w:t>
      </w:r>
      <w:r w:rsidR="00764B38" w:rsidRPr="000A7C50">
        <w:t>we further conclude</w:t>
      </w:r>
      <w:r w:rsidR="00C742A7" w:rsidRPr="000A7C50">
        <w:t xml:space="preserve"> that</w:t>
      </w:r>
      <w:r w:rsidR="00C742A7">
        <w:t xml:space="preserve"> it did not abuse its discretion in proceeding with the hearing</w:t>
      </w:r>
      <w:r w:rsidR="002D1275">
        <w:t>.</w:t>
      </w:r>
      <w:r w:rsidR="006D7400">
        <w:t xml:space="preserve"> </w:t>
      </w:r>
    </w:p>
    <w:bookmarkEnd w:id="0"/>
    <w:p w14:paraId="68FF08C8" w14:textId="2AEBF42B" w:rsidR="00FB769A" w:rsidRPr="0001127B" w:rsidRDefault="002D1275" w:rsidP="002D1275">
      <w:pPr>
        <w:spacing w:line="360" w:lineRule="auto"/>
      </w:pPr>
      <w:r>
        <w:lastRenderedPageBreak/>
        <w:tab/>
        <w:t xml:space="preserve">In the unpublished portion of our opinion, we </w:t>
      </w:r>
      <w:r w:rsidR="00D320F2" w:rsidRPr="0001127B">
        <w:t xml:space="preserve">reject </w:t>
      </w:r>
      <w:r w:rsidR="00CB4AEF">
        <w:t>Husband</w:t>
      </w:r>
      <w:r>
        <w:t>’s</w:t>
      </w:r>
      <w:r w:rsidR="00D320F2" w:rsidRPr="0001127B">
        <w:t xml:space="preserve"> remaining </w:t>
      </w:r>
      <w:r>
        <w:t>challenges to the DVRO,</w:t>
      </w:r>
      <w:r w:rsidR="00D320F2" w:rsidRPr="0001127B">
        <w:t xml:space="preserve"> </w:t>
      </w:r>
      <w:r>
        <w:t>we</w:t>
      </w:r>
      <w:r w:rsidR="00D320F2" w:rsidRPr="0001127B">
        <w:t xml:space="preserve"> deny </w:t>
      </w:r>
      <w:r w:rsidR="00CB4AEF">
        <w:t>Wife</w:t>
      </w:r>
      <w:r w:rsidR="00D320F2" w:rsidRPr="0001127B">
        <w:t>’s request that we dismiss the appeal</w:t>
      </w:r>
      <w:r w:rsidR="004D1B3C">
        <w:t>,</w:t>
      </w:r>
      <w:r w:rsidR="00D320F2" w:rsidRPr="0001127B">
        <w:t xml:space="preserve"> and </w:t>
      </w:r>
      <w:r w:rsidR="004D1B3C">
        <w:t xml:space="preserve">we deny </w:t>
      </w:r>
      <w:r w:rsidR="00D320F2" w:rsidRPr="0001127B">
        <w:t xml:space="preserve">the parties’ respective requests for sanctions.  </w:t>
      </w:r>
      <w:r w:rsidR="00E856C6" w:rsidRPr="0001127B">
        <w:t>We</w:t>
      </w:r>
      <w:r w:rsidR="000C7ED2" w:rsidRPr="0001127B">
        <w:t xml:space="preserve"> therefore</w:t>
      </w:r>
      <w:r w:rsidR="00E856C6" w:rsidRPr="0001127B">
        <w:t xml:space="preserve"> </w:t>
      </w:r>
      <w:r w:rsidR="00D3307E" w:rsidRPr="0001127B">
        <w:t>affirm.</w:t>
      </w:r>
    </w:p>
    <w:p w14:paraId="4B5AD95B" w14:textId="55E11BA4" w:rsidR="006E5E14" w:rsidRPr="0001127B" w:rsidRDefault="00FE2EED" w:rsidP="00FE2EED">
      <w:pPr>
        <w:spacing w:line="360" w:lineRule="auto"/>
        <w:jc w:val="center"/>
        <w:rPr>
          <w:b/>
          <w:bCs/>
        </w:rPr>
      </w:pPr>
      <w:r w:rsidRPr="0001127B">
        <w:rPr>
          <w:b/>
          <w:bCs/>
        </w:rPr>
        <w:t>BACKGROUND</w:t>
      </w:r>
    </w:p>
    <w:p w14:paraId="7CBBFD88" w14:textId="4E69DD48" w:rsidR="000367CB" w:rsidRPr="0044160F" w:rsidRDefault="000367CB" w:rsidP="002A32A4">
      <w:pPr>
        <w:pStyle w:val="ListParagraph"/>
        <w:numPr>
          <w:ilvl w:val="0"/>
          <w:numId w:val="1"/>
        </w:numPr>
        <w:spacing w:line="360" w:lineRule="auto"/>
        <w:ind w:hanging="1080"/>
        <w:rPr>
          <w:b/>
          <w:bCs/>
        </w:rPr>
      </w:pPr>
      <w:r w:rsidRPr="0044160F">
        <w:rPr>
          <w:b/>
          <w:bCs/>
        </w:rPr>
        <w:t>DVRO Request and Orders</w:t>
      </w:r>
    </w:p>
    <w:p w14:paraId="4A1592FB" w14:textId="79B91A52" w:rsidR="000367CB" w:rsidRPr="0001127B" w:rsidRDefault="006E5E14" w:rsidP="00FB769A">
      <w:pPr>
        <w:spacing w:line="360" w:lineRule="auto"/>
      </w:pPr>
      <w:r w:rsidRPr="0001127B">
        <w:tab/>
      </w:r>
      <w:r w:rsidR="00CB4AEF">
        <w:t>Wife</w:t>
      </w:r>
      <w:r w:rsidRPr="0001127B">
        <w:t xml:space="preserve"> filed a request for a DVRO on February 6, 2023,</w:t>
      </w:r>
      <w:r w:rsidR="00CF46A2" w:rsidRPr="0001127B">
        <w:t xml:space="preserve"> protecting herself and the couple’s child, </w:t>
      </w:r>
      <w:r w:rsidR="007E60E8">
        <w:t>Nyla</w:t>
      </w:r>
      <w:r w:rsidR="00CF46A2" w:rsidRPr="0001127B">
        <w:t xml:space="preserve">, from </w:t>
      </w:r>
      <w:r w:rsidR="00CB4AEF">
        <w:t>H</w:t>
      </w:r>
      <w:r w:rsidR="00CF46A2" w:rsidRPr="0001127B">
        <w:t xml:space="preserve">usband.  </w:t>
      </w:r>
      <w:r w:rsidR="00FE2EED" w:rsidRPr="0001127B">
        <w:t>She</w:t>
      </w:r>
      <w:r w:rsidR="00234EAC" w:rsidRPr="0001127B">
        <w:t xml:space="preserve"> alleged a number of incidents of domestic abuse.  Among them, </w:t>
      </w:r>
      <w:r w:rsidR="00CB4AEF">
        <w:t>Wife</w:t>
      </w:r>
      <w:r w:rsidR="00CF46A2" w:rsidRPr="0001127B">
        <w:t xml:space="preserve"> alleged that in October 2022, during a</w:t>
      </w:r>
      <w:r w:rsidR="00D37EA6" w:rsidRPr="0001127B">
        <w:t>n</w:t>
      </w:r>
      <w:r w:rsidR="00CF46A2" w:rsidRPr="0001127B">
        <w:t xml:space="preserve"> argument and in the presence of</w:t>
      </w:r>
      <w:r w:rsidR="00234EAC" w:rsidRPr="0001127B">
        <w:t xml:space="preserve"> then two-year-old</w:t>
      </w:r>
      <w:r w:rsidR="00CF46A2" w:rsidRPr="0001127B">
        <w:t xml:space="preserve"> </w:t>
      </w:r>
      <w:r w:rsidR="007E60E8">
        <w:t>Nyla</w:t>
      </w:r>
      <w:r w:rsidR="00CF46A2" w:rsidRPr="0001127B">
        <w:t xml:space="preserve">, </w:t>
      </w:r>
      <w:r w:rsidR="00CB4AEF">
        <w:t>Husband</w:t>
      </w:r>
      <w:r w:rsidR="00CF46A2" w:rsidRPr="0001127B">
        <w:t xml:space="preserve"> slapped </w:t>
      </w:r>
      <w:r w:rsidR="00CB4AEF">
        <w:t>Wife</w:t>
      </w:r>
      <w:r w:rsidR="00CF46A2" w:rsidRPr="0001127B">
        <w:t xml:space="preserve"> and punched </w:t>
      </w:r>
      <w:r w:rsidR="00D37EA6" w:rsidRPr="0001127B">
        <w:t>her</w:t>
      </w:r>
      <w:r w:rsidR="00CF46A2" w:rsidRPr="0001127B">
        <w:t xml:space="preserve"> head and body, rendering her unconscious.  She also described an incident a couple of weeks later, when </w:t>
      </w:r>
      <w:r w:rsidR="00CB4AEF">
        <w:t>Husband</w:t>
      </w:r>
      <w:r w:rsidR="00CF46A2" w:rsidRPr="0001127B">
        <w:t xml:space="preserve"> closed the car door on her legs as she was trying to take </w:t>
      </w:r>
      <w:r w:rsidR="007E60E8">
        <w:t>Nyla</w:t>
      </w:r>
      <w:r w:rsidR="00CF46A2" w:rsidRPr="0001127B">
        <w:t xml:space="preserve"> out of her car seat, </w:t>
      </w:r>
      <w:r w:rsidR="00234EAC" w:rsidRPr="0001127B">
        <w:t xml:space="preserve">and </w:t>
      </w:r>
      <w:r w:rsidR="00CF46A2" w:rsidRPr="0001127B">
        <w:t xml:space="preserve">an incident on February 5, 2023 when </w:t>
      </w:r>
      <w:r w:rsidR="00CB4AEF">
        <w:t>Husband</w:t>
      </w:r>
      <w:r w:rsidR="00CF46A2" w:rsidRPr="0001127B">
        <w:t>, who was no longer living in the couple’s home, tried to break into the house</w:t>
      </w:r>
      <w:r w:rsidR="00234EAC" w:rsidRPr="0001127B">
        <w:t xml:space="preserve">.  </w:t>
      </w:r>
      <w:r w:rsidR="004D1B3C">
        <w:t>An earli</w:t>
      </w:r>
      <w:r w:rsidR="000367CB" w:rsidRPr="0001127B">
        <w:t>er alleged inci</w:t>
      </w:r>
      <w:r w:rsidR="00234EAC" w:rsidRPr="0001127B">
        <w:t xml:space="preserve">dent took place </w:t>
      </w:r>
      <w:r w:rsidR="004D1B3C">
        <w:t xml:space="preserve">in </w:t>
      </w:r>
      <w:r w:rsidR="00234EAC" w:rsidRPr="0001127B">
        <w:t xml:space="preserve">2020, when </w:t>
      </w:r>
      <w:r w:rsidR="00CB4AEF">
        <w:t>Wife</w:t>
      </w:r>
      <w:r w:rsidR="00234EAC" w:rsidRPr="0001127B">
        <w:t xml:space="preserve"> was pregnant.  </w:t>
      </w:r>
      <w:r w:rsidR="00CB4AEF">
        <w:t>Husband</w:t>
      </w:r>
      <w:r w:rsidR="00234EAC" w:rsidRPr="0001127B">
        <w:t xml:space="preserve"> slapped her across the face so hard she was knocked out; when she regained consciousness he was dragging her across the floor.  He grabbed her face, threatened her, and told her to respect him.  She suffered a black eye as a result.  </w:t>
      </w:r>
    </w:p>
    <w:p w14:paraId="08719731" w14:textId="55A2FDCE" w:rsidR="006E5E14" w:rsidRPr="0001127B" w:rsidRDefault="000367CB" w:rsidP="00FB769A">
      <w:pPr>
        <w:spacing w:line="360" w:lineRule="auto"/>
      </w:pPr>
      <w:r w:rsidRPr="0001127B">
        <w:tab/>
      </w:r>
      <w:r w:rsidR="00CB4AEF">
        <w:t>Wife</w:t>
      </w:r>
      <w:r w:rsidRPr="0001127B">
        <w:t xml:space="preserve"> </w:t>
      </w:r>
      <w:r w:rsidR="00234EAC" w:rsidRPr="0001127B">
        <w:t>provided a declaration that attached photographs of her injuries</w:t>
      </w:r>
      <w:r w:rsidRPr="0001127B">
        <w:t xml:space="preserve"> after the October 2022 incident</w:t>
      </w:r>
      <w:r w:rsidR="00234EAC" w:rsidRPr="0001127B">
        <w:t xml:space="preserve"> and </w:t>
      </w:r>
      <w:r w:rsidR="00D37EA6" w:rsidRPr="0001127B">
        <w:t xml:space="preserve">subsequent </w:t>
      </w:r>
      <w:r w:rsidR="00234EAC" w:rsidRPr="0001127B">
        <w:t xml:space="preserve">text messages between her and </w:t>
      </w:r>
      <w:r w:rsidR="00CB4AEF">
        <w:t>Husband</w:t>
      </w:r>
      <w:r w:rsidR="00234EAC" w:rsidRPr="0001127B">
        <w:t xml:space="preserve">.  Those messages included </w:t>
      </w:r>
      <w:r w:rsidR="00CB4AEF">
        <w:t>Husband</w:t>
      </w:r>
      <w:r w:rsidR="00234EAC" w:rsidRPr="0001127B">
        <w:t xml:space="preserve"> telling her he “didn’t hit [her] hard at all</w:t>
      </w:r>
      <w:r w:rsidR="00D37EA6" w:rsidRPr="0001127B">
        <w:t>.</w:t>
      </w:r>
      <w:r w:rsidR="00234EAC" w:rsidRPr="0001127B">
        <w:t>”</w:t>
      </w:r>
      <w:r w:rsidR="00D37EA6" w:rsidRPr="0001127B">
        <w:t xml:space="preserve"> </w:t>
      </w:r>
      <w:r w:rsidR="00235AFE">
        <w:t xml:space="preserve"> </w:t>
      </w:r>
      <w:r w:rsidR="00D37EA6" w:rsidRPr="0001127B">
        <w:t>In another series of text</w:t>
      </w:r>
      <w:r w:rsidR="000E0AB2" w:rsidRPr="0001127B">
        <w:t xml:space="preserve"> messages</w:t>
      </w:r>
      <w:r w:rsidR="00D37EA6" w:rsidRPr="0001127B">
        <w:t xml:space="preserve">, </w:t>
      </w:r>
      <w:r w:rsidR="00CB4AEF">
        <w:t>Wife</w:t>
      </w:r>
      <w:r w:rsidR="00D37EA6" w:rsidRPr="0001127B">
        <w:t xml:space="preserve"> accused him of</w:t>
      </w:r>
      <w:r w:rsidR="00806D7E" w:rsidRPr="0001127B">
        <w:t xml:space="preserve"> hitting her in front of </w:t>
      </w:r>
      <w:r w:rsidR="007E60E8">
        <w:t>Nyla</w:t>
      </w:r>
      <w:r w:rsidR="00806D7E" w:rsidRPr="0001127B">
        <w:t>, causing injuries to her head, and threatening to kill her</w:t>
      </w:r>
      <w:r w:rsidR="00D37EA6" w:rsidRPr="0001127B">
        <w:t xml:space="preserve">, and he </w:t>
      </w:r>
      <w:r w:rsidR="005F703A" w:rsidRPr="0001127B">
        <w:t>replied,</w:t>
      </w:r>
      <w:r w:rsidR="00806D7E" w:rsidRPr="0001127B">
        <w:t xml:space="preserve"> “I apologize .</w:t>
      </w:r>
      <w:r w:rsidR="005F703A" w:rsidRPr="0001127B">
        <w:t> </w:t>
      </w:r>
      <w:r w:rsidR="00806D7E" w:rsidRPr="0001127B">
        <w:t>.</w:t>
      </w:r>
      <w:r w:rsidR="005F703A" w:rsidRPr="0001127B">
        <w:t> </w:t>
      </w:r>
      <w:r w:rsidR="00806D7E" w:rsidRPr="0001127B">
        <w:t>. like I said I’m not proud of what happened.”</w:t>
      </w:r>
      <w:r w:rsidR="00E647A6" w:rsidRPr="0001127B">
        <w:t xml:space="preserve"> </w:t>
      </w:r>
    </w:p>
    <w:p w14:paraId="20C412E3" w14:textId="6A054A69" w:rsidR="00FE2EED" w:rsidRPr="0001127B" w:rsidRDefault="00FE2EED" w:rsidP="00FB769A">
      <w:pPr>
        <w:spacing w:line="360" w:lineRule="auto"/>
      </w:pPr>
      <w:r w:rsidRPr="0001127B">
        <w:lastRenderedPageBreak/>
        <w:tab/>
        <w:t>The trial court issued a temporary restraining order on February 7, 2023</w:t>
      </w:r>
      <w:r w:rsidR="00105DD4" w:rsidRPr="0001127B">
        <w:t xml:space="preserve">, requiring </w:t>
      </w:r>
      <w:r w:rsidR="00CB4AEF">
        <w:t>Husband</w:t>
      </w:r>
      <w:r w:rsidR="00105DD4" w:rsidRPr="0001127B">
        <w:t xml:space="preserve"> to stay away from </w:t>
      </w:r>
      <w:r w:rsidR="00CB4AEF">
        <w:t>Wife</w:t>
      </w:r>
      <w:r w:rsidR="00105DD4" w:rsidRPr="0001127B">
        <w:t xml:space="preserve"> and </w:t>
      </w:r>
      <w:r w:rsidR="007E60E8">
        <w:t>Nyla</w:t>
      </w:r>
      <w:r w:rsidR="00105DD4" w:rsidRPr="0001127B">
        <w:t>, except for court-ordered visits</w:t>
      </w:r>
      <w:r w:rsidRPr="0001127B">
        <w:t>.</w:t>
      </w:r>
      <w:r w:rsidR="00105DD4" w:rsidRPr="0001127B">
        <w:t xml:space="preserve">  </w:t>
      </w:r>
      <w:r w:rsidR="00CB4AEF">
        <w:t>Wife</w:t>
      </w:r>
      <w:r w:rsidR="00105DD4" w:rsidRPr="0001127B">
        <w:t xml:space="preserve"> was given custody of </w:t>
      </w:r>
      <w:r w:rsidR="007E60E8">
        <w:t>Nyla</w:t>
      </w:r>
      <w:r w:rsidR="00105DD4" w:rsidRPr="0001127B">
        <w:t xml:space="preserve">, and </w:t>
      </w:r>
      <w:r w:rsidR="00CB4AEF">
        <w:t>Husband</w:t>
      </w:r>
      <w:r w:rsidR="00105DD4" w:rsidRPr="0001127B">
        <w:t xml:space="preserve"> was granted unsupervised visits three times a week.</w:t>
      </w:r>
      <w:r w:rsidRPr="0001127B">
        <w:t xml:space="preserve"> </w:t>
      </w:r>
      <w:r w:rsidR="00105DD4" w:rsidRPr="0001127B">
        <w:t xml:space="preserve"> </w:t>
      </w:r>
    </w:p>
    <w:p w14:paraId="08FD7654" w14:textId="50CE14F6" w:rsidR="002E06C6" w:rsidRPr="0001127B" w:rsidRDefault="002E06C6" w:rsidP="00FB769A">
      <w:pPr>
        <w:spacing w:line="360" w:lineRule="auto"/>
      </w:pPr>
      <w:r w:rsidRPr="0001127B">
        <w:tab/>
        <w:t xml:space="preserve">At a March 15, 2023 hearing, </w:t>
      </w:r>
      <w:r w:rsidR="00CB4AEF">
        <w:t>Husband</w:t>
      </w:r>
      <w:r w:rsidRPr="0001127B">
        <w:t xml:space="preserve"> was represented by counsel. </w:t>
      </w:r>
      <w:r w:rsidR="00785F42" w:rsidRPr="0001127B">
        <w:t xml:space="preserve"> </w:t>
      </w:r>
      <w:r w:rsidR="00CB4AEF">
        <w:t>Wife</w:t>
      </w:r>
      <w:r w:rsidRPr="0001127B">
        <w:t xml:space="preserve"> </w:t>
      </w:r>
      <w:r w:rsidR="000367CB" w:rsidRPr="0001127B">
        <w:t>requested</w:t>
      </w:r>
      <w:r w:rsidRPr="0001127B">
        <w:t xml:space="preserve"> </w:t>
      </w:r>
      <w:r w:rsidR="00394634" w:rsidRPr="0001127B">
        <w:t xml:space="preserve">a continuance so she could </w:t>
      </w:r>
      <w:r w:rsidR="000367CB" w:rsidRPr="0001127B">
        <w:t>seek</w:t>
      </w:r>
      <w:r w:rsidR="00394634" w:rsidRPr="0001127B">
        <w:t xml:space="preserve"> counsel</w:t>
      </w:r>
      <w:r w:rsidR="00785F42" w:rsidRPr="0001127B">
        <w:t xml:space="preserve"> of her own</w:t>
      </w:r>
      <w:r w:rsidR="00394634" w:rsidRPr="0001127B">
        <w:t>.</w:t>
      </w:r>
      <w:r w:rsidR="00235AFE">
        <w:t xml:space="preserve"> </w:t>
      </w:r>
      <w:r w:rsidR="00785F42" w:rsidRPr="0001127B">
        <w:t xml:space="preserve">  </w:t>
      </w:r>
      <w:r w:rsidR="00CB4AEF">
        <w:t>Husband</w:t>
      </w:r>
      <w:r w:rsidR="00785F42" w:rsidRPr="0001127B">
        <w:t xml:space="preserve">’s counsel objected, saying </w:t>
      </w:r>
      <w:r w:rsidR="00CB4AEF">
        <w:t>Wife</w:t>
      </w:r>
      <w:r w:rsidR="00785F42" w:rsidRPr="0001127B">
        <w:t xml:space="preserve"> was ready to proceed with the merits of the petition.  The trial court continued the hearing to April 4, and </w:t>
      </w:r>
      <w:r w:rsidR="00CB4AEF">
        <w:t>Husband</w:t>
      </w:r>
      <w:r w:rsidR="004D1B3C" w:rsidRPr="0001127B">
        <w:t xml:space="preserve">’s </w:t>
      </w:r>
      <w:r w:rsidR="00785F42" w:rsidRPr="0001127B">
        <w:t xml:space="preserve">counsel urged that no further continuances be granted. </w:t>
      </w:r>
    </w:p>
    <w:p w14:paraId="0714B136" w14:textId="60F105A3" w:rsidR="00105DD4" w:rsidRPr="0001127B" w:rsidRDefault="00105DD4" w:rsidP="00105DD4">
      <w:pPr>
        <w:spacing w:line="360" w:lineRule="auto"/>
      </w:pPr>
      <w:r w:rsidRPr="0001127B">
        <w:tab/>
      </w:r>
      <w:r w:rsidR="00CB4AEF">
        <w:t>Husband</w:t>
      </w:r>
      <w:r w:rsidRPr="0001127B">
        <w:t xml:space="preserve"> filed a response to the DVRO request on March 29, 2023, in which he asserted that </w:t>
      </w:r>
      <w:r w:rsidR="00CB4AEF">
        <w:t>Wife</w:t>
      </w:r>
      <w:r w:rsidRPr="0001127B">
        <w:t xml:space="preserve">’s allegations were “exaggerated,” that he had not abused her, and that he posed no threat to her. </w:t>
      </w:r>
    </w:p>
    <w:p w14:paraId="0197BB79" w14:textId="1D7ED4F0" w:rsidR="00A02E32" w:rsidRPr="0001127B" w:rsidRDefault="00A02E32" w:rsidP="00105DD4">
      <w:pPr>
        <w:spacing w:line="360" w:lineRule="auto"/>
      </w:pPr>
      <w:r w:rsidRPr="0001127B">
        <w:tab/>
      </w:r>
      <w:r w:rsidR="00CB4AEF">
        <w:t>Wife</w:t>
      </w:r>
      <w:r w:rsidRPr="0001127B">
        <w:t xml:space="preserve"> </w:t>
      </w:r>
      <w:r w:rsidR="000773EB" w:rsidRPr="0001127B">
        <w:t xml:space="preserve">filed </w:t>
      </w:r>
      <w:r w:rsidRPr="0001127B">
        <w:t>a supplemental declaration in support of her request for a DVRO on March 30, 2023</w:t>
      </w:r>
      <w:r w:rsidR="000773EB" w:rsidRPr="0001127B">
        <w:t xml:space="preserve">, which </w:t>
      </w:r>
      <w:r w:rsidR="00CB4AEF">
        <w:t>Husband</w:t>
      </w:r>
      <w:r w:rsidR="00803C46">
        <w:t>’</w:t>
      </w:r>
      <w:r w:rsidR="000773EB" w:rsidRPr="0001127B">
        <w:t xml:space="preserve">s counsel received the following day. </w:t>
      </w:r>
      <w:r w:rsidRPr="0001127B">
        <w:t xml:space="preserve"> </w:t>
      </w:r>
      <w:r w:rsidR="00CB4AEF">
        <w:t>Wife</w:t>
      </w:r>
      <w:r w:rsidR="000773EB" w:rsidRPr="0001127B">
        <w:t xml:space="preserve"> </w:t>
      </w:r>
      <w:r w:rsidRPr="0001127B">
        <w:t xml:space="preserve">stated that </w:t>
      </w:r>
      <w:r w:rsidR="00CB4AEF">
        <w:t>Husband</w:t>
      </w:r>
      <w:r w:rsidRPr="0001127B">
        <w:t xml:space="preserve"> demanded deference, citing their religious tradition, and became enraged and beat her, sometimes to unconsciousness, if he thought she “ ‘misbehaved.’ ” </w:t>
      </w:r>
      <w:r w:rsidR="004B3B5E" w:rsidRPr="0001127B">
        <w:t xml:space="preserve"> She detailed regular physical abuse that began shortly after their marriage in 2013, </w:t>
      </w:r>
      <w:r w:rsidR="000E0AB2" w:rsidRPr="0001127B">
        <w:t>which</w:t>
      </w:r>
      <w:r w:rsidR="004B3B5E" w:rsidRPr="0001127B">
        <w:t xml:space="preserve"> included reckless driving</w:t>
      </w:r>
      <w:r w:rsidR="00C11637" w:rsidRPr="0001127B">
        <w:t xml:space="preserve"> while she was a passenger</w:t>
      </w:r>
      <w:r w:rsidR="004B3B5E" w:rsidRPr="0001127B">
        <w:t xml:space="preserve">, at least one death threat, </w:t>
      </w:r>
      <w:r w:rsidR="00C11637" w:rsidRPr="0001127B">
        <w:t xml:space="preserve">and </w:t>
      </w:r>
      <w:r w:rsidR="004B3B5E" w:rsidRPr="0001127B">
        <w:t xml:space="preserve">slaps and punches, </w:t>
      </w:r>
      <w:r w:rsidR="00C11637" w:rsidRPr="0001127B">
        <w:t xml:space="preserve">often accompanied by </w:t>
      </w:r>
      <w:r w:rsidR="004B3B5E" w:rsidRPr="0001127B">
        <w:t>demands for respect.  She also attached copies of</w:t>
      </w:r>
      <w:r w:rsidR="001560B0" w:rsidRPr="0001127B">
        <w:t xml:space="preserve"> additional</w:t>
      </w:r>
      <w:r w:rsidR="004B3B5E" w:rsidRPr="0001127B">
        <w:t xml:space="preserve"> text messages between the two in which </w:t>
      </w:r>
      <w:r w:rsidR="00CB4AEF">
        <w:t>Husband</w:t>
      </w:r>
      <w:r w:rsidR="004B3B5E" w:rsidRPr="0001127B">
        <w:t xml:space="preserve"> </w:t>
      </w:r>
      <w:r w:rsidR="006D77CD" w:rsidRPr="0001127B">
        <w:t>told her she must obey and respect him and “fall in line,” told her she did not have “authority” to decide to divorce him, acknowledged hitting her “to kno</w:t>
      </w:r>
      <w:r w:rsidR="000367CB" w:rsidRPr="0001127B">
        <w:t>ck</w:t>
      </w:r>
      <w:r w:rsidR="006D77CD" w:rsidRPr="0001127B">
        <w:t xml:space="preserve"> some sense in [her] head,</w:t>
      </w:r>
      <w:r w:rsidR="007E2BF8">
        <w:t>”</w:t>
      </w:r>
      <w:r w:rsidR="006D77CD" w:rsidRPr="0001127B">
        <w:t xml:space="preserve"> said she had to be “treated with acute stimulation for the information to be transmitted,”</w:t>
      </w:r>
      <w:r w:rsidR="000367CB" w:rsidRPr="0001127B">
        <w:t xml:space="preserve"> </w:t>
      </w:r>
      <w:r w:rsidR="006D77CD" w:rsidRPr="0001127B">
        <w:t>and said he had a “</w:t>
      </w:r>
      <w:r w:rsidR="00764B38">
        <w:t>[G]</w:t>
      </w:r>
      <w:r w:rsidR="00803C46" w:rsidRPr="0001127B">
        <w:t xml:space="preserve">od </w:t>
      </w:r>
      <w:r w:rsidR="006D77CD" w:rsidRPr="0001127B">
        <w:t xml:space="preserve">given right to discipline” her if she “disrespect[ed]” him. </w:t>
      </w:r>
      <w:r w:rsidR="001667EC" w:rsidRPr="0001127B">
        <w:t xml:space="preserve"> She also submitted a declaration by a former neighbor who had heard “terrifying arguments” in which </w:t>
      </w:r>
      <w:r w:rsidR="00CB4AEF">
        <w:lastRenderedPageBreak/>
        <w:t>Husband</w:t>
      </w:r>
      <w:r w:rsidR="001667EC" w:rsidRPr="0001127B">
        <w:t xml:space="preserve"> became enraged and shouted abusive language at </w:t>
      </w:r>
      <w:r w:rsidR="00CB4AEF">
        <w:t>Wife</w:t>
      </w:r>
      <w:r w:rsidR="001667EC" w:rsidRPr="0001127B">
        <w:t xml:space="preserve">, and on one occasion in May 2014 heard “the distinct sounds of blows to flesh” during an argument. </w:t>
      </w:r>
    </w:p>
    <w:p w14:paraId="63FFC306" w14:textId="190282FE" w:rsidR="000367CB" w:rsidRPr="0001127B" w:rsidRDefault="00FE2EED" w:rsidP="00FB769A">
      <w:pPr>
        <w:spacing w:line="360" w:lineRule="auto"/>
      </w:pPr>
      <w:r w:rsidRPr="0001127B">
        <w:tab/>
        <w:t>The continued hearing</w:t>
      </w:r>
      <w:r w:rsidR="009710C3" w:rsidRPr="0001127B">
        <w:t xml:space="preserve"> on the DVRO</w:t>
      </w:r>
      <w:r w:rsidRPr="0001127B">
        <w:t xml:space="preserve"> took place on April 4, 2023</w:t>
      </w:r>
      <w:r w:rsidR="001667EC" w:rsidRPr="0001127B">
        <w:t xml:space="preserve">.  </w:t>
      </w:r>
      <w:r w:rsidR="00C11637" w:rsidRPr="0001127B">
        <w:t xml:space="preserve">Before it began, </w:t>
      </w:r>
      <w:r w:rsidR="00CB4AEF">
        <w:t>Husband</w:t>
      </w:r>
      <w:r w:rsidR="00C11637" w:rsidRPr="0001127B">
        <w:t>’s new attorney</w:t>
      </w:r>
      <w:r w:rsidR="001667EC" w:rsidRPr="0001127B">
        <w:t xml:space="preserve"> requested a continuance</w:t>
      </w:r>
      <w:r w:rsidR="00D75320" w:rsidRPr="0001127B">
        <w:t xml:space="preserve">, arguing that there would be multiple witnesses and that </w:t>
      </w:r>
      <w:r w:rsidR="00CB4AEF">
        <w:t>Husband</w:t>
      </w:r>
      <w:r w:rsidR="00D75320" w:rsidRPr="0001127B">
        <w:t xml:space="preserve"> would like to introduce “the totality of the text messages” rather than the “snippets” </w:t>
      </w:r>
      <w:r w:rsidR="00CB4AEF">
        <w:t>Wife</w:t>
      </w:r>
      <w:r w:rsidR="00D75320" w:rsidRPr="0001127B">
        <w:t xml:space="preserve"> had submitted</w:t>
      </w:r>
      <w:r w:rsidR="001667EC" w:rsidRPr="0001127B">
        <w:t>.</w:t>
      </w:r>
      <w:r w:rsidR="00D75320" w:rsidRPr="0001127B">
        <w:t xml:space="preserve">  The trial court explained that a single incident of domestic violence would be sufficient to support a DVRO, concluded multiple witnesses would be unnecessary for </w:t>
      </w:r>
      <w:r w:rsidR="00CB4AEF">
        <w:t>Wife</w:t>
      </w:r>
      <w:r w:rsidR="00D75320" w:rsidRPr="0001127B">
        <w:t xml:space="preserve"> to meet that burden, and declined to continue the hearing.</w:t>
      </w:r>
      <w:r w:rsidR="001667EC" w:rsidRPr="0001127B">
        <w:t xml:space="preserve"> </w:t>
      </w:r>
      <w:r w:rsidR="008C172C" w:rsidRPr="0001127B">
        <w:t xml:space="preserve"> </w:t>
      </w:r>
      <w:r w:rsidR="000367CB" w:rsidRPr="0001127B">
        <w:t xml:space="preserve">The court indicated it would </w:t>
      </w:r>
      <w:r w:rsidR="000E0AB2" w:rsidRPr="0001127B">
        <w:t>disregard</w:t>
      </w:r>
      <w:r w:rsidR="000367CB" w:rsidRPr="0001127B">
        <w:t xml:space="preserve"> the declaration of the neighbor, who was not present at the hearing.</w:t>
      </w:r>
      <w:r w:rsidR="00235AFE">
        <w:t xml:space="preserve">  </w:t>
      </w:r>
      <w:r w:rsidR="000367CB" w:rsidRPr="0001127B">
        <w:t xml:space="preserve">At the hearing, </w:t>
      </w:r>
      <w:r w:rsidR="00CB4AEF">
        <w:t>Wife</w:t>
      </w:r>
      <w:r w:rsidR="007072EE" w:rsidRPr="0001127B">
        <w:t xml:space="preserve"> testified to years of domestic abuse</w:t>
      </w:r>
      <w:r w:rsidR="007B1999" w:rsidRPr="0001127B">
        <w:t xml:space="preserve"> over the course of the marriage</w:t>
      </w:r>
      <w:r w:rsidR="007072EE" w:rsidRPr="0001127B">
        <w:t xml:space="preserve">, culminating in the incident in October 2022 when </w:t>
      </w:r>
      <w:r w:rsidR="00CB4AEF">
        <w:t>Husband</w:t>
      </w:r>
      <w:r w:rsidR="007072EE" w:rsidRPr="0001127B">
        <w:t xml:space="preserve"> beat her to unconsciousness in the presence of </w:t>
      </w:r>
      <w:r w:rsidR="007E60E8">
        <w:t>Nyla.</w:t>
      </w:r>
    </w:p>
    <w:p w14:paraId="42CC52FB" w14:textId="180A7034" w:rsidR="00FE2EED" w:rsidRPr="0001127B" w:rsidRDefault="000367CB" w:rsidP="00FB769A">
      <w:pPr>
        <w:spacing w:line="360" w:lineRule="auto"/>
      </w:pPr>
      <w:r w:rsidRPr="0001127B">
        <w:tab/>
      </w:r>
      <w:r w:rsidR="00CB4AEF">
        <w:t>Husband</w:t>
      </w:r>
      <w:r w:rsidR="007B1999" w:rsidRPr="0001127B">
        <w:t xml:space="preserve"> </w:t>
      </w:r>
      <w:r w:rsidR="007072EE" w:rsidRPr="0001127B">
        <w:t xml:space="preserve">painted a different picture in his testimony, characterizing </w:t>
      </w:r>
      <w:r w:rsidR="00CB4AEF">
        <w:t>Wife</w:t>
      </w:r>
      <w:r w:rsidR="007072EE" w:rsidRPr="0001127B">
        <w:t xml:space="preserve"> as emotionally volatile and himself as merely responding to her aggressiveness when he hit or pushed her</w:t>
      </w:r>
      <w:r w:rsidRPr="0001127B">
        <w:t xml:space="preserve">.  He explained away </w:t>
      </w:r>
      <w:r w:rsidR="00CB4AEF">
        <w:t>Wife</w:t>
      </w:r>
      <w:r w:rsidRPr="0001127B">
        <w:t>’s</w:t>
      </w:r>
      <w:r w:rsidR="007072EE" w:rsidRPr="0001127B">
        <w:t xml:space="preserve"> loss of consciousness as the result of a medical condition that caused sleepwalking and fainting.  According to </w:t>
      </w:r>
      <w:r w:rsidR="00CB4AEF">
        <w:t>Husband</w:t>
      </w:r>
      <w:r w:rsidR="007072EE" w:rsidRPr="0001127B">
        <w:t>,</w:t>
      </w:r>
      <w:r w:rsidR="00802E7D" w:rsidRPr="0001127B">
        <w:t xml:space="preserve"> during the October 2022 incident, </w:t>
      </w:r>
      <w:r w:rsidR="00CB4AEF">
        <w:t>Wife</w:t>
      </w:r>
      <w:r w:rsidR="00802E7D" w:rsidRPr="0001127B">
        <w:t xml:space="preserve"> attacked him with a knife while holding </w:t>
      </w:r>
      <w:r w:rsidR="007E60E8">
        <w:t>Nyla.</w:t>
      </w:r>
      <w:r w:rsidRPr="0001127B">
        <w:t xml:space="preserve">  He</w:t>
      </w:r>
      <w:r w:rsidR="002D04DB">
        <w:t xml:space="preserve"> acknowledged he had written</w:t>
      </w:r>
      <w:r w:rsidR="007072EE" w:rsidRPr="0001127B">
        <w:t xml:space="preserve"> the text messages</w:t>
      </w:r>
      <w:r w:rsidR="002D04DB">
        <w:t>, but he said they</w:t>
      </w:r>
      <w:r w:rsidR="007072EE" w:rsidRPr="0001127B">
        <w:t xml:space="preserve"> were “cherry picked”</w:t>
      </w:r>
      <w:r w:rsidR="001560B0" w:rsidRPr="0001127B">
        <w:t xml:space="preserve"> </w:t>
      </w:r>
      <w:r w:rsidR="007072EE" w:rsidRPr="0001127B">
        <w:t>and taken out of context</w:t>
      </w:r>
      <w:r w:rsidRPr="0001127B">
        <w:t>, and he denied ever hitting or slapping her</w:t>
      </w:r>
      <w:r w:rsidR="007072EE" w:rsidRPr="0001127B">
        <w:t xml:space="preserve">. </w:t>
      </w:r>
      <w:r w:rsidR="00802E7D" w:rsidRPr="0001127B">
        <w:t xml:space="preserve"> </w:t>
      </w:r>
    </w:p>
    <w:p w14:paraId="0881D498" w14:textId="224D905F" w:rsidR="006A14E5" w:rsidRPr="0001127B" w:rsidRDefault="009E3833" w:rsidP="00FB769A">
      <w:pPr>
        <w:spacing w:line="360" w:lineRule="auto"/>
      </w:pPr>
      <w:r w:rsidRPr="0001127B">
        <w:tab/>
        <w:t xml:space="preserve">The trial court found </w:t>
      </w:r>
      <w:r w:rsidR="00CB4AEF">
        <w:t>Wife</w:t>
      </w:r>
      <w:r w:rsidRPr="0001127B">
        <w:t xml:space="preserve">’s testimony credible and </w:t>
      </w:r>
      <w:r w:rsidR="00CB4AEF">
        <w:t>Husband</w:t>
      </w:r>
      <w:r w:rsidRPr="0001127B">
        <w:t>’s explanations not credible,</w:t>
      </w:r>
      <w:r w:rsidR="00CD5480">
        <w:t xml:space="preserve"> it found it was more likely than not that </w:t>
      </w:r>
      <w:r w:rsidR="00CB4AEF">
        <w:t>Wife</w:t>
      </w:r>
      <w:r w:rsidR="00CD5480">
        <w:t xml:space="preserve">’s injuries were caused by </w:t>
      </w:r>
      <w:r w:rsidR="00CB4AEF">
        <w:t>Husband</w:t>
      </w:r>
      <w:r w:rsidR="00CD5480">
        <w:t xml:space="preserve"> striking her rather than by falling and fainting,</w:t>
      </w:r>
      <w:r w:rsidRPr="0001127B">
        <w:t xml:space="preserve"> and it concluded the text messages alone were sufficient to provide a </w:t>
      </w:r>
      <w:r w:rsidRPr="0001127B">
        <w:lastRenderedPageBreak/>
        <w:t xml:space="preserve">basis for the DVRO.  The court issued a restraining order for three years. </w:t>
      </w:r>
      <w:r w:rsidR="00AF0705" w:rsidRPr="0001127B">
        <w:t xml:space="preserve"> </w:t>
      </w:r>
      <w:r w:rsidR="00CB4AEF">
        <w:t>Wife</w:t>
      </w:r>
      <w:r w:rsidR="00AF0705" w:rsidRPr="0001127B">
        <w:t xml:space="preserve"> retained custody of </w:t>
      </w:r>
      <w:r w:rsidR="007E60E8">
        <w:t>Nyla</w:t>
      </w:r>
      <w:r w:rsidR="00AF0705" w:rsidRPr="0001127B">
        <w:t xml:space="preserve">, with supervised visitation twice a week </w:t>
      </w:r>
      <w:r w:rsidR="00C11637" w:rsidRPr="0001127B">
        <w:t xml:space="preserve">for </w:t>
      </w:r>
      <w:r w:rsidR="00CB4AEF">
        <w:t>Husband</w:t>
      </w:r>
      <w:r w:rsidR="00AF0705" w:rsidRPr="0001127B">
        <w:t>.</w:t>
      </w:r>
    </w:p>
    <w:p w14:paraId="58E91F55" w14:textId="28A1F0CD" w:rsidR="000367CB" w:rsidRPr="0044160F" w:rsidRDefault="0046220A" w:rsidP="002A32A4">
      <w:pPr>
        <w:pStyle w:val="ListParagraph"/>
        <w:numPr>
          <w:ilvl w:val="0"/>
          <w:numId w:val="1"/>
        </w:numPr>
        <w:spacing w:line="360" w:lineRule="auto"/>
        <w:ind w:hanging="1080"/>
        <w:rPr>
          <w:b/>
          <w:bCs/>
        </w:rPr>
      </w:pPr>
      <w:r w:rsidRPr="0044160F">
        <w:rPr>
          <w:b/>
          <w:bCs/>
        </w:rPr>
        <w:t>Notice of Ex Parte Hearing on Visitation</w:t>
      </w:r>
    </w:p>
    <w:p w14:paraId="4DCA01A3" w14:textId="7E0C541E" w:rsidR="000367CB" w:rsidRPr="0001127B" w:rsidRDefault="000367CB" w:rsidP="000367CB">
      <w:pPr>
        <w:spacing w:line="360" w:lineRule="auto"/>
      </w:pPr>
      <w:r w:rsidRPr="0001127B">
        <w:tab/>
      </w:r>
      <w:r w:rsidR="000E0AB2" w:rsidRPr="0001127B">
        <w:t>On March 29, 2023, w</w:t>
      </w:r>
      <w:r w:rsidRPr="0001127B">
        <w:t>hile the</w:t>
      </w:r>
      <w:r w:rsidR="000E0AB2" w:rsidRPr="0001127B">
        <w:t>se</w:t>
      </w:r>
      <w:r w:rsidRPr="0001127B">
        <w:t xml:space="preserve"> events were </w:t>
      </w:r>
      <w:r w:rsidR="000E0AB2" w:rsidRPr="0001127B">
        <w:t xml:space="preserve">unfolding, </w:t>
      </w:r>
      <w:r w:rsidR="00CB4AEF">
        <w:t>Wife</w:t>
      </w:r>
      <w:r w:rsidRPr="0001127B">
        <w:t xml:space="preserve"> filed a notice</w:t>
      </w:r>
      <w:r w:rsidR="0046220A" w:rsidRPr="0001127B">
        <w:t xml:space="preserve"> </w:t>
      </w:r>
      <w:r w:rsidR="00C11637" w:rsidRPr="0001127B">
        <w:t xml:space="preserve">seeking </w:t>
      </w:r>
      <w:r w:rsidRPr="0001127B">
        <w:t>an ex parte hearing</w:t>
      </w:r>
      <w:r w:rsidR="00C11637" w:rsidRPr="0001127B">
        <w:t xml:space="preserve"> on a request to modify the custody provisions of the DVRO.  </w:t>
      </w:r>
      <w:r w:rsidR="00CB4AEF">
        <w:t>Husband</w:t>
      </w:r>
      <w:r w:rsidR="00BA355C">
        <w:t xml:space="preserve"> apparently received a copy of the papers the next day.  </w:t>
      </w:r>
      <w:r w:rsidR="00C11637" w:rsidRPr="0001127B">
        <w:t>The hearing was</w:t>
      </w:r>
      <w:r w:rsidRPr="0001127B">
        <w:t xml:space="preserve"> to take place on April 12</w:t>
      </w:r>
      <w:r w:rsidR="00C11637" w:rsidRPr="0001127B">
        <w:t xml:space="preserve">; </w:t>
      </w:r>
      <w:r w:rsidR="00CB4AEF">
        <w:t>Wife</w:t>
      </w:r>
      <w:r w:rsidR="00C11637" w:rsidRPr="0001127B">
        <w:t xml:space="preserve"> announced that at the hearing she</w:t>
      </w:r>
      <w:r w:rsidRPr="0001127B">
        <w:t xml:space="preserve"> would seek an order that </w:t>
      </w:r>
      <w:r w:rsidR="00CB4AEF">
        <w:t>Husband</w:t>
      </w:r>
      <w:r w:rsidR="00E2042C" w:rsidRPr="0001127B">
        <w:t xml:space="preserve"> </w:t>
      </w:r>
      <w:r w:rsidRPr="0001127B">
        <w:t xml:space="preserve">receive no visitation until </w:t>
      </w:r>
      <w:r w:rsidR="007E60E8">
        <w:t>Nyla</w:t>
      </w:r>
      <w:r w:rsidRPr="0001127B">
        <w:t xml:space="preserve"> received a therapeutic assessment.  In support of the request, </w:t>
      </w:r>
      <w:r w:rsidR="00CB4AEF">
        <w:t>Wife</w:t>
      </w:r>
      <w:r w:rsidRPr="0001127B">
        <w:t xml:space="preserve"> submitted a declaration asserting, among other things, that </w:t>
      </w:r>
      <w:r w:rsidR="00CB4AEF">
        <w:t>Husband</w:t>
      </w:r>
      <w:r w:rsidRPr="0001127B">
        <w:t xml:space="preserve"> had committed many acts of abuse during the 10-year course of their marriage; that he had refused to hand </w:t>
      </w:r>
      <w:r w:rsidR="007E60E8">
        <w:t>Nyla</w:t>
      </w:r>
      <w:r w:rsidRPr="0001127B">
        <w:t xml:space="preserve"> over to </w:t>
      </w:r>
      <w:r w:rsidR="00CB4AEF">
        <w:t>Wife</w:t>
      </w:r>
      <w:r w:rsidRPr="0001127B">
        <w:t xml:space="preserve">’s mother after a visit; that afterward </w:t>
      </w:r>
      <w:r w:rsidR="007E60E8">
        <w:t>Nyla</w:t>
      </w:r>
      <w:r w:rsidRPr="0001127B">
        <w:t xml:space="preserve"> appeared distressed about visits with </w:t>
      </w:r>
      <w:r w:rsidR="00CB4AEF">
        <w:t>Husband</w:t>
      </w:r>
      <w:r w:rsidRPr="0001127B">
        <w:t xml:space="preserve">; and that </w:t>
      </w:r>
      <w:r w:rsidR="00CB4AEF">
        <w:t>Husband</w:t>
      </w:r>
      <w:r w:rsidRPr="0001127B">
        <w:t xml:space="preserve"> violated the protective order by delivering balloons to her home.  </w:t>
      </w:r>
    </w:p>
    <w:p w14:paraId="5AC278B8" w14:textId="48346CCC" w:rsidR="00E4225B" w:rsidRDefault="000367CB" w:rsidP="00FB769A">
      <w:pPr>
        <w:spacing w:line="360" w:lineRule="auto"/>
      </w:pPr>
      <w:r w:rsidRPr="0001127B">
        <w:tab/>
        <w:t xml:space="preserve">At the conclusion of the April </w:t>
      </w:r>
      <w:r w:rsidR="00C11637" w:rsidRPr="0001127B">
        <w:t>4</w:t>
      </w:r>
      <w:r w:rsidRPr="0001127B">
        <w:t xml:space="preserve">, 2023 hearing on the DVRO, </w:t>
      </w:r>
      <w:r w:rsidR="00A97620" w:rsidRPr="0001127B">
        <w:t xml:space="preserve">at </w:t>
      </w:r>
      <w:r w:rsidR="00CB4AEF">
        <w:t>Husband</w:t>
      </w:r>
      <w:r w:rsidR="00A97620" w:rsidRPr="0001127B">
        <w:t>’s request</w:t>
      </w:r>
      <w:r w:rsidR="00BA355C">
        <w:t>,</w:t>
      </w:r>
      <w:r w:rsidR="00A97620" w:rsidRPr="0001127B">
        <w:t xml:space="preserve"> </w:t>
      </w:r>
      <w:r w:rsidRPr="0001127B">
        <w:t>t</w:t>
      </w:r>
      <w:r w:rsidR="00E4225B" w:rsidRPr="0001127B">
        <w:t>he court continued the</w:t>
      </w:r>
      <w:r w:rsidR="00980896" w:rsidRPr="0001127B">
        <w:t xml:space="preserve"> </w:t>
      </w:r>
      <w:r w:rsidR="00E4225B" w:rsidRPr="0001127B">
        <w:t>hearing on visitation from April 12 to May 30, 2023.</w:t>
      </w:r>
      <w:r w:rsidR="00980896" w:rsidRPr="0001127B">
        <w:rPr>
          <w:rStyle w:val="FootnoteReference"/>
        </w:rPr>
        <w:footnoteReference w:id="2"/>
      </w:r>
      <w:r w:rsidR="00E4225B" w:rsidRPr="0001127B">
        <w:t xml:space="preserve"> </w:t>
      </w:r>
    </w:p>
    <w:p w14:paraId="659075B1" w14:textId="21548DA8" w:rsidR="0046220A" w:rsidRPr="0044160F" w:rsidRDefault="0046220A" w:rsidP="002A32A4">
      <w:pPr>
        <w:pStyle w:val="ListParagraph"/>
        <w:numPr>
          <w:ilvl w:val="0"/>
          <w:numId w:val="1"/>
        </w:numPr>
        <w:spacing w:line="360" w:lineRule="auto"/>
        <w:ind w:hanging="1080"/>
        <w:rPr>
          <w:b/>
          <w:bCs/>
        </w:rPr>
      </w:pPr>
      <w:r w:rsidRPr="0044160F">
        <w:rPr>
          <w:b/>
          <w:bCs/>
        </w:rPr>
        <w:t>Motion for Reconsideration</w:t>
      </w:r>
    </w:p>
    <w:p w14:paraId="5D70A978" w14:textId="639E73E1" w:rsidR="007B262C" w:rsidRPr="0001127B" w:rsidRDefault="00AF0705" w:rsidP="00FB769A">
      <w:pPr>
        <w:spacing w:line="360" w:lineRule="auto"/>
      </w:pPr>
      <w:r w:rsidRPr="0001127B">
        <w:tab/>
      </w:r>
      <w:r w:rsidR="00CB4AEF">
        <w:t>Husband</w:t>
      </w:r>
      <w:r w:rsidRPr="0001127B">
        <w:t xml:space="preserve"> moved for reconsideration of the trial court’s </w:t>
      </w:r>
      <w:r w:rsidR="00C851AA" w:rsidRPr="0001127B">
        <w:t xml:space="preserve">DVRO </w:t>
      </w:r>
      <w:r w:rsidRPr="0001127B">
        <w:t>on the ground the trial court erred in denying his request for a continuance.</w:t>
      </w:r>
      <w:r w:rsidR="00D05765" w:rsidRPr="0001127B">
        <w:t xml:space="preserve"> </w:t>
      </w:r>
      <w:r w:rsidR="007B262C" w:rsidRPr="0001127B">
        <w:t xml:space="preserve"> </w:t>
      </w:r>
      <w:r w:rsidR="00BA355C">
        <w:t>H</w:t>
      </w:r>
      <w:r w:rsidR="007B262C" w:rsidRPr="0001127B">
        <w:t xml:space="preserve">e argued he did not have adequate time to address the allegations made in the declarations and ex parte request that </w:t>
      </w:r>
      <w:r w:rsidR="00CB4AEF">
        <w:t>Wife</w:t>
      </w:r>
      <w:r w:rsidR="007B262C" w:rsidRPr="0001127B">
        <w:t xml:space="preserve"> filed shortly before the hearing</w:t>
      </w:r>
      <w:r w:rsidR="00BA355C">
        <w:t xml:space="preserve">, </w:t>
      </w:r>
      <w:r w:rsidR="00BA355C">
        <w:lastRenderedPageBreak/>
        <w:t>which</w:t>
      </w:r>
      <w:r w:rsidR="007B262C" w:rsidRPr="0001127B">
        <w:t xml:space="preserve"> raised additional allegations about the history of the parties’ relationship.</w:t>
      </w:r>
      <w:r w:rsidR="002E7596">
        <w:rPr>
          <w:rStyle w:val="FootnoteReference"/>
        </w:rPr>
        <w:footnoteReference w:id="3"/>
      </w:r>
      <w:r w:rsidR="00235AFE">
        <w:t xml:space="preserve">  </w:t>
      </w:r>
    </w:p>
    <w:p w14:paraId="37D14C3D" w14:textId="72EBC253" w:rsidR="00AF0705" w:rsidRPr="0001127B" w:rsidRDefault="007B262C" w:rsidP="00FB769A">
      <w:pPr>
        <w:spacing w:line="360" w:lineRule="auto"/>
      </w:pPr>
      <w:r w:rsidRPr="0001127B">
        <w:tab/>
        <w:t xml:space="preserve">The trial court denied the motion </w:t>
      </w:r>
      <w:r w:rsidR="00C851AA" w:rsidRPr="0001127B">
        <w:t xml:space="preserve">to reconsider </w:t>
      </w:r>
      <w:r w:rsidRPr="0001127B">
        <w:t xml:space="preserve">on May 18, 2023, finding the motion did not present new law, circumstances, or facts as required by section 1008 of the Code of Civil Procedure.  It also reiterated that on April 4 it had found that the text messages alone—which </w:t>
      </w:r>
      <w:r w:rsidR="00CB4AEF">
        <w:t>Husband</w:t>
      </w:r>
      <w:r w:rsidRPr="0001127B">
        <w:t xml:space="preserve"> acknowledged he wrote—supported issuance of a DVRO.  As a result, it explained, any late filings raising other allegations were irrelevant. </w:t>
      </w:r>
      <w:r w:rsidR="007262F8" w:rsidRPr="0001127B">
        <w:t xml:space="preserve"> The court sanctioned </w:t>
      </w:r>
      <w:r w:rsidR="00CB4AEF">
        <w:t>Husband</w:t>
      </w:r>
      <w:r w:rsidR="007262F8" w:rsidRPr="0001127B">
        <w:t xml:space="preserve"> $2,500 for filing a frivolous motion.  (Fam. Code, § 271.) </w:t>
      </w:r>
    </w:p>
    <w:p w14:paraId="40F38F18" w14:textId="3D48651B" w:rsidR="007262F8" w:rsidRPr="0001127B" w:rsidRDefault="007262F8" w:rsidP="00FB769A">
      <w:pPr>
        <w:spacing w:line="360" w:lineRule="auto"/>
      </w:pPr>
      <w:r w:rsidRPr="0001127B">
        <w:tab/>
      </w:r>
      <w:r w:rsidR="00CB4AEF">
        <w:t>Husband</w:t>
      </w:r>
      <w:r w:rsidRPr="0001127B">
        <w:t xml:space="preserve"> timely appealed from the April 4 and May 18, 2023 orders. </w:t>
      </w:r>
    </w:p>
    <w:p w14:paraId="693E3D26" w14:textId="3A4EC032" w:rsidR="00CA5780" w:rsidRPr="0001127B" w:rsidRDefault="00CA5780" w:rsidP="00CA5780">
      <w:pPr>
        <w:spacing w:line="360" w:lineRule="auto"/>
        <w:jc w:val="center"/>
        <w:rPr>
          <w:b/>
          <w:bCs/>
        </w:rPr>
      </w:pPr>
      <w:r w:rsidRPr="0001127B">
        <w:rPr>
          <w:b/>
          <w:bCs/>
        </w:rPr>
        <w:t>DISCUSSION</w:t>
      </w:r>
    </w:p>
    <w:p w14:paraId="2F9629CD" w14:textId="6781A45A" w:rsidR="0001127B" w:rsidRPr="002A32A4" w:rsidRDefault="0001127B" w:rsidP="002A32A4">
      <w:pPr>
        <w:pStyle w:val="ListParagraph"/>
        <w:numPr>
          <w:ilvl w:val="0"/>
          <w:numId w:val="4"/>
        </w:numPr>
        <w:spacing w:line="360" w:lineRule="auto"/>
        <w:ind w:hanging="1080"/>
        <w:rPr>
          <w:b/>
          <w:bCs/>
        </w:rPr>
      </w:pPr>
      <w:r w:rsidRPr="002A32A4">
        <w:rPr>
          <w:b/>
          <w:bCs/>
        </w:rPr>
        <w:t>Request to Dismiss Appeal</w:t>
      </w:r>
    </w:p>
    <w:p w14:paraId="4C61CD79" w14:textId="5450698E" w:rsidR="00CA5780" w:rsidRDefault="00CA5780" w:rsidP="00FB769A">
      <w:pPr>
        <w:spacing w:line="360" w:lineRule="auto"/>
      </w:pPr>
      <w:r w:rsidRPr="0001127B">
        <w:tab/>
        <w:t xml:space="preserve">We note at the outset of our discussion that </w:t>
      </w:r>
      <w:r w:rsidR="00CB4AEF">
        <w:t>Wife</w:t>
      </w:r>
      <w:r w:rsidRPr="0001127B">
        <w:t xml:space="preserve"> asks us to dismiss the appeal because of deficiencies in the opening brief and appellant’s appendix filed by </w:t>
      </w:r>
      <w:r w:rsidR="00CB4AEF">
        <w:t>Husband</w:t>
      </w:r>
      <w:r w:rsidRPr="0001127B">
        <w:t xml:space="preserve">, who is representing himself in this appeal.  Although we are mindful that self-represented litigants are </w:t>
      </w:r>
      <w:r w:rsidR="00C851AA" w:rsidRPr="0001127B">
        <w:t>obligated to</w:t>
      </w:r>
      <w:r w:rsidRPr="0001127B">
        <w:t xml:space="preserve"> follow appellate rules (</w:t>
      </w:r>
      <w:r w:rsidRPr="0001127B">
        <w:rPr>
          <w:i/>
          <w:iCs/>
        </w:rPr>
        <w:t>Nwosu v. Uba</w:t>
      </w:r>
      <w:r w:rsidRPr="0001127B">
        <w:t xml:space="preserve"> (2004)</w:t>
      </w:r>
      <w:r w:rsidR="00E021D8">
        <w:t xml:space="preserve"> </w:t>
      </w:r>
      <w:r w:rsidRPr="0001127B">
        <w:t>122 Cal.App.4th 1229, 1246</w:t>
      </w:r>
      <w:r w:rsidR="00235AFE">
        <w:t>–</w:t>
      </w:r>
      <w:r w:rsidRPr="0001127B">
        <w:t xml:space="preserve">1247), we decline to dismiss the appeal on this basis.  To the extent </w:t>
      </w:r>
      <w:r w:rsidR="00CB4AEF">
        <w:t>Husband</w:t>
      </w:r>
      <w:r w:rsidRPr="0001127B">
        <w:t xml:space="preserve"> relies on material not before the trial court at the time it made its decisions, we will disregard </w:t>
      </w:r>
      <w:r w:rsidR="007458A2">
        <w:t>that evidence</w:t>
      </w:r>
      <w:r w:rsidR="00C245DF" w:rsidRPr="0001127B">
        <w:t xml:space="preserve">.  (See </w:t>
      </w:r>
      <w:r w:rsidR="00C245DF" w:rsidRPr="0001127B">
        <w:rPr>
          <w:i/>
          <w:iCs/>
        </w:rPr>
        <w:t>Cypress Security</w:t>
      </w:r>
      <w:r w:rsidR="00235AFE" w:rsidRPr="00235AFE">
        <w:t>,</w:t>
      </w:r>
      <w:r w:rsidR="00C245DF" w:rsidRPr="0001127B">
        <w:rPr>
          <w:i/>
          <w:iCs/>
        </w:rPr>
        <w:t xml:space="preserve"> LLC v. City and County of San </w:t>
      </w:r>
      <w:r w:rsidR="00C245DF" w:rsidRPr="0001127B">
        <w:rPr>
          <w:i/>
          <w:iCs/>
        </w:rPr>
        <w:lastRenderedPageBreak/>
        <w:t>Francisco</w:t>
      </w:r>
      <w:r w:rsidR="00C245DF" w:rsidRPr="0001127B">
        <w:t xml:space="preserve"> (2010) 184 Cal.App.4th 1003, 1014.)  We also disregard arguments made for the first time in </w:t>
      </w:r>
      <w:r w:rsidR="00CB4AEF">
        <w:t>Husband</w:t>
      </w:r>
      <w:r w:rsidR="00C245DF" w:rsidRPr="0001127B">
        <w:t xml:space="preserve">’s reply brief.  (See </w:t>
      </w:r>
      <w:r w:rsidR="00C245DF" w:rsidRPr="0001127B">
        <w:rPr>
          <w:i/>
          <w:iCs/>
        </w:rPr>
        <w:t>In re Marriage of Ackerman</w:t>
      </w:r>
      <w:r w:rsidR="00C245DF" w:rsidRPr="0001127B">
        <w:t xml:space="preserve"> (2006) 146 Cal.App.4th 191, 214.)  Otherwise, we shall</w:t>
      </w:r>
      <w:r w:rsidR="001F34E9" w:rsidRPr="0001127B">
        <w:t xml:space="preserve"> consider the appeal on the merits</w:t>
      </w:r>
      <w:r w:rsidRPr="0001127B">
        <w:t>.</w:t>
      </w:r>
    </w:p>
    <w:p w14:paraId="2C361A23" w14:textId="047065D8" w:rsidR="006A14E5" w:rsidRPr="000D63F6" w:rsidRDefault="006A14E5" w:rsidP="002A32A4">
      <w:pPr>
        <w:pStyle w:val="ListParagraph"/>
        <w:numPr>
          <w:ilvl w:val="0"/>
          <w:numId w:val="4"/>
        </w:numPr>
        <w:spacing w:line="360" w:lineRule="auto"/>
        <w:ind w:hanging="1080"/>
        <w:rPr>
          <w:b/>
          <w:bCs/>
        </w:rPr>
      </w:pPr>
      <w:r w:rsidRPr="000D63F6">
        <w:rPr>
          <w:b/>
          <w:bCs/>
        </w:rPr>
        <w:t>Mandatory Continuance to Respond to DVRO Petition</w:t>
      </w:r>
    </w:p>
    <w:p w14:paraId="4B304011" w14:textId="6E3EBEB5" w:rsidR="008717DE" w:rsidRPr="0001127B" w:rsidRDefault="00CA5780" w:rsidP="00FB769A">
      <w:pPr>
        <w:spacing w:line="360" w:lineRule="auto"/>
      </w:pPr>
      <w:r w:rsidRPr="0001127B">
        <w:tab/>
      </w:r>
      <w:r w:rsidR="00CB4AEF">
        <w:t>Husband</w:t>
      </w:r>
      <w:r w:rsidRPr="0001127B">
        <w:t xml:space="preserve"> contends the trial court erred in denying his request for a continuance</w:t>
      </w:r>
      <w:r w:rsidR="0001127B">
        <w:t>, to which he argues he was entitled as a matter of right.  He relies on</w:t>
      </w:r>
      <w:r w:rsidR="00352ABA" w:rsidRPr="0001127B">
        <w:t xml:space="preserve"> section 243, which requires a respondent to receive notice at least five days before an ex parte hearing on a petition for a temporary restraining order, and</w:t>
      </w:r>
      <w:r w:rsidR="006A14E5">
        <w:t xml:space="preserve"> on</w:t>
      </w:r>
      <w:r w:rsidRPr="0001127B">
        <w:t xml:space="preserve"> section 245</w:t>
      </w:r>
      <w:r w:rsidR="001105A2" w:rsidRPr="0001127B">
        <w:t>, subdivision (a)</w:t>
      </w:r>
      <w:r w:rsidRPr="0001127B">
        <w:t xml:space="preserve">, which provides that a respondent is </w:t>
      </w:r>
      <w:r w:rsidR="008717DE" w:rsidRPr="0001127B">
        <w:t>“</w:t>
      </w:r>
      <w:r w:rsidRPr="0001127B">
        <w:t>entitled</w:t>
      </w:r>
      <w:r w:rsidR="008717DE" w:rsidRPr="0001127B">
        <w:t>,</w:t>
      </w:r>
      <w:r w:rsidR="001105A2" w:rsidRPr="0001127B">
        <w:t xml:space="preserve"> as a matter of course</w:t>
      </w:r>
      <w:r w:rsidR="008717DE" w:rsidRPr="0001127B">
        <w:t>,</w:t>
      </w:r>
      <w:r w:rsidRPr="0001127B">
        <w:t xml:space="preserve"> to one continuance</w:t>
      </w:r>
      <w:r w:rsidR="008717DE" w:rsidRPr="0001127B">
        <w:t xml:space="preserve"> for a reasonable period</w:t>
      </w:r>
      <w:r w:rsidR="004B4E79">
        <w:t>,</w:t>
      </w:r>
      <w:r w:rsidRPr="0001127B">
        <w:t xml:space="preserve"> to respond to </w:t>
      </w:r>
      <w:r w:rsidR="00352ABA" w:rsidRPr="0001127B">
        <w:t>the</w:t>
      </w:r>
      <w:r w:rsidRPr="0001127B">
        <w:t xml:space="preserve"> petition.</w:t>
      </w:r>
      <w:r w:rsidR="008717DE" w:rsidRPr="0001127B">
        <w:t>”</w:t>
      </w:r>
      <w:r w:rsidRPr="0001127B">
        <w:t xml:space="preserve">  </w:t>
      </w:r>
    </w:p>
    <w:p w14:paraId="19CC75A8" w14:textId="6A9AFF9D" w:rsidR="0064193D" w:rsidRPr="0001127B" w:rsidRDefault="008717DE" w:rsidP="0064193D">
      <w:pPr>
        <w:spacing w:line="360" w:lineRule="auto"/>
      </w:pPr>
      <w:r w:rsidRPr="0001127B">
        <w:tab/>
        <w:t xml:space="preserve">We are unpersuaded by </w:t>
      </w:r>
      <w:r w:rsidR="00CB4AEF">
        <w:t>Husband</w:t>
      </w:r>
      <w:r w:rsidRPr="0001127B">
        <w:t>’s reliance on either of these provisions.</w:t>
      </w:r>
      <w:r w:rsidR="0064193D" w:rsidRPr="0001127B">
        <w:t xml:space="preserve">  As to section 243’s requirement of five days’ notice of a hearing on a DVRO application, </w:t>
      </w:r>
      <w:r w:rsidR="00CB4AEF">
        <w:t>Husband</w:t>
      </w:r>
      <w:r w:rsidR="0064193D" w:rsidRPr="0001127B">
        <w:t xml:space="preserve"> had</w:t>
      </w:r>
      <w:r w:rsidR="006A14E5">
        <w:t xml:space="preserve"> notice of</w:t>
      </w:r>
      <w:r w:rsidR="0064193D" w:rsidRPr="0001127B">
        <w:t xml:space="preserve"> the hearing </w:t>
      </w:r>
      <w:r w:rsidR="006A14E5">
        <w:t xml:space="preserve">much </w:t>
      </w:r>
      <w:r w:rsidR="00BA355C">
        <w:t>more</w:t>
      </w:r>
      <w:r w:rsidR="006A14E5">
        <w:t xml:space="preserve"> than five days before it took place</w:t>
      </w:r>
      <w:r w:rsidR="00BA355C">
        <w:t xml:space="preserve">. </w:t>
      </w:r>
      <w:r w:rsidR="0064193D" w:rsidRPr="0001127B">
        <w:t xml:space="preserve"> </w:t>
      </w:r>
      <w:r w:rsidR="00BA355C">
        <w:t>H</w:t>
      </w:r>
      <w:r w:rsidR="0064193D" w:rsidRPr="0001127B">
        <w:t xml:space="preserve">e cites no authority suggesting </w:t>
      </w:r>
      <w:r w:rsidR="00CB4AEF">
        <w:t>Wife</w:t>
      </w:r>
      <w:r w:rsidR="0064193D" w:rsidRPr="0001127B">
        <w:t>’s supplemental declaration would restart section 243’s five-day clock.</w:t>
      </w:r>
      <w:r w:rsidR="00235AFE">
        <w:t xml:space="preserve">  </w:t>
      </w:r>
    </w:p>
    <w:p w14:paraId="3A7FC7FC" w14:textId="476F641A" w:rsidR="008717DE" w:rsidRDefault="00235AFE" w:rsidP="00FB769A">
      <w:pPr>
        <w:spacing w:line="360" w:lineRule="auto"/>
      </w:pPr>
      <w:r>
        <w:tab/>
        <w:t>S</w:t>
      </w:r>
      <w:r w:rsidR="0064193D" w:rsidRPr="0001127B">
        <w:t xml:space="preserve">ection 245 is of no more assistance to </w:t>
      </w:r>
      <w:r w:rsidR="00CB4AEF">
        <w:t>Husband</w:t>
      </w:r>
      <w:r w:rsidR="0064193D" w:rsidRPr="0001127B">
        <w:t xml:space="preserve">.  </w:t>
      </w:r>
      <w:r w:rsidR="008717DE" w:rsidRPr="0001127B">
        <w:t>B</w:t>
      </w:r>
      <w:r w:rsidR="0046220A" w:rsidRPr="0001127B">
        <w:t xml:space="preserve">y the time </w:t>
      </w:r>
      <w:r w:rsidR="006A14E5">
        <w:t>he</w:t>
      </w:r>
      <w:r w:rsidR="001105A2" w:rsidRPr="0001127B">
        <w:t xml:space="preserve"> </w:t>
      </w:r>
      <w:r w:rsidR="00CA5780" w:rsidRPr="0001127B">
        <w:t xml:space="preserve">requested a continuance, he had </w:t>
      </w:r>
      <w:r w:rsidR="00CA5780" w:rsidRPr="0001127B">
        <w:rPr>
          <w:i/>
          <w:iCs/>
        </w:rPr>
        <w:t>already</w:t>
      </w:r>
      <w:r w:rsidR="00CA5780" w:rsidRPr="0001127B">
        <w:t xml:space="preserve"> responded </w:t>
      </w:r>
      <w:r w:rsidR="00C245DF" w:rsidRPr="0001127B">
        <w:t xml:space="preserve">to </w:t>
      </w:r>
      <w:r w:rsidR="001105A2" w:rsidRPr="0001127B">
        <w:t>the petition</w:t>
      </w:r>
      <w:r w:rsidR="00CA5780" w:rsidRPr="0001127B">
        <w:t xml:space="preserve">. </w:t>
      </w:r>
      <w:r w:rsidR="001105A2" w:rsidRPr="0001127B">
        <w:t xml:space="preserve"> In an analogous context, another division of this court held</w:t>
      </w:r>
      <w:r w:rsidR="008717DE" w:rsidRPr="0001127B">
        <w:t xml:space="preserve"> that a virtually identical provision governing workplace violence restraining orders does not entitle </w:t>
      </w:r>
      <w:r w:rsidR="0064193D" w:rsidRPr="0001127B">
        <w:t xml:space="preserve">a </w:t>
      </w:r>
      <w:r w:rsidR="008717DE" w:rsidRPr="0001127B">
        <w:t xml:space="preserve">respondent to a continuance after </w:t>
      </w:r>
      <w:r w:rsidR="0064193D" w:rsidRPr="0001127B">
        <w:t>having responded</w:t>
      </w:r>
      <w:r w:rsidR="008717DE" w:rsidRPr="0001127B">
        <w:t xml:space="preserve"> to a petition</w:t>
      </w:r>
      <w:r w:rsidR="006A14E5">
        <w:t xml:space="preserve"> for a restraining order</w:t>
      </w:r>
      <w:r w:rsidR="008717DE" w:rsidRPr="0001127B">
        <w:t>.  (</w:t>
      </w:r>
      <w:r w:rsidR="001105A2" w:rsidRPr="0001127B">
        <w:rPr>
          <w:i/>
          <w:iCs/>
        </w:rPr>
        <w:t>Goals for Autism v. Rosas</w:t>
      </w:r>
      <w:r w:rsidR="001105A2" w:rsidRPr="0001127B">
        <w:t xml:space="preserve"> (2021) 65 Cal.App.5th 1041</w:t>
      </w:r>
      <w:r w:rsidR="008717DE" w:rsidRPr="0001127B">
        <w:t>, 1044</w:t>
      </w:r>
      <w:r w:rsidR="00BA355C">
        <w:t xml:space="preserve"> [discussing </w:t>
      </w:r>
      <w:r w:rsidR="00BA355C" w:rsidRPr="0001127B">
        <w:t>Code Civ. Proc, § 527.8, subd. (p)</w:t>
      </w:r>
      <w:r w:rsidR="00BA355C">
        <w:t>]</w:t>
      </w:r>
      <w:r w:rsidR="008717DE" w:rsidRPr="0001127B">
        <w:t xml:space="preserve">.)  In the course of </w:t>
      </w:r>
      <w:r w:rsidR="00BA355C">
        <w:t>its analysis</w:t>
      </w:r>
      <w:r w:rsidR="008717DE" w:rsidRPr="0001127B">
        <w:t>, the court noted the similarities between the provisions governing</w:t>
      </w:r>
      <w:r w:rsidR="0064193D" w:rsidRPr="0001127B">
        <w:t xml:space="preserve"> continuances of hearings on</w:t>
      </w:r>
      <w:r w:rsidR="008717DE" w:rsidRPr="0001127B">
        <w:t xml:space="preserve"> workplace and domestic violence restraining orders, and explained that the language of section 245, subdivision (a) </w:t>
      </w:r>
      <w:r w:rsidR="008717DE" w:rsidRPr="0001127B">
        <w:lastRenderedPageBreak/>
        <w:t xml:space="preserve">“underscores that the purpose in enacting the mandatory continuance provision was to give respondents an opportunity to respond to the allegations in the petition for the restraining order.” </w:t>
      </w:r>
      <w:r w:rsidR="006A14E5">
        <w:t xml:space="preserve"> </w:t>
      </w:r>
      <w:r w:rsidR="008717DE" w:rsidRPr="0001127B">
        <w:t>(</w:t>
      </w:r>
      <w:r w:rsidR="008717DE" w:rsidRPr="0001127B">
        <w:rPr>
          <w:i/>
          <w:iCs/>
        </w:rPr>
        <w:t>Goals for Autism</w:t>
      </w:r>
      <w:r w:rsidR="008717DE" w:rsidRPr="0001127B">
        <w:t>, at p.</w:t>
      </w:r>
      <w:r>
        <w:t> </w:t>
      </w:r>
      <w:r w:rsidR="008717DE" w:rsidRPr="0001127B">
        <w:t xml:space="preserve">1047.) </w:t>
      </w:r>
      <w:r w:rsidR="0064193D" w:rsidRPr="0001127B">
        <w:t xml:space="preserve"> We </w:t>
      </w:r>
      <w:r w:rsidR="000F7909" w:rsidRPr="0001127B">
        <w:t>similarly conclude that</w:t>
      </w:r>
      <w:r w:rsidR="0064193D" w:rsidRPr="0001127B">
        <w:t xml:space="preserve">, having </w:t>
      </w:r>
      <w:r w:rsidR="00BA355C">
        <w:t xml:space="preserve">already </w:t>
      </w:r>
      <w:r w:rsidR="0064193D" w:rsidRPr="0001127B">
        <w:t xml:space="preserve">responded to </w:t>
      </w:r>
      <w:r w:rsidR="00CB4AEF">
        <w:t>Wife</w:t>
      </w:r>
      <w:r w:rsidR="0064193D" w:rsidRPr="0001127B">
        <w:t xml:space="preserve">’s petition, </w:t>
      </w:r>
      <w:r w:rsidR="00CB4AEF">
        <w:t>Husband</w:t>
      </w:r>
      <w:r w:rsidR="0064193D" w:rsidRPr="0001127B">
        <w:t xml:space="preserve"> was not entitled “as a matter of course” to a restraining order to allow him </w:t>
      </w:r>
      <w:r w:rsidR="00BA355C">
        <w:t>“</w:t>
      </w:r>
      <w:r w:rsidR="0064193D" w:rsidRPr="0001127B">
        <w:t xml:space="preserve">to </w:t>
      </w:r>
      <w:r w:rsidR="00BA355C">
        <w:t>respond to the petition</w:t>
      </w:r>
      <w:r w:rsidR="0064193D" w:rsidRPr="0001127B">
        <w:t>.</w:t>
      </w:r>
      <w:r w:rsidR="00BA355C">
        <w:t>”</w:t>
      </w:r>
      <w:r w:rsidR="0064193D" w:rsidRPr="0001127B">
        <w:t xml:space="preserve">  (§ 245, subd. (a).)</w:t>
      </w:r>
    </w:p>
    <w:p w14:paraId="151BCA69" w14:textId="7D9901F8" w:rsidR="006A14E5" w:rsidRPr="002A32A4" w:rsidRDefault="006A14E5" w:rsidP="002A32A4">
      <w:pPr>
        <w:pStyle w:val="ListParagraph"/>
        <w:numPr>
          <w:ilvl w:val="0"/>
          <w:numId w:val="4"/>
        </w:numPr>
        <w:spacing w:line="360" w:lineRule="auto"/>
        <w:ind w:hanging="1080"/>
        <w:rPr>
          <w:b/>
          <w:bCs/>
        </w:rPr>
      </w:pPr>
      <w:r w:rsidRPr="002A32A4">
        <w:rPr>
          <w:b/>
          <w:bCs/>
        </w:rPr>
        <w:t>Discretionary Continuance</w:t>
      </w:r>
    </w:p>
    <w:p w14:paraId="4ED7D5F4" w14:textId="34A33265" w:rsidR="000F7909" w:rsidRPr="0001127B" w:rsidRDefault="00332D93" w:rsidP="00FB769A">
      <w:pPr>
        <w:spacing w:line="360" w:lineRule="auto"/>
      </w:pPr>
      <w:r w:rsidRPr="0001127B">
        <w:tab/>
      </w:r>
      <w:r w:rsidR="0064193D" w:rsidRPr="0001127B">
        <w:t xml:space="preserve">Subdivision </w:t>
      </w:r>
      <w:r w:rsidR="001105A2" w:rsidRPr="0001127B">
        <w:t>(b) of section 245</w:t>
      </w:r>
      <w:r w:rsidR="0064193D" w:rsidRPr="0001127B">
        <w:t xml:space="preserve"> </w:t>
      </w:r>
      <w:r w:rsidR="006D7400">
        <w:t>separately</w:t>
      </w:r>
      <w:r w:rsidR="001105A2" w:rsidRPr="0001127B">
        <w:t xml:space="preserve"> authorizes the trial court to grant a request for continuance “on a showing of good cause.”  (</w:t>
      </w:r>
      <w:r w:rsidR="001105A2" w:rsidRPr="0001127B">
        <w:rPr>
          <w:i/>
          <w:iCs/>
        </w:rPr>
        <w:t>Malinowski v. Martin</w:t>
      </w:r>
      <w:r w:rsidR="001105A2" w:rsidRPr="0001127B">
        <w:t xml:space="preserve"> (2023) 93 Cal.App.5th 681, 691</w:t>
      </w:r>
      <w:r w:rsidR="00235AFE">
        <w:t>–</w:t>
      </w:r>
      <w:r w:rsidR="001105A2" w:rsidRPr="0001127B">
        <w:t xml:space="preserve">692.)  </w:t>
      </w:r>
      <w:r w:rsidR="0064193D" w:rsidRPr="0001127B">
        <w:t>Such a continuance is discretionary</w:t>
      </w:r>
      <w:r w:rsidR="006D7400">
        <w:t xml:space="preserve"> rather than mandatory</w:t>
      </w:r>
      <w:r w:rsidR="0064193D" w:rsidRPr="0001127B">
        <w:t>.  (</w:t>
      </w:r>
      <w:r w:rsidR="0064193D" w:rsidRPr="0001127B">
        <w:rPr>
          <w:i/>
          <w:iCs/>
        </w:rPr>
        <w:t>Id</w:t>
      </w:r>
      <w:r w:rsidR="0064193D" w:rsidRPr="0001127B">
        <w:t xml:space="preserve">. at p. 692.)  </w:t>
      </w:r>
      <w:r w:rsidR="006D7400">
        <w:t xml:space="preserve">When, as here, </w:t>
      </w:r>
      <w:r w:rsidRPr="0001127B">
        <w:t>“[a] motion for continuance is addressed to the sound discretion of the trial court</w:t>
      </w:r>
      <w:bookmarkStart w:id="1" w:name="_Hlk159408712"/>
      <w:r w:rsidRPr="0001127B">
        <w:t xml:space="preserve">,” </w:t>
      </w:r>
      <w:r w:rsidR="00A94013" w:rsidRPr="0001127B">
        <w:t>we reverse</w:t>
      </w:r>
      <w:r w:rsidRPr="0001127B">
        <w:t xml:space="preserve"> if denial of a continuance</w:t>
      </w:r>
      <w:r w:rsidR="00A94013" w:rsidRPr="0001127B">
        <w:t xml:space="preserve"> denied the applicant</w:t>
      </w:r>
      <w:r w:rsidRPr="0001127B">
        <w:t xml:space="preserve"> a fair hearing.  (</w:t>
      </w:r>
      <w:r w:rsidRPr="0001127B">
        <w:rPr>
          <w:i/>
          <w:iCs/>
        </w:rPr>
        <w:t>Oliveros v. County of Los Angeles</w:t>
      </w:r>
      <w:r w:rsidRPr="0001127B">
        <w:t xml:space="preserve"> </w:t>
      </w:r>
      <w:r w:rsidR="005F703A" w:rsidRPr="0001127B">
        <w:t>(</w:t>
      </w:r>
      <w:r w:rsidRPr="0001127B">
        <w:t xml:space="preserve">2004) 120 Cal.App.4th 1389, 1395.)  </w:t>
      </w:r>
    </w:p>
    <w:p w14:paraId="162E5F73" w14:textId="35A12996" w:rsidR="00CA5780" w:rsidRDefault="000F7909" w:rsidP="00FB769A">
      <w:pPr>
        <w:spacing w:line="360" w:lineRule="auto"/>
      </w:pPr>
      <w:r w:rsidRPr="0001127B">
        <w:tab/>
      </w:r>
      <w:r w:rsidR="005D4F28">
        <w:t xml:space="preserve">The trial court’s denial of a continuance did not deprive </w:t>
      </w:r>
      <w:r w:rsidR="00CB4AEF">
        <w:t>Husband</w:t>
      </w:r>
      <w:r w:rsidR="005D4F28">
        <w:t xml:space="preserve"> of a fair hearing</w:t>
      </w:r>
      <w:r w:rsidR="00332D93" w:rsidRPr="0001127B">
        <w:t xml:space="preserve">.  </w:t>
      </w:r>
      <w:r w:rsidR="00CB4AEF">
        <w:t>Husband</w:t>
      </w:r>
      <w:bookmarkEnd w:id="1"/>
      <w:r w:rsidR="00A773CF" w:rsidRPr="0001127B">
        <w:t xml:space="preserve"> had already declared himself prepared to proceed at the March 15, 2023 hearing, </w:t>
      </w:r>
      <w:r w:rsidR="005D4F28">
        <w:t>when</w:t>
      </w:r>
      <w:r w:rsidR="0064193D" w:rsidRPr="0001127B">
        <w:t xml:space="preserve"> the matter was continued over his objection</w:t>
      </w:r>
      <w:r w:rsidR="00A773CF" w:rsidRPr="0001127B">
        <w:t xml:space="preserve">.  </w:t>
      </w:r>
      <w:r w:rsidR="00332D93" w:rsidRPr="0001127B">
        <w:t>He was aware</w:t>
      </w:r>
      <w:r w:rsidR="00161917">
        <w:t xml:space="preserve"> at least four days</w:t>
      </w:r>
      <w:r w:rsidR="00332D93" w:rsidRPr="0001127B">
        <w:t xml:space="preserve"> before the</w:t>
      </w:r>
      <w:r w:rsidR="00A94013" w:rsidRPr="0001127B">
        <w:t xml:space="preserve"> April 4</w:t>
      </w:r>
      <w:r w:rsidR="00332D93" w:rsidRPr="0001127B">
        <w:t xml:space="preserve"> hearing that the text message exchanges</w:t>
      </w:r>
      <w:r w:rsidR="00A94013" w:rsidRPr="0001127B">
        <w:t xml:space="preserve"> between himself and </w:t>
      </w:r>
      <w:r w:rsidR="00CB4AEF">
        <w:t>Wife</w:t>
      </w:r>
      <w:r w:rsidR="00332D93" w:rsidRPr="0001127B">
        <w:t xml:space="preserve"> would be at issue, and he makes no showing </w:t>
      </w:r>
      <w:r w:rsidR="00C339F6" w:rsidRPr="0001127B">
        <w:t xml:space="preserve">that the lack of a continuance deprived him of adequate time to </w:t>
      </w:r>
      <w:r w:rsidR="00161917">
        <w:t>make a showing</w:t>
      </w:r>
      <w:r w:rsidR="00C339F6" w:rsidRPr="0001127B">
        <w:t xml:space="preserve"> of </w:t>
      </w:r>
      <w:r w:rsidR="00A94013" w:rsidRPr="0001127B">
        <w:t>their full context</w:t>
      </w:r>
      <w:r w:rsidR="00C339F6" w:rsidRPr="0001127B">
        <w:t>.</w:t>
      </w:r>
      <w:r w:rsidR="007458A2">
        <w:t xml:space="preserve">  Indeed, in cross-examining </w:t>
      </w:r>
      <w:r w:rsidR="00CB4AEF">
        <w:t>Wife</w:t>
      </w:r>
      <w:r w:rsidR="007458A2">
        <w:t xml:space="preserve">, </w:t>
      </w:r>
      <w:r w:rsidR="00CB4AEF">
        <w:t>Husband</w:t>
      </w:r>
      <w:r w:rsidR="002E7596">
        <w:t>’s counsel</w:t>
      </w:r>
      <w:r w:rsidR="007458A2">
        <w:t xml:space="preserve"> confronted her with </w:t>
      </w:r>
      <w:r w:rsidR="002D04DB">
        <w:t xml:space="preserve">a </w:t>
      </w:r>
      <w:r w:rsidR="007458A2">
        <w:t>photo</w:t>
      </w:r>
      <w:r w:rsidR="00CD58A3">
        <w:t>graph that</w:t>
      </w:r>
      <w:r w:rsidR="007458A2">
        <w:t xml:space="preserve"> he claimed </w:t>
      </w:r>
      <w:r w:rsidR="00CD58A3">
        <w:t>refuted her claim that he struck her on October 4, 2022</w:t>
      </w:r>
      <w:r w:rsidR="007458A2">
        <w:t xml:space="preserve">, and </w:t>
      </w:r>
      <w:r w:rsidR="007153C0">
        <w:t xml:space="preserve">in his own testimony </w:t>
      </w:r>
      <w:r w:rsidR="00CB4AEF">
        <w:t>Husband</w:t>
      </w:r>
      <w:r w:rsidR="007153C0">
        <w:t xml:space="preserve"> provided context for the text messages</w:t>
      </w:r>
      <w:r w:rsidR="007458A2">
        <w:t>.</w:t>
      </w:r>
      <w:r w:rsidR="00244372" w:rsidRPr="0001127B">
        <w:t xml:space="preserve">  </w:t>
      </w:r>
      <w:r w:rsidR="004D1B3C">
        <w:t>T</w:t>
      </w:r>
      <w:r w:rsidR="00A94013" w:rsidRPr="0001127B">
        <w:t xml:space="preserve">he trial court did not consider the neighbor’s declaration, obviating any need for </w:t>
      </w:r>
      <w:r w:rsidR="00CB4AEF">
        <w:t>Husband</w:t>
      </w:r>
      <w:r w:rsidR="00A94013" w:rsidRPr="0001127B">
        <w:t xml:space="preserve"> to prepare to meet that evidence.  </w:t>
      </w:r>
      <w:r w:rsidR="004D1B3C">
        <w:t xml:space="preserve">In </w:t>
      </w:r>
      <w:r w:rsidR="005D4F28">
        <w:t>these circumstances</w:t>
      </w:r>
      <w:r w:rsidR="004D1B3C">
        <w:t>, w</w:t>
      </w:r>
      <w:r w:rsidR="004D1B3C" w:rsidRPr="0001127B">
        <w:t xml:space="preserve">e </w:t>
      </w:r>
      <w:r w:rsidR="0046220A" w:rsidRPr="0001127B">
        <w:t xml:space="preserve">see no </w:t>
      </w:r>
      <w:r w:rsidR="00A94013" w:rsidRPr="0001127B">
        <w:t xml:space="preserve">abuse of discretion </w:t>
      </w:r>
      <w:r w:rsidR="0046220A" w:rsidRPr="0001127B">
        <w:t xml:space="preserve">in </w:t>
      </w:r>
      <w:r w:rsidR="005D4F28">
        <w:t xml:space="preserve">the trial court </w:t>
      </w:r>
      <w:r w:rsidR="0046220A" w:rsidRPr="0001127B">
        <w:t>denying his request</w:t>
      </w:r>
      <w:r w:rsidR="00A94013" w:rsidRPr="0001127B">
        <w:t xml:space="preserve"> for a continuance</w:t>
      </w:r>
      <w:r w:rsidR="0046220A" w:rsidRPr="0001127B">
        <w:t>.</w:t>
      </w:r>
    </w:p>
    <w:p w14:paraId="20021590" w14:textId="17D2783A" w:rsidR="000F4DBC" w:rsidRPr="000F4DBC" w:rsidRDefault="000F4DBC" w:rsidP="007955E9">
      <w:pPr>
        <w:keepNext/>
        <w:spacing w:line="360" w:lineRule="auto"/>
        <w:rPr>
          <w:b/>
          <w:bCs/>
        </w:rPr>
      </w:pPr>
      <w:r>
        <w:rPr>
          <w:b/>
          <w:bCs/>
        </w:rPr>
        <w:lastRenderedPageBreak/>
        <w:t>IV.</w:t>
      </w:r>
      <w:r>
        <w:rPr>
          <w:b/>
          <w:bCs/>
        </w:rPr>
        <w:tab/>
        <w:t>Effect of Ex Parte Filings</w:t>
      </w:r>
    </w:p>
    <w:p w14:paraId="226CD12B" w14:textId="5BBF2CA2" w:rsidR="00A773CF" w:rsidRDefault="00A773CF" w:rsidP="00FB769A">
      <w:pPr>
        <w:spacing w:line="360" w:lineRule="auto"/>
      </w:pPr>
      <w:r w:rsidRPr="0001127B">
        <w:tab/>
      </w:r>
      <w:r w:rsidR="00CB4AEF">
        <w:t>Husband</w:t>
      </w:r>
      <w:r w:rsidRPr="0001127B">
        <w:t xml:space="preserve"> argues</w:t>
      </w:r>
      <w:r w:rsidR="00473982">
        <w:t>, however,</w:t>
      </w:r>
      <w:r w:rsidR="0046220A" w:rsidRPr="0001127B">
        <w:t xml:space="preserve"> that</w:t>
      </w:r>
      <w:r w:rsidRPr="0001127B">
        <w:t xml:space="preserve"> he did not have adequate time to </w:t>
      </w:r>
      <w:r w:rsidR="00A94013" w:rsidRPr="0001127B">
        <w:t xml:space="preserve">respond to </w:t>
      </w:r>
      <w:r w:rsidRPr="0001127B">
        <w:t xml:space="preserve">the allegations in the documents supporting </w:t>
      </w:r>
      <w:r w:rsidR="00CB4AEF">
        <w:t>Wife</w:t>
      </w:r>
      <w:r w:rsidR="00352ABA" w:rsidRPr="0001127B">
        <w:t>’s new</w:t>
      </w:r>
      <w:r w:rsidRPr="0001127B">
        <w:t xml:space="preserve"> request for an ex parte hearing.  </w:t>
      </w:r>
      <w:r w:rsidR="00D3307E" w:rsidRPr="0001127B">
        <w:t xml:space="preserve">And, he contends, </w:t>
      </w:r>
      <w:r w:rsidR="00CB4AEF">
        <w:t>Wife</w:t>
      </w:r>
      <w:r w:rsidR="00D3307E" w:rsidRPr="0001127B">
        <w:t xml:space="preserve"> did not meet her evidentiary burden in her ex parte filing</w:t>
      </w:r>
      <w:r w:rsidR="000743BA" w:rsidRPr="0001127B">
        <w:t>s</w:t>
      </w:r>
      <w:r w:rsidR="00D3307E" w:rsidRPr="0001127B">
        <w:t xml:space="preserve">. </w:t>
      </w:r>
      <w:r w:rsidR="009705C3" w:rsidRPr="0001127B">
        <w:t xml:space="preserve"> These arguments confuse two different hearings.</w:t>
      </w:r>
      <w:r w:rsidR="00235AFE">
        <w:t xml:space="preserve">  </w:t>
      </w:r>
      <w:r w:rsidR="008F6DF0" w:rsidRPr="0001127B">
        <w:t>The ex parte hearing</w:t>
      </w:r>
      <w:r w:rsidR="00352ABA" w:rsidRPr="0001127B">
        <w:t xml:space="preserve"> referred to in those papers</w:t>
      </w:r>
      <w:r w:rsidRPr="0001127B">
        <w:t xml:space="preserve"> was not due to take place until April 12, </w:t>
      </w:r>
      <w:r w:rsidRPr="0001127B">
        <w:rPr>
          <w:i/>
          <w:iCs/>
        </w:rPr>
        <w:t>after</w:t>
      </w:r>
      <w:r w:rsidRPr="0001127B">
        <w:t xml:space="preserve"> the April 4 </w:t>
      </w:r>
      <w:r w:rsidR="00134203" w:rsidRPr="0001127B">
        <w:t xml:space="preserve">hearing </w:t>
      </w:r>
      <w:r w:rsidRPr="0001127B">
        <w:t>at which the court granted the DVRO</w:t>
      </w:r>
      <w:r w:rsidR="00980896" w:rsidRPr="0001127B">
        <w:t xml:space="preserve">, and </w:t>
      </w:r>
      <w:r w:rsidR="00134203" w:rsidRPr="0001127B">
        <w:t>the April 12</w:t>
      </w:r>
      <w:r w:rsidR="00C851AA" w:rsidRPr="0001127B">
        <w:t xml:space="preserve"> hearing </w:t>
      </w:r>
      <w:r w:rsidR="00980896" w:rsidRPr="0001127B">
        <w:t xml:space="preserve">was continued </w:t>
      </w:r>
      <w:r w:rsidR="00C851AA" w:rsidRPr="0001127B">
        <w:t xml:space="preserve">to May 30 </w:t>
      </w:r>
      <w:r w:rsidR="00980896" w:rsidRPr="0001127B">
        <w:t xml:space="preserve">at </w:t>
      </w:r>
      <w:r w:rsidR="00CB4AEF">
        <w:t>Husband</w:t>
      </w:r>
      <w:r w:rsidR="00980896" w:rsidRPr="0001127B">
        <w:t>’s request</w:t>
      </w:r>
      <w:r w:rsidRPr="0001127B">
        <w:t xml:space="preserve">.  That proposed hearing </w:t>
      </w:r>
      <w:r w:rsidR="00C851AA" w:rsidRPr="0001127B">
        <w:t xml:space="preserve">on </w:t>
      </w:r>
      <w:r w:rsidR="00A25280" w:rsidRPr="0001127B">
        <w:t>modifying</w:t>
      </w:r>
      <w:r w:rsidR="00C851AA" w:rsidRPr="0001127B">
        <w:t xml:space="preserve"> visitation </w:t>
      </w:r>
      <w:r w:rsidRPr="0001127B">
        <w:t>is not before us in this appeal</w:t>
      </w:r>
      <w:r w:rsidR="00134203" w:rsidRPr="0001127B">
        <w:t>, which is</w:t>
      </w:r>
      <w:r w:rsidR="00FB3378" w:rsidRPr="0001127B">
        <w:t xml:space="preserve"> from the April 4 and May 18, 2023 orders</w:t>
      </w:r>
      <w:r w:rsidR="00134203" w:rsidRPr="0001127B">
        <w:t xml:space="preserve"> only</w:t>
      </w:r>
      <w:r w:rsidRPr="0001127B">
        <w:t>.</w:t>
      </w:r>
    </w:p>
    <w:p w14:paraId="16FC274B" w14:textId="5A74FF32" w:rsidR="000F4DBC" w:rsidRPr="000F4DBC" w:rsidRDefault="000F4DBC" w:rsidP="00FB769A">
      <w:pPr>
        <w:spacing w:line="360" w:lineRule="auto"/>
        <w:rPr>
          <w:b/>
          <w:bCs/>
        </w:rPr>
      </w:pPr>
      <w:r>
        <w:rPr>
          <w:b/>
          <w:bCs/>
        </w:rPr>
        <w:t>V.</w:t>
      </w:r>
      <w:r>
        <w:rPr>
          <w:b/>
          <w:bCs/>
        </w:rPr>
        <w:tab/>
        <w:t>Prejudice</w:t>
      </w:r>
    </w:p>
    <w:p w14:paraId="01CF8DB7" w14:textId="2C4DD258" w:rsidR="00B81899" w:rsidRPr="0001127B" w:rsidRDefault="008F6DF0" w:rsidP="00FB769A">
      <w:pPr>
        <w:spacing w:line="360" w:lineRule="auto"/>
      </w:pPr>
      <w:r w:rsidRPr="0001127B">
        <w:tab/>
        <w:t>In any case,</w:t>
      </w:r>
      <w:r w:rsidR="000E0A9D" w:rsidRPr="0001127B">
        <w:t xml:space="preserve"> we may not reverse unless there was a “miscarriage of justice” (Cal. Const., art. VI, § 13; see </w:t>
      </w:r>
      <w:r w:rsidR="000E0A9D" w:rsidRPr="0001127B">
        <w:rPr>
          <w:i/>
          <w:iCs/>
        </w:rPr>
        <w:t>In re Marriage of Goddard</w:t>
      </w:r>
      <w:r w:rsidR="000E0A9D" w:rsidRPr="0001127B">
        <w:t xml:space="preserve"> (2004) 33 Cal.4th 49</w:t>
      </w:r>
      <w:r w:rsidR="00D37EA6" w:rsidRPr="0001127B">
        <w:t>, 56</w:t>
      </w:r>
      <w:r w:rsidR="00235AFE">
        <w:t>–</w:t>
      </w:r>
      <w:r w:rsidR="00D37EA6" w:rsidRPr="0001127B">
        <w:t>57</w:t>
      </w:r>
      <w:r w:rsidR="000E0A9D" w:rsidRPr="0001127B">
        <w:t>), and</w:t>
      </w:r>
      <w:r w:rsidRPr="0001127B">
        <w:t xml:space="preserve"> on this record any error in denying a continuance was harmless.  In explaining the basis of its ruling on April 4, 2023, the </w:t>
      </w:r>
      <w:r w:rsidR="0046220A" w:rsidRPr="0001127B">
        <w:t xml:space="preserve">trial </w:t>
      </w:r>
      <w:r w:rsidRPr="0001127B">
        <w:t xml:space="preserve">court first found that the only credible explanation for </w:t>
      </w:r>
      <w:r w:rsidR="00CB4AEF">
        <w:t>Wife</w:t>
      </w:r>
      <w:r w:rsidRPr="0001127B">
        <w:t>’s injuries after the October 2022 incident</w:t>
      </w:r>
      <w:r w:rsidR="00134203" w:rsidRPr="0001127B">
        <w:t>—an incident that she had raised in her initial DVRO request—</w:t>
      </w:r>
      <w:r w:rsidRPr="0001127B">
        <w:t xml:space="preserve">was that </w:t>
      </w:r>
      <w:r w:rsidR="00CB4AEF">
        <w:t>Husband</w:t>
      </w:r>
      <w:r w:rsidRPr="0001127B">
        <w:t xml:space="preserve"> struck her</w:t>
      </w:r>
      <w:r w:rsidR="00134203" w:rsidRPr="0001127B">
        <w:t>.  The court</w:t>
      </w:r>
      <w:r w:rsidR="000E0A9D" w:rsidRPr="0001127B">
        <w:t xml:space="preserve"> based its decision on the testimony and text message</w:t>
      </w:r>
      <w:r w:rsidR="001560B0" w:rsidRPr="0001127B">
        <w:t>s</w:t>
      </w:r>
      <w:r w:rsidR="000E0A9D" w:rsidRPr="0001127B">
        <w:t xml:space="preserve"> regarding that incident</w:t>
      </w:r>
      <w:r w:rsidR="001560B0" w:rsidRPr="0001127B">
        <w:t xml:space="preserve">, </w:t>
      </w:r>
      <w:r w:rsidR="00134203" w:rsidRPr="0001127B">
        <w:t xml:space="preserve">and </w:t>
      </w:r>
      <w:r w:rsidR="00CB4AEF">
        <w:t>Husband</w:t>
      </w:r>
      <w:r w:rsidR="001560B0" w:rsidRPr="0001127B">
        <w:t xml:space="preserve"> acknowledged </w:t>
      </w:r>
      <w:r w:rsidR="00134203" w:rsidRPr="0001127B">
        <w:t xml:space="preserve">the messages </w:t>
      </w:r>
      <w:r w:rsidR="001560B0" w:rsidRPr="0001127B">
        <w:t xml:space="preserve">were between himself and </w:t>
      </w:r>
      <w:r w:rsidR="00CB4AEF">
        <w:t>Wife.</w:t>
      </w:r>
      <w:r w:rsidRPr="0001127B">
        <w:t xml:space="preserve">  </w:t>
      </w:r>
      <w:r w:rsidR="000E0A9D" w:rsidRPr="0001127B">
        <w:t>These messages, the court</w:t>
      </w:r>
      <w:r w:rsidRPr="0001127B">
        <w:t xml:space="preserve"> made clear both at the April 4, 2023 hearing on the DVRO and the May 18 hearing on the motion for reconsideration</w:t>
      </w:r>
      <w:r w:rsidR="000E0A9D" w:rsidRPr="0001127B">
        <w:t>,</w:t>
      </w:r>
      <w:r w:rsidRPr="0001127B">
        <w:t xml:space="preserve"> </w:t>
      </w:r>
      <w:r w:rsidR="000E0A9D" w:rsidRPr="0001127B">
        <w:t>in its view</w:t>
      </w:r>
      <w:r w:rsidRPr="0001127B">
        <w:t xml:space="preserve"> provided a</w:t>
      </w:r>
      <w:r w:rsidR="001560B0" w:rsidRPr="0001127B">
        <w:t xml:space="preserve"> </w:t>
      </w:r>
      <w:r w:rsidR="00980896" w:rsidRPr="0001127B">
        <w:t>sufficient</w:t>
      </w:r>
      <w:r w:rsidRPr="0001127B">
        <w:t xml:space="preserve"> basis for </w:t>
      </w:r>
      <w:r w:rsidR="00980896" w:rsidRPr="0001127B">
        <w:t>the DVRO</w:t>
      </w:r>
      <w:r w:rsidRPr="0001127B">
        <w:t xml:space="preserve">.  </w:t>
      </w:r>
      <w:r w:rsidR="00134203" w:rsidRPr="0001127B">
        <w:t xml:space="preserve">On this record, </w:t>
      </w:r>
      <w:r w:rsidR="00CB4AEF">
        <w:t>Husband</w:t>
      </w:r>
      <w:r w:rsidR="00B81899" w:rsidRPr="0001127B">
        <w:t xml:space="preserve"> has not shown any basis to think the court might have acted differently had he been granted a continuance, and we can discern none.</w:t>
      </w:r>
    </w:p>
    <w:p w14:paraId="68C67023" w14:textId="6F451ACA" w:rsidR="000D63F6" w:rsidRPr="0001127B" w:rsidRDefault="00B81899" w:rsidP="00FB769A">
      <w:pPr>
        <w:spacing w:line="360" w:lineRule="auto"/>
      </w:pPr>
      <w:r w:rsidRPr="0001127B">
        <w:tab/>
        <w:t>Finally, the parties have each asked us to sanction the other.  We decline to award sanctions on appeal.</w:t>
      </w:r>
      <w:r w:rsidR="001F34E9" w:rsidRPr="0001127B">
        <w:t xml:space="preserve"> </w:t>
      </w:r>
    </w:p>
    <w:p w14:paraId="29F82363" w14:textId="13DD87F5" w:rsidR="00D37EA6" w:rsidRPr="0001127B" w:rsidRDefault="00D37EA6" w:rsidP="00D37EA6">
      <w:pPr>
        <w:spacing w:line="360" w:lineRule="auto"/>
        <w:jc w:val="center"/>
        <w:rPr>
          <w:b/>
          <w:bCs/>
        </w:rPr>
      </w:pPr>
      <w:r w:rsidRPr="0001127B">
        <w:rPr>
          <w:b/>
          <w:bCs/>
        </w:rPr>
        <w:lastRenderedPageBreak/>
        <w:t>DISPOSITION</w:t>
      </w:r>
    </w:p>
    <w:p w14:paraId="4E16359A" w14:textId="269DE547" w:rsidR="00D37EA6" w:rsidRPr="0001127B" w:rsidRDefault="00D37EA6" w:rsidP="00FB769A">
      <w:pPr>
        <w:spacing w:line="360" w:lineRule="auto"/>
      </w:pPr>
      <w:r w:rsidRPr="0001127B">
        <w:tab/>
        <w:t>The April 4, 2023</w:t>
      </w:r>
      <w:r w:rsidR="0055355D">
        <w:t xml:space="preserve"> order,</w:t>
      </w:r>
      <w:r w:rsidRPr="0001127B">
        <w:t xml:space="preserve"> and</w:t>
      </w:r>
      <w:r w:rsidR="0055355D">
        <w:t xml:space="preserve"> the</w:t>
      </w:r>
      <w:r w:rsidRPr="0001127B">
        <w:t xml:space="preserve"> May 18, 2023 order</w:t>
      </w:r>
      <w:r w:rsidR="0055355D">
        <w:t xml:space="preserve"> denying rehearing,</w:t>
      </w:r>
      <w:r w:rsidRPr="0001127B">
        <w:t xml:space="preserve"> are affirmed.  Respondent shall recover her costs on appeal.</w:t>
      </w:r>
    </w:p>
    <w:p w14:paraId="35BF9D7D" w14:textId="77777777" w:rsidR="00D37EA6" w:rsidRPr="0001127B" w:rsidRDefault="00D37EA6" w:rsidP="00FB769A">
      <w:pPr>
        <w:spacing w:line="360" w:lineRule="auto"/>
      </w:pPr>
    </w:p>
    <w:p w14:paraId="79C2B289" w14:textId="171C1EE9" w:rsidR="00D37EA6" w:rsidRPr="0001127B" w:rsidRDefault="00D37EA6" w:rsidP="00FB769A">
      <w:pPr>
        <w:spacing w:line="360" w:lineRule="auto"/>
      </w:pPr>
    </w:p>
    <w:p w14:paraId="5E6C0D17" w14:textId="77777777" w:rsidR="005F703A" w:rsidRPr="0001127B" w:rsidRDefault="005F703A" w:rsidP="005F703A">
      <w:pPr>
        <w:spacing w:line="240" w:lineRule="auto"/>
      </w:pPr>
      <w:r w:rsidRPr="0001127B">
        <w:tab/>
      </w:r>
      <w:r w:rsidRPr="0001127B">
        <w:tab/>
      </w:r>
      <w:r w:rsidRPr="0001127B">
        <w:tab/>
      </w:r>
      <w:r w:rsidRPr="0001127B">
        <w:tab/>
      </w:r>
      <w:r w:rsidRPr="0001127B">
        <w:tab/>
      </w:r>
      <w:r w:rsidRPr="0001127B">
        <w:tab/>
      </w:r>
      <w:r w:rsidRPr="0001127B">
        <w:tab/>
        <w:t>TUCHER, P.J.</w:t>
      </w:r>
    </w:p>
    <w:p w14:paraId="723F2676" w14:textId="77777777" w:rsidR="005F703A" w:rsidRPr="0001127B" w:rsidRDefault="005F703A" w:rsidP="005F703A">
      <w:pPr>
        <w:spacing w:line="240" w:lineRule="auto"/>
      </w:pPr>
    </w:p>
    <w:p w14:paraId="7BB36769" w14:textId="77777777" w:rsidR="005F703A" w:rsidRPr="0001127B" w:rsidRDefault="005F703A" w:rsidP="005F703A">
      <w:pPr>
        <w:spacing w:line="240" w:lineRule="auto"/>
      </w:pPr>
      <w:r w:rsidRPr="0001127B">
        <w:t>WE CONCUR:</w:t>
      </w:r>
    </w:p>
    <w:p w14:paraId="2C9332BD" w14:textId="77777777" w:rsidR="005F703A" w:rsidRPr="0001127B" w:rsidRDefault="005F703A" w:rsidP="005F703A">
      <w:pPr>
        <w:spacing w:line="240" w:lineRule="auto"/>
      </w:pPr>
    </w:p>
    <w:p w14:paraId="260E3F6C" w14:textId="77777777" w:rsidR="005F703A" w:rsidRPr="0001127B" w:rsidRDefault="005F703A" w:rsidP="005F703A">
      <w:pPr>
        <w:spacing w:line="240" w:lineRule="auto"/>
      </w:pPr>
      <w:r w:rsidRPr="0001127B">
        <w:t>PETROU, J.</w:t>
      </w:r>
    </w:p>
    <w:p w14:paraId="0BA3E602" w14:textId="77777777" w:rsidR="005F703A" w:rsidRDefault="005F703A" w:rsidP="005F703A">
      <w:pPr>
        <w:spacing w:line="240" w:lineRule="auto"/>
      </w:pPr>
      <w:r w:rsidRPr="0001127B">
        <w:t>RODRÍGUEZ, J.</w:t>
      </w:r>
    </w:p>
    <w:p w14:paraId="011A41FC" w14:textId="77777777" w:rsidR="00235AFE" w:rsidRDefault="00235AFE" w:rsidP="005F703A">
      <w:pPr>
        <w:spacing w:line="240" w:lineRule="auto"/>
      </w:pPr>
    </w:p>
    <w:p w14:paraId="38F7783B" w14:textId="77777777" w:rsidR="00235AFE" w:rsidRDefault="00235AFE" w:rsidP="005F703A">
      <w:pPr>
        <w:spacing w:line="240" w:lineRule="auto"/>
      </w:pPr>
    </w:p>
    <w:p w14:paraId="21BEE19C" w14:textId="77777777" w:rsidR="00235AFE" w:rsidRDefault="00235AFE" w:rsidP="005F703A">
      <w:pPr>
        <w:spacing w:line="240" w:lineRule="auto"/>
      </w:pPr>
    </w:p>
    <w:p w14:paraId="1FBC26F7" w14:textId="77777777" w:rsidR="00235AFE" w:rsidRDefault="00235AFE" w:rsidP="005F703A">
      <w:pPr>
        <w:spacing w:line="240" w:lineRule="auto"/>
      </w:pPr>
    </w:p>
    <w:p w14:paraId="0CFE926F" w14:textId="77777777" w:rsidR="00235AFE" w:rsidRDefault="00235AFE" w:rsidP="005F703A">
      <w:pPr>
        <w:spacing w:line="240" w:lineRule="auto"/>
      </w:pPr>
    </w:p>
    <w:p w14:paraId="64106226" w14:textId="77777777" w:rsidR="00235AFE" w:rsidRDefault="00235AFE" w:rsidP="005F703A">
      <w:pPr>
        <w:spacing w:line="240" w:lineRule="auto"/>
      </w:pPr>
    </w:p>
    <w:p w14:paraId="7DA8E3D6" w14:textId="77777777" w:rsidR="00235AFE" w:rsidRDefault="00235AFE" w:rsidP="005F703A">
      <w:pPr>
        <w:spacing w:line="240" w:lineRule="auto"/>
      </w:pPr>
    </w:p>
    <w:p w14:paraId="604D68D6" w14:textId="77777777" w:rsidR="00235AFE" w:rsidRDefault="00235AFE" w:rsidP="005F703A">
      <w:pPr>
        <w:spacing w:line="240" w:lineRule="auto"/>
      </w:pPr>
    </w:p>
    <w:p w14:paraId="01D0B6B1" w14:textId="77777777" w:rsidR="00235AFE" w:rsidRDefault="00235AFE" w:rsidP="005F703A">
      <w:pPr>
        <w:spacing w:line="240" w:lineRule="auto"/>
      </w:pPr>
    </w:p>
    <w:p w14:paraId="15ECB830" w14:textId="77777777" w:rsidR="00235AFE" w:rsidRDefault="00235AFE" w:rsidP="005F703A">
      <w:pPr>
        <w:spacing w:line="240" w:lineRule="auto"/>
      </w:pPr>
    </w:p>
    <w:p w14:paraId="2B09CB3F" w14:textId="77777777" w:rsidR="00235AFE" w:rsidRDefault="00235AFE" w:rsidP="005F703A">
      <w:pPr>
        <w:spacing w:line="240" w:lineRule="auto"/>
      </w:pPr>
    </w:p>
    <w:p w14:paraId="393D93BB" w14:textId="77777777" w:rsidR="00235AFE" w:rsidRPr="0001127B" w:rsidRDefault="00235AFE" w:rsidP="005F703A">
      <w:pPr>
        <w:spacing w:line="240" w:lineRule="auto"/>
      </w:pPr>
    </w:p>
    <w:p w14:paraId="29BB910D" w14:textId="77777777" w:rsidR="005F703A" w:rsidRPr="0001127B" w:rsidRDefault="005F703A" w:rsidP="005F703A">
      <w:pPr>
        <w:spacing w:line="240" w:lineRule="auto"/>
      </w:pPr>
    </w:p>
    <w:p w14:paraId="1BB86DA7" w14:textId="77777777" w:rsidR="005F703A" w:rsidRPr="0001127B" w:rsidRDefault="005F703A" w:rsidP="005F703A">
      <w:pPr>
        <w:spacing w:line="240" w:lineRule="auto"/>
        <w:rPr>
          <w:i/>
          <w:sz w:val="16"/>
          <w:szCs w:val="16"/>
        </w:rPr>
      </w:pPr>
    </w:p>
    <w:p w14:paraId="0AB3C737" w14:textId="7617BE00" w:rsidR="005F703A" w:rsidRDefault="00766E42" w:rsidP="005F703A">
      <w:pPr>
        <w:spacing w:line="240" w:lineRule="auto"/>
        <w:rPr>
          <w:sz w:val="16"/>
          <w:szCs w:val="16"/>
        </w:rPr>
      </w:pPr>
      <w:r>
        <w:rPr>
          <w:i/>
          <w:sz w:val="16"/>
          <w:szCs w:val="16"/>
        </w:rPr>
        <w:t>N.M.</w:t>
      </w:r>
      <w:r w:rsidR="005F703A" w:rsidRPr="0001127B">
        <w:rPr>
          <w:i/>
          <w:sz w:val="16"/>
          <w:szCs w:val="16"/>
        </w:rPr>
        <w:t xml:space="preserve"> v. </w:t>
      </w:r>
      <w:r w:rsidR="007E60E8">
        <w:rPr>
          <w:i/>
          <w:sz w:val="16"/>
          <w:szCs w:val="16"/>
        </w:rPr>
        <w:t>W.</w:t>
      </w:r>
      <w:r w:rsidR="005F703A" w:rsidRPr="0001127B">
        <w:rPr>
          <w:i/>
          <w:sz w:val="16"/>
          <w:szCs w:val="16"/>
        </w:rPr>
        <w:t>K</w:t>
      </w:r>
      <w:r w:rsidR="007E60E8">
        <w:rPr>
          <w:i/>
          <w:sz w:val="16"/>
          <w:szCs w:val="16"/>
        </w:rPr>
        <w:t>.</w:t>
      </w:r>
      <w:r w:rsidR="005F703A" w:rsidRPr="0001127B">
        <w:rPr>
          <w:i/>
          <w:sz w:val="16"/>
          <w:szCs w:val="16"/>
        </w:rPr>
        <w:t xml:space="preserve"> </w:t>
      </w:r>
      <w:r w:rsidR="005F703A" w:rsidRPr="0001127B">
        <w:rPr>
          <w:sz w:val="16"/>
          <w:szCs w:val="16"/>
        </w:rPr>
        <w:t>(A168081)</w:t>
      </w:r>
    </w:p>
    <w:p w14:paraId="713EF401" w14:textId="14B0FA3A" w:rsidR="004166D9" w:rsidRDefault="004166D9">
      <w:pPr>
        <w:tabs>
          <w:tab w:val="clear" w:pos="720"/>
        </w:tabs>
        <w:spacing w:line="360" w:lineRule="auto"/>
      </w:pPr>
      <w:r>
        <w:br w:type="page"/>
      </w:r>
    </w:p>
    <w:p w14:paraId="0E229511" w14:textId="629E4B93" w:rsidR="004166D9" w:rsidRDefault="004166D9" w:rsidP="004166D9">
      <w:pPr>
        <w:spacing w:line="240" w:lineRule="auto"/>
      </w:pPr>
      <w:r>
        <w:lastRenderedPageBreak/>
        <w:t>Trial Court:</w:t>
      </w:r>
      <w:r>
        <w:tab/>
      </w:r>
      <w:r>
        <w:tab/>
        <w:t>Alameda County Superior Court</w:t>
      </w:r>
    </w:p>
    <w:p w14:paraId="5FBD66A5" w14:textId="77777777" w:rsidR="004166D9" w:rsidRDefault="004166D9" w:rsidP="004166D9">
      <w:pPr>
        <w:spacing w:line="240" w:lineRule="auto"/>
      </w:pPr>
    </w:p>
    <w:p w14:paraId="0017ADFF" w14:textId="193132E7" w:rsidR="004166D9" w:rsidRDefault="004166D9" w:rsidP="004166D9">
      <w:pPr>
        <w:spacing w:line="240" w:lineRule="auto"/>
      </w:pPr>
      <w:r>
        <w:t>Trial Judge:</w:t>
      </w:r>
      <w:r>
        <w:tab/>
        <w:t>Hon. Nikki Clark, Commissioner</w:t>
      </w:r>
    </w:p>
    <w:p w14:paraId="277AD240" w14:textId="77777777" w:rsidR="004166D9" w:rsidRDefault="004166D9" w:rsidP="004166D9">
      <w:pPr>
        <w:spacing w:line="240" w:lineRule="auto"/>
      </w:pPr>
    </w:p>
    <w:p w14:paraId="2DE0A716" w14:textId="5050CF4F" w:rsidR="004166D9" w:rsidRDefault="004166D9" w:rsidP="004166D9">
      <w:pPr>
        <w:tabs>
          <w:tab w:val="left" w:pos="1440"/>
          <w:tab w:val="left" w:pos="2160"/>
        </w:tabs>
        <w:spacing w:line="240" w:lineRule="auto"/>
        <w:ind w:left="2520" w:hanging="2520"/>
        <w:rPr>
          <w:rFonts w:eastAsia="Calibri" w:cs="Calibri"/>
        </w:rPr>
      </w:pPr>
      <w:r>
        <w:rPr>
          <w:rFonts w:eastAsia="Calibri" w:cs="Calibri"/>
        </w:rPr>
        <w:t>Counsel:</w:t>
      </w:r>
      <w:r>
        <w:rPr>
          <w:rFonts w:eastAsia="Calibri" w:cs="Calibri"/>
        </w:rPr>
        <w:tab/>
      </w:r>
      <w:r>
        <w:rPr>
          <w:rFonts w:eastAsia="Calibri" w:cs="Calibri"/>
        </w:rPr>
        <w:tab/>
        <w:t>W</w:t>
      </w:r>
      <w:r w:rsidR="007E60E8">
        <w:rPr>
          <w:rFonts w:eastAsia="Calibri" w:cs="Calibri"/>
        </w:rPr>
        <w:t>.</w:t>
      </w:r>
      <w:r>
        <w:rPr>
          <w:rFonts w:eastAsia="Calibri" w:cs="Calibri"/>
        </w:rPr>
        <w:t>K</w:t>
      </w:r>
      <w:r w:rsidR="007E60E8">
        <w:rPr>
          <w:rFonts w:eastAsia="Calibri" w:cs="Calibri"/>
        </w:rPr>
        <w:t>.</w:t>
      </w:r>
      <w:r>
        <w:rPr>
          <w:rFonts w:eastAsia="Calibri" w:cs="Calibri"/>
        </w:rPr>
        <w:t xml:space="preserve">, in pro. </w:t>
      </w:r>
      <w:r w:rsidR="007E60E8">
        <w:rPr>
          <w:rFonts w:eastAsia="Calibri" w:cs="Calibri"/>
        </w:rPr>
        <w:t>p</w:t>
      </w:r>
      <w:r>
        <w:rPr>
          <w:rFonts w:eastAsia="Calibri" w:cs="Calibri"/>
        </w:rPr>
        <w:t>er., for Respondent and Appellant</w:t>
      </w:r>
    </w:p>
    <w:p w14:paraId="1E76C332" w14:textId="77777777" w:rsidR="004166D9" w:rsidRDefault="004166D9" w:rsidP="004166D9">
      <w:pPr>
        <w:tabs>
          <w:tab w:val="left" w:pos="1620"/>
        </w:tabs>
        <w:spacing w:line="240" w:lineRule="auto"/>
        <w:ind w:left="1980" w:hanging="1980"/>
        <w:rPr>
          <w:rFonts w:eastAsia="Calibri" w:cs="Calibri"/>
        </w:rPr>
      </w:pPr>
    </w:p>
    <w:p w14:paraId="04F3B2DC" w14:textId="60F0A7E9" w:rsidR="004166D9" w:rsidRDefault="004166D9" w:rsidP="004166D9">
      <w:pPr>
        <w:tabs>
          <w:tab w:val="left" w:pos="1440"/>
          <w:tab w:val="left" w:pos="2160"/>
        </w:tabs>
        <w:spacing w:line="240" w:lineRule="auto"/>
        <w:ind w:left="2610" w:hanging="2610"/>
        <w:rPr>
          <w:rFonts w:eastAsia="Calibri" w:cs="Calibri"/>
        </w:rPr>
      </w:pPr>
      <w:r>
        <w:rPr>
          <w:rFonts w:eastAsia="Calibri" w:cs="Calibri"/>
        </w:rPr>
        <w:tab/>
      </w:r>
      <w:r>
        <w:rPr>
          <w:rFonts w:eastAsia="Calibri" w:cs="Calibri"/>
        </w:rPr>
        <w:tab/>
      </w:r>
      <w:r>
        <w:rPr>
          <w:rFonts w:eastAsia="Calibri" w:cs="Calibri"/>
        </w:rPr>
        <w:tab/>
        <w:t>Cabello &amp; Lezin, Connie Cabello, Justyn Lezin; and Law Office of Peter Gold, Peter Gold for Plaintiff and Respondent</w:t>
      </w:r>
    </w:p>
    <w:p w14:paraId="14216270" w14:textId="77777777" w:rsidR="004166D9" w:rsidRDefault="004166D9" w:rsidP="004166D9">
      <w:pPr>
        <w:spacing w:line="240" w:lineRule="auto"/>
      </w:pPr>
    </w:p>
    <w:p w14:paraId="5FCA2539" w14:textId="77777777" w:rsidR="004166D9" w:rsidRDefault="004166D9" w:rsidP="004166D9"/>
    <w:p w14:paraId="647C42FB" w14:textId="77777777" w:rsidR="00352ABA" w:rsidRPr="00A773CF" w:rsidRDefault="00352ABA" w:rsidP="00FB769A">
      <w:pPr>
        <w:spacing w:line="360" w:lineRule="auto"/>
      </w:pPr>
    </w:p>
    <w:sectPr w:rsidR="00352ABA" w:rsidRPr="00A773CF" w:rsidSect="008B1F9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76B3F" w14:textId="77777777" w:rsidR="003D2E9D" w:rsidRDefault="003D2E9D" w:rsidP="00FB769A">
      <w:pPr>
        <w:spacing w:line="240" w:lineRule="auto"/>
      </w:pPr>
      <w:r>
        <w:separator/>
      </w:r>
    </w:p>
  </w:endnote>
  <w:endnote w:type="continuationSeparator" w:id="0">
    <w:p w14:paraId="4C6F85B0" w14:textId="77777777" w:rsidR="003D2E9D" w:rsidRDefault="003D2E9D" w:rsidP="00FB76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7B73" w14:textId="4A0E4C79" w:rsidR="00FB769A" w:rsidRDefault="00FB769A" w:rsidP="00DC32F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B91DC85" w14:textId="78F27D06" w:rsidR="00FB769A" w:rsidRDefault="00FB769A" w:rsidP="00DC32F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40F45AF" w14:textId="77777777" w:rsidR="00FB769A" w:rsidRDefault="00FB76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94E9" w14:textId="25360BE0" w:rsidR="00FB769A" w:rsidRDefault="00FB769A" w:rsidP="00FB769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D021847" w14:textId="77777777" w:rsidR="00FB769A" w:rsidRDefault="00FB76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897A5" w14:textId="77777777" w:rsidR="0051778E" w:rsidRDefault="00517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DF88F" w14:textId="77777777" w:rsidR="003D2E9D" w:rsidRDefault="003D2E9D" w:rsidP="00FB769A">
      <w:pPr>
        <w:spacing w:line="240" w:lineRule="auto"/>
      </w:pPr>
      <w:r>
        <w:separator/>
      </w:r>
    </w:p>
  </w:footnote>
  <w:footnote w:type="continuationSeparator" w:id="0">
    <w:p w14:paraId="22622206" w14:textId="77777777" w:rsidR="003D2E9D" w:rsidRDefault="003D2E9D" w:rsidP="00FB769A">
      <w:pPr>
        <w:spacing w:line="240" w:lineRule="auto"/>
      </w:pPr>
      <w:r>
        <w:continuationSeparator/>
      </w:r>
    </w:p>
  </w:footnote>
  <w:footnote w:id="1">
    <w:p w14:paraId="2F78F2BB" w14:textId="647E203C" w:rsidR="000D63F6" w:rsidRDefault="000D63F6" w:rsidP="000D63F6">
      <w:pPr>
        <w:spacing w:line="240" w:lineRule="auto"/>
      </w:pPr>
      <w:r>
        <w:tab/>
      </w:r>
      <w:r>
        <w:rPr>
          <w:rStyle w:val="FootnoteReference"/>
        </w:rPr>
        <w:t>*</w:t>
      </w:r>
      <w:r>
        <w:t xml:space="preserve"> Pursuant to California Rules of Court, rules 8.1105(b) and 8.1110, this opinion is certified for publication with the exception of parts II and III of the Background and parts I, IV, and V of the Discussion.  All undesignated statutory references are to the Family Code.  </w:t>
      </w:r>
    </w:p>
    <w:p w14:paraId="153382A8" w14:textId="4E04C74D" w:rsidR="000D63F6" w:rsidRDefault="000D63F6">
      <w:pPr>
        <w:pStyle w:val="FootnoteText"/>
      </w:pPr>
    </w:p>
  </w:footnote>
  <w:footnote w:id="2">
    <w:p w14:paraId="3F91A2A1" w14:textId="2EF151A7" w:rsidR="00980896" w:rsidRDefault="00980896" w:rsidP="00980896">
      <w:pPr>
        <w:pStyle w:val="FootnoteText"/>
        <w:ind w:firstLine="720"/>
      </w:pPr>
      <w:r>
        <w:rPr>
          <w:rStyle w:val="FootnoteReference"/>
        </w:rPr>
        <w:footnoteRef/>
      </w:r>
      <w:r>
        <w:t xml:space="preserve"> The trial court was initially under the impression that the ex parte hearing </w:t>
      </w:r>
      <w:r w:rsidR="00C11637">
        <w:t xml:space="preserve">on visitation </w:t>
      </w:r>
      <w:r>
        <w:t xml:space="preserve">was scheduled in the couple’s separate dissolution action rather than in this action. </w:t>
      </w:r>
    </w:p>
    <w:p w14:paraId="7CDBA3C7" w14:textId="77777777" w:rsidR="002E7596" w:rsidRDefault="002E7596" w:rsidP="00980896">
      <w:pPr>
        <w:pStyle w:val="FootnoteText"/>
        <w:ind w:firstLine="720"/>
      </w:pPr>
    </w:p>
  </w:footnote>
  <w:footnote w:id="3">
    <w:p w14:paraId="193A522A" w14:textId="3107F25F" w:rsidR="002E7596" w:rsidRDefault="002E7596" w:rsidP="002E7596">
      <w:pPr>
        <w:pStyle w:val="FootnoteText"/>
        <w:ind w:firstLine="720"/>
      </w:pPr>
      <w:r>
        <w:rPr>
          <w:rStyle w:val="FootnoteReference"/>
        </w:rPr>
        <w:footnoteRef/>
      </w:r>
      <w:r>
        <w:t xml:space="preserve"> In his reply brief, </w:t>
      </w:r>
      <w:r w:rsidR="007E60E8">
        <w:t>Husband</w:t>
      </w:r>
      <w:r>
        <w:t xml:space="preserve"> asserts for the first time that he was not served with </w:t>
      </w:r>
      <w:r w:rsidR="007E60E8">
        <w:t>Wife</w:t>
      </w:r>
      <w:r>
        <w:t xml:space="preserve">’s </w:t>
      </w:r>
      <w:r w:rsidRPr="00506E8E">
        <w:rPr>
          <w:i/>
          <w:iCs/>
        </w:rPr>
        <w:t>original</w:t>
      </w:r>
      <w:r>
        <w:t xml:space="preserve"> declaration</w:t>
      </w:r>
      <w:r w:rsidR="00387E38">
        <w:t xml:space="preserve"> submitted as part of her request for a DVRO.  H</w:t>
      </w:r>
      <w:r>
        <w:t>e attaches a February 10, 2023 proof of service of various documents on him, including the request for a DVRO; the proof of service does not separately list the declaration among the documents served.  But he points us to nothing in the record indicating he argued in the trial court that he was not served with the</w:t>
      </w:r>
      <w:r w:rsidR="00387E38">
        <w:t xml:space="preserve"> original</w:t>
      </w:r>
      <w:r>
        <w:t xml:space="preserve"> declaration, either at the hearing on the DVRO or in his motion for reconsideration.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C3CFD" w14:textId="77777777" w:rsidR="0051778E" w:rsidRDefault="005177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98A7A" w14:textId="77777777" w:rsidR="0051778E" w:rsidRDefault="005177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B6C70" w14:textId="77777777" w:rsidR="0051778E" w:rsidRDefault="005177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7188"/>
    <w:multiLevelType w:val="hybridMultilevel"/>
    <w:tmpl w:val="0290AEE2"/>
    <w:lvl w:ilvl="0" w:tplc="6B5890B6">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85E81"/>
    <w:multiLevelType w:val="hybridMultilevel"/>
    <w:tmpl w:val="0428B836"/>
    <w:lvl w:ilvl="0" w:tplc="1AFA6A0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0302A"/>
    <w:multiLevelType w:val="hybridMultilevel"/>
    <w:tmpl w:val="7494D1FC"/>
    <w:lvl w:ilvl="0" w:tplc="68A4C6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5A12D5"/>
    <w:multiLevelType w:val="hybridMultilevel"/>
    <w:tmpl w:val="4866D9B8"/>
    <w:lvl w:ilvl="0" w:tplc="AE324F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DD5C39"/>
    <w:multiLevelType w:val="hybridMultilevel"/>
    <w:tmpl w:val="9C2A8A58"/>
    <w:lvl w:ilvl="0" w:tplc="AE324F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0198739">
    <w:abstractNumId w:val="3"/>
  </w:num>
  <w:num w:numId="2" w16cid:durableId="1360088690">
    <w:abstractNumId w:val="2"/>
  </w:num>
  <w:num w:numId="3" w16cid:durableId="1479883696">
    <w:abstractNumId w:val="1"/>
  </w:num>
  <w:num w:numId="4" w16cid:durableId="1829324989">
    <w:abstractNumId w:val="4"/>
  </w:num>
  <w:num w:numId="5" w16cid:durableId="1198472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efaultTabStop w:val="720"/>
  <w:drawingGridHorizontalSpacing w:val="13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69A"/>
    <w:rsid w:val="0001127B"/>
    <w:rsid w:val="000367CB"/>
    <w:rsid w:val="00062D06"/>
    <w:rsid w:val="00067940"/>
    <w:rsid w:val="000743BA"/>
    <w:rsid w:val="000773EB"/>
    <w:rsid w:val="000A7C50"/>
    <w:rsid w:val="000C7ED2"/>
    <w:rsid w:val="000D63F6"/>
    <w:rsid w:val="000E0A9D"/>
    <w:rsid w:val="000E0AB2"/>
    <w:rsid w:val="000F4DBC"/>
    <w:rsid w:val="000F7909"/>
    <w:rsid w:val="00105DD4"/>
    <w:rsid w:val="001105A2"/>
    <w:rsid w:val="00134203"/>
    <w:rsid w:val="00142AB5"/>
    <w:rsid w:val="00142C13"/>
    <w:rsid w:val="00142FE2"/>
    <w:rsid w:val="001524C8"/>
    <w:rsid w:val="001560B0"/>
    <w:rsid w:val="00161917"/>
    <w:rsid w:val="001667EC"/>
    <w:rsid w:val="00170A55"/>
    <w:rsid w:val="00173D5F"/>
    <w:rsid w:val="001B69A3"/>
    <w:rsid w:val="001D1A41"/>
    <w:rsid w:val="001F34E9"/>
    <w:rsid w:val="00205020"/>
    <w:rsid w:val="002153DA"/>
    <w:rsid w:val="00234EAC"/>
    <w:rsid w:val="00235AFE"/>
    <w:rsid w:val="00244372"/>
    <w:rsid w:val="002A32A4"/>
    <w:rsid w:val="002D04DB"/>
    <w:rsid w:val="002D1275"/>
    <w:rsid w:val="002E06C6"/>
    <w:rsid w:val="002E4B6E"/>
    <w:rsid w:val="002E7596"/>
    <w:rsid w:val="002F6ABF"/>
    <w:rsid w:val="00321C91"/>
    <w:rsid w:val="003241C6"/>
    <w:rsid w:val="00327D69"/>
    <w:rsid w:val="00332D93"/>
    <w:rsid w:val="00352ABA"/>
    <w:rsid w:val="00387E38"/>
    <w:rsid w:val="00394634"/>
    <w:rsid w:val="003D2E9D"/>
    <w:rsid w:val="004166D9"/>
    <w:rsid w:val="00430C1D"/>
    <w:rsid w:val="0044160F"/>
    <w:rsid w:val="0046220A"/>
    <w:rsid w:val="00473982"/>
    <w:rsid w:val="00481DAF"/>
    <w:rsid w:val="004B3B5E"/>
    <w:rsid w:val="004B4E79"/>
    <w:rsid w:val="004D1B3C"/>
    <w:rsid w:val="004F148E"/>
    <w:rsid w:val="0050443E"/>
    <w:rsid w:val="00506E8E"/>
    <w:rsid w:val="00513E25"/>
    <w:rsid w:val="0051778E"/>
    <w:rsid w:val="00533357"/>
    <w:rsid w:val="0055355D"/>
    <w:rsid w:val="00562598"/>
    <w:rsid w:val="00564166"/>
    <w:rsid w:val="00592277"/>
    <w:rsid w:val="005B4717"/>
    <w:rsid w:val="005D09DE"/>
    <w:rsid w:val="005D4F28"/>
    <w:rsid w:val="005F703A"/>
    <w:rsid w:val="0062691F"/>
    <w:rsid w:val="00633070"/>
    <w:rsid w:val="0064193D"/>
    <w:rsid w:val="006A14E5"/>
    <w:rsid w:val="006D7400"/>
    <w:rsid w:val="006D77CD"/>
    <w:rsid w:val="006E5E14"/>
    <w:rsid w:val="006F4D03"/>
    <w:rsid w:val="007042AB"/>
    <w:rsid w:val="007072EE"/>
    <w:rsid w:val="007153C0"/>
    <w:rsid w:val="007262F8"/>
    <w:rsid w:val="007458A2"/>
    <w:rsid w:val="0074633B"/>
    <w:rsid w:val="00764B38"/>
    <w:rsid w:val="00766E42"/>
    <w:rsid w:val="00785F42"/>
    <w:rsid w:val="00786702"/>
    <w:rsid w:val="007900CE"/>
    <w:rsid w:val="007955E9"/>
    <w:rsid w:val="007B1999"/>
    <w:rsid w:val="007B262C"/>
    <w:rsid w:val="007C503C"/>
    <w:rsid w:val="007E2BF8"/>
    <w:rsid w:val="007E60E8"/>
    <w:rsid w:val="00802E7D"/>
    <w:rsid w:val="00803C46"/>
    <w:rsid w:val="00806D7E"/>
    <w:rsid w:val="00830E63"/>
    <w:rsid w:val="008717DE"/>
    <w:rsid w:val="008B1F92"/>
    <w:rsid w:val="008C172C"/>
    <w:rsid w:val="008C69C3"/>
    <w:rsid w:val="008C7718"/>
    <w:rsid w:val="008D734E"/>
    <w:rsid w:val="008F6D80"/>
    <w:rsid w:val="008F6DF0"/>
    <w:rsid w:val="00927648"/>
    <w:rsid w:val="00935FAC"/>
    <w:rsid w:val="009705C3"/>
    <w:rsid w:val="009710C3"/>
    <w:rsid w:val="00980896"/>
    <w:rsid w:val="009A19CE"/>
    <w:rsid w:val="009D478A"/>
    <w:rsid w:val="009E3833"/>
    <w:rsid w:val="009F0A73"/>
    <w:rsid w:val="009F2DB8"/>
    <w:rsid w:val="00A0255D"/>
    <w:rsid w:val="00A02E32"/>
    <w:rsid w:val="00A25280"/>
    <w:rsid w:val="00A25E88"/>
    <w:rsid w:val="00A773CF"/>
    <w:rsid w:val="00A94013"/>
    <w:rsid w:val="00A964FC"/>
    <w:rsid w:val="00A97620"/>
    <w:rsid w:val="00AA5A3A"/>
    <w:rsid w:val="00AF0705"/>
    <w:rsid w:val="00AF35CB"/>
    <w:rsid w:val="00B21213"/>
    <w:rsid w:val="00B81899"/>
    <w:rsid w:val="00BA355C"/>
    <w:rsid w:val="00BE21A8"/>
    <w:rsid w:val="00C11637"/>
    <w:rsid w:val="00C245DF"/>
    <w:rsid w:val="00C27B39"/>
    <w:rsid w:val="00C339F6"/>
    <w:rsid w:val="00C64D16"/>
    <w:rsid w:val="00C742A7"/>
    <w:rsid w:val="00C83EC4"/>
    <w:rsid w:val="00C851AA"/>
    <w:rsid w:val="00C90027"/>
    <w:rsid w:val="00CA5780"/>
    <w:rsid w:val="00CB4AEF"/>
    <w:rsid w:val="00CD5480"/>
    <w:rsid w:val="00CD58A3"/>
    <w:rsid w:val="00CD5980"/>
    <w:rsid w:val="00CD5FC7"/>
    <w:rsid w:val="00CF10CB"/>
    <w:rsid w:val="00CF2C32"/>
    <w:rsid w:val="00CF46A2"/>
    <w:rsid w:val="00D05765"/>
    <w:rsid w:val="00D320F2"/>
    <w:rsid w:val="00D3307E"/>
    <w:rsid w:val="00D37EA6"/>
    <w:rsid w:val="00D44D48"/>
    <w:rsid w:val="00D75320"/>
    <w:rsid w:val="00DA104A"/>
    <w:rsid w:val="00DF6562"/>
    <w:rsid w:val="00E021D8"/>
    <w:rsid w:val="00E2042C"/>
    <w:rsid w:val="00E32615"/>
    <w:rsid w:val="00E4225B"/>
    <w:rsid w:val="00E647A6"/>
    <w:rsid w:val="00E76DBD"/>
    <w:rsid w:val="00E856C6"/>
    <w:rsid w:val="00EA7AF5"/>
    <w:rsid w:val="00ED3594"/>
    <w:rsid w:val="00F44911"/>
    <w:rsid w:val="00F619E4"/>
    <w:rsid w:val="00FA3A28"/>
    <w:rsid w:val="00FB3378"/>
    <w:rsid w:val="00FB6B77"/>
    <w:rsid w:val="00FB769A"/>
    <w:rsid w:val="00FD5F28"/>
    <w:rsid w:val="00FE2EED"/>
    <w:rsid w:val="00FF2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11E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kern w:val="2"/>
        <w:sz w:val="26"/>
        <w:szCs w:val="26"/>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720"/>
      </w:tabs>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69A"/>
    <w:pPr>
      <w:tabs>
        <w:tab w:val="center" w:pos="4680"/>
        <w:tab w:val="right" w:pos="9360"/>
      </w:tabs>
      <w:spacing w:line="240" w:lineRule="auto"/>
    </w:pPr>
  </w:style>
  <w:style w:type="character" w:customStyle="1" w:styleId="HeaderChar">
    <w:name w:val="Header Char"/>
    <w:basedOn w:val="DefaultParagraphFont"/>
    <w:link w:val="Header"/>
    <w:uiPriority w:val="99"/>
    <w:rsid w:val="00FB769A"/>
  </w:style>
  <w:style w:type="paragraph" w:styleId="Footer">
    <w:name w:val="footer"/>
    <w:basedOn w:val="Normal"/>
    <w:link w:val="FooterChar"/>
    <w:uiPriority w:val="99"/>
    <w:unhideWhenUsed/>
    <w:rsid w:val="00FB769A"/>
    <w:pPr>
      <w:tabs>
        <w:tab w:val="center" w:pos="4680"/>
        <w:tab w:val="right" w:pos="9360"/>
      </w:tabs>
      <w:spacing w:line="240" w:lineRule="auto"/>
    </w:pPr>
  </w:style>
  <w:style w:type="character" w:customStyle="1" w:styleId="FooterChar">
    <w:name w:val="Footer Char"/>
    <w:basedOn w:val="DefaultParagraphFont"/>
    <w:link w:val="Footer"/>
    <w:uiPriority w:val="99"/>
    <w:rsid w:val="00FB769A"/>
  </w:style>
  <w:style w:type="character" w:styleId="PageNumber">
    <w:name w:val="page number"/>
    <w:basedOn w:val="DefaultParagraphFont"/>
    <w:uiPriority w:val="99"/>
    <w:semiHidden/>
    <w:unhideWhenUsed/>
    <w:rsid w:val="00FB769A"/>
  </w:style>
  <w:style w:type="paragraph" w:styleId="FootnoteText">
    <w:name w:val="footnote text"/>
    <w:link w:val="FootnoteTextChar"/>
    <w:uiPriority w:val="99"/>
    <w:unhideWhenUsed/>
    <w:rsid w:val="00FB769A"/>
    <w:pPr>
      <w:spacing w:line="240" w:lineRule="auto"/>
    </w:pPr>
    <w:rPr>
      <w:szCs w:val="20"/>
    </w:rPr>
  </w:style>
  <w:style w:type="character" w:customStyle="1" w:styleId="FootnoteTextChar">
    <w:name w:val="Footnote Text Char"/>
    <w:basedOn w:val="DefaultParagraphFont"/>
    <w:link w:val="FootnoteText"/>
    <w:uiPriority w:val="99"/>
    <w:rsid w:val="00FB769A"/>
    <w:rPr>
      <w:szCs w:val="20"/>
    </w:rPr>
  </w:style>
  <w:style w:type="character" w:styleId="FootnoteReference">
    <w:name w:val="footnote reference"/>
    <w:basedOn w:val="DefaultParagraphFont"/>
    <w:uiPriority w:val="99"/>
    <w:semiHidden/>
    <w:unhideWhenUsed/>
    <w:rsid w:val="00980896"/>
    <w:rPr>
      <w:vertAlign w:val="superscript"/>
    </w:rPr>
  </w:style>
  <w:style w:type="paragraph" w:styleId="Revision">
    <w:name w:val="Revision"/>
    <w:hidden/>
    <w:uiPriority w:val="99"/>
    <w:semiHidden/>
    <w:rsid w:val="00C11637"/>
    <w:pPr>
      <w:spacing w:line="240" w:lineRule="auto"/>
    </w:pPr>
  </w:style>
  <w:style w:type="character" w:styleId="CommentReference">
    <w:name w:val="annotation reference"/>
    <w:basedOn w:val="DefaultParagraphFont"/>
    <w:uiPriority w:val="99"/>
    <w:semiHidden/>
    <w:unhideWhenUsed/>
    <w:rsid w:val="00C11637"/>
    <w:rPr>
      <w:sz w:val="16"/>
      <w:szCs w:val="16"/>
    </w:rPr>
  </w:style>
  <w:style w:type="paragraph" w:styleId="CommentText">
    <w:name w:val="annotation text"/>
    <w:basedOn w:val="Normal"/>
    <w:link w:val="CommentTextChar"/>
    <w:uiPriority w:val="99"/>
    <w:unhideWhenUsed/>
    <w:rsid w:val="00C11637"/>
    <w:pPr>
      <w:spacing w:line="240" w:lineRule="auto"/>
    </w:pPr>
    <w:rPr>
      <w:sz w:val="20"/>
      <w:szCs w:val="20"/>
    </w:rPr>
  </w:style>
  <w:style w:type="character" w:customStyle="1" w:styleId="CommentTextChar">
    <w:name w:val="Comment Text Char"/>
    <w:basedOn w:val="DefaultParagraphFont"/>
    <w:link w:val="CommentText"/>
    <w:uiPriority w:val="99"/>
    <w:rsid w:val="00C11637"/>
    <w:rPr>
      <w:sz w:val="20"/>
      <w:szCs w:val="20"/>
    </w:rPr>
  </w:style>
  <w:style w:type="paragraph" w:styleId="CommentSubject">
    <w:name w:val="annotation subject"/>
    <w:basedOn w:val="CommentText"/>
    <w:next w:val="CommentText"/>
    <w:link w:val="CommentSubjectChar"/>
    <w:uiPriority w:val="99"/>
    <w:semiHidden/>
    <w:unhideWhenUsed/>
    <w:rsid w:val="00C11637"/>
    <w:rPr>
      <w:b/>
      <w:bCs/>
    </w:rPr>
  </w:style>
  <w:style w:type="character" w:customStyle="1" w:styleId="CommentSubjectChar">
    <w:name w:val="Comment Subject Char"/>
    <w:basedOn w:val="CommentTextChar"/>
    <w:link w:val="CommentSubject"/>
    <w:uiPriority w:val="99"/>
    <w:semiHidden/>
    <w:rsid w:val="00C11637"/>
    <w:rPr>
      <w:b/>
      <w:bCs/>
      <w:sz w:val="20"/>
      <w:szCs w:val="20"/>
    </w:rPr>
  </w:style>
  <w:style w:type="character" w:styleId="PlaceholderText">
    <w:name w:val="Placeholder Text"/>
    <w:basedOn w:val="DefaultParagraphFont"/>
    <w:uiPriority w:val="99"/>
    <w:semiHidden/>
    <w:rsid w:val="0064193D"/>
    <w:rPr>
      <w:color w:val="808080"/>
    </w:rPr>
  </w:style>
  <w:style w:type="paragraph" w:styleId="ListParagraph">
    <w:name w:val="List Paragraph"/>
    <w:basedOn w:val="Normal"/>
    <w:uiPriority w:val="34"/>
    <w:qFormat/>
    <w:rsid w:val="00011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30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2534</Words>
  <Characters>12724</Characters>
  <Application>Microsoft Office Word</Application>
  <DocSecurity>0</DocSecurity>
  <Lines>278</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15351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2024-03-20T21:38:00Z</dcterms:created>
  <dcterms:modified xsi:type="dcterms:W3CDTF">2024-03-20T21:38:00Z</dcterms:modified>
  <cp:category/>
</cp:coreProperties>
</file>