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35573E" w:rsidP="0035573E" w14:paraId="4D27465D" w14:textId="3AEB8F33">
      <w:pPr>
        <w:spacing w:line="480" w:lineRule="auto"/>
        <w:ind w:firstLine="0"/>
        <w:rPr>
          <w:sz w:val="20"/>
        </w:rPr>
      </w:pPr>
      <w:r>
        <w:rPr>
          <w:sz w:val="20"/>
        </w:rPr>
        <w:t xml:space="preserve">Filed </w:t>
      </w:r>
      <w:r w:rsidR="00D13696">
        <w:rPr>
          <w:sz w:val="20"/>
        </w:rPr>
        <w:t>3/</w:t>
      </w:r>
      <w:r w:rsidR="00784FD9">
        <w:rPr>
          <w:sz w:val="20"/>
        </w:rPr>
        <w:t>11</w:t>
      </w:r>
      <w:r w:rsidR="000C145F">
        <w:rPr>
          <w:sz w:val="20"/>
        </w:rPr>
        <w:t>/24</w:t>
      </w:r>
      <w:r w:rsidR="00C52AB0">
        <w:rPr>
          <w:sz w:val="20"/>
        </w:rPr>
        <w:t xml:space="preserve"> (see concurring opinion)</w:t>
      </w:r>
    </w:p>
    <w:p w:rsidR="0035573E" w:rsidP="0035573E" w14:paraId="7EB431E8" w14:textId="77777777">
      <w:pPr>
        <w:spacing w:line="480" w:lineRule="auto"/>
        <w:ind w:firstLine="0"/>
        <w:jc w:val="center"/>
        <w:rPr>
          <w:b/>
        </w:rPr>
      </w:pPr>
      <w:r>
        <w:rPr>
          <w:b/>
        </w:rPr>
        <w:t>CERTIFIED FOR PUBLICATION</w:t>
      </w:r>
    </w:p>
    <w:p w:rsidR="0035573E" w:rsidP="00F648C9" w14:paraId="23AF4597" w14:textId="77777777">
      <w:pPr>
        <w:spacing w:line="240" w:lineRule="auto"/>
        <w:ind w:firstLine="0"/>
        <w:jc w:val="center"/>
      </w:pPr>
    </w:p>
    <w:p w:rsidR="00737B68" w:rsidRPr="00944C2C" w:rsidP="00F85CE6" w14:paraId="1CB90AA7" w14:textId="61EB8737">
      <w:pPr>
        <w:spacing w:line="480" w:lineRule="auto"/>
        <w:ind w:firstLine="0"/>
        <w:jc w:val="center"/>
      </w:pPr>
      <w:r w:rsidRPr="00944C2C">
        <w:t xml:space="preserve">IN THE </w:t>
      </w:r>
      <w:r w:rsidR="00A91E0C">
        <w:t xml:space="preserve">COURT OF APPEAL </w:t>
      </w:r>
      <w:r w:rsidRPr="00944C2C">
        <w:t>OF THE STATE OF CALIFORNIA</w:t>
      </w:r>
    </w:p>
    <w:p w:rsidR="00737B68" w:rsidP="00F85CE6" w14:paraId="64EB656E" w14:textId="07368876">
      <w:pPr>
        <w:spacing w:line="480" w:lineRule="auto"/>
        <w:ind w:firstLine="0"/>
        <w:jc w:val="center"/>
      </w:pPr>
      <w:r>
        <w:t>FIRST APPELLATE DISTRICT</w:t>
      </w:r>
    </w:p>
    <w:p w:rsidR="00737B68" w:rsidP="00F85CE6" w14:paraId="359F27C5" w14:textId="77777777">
      <w:pPr>
        <w:spacing w:line="480" w:lineRule="auto"/>
        <w:ind w:firstLine="0"/>
        <w:jc w:val="center"/>
      </w:pPr>
      <w:r>
        <w:t>DIVISION FOUR</w:t>
      </w:r>
    </w:p>
    <w:p w:rsidR="00737B68" w:rsidP="00F85CE6" w14:paraId="74AF3CB8" w14:textId="77777777">
      <w:pPr>
        <w:spacing w:line="240" w:lineRule="auto"/>
        <w:ind w:firstLine="0"/>
        <w:jc w:val="center"/>
      </w:pPr>
    </w:p>
    <w:tbl>
      <w:tblPr>
        <w:tblW w:w="0" w:type="auto"/>
        <w:tblLayout w:type="fixed"/>
        <w:tblLook w:val="0000"/>
      </w:tblPr>
      <w:tblGrid>
        <w:gridCol w:w="4680"/>
        <w:gridCol w:w="4680"/>
      </w:tblGrid>
      <w:tr w14:paraId="6A8F53CE" w14:textId="77777777">
        <w:tblPrEx>
          <w:tblW w:w="0" w:type="auto"/>
          <w:tblLayout w:type="fixed"/>
          <w:tblLook w:val="0000"/>
        </w:tblPrEx>
        <w:tc>
          <w:tcPr>
            <w:tcW w:w="4680" w:type="dxa"/>
            <w:tcBorders>
              <w:bottom w:val="single" w:sz="4" w:space="0" w:color="auto"/>
              <w:right w:val="single" w:sz="4" w:space="0" w:color="auto"/>
            </w:tcBorders>
            <w:shd w:val="clear" w:color="auto" w:fill="auto"/>
          </w:tcPr>
          <w:p w:rsidR="00A565AC" w:rsidP="00B32299" w14:paraId="0D3808BD" w14:textId="313FF0BC">
            <w:pPr>
              <w:tabs>
                <w:tab w:val="left" w:pos="610"/>
              </w:tabs>
              <w:ind w:firstLine="0"/>
            </w:pPr>
            <w:r>
              <w:t>In re</w:t>
            </w:r>
          </w:p>
          <w:p w:rsidR="00737B68" w:rsidRPr="005D3D64" w:rsidP="00CB3B15" w14:paraId="0E0C9D3C" w14:textId="2ADCE334">
            <w:pPr>
              <w:tabs>
                <w:tab w:val="left" w:pos="610"/>
              </w:tabs>
              <w:spacing w:line="240" w:lineRule="auto"/>
              <w:ind w:firstLine="0"/>
            </w:pPr>
            <w:r>
              <w:t>ROPATI AFATIA SEUMANU</w:t>
            </w:r>
            <w:r w:rsidRPr="005D3D64" w:rsidR="00FC250E">
              <w:t>,</w:t>
            </w:r>
          </w:p>
          <w:p w:rsidR="00737B68" w:rsidRPr="005D3D64" w:rsidP="00CB3B15" w14:paraId="14F8ADB0" w14:textId="7A34D1CD">
            <w:pPr>
              <w:tabs>
                <w:tab w:val="left" w:pos="610"/>
              </w:tabs>
              <w:spacing w:before="120" w:after="240" w:line="240" w:lineRule="auto"/>
              <w:ind w:firstLine="0"/>
            </w:pPr>
            <w:r w:rsidRPr="005D3D64">
              <w:tab/>
            </w:r>
            <w:r w:rsidR="00D41EE3">
              <w:t>On Habeas Corpus</w:t>
            </w:r>
            <w:r w:rsidRPr="005D3D64">
              <w:t>.</w:t>
            </w:r>
          </w:p>
        </w:tc>
        <w:tc>
          <w:tcPr>
            <w:tcW w:w="4680" w:type="dxa"/>
            <w:tcBorders>
              <w:left w:val="single" w:sz="4" w:space="0" w:color="auto"/>
            </w:tcBorders>
            <w:shd w:val="clear" w:color="auto" w:fill="auto"/>
          </w:tcPr>
          <w:p w:rsidR="00737B68" w:rsidRPr="005D3D64" w:rsidP="00E7127E" w14:paraId="232BF6D5" w14:textId="77777777">
            <w:pPr>
              <w:spacing w:after="120" w:line="240" w:lineRule="auto"/>
              <w:ind w:firstLine="0"/>
            </w:pPr>
          </w:p>
          <w:p w:rsidR="00737B68" w:rsidRPr="005D3D64" w:rsidP="00AF290D" w14:paraId="68A8FE34" w14:textId="586309B8">
            <w:pPr>
              <w:tabs>
                <w:tab w:val="left" w:pos="346"/>
              </w:tabs>
              <w:spacing w:after="240" w:line="240" w:lineRule="auto"/>
              <w:ind w:firstLine="0"/>
            </w:pPr>
            <w:r w:rsidRPr="005D3D64">
              <w:tab/>
            </w:r>
            <w:r w:rsidRPr="005D3D64" w:rsidR="00FC250E">
              <w:t>A</w:t>
            </w:r>
            <w:r w:rsidRPr="005D3D64" w:rsidR="00AC47F7">
              <w:t>1</w:t>
            </w:r>
            <w:r w:rsidR="00F33FE8">
              <w:t>6</w:t>
            </w:r>
            <w:r w:rsidR="00817E42">
              <w:t>9146</w:t>
            </w:r>
          </w:p>
          <w:p w:rsidR="00AF290D" w:rsidRPr="005D3D64" w:rsidP="00AF290D" w14:paraId="06597BB3" w14:textId="4D4D531B">
            <w:pPr>
              <w:tabs>
                <w:tab w:val="left" w:pos="346"/>
              </w:tabs>
              <w:spacing w:line="240" w:lineRule="auto"/>
              <w:ind w:firstLine="0"/>
            </w:pPr>
            <w:r w:rsidRPr="005D3D64">
              <w:tab/>
              <w:t>(</w:t>
            </w:r>
            <w:r w:rsidR="00817E42">
              <w:t>Alameda</w:t>
            </w:r>
            <w:r w:rsidR="00F33FE8">
              <w:t xml:space="preserve"> </w:t>
            </w:r>
            <w:r w:rsidRPr="005D3D64" w:rsidR="009D4144">
              <w:t>County Super</w:t>
            </w:r>
            <w:r w:rsidRPr="005D3D64" w:rsidR="003E3477">
              <w:t>.</w:t>
            </w:r>
            <w:r w:rsidRPr="005D3D64" w:rsidR="009D4144">
              <w:t xml:space="preserve"> C</w:t>
            </w:r>
            <w:r w:rsidRPr="005D3D64" w:rsidR="003E3477">
              <w:t>t.</w:t>
            </w:r>
          </w:p>
          <w:p w:rsidR="00737B68" w:rsidP="00AF290D" w14:paraId="748935DA" w14:textId="74A4BE7D">
            <w:pPr>
              <w:tabs>
                <w:tab w:val="left" w:pos="346"/>
              </w:tabs>
              <w:spacing w:line="240" w:lineRule="auto"/>
              <w:ind w:firstLine="0"/>
            </w:pPr>
            <w:r w:rsidRPr="005D3D64">
              <w:tab/>
            </w:r>
            <w:r w:rsidRPr="005D3D64" w:rsidR="009D4144">
              <w:t>No</w:t>
            </w:r>
            <w:r w:rsidR="00FF5213">
              <w:t>s</w:t>
            </w:r>
            <w:r w:rsidRPr="005D3D64" w:rsidR="009D4144">
              <w:t>.</w:t>
            </w:r>
            <w:r w:rsidRPr="005D3D64" w:rsidR="000072F4">
              <w:t> </w:t>
            </w:r>
            <w:r w:rsidR="00FF5213">
              <w:t>HCH</w:t>
            </w:r>
            <w:r w:rsidR="00A96FC6">
              <w:t>24057A1, H24057A</w:t>
            </w:r>
            <w:r w:rsidRPr="005D3D64">
              <w:t>)</w:t>
            </w:r>
          </w:p>
          <w:p w:rsidR="00737B68" w:rsidRPr="005D3D64" w:rsidP="00E7127E" w14:paraId="1835FF49" w14:textId="7E324902">
            <w:pPr>
              <w:tabs>
                <w:tab w:val="left" w:pos="346"/>
              </w:tabs>
              <w:spacing w:line="240" w:lineRule="auto"/>
              <w:ind w:firstLine="0"/>
            </w:pPr>
          </w:p>
        </w:tc>
      </w:tr>
    </w:tbl>
    <w:p w:rsidR="00AA3687" w:rsidP="008E3767" w14:paraId="230C4C88" w14:textId="77777777">
      <w:pPr>
        <w:shd w:val="clear" w:color="auto" w:fill="FFFFFF"/>
        <w:ind w:firstLine="0"/>
      </w:pPr>
    </w:p>
    <w:p w:rsidR="0041645F" w:rsidP="0041645F" w14:paraId="3385FF52" w14:textId="125DB0F1">
      <w:pPr>
        <w:shd w:val="clear" w:color="auto" w:fill="FFFFFF"/>
        <w:ind w:firstLine="630"/>
      </w:pPr>
      <w:r>
        <w:t xml:space="preserve">Following the </w:t>
      </w:r>
      <w:r w:rsidR="00950C8F">
        <w:t xml:space="preserve">superior court’s </w:t>
      </w:r>
      <w:r>
        <w:t xml:space="preserve">dismissal of a petition for habeas corpus relief in </w:t>
      </w:r>
      <w:r w:rsidR="00964B4C">
        <w:t>this</w:t>
      </w:r>
      <w:r>
        <w:t xml:space="preserve"> capital case, </w:t>
      </w:r>
      <w:r w:rsidR="00ED4D89">
        <w:t>petitioner</w:t>
      </w:r>
      <w:r>
        <w:t xml:space="preserve"> Ropati Afatia Seumanu </w:t>
      </w:r>
      <w:r w:rsidR="003F039E">
        <w:t xml:space="preserve">filed </w:t>
      </w:r>
      <w:r>
        <w:t>a notice of appeal and asked that we issue a certificate of appealability (COA) under Penal Code</w:t>
      </w:r>
      <w:r>
        <w:rPr>
          <w:rStyle w:val="FootnoteReference"/>
        </w:rPr>
        <w:footnoteReference w:id="3"/>
      </w:r>
      <w:r>
        <w:t xml:space="preserve"> section 1509.1</w:t>
      </w:r>
      <w:r w:rsidR="008771DB">
        <w:t xml:space="preserve">, subdivision </w:t>
      </w:r>
      <w:r>
        <w:t>(c)</w:t>
      </w:r>
      <w:r w:rsidR="00B62894">
        <w:t xml:space="preserve"> (section 1509.1</w:t>
      </w:r>
      <w:r w:rsidR="00123E70">
        <w:t>(c))</w:t>
      </w:r>
      <w:r>
        <w:t xml:space="preserve">.  </w:t>
      </w:r>
      <w:r w:rsidR="008542E5">
        <w:t xml:space="preserve">For the reasons explained below, we </w:t>
      </w:r>
      <w:r w:rsidR="00630D21">
        <w:t xml:space="preserve">will </w:t>
      </w:r>
      <w:r w:rsidR="008542E5">
        <w:t xml:space="preserve">issue a COA on one of </w:t>
      </w:r>
      <w:r w:rsidR="00D7334B">
        <w:t>nine</w:t>
      </w:r>
      <w:r w:rsidR="008542E5">
        <w:t xml:space="preserve"> claims </w:t>
      </w:r>
      <w:r w:rsidR="00BB7617">
        <w:t xml:space="preserve">in </w:t>
      </w:r>
      <w:r w:rsidR="00EA1A7C">
        <w:t>Seumanu’s</w:t>
      </w:r>
      <w:r w:rsidR="00BB7617">
        <w:t xml:space="preserve"> petition but</w:t>
      </w:r>
      <w:r w:rsidR="00DA7F99">
        <w:t xml:space="preserve"> </w:t>
      </w:r>
      <w:r w:rsidR="008D40BE">
        <w:t xml:space="preserve">will </w:t>
      </w:r>
      <w:r w:rsidR="0015380C">
        <w:t xml:space="preserve">decline </w:t>
      </w:r>
      <w:r w:rsidR="00AB0DE2">
        <w:t>to do so as to the rema</w:t>
      </w:r>
      <w:r w:rsidR="008D40BE">
        <w:t>i</w:t>
      </w:r>
      <w:r w:rsidR="00A90945">
        <w:t>nder of</w:t>
      </w:r>
      <w:r w:rsidR="00EE30DF">
        <w:t xml:space="preserve"> </w:t>
      </w:r>
      <w:r w:rsidR="009031F0">
        <w:t>his</w:t>
      </w:r>
      <w:r w:rsidR="00F26CDE">
        <w:t xml:space="preserve"> claims.</w:t>
      </w:r>
    </w:p>
    <w:p w:rsidR="00475D10" w:rsidP="0041645F" w14:paraId="7B2940D1" w14:textId="0BCA3BAA">
      <w:pPr>
        <w:shd w:val="clear" w:color="auto" w:fill="FFFFFF"/>
        <w:ind w:firstLine="630"/>
      </w:pPr>
      <w:r>
        <w:t xml:space="preserve">Although </w:t>
      </w:r>
      <w:r w:rsidR="009031F0">
        <w:t>this</w:t>
      </w:r>
      <w:r>
        <w:t xml:space="preserve"> COA request is</w:t>
      </w:r>
      <w:r w:rsidR="0030370C">
        <w:t xml:space="preserve"> simply</w:t>
      </w:r>
      <w:r>
        <w:t xml:space="preserve"> a motion—something we </w:t>
      </w:r>
      <w:r w:rsidR="00FE1C06">
        <w:t xml:space="preserve">may </w:t>
      </w:r>
      <w:r>
        <w:t xml:space="preserve">resolve summarily, </w:t>
      </w:r>
      <w:r>
        <w:rPr>
          <w:rFonts w:eastAsia="Times New Roman" w:cs="Times New Roman"/>
          <w:color w:val="000000"/>
        </w:rPr>
        <w:t xml:space="preserve">since </w:t>
      </w:r>
      <w:r w:rsidR="004A6993">
        <w:rPr>
          <w:rFonts w:eastAsia="Times New Roman" w:cs="Times New Roman"/>
          <w:color w:val="000000"/>
        </w:rPr>
        <w:t>we are not called up</w:t>
      </w:r>
      <w:r w:rsidR="004C416C">
        <w:rPr>
          <w:rFonts w:eastAsia="Times New Roman" w:cs="Times New Roman"/>
          <w:color w:val="000000"/>
        </w:rPr>
        <w:t>on to make a</w:t>
      </w:r>
      <w:r>
        <w:rPr>
          <w:rFonts w:eastAsia="Times New Roman" w:cs="Times New Roman"/>
          <w:color w:val="000000"/>
        </w:rPr>
        <w:t xml:space="preserve"> decision on the merits of an appeal</w:t>
      </w:r>
      <w:r>
        <w:t xml:space="preserve">—we publish this opinion because of the relative dearth of published </w:t>
      </w:r>
      <w:r w:rsidR="00C10AA1">
        <w:t>case law</w:t>
      </w:r>
      <w:r>
        <w:t xml:space="preserve"> applying our Supreme Court’s holdings in </w:t>
      </w:r>
      <w:r>
        <w:rPr>
          <w:rFonts w:eastAsia="Times New Roman" w:cs="Times New Roman"/>
          <w:i/>
          <w:iCs/>
          <w:color w:val="3D3D3D"/>
          <w:bdr w:val="none" w:sz="0" w:space="0" w:color="auto" w:frame="1"/>
        </w:rPr>
        <w:t>Briggs v. Brown</w:t>
      </w:r>
      <w:r>
        <w:rPr>
          <w:rFonts w:eastAsia="Times New Roman" w:cs="Times New Roman"/>
          <w:color w:val="000000"/>
        </w:rPr>
        <w:t xml:space="preserve"> (2017) 3</w:t>
      </w:r>
      <w:r w:rsidR="002431E7">
        <w:rPr>
          <w:rFonts w:eastAsia="Times New Roman" w:cs="Times New Roman"/>
          <w:color w:val="000000"/>
        </w:rPr>
        <w:t> </w:t>
      </w:r>
      <w:r>
        <w:rPr>
          <w:rFonts w:eastAsia="Times New Roman" w:cs="Times New Roman"/>
          <w:color w:val="000000"/>
        </w:rPr>
        <w:t>Cal.5th 808, 825 (</w:t>
      </w:r>
      <w:r>
        <w:rPr>
          <w:rFonts w:eastAsia="Times New Roman" w:cs="Times New Roman"/>
          <w:i/>
          <w:iCs/>
          <w:color w:val="000000"/>
        </w:rPr>
        <w:t>Briggs</w:t>
      </w:r>
      <w:r>
        <w:rPr>
          <w:rFonts w:eastAsia="Times New Roman" w:cs="Times New Roman"/>
          <w:color w:val="000000"/>
        </w:rPr>
        <w:t xml:space="preserve">) and </w:t>
      </w:r>
      <w:r>
        <w:rPr>
          <w:i/>
          <w:iCs/>
        </w:rPr>
        <w:t>In re Friend</w:t>
      </w:r>
      <w:r>
        <w:t xml:space="preserve"> (2021) 11</w:t>
      </w:r>
      <w:r w:rsidR="00ED4771">
        <w:t> </w:t>
      </w:r>
      <w:r>
        <w:t xml:space="preserve">Cal.5th 720 </w:t>
      </w:r>
      <w:r>
        <w:t>(</w:t>
      </w:r>
      <w:r>
        <w:rPr>
          <w:i/>
          <w:iCs/>
        </w:rPr>
        <w:t>Friend I</w:t>
      </w:r>
      <w:r>
        <w:t>)</w:t>
      </w:r>
      <w:r w:rsidR="002527A9">
        <w:t xml:space="preserve"> and to provide some guidance as to how COA requests under 1509.1(c) should be handled</w:t>
      </w:r>
      <w:r w:rsidR="00241643">
        <w:t xml:space="preserve"> more generally</w:t>
      </w:r>
      <w:r w:rsidR="002527A9">
        <w:t xml:space="preserve">. </w:t>
      </w:r>
    </w:p>
    <w:p w:rsidR="002F544A" w:rsidP="0041645F" w14:paraId="7DEE56D2" w14:textId="206DA405">
      <w:pPr>
        <w:shd w:val="clear" w:color="auto" w:fill="FFFFFF"/>
        <w:ind w:firstLine="630"/>
      </w:pPr>
      <w:r>
        <w:t xml:space="preserve">In the course of </w:t>
      </w:r>
      <w:r w:rsidR="005C416F">
        <w:t xml:space="preserve">the </w:t>
      </w:r>
      <w:r w:rsidR="006C0273">
        <w:t>opinion</w:t>
      </w:r>
      <w:r w:rsidR="009C129B">
        <w:t xml:space="preserve">, we </w:t>
      </w:r>
      <w:r w:rsidR="00BE0F35">
        <w:t xml:space="preserve">address </w:t>
      </w:r>
      <w:r w:rsidR="00386E83">
        <w:t>t</w:t>
      </w:r>
      <w:r w:rsidR="00834D82">
        <w:t>hree</w:t>
      </w:r>
      <w:r w:rsidR="00386E83">
        <w:t xml:space="preserve"> issues of first impression</w:t>
      </w:r>
      <w:r w:rsidR="00A8308A">
        <w:t xml:space="preserve">: </w:t>
      </w:r>
      <w:r w:rsidR="005859F4">
        <w:t xml:space="preserve"> </w:t>
      </w:r>
      <w:r w:rsidR="00A8308A">
        <w:t>(1)</w:t>
      </w:r>
      <w:r w:rsidR="002431E7">
        <w:t> </w:t>
      </w:r>
      <w:r w:rsidR="00CB2F9F">
        <w:t xml:space="preserve">Is the 10-day time limit </w:t>
      </w:r>
      <w:r w:rsidR="00BD507B">
        <w:t xml:space="preserve">in section 1509.1(c) </w:t>
      </w:r>
      <w:r w:rsidR="00CB2F9F">
        <w:t xml:space="preserve">for the grant or denial of COA requests in the </w:t>
      </w:r>
      <w:r w:rsidR="004A0DBB">
        <w:t>C</w:t>
      </w:r>
      <w:r w:rsidR="00CB2F9F">
        <w:t xml:space="preserve">ourt of </w:t>
      </w:r>
      <w:r w:rsidR="004A0DBB">
        <w:t>A</w:t>
      </w:r>
      <w:r w:rsidR="00CB2F9F">
        <w:t>ppeal mandatory or directory</w:t>
      </w:r>
      <w:r w:rsidR="00F6661C">
        <w:t xml:space="preserve">?  </w:t>
      </w:r>
      <w:r w:rsidR="00834D82">
        <w:t>(</w:t>
      </w:r>
      <w:r w:rsidR="00A205E4">
        <w:t>2</w:t>
      </w:r>
      <w:r w:rsidR="00834D82">
        <w:t>)</w:t>
      </w:r>
      <w:r w:rsidR="00BE711E">
        <w:t> </w:t>
      </w:r>
      <w:r w:rsidR="003F2404">
        <w:t>How strong a showing must a COA applicant make to meet the “</w:t>
      </w:r>
      <w:r w:rsidR="002B4A99">
        <w:t xml:space="preserve">substantial </w:t>
      </w:r>
      <w:r w:rsidR="005D7599">
        <w:t>claim for relie</w:t>
      </w:r>
      <w:r w:rsidRPr="00B04342" w:rsidR="005D7599">
        <w:rPr>
          <w:spacing w:val="20"/>
        </w:rPr>
        <w:t>f”</w:t>
      </w:r>
      <w:r w:rsidR="005D7599">
        <w:t xml:space="preserve"> test in section</w:t>
      </w:r>
      <w:r w:rsidR="00DF0B08">
        <w:t xml:space="preserve"> </w:t>
      </w:r>
      <w:r w:rsidR="00B77F07">
        <w:t xml:space="preserve">1509.1(c)? </w:t>
      </w:r>
      <w:r>
        <w:t xml:space="preserve"> </w:t>
      </w:r>
      <w:r w:rsidR="00F6661C">
        <w:t>And (</w:t>
      </w:r>
      <w:r>
        <w:t>3</w:t>
      </w:r>
      <w:r w:rsidR="00F6661C">
        <w:t>)</w:t>
      </w:r>
      <w:r w:rsidR="00BE711E">
        <w:t> </w:t>
      </w:r>
      <w:r w:rsidR="001F1268">
        <w:t>i</w:t>
      </w:r>
      <w:r w:rsidR="00F6661C">
        <w:t>s an as</w:t>
      </w:r>
      <w:r w:rsidR="000A7B67">
        <w:t>-</w:t>
      </w:r>
      <w:r w:rsidR="00F6661C">
        <w:t>applied attack on the constitutionality of section 1509</w:t>
      </w:r>
      <w:r w:rsidR="00957E88">
        <w:t xml:space="preserve">, subdivision </w:t>
      </w:r>
      <w:r w:rsidR="00F6661C">
        <w:t xml:space="preserve">(d) </w:t>
      </w:r>
      <w:r w:rsidR="003B47B1">
        <w:t>(section 1509(d))</w:t>
      </w:r>
      <w:r w:rsidR="00F6661C">
        <w:t xml:space="preserve"> appealable under section 1509</w:t>
      </w:r>
      <w:r w:rsidR="003A1FF2">
        <w:t xml:space="preserve">.1(c)?  </w:t>
      </w:r>
    </w:p>
    <w:p w:rsidR="00ED6CAB" w:rsidP="0041645F" w14:paraId="1C18E6C5" w14:textId="565F421E">
      <w:pPr>
        <w:shd w:val="clear" w:color="auto" w:fill="FFFFFF"/>
        <w:ind w:firstLine="630"/>
      </w:pPr>
      <w:r>
        <w:t xml:space="preserve">We </w:t>
      </w:r>
      <w:r w:rsidR="006B7A44">
        <w:t xml:space="preserve">answer those </w:t>
      </w:r>
      <w:r w:rsidR="008956D0">
        <w:t>t</w:t>
      </w:r>
      <w:r w:rsidR="000F3B51">
        <w:t xml:space="preserve">hree </w:t>
      </w:r>
      <w:r w:rsidR="00690A6A">
        <w:t>questions</w:t>
      </w:r>
      <w:r>
        <w:t xml:space="preserve"> as follows: </w:t>
      </w:r>
      <w:r w:rsidR="002F544A">
        <w:t>(1)</w:t>
      </w:r>
      <w:r w:rsidR="00280592">
        <w:t> </w:t>
      </w:r>
      <w:r w:rsidR="00D1226C">
        <w:t xml:space="preserve">section 1509.1(c) </w:t>
      </w:r>
      <w:r w:rsidR="00BD5834">
        <w:t xml:space="preserve">sets no mandatory deadline for </w:t>
      </w:r>
      <w:r w:rsidR="00271CAB">
        <w:t>granting or denying COA requests</w:t>
      </w:r>
      <w:r w:rsidR="00CC55C6">
        <w:t xml:space="preserve">, </w:t>
      </w:r>
      <w:r w:rsidR="00114F2E">
        <w:t>(2)</w:t>
      </w:r>
      <w:r w:rsidR="008B689F">
        <w:t> </w:t>
      </w:r>
      <w:r w:rsidR="00DD3308">
        <w:t>a “substantial claim to relie</w:t>
      </w:r>
      <w:r w:rsidRPr="00155080" w:rsidR="00DD3308">
        <w:rPr>
          <w:spacing w:val="20"/>
        </w:rPr>
        <w:t>f</w:t>
      </w:r>
      <w:r w:rsidRPr="008F3FFE" w:rsidR="00DD3308">
        <w:t>”</w:t>
      </w:r>
      <w:r w:rsidRPr="008F3FFE" w:rsidR="004A4EF1">
        <w:t xml:space="preserve"> </w:t>
      </w:r>
      <w:r w:rsidR="00DD3308">
        <w:t xml:space="preserve">under section </w:t>
      </w:r>
      <w:r w:rsidR="0083569B">
        <w:t xml:space="preserve">1509.1(c) </w:t>
      </w:r>
      <w:r w:rsidR="003E3430">
        <w:t>requires a showing</w:t>
      </w:r>
      <w:r w:rsidR="00DD3308">
        <w:t xml:space="preserve"> </w:t>
      </w:r>
      <w:r w:rsidR="00CE1FC2">
        <w:t xml:space="preserve">strong enough for reasonable jurists to debate whether </w:t>
      </w:r>
      <w:r w:rsidR="007A7681">
        <w:t xml:space="preserve">the trial court erred and thus that justifies </w:t>
      </w:r>
      <w:r w:rsidR="008E379F">
        <w:t xml:space="preserve">allowing the appeal to proceed to </w:t>
      </w:r>
      <w:r w:rsidR="00F62B87">
        <w:t>decision on the merits</w:t>
      </w:r>
      <w:r w:rsidR="00705BDB">
        <w:t>, and (3)</w:t>
      </w:r>
      <w:r w:rsidR="008B689F">
        <w:t> </w:t>
      </w:r>
      <w:r w:rsidR="001E24EC">
        <w:t>as</w:t>
      </w:r>
      <w:r w:rsidR="000A7B67">
        <w:t>-</w:t>
      </w:r>
      <w:r w:rsidR="001E24EC">
        <w:t xml:space="preserve">applied attacks on the </w:t>
      </w:r>
      <w:r w:rsidR="00744426">
        <w:t xml:space="preserve">constitutionality </w:t>
      </w:r>
      <w:r w:rsidR="001E24EC">
        <w:t>of section 1509(d) are appealable under section 1509.1(c).</w:t>
      </w:r>
    </w:p>
    <w:p w:rsidR="00ED6CAB" w:rsidP="00ED6CAB" w14:paraId="0B81BF49" w14:textId="1EF0C4AA">
      <w:pPr>
        <w:shd w:val="clear" w:color="auto" w:fill="FFFFFF"/>
        <w:ind w:firstLine="630"/>
        <w:rPr>
          <w:color w:val="000000"/>
        </w:rPr>
      </w:pPr>
      <w:r>
        <w:rPr>
          <w:color w:val="000000"/>
        </w:rPr>
        <w:t xml:space="preserve">We also address the </w:t>
      </w:r>
      <w:r w:rsidR="00F87410">
        <w:rPr>
          <w:color w:val="000000"/>
        </w:rPr>
        <w:t xml:space="preserve">requirement that </w:t>
      </w:r>
      <w:r w:rsidR="001100BB">
        <w:rPr>
          <w:color w:val="000000"/>
        </w:rPr>
        <w:t xml:space="preserve">a </w:t>
      </w:r>
      <w:r>
        <w:rPr>
          <w:color w:val="000000"/>
        </w:rPr>
        <w:t xml:space="preserve">COA </w:t>
      </w:r>
      <w:r w:rsidR="00D966A6">
        <w:rPr>
          <w:color w:val="000000"/>
        </w:rPr>
        <w:t>applicant</w:t>
      </w:r>
      <w:r>
        <w:rPr>
          <w:color w:val="000000"/>
        </w:rPr>
        <w:t xml:space="preserve"> under section 1</w:t>
      </w:r>
      <w:r w:rsidR="003F1F41">
        <w:rPr>
          <w:color w:val="000000"/>
        </w:rPr>
        <w:t>5</w:t>
      </w:r>
      <w:r>
        <w:rPr>
          <w:color w:val="000000"/>
        </w:rPr>
        <w:t>0</w:t>
      </w:r>
      <w:r w:rsidR="003F1F41">
        <w:rPr>
          <w:color w:val="000000"/>
        </w:rPr>
        <w:t>9</w:t>
      </w:r>
      <w:r>
        <w:rPr>
          <w:color w:val="000000"/>
        </w:rPr>
        <w:t>.1(c</w:t>
      </w:r>
      <w:r w:rsidR="00161CA6">
        <w:rPr>
          <w:color w:val="000000"/>
        </w:rPr>
        <w:t xml:space="preserve">) </w:t>
      </w:r>
      <w:r w:rsidR="00BC5878">
        <w:rPr>
          <w:color w:val="000000"/>
        </w:rPr>
        <w:t>provide an adequate record for review</w:t>
      </w:r>
      <w:r>
        <w:rPr>
          <w:color w:val="000000"/>
        </w:rPr>
        <w:t xml:space="preserve">.  </w:t>
      </w:r>
      <w:r w:rsidR="00506014">
        <w:rPr>
          <w:color w:val="000000"/>
        </w:rPr>
        <w:t>Several of Se</w:t>
      </w:r>
      <w:r w:rsidR="002527A9">
        <w:rPr>
          <w:color w:val="000000"/>
        </w:rPr>
        <w:t>u</w:t>
      </w:r>
      <w:r w:rsidR="00506014">
        <w:rPr>
          <w:color w:val="000000"/>
        </w:rPr>
        <w:t xml:space="preserve">manu’s </w:t>
      </w:r>
      <w:r w:rsidR="00B6338D">
        <w:rPr>
          <w:color w:val="000000"/>
        </w:rPr>
        <w:t>claims fail to wa</w:t>
      </w:r>
      <w:r w:rsidR="003563C2">
        <w:rPr>
          <w:color w:val="000000"/>
        </w:rPr>
        <w:t xml:space="preserve">rrant issuance of a </w:t>
      </w:r>
      <w:r w:rsidR="00535194">
        <w:rPr>
          <w:color w:val="000000"/>
        </w:rPr>
        <w:t xml:space="preserve">COA on that ground.  </w:t>
      </w:r>
      <w:r w:rsidR="00346FEC">
        <w:rPr>
          <w:color w:val="000000"/>
        </w:rPr>
        <w:t>N</w:t>
      </w:r>
      <w:r w:rsidR="00B83B4F">
        <w:rPr>
          <w:color w:val="000000"/>
        </w:rPr>
        <w:t>early two years ago</w:t>
      </w:r>
      <w:r w:rsidR="00535194">
        <w:rPr>
          <w:color w:val="000000"/>
        </w:rPr>
        <w:t>,</w:t>
      </w:r>
      <w:r w:rsidR="009B3FC9">
        <w:rPr>
          <w:color w:val="000000"/>
        </w:rPr>
        <w:t xml:space="preserve"> the decision in</w:t>
      </w:r>
      <w:r w:rsidR="00B83B4F">
        <w:rPr>
          <w:color w:val="000000"/>
        </w:rPr>
        <w:t xml:space="preserve"> </w:t>
      </w:r>
      <w:r w:rsidRPr="00A31BBD" w:rsidR="00A31BBD">
        <w:rPr>
          <w:i/>
          <w:iCs/>
          <w:color w:val="000000"/>
        </w:rPr>
        <w:t>In re</w:t>
      </w:r>
      <w:r>
        <w:rPr>
          <w:color w:val="000000"/>
        </w:rPr>
        <w:t xml:space="preserve"> </w:t>
      </w:r>
      <w:r>
        <w:rPr>
          <w:i/>
          <w:iCs/>
          <w:color w:val="000000"/>
        </w:rPr>
        <w:t xml:space="preserve">Friend </w:t>
      </w:r>
      <w:r>
        <w:rPr>
          <w:color w:val="000000"/>
        </w:rPr>
        <w:t>(2022) 76 Cal.App.5th 623, 639 (</w:t>
      </w:r>
      <w:r>
        <w:rPr>
          <w:i/>
          <w:iCs/>
          <w:color w:val="000000"/>
        </w:rPr>
        <w:t>Friend II</w:t>
      </w:r>
      <w:r>
        <w:rPr>
          <w:color w:val="000000"/>
        </w:rPr>
        <w:t xml:space="preserve">) </w:t>
      </w:r>
      <w:r w:rsidR="007200DC">
        <w:rPr>
          <w:color w:val="000000"/>
        </w:rPr>
        <w:t xml:space="preserve">made clear that COA applicants must </w:t>
      </w:r>
      <w:r w:rsidR="00FD129C">
        <w:rPr>
          <w:color w:val="000000"/>
        </w:rPr>
        <w:t xml:space="preserve">provide a </w:t>
      </w:r>
      <w:r w:rsidR="00735F26">
        <w:rPr>
          <w:color w:val="000000"/>
        </w:rPr>
        <w:t xml:space="preserve">record </w:t>
      </w:r>
      <w:r w:rsidR="00D966A6">
        <w:rPr>
          <w:color w:val="000000"/>
        </w:rPr>
        <w:t xml:space="preserve">sufficient to </w:t>
      </w:r>
      <w:r w:rsidR="00137662">
        <w:rPr>
          <w:color w:val="000000"/>
        </w:rPr>
        <w:t xml:space="preserve">test </w:t>
      </w:r>
      <w:r w:rsidR="00933745">
        <w:rPr>
          <w:color w:val="000000"/>
        </w:rPr>
        <w:t xml:space="preserve">allegations of ineffective assistance of counsel </w:t>
      </w:r>
      <w:r w:rsidR="00A20FD6">
        <w:rPr>
          <w:color w:val="000000"/>
        </w:rPr>
        <w:t xml:space="preserve">under the demanding standards that apply in this context. </w:t>
      </w:r>
      <w:r w:rsidR="0078106C">
        <w:rPr>
          <w:color w:val="000000"/>
        </w:rPr>
        <w:t xml:space="preserve"> W</w:t>
      </w:r>
      <w:r>
        <w:rPr>
          <w:color w:val="000000"/>
        </w:rPr>
        <w:t xml:space="preserve">e reiterate </w:t>
      </w:r>
      <w:r w:rsidR="003563C2">
        <w:rPr>
          <w:color w:val="000000"/>
        </w:rPr>
        <w:t>and in some respects</w:t>
      </w:r>
      <w:r>
        <w:rPr>
          <w:color w:val="000000"/>
        </w:rPr>
        <w:t xml:space="preserve"> expound upon what our colleagues in </w:t>
      </w:r>
      <w:r>
        <w:rPr>
          <w:i/>
          <w:iCs/>
          <w:color w:val="000000"/>
        </w:rPr>
        <w:t>Friend II</w:t>
      </w:r>
      <w:r>
        <w:rPr>
          <w:color w:val="000000"/>
        </w:rPr>
        <w:t xml:space="preserve"> had to say on that issue.</w:t>
      </w:r>
      <w:r w:rsidR="0094074F">
        <w:rPr>
          <w:color w:val="000000"/>
        </w:rPr>
        <w:t xml:space="preserve"> </w:t>
      </w:r>
    </w:p>
    <w:p w:rsidR="0041645F" w:rsidP="0041645F" w14:paraId="4CE04EFA" w14:textId="0B53CF31">
      <w:pPr>
        <w:shd w:val="clear" w:color="auto" w:fill="FFFFFF"/>
        <w:ind w:firstLine="630"/>
      </w:pPr>
      <w:r>
        <w:rPr>
          <w:color w:val="000000"/>
        </w:rPr>
        <w:t xml:space="preserve">Finally, </w:t>
      </w:r>
      <w:r w:rsidR="00AF7A47">
        <w:rPr>
          <w:color w:val="000000"/>
        </w:rPr>
        <w:t>i</w:t>
      </w:r>
      <w:r w:rsidR="00ED6CAB">
        <w:rPr>
          <w:color w:val="000000"/>
        </w:rPr>
        <w:t>n a rare but not unknown three-judge concurrence (see</w:t>
      </w:r>
      <w:r w:rsidR="00270375">
        <w:rPr>
          <w:color w:val="000000"/>
        </w:rPr>
        <w:t>,</w:t>
      </w:r>
      <w:r w:rsidR="00ED6CAB">
        <w:rPr>
          <w:color w:val="000000"/>
        </w:rPr>
        <w:t xml:space="preserve"> e.g.</w:t>
      </w:r>
      <w:r w:rsidR="00270375">
        <w:rPr>
          <w:color w:val="000000"/>
        </w:rPr>
        <w:t>,</w:t>
      </w:r>
      <w:r w:rsidR="00ED6CAB">
        <w:rPr>
          <w:color w:val="000000"/>
        </w:rPr>
        <w:t xml:space="preserve"> </w:t>
      </w:r>
      <w:r w:rsidR="00ED6CAB">
        <w:rPr>
          <w:i/>
          <w:iCs/>
          <w:color w:val="3D3D3D"/>
          <w:bdr w:val="none" w:sz="0" w:space="0" w:color="auto" w:frame="1"/>
        </w:rPr>
        <w:t>People v. Nguyen</w:t>
      </w:r>
      <w:r w:rsidR="00ED6CAB">
        <w:rPr>
          <w:color w:val="000000"/>
        </w:rPr>
        <w:t xml:space="preserve"> (2017) 12</w:t>
      </w:r>
      <w:r w:rsidR="00752FED">
        <w:rPr>
          <w:color w:val="000000"/>
        </w:rPr>
        <w:t> </w:t>
      </w:r>
      <w:r w:rsidR="00ED6CAB">
        <w:rPr>
          <w:color w:val="000000"/>
        </w:rPr>
        <w:t>Cal.App.5th 44, 49</w:t>
      </w:r>
      <w:r w:rsidR="00E351E5">
        <w:rPr>
          <w:rFonts w:eastAsia="Times New Roman" w:cs="Arial"/>
          <w:color w:val="000000"/>
        </w:rPr>
        <w:t>–</w:t>
      </w:r>
      <w:r w:rsidR="00ED6CAB">
        <w:rPr>
          <w:color w:val="000000"/>
        </w:rPr>
        <w:t xml:space="preserve">51) (conc. opn. of Bedsworth, J.), we add some </w:t>
      </w:r>
      <w:r w:rsidR="00DF6D4F">
        <w:rPr>
          <w:color w:val="000000"/>
        </w:rPr>
        <w:t xml:space="preserve">additional </w:t>
      </w:r>
      <w:r w:rsidR="00ED6CAB">
        <w:rPr>
          <w:color w:val="000000"/>
        </w:rPr>
        <w:t xml:space="preserve">observations about the applicant’s burden to provide </w:t>
      </w:r>
      <w:r w:rsidR="00C15328">
        <w:rPr>
          <w:color w:val="000000"/>
        </w:rPr>
        <w:t xml:space="preserve">adequate </w:t>
      </w:r>
      <w:r w:rsidR="00ED6CAB">
        <w:rPr>
          <w:color w:val="000000"/>
        </w:rPr>
        <w:t>record materials</w:t>
      </w:r>
      <w:r w:rsidR="00C15328">
        <w:rPr>
          <w:color w:val="000000"/>
        </w:rPr>
        <w:t xml:space="preserve">.  </w:t>
      </w:r>
      <w:r w:rsidR="00F005DA">
        <w:rPr>
          <w:color w:val="000000"/>
        </w:rPr>
        <w:t>In that separate opinion,</w:t>
      </w:r>
      <w:r w:rsidR="009E3C61">
        <w:rPr>
          <w:color w:val="000000"/>
        </w:rPr>
        <w:t xml:space="preserve"> </w:t>
      </w:r>
      <w:r w:rsidR="00ED6CAB">
        <w:rPr>
          <w:color w:val="000000"/>
        </w:rPr>
        <w:t xml:space="preserve">we suggest that, for added clarity, the Judicial Council may wish to consider revisiting the rules of court dealing with </w:t>
      </w:r>
      <w:r w:rsidR="003B7BCF">
        <w:rPr>
          <w:color w:val="000000"/>
        </w:rPr>
        <w:t xml:space="preserve">the </w:t>
      </w:r>
      <w:r w:rsidR="00ED6CAB">
        <w:rPr>
          <w:color w:val="000000"/>
        </w:rPr>
        <w:t xml:space="preserve">procedures for COA requests in proposed section 1509.1 appeals and the forms counsel are to use in preparing these requests. </w:t>
      </w:r>
    </w:p>
    <w:p w:rsidR="0041645F" w:rsidP="00C71A68" w14:paraId="1B487B59" w14:textId="0224A964">
      <w:pPr>
        <w:pStyle w:val="Heading1"/>
        <w:numPr>
          <w:ilvl w:val="0"/>
          <w:numId w:val="27"/>
        </w:numPr>
        <w:ind w:left="0" w:firstLine="0"/>
      </w:pPr>
      <w:r>
        <w:t xml:space="preserve"> </w:t>
      </w:r>
      <w:r w:rsidR="00110571">
        <w:t>PROCEDURAL BACKGROUND</w:t>
      </w:r>
    </w:p>
    <w:p w:rsidR="0041645F" w:rsidP="0041645F" w14:paraId="03E577EE" w14:textId="25E3D89C">
      <w:pPr>
        <w:shd w:val="clear" w:color="auto" w:fill="FFFFFF"/>
        <w:rPr>
          <w:rFonts w:eastAsia="Times New Roman" w:cs="Arial"/>
          <w:color w:val="000000"/>
        </w:rPr>
      </w:pPr>
      <w:r>
        <w:rPr>
          <w:rFonts w:eastAsia="Times New Roman" w:cs="Times New Roman"/>
          <w:color w:val="000000"/>
        </w:rPr>
        <w:t>Because the facts of Seumanu’s conviction offenses are of limited relevance to the nine claims for habeas corpus relief at issue here, we summarize below only the procedural background.  To the extent the crime facts bear on our analysis—</w:t>
      </w:r>
      <w:r w:rsidR="00FE5AEE">
        <w:rPr>
          <w:rFonts w:eastAsia="Times New Roman" w:cs="Times New Roman"/>
          <w:color w:val="000000"/>
        </w:rPr>
        <w:t xml:space="preserve">on issues of </w:t>
      </w:r>
      <w:r w:rsidR="00A9060E">
        <w:rPr>
          <w:rFonts w:eastAsia="Times New Roman" w:cs="Times New Roman"/>
          <w:color w:val="000000"/>
        </w:rPr>
        <w:t>prejudice,</w:t>
      </w:r>
      <w:r>
        <w:rPr>
          <w:rFonts w:eastAsia="Times New Roman" w:cs="Times New Roman"/>
          <w:color w:val="000000"/>
        </w:rPr>
        <w:t xml:space="preserve"> certainly they do—a factual recitation of the circumstances surrounding the offenses may be found in the Supreme Court’s opinion affirming Seumanu’s convictions and sentence on direct appeal.  (See </w:t>
      </w:r>
      <w:r>
        <w:rPr>
          <w:rFonts w:eastAsia="Times New Roman" w:cs="Arial"/>
          <w:i/>
          <w:iCs/>
          <w:color w:val="3D3D3D"/>
          <w:bdr w:val="none" w:sz="0" w:space="0" w:color="auto" w:frame="1"/>
        </w:rPr>
        <w:t>People v. Seumanu</w:t>
      </w:r>
      <w:r>
        <w:rPr>
          <w:rFonts w:eastAsia="Times New Roman" w:cs="Arial"/>
          <w:color w:val="000000"/>
        </w:rPr>
        <w:t xml:space="preserve"> (2015) 61</w:t>
      </w:r>
      <w:r w:rsidR="006508D9">
        <w:rPr>
          <w:rFonts w:eastAsia="Times New Roman" w:cs="Arial"/>
          <w:color w:val="000000"/>
        </w:rPr>
        <w:t> </w:t>
      </w:r>
      <w:r>
        <w:rPr>
          <w:rFonts w:eastAsia="Times New Roman" w:cs="Arial"/>
          <w:color w:val="000000"/>
        </w:rPr>
        <w:t>Cal.4th 1293, 1303</w:t>
      </w:r>
      <w:r w:rsidR="005B205F">
        <w:rPr>
          <w:rFonts w:eastAsia="Times New Roman" w:cs="Arial"/>
          <w:color w:val="000000"/>
        </w:rPr>
        <w:t>–</w:t>
      </w:r>
      <w:r w:rsidR="00F12BE3">
        <w:rPr>
          <w:rFonts w:eastAsia="Times New Roman" w:cs="Arial"/>
          <w:color w:val="000000"/>
        </w:rPr>
        <w:t>1</w:t>
      </w:r>
      <w:r>
        <w:rPr>
          <w:rFonts w:eastAsia="Times New Roman" w:cs="Arial"/>
          <w:color w:val="000000"/>
        </w:rPr>
        <w:t>307 (</w:t>
      </w:r>
      <w:r w:rsidRPr="00564536">
        <w:rPr>
          <w:rFonts w:eastAsia="Times New Roman" w:cs="Arial"/>
          <w:i/>
          <w:iCs/>
          <w:bdr w:val="none" w:sz="0" w:space="0" w:color="auto" w:frame="1"/>
        </w:rPr>
        <w:t>Seumanu</w:t>
      </w:r>
      <w:r w:rsidRPr="00564536">
        <w:rPr>
          <w:rFonts w:eastAsia="Times New Roman" w:cs="Arial"/>
        </w:rPr>
        <w:t>)</w:t>
      </w:r>
      <w:r w:rsidR="00DA643F">
        <w:rPr>
          <w:rFonts w:eastAsia="Times New Roman" w:cs="Arial"/>
        </w:rPr>
        <w:t>.</w:t>
      </w:r>
      <w:r w:rsidR="00AD2648">
        <w:rPr>
          <w:rFonts w:eastAsia="Times New Roman" w:cs="Arial"/>
          <w:color w:val="000000"/>
        </w:rPr>
        <w:t>)</w:t>
      </w:r>
      <w:r>
        <w:rPr>
          <w:rFonts w:eastAsia="Times New Roman" w:cs="Times New Roman"/>
          <w:color w:val="000000"/>
        </w:rPr>
        <w:t xml:space="preserve">  We assume familiarity with that opinion.</w:t>
      </w:r>
      <w:r>
        <w:rPr>
          <w:rFonts w:eastAsia="Times New Roman" w:cs="Arial"/>
          <w:color w:val="000000"/>
        </w:rPr>
        <w:t xml:space="preserve">  </w:t>
      </w:r>
    </w:p>
    <w:p w:rsidR="0041645F" w:rsidP="0041645F" w14:paraId="1536860F" w14:textId="5466F05F">
      <w:pPr>
        <w:shd w:val="clear" w:color="auto" w:fill="FFFFFF"/>
        <w:rPr>
          <w:rFonts w:eastAsia="Times New Roman" w:cs="Times New Roman"/>
          <w:color w:val="000000"/>
        </w:rPr>
      </w:pPr>
      <w:r>
        <w:rPr>
          <w:rFonts w:eastAsia="Times New Roman" w:cs="Times New Roman"/>
          <w:color w:val="000000"/>
        </w:rPr>
        <w:t xml:space="preserve">In 2000, a jury in Alameda County </w:t>
      </w:r>
      <w:r w:rsidR="00A91E0C">
        <w:rPr>
          <w:rFonts w:eastAsia="Times New Roman" w:cs="Times New Roman"/>
          <w:color w:val="000000"/>
        </w:rPr>
        <w:t>Superior Court</w:t>
      </w:r>
      <w:r>
        <w:rPr>
          <w:rFonts w:eastAsia="Times New Roman" w:cs="Times New Roman"/>
          <w:color w:val="000000"/>
        </w:rPr>
        <w:t xml:space="preserve"> convicted Seumanu of first</w:t>
      </w:r>
      <w:r w:rsidR="00FF5F33">
        <w:rPr>
          <w:rFonts w:eastAsia="Times New Roman" w:cs="Times New Roman"/>
          <w:color w:val="000000"/>
        </w:rPr>
        <w:t xml:space="preserve"> </w:t>
      </w:r>
      <w:r>
        <w:rPr>
          <w:rFonts w:eastAsia="Times New Roman" w:cs="Times New Roman"/>
          <w:color w:val="000000"/>
        </w:rPr>
        <w:t>degree murder (§</w:t>
      </w:r>
      <w:r w:rsidR="006508D9">
        <w:rPr>
          <w:rFonts w:eastAsia="Times New Roman" w:cs="Times New Roman"/>
          <w:color w:val="000000"/>
        </w:rPr>
        <w:t> </w:t>
      </w:r>
      <w:r>
        <w:rPr>
          <w:rFonts w:eastAsia="Times New Roman" w:cs="Times New Roman"/>
          <w:color w:val="000000"/>
        </w:rPr>
        <w:t>187), kidnapping to commit robbery (§</w:t>
      </w:r>
      <w:r w:rsidR="00165F01">
        <w:rPr>
          <w:rFonts w:eastAsia="Times New Roman" w:cs="Times New Roman"/>
          <w:color w:val="000000"/>
        </w:rPr>
        <w:t> </w:t>
      </w:r>
      <w:r>
        <w:rPr>
          <w:rFonts w:eastAsia="Times New Roman" w:cs="Times New Roman"/>
          <w:color w:val="000000"/>
        </w:rPr>
        <w:t>209, subd.</w:t>
      </w:r>
      <w:r w:rsidR="006508D9">
        <w:rPr>
          <w:rFonts w:eastAsia="Times New Roman" w:cs="Times New Roman"/>
          <w:color w:val="000000"/>
        </w:rPr>
        <w:t> </w:t>
      </w:r>
      <w:r>
        <w:rPr>
          <w:rFonts w:eastAsia="Times New Roman" w:cs="Times New Roman"/>
          <w:color w:val="000000"/>
        </w:rPr>
        <w:t>(a)), and first</w:t>
      </w:r>
      <w:r w:rsidR="00110D08">
        <w:rPr>
          <w:rFonts w:eastAsia="Times New Roman" w:cs="Times New Roman"/>
          <w:color w:val="000000"/>
        </w:rPr>
        <w:t xml:space="preserve"> </w:t>
      </w:r>
      <w:r>
        <w:rPr>
          <w:rFonts w:eastAsia="Times New Roman" w:cs="Times New Roman"/>
          <w:color w:val="000000"/>
        </w:rPr>
        <w:t>degree robbery (§</w:t>
      </w:r>
      <w:r w:rsidR="006508D9">
        <w:rPr>
          <w:rFonts w:eastAsia="Times New Roman" w:cs="Times New Roman"/>
          <w:color w:val="000000"/>
        </w:rPr>
        <w:t> </w:t>
      </w:r>
      <w:r>
        <w:rPr>
          <w:rFonts w:eastAsia="Times New Roman" w:cs="Times New Roman"/>
          <w:color w:val="000000"/>
        </w:rPr>
        <w:t>211).  (</w:t>
      </w:r>
      <w:r>
        <w:rPr>
          <w:rFonts w:eastAsia="Times New Roman" w:cs="Times New Roman"/>
          <w:i/>
          <w:iCs/>
          <w:color w:val="000000"/>
        </w:rPr>
        <w:t>Seumanu</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61</w:t>
      </w:r>
      <w:r w:rsidR="00F767A0">
        <w:rPr>
          <w:rFonts w:eastAsia="Times New Roman" w:cs="Times New Roman"/>
          <w:color w:val="000000"/>
        </w:rPr>
        <w:t> </w:t>
      </w:r>
      <w:r>
        <w:rPr>
          <w:rFonts w:eastAsia="Times New Roman" w:cs="Times New Roman"/>
          <w:color w:val="000000"/>
        </w:rPr>
        <w:t>Cal</w:t>
      </w:r>
      <w:r w:rsidR="00F767A0">
        <w:rPr>
          <w:rFonts w:eastAsia="Times New Roman" w:cs="Times New Roman"/>
          <w:color w:val="000000"/>
        </w:rPr>
        <w:t>.</w:t>
      </w:r>
      <w:r>
        <w:rPr>
          <w:rFonts w:eastAsia="Times New Roman" w:cs="Times New Roman"/>
          <w:color w:val="000000"/>
        </w:rPr>
        <w:t>4</w:t>
      </w:r>
      <w:r w:rsidRPr="00165F01">
        <w:rPr>
          <w:rFonts w:eastAsia="Times New Roman" w:cs="Times New Roman"/>
          <w:color w:val="000000"/>
        </w:rPr>
        <w:t>th</w:t>
      </w:r>
      <w:r>
        <w:rPr>
          <w:rFonts w:eastAsia="Times New Roman" w:cs="Times New Roman"/>
          <w:color w:val="000000"/>
        </w:rPr>
        <w:t xml:space="preserve"> at p.</w:t>
      </w:r>
      <w:r w:rsidR="006508D9">
        <w:rPr>
          <w:rFonts w:eastAsia="Times New Roman" w:cs="Times New Roman"/>
          <w:color w:val="000000"/>
        </w:rPr>
        <w:t> </w:t>
      </w:r>
      <w:r>
        <w:rPr>
          <w:rFonts w:eastAsia="Times New Roman" w:cs="Times New Roman"/>
          <w:color w:val="000000"/>
        </w:rPr>
        <w:t xml:space="preserve">1302.)  </w:t>
      </w:r>
      <w:r>
        <w:rPr>
          <w:rFonts w:eastAsia="Times New Roman" w:cs="Arial"/>
          <w:color w:val="000000"/>
        </w:rPr>
        <w:t>Along with its verdicts of guilt on the first</w:t>
      </w:r>
      <w:r w:rsidR="00110D08">
        <w:rPr>
          <w:rFonts w:eastAsia="Times New Roman" w:cs="Arial"/>
          <w:color w:val="000000"/>
        </w:rPr>
        <w:t xml:space="preserve"> </w:t>
      </w:r>
      <w:r>
        <w:rPr>
          <w:rFonts w:eastAsia="Times New Roman" w:cs="Arial"/>
          <w:color w:val="000000"/>
        </w:rPr>
        <w:t>degree murder and kidnapping charges, t</w:t>
      </w:r>
      <w:r>
        <w:rPr>
          <w:rFonts w:eastAsia="Times New Roman" w:cs="Times New Roman"/>
          <w:color w:val="000000"/>
        </w:rPr>
        <w:t>he jury found true special circumstance allegations that Seumanu committed a murder while engaged in the commission of a robbery and a kidnapping.  (§</w:t>
      </w:r>
      <w:r w:rsidR="004B0507">
        <w:rPr>
          <w:rFonts w:eastAsia="Times New Roman" w:cs="Times New Roman"/>
          <w:color w:val="000000"/>
        </w:rPr>
        <w:t> </w:t>
      </w:r>
      <w:r>
        <w:rPr>
          <w:rFonts w:eastAsia="Times New Roman" w:cs="Times New Roman"/>
          <w:color w:val="000000"/>
        </w:rPr>
        <w:t>190.2, subd.</w:t>
      </w:r>
      <w:r w:rsidR="004B0507">
        <w:rPr>
          <w:rFonts w:eastAsia="Times New Roman" w:cs="Times New Roman"/>
          <w:color w:val="000000"/>
        </w:rPr>
        <w:t> </w:t>
      </w:r>
      <w:r>
        <w:rPr>
          <w:rFonts w:eastAsia="Times New Roman" w:cs="Times New Roman"/>
          <w:color w:val="000000"/>
        </w:rPr>
        <w:t xml:space="preserve">(a)(17)(A) &amp; (B); </w:t>
      </w:r>
      <w:r>
        <w:rPr>
          <w:rFonts w:eastAsia="Times New Roman" w:cs="Times New Roman"/>
          <w:i/>
          <w:iCs/>
          <w:color w:val="000000"/>
        </w:rPr>
        <w:t>Seumanu</w:t>
      </w:r>
      <w:r>
        <w:rPr>
          <w:rFonts w:eastAsia="Times New Roman" w:cs="Times New Roman"/>
          <w:color w:val="000000"/>
        </w:rPr>
        <w:t>, at p.</w:t>
      </w:r>
      <w:r w:rsidR="004B0507">
        <w:rPr>
          <w:rFonts w:eastAsia="Times New Roman" w:cs="Times New Roman"/>
          <w:color w:val="000000"/>
        </w:rPr>
        <w:t> </w:t>
      </w:r>
      <w:r>
        <w:rPr>
          <w:rFonts w:eastAsia="Times New Roman" w:cs="Times New Roman"/>
          <w:color w:val="000000"/>
        </w:rPr>
        <w:t xml:space="preserve">1302.) </w:t>
      </w:r>
    </w:p>
    <w:p w:rsidR="0041645F" w:rsidRPr="001C3538" w:rsidP="0041645F" w14:paraId="67C1A173" w14:textId="7F74E0FA">
      <w:pPr>
        <w:shd w:val="clear" w:color="auto" w:fill="FFFFFF"/>
        <w:rPr>
          <w:rFonts w:eastAsia="Times New Roman" w:cs="Times New Roman"/>
        </w:rPr>
      </w:pPr>
      <w:r>
        <w:rPr>
          <w:rFonts w:eastAsia="Times New Roman" w:cs="Times New Roman"/>
          <w:color w:val="000000"/>
        </w:rPr>
        <w:t>In addition, the jury found that for all three felonies, Seumanu used a firearm, to wit, a shotgun.  (§</w:t>
      </w:r>
      <w:r w:rsidR="004B0507">
        <w:rPr>
          <w:rFonts w:eastAsia="Times New Roman" w:cs="Times New Roman"/>
          <w:color w:val="000000"/>
        </w:rPr>
        <w:t> </w:t>
      </w:r>
      <w:r>
        <w:rPr>
          <w:rFonts w:eastAsia="Times New Roman" w:cs="Times New Roman"/>
          <w:color w:val="000000"/>
        </w:rPr>
        <w:t xml:space="preserve">12022.5; </w:t>
      </w:r>
      <w:r>
        <w:rPr>
          <w:rFonts w:eastAsia="Times New Roman" w:cs="Times New Roman"/>
          <w:i/>
          <w:iCs/>
          <w:color w:val="000000"/>
        </w:rPr>
        <w:t>Seumanu</w:t>
      </w:r>
      <w:r>
        <w:rPr>
          <w:rFonts w:eastAsia="Times New Roman" w:cs="Times New Roman"/>
          <w:color w:val="000000"/>
        </w:rPr>
        <w:t>, at p.</w:t>
      </w:r>
      <w:r w:rsidR="004B0507">
        <w:rPr>
          <w:rFonts w:eastAsia="Times New Roman" w:cs="Times New Roman"/>
          <w:color w:val="000000"/>
        </w:rPr>
        <w:t> </w:t>
      </w:r>
      <w:r>
        <w:rPr>
          <w:rFonts w:eastAsia="Times New Roman" w:cs="Times New Roman"/>
          <w:color w:val="000000"/>
        </w:rPr>
        <w:t>1302.)  After weighing the aggravating and mitigating evidence, the jury set the penalty at death under the 1978 death penalty law.  (§</w:t>
      </w:r>
      <w:r w:rsidR="004B0507">
        <w:rPr>
          <w:rFonts w:eastAsia="Times New Roman" w:cs="Times New Roman"/>
          <w:color w:val="000000"/>
        </w:rPr>
        <w:t> </w:t>
      </w:r>
      <w:r>
        <w:rPr>
          <w:rFonts w:eastAsia="Times New Roman" w:cs="Times New Roman"/>
          <w:color w:val="000000"/>
        </w:rPr>
        <w:t>190.1 et seq.;</w:t>
      </w:r>
      <w:r>
        <w:rPr>
          <w:rFonts w:eastAsia="Times New Roman" w:cs="Times New Roman"/>
          <w:i/>
          <w:iCs/>
          <w:color w:val="000000"/>
        </w:rPr>
        <w:t xml:space="preserve"> Seumanu</w:t>
      </w:r>
      <w:r>
        <w:rPr>
          <w:rFonts w:eastAsia="Times New Roman" w:cs="Times New Roman"/>
          <w:color w:val="000000"/>
        </w:rPr>
        <w:t>, at p.</w:t>
      </w:r>
      <w:r w:rsidR="004B0507">
        <w:rPr>
          <w:rFonts w:eastAsia="Times New Roman" w:cs="Times New Roman"/>
          <w:color w:val="000000"/>
        </w:rPr>
        <w:t> </w:t>
      </w:r>
      <w:r>
        <w:rPr>
          <w:rFonts w:eastAsia="Times New Roman" w:cs="Times New Roman"/>
          <w:color w:val="000000"/>
        </w:rPr>
        <w:t>1302.)  The California Supreme Court affirmed his convictions and death sentence on automatic appeal</w:t>
      </w:r>
      <w:r w:rsidRPr="001C3538">
        <w:rPr>
          <w:rFonts w:eastAsia="Times New Roman" w:cs="Times New Roman"/>
        </w:rPr>
        <w:t>.  (</w:t>
      </w:r>
      <w:r w:rsidRPr="001C3538">
        <w:rPr>
          <w:rFonts w:eastAsia="Times New Roman" w:cs="Times New Roman"/>
          <w:i/>
          <w:iCs/>
          <w:bdr w:val="none" w:sz="0" w:space="0" w:color="auto" w:frame="1"/>
        </w:rPr>
        <w:t>Seumanu</w:t>
      </w:r>
      <w:r w:rsidRPr="001C3538">
        <w:rPr>
          <w:rFonts w:eastAsia="Times New Roman" w:cs="Times New Roman"/>
        </w:rPr>
        <w:t xml:space="preserve">, </w:t>
      </w:r>
      <w:r w:rsidRPr="001C3538">
        <w:rPr>
          <w:rFonts w:eastAsia="Times New Roman" w:cs="Times New Roman"/>
          <w:i/>
          <w:iCs/>
        </w:rPr>
        <w:t>supra</w:t>
      </w:r>
      <w:r w:rsidRPr="001C3538">
        <w:rPr>
          <w:rFonts w:eastAsia="Times New Roman" w:cs="Times New Roman"/>
        </w:rPr>
        <w:t>, 61</w:t>
      </w:r>
      <w:r w:rsidRPr="001C3538" w:rsidR="00224B51">
        <w:rPr>
          <w:rFonts w:eastAsia="Times New Roman" w:cs="Times New Roman"/>
        </w:rPr>
        <w:t> </w:t>
      </w:r>
      <w:r w:rsidRPr="001C3538">
        <w:rPr>
          <w:rFonts w:eastAsia="Times New Roman" w:cs="Times New Roman"/>
        </w:rPr>
        <w:t>Cal.4th at p.</w:t>
      </w:r>
      <w:r w:rsidRPr="001C3538" w:rsidR="00224B51">
        <w:rPr>
          <w:rFonts w:eastAsia="Times New Roman" w:cs="Times New Roman"/>
        </w:rPr>
        <w:t> </w:t>
      </w:r>
      <w:r w:rsidRPr="001C3538">
        <w:rPr>
          <w:rFonts w:eastAsia="Times New Roman" w:cs="Times New Roman"/>
        </w:rPr>
        <w:t xml:space="preserve">1377.)  </w:t>
      </w:r>
    </w:p>
    <w:p w:rsidR="0041645F" w:rsidP="0041645F" w14:paraId="0A5B94DE" w14:textId="3A6510C9">
      <w:pPr>
        <w:shd w:val="clear" w:color="auto" w:fill="FFFFFF"/>
        <w:rPr>
          <w:rFonts w:eastAsia="Times New Roman" w:cs="Times New Roman"/>
          <w:color w:val="000000"/>
        </w:rPr>
      </w:pPr>
      <w:r>
        <w:rPr>
          <w:rFonts w:eastAsia="Times New Roman" w:cs="Times New Roman"/>
          <w:color w:val="000000"/>
        </w:rPr>
        <w:t xml:space="preserve">In 2012, Seumanu sought collateral review of his conviction and sentence via habeas corpus petition in the California Supreme Court (the Initial Petition).  Following the summary denial of the Initial Petition on the merits, Seumanu filed a petition for writ of habeas corpus in the United States District Court for the Northern District of California (the Federal Petition).  Proceedings on the Federal Petition were stayed to allow Seumanu to exhaust his remedies in state court. </w:t>
      </w:r>
    </w:p>
    <w:p w:rsidR="0041645F" w:rsidP="0041645F" w14:paraId="766AC530" w14:textId="40A992C2">
      <w:pPr>
        <w:shd w:val="clear" w:color="auto" w:fill="FFFFFF"/>
        <w:rPr>
          <w:rFonts w:cs="TimesNewRomanPS-ItalicMT"/>
          <w:i/>
          <w:iCs/>
        </w:rPr>
      </w:pPr>
      <w:r>
        <w:rPr>
          <w:rFonts w:eastAsia="Times New Roman" w:cs="Times New Roman"/>
          <w:color w:val="000000"/>
        </w:rPr>
        <w:t xml:space="preserve">In 2022, Seumanu filed a petition for habeas corpus relief (the Exhaustion Petition) in the Alameda County </w:t>
      </w:r>
      <w:r w:rsidR="00A91E0C">
        <w:rPr>
          <w:rFonts w:eastAsia="Times New Roman" w:cs="Times New Roman"/>
          <w:color w:val="000000"/>
        </w:rPr>
        <w:t>Superior Court</w:t>
      </w:r>
      <w:r>
        <w:rPr>
          <w:rFonts w:eastAsia="Times New Roman" w:cs="Times New Roman"/>
          <w:color w:val="000000"/>
        </w:rPr>
        <w:t xml:space="preserve"> alleging nine claims that were not presented in the Initial Petition.  In the Exhaustion Petition, he alleged that the failure to raise each of these nine claims by the attorney who </w:t>
      </w:r>
      <w:r w:rsidR="006E7C63">
        <w:rPr>
          <w:rFonts w:eastAsia="Times New Roman" w:cs="Times New Roman"/>
          <w:color w:val="000000"/>
        </w:rPr>
        <w:t xml:space="preserve">prepared and </w:t>
      </w:r>
      <w:r>
        <w:rPr>
          <w:rFonts w:eastAsia="Times New Roman" w:cs="Times New Roman"/>
          <w:color w:val="000000"/>
        </w:rPr>
        <w:t xml:space="preserve">filed his Initial Petition was constitutionally ineffective assistance of counsel. </w:t>
      </w:r>
    </w:p>
    <w:p w:rsidR="0041645F" w:rsidP="0041645F" w14:paraId="791BB9A5" w14:textId="6644EA2F">
      <w:r>
        <w:t xml:space="preserve">In late September 2023, a little over </w:t>
      </w:r>
      <w:r w:rsidR="002D4A9E">
        <w:t>11</w:t>
      </w:r>
      <w:r>
        <w:t xml:space="preserve"> months after the Exhaustion Petition was filed, the assigned Alameda </w:t>
      </w:r>
      <w:r>
        <w:rPr>
          <w:rFonts w:eastAsia="Times New Roman" w:cs="Times New Roman"/>
          <w:color w:val="000000"/>
        </w:rPr>
        <w:t xml:space="preserve">County </w:t>
      </w:r>
      <w:r w:rsidR="00A91E0C">
        <w:rPr>
          <w:rFonts w:eastAsia="Times New Roman" w:cs="Times New Roman"/>
          <w:color w:val="000000"/>
        </w:rPr>
        <w:t>Superior Court</w:t>
      </w:r>
      <w:r>
        <w:rPr>
          <w:rFonts w:eastAsia="Times New Roman" w:cs="Times New Roman"/>
          <w:color w:val="000000"/>
        </w:rPr>
        <w:t xml:space="preserve"> judge (the trial court) </w:t>
      </w:r>
      <w:r>
        <w:t>issued a reasoned order of dismissal under section</w:t>
      </w:r>
      <w:r w:rsidR="00186D1B">
        <w:t> </w:t>
      </w:r>
      <w:r>
        <w:t xml:space="preserve">1509(d), relying on guidance from the Supreme Court in </w:t>
      </w:r>
      <w:r>
        <w:rPr>
          <w:i/>
          <w:iCs/>
        </w:rPr>
        <w:t xml:space="preserve">Friend I, supra, </w:t>
      </w:r>
      <w:r>
        <w:t>11</w:t>
      </w:r>
      <w:r w:rsidR="0095042A">
        <w:t> </w:t>
      </w:r>
      <w:r>
        <w:t xml:space="preserve">Cal.5th 720, and more recently from our First District, Division Three colleagues in </w:t>
      </w:r>
      <w:r>
        <w:rPr>
          <w:rFonts w:eastAsia="Times New Roman" w:cs="Arial"/>
          <w:i/>
          <w:iCs/>
          <w:color w:val="000000"/>
        </w:rPr>
        <w:t xml:space="preserve">Friend </w:t>
      </w:r>
      <w:r w:rsidR="00A33EF7">
        <w:rPr>
          <w:rFonts w:eastAsia="Times New Roman" w:cs="Arial"/>
          <w:i/>
          <w:iCs/>
          <w:color w:val="000000"/>
        </w:rPr>
        <w:t xml:space="preserve">II, supra, </w:t>
      </w:r>
      <w:r>
        <w:rPr>
          <w:rFonts w:eastAsia="Times New Roman" w:cs="Arial"/>
          <w:color w:val="000000"/>
        </w:rPr>
        <w:t>76</w:t>
      </w:r>
      <w:r w:rsidR="0077053F">
        <w:rPr>
          <w:rFonts w:eastAsia="Times New Roman" w:cs="Arial"/>
          <w:color w:val="000000"/>
        </w:rPr>
        <w:t> </w:t>
      </w:r>
      <w:r>
        <w:rPr>
          <w:rFonts w:eastAsia="Times New Roman" w:cs="Arial"/>
          <w:color w:val="000000"/>
        </w:rPr>
        <w:t>Cal.App.5</w:t>
      </w:r>
      <w:r w:rsidRPr="0077053F">
        <w:rPr>
          <w:rFonts w:eastAsia="Times New Roman" w:cs="Arial"/>
          <w:color w:val="000000"/>
        </w:rPr>
        <w:t>th</w:t>
      </w:r>
      <w:r>
        <w:rPr>
          <w:rFonts w:eastAsia="Times New Roman" w:cs="Arial"/>
          <w:color w:val="000000"/>
        </w:rPr>
        <w:t xml:space="preserve"> </w:t>
      </w:r>
      <w:r w:rsidR="00A33EF7">
        <w:rPr>
          <w:rFonts w:eastAsia="Times New Roman" w:cs="Arial"/>
          <w:color w:val="000000"/>
        </w:rPr>
        <w:t>at p.</w:t>
      </w:r>
      <w:r w:rsidR="00AD39EC">
        <w:rPr>
          <w:rFonts w:eastAsia="Times New Roman" w:cs="Arial"/>
          <w:color w:val="000000"/>
        </w:rPr>
        <w:t> </w:t>
      </w:r>
      <w:r>
        <w:rPr>
          <w:rFonts w:eastAsia="Times New Roman" w:cs="Arial"/>
          <w:color w:val="000000"/>
        </w:rPr>
        <w:t>639</w:t>
      </w:r>
      <w:r w:rsidR="00203DF2">
        <w:rPr>
          <w:rFonts w:eastAsia="Times New Roman" w:cs="Arial"/>
          <w:color w:val="000000"/>
        </w:rPr>
        <w:t>, which was decided on remand foll</w:t>
      </w:r>
      <w:r w:rsidR="00FD7E08">
        <w:rPr>
          <w:rFonts w:eastAsia="Times New Roman" w:cs="Arial"/>
          <w:color w:val="000000"/>
        </w:rPr>
        <w:t xml:space="preserve">owing the decision in </w:t>
      </w:r>
      <w:r w:rsidRPr="00FD7E08" w:rsidR="00203DF2">
        <w:rPr>
          <w:rFonts w:eastAsia="Times New Roman" w:cs="Arial"/>
          <w:i/>
          <w:iCs/>
          <w:color w:val="000000"/>
        </w:rPr>
        <w:t>Friend I</w:t>
      </w:r>
      <w:r w:rsidR="00203DF2">
        <w:rPr>
          <w:rFonts w:eastAsia="Times New Roman" w:cs="Arial"/>
          <w:color w:val="000000"/>
        </w:rPr>
        <w:t>.</w:t>
      </w:r>
      <w:r>
        <w:rPr>
          <w:rFonts w:eastAsia="Times New Roman" w:cs="Arial"/>
          <w:color w:val="000000"/>
        </w:rPr>
        <w:t xml:space="preserve"> </w:t>
      </w:r>
    </w:p>
    <w:p w:rsidR="00670C4B" w:rsidP="0041645F" w14:paraId="2194CF4F" w14:textId="1E1B5EE5">
      <w:pPr>
        <w:rPr>
          <w:rFonts w:eastAsia="Times New Roman" w:cs="Arial"/>
          <w:color w:val="000000"/>
        </w:rPr>
      </w:pPr>
      <w:r>
        <w:rPr>
          <w:rFonts w:eastAsia="Times New Roman" w:cs="Arial"/>
          <w:color w:val="000000"/>
        </w:rPr>
        <w:t xml:space="preserve"> The trial court found each of the claims in the Exhaustion Petition to </w:t>
      </w:r>
      <w:r w:rsidR="00ED0B14">
        <w:rPr>
          <w:rFonts w:eastAsia="Times New Roman" w:cs="Arial"/>
          <w:color w:val="000000"/>
        </w:rPr>
        <w:t xml:space="preserve">be </w:t>
      </w:r>
      <w:r>
        <w:rPr>
          <w:rFonts w:eastAsia="Times New Roman" w:cs="Arial"/>
          <w:color w:val="000000"/>
        </w:rPr>
        <w:t>successive and rejected various arguments from Seumanu that section</w:t>
      </w:r>
      <w:r w:rsidR="007E5003">
        <w:rPr>
          <w:rFonts w:eastAsia="Times New Roman" w:cs="Arial"/>
          <w:color w:val="000000"/>
        </w:rPr>
        <w:t> </w:t>
      </w:r>
      <w:r>
        <w:rPr>
          <w:rFonts w:eastAsia="Times New Roman" w:cs="Arial"/>
          <w:color w:val="000000"/>
        </w:rPr>
        <w:t>1509(d) is unconstitutional</w:t>
      </w:r>
      <w:r>
        <w:t xml:space="preserve">. </w:t>
      </w:r>
      <w:r>
        <w:rPr>
          <w:rFonts w:eastAsia="Times New Roman" w:cs="Arial"/>
          <w:color w:val="000000"/>
        </w:rPr>
        <w:t xml:space="preserve"> In the same order, the trial court declined to issue </w:t>
      </w:r>
      <w:r w:rsidR="0015169E">
        <w:rPr>
          <w:rFonts w:eastAsia="Times New Roman" w:cs="Arial"/>
          <w:color w:val="000000"/>
        </w:rPr>
        <w:t xml:space="preserve">a </w:t>
      </w:r>
      <w:r>
        <w:rPr>
          <w:rFonts w:eastAsia="Times New Roman" w:cs="Arial"/>
          <w:color w:val="000000"/>
        </w:rPr>
        <w:t xml:space="preserve">COA. </w:t>
      </w:r>
      <w:r>
        <w:t xml:space="preserve"> </w:t>
      </w:r>
      <w:r>
        <w:rPr>
          <w:rFonts w:eastAsia="Times New Roman" w:cs="Arial"/>
          <w:color w:val="000000"/>
        </w:rPr>
        <w:t>Seumanu filed a timely notice of appeal, which was lodged with this court on November</w:t>
      </w:r>
      <w:r w:rsidR="00A33D6C">
        <w:rPr>
          <w:rFonts w:eastAsia="Times New Roman" w:cs="Arial"/>
          <w:color w:val="000000"/>
        </w:rPr>
        <w:t> </w:t>
      </w:r>
      <w:r>
        <w:rPr>
          <w:rFonts w:eastAsia="Times New Roman" w:cs="Arial"/>
          <w:color w:val="000000"/>
        </w:rPr>
        <w:t xml:space="preserve">27, 2023.  </w:t>
      </w:r>
    </w:p>
    <w:p w:rsidR="007F725E" w:rsidRPr="00C41DE0" w:rsidP="0041645F" w14:paraId="4983F499" w14:textId="6CC47724">
      <w:r>
        <w:rPr>
          <w:rFonts w:eastAsia="Times New Roman" w:cs="Arial"/>
          <w:color w:val="000000"/>
        </w:rPr>
        <w:t>Accompanying his notice of appeal was a request that we issue a COA</w:t>
      </w:r>
      <w:r w:rsidR="000A05FB">
        <w:t xml:space="preserve"> </w:t>
      </w:r>
      <w:r w:rsidRPr="00C41DE0" w:rsidR="000A05FB">
        <w:t>and appoint</w:t>
      </w:r>
      <w:r w:rsidRPr="00C41DE0" w:rsidR="00CE6B80">
        <w:t xml:space="preserve"> </w:t>
      </w:r>
      <w:r w:rsidRPr="00C41DE0" w:rsidR="00F77078">
        <w:t xml:space="preserve">attorneys </w:t>
      </w:r>
      <w:r w:rsidRPr="00C41DE0" w:rsidR="00CE6B80">
        <w:t>Michael Snedeker and Lisa Short</w:t>
      </w:r>
      <w:r w:rsidRPr="00C41DE0" w:rsidR="00CD0E77">
        <w:t xml:space="preserve"> to represent him in this appeal.  </w:t>
      </w:r>
      <w:r w:rsidRPr="00C41DE0" w:rsidR="006E2D7F">
        <w:t>These two attorneys</w:t>
      </w:r>
      <w:r w:rsidRPr="00C41DE0" w:rsidR="00CE6B80">
        <w:t xml:space="preserve"> were appointed </w:t>
      </w:r>
      <w:r w:rsidRPr="00C41DE0" w:rsidR="00FD7AC5">
        <w:t xml:space="preserve">by the United States District Court for the Northern District of California </w:t>
      </w:r>
      <w:r w:rsidRPr="00C41DE0" w:rsidR="00CE6B80">
        <w:t xml:space="preserve">in 2017 </w:t>
      </w:r>
      <w:r w:rsidRPr="00C41DE0" w:rsidR="00670C4B">
        <w:t xml:space="preserve">to represent Seumanu in </w:t>
      </w:r>
      <w:r w:rsidRPr="00C41DE0" w:rsidR="009555B4">
        <w:t>connection with the Federal Petition</w:t>
      </w:r>
      <w:r w:rsidRPr="00C41DE0" w:rsidR="007B1BE6">
        <w:t xml:space="preserve">. </w:t>
      </w:r>
      <w:r w:rsidRPr="00C41DE0" w:rsidR="00EB6007">
        <w:t xml:space="preserve"> </w:t>
      </w:r>
      <w:r w:rsidRPr="00C41DE0" w:rsidR="007B1BE6">
        <w:t>The</w:t>
      </w:r>
      <w:r w:rsidRPr="00C41DE0" w:rsidR="006E2D7F">
        <w:t xml:space="preserve">y </w:t>
      </w:r>
      <w:r w:rsidRPr="00C41DE0" w:rsidR="002C0416">
        <w:t>filed and pursued</w:t>
      </w:r>
      <w:r w:rsidRPr="00C41DE0" w:rsidR="000773AB">
        <w:t xml:space="preserve"> the </w:t>
      </w:r>
      <w:r w:rsidRPr="00C41DE0" w:rsidR="00516320">
        <w:t>Exhaustion Petition</w:t>
      </w:r>
      <w:r w:rsidRPr="00C41DE0" w:rsidR="002C0416">
        <w:t xml:space="preserve"> </w:t>
      </w:r>
      <w:r w:rsidRPr="00C41DE0" w:rsidR="00FE7B32">
        <w:t>in the trial court</w:t>
      </w:r>
      <w:r w:rsidRPr="00C41DE0" w:rsidR="005D1943">
        <w:t>,</w:t>
      </w:r>
      <w:r w:rsidRPr="00C41DE0" w:rsidR="00FE7B32">
        <w:t xml:space="preserve"> </w:t>
      </w:r>
      <w:r w:rsidRPr="00C41DE0" w:rsidR="00516320">
        <w:t xml:space="preserve">and </w:t>
      </w:r>
      <w:r w:rsidRPr="00C41DE0" w:rsidR="00EB6007">
        <w:t>then</w:t>
      </w:r>
      <w:r w:rsidRPr="00C41DE0" w:rsidR="00516320">
        <w:t xml:space="preserve"> prepared </w:t>
      </w:r>
      <w:r w:rsidRPr="00C41DE0" w:rsidR="006C7FAA">
        <w:t xml:space="preserve">the notice of appeal and </w:t>
      </w:r>
      <w:r w:rsidRPr="00C41DE0" w:rsidR="005D1943">
        <w:t xml:space="preserve">the </w:t>
      </w:r>
      <w:r w:rsidRPr="00C41DE0" w:rsidR="006C7FAA">
        <w:t xml:space="preserve">COA request.   </w:t>
      </w:r>
    </w:p>
    <w:p w:rsidR="0041645F" w:rsidP="00C71A68" w14:paraId="26B0B0B5" w14:textId="009D42E1">
      <w:pPr>
        <w:pStyle w:val="Heading1"/>
        <w:ind w:left="0" w:firstLine="0"/>
      </w:pPr>
      <w:r>
        <w:t xml:space="preserve"> </w:t>
      </w:r>
      <w:r w:rsidR="0050688F">
        <w:t>PROPOSITION 66 BACKGROUND</w:t>
      </w:r>
    </w:p>
    <w:p w:rsidR="0041645F" w:rsidP="0041645F" w14:paraId="07FBF868" w14:textId="47BFC929">
      <w:r w:rsidRPr="00EA1A50">
        <w:rPr>
          <w:rFonts w:cs="Arial"/>
        </w:rPr>
        <w:t>Before</w:t>
      </w:r>
      <w:r>
        <w:rPr>
          <w:rFonts w:cs="Arial"/>
        </w:rPr>
        <w:t xml:space="preserve"> we t</w:t>
      </w:r>
      <w:r w:rsidR="001501CF">
        <w:rPr>
          <w:rFonts w:cs="Arial"/>
        </w:rPr>
        <w:t>urn to the core issue presented here</w:t>
      </w:r>
      <w:r w:rsidR="001501CF">
        <w:rPr>
          <w:rFonts w:eastAsia="Times New Roman" w:cs="Arial"/>
          <w:color w:val="000000"/>
        </w:rPr>
        <w:t>—</w:t>
      </w:r>
      <w:r w:rsidR="001501CF">
        <w:rPr>
          <w:rFonts w:cs="Arial"/>
        </w:rPr>
        <w:t>whether Seumanu is entitled to a COA</w:t>
      </w:r>
      <w:r w:rsidR="001501CF">
        <w:rPr>
          <w:rFonts w:eastAsia="Times New Roman" w:cs="Arial"/>
          <w:color w:val="000000"/>
        </w:rPr>
        <w:t>—</w:t>
      </w:r>
      <w:r w:rsidR="001501CF">
        <w:rPr>
          <w:rFonts w:cs="Arial"/>
        </w:rPr>
        <w:t>w</w:t>
      </w:r>
      <w:r>
        <w:rPr>
          <w:rFonts w:eastAsia="Times New Roman" w:cs="Times New Roman"/>
          <w:color w:val="000000"/>
        </w:rPr>
        <w:t xml:space="preserve">e preface our analysis by sketching out some general legal background concerning Proposition 66, a statutory ballot initiative </w:t>
      </w:r>
      <w:r w:rsidR="00BD246B">
        <w:rPr>
          <w:rFonts w:eastAsia="Times New Roman" w:cs="Times New Roman"/>
          <w:color w:val="000000"/>
        </w:rPr>
        <w:t xml:space="preserve">adopted by the voters </w:t>
      </w:r>
      <w:r w:rsidR="001D0EB8">
        <w:rPr>
          <w:rFonts w:eastAsia="Times New Roman" w:cs="Times New Roman"/>
          <w:color w:val="000000"/>
        </w:rPr>
        <w:t>at</w:t>
      </w:r>
      <w:r w:rsidR="00BD3877">
        <w:rPr>
          <w:rFonts w:eastAsia="Times New Roman" w:cs="Times New Roman"/>
          <w:color w:val="000000"/>
        </w:rPr>
        <w:t xml:space="preserve"> </w:t>
      </w:r>
      <w:r>
        <w:rPr>
          <w:rFonts w:eastAsia="Times New Roman" w:cs="Times New Roman"/>
          <w:color w:val="000000"/>
        </w:rPr>
        <w:t xml:space="preserve">the November 2016 statewide election.  </w:t>
      </w:r>
      <w:r w:rsidR="00D05C28">
        <w:rPr>
          <w:rFonts w:eastAsia="Times New Roman" w:cs="Times New Roman"/>
          <w:color w:val="000000"/>
        </w:rPr>
        <w:t>(</w:t>
      </w:r>
      <w:r w:rsidRPr="005B4BE7" w:rsidR="00D05C28">
        <w:rPr>
          <w:rFonts w:eastAsia="Times New Roman" w:cs="Times New Roman"/>
          <w:i/>
          <w:iCs/>
          <w:color w:val="000000"/>
        </w:rPr>
        <w:t>See</w:t>
      </w:r>
      <w:r w:rsidR="00D05C28">
        <w:rPr>
          <w:rFonts w:eastAsia="Times New Roman" w:cs="Times New Roman"/>
          <w:color w:val="000000"/>
        </w:rPr>
        <w:t xml:space="preserve"> </w:t>
      </w:r>
      <w:r w:rsidRPr="005B4BE7" w:rsidR="00D05C28">
        <w:rPr>
          <w:rFonts w:eastAsia="Times New Roman" w:cs="Times New Roman"/>
          <w:i/>
          <w:iCs/>
          <w:color w:val="000000"/>
        </w:rPr>
        <w:t>Briggs</w:t>
      </w:r>
      <w:r w:rsidR="00D05C28">
        <w:rPr>
          <w:rFonts w:eastAsia="Times New Roman" w:cs="Times New Roman"/>
          <w:color w:val="000000"/>
        </w:rPr>
        <w:t xml:space="preserve">, </w:t>
      </w:r>
      <w:r w:rsidRPr="005B4BE7" w:rsidR="00D05C28">
        <w:rPr>
          <w:rFonts w:eastAsia="Times New Roman" w:cs="Times New Roman"/>
          <w:i/>
          <w:iCs/>
          <w:color w:val="000000"/>
        </w:rPr>
        <w:t>supra</w:t>
      </w:r>
      <w:r w:rsidR="00D05C28">
        <w:rPr>
          <w:rFonts w:eastAsia="Times New Roman" w:cs="Times New Roman"/>
          <w:color w:val="000000"/>
        </w:rPr>
        <w:t xml:space="preserve">, </w:t>
      </w:r>
      <w:r w:rsidR="005B4BE7">
        <w:rPr>
          <w:rFonts w:eastAsia="Times New Roman" w:cs="Times New Roman"/>
          <w:color w:val="000000"/>
        </w:rPr>
        <w:t>3</w:t>
      </w:r>
      <w:r w:rsidR="001723C8">
        <w:rPr>
          <w:rFonts w:eastAsia="Times New Roman" w:cs="Times New Roman"/>
          <w:color w:val="000000"/>
        </w:rPr>
        <w:t> </w:t>
      </w:r>
      <w:r w:rsidR="005B4BE7">
        <w:rPr>
          <w:rFonts w:eastAsia="Times New Roman" w:cs="Times New Roman"/>
          <w:color w:val="000000"/>
        </w:rPr>
        <w:t>Cal.5</w:t>
      </w:r>
      <w:r w:rsidRPr="00E46DA3" w:rsidR="005B4BE7">
        <w:rPr>
          <w:rFonts w:eastAsia="Times New Roman" w:cs="Times New Roman"/>
          <w:color w:val="000000"/>
        </w:rPr>
        <w:t>th</w:t>
      </w:r>
      <w:r w:rsidR="005B4BE7">
        <w:rPr>
          <w:rFonts w:eastAsia="Times New Roman" w:cs="Times New Roman"/>
          <w:color w:val="000000"/>
        </w:rPr>
        <w:t xml:space="preserve"> at </w:t>
      </w:r>
      <w:r w:rsidR="006224AC">
        <w:rPr>
          <w:rFonts w:eastAsia="Times New Roman" w:cs="Times New Roman"/>
          <w:color w:val="000000"/>
        </w:rPr>
        <w:t>p</w:t>
      </w:r>
      <w:r w:rsidR="005B4BE7">
        <w:rPr>
          <w:rFonts w:eastAsia="Times New Roman" w:cs="Times New Roman"/>
          <w:color w:val="000000"/>
        </w:rPr>
        <w:t>p.</w:t>
      </w:r>
      <w:r w:rsidR="001723C8">
        <w:rPr>
          <w:rFonts w:eastAsia="Times New Roman" w:cs="Times New Roman"/>
          <w:color w:val="000000"/>
        </w:rPr>
        <w:t> </w:t>
      </w:r>
      <w:r w:rsidR="006224AC">
        <w:rPr>
          <w:rFonts w:eastAsia="Times New Roman" w:cs="Times New Roman"/>
          <w:color w:val="000000"/>
        </w:rPr>
        <w:t>822</w:t>
      </w:r>
      <w:r w:rsidR="00E63DFF">
        <w:rPr>
          <w:rFonts w:eastAsia="Times New Roman" w:cs="Times New Roman"/>
          <w:color w:val="000000"/>
        </w:rPr>
        <w:t>–</w:t>
      </w:r>
      <w:r w:rsidR="005B4BE7">
        <w:rPr>
          <w:rFonts w:eastAsia="Times New Roman" w:cs="Times New Roman"/>
          <w:color w:val="000000"/>
        </w:rPr>
        <w:t xml:space="preserve">823.) </w:t>
      </w:r>
    </w:p>
    <w:p w:rsidR="0041645F" w:rsidP="0041645F" w14:paraId="7A2F5200" w14:textId="7CB3E0F4">
      <w:pPr>
        <w:shd w:val="clear" w:color="auto" w:fill="FFFFFF"/>
        <w:rPr>
          <w:rFonts w:eastAsia="Times New Roman" w:cs="Times New Roman"/>
          <w:color w:val="000000"/>
        </w:rPr>
      </w:pPr>
      <w:r>
        <w:rPr>
          <w:rFonts w:eastAsia="Times New Roman" w:cs="Times New Roman"/>
          <w:color w:val="000000"/>
        </w:rPr>
        <w:t>“Proposition 66 enacted a number of statutory reforms in an effort to make the system of capital punishment ‘more efficient, less expensive, and more responsive to the rights of victims.’  [Citation.]  Among these reforms were various changes to the procedures for handling and resolving habeas corpus petitions in capital cases.  [Citation.]  The bulk of these changes are found in newly added Penal Code section 1509.”  (</w:t>
      </w:r>
      <w:r>
        <w:rPr>
          <w:rFonts w:eastAsia="Times New Roman" w:cs="Times New Roman"/>
          <w:i/>
          <w:iCs/>
          <w:color w:val="3D3D3D"/>
          <w:bdr w:val="none" w:sz="0" w:space="0" w:color="auto" w:frame="1"/>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607898">
        <w:rPr>
          <w:rFonts w:eastAsia="Times New Roman" w:cs="Times New Roman"/>
          <w:color w:val="000000"/>
        </w:rPr>
        <w:t> </w:t>
      </w:r>
      <w:r>
        <w:rPr>
          <w:rFonts w:eastAsia="Times New Roman" w:cs="Times New Roman"/>
          <w:color w:val="000000"/>
        </w:rPr>
        <w:t>Cal.5</w:t>
      </w:r>
      <w:r w:rsidRPr="0086087E">
        <w:rPr>
          <w:rFonts w:eastAsia="Times New Roman" w:cs="Times New Roman"/>
          <w:color w:val="000000"/>
        </w:rPr>
        <w:t>th</w:t>
      </w:r>
      <w:r>
        <w:rPr>
          <w:rFonts w:eastAsia="Times New Roman" w:cs="Times New Roman"/>
          <w:color w:val="000000"/>
        </w:rPr>
        <w:t xml:space="preserve"> at p.</w:t>
      </w:r>
      <w:r w:rsidR="00607898">
        <w:rPr>
          <w:rFonts w:eastAsia="Times New Roman" w:cs="Times New Roman"/>
          <w:color w:val="000000"/>
        </w:rPr>
        <w:t> </w:t>
      </w:r>
      <w:r>
        <w:rPr>
          <w:rFonts w:eastAsia="Times New Roman" w:cs="Times New Roman"/>
          <w:color w:val="000000"/>
        </w:rPr>
        <w:t xml:space="preserve">725.)  </w:t>
      </w:r>
    </w:p>
    <w:p w:rsidR="0041645F" w:rsidP="0041645F" w14:paraId="0469B527" w14:textId="680633F7">
      <w:pPr>
        <w:shd w:val="clear" w:color="auto" w:fill="FFFFFF"/>
        <w:rPr>
          <w:rFonts w:eastAsia="Times New Roman" w:cs="Times New Roman"/>
          <w:color w:val="000000"/>
        </w:rPr>
      </w:pPr>
      <w:r>
        <w:rPr>
          <w:rFonts w:eastAsia="Times New Roman" w:cs="Times New Roman"/>
          <w:color w:val="000000"/>
        </w:rPr>
        <w:t>The Proposition 66 scheme draws a fundamental distinction between “initial” petitions for habeas corpus relief and “successive” petitions for habeas corpus relief.  (See §</w:t>
      </w:r>
      <w:r w:rsidR="00607898">
        <w:rPr>
          <w:rFonts w:eastAsia="Times New Roman" w:cs="Times New Roman"/>
          <w:color w:val="000000"/>
        </w:rPr>
        <w:t> </w:t>
      </w:r>
      <w:r>
        <w:rPr>
          <w:rFonts w:eastAsia="Times New Roman" w:cs="Times New Roman"/>
          <w:color w:val="000000"/>
        </w:rPr>
        <w:t>1509(d); §</w:t>
      </w:r>
      <w:r w:rsidR="00607898">
        <w:rPr>
          <w:rFonts w:eastAsia="Times New Roman" w:cs="Times New Roman"/>
          <w:color w:val="000000"/>
        </w:rPr>
        <w:t> </w:t>
      </w:r>
      <w:r>
        <w:rPr>
          <w:rFonts w:eastAsia="Times New Roman" w:cs="Times New Roman"/>
          <w:color w:val="000000"/>
        </w:rPr>
        <w:t>1509, subd.</w:t>
      </w:r>
      <w:r w:rsidR="00112ED5">
        <w:rPr>
          <w:rFonts w:eastAsia="Times New Roman" w:cs="Times New Roman"/>
          <w:color w:val="000000"/>
        </w:rPr>
        <w:t> </w:t>
      </w:r>
      <w:r>
        <w:rPr>
          <w:rFonts w:eastAsia="Times New Roman" w:cs="Times New Roman"/>
          <w:color w:val="000000"/>
        </w:rPr>
        <w:t xml:space="preserve">(a).)  Central to the scheme is section 1509(d), which </w:t>
      </w:r>
      <w:r>
        <w:rPr>
          <w:shd w:val="clear" w:color="auto" w:fill="FFFFFF"/>
        </w:rPr>
        <w:t>requires dismissal of any “successive” petition “</w:t>
      </w:r>
      <w:r>
        <w:rPr>
          <w:rFonts w:eastAsia="Times New Roman" w:cs="Times New Roman"/>
          <w:color w:val="000000"/>
        </w:rPr>
        <w:t>unless the court finds, by the preponderance of all available evidence, whether or not admissible at trial, that the defendant is actually innocent of the crime of which he or she was convicted or is ineligible for the sentence.”  As defined by section 1509(d), the statutory phrase “</w:t>
      </w:r>
      <w:r w:rsidR="001974F6">
        <w:rPr>
          <w:rFonts w:eastAsia="Times New Roman" w:cs="Times New Roman"/>
          <w:color w:val="000000"/>
        </w:rPr>
        <w:t> ‘</w:t>
      </w:r>
      <w:r>
        <w:rPr>
          <w:rFonts w:eastAsia="Times New Roman" w:cs="Times New Roman"/>
          <w:color w:val="000000"/>
        </w:rPr>
        <w:t>[i]neligible for the sentence of death</w:t>
      </w:r>
      <w:r w:rsidR="001974F6">
        <w:rPr>
          <w:rFonts w:eastAsia="Times New Roman" w:cs="Times New Roman"/>
          <w:color w:val="000000"/>
        </w:rPr>
        <w:t>’ </w:t>
      </w:r>
      <w:r>
        <w:rPr>
          <w:rFonts w:eastAsia="Times New Roman" w:cs="Times New Roman"/>
          <w:color w:val="000000"/>
        </w:rPr>
        <w:t>” means “circumstances exist placing that sentence outside the range of the sentencer</w:t>
      </w:r>
      <w:r w:rsidR="0091359F">
        <w:rPr>
          <w:rFonts w:eastAsia="Times New Roman" w:cs="Times New Roman"/>
          <w:color w:val="000000"/>
        </w:rPr>
        <w:t>’</w:t>
      </w:r>
      <w:r>
        <w:rPr>
          <w:rFonts w:eastAsia="Times New Roman" w:cs="Times New Roman"/>
          <w:color w:val="000000"/>
        </w:rPr>
        <w:t>s discretion” (for example, the petitioner was under the age of 18 when the crime of conviction took place, or suffers from an intellectual disability).  “A claim relating to the sentencing decision under Section 190.3 is not a claim of actual innocence or ineligibility for the purpose of this section.”  (§ 1509(d).)</w:t>
      </w:r>
    </w:p>
    <w:p w:rsidR="0041645F" w:rsidP="00E6032B" w14:paraId="6657430D" w14:textId="3CCDA655">
      <w:pPr>
        <w:shd w:val="clear" w:color="auto" w:fill="FFFFFF"/>
        <w:rPr>
          <w:rFonts w:eastAsia="Times New Roman" w:cs="Arial"/>
          <w:color w:val="000000"/>
        </w:rPr>
      </w:pPr>
      <w:r>
        <w:rPr>
          <w:rFonts w:eastAsia="Times New Roman" w:cs="Times New Roman"/>
          <w:color w:val="000000"/>
        </w:rPr>
        <w:t>Prior to Proposition 66, “Whereas the approved practice was for all capital habeas corpus petitioners to file directly” in the California Supreme Court, “Penal Code section 1509 now calls for most capital petitions to be heard initially in the sentencing court.”  (</w:t>
      </w:r>
      <w:r>
        <w:rPr>
          <w:rFonts w:eastAsia="Times New Roman" w:cs="Times New Roman"/>
          <w:i/>
          <w:iCs/>
          <w:color w:val="3D3D3D"/>
          <w:bdr w:val="none" w:sz="0" w:space="0" w:color="auto" w:frame="1"/>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6E4F8D">
        <w:rPr>
          <w:rFonts w:eastAsia="Times New Roman" w:cs="Times New Roman"/>
          <w:color w:val="000000"/>
        </w:rPr>
        <w:t> </w:t>
      </w:r>
      <w:r>
        <w:rPr>
          <w:rFonts w:eastAsia="Times New Roman" w:cs="Times New Roman"/>
          <w:color w:val="000000"/>
        </w:rPr>
        <w:t>Cal.5</w:t>
      </w:r>
      <w:r w:rsidRPr="00860FD2">
        <w:rPr>
          <w:rFonts w:eastAsia="Times New Roman" w:cs="Times New Roman"/>
          <w:color w:val="000000"/>
        </w:rPr>
        <w:t>th</w:t>
      </w:r>
      <w:r>
        <w:rPr>
          <w:rFonts w:eastAsia="Times New Roman" w:cs="Times New Roman"/>
          <w:color w:val="000000"/>
        </w:rPr>
        <w:t xml:space="preserve"> at p.</w:t>
      </w:r>
      <w:r w:rsidR="00AE61DC">
        <w:rPr>
          <w:rFonts w:eastAsia="Times New Roman" w:cs="Times New Roman"/>
          <w:color w:val="000000"/>
        </w:rPr>
        <w:t> </w:t>
      </w:r>
      <w:r>
        <w:rPr>
          <w:rFonts w:eastAsia="Times New Roman" w:cs="Times New Roman"/>
          <w:color w:val="000000"/>
        </w:rPr>
        <w:t>726; §</w:t>
      </w:r>
      <w:r w:rsidR="006E4F8D">
        <w:rPr>
          <w:rFonts w:eastAsia="Times New Roman" w:cs="Times New Roman"/>
          <w:color w:val="000000"/>
        </w:rPr>
        <w:t> </w:t>
      </w:r>
      <w:r>
        <w:rPr>
          <w:rFonts w:eastAsia="Times New Roman" w:cs="Times New Roman"/>
          <w:color w:val="000000"/>
        </w:rPr>
        <w:t>1509, subd.</w:t>
      </w:r>
      <w:r w:rsidR="006E4F8D">
        <w:rPr>
          <w:rFonts w:eastAsia="Times New Roman" w:cs="Times New Roman"/>
          <w:color w:val="000000"/>
        </w:rPr>
        <w:t> </w:t>
      </w:r>
      <w:r>
        <w:rPr>
          <w:rFonts w:eastAsia="Times New Roman" w:cs="Times New Roman"/>
          <w:color w:val="000000"/>
        </w:rPr>
        <w:t xml:space="preserve">(a).)  The </w:t>
      </w:r>
      <w:r w:rsidR="00A91E0C">
        <w:rPr>
          <w:rFonts w:eastAsia="Times New Roman" w:cs="Times New Roman"/>
          <w:color w:val="000000"/>
        </w:rPr>
        <w:t>superior court</w:t>
      </w:r>
      <w:r>
        <w:rPr>
          <w:rFonts w:eastAsia="Times New Roman" w:cs="Times New Roman"/>
          <w:color w:val="000000"/>
        </w:rPr>
        <w:t xml:space="preserve"> must issue “a statement of decision explaining the factual and legal basis for its decision” resolving any such petition (§</w:t>
      </w:r>
      <w:r w:rsidR="006E4F8D">
        <w:rPr>
          <w:rFonts w:eastAsia="Times New Roman" w:cs="Times New Roman"/>
          <w:color w:val="000000"/>
        </w:rPr>
        <w:t> </w:t>
      </w:r>
      <w:r>
        <w:rPr>
          <w:rFonts w:eastAsia="Times New Roman" w:cs="Times New Roman"/>
          <w:color w:val="000000"/>
        </w:rPr>
        <w:t>1509, subd.</w:t>
      </w:r>
      <w:r w:rsidR="006E4F8D">
        <w:rPr>
          <w:rFonts w:eastAsia="Times New Roman" w:cs="Times New Roman"/>
          <w:color w:val="000000"/>
        </w:rPr>
        <w:t> </w:t>
      </w:r>
      <w:r>
        <w:rPr>
          <w:rFonts w:eastAsia="Times New Roman" w:cs="Times New Roman"/>
          <w:color w:val="000000"/>
        </w:rPr>
        <w:t xml:space="preserve">(f)), subject to review in the </w:t>
      </w:r>
      <w:r w:rsidR="00107D36">
        <w:rPr>
          <w:rFonts w:eastAsia="Times New Roman" w:cs="Times New Roman"/>
          <w:color w:val="000000"/>
        </w:rPr>
        <w:t>C</w:t>
      </w:r>
      <w:r w:rsidR="00A91E0C">
        <w:rPr>
          <w:rFonts w:eastAsia="Times New Roman" w:cs="Times New Roman"/>
          <w:color w:val="000000"/>
        </w:rPr>
        <w:t xml:space="preserve">ourt of </w:t>
      </w:r>
      <w:r w:rsidR="00107D36">
        <w:rPr>
          <w:rFonts w:eastAsia="Times New Roman" w:cs="Times New Roman"/>
          <w:color w:val="000000"/>
        </w:rPr>
        <w:t>A</w:t>
      </w:r>
      <w:r w:rsidR="00A91E0C">
        <w:rPr>
          <w:rFonts w:eastAsia="Times New Roman" w:cs="Times New Roman"/>
          <w:color w:val="000000"/>
        </w:rPr>
        <w:t>ppeal</w:t>
      </w:r>
      <w:r>
        <w:rPr>
          <w:rFonts w:eastAsia="Times New Roman" w:cs="Times New Roman"/>
          <w:color w:val="000000"/>
        </w:rPr>
        <w:t xml:space="preserve"> (§</w:t>
      </w:r>
      <w:r w:rsidR="00645D6C">
        <w:rPr>
          <w:rFonts w:eastAsia="Times New Roman" w:cs="Times New Roman"/>
          <w:color w:val="000000"/>
        </w:rPr>
        <w:t> </w:t>
      </w:r>
      <w:r>
        <w:rPr>
          <w:rFonts w:eastAsia="Times New Roman" w:cs="Times New Roman"/>
          <w:color w:val="000000"/>
        </w:rPr>
        <w:t>1509.1).  The availability of an appeal from the denial of habeas</w:t>
      </w:r>
      <w:r w:rsidR="00D87B53">
        <w:rPr>
          <w:rFonts w:eastAsia="Times New Roman" w:cs="Times New Roman"/>
          <w:color w:val="000000"/>
        </w:rPr>
        <w:t xml:space="preserve"> corpus</w:t>
      </w:r>
      <w:r>
        <w:rPr>
          <w:rFonts w:eastAsia="Times New Roman" w:cs="Times New Roman"/>
          <w:color w:val="000000"/>
        </w:rPr>
        <w:t xml:space="preserve"> relief in capital cases is new.  </w:t>
      </w:r>
      <w:r>
        <w:rPr>
          <w:rFonts w:eastAsia="Times New Roman" w:cs="Arial"/>
          <w:color w:val="000000"/>
        </w:rPr>
        <w:t>Under pre-Proposition 66 law—which remains the law in non-capital cases—</w:t>
      </w:r>
      <w:r w:rsidR="00D60A7A">
        <w:rPr>
          <w:rFonts w:eastAsia="Times New Roman" w:cs="Times New Roman"/>
          <w:color w:val="000000"/>
        </w:rPr>
        <w:t>“</w:t>
      </w:r>
      <w:r>
        <w:rPr>
          <w:rFonts w:eastAsia="Times New Roman" w:cs="Arial"/>
          <w:color w:val="000000"/>
        </w:rPr>
        <w:t xml:space="preserve">there </w:t>
      </w:r>
      <w:r w:rsidR="00EE7A57">
        <w:rPr>
          <w:rFonts w:eastAsia="Times New Roman" w:cs="Arial"/>
          <w:color w:val="000000"/>
        </w:rPr>
        <w:t>[</w:t>
      </w:r>
      <w:r>
        <w:rPr>
          <w:rFonts w:eastAsia="Times New Roman" w:cs="Arial"/>
          <w:color w:val="000000"/>
        </w:rPr>
        <w:t>wa</w:t>
      </w:r>
      <w:r w:rsidR="00EE7A57">
        <w:rPr>
          <w:rFonts w:eastAsia="Times New Roman" w:cs="Arial"/>
          <w:color w:val="000000"/>
        </w:rPr>
        <w:t>]</w:t>
      </w:r>
      <w:r>
        <w:rPr>
          <w:rFonts w:eastAsia="Times New Roman" w:cs="Arial"/>
          <w:color w:val="000000"/>
        </w:rPr>
        <w:t xml:space="preserve">s no right to appeal a </w:t>
      </w:r>
      <w:r w:rsidR="00A91E0C">
        <w:rPr>
          <w:rFonts w:eastAsia="Times New Roman" w:cs="Arial"/>
          <w:color w:val="000000"/>
        </w:rPr>
        <w:t>superior court</w:t>
      </w:r>
      <w:r>
        <w:rPr>
          <w:rFonts w:eastAsia="Times New Roman" w:cs="Arial"/>
          <w:color w:val="000000"/>
        </w:rPr>
        <w:t xml:space="preserve">’s </w:t>
      </w:r>
      <w:r>
        <w:rPr>
          <w:rFonts w:eastAsia="Times New Roman" w:cs="Arial"/>
          <w:i/>
          <w:iCs/>
          <w:color w:val="3D3D3D"/>
          <w:bdr w:val="none" w:sz="0" w:space="0" w:color="auto" w:frame="1"/>
        </w:rPr>
        <w:t>denial</w:t>
      </w:r>
      <w:r>
        <w:rPr>
          <w:rFonts w:eastAsia="Times New Roman" w:cs="Arial"/>
          <w:color w:val="000000"/>
        </w:rPr>
        <w:t xml:space="preserve"> of habeas corpus relief.”  (</w:t>
      </w:r>
      <w:r>
        <w:rPr>
          <w:rFonts w:eastAsia="Times New Roman" w:cs="Times New Roman"/>
          <w:i/>
          <w:iCs/>
          <w:color w:val="3D3D3D"/>
          <w:bdr w:val="none" w:sz="0" w:space="0" w:color="auto" w:frame="1"/>
        </w:rPr>
        <w:t>Briggs</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3</w:t>
      </w:r>
      <w:r w:rsidR="00306901">
        <w:rPr>
          <w:rFonts w:eastAsia="Times New Roman" w:cs="Times New Roman"/>
          <w:color w:val="000000"/>
        </w:rPr>
        <w:t> </w:t>
      </w:r>
      <w:r>
        <w:rPr>
          <w:rFonts w:eastAsia="Times New Roman" w:cs="Times New Roman"/>
          <w:color w:val="000000"/>
        </w:rPr>
        <w:t>Cal.5</w:t>
      </w:r>
      <w:r w:rsidRPr="00860FD2">
        <w:rPr>
          <w:rFonts w:eastAsia="Times New Roman" w:cs="Times New Roman"/>
          <w:color w:val="000000"/>
        </w:rPr>
        <w:t>th</w:t>
      </w:r>
      <w:r>
        <w:rPr>
          <w:rFonts w:eastAsia="Times New Roman" w:cs="Times New Roman"/>
          <w:color w:val="000000"/>
        </w:rPr>
        <w:t xml:space="preserve"> at p.</w:t>
      </w:r>
      <w:r w:rsidR="00306901">
        <w:rPr>
          <w:rFonts w:eastAsia="Times New Roman" w:cs="Times New Roman"/>
          <w:color w:val="000000"/>
        </w:rPr>
        <w:t> </w:t>
      </w:r>
      <w:r>
        <w:rPr>
          <w:rFonts w:eastAsia="Times New Roman" w:cs="Times New Roman"/>
          <w:color w:val="000000"/>
        </w:rPr>
        <w:t>825.)</w:t>
      </w:r>
      <w:r w:rsidRPr="00FF18A6">
        <w:rPr>
          <w:rFonts w:eastAsia="Times New Roman" w:cs="Times New Roman"/>
          <w:color w:val="000000"/>
        </w:rPr>
        <w:t xml:space="preserve"> </w:t>
      </w:r>
      <w:r>
        <w:rPr>
          <w:rFonts w:eastAsia="Times New Roman" w:cs="Arial"/>
          <w:color w:val="000000"/>
        </w:rPr>
        <w:t xml:space="preserve"> A capital habeas</w:t>
      </w:r>
      <w:r w:rsidR="007D3B8E">
        <w:rPr>
          <w:rFonts w:eastAsia="Times New Roman" w:cs="Arial"/>
          <w:color w:val="000000"/>
        </w:rPr>
        <w:t xml:space="preserve"> corpus</w:t>
      </w:r>
      <w:r>
        <w:rPr>
          <w:rFonts w:eastAsia="Times New Roman" w:cs="Arial"/>
          <w:color w:val="000000"/>
        </w:rPr>
        <w:t xml:space="preserve"> petitioner could only obtain a second look at the </w:t>
      </w:r>
      <w:r w:rsidR="00A91E0C">
        <w:rPr>
          <w:rFonts w:eastAsia="Times New Roman" w:cs="Arial"/>
          <w:color w:val="000000"/>
        </w:rPr>
        <w:t>superior court</w:t>
      </w:r>
      <w:r>
        <w:rPr>
          <w:rFonts w:eastAsia="Times New Roman" w:cs="Arial"/>
          <w:color w:val="000000"/>
        </w:rPr>
        <w:t xml:space="preserve">’s refusal to grant habeas relief by filing a new habeas petition in a higher court, while the People could appeal a </w:t>
      </w:r>
      <w:r>
        <w:rPr>
          <w:rFonts w:eastAsia="Times New Roman" w:cs="Arial"/>
          <w:i/>
          <w:iCs/>
          <w:color w:val="3D3D3D"/>
          <w:bdr w:val="none" w:sz="0" w:space="0" w:color="auto" w:frame="1"/>
        </w:rPr>
        <w:t>grant</w:t>
      </w:r>
      <w:r>
        <w:rPr>
          <w:rFonts w:eastAsia="Times New Roman" w:cs="Arial"/>
          <w:color w:val="000000"/>
        </w:rPr>
        <w:t xml:space="preserve"> of relief in a capital case directly to the California Supreme Court.  (</w:t>
      </w:r>
      <w:r>
        <w:rPr>
          <w:rFonts w:eastAsia="Times New Roman" w:cs="Arial"/>
          <w:i/>
          <w:iCs/>
          <w:color w:val="000000"/>
        </w:rPr>
        <w:t>Ibid</w:t>
      </w:r>
      <w:r>
        <w:rPr>
          <w:rFonts w:eastAsia="Times New Roman" w:cs="Arial"/>
          <w:color w:val="000000"/>
        </w:rPr>
        <w:t xml:space="preserve">.)  </w:t>
      </w:r>
    </w:p>
    <w:p w:rsidR="0041645F" w:rsidP="0041645F" w14:paraId="3CB4382B" w14:textId="29E63436">
      <w:pPr>
        <w:shd w:val="clear" w:color="auto" w:fill="FFFFFF"/>
        <w:rPr>
          <w:rFonts w:eastAsia="Times New Roman" w:cs="Arial"/>
          <w:color w:val="000000"/>
        </w:rPr>
      </w:pPr>
      <w:r>
        <w:rPr>
          <w:rFonts w:eastAsia="Times New Roman" w:cs="Arial"/>
          <w:color w:val="000000"/>
        </w:rPr>
        <w:t xml:space="preserve">“Proposition 66 alter[ed] these procedures by permitting either party to take an appeal from a </w:t>
      </w:r>
      <w:r w:rsidR="00A91E0C">
        <w:rPr>
          <w:rFonts w:eastAsia="Times New Roman" w:cs="Arial"/>
          <w:color w:val="000000"/>
        </w:rPr>
        <w:t>superior court</w:t>
      </w:r>
      <w:r>
        <w:rPr>
          <w:rFonts w:eastAsia="Times New Roman" w:cs="Arial"/>
          <w:color w:val="000000"/>
        </w:rPr>
        <w:t xml:space="preserve">’s decision on an initial habeas corpus petition to the </w:t>
      </w:r>
      <w:r w:rsidR="00C82903">
        <w:rPr>
          <w:rFonts w:eastAsia="Times New Roman" w:cs="Arial"/>
          <w:color w:val="000000"/>
        </w:rPr>
        <w:t>C</w:t>
      </w:r>
      <w:r w:rsidR="00A91E0C">
        <w:rPr>
          <w:rFonts w:eastAsia="Times New Roman" w:cs="Arial"/>
          <w:color w:val="000000"/>
        </w:rPr>
        <w:t xml:space="preserve">ourt of </w:t>
      </w:r>
      <w:r w:rsidR="00C82903">
        <w:rPr>
          <w:rFonts w:eastAsia="Times New Roman" w:cs="Arial"/>
          <w:color w:val="000000"/>
        </w:rPr>
        <w:t>A</w:t>
      </w:r>
      <w:r w:rsidR="00A91E0C">
        <w:rPr>
          <w:rFonts w:eastAsia="Times New Roman" w:cs="Arial"/>
          <w:color w:val="000000"/>
        </w:rPr>
        <w:t>ppeal</w:t>
      </w:r>
      <w:r>
        <w:rPr>
          <w:rFonts w:eastAsia="Times New Roman" w:cs="Arial"/>
          <w:color w:val="000000"/>
        </w:rPr>
        <w:t>, and by specifying that ‘[a] successive petition shall not be used as a means of reviewing a denial of habeas relief.’</w:t>
      </w:r>
      <w:r w:rsidR="00372BE9">
        <w:rPr>
          <w:rFonts w:eastAsia="Times New Roman" w:cs="Arial"/>
          <w:color w:val="000000"/>
        </w:rPr>
        <w:t> </w:t>
      </w:r>
      <w:r>
        <w:rPr>
          <w:rFonts w:eastAsia="Times New Roman" w:cs="Arial"/>
          <w:color w:val="000000"/>
        </w:rPr>
        <w:t>”  (</w:t>
      </w:r>
      <w:r>
        <w:rPr>
          <w:rFonts w:eastAsia="Times New Roman" w:cs="Arial"/>
          <w:i/>
          <w:iCs/>
          <w:color w:val="000000"/>
        </w:rPr>
        <w:t>Briggs</w:t>
      </w:r>
      <w:r>
        <w:rPr>
          <w:rFonts w:eastAsia="Times New Roman" w:cs="Arial"/>
          <w:color w:val="000000"/>
        </w:rPr>
        <w:t xml:space="preserve">, </w:t>
      </w:r>
      <w:r>
        <w:rPr>
          <w:rFonts w:eastAsia="Times New Roman" w:cs="Arial"/>
          <w:i/>
          <w:iCs/>
          <w:color w:val="000000"/>
        </w:rPr>
        <w:t>supra</w:t>
      </w:r>
      <w:r>
        <w:rPr>
          <w:rFonts w:eastAsia="Times New Roman" w:cs="Arial"/>
          <w:color w:val="000000"/>
        </w:rPr>
        <w:t>, 3</w:t>
      </w:r>
      <w:r w:rsidR="00372BE9">
        <w:rPr>
          <w:rFonts w:eastAsia="Times New Roman" w:cs="Arial"/>
          <w:color w:val="000000"/>
        </w:rPr>
        <w:t> </w:t>
      </w:r>
      <w:r>
        <w:rPr>
          <w:rFonts w:eastAsia="Times New Roman" w:cs="Arial"/>
          <w:color w:val="000000"/>
        </w:rPr>
        <w:t>Cal.5</w:t>
      </w:r>
      <w:r w:rsidRPr="00860FD2">
        <w:rPr>
          <w:rFonts w:eastAsia="Times New Roman" w:cs="Arial"/>
          <w:color w:val="000000"/>
        </w:rPr>
        <w:t>th</w:t>
      </w:r>
      <w:r>
        <w:rPr>
          <w:rFonts w:eastAsia="Times New Roman" w:cs="Arial"/>
          <w:color w:val="000000"/>
        </w:rPr>
        <w:t xml:space="preserve"> at p.</w:t>
      </w:r>
      <w:r w:rsidR="00372BE9">
        <w:rPr>
          <w:rFonts w:eastAsia="Times New Roman" w:cs="Arial"/>
          <w:color w:val="000000"/>
        </w:rPr>
        <w:t> </w:t>
      </w:r>
      <w:r>
        <w:rPr>
          <w:rFonts w:eastAsia="Times New Roman" w:cs="Arial"/>
          <w:color w:val="000000"/>
        </w:rPr>
        <w:t>825; §</w:t>
      </w:r>
      <w:r w:rsidR="00372BE9">
        <w:rPr>
          <w:rFonts w:eastAsia="Times New Roman" w:cs="Arial"/>
          <w:color w:val="000000"/>
        </w:rPr>
        <w:t> </w:t>
      </w:r>
      <w:r>
        <w:rPr>
          <w:rFonts w:eastAsia="Times New Roman" w:cs="Arial"/>
          <w:color w:val="000000"/>
        </w:rPr>
        <w:t>1509.1, subd.</w:t>
      </w:r>
      <w:r w:rsidR="00372BE9">
        <w:rPr>
          <w:rFonts w:eastAsia="Times New Roman" w:cs="Arial"/>
          <w:color w:val="000000"/>
        </w:rPr>
        <w:t> </w:t>
      </w:r>
      <w:r>
        <w:rPr>
          <w:rFonts w:eastAsia="Times New Roman" w:cs="Arial"/>
          <w:color w:val="000000"/>
        </w:rPr>
        <w:t xml:space="preserve">(a).)  </w:t>
      </w:r>
      <w:r w:rsidR="00BD2186">
        <w:rPr>
          <w:rFonts w:eastAsia="Times New Roman" w:cs="Arial"/>
          <w:color w:val="000000"/>
        </w:rPr>
        <w:t xml:space="preserve">For </w:t>
      </w:r>
      <w:r w:rsidR="007909E4">
        <w:rPr>
          <w:rFonts w:eastAsia="Times New Roman" w:cs="Arial"/>
          <w:color w:val="000000"/>
        </w:rPr>
        <w:t>a</w:t>
      </w:r>
      <w:r w:rsidR="003E6E1B">
        <w:rPr>
          <w:rFonts w:eastAsia="Times New Roman" w:cs="Arial"/>
          <w:color w:val="000000"/>
        </w:rPr>
        <w:t xml:space="preserve"> petitioner</w:t>
      </w:r>
      <w:r w:rsidR="007909E4">
        <w:rPr>
          <w:rFonts w:eastAsia="Times New Roman" w:cs="Arial"/>
          <w:color w:val="000000"/>
        </w:rPr>
        <w:t xml:space="preserve"> </w:t>
      </w:r>
      <w:r>
        <w:rPr>
          <w:rFonts w:eastAsia="Times New Roman" w:cs="Arial"/>
          <w:color w:val="000000"/>
        </w:rPr>
        <w:t xml:space="preserve">seeking </w:t>
      </w:r>
      <w:r w:rsidR="002B5B94">
        <w:rPr>
          <w:rFonts w:eastAsia="Times New Roman" w:cs="Arial"/>
          <w:color w:val="000000"/>
        </w:rPr>
        <w:t>review of</w:t>
      </w:r>
      <w:r>
        <w:rPr>
          <w:rFonts w:eastAsia="Times New Roman" w:cs="Arial"/>
          <w:color w:val="000000"/>
        </w:rPr>
        <w:t xml:space="preserve"> the denial of </w:t>
      </w:r>
      <w:r w:rsidR="007909E4">
        <w:rPr>
          <w:rFonts w:eastAsia="Times New Roman" w:cs="Arial"/>
          <w:color w:val="000000"/>
        </w:rPr>
        <w:t xml:space="preserve">a </w:t>
      </w:r>
      <w:r>
        <w:rPr>
          <w:rFonts w:eastAsia="Times New Roman" w:cs="Arial"/>
          <w:color w:val="000000"/>
        </w:rPr>
        <w:t>successive petition</w:t>
      </w:r>
      <w:r w:rsidR="00F67071">
        <w:rPr>
          <w:rFonts w:eastAsia="Times New Roman" w:cs="Arial"/>
          <w:color w:val="000000"/>
        </w:rPr>
        <w:t xml:space="preserve">, </w:t>
      </w:r>
      <w:r w:rsidR="00964293">
        <w:rPr>
          <w:rFonts w:eastAsia="Times New Roman" w:cs="Arial"/>
          <w:color w:val="000000"/>
        </w:rPr>
        <w:t xml:space="preserve">an </w:t>
      </w:r>
      <w:r w:rsidR="00C74AEB">
        <w:rPr>
          <w:rFonts w:eastAsia="Times New Roman" w:cs="Arial"/>
          <w:color w:val="000000"/>
        </w:rPr>
        <w:t>appeal</w:t>
      </w:r>
      <w:r w:rsidR="00964293">
        <w:rPr>
          <w:rFonts w:eastAsia="Times New Roman" w:cs="Arial"/>
          <w:color w:val="000000"/>
        </w:rPr>
        <w:t xml:space="preserve"> </w:t>
      </w:r>
      <w:r w:rsidR="00C74AEB">
        <w:rPr>
          <w:rFonts w:eastAsia="Times New Roman" w:cs="Arial"/>
          <w:color w:val="000000"/>
        </w:rPr>
        <w:t>may not be taken as of right</w:t>
      </w:r>
      <w:r w:rsidR="008F687A">
        <w:rPr>
          <w:rFonts w:eastAsia="Times New Roman" w:cs="Arial"/>
          <w:color w:val="000000"/>
        </w:rPr>
        <w:t xml:space="preserve">.  </w:t>
      </w:r>
      <w:r>
        <w:rPr>
          <w:rFonts w:eastAsia="Times New Roman" w:cs="Arial"/>
          <w:color w:val="000000"/>
        </w:rPr>
        <w:t xml:space="preserve">Section 1509.1(c) states, “The petitioner may appeal the decision of the </w:t>
      </w:r>
      <w:r w:rsidR="00A91E0C">
        <w:rPr>
          <w:rFonts w:eastAsia="Times New Roman" w:cs="Arial"/>
          <w:color w:val="000000"/>
        </w:rPr>
        <w:t>superior court</w:t>
      </w:r>
      <w:r>
        <w:rPr>
          <w:rFonts w:eastAsia="Times New Roman" w:cs="Arial"/>
          <w:color w:val="000000"/>
        </w:rPr>
        <w:t xml:space="preserve"> denying relief on a successive petition only if the </w:t>
      </w:r>
      <w:r w:rsidR="00A91E0C">
        <w:rPr>
          <w:rFonts w:eastAsia="Times New Roman" w:cs="Arial"/>
          <w:color w:val="000000"/>
        </w:rPr>
        <w:t>superior court</w:t>
      </w:r>
      <w:r>
        <w:rPr>
          <w:rFonts w:eastAsia="Times New Roman" w:cs="Arial"/>
          <w:color w:val="000000"/>
        </w:rPr>
        <w:t xml:space="preserve"> or the </w:t>
      </w:r>
      <w:r w:rsidR="00A91E0C">
        <w:rPr>
          <w:rFonts w:eastAsia="Times New Roman" w:cs="Arial"/>
          <w:color w:val="000000"/>
        </w:rPr>
        <w:t>court of appeal</w:t>
      </w:r>
      <w:r>
        <w:rPr>
          <w:rFonts w:eastAsia="Times New Roman" w:cs="Arial"/>
          <w:color w:val="000000"/>
        </w:rPr>
        <w:t xml:space="preserve"> grants a [COA].”  </w:t>
      </w:r>
    </w:p>
    <w:p w:rsidR="0041645F" w:rsidP="0041645F" w14:paraId="68DB996B" w14:textId="606D0F6E">
      <w:pPr>
        <w:shd w:val="clear" w:color="auto" w:fill="FFFFFF"/>
        <w:rPr>
          <w:rFonts w:eastAsia="Times New Roman" w:cs="Times New Roman"/>
        </w:rPr>
      </w:pPr>
      <w:r>
        <w:rPr>
          <w:shd w:val="clear" w:color="auto" w:fill="FFFFFF"/>
        </w:rPr>
        <w:t xml:space="preserve">To obtain a COA, a </w:t>
      </w:r>
      <w:r>
        <w:rPr>
          <w:rFonts w:eastAsia="Times New Roman" w:cs="Times New Roman"/>
          <w:color w:val="000000"/>
        </w:rPr>
        <w:t xml:space="preserve">petitioner must show both “a </w:t>
      </w:r>
      <w:r w:rsidRPr="007E5682">
        <w:rPr>
          <w:rFonts w:eastAsia="Times New Roman" w:cs="Times New Roman"/>
          <w:color w:val="000000"/>
        </w:rPr>
        <w:t>substantial claim</w:t>
      </w:r>
      <w:r>
        <w:rPr>
          <w:rFonts w:eastAsia="Times New Roman" w:cs="Times New Roman"/>
          <w:color w:val="000000"/>
        </w:rPr>
        <w:t xml:space="preserve"> for relief</w:t>
      </w:r>
      <w:r w:rsidR="00C4272A">
        <w:rPr>
          <w:rFonts w:eastAsia="Times New Roman" w:cs="Times New Roman"/>
          <w:color w:val="000000"/>
        </w:rPr>
        <w:t xml:space="preserve"> . . . </w:t>
      </w:r>
      <w:r>
        <w:rPr>
          <w:rFonts w:eastAsia="Times New Roman" w:cs="Times New Roman"/>
          <w:color w:val="000000"/>
        </w:rPr>
        <w:t xml:space="preserve">and </w:t>
      </w:r>
      <w:r w:rsidRPr="007E5682">
        <w:rPr>
          <w:rFonts w:eastAsia="Times New Roman" w:cs="Times New Roman"/>
          <w:color w:val="000000"/>
        </w:rPr>
        <w:t>a substantial claim</w:t>
      </w:r>
      <w:r>
        <w:rPr>
          <w:rFonts w:eastAsia="Times New Roman" w:cs="Times New Roman"/>
          <w:color w:val="000000"/>
        </w:rPr>
        <w:t xml:space="preserve"> that the requirements of subdivision (d) of Section 1509 have been met.”  (§ 1509.1</w:t>
      </w:r>
      <w:r w:rsidR="002B4A99">
        <w:rPr>
          <w:rFonts w:eastAsia="Times New Roman" w:cs="Times New Roman"/>
          <w:color w:val="000000"/>
        </w:rPr>
        <w:t>(</w:t>
      </w:r>
      <w:r>
        <w:rPr>
          <w:rFonts w:eastAsia="Times New Roman" w:cs="Times New Roman"/>
          <w:color w:val="000000"/>
        </w:rPr>
        <w:t>c)</w:t>
      </w:r>
      <w:r w:rsidR="00A7259B">
        <w:rPr>
          <w:rFonts w:eastAsia="Times New Roman" w:cs="Times New Roman"/>
          <w:color w:val="000000"/>
        </w:rPr>
        <w:t>.)</w:t>
      </w:r>
      <w:r>
        <w:rPr>
          <w:rFonts w:eastAsia="Times New Roman" w:cs="Times New Roman"/>
          <w:color w:val="000000"/>
        </w:rPr>
        <w:t xml:space="preserve">  There are also rules governing the timing of decisions on COA requests.  The </w:t>
      </w:r>
      <w:r w:rsidR="00A91E0C">
        <w:rPr>
          <w:rFonts w:eastAsia="Times New Roman" w:cs="Times New Roman"/>
          <w:color w:val="000000"/>
        </w:rPr>
        <w:t>superior court</w:t>
      </w:r>
      <w:r>
        <w:rPr>
          <w:rFonts w:eastAsia="Times New Roman" w:cs="Times New Roman"/>
          <w:color w:val="000000"/>
        </w:rPr>
        <w:t>s must decide whether to grant or deny a COA “</w:t>
      </w:r>
      <w:r>
        <w:rPr>
          <w:shd w:val="clear" w:color="auto" w:fill="FFFFFF"/>
        </w:rPr>
        <w:t>concurrently with a decision denying relief on the petition.”</w:t>
      </w:r>
      <w:r>
        <w:rPr>
          <w:rFonts w:eastAsia="Times New Roman" w:cs="Times New Roman"/>
        </w:rPr>
        <w:t xml:space="preserve">  (§ 1509.1(c).)  And when a COA is sought on appeal—as it must be where, as in this case, a notice of appeal from the denial of relief on a successive petition arrives in the appellate court without a COA from the </w:t>
      </w:r>
      <w:r w:rsidR="00A91E0C">
        <w:rPr>
          <w:rFonts w:eastAsia="Times New Roman" w:cs="Times New Roman"/>
        </w:rPr>
        <w:t>superior court</w:t>
      </w:r>
      <w:r>
        <w:rPr>
          <w:rFonts w:eastAsia="Times New Roman" w:cs="Times New Roman"/>
        </w:rPr>
        <w:t xml:space="preserve">—“The </w:t>
      </w:r>
      <w:r w:rsidR="00A91E0C">
        <w:rPr>
          <w:rFonts w:eastAsia="Times New Roman" w:cs="Times New Roman"/>
        </w:rPr>
        <w:t>court of appeal</w:t>
      </w:r>
      <w:r>
        <w:rPr>
          <w:rFonts w:eastAsia="Times New Roman" w:cs="Times New Roman"/>
        </w:rPr>
        <w:t xml:space="preserve"> shall grant or deny a request for a certificate of appealability within 10 days of an application for a certificate.”  (</w:t>
      </w:r>
      <w:r>
        <w:rPr>
          <w:rFonts w:eastAsia="Times New Roman" w:cs="Times New Roman"/>
          <w:i/>
          <w:iCs/>
        </w:rPr>
        <w:t>Ibid</w:t>
      </w:r>
      <w:r>
        <w:rPr>
          <w:rFonts w:eastAsia="Times New Roman" w:cs="Times New Roman"/>
        </w:rPr>
        <w:t>.)</w:t>
      </w:r>
      <w:r w:rsidR="009548D5">
        <w:rPr>
          <w:rFonts w:eastAsia="Times New Roman" w:cs="Times New Roman"/>
        </w:rPr>
        <w:t xml:space="preserve">  </w:t>
      </w:r>
    </w:p>
    <w:p w:rsidR="009548D5" w:rsidP="00082C2C" w14:paraId="3A533013" w14:textId="3A3147EB">
      <w:pPr>
        <w:pStyle w:val="Heading1"/>
      </w:pPr>
      <w:r>
        <w:t>REQUE</w:t>
      </w:r>
      <w:r w:rsidR="00DE6200">
        <w:t>ST FOR COUNSEL APPOINTMENT</w:t>
      </w:r>
    </w:p>
    <w:p w:rsidR="005F1020" w:rsidP="009832A9" w14:paraId="4F8D6D90" w14:textId="69621D3D">
      <w:r>
        <w:t>First, we attend to a</w:t>
      </w:r>
      <w:r w:rsidR="00CE0328">
        <w:t>n admin</w:t>
      </w:r>
      <w:r w:rsidR="00CC14BF">
        <w:t>i</w:t>
      </w:r>
      <w:r w:rsidR="00CE0328">
        <w:t>strative</w:t>
      </w:r>
      <w:r>
        <w:t xml:space="preserve"> housekeeping matter</w:t>
      </w:r>
      <w:r w:rsidR="0044294D">
        <w:rPr>
          <w:rFonts w:eastAsia="Times New Roman" w:cs="Arial"/>
          <w:color w:val="000000"/>
        </w:rPr>
        <w:t>—</w:t>
      </w:r>
      <w:r w:rsidR="0093150C">
        <w:t>Seuman</w:t>
      </w:r>
      <w:r w:rsidR="00AE580C">
        <w:t>u</w:t>
      </w:r>
      <w:r w:rsidR="0093150C">
        <w:t xml:space="preserve">’s request for appointment of </w:t>
      </w:r>
      <w:r w:rsidR="0054363B">
        <w:t xml:space="preserve">Snedeker and Short as his counsel </w:t>
      </w:r>
      <w:r w:rsidR="000B6DC6">
        <w:t xml:space="preserve">in these appellate proceedings.  </w:t>
      </w:r>
      <w:r w:rsidRPr="00C41DE0" w:rsidR="00F27D29">
        <w:t xml:space="preserve">We will grant </w:t>
      </w:r>
      <w:r w:rsidR="000B6DC6">
        <w:t>that request.</w:t>
      </w:r>
      <w:r>
        <w:rPr>
          <w:rStyle w:val="FootnoteReference"/>
          <w:rFonts w:cs="Arial"/>
        </w:rPr>
        <w:footnoteReference w:id="4"/>
      </w:r>
      <w:r>
        <w:rPr>
          <w:rFonts w:cs="Arial"/>
        </w:rPr>
        <w:t xml:space="preserve"> </w:t>
      </w:r>
      <w:r w:rsidR="000B6DC6">
        <w:t xml:space="preserve"> </w:t>
      </w:r>
      <w:r w:rsidR="00182130">
        <w:t xml:space="preserve">For any such appointment, rule </w:t>
      </w:r>
      <w:r w:rsidRPr="00C41DE0" w:rsidR="00182130">
        <w:t>8.391(a)(3)</w:t>
      </w:r>
      <w:r w:rsidR="00182130">
        <w:t xml:space="preserve"> requires that we </w:t>
      </w:r>
      <w:r w:rsidRPr="00C41DE0" w:rsidR="00182130">
        <w:t>“designate assist[ing] counsel</w:t>
      </w:r>
      <w:r w:rsidR="00182130">
        <w:t>.</w:t>
      </w:r>
      <w:r w:rsidRPr="00C41DE0" w:rsidR="00182130">
        <w:t>”</w:t>
      </w:r>
      <w:r w:rsidR="00CE0328">
        <w:t xml:space="preserve">  </w:t>
      </w:r>
      <w:r w:rsidR="00F312DE">
        <w:t xml:space="preserve">We designate Snedeker and Short </w:t>
      </w:r>
      <w:r w:rsidR="00D54742">
        <w:t>to assist each other</w:t>
      </w:r>
      <w:r w:rsidR="00AE580C">
        <w:t xml:space="preserve"> in these proceedings</w:t>
      </w:r>
      <w:r w:rsidR="00D54742">
        <w:t xml:space="preserve">. </w:t>
      </w:r>
      <w:r w:rsidR="00C10724">
        <w:t xml:space="preserve">  </w:t>
      </w:r>
    </w:p>
    <w:p w:rsidR="009548D5" w:rsidRPr="009832A9" w:rsidP="009832A9" w14:paraId="3917954B" w14:textId="74E68104">
      <w:pPr>
        <w:rPr>
          <w:rFonts w:cs="Arial"/>
        </w:rPr>
      </w:pPr>
      <w:r>
        <w:t>In granting Seumanu’s request for appointment of counsel on appeal, w</w:t>
      </w:r>
      <w:r w:rsidR="00010EC5">
        <w:t>e</w:t>
      </w:r>
      <w:r w:rsidR="00C10724">
        <w:t xml:space="preserve"> </w:t>
      </w:r>
      <w:r w:rsidR="00010EC5">
        <w:t>emphasize</w:t>
      </w:r>
      <w:r w:rsidR="00C10724">
        <w:t xml:space="preserve"> </w:t>
      </w:r>
      <w:r w:rsidR="00A433CB">
        <w:t xml:space="preserve">that </w:t>
      </w:r>
      <w:r w:rsidRPr="00C41DE0" w:rsidR="00F27D29">
        <w:t>we have no statutory basis to authorize payment of compensation</w:t>
      </w:r>
      <w:r w:rsidR="00C10724">
        <w:t xml:space="preserve"> </w:t>
      </w:r>
      <w:r w:rsidR="000B2AEA">
        <w:t xml:space="preserve">to counsel </w:t>
      </w:r>
      <w:r w:rsidR="00C10724">
        <w:t>at this time</w:t>
      </w:r>
      <w:r w:rsidRPr="00C41DE0" w:rsidR="00F27D29">
        <w:t>.</w:t>
      </w:r>
      <w:r w:rsidR="00987F39">
        <w:t xml:space="preserve">  </w:t>
      </w:r>
      <w:r w:rsidR="00F43E9B">
        <w:t xml:space="preserve">The declaration filed by </w:t>
      </w:r>
      <w:r w:rsidRPr="00C41DE0" w:rsidR="00F27D29">
        <w:t xml:space="preserve">Snedeker </w:t>
      </w:r>
      <w:r w:rsidR="00F43E9B">
        <w:t>in support of</w:t>
      </w:r>
      <w:r w:rsidR="002F5204">
        <w:t xml:space="preserve"> Seumanu’s appointment request </w:t>
      </w:r>
      <w:r w:rsidRPr="00C41DE0" w:rsidR="00F27D29">
        <w:t>acknowledges that this is “</w:t>
      </w:r>
      <w:r w:rsidRPr="00C41DE0" w:rsidR="00F27D29">
        <w:rPr>
          <w:rFonts w:cs="Arial"/>
        </w:rPr>
        <w:t>the current California norm for exhaustion petitions in the Courts of Appeal</w:t>
      </w:r>
      <w:r w:rsidR="006C093E">
        <w:rPr>
          <w:rFonts w:cs="Arial"/>
        </w:rPr>
        <w:t>,</w:t>
      </w:r>
      <w:r w:rsidRPr="00C41DE0" w:rsidR="00F27D29">
        <w:rPr>
          <w:rFonts w:cs="Arial"/>
        </w:rPr>
        <w:t>”</w:t>
      </w:r>
      <w:r w:rsidR="00A433CB">
        <w:rPr>
          <w:rFonts w:cs="Arial"/>
        </w:rPr>
        <w:t xml:space="preserve"> and </w:t>
      </w:r>
      <w:r w:rsidR="006C093E">
        <w:rPr>
          <w:rFonts w:cs="Arial"/>
        </w:rPr>
        <w:t xml:space="preserve">further </w:t>
      </w:r>
      <w:r w:rsidR="00A433CB">
        <w:rPr>
          <w:rFonts w:cs="Arial"/>
        </w:rPr>
        <w:t xml:space="preserve">states </w:t>
      </w:r>
      <w:r w:rsidRPr="00C41DE0" w:rsidR="00A433CB">
        <w:t>“</w:t>
      </w:r>
      <w:r w:rsidRPr="00C41DE0" w:rsidR="00A433CB">
        <w:rPr>
          <w:rFonts w:cs="Arial"/>
        </w:rPr>
        <w:t>I hope to be eventually paid by the federal court, since this [appeal] is a necessary step in the process of presenting Mr. Seumanu’s claims to the state court, a prerequisite to their being considered on the merits in federal court.”</w:t>
      </w:r>
      <w:r w:rsidR="009832A9">
        <w:rPr>
          <w:rFonts w:cs="Arial"/>
        </w:rPr>
        <w:t xml:space="preserve">  </w:t>
      </w:r>
      <w:r w:rsidRPr="00C41DE0" w:rsidR="00F24BF6">
        <w:rPr>
          <w:rFonts w:cs="Arial"/>
        </w:rPr>
        <w:t>Though practices may vary in other federal districts, it is our understanding that the hope expressed in Snedeker’s declaration—a hope we share—is consistent with the practice currently being followed in the United States District Court for the Northern District of California.</w:t>
      </w:r>
    </w:p>
    <w:p w:rsidR="0041645F" w:rsidP="00547F53" w14:paraId="25B1AFBB" w14:textId="1154F989">
      <w:pPr>
        <w:pStyle w:val="Heading1"/>
        <w:spacing w:after="240" w:line="240" w:lineRule="auto"/>
        <w:ind w:left="0" w:firstLine="648"/>
        <w:rPr>
          <w:shd w:val="clear" w:color="auto" w:fill="FFFFFF"/>
        </w:rPr>
      </w:pPr>
      <w:r>
        <w:rPr>
          <w:shd w:val="clear" w:color="auto" w:fill="FFFFFF"/>
        </w:rPr>
        <w:t>THE TEN-DAY TIME LIMIT TO GRANT OR DENY COA REQUESTS IN THE COURT OF APPEAL</w:t>
      </w:r>
    </w:p>
    <w:p w:rsidR="0041645F" w:rsidRPr="006608B1" w:rsidP="00345F18" w14:paraId="5E690EEA" w14:textId="04D31440">
      <w:pPr>
        <w:shd w:val="clear" w:color="auto" w:fill="FFFFFF"/>
        <w:rPr>
          <w:rFonts w:eastAsia="Times New Roman" w:cs="Arial"/>
        </w:rPr>
      </w:pPr>
      <w:r>
        <w:rPr>
          <w:rFonts w:eastAsia="Times New Roman" w:cs="Arial"/>
          <w:color w:val="000000"/>
        </w:rPr>
        <w:t xml:space="preserve">Turning the </w:t>
      </w:r>
      <w:r w:rsidR="00A271C2">
        <w:rPr>
          <w:rFonts w:eastAsia="Times New Roman" w:cs="Arial"/>
          <w:color w:val="000000"/>
        </w:rPr>
        <w:t xml:space="preserve">merits of the COA request, </w:t>
      </w:r>
      <w:r w:rsidRPr="00345F18">
        <w:rPr>
          <w:rFonts w:eastAsia="Times New Roman" w:cs="Arial"/>
          <w:color w:val="000000"/>
        </w:rPr>
        <w:t xml:space="preserve">we must decide </w:t>
      </w:r>
      <w:r w:rsidR="00A271C2">
        <w:rPr>
          <w:rFonts w:eastAsia="Times New Roman" w:cs="Arial"/>
          <w:color w:val="000000"/>
        </w:rPr>
        <w:t>as</w:t>
      </w:r>
      <w:r w:rsidRPr="00345F18">
        <w:rPr>
          <w:rFonts w:eastAsia="Times New Roman" w:cs="Arial"/>
          <w:color w:val="000000"/>
        </w:rPr>
        <w:t xml:space="preserve"> a threshold matter whether the 10-day time-limit on the grant or denial of COA requests in the </w:t>
      </w:r>
      <w:r w:rsidR="005E2E8B">
        <w:rPr>
          <w:rFonts w:eastAsia="Times New Roman" w:cs="Arial"/>
          <w:color w:val="000000"/>
        </w:rPr>
        <w:t>C</w:t>
      </w:r>
      <w:r w:rsidRPr="00345F18" w:rsidR="00A91E0C">
        <w:rPr>
          <w:rFonts w:eastAsia="Times New Roman" w:cs="Arial"/>
          <w:color w:val="000000"/>
        </w:rPr>
        <w:t xml:space="preserve">ourt of </w:t>
      </w:r>
      <w:r w:rsidR="005E2E8B">
        <w:rPr>
          <w:rFonts w:eastAsia="Times New Roman" w:cs="Arial"/>
          <w:color w:val="000000"/>
        </w:rPr>
        <w:t>A</w:t>
      </w:r>
      <w:r w:rsidRPr="00345F18" w:rsidR="00A91E0C">
        <w:rPr>
          <w:rFonts w:eastAsia="Times New Roman" w:cs="Arial"/>
          <w:color w:val="000000"/>
        </w:rPr>
        <w:t>ppeal</w:t>
      </w:r>
      <w:r w:rsidRPr="00345F18">
        <w:rPr>
          <w:rFonts w:eastAsia="Times New Roman" w:cs="Arial"/>
          <w:color w:val="000000"/>
        </w:rPr>
        <w:t xml:space="preserve"> under section</w:t>
      </w:r>
      <w:r w:rsidR="005E2E8B">
        <w:rPr>
          <w:rFonts w:eastAsia="Times New Roman" w:cs="Arial"/>
          <w:color w:val="000000"/>
        </w:rPr>
        <w:t> </w:t>
      </w:r>
      <w:r w:rsidRPr="00345F18">
        <w:rPr>
          <w:rFonts w:eastAsia="Times New Roman" w:cs="Arial"/>
          <w:color w:val="000000"/>
        </w:rPr>
        <w:t xml:space="preserve">1509.1(c) is mandatory or directory.  The Supreme Court’s </w:t>
      </w:r>
      <w:r w:rsidRPr="00345F18" w:rsidR="009152CD">
        <w:rPr>
          <w:rFonts w:eastAsia="Times New Roman" w:cs="Arial"/>
          <w:color w:val="000000"/>
        </w:rPr>
        <w:t xml:space="preserve">landmark </w:t>
      </w:r>
      <w:r w:rsidRPr="00345F18">
        <w:rPr>
          <w:rFonts w:eastAsia="Times New Roman" w:cs="Arial"/>
          <w:color w:val="000000"/>
        </w:rPr>
        <w:t xml:space="preserve">opinion </w:t>
      </w:r>
      <w:r w:rsidRPr="00345F18" w:rsidR="009152CD">
        <w:rPr>
          <w:rFonts w:eastAsia="Times New Roman" w:cs="Arial"/>
          <w:color w:val="000000"/>
        </w:rPr>
        <w:t xml:space="preserve">in </w:t>
      </w:r>
      <w:r w:rsidRPr="00345F18">
        <w:rPr>
          <w:rFonts w:eastAsia="Times New Roman" w:cs="Arial"/>
          <w:i/>
          <w:iCs/>
          <w:color w:val="000000"/>
        </w:rPr>
        <w:t>Briggs v. Brown</w:t>
      </w:r>
      <w:r w:rsidRPr="00345F18">
        <w:rPr>
          <w:rFonts w:eastAsia="Times New Roman" w:cs="Arial"/>
          <w:color w:val="000000"/>
        </w:rPr>
        <w:t xml:space="preserve">, </w:t>
      </w:r>
      <w:r w:rsidRPr="00345F18">
        <w:rPr>
          <w:rFonts w:eastAsia="Times New Roman" w:cs="Arial"/>
          <w:i/>
          <w:iCs/>
          <w:color w:val="000000"/>
        </w:rPr>
        <w:t>supra</w:t>
      </w:r>
      <w:r w:rsidRPr="00345F18">
        <w:rPr>
          <w:rFonts w:eastAsia="Times New Roman" w:cs="Arial"/>
          <w:color w:val="000000"/>
        </w:rPr>
        <w:t>, 3</w:t>
      </w:r>
      <w:r w:rsidR="006F3EF5">
        <w:rPr>
          <w:rFonts w:eastAsia="Times New Roman" w:cs="Arial"/>
          <w:color w:val="000000"/>
          <w:vertAlign w:val="superscript"/>
        </w:rPr>
        <w:t> </w:t>
      </w:r>
      <w:r w:rsidR="00FB7C7E">
        <w:rPr>
          <w:rFonts w:eastAsia="Times New Roman" w:cs="Arial"/>
          <w:color w:val="000000"/>
        </w:rPr>
        <w:t>Cal.</w:t>
      </w:r>
      <w:r w:rsidRPr="00345F18">
        <w:rPr>
          <w:rFonts w:eastAsia="Times New Roman" w:cs="Arial"/>
          <w:color w:val="000000"/>
        </w:rPr>
        <w:t>5</w:t>
      </w:r>
      <w:r w:rsidRPr="00B17970">
        <w:rPr>
          <w:rFonts w:eastAsia="Times New Roman" w:cs="Arial"/>
          <w:color w:val="000000"/>
        </w:rPr>
        <w:t>th</w:t>
      </w:r>
      <w:r w:rsidRPr="00345F18">
        <w:rPr>
          <w:rFonts w:eastAsia="Times New Roman" w:cs="Arial"/>
          <w:color w:val="000000"/>
        </w:rPr>
        <w:t xml:space="preserve"> </w:t>
      </w:r>
      <w:r w:rsidRPr="00345F18" w:rsidR="0086424B">
        <w:rPr>
          <w:rFonts w:eastAsia="Times New Roman" w:cs="Arial"/>
          <w:color w:val="000000"/>
        </w:rPr>
        <w:t>808</w:t>
      </w:r>
      <w:r w:rsidRPr="00345F18">
        <w:rPr>
          <w:rFonts w:eastAsia="Times New Roman" w:cs="Arial"/>
          <w:color w:val="000000"/>
        </w:rPr>
        <w:t>, addressed th</w:t>
      </w:r>
      <w:r w:rsidRPr="00345F18" w:rsidR="0072330D">
        <w:rPr>
          <w:rFonts w:eastAsia="Times New Roman" w:cs="Arial"/>
          <w:color w:val="000000"/>
        </w:rPr>
        <w:t>at</w:t>
      </w:r>
      <w:r w:rsidRPr="00345F18">
        <w:rPr>
          <w:rFonts w:eastAsia="Times New Roman" w:cs="Arial"/>
          <w:color w:val="000000"/>
        </w:rPr>
        <w:t xml:space="preserve"> issue for other fixed time</w:t>
      </w:r>
      <w:r w:rsidR="001F00C1">
        <w:rPr>
          <w:rFonts w:eastAsia="Times New Roman" w:cs="Arial"/>
          <w:color w:val="000000"/>
        </w:rPr>
        <w:t xml:space="preserve"> </w:t>
      </w:r>
      <w:r w:rsidRPr="00345F18">
        <w:rPr>
          <w:rFonts w:eastAsia="Times New Roman" w:cs="Arial"/>
          <w:color w:val="000000"/>
        </w:rPr>
        <w:t>limits imposed by Proposition 66</w:t>
      </w:r>
      <w:r w:rsidRPr="00345F18">
        <w:rPr>
          <w:rFonts w:eastAsia="Times New Roman" w:cs="Times New Roman"/>
          <w:color w:val="000000"/>
        </w:rPr>
        <w:t>—</w:t>
      </w:r>
      <w:r w:rsidRPr="00345F18">
        <w:rPr>
          <w:rFonts w:eastAsia="Times New Roman" w:cs="Arial"/>
          <w:color w:val="000000"/>
        </w:rPr>
        <w:t>the five-year deadline for direct and collateral review in capital cases and the one-year deadline for deciding capital habeas petitions</w:t>
      </w:r>
      <w:r w:rsidRPr="00345F18" w:rsidR="00A706AE">
        <w:rPr>
          <w:rFonts w:eastAsia="Times New Roman" w:cs="Arial"/>
          <w:color w:val="000000"/>
        </w:rPr>
        <w:t xml:space="preserve">, deadlines which the court held are </w:t>
      </w:r>
      <w:r w:rsidRPr="00345F18" w:rsidR="00826C4A">
        <w:rPr>
          <w:rFonts w:eastAsia="Times New Roman" w:cs="Arial"/>
          <w:color w:val="000000"/>
        </w:rPr>
        <w:t>directory</w:t>
      </w:r>
      <w:r w:rsidRPr="00345F18">
        <w:rPr>
          <w:rFonts w:eastAsia="Times New Roman" w:cs="Arial"/>
          <w:color w:val="000000"/>
        </w:rPr>
        <w:t xml:space="preserve"> (</w:t>
      </w:r>
      <w:r w:rsidRPr="00345F18">
        <w:rPr>
          <w:rFonts w:eastAsia="Times New Roman" w:cs="Arial"/>
          <w:i/>
          <w:iCs/>
          <w:color w:val="000000"/>
        </w:rPr>
        <w:t>id</w:t>
      </w:r>
      <w:r w:rsidRPr="00345F18">
        <w:rPr>
          <w:rFonts w:eastAsia="Times New Roman" w:cs="Arial"/>
          <w:color w:val="000000"/>
        </w:rPr>
        <w:t>. at pp. 848</w:t>
      </w:r>
      <w:r w:rsidR="00A201A2">
        <w:rPr>
          <w:rFonts w:eastAsia="Times New Roman" w:cs="Arial"/>
          <w:color w:val="000000"/>
        </w:rPr>
        <w:t>–</w:t>
      </w:r>
      <w:r w:rsidRPr="00345F18">
        <w:rPr>
          <w:rFonts w:eastAsia="Times New Roman" w:cs="Arial"/>
          <w:color w:val="000000"/>
        </w:rPr>
        <w:t>861)</w:t>
      </w:r>
      <w:r w:rsidRPr="00345F18">
        <w:rPr>
          <w:rFonts w:eastAsia="Times New Roman" w:cs="Times New Roman"/>
          <w:color w:val="000000"/>
        </w:rPr>
        <w:t>—</w:t>
      </w:r>
      <w:r w:rsidRPr="00345F18">
        <w:rPr>
          <w:rFonts w:eastAsia="Times New Roman" w:cs="Arial"/>
          <w:color w:val="000000"/>
        </w:rPr>
        <w:t xml:space="preserve">but it did not address the 10-day </w:t>
      </w:r>
      <w:r w:rsidRPr="00345F18" w:rsidR="000B087D">
        <w:rPr>
          <w:rFonts w:eastAsia="Times New Roman" w:cs="Arial"/>
          <w:color w:val="000000"/>
        </w:rPr>
        <w:t>limit</w:t>
      </w:r>
      <w:r w:rsidRPr="00345F18">
        <w:rPr>
          <w:rFonts w:eastAsia="Times New Roman" w:cs="Arial"/>
          <w:color w:val="000000"/>
        </w:rPr>
        <w:t xml:space="preserve"> in section 1509.1(c).</w:t>
      </w:r>
      <w:r w:rsidRPr="00345F18" w:rsidR="00A37939">
        <w:rPr>
          <w:rFonts w:eastAsia="Times New Roman" w:cs="Arial"/>
          <w:color w:val="000000"/>
        </w:rPr>
        <w:t xml:space="preserve">  </w:t>
      </w:r>
      <w:r w:rsidRPr="00345F18" w:rsidR="00232465">
        <w:rPr>
          <w:rFonts w:eastAsia="Times New Roman" w:cs="Arial"/>
          <w:color w:val="000000"/>
        </w:rPr>
        <w:t xml:space="preserve">Because </w:t>
      </w:r>
      <w:r w:rsidRPr="00345F18" w:rsidR="00F83F2E">
        <w:rPr>
          <w:rFonts w:eastAsia="Times New Roman" w:cs="Arial"/>
          <w:color w:val="000000"/>
        </w:rPr>
        <w:t xml:space="preserve">we </w:t>
      </w:r>
      <w:r w:rsidRPr="006608B1" w:rsidR="00F83F2E">
        <w:rPr>
          <w:rFonts w:eastAsia="Times New Roman" w:cs="Arial"/>
        </w:rPr>
        <w:t xml:space="preserve">must </w:t>
      </w:r>
      <w:r w:rsidRPr="006608B1" w:rsidR="006608B1">
        <w:rPr>
          <w:rFonts w:eastAsia="Times New Roman" w:cs="Arial"/>
        </w:rPr>
        <w:t>“</w:t>
      </w:r>
      <w:r w:rsidRPr="006608B1" w:rsidR="00F83F2E">
        <w:rPr>
          <w:rFonts w:eastAsia="Times New Roman" w:cs="Times New Roman"/>
        </w:rPr>
        <w:t xml:space="preserve">consider, </w:t>
      </w:r>
      <w:r w:rsidRPr="006608B1" w:rsidR="00F83F2E">
        <w:rPr>
          <w:rFonts w:eastAsia="Times New Roman" w:cs="Times New Roman"/>
          <w:bdr w:val="none" w:sz="0" w:space="0" w:color="auto" w:frame="1"/>
          <w:shd w:val="clear" w:color="auto" w:fill="FFFFFF"/>
        </w:rPr>
        <w:t>sua</w:t>
      </w:r>
      <w:r w:rsidRPr="006608B1" w:rsidR="00F83F2E">
        <w:rPr>
          <w:rFonts w:eastAsia="Times New Roman" w:cs="Times New Roman"/>
        </w:rPr>
        <w:t xml:space="preserve"> </w:t>
      </w:r>
      <w:r w:rsidRPr="006608B1" w:rsidR="00F83F2E">
        <w:rPr>
          <w:rFonts w:eastAsia="Times New Roman" w:cs="Times New Roman"/>
          <w:bdr w:val="none" w:sz="0" w:space="0" w:color="auto" w:frame="1"/>
          <w:shd w:val="clear" w:color="auto" w:fill="FFFFFF"/>
        </w:rPr>
        <w:t>sponte</w:t>
      </w:r>
      <w:r w:rsidRPr="006608B1" w:rsidR="00F83F2E">
        <w:rPr>
          <w:rFonts w:eastAsia="Times New Roman" w:cs="Times New Roman"/>
        </w:rPr>
        <w:t xml:space="preserve">, whether we have </w:t>
      </w:r>
      <w:r w:rsidRPr="006608B1" w:rsidR="00F83F2E">
        <w:rPr>
          <w:rFonts w:eastAsia="Times New Roman" w:cs="Times New Roman"/>
          <w:bdr w:val="none" w:sz="0" w:space="0" w:color="auto" w:frame="1"/>
          <w:shd w:val="clear" w:color="auto" w:fill="FFFFFF"/>
        </w:rPr>
        <w:t>appellate</w:t>
      </w:r>
      <w:r w:rsidRPr="006608B1" w:rsidR="00F83F2E">
        <w:rPr>
          <w:rFonts w:eastAsia="Times New Roman" w:cs="Times New Roman"/>
        </w:rPr>
        <w:t xml:space="preserve"> </w:t>
      </w:r>
      <w:r w:rsidRPr="006608B1" w:rsidR="00F83F2E">
        <w:rPr>
          <w:rFonts w:eastAsia="Times New Roman" w:cs="Times New Roman"/>
          <w:bdr w:val="none" w:sz="0" w:space="0" w:color="auto" w:frame="1"/>
          <w:shd w:val="clear" w:color="auto" w:fill="FFFFFF"/>
        </w:rPr>
        <w:t>jurisdiction</w:t>
      </w:r>
      <w:r w:rsidRPr="006608B1" w:rsidR="006608B1">
        <w:rPr>
          <w:rFonts w:eastAsia="Times New Roman" w:cs="Times New Roman"/>
          <w:bdr w:val="none" w:sz="0" w:space="0" w:color="auto" w:frame="1"/>
          <w:shd w:val="clear" w:color="auto" w:fill="FFFFFF"/>
        </w:rPr>
        <w:t>”</w:t>
      </w:r>
      <w:r w:rsidRPr="006608B1" w:rsidR="009748C3">
        <w:rPr>
          <w:rFonts w:eastAsia="Times New Roman" w:cs="Times New Roman"/>
          <w:bdr w:val="none" w:sz="0" w:space="0" w:color="auto" w:frame="1"/>
          <w:shd w:val="clear" w:color="auto" w:fill="FFFFFF"/>
        </w:rPr>
        <w:t xml:space="preserve"> (</w:t>
      </w:r>
      <w:r w:rsidRPr="00F83F2E" w:rsidR="00F83F2E">
        <w:rPr>
          <w:rFonts w:eastAsia="Times New Roman" w:cs="Times New Roman"/>
          <w:i/>
          <w:iCs/>
          <w:bdr w:val="none" w:sz="0" w:space="0" w:color="auto" w:frame="1"/>
        </w:rPr>
        <w:t>Pacific Corporate Group Holdings, LLC v. Keck</w:t>
      </w:r>
      <w:r w:rsidRPr="00F83F2E" w:rsidR="00F83F2E">
        <w:rPr>
          <w:rFonts w:eastAsia="Times New Roman" w:cs="Times New Roman"/>
        </w:rPr>
        <w:t xml:space="preserve"> (2014) 232</w:t>
      </w:r>
      <w:r w:rsidR="0098446F">
        <w:rPr>
          <w:rFonts w:eastAsia="Times New Roman" w:cs="Times New Roman"/>
        </w:rPr>
        <w:t> </w:t>
      </w:r>
      <w:r w:rsidRPr="00F83F2E" w:rsidR="00F83F2E">
        <w:rPr>
          <w:rFonts w:eastAsia="Times New Roman" w:cs="Times New Roman"/>
        </w:rPr>
        <w:t>Cal</w:t>
      </w:r>
      <w:r w:rsidR="00F5722E">
        <w:rPr>
          <w:rFonts w:eastAsia="Times New Roman" w:cs="Times New Roman"/>
        </w:rPr>
        <w:t>.A</w:t>
      </w:r>
      <w:r w:rsidRPr="00F83F2E" w:rsidR="00F83F2E">
        <w:rPr>
          <w:rFonts w:eastAsia="Times New Roman" w:cs="Times New Roman"/>
        </w:rPr>
        <w:t>pp.4th 294, 301</w:t>
      </w:r>
      <w:r w:rsidR="009730C3">
        <w:rPr>
          <w:rFonts w:eastAsia="Times New Roman" w:cs="Times New Roman"/>
        </w:rPr>
        <w:t xml:space="preserve"> (</w:t>
      </w:r>
      <w:r w:rsidRPr="002F079C" w:rsidR="009730C3">
        <w:rPr>
          <w:rFonts w:eastAsia="Times New Roman" w:cs="Times New Roman"/>
          <w:i/>
          <w:iCs/>
        </w:rPr>
        <w:t>Keck</w:t>
      </w:r>
      <w:r w:rsidR="009730C3">
        <w:rPr>
          <w:rFonts w:eastAsia="Times New Roman" w:cs="Times New Roman"/>
        </w:rPr>
        <w:t>)</w:t>
      </w:r>
      <w:r w:rsidRPr="006608B1" w:rsidR="009748C3">
        <w:rPr>
          <w:rFonts w:eastAsia="Times New Roman" w:cs="Times New Roman"/>
        </w:rPr>
        <w:t>)</w:t>
      </w:r>
      <w:r w:rsidR="002D6F41">
        <w:rPr>
          <w:rFonts w:eastAsia="Times New Roman" w:cs="Times New Roman"/>
        </w:rPr>
        <w:t>,</w:t>
      </w:r>
      <w:r w:rsidRPr="006608B1" w:rsidR="009748C3">
        <w:rPr>
          <w:rFonts w:eastAsia="Times New Roman" w:cs="Times New Roman"/>
        </w:rPr>
        <w:t xml:space="preserve"> we now address the 10-day limit in this case. </w:t>
      </w:r>
    </w:p>
    <w:p w:rsidR="0041645F" w:rsidP="00345F18" w14:paraId="7F6E1992" w14:textId="0162792D">
      <w:pPr>
        <w:shd w:val="clear" w:color="auto" w:fill="FFFFFF"/>
        <w:rPr>
          <w:rFonts w:eastAsia="Times New Roman" w:cs="Times New Roman"/>
          <w:color w:val="000000"/>
        </w:rPr>
      </w:pPr>
      <w:r w:rsidRPr="006608B1">
        <w:rPr>
          <w:rFonts w:eastAsia="Times New Roman" w:cs="Arial"/>
          <w:i/>
          <w:iCs/>
        </w:rPr>
        <w:t xml:space="preserve">Friend I </w:t>
      </w:r>
      <w:r w:rsidRPr="006608B1">
        <w:rPr>
          <w:rFonts w:eastAsia="Times New Roman" w:cs="Arial"/>
        </w:rPr>
        <w:t xml:space="preserve">establishes the procedural </w:t>
      </w:r>
      <w:r w:rsidRPr="006608B1" w:rsidR="00C805D3">
        <w:rPr>
          <w:rFonts w:eastAsia="Times New Roman" w:cs="Arial"/>
        </w:rPr>
        <w:t>backdrop</w:t>
      </w:r>
      <w:r w:rsidRPr="00345F18">
        <w:rPr>
          <w:rFonts w:eastAsia="Times New Roman" w:cs="Arial"/>
          <w:i/>
          <w:iCs/>
          <w:color w:val="000000"/>
        </w:rPr>
        <w:t xml:space="preserve">.  </w:t>
      </w:r>
      <w:r w:rsidRPr="00345F18" w:rsidR="0097102A">
        <w:rPr>
          <w:rFonts w:eastAsia="Times New Roman" w:cs="Arial"/>
          <w:color w:val="000000"/>
        </w:rPr>
        <w:t>Addressing the</w:t>
      </w:r>
      <w:r w:rsidRPr="00345F18" w:rsidR="001924C0">
        <w:rPr>
          <w:rFonts w:eastAsia="Times New Roman" w:cs="Arial"/>
          <w:color w:val="000000"/>
        </w:rPr>
        <w:t xml:space="preserve"> </w:t>
      </w:r>
      <w:r w:rsidRPr="00345F18" w:rsidR="0097102A">
        <w:rPr>
          <w:rFonts w:eastAsia="Times New Roman" w:cs="Arial"/>
          <w:color w:val="000000"/>
        </w:rPr>
        <w:t>“</w:t>
      </w:r>
      <w:r w:rsidRPr="00345F18" w:rsidR="0097102A">
        <w:rPr>
          <w:rFonts w:eastAsia="Times New Roman" w:cs="Times New Roman"/>
          <w:color w:val="000000"/>
        </w:rPr>
        <w:t>procedures for appellate review of a trial court</w:t>
      </w:r>
      <w:r w:rsidR="007A777F">
        <w:rPr>
          <w:rFonts w:eastAsia="Times New Roman" w:cs="Times New Roman"/>
          <w:color w:val="000000"/>
        </w:rPr>
        <w:t>’</w:t>
      </w:r>
      <w:r w:rsidRPr="00345F18" w:rsidR="0097102A">
        <w:rPr>
          <w:rFonts w:eastAsia="Times New Roman" w:cs="Times New Roman"/>
          <w:color w:val="000000"/>
        </w:rPr>
        <w:t xml:space="preserve">s determination that one or more claims in a subsequent petition are successive” </w:t>
      </w:r>
      <w:r w:rsidRPr="00345F18" w:rsidR="00BB0C60">
        <w:rPr>
          <w:rFonts w:eastAsia="Times New Roman" w:cs="Times New Roman"/>
          <w:color w:val="000000"/>
        </w:rPr>
        <w:t>(</w:t>
      </w:r>
      <w:r w:rsidRPr="00345F18" w:rsidR="00BB0C60">
        <w:rPr>
          <w:rFonts w:eastAsia="Times New Roman" w:cs="Times New Roman"/>
          <w:i/>
          <w:iCs/>
          <w:color w:val="3D3D3D"/>
          <w:bdr w:val="none" w:sz="0" w:space="0" w:color="auto" w:frame="1"/>
        </w:rPr>
        <w:t>Friend</w:t>
      </w:r>
      <w:r w:rsidR="005B6E5F">
        <w:rPr>
          <w:rFonts w:eastAsia="Times New Roman" w:cs="Times New Roman"/>
          <w:i/>
          <w:iCs/>
          <w:color w:val="3D3D3D"/>
          <w:bdr w:val="none" w:sz="0" w:space="0" w:color="auto" w:frame="1"/>
        </w:rPr>
        <w:t xml:space="preserve"> I</w:t>
      </w:r>
      <w:r w:rsidRPr="00345F18" w:rsidR="00BB0C60">
        <w:rPr>
          <w:rFonts w:eastAsia="Times New Roman" w:cs="Times New Roman"/>
          <w:color w:val="000000"/>
        </w:rPr>
        <w:t>,</w:t>
      </w:r>
      <w:r w:rsidR="005B6E5F">
        <w:rPr>
          <w:rFonts w:eastAsia="Times New Roman" w:cs="Times New Roman"/>
          <w:color w:val="000000"/>
        </w:rPr>
        <w:t xml:space="preserve"> </w:t>
      </w:r>
      <w:r w:rsidRPr="007A777F" w:rsidR="005B6E5F">
        <w:rPr>
          <w:rFonts w:eastAsia="Times New Roman" w:cs="Times New Roman"/>
          <w:i/>
          <w:iCs/>
          <w:color w:val="000000"/>
        </w:rPr>
        <w:t>supra</w:t>
      </w:r>
      <w:r w:rsidR="005B6E5F">
        <w:rPr>
          <w:rFonts w:eastAsia="Times New Roman" w:cs="Times New Roman"/>
          <w:color w:val="000000"/>
        </w:rPr>
        <w:t xml:space="preserve">, </w:t>
      </w:r>
      <w:r w:rsidR="007A777F">
        <w:rPr>
          <w:rFonts w:eastAsia="Times New Roman" w:cs="Times New Roman"/>
          <w:color w:val="000000"/>
        </w:rPr>
        <w:t>11 Cal.5th</w:t>
      </w:r>
      <w:r w:rsidRPr="00345F18" w:rsidR="00BB0C60">
        <w:rPr>
          <w:rFonts w:eastAsia="Times New Roman" w:cs="Times New Roman"/>
          <w:color w:val="000000"/>
        </w:rPr>
        <w:t xml:space="preserve"> at p.</w:t>
      </w:r>
      <w:r w:rsidR="00CA366F">
        <w:rPr>
          <w:rFonts w:eastAsia="Times New Roman" w:cs="Times New Roman"/>
          <w:color w:val="000000"/>
        </w:rPr>
        <w:t> </w:t>
      </w:r>
      <w:r w:rsidRPr="00345F18" w:rsidR="00BB0C60">
        <w:rPr>
          <w:rFonts w:eastAsia="Times New Roman" w:cs="Times New Roman"/>
          <w:color w:val="000000"/>
        </w:rPr>
        <w:t>7</w:t>
      </w:r>
      <w:r w:rsidRPr="00345F18" w:rsidR="001924C0">
        <w:rPr>
          <w:rFonts w:eastAsia="Times New Roman" w:cs="Times New Roman"/>
          <w:color w:val="000000"/>
        </w:rPr>
        <w:t>45</w:t>
      </w:r>
      <w:r w:rsidRPr="00345F18" w:rsidR="00BB0C60">
        <w:rPr>
          <w:rFonts w:eastAsia="Times New Roman" w:cs="Times New Roman"/>
          <w:color w:val="000000"/>
        </w:rPr>
        <w:t>)</w:t>
      </w:r>
      <w:r w:rsidRPr="00345F18" w:rsidR="00876C65">
        <w:rPr>
          <w:rFonts w:eastAsia="Times New Roman" w:cs="Times New Roman"/>
          <w:color w:val="000000"/>
        </w:rPr>
        <w:t xml:space="preserve">, </w:t>
      </w:r>
      <w:r w:rsidRPr="00345F18" w:rsidR="0044124F">
        <w:rPr>
          <w:rFonts w:eastAsia="Times New Roman" w:cs="Times New Roman"/>
          <w:i/>
          <w:color w:val="000000"/>
        </w:rPr>
        <w:t>Friend</w:t>
      </w:r>
      <w:r w:rsidRPr="00345F18" w:rsidR="0044124F">
        <w:rPr>
          <w:rFonts w:eastAsia="Times New Roman" w:cs="Arial"/>
          <w:i/>
          <w:iCs/>
          <w:color w:val="000000"/>
        </w:rPr>
        <w:t xml:space="preserve"> I </w:t>
      </w:r>
      <w:r w:rsidRPr="00345F18" w:rsidR="0044124F">
        <w:rPr>
          <w:rFonts w:eastAsia="Times New Roman" w:cs="Arial"/>
          <w:color w:val="000000"/>
        </w:rPr>
        <w:t>holds that</w:t>
      </w:r>
      <w:r w:rsidRPr="00345F18" w:rsidR="0044124F">
        <w:rPr>
          <w:rFonts w:eastAsia="Times New Roman" w:cs="Arial"/>
          <w:i/>
          <w:iCs/>
          <w:color w:val="000000"/>
        </w:rPr>
        <w:t xml:space="preserve"> </w:t>
      </w:r>
      <w:r w:rsidRPr="00345F18">
        <w:rPr>
          <w:rFonts w:eastAsia="Times New Roman" w:cs="Arial"/>
          <w:color w:val="000000"/>
        </w:rPr>
        <w:t>“</w:t>
      </w:r>
      <w:r w:rsidRPr="00345F18">
        <w:rPr>
          <w:rFonts w:eastAsia="Times New Roman" w:cs="Times New Roman"/>
          <w:color w:val="000000"/>
        </w:rPr>
        <w:t>Proposition 66 can</w:t>
      </w:r>
      <w:r w:rsidRPr="001924C0">
        <w:rPr>
          <w:rFonts w:eastAsia="Times New Roman" w:cs="Times New Roman"/>
          <w:color w:val="000000"/>
        </w:rPr>
        <w:t xml:space="preserve"> and should be read to provide a means for appealing the </w:t>
      </w:r>
      <w:r w:rsidR="00A91E0C">
        <w:rPr>
          <w:rFonts w:eastAsia="Times New Roman" w:cs="Times New Roman"/>
          <w:color w:val="000000"/>
        </w:rPr>
        <w:t>superior court</w:t>
      </w:r>
      <w:r w:rsidR="00580987">
        <w:rPr>
          <w:rFonts w:eastAsia="Times New Roman" w:cs="Times New Roman"/>
          <w:color w:val="000000"/>
        </w:rPr>
        <w:t>’</w:t>
      </w:r>
      <w:r w:rsidRPr="001924C0">
        <w:rPr>
          <w:rFonts w:eastAsia="Times New Roman" w:cs="Times New Roman"/>
          <w:color w:val="000000"/>
        </w:rPr>
        <w:t>s determination that a subsequent</w:t>
      </w:r>
      <w:r>
        <w:rPr>
          <w:rFonts w:eastAsia="Times New Roman" w:cs="Times New Roman"/>
          <w:color w:val="000000"/>
        </w:rPr>
        <w:t xml:space="preserve"> petition is successive</w:t>
      </w:r>
      <w:r w:rsidR="00561318">
        <w:rPr>
          <w:rFonts w:eastAsia="Times New Roman" w:cs="Times New Roman"/>
          <w:color w:val="000000"/>
        </w:rPr>
        <w:t>.</w:t>
      </w:r>
      <w:r>
        <w:rPr>
          <w:rFonts w:eastAsia="Times New Roman" w:cs="Times New Roman"/>
          <w:color w:val="000000"/>
        </w:rPr>
        <w:t xml:space="preserve">” </w:t>
      </w:r>
      <w:r w:rsidR="00561318">
        <w:rPr>
          <w:rFonts w:eastAsia="Times New Roman" w:cs="Times New Roman"/>
          <w:color w:val="000000"/>
        </w:rPr>
        <w:t xml:space="preserve"> </w:t>
      </w:r>
      <w:r>
        <w:rPr>
          <w:rFonts w:eastAsia="Times New Roman" w:cs="Arial"/>
          <w:color w:val="000000"/>
        </w:rPr>
        <w:t>(</w:t>
      </w:r>
      <w:r>
        <w:rPr>
          <w:rFonts w:eastAsia="Times New Roman" w:cs="Arial"/>
          <w:i/>
          <w:iCs/>
          <w:color w:val="000000"/>
        </w:rPr>
        <w:t>Friend I,</w:t>
      </w:r>
      <w:r>
        <w:rPr>
          <w:rFonts w:eastAsia="Times New Roman" w:cs="Arial"/>
          <w:color w:val="000000"/>
        </w:rPr>
        <w:t xml:space="preserve"> at p.</w:t>
      </w:r>
      <w:r w:rsidR="004C1D97">
        <w:rPr>
          <w:rFonts w:eastAsia="Times New Roman" w:cs="Arial"/>
          <w:color w:val="000000"/>
        </w:rPr>
        <w:t> </w:t>
      </w:r>
      <w:r>
        <w:rPr>
          <w:rFonts w:eastAsia="Times New Roman" w:cs="Arial"/>
          <w:color w:val="000000"/>
        </w:rPr>
        <w:t>747</w:t>
      </w:r>
      <w:r w:rsidR="00561318">
        <w:rPr>
          <w:rFonts w:eastAsia="Times New Roman" w:cs="Arial"/>
          <w:color w:val="000000"/>
        </w:rPr>
        <w:t>.</w:t>
      </w:r>
      <w:r>
        <w:rPr>
          <w:rFonts w:eastAsia="Times New Roman" w:cs="Arial"/>
          <w:color w:val="000000"/>
        </w:rPr>
        <w:t>)</w:t>
      </w:r>
      <w:r w:rsidR="00561318">
        <w:rPr>
          <w:rFonts w:eastAsia="Times New Roman" w:cs="Arial"/>
          <w:color w:val="000000"/>
        </w:rPr>
        <w:t xml:space="preserve">  The court finds </w:t>
      </w:r>
      <w:r>
        <w:rPr>
          <w:rFonts w:eastAsia="Times New Roman" w:cs="Times New Roman"/>
          <w:color w:val="000000"/>
        </w:rPr>
        <w:t xml:space="preserve">the </w:t>
      </w:r>
      <w:r>
        <w:rPr>
          <w:rFonts w:eastAsia="Times New Roman" w:cs="Arial"/>
          <w:color w:val="000000"/>
        </w:rPr>
        <w:t>authority for such appeal</w:t>
      </w:r>
      <w:r w:rsidR="0028236B">
        <w:rPr>
          <w:rFonts w:eastAsia="Times New Roman" w:cs="Arial"/>
          <w:color w:val="000000"/>
        </w:rPr>
        <w:t>s</w:t>
      </w:r>
      <w:r>
        <w:rPr>
          <w:rFonts w:eastAsia="Times New Roman" w:cs="Arial"/>
          <w:color w:val="000000"/>
        </w:rPr>
        <w:t xml:space="preserve"> </w:t>
      </w:r>
      <w:r w:rsidR="00EE1CCF">
        <w:rPr>
          <w:rFonts w:eastAsia="Times New Roman" w:cs="Arial"/>
          <w:color w:val="000000"/>
        </w:rPr>
        <w:t>in section 1509.1(c</w:t>
      </w:r>
      <w:r w:rsidR="00951BD5">
        <w:rPr>
          <w:rFonts w:eastAsia="Times New Roman" w:cs="Arial"/>
          <w:color w:val="000000"/>
        </w:rPr>
        <w:t>)</w:t>
      </w:r>
      <w:r w:rsidR="008E4E78">
        <w:rPr>
          <w:rFonts w:eastAsia="Times New Roman" w:cs="Arial"/>
          <w:color w:val="000000"/>
        </w:rPr>
        <w:t>.</w:t>
      </w:r>
      <w:r w:rsidR="00EE1CCF">
        <w:rPr>
          <w:rFonts w:eastAsia="Times New Roman" w:cs="Arial"/>
          <w:color w:val="000000"/>
        </w:rPr>
        <w:t xml:space="preserve">  </w:t>
      </w:r>
      <w:r w:rsidR="00CE5DD0">
        <w:rPr>
          <w:rFonts w:eastAsia="Times New Roman" w:cs="Arial"/>
          <w:color w:val="000000"/>
        </w:rPr>
        <w:t>(</w:t>
      </w:r>
      <w:r w:rsidR="00CE5DD0">
        <w:rPr>
          <w:rFonts w:eastAsia="Times New Roman" w:cs="Arial"/>
          <w:i/>
          <w:iCs/>
          <w:color w:val="000000"/>
        </w:rPr>
        <w:t>Friend I,</w:t>
      </w:r>
      <w:r w:rsidR="00CE5DD0">
        <w:rPr>
          <w:rFonts w:eastAsia="Times New Roman" w:cs="Arial"/>
          <w:color w:val="000000"/>
        </w:rPr>
        <w:t xml:space="preserve"> at p.</w:t>
      </w:r>
      <w:r w:rsidR="004C1D97">
        <w:rPr>
          <w:rFonts w:eastAsia="Times New Roman" w:cs="Arial"/>
          <w:color w:val="000000"/>
        </w:rPr>
        <w:t> </w:t>
      </w:r>
      <w:r w:rsidR="00CE5DD0">
        <w:rPr>
          <w:rFonts w:eastAsia="Times New Roman" w:cs="Arial"/>
          <w:color w:val="000000"/>
        </w:rPr>
        <w:t>747.)</w:t>
      </w:r>
      <w:r>
        <w:rPr>
          <w:rFonts w:eastAsia="Times New Roman" w:cs="Arial"/>
          <w:color w:val="000000"/>
        </w:rPr>
        <w:t xml:space="preserve">  </w:t>
      </w:r>
      <w:r>
        <w:rPr>
          <w:rFonts w:eastAsia="Times New Roman" w:cs="Times New Roman"/>
          <w:color w:val="000000"/>
        </w:rPr>
        <w:t xml:space="preserve">Thus, even where the </w:t>
      </w:r>
      <w:r w:rsidR="00A91E0C">
        <w:rPr>
          <w:rFonts w:eastAsia="Times New Roman" w:cs="Times New Roman"/>
          <w:color w:val="000000"/>
        </w:rPr>
        <w:t>superior court</w:t>
      </w:r>
      <w:r>
        <w:rPr>
          <w:rFonts w:eastAsia="Times New Roman" w:cs="Times New Roman"/>
          <w:color w:val="000000"/>
        </w:rPr>
        <w:t xml:space="preserve"> has denied a COA on the merits of the claims in a </w:t>
      </w:r>
      <w:r w:rsidR="001F2619">
        <w:rPr>
          <w:rFonts w:eastAsia="Times New Roman" w:cs="Times New Roman"/>
          <w:color w:val="000000"/>
        </w:rPr>
        <w:t xml:space="preserve">subsequent </w:t>
      </w:r>
      <w:r>
        <w:rPr>
          <w:rFonts w:eastAsia="Times New Roman" w:cs="Times New Roman"/>
          <w:color w:val="000000"/>
        </w:rPr>
        <w:t xml:space="preserve">petition that has been found to be successive, the </w:t>
      </w:r>
      <w:r w:rsidR="002872DD">
        <w:rPr>
          <w:rFonts w:eastAsia="Times New Roman" w:cs="Times New Roman"/>
          <w:color w:val="000000"/>
        </w:rPr>
        <w:t>C</w:t>
      </w:r>
      <w:r w:rsidR="00A91E0C">
        <w:rPr>
          <w:rFonts w:eastAsia="Times New Roman" w:cs="Times New Roman"/>
          <w:color w:val="000000"/>
        </w:rPr>
        <w:t xml:space="preserve">ourt of </w:t>
      </w:r>
      <w:r w:rsidR="002872DD">
        <w:rPr>
          <w:rFonts w:eastAsia="Times New Roman" w:cs="Times New Roman"/>
          <w:color w:val="000000"/>
        </w:rPr>
        <w:t>A</w:t>
      </w:r>
      <w:r w:rsidR="00A91E0C">
        <w:rPr>
          <w:rFonts w:eastAsia="Times New Roman" w:cs="Times New Roman"/>
          <w:color w:val="000000"/>
        </w:rPr>
        <w:t>ppeal</w:t>
      </w:r>
      <w:r>
        <w:rPr>
          <w:rFonts w:eastAsia="Times New Roman" w:cs="Times New Roman"/>
          <w:color w:val="000000"/>
        </w:rPr>
        <w:t xml:space="preserve"> may issue a COA </w:t>
      </w:r>
      <w:r w:rsidR="00EE1CCF">
        <w:rPr>
          <w:rFonts w:eastAsia="Times New Roman" w:cs="Times New Roman"/>
          <w:color w:val="000000"/>
        </w:rPr>
        <w:t xml:space="preserve">under section 1509.1(c) </w:t>
      </w:r>
      <w:r>
        <w:rPr>
          <w:rFonts w:eastAsia="Times New Roman" w:cs="Times New Roman"/>
          <w:color w:val="000000"/>
        </w:rPr>
        <w:t xml:space="preserve">on “the successiveness question itself.”  </w:t>
      </w:r>
      <w:r w:rsidR="00B27EA0">
        <w:rPr>
          <w:rFonts w:eastAsia="Times New Roman" w:cs="Arial"/>
          <w:color w:val="000000"/>
        </w:rPr>
        <w:t>(</w:t>
      </w:r>
      <w:r w:rsidR="00B27EA0">
        <w:rPr>
          <w:rFonts w:eastAsia="Times New Roman" w:cs="Arial"/>
          <w:i/>
          <w:iCs/>
          <w:color w:val="000000"/>
        </w:rPr>
        <w:t>Friend I,</w:t>
      </w:r>
      <w:r w:rsidR="00B27EA0">
        <w:rPr>
          <w:rFonts w:eastAsia="Times New Roman" w:cs="Arial"/>
          <w:color w:val="000000"/>
        </w:rPr>
        <w:t xml:space="preserve"> at p.</w:t>
      </w:r>
      <w:r w:rsidR="004C1D97">
        <w:t> </w:t>
      </w:r>
      <w:r w:rsidR="00B27EA0">
        <w:rPr>
          <w:rFonts w:eastAsia="Times New Roman" w:cs="Arial"/>
          <w:color w:val="000000"/>
        </w:rPr>
        <w:t>747.)</w:t>
      </w:r>
      <w:r>
        <w:rPr>
          <w:rFonts w:eastAsia="Times New Roman" w:cs="Times New Roman"/>
          <w:color w:val="000000"/>
        </w:rPr>
        <w:t xml:space="preserve"> </w:t>
      </w:r>
    </w:p>
    <w:p w:rsidR="00A44530" w:rsidP="0041645F" w14:paraId="7D28B1A1" w14:textId="0C1E7BE6">
      <w:pPr>
        <w:shd w:val="clear" w:color="auto" w:fill="FFFFFF"/>
      </w:pPr>
      <w:r>
        <w:rPr>
          <w:rFonts w:eastAsia="Times New Roman" w:cs="Times New Roman"/>
          <w:color w:val="000000"/>
        </w:rPr>
        <w:t>In</w:t>
      </w:r>
      <w:r w:rsidR="004F452D">
        <w:rPr>
          <w:rFonts w:eastAsia="Times New Roman" w:cs="Times New Roman"/>
          <w:color w:val="000000"/>
        </w:rPr>
        <w:t xml:space="preserve"> such </w:t>
      </w:r>
      <w:r w:rsidR="005B2B37">
        <w:rPr>
          <w:rFonts w:eastAsia="Times New Roman" w:cs="Times New Roman"/>
          <w:color w:val="000000"/>
        </w:rPr>
        <w:t>a scenario</w:t>
      </w:r>
      <w:r w:rsidR="004F452D">
        <w:rPr>
          <w:rFonts w:eastAsia="Times New Roman" w:cs="Times New Roman"/>
          <w:color w:val="000000"/>
        </w:rPr>
        <w:t>—which describes this case—</w:t>
      </w:r>
      <w:r w:rsidR="0041645F">
        <w:t xml:space="preserve">section 1509.1(c) states that a </w:t>
      </w:r>
      <w:r w:rsidR="00B6746F">
        <w:t>C</w:t>
      </w:r>
      <w:r w:rsidR="00A91E0C">
        <w:t xml:space="preserve">ourt of </w:t>
      </w:r>
      <w:r w:rsidR="00B6746F">
        <w:t>A</w:t>
      </w:r>
      <w:r w:rsidR="00A91E0C">
        <w:t>ppeal</w:t>
      </w:r>
      <w:r w:rsidR="0041645F">
        <w:t xml:space="preserve"> “shall” grant or deny a COA request within 10 days of the time such a request is made. </w:t>
      </w:r>
      <w:r w:rsidR="003A64CC">
        <w:t xml:space="preserve"> </w:t>
      </w:r>
      <w:r w:rsidR="003A64CC">
        <w:rPr>
          <w:rFonts w:eastAsia="Times New Roman" w:cs="Times New Roman"/>
          <w:color w:val="000000"/>
        </w:rPr>
        <w:t>(</w:t>
      </w:r>
      <w:r w:rsidR="006D1485">
        <w:rPr>
          <w:rFonts w:eastAsia="Times New Roman" w:cs="Times New Roman"/>
          <w:color w:val="000000"/>
        </w:rPr>
        <w:t xml:space="preserve">See </w:t>
      </w:r>
      <w:r w:rsidR="003A64CC">
        <w:rPr>
          <w:rFonts w:eastAsia="Times New Roman" w:cs="Times New Roman"/>
          <w:color w:val="000000"/>
        </w:rPr>
        <w:t>rule 8.392(b)(6)</w:t>
      </w:r>
      <w:r w:rsidR="00C76B39">
        <w:rPr>
          <w:rFonts w:eastAsia="Times New Roman" w:cs="Times New Roman"/>
          <w:color w:val="000000"/>
        </w:rPr>
        <w:t xml:space="preserve"> </w:t>
      </w:r>
      <w:r w:rsidRPr="00B611E8" w:rsidR="00C76B39">
        <w:rPr>
          <w:rFonts w:eastAsia="Times New Roman" w:cs="Times New Roman"/>
          <w:color w:val="000000"/>
        </w:rPr>
        <w:t>[10</w:t>
      </w:r>
      <w:r w:rsidR="00B65863">
        <w:rPr>
          <w:rFonts w:eastAsia="Times New Roman" w:cs="Times New Roman"/>
          <w:color w:val="000000"/>
        </w:rPr>
        <w:t>-</w:t>
      </w:r>
      <w:r w:rsidRPr="00B611E8" w:rsidR="00C76B39">
        <w:rPr>
          <w:rFonts w:eastAsia="Times New Roman" w:cs="Times New Roman"/>
          <w:color w:val="000000"/>
        </w:rPr>
        <w:t>day</w:t>
      </w:r>
      <w:r w:rsidR="00B65863">
        <w:rPr>
          <w:rFonts w:eastAsia="Times New Roman" w:cs="Times New Roman"/>
          <w:color w:val="000000"/>
        </w:rPr>
        <w:t xml:space="preserve"> deadline </w:t>
      </w:r>
      <w:r w:rsidRPr="00B611E8" w:rsidR="00C76B39">
        <w:rPr>
          <w:rFonts w:eastAsia="Times New Roman" w:cs="Times New Roman"/>
          <w:color w:val="000000"/>
        </w:rPr>
        <w:t xml:space="preserve">runs from date </w:t>
      </w:r>
      <w:r w:rsidRPr="00B56317" w:rsidR="00C76B39">
        <w:rPr>
          <w:rFonts w:cs="Segoe UI"/>
        </w:rPr>
        <w:t>of “the filing of the request in [the</w:t>
      </w:r>
      <w:r w:rsidR="001B6AC6">
        <w:rPr>
          <w:rFonts w:cs="Segoe UI"/>
        </w:rPr>
        <w:t xml:space="preserve"> </w:t>
      </w:r>
      <w:r w:rsidR="00A8253B">
        <w:rPr>
          <w:rFonts w:cs="Segoe UI"/>
        </w:rPr>
        <w:t>C</w:t>
      </w:r>
      <w:r w:rsidRPr="00B56317" w:rsidR="00C76B39">
        <w:rPr>
          <w:rFonts w:cs="Segoe UI"/>
        </w:rPr>
        <w:t>our</w:t>
      </w:r>
      <w:r w:rsidRPr="00B56317" w:rsidR="00F40DD9">
        <w:rPr>
          <w:rFonts w:cs="Segoe UI"/>
        </w:rPr>
        <w:t xml:space="preserve">t of </w:t>
      </w:r>
      <w:r w:rsidR="00A8253B">
        <w:rPr>
          <w:rFonts w:cs="Segoe UI"/>
        </w:rPr>
        <w:t>A</w:t>
      </w:r>
      <w:r w:rsidRPr="00B56317" w:rsidR="00F40DD9">
        <w:rPr>
          <w:rFonts w:cs="Segoe UI"/>
        </w:rPr>
        <w:t>ppeal</w:t>
      </w:r>
      <w:r w:rsidR="00FE5407">
        <w:rPr>
          <w:rFonts w:cs="Segoe UI"/>
        </w:rPr>
        <w:t>]</w:t>
      </w:r>
      <w:r w:rsidRPr="00B56317" w:rsidR="00B611E8">
        <w:rPr>
          <w:rFonts w:cs="Segoe UI"/>
        </w:rPr>
        <w:t>”</w:t>
      </w:r>
      <w:r w:rsidR="00241E6C">
        <w:rPr>
          <w:rFonts w:cs="Segoe UI"/>
        </w:rPr>
        <w:t>]</w:t>
      </w:r>
      <w:r w:rsidRPr="00B611E8" w:rsidR="003A64CC">
        <w:rPr>
          <w:rFonts w:eastAsia="Times New Roman" w:cs="Times New Roman"/>
          <w:color w:val="000000"/>
        </w:rPr>
        <w:t xml:space="preserve">.)  </w:t>
      </w:r>
      <w:r w:rsidRPr="00B611E8" w:rsidR="004E6657">
        <w:rPr>
          <w:rFonts w:eastAsia="Times New Roman" w:cs="Times New Roman"/>
          <w:color w:val="000000"/>
        </w:rPr>
        <w:t>We</w:t>
      </w:r>
      <w:r w:rsidR="004E6657">
        <w:rPr>
          <w:rFonts w:eastAsia="Times New Roman" w:cs="Times New Roman"/>
          <w:color w:val="000000"/>
        </w:rPr>
        <w:t xml:space="preserve"> rec</w:t>
      </w:r>
      <w:r w:rsidR="00212D49">
        <w:rPr>
          <w:rFonts w:eastAsia="Times New Roman" w:cs="Times New Roman"/>
          <w:color w:val="000000"/>
        </w:rPr>
        <w:t>e</w:t>
      </w:r>
      <w:r w:rsidR="004E6657">
        <w:rPr>
          <w:rFonts w:eastAsia="Times New Roman" w:cs="Times New Roman"/>
          <w:color w:val="000000"/>
        </w:rPr>
        <w:t>ived</w:t>
      </w:r>
      <w:r w:rsidR="0041645F">
        <w:t xml:space="preserve"> </w:t>
      </w:r>
      <w:r w:rsidR="0041645F">
        <w:rPr>
          <w:rFonts w:eastAsia="Times New Roman" w:cs="Times New Roman"/>
          <w:color w:val="000000"/>
        </w:rPr>
        <w:t>Seumanu</w:t>
      </w:r>
      <w:r w:rsidR="002130F3">
        <w:rPr>
          <w:rFonts w:eastAsia="Times New Roman" w:cs="Times New Roman"/>
          <w:color w:val="000000"/>
        </w:rPr>
        <w:t>’s</w:t>
      </w:r>
      <w:r w:rsidR="0041645F">
        <w:t xml:space="preserve"> notice of appeal on November</w:t>
      </w:r>
      <w:r w:rsidR="00AE7504">
        <w:t> </w:t>
      </w:r>
      <w:r w:rsidR="0041645F">
        <w:t xml:space="preserve">27, 2023, and </w:t>
      </w:r>
      <w:r w:rsidR="00212D49">
        <w:t>since he checked a box in the notice</w:t>
      </w:r>
      <w:r w:rsidR="00C67AAA">
        <w:t xml:space="preserve"> requesting a COA, </w:t>
      </w:r>
      <w:r w:rsidR="006B2C34">
        <w:t>the 10-day clock began to run</w:t>
      </w:r>
      <w:r w:rsidR="00494F9A">
        <w:t xml:space="preserve"> </w:t>
      </w:r>
      <w:r w:rsidR="00DA2F07">
        <w:t>that day</w:t>
      </w:r>
      <w:r w:rsidR="0041645F">
        <w:t xml:space="preserve">. </w:t>
      </w:r>
      <w:r w:rsidR="0041645F">
        <w:rPr>
          <w:rFonts w:eastAsia="Times New Roman" w:cs="Arial"/>
          <w:color w:val="000000"/>
        </w:rPr>
        <w:t xml:space="preserve"> </w:t>
      </w:r>
      <w:r w:rsidR="000832ED">
        <w:rPr>
          <w:rFonts w:eastAsia="Times New Roman" w:cs="Arial"/>
          <w:color w:val="000000"/>
        </w:rPr>
        <w:t xml:space="preserve">Because </w:t>
      </w:r>
      <w:r w:rsidR="000832ED">
        <w:t>more</w:t>
      </w:r>
      <w:r w:rsidR="0041645F">
        <w:t xml:space="preserve"> than 10 days hav</w:t>
      </w:r>
      <w:r w:rsidR="00B07A6D">
        <w:t>e</w:t>
      </w:r>
      <w:r w:rsidR="0041645F">
        <w:t xml:space="preserve"> elapsed since th</w:t>
      </w:r>
      <w:r w:rsidR="00DA2F07">
        <w:t>en</w:t>
      </w:r>
      <w:r w:rsidR="0041645F">
        <w:t xml:space="preserve">, </w:t>
      </w:r>
      <w:r w:rsidR="00112EE2">
        <w:t>we</w:t>
      </w:r>
      <w:r w:rsidR="0041645F">
        <w:t xml:space="preserve"> must decide whether the deadline specified in section 1509.1(c) is jurisdictionally mandatory, and thus whether automatic dismissal of </w:t>
      </w:r>
      <w:r w:rsidR="0041645F">
        <w:rPr>
          <w:rFonts w:eastAsia="Times New Roman" w:cs="Times New Roman"/>
          <w:color w:val="000000"/>
        </w:rPr>
        <w:t xml:space="preserve">Seumanu’s COA request </w:t>
      </w:r>
      <w:r w:rsidR="0041645F">
        <w:t>is required based on the passage of time alone</w:t>
      </w:r>
      <w:r w:rsidR="000C1750">
        <w:t xml:space="preserve">.  </w:t>
      </w:r>
    </w:p>
    <w:p w:rsidR="008405D5" w:rsidP="0041645F" w14:paraId="7DDD3ACB" w14:textId="0CD5ADE3">
      <w:pPr>
        <w:shd w:val="clear" w:color="auto" w:fill="FFFFFF"/>
      </w:pPr>
      <w:r>
        <w:t>On December</w:t>
      </w:r>
      <w:r w:rsidR="00157A38">
        <w:t> </w:t>
      </w:r>
      <w:r>
        <w:t>1, 20</w:t>
      </w:r>
      <w:r w:rsidR="006801CD">
        <w:t>23,</w:t>
      </w:r>
      <w:r w:rsidRPr="003F4ED8" w:rsidR="003F4ED8">
        <w:rPr>
          <w:rStyle w:val="FootnoteReference"/>
          <w:color w:val="000000"/>
          <w:shd w:val="clear" w:color="auto" w:fill="FFFFFF"/>
        </w:rPr>
        <w:t xml:space="preserve"> </w:t>
      </w:r>
      <w:r w:rsidR="006801CD">
        <w:t>w</w:t>
      </w:r>
      <w:r w:rsidR="00405652">
        <w:t xml:space="preserve">e requested </w:t>
      </w:r>
      <w:r w:rsidR="007C764B">
        <w:t>th</w:t>
      </w:r>
      <w:r w:rsidR="006801CD">
        <w:t xml:space="preserve">e </w:t>
      </w:r>
      <w:r w:rsidR="007C764B">
        <w:t xml:space="preserve">Attorney General to file a brief </w:t>
      </w:r>
      <w:r w:rsidR="0036347A">
        <w:t xml:space="preserve">addressing </w:t>
      </w:r>
      <w:r w:rsidR="00C10850">
        <w:t>this issue.</w:t>
      </w:r>
      <w:r w:rsidR="0036347A">
        <w:t xml:space="preserve"> </w:t>
      </w:r>
      <w:r w:rsidR="006E6D91">
        <w:t xml:space="preserve"> </w:t>
      </w:r>
      <w:r w:rsidR="00213D1F">
        <w:t xml:space="preserve">With the caveat that the language of section 1509.1(c) might be read to create a </w:t>
      </w:r>
      <w:r w:rsidR="00066340">
        <w:t>60-day jurisdictional deadline</w:t>
      </w:r>
      <w:r w:rsidR="00FB6BD3">
        <w:t xml:space="preserve"> starting from the date a notice of appeal is filed in the </w:t>
      </w:r>
      <w:r w:rsidR="00A91E0C">
        <w:t>superior court</w:t>
      </w:r>
      <w:r w:rsidR="00066340">
        <w:t xml:space="preserve">, </w:t>
      </w:r>
      <w:r w:rsidR="006E6D91">
        <w:t xml:space="preserve">the Attorney General took the position </w:t>
      </w:r>
      <w:r w:rsidR="00487580">
        <w:t xml:space="preserve">that “the </w:t>
      </w:r>
      <w:r w:rsidRPr="00487580" w:rsidR="00487580">
        <w:t>10-day limitation of section 1509.1, subdivision (</w:t>
      </w:r>
      <w:r w:rsidR="007635A1">
        <w:t>c</w:t>
      </w:r>
      <w:r w:rsidRPr="00487580" w:rsidR="00487580">
        <w:t>)</w:t>
      </w:r>
      <w:r w:rsidR="00487580">
        <w:t>” is not jurisdictional and “</w:t>
      </w:r>
      <w:r w:rsidRPr="00487580" w:rsidR="00487580">
        <w:t>may be exceeded for good cause.</w:t>
      </w:r>
      <w:r w:rsidR="00487580">
        <w:t>”</w:t>
      </w:r>
      <w:r>
        <w:rPr>
          <w:rStyle w:val="FootnoteReference"/>
        </w:rPr>
        <w:footnoteReference w:id="5"/>
      </w:r>
      <w:r>
        <w:t xml:space="preserve">  </w:t>
      </w:r>
      <w:r w:rsidRPr="002728BA" w:rsidR="00175BB1">
        <w:t xml:space="preserve">We </w:t>
      </w:r>
      <w:r w:rsidR="009E64F3">
        <w:t xml:space="preserve">agree, </w:t>
      </w:r>
      <w:r w:rsidR="00C37171">
        <w:t>but</w:t>
      </w:r>
      <w:r w:rsidR="009E64F3">
        <w:t xml:space="preserve"> we </w:t>
      </w:r>
      <w:r w:rsidR="008213C1">
        <w:t xml:space="preserve">also </w:t>
      </w:r>
      <w:r w:rsidRPr="002728BA" w:rsidR="00066340">
        <w:t xml:space="preserve">reject the idea that </w:t>
      </w:r>
      <w:r w:rsidRPr="002728BA" w:rsidR="00141544">
        <w:t>section</w:t>
      </w:r>
      <w:r w:rsidR="00774620">
        <w:t> </w:t>
      </w:r>
      <w:r w:rsidRPr="002728BA" w:rsidR="00141544">
        <w:t xml:space="preserve">1509.1(c) specifies </w:t>
      </w:r>
      <w:r w:rsidRPr="008405D5" w:rsidR="00141544">
        <w:rPr>
          <w:i/>
          <w:iCs/>
        </w:rPr>
        <w:t>any</w:t>
      </w:r>
      <w:r w:rsidRPr="002728BA" w:rsidR="002728BA">
        <w:t xml:space="preserve"> jurisdictionally mandatory </w:t>
      </w:r>
      <w:r w:rsidR="00954F9E">
        <w:t>deci</w:t>
      </w:r>
      <w:r w:rsidR="000B7881">
        <w:t xml:space="preserve">sional </w:t>
      </w:r>
      <w:r w:rsidRPr="002728BA" w:rsidR="002728BA">
        <w:t xml:space="preserve">deadline.  </w:t>
      </w:r>
    </w:p>
    <w:p w:rsidR="0041645F" w:rsidP="0041645F" w14:paraId="1F7EEC2D" w14:textId="00DA5718">
      <w:pPr>
        <w:shd w:val="clear" w:color="auto" w:fill="FFFFFF"/>
      </w:pPr>
      <w:r w:rsidRPr="002728BA">
        <w:t>In an order issued December</w:t>
      </w:r>
      <w:r w:rsidR="006D1A92">
        <w:t> </w:t>
      </w:r>
      <w:r w:rsidRPr="002728BA">
        <w:t xml:space="preserve">5, 2023, we announced this ruling and invited any party </w:t>
      </w:r>
      <w:r w:rsidRPr="002728BA" w:rsidR="007D1C8A">
        <w:t xml:space="preserve">who disagrees </w:t>
      </w:r>
      <w:r w:rsidRPr="002728BA">
        <w:t>to seek immediate relief by writ in the Supreme Cour</w:t>
      </w:r>
      <w:r w:rsidR="00AA7277">
        <w:t>t</w:t>
      </w:r>
      <w:r w:rsidRPr="002728BA" w:rsidR="00BD190B">
        <w:t xml:space="preserve">. </w:t>
      </w:r>
      <w:r w:rsidRPr="002728BA">
        <w:rPr>
          <w:rFonts w:eastAsia="Times New Roman" w:cs="Arial"/>
          <w:color w:val="000000"/>
        </w:rPr>
        <w:t xml:space="preserve"> </w:t>
      </w:r>
      <w:r w:rsidRPr="002728BA">
        <w:t>That order stated as follows:  “</w:t>
      </w:r>
      <w:r w:rsidRPr="002728BA">
        <w:rPr>
          <w:shd w:val="clear" w:color="auto" w:fill="FFFFFF"/>
        </w:rPr>
        <w:t>The court has concluded that the 10-day period in</w:t>
      </w:r>
      <w:r w:rsidR="00AA7277">
        <w:rPr>
          <w:shd w:val="clear" w:color="auto" w:fill="FFFFFF"/>
        </w:rPr>
        <w:t xml:space="preserve"> . . . </w:t>
      </w:r>
      <w:r w:rsidRPr="002728BA">
        <w:rPr>
          <w:shd w:val="clear" w:color="auto" w:fill="FFFFFF"/>
        </w:rPr>
        <w:t xml:space="preserve">section 1509.1(c) for a </w:t>
      </w:r>
      <w:r w:rsidR="00A91E0C">
        <w:rPr>
          <w:shd w:val="clear" w:color="auto" w:fill="FFFFFF"/>
        </w:rPr>
        <w:t>court of appeal</w:t>
      </w:r>
      <w:r w:rsidRPr="002728BA">
        <w:rPr>
          <w:shd w:val="clear" w:color="auto" w:fill="FFFFFF"/>
        </w:rPr>
        <w:t xml:space="preserve"> to grant or deny a request for a certificate of appealability is directory, not mandatory</w:t>
      </w:r>
      <w:r w:rsidRPr="002728BA" w:rsidR="00213D1F">
        <w:rPr>
          <w:shd w:val="clear" w:color="auto" w:fill="FFFFFF"/>
        </w:rPr>
        <w:t>.</w:t>
      </w:r>
      <w:r w:rsidR="0014622D">
        <w:rPr>
          <w:shd w:val="clear" w:color="auto" w:fill="FFFFFF"/>
        </w:rPr>
        <w:t xml:space="preserve"> . . . </w:t>
      </w:r>
      <w:r w:rsidRPr="002728BA" w:rsidR="00B72462">
        <w:rPr>
          <w:color w:val="000000"/>
          <w:shd w:val="clear" w:color="auto" w:fill="FFFFFF"/>
        </w:rPr>
        <w:t xml:space="preserve">The court has further concluded that Penal Code section 1509.1, subdivision (c) does not require the court to decide the request for a certificate of appealability within 60 days after appellant filed a notice of appeal in the </w:t>
      </w:r>
      <w:r w:rsidR="00A91E0C">
        <w:rPr>
          <w:color w:val="000000"/>
          <w:shd w:val="clear" w:color="auto" w:fill="FFFFFF"/>
        </w:rPr>
        <w:t>superior court</w:t>
      </w:r>
      <w:r w:rsidRPr="002728BA" w:rsidR="00B72462">
        <w:rPr>
          <w:color w:val="000000"/>
          <w:shd w:val="clear" w:color="auto" w:fill="FFFFFF"/>
        </w:rPr>
        <w:t>.</w:t>
      </w:r>
      <w:r w:rsidRPr="002728BA">
        <w:rPr>
          <w:shd w:val="clear" w:color="auto" w:fill="FFFFFF"/>
        </w:rPr>
        <w:t xml:space="preserve"> </w:t>
      </w:r>
      <w:r w:rsidRPr="002728BA" w:rsidR="00CB4B98">
        <w:rPr>
          <w:shd w:val="clear" w:color="auto" w:fill="FFFFFF"/>
        </w:rPr>
        <w:t xml:space="preserve"> </w:t>
      </w:r>
      <w:r w:rsidRPr="002728BA">
        <w:rPr>
          <w:shd w:val="clear" w:color="auto" w:fill="FFFFFF"/>
        </w:rPr>
        <w:t>As expeditiously as possible, the court intends to issue an order explaining in more detail the basis for these conclusions.”  Neither party objected to our announced ruling or sought emergency relief.  This opinion provides the more fulsome explanation of reasons we indicated would be forthcoming</w:t>
      </w:r>
      <w:r>
        <w:rPr>
          <w:shd w:val="clear" w:color="auto" w:fill="FFFFFF"/>
        </w:rPr>
        <w:t>.</w:t>
      </w:r>
      <w:r>
        <w:t xml:space="preserve">  </w:t>
      </w:r>
    </w:p>
    <w:p w:rsidR="0041645F" w:rsidP="0041645F" w14:paraId="63372AC0" w14:textId="1FDAB450">
      <w:pPr>
        <w:shd w:val="clear" w:color="auto" w:fill="FFFFFF"/>
        <w:rPr>
          <w:rFonts w:eastAsia="Times New Roman" w:cs="Times New Roman"/>
          <w:color w:val="000000"/>
        </w:rPr>
      </w:pPr>
      <w:r>
        <w:rPr>
          <w:color w:val="000000"/>
          <w:shd w:val="clear" w:color="auto" w:fill="FFFFFF"/>
        </w:rPr>
        <w:t xml:space="preserve">The reasoning in </w:t>
      </w:r>
      <w:r>
        <w:rPr>
          <w:i/>
          <w:iCs/>
          <w:color w:val="000000"/>
          <w:shd w:val="clear" w:color="auto" w:fill="FFFFFF"/>
        </w:rPr>
        <w:t>Briggs</w:t>
      </w:r>
      <w:r>
        <w:rPr>
          <w:color w:val="000000"/>
          <w:shd w:val="clear" w:color="auto" w:fill="FFFFFF"/>
        </w:rPr>
        <w:t xml:space="preserve"> compels the conclusion we have reached.  The </w:t>
      </w:r>
      <w:r>
        <w:rPr>
          <w:i/>
          <w:iCs/>
          <w:color w:val="000000"/>
          <w:shd w:val="clear" w:color="auto" w:fill="FFFFFF"/>
        </w:rPr>
        <w:t>Briggs</w:t>
      </w:r>
      <w:r>
        <w:rPr>
          <w:color w:val="000000"/>
          <w:shd w:val="clear" w:color="auto" w:fill="FFFFFF"/>
        </w:rPr>
        <w:t xml:space="preserve"> opinion began its discussion by acknowledging the Legislature’s power to regulate the speed at which adjudication in the courts takes place.  (</w:t>
      </w:r>
      <w:r>
        <w:rPr>
          <w:i/>
          <w:iCs/>
          <w:color w:val="000000"/>
          <w:shd w:val="clear" w:color="auto" w:fill="FFFFFF"/>
        </w:rPr>
        <w:t>Briggs</w:t>
      </w:r>
      <w:r>
        <w:rPr>
          <w:color w:val="000000"/>
          <w:shd w:val="clear" w:color="auto" w:fill="FFFFFF"/>
        </w:rPr>
        <w:t xml:space="preserve">, </w:t>
      </w:r>
      <w:r>
        <w:rPr>
          <w:i/>
          <w:iCs/>
          <w:color w:val="000000"/>
          <w:shd w:val="clear" w:color="auto" w:fill="FFFFFF"/>
        </w:rPr>
        <w:t>supra</w:t>
      </w:r>
      <w:r>
        <w:rPr>
          <w:color w:val="000000"/>
          <w:shd w:val="clear" w:color="auto" w:fill="FFFFFF"/>
        </w:rPr>
        <w:t>, 3</w:t>
      </w:r>
      <w:r w:rsidR="002630E6">
        <w:rPr>
          <w:color w:val="000000"/>
          <w:shd w:val="clear" w:color="auto" w:fill="FFFFFF"/>
        </w:rPr>
        <w:t> </w:t>
      </w:r>
      <w:r>
        <w:rPr>
          <w:color w:val="000000"/>
          <w:shd w:val="clear" w:color="auto" w:fill="FFFFFF"/>
        </w:rPr>
        <w:t>Cal.5</w:t>
      </w:r>
      <w:r w:rsidRPr="00CE0FE3">
        <w:rPr>
          <w:color w:val="000000"/>
          <w:shd w:val="clear" w:color="auto" w:fill="FFFFFF"/>
        </w:rPr>
        <w:t>th</w:t>
      </w:r>
      <w:r>
        <w:rPr>
          <w:color w:val="000000"/>
          <w:shd w:val="clear" w:color="auto" w:fill="FFFFFF"/>
        </w:rPr>
        <w:t xml:space="preserve"> at </w:t>
      </w:r>
      <w:r w:rsidR="00CD02AF">
        <w:rPr>
          <w:color w:val="000000"/>
          <w:shd w:val="clear" w:color="auto" w:fill="FFFFFF"/>
        </w:rPr>
        <w:t>pp.</w:t>
      </w:r>
      <w:r w:rsidR="002630E6">
        <w:rPr>
          <w:color w:val="000000"/>
          <w:shd w:val="clear" w:color="auto" w:fill="FFFFFF"/>
        </w:rPr>
        <w:t> </w:t>
      </w:r>
      <w:r>
        <w:rPr>
          <w:color w:val="000000"/>
          <w:shd w:val="clear" w:color="auto" w:fill="FFFFFF"/>
        </w:rPr>
        <w:t>848</w:t>
      </w:r>
      <w:r w:rsidR="00FB029E">
        <w:rPr>
          <w:color w:val="000000"/>
          <w:shd w:val="clear" w:color="auto" w:fill="FFFFFF"/>
        </w:rPr>
        <w:t>–</w:t>
      </w:r>
      <w:r w:rsidR="00CD02AF">
        <w:rPr>
          <w:color w:val="000000"/>
          <w:shd w:val="clear" w:color="auto" w:fill="FFFFFF"/>
        </w:rPr>
        <w:t>849</w:t>
      </w:r>
      <w:r>
        <w:rPr>
          <w:color w:val="000000"/>
          <w:shd w:val="clear" w:color="auto" w:fill="FFFFFF"/>
        </w:rPr>
        <w:t>.)  To illustrate, the court pointed to commonly used provisions that grant “</w:t>
      </w:r>
      <w:r>
        <w:rPr>
          <w:rFonts w:eastAsia="Times New Roman" w:cs="Times New Roman"/>
          <w:color w:val="000000"/>
        </w:rPr>
        <w:t>priority to certain matters” and require courts to “conduct proceedings as speedily as possible.”  (</w:t>
      </w:r>
      <w:r>
        <w:rPr>
          <w:rFonts w:eastAsia="Times New Roman" w:cs="Times New Roman"/>
          <w:i/>
          <w:iCs/>
          <w:color w:val="000000"/>
        </w:rPr>
        <w:t>Ibid</w:t>
      </w:r>
      <w:r>
        <w:rPr>
          <w:rFonts w:eastAsia="Times New Roman" w:cs="Times New Roman"/>
          <w:color w:val="000000"/>
        </w:rPr>
        <w:t xml:space="preserve">.)  But the court </w:t>
      </w:r>
      <w:r>
        <w:rPr>
          <w:color w:val="000000"/>
          <w:shd w:val="clear" w:color="auto" w:fill="FFFFFF"/>
        </w:rPr>
        <w:t xml:space="preserve">then went on to discuss </w:t>
      </w:r>
      <w:r>
        <w:rPr>
          <w:rFonts w:eastAsia="Times New Roman" w:cs="Times New Roman"/>
          <w:i/>
          <w:iCs/>
          <w:color w:val="3D3D3D"/>
          <w:bdr w:val="none" w:sz="0" w:space="0" w:color="auto" w:frame="1"/>
        </w:rPr>
        <w:t>Garrison v. Rourke</w:t>
      </w:r>
      <w:r>
        <w:rPr>
          <w:rFonts w:eastAsia="Times New Roman" w:cs="Times New Roman"/>
          <w:color w:val="000000"/>
        </w:rPr>
        <w:t xml:space="preserve"> (1948) 32</w:t>
      </w:r>
      <w:r w:rsidR="002630E6">
        <w:rPr>
          <w:rFonts w:eastAsia="Times New Roman" w:cs="Times New Roman"/>
          <w:color w:val="000000"/>
        </w:rPr>
        <w:t> </w:t>
      </w:r>
      <w:r>
        <w:rPr>
          <w:rFonts w:eastAsia="Times New Roman" w:cs="Times New Roman"/>
          <w:color w:val="000000"/>
        </w:rPr>
        <w:t xml:space="preserve">Cal.2d 430, and a long line of similar </w:t>
      </w:r>
      <w:r>
        <w:rPr>
          <w:color w:val="000000"/>
          <w:shd w:val="clear" w:color="auto" w:fill="FFFFFF"/>
        </w:rPr>
        <w:t>cases that construe statutes as directory in some circumstances, even when the Legislat</w:t>
      </w:r>
      <w:r w:rsidR="009C49BB">
        <w:rPr>
          <w:color w:val="000000"/>
          <w:shd w:val="clear" w:color="auto" w:fill="FFFFFF"/>
        </w:rPr>
        <w:t>ur</w:t>
      </w:r>
      <w:r>
        <w:rPr>
          <w:color w:val="000000"/>
          <w:shd w:val="clear" w:color="auto" w:fill="FFFFFF"/>
        </w:rPr>
        <w:t>e uses the language of command.  (</w:t>
      </w:r>
      <w:r>
        <w:rPr>
          <w:i/>
          <w:iCs/>
          <w:color w:val="000000"/>
          <w:shd w:val="clear" w:color="auto" w:fill="FFFFFF"/>
        </w:rPr>
        <w:t>Id</w:t>
      </w:r>
      <w:r>
        <w:rPr>
          <w:color w:val="000000"/>
          <w:shd w:val="clear" w:color="auto" w:fill="FFFFFF"/>
        </w:rPr>
        <w:t>. at pp.</w:t>
      </w:r>
      <w:r w:rsidR="002630E6">
        <w:rPr>
          <w:color w:val="000000"/>
          <w:shd w:val="clear" w:color="auto" w:fill="FFFFFF"/>
        </w:rPr>
        <w:t> </w:t>
      </w:r>
      <w:r>
        <w:rPr>
          <w:color w:val="000000"/>
          <w:shd w:val="clear" w:color="auto" w:fill="FFFFFF"/>
        </w:rPr>
        <w:t>849</w:t>
      </w:r>
      <w:r w:rsidR="005E0FA8">
        <w:rPr>
          <w:color w:val="000000"/>
          <w:shd w:val="clear" w:color="auto" w:fill="FFFFFF"/>
        </w:rPr>
        <w:t>–</w:t>
      </w:r>
      <w:r>
        <w:rPr>
          <w:color w:val="000000"/>
          <w:shd w:val="clear" w:color="auto" w:fill="FFFFFF"/>
        </w:rPr>
        <w:t>854.)</w:t>
      </w:r>
      <w:r>
        <w:rPr>
          <w:rStyle w:val="FootnoteReference"/>
          <w:color w:val="000000"/>
          <w:shd w:val="clear" w:color="auto" w:fill="FFFFFF"/>
        </w:rPr>
        <w:footnoteReference w:id="6"/>
      </w:r>
      <w:r>
        <w:rPr>
          <w:color w:val="000000"/>
          <w:shd w:val="clear" w:color="auto" w:fill="FFFFFF"/>
        </w:rPr>
        <w:t xml:space="preserve">  </w:t>
      </w:r>
      <w:r>
        <w:t xml:space="preserve">The </w:t>
      </w:r>
      <w:r>
        <w:rPr>
          <w:i/>
          <w:iCs/>
        </w:rPr>
        <w:t>Garrison</w:t>
      </w:r>
      <w:r>
        <w:t xml:space="preserve"> line of cases recognizes </w:t>
      </w:r>
      <w:r>
        <w:rPr>
          <w:rFonts w:eastAsia="Times New Roman" w:cs="Times New Roman"/>
          <w:color w:val="000000"/>
        </w:rPr>
        <w:t>that “while the Legislature has broad authority to regulate procedure, the constitutional separation of powers does not permit statutory restrictions that would materially impair fair adjudication or unduly restrict the courts’ ability to administer justice in an orderly fashion.”  (</w:t>
      </w:r>
      <w:r>
        <w:rPr>
          <w:rFonts w:eastAsia="Times New Roman" w:cs="Times New Roman"/>
          <w:i/>
          <w:iCs/>
          <w:color w:val="3D3D3D"/>
          <w:bdr w:val="none" w:sz="0" w:space="0" w:color="auto" w:frame="1"/>
        </w:rPr>
        <w:t>Briggs</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3</w:t>
      </w:r>
      <w:r w:rsidR="007314B6">
        <w:rPr>
          <w:rFonts w:eastAsia="Times New Roman" w:cs="Times New Roman"/>
          <w:color w:val="000000"/>
        </w:rPr>
        <w:t> </w:t>
      </w:r>
      <w:r>
        <w:rPr>
          <w:rFonts w:eastAsia="Times New Roman" w:cs="Times New Roman"/>
          <w:color w:val="000000"/>
        </w:rPr>
        <w:t>Cal.5th at p.</w:t>
      </w:r>
      <w:r w:rsidR="007314B6">
        <w:rPr>
          <w:rFonts w:eastAsia="Times New Roman" w:cs="Times New Roman"/>
          <w:color w:val="000000"/>
        </w:rPr>
        <w:t> </w:t>
      </w:r>
      <w:r>
        <w:rPr>
          <w:rFonts w:eastAsia="Times New Roman" w:cs="Times New Roman"/>
          <w:color w:val="000000"/>
        </w:rPr>
        <w:t xml:space="preserve">854; see </w:t>
      </w:r>
      <w:r>
        <w:rPr>
          <w:rFonts w:eastAsia="Times New Roman" w:cs="Times New Roman"/>
          <w:i/>
          <w:iCs/>
          <w:color w:val="3D3D3D"/>
          <w:bdr w:val="none" w:sz="0" w:space="0" w:color="auto" w:frame="1"/>
        </w:rPr>
        <w:t>People v. Engram</w:t>
      </w:r>
      <w:r>
        <w:rPr>
          <w:rFonts w:eastAsia="Times New Roman" w:cs="Times New Roman"/>
          <w:color w:val="000000"/>
        </w:rPr>
        <w:t xml:space="preserve"> (2010) 50</w:t>
      </w:r>
      <w:r w:rsidR="007314B6">
        <w:rPr>
          <w:rFonts w:eastAsia="Times New Roman" w:cs="Times New Roman"/>
          <w:color w:val="000000"/>
        </w:rPr>
        <w:t> </w:t>
      </w:r>
      <w:r>
        <w:rPr>
          <w:rFonts w:eastAsia="Times New Roman" w:cs="Times New Roman"/>
          <w:color w:val="000000"/>
        </w:rPr>
        <w:t>Cal.4th 1131, 1146</w:t>
      </w:r>
      <w:r w:rsidR="009939D7">
        <w:rPr>
          <w:rFonts w:eastAsia="Times New Roman" w:cs="Times New Roman"/>
          <w:color w:val="000000"/>
        </w:rPr>
        <w:t>–</w:t>
      </w:r>
      <w:r>
        <w:rPr>
          <w:rFonts w:eastAsia="Times New Roman" w:cs="Times New Roman"/>
          <w:color w:val="000000"/>
        </w:rPr>
        <w:t>114</w:t>
      </w:r>
      <w:r w:rsidR="001200AB">
        <w:rPr>
          <w:rFonts w:eastAsia="Times New Roman" w:cs="Times New Roman"/>
          <w:color w:val="000000"/>
        </w:rPr>
        <w:t>9</w:t>
      </w:r>
      <w:r>
        <w:rPr>
          <w:rFonts w:eastAsia="Times New Roman" w:cs="Times New Roman"/>
          <w:color w:val="000000"/>
        </w:rPr>
        <w:t>, 1161</w:t>
      </w:r>
      <w:r w:rsidR="009939D7">
        <w:rPr>
          <w:rFonts w:eastAsia="Times New Roman" w:cs="Times New Roman"/>
          <w:color w:val="000000"/>
        </w:rPr>
        <w:t>–</w:t>
      </w:r>
      <w:r>
        <w:rPr>
          <w:rFonts w:eastAsia="Times New Roman" w:cs="Times New Roman"/>
          <w:color w:val="000000"/>
        </w:rPr>
        <w:t>1162.)</w:t>
      </w:r>
    </w:p>
    <w:p w:rsidR="0041645F" w:rsidP="0041645F" w14:paraId="566FEEA0" w14:textId="6730D968">
      <w:pPr>
        <w:shd w:val="clear" w:color="auto" w:fill="FFFFFF"/>
        <w:rPr>
          <w:rFonts w:eastAsia="Times New Roman" w:cs="Times New Roman"/>
          <w:color w:val="000000"/>
        </w:rPr>
      </w:pPr>
      <w:r>
        <w:rPr>
          <w:rFonts w:eastAsia="Times New Roman" w:cs="Times New Roman"/>
          <w:color w:val="000000"/>
        </w:rPr>
        <w:t>When addressing the question whether a statute that appears to command courts to proceed in a specified manner is mandatory or directory, these cases adopt a clear statement rule of construction in order to avoid the constitutional separation of powers concerns that such commands create. (</w:t>
      </w:r>
      <w:r>
        <w:rPr>
          <w:rFonts w:eastAsia="Times New Roman" w:cs="Arial"/>
          <w:i/>
          <w:iCs/>
          <w:bdr w:val="none" w:sz="0" w:space="0" w:color="auto" w:frame="1"/>
        </w:rPr>
        <w:t>Briggs</w:t>
      </w:r>
      <w:r>
        <w:rPr>
          <w:rFonts w:eastAsia="Times New Roman" w:cs="Arial"/>
        </w:rPr>
        <w:t xml:space="preserve">, </w:t>
      </w:r>
      <w:r>
        <w:rPr>
          <w:rFonts w:eastAsia="Times New Roman" w:cs="Arial"/>
          <w:i/>
          <w:iCs/>
        </w:rPr>
        <w:t>supra</w:t>
      </w:r>
      <w:r>
        <w:rPr>
          <w:rFonts w:eastAsia="Times New Roman" w:cs="Arial"/>
        </w:rPr>
        <w:t>, 3</w:t>
      </w:r>
      <w:r w:rsidR="007314B6">
        <w:rPr>
          <w:rFonts w:eastAsia="Times New Roman" w:cs="Arial"/>
        </w:rPr>
        <w:t> </w:t>
      </w:r>
      <w:r>
        <w:rPr>
          <w:rFonts w:eastAsia="Times New Roman" w:cs="Arial"/>
        </w:rPr>
        <w:t>Cal.5th at p</w:t>
      </w:r>
      <w:r w:rsidR="0066358D">
        <w:rPr>
          <w:rFonts w:eastAsia="Times New Roman" w:cs="Arial"/>
        </w:rPr>
        <w:t>p</w:t>
      </w:r>
      <w:r>
        <w:rPr>
          <w:rFonts w:eastAsia="Times New Roman" w:cs="Arial"/>
        </w:rPr>
        <w:t>. 877</w:t>
      </w:r>
      <w:r w:rsidR="006B5DB5">
        <w:rPr>
          <w:rFonts w:eastAsia="Times New Roman" w:cs="Arial"/>
        </w:rPr>
        <w:t>–</w:t>
      </w:r>
      <w:r w:rsidR="0066358D">
        <w:rPr>
          <w:rFonts w:eastAsia="Times New Roman" w:cs="Arial"/>
        </w:rPr>
        <w:t>878</w:t>
      </w:r>
      <w:r>
        <w:rPr>
          <w:rFonts w:eastAsia="Times New Roman" w:cs="Arial"/>
        </w:rPr>
        <w:t xml:space="preserve"> (conc. opn. of Liu, J.).)</w:t>
      </w:r>
      <w:r>
        <w:rPr>
          <w:rFonts w:eastAsia="Times New Roman" w:cs="Times New Roman"/>
          <w:color w:val="000000"/>
        </w:rPr>
        <w:t xml:space="preserve">  In cases involving fixed decisional time limits, an “intent to divest the court of jurisdiction ‘is not read into the statute unless that result is expressly provided or otherwise clearly intended.’</w:t>
      </w:r>
      <w:r w:rsidR="005D2BDA">
        <w:rPr>
          <w:rFonts w:eastAsia="Times New Roman" w:cs="Times New Roman"/>
          <w:color w:val="000000"/>
        </w:rPr>
        <w:t> </w:t>
      </w:r>
      <w:r>
        <w:rPr>
          <w:rFonts w:eastAsia="Times New Roman" w:cs="Times New Roman"/>
          <w:color w:val="000000"/>
        </w:rPr>
        <w:t>”  (</w:t>
      </w:r>
      <w:r>
        <w:rPr>
          <w:rFonts w:eastAsia="Times New Roman" w:cs="Times New Roman"/>
          <w:i/>
          <w:iCs/>
          <w:color w:val="000000"/>
        </w:rPr>
        <w:t>Briggs</w:t>
      </w:r>
      <w:r>
        <w:rPr>
          <w:rFonts w:eastAsia="Times New Roman" w:cs="Times New Roman"/>
          <w:color w:val="000000"/>
        </w:rPr>
        <w:t xml:space="preserve">, </w:t>
      </w:r>
      <w:r>
        <w:rPr>
          <w:rFonts w:eastAsia="Times New Roman" w:cs="Arial"/>
          <w:color w:val="000000"/>
        </w:rPr>
        <w:t>at p.</w:t>
      </w:r>
      <w:r w:rsidR="005D2BDA">
        <w:rPr>
          <w:rFonts w:eastAsia="Times New Roman" w:cs="Arial"/>
          <w:color w:val="000000"/>
        </w:rPr>
        <w:t> </w:t>
      </w:r>
      <w:r>
        <w:rPr>
          <w:rFonts w:eastAsia="Times New Roman" w:cs="Arial"/>
          <w:color w:val="000000"/>
        </w:rPr>
        <w:t xml:space="preserve">835.)  </w:t>
      </w:r>
      <w:r>
        <w:rPr>
          <w:rFonts w:eastAsia="Times New Roman" w:cs="Times New Roman"/>
          <w:color w:val="000000"/>
        </w:rPr>
        <w:t>“[T]</w:t>
      </w:r>
      <w:r>
        <w:rPr>
          <w:rFonts w:eastAsia="Times New Roman" w:cs="Times New Roman"/>
          <w:color w:val="000000"/>
          <w:bdr w:val="none" w:sz="0" w:space="0" w:color="auto" w:frame="1"/>
          <w:shd w:val="clear" w:color="auto" w:fill="FFFFFF"/>
        </w:rPr>
        <w:t>he legislative intent must be gathered from the statute as a whole, from the nature and character of the act to be done and from the consequences which would follow the doing or not doing of the act at the required time</w:t>
      </w:r>
      <w:r>
        <w:rPr>
          <w:rFonts w:eastAsia="Times New Roman" w:cs="Times New Roman"/>
          <w:color w:val="000000"/>
        </w:rPr>
        <w:t>.”  (</w:t>
      </w:r>
      <w:r>
        <w:rPr>
          <w:rFonts w:eastAsia="Times New Roman" w:cs="Times New Roman"/>
          <w:i/>
          <w:iCs/>
          <w:color w:val="000000"/>
          <w:bdr w:val="none" w:sz="0" w:space="0" w:color="auto" w:frame="1"/>
        </w:rPr>
        <w:t>Garrison v. Rourke</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32</w:t>
      </w:r>
      <w:r w:rsidR="005D2BDA">
        <w:rPr>
          <w:rFonts w:eastAsia="Times New Roman" w:cs="Times New Roman"/>
          <w:color w:val="000000"/>
        </w:rPr>
        <w:t> </w:t>
      </w:r>
      <w:r>
        <w:rPr>
          <w:rFonts w:eastAsia="Times New Roman" w:cs="Times New Roman"/>
          <w:color w:val="000000"/>
        </w:rPr>
        <w:t>Cal.2d at p.</w:t>
      </w:r>
      <w:r w:rsidR="005D2BDA">
        <w:rPr>
          <w:rFonts w:eastAsia="Times New Roman" w:cs="Times New Roman"/>
          <w:color w:val="000000"/>
        </w:rPr>
        <w:t> </w:t>
      </w:r>
      <w:r>
        <w:rPr>
          <w:rFonts w:eastAsia="Times New Roman" w:cs="Times New Roman"/>
          <w:color w:val="000000"/>
        </w:rPr>
        <w:t>437.)  And in undertaking this analysis, the pivotal issue is often whether there is a consequence or penalty for missing the deadline.  If no consequence or penalty is provided, a statutory time limit will be deemed directory.  (</w:t>
      </w:r>
      <w:r>
        <w:rPr>
          <w:rFonts w:eastAsia="Times New Roman" w:cs="Times New Roman"/>
          <w:i/>
          <w:iCs/>
          <w:color w:val="000000"/>
        </w:rPr>
        <w:t>Briggs</w:t>
      </w:r>
      <w:r>
        <w:rPr>
          <w:rFonts w:eastAsia="Times New Roman" w:cs="Times New Roman"/>
          <w:color w:val="000000"/>
        </w:rPr>
        <w:t>, at p.</w:t>
      </w:r>
      <w:r w:rsidR="005D2BDA">
        <w:rPr>
          <w:rFonts w:eastAsia="Times New Roman" w:cs="Times New Roman"/>
          <w:color w:val="000000"/>
        </w:rPr>
        <w:t> </w:t>
      </w:r>
      <w:r>
        <w:rPr>
          <w:rFonts w:eastAsia="Times New Roman" w:cs="Times New Roman"/>
          <w:color w:val="000000"/>
        </w:rPr>
        <w:t>849.)</w:t>
      </w:r>
    </w:p>
    <w:p w:rsidR="0041645F" w:rsidP="0041645F" w14:paraId="1F225907" w14:textId="2C557E38">
      <w:pPr>
        <w:shd w:val="clear" w:color="auto" w:fill="FFFFFF"/>
        <w:rPr>
          <w:rFonts w:eastAsia="Times New Roman" w:cs="Times New Roman"/>
          <w:color w:val="000000"/>
        </w:rPr>
      </w:pPr>
      <w:r>
        <w:rPr>
          <w:rFonts w:eastAsia="Times New Roman" w:cs="Times New Roman"/>
          <w:color w:val="000000"/>
        </w:rPr>
        <w:t xml:space="preserve">Ultimately, the absence of any enforcement mechanism is what drove the </w:t>
      </w:r>
      <w:r>
        <w:rPr>
          <w:rFonts w:eastAsia="Times New Roman" w:cs="Times New Roman"/>
          <w:i/>
          <w:iCs/>
          <w:color w:val="000000"/>
        </w:rPr>
        <w:t>Briggs</w:t>
      </w:r>
      <w:r>
        <w:rPr>
          <w:rFonts w:eastAsia="Times New Roman" w:cs="Times New Roman"/>
          <w:color w:val="000000"/>
        </w:rPr>
        <w:t xml:space="preserve"> court’s analysis.  After </w:t>
      </w:r>
      <w:r w:rsidR="00495C9D">
        <w:rPr>
          <w:rFonts w:eastAsia="Times New Roman" w:cs="Times New Roman"/>
          <w:color w:val="000000"/>
        </w:rPr>
        <w:t>reviewing</w:t>
      </w:r>
      <w:r>
        <w:rPr>
          <w:rFonts w:eastAsia="Times New Roman" w:cs="Times New Roman"/>
          <w:color w:val="000000"/>
        </w:rPr>
        <w:t xml:space="preserve"> the text and structure of the statutory deadlines at issue, as well as pertinent ballot materials that accompanied Proposition 66, the </w:t>
      </w:r>
      <w:r>
        <w:rPr>
          <w:rFonts w:eastAsia="Times New Roman" w:cs="Times New Roman"/>
          <w:i/>
          <w:iCs/>
          <w:color w:val="000000"/>
        </w:rPr>
        <w:t>Briggs</w:t>
      </w:r>
      <w:r>
        <w:rPr>
          <w:rFonts w:eastAsia="Times New Roman" w:cs="Times New Roman"/>
          <w:color w:val="000000"/>
        </w:rPr>
        <w:t xml:space="preserve"> court concluded that, since neither the five-year deadline specified by section 190.6, subdivision (</w:t>
      </w:r>
      <w:r w:rsidR="00D91CEC">
        <w:rPr>
          <w:rFonts w:eastAsia="Times New Roman" w:cs="Times New Roman"/>
          <w:color w:val="000000"/>
        </w:rPr>
        <w:t>d</w:t>
      </w:r>
      <w:r>
        <w:rPr>
          <w:rFonts w:eastAsia="Times New Roman" w:cs="Times New Roman"/>
          <w:color w:val="000000"/>
        </w:rPr>
        <w:t>), nor the one-year deadline specified by section 1509, subdivision (f), is subject to any enforceable consequences when the statutory deadline is missed, each statute is directory.  (</w:t>
      </w:r>
      <w:r>
        <w:rPr>
          <w:rFonts w:eastAsia="Times New Roman" w:cs="Arial"/>
          <w:i/>
          <w:iCs/>
          <w:bdr w:val="none" w:sz="0" w:space="0" w:color="auto" w:frame="1"/>
        </w:rPr>
        <w:t>Briggs</w:t>
      </w:r>
      <w:r>
        <w:rPr>
          <w:rFonts w:eastAsia="Times New Roman" w:cs="Arial"/>
        </w:rPr>
        <w:t xml:space="preserve">, </w:t>
      </w:r>
      <w:r>
        <w:rPr>
          <w:rFonts w:eastAsia="Times New Roman" w:cs="Arial"/>
          <w:i/>
          <w:iCs/>
        </w:rPr>
        <w:t>supra</w:t>
      </w:r>
      <w:r>
        <w:rPr>
          <w:rFonts w:eastAsia="Times New Roman" w:cs="Arial"/>
        </w:rPr>
        <w:t>, 3</w:t>
      </w:r>
      <w:r w:rsidR="009A1D50">
        <w:rPr>
          <w:rFonts w:eastAsia="Times New Roman" w:cs="Arial"/>
        </w:rPr>
        <w:t> </w:t>
      </w:r>
      <w:r>
        <w:rPr>
          <w:rFonts w:eastAsia="Times New Roman" w:cs="Arial"/>
        </w:rPr>
        <w:t>Cal.5th at p</w:t>
      </w:r>
      <w:r w:rsidR="00E0140D">
        <w:rPr>
          <w:rFonts w:eastAsia="Times New Roman" w:cs="Arial"/>
        </w:rPr>
        <w:t>p</w:t>
      </w:r>
      <w:r>
        <w:rPr>
          <w:rFonts w:eastAsia="Times New Roman" w:cs="Arial"/>
        </w:rPr>
        <w:t>.</w:t>
      </w:r>
      <w:r w:rsidR="009A1D50">
        <w:rPr>
          <w:rFonts w:eastAsia="Times New Roman" w:cs="Arial"/>
        </w:rPr>
        <w:t> </w:t>
      </w:r>
      <w:r>
        <w:rPr>
          <w:rFonts w:eastAsia="Times New Roman" w:cs="Arial"/>
        </w:rPr>
        <w:t>858</w:t>
      </w:r>
      <w:r w:rsidR="00C83527">
        <w:rPr>
          <w:rFonts w:eastAsia="Times New Roman" w:cs="Arial"/>
        </w:rPr>
        <w:t>–</w:t>
      </w:r>
      <w:r>
        <w:rPr>
          <w:rFonts w:eastAsia="Times New Roman" w:cs="Arial"/>
        </w:rPr>
        <w:t>8</w:t>
      </w:r>
      <w:r w:rsidR="00273EDF">
        <w:rPr>
          <w:rFonts w:eastAsia="Times New Roman" w:cs="Arial"/>
        </w:rPr>
        <w:t>60</w:t>
      </w:r>
      <w:r>
        <w:rPr>
          <w:rFonts w:eastAsia="Times New Roman" w:cs="Arial"/>
        </w:rPr>
        <w:t xml:space="preserve">.) </w:t>
      </w:r>
      <w:r>
        <w:rPr>
          <w:rFonts w:eastAsia="Times New Roman" w:cs="Times New Roman"/>
          <w:color w:val="000000"/>
        </w:rPr>
        <w:t xml:space="preserve"> The </w:t>
      </w:r>
      <w:r>
        <w:rPr>
          <w:rFonts w:eastAsia="Times New Roman" w:cs="Times New Roman"/>
          <w:i/>
          <w:color w:val="000000"/>
        </w:rPr>
        <w:t>Briggs</w:t>
      </w:r>
      <w:r>
        <w:rPr>
          <w:rFonts w:eastAsia="Times New Roman" w:cs="Times New Roman"/>
          <w:color w:val="000000"/>
        </w:rPr>
        <w:t xml:space="preserve"> court did not address the provision in section 1509.1, sub</w:t>
      </w:r>
      <w:r w:rsidR="005714CB">
        <w:rPr>
          <w:rFonts w:eastAsia="Times New Roman" w:cs="Times New Roman"/>
          <w:color w:val="000000"/>
        </w:rPr>
        <w:t>division</w:t>
      </w:r>
      <w:r>
        <w:rPr>
          <w:rFonts w:eastAsia="Times New Roman" w:cs="Times New Roman"/>
          <w:color w:val="000000"/>
        </w:rPr>
        <w:t xml:space="preserve"> (c), requiring</w:t>
      </w:r>
      <w:r w:rsidR="00A91E0C">
        <w:rPr>
          <w:rFonts w:eastAsia="Times New Roman" w:cs="Times New Roman"/>
          <w:color w:val="000000"/>
        </w:rPr>
        <w:t xml:space="preserve"> </w:t>
      </w:r>
      <w:r w:rsidR="00CD636D">
        <w:rPr>
          <w:rFonts w:eastAsia="Times New Roman" w:cs="Times New Roman"/>
          <w:color w:val="000000"/>
        </w:rPr>
        <w:t>C</w:t>
      </w:r>
      <w:r>
        <w:rPr>
          <w:rFonts w:eastAsia="Times New Roman" w:cs="Times New Roman"/>
          <w:color w:val="000000"/>
        </w:rPr>
        <w:t xml:space="preserve">ourts of </w:t>
      </w:r>
      <w:r w:rsidR="00CD636D">
        <w:rPr>
          <w:rFonts w:eastAsia="Times New Roman" w:cs="Times New Roman"/>
          <w:color w:val="000000"/>
        </w:rPr>
        <w:t>A</w:t>
      </w:r>
      <w:r>
        <w:rPr>
          <w:rFonts w:eastAsia="Times New Roman" w:cs="Times New Roman"/>
          <w:color w:val="000000"/>
        </w:rPr>
        <w:t xml:space="preserve">ppeal to decide requests for COAs within specified periods of time.  But among the cases cited and relied upon in </w:t>
      </w:r>
      <w:r>
        <w:rPr>
          <w:rFonts w:eastAsia="Times New Roman" w:cs="Times New Roman"/>
          <w:i/>
          <w:iCs/>
          <w:color w:val="000000"/>
        </w:rPr>
        <w:t>Briggs</w:t>
      </w:r>
      <w:r>
        <w:rPr>
          <w:rFonts w:eastAsia="Times New Roman" w:cs="Times New Roman"/>
          <w:color w:val="000000"/>
        </w:rPr>
        <w:t xml:space="preserve"> was </w:t>
      </w:r>
      <w:r>
        <w:rPr>
          <w:rFonts w:eastAsia="Times New Roman" w:cs="Times New Roman"/>
          <w:i/>
          <w:iCs/>
          <w:color w:val="3D3D3D"/>
          <w:bdr w:val="none" w:sz="0" w:space="0" w:color="auto" w:frame="1"/>
        </w:rPr>
        <w:t>In re Shafter-Wasco</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55</w:t>
      </w:r>
      <w:r w:rsidR="009A1D50">
        <w:rPr>
          <w:rFonts w:eastAsia="Times New Roman" w:cs="Times New Roman"/>
          <w:color w:val="000000"/>
        </w:rPr>
        <w:t> </w:t>
      </w:r>
      <w:r>
        <w:rPr>
          <w:rFonts w:eastAsia="Times New Roman" w:cs="Times New Roman"/>
          <w:color w:val="000000"/>
        </w:rPr>
        <w:t xml:space="preserve">Cal.App.2d 484, a case involving a statutory decisional deadline to decide an appeal.   </w:t>
      </w:r>
    </w:p>
    <w:p w:rsidR="0041645F" w:rsidP="0041645F" w14:paraId="03BE2069" w14:textId="1EA93913">
      <w:pPr>
        <w:shd w:val="clear" w:color="auto" w:fill="FFFFFF"/>
        <w:rPr>
          <w:rFonts w:eastAsia="Times New Roman" w:cs="Times New Roman"/>
          <w:color w:val="000000"/>
        </w:rPr>
      </w:pPr>
      <w:r>
        <w:rPr>
          <w:rFonts w:eastAsia="Times New Roman" w:cs="Times New Roman"/>
          <w:i/>
          <w:iCs/>
          <w:color w:val="000000"/>
        </w:rPr>
        <w:t>Shafter-Wasco</w:t>
      </w:r>
      <w:r>
        <w:rPr>
          <w:rFonts w:eastAsia="Times New Roman" w:cs="Times New Roman"/>
          <w:color w:val="000000"/>
        </w:rPr>
        <w:t xml:space="preserve"> involved a motion to dismiss an appeal that was not decided within three months, the specified time period for deciding appeals of the kind at issue there.  The court stated the issue presented as follows: “May the Legislature divest this court of its constitutional jurisdiction over the case and its duty to decide it by limiting the time in which a decision must be rendered, to a period within which it is impracticable, if not impossible, to decide the issues?”  (</w:t>
      </w:r>
      <w:r>
        <w:rPr>
          <w:rFonts w:eastAsia="Times New Roman" w:cs="Times New Roman"/>
          <w:i/>
          <w:iCs/>
          <w:color w:val="3D3D3D"/>
          <w:bdr w:val="none" w:sz="0" w:space="0" w:color="auto" w:frame="1"/>
        </w:rPr>
        <w:t>Shafter-Wasco</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55</w:t>
      </w:r>
      <w:r w:rsidR="005D73D0">
        <w:rPr>
          <w:rFonts w:eastAsia="Times New Roman" w:cs="Times New Roman"/>
          <w:color w:val="000000"/>
        </w:rPr>
        <w:t> </w:t>
      </w:r>
      <w:r>
        <w:rPr>
          <w:rFonts w:eastAsia="Times New Roman" w:cs="Times New Roman"/>
          <w:color w:val="000000"/>
        </w:rPr>
        <w:t>Cal.App.2d p.</w:t>
      </w:r>
      <w:r w:rsidR="005D73D0">
        <w:rPr>
          <w:rFonts w:eastAsia="Times New Roman" w:cs="Times New Roman"/>
          <w:color w:val="000000"/>
        </w:rPr>
        <w:t> </w:t>
      </w:r>
      <w:r>
        <w:rPr>
          <w:rFonts w:eastAsia="Times New Roman" w:cs="Times New Roman"/>
          <w:color w:val="000000"/>
        </w:rPr>
        <w:t>487.)  Answering that question no, the court observed</w:t>
      </w:r>
      <w:r w:rsidR="00083693">
        <w:rPr>
          <w:rFonts w:eastAsia="Times New Roman" w:cs="Times New Roman"/>
          <w:color w:val="000000"/>
        </w:rPr>
        <w:t>,</w:t>
      </w:r>
      <w:r>
        <w:rPr>
          <w:rFonts w:eastAsia="Times New Roman" w:cs="Times New Roman"/>
          <w:color w:val="000000"/>
        </w:rPr>
        <w:t xml:space="preserve"> “We find but one limitation in the Constitution on the time within which an appeal must be decided. </w:t>
      </w:r>
      <w:r w:rsidR="0061605F">
        <w:rPr>
          <w:rFonts w:eastAsia="Times New Roman" w:cs="Times New Roman"/>
          <w:color w:val="000000"/>
        </w:rPr>
        <w:t xml:space="preserve"> </w:t>
      </w:r>
      <w:r w:rsidR="00F9620B">
        <w:rPr>
          <w:rFonts w:eastAsia="Times New Roman" w:cs="Times New Roman"/>
          <w:color w:val="000000"/>
        </w:rPr>
        <w:t>(</w:t>
      </w:r>
      <w:r>
        <w:rPr>
          <w:rFonts w:eastAsia="Times New Roman" w:cs="Times New Roman"/>
          <w:color w:val="000000"/>
        </w:rPr>
        <w:t>§</w:t>
      </w:r>
      <w:r w:rsidR="00F92056">
        <w:rPr>
          <w:rFonts w:eastAsia="Times New Roman" w:cs="Times New Roman"/>
          <w:color w:val="000000"/>
        </w:rPr>
        <w:t> </w:t>
      </w:r>
      <w:r>
        <w:rPr>
          <w:rFonts w:eastAsia="Times New Roman" w:cs="Times New Roman"/>
          <w:color w:val="000000"/>
        </w:rPr>
        <w:t>24, art. VI, Const.</w:t>
      </w:r>
      <w:r w:rsidR="00F9620B">
        <w:rPr>
          <w:rFonts w:eastAsia="Times New Roman" w:cs="Times New Roman"/>
          <w:color w:val="000000"/>
        </w:rPr>
        <w:t>)</w:t>
      </w:r>
      <w:r>
        <w:rPr>
          <w:rFonts w:eastAsia="Times New Roman" w:cs="Times New Roman"/>
          <w:color w:val="000000"/>
        </w:rPr>
        <w:t xml:space="preserve">  The penalty there provided for failing to decide a case within ninety days after it has been submitted for decision is not loss of jurisdiction over the case by the court, but suspension of the right of the justices to draw their salaries.”  (</w:t>
      </w:r>
      <w:r>
        <w:rPr>
          <w:rFonts w:eastAsia="Times New Roman" w:cs="Times New Roman"/>
          <w:i/>
          <w:iCs/>
          <w:color w:val="000000"/>
        </w:rPr>
        <w:t>Ibid</w:t>
      </w:r>
      <w:r>
        <w:rPr>
          <w:rFonts w:eastAsia="Times New Roman" w:cs="Times New Roman"/>
          <w:color w:val="000000"/>
        </w:rPr>
        <w:t>.)</w:t>
      </w:r>
    </w:p>
    <w:p w:rsidR="00160AE9" w:rsidP="0041645F" w14:paraId="5D81F026" w14:textId="7591D089">
      <w:pPr>
        <w:shd w:val="clear" w:color="auto" w:fill="FFFFFF"/>
        <w:rPr>
          <w:rFonts w:eastAsia="Times New Roman" w:cs="Times New Roman"/>
          <w:color w:val="000000"/>
        </w:rPr>
      </w:pPr>
      <w:r>
        <w:rPr>
          <w:rFonts w:eastAsia="Times New Roman" w:cs="Times New Roman"/>
          <w:color w:val="000000"/>
        </w:rPr>
        <w:t>The court went on:  “If the statute in question be strictly construed as mandatory and as divesting this court of jurisdiction in three months after the appeal was taken,” resolution of the appeal would have been required “one month and two days after the record was filed</w:t>
      </w:r>
      <w:r w:rsidR="00130F9C">
        <w:rPr>
          <w:rFonts w:eastAsia="Times New Roman" w:cs="Times New Roman"/>
          <w:color w:val="000000"/>
        </w:rPr>
        <w:t xml:space="preserve"> . . . </w:t>
      </w:r>
      <w:r>
        <w:rPr>
          <w:rFonts w:eastAsia="Times New Roman" w:cs="Times New Roman"/>
          <w:color w:val="000000"/>
        </w:rPr>
        <w:t>, three days after appellant</w:t>
      </w:r>
      <w:r w:rsidR="005153D3">
        <w:rPr>
          <w:rFonts w:eastAsia="Times New Roman" w:cs="Times New Roman"/>
          <w:color w:val="000000"/>
        </w:rPr>
        <w:t>’</w:t>
      </w:r>
      <w:r>
        <w:rPr>
          <w:rFonts w:eastAsia="Times New Roman" w:cs="Times New Roman"/>
          <w:color w:val="000000"/>
        </w:rPr>
        <w:t>s opening brief was filed and twenty</w:t>
      </w:r>
      <w:r w:rsidR="00130F9C">
        <w:rPr>
          <w:rFonts w:eastAsia="Times New Roman" w:cs="Times New Roman"/>
          <w:color w:val="000000"/>
        </w:rPr>
        <w:t>-</w:t>
      </w:r>
      <w:r>
        <w:rPr>
          <w:rFonts w:eastAsia="Times New Roman" w:cs="Times New Roman"/>
          <w:color w:val="000000"/>
        </w:rPr>
        <w:t>seven days before respondents’ brief was due for filing.”  (</w:t>
      </w:r>
      <w:r>
        <w:rPr>
          <w:rFonts w:eastAsia="Times New Roman" w:cs="Times New Roman"/>
          <w:i/>
          <w:iCs/>
          <w:color w:val="3D3D3D"/>
          <w:bdr w:val="none" w:sz="0" w:space="0" w:color="auto" w:frame="1"/>
        </w:rPr>
        <w:t>Shafter-Wasco</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55</w:t>
      </w:r>
      <w:r w:rsidR="00B330FC">
        <w:rPr>
          <w:rFonts w:eastAsia="Times New Roman" w:cs="Times New Roman"/>
          <w:color w:val="000000"/>
        </w:rPr>
        <w:t> </w:t>
      </w:r>
      <w:r>
        <w:rPr>
          <w:rFonts w:eastAsia="Times New Roman" w:cs="Times New Roman"/>
          <w:color w:val="000000"/>
        </w:rPr>
        <w:t xml:space="preserve">Cal.App.2d </w:t>
      </w:r>
      <w:r w:rsidR="007D6017">
        <w:rPr>
          <w:rFonts w:eastAsia="Times New Roman" w:cs="Times New Roman"/>
          <w:color w:val="000000"/>
        </w:rPr>
        <w:t xml:space="preserve">at </w:t>
      </w:r>
      <w:r>
        <w:rPr>
          <w:rFonts w:eastAsia="Times New Roman" w:cs="Times New Roman"/>
          <w:color w:val="000000"/>
        </w:rPr>
        <w:t>p.</w:t>
      </w:r>
      <w:r w:rsidR="007B4FFC">
        <w:rPr>
          <w:rFonts w:eastAsia="Times New Roman" w:cs="Times New Roman"/>
          <w:color w:val="000000"/>
        </w:rPr>
        <w:t> </w:t>
      </w:r>
      <w:r>
        <w:rPr>
          <w:rFonts w:eastAsia="Times New Roman" w:cs="Times New Roman"/>
          <w:color w:val="000000"/>
        </w:rPr>
        <w:t xml:space="preserve">487.)  “We regard such a limitation on our constitutional power to decide the case as unreasonable,” the </w:t>
      </w:r>
      <w:r>
        <w:rPr>
          <w:rFonts w:eastAsia="Times New Roman" w:cs="Times New Roman"/>
          <w:i/>
          <w:iCs/>
          <w:color w:val="3D3D3D"/>
          <w:bdr w:val="none" w:sz="0" w:space="0" w:color="auto" w:frame="1"/>
        </w:rPr>
        <w:t>Shafter-Wasco</w:t>
      </w:r>
      <w:r>
        <w:rPr>
          <w:rFonts w:eastAsia="Times New Roman" w:cs="Times New Roman"/>
          <w:color w:val="000000"/>
        </w:rPr>
        <w:t xml:space="preserve"> court stated.  (</w:t>
      </w:r>
      <w:r>
        <w:rPr>
          <w:rFonts w:eastAsia="Times New Roman" w:cs="Times New Roman"/>
          <w:i/>
          <w:iCs/>
          <w:color w:val="000000"/>
        </w:rPr>
        <w:t>Ibid</w:t>
      </w:r>
      <w:r>
        <w:rPr>
          <w:rFonts w:eastAsia="Times New Roman" w:cs="Times New Roman"/>
          <w:color w:val="000000"/>
        </w:rPr>
        <w:t>.)  “While the record is not formidable it is not inconsiderable.  While we have not examined it, there may be presented serious questions for decision that might require careful consideration which could not be given within the time provided by the statute.”  (</w:t>
      </w:r>
      <w:r>
        <w:rPr>
          <w:rFonts w:eastAsia="Times New Roman" w:cs="Times New Roman"/>
          <w:i/>
          <w:iCs/>
          <w:color w:val="000000"/>
        </w:rPr>
        <w:t>I</w:t>
      </w:r>
      <w:r w:rsidR="00353E14">
        <w:rPr>
          <w:rFonts w:eastAsia="Times New Roman" w:cs="Times New Roman"/>
          <w:i/>
          <w:iCs/>
          <w:color w:val="000000"/>
        </w:rPr>
        <w:t>bi</w:t>
      </w:r>
      <w:r>
        <w:rPr>
          <w:rFonts w:eastAsia="Times New Roman" w:cs="Times New Roman"/>
          <w:i/>
          <w:iCs/>
          <w:color w:val="000000"/>
        </w:rPr>
        <w:t>d.</w:t>
      </w:r>
      <w:r>
        <w:rPr>
          <w:rFonts w:eastAsia="Times New Roman" w:cs="Times New Roman"/>
          <w:color w:val="000000"/>
        </w:rPr>
        <w:t xml:space="preserve">)  </w:t>
      </w:r>
    </w:p>
    <w:p w:rsidR="00EF1F32" w:rsidP="0041645F" w14:paraId="1B5F5187" w14:textId="6F6E4DBA">
      <w:pPr>
        <w:shd w:val="clear" w:color="auto" w:fill="FFFFFF"/>
      </w:pPr>
      <w:r>
        <w:rPr>
          <w:rFonts w:eastAsia="Times New Roman" w:cs="Times New Roman"/>
          <w:color w:val="000000"/>
        </w:rPr>
        <w:t xml:space="preserve">The same thing may be said here, even though in deciding a COA request under section </w:t>
      </w:r>
      <w:r w:rsidR="008D474C">
        <w:rPr>
          <w:rFonts w:eastAsia="Times New Roman" w:cs="Times New Roman"/>
          <w:color w:val="000000"/>
        </w:rPr>
        <w:t>1509.1</w:t>
      </w:r>
      <w:r w:rsidR="00792280">
        <w:rPr>
          <w:rFonts w:eastAsia="Times New Roman" w:cs="Times New Roman"/>
          <w:color w:val="000000"/>
        </w:rPr>
        <w:t>(c)</w:t>
      </w:r>
      <w:r>
        <w:rPr>
          <w:rFonts w:eastAsia="Times New Roman" w:cs="Times New Roman"/>
          <w:color w:val="000000"/>
        </w:rPr>
        <w:t xml:space="preserve"> we need only delve into the merits of a proposed appeal provisionally</w:t>
      </w:r>
      <w:r w:rsidR="00C04767">
        <w:rPr>
          <w:rFonts w:eastAsia="Times New Roman" w:cs="Times New Roman"/>
          <w:color w:val="000000"/>
        </w:rPr>
        <w:t xml:space="preserve">. </w:t>
      </w:r>
      <w:r w:rsidR="00BA40BD">
        <w:rPr>
          <w:rFonts w:eastAsia="Times New Roman" w:cs="Times New Roman"/>
          <w:color w:val="000000"/>
        </w:rPr>
        <w:t xml:space="preserve"> </w:t>
      </w:r>
      <w:r w:rsidR="00457C18">
        <w:rPr>
          <w:rFonts w:eastAsia="Times New Roman" w:cs="Times New Roman"/>
          <w:color w:val="000000"/>
        </w:rPr>
        <w:t xml:space="preserve">No appellate court </w:t>
      </w:r>
      <w:r w:rsidR="004A5933">
        <w:rPr>
          <w:rFonts w:eastAsia="Times New Roman" w:cs="Times New Roman"/>
          <w:color w:val="000000"/>
        </w:rPr>
        <w:t xml:space="preserve">makes decisions </w:t>
      </w:r>
      <w:r w:rsidR="00423EC7">
        <w:t>on</w:t>
      </w:r>
      <w:r w:rsidR="00B04E0C">
        <w:t xml:space="preserve"> </w:t>
      </w:r>
      <w:r w:rsidR="00423EC7">
        <w:t>the</w:t>
      </w:r>
      <w:r w:rsidR="00B04E0C">
        <w:t xml:space="preserve"> </w:t>
      </w:r>
      <w:r w:rsidR="00423EC7">
        <w:t>fly.</w:t>
      </w:r>
      <w:r w:rsidR="004C0B81">
        <w:t xml:space="preserve"> </w:t>
      </w:r>
      <w:r w:rsidR="00423EC7">
        <w:t xml:space="preserve"> </w:t>
      </w:r>
      <w:r w:rsidR="006334B8">
        <w:t>For each judge, r</w:t>
      </w:r>
      <w:r w:rsidR="00423EC7">
        <w:t>eading submitted briefs and coming to some rough sense of likely outcome is only the beginning of the process</w:t>
      </w:r>
      <w:r w:rsidR="001033E6">
        <w:t>.</w:t>
      </w:r>
      <w:r>
        <w:rPr>
          <w:rStyle w:val="FootnoteReference"/>
        </w:rPr>
        <w:footnoteReference w:id="7"/>
      </w:r>
      <w:r w:rsidR="001033E6">
        <w:t xml:space="preserve">  I</w:t>
      </w:r>
      <w:r w:rsidR="006B12C0">
        <w:t>n</w:t>
      </w:r>
      <w:r w:rsidR="00DF66D6">
        <w:t>-</w:t>
      </w:r>
      <w:r w:rsidR="006B12C0">
        <w:t>depth</w:t>
      </w:r>
      <w:r w:rsidR="00050906">
        <w:t xml:space="preserve"> review of cited cases </w:t>
      </w:r>
      <w:r w:rsidR="00CE2F66">
        <w:t xml:space="preserve">and </w:t>
      </w:r>
      <w:r w:rsidR="00DF66D6">
        <w:t xml:space="preserve">the </w:t>
      </w:r>
      <w:r w:rsidR="00CE2F66">
        <w:t xml:space="preserve">record </w:t>
      </w:r>
      <w:r w:rsidR="004C321D">
        <w:t>is the next step</w:t>
      </w:r>
      <w:r w:rsidR="0061306E">
        <w:t>, which requires considerable time</w:t>
      </w:r>
      <w:r w:rsidR="004C321D">
        <w:t xml:space="preserve">.  </w:t>
      </w:r>
      <w:r w:rsidR="00C6053F">
        <w:t>T</w:t>
      </w:r>
      <w:r w:rsidR="00423EC7">
        <w:t xml:space="preserve">he </w:t>
      </w:r>
      <w:r w:rsidR="001E2C03">
        <w:t>deliberati</w:t>
      </w:r>
      <w:r w:rsidR="00CE2910">
        <w:t xml:space="preserve">ve time </w:t>
      </w:r>
      <w:r w:rsidR="001E2C03">
        <w:t xml:space="preserve">required for </w:t>
      </w:r>
      <w:r w:rsidR="00C6053F">
        <w:t xml:space="preserve">good </w:t>
      </w:r>
      <w:r w:rsidR="00423EC7">
        <w:t>collegial decision</w:t>
      </w:r>
      <w:r w:rsidR="005949BA">
        <w:t xml:space="preserve"> </w:t>
      </w:r>
      <w:r w:rsidR="00423EC7">
        <w:t xml:space="preserve">making </w:t>
      </w:r>
      <w:r w:rsidR="00CE2910">
        <w:t xml:space="preserve">will </w:t>
      </w:r>
      <w:r w:rsidR="00D43B35">
        <w:t xml:space="preserve">often </w:t>
      </w:r>
      <w:r w:rsidR="00423EC7">
        <w:t>require</w:t>
      </w:r>
      <w:r w:rsidR="000D6002">
        <w:t xml:space="preserve"> extensive </w:t>
      </w:r>
      <w:r w:rsidR="00037605">
        <w:t>intra</w:t>
      </w:r>
      <w:r w:rsidR="00A24A08">
        <w:t xml:space="preserve">-panel </w:t>
      </w:r>
      <w:r w:rsidR="00313DCC">
        <w:t>c</w:t>
      </w:r>
      <w:r w:rsidR="00423EC7">
        <w:t>onsultation</w:t>
      </w:r>
      <w:r w:rsidR="009A14D3">
        <w:t>s</w:t>
      </w:r>
      <w:r w:rsidR="00453434">
        <w:t>,</w:t>
      </w:r>
      <w:r w:rsidR="002E383E">
        <w:t xml:space="preserve"> orally and in writing,</w:t>
      </w:r>
      <w:r w:rsidR="00453434">
        <w:t xml:space="preserve"> even </w:t>
      </w:r>
      <w:r w:rsidR="00B7293B">
        <w:t xml:space="preserve">for writs and motions </w:t>
      </w:r>
      <w:r w:rsidR="00F55890">
        <w:t xml:space="preserve">that may </w:t>
      </w:r>
      <w:r w:rsidR="00B7293B">
        <w:t xml:space="preserve">ultimately </w:t>
      </w:r>
      <w:r w:rsidR="00F55890">
        <w:t xml:space="preserve">be resolved by </w:t>
      </w:r>
      <w:r w:rsidR="00B7293B">
        <w:t>summary order</w:t>
      </w:r>
      <w:r w:rsidR="00313DCC">
        <w:t xml:space="preserve">. </w:t>
      </w:r>
      <w:r w:rsidR="00423EC7">
        <w:t xml:space="preserve"> </w:t>
      </w:r>
      <w:r w:rsidR="00C1408F">
        <w:t>And i</w:t>
      </w:r>
      <w:r w:rsidR="00EB595A">
        <w:t xml:space="preserve">n coming to final decision, </w:t>
      </w:r>
      <w:r w:rsidR="005351A1">
        <w:t xml:space="preserve">the </w:t>
      </w:r>
      <w:r w:rsidR="00423EC7">
        <w:t xml:space="preserve">time </w:t>
      </w:r>
      <w:r w:rsidR="00D03EDF">
        <w:t xml:space="preserve">needed </w:t>
      </w:r>
      <w:r w:rsidR="00423EC7">
        <w:t>for reflection</w:t>
      </w:r>
      <w:r w:rsidR="00DE3850">
        <w:t xml:space="preserve"> is a must, </w:t>
      </w:r>
      <w:r w:rsidR="00423EC7">
        <w:t xml:space="preserve">especially for </w:t>
      </w:r>
      <w:r w:rsidR="00F059CC">
        <w:t xml:space="preserve">first-impression </w:t>
      </w:r>
      <w:r w:rsidR="00423EC7">
        <w:t xml:space="preserve">legal issues that </w:t>
      </w:r>
      <w:r w:rsidR="00F82DD5">
        <w:t xml:space="preserve">are being decided </w:t>
      </w:r>
      <w:r w:rsidR="00423EC7">
        <w:t>without the benefit of controlling precedent.</w:t>
      </w:r>
      <w:r w:rsidR="00696FFA">
        <w:t xml:space="preserve"> </w:t>
      </w:r>
      <w:r w:rsidR="00423EC7">
        <w:t xml:space="preserve"> </w:t>
      </w:r>
      <w:r w:rsidR="005C53EB">
        <w:t>E</w:t>
      </w:r>
      <w:r w:rsidR="00C45528">
        <w:t>xcept for the constitutionally mandated 90</w:t>
      </w:r>
      <w:r w:rsidR="00AD6871">
        <w:t>-</w:t>
      </w:r>
      <w:r w:rsidR="009A0E81">
        <w:t>day</w:t>
      </w:r>
      <w:r w:rsidR="005C53EB">
        <w:t>s-</w:t>
      </w:r>
      <w:r w:rsidR="00AD6871">
        <w:t>from</w:t>
      </w:r>
      <w:r w:rsidR="005C53EB">
        <w:t>-</w:t>
      </w:r>
      <w:r w:rsidR="00AD6871">
        <w:t xml:space="preserve">submission </w:t>
      </w:r>
      <w:r w:rsidR="00FB5F03">
        <w:t>deadline</w:t>
      </w:r>
      <w:r w:rsidR="005C53EB">
        <w:t>,</w:t>
      </w:r>
      <w:r w:rsidR="00AD6871">
        <w:t xml:space="preserve"> </w:t>
      </w:r>
      <w:r w:rsidR="00423EC7">
        <w:t xml:space="preserve">no one-size-fits-all timeframe </w:t>
      </w:r>
      <w:r w:rsidR="00D43B35">
        <w:t xml:space="preserve">can be placed </w:t>
      </w:r>
      <w:r w:rsidR="006646C2">
        <w:t>on</w:t>
      </w:r>
      <w:r w:rsidR="00423EC7">
        <w:t xml:space="preserve"> </w:t>
      </w:r>
      <w:r w:rsidR="00D26A55">
        <w:t>the decisi</w:t>
      </w:r>
      <w:r w:rsidR="000210D2">
        <w:t>onal process</w:t>
      </w:r>
      <w:r w:rsidR="006646C2">
        <w:t>.</w:t>
      </w:r>
      <w:r>
        <w:rPr>
          <w:rStyle w:val="FootnoteReference"/>
        </w:rPr>
        <w:footnoteReference w:id="8"/>
      </w:r>
      <w:r w:rsidR="00423EC7">
        <w:t xml:space="preserve"> </w:t>
      </w:r>
      <w:r w:rsidR="00093264">
        <w:t xml:space="preserve"> </w:t>
      </w:r>
    </w:p>
    <w:p w:rsidR="007E572F" w:rsidP="0041645F" w14:paraId="5A9B855E" w14:textId="798A6D05">
      <w:pPr>
        <w:shd w:val="clear" w:color="auto" w:fill="FFFFFF"/>
        <w:rPr>
          <w:rFonts w:eastAsia="Times New Roman" w:cs="Times New Roman"/>
          <w:color w:val="000000"/>
        </w:rPr>
      </w:pPr>
      <w:r>
        <w:rPr>
          <w:rFonts w:eastAsia="Times New Roman" w:cs="Times New Roman"/>
          <w:color w:val="000000"/>
        </w:rPr>
        <w:t xml:space="preserve">All of this is especially true </w:t>
      </w:r>
      <w:r w:rsidR="0039610B">
        <w:rPr>
          <w:rFonts w:eastAsia="Times New Roman" w:cs="Times New Roman"/>
          <w:color w:val="000000"/>
        </w:rPr>
        <w:t xml:space="preserve">in the context we have </w:t>
      </w:r>
      <w:r w:rsidR="003F2000">
        <w:rPr>
          <w:rFonts w:eastAsia="Times New Roman" w:cs="Times New Roman"/>
          <w:color w:val="000000"/>
        </w:rPr>
        <w:t>here</w:t>
      </w:r>
      <w:r w:rsidR="005C53EB">
        <w:rPr>
          <w:rFonts w:eastAsia="Times New Roman" w:cs="Times New Roman"/>
          <w:color w:val="000000"/>
        </w:rPr>
        <w:t>, since t</w:t>
      </w:r>
      <w:r w:rsidR="0041645F">
        <w:rPr>
          <w:rFonts w:eastAsia="Times New Roman" w:cs="Times New Roman"/>
          <w:color w:val="000000"/>
        </w:rPr>
        <w:t xml:space="preserve">he stakes in capital litigation are </w:t>
      </w:r>
      <w:r w:rsidR="005C53EB">
        <w:rPr>
          <w:rFonts w:eastAsia="Times New Roman" w:cs="Times New Roman"/>
          <w:color w:val="000000"/>
        </w:rPr>
        <w:t xml:space="preserve">so </w:t>
      </w:r>
      <w:r w:rsidR="0041645F">
        <w:rPr>
          <w:rFonts w:eastAsia="Times New Roman" w:cs="Times New Roman"/>
          <w:color w:val="000000"/>
        </w:rPr>
        <w:t>high</w:t>
      </w:r>
      <w:r w:rsidR="005C53EB">
        <w:rPr>
          <w:rFonts w:eastAsia="Times New Roman" w:cs="Times New Roman"/>
          <w:color w:val="000000"/>
        </w:rPr>
        <w:t>.</w:t>
      </w:r>
      <w:r w:rsidR="0079115C">
        <w:rPr>
          <w:rFonts w:eastAsia="Times New Roman" w:cs="Times New Roman"/>
          <w:color w:val="000000"/>
        </w:rPr>
        <w:t xml:space="preserve"> </w:t>
      </w:r>
      <w:r w:rsidR="0041645F">
        <w:rPr>
          <w:rFonts w:eastAsia="Times New Roman" w:cs="Times New Roman"/>
          <w:color w:val="000000"/>
        </w:rPr>
        <w:t xml:space="preserve"> </w:t>
      </w:r>
      <w:r w:rsidR="004B15FE">
        <w:rPr>
          <w:rFonts w:eastAsia="Times New Roman" w:cs="Times New Roman"/>
          <w:color w:val="000000"/>
        </w:rPr>
        <w:t xml:space="preserve">It is even conceivable that, contrary to </w:t>
      </w:r>
      <w:r w:rsidR="00C048EB">
        <w:rPr>
          <w:rFonts w:eastAsia="Times New Roman" w:cs="Times New Roman"/>
          <w:color w:val="000000"/>
        </w:rPr>
        <w:t xml:space="preserve">voters’ intent in seeking to accelerate the </w:t>
      </w:r>
      <w:r w:rsidR="007B52F8">
        <w:rPr>
          <w:rFonts w:eastAsia="Times New Roman" w:cs="Times New Roman"/>
          <w:color w:val="000000"/>
        </w:rPr>
        <w:t xml:space="preserve">review of </w:t>
      </w:r>
      <w:r w:rsidR="00A064FC">
        <w:rPr>
          <w:rFonts w:eastAsia="Times New Roman" w:cs="Times New Roman"/>
          <w:color w:val="000000"/>
        </w:rPr>
        <w:t>death judgments</w:t>
      </w:r>
      <w:r w:rsidR="003967CD">
        <w:rPr>
          <w:rFonts w:eastAsia="Times New Roman" w:cs="Times New Roman"/>
          <w:color w:val="000000"/>
        </w:rPr>
        <w:t xml:space="preserve"> under the Proposition 66 scheme</w:t>
      </w:r>
      <w:r w:rsidR="00D63651">
        <w:rPr>
          <w:rFonts w:eastAsia="Times New Roman" w:cs="Times New Roman"/>
          <w:color w:val="000000"/>
        </w:rPr>
        <w:t>,</w:t>
      </w:r>
      <w:r w:rsidR="00BD3C6D">
        <w:rPr>
          <w:rFonts w:eastAsia="Times New Roman" w:cs="Times New Roman"/>
          <w:color w:val="000000"/>
        </w:rPr>
        <w:t xml:space="preserve"> </w:t>
      </w:r>
      <w:r w:rsidR="00015DD2">
        <w:rPr>
          <w:rFonts w:eastAsia="Times New Roman" w:cs="Times New Roman"/>
          <w:color w:val="000000"/>
        </w:rPr>
        <w:t xml:space="preserve">rigid compliance with </w:t>
      </w:r>
      <w:r w:rsidR="00B83121">
        <w:rPr>
          <w:rFonts w:eastAsia="Times New Roman" w:cs="Times New Roman"/>
          <w:color w:val="000000"/>
        </w:rPr>
        <w:t xml:space="preserve">a </w:t>
      </w:r>
      <w:r w:rsidR="001955D1">
        <w:rPr>
          <w:rFonts w:eastAsia="Times New Roman" w:cs="Times New Roman"/>
          <w:color w:val="000000"/>
        </w:rPr>
        <w:t xml:space="preserve">fixed </w:t>
      </w:r>
      <w:r w:rsidR="00654EB9">
        <w:rPr>
          <w:rFonts w:eastAsia="Times New Roman" w:cs="Times New Roman"/>
          <w:color w:val="000000"/>
        </w:rPr>
        <w:t>decisional time</w:t>
      </w:r>
      <w:r w:rsidR="00015DD2">
        <w:rPr>
          <w:rFonts w:eastAsia="Times New Roman" w:cs="Times New Roman"/>
          <w:color w:val="000000"/>
        </w:rPr>
        <w:t xml:space="preserve">frame </w:t>
      </w:r>
      <w:r w:rsidR="001C3768">
        <w:rPr>
          <w:rFonts w:eastAsia="Times New Roman" w:cs="Times New Roman"/>
          <w:color w:val="000000"/>
        </w:rPr>
        <w:t xml:space="preserve">in resolving COA requests </w:t>
      </w:r>
      <w:r w:rsidR="00CF022D">
        <w:rPr>
          <w:rFonts w:eastAsia="Times New Roman" w:cs="Times New Roman"/>
          <w:color w:val="000000"/>
        </w:rPr>
        <w:t xml:space="preserve">could have the unintended </w:t>
      </w:r>
      <w:r w:rsidR="00667850">
        <w:rPr>
          <w:rFonts w:eastAsia="Times New Roman" w:cs="Times New Roman"/>
          <w:color w:val="000000"/>
        </w:rPr>
        <w:t>consequence of</w:t>
      </w:r>
      <w:r w:rsidR="004E12B0">
        <w:rPr>
          <w:rFonts w:eastAsia="Times New Roman" w:cs="Times New Roman"/>
          <w:color w:val="000000"/>
        </w:rPr>
        <w:t xml:space="preserve"> </w:t>
      </w:r>
      <w:r w:rsidR="006E1BD2">
        <w:rPr>
          <w:rFonts w:eastAsia="Times New Roman" w:cs="Times New Roman"/>
          <w:color w:val="000000"/>
        </w:rPr>
        <w:t xml:space="preserve">lengthening the overall process of </w:t>
      </w:r>
      <w:r w:rsidR="003F334C">
        <w:rPr>
          <w:rFonts w:eastAsia="Times New Roman" w:cs="Times New Roman"/>
          <w:color w:val="000000"/>
        </w:rPr>
        <w:t xml:space="preserve">collateral </w:t>
      </w:r>
      <w:r w:rsidR="00411B0B">
        <w:rPr>
          <w:rFonts w:eastAsia="Times New Roman" w:cs="Times New Roman"/>
          <w:color w:val="000000"/>
        </w:rPr>
        <w:t>review</w:t>
      </w:r>
      <w:r w:rsidR="00125707">
        <w:rPr>
          <w:rFonts w:eastAsia="Times New Roman" w:cs="Times New Roman"/>
          <w:color w:val="000000"/>
        </w:rPr>
        <w:t xml:space="preserve">, </w:t>
      </w:r>
      <w:r w:rsidR="0013013E">
        <w:rPr>
          <w:rFonts w:eastAsia="Times New Roman" w:cs="Times New Roman"/>
          <w:color w:val="000000"/>
        </w:rPr>
        <w:t>rather than speeding it up</w:t>
      </w:r>
      <w:r w:rsidR="008008CA">
        <w:rPr>
          <w:rFonts w:eastAsia="Times New Roman" w:cs="Times New Roman"/>
          <w:color w:val="000000"/>
        </w:rPr>
        <w:t>.  P</w:t>
      </w:r>
      <w:r w:rsidR="0013013E">
        <w:rPr>
          <w:rFonts w:eastAsia="Times New Roman" w:cs="Times New Roman"/>
          <w:color w:val="000000"/>
        </w:rPr>
        <w:t xml:space="preserve">ressed </w:t>
      </w:r>
      <w:r w:rsidR="00271E78">
        <w:rPr>
          <w:rFonts w:eastAsia="Times New Roman" w:cs="Times New Roman"/>
          <w:color w:val="000000"/>
        </w:rPr>
        <w:t>by</w:t>
      </w:r>
      <w:r w:rsidR="0013013E">
        <w:rPr>
          <w:rFonts w:eastAsia="Times New Roman" w:cs="Times New Roman"/>
          <w:color w:val="000000"/>
        </w:rPr>
        <w:t xml:space="preserve"> the need to make</w:t>
      </w:r>
      <w:r w:rsidR="003865A9">
        <w:rPr>
          <w:rFonts w:eastAsia="Times New Roman" w:cs="Times New Roman"/>
          <w:color w:val="000000"/>
        </w:rPr>
        <w:t xml:space="preserve"> </w:t>
      </w:r>
      <w:r w:rsidR="009A7D03">
        <w:rPr>
          <w:rFonts w:eastAsia="Times New Roman" w:cs="Times New Roman"/>
          <w:color w:val="000000"/>
        </w:rPr>
        <w:t xml:space="preserve">a quick call </w:t>
      </w:r>
      <w:r w:rsidR="00D913BB">
        <w:rPr>
          <w:rFonts w:eastAsia="Times New Roman" w:cs="Times New Roman"/>
          <w:color w:val="000000"/>
        </w:rPr>
        <w:t xml:space="preserve">in the </w:t>
      </w:r>
      <w:r w:rsidR="0017742A">
        <w:rPr>
          <w:rFonts w:eastAsia="Times New Roman" w:cs="Times New Roman"/>
          <w:color w:val="000000"/>
        </w:rPr>
        <w:t>face of a hard deadline</w:t>
      </w:r>
      <w:r w:rsidR="00823E76">
        <w:rPr>
          <w:rFonts w:eastAsia="Times New Roman" w:cs="Times New Roman"/>
          <w:color w:val="000000"/>
        </w:rPr>
        <w:t>,</w:t>
      </w:r>
      <w:r w:rsidR="009E2B1C">
        <w:rPr>
          <w:rFonts w:eastAsia="Times New Roman" w:cs="Times New Roman"/>
          <w:color w:val="000000"/>
        </w:rPr>
        <w:t xml:space="preserve"> </w:t>
      </w:r>
      <w:r w:rsidR="00C72DB7">
        <w:rPr>
          <w:rFonts w:eastAsia="Times New Roman" w:cs="Times New Roman"/>
          <w:color w:val="000000"/>
        </w:rPr>
        <w:t>some courts</w:t>
      </w:r>
      <w:r w:rsidR="00BF3A70">
        <w:rPr>
          <w:rFonts w:eastAsia="Times New Roman" w:cs="Times New Roman"/>
          <w:color w:val="000000"/>
        </w:rPr>
        <w:t xml:space="preserve"> </w:t>
      </w:r>
      <w:r w:rsidR="00823E76">
        <w:rPr>
          <w:rFonts w:eastAsia="Times New Roman" w:cs="Times New Roman"/>
          <w:color w:val="000000"/>
        </w:rPr>
        <w:t>could</w:t>
      </w:r>
      <w:r w:rsidR="009E2B1C">
        <w:rPr>
          <w:rFonts w:eastAsia="Times New Roman" w:cs="Times New Roman"/>
          <w:color w:val="000000"/>
        </w:rPr>
        <w:t xml:space="preserve"> </w:t>
      </w:r>
      <w:r w:rsidR="00BF3A70">
        <w:rPr>
          <w:rFonts w:eastAsia="Times New Roman" w:cs="Times New Roman"/>
          <w:color w:val="000000"/>
        </w:rPr>
        <w:t xml:space="preserve">default </w:t>
      </w:r>
      <w:r w:rsidR="00960AA0">
        <w:rPr>
          <w:rFonts w:eastAsia="Times New Roman" w:cs="Times New Roman"/>
          <w:color w:val="000000"/>
        </w:rPr>
        <w:t xml:space="preserve">to </w:t>
      </w:r>
      <w:r w:rsidR="00875616">
        <w:rPr>
          <w:rFonts w:eastAsia="Times New Roman" w:cs="Times New Roman"/>
          <w:color w:val="000000"/>
        </w:rPr>
        <w:t xml:space="preserve">issuing </w:t>
      </w:r>
      <w:r w:rsidR="005025DE">
        <w:rPr>
          <w:rFonts w:eastAsia="Times New Roman" w:cs="Times New Roman"/>
          <w:color w:val="000000"/>
        </w:rPr>
        <w:t xml:space="preserve">a </w:t>
      </w:r>
      <w:r w:rsidR="00592B83">
        <w:rPr>
          <w:rFonts w:eastAsia="Times New Roman" w:cs="Times New Roman"/>
          <w:color w:val="000000"/>
        </w:rPr>
        <w:t>COA</w:t>
      </w:r>
      <w:r w:rsidR="009143BD">
        <w:rPr>
          <w:rFonts w:eastAsia="Times New Roman" w:cs="Times New Roman"/>
          <w:color w:val="000000"/>
        </w:rPr>
        <w:t xml:space="preserve"> </w:t>
      </w:r>
      <w:r w:rsidR="00313189">
        <w:rPr>
          <w:rFonts w:eastAsia="Times New Roman" w:cs="Times New Roman"/>
          <w:color w:val="000000"/>
        </w:rPr>
        <w:t xml:space="preserve">on </w:t>
      </w:r>
      <w:r w:rsidR="004F68E9">
        <w:rPr>
          <w:rFonts w:eastAsia="Times New Roman" w:cs="Times New Roman"/>
          <w:color w:val="000000"/>
        </w:rPr>
        <w:t>a</w:t>
      </w:r>
      <w:r w:rsidR="009D06DA">
        <w:rPr>
          <w:rFonts w:eastAsia="Times New Roman" w:cs="Times New Roman"/>
          <w:color w:val="000000"/>
        </w:rPr>
        <w:t>ll</w:t>
      </w:r>
      <w:r w:rsidR="004F68E9">
        <w:rPr>
          <w:rFonts w:eastAsia="Times New Roman" w:cs="Times New Roman"/>
          <w:color w:val="000000"/>
        </w:rPr>
        <w:t xml:space="preserve"> plausible</w:t>
      </w:r>
      <w:r w:rsidR="00A93619">
        <w:rPr>
          <w:rFonts w:eastAsia="Times New Roman" w:cs="Times New Roman"/>
          <w:color w:val="000000"/>
        </w:rPr>
        <w:t xml:space="preserve"> grounds for error</w:t>
      </w:r>
      <w:r w:rsidR="00A439C4">
        <w:rPr>
          <w:rFonts w:eastAsia="Times New Roman" w:cs="Times New Roman"/>
          <w:color w:val="000000"/>
        </w:rPr>
        <w:t xml:space="preserve"> </w:t>
      </w:r>
      <w:r w:rsidR="003479CC">
        <w:rPr>
          <w:rFonts w:eastAsia="Times New Roman" w:cs="Times New Roman"/>
          <w:color w:val="000000"/>
        </w:rPr>
        <w:t xml:space="preserve">where there is insufficient </w:t>
      </w:r>
      <w:r w:rsidR="007645B2">
        <w:rPr>
          <w:rFonts w:eastAsia="Times New Roman" w:cs="Times New Roman"/>
          <w:color w:val="000000"/>
        </w:rPr>
        <w:t xml:space="preserve">time to probe the substantiality </w:t>
      </w:r>
      <w:r w:rsidR="00AA640A">
        <w:rPr>
          <w:rFonts w:eastAsia="Times New Roman" w:cs="Times New Roman"/>
          <w:color w:val="000000"/>
        </w:rPr>
        <w:t>of</w:t>
      </w:r>
      <w:r w:rsidR="00664A54">
        <w:rPr>
          <w:rFonts w:eastAsia="Times New Roman" w:cs="Times New Roman"/>
          <w:color w:val="000000"/>
        </w:rPr>
        <w:t xml:space="preserve"> </w:t>
      </w:r>
      <w:r w:rsidR="00354C00">
        <w:rPr>
          <w:rFonts w:eastAsia="Times New Roman" w:cs="Times New Roman"/>
          <w:color w:val="000000"/>
        </w:rPr>
        <w:t xml:space="preserve">a </w:t>
      </w:r>
      <w:r w:rsidR="00EE4F41">
        <w:rPr>
          <w:rFonts w:eastAsia="Times New Roman" w:cs="Times New Roman"/>
          <w:color w:val="000000"/>
        </w:rPr>
        <w:t>proposed appeal.</w:t>
      </w:r>
      <w:r w:rsidR="007C3C72">
        <w:rPr>
          <w:rFonts w:eastAsia="Times New Roman" w:cs="Times New Roman"/>
          <w:color w:val="000000"/>
        </w:rPr>
        <w:t xml:space="preserve"> </w:t>
      </w:r>
    </w:p>
    <w:p w:rsidR="00FC6EAF" w:rsidP="0041645F" w14:paraId="242E988B" w14:textId="7ABE9810">
      <w:pPr>
        <w:shd w:val="clear" w:color="auto" w:fill="FFFFFF"/>
        <w:rPr>
          <w:color w:val="000000"/>
          <w:shd w:val="clear" w:color="auto" w:fill="FFFFFF"/>
        </w:rPr>
      </w:pPr>
      <w:r>
        <w:rPr>
          <w:rFonts w:eastAsia="Times New Roman" w:cs="Times New Roman"/>
          <w:color w:val="000000"/>
        </w:rPr>
        <w:t>Accordingly</w:t>
      </w:r>
      <w:r w:rsidR="009E0AB1">
        <w:rPr>
          <w:rFonts w:eastAsia="Times New Roman" w:cs="Times New Roman"/>
          <w:color w:val="000000"/>
        </w:rPr>
        <w:t>, b</w:t>
      </w:r>
      <w:r w:rsidR="0041645F">
        <w:rPr>
          <w:color w:val="000000"/>
          <w:shd w:val="clear" w:color="auto" w:fill="FFFFFF"/>
        </w:rPr>
        <w:t xml:space="preserve">ecause section 1509.1(c) provides </w:t>
      </w:r>
      <w:r w:rsidR="008B41C5">
        <w:rPr>
          <w:color w:val="000000"/>
          <w:shd w:val="clear" w:color="auto" w:fill="FFFFFF"/>
        </w:rPr>
        <w:t>“</w:t>
      </w:r>
      <w:r w:rsidR="0041645F">
        <w:rPr>
          <w:color w:val="000000"/>
          <w:shd w:val="clear" w:color="auto" w:fill="FFFFFF"/>
        </w:rPr>
        <w:t>no effective mechanism</w:t>
      </w:r>
      <w:r w:rsidR="008B41C5">
        <w:rPr>
          <w:color w:val="000000"/>
          <w:shd w:val="clear" w:color="auto" w:fill="FFFFFF"/>
        </w:rPr>
        <w:t>”</w:t>
      </w:r>
      <w:r w:rsidR="0041645F">
        <w:rPr>
          <w:color w:val="000000"/>
          <w:shd w:val="clear" w:color="auto" w:fill="FFFFFF"/>
        </w:rPr>
        <w:t xml:space="preserve"> to enforce the 10-day period (</w:t>
      </w:r>
      <w:r w:rsidR="002913CA">
        <w:rPr>
          <w:color w:val="000000"/>
          <w:shd w:val="clear" w:color="auto" w:fill="FFFFFF"/>
        </w:rPr>
        <w:t xml:space="preserve">see </w:t>
      </w:r>
      <w:r w:rsidR="0041645F">
        <w:rPr>
          <w:i/>
          <w:iCs/>
          <w:color w:val="000000"/>
          <w:shd w:val="clear" w:color="auto" w:fill="FFFFFF"/>
        </w:rPr>
        <w:t>Briggs</w:t>
      </w:r>
      <w:r w:rsidR="0041645F">
        <w:rPr>
          <w:color w:val="000000"/>
          <w:shd w:val="clear" w:color="auto" w:fill="FFFFFF"/>
        </w:rPr>
        <w:t xml:space="preserve">, </w:t>
      </w:r>
      <w:r w:rsidR="0041645F">
        <w:rPr>
          <w:i/>
          <w:iCs/>
          <w:color w:val="000000"/>
          <w:shd w:val="clear" w:color="auto" w:fill="FFFFFF"/>
        </w:rPr>
        <w:t>supra</w:t>
      </w:r>
      <w:r w:rsidR="0041645F">
        <w:rPr>
          <w:color w:val="000000"/>
          <w:shd w:val="clear" w:color="auto" w:fill="FFFFFF"/>
        </w:rPr>
        <w:t>, 3</w:t>
      </w:r>
      <w:r w:rsidR="008249C8">
        <w:rPr>
          <w:color w:val="000000"/>
          <w:shd w:val="clear" w:color="auto" w:fill="FFFFFF"/>
        </w:rPr>
        <w:t> </w:t>
      </w:r>
      <w:r w:rsidR="0041645F">
        <w:rPr>
          <w:color w:val="000000"/>
          <w:shd w:val="clear" w:color="auto" w:fill="FFFFFF"/>
        </w:rPr>
        <w:t>Cal.5th at p.</w:t>
      </w:r>
      <w:r w:rsidR="00512CD6">
        <w:rPr>
          <w:color w:val="000000"/>
          <w:shd w:val="clear" w:color="auto" w:fill="FFFFFF"/>
        </w:rPr>
        <w:t> </w:t>
      </w:r>
      <w:r w:rsidR="0041645F">
        <w:rPr>
          <w:color w:val="000000"/>
          <w:shd w:val="clear" w:color="auto" w:fill="FFFFFF"/>
        </w:rPr>
        <w:t>855), and because strict enforcement of the 10-day period “would materially impair fair adjudication” of this case and unduly restrict our ability to “administer justice in an orderly fashion” (</w:t>
      </w:r>
      <w:r w:rsidR="0041645F">
        <w:rPr>
          <w:i/>
          <w:iCs/>
          <w:color w:val="000000"/>
          <w:shd w:val="clear" w:color="auto" w:fill="FFFFFF"/>
        </w:rPr>
        <w:t>id</w:t>
      </w:r>
      <w:r w:rsidR="0041645F">
        <w:rPr>
          <w:color w:val="000000"/>
          <w:shd w:val="clear" w:color="auto" w:fill="FFFFFF"/>
        </w:rPr>
        <w:t>. at p.</w:t>
      </w:r>
      <w:r w:rsidR="008249C8">
        <w:rPr>
          <w:color w:val="000000"/>
          <w:shd w:val="clear" w:color="auto" w:fill="FFFFFF"/>
        </w:rPr>
        <w:t> </w:t>
      </w:r>
      <w:r w:rsidR="0041645F">
        <w:rPr>
          <w:color w:val="000000"/>
          <w:shd w:val="clear" w:color="auto" w:fill="FFFFFF"/>
        </w:rPr>
        <w:t xml:space="preserve">854), we hold that the 10-day deadline in section 1509.1(c) is directory, not mandatory.  </w:t>
      </w:r>
      <w:r w:rsidR="00C07E7B">
        <w:rPr>
          <w:color w:val="000000"/>
          <w:shd w:val="clear" w:color="auto" w:fill="FFFFFF"/>
        </w:rPr>
        <w:t>T</w:t>
      </w:r>
      <w:r w:rsidR="00BA6B77">
        <w:rPr>
          <w:color w:val="000000"/>
          <w:shd w:val="clear" w:color="auto" w:fill="FFFFFF"/>
        </w:rPr>
        <w:t xml:space="preserve">o the extent the language of section 1509.1(c) can be read to impose a jurisdictional 60-day deadline running from the filing of a notice of appeal in the </w:t>
      </w:r>
      <w:r w:rsidR="00A91E0C">
        <w:rPr>
          <w:color w:val="000000"/>
          <w:shd w:val="clear" w:color="auto" w:fill="FFFFFF"/>
        </w:rPr>
        <w:t>superior court</w:t>
      </w:r>
      <w:r w:rsidR="00BA6B77">
        <w:rPr>
          <w:color w:val="000000"/>
          <w:shd w:val="clear" w:color="auto" w:fill="FFFFFF"/>
        </w:rPr>
        <w:t>, we hold that that</w:t>
      </w:r>
      <w:r w:rsidR="00C07E7B">
        <w:rPr>
          <w:color w:val="000000"/>
          <w:shd w:val="clear" w:color="auto" w:fill="FFFFFF"/>
        </w:rPr>
        <w:t xml:space="preserve"> time period</w:t>
      </w:r>
      <w:r w:rsidR="000E4FA2">
        <w:rPr>
          <w:color w:val="000000"/>
          <w:shd w:val="clear" w:color="auto" w:fill="FFFFFF"/>
        </w:rPr>
        <w:t>,</w:t>
      </w:r>
      <w:r w:rsidR="00BA6B77">
        <w:rPr>
          <w:color w:val="000000"/>
          <w:shd w:val="clear" w:color="auto" w:fill="FFFFFF"/>
        </w:rPr>
        <w:t xml:space="preserve"> too</w:t>
      </w:r>
      <w:r w:rsidR="000E4FA2">
        <w:rPr>
          <w:color w:val="000000"/>
          <w:shd w:val="clear" w:color="auto" w:fill="FFFFFF"/>
        </w:rPr>
        <w:t>,</w:t>
      </w:r>
      <w:r w:rsidR="00BA6B77">
        <w:rPr>
          <w:color w:val="000000"/>
          <w:shd w:val="clear" w:color="auto" w:fill="FFFFFF"/>
        </w:rPr>
        <w:t xml:space="preserve"> is directory</w:t>
      </w:r>
      <w:r w:rsidR="00C07E7B">
        <w:rPr>
          <w:color w:val="000000"/>
          <w:shd w:val="clear" w:color="auto" w:fill="FFFFFF"/>
        </w:rPr>
        <w:t xml:space="preserve">.  </w:t>
      </w:r>
    </w:p>
    <w:p w:rsidR="0041645F" w:rsidP="0041645F" w14:paraId="5D219E2E" w14:textId="14EB1EFF">
      <w:pPr>
        <w:shd w:val="clear" w:color="auto" w:fill="FFFFFF"/>
      </w:pPr>
      <w:r>
        <w:rPr>
          <w:color w:val="000000"/>
          <w:shd w:val="clear" w:color="auto" w:fill="FFFFFF"/>
        </w:rPr>
        <w:t xml:space="preserve">These </w:t>
      </w:r>
      <w:r w:rsidR="00C07E7B">
        <w:rPr>
          <w:color w:val="000000"/>
          <w:shd w:val="clear" w:color="auto" w:fill="FFFFFF"/>
        </w:rPr>
        <w:t xml:space="preserve">two </w:t>
      </w:r>
      <w:r w:rsidR="000043F7">
        <w:rPr>
          <w:color w:val="000000"/>
          <w:shd w:val="clear" w:color="auto" w:fill="FFFFFF"/>
        </w:rPr>
        <w:t xml:space="preserve">specified </w:t>
      </w:r>
      <w:r>
        <w:rPr>
          <w:color w:val="000000"/>
          <w:shd w:val="clear" w:color="auto" w:fill="FFFFFF"/>
        </w:rPr>
        <w:t xml:space="preserve">time </w:t>
      </w:r>
      <w:r w:rsidR="005604DA">
        <w:rPr>
          <w:color w:val="000000"/>
          <w:shd w:val="clear" w:color="auto" w:fill="FFFFFF"/>
        </w:rPr>
        <w:t>periods</w:t>
      </w:r>
      <w:r>
        <w:rPr>
          <w:color w:val="000000"/>
          <w:shd w:val="clear" w:color="auto" w:fill="FFFFFF"/>
        </w:rPr>
        <w:t xml:space="preserve"> provide aspirational benchmark</w:t>
      </w:r>
      <w:r w:rsidR="007767A3">
        <w:rPr>
          <w:color w:val="000000"/>
          <w:shd w:val="clear" w:color="auto" w:fill="FFFFFF"/>
        </w:rPr>
        <w:t>s</w:t>
      </w:r>
      <w:r>
        <w:rPr>
          <w:color w:val="000000"/>
          <w:shd w:val="clear" w:color="auto" w:fill="FFFFFF"/>
        </w:rPr>
        <w:t xml:space="preserve"> that </w:t>
      </w:r>
      <w:r w:rsidR="005604DA">
        <w:rPr>
          <w:color w:val="000000"/>
          <w:shd w:val="clear" w:color="auto" w:fill="FFFFFF"/>
        </w:rPr>
        <w:t xml:space="preserve">must </w:t>
      </w:r>
      <w:r>
        <w:rPr>
          <w:color w:val="000000"/>
          <w:shd w:val="clear" w:color="auto" w:fill="FFFFFF"/>
        </w:rPr>
        <w:t>be taken into account in applying the overall directive under section</w:t>
      </w:r>
      <w:r w:rsidR="002F248E">
        <w:rPr>
          <w:color w:val="000000"/>
          <w:shd w:val="clear" w:color="auto" w:fill="FFFFFF"/>
        </w:rPr>
        <w:t> </w:t>
      </w:r>
      <w:r>
        <w:rPr>
          <w:color w:val="000000"/>
          <w:shd w:val="clear" w:color="auto" w:fill="FFFFFF"/>
        </w:rPr>
        <w:t>1509.1(c) that “[a]</w:t>
      </w:r>
      <w:r>
        <w:rPr>
          <w:rFonts w:eastAsia="Times New Roman" w:cs="Times New Roman"/>
          <w:color w:val="000000"/>
        </w:rPr>
        <w:t>n appeal under this subdivision shall have priority over all other matters and be decided as expeditiously as possible.”</w:t>
      </w:r>
      <w:r>
        <w:rPr>
          <w:color w:val="000000"/>
          <w:shd w:val="clear" w:color="auto" w:fill="FFFFFF"/>
        </w:rPr>
        <w:t xml:space="preserve"> </w:t>
      </w:r>
      <w:r w:rsidR="00D1721F">
        <w:rPr>
          <w:color w:val="000000"/>
          <w:shd w:val="clear" w:color="auto" w:fill="FFFFFF"/>
        </w:rPr>
        <w:t xml:space="preserve"> </w:t>
      </w:r>
      <w:r w:rsidR="00D05C0D">
        <w:rPr>
          <w:color w:val="000000"/>
          <w:shd w:val="clear" w:color="auto" w:fill="FFFFFF"/>
        </w:rPr>
        <w:t>T</w:t>
      </w:r>
      <w:r w:rsidR="00FB7863">
        <w:rPr>
          <w:color w:val="000000"/>
          <w:shd w:val="clear" w:color="auto" w:fill="FFFFFF"/>
        </w:rPr>
        <w:t>he</w:t>
      </w:r>
      <w:r w:rsidR="0070796A">
        <w:rPr>
          <w:color w:val="000000"/>
          <w:shd w:val="clear" w:color="auto" w:fill="FFFFFF"/>
        </w:rPr>
        <w:t xml:space="preserve"> </w:t>
      </w:r>
      <w:r w:rsidR="00944002">
        <w:rPr>
          <w:color w:val="000000"/>
          <w:shd w:val="clear" w:color="auto" w:fill="FFFFFF"/>
        </w:rPr>
        <w:t>30-day</w:t>
      </w:r>
      <w:r w:rsidR="00A66EC8">
        <w:rPr>
          <w:color w:val="000000"/>
          <w:shd w:val="clear" w:color="auto" w:fill="FFFFFF"/>
        </w:rPr>
        <w:t xml:space="preserve"> jurisdictional </w:t>
      </w:r>
      <w:r w:rsidR="0042478F">
        <w:rPr>
          <w:color w:val="000000"/>
          <w:shd w:val="clear" w:color="auto" w:fill="FFFFFF"/>
        </w:rPr>
        <w:t xml:space="preserve">deadline to </w:t>
      </w:r>
      <w:r w:rsidR="00E96AA1">
        <w:rPr>
          <w:color w:val="000000"/>
          <w:shd w:val="clear" w:color="auto" w:fill="FFFFFF"/>
        </w:rPr>
        <w:t xml:space="preserve">file a notice of </w:t>
      </w:r>
      <w:r w:rsidR="0042478F">
        <w:rPr>
          <w:color w:val="000000"/>
          <w:shd w:val="clear" w:color="auto" w:fill="FFFFFF"/>
        </w:rPr>
        <w:t xml:space="preserve">appeal </w:t>
      </w:r>
      <w:r w:rsidR="0036233C">
        <w:rPr>
          <w:color w:val="000000"/>
          <w:shd w:val="clear" w:color="auto" w:fill="FFFFFF"/>
        </w:rPr>
        <w:t>under section 1509.1(c)</w:t>
      </w:r>
      <w:r w:rsidR="00D05C0D">
        <w:rPr>
          <w:color w:val="000000"/>
          <w:shd w:val="clear" w:color="auto" w:fill="FFFFFF"/>
        </w:rPr>
        <w:t>, of course,</w:t>
      </w:r>
      <w:r w:rsidR="00D03855">
        <w:rPr>
          <w:color w:val="000000"/>
          <w:shd w:val="clear" w:color="auto" w:fill="FFFFFF"/>
        </w:rPr>
        <w:t xml:space="preserve"> </w:t>
      </w:r>
      <w:r w:rsidR="00E67053">
        <w:rPr>
          <w:color w:val="000000"/>
          <w:shd w:val="clear" w:color="auto" w:fill="FFFFFF"/>
        </w:rPr>
        <w:t xml:space="preserve">remains </w:t>
      </w:r>
      <w:r w:rsidR="0023277E">
        <w:rPr>
          <w:color w:val="000000"/>
          <w:shd w:val="clear" w:color="auto" w:fill="FFFFFF"/>
        </w:rPr>
        <w:t>applicable</w:t>
      </w:r>
      <w:r w:rsidR="00643C9E">
        <w:rPr>
          <w:color w:val="000000"/>
          <w:shd w:val="clear" w:color="auto" w:fill="FFFFFF"/>
        </w:rPr>
        <w:t>, and</w:t>
      </w:r>
      <w:r w:rsidR="00513E89">
        <w:rPr>
          <w:color w:val="000000"/>
          <w:shd w:val="clear" w:color="auto" w:fill="FFFFFF"/>
        </w:rPr>
        <w:t xml:space="preserve"> th</w:t>
      </w:r>
      <w:r w:rsidR="003819F8">
        <w:rPr>
          <w:color w:val="000000"/>
          <w:shd w:val="clear" w:color="auto" w:fill="FFFFFF"/>
        </w:rPr>
        <w:t xml:space="preserve">e </w:t>
      </w:r>
      <w:r w:rsidR="009427D6">
        <w:rPr>
          <w:color w:val="000000"/>
          <w:shd w:val="clear" w:color="auto" w:fill="FFFFFF"/>
        </w:rPr>
        <w:t xml:space="preserve">super </w:t>
      </w:r>
      <w:r w:rsidR="007D00D2">
        <w:rPr>
          <w:color w:val="000000"/>
          <w:shd w:val="clear" w:color="auto" w:fill="FFFFFF"/>
        </w:rPr>
        <w:t>priority</w:t>
      </w:r>
      <w:r w:rsidR="005F1421">
        <w:rPr>
          <w:color w:val="000000"/>
          <w:shd w:val="clear" w:color="auto" w:fill="FFFFFF"/>
        </w:rPr>
        <w:t xml:space="preserve"> over “all other matters”</w:t>
      </w:r>
      <w:r w:rsidR="007D00D2">
        <w:rPr>
          <w:color w:val="000000"/>
          <w:shd w:val="clear" w:color="auto" w:fill="FFFFFF"/>
        </w:rPr>
        <w:t xml:space="preserve"> </w:t>
      </w:r>
      <w:r w:rsidR="00615EB3">
        <w:rPr>
          <w:color w:val="000000"/>
          <w:shd w:val="clear" w:color="auto" w:fill="FFFFFF"/>
        </w:rPr>
        <w:t xml:space="preserve">that </w:t>
      </w:r>
      <w:r w:rsidR="00D03855">
        <w:rPr>
          <w:color w:val="000000"/>
          <w:shd w:val="clear" w:color="auto" w:fill="FFFFFF"/>
        </w:rPr>
        <w:t xml:space="preserve">appellate proceedings </w:t>
      </w:r>
      <w:r w:rsidR="00645985">
        <w:rPr>
          <w:color w:val="000000"/>
          <w:shd w:val="clear" w:color="auto" w:fill="FFFFFF"/>
        </w:rPr>
        <w:t xml:space="preserve">authorized by section </w:t>
      </w:r>
      <w:r w:rsidR="001A5BF2">
        <w:rPr>
          <w:color w:val="000000"/>
          <w:shd w:val="clear" w:color="auto" w:fill="FFFFFF"/>
        </w:rPr>
        <w:t xml:space="preserve">1509.1(c) </w:t>
      </w:r>
      <w:r w:rsidR="008019CC">
        <w:rPr>
          <w:color w:val="000000"/>
          <w:shd w:val="clear" w:color="auto" w:fill="FFFFFF"/>
        </w:rPr>
        <w:t>must receive</w:t>
      </w:r>
      <w:r w:rsidRPr="00516A02" w:rsidR="00D14CDB">
        <w:rPr>
          <w:rFonts w:eastAsia="Times New Roman" w:cs="Times New Roman"/>
          <w:color w:val="000000"/>
        </w:rPr>
        <w:t>—</w:t>
      </w:r>
      <w:r w:rsidR="00E1126D">
        <w:rPr>
          <w:color w:val="000000"/>
          <w:shd w:val="clear" w:color="auto" w:fill="FFFFFF"/>
        </w:rPr>
        <w:t xml:space="preserve">which is </w:t>
      </w:r>
      <w:r w:rsidR="001C2CE3">
        <w:rPr>
          <w:color w:val="000000"/>
          <w:shd w:val="clear" w:color="auto" w:fill="FFFFFF"/>
        </w:rPr>
        <w:t>extraordinary</w:t>
      </w:r>
      <w:r w:rsidR="00E1126D">
        <w:rPr>
          <w:color w:val="000000"/>
          <w:shd w:val="clear" w:color="auto" w:fill="FFFFFF"/>
        </w:rPr>
        <w:t xml:space="preserve"> in itself</w:t>
      </w:r>
      <w:r w:rsidRPr="00516A02" w:rsidR="00D14CDB">
        <w:rPr>
          <w:rFonts w:eastAsia="Times New Roman" w:cs="Times New Roman"/>
          <w:color w:val="000000"/>
        </w:rPr>
        <w:t>—</w:t>
      </w:r>
      <w:r w:rsidR="001C2CE3">
        <w:rPr>
          <w:color w:val="000000"/>
          <w:shd w:val="clear" w:color="auto" w:fill="FFFFFF"/>
        </w:rPr>
        <w:t xml:space="preserve">cannot be </w:t>
      </w:r>
      <w:r w:rsidR="006533B4">
        <w:rPr>
          <w:color w:val="000000"/>
          <w:shd w:val="clear" w:color="auto" w:fill="FFFFFF"/>
        </w:rPr>
        <w:t xml:space="preserve">ignored.  </w:t>
      </w:r>
      <w:r w:rsidR="007767A3">
        <w:rPr>
          <w:color w:val="000000"/>
          <w:shd w:val="clear" w:color="auto" w:fill="FFFFFF"/>
        </w:rPr>
        <w:t xml:space="preserve">But </w:t>
      </w:r>
      <w:r w:rsidR="005604DA">
        <w:rPr>
          <w:color w:val="000000"/>
          <w:shd w:val="clear" w:color="auto" w:fill="FFFFFF"/>
        </w:rPr>
        <w:t xml:space="preserve">if </w:t>
      </w:r>
      <w:r w:rsidR="00E7538B">
        <w:rPr>
          <w:color w:val="000000"/>
          <w:shd w:val="clear" w:color="auto" w:fill="FFFFFF"/>
        </w:rPr>
        <w:t xml:space="preserve">more </w:t>
      </w:r>
      <w:r w:rsidR="00360F87">
        <w:rPr>
          <w:color w:val="000000"/>
          <w:shd w:val="clear" w:color="auto" w:fill="FFFFFF"/>
        </w:rPr>
        <w:t xml:space="preserve">than </w:t>
      </w:r>
      <w:r w:rsidR="0071087E">
        <w:rPr>
          <w:color w:val="000000"/>
          <w:shd w:val="clear" w:color="auto" w:fill="FFFFFF"/>
        </w:rPr>
        <w:t>10</w:t>
      </w:r>
      <w:r w:rsidR="00360F87">
        <w:rPr>
          <w:color w:val="000000"/>
          <w:shd w:val="clear" w:color="auto" w:fill="FFFFFF"/>
        </w:rPr>
        <w:t xml:space="preserve"> or </w:t>
      </w:r>
      <w:r w:rsidR="00066F6D">
        <w:rPr>
          <w:color w:val="000000"/>
          <w:shd w:val="clear" w:color="auto" w:fill="FFFFFF"/>
        </w:rPr>
        <w:t xml:space="preserve">even </w:t>
      </w:r>
      <w:r w:rsidR="0071087E">
        <w:rPr>
          <w:color w:val="000000"/>
          <w:shd w:val="clear" w:color="auto" w:fill="FFFFFF"/>
        </w:rPr>
        <w:t>60</w:t>
      </w:r>
      <w:r w:rsidR="00360F87">
        <w:rPr>
          <w:color w:val="000000"/>
          <w:shd w:val="clear" w:color="auto" w:fill="FFFFFF"/>
        </w:rPr>
        <w:t xml:space="preserve"> d</w:t>
      </w:r>
      <w:r w:rsidR="00C47A14">
        <w:rPr>
          <w:color w:val="000000"/>
          <w:shd w:val="clear" w:color="auto" w:fill="FFFFFF"/>
        </w:rPr>
        <w:t>ays</w:t>
      </w:r>
      <w:r w:rsidR="00E7538B">
        <w:rPr>
          <w:color w:val="000000"/>
          <w:shd w:val="clear" w:color="auto" w:fill="FFFFFF"/>
        </w:rPr>
        <w:t xml:space="preserve"> </w:t>
      </w:r>
      <w:r w:rsidR="005604DA">
        <w:rPr>
          <w:color w:val="000000"/>
          <w:shd w:val="clear" w:color="auto" w:fill="FFFFFF"/>
        </w:rPr>
        <w:t xml:space="preserve">is reasonably </w:t>
      </w:r>
      <w:r w:rsidR="00E7538B">
        <w:rPr>
          <w:color w:val="000000"/>
          <w:shd w:val="clear" w:color="auto" w:fill="FFFFFF"/>
        </w:rPr>
        <w:t xml:space="preserve">necessary </w:t>
      </w:r>
      <w:r w:rsidR="00C200EE">
        <w:rPr>
          <w:color w:val="000000"/>
          <w:shd w:val="clear" w:color="auto" w:fill="FFFFFF"/>
        </w:rPr>
        <w:t xml:space="preserve">for proper consideration of whether </w:t>
      </w:r>
      <w:r w:rsidR="0006765D">
        <w:rPr>
          <w:color w:val="000000"/>
          <w:shd w:val="clear" w:color="auto" w:fill="FFFFFF"/>
        </w:rPr>
        <w:t xml:space="preserve">a </w:t>
      </w:r>
      <w:r w:rsidR="00C200EE">
        <w:rPr>
          <w:color w:val="000000"/>
          <w:shd w:val="clear" w:color="auto" w:fill="FFFFFF"/>
        </w:rPr>
        <w:t>COA</w:t>
      </w:r>
      <w:r w:rsidR="0006765D">
        <w:rPr>
          <w:color w:val="000000"/>
          <w:shd w:val="clear" w:color="auto" w:fill="FFFFFF"/>
        </w:rPr>
        <w:t xml:space="preserve"> </w:t>
      </w:r>
      <w:r w:rsidR="00C200EE">
        <w:rPr>
          <w:color w:val="000000"/>
          <w:shd w:val="clear" w:color="auto" w:fill="FFFFFF"/>
        </w:rPr>
        <w:t>may issue, the time may be taken.</w:t>
      </w:r>
      <w:r w:rsidR="00CB5871">
        <w:rPr>
          <w:color w:val="000000"/>
          <w:shd w:val="clear" w:color="auto" w:fill="FFFFFF"/>
        </w:rPr>
        <w:t xml:space="preserve"> </w:t>
      </w:r>
    </w:p>
    <w:p w:rsidR="0041645F" w:rsidP="008B533D" w14:paraId="6DBE2B84" w14:textId="5A662497">
      <w:pPr>
        <w:pStyle w:val="Heading1"/>
      </w:pPr>
      <w:r>
        <w:t xml:space="preserve">ENTITLEMENT </w:t>
      </w:r>
      <w:r w:rsidR="005F47AF">
        <w:t>t</w:t>
      </w:r>
      <w:r>
        <w:t>O A COA</w:t>
      </w:r>
    </w:p>
    <w:p w:rsidR="0070496C" w:rsidRPr="00516A02" w:rsidP="009E20F3" w14:paraId="5242E796" w14:textId="6FDBB1BC">
      <w:pPr>
        <w:rPr>
          <w:rFonts w:eastAsia="Times New Roman" w:cs="Times New Roman"/>
          <w:color w:val="000000"/>
        </w:rPr>
      </w:pPr>
      <w:r w:rsidRPr="00516A02">
        <w:rPr>
          <w:rFonts w:eastAsia="Times New Roman" w:cs="Times New Roman"/>
          <w:color w:val="000000"/>
        </w:rPr>
        <w:t>Construing Seumanu’s application for a COA from us as a request for a COA on the successiveness determination by the trial court—that is, a COA directed to the “successiveness question itself” (</w:t>
      </w:r>
      <w:r w:rsidRPr="00516A02">
        <w:rPr>
          <w:rFonts w:eastAsia="Times New Roman" w:cs="Times New Roman"/>
          <w:i/>
          <w:iCs/>
          <w:color w:val="000000"/>
        </w:rPr>
        <w:t>Friend I</w:t>
      </w:r>
      <w:r w:rsidRPr="00516A02">
        <w:rPr>
          <w:rFonts w:eastAsia="Times New Roman" w:cs="Times New Roman"/>
          <w:color w:val="000000"/>
        </w:rPr>
        <w:t xml:space="preserve">, </w:t>
      </w:r>
      <w:r w:rsidRPr="00516A02">
        <w:rPr>
          <w:rFonts w:eastAsia="Times New Roman" w:cs="Times New Roman"/>
          <w:i/>
          <w:iCs/>
          <w:color w:val="000000"/>
        </w:rPr>
        <w:t>supra</w:t>
      </w:r>
      <w:r w:rsidRPr="00516A02">
        <w:rPr>
          <w:rFonts w:eastAsia="Times New Roman" w:cs="Times New Roman"/>
          <w:color w:val="000000"/>
        </w:rPr>
        <w:t>, 11</w:t>
      </w:r>
      <w:r w:rsidR="00160C37">
        <w:rPr>
          <w:rFonts w:eastAsia="Times New Roman" w:cs="Times New Roman"/>
          <w:color w:val="000000"/>
        </w:rPr>
        <w:t> </w:t>
      </w:r>
      <w:r w:rsidRPr="00516A02">
        <w:rPr>
          <w:rFonts w:eastAsia="Times New Roman" w:cs="Times New Roman"/>
          <w:color w:val="000000"/>
        </w:rPr>
        <w:t>Cal.5</w:t>
      </w:r>
      <w:r w:rsidRPr="009955F4">
        <w:rPr>
          <w:rFonts w:eastAsia="Times New Roman" w:cs="Times New Roman"/>
          <w:color w:val="000000"/>
        </w:rPr>
        <w:t>th</w:t>
      </w:r>
      <w:r w:rsidRPr="00516A02">
        <w:rPr>
          <w:rFonts w:eastAsia="Times New Roman" w:cs="Times New Roman"/>
          <w:color w:val="000000"/>
        </w:rPr>
        <w:t xml:space="preserve"> at p.</w:t>
      </w:r>
      <w:r w:rsidR="00160C37">
        <w:rPr>
          <w:rFonts w:eastAsia="Times New Roman" w:cs="Times New Roman"/>
          <w:color w:val="000000"/>
        </w:rPr>
        <w:t> </w:t>
      </w:r>
      <w:r w:rsidRPr="00516A02">
        <w:rPr>
          <w:rFonts w:eastAsia="Times New Roman" w:cs="Times New Roman"/>
          <w:color w:val="000000"/>
        </w:rPr>
        <w:t>74</w:t>
      </w:r>
      <w:r w:rsidR="00753BED">
        <w:rPr>
          <w:rFonts w:eastAsia="Times New Roman" w:cs="Times New Roman"/>
          <w:color w:val="000000"/>
        </w:rPr>
        <w:t>7</w:t>
      </w:r>
      <w:r w:rsidRPr="00516A02">
        <w:rPr>
          <w:rFonts w:eastAsia="Times New Roman" w:cs="Times New Roman"/>
          <w:color w:val="000000"/>
        </w:rPr>
        <w:t xml:space="preserve">)—we now turn to a review of this issue under the standard for issuance of a COA in section 1509.1(c). </w:t>
      </w:r>
      <w:r w:rsidRPr="00516A02" w:rsidR="006100CD">
        <w:rPr>
          <w:rFonts w:eastAsia="Times New Roman" w:cs="Times New Roman"/>
          <w:color w:val="000000"/>
        </w:rPr>
        <w:t xml:space="preserve"> </w:t>
      </w:r>
      <w:r w:rsidRPr="00516A02" w:rsidR="00E9127F">
        <w:rPr>
          <w:rFonts w:eastAsia="Times New Roman" w:cs="Times New Roman"/>
          <w:color w:val="000000"/>
        </w:rPr>
        <w:t xml:space="preserve">As noted above, </w:t>
      </w:r>
      <w:r w:rsidRPr="00516A02" w:rsidR="009E20F3">
        <w:rPr>
          <w:rFonts w:eastAsia="Times New Roman" w:cs="Times New Roman"/>
          <w:color w:val="000000"/>
        </w:rPr>
        <w:t>section 1509.1(c) provides as follows:  “</w:t>
      </w:r>
      <w:r w:rsidRPr="009E20F3" w:rsidR="009E20F3">
        <w:rPr>
          <w:rFonts w:eastAsia="Times New Roman" w:cs="Times New Roman"/>
          <w:color w:val="000000"/>
        </w:rPr>
        <w:t>A certificate of appealability may issue under this subdivision only if the petitioner has shown both a substantial claim for relief</w:t>
      </w:r>
      <w:r w:rsidR="009955F4">
        <w:rPr>
          <w:rFonts w:eastAsia="Times New Roman" w:cs="Times New Roman"/>
          <w:color w:val="000000"/>
        </w:rPr>
        <w:t xml:space="preserve"> . . . </w:t>
      </w:r>
      <w:r w:rsidRPr="009E20F3" w:rsidR="009E20F3">
        <w:rPr>
          <w:rFonts w:eastAsia="Times New Roman" w:cs="Times New Roman"/>
          <w:color w:val="000000"/>
        </w:rPr>
        <w:t>and a substantial claim that the requirements of subdivision (d) of Section</w:t>
      </w:r>
      <w:r w:rsidR="00A90806">
        <w:rPr>
          <w:rFonts w:eastAsia="Times New Roman" w:cs="Times New Roman"/>
          <w:color w:val="000000"/>
        </w:rPr>
        <w:t> </w:t>
      </w:r>
      <w:r w:rsidRPr="009E20F3" w:rsidR="009E20F3">
        <w:rPr>
          <w:rFonts w:eastAsia="Times New Roman" w:cs="Times New Roman"/>
          <w:color w:val="000000"/>
        </w:rPr>
        <w:t>1509 have been met.</w:t>
      </w:r>
      <w:r w:rsidRPr="00516A02" w:rsidR="009E20F3">
        <w:rPr>
          <w:rFonts w:eastAsia="Times New Roman" w:cs="Times New Roman"/>
          <w:color w:val="000000"/>
        </w:rPr>
        <w:t xml:space="preserve">”  </w:t>
      </w:r>
      <w:r w:rsidRPr="00516A02" w:rsidR="0068257F">
        <w:rPr>
          <w:rFonts w:eastAsia="Times New Roman" w:cs="Times New Roman"/>
          <w:color w:val="000000"/>
        </w:rPr>
        <w:t xml:space="preserve">  </w:t>
      </w:r>
    </w:p>
    <w:p w:rsidR="00281672" w:rsidP="00563FDE" w14:paraId="01A354F4" w14:textId="09021569">
      <w:pPr>
        <w:rPr>
          <w:rFonts w:eastAsia="Times New Roman" w:cs="Times New Roman"/>
          <w:color w:val="000000"/>
        </w:rPr>
      </w:pPr>
      <w:r w:rsidRPr="00516A02">
        <w:rPr>
          <w:rFonts w:eastAsia="Times New Roman" w:cs="Times New Roman"/>
          <w:color w:val="000000"/>
        </w:rPr>
        <w:t xml:space="preserve">In applying this standard, it </w:t>
      </w:r>
      <w:r w:rsidR="00F95607">
        <w:rPr>
          <w:rFonts w:eastAsia="Times New Roman" w:cs="Times New Roman"/>
          <w:color w:val="000000"/>
        </w:rPr>
        <w:t xml:space="preserve">is </w:t>
      </w:r>
      <w:r w:rsidRPr="00516A02">
        <w:rPr>
          <w:rFonts w:eastAsia="Times New Roman" w:cs="Times New Roman"/>
          <w:color w:val="000000"/>
        </w:rPr>
        <w:t>tempting to</w:t>
      </w:r>
      <w:r w:rsidRPr="00516A02" w:rsidR="00BD47DC">
        <w:rPr>
          <w:rFonts w:eastAsia="Times New Roman" w:cs="Times New Roman"/>
          <w:color w:val="000000"/>
        </w:rPr>
        <w:t xml:space="preserve"> move immediately to the second element—</w:t>
      </w:r>
      <w:r w:rsidRPr="00516A02" w:rsidR="00E4320C">
        <w:rPr>
          <w:rFonts w:eastAsia="Times New Roman" w:cs="Times New Roman"/>
          <w:color w:val="000000"/>
        </w:rPr>
        <w:t xml:space="preserve">the substantiality of the petitioner’s claim that </w:t>
      </w:r>
      <w:r w:rsidR="00D040E1">
        <w:rPr>
          <w:rFonts w:eastAsia="Times New Roman" w:cs="Times New Roman"/>
          <w:color w:val="000000"/>
        </w:rPr>
        <w:t xml:space="preserve">the </w:t>
      </w:r>
      <w:r w:rsidRPr="00516A02" w:rsidR="00BD47DC">
        <w:rPr>
          <w:rFonts w:eastAsia="Times New Roman" w:cs="Times New Roman"/>
          <w:color w:val="000000"/>
        </w:rPr>
        <w:t>“requirements of subdivision (d) have been met</w:t>
      </w:r>
      <w:r w:rsidRPr="00516A02" w:rsidR="007F5BA9">
        <w:rPr>
          <w:rFonts w:eastAsia="Times New Roman" w:cs="Times New Roman"/>
          <w:color w:val="000000"/>
        </w:rPr>
        <w:t>,</w:t>
      </w:r>
      <w:r w:rsidRPr="00516A02" w:rsidR="00BD47DC">
        <w:rPr>
          <w:rFonts w:eastAsia="Times New Roman" w:cs="Times New Roman"/>
          <w:color w:val="000000"/>
        </w:rPr>
        <w:t>”</w:t>
      </w:r>
      <w:r w:rsidRPr="00516A02" w:rsidR="007F5BA9">
        <w:rPr>
          <w:rFonts w:eastAsia="Times New Roman" w:cs="Times New Roman"/>
          <w:color w:val="000000"/>
        </w:rPr>
        <w:t xml:space="preserve"> and to deny </w:t>
      </w:r>
      <w:r w:rsidRPr="00516A02" w:rsidR="006C2C9C">
        <w:rPr>
          <w:rFonts w:eastAsia="Times New Roman" w:cs="Times New Roman"/>
          <w:color w:val="000000"/>
        </w:rPr>
        <w:t xml:space="preserve">a COA summarily in all cases not involving a claim of actual innocence or </w:t>
      </w:r>
      <w:r w:rsidRPr="00084339" w:rsidR="00835C13">
        <w:rPr>
          <w:rFonts w:eastAsia="Times New Roman" w:cs="Times New Roman"/>
          <w:color w:val="000000"/>
        </w:rPr>
        <w:t>ineligibility for the death penalty</w:t>
      </w:r>
      <w:r w:rsidR="002660DA">
        <w:rPr>
          <w:rFonts w:eastAsia="Times New Roman" w:cs="Times New Roman"/>
          <w:color w:val="000000"/>
        </w:rPr>
        <w:t xml:space="preserve">.  But </w:t>
      </w:r>
      <w:r w:rsidR="00081CF6">
        <w:rPr>
          <w:rFonts w:eastAsia="Times New Roman" w:cs="Times New Roman"/>
          <w:color w:val="000000"/>
        </w:rPr>
        <w:t xml:space="preserve">in appeals of </w:t>
      </w:r>
      <w:r w:rsidR="009771DF">
        <w:t>the “successiv</w:t>
      </w:r>
      <w:r w:rsidR="00DC0D69">
        <w:t>e</w:t>
      </w:r>
      <w:r w:rsidR="009771DF">
        <w:t>ness question itsel</w:t>
      </w:r>
      <w:r w:rsidR="000F4F55">
        <w:t>f</w:t>
      </w:r>
      <w:r w:rsidR="00C20F86">
        <w:t>,</w:t>
      </w:r>
      <w:r w:rsidR="009771DF">
        <w:t xml:space="preserve">” </w:t>
      </w:r>
      <w:r w:rsidR="00060DF4">
        <w:rPr>
          <w:rFonts w:eastAsia="Times New Roman" w:cs="Times New Roman"/>
          <w:color w:val="000000"/>
        </w:rPr>
        <w:t>the</w:t>
      </w:r>
      <w:r w:rsidR="00165920">
        <w:rPr>
          <w:rFonts w:eastAsia="Times New Roman" w:cs="Times New Roman"/>
          <w:color w:val="000000"/>
        </w:rPr>
        <w:t xml:space="preserve"> </w:t>
      </w:r>
      <w:r w:rsidRPr="002F079C" w:rsidR="000F4618">
        <w:rPr>
          <w:rFonts w:eastAsia="Times New Roman" w:cs="Times New Roman"/>
          <w:i/>
          <w:iCs/>
          <w:color w:val="000000"/>
        </w:rPr>
        <w:t>Friend</w:t>
      </w:r>
      <w:r w:rsidRPr="002F079C" w:rsidR="00060DF4">
        <w:rPr>
          <w:rFonts w:eastAsia="Times New Roman" w:cs="Times New Roman"/>
          <w:i/>
          <w:iCs/>
          <w:color w:val="000000"/>
        </w:rPr>
        <w:t xml:space="preserve"> </w:t>
      </w:r>
      <w:r w:rsidRPr="002F079C" w:rsidR="00165920">
        <w:rPr>
          <w:rFonts w:eastAsia="Times New Roman" w:cs="Times New Roman"/>
          <w:i/>
          <w:iCs/>
          <w:color w:val="000000"/>
        </w:rPr>
        <w:t>I</w:t>
      </w:r>
      <w:r w:rsidR="00165920">
        <w:rPr>
          <w:rFonts w:eastAsia="Times New Roman" w:cs="Times New Roman"/>
          <w:color w:val="000000"/>
        </w:rPr>
        <w:t xml:space="preserve"> court held</w:t>
      </w:r>
      <w:r w:rsidR="009C47C6">
        <w:rPr>
          <w:rFonts w:eastAsia="Times New Roman" w:cs="Times New Roman"/>
          <w:color w:val="000000"/>
        </w:rPr>
        <w:t xml:space="preserve"> that </w:t>
      </w:r>
      <w:r w:rsidR="00230C43">
        <w:rPr>
          <w:rFonts w:eastAsia="Times New Roman" w:cs="Times New Roman"/>
          <w:color w:val="000000"/>
        </w:rPr>
        <w:t xml:space="preserve">the </w:t>
      </w:r>
      <w:r w:rsidRPr="00084339" w:rsidR="00060DF4">
        <w:t xml:space="preserve">COA </w:t>
      </w:r>
      <w:r w:rsidRPr="00084339" w:rsidR="00EB34E7">
        <w:t>standard “</w:t>
      </w:r>
      <w:r w:rsidRPr="00084339" w:rsidR="00EB34E7">
        <w:rPr>
          <w:rFonts w:eastAsia="Times New Roman" w:cs="Times New Roman"/>
          <w:color w:val="000000"/>
        </w:rPr>
        <w:t xml:space="preserve">may be read to permit a certificate ‘to issue when the petitioner has set forth a substantial argument that </w:t>
      </w:r>
      <w:r w:rsidR="006E33A3">
        <w:rPr>
          <w:rFonts w:eastAsia="Times New Roman" w:cs="Times New Roman"/>
          <w:color w:val="000000"/>
        </w:rPr>
        <w:t>section 1</w:t>
      </w:r>
      <w:r w:rsidRPr="00084339" w:rsidR="00EB34E7">
        <w:rPr>
          <w:rFonts w:eastAsia="Times New Roman" w:cs="Times New Roman"/>
          <w:color w:val="000000"/>
        </w:rPr>
        <w:t>509(d) does not apply at all’</w:t>
      </w:r>
      <w:r w:rsidR="0001679F">
        <w:rPr>
          <w:rFonts w:eastAsia="Times New Roman" w:cs="Times New Roman"/>
          <w:color w:val="000000"/>
        </w:rPr>
        <w:t> </w:t>
      </w:r>
      <w:r w:rsidRPr="00084339" w:rsidR="00EB34E7">
        <w:rPr>
          <w:rFonts w:eastAsia="Times New Roman" w:cs="Times New Roman"/>
          <w:color w:val="000000"/>
        </w:rPr>
        <w:t xml:space="preserve">” </w:t>
      </w:r>
      <w:r w:rsidRPr="002F079C" w:rsidR="00EB34E7">
        <w:rPr>
          <w:rFonts w:eastAsia="Times New Roman" w:cs="Times New Roman"/>
          <w:color w:val="000000"/>
        </w:rPr>
        <w:t>because the petition at issue is not successive</w:t>
      </w:r>
      <w:r w:rsidRPr="00084339" w:rsidR="00EB34E7">
        <w:rPr>
          <w:rFonts w:eastAsia="Times New Roman" w:cs="Times New Roman"/>
          <w:color w:val="000000"/>
        </w:rPr>
        <w:t>.</w:t>
      </w:r>
      <w:r w:rsidR="00060DF4">
        <w:rPr>
          <w:rFonts w:eastAsia="Times New Roman" w:cs="Times New Roman"/>
          <w:color w:val="000000"/>
        </w:rPr>
        <w:t xml:space="preserve"> </w:t>
      </w:r>
      <w:r w:rsidR="00F26E49">
        <w:rPr>
          <w:rFonts w:eastAsia="Times New Roman" w:cs="Times New Roman"/>
          <w:color w:val="000000"/>
        </w:rPr>
        <w:t xml:space="preserve"> </w:t>
      </w:r>
      <w:r w:rsidR="00060DF4">
        <w:rPr>
          <w:rFonts w:eastAsia="Times New Roman" w:cs="Times New Roman"/>
          <w:color w:val="000000"/>
        </w:rPr>
        <w:t>(</w:t>
      </w:r>
      <w:r w:rsidR="00060DF4">
        <w:rPr>
          <w:rFonts w:eastAsia="Times New Roman" w:cs="Times New Roman"/>
          <w:i/>
          <w:iCs/>
          <w:color w:val="000000"/>
        </w:rPr>
        <w:t>Friend I</w:t>
      </w:r>
      <w:r w:rsidR="00060DF4">
        <w:rPr>
          <w:rFonts w:eastAsia="Times New Roman" w:cs="Times New Roman"/>
          <w:color w:val="000000"/>
        </w:rPr>
        <w:t xml:space="preserve">, </w:t>
      </w:r>
      <w:r w:rsidR="00060DF4">
        <w:rPr>
          <w:rFonts w:eastAsia="Times New Roman" w:cs="Times New Roman"/>
          <w:i/>
          <w:iCs/>
          <w:color w:val="000000"/>
        </w:rPr>
        <w:t>supra</w:t>
      </w:r>
      <w:r w:rsidR="00060DF4">
        <w:rPr>
          <w:rFonts w:eastAsia="Times New Roman" w:cs="Times New Roman"/>
          <w:color w:val="000000"/>
        </w:rPr>
        <w:t xml:space="preserve">, </w:t>
      </w:r>
      <w:r w:rsidR="00060DF4">
        <w:rPr>
          <w:rFonts w:eastAsia="Times New Roman" w:cs="Arial"/>
          <w:color w:val="000000"/>
        </w:rPr>
        <w:t>11</w:t>
      </w:r>
      <w:r w:rsidR="0001679F">
        <w:rPr>
          <w:rFonts w:eastAsia="Times New Roman" w:cs="Arial"/>
          <w:color w:val="000000"/>
        </w:rPr>
        <w:t> </w:t>
      </w:r>
      <w:r w:rsidR="00060DF4">
        <w:rPr>
          <w:rFonts w:eastAsia="Times New Roman" w:cs="Arial"/>
          <w:color w:val="000000"/>
        </w:rPr>
        <w:t>Cal.5</w:t>
      </w:r>
      <w:r w:rsidRPr="00FA4F46" w:rsidR="00060DF4">
        <w:rPr>
          <w:rFonts w:eastAsia="Times New Roman" w:cs="Arial"/>
          <w:color w:val="000000"/>
        </w:rPr>
        <w:t>th</w:t>
      </w:r>
      <w:r w:rsidR="00060DF4">
        <w:rPr>
          <w:rFonts w:eastAsia="Times New Roman" w:cs="Arial"/>
          <w:color w:val="000000"/>
        </w:rPr>
        <w:t xml:space="preserve"> </w:t>
      </w:r>
      <w:r w:rsidR="00060DF4">
        <w:rPr>
          <w:rFonts w:eastAsia="Times New Roman" w:cs="Times New Roman"/>
          <w:color w:val="000000"/>
        </w:rPr>
        <w:t>at p</w:t>
      </w:r>
      <w:r w:rsidR="00D350E1">
        <w:rPr>
          <w:rFonts w:eastAsia="Times New Roman" w:cs="Times New Roman"/>
          <w:color w:val="000000"/>
        </w:rPr>
        <w:t>p</w:t>
      </w:r>
      <w:r w:rsidR="00060DF4">
        <w:rPr>
          <w:rFonts w:eastAsia="Times New Roman" w:cs="Times New Roman"/>
          <w:color w:val="000000"/>
        </w:rPr>
        <w:t>.</w:t>
      </w:r>
      <w:r w:rsidR="0001679F">
        <w:rPr>
          <w:rFonts w:eastAsia="Times New Roman" w:cs="Times New Roman"/>
          <w:color w:val="000000"/>
        </w:rPr>
        <w:t> </w:t>
      </w:r>
      <w:r w:rsidR="00D350E1">
        <w:rPr>
          <w:rFonts w:eastAsia="Times New Roman" w:cs="Times New Roman"/>
          <w:color w:val="000000"/>
        </w:rPr>
        <w:t>746</w:t>
      </w:r>
      <w:r w:rsidR="00061D92">
        <w:rPr>
          <w:rFonts w:eastAsia="Times New Roman" w:cs="Times New Roman"/>
          <w:color w:val="000000"/>
        </w:rPr>
        <w:t>–</w:t>
      </w:r>
      <w:r w:rsidR="00060DF4">
        <w:rPr>
          <w:rFonts w:eastAsia="Times New Roman" w:cs="Times New Roman"/>
          <w:color w:val="000000"/>
        </w:rPr>
        <w:t xml:space="preserve">747.) </w:t>
      </w:r>
      <w:r w:rsidR="00DB35F5">
        <w:rPr>
          <w:rFonts w:eastAsia="Times New Roman" w:cs="Times New Roman"/>
          <w:color w:val="000000"/>
        </w:rPr>
        <w:t xml:space="preserve"> </w:t>
      </w:r>
    </w:p>
    <w:p w:rsidR="00D34138" w14:paraId="1240F6EE" w14:textId="45D8EC2A">
      <w:pPr>
        <w:shd w:val="clear" w:color="auto" w:fill="FFFFFF"/>
        <w:rPr>
          <w:rFonts w:eastAsia="Times New Roman" w:cs="Times New Roman"/>
          <w:color w:val="000000"/>
        </w:rPr>
      </w:pPr>
      <w:r>
        <w:rPr>
          <w:rFonts w:eastAsia="Times New Roman" w:cs="Times New Roman"/>
          <w:color w:val="000000"/>
        </w:rPr>
        <w:t>Accordingly, o</w:t>
      </w:r>
      <w:r w:rsidR="00AA41DE">
        <w:rPr>
          <w:rFonts w:eastAsia="Times New Roman" w:cs="Times New Roman"/>
          <w:color w:val="000000"/>
        </w:rPr>
        <w:t>ur sole focus here</w:t>
      </w:r>
      <w:r>
        <w:rPr>
          <w:rFonts w:eastAsia="Times New Roman" w:cs="Times New Roman"/>
          <w:color w:val="000000"/>
        </w:rPr>
        <w:t xml:space="preserve"> </w:t>
      </w:r>
      <w:r w:rsidR="00AA41DE">
        <w:rPr>
          <w:rFonts w:eastAsia="Times New Roman" w:cs="Times New Roman"/>
          <w:color w:val="000000"/>
        </w:rPr>
        <w:t xml:space="preserve">is on </w:t>
      </w:r>
      <w:r w:rsidRPr="00516A02" w:rsidR="000212F1">
        <w:rPr>
          <w:rFonts w:eastAsia="Times New Roman" w:cs="Times New Roman"/>
          <w:color w:val="000000"/>
        </w:rPr>
        <w:t xml:space="preserve">whether </w:t>
      </w:r>
      <w:r w:rsidR="00AA41DE">
        <w:rPr>
          <w:rFonts w:eastAsia="Times New Roman" w:cs="Times New Roman"/>
          <w:color w:val="000000"/>
        </w:rPr>
        <w:t>Seumanu</w:t>
      </w:r>
      <w:r w:rsidRPr="00516A02" w:rsidR="00C0605E">
        <w:rPr>
          <w:rFonts w:eastAsia="Times New Roman" w:cs="Times New Roman"/>
          <w:color w:val="000000"/>
        </w:rPr>
        <w:t xml:space="preserve"> has made a substantial </w:t>
      </w:r>
      <w:r w:rsidR="00DD0B49">
        <w:rPr>
          <w:rFonts w:eastAsia="Times New Roman" w:cs="Times New Roman"/>
          <w:color w:val="000000"/>
        </w:rPr>
        <w:t xml:space="preserve">showing that his unexhausted claims are not </w:t>
      </w:r>
      <w:r w:rsidR="003A33CA">
        <w:rPr>
          <w:rFonts w:eastAsia="Times New Roman" w:cs="Times New Roman"/>
          <w:color w:val="000000"/>
        </w:rPr>
        <w:t>“</w:t>
      </w:r>
      <w:r w:rsidR="00DD0B49">
        <w:rPr>
          <w:rFonts w:eastAsia="Times New Roman" w:cs="Times New Roman"/>
          <w:color w:val="000000"/>
        </w:rPr>
        <w:t>successive</w:t>
      </w:r>
      <w:r w:rsidR="003A33CA">
        <w:rPr>
          <w:rFonts w:eastAsia="Times New Roman" w:cs="Times New Roman"/>
          <w:color w:val="000000"/>
        </w:rPr>
        <w:t>” within the meaning of section 1509(d)</w:t>
      </w:r>
      <w:r w:rsidR="00DD0B49">
        <w:rPr>
          <w:rFonts w:eastAsia="Times New Roman" w:cs="Times New Roman"/>
          <w:color w:val="000000"/>
        </w:rPr>
        <w:t>.</w:t>
      </w:r>
      <w:r w:rsidRPr="003609C2" w:rsidR="00281672">
        <w:rPr>
          <w:rFonts w:eastAsia="Times New Roman" w:cs="Times New Roman"/>
          <w:color w:val="000000"/>
        </w:rPr>
        <w:t xml:space="preserve"> </w:t>
      </w:r>
      <w:r w:rsidRPr="003609C2" w:rsidR="00CD0772">
        <w:rPr>
          <w:rFonts w:eastAsia="Times New Roman" w:cs="Times New Roman"/>
          <w:color w:val="000000"/>
        </w:rPr>
        <w:t xml:space="preserve"> </w:t>
      </w:r>
      <w:r w:rsidRPr="003609C2" w:rsidR="00281672">
        <w:rPr>
          <w:rFonts w:eastAsia="Times New Roman" w:cs="Times New Roman"/>
          <w:color w:val="000000"/>
        </w:rPr>
        <w:t>A “substantial showing”</w:t>
      </w:r>
      <w:r w:rsidRPr="003609C2" w:rsidR="0066157A">
        <w:rPr>
          <w:rFonts w:eastAsia="Times New Roman" w:cs="Times New Roman"/>
          <w:color w:val="000000"/>
        </w:rPr>
        <w:t xml:space="preserve"> does not require a showing that</w:t>
      </w:r>
      <w:r w:rsidRPr="003609C2" w:rsidR="0095453F">
        <w:rPr>
          <w:rFonts w:eastAsia="Times New Roman" w:cs="Times New Roman"/>
          <w:color w:val="000000"/>
        </w:rPr>
        <w:t xml:space="preserve">, at this </w:t>
      </w:r>
      <w:r w:rsidRPr="003609C2" w:rsidR="00252E19">
        <w:rPr>
          <w:rFonts w:eastAsia="Times New Roman" w:cs="Times New Roman"/>
          <w:color w:val="000000"/>
        </w:rPr>
        <w:t xml:space="preserve">preliminary </w:t>
      </w:r>
      <w:r w:rsidRPr="003609C2" w:rsidR="0095453F">
        <w:rPr>
          <w:rFonts w:eastAsia="Times New Roman" w:cs="Times New Roman"/>
          <w:color w:val="000000"/>
        </w:rPr>
        <w:t>stage, convince</w:t>
      </w:r>
      <w:r w:rsidRPr="003609C2" w:rsidR="00594FA4">
        <w:rPr>
          <w:rFonts w:eastAsia="Times New Roman" w:cs="Times New Roman"/>
          <w:color w:val="000000"/>
        </w:rPr>
        <w:t>s us the appellant is likely to prevail.</w:t>
      </w:r>
      <w:r w:rsidR="00F60377">
        <w:rPr>
          <w:rFonts w:eastAsia="Times New Roman" w:cs="Times New Roman"/>
          <w:color w:val="000000"/>
        </w:rPr>
        <w:t xml:space="preserve">  </w:t>
      </w:r>
      <w:r w:rsidR="00D541D8">
        <w:rPr>
          <w:rFonts w:eastAsia="Times New Roman" w:cs="Times New Roman"/>
          <w:color w:val="000000"/>
        </w:rPr>
        <w:t xml:space="preserve">Our colleagues in </w:t>
      </w:r>
      <w:r w:rsidRPr="002F079C" w:rsidR="00D541D8">
        <w:rPr>
          <w:rFonts w:eastAsia="Times New Roman" w:cs="Times New Roman"/>
          <w:i/>
          <w:color w:val="000000"/>
        </w:rPr>
        <w:t>Friend II</w:t>
      </w:r>
      <w:r w:rsidR="00D541D8">
        <w:rPr>
          <w:rFonts w:eastAsia="Times New Roman" w:cs="Times New Roman"/>
          <w:color w:val="000000"/>
        </w:rPr>
        <w:t xml:space="preserve"> noted but did not</w:t>
      </w:r>
      <w:r w:rsidR="00C73D00">
        <w:rPr>
          <w:rFonts w:eastAsia="Times New Roman" w:cs="Times New Roman"/>
          <w:color w:val="000000"/>
        </w:rPr>
        <w:t xml:space="preserve"> rule on </w:t>
      </w:r>
      <w:r w:rsidR="003F73EA">
        <w:rPr>
          <w:rFonts w:eastAsia="Times New Roman" w:cs="Times New Roman"/>
          <w:color w:val="000000"/>
        </w:rPr>
        <w:t xml:space="preserve">what </w:t>
      </w:r>
      <w:r w:rsidR="00C73D00">
        <w:rPr>
          <w:rFonts w:eastAsia="Times New Roman" w:cs="Times New Roman"/>
          <w:color w:val="000000"/>
        </w:rPr>
        <w:t xml:space="preserve">this </w:t>
      </w:r>
      <w:r w:rsidR="003F73EA">
        <w:rPr>
          <w:rFonts w:eastAsia="Times New Roman" w:cs="Times New Roman"/>
          <w:color w:val="000000"/>
        </w:rPr>
        <w:t>standard requires</w:t>
      </w:r>
      <w:r w:rsidR="00FB6D61">
        <w:rPr>
          <w:rFonts w:eastAsia="Times New Roman" w:cs="Times New Roman"/>
          <w:color w:val="000000"/>
        </w:rPr>
        <w:t xml:space="preserve">.  </w:t>
      </w:r>
      <w:r>
        <w:rPr>
          <w:rFonts w:eastAsia="Times New Roman" w:cs="Times New Roman"/>
          <w:color w:val="000000"/>
        </w:rPr>
        <w:t>We must address it here</w:t>
      </w:r>
      <w:r w:rsidR="001E0781">
        <w:rPr>
          <w:rFonts w:eastAsia="Times New Roman" w:cs="Times New Roman"/>
          <w:color w:val="000000"/>
        </w:rPr>
        <w:t>, since</w:t>
      </w:r>
      <w:r w:rsidR="006668BC">
        <w:rPr>
          <w:rFonts w:eastAsia="Times New Roman" w:cs="Times New Roman"/>
          <w:color w:val="000000"/>
        </w:rPr>
        <w:t xml:space="preserve"> </w:t>
      </w:r>
      <w:r w:rsidR="001E0781">
        <w:rPr>
          <w:rFonts w:eastAsia="Times New Roman" w:cs="Times New Roman"/>
          <w:color w:val="000000"/>
        </w:rPr>
        <w:t>one of the claims at issue—claim four</w:t>
      </w:r>
      <w:r w:rsidR="006419A8">
        <w:rPr>
          <w:rFonts w:eastAsia="Times New Roman" w:cs="Times New Roman"/>
          <w:color w:val="000000"/>
        </w:rPr>
        <w:t>, at least in one respect as we explain below</w:t>
      </w:r>
      <w:r w:rsidR="001E0781">
        <w:rPr>
          <w:rFonts w:eastAsia="Times New Roman" w:cs="Times New Roman"/>
          <w:color w:val="000000"/>
        </w:rPr>
        <w:t xml:space="preserve">—pleads </w:t>
      </w:r>
      <w:r w:rsidR="00983DAF">
        <w:rPr>
          <w:rFonts w:eastAsia="Times New Roman" w:cs="Times New Roman"/>
          <w:color w:val="000000"/>
        </w:rPr>
        <w:t xml:space="preserve">ineffective assistance of counsel with enough particularity to </w:t>
      </w:r>
      <w:r w:rsidR="009C6755">
        <w:rPr>
          <w:rFonts w:eastAsia="Times New Roman" w:cs="Times New Roman"/>
          <w:color w:val="000000"/>
        </w:rPr>
        <w:t xml:space="preserve">support </w:t>
      </w:r>
      <w:r w:rsidR="000F4EAE">
        <w:rPr>
          <w:rFonts w:eastAsia="Times New Roman" w:cs="Times New Roman"/>
          <w:color w:val="000000"/>
        </w:rPr>
        <w:t xml:space="preserve">a determination of </w:t>
      </w:r>
      <w:r w:rsidR="00247EEE">
        <w:rPr>
          <w:rFonts w:eastAsia="Times New Roman" w:cs="Times New Roman"/>
          <w:color w:val="000000"/>
        </w:rPr>
        <w:t xml:space="preserve">non-successiveness on that ground. </w:t>
      </w:r>
    </w:p>
    <w:p w:rsidR="00E94529" w:rsidP="00F068AB" w14:paraId="63C2994B" w14:textId="47444574">
      <w:pPr>
        <w:shd w:val="clear" w:color="auto" w:fill="FFFFFF"/>
        <w:rPr>
          <w:rStyle w:val="cf01"/>
          <w:rFonts w:ascii="Century Schoolbook" w:hAnsi="Century Schoolbook"/>
          <w:sz w:val="26"/>
          <w:szCs w:val="26"/>
        </w:rPr>
      </w:pPr>
      <w:r w:rsidRPr="00EF3178">
        <w:rPr>
          <w:rStyle w:val="cf01"/>
          <w:rFonts w:ascii="Century Schoolbook" w:hAnsi="Century Schoolbook"/>
          <w:sz w:val="26"/>
          <w:szCs w:val="26"/>
        </w:rPr>
        <w:t xml:space="preserve">Initiative measures “are subject to the ordinary rules and canons of statutory construction.” </w:t>
      </w:r>
      <w:r w:rsidR="00E8199D">
        <w:rPr>
          <w:rStyle w:val="cf01"/>
          <w:rFonts w:ascii="Century Schoolbook" w:hAnsi="Century Schoolbook"/>
          <w:sz w:val="26"/>
          <w:szCs w:val="26"/>
        </w:rPr>
        <w:t xml:space="preserve"> </w:t>
      </w:r>
      <w:r w:rsidRPr="00EF3178">
        <w:rPr>
          <w:rStyle w:val="cf01"/>
          <w:rFonts w:ascii="Century Schoolbook" w:hAnsi="Century Schoolbook"/>
          <w:sz w:val="26"/>
          <w:szCs w:val="26"/>
        </w:rPr>
        <w:t>(</w:t>
      </w:r>
      <w:r w:rsidRPr="00EF3178">
        <w:rPr>
          <w:rStyle w:val="cf11"/>
          <w:rFonts w:ascii="Century Schoolbook" w:hAnsi="Century Schoolbook"/>
          <w:sz w:val="26"/>
          <w:szCs w:val="26"/>
        </w:rPr>
        <w:t>Hermosa Beach Stop Oil Coalition v. City of Hermosa Beach</w:t>
      </w:r>
      <w:r w:rsidRPr="00EF3178">
        <w:rPr>
          <w:rStyle w:val="cf01"/>
          <w:rFonts w:ascii="Century Schoolbook" w:hAnsi="Century Schoolbook"/>
          <w:sz w:val="26"/>
          <w:szCs w:val="26"/>
        </w:rPr>
        <w:t xml:space="preserve"> (2001) 86</w:t>
      </w:r>
      <w:r w:rsidR="008F1CFF">
        <w:rPr>
          <w:rStyle w:val="cf01"/>
          <w:rFonts w:ascii="Century Schoolbook" w:hAnsi="Century Schoolbook"/>
          <w:sz w:val="26"/>
          <w:szCs w:val="26"/>
        </w:rPr>
        <w:t> </w:t>
      </w:r>
      <w:r w:rsidRPr="00EF3178">
        <w:rPr>
          <w:rStyle w:val="cf01"/>
          <w:rFonts w:ascii="Century Schoolbook" w:hAnsi="Century Schoolbook"/>
          <w:sz w:val="26"/>
          <w:szCs w:val="26"/>
        </w:rPr>
        <w:t xml:space="preserve">Cal.App.4th 534, 549.) </w:t>
      </w:r>
      <w:r w:rsidR="00EF3178">
        <w:rPr>
          <w:rStyle w:val="cf01"/>
          <w:rFonts w:ascii="Century Schoolbook" w:hAnsi="Century Schoolbook"/>
          <w:sz w:val="26"/>
          <w:szCs w:val="26"/>
        </w:rPr>
        <w:t xml:space="preserve"> </w:t>
      </w:r>
      <w:r w:rsidRPr="00EF3178">
        <w:rPr>
          <w:rStyle w:val="cf01"/>
          <w:rFonts w:ascii="Century Schoolbook" w:hAnsi="Century Schoolbook"/>
          <w:sz w:val="26"/>
          <w:szCs w:val="26"/>
        </w:rPr>
        <w:t>When interpreting statutory language, a court may “compare the provision to the construction given other similar statutes”</w:t>
      </w:r>
      <w:r w:rsidR="00E8199D">
        <w:rPr>
          <w:rStyle w:val="cf01"/>
          <w:rFonts w:ascii="Century Schoolbook" w:hAnsi="Century Schoolbook"/>
          <w:sz w:val="26"/>
          <w:szCs w:val="26"/>
        </w:rPr>
        <w:t xml:space="preserve"> </w:t>
      </w:r>
      <w:r w:rsidRPr="00EF3178">
        <w:rPr>
          <w:rStyle w:val="cf01"/>
          <w:rFonts w:ascii="Century Schoolbook" w:hAnsi="Century Schoolbook"/>
          <w:sz w:val="26"/>
          <w:szCs w:val="26"/>
        </w:rPr>
        <w:t>(</w:t>
      </w:r>
      <w:r w:rsidRPr="00EF3178">
        <w:rPr>
          <w:rStyle w:val="cf11"/>
          <w:rFonts w:ascii="Century Schoolbook" w:hAnsi="Century Schoolbook"/>
          <w:sz w:val="26"/>
          <w:szCs w:val="26"/>
        </w:rPr>
        <w:t>Nakamura v. Superior Court</w:t>
      </w:r>
      <w:r w:rsidRPr="00EF3178">
        <w:rPr>
          <w:rStyle w:val="cf01"/>
          <w:rFonts w:ascii="Century Schoolbook" w:hAnsi="Century Schoolbook"/>
          <w:sz w:val="26"/>
          <w:szCs w:val="26"/>
        </w:rPr>
        <w:t xml:space="preserve"> (2000) 83</w:t>
      </w:r>
      <w:r w:rsidR="008F1CFF">
        <w:rPr>
          <w:rStyle w:val="cf01"/>
          <w:rFonts w:ascii="Century Schoolbook" w:hAnsi="Century Schoolbook"/>
          <w:sz w:val="26"/>
          <w:szCs w:val="26"/>
        </w:rPr>
        <w:t> </w:t>
      </w:r>
      <w:r w:rsidRPr="00EF3178">
        <w:rPr>
          <w:rStyle w:val="cf01"/>
          <w:rFonts w:ascii="Century Schoolbook" w:hAnsi="Century Schoolbook"/>
          <w:sz w:val="26"/>
          <w:szCs w:val="26"/>
        </w:rPr>
        <w:t xml:space="preserve">Cal.App.4th 825, 834), including federal statutes when they have similar </w:t>
      </w:r>
    </w:p>
    <w:p w:rsidR="00F068AB" w14:paraId="43E4F1D9" w14:textId="3790C7BD">
      <w:pPr>
        <w:shd w:val="clear" w:color="auto" w:fill="FFFFFF"/>
        <w:ind w:firstLine="0"/>
      </w:pPr>
      <w:r w:rsidRPr="00EF3178">
        <w:rPr>
          <w:rStyle w:val="cf01"/>
          <w:rFonts w:ascii="Century Schoolbook" w:hAnsi="Century Schoolbook"/>
          <w:sz w:val="26"/>
          <w:szCs w:val="26"/>
        </w:rPr>
        <w:t>“</w:t>
      </w:r>
      <w:r w:rsidR="008F1CFF">
        <w:rPr>
          <w:rStyle w:val="cf01"/>
          <w:rFonts w:ascii="Century Schoolbook" w:hAnsi="Century Schoolbook"/>
          <w:sz w:val="26"/>
          <w:szCs w:val="26"/>
        </w:rPr>
        <w:t> </w:t>
      </w:r>
      <w:r w:rsidR="00E94529">
        <w:rPr>
          <w:rStyle w:val="cf01"/>
          <w:rFonts w:ascii="Century Schoolbook" w:hAnsi="Century Schoolbook"/>
          <w:sz w:val="26"/>
          <w:szCs w:val="26"/>
        </w:rPr>
        <w:t>‘</w:t>
      </w:r>
      <w:r w:rsidRPr="00EF3178">
        <w:rPr>
          <w:rStyle w:val="cf01"/>
          <w:rFonts w:ascii="Century Schoolbook" w:hAnsi="Century Schoolbook"/>
          <w:sz w:val="26"/>
          <w:szCs w:val="26"/>
        </w:rPr>
        <w:t>objectives and relevant wording</w:t>
      </w:r>
      <w:r w:rsidR="00E94529">
        <w:rPr>
          <w:rStyle w:val="cf01"/>
          <w:rFonts w:ascii="Century Schoolbook" w:hAnsi="Century Schoolbook"/>
          <w:sz w:val="26"/>
          <w:szCs w:val="26"/>
        </w:rPr>
        <w:t>’</w:t>
      </w:r>
      <w:r w:rsidR="008F1CFF">
        <w:rPr>
          <w:rStyle w:val="cf01"/>
          <w:rFonts w:ascii="Century Schoolbook" w:hAnsi="Century Schoolbook"/>
          <w:sz w:val="26"/>
          <w:szCs w:val="26"/>
        </w:rPr>
        <w:t> </w:t>
      </w:r>
      <w:r w:rsidRPr="00EF3178">
        <w:rPr>
          <w:rStyle w:val="cf01"/>
          <w:rFonts w:ascii="Century Schoolbook" w:hAnsi="Century Schoolbook"/>
          <w:sz w:val="26"/>
          <w:szCs w:val="26"/>
        </w:rPr>
        <w:t>” (</w:t>
      </w:r>
      <w:r w:rsidRPr="00EF3178">
        <w:rPr>
          <w:rStyle w:val="cf11"/>
          <w:rFonts w:ascii="Century Schoolbook" w:hAnsi="Century Schoolbook"/>
          <w:sz w:val="26"/>
          <w:szCs w:val="26"/>
        </w:rPr>
        <w:t>People ex rel. Allstate Ins. Co. v. Weitzman</w:t>
      </w:r>
      <w:r w:rsidRPr="00EF3178">
        <w:rPr>
          <w:rStyle w:val="cf01"/>
          <w:rFonts w:ascii="Century Schoolbook" w:hAnsi="Century Schoolbook"/>
          <w:sz w:val="26"/>
          <w:szCs w:val="26"/>
        </w:rPr>
        <w:t xml:space="preserve"> (2003) 107</w:t>
      </w:r>
      <w:r w:rsidR="008F1CFF">
        <w:rPr>
          <w:rStyle w:val="cf01"/>
          <w:rFonts w:ascii="Century Schoolbook" w:hAnsi="Century Schoolbook"/>
          <w:sz w:val="26"/>
          <w:szCs w:val="26"/>
        </w:rPr>
        <w:t> </w:t>
      </w:r>
      <w:r w:rsidRPr="00EF3178">
        <w:rPr>
          <w:rStyle w:val="cf01"/>
          <w:rFonts w:ascii="Century Schoolbook" w:hAnsi="Century Schoolbook"/>
          <w:sz w:val="26"/>
          <w:szCs w:val="26"/>
        </w:rPr>
        <w:t>Cal.App.4th 534, 563).</w:t>
      </w:r>
      <w:r w:rsidR="0096016F">
        <w:rPr>
          <w:rStyle w:val="cf01"/>
          <w:rFonts w:ascii="Century Schoolbook" w:hAnsi="Century Schoolbook"/>
          <w:sz w:val="26"/>
          <w:szCs w:val="26"/>
        </w:rPr>
        <w:t xml:space="preserve">  Here, we have </w:t>
      </w:r>
      <w:r w:rsidR="009F6D46">
        <w:rPr>
          <w:rStyle w:val="cf01"/>
          <w:rFonts w:ascii="Century Schoolbook" w:hAnsi="Century Schoolbook"/>
          <w:sz w:val="26"/>
          <w:szCs w:val="26"/>
        </w:rPr>
        <w:t xml:space="preserve">an analogous federal statute. </w:t>
      </w:r>
      <w:r w:rsidR="0049139F">
        <w:rPr>
          <w:rStyle w:val="cf01"/>
          <w:rFonts w:ascii="Century Schoolbook" w:hAnsi="Century Schoolbook"/>
          <w:sz w:val="26"/>
          <w:szCs w:val="26"/>
        </w:rPr>
        <w:t xml:space="preserve"> </w:t>
      </w:r>
      <w:r w:rsidRPr="0049139F" w:rsidR="00CF4985">
        <w:t xml:space="preserve">A COA procedure in </w:t>
      </w:r>
      <w:r w:rsidRPr="0049139F" w:rsidR="00D34138">
        <w:t xml:space="preserve">the </w:t>
      </w:r>
      <w:r w:rsidRPr="0049139F" w:rsidR="006668BC">
        <w:t>federal</w:t>
      </w:r>
      <w:r w:rsidRPr="0049139F" w:rsidR="00CF4985">
        <w:t xml:space="preserve"> </w:t>
      </w:r>
      <w:r w:rsidRPr="0049139F" w:rsidR="00D34138">
        <w:t>Antiterrorism</w:t>
      </w:r>
      <w:r w:rsidRPr="00184ABE" w:rsidR="00D34138">
        <w:t xml:space="preserve"> and Effective Death Penalty Act of 1996</w:t>
      </w:r>
      <w:r w:rsidR="00D34138">
        <w:t xml:space="preserve"> (AE</w:t>
      </w:r>
      <w:r w:rsidR="0080171D">
        <w:t>D</w:t>
      </w:r>
      <w:r w:rsidR="00D34138">
        <w:t xml:space="preserve">PA), </w:t>
      </w:r>
      <w:r w:rsidRPr="00A72368" w:rsidR="00D34138">
        <w:t>Pub. L. No. 104-132</w:t>
      </w:r>
      <w:r w:rsidR="00CF4985">
        <w:t>, is markedly similar</w:t>
      </w:r>
      <w:r w:rsidR="00DC7C13">
        <w:t xml:space="preserve"> to the COA procedure in </w:t>
      </w:r>
      <w:r w:rsidR="00921852">
        <w:t>section 1509.1(c)</w:t>
      </w:r>
      <w:r w:rsidR="00D34138">
        <w:t xml:space="preserve">. </w:t>
      </w:r>
    </w:p>
    <w:p w:rsidR="00D61129" w:rsidP="002F079C" w14:paraId="16A8B878" w14:textId="7D31E4F7">
      <w:pPr>
        <w:shd w:val="clear" w:color="auto" w:fill="FFFFFF"/>
      </w:pPr>
      <w:r w:rsidRPr="00EF3178">
        <w:t xml:space="preserve">Under </w:t>
      </w:r>
      <w:r w:rsidRPr="00233965">
        <w:t>AE</w:t>
      </w:r>
      <w:r w:rsidRPr="00233965" w:rsidR="0080171D">
        <w:t>D</w:t>
      </w:r>
      <w:r w:rsidRPr="00233965">
        <w:t>PA</w:t>
      </w:r>
      <w:r w:rsidRPr="00EF3178">
        <w:t xml:space="preserve">, </w:t>
      </w:r>
      <w:r w:rsidR="000F64D1">
        <w:t>an appeal may be taken from</w:t>
      </w:r>
      <w:r w:rsidRPr="00EF3178">
        <w:t xml:space="preserve"> </w:t>
      </w:r>
      <w:r w:rsidR="00FF748D">
        <w:t>“</w:t>
      </w:r>
      <w:r w:rsidRPr="00233965" w:rsidR="00FF748D">
        <w:rPr>
          <w:rFonts w:eastAsia="Times New Roman" w:cs="Times New Roman"/>
          <w:color w:val="000000"/>
        </w:rPr>
        <w:t>the final order in a habeas corpus proceeding in which the detention complained of arises out of process issued by a State court” (</w:t>
      </w:r>
      <w:hyperlink r:id="rId6" w:anchor="co_pp_4b24000003ba5" w:history="1">
        <w:r w:rsidRPr="00BD495D" w:rsidR="00FF748D">
          <w:rPr>
            <w:rStyle w:val="Hyperlink"/>
            <w:color w:val="auto"/>
            <w:u w:val="none"/>
            <w:bdr w:val="none" w:sz="0" w:space="0" w:color="auto" w:frame="1"/>
            <w:shd w:val="clear" w:color="auto" w:fill="FFFFFF"/>
          </w:rPr>
          <w:t>28</w:t>
        </w:r>
        <w:r w:rsidR="009E15D0">
          <w:rPr>
            <w:rStyle w:val="Hyperlink"/>
            <w:color w:val="auto"/>
            <w:u w:val="none"/>
            <w:bdr w:val="none" w:sz="0" w:space="0" w:color="auto" w:frame="1"/>
            <w:shd w:val="clear" w:color="auto" w:fill="FFFFFF"/>
          </w:rPr>
          <w:t> </w:t>
        </w:r>
        <w:r w:rsidRPr="00BD495D" w:rsidR="00FF748D">
          <w:rPr>
            <w:rStyle w:val="Hyperlink"/>
            <w:color w:val="auto"/>
            <w:u w:val="none"/>
            <w:bdr w:val="none" w:sz="0" w:space="0" w:color="auto" w:frame="1"/>
            <w:shd w:val="clear" w:color="auto" w:fill="FFFFFF"/>
          </w:rPr>
          <w:t>U.S.C. §</w:t>
        </w:r>
        <w:r w:rsidR="009E15D0">
          <w:rPr>
            <w:rStyle w:val="Hyperlink"/>
            <w:color w:val="auto"/>
            <w:u w:val="none"/>
            <w:bdr w:val="none" w:sz="0" w:space="0" w:color="auto" w:frame="1"/>
            <w:shd w:val="clear" w:color="auto" w:fill="FFFFFF"/>
          </w:rPr>
          <w:t> </w:t>
        </w:r>
        <w:r w:rsidRPr="00BD495D" w:rsidR="00FF748D">
          <w:rPr>
            <w:rStyle w:val="Hyperlink"/>
            <w:color w:val="auto"/>
            <w:u w:val="none"/>
            <w:bdr w:val="none" w:sz="0" w:space="0" w:color="auto" w:frame="1"/>
            <w:shd w:val="clear" w:color="auto" w:fill="FFFFFF"/>
          </w:rPr>
          <w:t>2253</w:t>
        </w:r>
      </w:hyperlink>
      <w:r w:rsidRPr="00EF3178" w:rsidR="00FF748D">
        <w:t>(</w:t>
      </w:r>
      <w:r w:rsidR="002D5DFC">
        <w:t>c)(1)(A)</w:t>
      </w:r>
      <w:r w:rsidR="00E069D5">
        <w:t>)</w:t>
      </w:r>
      <w:r w:rsidR="000F64D1">
        <w:t xml:space="preserve"> only </w:t>
      </w:r>
      <w:r w:rsidR="00B43990">
        <w:t xml:space="preserve">if </w:t>
      </w:r>
      <w:r w:rsidR="00531632">
        <w:t>“</w:t>
      </w:r>
      <w:r w:rsidRPr="00BD495D">
        <w:rPr>
          <w:rFonts w:eastAsia="Times New Roman" w:cs="Times New Roman"/>
        </w:rPr>
        <w:t>a circuit justice or judge issues a certificate of appealability</w:t>
      </w:r>
      <w:r w:rsidRPr="00233965">
        <w:rPr>
          <w:rFonts w:eastAsia="Times New Roman" w:cs="Times New Roman"/>
        </w:rPr>
        <w:t>”</w:t>
      </w:r>
      <w:r w:rsidRPr="00BD495D">
        <w:rPr>
          <w:rFonts w:eastAsia="Times New Roman" w:cs="Times New Roman"/>
        </w:rPr>
        <w:t xml:space="preserve"> (</w:t>
      </w:r>
      <w:hyperlink r:id="rId6" w:anchor="co_pp_4b24000003ba5" w:history="1">
        <w:r w:rsidRPr="00BD495D">
          <w:rPr>
            <w:rStyle w:val="Hyperlink"/>
            <w:color w:val="auto"/>
            <w:u w:val="none"/>
            <w:bdr w:val="none" w:sz="0" w:space="0" w:color="auto" w:frame="1"/>
            <w:shd w:val="clear" w:color="auto" w:fill="FFFFFF"/>
          </w:rPr>
          <w:t>28</w:t>
        </w:r>
        <w:r w:rsidR="009E15D0">
          <w:rPr>
            <w:rStyle w:val="Hyperlink"/>
            <w:color w:val="auto"/>
            <w:u w:val="none"/>
            <w:bdr w:val="none" w:sz="0" w:space="0" w:color="auto" w:frame="1"/>
            <w:shd w:val="clear" w:color="auto" w:fill="FFFFFF"/>
          </w:rPr>
          <w:t> </w:t>
        </w:r>
        <w:r w:rsidRPr="00BD495D">
          <w:rPr>
            <w:rStyle w:val="Hyperlink"/>
            <w:color w:val="auto"/>
            <w:u w:val="none"/>
            <w:bdr w:val="none" w:sz="0" w:space="0" w:color="auto" w:frame="1"/>
            <w:shd w:val="clear" w:color="auto" w:fill="FFFFFF"/>
          </w:rPr>
          <w:t>U.S.C. §</w:t>
        </w:r>
        <w:r w:rsidR="009E15D0">
          <w:rPr>
            <w:rStyle w:val="Hyperlink"/>
            <w:color w:val="auto"/>
            <w:u w:val="none"/>
            <w:bdr w:val="none" w:sz="0" w:space="0" w:color="auto" w:frame="1"/>
            <w:shd w:val="clear" w:color="auto" w:fill="FFFFFF"/>
          </w:rPr>
          <w:t> </w:t>
        </w:r>
        <w:r w:rsidRPr="00BD495D">
          <w:rPr>
            <w:rStyle w:val="Hyperlink"/>
            <w:color w:val="auto"/>
            <w:u w:val="none"/>
            <w:bdr w:val="none" w:sz="0" w:space="0" w:color="auto" w:frame="1"/>
            <w:shd w:val="clear" w:color="auto" w:fill="FFFFFF"/>
          </w:rPr>
          <w:t>2253</w:t>
        </w:r>
      </w:hyperlink>
      <w:r w:rsidR="007F436D">
        <w:rPr>
          <w:rStyle w:val="Hyperlink"/>
          <w:color w:val="auto"/>
          <w:u w:val="none"/>
          <w:bdr w:val="none" w:sz="0" w:space="0" w:color="auto" w:frame="1"/>
          <w:shd w:val="clear" w:color="auto" w:fill="FFFFFF"/>
        </w:rPr>
        <w:t>(c)(1)</w:t>
      </w:r>
      <w:r w:rsidR="00CE579C">
        <w:rPr>
          <w:rStyle w:val="Hyperlink"/>
          <w:color w:val="auto"/>
          <w:u w:val="none"/>
          <w:bdr w:val="none" w:sz="0" w:space="0" w:color="auto" w:frame="1"/>
          <w:shd w:val="clear" w:color="auto" w:fill="FFFFFF"/>
        </w:rPr>
        <w:t>)</w:t>
      </w:r>
      <w:r w:rsidR="007F436D">
        <w:rPr>
          <w:rStyle w:val="Hyperlink"/>
          <w:color w:val="auto"/>
          <w:u w:val="none"/>
          <w:bdr w:val="none" w:sz="0" w:space="0" w:color="auto" w:frame="1"/>
          <w:shd w:val="clear" w:color="auto" w:fill="FFFFFF"/>
        </w:rPr>
        <w:t xml:space="preserve">. </w:t>
      </w:r>
      <w:r w:rsidR="00CE579C">
        <w:rPr>
          <w:rStyle w:val="Hyperlink"/>
          <w:color w:val="auto"/>
          <w:u w:val="none"/>
          <w:bdr w:val="none" w:sz="0" w:space="0" w:color="auto" w:frame="1"/>
          <w:shd w:val="clear" w:color="auto" w:fill="FFFFFF"/>
        </w:rPr>
        <w:t xml:space="preserve"> </w:t>
      </w:r>
      <w:r w:rsidR="00B01C9D">
        <w:rPr>
          <w:rStyle w:val="Hyperlink"/>
          <w:color w:val="auto"/>
          <w:u w:val="none"/>
          <w:bdr w:val="none" w:sz="0" w:space="0" w:color="auto" w:frame="1"/>
          <w:shd w:val="clear" w:color="auto" w:fill="FFFFFF"/>
        </w:rPr>
        <w:t xml:space="preserve">To meet the </w:t>
      </w:r>
      <w:r w:rsidRPr="00BD495D">
        <w:rPr>
          <w:rFonts w:eastAsia="Times New Roman" w:cs="Times New Roman"/>
        </w:rPr>
        <w:t xml:space="preserve">standard for issuance of a COA under </w:t>
      </w:r>
      <w:r w:rsidR="00B01C9D">
        <w:rPr>
          <w:rFonts w:eastAsia="Times New Roman" w:cs="Times New Roman"/>
        </w:rPr>
        <w:t>this statute,</w:t>
      </w:r>
      <w:r w:rsidRPr="00BD495D">
        <w:rPr>
          <w:rFonts w:eastAsia="Times New Roman" w:cs="Times New Roman"/>
        </w:rPr>
        <w:t xml:space="preserve"> the prisoner must make a “substantial showing of the denial of a constitutional right.”  (</w:t>
      </w:r>
      <w:hyperlink r:id="rId6" w:anchor="co_pp_4b24000003ba5" w:history="1">
        <w:r w:rsidRPr="00BD495D">
          <w:rPr>
            <w:rStyle w:val="Hyperlink"/>
            <w:color w:val="auto"/>
            <w:u w:val="none"/>
            <w:bdr w:val="none" w:sz="0" w:space="0" w:color="auto" w:frame="1"/>
            <w:shd w:val="clear" w:color="auto" w:fill="FFFFFF"/>
          </w:rPr>
          <w:t>28</w:t>
        </w:r>
        <w:r w:rsidR="009E15D0">
          <w:rPr>
            <w:rStyle w:val="Hyperlink"/>
            <w:color w:val="auto"/>
            <w:u w:val="none"/>
            <w:bdr w:val="none" w:sz="0" w:space="0" w:color="auto" w:frame="1"/>
            <w:shd w:val="clear" w:color="auto" w:fill="FFFFFF"/>
          </w:rPr>
          <w:t> </w:t>
        </w:r>
        <w:r w:rsidRPr="00BD495D">
          <w:rPr>
            <w:rStyle w:val="Hyperlink"/>
            <w:color w:val="auto"/>
            <w:u w:val="none"/>
            <w:bdr w:val="none" w:sz="0" w:space="0" w:color="auto" w:frame="1"/>
            <w:shd w:val="clear" w:color="auto" w:fill="FFFFFF"/>
          </w:rPr>
          <w:t>U.S.C. §</w:t>
        </w:r>
        <w:r w:rsidR="009E15D0">
          <w:rPr>
            <w:rStyle w:val="Hyperlink"/>
            <w:color w:val="auto"/>
            <w:u w:val="none"/>
            <w:bdr w:val="none" w:sz="0" w:space="0" w:color="auto" w:frame="1"/>
            <w:shd w:val="clear" w:color="auto" w:fill="FFFFFF"/>
          </w:rPr>
          <w:t> </w:t>
        </w:r>
        <w:r w:rsidRPr="00BD495D">
          <w:rPr>
            <w:rStyle w:val="Hyperlink"/>
            <w:color w:val="auto"/>
            <w:u w:val="none"/>
            <w:bdr w:val="none" w:sz="0" w:space="0" w:color="auto" w:frame="1"/>
            <w:shd w:val="clear" w:color="auto" w:fill="FFFFFF"/>
          </w:rPr>
          <w:t>2253</w:t>
        </w:r>
      </w:hyperlink>
      <w:r w:rsidRPr="00EF3178">
        <w:t>(c)</w:t>
      </w:r>
      <w:r w:rsidR="00356224">
        <w:t>(2</w:t>
      </w:r>
      <w:r w:rsidRPr="00EF3178">
        <w:t xml:space="preserve">).)  </w:t>
      </w:r>
      <w:r w:rsidRPr="00BD495D">
        <w:rPr>
          <w:rFonts w:eastAsia="Times New Roman" w:cs="Times New Roman"/>
        </w:rPr>
        <w:t xml:space="preserve">In </w:t>
      </w:r>
      <w:r w:rsidRPr="00BD495D" w:rsidR="00154C39">
        <w:rPr>
          <w:rFonts w:eastAsia="Times New Roman" w:cs="Times New Roman"/>
          <w:i/>
          <w:iCs/>
          <w:bdr w:val="none" w:sz="0" w:space="0" w:color="auto" w:frame="1"/>
        </w:rPr>
        <w:t xml:space="preserve">Slack </w:t>
      </w:r>
      <w:r w:rsidRPr="00A457D7" w:rsidR="00154C39">
        <w:rPr>
          <w:rFonts w:eastAsia="Times New Roman" w:cs="Times New Roman"/>
          <w:i/>
          <w:iCs/>
          <w:color w:val="3D3D3D"/>
          <w:bdr w:val="none" w:sz="0" w:space="0" w:color="auto" w:frame="1"/>
        </w:rPr>
        <w:t>v. McDaniel</w:t>
      </w:r>
      <w:r w:rsidRPr="00A457D7" w:rsidR="00154C39">
        <w:rPr>
          <w:rFonts w:eastAsia="Times New Roman" w:cs="Times New Roman"/>
          <w:color w:val="000000"/>
        </w:rPr>
        <w:t xml:space="preserve"> (2000) 529</w:t>
      </w:r>
      <w:r w:rsidR="009E15D0">
        <w:rPr>
          <w:rFonts w:eastAsia="Times New Roman" w:cs="Times New Roman"/>
          <w:color w:val="000000"/>
        </w:rPr>
        <w:t> </w:t>
      </w:r>
      <w:r w:rsidRPr="00A457D7" w:rsidR="00154C39">
        <w:rPr>
          <w:rFonts w:eastAsia="Times New Roman" w:cs="Times New Roman"/>
          <w:color w:val="000000"/>
        </w:rPr>
        <w:t>U.S. 473</w:t>
      </w:r>
      <w:r w:rsidR="00154C39">
        <w:rPr>
          <w:rFonts w:eastAsia="Times New Roman" w:cs="Times New Roman"/>
          <w:color w:val="000000"/>
        </w:rPr>
        <w:t xml:space="preserve"> (</w:t>
      </w:r>
      <w:r w:rsidRPr="002F079C" w:rsidR="00154C39">
        <w:rPr>
          <w:rFonts w:eastAsia="Times New Roman" w:cs="Times New Roman"/>
          <w:i/>
          <w:iCs/>
          <w:color w:val="000000"/>
        </w:rPr>
        <w:t>Slack</w:t>
      </w:r>
      <w:r w:rsidR="00154C39">
        <w:rPr>
          <w:rFonts w:eastAsia="Times New Roman" w:cs="Times New Roman"/>
          <w:color w:val="000000"/>
        </w:rPr>
        <w:t>)</w:t>
      </w:r>
      <w:r>
        <w:rPr>
          <w:rFonts w:eastAsia="Times New Roman" w:cs="Times New Roman"/>
          <w:color w:val="000000"/>
        </w:rPr>
        <w:t xml:space="preserve">, the </w:t>
      </w:r>
      <w:r w:rsidRPr="002F079C">
        <w:rPr>
          <w:rFonts w:eastAsia="Times New Roman" w:cs="Times New Roman"/>
          <w:color w:val="000000"/>
        </w:rPr>
        <w:t>United States Supreme Court held that “[w]h</w:t>
      </w:r>
      <w:r w:rsidRPr="00184ABE">
        <w:rPr>
          <w:rFonts w:eastAsia="Times New Roman" w:cs="Times New Roman"/>
          <w:color w:val="000000"/>
        </w:rPr>
        <w:t>en the district court denies a habeas petition on procedural grounds without reaching the prisoner</w:t>
      </w:r>
      <w:r w:rsidR="00A57D88">
        <w:rPr>
          <w:rFonts w:eastAsia="Times New Roman" w:cs="Times New Roman"/>
          <w:color w:val="000000"/>
        </w:rPr>
        <w:t>’</w:t>
      </w:r>
      <w:r w:rsidRPr="00184ABE">
        <w:rPr>
          <w:rFonts w:eastAsia="Times New Roman" w:cs="Times New Roman"/>
          <w:color w:val="000000"/>
        </w:rPr>
        <w:t>s underlying constitutional claim, a COA should issue when the prisoner shows, at least, that jurists of reason would find it debatable whether the petition states a valid claim of the denial of a constitutional right and that jurists of reason would find it debatable whether the district court was correct in its procedural ruling.”</w:t>
      </w:r>
      <w:r>
        <w:rPr>
          <w:rFonts w:eastAsia="Times New Roman" w:cs="Times New Roman"/>
          <w:color w:val="000000"/>
        </w:rPr>
        <w:t xml:space="preserve">  (</w:t>
      </w:r>
      <w:r w:rsidRPr="002F079C">
        <w:rPr>
          <w:rFonts w:eastAsia="Times New Roman" w:cs="Times New Roman"/>
          <w:i/>
          <w:iCs/>
          <w:color w:val="000000"/>
        </w:rPr>
        <w:t>Id</w:t>
      </w:r>
      <w:r>
        <w:rPr>
          <w:rFonts w:eastAsia="Times New Roman" w:cs="Times New Roman"/>
          <w:color w:val="000000"/>
        </w:rPr>
        <w:t>. at p.</w:t>
      </w:r>
      <w:r w:rsidR="00F406EB">
        <w:rPr>
          <w:rFonts w:eastAsia="Times New Roman" w:cs="Times New Roman"/>
          <w:color w:val="000000"/>
        </w:rPr>
        <w:t> </w:t>
      </w:r>
      <w:r>
        <w:rPr>
          <w:rFonts w:eastAsia="Times New Roman" w:cs="Times New Roman"/>
          <w:color w:val="000000"/>
        </w:rPr>
        <w:t>48</w:t>
      </w:r>
      <w:r w:rsidR="00B02992">
        <w:rPr>
          <w:rFonts w:eastAsia="Times New Roman" w:cs="Times New Roman"/>
          <w:color w:val="000000"/>
        </w:rPr>
        <w:t>4</w:t>
      </w:r>
      <w:r>
        <w:rPr>
          <w:rFonts w:eastAsia="Times New Roman" w:cs="Times New Roman"/>
          <w:color w:val="000000"/>
        </w:rPr>
        <w:t>.)</w:t>
      </w:r>
    </w:p>
    <w:p w:rsidR="00F1286C" w:rsidP="002F079C" w14:paraId="3F73B4E3" w14:textId="292B817E">
      <w:pPr>
        <w:shd w:val="clear" w:color="auto" w:fill="FFFFFF"/>
        <w:rPr>
          <w:rFonts w:eastAsia="Times New Roman" w:cs="Times New Roman"/>
          <w:color w:val="000000"/>
        </w:rPr>
      </w:pPr>
      <w:r>
        <w:rPr>
          <w:rFonts w:eastAsia="Times New Roman" w:cs="Times New Roman"/>
          <w:color w:val="000000"/>
        </w:rPr>
        <w:t>Borrowing from th</w:t>
      </w:r>
      <w:r w:rsidR="00EB2C45">
        <w:rPr>
          <w:rFonts w:eastAsia="Times New Roman" w:cs="Times New Roman"/>
          <w:color w:val="000000"/>
        </w:rPr>
        <w:t xml:space="preserve">e </w:t>
      </w:r>
      <w:r w:rsidR="009877A7">
        <w:rPr>
          <w:rFonts w:eastAsia="Times New Roman" w:cs="Times New Roman"/>
          <w:color w:val="000000"/>
        </w:rPr>
        <w:t>top court’s approach to</w:t>
      </w:r>
      <w:r w:rsidR="00AF0FD0">
        <w:rPr>
          <w:rFonts w:eastAsia="Times New Roman" w:cs="Times New Roman"/>
          <w:color w:val="000000"/>
        </w:rPr>
        <w:t xml:space="preserve"> section 2253</w:t>
      </w:r>
      <w:r w:rsidR="00D9779E">
        <w:rPr>
          <w:rFonts w:eastAsia="Times New Roman" w:cs="Times New Roman"/>
          <w:color w:val="000000"/>
        </w:rPr>
        <w:t>(c) of AE</w:t>
      </w:r>
      <w:r w:rsidR="0093523D">
        <w:rPr>
          <w:rFonts w:eastAsia="Times New Roman" w:cs="Times New Roman"/>
          <w:color w:val="000000"/>
        </w:rPr>
        <w:t xml:space="preserve">DPA, </w:t>
      </w:r>
      <w:r w:rsidR="003609C2">
        <w:rPr>
          <w:rFonts w:eastAsia="Times New Roman" w:cs="Times New Roman"/>
          <w:color w:val="000000"/>
        </w:rPr>
        <w:t xml:space="preserve">we </w:t>
      </w:r>
      <w:r w:rsidR="00DD127C">
        <w:rPr>
          <w:rFonts w:eastAsia="Times New Roman" w:cs="Times New Roman"/>
          <w:color w:val="000000"/>
        </w:rPr>
        <w:t xml:space="preserve">hold </w:t>
      </w:r>
      <w:r w:rsidR="00AD5EEA">
        <w:rPr>
          <w:rFonts w:eastAsia="Times New Roman" w:cs="Times New Roman"/>
          <w:color w:val="000000"/>
        </w:rPr>
        <w:t xml:space="preserve">that </w:t>
      </w:r>
      <w:r w:rsidR="00A34FB5">
        <w:rPr>
          <w:rFonts w:eastAsia="Times New Roman" w:cs="Times New Roman"/>
          <w:color w:val="000000"/>
        </w:rPr>
        <w:t xml:space="preserve">the substantiality standard under </w:t>
      </w:r>
      <w:r w:rsidR="00AA0774">
        <w:rPr>
          <w:rFonts w:eastAsia="Times New Roman" w:cs="Times New Roman"/>
          <w:color w:val="000000"/>
        </w:rPr>
        <w:t>section 1509.1(c)</w:t>
      </w:r>
      <w:r w:rsidR="001E0781">
        <w:rPr>
          <w:rFonts w:eastAsia="Times New Roman" w:cs="Times New Roman"/>
          <w:color w:val="000000"/>
        </w:rPr>
        <w:t xml:space="preserve"> is met where</w:t>
      </w:r>
      <w:r w:rsidRPr="003609C2" w:rsidR="00594FA4">
        <w:rPr>
          <w:rFonts w:eastAsia="Times New Roman" w:cs="Times New Roman"/>
          <w:color w:val="000000"/>
        </w:rPr>
        <w:t xml:space="preserve"> </w:t>
      </w:r>
      <w:r w:rsidR="00BF51F0">
        <w:rPr>
          <w:rFonts w:eastAsia="Times New Roman" w:cs="Times New Roman"/>
          <w:color w:val="000000"/>
        </w:rPr>
        <w:t xml:space="preserve">the COA applicant </w:t>
      </w:r>
      <w:r w:rsidR="001E0781">
        <w:rPr>
          <w:rFonts w:eastAsia="Times New Roman" w:cs="Times New Roman"/>
          <w:color w:val="000000"/>
        </w:rPr>
        <w:t xml:space="preserve">makes </w:t>
      </w:r>
      <w:r w:rsidR="00B82CD4">
        <w:rPr>
          <w:rFonts w:eastAsia="Times New Roman" w:cs="Times New Roman"/>
          <w:color w:val="000000"/>
        </w:rPr>
        <w:t xml:space="preserve">a case </w:t>
      </w:r>
      <w:r w:rsidRPr="003609C2" w:rsidR="00CE65DC">
        <w:rPr>
          <w:rFonts w:eastAsia="Times New Roman" w:cs="Times New Roman"/>
          <w:color w:val="000000"/>
        </w:rPr>
        <w:t>s</w:t>
      </w:r>
      <w:r w:rsidR="00D6555F">
        <w:rPr>
          <w:rFonts w:eastAsia="Times New Roman" w:cs="Times New Roman"/>
          <w:color w:val="000000"/>
        </w:rPr>
        <w:t xml:space="preserve">trong enough </w:t>
      </w:r>
      <w:r w:rsidRPr="003609C2" w:rsidR="00CE65DC">
        <w:rPr>
          <w:rFonts w:eastAsia="Times New Roman" w:cs="Times New Roman"/>
          <w:color w:val="000000"/>
        </w:rPr>
        <w:t>for reasonable judges to debate</w:t>
      </w:r>
      <w:r w:rsidRPr="003609C2" w:rsidR="006B2EE1">
        <w:rPr>
          <w:rFonts w:eastAsia="Times New Roman" w:cs="Times New Roman"/>
          <w:color w:val="000000"/>
        </w:rPr>
        <w:t xml:space="preserve"> </w:t>
      </w:r>
      <w:r w:rsidR="00D6555F">
        <w:rPr>
          <w:rFonts w:eastAsia="Times New Roman" w:cs="Times New Roman"/>
          <w:color w:val="000000"/>
        </w:rPr>
        <w:t xml:space="preserve">whether the trial court’s </w:t>
      </w:r>
      <w:r w:rsidR="00CE1FC2">
        <w:rPr>
          <w:rFonts w:eastAsia="Times New Roman" w:cs="Times New Roman"/>
          <w:color w:val="000000"/>
        </w:rPr>
        <w:t>successiveness</w:t>
      </w:r>
      <w:r w:rsidR="00D6555F">
        <w:rPr>
          <w:rFonts w:eastAsia="Times New Roman" w:cs="Times New Roman"/>
          <w:color w:val="000000"/>
        </w:rPr>
        <w:t xml:space="preserve"> ruling was incorrect</w:t>
      </w:r>
      <w:r w:rsidR="00115133">
        <w:rPr>
          <w:rFonts w:eastAsia="Times New Roman" w:cs="Times New Roman"/>
          <w:color w:val="000000"/>
        </w:rPr>
        <w:t>.</w:t>
      </w:r>
      <w:r w:rsidR="00D6555F">
        <w:rPr>
          <w:rFonts w:eastAsia="Times New Roman" w:cs="Times New Roman"/>
          <w:color w:val="000000"/>
        </w:rPr>
        <w:t xml:space="preserve"> </w:t>
      </w:r>
      <w:r w:rsidRPr="003609C2" w:rsidR="00F60309">
        <w:rPr>
          <w:rFonts w:eastAsia="Times New Roman" w:cs="Times New Roman"/>
          <w:color w:val="000000"/>
        </w:rPr>
        <w:t xml:space="preserve"> </w:t>
      </w:r>
    </w:p>
    <w:p w:rsidR="00356E4D" w:rsidP="00140B42" w14:paraId="29C4DCDE" w14:textId="1B6D9EAA">
      <w:pPr>
        <w:pStyle w:val="Heading2"/>
        <w:numPr>
          <w:ilvl w:val="0"/>
          <w:numId w:val="25"/>
        </w:numPr>
      </w:pPr>
      <w:r>
        <w:t xml:space="preserve">Successiveness as Construed </w:t>
      </w:r>
      <w:r w:rsidR="000C3234">
        <w:t xml:space="preserve">and Applied </w:t>
      </w:r>
      <w:r>
        <w:t xml:space="preserve">in </w:t>
      </w:r>
      <w:r w:rsidRPr="00F93592">
        <w:rPr>
          <w:i w:val="0"/>
        </w:rPr>
        <w:t>Friend I</w:t>
      </w:r>
    </w:p>
    <w:p w:rsidR="00356E4D" w:rsidP="00356E4D" w14:paraId="143DE98A" w14:textId="20DD24A0">
      <w:pPr>
        <w:shd w:val="clear" w:color="auto" w:fill="FFFFFF"/>
        <w:rPr>
          <w:rFonts w:eastAsia="Times New Roman" w:cs="Times New Roman"/>
          <w:color w:val="000000"/>
        </w:rPr>
      </w:pPr>
      <w:r>
        <w:rPr>
          <w:rFonts w:eastAsia="Times New Roman" w:cs="Times New Roman"/>
          <w:color w:val="000000"/>
        </w:rPr>
        <w:t>I</w:t>
      </w:r>
      <w:r w:rsidR="000829AD">
        <w:rPr>
          <w:rFonts w:eastAsia="Times New Roman" w:cs="Times New Roman"/>
          <w:color w:val="000000"/>
        </w:rPr>
        <w:t>n applying</w:t>
      </w:r>
      <w:r w:rsidR="004612B7">
        <w:rPr>
          <w:rFonts w:eastAsia="Times New Roman" w:cs="Times New Roman"/>
          <w:color w:val="000000"/>
        </w:rPr>
        <w:t xml:space="preserve"> the </w:t>
      </w:r>
      <w:r w:rsidR="00C75D9E">
        <w:rPr>
          <w:rFonts w:eastAsia="Times New Roman" w:cs="Times New Roman"/>
          <w:color w:val="000000"/>
        </w:rPr>
        <w:t xml:space="preserve">“substantial </w:t>
      </w:r>
      <w:r w:rsidR="00242FD7">
        <w:rPr>
          <w:rFonts w:eastAsia="Times New Roman" w:cs="Times New Roman"/>
          <w:color w:val="000000"/>
        </w:rPr>
        <w:t>claim for relief”</w:t>
      </w:r>
      <w:r w:rsidR="00C75D9E">
        <w:rPr>
          <w:rFonts w:eastAsia="Times New Roman" w:cs="Times New Roman"/>
          <w:color w:val="000000"/>
        </w:rPr>
        <w:t xml:space="preserve"> test</w:t>
      </w:r>
      <w:r w:rsidR="0086380E">
        <w:rPr>
          <w:rFonts w:eastAsia="Times New Roman" w:cs="Times New Roman"/>
          <w:color w:val="000000"/>
        </w:rPr>
        <w:t xml:space="preserve"> under section</w:t>
      </w:r>
      <w:r w:rsidR="00E51046">
        <w:rPr>
          <w:rFonts w:eastAsia="Times New Roman" w:cs="Times New Roman"/>
          <w:color w:val="000000"/>
        </w:rPr>
        <w:t> </w:t>
      </w:r>
      <w:r w:rsidR="0086380E">
        <w:rPr>
          <w:rFonts w:eastAsia="Times New Roman" w:cs="Times New Roman"/>
          <w:color w:val="000000"/>
        </w:rPr>
        <w:t>1509.1(</w:t>
      </w:r>
      <w:r w:rsidR="00744CEC">
        <w:rPr>
          <w:rFonts w:eastAsia="Times New Roman" w:cs="Times New Roman"/>
          <w:color w:val="000000"/>
        </w:rPr>
        <w:t xml:space="preserve">c), </w:t>
      </w:r>
      <w:r w:rsidR="00B84D0C">
        <w:rPr>
          <w:rFonts w:eastAsia="Times New Roman" w:cs="Times New Roman"/>
          <w:color w:val="000000"/>
        </w:rPr>
        <w:t>w</w:t>
      </w:r>
      <w:r>
        <w:rPr>
          <w:rFonts w:eastAsia="Times New Roman" w:cs="Times New Roman"/>
          <w:color w:val="000000"/>
        </w:rPr>
        <w:t xml:space="preserve">hat </w:t>
      </w:r>
      <w:r w:rsidR="004612B7">
        <w:rPr>
          <w:rFonts w:eastAsia="Times New Roman" w:cs="Times New Roman"/>
          <w:color w:val="000000"/>
        </w:rPr>
        <w:t xml:space="preserve">does the </w:t>
      </w:r>
      <w:r w:rsidR="00187CD5">
        <w:rPr>
          <w:rFonts w:eastAsia="Times New Roman" w:cs="Times New Roman"/>
          <w:color w:val="000000"/>
        </w:rPr>
        <w:t xml:space="preserve">undefined </w:t>
      </w:r>
      <w:r w:rsidR="003635C1">
        <w:rPr>
          <w:rFonts w:eastAsia="Times New Roman" w:cs="Times New Roman"/>
          <w:color w:val="000000"/>
        </w:rPr>
        <w:t>statutory t</w:t>
      </w:r>
      <w:r w:rsidR="001E2DAF">
        <w:rPr>
          <w:rFonts w:eastAsia="Times New Roman" w:cs="Times New Roman"/>
          <w:color w:val="000000"/>
        </w:rPr>
        <w:t xml:space="preserve">erm </w:t>
      </w:r>
      <w:r w:rsidR="000810FD">
        <w:rPr>
          <w:rFonts w:eastAsia="Times New Roman" w:cs="Times New Roman"/>
          <w:color w:val="000000"/>
        </w:rPr>
        <w:t>“</w:t>
      </w:r>
      <w:r w:rsidR="00102FB7">
        <w:rPr>
          <w:rFonts w:eastAsia="Times New Roman" w:cs="Times New Roman"/>
          <w:color w:val="000000"/>
        </w:rPr>
        <w:t>successive</w:t>
      </w:r>
      <w:r w:rsidR="00161F4F">
        <w:rPr>
          <w:rFonts w:eastAsia="Times New Roman" w:cs="Times New Roman"/>
          <w:color w:val="000000"/>
        </w:rPr>
        <w:t>”</w:t>
      </w:r>
      <w:r w:rsidR="00675BBB">
        <w:rPr>
          <w:rFonts w:eastAsia="Times New Roman" w:cs="Times New Roman"/>
          <w:color w:val="000000"/>
        </w:rPr>
        <w:t xml:space="preserve"> </w:t>
      </w:r>
      <w:r w:rsidR="00A315F3">
        <w:rPr>
          <w:rFonts w:eastAsia="Times New Roman" w:cs="Times New Roman"/>
          <w:color w:val="000000"/>
        </w:rPr>
        <w:t xml:space="preserve">mean?  </w:t>
      </w:r>
      <w:r w:rsidR="00BF4FC6">
        <w:rPr>
          <w:rFonts w:eastAsia="Times New Roman" w:cs="Times New Roman"/>
          <w:i/>
          <w:iCs/>
          <w:color w:val="000000"/>
        </w:rPr>
        <w:t xml:space="preserve">Friend </w:t>
      </w:r>
      <w:r w:rsidR="00A83CA1">
        <w:rPr>
          <w:rFonts w:eastAsia="Times New Roman" w:cs="Times New Roman"/>
          <w:i/>
          <w:iCs/>
          <w:color w:val="000000"/>
        </w:rPr>
        <w:t xml:space="preserve">I </w:t>
      </w:r>
      <w:r w:rsidR="001E38C9">
        <w:rPr>
          <w:rFonts w:eastAsia="Times New Roman" w:cs="Times New Roman"/>
          <w:color w:val="000000"/>
        </w:rPr>
        <w:t>supplies the answer</w:t>
      </w:r>
      <w:r w:rsidR="008B4B62">
        <w:rPr>
          <w:rFonts w:eastAsia="Times New Roman" w:cs="Times New Roman"/>
          <w:color w:val="000000"/>
        </w:rPr>
        <w:t xml:space="preserve">. </w:t>
      </w:r>
      <w:r>
        <w:rPr>
          <w:rFonts w:eastAsia="Times New Roman" w:cs="Times New Roman"/>
          <w:color w:val="000000"/>
        </w:rPr>
        <w:t xml:space="preserve"> “Several decades ago,” the </w:t>
      </w:r>
      <w:r>
        <w:rPr>
          <w:rFonts w:eastAsia="Times New Roman" w:cs="Times New Roman"/>
          <w:i/>
          <w:iCs/>
          <w:color w:val="000000"/>
        </w:rPr>
        <w:t>Friend I</w:t>
      </w:r>
      <w:r>
        <w:rPr>
          <w:rFonts w:eastAsia="Times New Roman" w:cs="Times New Roman"/>
          <w:color w:val="000000"/>
        </w:rPr>
        <w:t xml:space="preserve"> court explained, “California courts identified presentation of claims in a ‘</w:t>
      </w:r>
      <w:r w:rsidR="0014791C">
        <w:rPr>
          <w:rFonts w:eastAsia="Times New Roman" w:cs="Times New Roman"/>
          <w:color w:val="000000"/>
        </w:rPr>
        <w:t> </w:t>
      </w:r>
      <w:r>
        <w:rPr>
          <w:rFonts w:eastAsia="Times New Roman" w:cs="Times New Roman"/>
          <w:color w:val="000000"/>
        </w:rPr>
        <w:t>“piecemeal [manner] by successive proceedings”</w:t>
      </w:r>
      <w:r w:rsidR="006338F5">
        <w:rPr>
          <w:rFonts w:eastAsia="Times New Roman" w:cs="Times New Roman"/>
          <w:color w:val="000000"/>
        </w:rPr>
        <w:t> </w:t>
      </w:r>
      <w:r>
        <w:rPr>
          <w:rFonts w:eastAsia="Times New Roman" w:cs="Times New Roman"/>
          <w:color w:val="000000"/>
        </w:rPr>
        <w:t>’ as an abuse of the writ process.”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xml:space="preserve">, </w:t>
      </w:r>
      <w:r>
        <w:rPr>
          <w:rFonts w:eastAsia="Times New Roman" w:cs="Arial"/>
          <w:color w:val="000000"/>
        </w:rPr>
        <w:t>11</w:t>
      </w:r>
      <w:r w:rsidR="006338F5">
        <w:rPr>
          <w:rFonts w:eastAsia="Times New Roman" w:cs="Arial"/>
          <w:color w:val="000000"/>
        </w:rPr>
        <w:t> </w:t>
      </w:r>
      <w:r>
        <w:rPr>
          <w:rFonts w:eastAsia="Times New Roman" w:cs="Arial"/>
          <w:color w:val="000000"/>
        </w:rPr>
        <w:t>Cal.5</w:t>
      </w:r>
      <w:r w:rsidRPr="00A824C5">
        <w:rPr>
          <w:rFonts w:eastAsia="Times New Roman" w:cs="Arial"/>
          <w:color w:val="000000"/>
        </w:rPr>
        <w:t>th</w:t>
      </w:r>
      <w:r>
        <w:rPr>
          <w:rFonts w:eastAsia="Times New Roman" w:cs="Arial"/>
          <w:color w:val="000000"/>
        </w:rPr>
        <w:t xml:space="preserve"> at </w:t>
      </w:r>
      <w:r>
        <w:rPr>
          <w:rFonts w:eastAsia="Times New Roman" w:cs="Times New Roman"/>
          <w:color w:val="000000"/>
        </w:rPr>
        <w:t>pp</w:t>
      </w:r>
      <w:r w:rsidR="00A824C5">
        <w:rPr>
          <w:rFonts w:eastAsia="Times New Roman" w:cs="Times New Roman"/>
          <w:color w:val="000000"/>
        </w:rPr>
        <w:t>.</w:t>
      </w:r>
      <w:r w:rsidR="006338F5">
        <w:rPr>
          <w:rFonts w:eastAsia="Times New Roman" w:cs="Times New Roman"/>
          <w:color w:val="000000"/>
        </w:rPr>
        <w:t> </w:t>
      </w:r>
      <w:r>
        <w:rPr>
          <w:rFonts w:eastAsia="Times New Roman" w:cs="Times New Roman"/>
          <w:color w:val="000000"/>
        </w:rPr>
        <w:t>727</w:t>
      </w:r>
      <w:r w:rsidR="00A824C5">
        <w:rPr>
          <w:rFonts w:eastAsia="Times New Roman" w:cs="Times New Roman"/>
          <w:color w:val="000000"/>
        </w:rPr>
        <w:t>–</w:t>
      </w:r>
      <w:r>
        <w:rPr>
          <w:rFonts w:eastAsia="Times New Roman" w:cs="Times New Roman"/>
          <w:color w:val="000000"/>
        </w:rPr>
        <w:t>728.)  To deal with this problem, courts developed “the so-called successiveness bar, a set of limits that</w:t>
      </w:r>
      <w:r w:rsidR="00A824C5">
        <w:rPr>
          <w:rFonts w:eastAsia="Times New Roman" w:cs="Times New Roman"/>
          <w:color w:val="000000"/>
        </w:rPr>
        <w:t xml:space="preserve"> . . . </w:t>
      </w:r>
      <w:r>
        <w:rPr>
          <w:rFonts w:eastAsia="Times New Roman" w:cs="Times New Roman"/>
          <w:color w:val="000000"/>
        </w:rPr>
        <w:t>continues to apply to noncapital cases today.”  (</w:t>
      </w:r>
      <w:r>
        <w:rPr>
          <w:rFonts w:eastAsia="Times New Roman" w:cs="Times New Roman"/>
          <w:i/>
          <w:iCs/>
          <w:color w:val="000000"/>
        </w:rPr>
        <w:t>Id</w:t>
      </w:r>
      <w:r>
        <w:rPr>
          <w:rFonts w:eastAsia="Times New Roman" w:cs="Times New Roman"/>
          <w:color w:val="000000"/>
        </w:rPr>
        <w:t>. at p.</w:t>
      </w:r>
      <w:r w:rsidR="006338F5">
        <w:rPr>
          <w:rFonts w:eastAsia="Times New Roman" w:cs="Times New Roman"/>
          <w:color w:val="000000"/>
        </w:rPr>
        <w:t> </w:t>
      </w:r>
      <w:r>
        <w:rPr>
          <w:rFonts w:eastAsia="Times New Roman" w:cs="Times New Roman"/>
          <w:color w:val="000000"/>
        </w:rPr>
        <w:t xml:space="preserve">728.) </w:t>
      </w:r>
      <w:r w:rsidR="00302CCF">
        <w:rPr>
          <w:rFonts w:eastAsia="Times New Roman" w:cs="Times New Roman"/>
          <w:color w:val="000000"/>
        </w:rPr>
        <w:t xml:space="preserve"> </w:t>
      </w:r>
      <w:r>
        <w:rPr>
          <w:rFonts w:eastAsia="Times New Roman" w:cs="Times New Roman"/>
          <w:color w:val="000000"/>
        </w:rPr>
        <w:t xml:space="preserve">Construing the codification of this bar in section 1509(d), the </w:t>
      </w:r>
      <w:r>
        <w:rPr>
          <w:rFonts w:eastAsia="Times New Roman" w:cs="Times New Roman"/>
          <w:i/>
          <w:iCs/>
          <w:color w:val="000000"/>
        </w:rPr>
        <w:t>Friend I</w:t>
      </w:r>
      <w:r>
        <w:rPr>
          <w:rFonts w:eastAsia="Times New Roman" w:cs="Times New Roman"/>
          <w:color w:val="000000"/>
        </w:rPr>
        <w:t xml:space="preserve"> court held that the statute only mandates dismissal of claims that were unjustifiably omitted from an initial petition.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xml:space="preserve">, </w:t>
      </w:r>
      <w:r>
        <w:rPr>
          <w:rFonts w:eastAsia="Times New Roman" w:cs="Arial"/>
          <w:color w:val="000000"/>
        </w:rPr>
        <w:t>11</w:t>
      </w:r>
      <w:r w:rsidR="006338F5">
        <w:rPr>
          <w:rFonts w:eastAsia="Times New Roman" w:cs="Arial"/>
          <w:color w:val="000000"/>
        </w:rPr>
        <w:t> </w:t>
      </w:r>
      <w:r>
        <w:rPr>
          <w:rFonts w:eastAsia="Times New Roman" w:cs="Arial"/>
          <w:color w:val="000000"/>
        </w:rPr>
        <w:t>Cal.5</w:t>
      </w:r>
      <w:r w:rsidRPr="00FA4F46">
        <w:rPr>
          <w:rFonts w:eastAsia="Times New Roman" w:cs="Arial"/>
          <w:color w:val="000000"/>
        </w:rPr>
        <w:t>th</w:t>
      </w:r>
      <w:r>
        <w:rPr>
          <w:rFonts w:eastAsia="Times New Roman" w:cs="Arial"/>
          <w:color w:val="000000"/>
        </w:rPr>
        <w:t xml:space="preserve"> </w:t>
      </w:r>
      <w:r>
        <w:rPr>
          <w:rFonts w:eastAsia="Times New Roman" w:cs="Times New Roman"/>
          <w:color w:val="000000"/>
        </w:rPr>
        <w:t>at p.</w:t>
      </w:r>
      <w:r w:rsidR="006338F5">
        <w:rPr>
          <w:rFonts w:eastAsia="Times New Roman" w:cs="Times New Roman"/>
          <w:color w:val="000000"/>
        </w:rPr>
        <w:t> </w:t>
      </w:r>
      <w:r>
        <w:rPr>
          <w:rFonts w:eastAsia="Times New Roman" w:cs="Times New Roman"/>
          <w:color w:val="000000"/>
        </w:rPr>
        <w:t xml:space="preserve">741.)  </w:t>
      </w:r>
    </w:p>
    <w:p w:rsidR="00356E4D" w:rsidP="00356E4D" w14:paraId="26351B71" w14:textId="5A755C21">
      <w:pPr>
        <w:shd w:val="clear" w:color="auto" w:fill="FFFFFF"/>
        <w:rPr>
          <w:rFonts w:eastAsia="Times New Roman" w:cs="Times New Roman"/>
          <w:color w:val="000000"/>
        </w:rPr>
      </w:pPr>
      <w:r>
        <w:rPr>
          <w:rFonts w:eastAsia="Times New Roman" w:cs="Times New Roman"/>
          <w:color w:val="000000"/>
        </w:rPr>
        <w:t xml:space="preserve">Before reaching this conclusion, the court set the stage </w:t>
      </w:r>
      <w:r w:rsidR="00DF063A">
        <w:rPr>
          <w:rFonts w:eastAsia="Times New Roman" w:cs="Times New Roman"/>
          <w:color w:val="000000"/>
        </w:rPr>
        <w:t>with an in</w:t>
      </w:r>
      <w:r w:rsidR="00BA4798">
        <w:rPr>
          <w:rFonts w:eastAsia="Times New Roman" w:cs="Times New Roman"/>
          <w:color w:val="000000"/>
        </w:rPr>
        <w:t xml:space="preserve">-depth discussion of </w:t>
      </w:r>
      <w:r>
        <w:rPr>
          <w:rFonts w:eastAsia="Times New Roman" w:cs="Times New Roman"/>
          <w:color w:val="000000"/>
        </w:rPr>
        <w:t>pre-Proposition 66 law.  (</w:t>
      </w:r>
      <w:r w:rsidRPr="002F079C" w:rsidR="00747204">
        <w:rPr>
          <w:rFonts w:eastAsia="Times New Roman" w:cs="Times New Roman"/>
          <w:i/>
          <w:iCs/>
          <w:color w:val="000000"/>
        </w:rPr>
        <w:t xml:space="preserve">Friend </w:t>
      </w:r>
      <w:r w:rsidRPr="005C4EEB">
        <w:rPr>
          <w:rFonts w:eastAsia="Times New Roman" w:cs="Times New Roman"/>
          <w:i/>
          <w:iCs/>
          <w:color w:val="000000"/>
        </w:rPr>
        <w:t>I</w:t>
      </w:r>
      <w:r w:rsidR="00A87720">
        <w:rPr>
          <w:rFonts w:eastAsia="Times New Roman" w:cs="Times New Roman"/>
          <w:color w:val="000000"/>
        </w:rPr>
        <w:t xml:space="preserve">, </w:t>
      </w:r>
      <w:r w:rsidRPr="002F079C" w:rsidR="00A87720">
        <w:rPr>
          <w:rFonts w:eastAsia="Times New Roman" w:cs="Times New Roman"/>
          <w:i/>
          <w:iCs/>
          <w:color w:val="000000"/>
        </w:rPr>
        <w:t>supra</w:t>
      </w:r>
      <w:r w:rsidR="00A87720">
        <w:rPr>
          <w:rFonts w:eastAsia="Times New Roman" w:cs="Times New Roman"/>
          <w:color w:val="000000"/>
        </w:rPr>
        <w:t>, 11</w:t>
      </w:r>
      <w:r w:rsidR="00275687">
        <w:rPr>
          <w:rFonts w:eastAsia="Times New Roman" w:cs="Times New Roman"/>
          <w:color w:val="000000"/>
        </w:rPr>
        <w:t> </w:t>
      </w:r>
      <w:r w:rsidR="00A87720">
        <w:rPr>
          <w:rFonts w:eastAsia="Times New Roman" w:cs="Times New Roman"/>
          <w:color w:val="000000"/>
        </w:rPr>
        <w:t>Cal.5th</w:t>
      </w:r>
      <w:r>
        <w:rPr>
          <w:rFonts w:eastAsia="Times New Roman" w:cs="Times New Roman"/>
          <w:color w:val="000000"/>
        </w:rPr>
        <w:t xml:space="preserve"> at p</w:t>
      </w:r>
      <w:r w:rsidR="00A87720">
        <w:rPr>
          <w:rFonts w:eastAsia="Times New Roman" w:cs="Times New Roman"/>
          <w:color w:val="000000"/>
        </w:rPr>
        <w:t>p</w:t>
      </w:r>
      <w:r>
        <w:rPr>
          <w:rFonts w:eastAsia="Times New Roman" w:cs="Times New Roman"/>
          <w:color w:val="000000"/>
        </w:rPr>
        <w:t>.</w:t>
      </w:r>
      <w:r w:rsidR="00A87720">
        <w:rPr>
          <w:rFonts w:eastAsia="Times New Roman" w:cs="Times New Roman"/>
          <w:color w:val="000000"/>
        </w:rPr>
        <w:t> </w:t>
      </w:r>
      <w:r>
        <w:rPr>
          <w:rFonts w:eastAsia="Times New Roman" w:cs="Times New Roman"/>
          <w:color w:val="000000"/>
        </w:rPr>
        <w:t>730</w:t>
      </w:r>
      <w:r w:rsidR="00A87720">
        <w:rPr>
          <w:rFonts w:eastAsia="Times New Roman" w:cs="Times New Roman"/>
          <w:color w:val="000000"/>
        </w:rPr>
        <w:t>–</w:t>
      </w:r>
      <w:r>
        <w:rPr>
          <w:rFonts w:eastAsia="Times New Roman" w:cs="Times New Roman"/>
          <w:color w:val="000000"/>
        </w:rPr>
        <w:t xml:space="preserve">733.)  The key issue in </w:t>
      </w:r>
      <w:r w:rsidR="007D07EB">
        <w:rPr>
          <w:rFonts w:eastAsia="Times New Roman" w:cs="Times New Roman"/>
          <w:color w:val="000000"/>
        </w:rPr>
        <w:t>abuse of the writ</w:t>
      </w:r>
      <w:r>
        <w:rPr>
          <w:rFonts w:eastAsia="Times New Roman" w:cs="Times New Roman"/>
          <w:color w:val="000000"/>
        </w:rPr>
        <w:t xml:space="preserve"> cases pre-dating Proposition 66</w:t>
      </w:r>
      <w:r w:rsidR="00466F7C">
        <w:rPr>
          <w:rFonts w:eastAsia="Times New Roman" w:cs="Times New Roman"/>
          <w:color w:val="000000"/>
        </w:rPr>
        <w:t>, the court explained,</w:t>
      </w:r>
      <w:r>
        <w:rPr>
          <w:rFonts w:eastAsia="Times New Roman" w:cs="Times New Roman"/>
          <w:color w:val="000000"/>
        </w:rPr>
        <w:t xml:space="preserve"> was whether the petitioner failed to bring claims in an initial petition that, “even with reasonable diligence, could not have been discovered and presented earlier.”  (</w:t>
      </w:r>
      <w:r>
        <w:rPr>
          <w:rFonts w:eastAsia="Times New Roman" w:cs="Times New Roman"/>
          <w:i/>
          <w:iCs/>
          <w:color w:val="000000"/>
        </w:rPr>
        <w:t>Friend I</w:t>
      </w:r>
      <w:r>
        <w:rPr>
          <w:rFonts w:eastAsia="Times New Roman" w:cs="Times New Roman"/>
          <w:color w:val="000000"/>
        </w:rPr>
        <w:t>, at p</w:t>
      </w:r>
      <w:r w:rsidR="00656011">
        <w:rPr>
          <w:rFonts w:eastAsia="Times New Roman" w:cs="Times New Roman"/>
          <w:color w:val="000000"/>
        </w:rPr>
        <w:t>.</w:t>
      </w:r>
      <w:r w:rsidR="00275687">
        <w:rPr>
          <w:rFonts w:eastAsia="Times New Roman" w:cs="Times New Roman"/>
          <w:color w:val="000000"/>
        </w:rPr>
        <w:t> </w:t>
      </w:r>
      <w:r>
        <w:rPr>
          <w:rFonts w:eastAsia="Times New Roman" w:cs="Times New Roman"/>
          <w:color w:val="000000"/>
        </w:rPr>
        <w:t>7</w:t>
      </w:r>
      <w:r w:rsidR="001914A6">
        <w:rPr>
          <w:rFonts w:eastAsia="Times New Roman" w:cs="Times New Roman"/>
          <w:color w:val="000000"/>
        </w:rPr>
        <w:t>41</w:t>
      </w:r>
      <w:r>
        <w:rPr>
          <w:rFonts w:eastAsia="Times New Roman" w:cs="Times New Roman"/>
          <w:color w:val="000000"/>
        </w:rPr>
        <w:t>.)  To identify and deal with these</w:t>
      </w:r>
      <w:r w:rsidR="005F6560">
        <w:rPr>
          <w:rFonts w:eastAsia="Times New Roman" w:cs="Times New Roman"/>
          <w:color w:val="000000"/>
        </w:rPr>
        <w:t xml:space="preserve"> </w:t>
      </w:r>
      <w:r>
        <w:rPr>
          <w:rFonts w:eastAsia="Times New Roman" w:cs="Times New Roman"/>
          <w:color w:val="000000"/>
        </w:rPr>
        <w:t>circumstances, courts engaged in a two-step analysis.  (</w:t>
      </w:r>
      <w:r>
        <w:rPr>
          <w:rFonts w:eastAsia="Times New Roman" w:cs="Times New Roman"/>
          <w:i/>
          <w:iCs/>
          <w:color w:val="000000"/>
        </w:rPr>
        <w:t>Id</w:t>
      </w:r>
      <w:r>
        <w:rPr>
          <w:rFonts w:eastAsia="Times New Roman" w:cs="Times New Roman"/>
          <w:color w:val="000000"/>
        </w:rPr>
        <w:t>. at pp.</w:t>
      </w:r>
      <w:r w:rsidR="00656011">
        <w:rPr>
          <w:rFonts w:eastAsia="Times New Roman" w:cs="Times New Roman"/>
          <w:color w:val="000000"/>
        </w:rPr>
        <w:t> </w:t>
      </w:r>
      <w:r>
        <w:rPr>
          <w:rFonts w:eastAsia="Times New Roman" w:cs="Times New Roman"/>
          <w:color w:val="000000"/>
        </w:rPr>
        <w:t>728</w:t>
      </w:r>
      <w:r w:rsidR="00656011">
        <w:rPr>
          <w:rFonts w:eastAsia="Times New Roman" w:cs="Times New Roman"/>
          <w:color w:val="000000"/>
        </w:rPr>
        <w:t>–</w:t>
      </w:r>
      <w:r>
        <w:rPr>
          <w:rFonts w:eastAsia="Times New Roman" w:cs="Times New Roman"/>
          <w:color w:val="000000"/>
        </w:rPr>
        <w:t>729.)  Even in cases where a petitioner could not adequately justify failing to raise a claim earlier, there was traditionally a second step to the analysis where courts would entertain successive claims on the merits in exceptional circumstances.  “At this second step</w:t>
      </w:r>
      <w:r w:rsidR="00912952">
        <w:rPr>
          <w:rFonts w:eastAsia="Times New Roman" w:cs="Times New Roman"/>
          <w:color w:val="000000"/>
        </w:rPr>
        <w:t xml:space="preserve"> . . . </w:t>
      </w:r>
      <w:r>
        <w:rPr>
          <w:rFonts w:eastAsia="Times New Roman" w:cs="Times New Roman"/>
          <w:color w:val="000000"/>
        </w:rPr>
        <w:t xml:space="preserve">court[s] would determine whether the petitioner had made a showing that the successive claim fell within </w:t>
      </w:r>
      <w:r w:rsidR="00956A8D">
        <w:rPr>
          <w:rFonts w:eastAsia="Times New Roman" w:cs="Times New Roman"/>
          <w:color w:val="000000"/>
        </w:rPr>
        <w:t>[a</w:t>
      </w:r>
      <w:r w:rsidR="008453FD">
        <w:rPr>
          <w:rFonts w:eastAsia="Times New Roman" w:cs="Times New Roman"/>
          <w:color w:val="000000"/>
        </w:rPr>
        <w:t>] . . .</w:t>
      </w:r>
      <w:r w:rsidR="0091347B">
        <w:rPr>
          <w:rFonts w:eastAsia="Times New Roman" w:cs="Times New Roman"/>
          <w:color w:val="000000"/>
        </w:rPr>
        <w:t xml:space="preserve"> </w:t>
      </w:r>
      <w:r>
        <w:rPr>
          <w:rFonts w:eastAsia="Times New Roman" w:cs="Times New Roman"/>
          <w:color w:val="000000"/>
        </w:rPr>
        <w:t xml:space="preserve">fundamental miscarriage of justice exception set out in </w:t>
      </w:r>
      <w:r>
        <w:rPr>
          <w:rFonts w:eastAsia="Times New Roman" w:cs="Times New Roman"/>
          <w:i/>
          <w:iCs/>
          <w:color w:val="3D3D3D"/>
          <w:bdr w:val="none" w:sz="0" w:space="0" w:color="auto" w:frame="1"/>
        </w:rPr>
        <w:t>In re Clark</w:t>
      </w:r>
      <w:r>
        <w:rPr>
          <w:rFonts w:eastAsia="Times New Roman" w:cs="Times New Roman"/>
          <w:color w:val="000000"/>
        </w:rPr>
        <w:t xml:space="preserve"> (1993) 5</w:t>
      </w:r>
      <w:r w:rsidR="00275687">
        <w:rPr>
          <w:rFonts w:eastAsia="Times New Roman" w:cs="Times New Roman"/>
          <w:color w:val="000000"/>
        </w:rPr>
        <w:t> </w:t>
      </w:r>
      <w:r>
        <w:rPr>
          <w:rFonts w:eastAsia="Times New Roman" w:cs="Times New Roman"/>
          <w:color w:val="000000"/>
        </w:rPr>
        <w:t>Cal.4th 750 (</w:t>
      </w:r>
      <w:r>
        <w:rPr>
          <w:rFonts w:eastAsia="Times New Roman" w:cs="Times New Roman"/>
          <w:i/>
          <w:iCs/>
          <w:color w:val="3D3D3D"/>
          <w:bdr w:val="none" w:sz="0" w:space="0" w:color="auto" w:frame="1"/>
        </w:rPr>
        <w:t>Clark</w:t>
      </w:r>
      <w:r>
        <w:rPr>
          <w:rFonts w:eastAsia="Times New Roman" w:cs="Times New Roman"/>
          <w:color w:val="000000"/>
        </w:rPr>
        <w:t xml:space="preserve">).”  </w:t>
      </w:r>
      <w:r>
        <w:rPr>
          <w:rFonts w:eastAsia="Times New Roman" w:cs="Times New Roman"/>
          <w:i/>
          <w:iCs/>
          <w:color w:val="000000"/>
        </w:rPr>
        <w:t>(Friend II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76</w:t>
      </w:r>
      <w:r w:rsidR="00275687">
        <w:rPr>
          <w:rFonts w:eastAsia="Times New Roman" w:cs="Times New Roman"/>
          <w:color w:val="000000"/>
        </w:rPr>
        <w:t> </w:t>
      </w:r>
      <w:r>
        <w:rPr>
          <w:rFonts w:eastAsia="Times New Roman" w:cs="Times New Roman"/>
          <w:color w:val="000000"/>
        </w:rPr>
        <w:t>Cal.App.5th at p.</w:t>
      </w:r>
      <w:r w:rsidR="00275687">
        <w:rPr>
          <w:rFonts w:eastAsia="Times New Roman" w:cs="Times New Roman"/>
          <w:color w:val="000000"/>
        </w:rPr>
        <w:t> </w:t>
      </w:r>
      <w:r>
        <w:rPr>
          <w:rFonts w:eastAsia="Times New Roman" w:cs="Times New Roman"/>
          <w:color w:val="000000"/>
        </w:rPr>
        <w:t xml:space="preserve">631.)  </w:t>
      </w:r>
    </w:p>
    <w:p w:rsidR="004414CB" w:rsidP="004414CB" w14:paraId="6217879C" w14:textId="1D0BF04E">
      <w:pPr>
        <w:shd w:val="clear" w:color="auto" w:fill="FFFFFF"/>
        <w:rPr>
          <w:rFonts w:eastAsia="Times New Roman" w:cs="Times New Roman"/>
          <w:color w:val="000000"/>
        </w:rPr>
      </w:pPr>
      <w:r>
        <w:rPr>
          <w:rFonts w:eastAsia="Times New Roman" w:cs="Times New Roman"/>
          <w:color w:val="000000"/>
        </w:rPr>
        <w:t xml:space="preserve">Mindful of this traditional two-step analytical framework, the </w:t>
      </w:r>
      <w:r>
        <w:rPr>
          <w:rFonts w:eastAsia="Times New Roman" w:cs="Times New Roman"/>
          <w:i/>
          <w:iCs/>
          <w:color w:val="000000"/>
        </w:rPr>
        <w:t>Friend I</w:t>
      </w:r>
      <w:r>
        <w:rPr>
          <w:rFonts w:eastAsia="Times New Roman" w:cs="Times New Roman"/>
          <w:color w:val="000000"/>
        </w:rPr>
        <w:t xml:space="preserve"> court construed the statutory term “successive” in the sense courts have always construed it.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275687">
        <w:rPr>
          <w:rFonts w:eastAsia="Times New Roman" w:cs="Times New Roman"/>
          <w:color w:val="000000"/>
        </w:rPr>
        <w:t> </w:t>
      </w:r>
      <w:r>
        <w:rPr>
          <w:rFonts w:eastAsia="Times New Roman" w:cs="Times New Roman"/>
          <w:color w:val="000000"/>
        </w:rPr>
        <w:t>Cal.5th at pp.</w:t>
      </w:r>
      <w:r w:rsidR="00275687">
        <w:rPr>
          <w:rFonts w:eastAsia="Times New Roman" w:cs="Times New Roman"/>
          <w:color w:val="000000"/>
        </w:rPr>
        <w:t> </w:t>
      </w:r>
      <w:r>
        <w:rPr>
          <w:rFonts w:eastAsia="Times New Roman" w:cs="Times New Roman"/>
          <w:color w:val="000000"/>
        </w:rPr>
        <w:t xml:space="preserve">730–733.)  The court held that not every “subsequent” petition—that is, </w:t>
      </w:r>
      <w:r w:rsidR="005A2C39">
        <w:rPr>
          <w:rFonts w:eastAsia="Times New Roman" w:cs="Times New Roman"/>
          <w:color w:val="000000"/>
        </w:rPr>
        <w:t>n</w:t>
      </w:r>
      <w:r w:rsidR="00046446">
        <w:rPr>
          <w:rFonts w:eastAsia="Times New Roman" w:cs="Times New Roman"/>
          <w:color w:val="000000"/>
        </w:rPr>
        <w:t xml:space="preserve">ot </w:t>
      </w:r>
      <w:r>
        <w:rPr>
          <w:rFonts w:eastAsia="Times New Roman" w:cs="Times New Roman"/>
          <w:color w:val="000000"/>
        </w:rPr>
        <w:t>every new petition brought chronologically after an “initial” petition—will be deemed “successive” within the meaning of section 1509(d).  (</w:t>
      </w:r>
      <w:r>
        <w:rPr>
          <w:rFonts w:eastAsia="Times New Roman" w:cs="Times New Roman"/>
          <w:i/>
          <w:iCs/>
          <w:color w:val="000000"/>
        </w:rPr>
        <w:t>Friend I</w:t>
      </w:r>
      <w:r>
        <w:rPr>
          <w:rFonts w:eastAsia="Times New Roman" w:cs="Times New Roman"/>
          <w:color w:val="000000"/>
        </w:rPr>
        <w:t>, at pp.</w:t>
      </w:r>
      <w:r w:rsidR="00275687">
        <w:rPr>
          <w:rFonts w:eastAsia="Times New Roman" w:cs="Times New Roman"/>
          <w:color w:val="000000"/>
        </w:rPr>
        <w:t> </w:t>
      </w:r>
      <w:r>
        <w:rPr>
          <w:rFonts w:eastAsia="Times New Roman" w:cs="Times New Roman"/>
          <w:color w:val="000000"/>
        </w:rPr>
        <w:t>734–736.)  A showing of adequate justification for omitting a claim in an “initial” petition will mean that, if brought promptly upon discovery in a subsequent petition, new claims will not be “successive” and thus will not be subject to the section 1509(d) bar.  A broader interpretation that would rigidly block habeas corpus petitioners from gaining access to court regardless of any justification that the petitioner may have had for failing to assert new claims earlier, the court held, would raise “</w:t>
      </w:r>
      <w:r w:rsidR="0067047E">
        <w:rPr>
          <w:rFonts w:eastAsia="Times New Roman" w:cs="Times New Roman"/>
          <w:color w:val="000000"/>
        </w:rPr>
        <w:t>substantial</w:t>
      </w:r>
      <w:r>
        <w:rPr>
          <w:rFonts w:eastAsia="Times New Roman" w:cs="Times New Roman"/>
          <w:color w:val="000000"/>
        </w:rPr>
        <w:t xml:space="preserve"> constitutional doubts.”  (</w:t>
      </w:r>
      <w:r w:rsidR="00CC2077">
        <w:rPr>
          <w:rFonts w:eastAsia="Times New Roman" w:cs="Times New Roman"/>
          <w:i/>
          <w:iCs/>
          <w:color w:val="000000"/>
        </w:rPr>
        <w:t>Friend I</w:t>
      </w:r>
      <w:r w:rsidR="00CC2077">
        <w:rPr>
          <w:rFonts w:eastAsia="Times New Roman" w:cs="Times New Roman"/>
          <w:color w:val="000000"/>
        </w:rPr>
        <w:t xml:space="preserve">, </w:t>
      </w:r>
      <w:r>
        <w:rPr>
          <w:rFonts w:eastAsia="Times New Roman" w:cs="Times New Roman"/>
          <w:color w:val="000000"/>
        </w:rPr>
        <w:t>at p. 739.)</w:t>
      </w:r>
      <w:r>
        <w:rPr>
          <w:rStyle w:val="FootnoteReference"/>
          <w:rFonts w:eastAsia="Times New Roman" w:cs="Times New Roman"/>
          <w:color w:val="000000"/>
        </w:rPr>
        <w:footnoteReference w:id="9"/>
      </w:r>
    </w:p>
    <w:p w:rsidR="004414CB" w:rsidP="00356E4D" w14:paraId="5F61036F" w14:textId="7BE89EEC">
      <w:pPr>
        <w:shd w:val="clear" w:color="auto" w:fill="FFFFFF"/>
        <w:rPr>
          <w:rFonts w:eastAsia="Times New Roman" w:cs="Times New Roman"/>
          <w:color w:val="000000"/>
        </w:rPr>
      </w:pPr>
      <w:r>
        <w:rPr>
          <w:rFonts w:eastAsia="Times New Roman" w:cs="Times New Roman"/>
          <w:color w:val="000000"/>
        </w:rPr>
        <w:t xml:space="preserve">While it </w:t>
      </w:r>
      <w:r w:rsidR="009349A7">
        <w:rPr>
          <w:rFonts w:eastAsia="Times New Roman" w:cs="Times New Roman"/>
          <w:color w:val="000000"/>
        </w:rPr>
        <w:t xml:space="preserve">is </w:t>
      </w:r>
      <w:r>
        <w:rPr>
          <w:rFonts w:eastAsia="Times New Roman" w:cs="Times New Roman"/>
          <w:color w:val="000000"/>
        </w:rPr>
        <w:t xml:space="preserve">“rare” </w:t>
      </w:r>
      <w:r w:rsidR="009349A7">
        <w:rPr>
          <w:rFonts w:eastAsia="Times New Roman" w:cs="Times New Roman"/>
          <w:color w:val="000000"/>
        </w:rPr>
        <w:t xml:space="preserve">and “unusual” </w:t>
      </w:r>
      <w:r>
        <w:rPr>
          <w:rFonts w:eastAsia="Times New Roman" w:cs="Times New Roman"/>
          <w:color w:val="000000"/>
        </w:rPr>
        <w:t>to see a successful showing of non-successiveness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275687">
        <w:rPr>
          <w:rFonts w:eastAsia="Times New Roman" w:cs="Times New Roman"/>
          <w:color w:val="000000"/>
        </w:rPr>
        <w:t> </w:t>
      </w:r>
      <w:r>
        <w:rPr>
          <w:rFonts w:eastAsia="Times New Roman" w:cs="Times New Roman"/>
          <w:color w:val="000000"/>
        </w:rPr>
        <w:t>Cal.5</w:t>
      </w:r>
      <w:r w:rsidRPr="00BB4C6F">
        <w:rPr>
          <w:rFonts w:eastAsia="Times New Roman" w:cs="Times New Roman"/>
          <w:color w:val="000000"/>
        </w:rPr>
        <w:t>th</w:t>
      </w:r>
      <w:r>
        <w:rPr>
          <w:rFonts w:eastAsia="Times New Roman" w:cs="Times New Roman"/>
          <w:color w:val="000000"/>
        </w:rPr>
        <w:t xml:space="preserve"> at p</w:t>
      </w:r>
      <w:r w:rsidR="00BE2396">
        <w:rPr>
          <w:rFonts w:eastAsia="Times New Roman" w:cs="Times New Roman"/>
          <w:color w:val="000000"/>
        </w:rPr>
        <w:t>.</w:t>
      </w:r>
      <w:r w:rsidR="00275687">
        <w:rPr>
          <w:rFonts w:eastAsia="Times New Roman" w:cs="Times New Roman"/>
          <w:color w:val="000000"/>
        </w:rPr>
        <w:t> </w:t>
      </w:r>
      <w:r>
        <w:rPr>
          <w:rFonts w:eastAsia="Times New Roman" w:cs="Times New Roman"/>
          <w:color w:val="000000"/>
        </w:rPr>
        <w:t xml:space="preserve">728), </w:t>
      </w:r>
      <w:r w:rsidRPr="002F079C" w:rsidR="008E0787">
        <w:rPr>
          <w:rFonts w:eastAsia="Times New Roman" w:cs="Times New Roman"/>
          <w:i/>
          <w:iCs/>
          <w:color w:val="000000"/>
        </w:rPr>
        <w:t>Friend I</w:t>
      </w:r>
      <w:r w:rsidR="008E0787">
        <w:rPr>
          <w:rFonts w:eastAsia="Times New Roman" w:cs="Times New Roman"/>
          <w:color w:val="000000"/>
        </w:rPr>
        <w:t xml:space="preserve"> holds that </w:t>
      </w:r>
      <w:r>
        <w:rPr>
          <w:rFonts w:eastAsia="Times New Roman" w:cs="Times New Roman"/>
          <w:color w:val="000000"/>
        </w:rPr>
        <w:t xml:space="preserve">capital habeas petitioners can establish adequate justification for </w:t>
      </w:r>
      <w:r w:rsidR="00517F23">
        <w:rPr>
          <w:rFonts w:eastAsia="Times New Roman" w:cs="Times New Roman"/>
          <w:color w:val="000000"/>
        </w:rPr>
        <w:t xml:space="preserve">omitting </w:t>
      </w:r>
      <w:r w:rsidR="0031148E">
        <w:rPr>
          <w:rFonts w:eastAsia="Times New Roman" w:cs="Times New Roman"/>
          <w:color w:val="000000"/>
        </w:rPr>
        <w:t xml:space="preserve">claims from an initial petition </w:t>
      </w:r>
      <w:r>
        <w:rPr>
          <w:rFonts w:eastAsia="Times New Roman" w:cs="Times New Roman"/>
          <w:color w:val="000000"/>
        </w:rPr>
        <w:t xml:space="preserve">in three circumstances, each drawn from prior </w:t>
      </w:r>
      <w:r w:rsidR="007D07EB">
        <w:rPr>
          <w:rFonts w:eastAsia="Times New Roman" w:cs="Times New Roman"/>
          <w:color w:val="000000"/>
        </w:rPr>
        <w:t>abuse of the writ</w:t>
      </w:r>
      <w:r>
        <w:rPr>
          <w:rFonts w:eastAsia="Times New Roman" w:cs="Times New Roman"/>
          <w:color w:val="000000"/>
        </w:rPr>
        <w:t xml:space="preserve"> cases.  First, non-successiveness is established “</w:t>
      </w:r>
      <w:r w:rsidR="00275687">
        <w:rPr>
          <w:rFonts w:eastAsia="Times New Roman" w:cs="Times New Roman"/>
          <w:color w:val="000000"/>
        </w:rPr>
        <w:t> </w:t>
      </w:r>
      <w:r>
        <w:rPr>
          <w:rFonts w:eastAsia="Times New Roman" w:cs="Times New Roman"/>
          <w:color w:val="000000"/>
        </w:rPr>
        <w:t xml:space="preserve">‘where the factual basis for a claim was unknown to the petitioner and he had no reason to believe that the claim might be made’ and the claim is </w:t>
      </w:r>
      <w:r w:rsidR="00AC73AF">
        <w:rPr>
          <w:rFonts w:eastAsia="Times New Roman" w:cs="Times New Roman"/>
          <w:color w:val="000000"/>
        </w:rPr>
        <w:t>‘</w:t>
      </w:r>
      <w:r>
        <w:rPr>
          <w:rFonts w:eastAsia="Times New Roman" w:cs="Times New Roman"/>
          <w:color w:val="000000"/>
        </w:rPr>
        <w:t>asserted as promptly as reasonably possible.’</w:t>
      </w:r>
      <w:r w:rsidR="00FC6C4E">
        <w:rPr>
          <w:rFonts w:eastAsia="Times New Roman" w:cs="Times New Roman"/>
          <w:color w:val="000000"/>
        </w:rPr>
        <w:t> </w:t>
      </w:r>
      <w:r>
        <w:rPr>
          <w:rFonts w:eastAsia="Times New Roman" w:cs="Times New Roman"/>
          <w:color w:val="000000"/>
        </w:rPr>
        <w:t xml:space="preserve">” </w:t>
      </w:r>
      <w:r w:rsidR="00CB687C">
        <w:rPr>
          <w:rFonts w:eastAsia="Times New Roman" w:cs="Times New Roman"/>
          <w:color w:val="000000"/>
        </w:rPr>
        <w:t xml:space="preserve"> </w:t>
      </w:r>
      <w:r>
        <w:rPr>
          <w:rFonts w:eastAsia="Times New Roman" w:cs="Times New Roman"/>
          <w:color w:val="000000"/>
        </w:rPr>
        <w:t>(</w:t>
      </w:r>
      <w:r>
        <w:rPr>
          <w:rFonts w:eastAsia="Times New Roman" w:cs="Times New Roman"/>
          <w:i/>
          <w:iCs/>
          <w:color w:val="000000"/>
        </w:rPr>
        <w:t>Id.</w:t>
      </w:r>
      <w:r>
        <w:rPr>
          <w:rFonts w:eastAsia="Times New Roman" w:cs="Times New Roman"/>
          <w:color w:val="000000"/>
        </w:rPr>
        <w:t xml:space="preserve"> at p</w:t>
      </w:r>
      <w:r w:rsidR="00FC6C4E">
        <w:rPr>
          <w:rFonts w:eastAsia="Times New Roman" w:cs="Times New Roman"/>
          <w:color w:val="000000"/>
        </w:rPr>
        <w:t>. </w:t>
      </w:r>
      <w:r>
        <w:rPr>
          <w:rFonts w:eastAsia="Times New Roman" w:cs="Times New Roman"/>
          <w:color w:val="000000"/>
        </w:rPr>
        <w:t xml:space="preserve">731.)  Second, in cases involving “claims based on a change in the law that is retroactively applicable to final judgments,” </w:t>
      </w:r>
      <w:r w:rsidR="008B00E2">
        <w:rPr>
          <w:rFonts w:eastAsia="Times New Roman" w:cs="Times New Roman"/>
          <w:color w:val="000000"/>
        </w:rPr>
        <w:t xml:space="preserve">promptly asserted </w:t>
      </w:r>
      <w:r>
        <w:rPr>
          <w:rFonts w:eastAsia="Times New Roman" w:cs="Times New Roman"/>
          <w:color w:val="000000"/>
        </w:rPr>
        <w:t>claims in a subsequent petition for habeas relief will be considered if the application of preexisting law would be prejudicial.  (</w:t>
      </w:r>
      <w:r>
        <w:rPr>
          <w:rFonts w:eastAsia="Times New Roman" w:cs="Times New Roman"/>
          <w:i/>
          <w:iCs/>
          <w:color w:val="000000"/>
        </w:rPr>
        <w:t>Ibid</w:t>
      </w:r>
      <w:r>
        <w:rPr>
          <w:rFonts w:eastAsia="Times New Roman" w:cs="Times New Roman"/>
          <w:color w:val="000000"/>
        </w:rPr>
        <w:t>.)  “And finally, the ineffective assistance of prior counsel may justify raising a claim in a subsequent petition.”  (</w:t>
      </w:r>
      <w:r>
        <w:rPr>
          <w:rFonts w:eastAsia="Times New Roman" w:cs="Times New Roman"/>
          <w:i/>
          <w:iCs/>
          <w:color w:val="000000"/>
        </w:rPr>
        <w:t>Ibid.</w:t>
      </w:r>
      <w:r>
        <w:rPr>
          <w:rFonts w:eastAsia="Times New Roman" w:cs="Times New Roman"/>
          <w:color w:val="000000"/>
        </w:rPr>
        <w:t xml:space="preserve">)  </w:t>
      </w:r>
    </w:p>
    <w:p w:rsidR="008B3B95" w:rsidP="00356E4D" w14:paraId="5BEE1A34" w14:textId="27323CD0">
      <w:pPr>
        <w:shd w:val="clear" w:color="auto" w:fill="FFFFFF"/>
        <w:rPr>
          <w:rFonts w:eastAsia="Times New Roman" w:cs="Times New Roman"/>
          <w:color w:val="000000"/>
        </w:rPr>
      </w:pPr>
      <w:r>
        <w:rPr>
          <w:rFonts w:eastAsia="Times New Roman" w:cs="Times New Roman"/>
          <w:color w:val="000000"/>
        </w:rPr>
        <w:t>Even for petitions found to be successive</w:t>
      </w:r>
      <w:r w:rsidR="009C6189">
        <w:rPr>
          <w:rFonts w:eastAsia="Times New Roman" w:cs="Times New Roman"/>
          <w:color w:val="000000"/>
        </w:rPr>
        <w:t xml:space="preserve">, </w:t>
      </w:r>
      <w:r w:rsidR="004F790F">
        <w:rPr>
          <w:rFonts w:eastAsia="Times New Roman" w:cs="Times New Roman"/>
          <w:color w:val="000000"/>
        </w:rPr>
        <w:t xml:space="preserve">the second step of the analysis provides </w:t>
      </w:r>
      <w:r w:rsidR="005626BE">
        <w:rPr>
          <w:rFonts w:eastAsia="Times New Roman" w:cs="Times New Roman"/>
          <w:color w:val="000000"/>
        </w:rPr>
        <w:t>the ultimate backstop</w:t>
      </w:r>
      <w:r w:rsidR="00D65FEC">
        <w:rPr>
          <w:rFonts w:eastAsia="Times New Roman" w:cs="Times New Roman"/>
          <w:color w:val="000000"/>
        </w:rPr>
        <w:t>—an exception for</w:t>
      </w:r>
      <w:r w:rsidR="008A1A21">
        <w:rPr>
          <w:rFonts w:eastAsia="Times New Roman" w:cs="Times New Roman"/>
          <w:color w:val="000000"/>
        </w:rPr>
        <w:t xml:space="preserve"> miscarriage</w:t>
      </w:r>
      <w:r w:rsidR="00774191">
        <w:rPr>
          <w:rFonts w:eastAsia="Times New Roman" w:cs="Times New Roman"/>
          <w:color w:val="000000"/>
        </w:rPr>
        <w:t>s</w:t>
      </w:r>
      <w:r w:rsidR="008A1A21">
        <w:rPr>
          <w:rFonts w:eastAsia="Times New Roman" w:cs="Times New Roman"/>
          <w:color w:val="000000"/>
        </w:rPr>
        <w:t xml:space="preserve"> of</w:t>
      </w:r>
      <w:r w:rsidR="00C67181">
        <w:rPr>
          <w:rFonts w:eastAsia="Times New Roman" w:cs="Times New Roman"/>
          <w:color w:val="000000"/>
        </w:rPr>
        <w:t xml:space="preserve"> justice</w:t>
      </w:r>
      <w:r w:rsidR="00DE0934">
        <w:rPr>
          <w:rFonts w:eastAsia="Times New Roman" w:cs="Times New Roman"/>
          <w:color w:val="000000"/>
        </w:rPr>
        <w:t>.</w:t>
      </w:r>
      <w:r>
        <w:rPr>
          <w:rStyle w:val="FootnoteReference"/>
          <w:rFonts w:eastAsia="Times New Roman" w:cs="Times New Roman"/>
          <w:color w:val="000000"/>
        </w:rPr>
        <w:footnoteReference w:id="10"/>
      </w:r>
      <w:r w:rsidR="00DE0934">
        <w:rPr>
          <w:rFonts w:eastAsia="Times New Roman" w:cs="Times New Roman"/>
          <w:color w:val="000000"/>
        </w:rPr>
        <w:t xml:space="preserve">  </w:t>
      </w:r>
      <w:r w:rsidR="00A467C9">
        <w:rPr>
          <w:rFonts w:eastAsia="Times New Roman" w:cs="Times New Roman"/>
          <w:color w:val="000000"/>
        </w:rPr>
        <w:t>Traditionally</w:t>
      </w:r>
      <w:r w:rsidR="00844CD9">
        <w:rPr>
          <w:rFonts w:eastAsia="Times New Roman" w:cs="Times New Roman"/>
          <w:color w:val="000000"/>
        </w:rPr>
        <w:t xml:space="preserve">, </w:t>
      </w:r>
      <w:r w:rsidR="00DE0934">
        <w:rPr>
          <w:rFonts w:eastAsia="Times New Roman" w:cs="Times New Roman"/>
          <w:color w:val="000000"/>
        </w:rPr>
        <w:t>th</w:t>
      </w:r>
      <w:r w:rsidR="00BD6216">
        <w:rPr>
          <w:rFonts w:eastAsia="Times New Roman" w:cs="Times New Roman"/>
          <w:color w:val="000000"/>
        </w:rPr>
        <w:t>is</w:t>
      </w:r>
      <w:r w:rsidR="00DE0934">
        <w:rPr>
          <w:rFonts w:eastAsia="Times New Roman" w:cs="Times New Roman"/>
          <w:color w:val="000000"/>
        </w:rPr>
        <w:t xml:space="preserve"> exception</w:t>
      </w:r>
      <w:r w:rsidR="006E0A79">
        <w:rPr>
          <w:rFonts w:eastAsia="Times New Roman" w:cs="Times New Roman"/>
          <w:color w:val="000000"/>
        </w:rPr>
        <w:t xml:space="preserve">, </w:t>
      </w:r>
      <w:r w:rsidR="00DF4E71">
        <w:rPr>
          <w:rFonts w:eastAsia="Times New Roman" w:cs="Times New Roman"/>
          <w:color w:val="000000"/>
        </w:rPr>
        <w:t xml:space="preserve">which was </w:t>
      </w:r>
      <w:r w:rsidR="0076668A">
        <w:rPr>
          <w:rFonts w:eastAsia="Times New Roman" w:cs="Times New Roman"/>
          <w:color w:val="000000"/>
        </w:rPr>
        <w:t xml:space="preserve">fully enunciated in </w:t>
      </w:r>
      <w:r w:rsidR="00745E6D">
        <w:rPr>
          <w:rFonts w:eastAsia="Times New Roman" w:cs="Times New Roman"/>
          <w:i/>
          <w:iCs/>
          <w:color w:val="000000"/>
        </w:rPr>
        <w:t>Clark</w:t>
      </w:r>
      <w:r w:rsidR="00745E6D">
        <w:rPr>
          <w:rFonts w:eastAsia="Times New Roman" w:cs="Times New Roman"/>
          <w:color w:val="000000"/>
        </w:rPr>
        <w:t xml:space="preserve">, </w:t>
      </w:r>
      <w:r w:rsidR="00745E6D">
        <w:rPr>
          <w:rFonts w:eastAsia="Times New Roman" w:cs="Times New Roman"/>
          <w:i/>
          <w:iCs/>
          <w:color w:val="000000"/>
        </w:rPr>
        <w:t>supra</w:t>
      </w:r>
      <w:r w:rsidR="00745E6D">
        <w:rPr>
          <w:rFonts w:eastAsia="Times New Roman" w:cs="Times New Roman"/>
          <w:color w:val="000000"/>
        </w:rPr>
        <w:t xml:space="preserve">, </w:t>
      </w:r>
      <w:r w:rsidR="00D64187">
        <w:rPr>
          <w:rFonts w:eastAsia="Times New Roman" w:cs="Times New Roman"/>
          <w:color w:val="000000"/>
        </w:rPr>
        <w:t>5</w:t>
      </w:r>
      <w:r w:rsidR="005C68A1">
        <w:rPr>
          <w:rFonts w:eastAsia="Times New Roman" w:cs="Times New Roman"/>
          <w:color w:val="000000"/>
        </w:rPr>
        <w:t> </w:t>
      </w:r>
      <w:r w:rsidR="00745E6D">
        <w:rPr>
          <w:rFonts w:eastAsia="Times New Roman" w:cs="Times New Roman"/>
          <w:color w:val="000000"/>
        </w:rPr>
        <w:t>Cal.4th at pp. 79</w:t>
      </w:r>
      <w:r w:rsidR="00781F54">
        <w:rPr>
          <w:rFonts w:eastAsia="Times New Roman" w:cs="Times New Roman"/>
          <w:color w:val="000000"/>
        </w:rPr>
        <w:t>5</w:t>
      </w:r>
      <w:r w:rsidR="00745E6D">
        <w:rPr>
          <w:rFonts w:eastAsia="Times New Roman" w:cs="Times New Roman"/>
          <w:color w:val="000000"/>
        </w:rPr>
        <w:t>–798</w:t>
      </w:r>
      <w:r w:rsidR="006E0A79">
        <w:rPr>
          <w:rFonts w:eastAsia="Times New Roman" w:cs="Times New Roman"/>
          <w:color w:val="000000"/>
        </w:rPr>
        <w:t>,</w:t>
      </w:r>
      <w:r w:rsidR="005F6646">
        <w:rPr>
          <w:rFonts w:eastAsia="Times New Roman" w:cs="Times New Roman"/>
          <w:color w:val="000000"/>
        </w:rPr>
        <w:t xml:space="preserve"> appl</w:t>
      </w:r>
      <w:r w:rsidR="00D179AE">
        <w:rPr>
          <w:rFonts w:eastAsia="Times New Roman" w:cs="Times New Roman"/>
          <w:color w:val="000000"/>
        </w:rPr>
        <w:t>ied</w:t>
      </w:r>
      <w:r w:rsidR="006E0A79">
        <w:rPr>
          <w:rFonts w:eastAsia="Times New Roman" w:cs="Times New Roman"/>
          <w:color w:val="000000"/>
        </w:rPr>
        <w:t xml:space="preserve"> </w:t>
      </w:r>
      <w:r w:rsidR="00DE0934">
        <w:rPr>
          <w:rFonts w:eastAsia="Times New Roman" w:cs="Times New Roman"/>
          <w:color w:val="000000"/>
        </w:rPr>
        <w:t xml:space="preserve">in </w:t>
      </w:r>
      <w:r>
        <w:rPr>
          <w:rFonts w:eastAsia="Times New Roman" w:cs="Times New Roman"/>
          <w:color w:val="000000"/>
        </w:rPr>
        <w:t>four circumstances</w:t>
      </w:r>
      <w:r w:rsidR="00DE0934">
        <w:rPr>
          <w:rFonts w:eastAsia="Times New Roman" w:cs="Times New Roman"/>
          <w:color w:val="000000"/>
        </w:rPr>
        <w:t xml:space="preserve">: </w:t>
      </w:r>
      <w:r>
        <w:rPr>
          <w:rFonts w:eastAsia="Times New Roman" w:cs="Times New Roman"/>
          <w:color w:val="000000"/>
        </w:rPr>
        <w:t>“(1)</w:t>
      </w:r>
      <w:r w:rsidR="005C68A1">
        <w:rPr>
          <w:rFonts w:eastAsia="Times New Roman" w:cs="Times New Roman"/>
          <w:color w:val="000000"/>
        </w:rPr>
        <w:t> </w:t>
      </w:r>
      <w:r>
        <w:rPr>
          <w:rFonts w:eastAsia="Times New Roman" w:cs="Times New Roman"/>
          <w:color w:val="000000"/>
        </w:rPr>
        <w:t>that error of constitutional magnitude led to a trial that was so fundamentally unfair that absent the error no reasonable judge or jury would have convicted the petitioner; (2)</w:t>
      </w:r>
      <w:r w:rsidR="005C68A1">
        <w:rPr>
          <w:rFonts w:eastAsia="Times New Roman" w:cs="Times New Roman"/>
          <w:color w:val="000000"/>
        </w:rPr>
        <w:t> </w:t>
      </w:r>
      <w:r>
        <w:rPr>
          <w:rFonts w:eastAsia="Times New Roman" w:cs="Times New Roman"/>
          <w:color w:val="000000"/>
        </w:rPr>
        <w:t>that the petitioner is actually innocent of the crime or crimes of which the petitioner was convicted; (3)</w:t>
      </w:r>
      <w:r w:rsidR="005C68A1">
        <w:rPr>
          <w:rFonts w:eastAsia="Times New Roman" w:cs="Times New Roman"/>
          <w:color w:val="000000"/>
        </w:rPr>
        <w:t> </w:t>
      </w:r>
      <w:r>
        <w:rPr>
          <w:rFonts w:eastAsia="Times New Roman" w:cs="Times New Roman"/>
          <w:color w:val="000000"/>
        </w:rPr>
        <w:t>that the death penalty was imposed by a sentencing authority which had such a grossly misleading profile of the petitioner before it that absent the trial error or omission no reasonable judge or jury would have imposed a sentence of death; (4)</w:t>
      </w:r>
      <w:r w:rsidR="005C68A1">
        <w:rPr>
          <w:rFonts w:eastAsia="Times New Roman" w:cs="Times New Roman"/>
          <w:color w:val="000000"/>
        </w:rPr>
        <w:t> </w:t>
      </w:r>
      <w:r>
        <w:rPr>
          <w:rFonts w:eastAsia="Times New Roman" w:cs="Times New Roman"/>
          <w:color w:val="000000"/>
        </w:rPr>
        <w:t>that the petitioner was convicted or sentenced under an invalid statute.</w:t>
      </w:r>
      <w:r w:rsidR="001D4E68">
        <w:rPr>
          <w:rFonts w:eastAsia="Times New Roman" w:cs="Times New Roman"/>
          <w:color w:val="000000"/>
        </w:rPr>
        <w:t>”  (</w:t>
      </w:r>
      <w:r w:rsidR="001D4E68">
        <w:rPr>
          <w:rFonts w:eastAsia="Times New Roman" w:cs="Times New Roman"/>
          <w:i/>
          <w:iCs/>
          <w:color w:val="000000"/>
        </w:rPr>
        <w:t>Ibid.</w:t>
      </w:r>
      <w:r w:rsidR="006607D4">
        <w:rPr>
          <w:rFonts w:eastAsia="Times New Roman" w:cs="Times New Roman"/>
          <w:color w:val="000000"/>
        </w:rPr>
        <w:t xml:space="preserve">; see </w:t>
      </w:r>
      <w:r w:rsidR="006607D4">
        <w:rPr>
          <w:rFonts w:eastAsia="Times New Roman" w:cs="Times New Roman"/>
          <w:i/>
          <w:iCs/>
          <w:color w:val="3D3D3D"/>
          <w:bdr w:val="none" w:sz="0" w:space="0" w:color="auto" w:frame="1"/>
        </w:rPr>
        <w:t>Friend I</w:t>
      </w:r>
      <w:r w:rsidR="006607D4">
        <w:rPr>
          <w:rFonts w:eastAsia="Times New Roman" w:cs="Times New Roman"/>
          <w:color w:val="000000"/>
        </w:rPr>
        <w:t xml:space="preserve">, </w:t>
      </w:r>
      <w:r w:rsidR="006607D4">
        <w:rPr>
          <w:rFonts w:eastAsia="Times New Roman" w:cs="Times New Roman"/>
          <w:i/>
          <w:iCs/>
          <w:color w:val="3D3D3D"/>
          <w:bdr w:val="none" w:sz="0" w:space="0" w:color="auto" w:frame="1"/>
        </w:rPr>
        <w:t>supra</w:t>
      </w:r>
      <w:r w:rsidR="006607D4">
        <w:rPr>
          <w:rFonts w:eastAsia="Times New Roman" w:cs="Times New Roman"/>
          <w:color w:val="000000"/>
        </w:rPr>
        <w:t>, 11</w:t>
      </w:r>
      <w:r w:rsidR="005C68A1">
        <w:rPr>
          <w:rFonts w:eastAsia="Times New Roman" w:cs="Times New Roman"/>
          <w:color w:val="000000"/>
        </w:rPr>
        <w:t> </w:t>
      </w:r>
      <w:r w:rsidR="006607D4">
        <w:rPr>
          <w:rFonts w:eastAsia="Times New Roman" w:cs="Times New Roman"/>
          <w:color w:val="000000"/>
        </w:rPr>
        <w:t>Cal.5th at p.</w:t>
      </w:r>
      <w:r w:rsidR="00FC3AEA">
        <w:rPr>
          <w:rFonts w:eastAsia="Times New Roman" w:cs="Times New Roman"/>
          <w:color w:val="000000"/>
        </w:rPr>
        <w:t> </w:t>
      </w:r>
      <w:r w:rsidR="006607D4">
        <w:rPr>
          <w:rFonts w:eastAsia="Times New Roman" w:cs="Times New Roman"/>
          <w:color w:val="000000"/>
        </w:rPr>
        <w:t>728.</w:t>
      </w:r>
      <w:r w:rsidR="001D4E68">
        <w:rPr>
          <w:rFonts w:eastAsia="Times New Roman" w:cs="Times New Roman"/>
          <w:color w:val="000000"/>
        </w:rPr>
        <w:t>)</w:t>
      </w:r>
      <w:r>
        <w:rPr>
          <w:rFonts w:eastAsia="Times New Roman" w:cs="Times New Roman"/>
          <w:color w:val="000000"/>
        </w:rPr>
        <w:t xml:space="preserve"> </w:t>
      </w:r>
      <w:r w:rsidR="00940AB7">
        <w:rPr>
          <w:rFonts w:eastAsia="Times New Roman" w:cs="Times New Roman"/>
          <w:color w:val="000000"/>
        </w:rPr>
        <w:t xml:space="preserve"> </w:t>
      </w:r>
      <w:r w:rsidR="00EE7E5A">
        <w:rPr>
          <w:rFonts w:eastAsia="Times New Roman" w:cs="Times New Roman"/>
          <w:color w:val="000000"/>
        </w:rPr>
        <w:t xml:space="preserve">Under </w:t>
      </w:r>
      <w:r w:rsidRPr="002F079C" w:rsidR="006746CE">
        <w:rPr>
          <w:rFonts w:eastAsia="Times New Roman" w:cs="Times New Roman"/>
          <w:i/>
          <w:iCs/>
          <w:color w:val="000000"/>
        </w:rPr>
        <w:t>Clark</w:t>
      </w:r>
      <w:r w:rsidR="0045282E">
        <w:rPr>
          <w:rFonts w:eastAsia="Times New Roman" w:cs="Times New Roman"/>
          <w:color w:val="000000"/>
        </w:rPr>
        <w:t>, t</w:t>
      </w:r>
      <w:r>
        <w:rPr>
          <w:rFonts w:eastAsia="Times New Roman" w:cs="Times New Roman"/>
          <w:color w:val="000000"/>
        </w:rPr>
        <w:t xml:space="preserve">hese claims </w:t>
      </w:r>
      <w:r w:rsidR="0045282E">
        <w:rPr>
          <w:rFonts w:eastAsia="Times New Roman" w:cs="Times New Roman"/>
          <w:color w:val="000000"/>
        </w:rPr>
        <w:t xml:space="preserve">could </w:t>
      </w:r>
      <w:r>
        <w:rPr>
          <w:rFonts w:eastAsia="Times New Roman" w:cs="Times New Roman"/>
          <w:color w:val="000000"/>
        </w:rPr>
        <w:t xml:space="preserve">be </w:t>
      </w:r>
      <w:r w:rsidR="001D4E68">
        <w:rPr>
          <w:rFonts w:eastAsia="Times New Roman" w:cs="Times New Roman"/>
          <w:color w:val="000000"/>
        </w:rPr>
        <w:t>“</w:t>
      </w:r>
      <w:r>
        <w:rPr>
          <w:rFonts w:eastAsia="Times New Roman" w:cs="Times New Roman"/>
          <w:color w:val="000000"/>
        </w:rPr>
        <w:t>considered on their merits even though presented for the first time in a successive petition or one in which the delay has not been justified.”</w:t>
      </w:r>
      <w:r w:rsidR="002839C3">
        <w:rPr>
          <w:rFonts w:eastAsia="Times New Roman" w:cs="Times New Roman"/>
          <w:color w:val="000000"/>
        </w:rPr>
        <w:t xml:space="preserve">  </w:t>
      </w:r>
      <w:r>
        <w:rPr>
          <w:rFonts w:eastAsia="Times New Roman" w:cs="Times New Roman"/>
          <w:color w:val="000000"/>
        </w:rPr>
        <w:t>(</w:t>
      </w:r>
      <w:r w:rsidR="00BE2F6D">
        <w:rPr>
          <w:rFonts w:eastAsia="Times New Roman" w:cs="Times New Roman"/>
          <w:i/>
          <w:iCs/>
          <w:color w:val="000000"/>
        </w:rPr>
        <w:t>Clark</w:t>
      </w:r>
      <w:r w:rsidR="00BE2F6D">
        <w:rPr>
          <w:rFonts w:eastAsia="Times New Roman" w:cs="Times New Roman"/>
          <w:color w:val="000000"/>
        </w:rPr>
        <w:t>,</w:t>
      </w:r>
      <w:r w:rsidR="006607D4">
        <w:rPr>
          <w:rFonts w:eastAsia="Times New Roman" w:cs="Times New Roman"/>
          <w:i/>
          <w:iCs/>
          <w:color w:val="000000"/>
        </w:rPr>
        <w:t xml:space="preserve"> </w:t>
      </w:r>
      <w:r w:rsidR="006607D4">
        <w:rPr>
          <w:rFonts w:eastAsia="Times New Roman" w:cs="Times New Roman"/>
          <w:color w:val="000000"/>
        </w:rPr>
        <w:t>at p.</w:t>
      </w:r>
      <w:r w:rsidR="00FC3AEA">
        <w:rPr>
          <w:rFonts w:eastAsia="Times New Roman" w:cs="Times New Roman"/>
          <w:color w:val="000000"/>
        </w:rPr>
        <w:t> </w:t>
      </w:r>
      <w:r w:rsidR="006607D4">
        <w:rPr>
          <w:rFonts w:eastAsia="Times New Roman" w:cs="Times New Roman"/>
          <w:color w:val="000000"/>
        </w:rPr>
        <w:t>798</w:t>
      </w:r>
      <w:r w:rsidR="00186E04">
        <w:rPr>
          <w:rFonts w:eastAsia="Times New Roman" w:cs="Times New Roman"/>
          <w:color w:val="000000"/>
        </w:rPr>
        <w:t>.</w:t>
      </w:r>
      <w:r>
        <w:rPr>
          <w:rFonts w:eastAsia="Times New Roman" w:cs="Times New Roman"/>
          <w:color w:val="000000"/>
        </w:rPr>
        <w:t>)</w:t>
      </w:r>
      <w:r w:rsidRPr="0026487F" w:rsidR="002839C3">
        <w:rPr>
          <w:rFonts w:eastAsia="Times New Roman" w:cs="Times New Roman"/>
          <w:color w:val="000000"/>
        </w:rPr>
        <w:t xml:space="preserve"> </w:t>
      </w:r>
      <w:r>
        <w:rPr>
          <w:rFonts w:eastAsia="Times New Roman" w:cs="Times New Roman"/>
          <w:color w:val="000000"/>
        </w:rPr>
        <w:t xml:space="preserve"> </w:t>
      </w:r>
      <w:r w:rsidR="0045282E">
        <w:rPr>
          <w:rFonts w:eastAsia="Times New Roman" w:cs="Times New Roman"/>
          <w:color w:val="000000"/>
        </w:rPr>
        <w:t>But s</w:t>
      </w:r>
      <w:r w:rsidR="00AE4223">
        <w:rPr>
          <w:rFonts w:eastAsia="Times New Roman" w:cs="Times New Roman"/>
          <w:color w:val="000000"/>
        </w:rPr>
        <w:t>ection 1509(d)</w:t>
      </w:r>
      <w:r w:rsidR="00AA1391">
        <w:rPr>
          <w:rFonts w:eastAsia="Times New Roman" w:cs="Times New Roman"/>
          <w:color w:val="000000"/>
        </w:rPr>
        <w:t xml:space="preserve"> deletes the </w:t>
      </w:r>
      <w:r w:rsidR="00641380">
        <w:rPr>
          <w:rFonts w:eastAsia="Times New Roman" w:cs="Times New Roman"/>
          <w:color w:val="000000"/>
        </w:rPr>
        <w:t xml:space="preserve">first and third </w:t>
      </w:r>
      <w:r w:rsidR="00860800">
        <w:rPr>
          <w:rFonts w:eastAsia="Times New Roman" w:cs="Times New Roman"/>
          <w:color w:val="000000"/>
        </w:rPr>
        <w:t>miscarriage of justice circumstances</w:t>
      </w:r>
      <w:r w:rsidR="009B6B32">
        <w:rPr>
          <w:rFonts w:eastAsia="Times New Roman" w:cs="Times New Roman"/>
          <w:color w:val="000000"/>
        </w:rPr>
        <w:t xml:space="preserve"> under the </w:t>
      </w:r>
      <w:r w:rsidRPr="002F079C" w:rsidR="002E727D">
        <w:rPr>
          <w:rFonts w:eastAsia="Times New Roman" w:cs="Times New Roman"/>
          <w:i/>
          <w:iCs/>
          <w:color w:val="000000"/>
        </w:rPr>
        <w:t>Clark</w:t>
      </w:r>
      <w:r w:rsidR="002E727D">
        <w:rPr>
          <w:rFonts w:eastAsia="Times New Roman" w:cs="Times New Roman"/>
          <w:color w:val="000000"/>
        </w:rPr>
        <w:t xml:space="preserve"> </w:t>
      </w:r>
      <w:r w:rsidR="0066654C">
        <w:rPr>
          <w:rFonts w:eastAsia="Times New Roman" w:cs="Times New Roman"/>
          <w:color w:val="000000"/>
        </w:rPr>
        <w:t>test</w:t>
      </w:r>
      <w:r w:rsidR="00860800">
        <w:rPr>
          <w:rFonts w:eastAsia="Times New Roman" w:cs="Times New Roman"/>
          <w:color w:val="000000"/>
        </w:rPr>
        <w:t>.</w:t>
      </w:r>
      <w:r>
        <w:rPr>
          <w:rFonts w:eastAsia="Times New Roman" w:cs="Times New Roman"/>
          <w:color w:val="000000"/>
        </w:rPr>
        <w:t xml:space="preserve"> </w:t>
      </w:r>
    </w:p>
    <w:p w:rsidR="00E30233" w:rsidP="00EC30CA" w14:paraId="01C86DEA" w14:textId="514D4814">
      <w:pPr>
        <w:shd w:val="clear" w:color="auto" w:fill="FFFFFF"/>
        <w:ind w:firstLine="630"/>
        <w:rPr>
          <w:rFonts w:eastAsia="Times New Roman" w:cs="Times New Roman"/>
          <w:color w:val="000000"/>
        </w:rPr>
      </w:pPr>
      <w:r>
        <w:rPr>
          <w:rFonts w:eastAsia="Times New Roman" w:cs="Times New Roman"/>
          <w:color w:val="000000"/>
        </w:rPr>
        <w:t xml:space="preserve">As </w:t>
      </w:r>
      <w:r w:rsidR="0046234F">
        <w:rPr>
          <w:rFonts w:eastAsia="Times New Roman" w:cs="Times New Roman"/>
          <w:color w:val="000000"/>
        </w:rPr>
        <w:t xml:space="preserve">section 1509(d) </w:t>
      </w:r>
      <w:r w:rsidR="00E75A2C">
        <w:rPr>
          <w:rFonts w:eastAsia="Times New Roman" w:cs="Times New Roman"/>
          <w:color w:val="000000"/>
        </w:rPr>
        <w:t xml:space="preserve">was </w:t>
      </w:r>
      <w:r>
        <w:rPr>
          <w:rFonts w:eastAsia="Times New Roman" w:cs="Times New Roman"/>
          <w:color w:val="000000"/>
        </w:rPr>
        <w:t xml:space="preserve">construed and applied in </w:t>
      </w:r>
      <w:r w:rsidRPr="008A428D">
        <w:rPr>
          <w:rFonts w:eastAsia="Times New Roman" w:cs="Times New Roman"/>
          <w:i/>
          <w:iCs/>
          <w:color w:val="000000"/>
        </w:rPr>
        <w:t>Friend I</w:t>
      </w:r>
      <w:r>
        <w:rPr>
          <w:rFonts w:eastAsia="Times New Roman" w:cs="Times New Roman"/>
          <w:color w:val="000000"/>
        </w:rPr>
        <w:t xml:space="preserve">, </w:t>
      </w:r>
      <w:r w:rsidR="0046234F">
        <w:rPr>
          <w:rFonts w:eastAsia="Times New Roman" w:cs="Times New Roman"/>
          <w:color w:val="000000"/>
        </w:rPr>
        <w:t xml:space="preserve">the statute </w:t>
      </w:r>
      <w:r w:rsidRPr="00EC30CA" w:rsidR="00A50ABB">
        <w:rPr>
          <w:rFonts w:eastAsia="Times New Roman" w:cs="Times New Roman"/>
          <w:color w:val="000000"/>
        </w:rPr>
        <w:t>“preserv</w:t>
      </w:r>
      <w:r w:rsidR="00CA6646">
        <w:rPr>
          <w:rFonts w:eastAsia="Times New Roman" w:cs="Times New Roman"/>
          <w:color w:val="000000"/>
        </w:rPr>
        <w:t xml:space="preserve">es </w:t>
      </w:r>
      <w:r w:rsidRPr="00EC30CA" w:rsidR="00A50ABB">
        <w:rPr>
          <w:rFonts w:eastAsia="Times New Roman" w:cs="Times New Roman"/>
          <w:color w:val="000000"/>
        </w:rPr>
        <w:t>the traditional two-step inquiry described in case law, but at the second step</w:t>
      </w:r>
      <w:r w:rsidR="00FB58E9">
        <w:rPr>
          <w:rFonts w:eastAsia="Times New Roman" w:cs="Times New Roman"/>
          <w:color w:val="000000"/>
        </w:rPr>
        <w:t xml:space="preserve"> it</w:t>
      </w:r>
      <w:r w:rsidR="00CA6646">
        <w:rPr>
          <w:rFonts w:eastAsia="Times New Roman" w:cs="Times New Roman"/>
          <w:color w:val="000000"/>
        </w:rPr>
        <w:t xml:space="preserve"> </w:t>
      </w:r>
      <w:r w:rsidRPr="00EC30CA" w:rsidR="00A50ABB">
        <w:rPr>
          <w:rFonts w:eastAsia="Times New Roman" w:cs="Times New Roman"/>
          <w:color w:val="000000"/>
        </w:rPr>
        <w:t>replac</w:t>
      </w:r>
      <w:r w:rsidR="00CA6646">
        <w:rPr>
          <w:rFonts w:eastAsia="Times New Roman" w:cs="Times New Roman"/>
          <w:color w:val="000000"/>
        </w:rPr>
        <w:t xml:space="preserve">es </w:t>
      </w:r>
      <w:r w:rsidRPr="00EC30CA" w:rsidR="00A50ABB">
        <w:rPr>
          <w:rFonts w:eastAsia="Times New Roman" w:cs="Times New Roman"/>
          <w:color w:val="000000"/>
        </w:rPr>
        <w:t>the four-part fundamental miscarriage of justice exception with just two grounds—actual innocence or death ineligibility—that will justify giving a habeas corpus petitioner a second chance to raise a claim</w:t>
      </w:r>
      <w:r w:rsidR="008C2407">
        <w:rPr>
          <w:rFonts w:eastAsia="Times New Roman" w:cs="Times New Roman"/>
          <w:color w:val="000000"/>
        </w:rPr>
        <w:t xml:space="preserve"> . . . </w:t>
      </w:r>
      <w:r w:rsidRPr="00EC30CA" w:rsidR="00A50ABB">
        <w:rPr>
          <w:rFonts w:eastAsia="Times New Roman" w:cs="Times New Roman"/>
          <w:color w:val="000000"/>
        </w:rPr>
        <w:t>unjustifiably omitted from a prior petition.”  (</w:t>
      </w:r>
      <w:r w:rsidRPr="00EC30CA" w:rsidR="008C2407">
        <w:rPr>
          <w:rFonts w:eastAsia="Times New Roman" w:cs="Times New Roman"/>
          <w:i/>
          <w:iCs/>
          <w:color w:val="3D3D3D"/>
          <w:bdr w:val="none" w:sz="0" w:space="0" w:color="auto" w:frame="1"/>
        </w:rPr>
        <w:t>Friend</w:t>
      </w:r>
      <w:r w:rsidR="008C2407">
        <w:rPr>
          <w:rFonts w:eastAsia="Times New Roman" w:cs="Times New Roman"/>
          <w:i/>
          <w:iCs/>
          <w:color w:val="3D3D3D"/>
          <w:bdr w:val="none" w:sz="0" w:space="0" w:color="auto" w:frame="1"/>
        </w:rPr>
        <w:t xml:space="preserve"> I</w:t>
      </w:r>
      <w:r w:rsidRPr="00EC30CA" w:rsidR="008C2407">
        <w:rPr>
          <w:rFonts w:eastAsia="Times New Roman" w:cs="Times New Roman"/>
          <w:color w:val="000000"/>
        </w:rPr>
        <w:t>,</w:t>
      </w:r>
      <w:r w:rsidR="008C2407">
        <w:rPr>
          <w:rFonts w:eastAsia="Times New Roman" w:cs="Times New Roman"/>
          <w:color w:val="000000"/>
        </w:rPr>
        <w:t xml:space="preserve"> </w:t>
      </w:r>
      <w:r w:rsidRPr="00FA6A99" w:rsidR="008C2407">
        <w:rPr>
          <w:rFonts w:eastAsia="Times New Roman" w:cs="Times New Roman"/>
          <w:i/>
          <w:iCs/>
          <w:color w:val="000000"/>
        </w:rPr>
        <w:t>supra</w:t>
      </w:r>
      <w:r w:rsidR="008C2407">
        <w:rPr>
          <w:rFonts w:eastAsia="Times New Roman" w:cs="Times New Roman"/>
          <w:color w:val="000000"/>
        </w:rPr>
        <w:t>, 11</w:t>
      </w:r>
      <w:r w:rsidR="003A2949">
        <w:rPr>
          <w:rFonts w:eastAsia="Times New Roman" w:cs="Times New Roman"/>
          <w:color w:val="000000"/>
        </w:rPr>
        <w:t> </w:t>
      </w:r>
      <w:r w:rsidR="008C2407">
        <w:rPr>
          <w:rFonts w:eastAsia="Times New Roman" w:cs="Times New Roman"/>
          <w:color w:val="000000"/>
        </w:rPr>
        <w:t>Cal.5th</w:t>
      </w:r>
      <w:r w:rsidR="00CA6646">
        <w:rPr>
          <w:rFonts w:eastAsia="Times New Roman" w:cs="Times New Roman"/>
          <w:color w:val="000000"/>
        </w:rPr>
        <w:t xml:space="preserve"> </w:t>
      </w:r>
      <w:r w:rsidRPr="00EC30CA" w:rsidR="00A50ABB">
        <w:rPr>
          <w:rFonts w:eastAsia="Times New Roman" w:cs="Times New Roman"/>
          <w:color w:val="000000"/>
        </w:rPr>
        <w:t>at pp.</w:t>
      </w:r>
      <w:r w:rsidR="003A2949">
        <w:rPr>
          <w:rFonts w:eastAsia="Times New Roman" w:cs="Times New Roman"/>
          <w:color w:val="000000"/>
        </w:rPr>
        <w:t> </w:t>
      </w:r>
      <w:r w:rsidRPr="00EC30CA" w:rsidR="00A50ABB">
        <w:rPr>
          <w:rFonts w:eastAsia="Times New Roman" w:cs="Times New Roman"/>
          <w:color w:val="000000"/>
        </w:rPr>
        <w:t>729, 739–740.)</w:t>
      </w:r>
      <w:r w:rsidR="003337EF">
        <w:rPr>
          <w:rFonts w:eastAsia="Times New Roman" w:cs="Times New Roman"/>
          <w:color w:val="000000"/>
        </w:rPr>
        <w:t xml:space="preserve">  Thus, in the end, the court struck a careful balance.  Applying t</w:t>
      </w:r>
      <w:r w:rsidRPr="00EC30CA" w:rsidR="003337EF">
        <w:rPr>
          <w:rFonts w:eastAsia="Times New Roman" w:cs="Times New Roman"/>
          <w:color w:val="000000"/>
        </w:rPr>
        <w:t>h</w:t>
      </w:r>
      <w:r w:rsidR="00ED12CE">
        <w:rPr>
          <w:rFonts w:eastAsia="Times New Roman" w:cs="Times New Roman"/>
          <w:color w:val="000000"/>
        </w:rPr>
        <w:t>e</w:t>
      </w:r>
      <w:r w:rsidR="003337EF">
        <w:rPr>
          <w:rFonts w:eastAsia="Times New Roman" w:cs="Times New Roman"/>
          <w:color w:val="000000"/>
        </w:rPr>
        <w:t xml:space="preserve"> traditional understanding </w:t>
      </w:r>
      <w:r w:rsidRPr="00EC30CA" w:rsidR="003337EF">
        <w:rPr>
          <w:rFonts w:eastAsia="Times New Roman" w:cs="Times New Roman"/>
          <w:color w:val="000000"/>
        </w:rPr>
        <w:t xml:space="preserve">of </w:t>
      </w:r>
      <w:r w:rsidR="003337EF">
        <w:rPr>
          <w:rFonts w:eastAsia="Times New Roman" w:cs="Times New Roman"/>
          <w:color w:val="000000"/>
        </w:rPr>
        <w:t>the term “</w:t>
      </w:r>
      <w:r w:rsidRPr="00EC30CA" w:rsidR="003337EF">
        <w:rPr>
          <w:rFonts w:eastAsia="Times New Roman" w:cs="Times New Roman"/>
          <w:color w:val="000000"/>
        </w:rPr>
        <w:t>successive</w:t>
      </w:r>
      <w:r w:rsidR="003337EF">
        <w:rPr>
          <w:rFonts w:eastAsia="Times New Roman" w:cs="Times New Roman"/>
          <w:color w:val="000000"/>
        </w:rPr>
        <w:t xml:space="preserve">” to section 1509(d) respects and leaves room for </w:t>
      </w:r>
      <w:r w:rsidRPr="00EC30CA" w:rsidR="003337EF">
        <w:rPr>
          <w:rFonts w:eastAsia="Times New Roman" w:cs="Times New Roman"/>
          <w:color w:val="000000"/>
        </w:rPr>
        <w:t xml:space="preserve">the constitutionally protected right of </w:t>
      </w:r>
      <w:r w:rsidR="003337EF">
        <w:rPr>
          <w:rFonts w:eastAsia="Times New Roman" w:cs="Times New Roman"/>
          <w:color w:val="000000"/>
        </w:rPr>
        <w:t xml:space="preserve">capital </w:t>
      </w:r>
      <w:r w:rsidRPr="00EC30CA" w:rsidR="003337EF">
        <w:rPr>
          <w:rFonts w:eastAsia="Times New Roman" w:cs="Times New Roman"/>
          <w:color w:val="000000"/>
        </w:rPr>
        <w:t>prisoners to seek habeas corpus relief</w:t>
      </w:r>
      <w:r w:rsidR="003337EF">
        <w:rPr>
          <w:rFonts w:eastAsia="Times New Roman" w:cs="Times New Roman"/>
          <w:color w:val="000000"/>
        </w:rPr>
        <w:t xml:space="preserve"> (</w:t>
      </w:r>
      <w:r w:rsidRPr="004A647B" w:rsidR="003337EF">
        <w:rPr>
          <w:rFonts w:eastAsia="Times New Roman" w:cs="Times New Roman"/>
          <w:i/>
          <w:iCs/>
          <w:color w:val="000000"/>
        </w:rPr>
        <w:t>Friend I</w:t>
      </w:r>
      <w:r w:rsidR="003337EF">
        <w:rPr>
          <w:rFonts w:eastAsia="Times New Roman" w:cs="Times New Roman"/>
          <w:color w:val="000000"/>
        </w:rPr>
        <w:t>, at p.</w:t>
      </w:r>
      <w:r w:rsidR="003A2949">
        <w:rPr>
          <w:rFonts w:eastAsia="Times New Roman" w:cs="Times New Roman"/>
          <w:color w:val="000000"/>
        </w:rPr>
        <w:t> </w:t>
      </w:r>
      <w:r w:rsidR="003337EF">
        <w:rPr>
          <w:rFonts w:eastAsia="Times New Roman" w:cs="Times New Roman"/>
          <w:color w:val="000000"/>
        </w:rPr>
        <w:t>736)</w:t>
      </w:r>
      <w:r w:rsidR="001E011A">
        <w:rPr>
          <w:rFonts w:eastAsia="Times New Roman" w:cs="Times New Roman"/>
          <w:color w:val="000000"/>
        </w:rPr>
        <w:t>,</w:t>
      </w:r>
      <w:r>
        <w:rPr>
          <w:rStyle w:val="FootnoteReference"/>
          <w:rFonts w:eastAsia="Times New Roman" w:cs="Times New Roman"/>
          <w:color w:val="000000"/>
        </w:rPr>
        <w:footnoteReference w:id="11"/>
      </w:r>
      <w:r w:rsidR="00ED12CE">
        <w:rPr>
          <w:rFonts w:eastAsia="Times New Roman" w:cs="Times New Roman"/>
          <w:color w:val="000000"/>
        </w:rPr>
        <w:t xml:space="preserve"> but at the same time carries out the voters</w:t>
      </w:r>
      <w:r w:rsidR="006F3D12">
        <w:rPr>
          <w:rFonts w:eastAsia="Times New Roman" w:cs="Times New Roman"/>
          <w:color w:val="000000"/>
        </w:rPr>
        <w:t>’</w:t>
      </w:r>
      <w:r w:rsidR="00ED12CE">
        <w:rPr>
          <w:rFonts w:eastAsia="Times New Roman" w:cs="Times New Roman"/>
          <w:color w:val="000000"/>
        </w:rPr>
        <w:t xml:space="preserve"> intent in seeking to </w:t>
      </w:r>
      <w:r w:rsidR="00612193">
        <w:rPr>
          <w:rFonts w:eastAsia="Times New Roman" w:cs="Times New Roman"/>
          <w:color w:val="000000"/>
        </w:rPr>
        <w:t xml:space="preserve">tighten the </w:t>
      </w:r>
      <w:r w:rsidR="00073033">
        <w:rPr>
          <w:rFonts w:eastAsia="Times New Roman" w:cs="Times New Roman"/>
          <w:color w:val="000000"/>
        </w:rPr>
        <w:t xml:space="preserve">procedural </w:t>
      </w:r>
      <w:r w:rsidR="00612193">
        <w:rPr>
          <w:rFonts w:eastAsia="Times New Roman" w:cs="Times New Roman"/>
          <w:color w:val="000000"/>
        </w:rPr>
        <w:t>standards governing capital habeas litigation.</w:t>
      </w:r>
      <w:r w:rsidR="003337EF">
        <w:rPr>
          <w:rFonts w:eastAsia="Times New Roman" w:cs="Times New Roman"/>
          <w:color w:val="000000"/>
        </w:rPr>
        <w:t xml:space="preserve"> </w:t>
      </w:r>
    </w:p>
    <w:p w:rsidR="00D3403D" w:rsidP="00EC30CA" w14:paraId="7731E131" w14:textId="792DD355">
      <w:pPr>
        <w:shd w:val="clear" w:color="auto" w:fill="FFFFFF"/>
        <w:ind w:firstLine="630"/>
        <w:rPr>
          <w:rFonts w:eastAsia="Times New Roman" w:cs="Times New Roman"/>
          <w:color w:val="000000"/>
        </w:rPr>
      </w:pPr>
      <w:r w:rsidRPr="00EC30CA">
        <w:rPr>
          <w:rFonts w:eastAsia="Times New Roman" w:cs="Times New Roman"/>
          <w:color w:val="000000"/>
        </w:rPr>
        <w:t xml:space="preserve">Summing up its analysis, the </w:t>
      </w:r>
      <w:r w:rsidRPr="00EC30CA">
        <w:rPr>
          <w:rFonts w:eastAsia="Times New Roman" w:cs="Times New Roman"/>
          <w:i/>
          <w:iCs/>
          <w:color w:val="000000"/>
        </w:rPr>
        <w:t>Friend I</w:t>
      </w:r>
      <w:r w:rsidRPr="00EC30CA">
        <w:rPr>
          <w:rFonts w:eastAsia="Times New Roman" w:cs="Times New Roman"/>
          <w:color w:val="000000"/>
        </w:rPr>
        <w:t xml:space="preserve"> court stated, “the voters’ intent in using the term ‘successive’ in section 1509(d) was to build on, rather than fundamentally reconfigure, the concept of ‘successiveness’ as it has developed in the case law.”  (</w:t>
      </w:r>
      <w:r w:rsidRPr="00EC30CA">
        <w:rPr>
          <w:rFonts w:eastAsia="Times New Roman" w:cs="Times New Roman"/>
          <w:i/>
          <w:iCs/>
          <w:color w:val="3D3D3D"/>
          <w:bdr w:val="none" w:sz="0" w:space="0" w:color="auto" w:frame="1"/>
        </w:rPr>
        <w:t>Friend</w:t>
      </w:r>
      <w:r>
        <w:rPr>
          <w:rFonts w:eastAsia="Times New Roman" w:cs="Times New Roman"/>
          <w:i/>
          <w:iCs/>
          <w:color w:val="3D3D3D"/>
          <w:bdr w:val="none" w:sz="0" w:space="0" w:color="auto" w:frame="1"/>
        </w:rPr>
        <w:t xml:space="preserve"> I</w:t>
      </w:r>
      <w:r w:rsidRPr="00EC30CA">
        <w:rPr>
          <w:rFonts w:eastAsia="Times New Roman" w:cs="Times New Roman"/>
          <w:color w:val="000000"/>
        </w:rPr>
        <w:t>,</w:t>
      </w:r>
      <w:r>
        <w:rPr>
          <w:rFonts w:eastAsia="Times New Roman" w:cs="Times New Roman"/>
          <w:color w:val="000000"/>
        </w:rPr>
        <w:t xml:space="preserve"> </w:t>
      </w:r>
      <w:r w:rsidRPr="00FA6A99">
        <w:rPr>
          <w:rFonts w:eastAsia="Times New Roman" w:cs="Times New Roman"/>
          <w:i/>
          <w:iCs/>
          <w:color w:val="000000"/>
        </w:rPr>
        <w:t>supra</w:t>
      </w:r>
      <w:r>
        <w:rPr>
          <w:rFonts w:eastAsia="Times New Roman" w:cs="Times New Roman"/>
          <w:color w:val="000000"/>
        </w:rPr>
        <w:t>, 11</w:t>
      </w:r>
      <w:r w:rsidR="005F1E42">
        <w:rPr>
          <w:rFonts w:eastAsia="Times New Roman" w:cs="Times New Roman"/>
          <w:color w:val="000000"/>
        </w:rPr>
        <w:t> </w:t>
      </w:r>
      <w:r>
        <w:rPr>
          <w:rFonts w:eastAsia="Times New Roman" w:cs="Times New Roman"/>
          <w:color w:val="000000"/>
        </w:rPr>
        <w:t>Cal.5th</w:t>
      </w:r>
      <w:r w:rsidRPr="00EC30CA">
        <w:rPr>
          <w:rFonts w:eastAsia="Times New Roman" w:cs="Times New Roman"/>
          <w:color w:val="000000"/>
        </w:rPr>
        <w:t xml:space="preserve"> at p.</w:t>
      </w:r>
      <w:r w:rsidR="005F1E42">
        <w:rPr>
          <w:rFonts w:eastAsia="Times New Roman" w:cs="Times New Roman"/>
          <w:color w:val="000000"/>
        </w:rPr>
        <w:t> </w:t>
      </w:r>
      <w:r w:rsidRPr="00EC30CA">
        <w:rPr>
          <w:rFonts w:eastAsia="Times New Roman" w:cs="Times New Roman"/>
          <w:color w:val="000000"/>
        </w:rPr>
        <w:t xml:space="preserve">741.)  “Rather than presume the voters intended a sea change in habeas corpus law that would, for the first time, eliminate the established safety valve for claims that could not have reasonably been raised earlier,” the court said, “we instead conclude they determined to tighten the standards courts have developed to deter </w:t>
      </w:r>
      <w:r w:rsidR="00D60C40">
        <w:rPr>
          <w:rFonts w:eastAsia="Times New Roman" w:cs="Times New Roman"/>
          <w:color w:val="000000"/>
        </w:rPr>
        <w:t>abuse</w:t>
      </w:r>
      <w:r w:rsidR="00464695">
        <w:rPr>
          <w:rFonts w:eastAsia="Times New Roman" w:cs="Times New Roman"/>
          <w:color w:val="000000"/>
        </w:rPr>
        <w:t xml:space="preserve"> </w:t>
      </w:r>
      <w:r w:rsidR="00D60C40">
        <w:rPr>
          <w:rFonts w:eastAsia="Times New Roman" w:cs="Times New Roman"/>
          <w:color w:val="000000"/>
        </w:rPr>
        <w:t>of</w:t>
      </w:r>
      <w:r w:rsidR="00464695">
        <w:rPr>
          <w:rFonts w:eastAsia="Times New Roman" w:cs="Times New Roman"/>
          <w:color w:val="000000"/>
        </w:rPr>
        <w:t xml:space="preserve"> </w:t>
      </w:r>
      <w:r w:rsidR="00D60C40">
        <w:rPr>
          <w:rFonts w:eastAsia="Times New Roman" w:cs="Times New Roman"/>
          <w:color w:val="000000"/>
        </w:rPr>
        <w:t>the</w:t>
      </w:r>
      <w:r w:rsidR="00464695">
        <w:rPr>
          <w:rFonts w:eastAsia="Times New Roman" w:cs="Times New Roman"/>
          <w:color w:val="000000"/>
        </w:rPr>
        <w:t xml:space="preserve"> </w:t>
      </w:r>
      <w:r w:rsidR="00D60C40">
        <w:rPr>
          <w:rFonts w:eastAsia="Times New Roman" w:cs="Times New Roman"/>
          <w:color w:val="000000"/>
        </w:rPr>
        <w:t>writ</w:t>
      </w:r>
      <w:r w:rsidRPr="00EC30CA">
        <w:rPr>
          <w:rFonts w:eastAsia="Times New Roman" w:cs="Times New Roman"/>
          <w:color w:val="000000"/>
        </w:rPr>
        <w:t xml:space="preserve"> of habeas corpus by making it harder for capital petitioners to earn a second chance to raise claims they could, and should, have raised earlier.”  (</w:t>
      </w:r>
      <w:r w:rsidRPr="00EC30CA">
        <w:rPr>
          <w:rFonts w:eastAsia="Times New Roman" w:cs="Times New Roman"/>
          <w:i/>
          <w:iCs/>
          <w:color w:val="000000"/>
        </w:rPr>
        <w:t>Ibid</w:t>
      </w:r>
      <w:r w:rsidRPr="00EC30CA">
        <w:rPr>
          <w:rFonts w:eastAsia="Times New Roman" w:cs="Times New Roman"/>
          <w:color w:val="000000"/>
        </w:rPr>
        <w:t>.)</w:t>
      </w:r>
      <w:r>
        <w:rPr>
          <w:rFonts w:eastAsia="Times New Roman" w:cs="Times New Roman"/>
          <w:color w:val="000000"/>
        </w:rPr>
        <w:t xml:space="preserve"> </w:t>
      </w:r>
    </w:p>
    <w:p w:rsidR="00356E4D" w:rsidRPr="00EC30CA" w:rsidP="00EC30CA" w14:paraId="4BD9BDF5" w14:textId="08E2E0BE">
      <w:pPr>
        <w:shd w:val="clear" w:color="auto" w:fill="FFFFFF"/>
        <w:ind w:firstLine="630"/>
        <w:rPr>
          <w:b/>
          <w:bCs/>
        </w:rPr>
      </w:pPr>
      <w:r>
        <w:rPr>
          <w:rFonts w:eastAsia="Times New Roman" w:cs="Times New Roman"/>
          <w:color w:val="000000"/>
        </w:rPr>
        <w:t xml:space="preserve">One last aspect of </w:t>
      </w:r>
      <w:r w:rsidRPr="003D64CD" w:rsidR="003D64CD">
        <w:rPr>
          <w:rFonts w:eastAsia="Times New Roman" w:cs="Times New Roman"/>
          <w:i/>
          <w:iCs/>
          <w:color w:val="000000"/>
        </w:rPr>
        <w:t>Friend I</w:t>
      </w:r>
      <w:r>
        <w:rPr>
          <w:rFonts w:eastAsia="Times New Roman" w:cs="Times New Roman"/>
          <w:color w:val="000000"/>
        </w:rPr>
        <w:t xml:space="preserve"> must be kept in mind</w:t>
      </w:r>
      <w:r w:rsidR="00F476EA">
        <w:rPr>
          <w:rFonts w:eastAsia="Times New Roman" w:cs="Times New Roman"/>
          <w:color w:val="000000"/>
        </w:rPr>
        <w:t>.</w:t>
      </w:r>
      <w:r w:rsidR="003D64CD">
        <w:rPr>
          <w:rFonts w:eastAsia="Times New Roman" w:cs="Times New Roman"/>
          <w:color w:val="000000"/>
        </w:rPr>
        <w:t xml:space="preserve">  </w:t>
      </w:r>
      <w:r w:rsidR="00BE2FE0">
        <w:rPr>
          <w:rFonts w:eastAsia="Times New Roman" w:cs="Times New Roman"/>
          <w:color w:val="000000"/>
        </w:rPr>
        <w:t>In applying th</w:t>
      </w:r>
      <w:r w:rsidR="001A23E6">
        <w:rPr>
          <w:rFonts w:eastAsia="Times New Roman" w:cs="Times New Roman"/>
          <w:color w:val="000000"/>
        </w:rPr>
        <w:t>e</w:t>
      </w:r>
      <w:r w:rsidR="00BE2FE0">
        <w:rPr>
          <w:rFonts w:eastAsia="Times New Roman" w:cs="Times New Roman"/>
          <w:color w:val="000000"/>
        </w:rPr>
        <w:t xml:space="preserve"> nuanced </w:t>
      </w:r>
      <w:r w:rsidR="00E55D4A">
        <w:rPr>
          <w:rFonts w:eastAsia="Times New Roman" w:cs="Times New Roman"/>
          <w:color w:val="000000"/>
        </w:rPr>
        <w:t>reading of</w:t>
      </w:r>
      <w:r w:rsidR="00D3403D">
        <w:rPr>
          <w:rFonts w:eastAsia="Times New Roman" w:cs="Times New Roman"/>
          <w:color w:val="000000"/>
        </w:rPr>
        <w:t xml:space="preserve"> the statutory term</w:t>
      </w:r>
      <w:r w:rsidR="00E55D4A">
        <w:rPr>
          <w:rFonts w:eastAsia="Times New Roman" w:cs="Times New Roman"/>
          <w:color w:val="000000"/>
        </w:rPr>
        <w:t xml:space="preserve"> “successive” </w:t>
      </w:r>
      <w:r w:rsidR="001A23E6">
        <w:rPr>
          <w:rFonts w:eastAsia="Times New Roman" w:cs="Times New Roman"/>
          <w:color w:val="000000"/>
        </w:rPr>
        <w:t xml:space="preserve">adopted </w:t>
      </w:r>
      <w:r w:rsidR="003D64CD">
        <w:rPr>
          <w:rFonts w:eastAsia="Times New Roman" w:cs="Times New Roman"/>
          <w:color w:val="000000"/>
        </w:rPr>
        <w:t xml:space="preserve">in that case, </w:t>
      </w:r>
      <w:r w:rsidR="00E55D4A">
        <w:rPr>
          <w:rFonts w:eastAsia="Times New Roman" w:cs="Times New Roman"/>
          <w:color w:val="000000"/>
        </w:rPr>
        <w:t xml:space="preserve">it is important to </w:t>
      </w:r>
      <w:r w:rsidR="00EE495A">
        <w:rPr>
          <w:rFonts w:eastAsia="Times New Roman" w:cs="Times New Roman"/>
          <w:color w:val="000000"/>
        </w:rPr>
        <w:t xml:space="preserve">underscore that the </w:t>
      </w:r>
      <w:r w:rsidR="005B6EAA">
        <w:rPr>
          <w:rFonts w:eastAsia="Times New Roman" w:cs="Times New Roman"/>
          <w:color w:val="000000"/>
        </w:rPr>
        <w:t xml:space="preserve">decision in </w:t>
      </w:r>
      <w:r w:rsidRPr="003D64CD" w:rsidR="009E58FD">
        <w:rPr>
          <w:rFonts w:eastAsia="Times New Roman" w:cs="Times New Roman"/>
          <w:i/>
          <w:iCs/>
          <w:color w:val="000000"/>
        </w:rPr>
        <w:t>Friend I</w:t>
      </w:r>
      <w:r w:rsidR="009E58FD">
        <w:rPr>
          <w:rFonts w:eastAsia="Times New Roman" w:cs="Times New Roman"/>
          <w:color w:val="000000"/>
        </w:rPr>
        <w:t xml:space="preserve"> </w:t>
      </w:r>
      <w:r w:rsidR="00053F9A">
        <w:rPr>
          <w:rFonts w:eastAsia="Times New Roman" w:cs="Times New Roman"/>
          <w:color w:val="000000"/>
        </w:rPr>
        <w:t>was</w:t>
      </w:r>
      <w:r w:rsidR="009018D6">
        <w:rPr>
          <w:rFonts w:eastAsia="Times New Roman" w:cs="Times New Roman"/>
          <w:color w:val="000000"/>
        </w:rPr>
        <w:t xml:space="preserve"> </w:t>
      </w:r>
      <w:r w:rsidR="007F5BA2">
        <w:rPr>
          <w:rFonts w:eastAsia="Times New Roman" w:cs="Times New Roman"/>
          <w:color w:val="000000"/>
        </w:rPr>
        <w:t>statutory</w:t>
      </w:r>
      <w:r w:rsidR="00D265B6">
        <w:rPr>
          <w:rFonts w:eastAsia="Times New Roman" w:cs="Times New Roman"/>
          <w:color w:val="000000"/>
        </w:rPr>
        <w:t xml:space="preserve"> in nature. </w:t>
      </w:r>
      <w:r w:rsidR="00066D96">
        <w:rPr>
          <w:rFonts w:eastAsia="Times New Roman" w:cs="Times New Roman"/>
          <w:color w:val="000000"/>
        </w:rPr>
        <w:t xml:space="preserve"> </w:t>
      </w:r>
      <w:r w:rsidR="002B0EA3">
        <w:rPr>
          <w:rFonts w:eastAsia="Times New Roman" w:cs="Times New Roman"/>
          <w:color w:val="000000"/>
        </w:rPr>
        <w:t xml:space="preserve">Although the </w:t>
      </w:r>
      <w:r w:rsidR="005A17B0">
        <w:rPr>
          <w:rFonts w:eastAsia="Times New Roman" w:cs="Times New Roman"/>
          <w:color w:val="000000"/>
        </w:rPr>
        <w:t xml:space="preserve">doctrine of </w:t>
      </w:r>
      <w:r w:rsidR="00754D86">
        <w:rPr>
          <w:rFonts w:eastAsia="Times New Roman" w:cs="Times New Roman"/>
          <w:color w:val="000000"/>
        </w:rPr>
        <w:t xml:space="preserve">avoiding decision on constitutional questions </w:t>
      </w:r>
      <w:r w:rsidR="00064C3E">
        <w:rPr>
          <w:rFonts w:eastAsia="Times New Roman" w:cs="Times New Roman"/>
          <w:color w:val="000000"/>
        </w:rPr>
        <w:t xml:space="preserve">played a major role in the </w:t>
      </w:r>
      <w:r w:rsidR="001F4CBA">
        <w:rPr>
          <w:rFonts w:eastAsia="Times New Roman" w:cs="Times New Roman"/>
          <w:color w:val="000000"/>
        </w:rPr>
        <w:t>Supreme C</w:t>
      </w:r>
      <w:r w:rsidR="00064C3E">
        <w:rPr>
          <w:rFonts w:eastAsia="Times New Roman" w:cs="Times New Roman"/>
          <w:color w:val="000000"/>
        </w:rPr>
        <w:t xml:space="preserve">ourt’s </w:t>
      </w:r>
      <w:r w:rsidR="006A4ACC">
        <w:rPr>
          <w:rFonts w:eastAsia="Times New Roman" w:cs="Times New Roman"/>
          <w:color w:val="000000"/>
        </w:rPr>
        <w:t xml:space="preserve">approach to </w:t>
      </w:r>
      <w:r w:rsidR="00064C3E">
        <w:rPr>
          <w:rFonts w:eastAsia="Times New Roman" w:cs="Times New Roman"/>
          <w:color w:val="000000"/>
        </w:rPr>
        <w:t>statutory constr</w:t>
      </w:r>
      <w:r w:rsidR="008854D3">
        <w:rPr>
          <w:rFonts w:eastAsia="Times New Roman" w:cs="Times New Roman"/>
          <w:color w:val="000000"/>
        </w:rPr>
        <w:t>uction</w:t>
      </w:r>
      <w:r w:rsidR="006A4ACC">
        <w:rPr>
          <w:rFonts w:eastAsia="Times New Roman" w:cs="Times New Roman"/>
          <w:color w:val="000000"/>
        </w:rPr>
        <w:t xml:space="preserve">, </w:t>
      </w:r>
      <w:r w:rsidR="0015198F">
        <w:rPr>
          <w:rFonts w:eastAsia="Times New Roman" w:cs="Times New Roman"/>
          <w:color w:val="000000"/>
        </w:rPr>
        <w:t xml:space="preserve">the court emphasized </w:t>
      </w:r>
      <w:r w:rsidR="006A4ACC">
        <w:rPr>
          <w:rFonts w:eastAsia="Times New Roman" w:cs="Times New Roman"/>
          <w:color w:val="000000"/>
        </w:rPr>
        <w:t xml:space="preserve">it </w:t>
      </w:r>
      <w:r w:rsidR="002E0CFA">
        <w:rPr>
          <w:rFonts w:eastAsia="Times New Roman" w:cs="Times New Roman"/>
          <w:color w:val="000000"/>
        </w:rPr>
        <w:t>was</w:t>
      </w:r>
      <w:r w:rsidR="00DD7AB4">
        <w:rPr>
          <w:rFonts w:eastAsia="Times New Roman" w:cs="Times New Roman"/>
          <w:color w:val="000000"/>
        </w:rPr>
        <w:t xml:space="preserve"> not “definitively resolv[ing]</w:t>
      </w:r>
      <w:r w:rsidR="000D2D4C">
        <w:rPr>
          <w:rFonts w:eastAsia="Times New Roman" w:cs="Times New Roman"/>
          <w:color w:val="000000"/>
        </w:rPr>
        <w:t xml:space="preserve">” </w:t>
      </w:r>
      <w:r w:rsidR="00F33F56">
        <w:rPr>
          <w:rFonts w:eastAsia="Times New Roman" w:cs="Times New Roman"/>
          <w:color w:val="000000"/>
        </w:rPr>
        <w:t>the constitution</w:t>
      </w:r>
      <w:r w:rsidR="001D3F14">
        <w:rPr>
          <w:rFonts w:eastAsia="Times New Roman" w:cs="Times New Roman"/>
          <w:color w:val="000000"/>
        </w:rPr>
        <w:t>al</w:t>
      </w:r>
      <w:r w:rsidR="00F33F56">
        <w:rPr>
          <w:rFonts w:eastAsia="Times New Roman" w:cs="Times New Roman"/>
          <w:color w:val="000000"/>
        </w:rPr>
        <w:t xml:space="preserve"> questions </w:t>
      </w:r>
      <w:r w:rsidR="000F3ED1">
        <w:rPr>
          <w:rFonts w:eastAsia="Times New Roman" w:cs="Times New Roman"/>
          <w:color w:val="000000"/>
        </w:rPr>
        <w:t xml:space="preserve">raised by </w:t>
      </w:r>
      <w:r w:rsidR="00BC4A7A">
        <w:rPr>
          <w:rFonts w:eastAsia="Times New Roman" w:cs="Times New Roman"/>
          <w:color w:val="000000"/>
        </w:rPr>
        <w:t xml:space="preserve">foreclosing all but </w:t>
      </w:r>
      <w:r w:rsidR="00DC7F33">
        <w:rPr>
          <w:rFonts w:eastAsia="Times New Roman" w:cs="Times New Roman"/>
          <w:color w:val="000000"/>
        </w:rPr>
        <w:t xml:space="preserve">the first attempt at obtaining </w:t>
      </w:r>
      <w:r w:rsidR="004C6EE2">
        <w:rPr>
          <w:rFonts w:eastAsia="Times New Roman" w:cs="Times New Roman"/>
          <w:color w:val="000000"/>
        </w:rPr>
        <w:t>collateral review</w:t>
      </w:r>
      <w:r w:rsidR="0049679C">
        <w:rPr>
          <w:rFonts w:eastAsia="Times New Roman" w:cs="Times New Roman"/>
          <w:color w:val="000000"/>
        </w:rPr>
        <w:t>,</w:t>
      </w:r>
      <w:r w:rsidR="004C6EE2">
        <w:rPr>
          <w:rFonts w:eastAsia="Times New Roman" w:cs="Times New Roman"/>
          <w:color w:val="000000"/>
        </w:rPr>
        <w:t xml:space="preserve"> </w:t>
      </w:r>
      <w:r w:rsidR="00330311">
        <w:rPr>
          <w:rFonts w:eastAsia="Times New Roman" w:cs="Times New Roman"/>
          <w:color w:val="000000"/>
        </w:rPr>
        <w:t>except</w:t>
      </w:r>
      <w:r w:rsidR="0049679C">
        <w:rPr>
          <w:rFonts w:eastAsia="Times New Roman" w:cs="Times New Roman"/>
          <w:color w:val="000000"/>
        </w:rPr>
        <w:t xml:space="preserve">ing only </w:t>
      </w:r>
      <w:r w:rsidR="00330311">
        <w:rPr>
          <w:rFonts w:eastAsia="Times New Roman" w:cs="Times New Roman"/>
          <w:color w:val="000000"/>
        </w:rPr>
        <w:t>cases of actual innocence o</w:t>
      </w:r>
      <w:r w:rsidR="001D3F14">
        <w:rPr>
          <w:rFonts w:eastAsia="Times New Roman" w:cs="Times New Roman"/>
          <w:color w:val="000000"/>
        </w:rPr>
        <w:t>r</w:t>
      </w:r>
      <w:r w:rsidR="004855A0">
        <w:rPr>
          <w:rFonts w:eastAsia="Times New Roman" w:cs="Times New Roman"/>
          <w:color w:val="000000"/>
        </w:rPr>
        <w:t xml:space="preserve"> ineligi</w:t>
      </w:r>
      <w:r w:rsidR="00081572">
        <w:rPr>
          <w:rFonts w:eastAsia="Times New Roman" w:cs="Times New Roman"/>
          <w:color w:val="000000"/>
        </w:rPr>
        <w:t>bility for capital punishment.</w:t>
      </w:r>
      <w:r w:rsidR="000B48A2">
        <w:rPr>
          <w:rFonts w:eastAsia="Times New Roman" w:cs="Times New Roman"/>
          <w:color w:val="000000"/>
        </w:rPr>
        <w:t xml:space="preserve"> </w:t>
      </w:r>
      <w:r w:rsidR="00D12654">
        <w:rPr>
          <w:rFonts w:eastAsia="Times New Roman" w:cs="Times New Roman"/>
          <w:color w:val="000000"/>
        </w:rPr>
        <w:t xml:space="preserve"> </w:t>
      </w:r>
      <w:r w:rsidR="000B48A2">
        <w:rPr>
          <w:rFonts w:eastAsia="Times New Roman" w:cs="Times New Roman"/>
          <w:color w:val="000000"/>
        </w:rPr>
        <w:t>(</w:t>
      </w:r>
      <w:r w:rsidR="000B48A2">
        <w:rPr>
          <w:rFonts w:eastAsia="Times New Roman" w:cs="Times New Roman"/>
          <w:i/>
          <w:iCs/>
          <w:color w:val="3D3D3D"/>
          <w:bdr w:val="none" w:sz="0" w:space="0" w:color="auto" w:frame="1"/>
        </w:rPr>
        <w:t>Friend I</w:t>
      </w:r>
      <w:r w:rsidRPr="00EC30CA" w:rsidR="000B48A2">
        <w:rPr>
          <w:rFonts w:eastAsia="Times New Roman" w:cs="Times New Roman"/>
          <w:color w:val="000000"/>
        </w:rPr>
        <w:t>,</w:t>
      </w:r>
      <w:r w:rsidR="000B48A2">
        <w:rPr>
          <w:rFonts w:eastAsia="Times New Roman" w:cs="Times New Roman"/>
          <w:color w:val="000000"/>
        </w:rPr>
        <w:t xml:space="preserve"> </w:t>
      </w:r>
      <w:r w:rsidRPr="00FA6A99" w:rsidR="000B48A2">
        <w:rPr>
          <w:rFonts w:eastAsia="Times New Roman" w:cs="Times New Roman"/>
          <w:i/>
          <w:iCs/>
          <w:color w:val="000000"/>
        </w:rPr>
        <w:t>supra</w:t>
      </w:r>
      <w:r w:rsidR="000B48A2">
        <w:rPr>
          <w:rFonts w:eastAsia="Times New Roman" w:cs="Times New Roman"/>
          <w:color w:val="000000"/>
        </w:rPr>
        <w:t>, 11</w:t>
      </w:r>
      <w:r w:rsidR="0071153B">
        <w:rPr>
          <w:rFonts w:eastAsia="Times New Roman" w:cs="Times New Roman"/>
          <w:color w:val="000000"/>
        </w:rPr>
        <w:t> </w:t>
      </w:r>
      <w:r w:rsidR="000B48A2">
        <w:rPr>
          <w:rFonts w:eastAsia="Times New Roman" w:cs="Times New Roman"/>
          <w:color w:val="000000"/>
        </w:rPr>
        <w:t>Cal.5th at p.</w:t>
      </w:r>
      <w:r w:rsidR="0071153B">
        <w:rPr>
          <w:rFonts w:eastAsia="Times New Roman" w:cs="Times New Roman"/>
          <w:color w:val="000000"/>
        </w:rPr>
        <w:t> </w:t>
      </w:r>
      <w:r w:rsidR="000B48A2">
        <w:rPr>
          <w:rFonts w:eastAsia="Times New Roman" w:cs="Times New Roman"/>
          <w:color w:val="000000"/>
        </w:rPr>
        <w:t>7</w:t>
      </w:r>
      <w:r w:rsidR="00237A0D">
        <w:rPr>
          <w:rFonts w:eastAsia="Times New Roman" w:cs="Times New Roman"/>
          <w:color w:val="000000"/>
        </w:rPr>
        <w:t>36</w:t>
      </w:r>
      <w:r w:rsidR="000B48A2">
        <w:rPr>
          <w:rFonts w:eastAsia="Times New Roman" w:cs="Times New Roman"/>
          <w:color w:val="000000"/>
        </w:rPr>
        <w:t xml:space="preserve">.) </w:t>
      </w:r>
      <w:r w:rsidR="00081572">
        <w:rPr>
          <w:rFonts w:eastAsia="Times New Roman" w:cs="Times New Roman"/>
          <w:color w:val="000000"/>
        </w:rPr>
        <w:t xml:space="preserve"> </w:t>
      </w:r>
      <w:r w:rsidR="009D09F9">
        <w:rPr>
          <w:rFonts w:eastAsia="Times New Roman" w:cs="Times New Roman"/>
          <w:color w:val="000000"/>
        </w:rPr>
        <w:t>Most pertinently for this case, as we explain below</w:t>
      </w:r>
      <w:r w:rsidR="00533F57">
        <w:rPr>
          <w:rFonts w:eastAsia="Times New Roman" w:cs="Times New Roman"/>
          <w:color w:val="000000"/>
        </w:rPr>
        <w:t xml:space="preserve">, </w:t>
      </w:r>
      <w:r w:rsidR="00F47CEB">
        <w:rPr>
          <w:rFonts w:eastAsia="Times New Roman" w:cs="Times New Roman"/>
          <w:color w:val="000000"/>
        </w:rPr>
        <w:t xml:space="preserve">the </w:t>
      </w:r>
      <w:r w:rsidR="00066D96">
        <w:rPr>
          <w:rFonts w:eastAsia="Times New Roman" w:cs="Times New Roman"/>
          <w:color w:val="000000"/>
        </w:rPr>
        <w:t xml:space="preserve">court </w:t>
      </w:r>
      <w:r w:rsidR="002D059A">
        <w:rPr>
          <w:rFonts w:eastAsia="Times New Roman" w:cs="Times New Roman"/>
          <w:color w:val="000000"/>
        </w:rPr>
        <w:t xml:space="preserve">also </w:t>
      </w:r>
      <w:r w:rsidR="00066D96">
        <w:rPr>
          <w:rFonts w:eastAsia="Times New Roman" w:cs="Times New Roman"/>
          <w:color w:val="000000"/>
        </w:rPr>
        <w:t xml:space="preserve">took care to note that </w:t>
      </w:r>
      <w:r w:rsidR="00DC2CDF">
        <w:rPr>
          <w:rFonts w:eastAsia="Times New Roman" w:cs="Times New Roman"/>
          <w:color w:val="000000"/>
        </w:rPr>
        <w:t xml:space="preserve">it was not addressing </w:t>
      </w:r>
      <w:r w:rsidR="00A726EC">
        <w:rPr>
          <w:rFonts w:eastAsia="Times New Roman" w:cs="Times New Roman"/>
          <w:color w:val="000000"/>
        </w:rPr>
        <w:t>an</w:t>
      </w:r>
      <w:r w:rsidR="005A1E01">
        <w:rPr>
          <w:rFonts w:eastAsia="Times New Roman" w:cs="Times New Roman"/>
          <w:color w:val="000000"/>
        </w:rPr>
        <w:t>y</w:t>
      </w:r>
      <w:r w:rsidR="00A726EC">
        <w:rPr>
          <w:rFonts w:eastAsia="Times New Roman" w:cs="Times New Roman"/>
          <w:color w:val="000000"/>
        </w:rPr>
        <w:t xml:space="preserve"> constitutional questions raised by </w:t>
      </w:r>
      <w:r w:rsidR="00DC2CDF">
        <w:rPr>
          <w:rFonts w:eastAsia="Times New Roman" w:cs="Times New Roman"/>
          <w:color w:val="000000"/>
        </w:rPr>
        <w:t>that narrowing</w:t>
      </w:r>
      <w:r w:rsidR="00FA584B">
        <w:rPr>
          <w:rFonts w:eastAsia="Times New Roman" w:cs="Times New Roman"/>
          <w:color w:val="000000"/>
        </w:rPr>
        <w:t xml:space="preserve"> of </w:t>
      </w:r>
      <w:r w:rsidRPr="00A726EC" w:rsidR="00FA584B">
        <w:rPr>
          <w:rFonts w:eastAsia="Times New Roman" w:cs="Times New Roman"/>
          <w:i/>
          <w:iCs/>
          <w:color w:val="000000"/>
        </w:rPr>
        <w:t>Clark</w:t>
      </w:r>
      <w:r w:rsidR="00FA584B">
        <w:rPr>
          <w:rFonts w:eastAsia="Times New Roman" w:cs="Times New Roman"/>
          <w:color w:val="000000"/>
        </w:rPr>
        <w:t xml:space="preserve">’s backstop </w:t>
      </w:r>
      <w:r w:rsidR="00A726EC">
        <w:rPr>
          <w:rFonts w:eastAsia="Times New Roman" w:cs="Times New Roman"/>
          <w:color w:val="000000"/>
        </w:rPr>
        <w:t xml:space="preserve">miscarriage of justice </w:t>
      </w:r>
      <w:r w:rsidR="00FA584B">
        <w:rPr>
          <w:rFonts w:eastAsia="Times New Roman" w:cs="Times New Roman"/>
          <w:color w:val="000000"/>
        </w:rPr>
        <w:t>exception, as applied</w:t>
      </w:r>
      <w:r w:rsidR="00A726EC">
        <w:rPr>
          <w:rFonts w:eastAsia="Times New Roman" w:cs="Times New Roman"/>
          <w:color w:val="000000"/>
        </w:rPr>
        <w:t xml:space="preserve"> in future cases.</w:t>
      </w:r>
      <w:r w:rsidR="00CA6646">
        <w:rPr>
          <w:rFonts w:eastAsia="Times New Roman" w:cs="Times New Roman"/>
          <w:color w:val="000000"/>
        </w:rPr>
        <w:t xml:space="preserve"> </w:t>
      </w:r>
      <w:r w:rsidR="00A55E48">
        <w:rPr>
          <w:rFonts w:eastAsia="Times New Roman" w:cs="Times New Roman"/>
          <w:color w:val="000000"/>
        </w:rPr>
        <w:t xml:space="preserve"> </w:t>
      </w:r>
      <w:r w:rsidR="00CA6646">
        <w:rPr>
          <w:rFonts w:eastAsia="Times New Roman" w:cs="Times New Roman"/>
          <w:color w:val="000000"/>
        </w:rPr>
        <w:t>(</w:t>
      </w:r>
      <w:r w:rsidRPr="002F079C" w:rsidR="000B48A2">
        <w:rPr>
          <w:rFonts w:eastAsia="Times New Roman" w:cs="Times New Roman"/>
          <w:i/>
          <w:iCs/>
          <w:color w:val="000000"/>
        </w:rPr>
        <w:t>Id.</w:t>
      </w:r>
      <w:r w:rsidR="000B48A2">
        <w:rPr>
          <w:rFonts w:eastAsia="Times New Roman" w:cs="Times New Roman"/>
          <w:color w:val="000000"/>
        </w:rPr>
        <w:t xml:space="preserve"> </w:t>
      </w:r>
      <w:r w:rsidR="00A55E48">
        <w:rPr>
          <w:rFonts w:eastAsia="Times New Roman" w:cs="Times New Roman"/>
          <w:color w:val="000000"/>
        </w:rPr>
        <w:t>at p.</w:t>
      </w:r>
      <w:r w:rsidR="00DB45C0">
        <w:rPr>
          <w:rFonts w:eastAsia="Times New Roman" w:cs="Times New Roman"/>
          <w:color w:val="000000"/>
        </w:rPr>
        <w:t> </w:t>
      </w:r>
      <w:r w:rsidR="00A55E48">
        <w:rPr>
          <w:rFonts w:eastAsia="Times New Roman" w:cs="Times New Roman"/>
          <w:color w:val="000000"/>
        </w:rPr>
        <w:t>740</w:t>
      </w:r>
      <w:r w:rsidR="00C41A06">
        <w:rPr>
          <w:rFonts w:eastAsia="Times New Roman" w:cs="Times New Roman"/>
          <w:color w:val="000000"/>
        </w:rPr>
        <w:t>,</w:t>
      </w:r>
      <w:r w:rsidR="00A55E48">
        <w:rPr>
          <w:rFonts w:eastAsia="Times New Roman" w:cs="Times New Roman"/>
          <w:color w:val="000000"/>
        </w:rPr>
        <w:t xml:space="preserve"> fn.</w:t>
      </w:r>
      <w:r w:rsidR="00DB45C0">
        <w:rPr>
          <w:rFonts w:eastAsia="Times New Roman" w:cs="Times New Roman"/>
          <w:color w:val="000000"/>
        </w:rPr>
        <w:t> </w:t>
      </w:r>
      <w:r w:rsidR="00A55E48">
        <w:rPr>
          <w:rFonts w:eastAsia="Times New Roman" w:cs="Times New Roman"/>
          <w:color w:val="000000"/>
        </w:rPr>
        <w:t>14 [</w:t>
      </w:r>
      <w:r w:rsidR="00CB0DB4">
        <w:rPr>
          <w:rFonts w:eastAsia="Times New Roman" w:cs="Times New Roman"/>
          <w:color w:val="000000"/>
        </w:rPr>
        <w:t>“</w:t>
      </w:r>
      <w:r w:rsidR="00A55E48">
        <w:rPr>
          <w:rFonts w:eastAsia="Times New Roman" w:cs="Times New Roman"/>
          <w:color w:val="000000"/>
        </w:rPr>
        <w:t>[n]o issue regarding the constitutionality of this change is raised here</w:t>
      </w:r>
      <w:r w:rsidR="002A6655">
        <w:rPr>
          <w:rFonts w:eastAsia="Times New Roman" w:cs="Times New Roman"/>
          <w:color w:val="000000"/>
        </w:rPr>
        <w:t xml:space="preserve"> . . . </w:t>
      </w:r>
      <w:r w:rsidR="00A55E48">
        <w:rPr>
          <w:rFonts w:eastAsia="Times New Roman" w:cs="Times New Roman"/>
          <w:color w:val="000000"/>
        </w:rPr>
        <w:t>and we express no opinion on the matter</w:t>
      </w:r>
      <w:r w:rsidR="00580DD8">
        <w:rPr>
          <w:rFonts w:eastAsia="Times New Roman" w:cs="Times New Roman"/>
          <w:color w:val="000000"/>
        </w:rPr>
        <w:t>”</w:t>
      </w:r>
      <w:r w:rsidR="00A55E48">
        <w:rPr>
          <w:rFonts w:eastAsia="Times New Roman" w:cs="Times New Roman"/>
          <w:color w:val="000000"/>
        </w:rPr>
        <w:t>].)</w:t>
      </w:r>
      <w:r>
        <w:rPr>
          <w:rStyle w:val="FootnoteReference"/>
          <w:rFonts w:eastAsia="Times New Roman" w:cs="Times New Roman"/>
          <w:color w:val="000000"/>
        </w:rPr>
        <w:footnoteReference w:id="12"/>
      </w:r>
      <w:r w:rsidR="0090491A">
        <w:rPr>
          <w:rFonts w:eastAsia="Times New Roman" w:cs="Times New Roman"/>
          <w:color w:val="000000"/>
        </w:rPr>
        <w:t xml:space="preserve">  </w:t>
      </w:r>
    </w:p>
    <w:p w:rsidR="0041645F" w:rsidP="00DB5AA8" w14:paraId="76E2D07C" w14:textId="321F0C1F">
      <w:pPr>
        <w:pStyle w:val="Heading2"/>
      </w:pPr>
      <w:r>
        <w:t>Ineffective Assistance of Counsel</w:t>
      </w:r>
      <w:r w:rsidR="00101AA7">
        <w:t xml:space="preserve"> </w:t>
      </w:r>
      <w:r w:rsidR="00751BFD">
        <w:t>a</w:t>
      </w:r>
      <w:r w:rsidR="00101AA7">
        <w:t xml:space="preserve">s </w:t>
      </w:r>
      <w:r w:rsidR="00751BFD">
        <w:t>a</w:t>
      </w:r>
      <w:r w:rsidR="00101AA7">
        <w:t xml:space="preserve"> Justification for Failure </w:t>
      </w:r>
      <w:r w:rsidR="00751BFD">
        <w:t>T</w:t>
      </w:r>
      <w:r w:rsidR="00101AA7">
        <w:t>o Assert the Un</w:t>
      </w:r>
      <w:r w:rsidR="00074F2A">
        <w:t>e</w:t>
      </w:r>
      <w:r w:rsidR="00101AA7">
        <w:t xml:space="preserve">xhausted </w:t>
      </w:r>
      <w:r w:rsidR="00074F2A">
        <w:t>Claims In the Initial Petition</w:t>
      </w:r>
      <w:r w:rsidR="00101AA7">
        <w:t xml:space="preserve"> </w:t>
      </w:r>
    </w:p>
    <w:p w:rsidR="0041645F" w:rsidP="0041645F" w14:paraId="2019882C" w14:textId="26290444">
      <w:pPr>
        <w:shd w:val="clear" w:color="auto" w:fill="FFFFFF"/>
        <w:rPr>
          <w:rFonts w:eastAsia="Times New Roman" w:cs="Times New Roman"/>
          <w:color w:val="000000"/>
        </w:rPr>
      </w:pPr>
      <w:r>
        <w:rPr>
          <w:rFonts w:eastAsia="Times New Roman" w:cs="Times New Roman"/>
          <w:color w:val="000000"/>
        </w:rPr>
        <w:t xml:space="preserve">Seumanu makes no contention that the factual bases of his nine unexhausted claims were unknown to him in 2012 or that some retroactive change in the law justifies his omission of those claims from the Initial Petition.  Rather, </w:t>
      </w:r>
      <w:r w:rsidR="00C56BF7">
        <w:rPr>
          <w:rFonts w:eastAsia="Times New Roman" w:cs="Times New Roman"/>
          <w:color w:val="000000"/>
        </w:rPr>
        <w:t xml:space="preserve">under the third prong of </w:t>
      </w:r>
      <w:r w:rsidRPr="008903A3" w:rsidR="00C56BF7">
        <w:rPr>
          <w:rFonts w:eastAsia="Times New Roman" w:cs="Times New Roman"/>
          <w:i/>
          <w:iCs/>
          <w:color w:val="000000"/>
        </w:rPr>
        <w:t>Friend I’</w:t>
      </w:r>
      <w:r w:rsidR="00C56BF7">
        <w:rPr>
          <w:rFonts w:eastAsia="Times New Roman" w:cs="Times New Roman"/>
          <w:color w:val="000000"/>
        </w:rPr>
        <w:t>s test</w:t>
      </w:r>
      <w:r w:rsidR="008903A3">
        <w:rPr>
          <w:rFonts w:eastAsia="Times New Roman" w:cs="Times New Roman"/>
          <w:color w:val="000000"/>
        </w:rPr>
        <w:t xml:space="preserve"> for successiveness, he </w:t>
      </w:r>
      <w:r>
        <w:rPr>
          <w:rFonts w:eastAsia="Times New Roman" w:cs="Times New Roman"/>
          <w:color w:val="000000"/>
        </w:rPr>
        <w:t xml:space="preserve">argues that his former post-conviction counsel was constitutionally ineffective for failing to raise them.  For that reason, he contends, he was adequately justified in omitting these claims from the Initial Petition, and the trial court erred </w:t>
      </w:r>
      <w:r w:rsidR="00151E59">
        <w:rPr>
          <w:rFonts w:eastAsia="Times New Roman" w:cs="Times New Roman"/>
          <w:color w:val="000000"/>
        </w:rPr>
        <w:t>i</w:t>
      </w:r>
      <w:r>
        <w:rPr>
          <w:rFonts w:eastAsia="Times New Roman" w:cs="Times New Roman"/>
          <w:color w:val="000000"/>
        </w:rPr>
        <w:t xml:space="preserve">n concluding to the contrary.  </w:t>
      </w:r>
    </w:p>
    <w:p w:rsidR="0041645F" w:rsidP="0041645F" w14:paraId="0E89B5DC" w14:textId="6906520B">
      <w:pPr>
        <w:shd w:val="clear" w:color="auto" w:fill="FFFFFF"/>
        <w:rPr>
          <w:rFonts w:eastAsia="Times New Roman" w:cs="Times New Roman"/>
          <w:color w:val="000000"/>
        </w:rPr>
      </w:pPr>
      <w:r>
        <w:rPr>
          <w:rFonts w:eastAsia="Times New Roman" w:cs="Times New Roman"/>
          <w:color w:val="000000"/>
        </w:rPr>
        <w:t xml:space="preserve">The applicable Sixth Amendment standard </w:t>
      </w:r>
      <w:r w:rsidR="009C28D2">
        <w:rPr>
          <w:rFonts w:eastAsia="Times New Roman" w:cs="Times New Roman"/>
          <w:color w:val="000000"/>
        </w:rPr>
        <w:t xml:space="preserve">here </w:t>
      </w:r>
      <w:r>
        <w:rPr>
          <w:rFonts w:eastAsia="Times New Roman" w:cs="Times New Roman"/>
          <w:color w:val="000000"/>
        </w:rPr>
        <w:t>is well-established.  To succeed with a claim of ineffective assistance of counsel, Seumanu must make an initial showing that some act or omission by his counsel “</w:t>
      </w:r>
      <w:r w:rsidR="001230F1">
        <w:rPr>
          <w:rFonts w:eastAsia="Times New Roman" w:cs="Times New Roman"/>
          <w:color w:val="000000"/>
        </w:rPr>
        <w:t> </w:t>
      </w:r>
      <w:r w:rsidR="00C82640">
        <w:rPr>
          <w:rFonts w:eastAsia="Times New Roman" w:cs="Times New Roman"/>
          <w:color w:val="000000"/>
        </w:rPr>
        <w:t>‘</w:t>
      </w:r>
      <w:r>
        <w:rPr>
          <w:rFonts w:eastAsia="Times New Roman" w:cs="Times New Roman"/>
          <w:color w:val="000000"/>
        </w:rPr>
        <w:t>fell below an objective standard of reasonableness</w:t>
      </w:r>
      <w:r w:rsidR="00C82640">
        <w:rPr>
          <w:rFonts w:eastAsia="Times New Roman" w:cs="Times New Roman"/>
          <w:color w:val="000000"/>
        </w:rPr>
        <w:t>’</w:t>
      </w:r>
      <w:r w:rsidR="001230F1">
        <w:rPr>
          <w:rFonts w:eastAsia="Times New Roman" w:cs="Times New Roman"/>
          <w:color w:val="000000"/>
        </w:rPr>
        <w:t> </w:t>
      </w:r>
      <w:r>
        <w:rPr>
          <w:rFonts w:eastAsia="Times New Roman" w:cs="Times New Roman"/>
          <w:color w:val="000000"/>
        </w:rPr>
        <w:t>” (</w:t>
      </w:r>
      <w:r>
        <w:rPr>
          <w:rFonts w:eastAsia="Times New Roman" w:cs="Times New Roman"/>
          <w:i/>
          <w:iCs/>
          <w:color w:val="3D3D3D"/>
          <w:bdr w:val="none" w:sz="0" w:space="0" w:color="auto" w:frame="1"/>
        </w:rPr>
        <w:t>In re Long</w:t>
      </w:r>
      <w:r>
        <w:rPr>
          <w:rFonts w:eastAsia="Times New Roman" w:cs="Times New Roman"/>
          <w:color w:val="000000"/>
        </w:rPr>
        <w:t xml:space="preserve"> (2020) 10</w:t>
      </w:r>
      <w:r w:rsidR="001230F1">
        <w:rPr>
          <w:rFonts w:eastAsia="Times New Roman" w:cs="Times New Roman"/>
          <w:color w:val="000000"/>
        </w:rPr>
        <w:t> </w:t>
      </w:r>
      <w:r>
        <w:rPr>
          <w:rFonts w:eastAsia="Times New Roman" w:cs="Times New Roman"/>
          <w:color w:val="000000"/>
        </w:rPr>
        <w:t>Cal.5th 764, 773 (</w:t>
      </w:r>
      <w:r>
        <w:rPr>
          <w:rFonts w:eastAsia="Times New Roman" w:cs="Times New Roman"/>
          <w:i/>
          <w:iCs/>
          <w:color w:val="000000"/>
        </w:rPr>
        <w:t>Long</w:t>
      </w:r>
      <w:r>
        <w:rPr>
          <w:rFonts w:eastAsia="Times New Roman" w:cs="Times New Roman"/>
          <w:color w:val="000000"/>
        </w:rPr>
        <w:t xml:space="preserve">)), when judged “in light of </w:t>
      </w:r>
      <w:r w:rsidR="00690DE0">
        <w:rPr>
          <w:rFonts w:eastAsia="Times New Roman" w:cs="Times New Roman"/>
          <w:color w:val="000000"/>
        </w:rPr>
        <w:t>‘</w:t>
      </w:r>
      <w:r>
        <w:rPr>
          <w:rFonts w:eastAsia="Times New Roman" w:cs="Times New Roman"/>
          <w:color w:val="000000"/>
        </w:rPr>
        <w:t>the professional norms prevailing when the representation took place</w:t>
      </w:r>
      <w:r w:rsidR="00C82640">
        <w:rPr>
          <w:rFonts w:eastAsia="Times New Roman" w:cs="Times New Roman"/>
          <w:color w:val="000000"/>
        </w:rPr>
        <w:t>’</w:t>
      </w:r>
      <w:r w:rsidR="0037098C">
        <w:rPr>
          <w:rFonts w:eastAsia="Times New Roman" w:cs="Times New Roman"/>
          <w:color w:val="000000"/>
        </w:rPr>
        <w:t> </w:t>
      </w:r>
      <w:r>
        <w:rPr>
          <w:rFonts w:eastAsia="Times New Roman" w:cs="Times New Roman"/>
          <w:color w:val="000000"/>
        </w:rPr>
        <w:t>” (</w:t>
      </w:r>
      <w:r>
        <w:rPr>
          <w:rFonts w:eastAsia="Times New Roman" w:cs="Times New Roman"/>
          <w:i/>
          <w:iCs/>
          <w:color w:val="000000"/>
        </w:rPr>
        <w:t>Long</w:t>
      </w:r>
      <w:r>
        <w:rPr>
          <w:rFonts w:eastAsia="Times New Roman" w:cs="Times New Roman"/>
          <w:color w:val="000000"/>
        </w:rPr>
        <w:t>, at p.</w:t>
      </w:r>
      <w:r w:rsidR="0037098C">
        <w:rPr>
          <w:rFonts w:eastAsia="Times New Roman" w:cs="Times New Roman"/>
          <w:color w:val="000000"/>
        </w:rPr>
        <w:t> </w:t>
      </w:r>
      <w:r>
        <w:rPr>
          <w:rFonts w:eastAsia="Times New Roman" w:cs="Times New Roman"/>
          <w:color w:val="000000"/>
        </w:rPr>
        <w:t xml:space="preserve">773; see </w:t>
      </w:r>
      <w:r>
        <w:rPr>
          <w:rFonts w:eastAsia="Times New Roman" w:cs="Times New Roman"/>
          <w:i/>
          <w:iCs/>
          <w:color w:val="3D3D3D"/>
          <w:bdr w:val="none" w:sz="0" w:space="0" w:color="auto" w:frame="1"/>
        </w:rPr>
        <w:t>Strickland v. Washington</w:t>
      </w:r>
      <w:r>
        <w:rPr>
          <w:rFonts w:eastAsia="Times New Roman" w:cs="Times New Roman"/>
          <w:color w:val="000000"/>
        </w:rPr>
        <w:t xml:space="preserve"> (1984) 466</w:t>
      </w:r>
      <w:r w:rsidR="0037098C">
        <w:rPr>
          <w:rFonts w:eastAsia="Times New Roman" w:cs="Times New Roman"/>
          <w:color w:val="000000"/>
        </w:rPr>
        <w:t> </w:t>
      </w:r>
      <w:r>
        <w:rPr>
          <w:rFonts w:eastAsia="Times New Roman" w:cs="Times New Roman"/>
          <w:color w:val="000000"/>
        </w:rPr>
        <w:t>U.S. 668, 687 (</w:t>
      </w:r>
      <w:r>
        <w:rPr>
          <w:rFonts w:eastAsia="Times New Roman" w:cs="Times New Roman"/>
          <w:i/>
          <w:iCs/>
          <w:color w:val="000000"/>
          <w:bdr w:val="none" w:sz="0" w:space="0" w:color="auto" w:frame="1"/>
        </w:rPr>
        <w:t>Strickland</w:t>
      </w:r>
      <w:r>
        <w:rPr>
          <w:rFonts w:eastAsia="Times New Roman" w:cs="Times New Roman"/>
          <w:color w:val="000000"/>
        </w:rPr>
        <w:t>))</w:t>
      </w:r>
      <w:r w:rsidR="007E6D96">
        <w:rPr>
          <w:rFonts w:eastAsia="Times New Roman" w:cs="Times New Roman"/>
          <w:color w:val="000000"/>
        </w:rPr>
        <w:t>.</w:t>
      </w:r>
      <w:r>
        <w:rPr>
          <w:rFonts w:eastAsia="Times New Roman" w:cs="Times New Roman"/>
          <w:color w:val="000000"/>
        </w:rPr>
        <w:t xml:space="preserve">  Then there is the fu</w:t>
      </w:r>
      <w:r w:rsidR="00A66EEE">
        <w:rPr>
          <w:rFonts w:eastAsia="Times New Roman" w:cs="Times New Roman"/>
          <w:color w:val="000000"/>
        </w:rPr>
        <w:t>r</w:t>
      </w:r>
      <w:r>
        <w:rPr>
          <w:rFonts w:eastAsia="Times New Roman" w:cs="Times New Roman"/>
          <w:color w:val="000000"/>
        </w:rPr>
        <w:t>ther requirement of showing prejudice.  It is necessary to “show ‘a reasonable probability that, but for counsel</w:t>
      </w:r>
      <w:r w:rsidR="00A66EEE">
        <w:rPr>
          <w:rFonts w:eastAsia="Times New Roman" w:cs="Times New Roman"/>
          <w:color w:val="000000"/>
        </w:rPr>
        <w:t>’</w:t>
      </w:r>
      <w:r>
        <w:rPr>
          <w:rFonts w:eastAsia="Times New Roman" w:cs="Times New Roman"/>
          <w:color w:val="000000"/>
        </w:rPr>
        <w:t>s unprofessional errors, the result of the proceeding would have been different.</w:t>
      </w:r>
      <w:r w:rsidR="00604460">
        <w:rPr>
          <w:rFonts w:eastAsia="Times New Roman" w:cs="Times New Roman"/>
          <w:color w:val="000000"/>
        </w:rPr>
        <w:t>’</w:t>
      </w:r>
      <w:r w:rsidR="0037098C">
        <w:rPr>
          <w:rFonts w:eastAsia="Times New Roman" w:cs="Times New Roman"/>
          <w:color w:val="000000"/>
        </w:rPr>
        <w:t> </w:t>
      </w:r>
      <w:r>
        <w:rPr>
          <w:rFonts w:eastAsia="Times New Roman" w:cs="Times New Roman"/>
          <w:color w:val="000000"/>
        </w:rPr>
        <w:t>”  (</w:t>
      </w:r>
      <w:r w:rsidR="00604460">
        <w:rPr>
          <w:rFonts w:eastAsia="Times New Roman" w:cs="Times New Roman"/>
          <w:i/>
          <w:iCs/>
          <w:color w:val="000000"/>
        </w:rPr>
        <w:t>Long</w:t>
      </w:r>
      <w:r w:rsidR="00604460">
        <w:rPr>
          <w:rFonts w:eastAsia="Times New Roman" w:cs="Times New Roman"/>
          <w:color w:val="000000"/>
        </w:rPr>
        <w:t>, at p.</w:t>
      </w:r>
      <w:r w:rsidR="0037098C">
        <w:rPr>
          <w:rFonts w:eastAsia="Times New Roman" w:cs="Times New Roman"/>
          <w:color w:val="000000"/>
        </w:rPr>
        <w:t> </w:t>
      </w:r>
      <w:r w:rsidR="00604460">
        <w:rPr>
          <w:rFonts w:eastAsia="Times New Roman" w:cs="Times New Roman"/>
          <w:color w:val="000000"/>
        </w:rPr>
        <w:t>773.</w:t>
      </w:r>
      <w:r>
        <w:rPr>
          <w:rFonts w:eastAsia="Times New Roman" w:cs="Times New Roman"/>
          <w:color w:val="000000"/>
        </w:rPr>
        <w:t>)  Here, Seumanu “need not show that counsel</w:t>
      </w:r>
      <w:r w:rsidR="00A66EEE">
        <w:rPr>
          <w:rFonts w:eastAsia="Times New Roman" w:cs="Times New Roman"/>
          <w:color w:val="000000"/>
        </w:rPr>
        <w:t>’</w:t>
      </w:r>
      <w:r>
        <w:rPr>
          <w:rFonts w:eastAsia="Times New Roman" w:cs="Times New Roman"/>
          <w:color w:val="000000"/>
        </w:rPr>
        <w:t>s deficient conduct more likely than not altered the outcome in the case.”  (</w:t>
      </w:r>
      <w:r>
        <w:rPr>
          <w:rFonts w:eastAsia="Times New Roman" w:cs="Times New Roman"/>
          <w:i/>
          <w:iCs/>
          <w:color w:val="000000"/>
        </w:rPr>
        <w:t>Strickland</w:t>
      </w:r>
      <w:r>
        <w:rPr>
          <w:rFonts w:eastAsia="Times New Roman" w:cs="Times New Roman"/>
          <w:color w:val="000000"/>
        </w:rPr>
        <w:t>, at p.</w:t>
      </w:r>
      <w:r w:rsidR="0037098C">
        <w:rPr>
          <w:rFonts w:eastAsia="Times New Roman" w:cs="Times New Roman"/>
          <w:color w:val="000000"/>
        </w:rPr>
        <w:t> </w:t>
      </w:r>
      <w:r>
        <w:rPr>
          <w:rFonts w:eastAsia="Times New Roman" w:cs="Times New Roman"/>
          <w:color w:val="000000"/>
        </w:rPr>
        <w:t>693.)  It is enough to show “a probability sufficient to undermine confidence in the outcome.”  (</w:t>
      </w:r>
      <w:r>
        <w:rPr>
          <w:rFonts w:eastAsia="Times New Roman" w:cs="Times New Roman"/>
          <w:i/>
          <w:iCs/>
          <w:color w:val="3D3D3D"/>
          <w:bdr w:val="none" w:sz="0" w:space="0" w:color="auto" w:frame="1"/>
        </w:rPr>
        <w:t>Id.</w:t>
      </w:r>
      <w:r>
        <w:rPr>
          <w:rFonts w:eastAsia="Times New Roman" w:cs="Times New Roman"/>
          <w:color w:val="000000"/>
        </w:rPr>
        <w:t xml:space="preserve"> at p.</w:t>
      </w:r>
      <w:r w:rsidR="0037098C">
        <w:rPr>
          <w:rFonts w:eastAsia="Times New Roman" w:cs="Times New Roman"/>
          <w:color w:val="000000"/>
        </w:rPr>
        <w:t> </w:t>
      </w:r>
      <w:r>
        <w:rPr>
          <w:rFonts w:eastAsia="Times New Roman" w:cs="Times New Roman"/>
          <w:color w:val="000000"/>
        </w:rPr>
        <w:t xml:space="preserve">694.) </w:t>
      </w:r>
    </w:p>
    <w:p w:rsidR="0041645F" w:rsidP="0041645F" w14:paraId="54128366" w14:textId="7C073C37">
      <w:pPr>
        <w:shd w:val="clear" w:color="auto" w:fill="FFFFFF"/>
        <w:rPr>
          <w:rFonts w:eastAsia="Times New Roman" w:cs="Arial"/>
          <w:color w:val="000000"/>
        </w:rPr>
      </w:pPr>
      <w:r>
        <w:rPr>
          <w:rFonts w:eastAsia="Times New Roman" w:cs="Times New Roman"/>
          <w:color w:val="000000"/>
        </w:rPr>
        <w:t>On the element of deficient performance, “</w:t>
      </w:r>
      <w:r w:rsidR="0037098C">
        <w:rPr>
          <w:rFonts w:eastAsia="Times New Roman" w:cs="Times New Roman"/>
          <w:color w:val="000000"/>
        </w:rPr>
        <w:t> </w:t>
      </w:r>
      <w:r>
        <w:rPr>
          <w:rFonts w:eastAsia="Times New Roman" w:cs="Times New Roman"/>
          <w:color w:val="000000"/>
        </w:rPr>
        <w:t>‘[T]he standard for judging counsel’s representation is a most deferential one.’</w:t>
      </w:r>
      <w:r w:rsidR="0037098C">
        <w:rPr>
          <w:rFonts w:eastAsia="Times New Roman" w:cs="Times New Roman"/>
          <w:color w:val="000000"/>
        </w:rPr>
        <w:t> </w:t>
      </w:r>
      <w:r>
        <w:rPr>
          <w:rFonts w:eastAsia="Times New Roman" w:cs="Times New Roman"/>
          <w:color w:val="000000"/>
        </w:rPr>
        <w:t>”  (</w:t>
      </w:r>
      <w:r>
        <w:rPr>
          <w:rFonts w:eastAsia="Times New Roman" w:cs="Times New Roman"/>
          <w:i/>
          <w:iCs/>
          <w:color w:val="000000"/>
        </w:rPr>
        <w:t>Long</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10</w:t>
      </w:r>
      <w:r w:rsidR="00BD48DF">
        <w:rPr>
          <w:rFonts w:eastAsia="Times New Roman" w:cs="Times New Roman"/>
          <w:color w:val="000000"/>
        </w:rPr>
        <w:t> </w:t>
      </w:r>
      <w:r>
        <w:rPr>
          <w:rFonts w:eastAsia="Times New Roman" w:cs="Times New Roman"/>
          <w:color w:val="000000"/>
        </w:rPr>
        <w:t>Cal.5</w:t>
      </w:r>
      <w:r w:rsidRPr="004D570B">
        <w:rPr>
          <w:rFonts w:eastAsia="Times New Roman" w:cs="Times New Roman"/>
          <w:color w:val="000000"/>
        </w:rPr>
        <w:t>th</w:t>
      </w:r>
      <w:r>
        <w:rPr>
          <w:rFonts w:eastAsia="Times New Roman" w:cs="Times New Roman"/>
          <w:color w:val="000000"/>
        </w:rPr>
        <w:t xml:space="preserve"> at p.</w:t>
      </w:r>
      <w:r w:rsidR="00BD48DF">
        <w:rPr>
          <w:rFonts w:eastAsia="Times New Roman" w:cs="Times New Roman"/>
          <w:color w:val="000000"/>
        </w:rPr>
        <w:t> </w:t>
      </w:r>
      <w:r>
        <w:rPr>
          <w:rFonts w:eastAsia="Times New Roman" w:cs="Times New Roman"/>
          <w:color w:val="000000"/>
        </w:rPr>
        <w:t xml:space="preserve">773, quoting </w:t>
      </w:r>
      <w:r>
        <w:rPr>
          <w:rFonts w:eastAsia="Times New Roman" w:cs="Times New Roman"/>
          <w:i/>
          <w:iCs/>
          <w:color w:val="3D3D3D"/>
          <w:bdr w:val="none" w:sz="0" w:space="0" w:color="auto" w:frame="1"/>
        </w:rPr>
        <w:t>Harrington v. Richter</w:t>
      </w:r>
      <w:r>
        <w:rPr>
          <w:rFonts w:eastAsia="Times New Roman" w:cs="Times New Roman"/>
          <w:color w:val="000000"/>
        </w:rPr>
        <w:t xml:space="preserve"> (2011) 562</w:t>
      </w:r>
      <w:r w:rsidR="00BD48DF">
        <w:rPr>
          <w:rFonts w:eastAsia="Times New Roman" w:cs="Times New Roman"/>
          <w:color w:val="000000"/>
        </w:rPr>
        <w:t> </w:t>
      </w:r>
      <w:r>
        <w:rPr>
          <w:rFonts w:eastAsia="Times New Roman" w:cs="Times New Roman"/>
          <w:color w:val="000000"/>
        </w:rPr>
        <w:t>U.S. 86, 105 (</w:t>
      </w:r>
      <w:r>
        <w:rPr>
          <w:rFonts w:eastAsia="Times New Roman" w:cs="Times New Roman"/>
          <w:i/>
          <w:iCs/>
          <w:color w:val="3D3D3D"/>
          <w:bdr w:val="none" w:sz="0" w:space="0" w:color="auto" w:frame="1"/>
        </w:rPr>
        <w:t>Richter</w:t>
      </w:r>
      <w:r>
        <w:rPr>
          <w:rFonts w:eastAsia="Times New Roman" w:cs="Times New Roman"/>
          <w:color w:val="000000"/>
        </w:rPr>
        <w:t>).)  “We ‘must indulge a “strong presumption” that counsel</w:t>
      </w:r>
      <w:r w:rsidR="004D570B">
        <w:rPr>
          <w:rFonts w:eastAsia="Times New Roman" w:cs="Times New Roman"/>
          <w:color w:val="000000"/>
        </w:rPr>
        <w:t>’</w:t>
      </w:r>
      <w:r>
        <w:rPr>
          <w:rFonts w:eastAsia="Times New Roman" w:cs="Times New Roman"/>
          <w:color w:val="000000"/>
        </w:rPr>
        <w:t>s conduct falls within the wide range of reasonable professional assistance because it is all too easy to conclude that a particular act or omission of counsel was unreasonable in the harsh light of hindsight.</w:t>
      </w:r>
      <w:r w:rsidR="00D51C03">
        <w:rPr>
          <w:rFonts w:eastAsia="Times New Roman" w:cs="Times New Roman"/>
          <w:color w:val="000000"/>
        </w:rPr>
        <w:t>’</w:t>
      </w:r>
      <w:r w:rsidR="00BD48DF">
        <w:rPr>
          <w:rFonts w:eastAsia="Times New Roman" w:cs="Times New Roman"/>
          <w:color w:val="000000"/>
        </w:rPr>
        <w:t> </w:t>
      </w:r>
      <w:r>
        <w:rPr>
          <w:rFonts w:eastAsia="Times New Roman" w:cs="Times New Roman"/>
          <w:color w:val="000000"/>
        </w:rPr>
        <w:t>”  (</w:t>
      </w:r>
      <w:r>
        <w:rPr>
          <w:rFonts w:eastAsia="Times New Roman" w:cs="Times New Roman"/>
          <w:i/>
          <w:iCs/>
          <w:color w:val="000000"/>
        </w:rPr>
        <w:t>Long</w:t>
      </w:r>
      <w:r>
        <w:rPr>
          <w:rFonts w:eastAsia="Times New Roman" w:cs="Times New Roman"/>
          <w:color w:val="000000"/>
        </w:rPr>
        <w:t>, at p.</w:t>
      </w:r>
      <w:r w:rsidR="00BD48DF">
        <w:rPr>
          <w:rFonts w:eastAsia="Times New Roman" w:cs="Times New Roman"/>
          <w:color w:val="000000"/>
        </w:rPr>
        <w:t> </w:t>
      </w:r>
      <w:r>
        <w:rPr>
          <w:rFonts w:eastAsia="Times New Roman" w:cs="Times New Roman"/>
          <w:color w:val="000000"/>
        </w:rPr>
        <w:t>773.)  “</w:t>
      </w:r>
      <w:r w:rsidR="00BD48DF">
        <w:rPr>
          <w:rFonts w:eastAsia="Times New Roman" w:cs="Times New Roman"/>
          <w:color w:val="000000"/>
        </w:rPr>
        <w:t> </w:t>
      </w:r>
      <w:r>
        <w:rPr>
          <w:rFonts w:eastAsia="Times New Roman" w:cs="Times New Roman"/>
          <w:color w:val="000000"/>
        </w:rPr>
        <w:t>‘Unlike a later reviewing court, the attorney observed the relevant proceedings, knew of materials outside the record, and interacted with the client, with opposing counsel, and with the judge.’</w:t>
      </w:r>
      <w:r w:rsidR="00BD48DF">
        <w:rPr>
          <w:rFonts w:eastAsia="Times New Roman" w:cs="Times New Roman"/>
          <w:color w:val="000000"/>
        </w:rPr>
        <w:t> </w:t>
      </w:r>
      <w:r>
        <w:rPr>
          <w:rFonts w:eastAsia="Times New Roman" w:cs="Times New Roman"/>
          <w:color w:val="000000"/>
        </w:rPr>
        <w:t>”  (</w:t>
      </w:r>
      <w:r>
        <w:rPr>
          <w:rFonts w:eastAsia="Times New Roman" w:cs="Times New Roman"/>
          <w:i/>
          <w:iCs/>
          <w:color w:val="000000"/>
        </w:rPr>
        <w:t>I</w:t>
      </w:r>
      <w:r w:rsidR="00D52557">
        <w:rPr>
          <w:rFonts w:eastAsia="Times New Roman" w:cs="Times New Roman"/>
          <w:i/>
          <w:iCs/>
          <w:color w:val="000000"/>
        </w:rPr>
        <w:t>bi</w:t>
      </w:r>
      <w:r>
        <w:rPr>
          <w:rFonts w:eastAsia="Times New Roman" w:cs="Times New Roman"/>
          <w:i/>
          <w:iCs/>
          <w:color w:val="000000"/>
        </w:rPr>
        <w:t>d</w:t>
      </w:r>
      <w:r>
        <w:rPr>
          <w:rFonts w:eastAsia="Times New Roman" w:cs="Times New Roman"/>
          <w:color w:val="000000"/>
        </w:rPr>
        <w:t>.)  “Accordingly, we must ‘reconstruct the circumstances of counsel</w:t>
      </w:r>
      <w:r w:rsidR="00BE3F5D">
        <w:rPr>
          <w:rFonts w:eastAsia="Times New Roman" w:cs="Times New Roman"/>
          <w:color w:val="000000"/>
        </w:rPr>
        <w:t>’</w:t>
      </w:r>
      <w:r>
        <w:rPr>
          <w:rFonts w:eastAsia="Times New Roman" w:cs="Times New Roman"/>
          <w:color w:val="000000"/>
        </w:rPr>
        <w:t xml:space="preserve">s challenged conduct, and </w:t>
      </w:r>
      <w:r w:rsidR="00BD48DF">
        <w:rPr>
          <w:rFonts w:eastAsia="Times New Roman" w:cs="Times New Roman"/>
          <w:color w:val="000000"/>
        </w:rPr>
        <w:t>. . .</w:t>
      </w:r>
      <w:r w:rsidR="00690DE0">
        <w:rPr>
          <w:rFonts w:eastAsia="Times New Roman" w:cs="Times New Roman"/>
          <w:color w:val="000000"/>
        </w:rPr>
        <w:t xml:space="preserve"> </w:t>
      </w:r>
      <w:r>
        <w:rPr>
          <w:rFonts w:eastAsia="Times New Roman" w:cs="Times New Roman"/>
          <w:color w:val="000000"/>
        </w:rPr>
        <w:t>evaluate the conduct from counsel</w:t>
      </w:r>
      <w:r w:rsidR="00BE3F5D">
        <w:rPr>
          <w:rFonts w:eastAsia="Times New Roman" w:cs="Times New Roman"/>
          <w:color w:val="000000"/>
        </w:rPr>
        <w:t>’</w:t>
      </w:r>
      <w:r>
        <w:rPr>
          <w:rFonts w:eastAsia="Times New Roman" w:cs="Times New Roman"/>
          <w:color w:val="000000"/>
        </w:rPr>
        <w:t>s perspective at the time.’</w:t>
      </w:r>
      <w:r w:rsidR="00BD48DF">
        <w:rPr>
          <w:rFonts w:eastAsia="Times New Roman" w:cs="Times New Roman"/>
          <w:color w:val="000000"/>
        </w:rPr>
        <w:t> </w:t>
      </w:r>
      <w:r>
        <w:rPr>
          <w:rFonts w:eastAsia="Times New Roman" w:cs="Times New Roman"/>
          <w:color w:val="000000"/>
        </w:rPr>
        <w:t>”  (</w:t>
      </w:r>
      <w:r>
        <w:rPr>
          <w:rFonts w:eastAsia="Times New Roman" w:cs="Times New Roman"/>
          <w:i/>
          <w:iCs/>
          <w:color w:val="000000"/>
        </w:rPr>
        <w:t>Id</w:t>
      </w:r>
      <w:r>
        <w:rPr>
          <w:rFonts w:eastAsia="Times New Roman" w:cs="Times New Roman"/>
          <w:color w:val="000000"/>
        </w:rPr>
        <w:t xml:space="preserve">. at </w:t>
      </w:r>
      <w:r w:rsidR="002024D3">
        <w:rPr>
          <w:rFonts w:eastAsia="Times New Roman" w:cs="Times New Roman"/>
          <w:color w:val="000000"/>
        </w:rPr>
        <w:t>p</w:t>
      </w:r>
      <w:r>
        <w:rPr>
          <w:rFonts w:eastAsia="Times New Roman" w:cs="Times New Roman"/>
          <w:color w:val="000000"/>
        </w:rPr>
        <w:t>p.</w:t>
      </w:r>
      <w:r w:rsidR="00BD48DF">
        <w:rPr>
          <w:rFonts w:eastAsia="Times New Roman" w:cs="Times New Roman"/>
          <w:color w:val="000000"/>
        </w:rPr>
        <w:t> </w:t>
      </w:r>
      <w:r w:rsidR="002024D3">
        <w:rPr>
          <w:rFonts w:eastAsia="Times New Roman" w:cs="Times New Roman"/>
          <w:color w:val="000000"/>
        </w:rPr>
        <w:t>773</w:t>
      </w:r>
      <w:r w:rsidR="00BD48DF">
        <w:rPr>
          <w:rFonts w:eastAsia="Times New Roman" w:cs="Times New Roman"/>
          <w:color w:val="000000"/>
        </w:rPr>
        <w:t>–</w:t>
      </w:r>
      <w:r>
        <w:rPr>
          <w:rFonts w:eastAsia="Times New Roman" w:cs="Times New Roman"/>
          <w:color w:val="000000"/>
        </w:rPr>
        <w:t xml:space="preserve">774.) </w:t>
      </w:r>
    </w:p>
    <w:p w:rsidR="0041645F" w:rsidP="0041645F" w14:paraId="6547CF06" w14:textId="10FB19FC">
      <w:pPr>
        <w:shd w:val="clear" w:color="auto" w:fill="FFFFFF"/>
        <w:rPr>
          <w:rFonts w:eastAsia="Times New Roman" w:cs="Arial"/>
          <w:color w:val="000000"/>
        </w:rPr>
      </w:pPr>
      <w:r>
        <w:rPr>
          <w:rFonts w:eastAsia="Times New Roman" w:cs="Times New Roman"/>
          <w:color w:val="000000"/>
        </w:rPr>
        <w:t xml:space="preserve">In capital habeas proceedings, the pleading standard applicable to both prongs of the </w:t>
      </w:r>
      <w:r>
        <w:rPr>
          <w:rFonts w:eastAsia="Times New Roman" w:cs="Times New Roman"/>
          <w:i/>
          <w:iCs/>
          <w:color w:val="000000"/>
        </w:rPr>
        <w:t xml:space="preserve">Strickland </w:t>
      </w:r>
      <w:r>
        <w:rPr>
          <w:rFonts w:eastAsia="Times New Roman" w:cs="Times New Roman"/>
          <w:color w:val="000000"/>
        </w:rPr>
        <w:t>test is strict.  “To justify a second or subsequent filing based on prior ineffective assistance of counsel, the petitioner must ‘allege with specificity the facts underlying the claim that the inadequate presentation of an issue or omission of any issue reflects incompetence of counsel</w:t>
      </w:r>
      <w:r w:rsidR="00B3612A">
        <w:rPr>
          <w:rFonts w:eastAsia="Times New Roman" w:cs="Times New Roman"/>
          <w:color w:val="000000"/>
        </w:rPr>
        <w:t xml:space="preserve"> . . . </w:t>
      </w:r>
      <w:r>
        <w:rPr>
          <w:rFonts w:eastAsia="Times New Roman" w:cs="Times New Roman"/>
          <w:color w:val="000000"/>
        </w:rPr>
        <w:t>.</w:t>
      </w:r>
      <w:r w:rsidR="00B3612A">
        <w:rPr>
          <w:rFonts w:eastAsia="Times New Roman" w:cs="Times New Roman"/>
          <w:color w:val="000000"/>
        </w:rPr>
        <w:t xml:space="preserve">  </w:t>
      </w:r>
      <w:r>
        <w:rPr>
          <w:rFonts w:eastAsia="Times New Roman" w:cs="Times New Roman"/>
          <w:color w:val="000000"/>
        </w:rPr>
        <w:t>Moreover, mere omission of a claim “developed” by new counsel does not raise a presumption that prior habeas corpus counsel was incompetent, or warrant consideration of the merits of a successive petition.’</w:t>
      </w:r>
      <w:r w:rsidR="004F33FB">
        <w:rPr>
          <w:rFonts w:eastAsia="Times New Roman" w:cs="Times New Roman"/>
          <w:color w:val="000000"/>
        </w:rPr>
        <w:t> </w:t>
      </w:r>
      <w:r>
        <w:rPr>
          <w:rFonts w:eastAsia="Times New Roman" w:cs="Times New Roman"/>
          <w:color w:val="000000"/>
        </w:rPr>
        <w:t>”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4F33FB">
        <w:rPr>
          <w:rFonts w:eastAsia="Times New Roman" w:cs="Times New Roman"/>
          <w:color w:val="000000"/>
        </w:rPr>
        <w:t> </w:t>
      </w:r>
      <w:r>
        <w:rPr>
          <w:rFonts w:eastAsia="Times New Roman" w:cs="Times New Roman"/>
          <w:color w:val="000000"/>
        </w:rPr>
        <w:t>Cal.5</w:t>
      </w:r>
      <w:r w:rsidRPr="001D1DEC">
        <w:rPr>
          <w:rFonts w:eastAsia="Times New Roman" w:cs="Times New Roman"/>
          <w:color w:val="000000"/>
        </w:rPr>
        <w:t>th</w:t>
      </w:r>
      <w:r>
        <w:rPr>
          <w:rFonts w:eastAsia="Times New Roman" w:cs="Times New Roman"/>
          <w:color w:val="000000"/>
        </w:rPr>
        <w:t xml:space="preserve"> at p.</w:t>
      </w:r>
      <w:r w:rsidR="004F33FB">
        <w:rPr>
          <w:rFonts w:eastAsia="Times New Roman" w:cs="Times New Roman"/>
          <w:color w:val="000000"/>
        </w:rPr>
        <w:t> </w:t>
      </w:r>
      <w:r>
        <w:rPr>
          <w:rFonts w:eastAsia="Times New Roman" w:cs="Times New Roman"/>
          <w:color w:val="000000"/>
        </w:rPr>
        <w:t>731</w:t>
      </w:r>
      <w:r w:rsidR="001D1DEC">
        <w:rPr>
          <w:rFonts w:eastAsia="Times New Roman" w:cs="Times New Roman"/>
          <w:color w:val="000000"/>
        </w:rPr>
        <w:t>,</w:t>
      </w:r>
      <w:r>
        <w:rPr>
          <w:rFonts w:eastAsia="Times New Roman" w:cs="Times New Roman"/>
          <w:color w:val="000000"/>
        </w:rPr>
        <w:t xml:space="preserve"> fn.</w:t>
      </w:r>
      <w:r w:rsidR="004F33FB">
        <w:rPr>
          <w:rFonts w:eastAsia="Times New Roman" w:cs="Times New Roman"/>
          <w:color w:val="000000"/>
        </w:rPr>
        <w:t> </w:t>
      </w:r>
      <w:r>
        <w:rPr>
          <w:rFonts w:eastAsia="Times New Roman" w:cs="Times New Roman"/>
          <w:color w:val="000000"/>
        </w:rPr>
        <w:t xml:space="preserve">5.)  Expounding on </w:t>
      </w:r>
      <w:r>
        <w:rPr>
          <w:rFonts w:eastAsia="Times New Roman" w:cs="Times New Roman"/>
          <w:i/>
          <w:iCs/>
          <w:color w:val="000000"/>
        </w:rPr>
        <w:t xml:space="preserve">Friend </w:t>
      </w:r>
      <w:r w:rsidRPr="0067003E">
        <w:rPr>
          <w:rFonts w:eastAsia="Times New Roman" w:cs="Times New Roman"/>
          <w:i/>
          <w:color w:val="000000"/>
          <w:spacing w:val="20"/>
        </w:rPr>
        <w:t>I</w:t>
      </w:r>
      <w:r w:rsidRPr="0067003E">
        <w:rPr>
          <w:rFonts w:eastAsia="Times New Roman" w:cs="Times New Roman"/>
          <w:color w:val="000000"/>
          <w:spacing w:val="20"/>
        </w:rPr>
        <w:t>’</w:t>
      </w:r>
      <w:r>
        <w:rPr>
          <w:rFonts w:eastAsia="Times New Roman" w:cs="Times New Roman"/>
          <w:color w:val="000000"/>
        </w:rPr>
        <w:t>s discussion of this pleading standard, t</w:t>
      </w:r>
      <w:r>
        <w:rPr>
          <w:rFonts w:eastAsia="Times New Roman" w:cs="Arial"/>
          <w:color w:val="000000"/>
        </w:rPr>
        <w:t xml:space="preserve">he </w:t>
      </w:r>
      <w:r>
        <w:rPr>
          <w:rFonts w:eastAsia="Times New Roman" w:cs="Arial"/>
          <w:i/>
          <w:iCs/>
          <w:color w:val="000000"/>
        </w:rPr>
        <w:t>Friend II</w:t>
      </w:r>
      <w:r>
        <w:rPr>
          <w:rFonts w:eastAsia="Times New Roman" w:cs="Arial"/>
          <w:color w:val="000000"/>
        </w:rPr>
        <w:t xml:space="preserve"> court held that </w:t>
      </w:r>
      <w:r>
        <w:rPr>
          <w:rFonts w:eastAsia="Times New Roman" w:cs="Arial"/>
          <w:i/>
          <w:iCs/>
          <w:color w:val="000000"/>
        </w:rPr>
        <w:t xml:space="preserve">Strickland </w:t>
      </w:r>
      <w:r>
        <w:rPr>
          <w:rFonts w:eastAsia="Times New Roman" w:cs="Arial"/>
          <w:color w:val="000000"/>
        </w:rPr>
        <w:t>must be applied in the capital habeas context “</w:t>
      </w:r>
      <w:r w:rsidR="004F33FB">
        <w:rPr>
          <w:rFonts w:eastAsia="Times New Roman" w:cs="Arial"/>
          <w:color w:val="000000"/>
        </w:rPr>
        <w:t> </w:t>
      </w:r>
      <w:r w:rsidR="00A852AA">
        <w:rPr>
          <w:rFonts w:eastAsia="Times New Roman" w:cs="Arial"/>
          <w:color w:val="000000"/>
        </w:rPr>
        <w:t>‘</w:t>
      </w:r>
      <w:r>
        <w:rPr>
          <w:rFonts w:eastAsia="Times New Roman" w:cs="Arial"/>
          <w:color w:val="000000"/>
        </w:rPr>
        <w:t xml:space="preserve">with scrupulous care, lest </w:t>
      </w:r>
      <w:r w:rsidR="007D7312">
        <w:rPr>
          <w:rFonts w:eastAsia="Times New Roman" w:cs="Arial"/>
          <w:color w:val="000000"/>
        </w:rPr>
        <w:t>“</w:t>
      </w:r>
      <w:r>
        <w:rPr>
          <w:rFonts w:eastAsia="Times New Roman" w:cs="Arial"/>
          <w:color w:val="000000"/>
        </w:rPr>
        <w:t>intrusive post-trial inquiry</w:t>
      </w:r>
      <w:r w:rsidR="007D7312">
        <w:rPr>
          <w:rFonts w:eastAsia="Times New Roman" w:cs="Arial"/>
          <w:color w:val="000000"/>
        </w:rPr>
        <w:t>”</w:t>
      </w:r>
      <w:r>
        <w:rPr>
          <w:rFonts w:eastAsia="Times New Roman" w:cs="Arial"/>
          <w:color w:val="000000"/>
        </w:rPr>
        <w:t xml:space="preserve"> threaten the integrity of the very adversary process the right to counsel is meant to serve.</w:t>
      </w:r>
      <w:r w:rsidR="007D7312">
        <w:rPr>
          <w:rFonts w:eastAsia="Times New Roman" w:cs="Arial"/>
          <w:color w:val="000000"/>
        </w:rPr>
        <w:t>’</w:t>
      </w:r>
      <w:r w:rsidR="004F33FB">
        <w:rPr>
          <w:rFonts w:eastAsia="Times New Roman" w:cs="Arial"/>
          <w:color w:val="000000"/>
        </w:rPr>
        <w:t> </w:t>
      </w:r>
      <w:r>
        <w:rPr>
          <w:rFonts w:eastAsia="Times New Roman" w:cs="Arial"/>
          <w:color w:val="000000"/>
        </w:rPr>
        <w:t>”  (</w:t>
      </w:r>
      <w:r w:rsidR="002A44CD">
        <w:rPr>
          <w:rFonts w:eastAsia="Times New Roman" w:cs="Arial"/>
          <w:i/>
          <w:iCs/>
          <w:color w:val="000000"/>
        </w:rPr>
        <w:t>Friend II</w:t>
      </w:r>
      <w:r w:rsidR="002A44CD">
        <w:rPr>
          <w:rFonts w:eastAsia="Times New Roman" w:cs="Arial"/>
          <w:color w:val="000000"/>
        </w:rPr>
        <w:t xml:space="preserve">, </w:t>
      </w:r>
      <w:r w:rsidRPr="006222EC" w:rsidR="006222EC">
        <w:rPr>
          <w:rFonts w:eastAsia="Times New Roman" w:cs="Arial"/>
          <w:i/>
          <w:iCs/>
          <w:color w:val="000000"/>
        </w:rPr>
        <w:t>supra</w:t>
      </w:r>
      <w:r w:rsidR="006222EC">
        <w:rPr>
          <w:rFonts w:eastAsia="Times New Roman" w:cs="Arial"/>
          <w:color w:val="000000"/>
        </w:rPr>
        <w:t xml:space="preserve">, </w:t>
      </w:r>
      <w:r w:rsidR="00175DAC">
        <w:rPr>
          <w:rFonts w:eastAsia="Times New Roman" w:cs="Arial"/>
          <w:color w:val="000000"/>
        </w:rPr>
        <w:t>76</w:t>
      </w:r>
      <w:r w:rsidR="004F33FB">
        <w:rPr>
          <w:rFonts w:eastAsia="Times New Roman" w:cs="Arial"/>
          <w:color w:val="000000"/>
        </w:rPr>
        <w:t> </w:t>
      </w:r>
      <w:r w:rsidR="00175DAC">
        <w:rPr>
          <w:rFonts w:eastAsia="Times New Roman" w:cs="Arial"/>
          <w:color w:val="000000"/>
        </w:rPr>
        <w:t>Cal</w:t>
      </w:r>
      <w:r w:rsidR="006222EC">
        <w:rPr>
          <w:rFonts w:eastAsia="Times New Roman" w:cs="Arial"/>
          <w:color w:val="000000"/>
        </w:rPr>
        <w:t>.</w:t>
      </w:r>
      <w:r w:rsidR="00175DAC">
        <w:rPr>
          <w:rFonts w:eastAsia="Times New Roman" w:cs="Arial"/>
          <w:color w:val="000000"/>
        </w:rPr>
        <w:t xml:space="preserve">App.5th </w:t>
      </w:r>
      <w:r>
        <w:rPr>
          <w:rFonts w:eastAsia="Times New Roman" w:cs="Arial"/>
          <w:color w:val="000000"/>
        </w:rPr>
        <w:t>at p.</w:t>
      </w:r>
      <w:r w:rsidR="004F33FB">
        <w:rPr>
          <w:rFonts w:eastAsia="Times New Roman" w:cs="Arial"/>
          <w:color w:val="000000"/>
        </w:rPr>
        <w:t> </w:t>
      </w:r>
      <w:r>
        <w:rPr>
          <w:rFonts w:eastAsia="Times New Roman" w:cs="Arial"/>
          <w:color w:val="000000"/>
        </w:rPr>
        <w:t>637</w:t>
      </w:r>
      <w:r w:rsidR="009E575A">
        <w:rPr>
          <w:rFonts w:eastAsia="Times New Roman" w:cs="Arial"/>
          <w:color w:val="000000"/>
        </w:rPr>
        <w:t>,</w:t>
      </w:r>
      <w:r>
        <w:rPr>
          <w:rFonts w:eastAsia="Times New Roman" w:cs="Arial"/>
          <w:color w:val="000000"/>
        </w:rPr>
        <w:t xml:space="preserve"> quoting </w:t>
      </w:r>
      <w:r>
        <w:rPr>
          <w:rFonts w:eastAsia="Times New Roman" w:cs="Arial"/>
          <w:i/>
          <w:iCs/>
          <w:color w:val="000000"/>
        </w:rPr>
        <w:t>Richter</w:t>
      </w:r>
      <w:r>
        <w:rPr>
          <w:rFonts w:eastAsia="Times New Roman" w:cs="Arial"/>
          <w:color w:val="000000"/>
        </w:rPr>
        <w:t xml:space="preserve">, </w:t>
      </w:r>
      <w:r>
        <w:rPr>
          <w:rFonts w:eastAsia="Times New Roman" w:cs="Arial"/>
          <w:i/>
          <w:iCs/>
          <w:color w:val="000000"/>
        </w:rPr>
        <w:t>supra</w:t>
      </w:r>
      <w:r>
        <w:rPr>
          <w:rFonts w:eastAsia="Times New Roman" w:cs="Arial"/>
          <w:color w:val="000000"/>
        </w:rPr>
        <w:t>, 562</w:t>
      </w:r>
      <w:r w:rsidR="004F33FB">
        <w:rPr>
          <w:rFonts w:eastAsia="Times New Roman" w:cs="Arial"/>
          <w:color w:val="000000"/>
        </w:rPr>
        <w:t> </w:t>
      </w:r>
      <w:r>
        <w:rPr>
          <w:rFonts w:eastAsia="Times New Roman" w:cs="Arial"/>
          <w:color w:val="000000"/>
        </w:rPr>
        <w:t>U.S. at p.</w:t>
      </w:r>
      <w:r w:rsidR="004F33FB">
        <w:rPr>
          <w:rFonts w:eastAsia="Times New Roman" w:cs="Arial"/>
          <w:color w:val="000000"/>
        </w:rPr>
        <w:t> </w:t>
      </w:r>
      <w:r>
        <w:rPr>
          <w:rFonts w:eastAsia="Times New Roman" w:cs="Arial"/>
          <w:color w:val="000000"/>
        </w:rPr>
        <w:t xml:space="preserve">105.)  By scrupulously applying </w:t>
      </w:r>
      <w:r>
        <w:rPr>
          <w:rFonts w:eastAsia="Times New Roman" w:cs="Arial"/>
          <w:i/>
          <w:iCs/>
          <w:color w:val="000000"/>
        </w:rPr>
        <w:t>Strickland</w:t>
      </w:r>
      <w:r>
        <w:rPr>
          <w:rFonts w:eastAsia="Times New Roman" w:cs="Arial"/>
          <w:color w:val="000000"/>
        </w:rPr>
        <w:t xml:space="preserve"> and imposing a strict pleading requirement, courts can </w:t>
      </w:r>
      <w:r w:rsidR="00A96B36">
        <w:rPr>
          <w:rFonts w:eastAsia="Times New Roman" w:cs="Arial"/>
          <w:color w:val="000000"/>
        </w:rPr>
        <w:t>“</w:t>
      </w:r>
      <w:r>
        <w:rPr>
          <w:rFonts w:eastAsia="Times New Roman" w:cs="Arial"/>
          <w:color w:val="000000"/>
        </w:rPr>
        <w:t>guard against easy sidestepping of the successiveness bar</w:t>
      </w:r>
      <w:r w:rsidR="00162FB8">
        <w:rPr>
          <w:rFonts w:eastAsia="Times New Roman" w:cs="Arial"/>
          <w:color w:val="000000"/>
        </w:rPr>
        <w:t>”</w:t>
      </w:r>
      <w:r>
        <w:rPr>
          <w:rFonts w:eastAsia="Times New Roman" w:cs="Arial"/>
          <w:color w:val="000000"/>
        </w:rPr>
        <w:t xml:space="preserve"> and promote the goals of Proposition 66</w:t>
      </w:r>
      <w:r w:rsidR="002800DB">
        <w:rPr>
          <w:rFonts w:eastAsia="Times New Roman" w:cs="Arial"/>
          <w:color w:val="000000"/>
        </w:rPr>
        <w:t>’</w:t>
      </w:r>
      <w:r>
        <w:rPr>
          <w:rFonts w:eastAsia="Times New Roman" w:cs="Arial"/>
          <w:color w:val="000000"/>
        </w:rPr>
        <w:t xml:space="preserve">s death penalty reforms. </w:t>
      </w:r>
      <w:r w:rsidR="00B457F4">
        <w:rPr>
          <w:rFonts w:eastAsia="Times New Roman" w:cs="Arial"/>
          <w:color w:val="000000"/>
        </w:rPr>
        <w:t xml:space="preserve"> </w:t>
      </w:r>
      <w:r>
        <w:rPr>
          <w:rFonts w:eastAsia="Times New Roman" w:cs="Arial"/>
          <w:color w:val="000000"/>
        </w:rPr>
        <w:t>(</w:t>
      </w:r>
      <w:r>
        <w:rPr>
          <w:rFonts w:eastAsia="Times New Roman" w:cs="Arial"/>
          <w:i/>
          <w:iCs/>
          <w:color w:val="000000"/>
        </w:rPr>
        <w:t>Friend II</w:t>
      </w:r>
      <w:r>
        <w:rPr>
          <w:rFonts w:eastAsia="Times New Roman" w:cs="Arial"/>
          <w:color w:val="000000"/>
        </w:rPr>
        <w:t>, at p.</w:t>
      </w:r>
      <w:r w:rsidR="00BD4630">
        <w:rPr>
          <w:rFonts w:eastAsia="Times New Roman" w:cs="Arial"/>
          <w:color w:val="000000"/>
        </w:rPr>
        <w:t> </w:t>
      </w:r>
      <w:r>
        <w:rPr>
          <w:rFonts w:eastAsia="Times New Roman" w:cs="Arial"/>
          <w:color w:val="000000"/>
        </w:rPr>
        <w:t xml:space="preserve">637.)  </w:t>
      </w:r>
    </w:p>
    <w:p w:rsidR="00E239B9" w:rsidP="00E142E6" w14:paraId="56A7A0A5" w14:textId="4BCFAF41">
      <w:pPr>
        <w:shd w:val="clear" w:color="auto" w:fill="FFFFFF"/>
        <w:rPr>
          <w:rFonts w:eastAsia="Times New Roman" w:cs="Times New Roman"/>
          <w:color w:val="000000"/>
        </w:rPr>
      </w:pPr>
      <w:r>
        <w:rPr>
          <w:rFonts w:eastAsia="Times New Roman" w:cs="Arial"/>
          <w:color w:val="000000"/>
        </w:rPr>
        <w:t xml:space="preserve">One additional aspect of the holding in </w:t>
      </w:r>
      <w:r>
        <w:rPr>
          <w:rFonts w:eastAsia="Times New Roman" w:cs="Arial"/>
          <w:i/>
          <w:iCs/>
          <w:color w:val="000000"/>
        </w:rPr>
        <w:t>Friend II</w:t>
      </w:r>
      <w:r>
        <w:rPr>
          <w:rFonts w:eastAsia="Times New Roman" w:cs="Arial"/>
          <w:color w:val="000000"/>
        </w:rPr>
        <w:t xml:space="preserve"> is especially relevant here.  Not only must the </w:t>
      </w:r>
      <w:r>
        <w:rPr>
          <w:rFonts w:eastAsia="Times New Roman" w:cs="Arial"/>
          <w:i/>
          <w:iCs/>
          <w:color w:val="000000"/>
        </w:rPr>
        <w:t>Strickland</w:t>
      </w:r>
      <w:r>
        <w:rPr>
          <w:rFonts w:eastAsia="Times New Roman" w:cs="Arial"/>
          <w:color w:val="000000"/>
        </w:rPr>
        <w:t xml:space="preserve"> standard be applied scrupulously, the </w:t>
      </w:r>
      <w:r>
        <w:rPr>
          <w:rFonts w:eastAsia="Times New Roman" w:cs="Arial"/>
          <w:i/>
          <w:iCs/>
          <w:color w:val="000000"/>
        </w:rPr>
        <w:t>Friend II</w:t>
      </w:r>
      <w:r>
        <w:rPr>
          <w:rFonts w:eastAsia="Times New Roman" w:cs="Arial"/>
          <w:color w:val="000000"/>
        </w:rPr>
        <w:t xml:space="preserve"> panel explained, but </w:t>
      </w:r>
      <w:r>
        <w:rPr>
          <w:rFonts w:eastAsia="Times New Roman" w:cs="Times New Roman"/>
          <w:color w:val="000000"/>
        </w:rPr>
        <w:t>“it [is] equally important</w:t>
      </w:r>
      <w:r w:rsidR="000975C1">
        <w:rPr>
          <w:rFonts w:eastAsia="Times New Roman" w:cs="Times New Roman"/>
          <w:color w:val="000000"/>
        </w:rPr>
        <w:t>”</w:t>
      </w:r>
      <w:r>
        <w:rPr>
          <w:rFonts w:eastAsia="Times New Roman" w:cs="Times New Roman"/>
          <w:color w:val="000000"/>
        </w:rPr>
        <w:t xml:space="preserve"> that a capital habeas</w:t>
      </w:r>
      <w:r w:rsidR="008F1F38">
        <w:rPr>
          <w:rFonts w:eastAsia="Times New Roman" w:cs="Times New Roman"/>
          <w:color w:val="000000"/>
        </w:rPr>
        <w:t xml:space="preserve"> corpus</w:t>
      </w:r>
      <w:r>
        <w:rPr>
          <w:rFonts w:eastAsia="Times New Roman" w:cs="Times New Roman"/>
          <w:color w:val="000000"/>
        </w:rPr>
        <w:t xml:space="preserve"> petitioner</w:t>
      </w:r>
      <w:r w:rsidR="0069176C">
        <w:rPr>
          <w:rFonts w:eastAsia="Times New Roman" w:cs="Times New Roman"/>
          <w:color w:val="000000"/>
        </w:rPr>
        <w:t>’</w:t>
      </w:r>
      <w:r>
        <w:rPr>
          <w:rFonts w:eastAsia="Times New Roman" w:cs="Times New Roman"/>
          <w:color w:val="000000"/>
        </w:rPr>
        <w:t xml:space="preserve">s request to the </w:t>
      </w:r>
      <w:r w:rsidR="00617C48">
        <w:rPr>
          <w:rFonts w:eastAsia="Times New Roman" w:cs="Times New Roman"/>
          <w:color w:val="000000"/>
        </w:rPr>
        <w:t>C</w:t>
      </w:r>
      <w:r w:rsidR="00A91E0C">
        <w:rPr>
          <w:rFonts w:eastAsia="Times New Roman" w:cs="Times New Roman"/>
          <w:color w:val="000000"/>
        </w:rPr>
        <w:t xml:space="preserve">ourt of </w:t>
      </w:r>
      <w:r w:rsidR="00617C48">
        <w:rPr>
          <w:rFonts w:eastAsia="Times New Roman" w:cs="Times New Roman"/>
          <w:color w:val="000000"/>
        </w:rPr>
        <w:t>A</w:t>
      </w:r>
      <w:r w:rsidR="00A91E0C">
        <w:rPr>
          <w:rFonts w:eastAsia="Times New Roman" w:cs="Times New Roman"/>
          <w:color w:val="000000"/>
        </w:rPr>
        <w:t>ppeal</w:t>
      </w:r>
      <w:r>
        <w:rPr>
          <w:rFonts w:eastAsia="Times New Roman" w:cs="Times New Roman"/>
          <w:color w:val="000000"/>
        </w:rPr>
        <w:t xml:space="preserve"> for a </w:t>
      </w:r>
      <w:r w:rsidR="00453A64">
        <w:rPr>
          <w:rFonts w:eastAsia="Times New Roman" w:cs="Times New Roman"/>
          <w:color w:val="000000"/>
        </w:rPr>
        <w:t>COA</w:t>
      </w:r>
      <w:r w:rsidR="0069176C">
        <w:rPr>
          <w:rFonts w:eastAsia="Times New Roman" w:cs="Times New Roman"/>
          <w:color w:val="000000"/>
        </w:rPr>
        <w:t xml:space="preserve"> </w:t>
      </w:r>
      <w:r w:rsidR="001651C2">
        <w:rPr>
          <w:rFonts w:eastAsia="Times New Roman" w:cs="Times New Roman"/>
          <w:color w:val="000000"/>
        </w:rPr>
        <w:t>“</w:t>
      </w:r>
      <w:r w:rsidR="00ED537E">
        <w:rPr>
          <w:rFonts w:eastAsia="Times New Roman" w:cs="Times New Roman"/>
          <w:color w:val="000000"/>
        </w:rPr>
        <w:t> </w:t>
      </w:r>
      <w:r w:rsidR="00975AD4">
        <w:rPr>
          <w:rFonts w:eastAsia="Times New Roman" w:cs="Times New Roman"/>
          <w:color w:val="000000"/>
        </w:rPr>
        <w:t>‘</w:t>
      </w:r>
      <w:r>
        <w:rPr>
          <w:rFonts w:eastAsia="Times New Roman" w:cs="Times New Roman"/>
          <w:color w:val="000000"/>
        </w:rPr>
        <w:t xml:space="preserve">include copies of reasonably </w:t>
      </w:r>
      <w:r w:rsidRPr="00C83796">
        <w:rPr>
          <w:rFonts w:eastAsia="Times New Roman" w:cs="Times New Roman"/>
          <w:color w:val="000000"/>
        </w:rPr>
        <w:t>available documentary evidence supporting the claim, including pertinent portions of trial transcripts and affidavits or declarations.</w:t>
      </w:r>
      <w:r w:rsidRPr="00C83796" w:rsidR="00975AD4">
        <w:rPr>
          <w:rFonts w:eastAsia="Times New Roman" w:cs="Times New Roman"/>
          <w:color w:val="000000"/>
        </w:rPr>
        <w:t>’</w:t>
      </w:r>
      <w:r w:rsidR="00ED537E">
        <w:rPr>
          <w:rFonts w:eastAsia="Times New Roman" w:cs="Times New Roman"/>
          <w:color w:val="000000"/>
        </w:rPr>
        <w:t> </w:t>
      </w:r>
      <w:r w:rsidRPr="00C83796">
        <w:rPr>
          <w:rFonts w:eastAsia="Times New Roman" w:cs="Times New Roman"/>
          <w:color w:val="000000"/>
        </w:rPr>
        <w:t>”  (</w:t>
      </w:r>
      <w:r w:rsidRPr="00C83796">
        <w:rPr>
          <w:rFonts w:eastAsia="Times New Roman" w:cs="Times New Roman"/>
          <w:i/>
          <w:iCs/>
          <w:color w:val="000000"/>
        </w:rPr>
        <w:t>Friend II</w:t>
      </w:r>
      <w:r w:rsidRPr="00C83796">
        <w:rPr>
          <w:rFonts w:eastAsia="Times New Roman" w:cs="Times New Roman"/>
          <w:color w:val="000000"/>
        </w:rPr>
        <w:t xml:space="preserve">, </w:t>
      </w:r>
      <w:r w:rsidRPr="00C83796">
        <w:rPr>
          <w:rFonts w:eastAsia="Times New Roman" w:cs="Times New Roman"/>
          <w:i/>
          <w:iCs/>
          <w:color w:val="000000"/>
        </w:rPr>
        <w:t>supra</w:t>
      </w:r>
      <w:r w:rsidRPr="00C83796">
        <w:rPr>
          <w:rFonts w:eastAsia="Times New Roman" w:cs="Times New Roman"/>
          <w:color w:val="000000"/>
        </w:rPr>
        <w:t>, 76</w:t>
      </w:r>
      <w:r w:rsidR="00ED537E">
        <w:rPr>
          <w:rFonts w:eastAsia="Times New Roman" w:cs="Times New Roman"/>
          <w:color w:val="000000"/>
        </w:rPr>
        <w:t> </w:t>
      </w:r>
      <w:r w:rsidRPr="00C83796">
        <w:rPr>
          <w:rFonts w:eastAsia="Times New Roman" w:cs="Times New Roman"/>
          <w:color w:val="000000"/>
        </w:rPr>
        <w:t>Cal.App.5th at p.</w:t>
      </w:r>
      <w:r w:rsidR="00ED537E">
        <w:rPr>
          <w:rFonts w:eastAsia="Times New Roman" w:cs="Times New Roman"/>
          <w:color w:val="000000"/>
        </w:rPr>
        <w:t> </w:t>
      </w:r>
      <w:r w:rsidRPr="00C83796">
        <w:rPr>
          <w:rFonts w:eastAsia="Times New Roman" w:cs="Times New Roman"/>
          <w:color w:val="000000"/>
        </w:rPr>
        <w:t>6</w:t>
      </w:r>
      <w:r w:rsidR="0004149F">
        <w:rPr>
          <w:rFonts w:eastAsia="Times New Roman" w:cs="Times New Roman"/>
          <w:color w:val="000000"/>
        </w:rPr>
        <w:t>37</w:t>
      </w:r>
      <w:r w:rsidRPr="00C83796" w:rsidR="00C83796">
        <w:rPr>
          <w:rFonts w:eastAsia="Times New Roman" w:cs="Times New Roman"/>
          <w:color w:val="000000"/>
        </w:rPr>
        <w:t xml:space="preserve">, quoting </w:t>
      </w:r>
      <w:r w:rsidRPr="00C83796" w:rsidR="00C83796">
        <w:rPr>
          <w:rFonts w:eastAsia="Times New Roman" w:cs="Times New Roman"/>
          <w:i/>
          <w:iCs/>
          <w:color w:val="3D3D3D"/>
          <w:bdr w:val="none" w:sz="0" w:space="0" w:color="auto" w:frame="1"/>
        </w:rPr>
        <w:t>People v. Duvall</w:t>
      </w:r>
      <w:r w:rsidRPr="00C83796" w:rsidR="00C83796">
        <w:rPr>
          <w:rFonts w:eastAsia="Times New Roman" w:cs="Times New Roman"/>
          <w:color w:val="000000"/>
        </w:rPr>
        <w:t xml:space="preserve"> (1995) 9</w:t>
      </w:r>
      <w:r w:rsidR="00ED537E">
        <w:rPr>
          <w:rFonts w:eastAsia="Times New Roman" w:cs="Times New Roman"/>
          <w:color w:val="000000"/>
        </w:rPr>
        <w:t> </w:t>
      </w:r>
      <w:r w:rsidRPr="00C83796" w:rsidR="00C83796">
        <w:rPr>
          <w:rFonts w:eastAsia="Times New Roman" w:cs="Times New Roman"/>
          <w:color w:val="000000"/>
        </w:rPr>
        <w:t>Cal.4th 464, 474</w:t>
      </w:r>
      <w:r w:rsidRPr="00C83796">
        <w:rPr>
          <w:rFonts w:eastAsia="Times New Roman" w:cs="Times New Roman"/>
          <w:color w:val="000000"/>
        </w:rPr>
        <w:t xml:space="preserve">.) </w:t>
      </w:r>
      <w:r w:rsidR="00F67DDC">
        <w:rPr>
          <w:rFonts w:eastAsia="Times New Roman" w:cs="Times New Roman"/>
          <w:color w:val="000000"/>
        </w:rPr>
        <w:t xml:space="preserve"> </w:t>
      </w:r>
      <w:r w:rsidR="00316D97">
        <w:rPr>
          <w:rFonts w:eastAsia="Times New Roman" w:cs="Times New Roman"/>
          <w:color w:val="000000"/>
        </w:rPr>
        <w:t>“[T]</w:t>
      </w:r>
      <w:r w:rsidRPr="00C83796">
        <w:rPr>
          <w:rFonts w:eastAsia="Times New Roman" w:cs="Times New Roman"/>
          <w:color w:val="000000"/>
        </w:rPr>
        <w:t>he pre-Proposition 66</w:t>
      </w:r>
      <w:r>
        <w:rPr>
          <w:rFonts w:eastAsia="Times New Roman" w:cs="Times New Roman"/>
          <w:color w:val="000000"/>
        </w:rPr>
        <w:t xml:space="preserve"> practice of simply citing to transcript pages in the record is unhelpful to a meaningful evaluation of whether the requisite substantial claims have been presented.”  (</w:t>
      </w:r>
      <w:r w:rsidR="001C0564">
        <w:rPr>
          <w:rFonts w:eastAsia="Times New Roman" w:cs="Times New Roman"/>
          <w:i/>
          <w:iCs/>
          <w:color w:val="000000"/>
        </w:rPr>
        <w:t>Friend</w:t>
      </w:r>
      <w:r w:rsidR="00915F93">
        <w:rPr>
          <w:rFonts w:eastAsia="Times New Roman" w:cs="Times New Roman"/>
          <w:i/>
          <w:iCs/>
          <w:color w:val="000000"/>
        </w:rPr>
        <w:t xml:space="preserve"> II,</w:t>
      </w:r>
      <w:r w:rsidR="004976F4">
        <w:rPr>
          <w:rFonts w:eastAsia="Times New Roman" w:cs="Times New Roman"/>
          <w:color w:val="000000"/>
        </w:rPr>
        <w:t xml:space="preserve"> at p.</w:t>
      </w:r>
      <w:r w:rsidR="004B6D8B">
        <w:rPr>
          <w:rFonts w:eastAsia="Times New Roman" w:cs="Times New Roman"/>
          <w:color w:val="000000"/>
        </w:rPr>
        <w:t> </w:t>
      </w:r>
      <w:r w:rsidR="004976F4">
        <w:rPr>
          <w:rFonts w:eastAsia="Times New Roman" w:cs="Times New Roman"/>
          <w:color w:val="000000"/>
        </w:rPr>
        <w:t>637</w:t>
      </w:r>
      <w:r>
        <w:rPr>
          <w:rFonts w:eastAsia="Times New Roman" w:cs="Times New Roman"/>
          <w:color w:val="000000"/>
        </w:rPr>
        <w:t xml:space="preserve">.)  </w:t>
      </w:r>
    </w:p>
    <w:p w:rsidR="006E6F26" w:rsidP="004D5213" w14:paraId="60710BF8" w14:textId="6330F9E6">
      <w:pPr>
        <w:shd w:val="clear" w:color="auto" w:fill="FFFFFF"/>
        <w:rPr>
          <w:rFonts w:eastAsia="Times New Roman" w:cs="Times New Roman"/>
          <w:color w:val="000000"/>
        </w:rPr>
      </w:pPr>
      <w:r>
        <w:rPr>
          <w:rFonts w:eastAsia="Times New Roman" w:cs="Times New Roman"/>
          <w:color w:val="000000"/>
        </w:rPr>
        <w:t>O</w:t>
      </w:r>
      <w:r w:rsidR="00036DD8">
        <w:rPr>
          <w:rFonts w:eastAsia="Times New Roman" w:cs="Times New Roman"/>
          <w:color w:val="000000"/>
        </w:rPr>
        <w:t xml:space="preserve">ne </w:t>
      </w:r>
      <w:r w:rsidR="00E209A1">
        <w:rPr>
          <w:rFonts w:eastAsia="Times New Roman" w:cs="Times New Roman"/>
          <w:color w:val="000000"/>
        </w:rPr>
        <w:t xml:space="preserve">approach to meeting this burden </w:t>
      </w:r>
      <w:r w:rsidR="00783070">
        <w:rPr>
          <w:rFonts w:eastAsia="Times New Roman" w:cs="Times New Roman"/>
          <w:color w:val="000000"/>
        </w:rPr>
        <w:t>m</w:t>
      </w:r>
      <w:r w:rsidR="00865230">
        <w:rPr>
          <w:rFonts w:eastAsia="Times New Roman" w:cs="Times New Roman"/>
          <w:color w:val="000000"/>
        </w:rPr>
        <w:t xml:space="preserve">ight </w:t>
      </w:r>
      <w:r w:rsidR="00783070">
        <w:rPr>
          <w:rFonts w:eastAsia="Times New Roman" w:cs="Times New Roman"/>
          <w:color w:val="000000"/>
        </w:rPr>
        <w:t xml:space="preserve">be to </w:t>
      </w:r>
      <w:r w:rsidR="00036DD8">
        <w:rPr>
          <w:rFonts w:eastAsia="Times New Roman" w:cs="Times New Roman"/>
          <w:color w:val="000000"/>
        </w:rPr>
        <w:t>“lodge” the “</w:t>
      </w:r>
      <w:r w:rsidR="00350755">
        <w:rPr>
          <w:rFonts w:eastAsia="Times New Roman" w:cs="Times New Roman"/>
          <w:color w:val="000000"/>
        </w:rPr>
        <w:t>capital record on appeal</w:t>
      </w:r>
      <w:r w:rsidR="00512AB2">
        <w:rPr>
          <w:rFonts w:eastAsia="Times New Roman" w:cs="Times New Roman"/>
          <w:color w:val="000000"/>
        </w:rPr>
        <w:t xml:space="preserve"> </w:t>
      </w:r>
      <w:r w:rsidRPr="00512AB2" w:rsidR="00512AB2">
        <w:rPr>
          <w:rFonts w:eastAsia="Times New Roman" w:cs="Times New Roman"/>
          <w:color w:val="000000"/>
        </w:rPr>
        <w:t>. . .</w:t>
      </w:r>
      <w:r w:rsidR="00512AB2">
        <w:rPr>
          <w:rFonts w:eastAsia="Times New Roman" w:cs="Times New Roman"/>
          <w:color w:val="000000"/>
        </w:rPr>
        <w:t xml:space="preserve"> </w:t>
      </w:r>
      <w:r w:rsidR="00780AFD">
        <w:rPr>
          <w:rFonts w:eastAsia="Times New Roman" w:cs="Times New Roman"/>
          <w:color w:val="000000"/>
        </w:rPr>
        <w:t>with the appellate court”</w:t>
      </w:r>
      <w:r w:rsidR="001E2E69">
        <w:rPr>
          <w:rFonts w:eastAsia="Times New Roman" w:cs="Times New Roman"/>
          <w:color w:val="000000"/>
        </w:rPr>
        <w:t xml:space="preserve"> </w:t>
      </w:r>
      <w:r w:rsidRPr="00C83796" w:rsidR="005E178A">
        <w:rPr>
          <w:rFonts w:eastAsia="Times New Roman" w:cs="Times New Roman"/>
          <w:color w:val="000000"/>
        </w:rPr>
        <w:t>(</w:t>
      </w:r>
      <w:r w:rsidRPr="00C83796" w:rsidR="005E178A">
        <w:rPr>
          <w:rFonts w:eastAsia="Times New Roman" w:cs="Times New Roman"/>
          <w:i/>
          <w:iCs/>
          <w:color w:val="000000"/>
        </w:rPr>
        <w:t>Friend II</w:t>
      </w:r>
      <w:r w:rsidRPr="00C83796" w:rsidR="005E178A">
        <w:rPr>
          <w:rFonts w:eastAsia="Times New Roman" w:cs="Times New Roman"/>
          <w:color w:val="000000"/>
        </w:rPr>
        <w:t xml:space="preserve">, </w:t>
      </w:r>
      <w:r w:rsidRPr="00C83796" w:rsidR="005E178A">
        <w:rPr>
          <w:rFonts w:eastAsia="Times New Roman" w:cs="Times New Roman"/>
          <w:i/>
          <w:iCs/>
          <w:color w:val="000000"/>
        </w:rPr>
        <w:t>supra</w:t>
      </w:r>
      <w:r w:rsidRPr="00C83796" w:rsidR="005E178A">
        <w:rPr>
          <w:rFonts w:eastAsia="Times New Roman" w:cs="Times New Roman"/>
          <w:color w:val="000000"/>
        </w:rPr>
        <w:t>, 76</w:t>
      </w:r>
      <w:r w:rsidR="00116FB3">
        <w:rPr>
          <w:rFonts w:eastAsia="Times New Roman" w:cs="Times New Roman"/>
          <w:color w:val="000000"/>
        </w:rPr>
        <w:t> </w:t>
      </w:r>
      <w:r w:rsidRPr="00C83796" w:rsidR="005E178A">
        <w:rPr>
          <w:rFonts w:eastAsia="Times New Roman" w:cs="Times New Roman"/>
          <w:color w:val="000000"/>
        </w:rPr>
        <w:t>Cal.App.5th at p.</w:t>
      </w:r>
      <w:r w:rsidR="00116FB3">
        <w:rPr>
          <w:rFonts w:eastAsia="Times New Roman" w:cs="Times New Roman"/>
          <w:color w:val="000000"/>
        </w:rPr>
        <w:t> </w:t>
      </w:r>
      <w:r w:rsidRPr="00C83796" w:rsidR="005E178A">
        <w:rPr>
          <w:rFonts w:eastAsia="Times New Roman" w:cs="Times New Roman"/>
          <w:color w:val="000000"/>
        </w:rPr>
        <w:t>628</w:t>
      </w:r>
      <w:r w:rsidR="00783070">
        <w:rPr>
          <w:rFonts w:eastAsia="Times New Roman" w:cs="Times New Roman"/>
          <w:color w:val="000000"/>
        </w:rPr>
        <w:t>),</w:t>
      </w:r>
      <w:r w:rsidR="00E42379">
        <w:rPr>
          <w:rFonts w:eastAsia="Times New Roman" w:cs="Times New Roman"/>
          <w:color w:val="000000"/>
        </w:rPr>
        <w:t xml:space="preserve"> </w:t>
      </w:r>
      <w:r>
        <w:rPr>
          <w:rFonts w:eastAsia="Times New Roman" w:cs="Times New Roman"/>
          <w:color w:val="000000"/>
        </w:rPr>
        <w:t xml:space="preserve">but </w:t>
      </w:r>
      <w:r w:rsidR="00E42379">
        <w:rPr>
          <w:rFonts w:eastAsia="Times New Roman" w:cs="Times New Roman"/>
          <w:color w:val="000000"/>
        </w:rPr>
        <w:t xml:space="preserve">the governing rules of court do not currently </w:t>
      </w:r>
      <w:r w:rsidRPr="00124DAF" w:rsidR="00E42379">
        <w:rPr>
          <w:rFonts w:eastAsia="Times New Roman" w:cs="Times New Roman"/>
          <w:i/>
          <w:iCs/>
          <w:color w:val="000000"/>
        </w:rPr>
        <w:t>require</w:t>
      </w:r>
      <w:r w:rsidR="00E42379">
        <w:rPr>
          <w:rFonts w:eastAsia="Times New Roman" w:cs="Times New Roman"/>
          <w:color w:val="000000"/>
        </w:rPr>
        <w:t xml:space="preserve"> it</w:t>
      </w:r>
      <w:r w:rsidR="001624E9">
        <w:rPr>
          <w:rFonts w:eastAsia="Times New Roman" w:cs="Times New Roman"/>
          <w:color w:val="000000"/>
        </w:rPr>
        <w:t>.</w:t>
      </w:r>
      <w:r w:rsidR="00284F81">
        <w:rPr>
          <w:rFonts w:eastAsia="Times New Roman" w:cs="Times New Roman"/>
          <w:color w:val="000000"/>
        </w:rPr>
        <w:t xml:space="preserve">  </w:t>
      </w:r>
      <w:r w:rsidR="001624E9">
        <w:rPr>
          <w:rFonts w:eastAsia="Times New Roman" w:cs="Times New Roman"/>
          <w:color w:val="000000"/>
        </w:rPr>
        <w:t xml:space="preserve">Indeed, </w:t>
      </w:r>
      <w:r w:rsidR="00BD24EA">
        <w:rPr>
          <w:rFonts w:eastAsia="Times New Roman" w:cs="Times New Roman"/>
          <w:color w:val="000000"/>
        </w:rPr>
        <w:t>under those rules</w:t>
      </w:r>
      <w:r w:rsidR="00996F44">
        <w:rPr>
          <w:rFonts w:eastAsia="Times New Roman" w:cs="Times New Roman"/>
          <w:color w:val="000000"/>
        </w:rPr>
        <w:t xml:space="preserve">, </w:t>
      </w:r>
      <w:r w:rsidR="0016407F">
        <w:rPr>
          <w:rFonts w:eastAsia="Times New Roman" w:cs="Times New Roman"/>
          <w:color w:val="000000"/>
        </w:rPr>
        <w:t xml:space="preserve">the </w:t>
      </w:r>
      <w:r w:rsidR="001605A4">
        <w:rPr>
          <w:rFonts w:eastAsia="Times New Roman" w:cs="Times New Roman"/>
          <w:color w:val="000000"/>
        </w:rPr>
        <w:t>process of preparing the record</w:t>
      </w:r>
      <w:r w:rsidR="00990CA6">
        <w:rPr>
          <w:rFonts w:eastAsia="Times New Roman" w:cs="Times New Roman"/>
          <w:color w:val="000000"/>
        </w:rPr>
        <w:t xml:space="preserve"> in a section 1509.1 appeal</w:t>
      </w:r>
      <w:r w:rsidR="00023712">
        <w:rPr>
          <w:rFonts w:eastAsia="Times New Roman" w:cs="Times New Roman"/>
          <w:color w:val="000000"/>
        </w:rPr>
        <w:t xml:space="preserve"> </w:t>
      </w:r>
      <w:r w:rsidR="00DA0767">
        <w:rPr>
          <w:rFonts w:eastAsia="Times New Roman" w:cs="Times New Roman"/>
          <w:color w:val="000000"/>
        </w:rPr>
        <w:t xml:space="preserve">does not even begin </w:t>
      </w:r>
      <w:r w:rsidR="00F90DB6">
        <w:rPr>
          <w:rFonts w:eastAsia="Times New Roman" w:cs="Times New Roman"/>
          <w:color w:val="000000"/>
        </w:rPr>
        <w:t>until a COA issues</w:t>
      </w:r>
      <w:r w:rsidR="00C7795F">
        <w:rPr>
          <w:rFonts w:eastAsia="Times New Roman" w:cs="Times New Roman"/>
          <w:color w:val="000000"/>
        </w:rPr>
        <w:t xml:space="preserve">. </w:t>
      </w:r>
      <w:r w:rsidR="00CE5C2D">
        <w:rPr>
          <w:rFonts w:eastAsia="Times New Roman" w:cs="Times New Roman"/>
          <w:color w:val="000000"/>
        </w:rPr>
        <w:t xml:space="preserve"> (</w:t>
      </w:r>
      <w:r w:rsidR="00C7795F">
        <w:rPr>
          <w:rFonts w:eastAsia="Times New Roman" w:cs="Times New Roman"/>
          <w:color w:val="000000"/>
        </w:rPr>
        <w:t>S</w:t>
      </w:r>
      <w:r w:rsidR="00CE5C2D">
        <w:rPr>
          <w:rFonts w:eastAsia="Times New Roman" w:cs="Times New Roman"/>
          <w:color w:val="000000"/>
        </w:rPr>
        <w:t>ee rule</w:t>
      </w:r>
      <w:r w:rsidR="00BD1815">
        <w:rPr>
          <w:rFonts w:eastAsia="Times New Roman" w:cs="Times New Roman"/>
          <w:color w:val="000000"/>
        </w:rPr>
        <w:t> </w:t>
      </w:r>
      <w:r w:rsidR="00CE5C2D">
        <w:rPr>
          <w:rFonts w:eastAsia="Times New Roman" w:cs="Times New Roman"/>
          <w:color w:val="000000"/>
        </w:rPr>
        <w:t>8.395(c)(2)(A)</w:t>
      </w:r>
      <w:r w:rsidR="00C7795F">
        <w:rPr>
          <w:rFonts w:eastAsia="Times New Roman" w:cs="Times New Roman"/>
          <w:color w:val="000000"/>
        </w:rPr>
        <w:t>.</w:t>
      </w:r>
      <w:r w:rsidR="00CE5C2D">
        <w:rPr>
          <w:rFonts w:eastAsia="Times New Roman" w:cs="Times New Roman"/>
          <w:color w:val="000000"/>
        </w:rPr>
        <w:t>)</w:t>
      </w:r>
      <w:r>
        <w:rPr>
          <w:rStyle w:val="FootnoteReference"/>
          <w:rFonts w:eastAsia="Times New Roman" w:cs="Times New Roman"/>
          <w:color w:val="000000"/>
        </w:rPr>
        <w:footnoteReference w:id="13"/>
      </w:r>
      <w:r w:rsidR="00674F6A">
        <w:rPr>
          <w:rFonts w:eastAsia="Times New Roman" w:cs="Times New Roman"/>
          <w:color w:val="000000"/>
        </w:rPr>
        <w:t xml:space="preserve"> </w:t>
      </w:r>
      <w:r w:rsidR="00F962FE">
        <w:rPr>
          <w:rFonts w:eastAsia="Times New Roman" w:cs="Times New Roman"/>
          <w:color w:val="000000"/>
        </w:rPr>
        <w:t xml:space="preserve"> </w:t>
      </w:r>
      <w:r w:rsidR="00311ECB">
        <w:rPr>
          <w:rFonts w:eastAsia="Times New Roman" w:cs="Times New Roman"/>
          <w:color w:val="000000"/>
        </w:rPr>
        <w:t xml:space="preserve">In the meantime, </w:t>
      </w:r>
      <w:r w:rsidR="00E239B9">
        <w:rPr>
          <w:rFonts w:eastAsia="Times New Roman" w:cs="Times New Roman"/>
          <w:color w:val="000000"/>
        </w:rPr>
        <w:t>indiscriminately providing the entire record of prior capital proceedings may well be counterproductive</w:t>
      </w:r>
      <w:r w:rsidR="000C6A4D">
        <w:rPr>
          <w:rFonts w:eastAsia="Times New Roman" w:cs="Times New Roman"/>
          <w:color w:val="000000"/>
        </w:rPr>
        <w:t xml:space="preserve">.  </w:t>
      </w:r>
      <w:r w:rsidR="00E239B9">
        <w:rPr>
          <w:rFonts w:eastAsia="Times New Roman" w:cs="Times New Roman"/>
          <w:color w:val="000000"/>
        </w:rPr>
        <w:t>Selectivity is always important in effective advocacy, but in the context of COA requests</w:t>
      </w:r>
      <w:r w:rsidR="0043617A">
        <w:rPr>
          <w:rFonts w:eastAsia="Times New Roman" w:cs="Times New Roman"/>
          <w:color w:val="000000"/>
        </w:rPr>
        <w:t xml:space="preserve"> in section 1509.1 appeals</w:t>
      </w:r>
      <w:r w:rsidR="00E239B9">
        <w:rPr>
          <w:rFonts w:eastAsia="Times New Roman" w:cs="Times New Roman"/>
          <w:color w:val="000000"/>
        </w:rPr>
        <w:t>, it is especially important given the exigencies of resolving these requests.</w:t>
      </w:r>
      <w:r>
        <w:rPr>
          <w:rStyle w:val="FootnoteReference"/>
          <w:rFonts w:eastAsia="Times New Roman" w:cs="Times New Roman"/>
          <w:color w:val="000000"/>
        </w:rPr>
        <w:footnoteReference w:id="14"/>
      </w:r>
    </w:p>
    <w:p w:rsidR="00EE7492" w:rsidP="004D5213" w14:paraId="2B1641FB" w14:textId="540B268D">
      <w:pPr>
        <w:shd w:val="clear" w:color="auto" w:fill="FFFFFF"/>
        <w:rPr>
          <w:rFonts w:eastAsia="Times New Roman" w:cs="Times New Roman"/>
          <w:color w:val="000000"/>
        </w:rPr>
      </w:pPr>
      <w:r>
        <w:rPr>
          <w:rFonts w:eastAsia="Times New Roman" w:cs="Times New Roman"/>
          <w:color w:val="000000"/>
        </w:rPr>
        <w:t xml:space="preserve">While </w:t>
      </w:r>
      <w:r w:rsidR="00F7783C">
        <w:rPr>
          <w:rFonts w:eastAsia="Times New Roman" w:cs="Times New Roman"/>
          <w:color w:val="000000"/>
        </w:rPr>
        <w:t xml:space="preserve">there is no requirement that </w:t>
      </w:r>
      <w:r w:rsidR="00F453CC">
        <w:rPr>
          <w:rFonts w:eastAsia="Times New Roman" w:cs="Times New Roman"/>
          <w:color w:val="000000"/>
        </w:rPr>
        <w:t xml:space="preserve">putative appellants in section 1509.1 appeals </w:t>
      </w:r>
      <w:r w:rsidR="00F90176">
        <w:rPr>
          <w:rFonts w:eastAsia="Times New Roman" w:cs="Times New Roman"/>
          <w:color w:val="000000"/>
        </w:rPr>
        <w:t xml:space="preserve">provide </w:t>
      </w:r>
      <w:r>
        <w:rPr>
          <w:rFonts w:eastAsia="Times New Roman" w:cs="Times New Roman"/>
          <w:color w:val="000000"/>
        </w:rPr>
        <w:t xml:space="preserve">a full record of all prior proceedings in </w:t>
      </w:r>
      <w:r w:rsidR="00F90176">
        <w:rPr>
          <w:rFonts w:eastAsia="Times New Roman" w:cs="Times New Roman"/>
          <w:color w:val="000000"/>
        </w:rPr>
        <w:t>support of their COA requests</w:t>
      </w:r>
      <w:r>
        <w:rPr>
          <w:rFonts w:eastAsia="Times New Roman" w:cs="Times New Roman"/>
          <w:color w:val="000000"/>
        </w:rPr>
        <w:t xml:space="preserve">, we do need enough of the record to conduct a meaningful assessment of the successiveness ruling the petitioner attacks as erroneous.  In order to facilitate expeditious resolution of COA requests in accordance with our statutory obligations, the burden </w:t>
      </w:r>
      <w:r w:rsidR="009E4B72">
        <w:rPr>
          <w:rFonts w:eastAsia="Times New Roman" w:cs="Times New Roman"/>
          <w:color w:val="000000"/>
        </w:rPr>
        <w:t xml:space="preserve">lies with </w:t>
      </w:r>
      <w:r w:rsidR="009615BC">
        <w:rPr>
          <w:rFonts w:eastAsia="Times New Roman" w:cs="Times New Roman"/>
          <w:color w:val="000000"/>
        </w:rPr>
        <w:t xml:space="preserve">the </w:t>
      </w:r>
      <w:r w:rsidR="002B3E13">
        <w:rPr>
          <w:rFonts w:eastAsia="Times New Roman" w:cs="Times New Roman"/>
          <w:color w:val="000000"/>
        </w:rPr>
        <w:t xml:space="preserve">movant </w:t>
      </w:r>
      <w:r>
        <w:rPr>
          <w:rFonts w:eastAsia="Times New Roman" w:cs="Times New Roman"/>
          <w:color w:val="000000"/>
        </w:rPr>
        <w:t xml:space="preserve">to provide adequate supporting record materials at the time COA requests are filed so that we may determine whether the substantiality standard under section 1509.1(c) has been met.  </w:t>
      </w:r>
    </w:p>
    <w:p w:rsidR="0041645F" w:rsidP="00EE7492" w14:paraId="0EDDF366" w14:textId="1D84C1C8">
      <w:pPr>
        <w:shd w:val="clear" w:color="auto" w:fill="FFFFFF"/>
        <w:rPr>
          <w:rFonts w:eastAsia="Times New Roman" w:cs="Times New Roman"/>
          <w:color w:val="000000"/>
        </w:rPr>
      </w:pPr>
      <w:r>
        <w:rPr>
          <w:rFonts w:eastAsia="Times New Roman" w:cs="Times New Roman"/>
          <w:color w:val="000000"/>
        </w:rPr>
        <w:t xml:space="preserve">The need to support appellate COA requests with record materials adequate for meaningful evaluation, in our view, is but a specific application of a more fundamental </w:t>
      </w:r>
      <w:r w:rsidR="002729C0">
        <w:rPr>
          <w:rFonts w:eastAsia="Times New Roman" w:cs="Times New Roman"/>
          <w:color w:val="000000"/>
        </w:rPr>
        <w:t xml:space="preserve">principle </w:t>
      </w:r>
      <w:r>
        <w:rPr>
          <w:rFonts w:eastAsia="Times New Roman" w:cs="Times New Roman"/>
          <w:color w:val="000000"/>
        </w:rPr>
        <w:t>of appellate practice.  “It is well settled</w:t>
      </w:r>
      <w:r w:rsidR="008F5EC9">
        <w:rPr>
          <w:rFonts w:eastAsia="Times New Roman" w:cs="Times New Roman"/>
          <w:color w:val="000000"/>
        </w:rPr>
        <w:t xml:space="preserve"> . . . </w:t>
      </w:r>
      <w:r>
        <w:rPr>
          <w:rFonts w:eastAsia="Times New Roman" w:cs="Times New Roman"/>
          <w:color w:val="000000"/>
        </w:rPr>
        <w:t xml:space="preserve">that a party challenging a judgment [or order] has the </w:t>
      </w:r>
      <w:r>
        <w:rPr>
          <w:rFonts w:eastAsia="Times New Roman" w:cs="Times New Roman"/>
          <w:color w:val="000000"/>
          <w:bdr w:val="none" w:sz="0" w:space="0" w:color="auto" w:frame="1"/>
          <w:shd w:val="clear" w:color="auto" w:fill="FFFFFF"/>
        </w:rPr>
        <w:t>burden</w:t>
      </w:r>
      <w:r>
        <w:rPr>
          <w:rFonts w:eastAsia="Times New Roman" w:cs="Times New Roman"/>
          <w:color w:val="000000"/>
        </w:rPr>
        <w:t xml:space="preserve"> of showing reversible error by an adequate </w:t>
      </w:r>
      <w:r>
        <w:rPr>
          <w:rFonts w:eastAsia="Times New Roman" w:cs="Times New Roman"/>
          <w:color w:val="000000"/>
          <w:bdr w:val="none" w:sz="0" w:space="0" w:color="auto" w:frame="1"/>
          <w:shd w:val="clear" w:color="auto" w:fill="FFFFFF"/>
        </w:rPr>
        <w:t>record</w:t>
      </w:r>
      <w:r>
        <w:rPr>
          <w:rFonts w:eastAsia="Times New Roman" w:cs="Times New Roman"/>
          <w:color w:val="000000"/>
        </w:rPr>
        <w:t xml:space="preserve">.”  </w:t>
      </w:r>
      <w:r w:rsidRPr="00BD27B5">
        <w:rPr>
          <w:rFonts w:eastAsia="Times New Roman" w:cs="Times New Roman"/>
        </w:rPr>
        <w:t>(</w:t>
      </w:r>
      <w:r w:rsidRPr="00BD27B5">
        <w:rPr>
          <w:rFonts w:eastAsia="Times New Roman" w:cs="Times New Roman"/>
          <w:i/>
          <w:iCs/>
          <w:bdr w:val="none" w:sz="0" w:space="0" w:color="auto" w:frame="1"/>
        </w:rPr>
        <w:t>Ballard v. Uribe</w:t>
      </w:r>
      <w:r w:rsidRPr="00BD27B5">
        <w:rPr>
          <w:rFonts w:eastAsia="Times New Roman" w:cs="Times New Roman"/>
        </w:rPr>
        <w:t xml:space="preserve"> (1986) 41</w:t>
      </w:r>
      <w:r w:rsidR="00E83835">
        <w:rPr>
          <w:rFonts w:eastAsia="Times New Roman" w:cs="Times New Roman"/>
        </w:rPr>
        <w:t> </w:t>
      </w:r>
      <w:r w:rsidRPr="00BD27B5">
        <w:rPr>
          <w:rFonts w:eastAsia="Times New Roman" w:cs="Times New Roman"/>
        </w:rPr>
        <w:t xml:space="preserve">Cal.3d 564, 574.) </w:t>
      </w:r>
      <w:r w:rsidR="00EE7492">
        <w:rPr>
          <w:rFonts w:eastAsia="Times New Roman" w:cs="Times New Roman"/>
        </w:rPr>
        <w:t xml:space="preserve"> </w:t>
      </w:r>
      <w:r>
        <w:rPr>
          <w:rFonts w:eastAsia="Times New Roman" w:cs="Times New Roman"/>
          <w:color w:val="000000"/>
        </w:rPr>
        <w:t>“</w:t>
      </w:r>
      <w:r w:rsidR="00E83835">
        <w:rPr>
          <w:rFonts w:eastAsia="Times New Roman" w:cs="Times New Roman"/>
          <w:color w:val="000000"/>
        </w:rPr>
        <w:t> </w:t>
      </w:r>
      <w:r>
        <w:rPr>
          <w:rFonts w:eastAsia="Times New Roman" w:cs="Times New Roman"/>
          <w:color w:val="000000"/>
        </w:rPr>
        <w:t>‘</w:t>
      </w:r>
      <w:r w:rsidR="00E83835">
        <w:rPr>
          <w:rFonts w:eastAsia="Times New Roman" w:cs="Times New Roman"/>
          <w:color w:val="000000"/>
        </w:rPr>
        <w:t> </w:t>
      </w:r>
      <w:r>
        <w:rPr>
          <w:rFonts w:eastAsia="Times New Roman" w:cs="Times New Roman"/>
          <w:color w:val="000000"/>
        </w:rPr>
        <w:t xml:space="preserve">“A necessary corollary to this rule is that if the </w:t>
      </w:r>
      <w:r>
        <w:rPr>
          <w:rFonts w:eastAsia="Times New Roman" w:cs="Times New Roman"/>
          <w:color w:val="000000"/>
          <w:bdr w:val="none" w:sz="0" w:space="0" w:color="auto" w:frame="1"/>
          <w:shd w:val="clear" w:color="auto" w:fill="FFFFFF"/>
        </w:rPr>
        <w:t>record</w:t>
      </w:r>
      <w:r>
        <w:rPr>
          <w:rFonts w:eastAsia="Times New Roman" w:cs="Times New Roman"/>
          <w:color w:val="000000"/>
        </w:rPr>
        <w:t xml:space="preserve"> is </w:t>
      </w:r>
      <w:r>
        <w:rPr>
          <w:rFonts w:eastAsia="Times New Roman" w:cs="Times New Roman"/>
          <w:color w:val="000000"/>
          <w:bdr w:val="none" w:sz="0" w:space="0" w:color="auto" w:frame="1"/>
          <w:shd w:val="clear" w:color="auto" w:fill="FFFFFF"/>
        </w:rPr>
        <w:t>inadequate</w:t>
      </w:r>
      <w:r>
        <w:rPr>
          <w:rFonts w:eastAsia="Times New Roman" w:cs="Times New Roman"/>
          <w:color w:val="000000"/>
        </w:rPr>
        <w:t xml:space="preserve"> for meaningful review, the appellant defaults and the decision of the trial court should be affirmed.”</w:t>
      </w:r>
      <w:r w:rsidR="001E5B4F">
        <w:rPr>
          <w:rFonts w:eastAsia="Times New Roman" w:cs="Times New Roman"/>
          <w:color w:val="000000"/>
        </w:rPr>
        <w:t> </w:t>
      </w:r>
      <w:r>
        <w:rPr>
          <w:rFonts w:eastAsia="Times New Roman" w:cs="Times New Roman"/>
          <w:color w:val="000000"/>
        </w:rPr>
        <w:t>’</w:t>
      </w:r>
      <w:r w:rsidR="001E5B4F">
        <w:rPr>
          <w:rFonts w:eastAsia="Times New Roman" w:cs="Times New Roman"/>
          <w:color w:val="000000"/>
        </w:rPr>
        <w:t> </w:t>
      </w:r>
      <w:r>
        <w:rPr>
          <w:rFonts w:eastAsia="Times New Roman" w:cs="Times New Roman"/>
          <w:color w:val="000000"/>
        </w:rPr>
        <w:t>”  (</w:t>
      </w:r>
      <w:r>
        <w:rPr>
          <w:rFonts w:eastAsia="Times New Roman" w:cs="Times New Roman"/>
          <w:i/>
          <w:iCs/>
          <w:color w:val="3D3D3D"/>
          <w:bdr w:val="none" w:sz="0" w:space="0" w:color="auto" w:frame="1"/>
        </w:rPr>
        <w:t>Jameson v. Desta</w:t>
      </w:r>
      <w:r>
        <w:rPr>
          <w:rFonts w:eastAsia="Times New Roman" w:cs="Times New Roman"/>
          <w:color w:val="000000"/>
        </w:rPr>
        <w:t xml:space="preserve"> (2018) 5</w:t>
      </w:r>
      <w:r w:rsidR="001E5B4F">
        <w:rPr>
          <w:rFonts w:eastAsia="Times New Roman" w:cs="Times New Roman"/>
          <w:color w:val="000000"/>
        </w:rPr>
        <w:t> </w:t>
      </w:r>
      <w:r>
        <w:rPr>
          <w:rFonts w:eastAsia="Times New Roman" w:cs="Times New Roman"/>
          <w:color w:val="000000"/>
        </w:rPr>
        <w:t>Cal.5th 594, 609</w:t>
      </w:r>
      <w:r w:rsidR="006E26B6">
        <w:rPr>
          <w:rFonts w:eastAsia="Times New Roman" w:cs="Times New Roman"/>
          <w:color w:val="000000"/>
        </w:rPr>
        <w:t>.</w:t>
      </w:r>
      <w:r>
        <w:rPr>
          <w:rFonts w:eastAsia="Times New Roman" w:cs="Times New Roman"/>
          <w:color w:val="000000"/>
        </w:rPr>
        <w:t xml:space="preserve">)  </w:t>
      </w:r>
    </w:p>
    <w:p w:rsidR="0041645F" w:rsidP="008F5EC9" w14:paraId="73CF37D7" w14:textId="7402B071">
      <w:pPr>
        <w:pStyle w:val="Heading2"/>
      </w:pPr>
      <w:r>
        <w:t xml:space="preserve">Claim-by-Claim </w:t>
      </w:r>
      <w:r w:rsidR="00E641D6">
        <w:t xml:space="preserve">Successiveness </w:t>
      </w:r>
      <w:r>
        <w:t>Analysis</w:t>
      </w:r>
    </w:p>
    <w:p w:rsidR="00EC3F25" w:rsidRPr="00955061" w:rsidP="0041645F" w14:paraId="6BC55378" w14:textId="11805F73">
      <w:pPr>
        <w:rPr>
          <w:rFonts w:eastAsia="Times New Roman" w:cs="Times New Roman"/>
          <w:bdr w:val="none" w:sz="0" w:space="0" w:color="auto" w:frame="1"/>
        </w:rPr>
      </w:pPr>
      <w:r>
        <w:rPr>
          <w:rFonts w:cs="Times New Roman"/>
          <w:bCs/>
          <w:iCs/>
        </w:rPr>
        <w:t>We now turn to a claim</w:t>
      </w:r>
      <w:r>
        <w:rPr>
          <w:iCs/>
        </w:rPr>
        <w:t>-</w:t>
      </w:r>
      <w:r>
        <w:t xml:space="preserve">by-claim discussion of Seumanu’s unexhausted claims, considering for each claim whether he has established an adequate justification for failing to raise these claims in the Initial Petition.  </w:t>
      </w:r>
      <w:r>
        <w:rPr>
          <w:rFonts w:eastAsia="Times New Roman" w:cs="Times New Roman"/>
          <w:color w:val="000000"/>
        </w:rPr>
        <w:t xml:space="preserve">In compliance with rule 8.392(b)(3), which requires that a COA request to the </w:t>
      </w:r>
      <w:r w:rsidR="00B838B2">
        <w:rPr>
          <w:rFonts w:eastAsia="Times New Roman" w:cs="Times New Roman"/>
          <w:color w:val="000000"/>
        </w:rPr>
        <w:t>C</w:t>
      </w:r>
      <w:r w:rsidR="00A91E0C">
        <w:rPr>
          <w:rFonts w:eastAsia="Times New Roman" w:cs="Times New Roman"/>
          <w:color w:val="000000"/>
        </w:rPr>
        <w:t xml:space="preserve">ourt of </w:t>
      </w:r>
      <w:r w:rsidR="00B838B2">
        <w:rPr>
          <w:rFonts w:eastAsia="Times New Roman" w:cs="Times New Roman"/>
          <w:color w:val="000000"/>
        </w:rPr>
        <w:t>A</w:t>
      </w:r>
      <w:r w:rsidR="00A91E0C">
        <w:rPr>
          <w:rFonts w:eastAsia="Times New Roman" w:cs="Times New Roman"/>
          <w:color w:val="000000"/>
        </w:rPr>
        <w:t>ppeal</w:t>
      </w:r>
      <w:r>
        <w:rPr>
          <w:rFonts w:eastAsia="Times New Roman" w:cs="Times New Roman"/>
          <w:color w:val="000000"/>
        </w:rPr>
        <w:t xml:space="preserve"> “must identify the petitioner</w:t>
      </w:r>
      <w:r w:rsidR="00A10756">
        <w:rPr>
          <w:rFonts w:eastAsia="Times New Roman" w:cs="Times New Roman"/>
          <w:color w:val="000000"/>
        </w:rPr>
        <w:t>’</w:t>
      </w:r>
      <w:r>
        <w:rPr>
          <w:rFonts w:eastAsia="Times New Roman" w:cs="Times New Roman"/>
          <w:color w:val="000000"/>
        </w:rPr>
        <w:t xml:space="preserve">s claim or claims for relief </w:t>
      </w:r>
      <w:r>
        <w:rPr>
          <w:rFonts w:eastAsia="Times New Roman" w:cs="Times New Roman"/>
          <w:color w:val="3D3D3D"/>
          <w:bdr w:val="none" w:sz="0" w:space="0" w:color="auto" w:frame="1"/>
        </w:rPr>
        <w:t xml:space="preserve">and </w:t>
      </w:r>
      <w:r w:rsidRPr="00955061">
        <w:rPr>
          <w:rFonts w:eastAsia="Times New Roman" w:cs="Times New Roman"/>
          <w:bdr w:val="none" w:sz="0" w:space="0" w:color="auto" w:frame="1"/>
        </w:rPr>
        <w:t xml:space="preserve">explain how the requirements of Penal Code section 1509(d) have been met,” Seumanu attaches to his COA request a brief he filed in the trial court setting forth the arguments on which he relies. </w:t>
      </w:r>
      <w:r>
        <w:rPr>
          <w:rFonts w:eastAsia="Times New Roman" w:cs="Times New Roman"/>
          <w:color w:val="3D3D3D"/>
          <w:bdr w:val="none" w:sz="0" w:space="0" w:color="auto" w:frame="1"/>
        </w:rPr>
        <w:t xml:space="preserve"> </w:t>
      </w:r>
      <w:r w:rsidRPr="00955061">
        <w:rPr>
          <w:rFonts w:eastAsia="Times New Roman" w:cs="Times New Roman"/>
          <w:bdr w:val="none" w:sz="0" w:space="0" w:color="auto" w:frame="1"/>
        </w:rPr>
        <w:t xml:space="preserve">We now address those arguments.  </w:t>
      </w:r>
    </w:p>
    <w:p w:rsidR="0041645F" w:rsidRPr="002F079C" w:rsidP="002F079C" w14:paraId="6F9E1E40" w14:textId="38049672">
      <w:pPr>
        <w:shd w:val="clear" w:color="auto" w:fill="FFFFFF"/>
        <w:rPr>
          <w:rFonts w:eastAsia="Times New Roman" w:cs="Times New Roman"/>
          <w:color w:val="000000"/>
        </w:rPr>
      </w:pPr>
      <w:r>
        <w:t>For claim</w:t>
      </w:r>
      <w:r w:rsidR="007208A2">
        <w:t>s</w:t>
      </w:r>
      <w:r w:rsidR="009027D0">
        <w:t xml:space="preserve"> one, </w:t>
      </w:r>
      <w:r w:rsidR="005054A7">
        <w:t>two, three, and five through nine</w:t>
      </w:r>
      <w:r>
        <w:t xml:space="preserve">, we conclude </w:t>
      </w:r>
      <w:r>
        <w:rPr>
          <w:rFonts w:eastAsia="Times New Roman" w:cs="Times New Roman"/>
          <w:color w:val="3D3D3D"/>
          <w:bdr w:val="none" w:sz="0" w:space="0" w:color="auto" w:frame="1"/>
        </w:rPr>
        <w:t>Seumanu</w:t>
      </w:r>
      <w:r>
        <w:t xml:space="preserve"> has not </w:t>
      </w:r>
      <w:r>
        <w:rPr>
          <w:rFonts w:eastAsia="Times New Roman" w:cs="Arial"/>
          <w:color w:val="000000"/>
        </w:rPr>
        <w:t>“</w:t>
      </w:r>
      <w:r>
        <w:rPr>
          <w:rFonts w:eastAsia="Times New Roman" w:cs="Times New Roman"/>
          <w:color w:val="000000"/>
        </w:rPr>
        <w:t>made a substantial showing that the claim is not successive within the meaning of section 1509(d)”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847FAD">
        <w:rPr>
          <w:rFonts w:eastAsia="Times New Roman" w:cs="Times New Roman"/>
          <w:color w:val="000000"/>
        </w:rPr>
        <w:t> </w:t>
      </w:r>
      <w:r>
        <w:rPr>
          <w:rFonts w:eastAsia="Times New Roman" w:cs="Times New Roman"/>
          <w:color w:val="000000"/>
        </w:rPr>
        <w:t>Cal.5</w:t>
      </w:r>
      <w:r w:rsidRPr="00D64DE4">
        <w:rPr>
          <w:rFonts w:eastAsia="Times New Roman" w:cs="Times New Roman"/>
          <w:color w:val="000000"/>
        </w:rPr>
        <w:t>th</w:t>
      </w:r>
      <w:r>
        <w:rPr>
          <w:rFonts w:eastAsia="Times New Roman" w:cs="Times New Roman"/>
          <w:color w:val="000000"/>
        </w:rPr>
        <w:t xml:space="preserve"> at p.</w:t>
      </w:r>
      <w:r w:rsidR="00847FAD">
        <w:rPr>
          <w:rFonts w:eastAsia="Times New Roman" w:cs="Times New Roman"/>
          <w:color w:val="000000"/>
        </w:rPr>
        <w:t> </w:t>
      </w:r>
      <w:r>
        <w:rPr>
          <w:rFonts w:eastAsia="Times New Roman" w:cs="Times New Roman"/>
          <w:color w:val="000000"/>
        </w:rPr>
        <w:t>748)</w:t>
      </w:r>
      <w:r w:rsidR="005054A7">
        <w:rPr>
          <w:rFonts w:eastAsia="Times New Roman" w:cs="Times New Roman"/>
          <w:color w:val="000000"/>
        </w:rPr>
        <w:t xml:space="preserve"> and </w:t>
      </w:r>
      <w:r w:rsidR="003C4D70">
        <w:rPr>
          <w:rFonts w:eastAsia="Times New Roman" w:cs="Times New Roman"/>
          <w:color w:val="000000"/>
        </w:rPr>
        <w:t>w</w:t>
      </w:r>
      <w:r>
        <w:rPr>
          <w:rFonts w:eastAsia="Times New Roman" w:cs="Times New Roman"/>
          <w:color w:val="000000"/>
        </w:rPr>
        <w:t xml:space="preserve">e </w:t>
      </w:r>
      <w:r w:rsidR="00395C38">
        <w:rPr>
          <w:rFonts w:eastAsia="Times New Roman" w:cs="Times New Roman"/>
          <w:color w:val="000000"/>
        </w:rPr>
        <w:t>will</w:t>
      </w:r>
      <w:r>
        <w:rPr>
          <w:rFonts w:eastAsia="Times New Roman" w:cs="Times New Roman"/>
          <w:color w:val="000000"/>
        </w:rPr>
        <w:t xml:space="preserve"> </w:t>
      </w:r>
      <w:r w:rsidR="003C4D70">
        <w:rPr>
          <w:rFonts w:eastAsia="Times New Roman" w:cs="Times New Roman"/>
          <w:color w:val="000000"/>
        </w:rPr>
        <w:t xml:space="preserve">decline to </w:t>
      </w:r>
      <w:r>
        <w:rPr>
          <w:rFonts w:eastAsia="Times New Roman" w:cs="Times New Roman"/>
          <w:color w:val="000000"/>
        </w:rPr>
        <w:t>issue a COA</w:t>
      </w:r>
      <w:r w:rsidR="003C4D70">
        <w:rPr>
          <w:rFonts w:eastAsia="Times New Roman" w:cs="Times New Roman"/>
          <w:color w:val="000000"/>
        </w:rPr>
        <w:t xml:space="preserve">.  </w:t>
      </w:r>
      <w:r w:rsidR="00863DF6">
        <w:rPr>
          <w:rFonts w:eastAsia="Times New Roman" w:cs="Times New Roman"/>
          <w:color w:val="000000"/>
        </w:rPr>
        <w:t xml:space="preserve">None of these </w:t>
      </w:r>
      <w:r w:rsidR="00E57CBC">
        <w:rPr>
          <w:rFonts w:eastAsia="Times New Roman" w:cs="Times New Roman"/>
          <w:color w:val="000000"/>
        </w:rPr>
        <w:t xml:space="preserve">claims pass </w:t>
      </w:r>
      <w:r w:rsidR="00863DF6">
        <w:rPr>
          <w:rFonts w:eastAsia="Times New Roman" w:cs="Times New Roman"/>
          <w:color w:val="000000"/>
        </w:rPr>
        <w:t xml:space="preserve">the </w:t>
      </w:r>
      <w:r w:rsidR="00E356D2">
        <w:rPr>
          <w:rFonts w:eastAsia="Times New Roman" w:cs="Times New Roman"/>
          <w:color w:val="000000"/>
        </w:rPr>
        <w:t xml:space="preserve">debatable-among-jurists-of-reason </w:t>
      </w:r>
      <w:r w:rsidR="007553EC">
        <w:rPr>
          <w:rFonts w:eastAsia="Times New Roman" w:cs="Times New Roman"/>
          <w:color w:val="000000"/>
        </w:rPr>
        <w:t>test</w:t>
      </w:r>
      <w:r w:rsidR="005C1350">
        <w:rPr>
          <w:rFonts w:eastAsia="Times New Roman" w:cs="Times New Roman"/>
          <w:color w:val="000000"/>
        </w:rPr>
        <w:t xml:space="preserve"> </w:t>
      </w:r>
      <w:r w:rsidR="00E57CBC">
        <w:rPr>
          <w:rFonts w:eastAsia="Times New Roman" w:cs="Times New Roman"/>
          <w:color w:val="000000"/>
        </w:rPr>
        <w:t xml:space="preserve">for </w:t>
      </w:r>
      <w:r w:rsidR="005C1350">
        <w:rPr>
          <w:rFonts w:eastAsia="Times New Roman" w:cs="Times New Roman"/>
          <w:color w:val="000000"/>
        </w:rPr>
        <w:t xml:space="preserve">substantiality. </w:t>
      </w:r>
      <w:r w:rsidR="00E356D2">
        <w:rPr>
          <w:rFonts w:eastAsia="Times New Roman" w:cs="Times New Roman"/>
          <w:color w:val="000000"/>
        </w:rPr>
        <w:t xml:space="preserve"> </w:t>
      </w:r>
      <w:r w:rsidR="00B3697B">
        <w:rPr>
          <w:rFonts w:eastAsia="Times New Roman" w:cs="Times New Roman"/>
          <w:color w:val="000000"/>
        </w:rPr>
        <w:t>B</w:t>
      </w:r>
      <w:r w:rsidRPr="00F967EB" w:rsidR="00440A53">
        <w:rPr>
          <w:rFonts w:eastAsia="Times New Roman" w:cs="Times New Roman"/>
          <w:color w:val="000000"/>
        </w:rPr>
        <w:t>ecause</w:t>
      </w:r>
      <w:r w:rsidR="00440A53">
        <w:rPr>
          <w:rFonts w:eastAsia="Times New Roman" w:cs="Times New Roman"/>
          <w:color w:val="000000"/>
        </w:rPr>
        <w:t xml:space="preserve"> Se</w:t>
      </w:r>
      <w:r w:rsidR="008C0FE7">
        <w:rPr>
          <w:rFonts w:eastAsia="Times New Roman" w:cs="Times New Roman"/>
          <w:color w:val="000000"/>
        </w:rPr>
        <w:t xml:space="preserve">umanu has failed to </w:t>
      </w:r>
      <w:r w:rsidR="00C86B18">
        <w:rPr>
          <w:rFonts w:eastAsia="Times New Roman" w:cs="Times New Roman"/>
          <w:color w:val="000000"/>
        </w:rPr>
        <w:t xml:space="preserve">meet the stringent pleading standard </w:t>
      </w:r>
      <w:r w:rsidR="005F4895">
        <w:rPr>
          <w:rFonts w:eastAsia="Times New Roman" w:cs="Times New Roman"/>
          <w:color w:val="000000"/>
        </w:rPr>
        <w:t>applicable</w:t>
      </w:r>
      <w:r w:rsidR="00E01C0A">
        <w:rPr>
          <w:rFonts w:eastAsia="Times New Roman" w:cs="Times New Roman"/>
          <w:color w:val="000000"/>
        </w:rPr>
        <w:t xml:space="preserve"> to </w:t>
      </w:r>
      <w:r w:rsidR="005F4895">
        <w:rPr>
          <w:rFonts w:eastAsia="Times New Roman" w:cs="Times New Roman"/>
          <w:color w:val="000000"/>
        </w:rPr>
        <w:t>claims of ineffective assistance of counsel</w:t>
      </w:r>
      <w:r w:rsidR="000A1C7D">
        <w:rPr>
          <w:rFonts w:eastAsia="Times New Roman" w:cs="Times New Roman"/>
          <w:color w:val="000000"/>
        </w:rPr>
        <w:t>, and</w:t>
      </w:r>
      <w:r w:rsidR="006C7B67">
        <w:rPr>
          <w:rFonts w:eastAsia="Times New Roman" w:cs="Times New Roman"/>
          <w:color w:val="000000"/>
        </w:rPr>
        <w:t xml:space="preserve"> in several instances has</w:t>
      </w:r>
      <w:r w:rsidR="00755076">
        <w:rPr>
          <w:rFonts w:eastAsia="Times New Roman" w:cs="Times New Roman"/>
          <w:color w:val="000000"/>
        </w:rPr>
        <w:t xml:space="preserve"> failed to give us </w:t>
      </w:r>
      <w:r w:rsidR="00A47EDF">
        <w:rPr>
          <w:rFonts w:eastAsia="Times New Roman" w:cs="Times New Roman"/>
          <w:color w:val="000000"/>
        </w:rPr>
        <w:t xml:space="preserve">record materials sufficient </w:t>
      </w:r>
      <w:r w:rsidR="002F4BEF">
        <w:rPr>
          <w:rFonts w:eastAsia="Times New Roman" w:cs="Times New Roman"/>
          <w:color w:val="000000"/>
        </w:rPr>
        <w:t>for</w:t>
      </w:r>
      <w:r w:rsidR="009E139B">
        <w:rPr>
          <w:rFonts w:eastAsia="Times New Roman" w:cs="Times New Roman"/>
          <w:color w:val="000000"/>
        </w:rPr>
        <w:t xml:space="preserve"> us to conduct meaningful review, </w:t>
      </w:r>
      <w:r w:rsidR="00AF1535">
        <w:rPr>
          <w:rFonts w:eastAsia="Times New Roman" w:cs="Times New Roman"/>
          <w:color w:val="000000"/>
        </w:rPr>
        <w:t>“</w:t>
      </w:r>
      <w:r w:rsidRPr="002F079C" w:rsidR="00AF1535">
        <w:rPr>
          <w:rFonts w:eastAsia="Times New Roman" w:cs="Times New Roman"/>
          <w:color w:val="000000"/>
        </w:rPr>
        <w:t>there is nothing for reasonable jurists</w:t>
      </w:r>
      <w:r w:rsidRPr="002F079C" w:rsidR="00E01C0A">
        <w:rPr>
          <w:rFonts w:eastAsia="Times New Roman" w:cs="Times New Roman"/>
          <w:color w:val="000000"/>
        </w:rPr>
        <w:t xml:space="preserve"> to </w:t>
      </w:r>
      <w:r w:rsidRPr="002F079C" w:rsidR="00AF1535">
        <w:rPr>
          <w:rFonts w:eastAsia="Times New Roman" w:cs="Times New Roman"/>
          <w:color w:val="000000"/>
        </w:rPr>
        <w:t>debate”</w:t>
      </w:r>
      <w:r w:rsidR="00F967EB">
        <w:rPr>
          <w:rFonts w:eastAsia="Times New Roman" w:cs="Times New Roman"/>
          <w:color w:val="000000"/>
        </w:rPr>
        <w:t xml:space="preserve"> </w:t>
      </w:r>
      <w:r w:rsidR="00103D53">
        <w:rPr>
          <w:rFonts w:eastAsia="Times New Roman" w:cs="Times New Roman"/>
          <w:color w:val="000000"/>
        </w:rPr>
        <w:t>(</w:t>
      </w:r>
      <w:r w:rsidRPr="002F079C" w:rsidR="00103D53">
        <w:rPr>
          <w:rFonts w:eastAsia="Times New Roman" w:cs="Times New Roman"/>
          <w:i/>
          <w:color w:val="000000"/>
        </w:rPr>
        <w:t>Friend II</w:t>
      </w:r>
      <w:r w:rsidR="00103D53">
        <w:rPr>
          <w:rFonts w:eastAsia="Times New Roman" w:cs="Times New Roman"/>
          <w:color w:val="000000"/>
        </w:rPr>
        <w:t xml:space="preserve">, </w:t>
      </w:r>
      <w:r w:rsidRPr="002F079C" w:rsidR="00103D53">
        <w:rPr>
          <w:rFonts w:eastAsia="Times New Roman" w:cs="Times New Roman"/>
          <w:i/>
          <w:color w:val="000000"/>
        </w:rPr>
        <w:t>supra</w:t>
      </w:r>
      <w:r w:rsidR="00103D53">
        <w:rPr>
          <w:rFonts w:eastAsia="Times New Roman" w:cs="Times New Roman"/>
          <w:color w:val="000000"/>
        </w:rPr>
        <w:t xml:space="preserve">, </w:t>
      </w:r>
      <w:r w:rsidR="0060199D">
        <w:rPr>
          <w:rFonts w:eastAsia="Times New Roman" w:cs="Times New Roman"/>
          <w:color w:val="000000"/>
        </w:rPr>
        <w:t>76</w:t>
      </w:r>
      <w:r w:rsidR="00847FAD">
        <w:rPr>
          <w:rFonts w:eastAsia="Times New Roman" w:cs="Times New Roman"/>
          <w:color w:val="000000"/>
        </w:rPr>
        <w:t> </w:t>
      </w:r>
      <w:r w:rsidR="0060199D">
        <w:rPr>
          <w:rFonts w:eastAsia="Times New Roman" w:cs="Times New Roman"/>
          <w:color w:val="000000"/>
        </w:rPr>
        <w:t>Cal.App.5</w:t>
      </w:r>
      <w:r w:rsidRPr="00811981" w:rsidR="0060199D">
        <w:rPr>
          <w:rFonts w:eastAsia="Times New Roman" w:cs="Times New Roman"/>
          <w:color w:val="000000"/>
        </w:rPr>
        <w:t>th</w:t>
      </w:r>
      <w:r w:rsidR="0060199D">
        <w:rPr>
          <w:rFonts w:eastAsia="Times New Roman" w:cs="Times New Roman"/>
          <w:color w:val="000000"/>
        </w:rPr>
        <w:t xml:space="preserve"> at p.</w:t>
      </w:r>
      <w:r w:rsidR="00847FAD">
        <w:rPr>
          <w:rFonts w:eastAsia="Times New Roman" w:cs="Times New Roman"/>
          <w:color w:val="000000"/>
        </w:rPr>
        <w:t> </w:t>
      </w:r>
      <w:r w:rsidR="0060199D">
        <w:rPr>
          <w:rFonts w:eastAsia="Times New Roman" w:cs="Times New Roman"/>
          <w:color w:val="000000"/>
        </w:rPr>
        <w:t>637)</w:t>
      </w:r>
      <w:r w:rsidR="00915A91">
        <w:rPr>
          <w:rFonts w:eastAsia="Times New Roman" w:cs="Times New Roman"/>
          <w:color w:val="000000"/>
        </w:rPr>
        <w:t>.</w:t>
      </w:r>
      <w:r w:rsidR="00103D53">
        <w:rPr>
          <w:rFonts w:eastAsia="Times New Roman" w:cs="Times New Roman"/>
          <w:color w:val="000000"/>
        </w:rPr>
        <w:t xml:space="preserve"> </w:t>
      </w:r>
      <w:r w:rsidR="00F967EB">
        <w:rPr>
          <w:rFonts w:eastAsia="Times New Roman" w:cs="Times New Roman"/>
          <w:color w:val="000000"/>
        </w:rPr>
        <w:t xml:space="preserve"> </w:t>
      </w:r>
      <w:r w:rsidR="004C1A02">
        <w:rPr>
          <w:rFonts w:eastAsia="Times New Roman" w:cs="Times New Roman"/>
          <w:color w:val="000000"/>
        </w:rPr>
        <w:t xml:space="preserve">With respect to </w:t>
      </w:r>
      <w:r w:rsidR="00EB4A3C">
        <w:rPr>
          <w:rFonts w:eastAsia="Times New Roman" w:cs="Times New Roman"/>
          <w:color w:val="000000"/>
        </w:rPr>
        <w:t xml:space="preserve">one aspect of </w:t>
      </w:r>
      <w:r w:rsidR="003C4D70">
        <w:rPr>
          <w:rFonts w:eastAsia="Times New Roman" w:cs="Times New Roman"/>
          <w:color w:val="000000"/>
        </w:rPr>
        <w:t>claim fo</w:t>
      </w:r>
      <w:r w:rsidR="00E15BE8">
        <w:rPr>
          <w:rFonts w:eastAsia="Times New Roman" w:cs="Times New Roman"/>
          <w:color w:val="000000"/>
        </w:rPr>
        <w:t>u</w:t>
      </w:r>
      <w:r w:rsidR="003C4D70">
        <w:rPr>
          <w:rFonts w:eastAsia="Times New Roman" w:cs="Times New Roman"/>
          <w:color w:val="000000"/>
        </w:rPr>
        <w:t xml:space="preserve">r, </w:t>
      </w:r>
      <w:r w:rsidR="00AF1535">
        <w:rPr>
          <w:rFonts w:eastAsia="Times New Roman" w:cs="Times New Roman"/>
          <w:color w:val="000000"/>
        </w:rPr>
        <w:t xml:space="preserve">however, </w:t>
      </w:r>
      <w:r w:rsidR="004C1A02">
        <w:rPr>
          <w:rFonts w:eastAsia="Times New Roman" w:cs="Times New Roman"/>
          <w:color w:val="000000"/>
        </w:rPr>
        <w:t xml:space="preserve">the </w:t>
      </w:r>
      <w:r w:rsidR="00715306">
        <w:rPr>
          <w:rFonts w:eastAsia="Times New Roman" w:cs="Times New Roman"/>
          <w:color w:val="000000"/>
        </w:rPr>
        <w:t>pleaded</w:t>
      </w:r>
      <w:r w:rsidR="004C1A02">
        <w:rPr>
          <w:rFonts w:eastAsia="Times New Roman" w:cs="Times New Roman"/>
          <w:color w:val="000000"/>
        </w:rPr>
        <w:t xml:space="preserve"> allegations </w:t>
      </w:r>
      <w:r w:rsidR="00715306">
        <w:rPr>
          <w:rFonts w:eastAsia="Times New Roman" w:cs="Times New Roman"/>
          <w:color w:val="000000"/>
        </w:rPr>
        <w:t xml:space="preserve">and the record are </w:t>
      </w:r>
      <w:r w:rsidRPr="00F967EB" w:rsidR="00AF1535">
        <w:rPr>
          <w:rFonts w:eastAsia="Times New Roman" w:cs="Times New Roman"/>
          <w:color w:val="000000"/>
        </w:rPr>
        <w:t>specific</w:t>
      </w:r>
      <w:r w:rsidR="00103D53">
        <w:rPr>
          <w:rFonts w:eastAsia="Times New Roman" w:cs="Times New Roman"/>
          <w:color w:val="000000"/>
        </w:rPr>
        <w:t xml:space="preserve"> enough for us</w:t>
      </w:r>
      <w:r w:rsidR="00DA0E19">
        <w:rPr>
          <w:rFonts w:eastAsia="Times New Roman" w:cs="Times New Roman"/>
          <w:color w:val="000000"/>
        </w:rPr>
        <w:t xml:space="preserve"> to conclude </w:t>
      </w:r>
      <w:r w:rsidR="00ED4284">
        <w:rPr>
          <w:rFonts w:eastAsia="Times New Roman" w:cs="Times New Roman"/>
          <w:color w:val="000000"/>
        </w:rPr>
        <w:t>th</w:t>
      </w:r>
      <w:r w:rsidR="00C74315">
        <w:rPr>
          <w:rFonts w:eastAsia="Times New Roman" w:cs="Times New Roman"/>
          <w:color w:val="000000"/>
        </w:rPr>
        <w:t>e</w:t>
      </w:r>
      <w:r w:rsidR="00C666C8">
        <w:rPr>
          <w:rFonts w:eastAsia="Times New Roman" w:cs="Times New Roman"/>
          <w:color w:val="000000"/>
        </w:rPr>
        <w:t xml:space="preserve"> substantial showing test has been met</w:t>
      </w:r>
      <w:r w:rsidR="00DA0E19">
        <w:rPr>
          <w:rFonts w:eastAsia="Times New Roman" w:cs="Times New Roman"/>
          <w:color w:val="000000"/>
        </w:rPr>
        <w:t xml:space="preserve">.  We </w:t>
      </w:r>
      <w:r w:rsidR="00C666C8">
        <w:rPr>
          <w:rFonts w:eastAsia="Times New Roman" w:cs="Times New Roman"/>
          <w:color w:val="000000"/>
        </w:rPr>
        <w:t xml:space="preserve">will </w:t>
      </w:r>
      <w:r w:rsidR="00DA0E19">
        <w:rPr>
          <w:rFonts w:eastAsia="Times New Roman" w:cs="Times New Roman"/>
          <w:color w:val="000000"/>
        </w:rPr>
        <w:t>therefore</w:t>
      </w:r>
      <w:r w:rsidR="00C666C8">
        <w:rPr>
          <w:rFonts w:eastAsia="Times New Roman" w:cs="Times New Roman"/>
          <w:color w:val="000000"/>
        </w:rPr>
        <w:t xml:space="preserve"> issue a COA</w:t>
      </w:r>
      <w:r w:rsidR="008A45C0">
        <w:rPr>
          <w:rFonts w:eastAsia="Times New Roman" w:cs="Times New Roman"/>
          <w:color w:val="000000"/>
        </w:rPr>
        <w:t xml:space="preserve"> </w:t>
      </w:r>
      <w:r w:rsidR="008A74D4">
        <w:rPr>
          <w:rFonts w:eastAsia="Times New Roman" w:cs="Times New Roman"/>
          <w:color w:val="000000"/>
        </w:rPr>
        <w:t xml:space="preserve">for claim </w:t>
      </w:r>
      <w:r w:rsidR="00500B09">
        <w:rPr>
          <w:rFonts w:eastAsia="Times New Roman" w:cs="Times New Roman"/>
          <w:color w:val="000000"/>
        </w:rPr>
        <w:t>four, in part.</w:t>
      </w:r>
      <w:r>
        <w:rPr>
          <w:rFonts w:eastAsia="Times New Roman" w:cs="Times New Roman"/>
          <w:color w:val="000000"/>
        </w:rPr>
        <w:t xml:space="preserve"> </w:t>
      </w:r>
    </w:p>
    <w:p w:rsidR="0041645F" w:rsidRPr="00F23B4F" w:rsidP="0041645F" w14:paraId="1FFB73DD" w14:textId="77777777">
      <w:pPr>
        <w:pStyle w:val="Heading3"/>
        <w:numPr>
          <w:ilvl w:val="0"/>
          <w:numId w:val="26"/>
        </w:numPr>
      </w:pPr>
      <w:r w:rsidRPr="00F23B4F">
        <w:t>Claim One</w:t>
      </w:r>
    </w:p>
    <w:p w:rsidR="0041645F" w:rsidP="0041645F" w14:paraId="0C98AD72" w14:textId="5E5BB83C">
      <w:pPr>
        <w:shd w:val="clear" w:color="auto" w:fill="FFFFFF"/>
        <w:rPr>
          <w:rFonts w:eastAsia="Times New Roman" w:cs="Arial"/>
          <w:color w:val="000000"/>
        </w:rPr>
      </w:pPr>
      <w:r>
        <w:rPr>
          <w:rFonts w:eastAsia="Times New Roman" w:cs="Arial"/>
          <w:color w:val="000000"/>
        </w:rPr>
        <w:t>In claim one, Seumanu</w:t>
      </w:r>
      <w:r>
        <w:rPr>
          <w:rFonts w:eastAsia="Times New Roman" w:cs="Times New Roman"/>
          <w:color w:val="000000"/>
        </w:rPr>
        <w:t xml:space="preserve"> argues he was denied a fundamentally fair penalty phase trial because his trial counsel failed to object to the prosecution</w:t>
      </w:r>
      <w:r w:rsidR="001A1BC4">
        <w:rPr>
          <w:rFonts w:eastAsia="Times New Roman" w:cs="Times New Roman"/>
          <w:color w:val="000000"/>
        </w:rPr>
        <w:t>’</w:t>
      </w:r>
      <w:r>
        <w:rPr>
          <w:rFonts w:eastAsia="Times New Roman" w:cs="Times New Roman"/>
          <w:color w:val="000000"/>
        </w:rPr>
        <w:t>s characterization of a fight Seumanu was involved in as a 14</w:t>
      </w:r>
      <w:r w:rsidR="00DA1E52">
        <w:rPr>
          <w:rFonts w:eastAsia="Times New Roman" w:cs="Times New Roman"/>
          <w:color w:val="000000"/>
        </w:rPr>
        <w:t>-</w:t>
      </w:r>
      <w:r>
        <w:rPr>
          <w:rFonts w:eastAsia="Times New Roman" w:cs="Times New Roman"/>
          <w:color w:val="000000"/>
        </w:rPr>
        <w:t xml:space="preserve">year-old.  It was prosecutorial misconduct to portray this incident as aggravating when in fact it was mitigating, </w:t>
      </w:r>
      <w:r>
        <w:rPr>
          <w:rFonts w:eastAsia="Times New Roman" w:cs="Arial"/>
          <w:color w:val="000000"/>
        </w:rPr>
        <w:t xml:space="preserve">Seumanu contends.  According to </w:t>
      </w:r>
      <w:r w:rsidR="00FD38A5">
        <w:rPr>
          <w:rFonts w:eastAsia="Times New Roman" w:cs="Arial"/>
          <w:color w:val="000000"/>
        </w:rPr>
        <w:t>him</w:t>
      </w:r>
      <w:r>
        <w:rPr>
          <w:rFonts w:eastAsia="Times New Roman" w:cs="Arial"/>
          <w:color w:val="000000"/>
        </w:rPr>
        <w:t xml:space="preserve">, the confrontation that triggered the incident was not relevant for the alleged gambling—there was no evidence of that, he points out—but for the fight which ensued, which left </w:t>
      </w:r>
      <w:r w:rsidR="004B30DC">
        <w:rPr>
          <w:rFonts w:eastAsia="Times New Roman" w:cs="Arial"/>
          <w:color w:val="000000"/>
        </w:rPr>
        <w:t>him</w:t>
      </w:r>
      <w:r>
        <w:rPr>
          <w:rFonts w:eastAsia="Times New Roman" w:cs="Arial"/>
          <w:color w:val="000000"/>
        </w:rPr>
        <w:t xml:space="preserve"> badly beaten and brain-damaged from a blow inflicted by a baseball bat. </w:t>
      </w:r>
    </w:p>
    <w:p w:rsidR="0041645F" w:rsidP="0041645F" w14:paraId="58429ED1" w14:textId="269BA932">
      <w:pPr>
        <w:shd w:val="clear" w:color="auto" w:fill="FFFFFF"/>
        <w:rPr>
          <w:rFonts w:eastAsia="Times New Roman" w:cs="Arial"/>
          <w:color w:val="000000"/>
        </w:rPr>
      </w:pPr>
      <w:r>
        <w:rPr>
          <w:rFonts w:eastAsia="Times New Roman" w:cs="Times New Roman"/>
          <w:color w:val="000000"/>
        </w:rPr>
        <w:t xml:space="preserve">In support of claim one, Seumanu argues that his former post-conviction counsel’s failure </w:t>
      </w:r>
      <w:r>
        <w:rPr>
          <w:rFonts w:eastAsia="Times New Roman" w:cs="Arial"/>
          <w:color w:val="000000"/>
        </w:rPr>
        <w:t>to raise the issue of the prosecutor’s mischaracterization of the “gambling” incident was ineffective assistance</w:t>
      </w:r>
      <w:r>
        <w:rPr>
          <w:rFonts w:eastAsia="Times New Roman" w:cs="Times New Roman"/>
          <w:color w:val="000000"/>
        </w:rPr>
        <w:t xml:space="preserve">.  The trial court was unpersuaded. </w:t>
      </w:r>
      <w:r>
        <w:rPr>
          <w:rFonts w:eastAsia="Times New Roman" w:cs="Arial"/>
          <w:color w:val="000000"/>
        </w:rPr>
        <w:t xml:space="preserve"> After noting that, on direct appeal, the California Supreme Court rejected several claims of prosecutorial misconduct for lack of prejudice, the court expressed skepticism that “counsel’s inclusion of this</w:t>
      </w:r>
      <w:r w:rsidR="004D6716">
        <w:rPr>
          <w:rFonts w:eastAsia="Times New Roman" w:cs="Arial"/>
          <w:color w:val="000000"/>
        </w:rPr>
        <w:t xml:space="preserve"> . . . </w:t>
      </w:r>
      <w:r>
        <w:rPr>
          <w:rFonts w:eastAsia="Times New Roman" w:cs="Arial"/>
          <w:color w:val="000000"/>
        </w:rPr>
        <w:t xml:space="preserve">claim among the existing litany of claims of prosecutorial misconduct would have turned the tide in his favor.”  </w:t>
      </w:r>
    </w:p>
    <w:p w:rsidR="0041645F" w:rsidP="0041645F" w14:paraId="0ED39ECE" w14:textId="00FCF6F8">
      <w:pPr>
        <w:shd w:val="clear" w:color="auto" w:fill="FFFFFF"/>
        <w:rPr>
          <w:rFonts w:eastAsia="Times New Roman" w:cs="Arial"/>
          <w:color w:val="000000"/>
        </w:rPr>
      </w:pPr>
      <w:r>
        <w:rPr>
          <w:rFonts w:eastAsia="Times New Roman" w:cs="Arial"/>
          <w:color w:val="000000"/>
        </w:rPr>
        <w:t xml:space="preserve">According to the trial court, </w:t>
      </w:r>
      <w:r w:rsidR="00966A11">
        <w:rPr>
          <w:rFonts w:eastAsia="Times New Roman" w:cs="Arial"/>
          <w:color w:val="000000"/>
        </w:rPr>
        <w:t xml:space="preserve">trial </w:t>
      </w:r>
      <w:r>
        <w:rPr>
          <w:rFonts w:eastAsia="Times New Roman" w:cs="Arial"/>
          <w:color w:val="000000"/>
        </w:rPr>
        <w:t>counsel’s awareness of possible brain damage—</w:t>
      </w:r>
      <w:r w:rsidR="006B47E6">
        <w:rPr>
          <w:rFonts w:eastAsia="Times New Roman" w:cs="Arial"/>
          <w:color w:val="000000"/>
        </w:rPr>
        <w:t>an awareness</w:t>
      </w:r>
      <w:r>
        <w:rPr>
          <w:rFonts w:eastAsia="Times New Roman" w:cs="Arial"/>
          <w:color w:val="000000"/>
        </w:rPr>
        <w:t xml:space="preserve"> he confirmed in a declaration—led him to prioritize the retention of a </w:t>
      </w:r>
      <w:r w:rsidR="00912CAB">
        <w:rPr>
          <w:rFonts w:eastAsia="Times New Roman" w:cs="Arial"/>
          <w:color w:val="000000"/>
        </w:rPr>
        <w:t>neuropsychiatric</w:t>
      </w:r>
      <w:r>
        <w:rPr>
          <w:rFonts w:eastAsia="Times New Roman" w:cs="Arial"/>
          <w:color w:val="000000"/>
        </w:rPr>
        <w:t xml:space="preserve"> expert prior to trial.  </w:t>
      </w:r>
      <w:r w:rsidR="00983968">
        <w:rPr>
          <w:rFonts w:eastAsia="Times New Roman" w:cs="Arial"/>
          <w:color w:val="000000"/>
        </w:rPr>
        <w:t>Seumanu makes no claim here that his trial counsel’s failure to investigate</w:t>
      </w:r>
      <w:r>
        <w:rPr>
          <w:rFonts w:eastAsia="Times New Roman" w:cs="Arial"/>
          <w:color w:val="000000"/>
        </w:rPr>
        <w:t xml:space="preserve"> </w:t>
      </w:r>
      <w:r w:rsidR="00B97220">
        <w:rPr>
          <w:rFonts w:eastAsia="Times New Roman" w:cs="Arial"/>
          <w:color w:val="000000"/>
        </w:rPr>
        <w:t xml:space="preserve">evidence of brain damage was ineffective assistance of counsel.  </w:t>
      </w:r>
      <w:r w:rsidRPr="00AF43A5" w:rsidR="00AF43A5">
        <w:rPr>
          <w:rFonts w:eastAsia="Times New Roman" w:cs="Arial"/>
          <w:color w:val="000000"/>
        </w:rPr>
        <w:t>(</w:t>
      </w:r>
      <w:r w:rsidRPr="00FA1430" w:rsidR="00FA1430">
        <w:rPr>
          <w:rFonts w:eastAsia="Times New Roman" w:cs="Arial"/>
          <w:color w:val="000000"/>
        </w:rPr>
        <w:t>Cf.</w:t>
      </w:r>
      <w:r w:rsidRPr="00AF43A5" w:rsidR="00AF43A5">
        <w:rPr>
          <w:rFonts w:eastAsia="Times New Roman" w:cs="Arial"/>
          <w:color w:val="000000"/>
        </w:rPr>
        <w:t xml:space="preserve"> </w:t>
      </w:r>
      <w:r w:rsidRPr="002F079C" w:rsidR="00AF43A5">
        <w:rPr>
          <w:rFonts w:eastAsia="Times New Roman" w:cs="Times New Roman"/>
          <w:i/>
          <w:iCs/>
          <w:color w:val="3D3D3D"/>
          <w:bdr w:val="none" w:sz="0" w:space="0" w:color="auto" w:frame="1"/>
        </w:rPr>
        <w:t>Caro v. Woodford</w:t>
      </w:r>
      <w:r w:rsidRPr="002F079C" w:rsidR="00AF43A5">
        <w:rPr>
          <w:rFonts w:eastAsia="Times New Roman" w:cs="Times New Roman"/>
          <w:color w:val="000000"/>
        </w:rPr>
        <w:t xml:space="preserve"> (9th Cir. 2002) 280</w:t>
      </w:r>
      <w:r w:rsidR="00EE01B6">
        <w:rPr>
          <w:rFonts w:eastAsia="Times New Roman" w:cs="Times New Roman"/>
          <w:color w:val="000000"/>
        </w:rPr>
        <w:t> </w:t>
      </w:r>
      <w:r w:rsidRPr="002F079C" w:rsidR="00AF43A5">
        <w:rPr>
          <w:rFonts w:eastAsia="Times New Roman" w:cs="Times New Roman"/>
          <w:color w:val="000000"/>
        </w:rPr>
        <w:t>F.3d 1247, 125</w:t>
      </w:r>
      <w:r w:rsidR="008A61C4">
        <w:rPr>
          <w:rFonts w:eastAsia="Times New Roman" w:cs="Times New Roman"/>
          <w:color w:val="000000"/>
        </w:rPr>
        <w:t>5</w:t>
      </w:r>
      <w:r w:rsidR="0064037B">
        <w:rPr>
          <w:rFonts w:eastAsia="Times New Roman" w:cs="Times New Roman"/>
          <w:color w:val="000000"/>
        </w:rPr>
        <w:t xml:space="preserve"> [counsel knew of defendant’s “</w:t>
      </w:r>
      <w:r w:rsidRPr="002F079C" w:rsidR="0064037B">
        <w:rPr>
          <w:rFonts w:eastAsia="Times New Roman" w:cs="Times New Roman"/>
          <w:color w:val="000000"/>
        </w:rPr>
        <w:t>extraordinary history of exposure to pesticides and toxic chemicals, yet he neither investigated fully this history nor informed the experts who examined Caro of those facts that were known to him”</w:t>
      </w:r>
      <w:r w:rsidR="00CB4D9B">
        <w:rPr>
          <w:rFonts w:eastAsia="Times New Roman" w:cs="Times New Roman"/>
          <w:color w:val="000000"/>
        </w:rPr>
        <w:t>]</w:t>
      </w:r>
      <w:r w:rsidR="00E83E37">
        <w:rPr>
          <w:rFonts w:eastAsia="Times New Roman" w:cs="Times New Roman"/>
          <w:color w:val="000000"/>
        </w:rPr>
        <w:t>.</w:t>
      </w:r>
      <w:r w:rsidR="00CB4D9B">
        <w:rPr>
          <w:rFonts w:eastAsia="Times New Roman" w:cs="Times New Roman"/>
          <w:color w:val="000000"/>
        </w:rPr>
        <w:t>)</w:t>
      </w:r>
      <w:r w:rsidRPr="002F079C" w:rsidR="00AF43A5">
        <w:rPr>
          <w:rFonts w:eastAsia="Times New Roman" w:cs="Times New Roman"/>
          <w:color w:val="000000"/>
        </w:rPr>
        <w:t xml:space="preserve"> </w:t>
      </w:r>
      <w:r>
        <w:rPr>
          <w:rFonts w:eastAsia="Times New Roman" w:cs="Arial"/>
          <w:color w:val="000000"/>
        </w:rPr>
        <w:t xml:space="preserve"> If anything, the trial court pointed out, </w:t>
      </w:r>
      <w:r w:rsidR="00CB4D9B">
        <w:rPr>
          <w:rFonts w:eastAsia="Times New Roman" w:cs="Arial"/>
          <w:color w:val="000000"/>
        </w:rPr>
        <w:t>the record shows counsel’s</w:t>
      </w:r>
      <w:r w:rsidR="00067557">
        <w:rPr>
          <w:rFonts w:eastAsia="Times New Roman" w:cs="Arial"/>
          <w:color w:val="000000"/>
        </w:rPr>
        <w:t xml:space="preserve"> careful </w:t>
      </w:r>
      <w:r>
        <w:rPr>
          <w:rFonts w:eastAsia="Times New Roman" w:cs="Arial"/>
          <w:color w:val="000000"/>
        </w:rPr>
        <w:t xml:space="preserve">attention to the mitigating potential of the “gambling” incident, not blithe disregard of it.  “Even accepting the dubious proposition” that the oversight alleged here “constituted deficient performance,” the trial court concluded, Seumanu “fails to meet his high burden of showing prejudice.”  </w:t>
      </w:r>
    </w:p>
    <w:p w:rsidR="0041645F" w:rsidP="0041645F" w14:paraId="6780075F" w14:textId="48B7CDAF">
      <w:pPr>
        <w:shd w:val="clear" w:color="auto" w:fill="FFFFFF"/>
        <w:rPr>
          <w:rFonts w:eastAsia="Times New Roman" w:cs="Times New Roman"/>
          <w:color w:val="000000"/>
        </w:rPr>
      </w:pPr>
      <w:r>
        <w:rPr>
          <w:rFonts w:eastAsia="Times New Roman" w:cs="Arial"/>
          <w:color w:val="000000"/>
        </w:rPr>
        <w:t xml:space="preserve">The Exhaustion Petition does, to be sure, attach a declaration from Dr. Pablo Stewart, who opines “it is highly likely” Seumanu suffered brain damage from being hit with a baseball bat during a fight in connection with the “gambling” incident.  </w:t>
      </w:r>
      <w:r w:rsidR="003349E4">
        <w:rPr>
          <w:rFonts w:eastAsia="Times New Roman" w:cs="Arial"/>
          <w:color w:val="000000"/>
        </w:rPr>
        <w:t xml:space="preserve">Apparently, </w:t>
      </w:r>
      <w:r>
        <w:rPr>
          <w:rFonts w:eastAsia="Times New Roman" w:cs="Times New Roman"/>
          <w:color w:val="000000"/>
        </w:rPr>
        <w:t xml:space="preserve">Seumanu attempted to meet </w:t>
      </w:r>
      <w:r w:rsidR="00A36B44">
        <w:rPr>
          <w:rFonts w:eastAsia="Times New Roman" w:cs="Times New Roman"/>
          <w:color w:val="000000"/>
        </w:rPr>
        <w:t xml:space="preserve">the strict </w:t>
      </w:r>
      <w:r>
        <w:rPr>
          <w:rFonts w:eastAsia="Times New Roman" w:cs="Times New Roman"/>
          <w:color w:val="000000"/>
        </w:rPr>
        <w:t xml:space="preserve">pleading burden here by </w:t>
      </w:r>
      <w:r w:rsidR="00C61CFC">
        <w:rPr>
          <w:rFonts w:eastAsia="Times New Roman" w:cs="Times New Roman"/>
          <w:color w:val="000000"/>
        </w:rPr>
        <w:t xml:space="preserve">providing </w:t>
      </w:r>
      <w:r>
        <w:rPr>
          <w:rFonts w:eastAsia="Times New Roman" w:cs="Times New Roman"/>
          <w:color w:val="000000"/>
        </w:rPr>
        <w:t xml:space="preserve">the trial court </w:t>
      </w:r>
      <w:r w:rsidR="007D5BAF">
        <w:rPr>
          <w:rFonts w:eastAsia="Times New Roman" w:cs="Times New Roman"/>
          <w:color w:val="000000"/>
        </w:rPr>
        <w:t xml:space="preserve">with </w:t>
      </w:r>
      <w:r>
        <w:rPr>
          <w:rFonts w:eastAsia="Times New Roman" w:cs="Times New Roman"/>
          <w:color w:val="000000"/>
        </w:rPr>
        <w:t>this and other declarations and documentary exhibits to support of his claim of ineffective assistance of counsel.</w:t>
      </w:r>
      <w:r>
        <w:rPr>
          <w:rStyle w:val="FootnoteReference"/>
          <w:rFonts w:eastAsia="Times New Roman" w:cs="Times New Roman"/>
          <w:color w:val="000000"/>
        </w:rPr>
        <w:footnoteReference w:id="15"/>
      </w:r>
      <w:r>
        <w:rPr>
          <w:rFonts w:eastAsia="Times New Roman" w:cs="Times New Roman"/>
          <w:color w:val="000000"/>
        </w:rPr>
        <w:t xml:space="preserve">  </w:t>
      </w:r>
      <w:r w:rsidR="002526D9">
        <w:rPr>
          <w:rFonts w:eastAsia="Times New Roman" w:cs="Times New Roman"/>
          <w:color w:val="000000"/>
        </w:rPr>
        <w:t>We know th</w:t>
      </w:r>
      <w:r w:rsidR="001D2DDF">
        <w:rPr>
          <w:rFonts w:eastAsia="Times New Roman" w:cs="Times New Roman"/>
          <w:color w:val="000000"/>
        </w:rPr>
        <w:t xml:space="preserve">is </w:t>
      </w:r>
      <w:r w:rsidR="002526D9">
        <w:rPr>
          <w:rFonts w:eastAsia="Times New Roman" w:cs="Times New Roman"/>
          <w:color w:val="000000"/>
        </w:rPr>
        <w:t>because, in its order</w:t>
      </w:r>
      <w:r w:rsidR="00422958">
        <w:rPr>
          <w:rFonts w:eastAsia="Times New Roman" w:cs="Times New Roman"/>
          <w:color w:val="000000"/>
        </w:rPr>
        <w:t xml:space="preserve"> of dismissal, </w:t>
      </w:r>
      <w:r w:rsidR="001D2DDF">
        <w:rPr>
          <w:rFonts w:eastAsia="Times New Roman" w:cs="Times New Roman"/>
          <w:color w:val="000000"/>
        </w:rPr>
        <w:t>the trial court cited</w:t>
      </w:r>
      <w:r w:rsidR="000E200E">
        <w:rPr>
          <w:rFonts w:eastAsia="Times New Roman" w:cs="Times New Roman"/>
          <w:color w:val="000000"/>
        </w:rPr>
        <w:t xml:space="preserve"> </w:t>
      </w:r>
      <w:r w:rsidR="00675ACD">
        <w:rPr>
          <w:rFonts w:eastAsia="Times New Roman" w:cs="Times New Roman"/>
          <w:color w:val="000000"/>
        </w:rPr>
        <w:t xml:space="preserve">various items of </w:t>
      </w:r>
      <w:r w:rsidR="000E200E">
        <w:rPr>
          <w:rFonts w:eastAsia="Times New Roman" w:cs="Times New Roman"/>
          <w:color w:val="000000"/>
        </w:rPr>
        <w:t>evidentiary material.</w:t>
      </w:r>
      <w:r w:rsidR="000F7A6E">
        <w:rPr>
          <w:rFonts w:eastAsia="Times New Roman" w:cs="Times New Roman"/>
          <w:color w:val="000000"/>
        </w:rPr>
        <w:t xml:space="preserve">  </w:t>
      </w:r>
      <w:r w:rsidR="00DC62BC">
        <w:rPr>
          <w:rFonts w:eastAsia="Times New Roman" w:cs="Times New Roman"/>
          <w:color w:val="000000"/>
        </w:rPr>
        <w:t xml:space="preserve">After reviewing </w:t>
      </w:r>
      <w:r w:rsidR="00422958">
        <w:rPr>
          <w:rFonts w:eastAsia="Times New Roman" w:cs="Times New Roman"/>
          <w:color w:val="000000"/>
        </w:rPr>
        <w:t xml:space="preserve">the </w:t>
      </w:r>
      <w:r w:rsidR="00727C17">
        <w:rPr>
          <w:rFonts w:eastAsia="Times New Roman" w:cs="Times New Roman"/>
          <w:color w:val="000000"/>
        </w:rPr>
        <w:t xml:space="preserve">Exhaustion Petition and the </w:t>
      </w:r>
      <w:r w:rsidR="004B48D9">
        <w:rPr>
          <w:rFonts w:eastAsia="Times New Roman" w:cs="Times New Roman"/>
          <w:color w:val="000000"/>
        </w:rPr>
        <w:t xml:space="preserve">evidence </w:t>
      </w:r>
      <w:r w:rsidR="005A31FC">
        <w:rPr>
          <w:rFonts w:eastAsia="Times New Roman" w:cs="Times New Roman"/>
          <w:color w:val="000000"/>
        </w:rPr>
        <w:t>pro</w:t>
      </w:r>
      <w:r w:rsidR="004B48D9">
        <w:rPr>
          <w:rFonts w:eastAsia="Times New Roman" w:cs="Times New Roman"/>
          <w:color w:val="000000"/>
        </w:rPr>
        <w:t xml:space="preserve">ffered </w:t>
      </w:r>
      <w:r w:rsidR="005A31FC">
        <w:rPr>
          <w:rFonts w:eastAsia="Times New Roman" w:cs="Times New Roman"/>
          <w:color w:val="000000"/>
        </w:rPr>
        <w:t>in support of it</w:t>
      </w:r>
      <w:r>
        <w:rPr>
          <w:rFonts w:eastAsia="Times New Roman" w:cs="Times New Roman"/>
          <w:color w:val="000000"/>
        </w:rPr>
        <w:t xml:space="preserve">, the trial court </w:t>
      </w:r>
      <w:r w:rsidR="00A36B44">
        <w:rPr>
          <w:rFonts w:eastAsia="Times New Roman" w:cs="Times New Roman"/>
          <w:color w:val="000000"/>
        </w:rPr>
        <w:t xml:space="preserve">was not convinced that </w:t>
      </w:r>
      <w:r w:rsidR="00A82B7F">
        <w:rPr>
          <w:rFonts w:eastAsia="Times New Roman" w:cs="Arial"/>
          <w:color w:val="000000"/>
        </w:rPr>
        <w:t xml:space="preserve">Seumanu’s </w:t>
      </w:r>
      <w:r>
        <w:rPr>
          <w:rFonts w:eastAsia="Times New Roman" w:cs="Times New Roman"/>
          <w:color w:val="000000"/>
        </w:rPr>
        <w:t>burden</w:t>
      </w:r>
      <w:r w:rsidR="00A36B44">
        <w:rPr>
          <w:rFonts w:eastAsia="Times New Roman" w:cs="Times New Roman"/>
          <w:color w:val="000000"/>
        </w:rPr>
        <w:t xml:space="preserve"> </w:t>
      </w:r>
      <w:r w:rsidR="0026142B">
        <w:rPr>
          <w:rFonts w:eastAsia="Times New Roman" w:cs="Times New Roman"/>
          <w:color w:val="000000"/>
        </w:rPr>
        <w:t>ha</w:t>
      </w:r>
      <w:r w:rsidR="00420C87">
        <w:rPr>
          <w:rFonts w:eastAsia="Times New Roman" w:cs="Times New Roman"/>
          <w:color w:val="000000"/>
        </w:rPr>
        <w:t>d</w:t>
      </w:r>
      <w:r w:rsidR="0026142B">
        <w:rPr>
          <w:rFonts w:eastAsia="Times New Roman" w:cs="Times New Roman"/>
          <w:color w:val="000000"/>
        </w:rPr>
        <w:t xml:space="preserve"> been met</w:t>
      </w:r>
      <w:r w:rsidR="00B46C84">
        <w:rPr>
          <w:rFonts w:eastAsia="Times New Roman" w:cs="Times New Roman"/>
          <w:color w:val="000000"/>
        </w:rPr>
        <w:t xml:space="preserve">. </w:t>
      </w:r>
      <w:r>
        <w:rPr>
          <w:rFonts w:eastAsia="Times New Roman" w:cs="Times New Roman"/>
          <w:color w:val="000000"/>
        </w:rPr>
        <w:t xml:space="preserve"> </w:t>
      </w:r>
    </w:p>
    <w:p w:rsidR="00D36E1E" w:rsidP="007F28CF" w14:paraId="444AF1CD" w14:textId="1A5B9086">
      <w:pPr>
        <w:pStyle w:val="FootnoteText"/>
        <w:spacing w:after="0" w:line="360" w:lineRule="auto"/>
      </w:pPr>
      <w:r>
        <w:rPr>
          <w:rFonts w:eastAsia="Times New Roman" w:cs="Times New Roman"/>
          <w:color w:val="000000"/>
        </w:rPr>
        <w:t>Based on the</w:t>
      </w:r>
      <w:r w:rsidR="001001F8">
        <w:rPr>
          <w:rFonts w:eastAsia="Times New Roman" w:cs="Times New Roman"/>
          <w:color w:val="000000"/>
        </w:rPr>
        <w:t xml:space="preserve"> limited</w:t>
      </w:r>
      <w:r>
        <w:rPr>
          <w:rFonts w:eastAsia="Times New Roman" w:cs="Times New Roman"/>
          <w:color w:val="000000"/>
        </w:rPr>
        <w:t xml:space="preserve"> record supplied to us, we cannot disagree</w:t>
      </w:r>
      <w:r w:rsidR="00675420">
        <w:rPr>
          <w:rFonts w:eastAsia="Times New Roman" w:cs="Times New Roman"/>
          <w:color w:val="000000"/>
        </w:rPr>
        <w:t>.</w:t>
      </w:r>
      <w:r w:rsidR="009E70EC">
        <w:rPr>
          <w:rFonts w:eastAsia="Times New Roman" w:cs="Arial"/>
          <w:color w:val="000000"/>
        </w:rPr>
        <w:t xml:space="preserve"> </w:t>
      </w:r>
      <w:r w:rsidR="005F1F44">
        <w:rPr>
          <w:rFonts w:eastAsia="Times New Roman" w:cs="Arial"/>
          <w:color w:val="000000"/>
        </w:rPr>
        <w:t xml:space="preserve"> </w:t>
      </w:r>
      <w:r w:rsidR="009E70EC">
        <w:rPr>
          <w:rFonts w:eastAsia="Times New Roman" w:cs="Arial"/>
          <w:color w:val="000000"/>
        </w:rPr>
        <w:t>We too focus on</w:t>
      </w:r>
      <w:r w:rsidR="00361847">
        <w:rPr>
          <w:rFonts w:eastAsia="Times New Roman" w:cs="Arial"/>
          <w:color w:val="000000"/>
        </w:rPr>
        <w:t xml:space="preserve"> Se</w:t>
      </w:r>
      <w:r w:rsidR="005F3054">
        <w:rPr>
          <w:rFonts w:eastAsia="Times New Roman" w:cs="Arial"/>
          <w:color w:val="000000"/>
        </w:rPr>
        <w:t>umanu’s pleading burden, but on appeal—including at the COA stage</w:t>
      </w:r>
      <w:r w:rsidR="00850873">
        <w:rPr>
          <w:rFonts w:eastAsia="Times New Roman" w:cs="Arial"/>
          <w:color w:val="000000"/>
        </w:rPr>
        <w:t>, as noted above</w:t>
      </w:r>
      <w:r w:rsidR="00821373">
        <w:rPr>
          <w:rFonts w:eastAsia="Times New Roman" w:cs="Arial"/>
          <w:color w:val="000000"/>
        </w:rPr>
        <w:t>—he also has the burden of providing us</w:t>
      </w:r>
      <w:r w:rsidR="00556EA5">
        <w:rPr>
          <w:rFonts w:eastAsia="Times New Roman" w:cs="Arial"/>
          <w:color w:val="000000"/>
        </w:rPr>
        <w:t xml:space="preserve"> with an adequate record to permit </w:t>
      </w:r>
      <w:r w:rsidR="00850873">
        <w:rPr>
          <w:rFonts w:eastAsia="Times New Roman" w:cs="Arial"/>
          <w:color w:val="000000"/>
        </w:rPr>
        <w:t>meaningful review</w:t>
      </w:r>
      <w:r w:rsidR="003F5349">
        <w:rPr>
          <w:rFonts w:eastAsia="Times New Roman" w:cs="Arial"/>
          <w:color w:val="000000"/>
        </w:rPr>
        <w:t xml:space="preserve"> on the highly expedited basis </w:t>
      </w:r>
      <w:r w:rsidR="007572C3">
        <w:rPr>
          <w:rFonts w:eastAsia="Times New Roman" w:cs="Arial"/>
          <w:color w:val="000000"/>
        </w:rPr>
        <w:t xml:space="preserve">that governs the resolution of </w:t>
      </w:r>
      <w:r w:rsidR="001958ED">
        <w:rPr>
          <w:rFonts w:eastAsia="Times New Roman" w:cs="Arial"/>
          <w:color w:val="000000"/>
        </w:rPr>
        <w:t>COA requests</w:t>
      </w:r>
      <w:r w:rsidR="007572C3">
        <w:rPr>
          <w:rFonts w:eastAsia="Times New Roman" w:cs="Arial"/>
          <w:color w:val="000000"/>
        </w:rPr>
        <w:t>.</w:t>
      </w:r>
      <w:r w:rsidR="000E3DD3">
        <w:rPr>
          <w:rFonts w:eastAsia="Times New Roman" w:cs="Arial"/>
          <w:color w:val="000000"/>
        </w:rPr>
        <w:t xml:space="preserve">  </w:t>
      </w:r>
      <w:r w:rsidR="000E3DD3">
        <w:rPr>
          <w:rFonts w:eastAsia="Times New Roman" w:cs="Times New Roman"/>
          <w:color w:val="000000"/>
        </w:rPr>
        <w:t xml:space="preserve">(See </w:t>
      </w:r>
      <w:r w:rsidRPr="00C83796" w:rsidR="000E3DD3">
        <w:rPr>
          <w:rFonts w:eastAsia="Times New Roman" w:cs="Times New Roman"/>
          <w:i/>
          <w:iCs/>
          <w:color w:val="000000"/>
        </w:rPr>
        <w:t>Friend II</w:t>
      </w:r>
      <w:r w:rsidRPr="00C83796" w:rsidR="000E3DD3">
        <w:rPr>
          <w:rFonts w:eastAsia="Times New Roman" w:cs="Times New Roman"/>
          <w:color w:val="000000"/>
        </w:rPr>
        <w:t xml:space="preserve">, </w:t>
      </w:r>
      <w:r w:rsidRPr="00C83796" w:rsidR="000E3DD3">
        <w:rPr>
          <w:rFonts w:eastAsia="Times New Roman" w:cs="Times New Roman"/>
          <w:i/>
          <w:iCs/>
          <w:color w:val="000000"/>
        </w:rPr>
        <w:t>supra</w:t>
      </w:r>
      <w:r w:rsidRPr="00C83796" w:rsidR="000E3DD3">
        <w:rPr>
          <w:rFonts w:eastAsia="Times New Roman" w:cs="Times New Roman"/>
          <w:color w:val="000000"/>
        </w:rPr>
        <w:t>, 76</w:t>
      </w:r>
      <w:r w:rsidR="006305BF">
        <w:rPr>
          <w:rFonts w:eastAsia="Times New Roman" w:cs="Times New Roman"/>
          <w:color w:val="000000"/>
        </w:rPr>
        <w:t> </w:t>
      </w:r>
      <w:r w:rsidRPr="00C83796" w:rsidR="000E3DD3">
        <w:rPr>
          <w:rFonts w:eastAsia="Times New Roman" w:cs="Times New Roman"/>
          <w:color w:val="000000"/>
        </w:rPr>
        <w:t>Cal.App.5th at p.</w:t>
      </w:r>
      <w:r w:rsidR="006305BF">
        <w:rPr>
          <w:rFonts w:eastAsia="Times New Roman" w:cs="Times New Roman"/>
          <w:color w:val="000000"/>
        </w:rPr>
        <w:t> </w:t>
      </w:r>
      <w:r w:rsidRPr="00C83796" w:rsidR="000E3DD3">
        <w:rPr>
          <w:rFonts w:eastAsia="Times New Roman" w:cs="Times New Roman"/>
          <w:color w:val="000000"/>
        </w:rPr>
        <w:t>628</w:t>
      </w:r>
      <w:r w:rsidR="000E3DD3">
        <w:rPr>
          <w:rFonts w:eastAsia="Times New Roman" w:cs="Times New Roman"/>
          <w:color w:val="000000"/>
        </w:rPr>
        <w:t>.)</w:t>
      </w:r>
      <w:r w:rsidR="007572C3">
        <w:rPr>
          <w:rFonts w:eastAsia="Times New Roman" w:cs="Arial"/>
          <w:color w:val="000000"/>
        </w:rPr>
        <w:t xml:space="preserve">  </w:t>
      </w:r>
      <w:r w:rsidR="00562DE8">
        <w:rPr>
          <w:rFonts w:eastAsia="Times New Roman" w:cs="Arial"/>
          <w:color w:val="000000"/>
        </w:rPr>
        <w:t>It is quite clear</w:t>
      </w:r>
      <w:r w:rsidR="004F3A8F">
        <w:rPr>
          <w:rFonts w:eastAsia="Times New Roman" w:cs="Arial"/>
          <w:color w:val="000000"/>
        </w:rPr>
        <w:t xml:space="preserve"> that, in connection with the Initial Petition and the Exhaustion Petition, </w:t>
      </w:r>
      <w:r w:rsidR="009F3D9D">
        <w:rPr>
          <w:rFonts w:eastAsia="Times New Roman" w:cs="Arial"/>
          <w:color w:val="000000"/>
        </w:rPr>
        <w:t xml:space="preserve">Seumanu’s counsel </w:t>
      </w:r>
      <w:r w:rsidR="00950C51">
        <w:rPr>
          <w:rFonts w:eastAsia="Times New Roman" w:cs="Arial"/>
          <w:color w:val="000000"/>
        </w:rPr>
        <w:t>did t</w:t>
      </w:r>
      <w:r w:rsidR="009F3D9D">
        <w:rPr>
          <w:rFonts w:eastAsia="Times New Roman" w:cs="Arial"/>
          <w:color w:val="000000"/>
        </w:rPr>
        <w:t>he work of culling portions of the record from past proceedings</w:t>
      </w:r>
      <w:r w:rsidR="008077C2">
        <w:rPr>
          <w:rFonts w:eastAsia="Times New Roman" w:cs="Arial"/>
          <w:color w:val="000000"/>
        </w:rPr>
        <w:t xml:space="preserve"> and </w:t>
      </w:r>
      <w:r w:rsidR="003B7E3E">
        <w:rPr>
          <w:rFonts w:eastAsia="Times New Roman" w:cs="Arial"/>
          <w:color w:val="000000"/>
        </w:rPr>
        <w:t>proffering</w:t>
      </w:r>
      <w:r w:rsidR="008077C2">
        <w:rPr>
          <w:rFonts w:eastAsia="Times New Roman" w:cs="Arial"/>
          <w:color w:val="000000"/>
        </w:rPr>
        <w:t xml:space="preserve"> it </w:t>
      </w:r>
      <w:r w:rsidR="003404D5">
        <w:rPr>
          <w:rFonts w:eastAsia="Times New Roman" w:cs="Arial"/>
          <w:color w:val="000000"/>
        </w:rPr>
        <w:t>in support of his various requests for habeas relief</w:t>
      </w:r>
      <w:r w:rsidR="003E37BE">
        <w:rPr>
          <w:rFonts w:eastAsia="Times New Roman" w:cs="Arial"/>
          <w:color w:val="000000"/>
        </w:rPr>
        <w:t xml:space="preserve">, </w:t>
      </w:r>
      <w:r w:rsidR="00950C51">
        <w:rPr>
          <w:rFonts w:eastAsia="Times New Roman" w:cs="Arial"/>
          <w:color w:val="000000"/>
        </w:rPr>
        <w:t>together with supplementary declarations</w:t>
      </w:r>
      <w:r w:rsidR="00572CF3">
        <w:rPr>
          <w:rFonts w:eastAsia="Times New Roman" w:cs="Arial"/>
          <w:color w:val="000000"/>
        </w:rPr>
        <w:t xml:space="preserve">.  But </w:t>
      </w:r>
      <w:r w:rsidR="003E37BE">
        <w:rPr>
          <w:rFonts w:eastAsia="Times New Roman" w:cs="Arial"/>
          <w:color w:val="000000"/>
        </w:rPr>
        <w:t xml:space="preserve">we have none of that material.  </w:t>
      </w:r>
      <w:r w:rsidR="00CB5D61">
        <w:rPr>
          <w:rFonts w:eastAsia="Times New Roman" w:cs="Arial"/>
          <w:color w:val="000000"/>
        </w:rPr>
        <w:t>W</w:t>
      </w:r>
      <w:r w:rsidR="00EA5ECD">
        <w:rPr>
          <w:rFonts w:eastAsia="Times New Roman" w:cs="Arial"/>
          <w:color w:val="000000"/>
        </w:rPr>
        <w:t>hen Seumanu filed his COA request, he did not even provide us a</w:t>
      </w:r>
      <w:r w:rsidR="00584C93">
        <w:rPr>
          <w:rFonts w:eastAsia="Times New Roman" w:cs="Arial"/>
          <w:color w:val="000000"/>
        </w:rPr>
        <w:t xml:space="preserve"> copy of the Exhaustion Petition</w:t>
      </w:r>
      <w:r w:rsidR="00CB5D61">
        <w:rPr>
          <w:rFonts w:eastAsia="Times New Roman" w:cs="Arial"/>
          <w:color w:val="000000"/>
        </w:rPr>
        <w:t xml:space="preserve">.  </w:t>
      </w:r>
      <w:r>
        <w:t xml:space="preserve">We </w:t>
      </w:r>
      <w:r w:rsidR="000F6A45">
        <w:t xml:space="preserve">highlighted that basic problem by ordering </w:t>
      </w:r>
      <w:r w:rsidR="00A971FD">
        <w:t>him to pr</w:t>
      </w:r>
      <w:r>
        <w:t xml:space="preserve">ovide us a copy of the Exhaustion Petition and </w:t>
      </w:r>
      <w:r w:rsidR="009E4924">
        <w:t xml:space="preserve">“any accompanying </w:t>
      </w:r>
      <w:r>
        <w:t>exhibits</w:t>
      </w:r>
      <w:r w:rsidR="009E4924">
        <w:t>”</w:t>
      </w:r>
      <w:r>
        <w:t xml:space="preserve"> </w:t>
      </w:r>
      <w:r w:rsidR="006D73B4">
        <w:t>on December</w:t>
      </w:r>
      <w:r w:rsidR="000B3C51">
        <w:t> </w:t>
      </w:r>
      <w:r w:rsidR="006D73B4">
        <w:t>5, 2023</w:t>
      </w:r>
      <w:r w:rsidR="00A971FD">
        <w:t xml:space="preserve">.  </w:t>
      </w:r>
      <w:r w:rsidR="00D57541">
        <w:t xml:space="preserve">In response, he gave us the </w:t>
      </w:r>
      <w:r w:rsidR="006726FC">
        <w:t>Exha</w:t>
      </w:r>
      <w:r w:rsidR="0033443A">
        <w:t>ustion Petition</w:t>
      </w:r>
      <w:r w:rsidR="00D57541">
        <w:t xml:space="preserve"> and the three exhibits that were attached to it, but because those exhibits did not include the actual evidence filed or lodged with the </w:t>
      </w:r>
      <w:r w:rsidR="0033443A">
        <w:t xml:space="preserve">trial </w:t>
      </w:r>
      <w:r w:rsidR="00D57541">
        <w:t>court, they did not supply any meaningful additional information.</w:t>
      </w:r>
      <w:r>
        <w:rPr>
          <w:rStyle w:val="FootnoteReference"/>
          <w:rFonts w:eastAsia="Times New Roman" w:cs="Arial"/>
          <w:color w:val="000000"/>
        </w:rPr>
        <w:footnoteReference w:id="16"/>
      </w:r>
      <w:r w:rsidR="00D11A43">
        <w:rPr>
          <w:rFonts w:eastAsia="Times New Roman" w:cs="Arial"/>
          <w:color w:val="000000"/>
        </w:rPr>
        <w:t xml:space="preserve"> </w:t>
      </w:r>
      <w:r>
        <w:rPr>
          <w:rFonts w:eastAsia="Times New Roman" w:cs="Arial"/>
          <w:color w:val="000000"/>
        </w:rPr>
        <w:t xml:space="preserve">  </w:t>
      </w:r>
    </w:p>
    <w:p w:rsidR="0041645F" w:rsidP="002F079C" w14:paraId="02FF5142" w14:textId="1968319D">
      <w:pPr>
        <w:shd w:val="clear" w:color="auto" w:fill="FFFFFF"/>
        <w:rPr>
          <w:rFonts w:eastAsia="Times New Roman" w:cs="Arial"/>
          <w:color w:val="000000"/>
        </w:rPr>
      </w:pPr>
      <w:r>
        <w:rPr>
          <w:rFonts w:eastAsia="Times New Roman" w:cs="Arial"/>
          <w:color w:val="000000"/>
        </w:rPr>
        <w:t xml:space="preserve">Absent </w:t>
      </w:r>
      <w:r w:rsidR="0086178D">
        <w:rPr>
          <w:rFonts w:eastAsia="Times New Roman" w:cs="Arial"/>
          <w:color w:val="000000"/>
        </w:rPr>
        <w:t>a basis</w:t>
      </w:r>
      <w:r w:rsidR="00AE4749">
        <w:rPr>
          <w:rFonts w:eastAsia="Times New Roman" w:cs="Arial"/>
          <w:color w:val="000000"/>
        </w:rPr>
        <w:t xml:space="preserve"> to believe </w:t>
      </w:r>
      <w:r w:rsidR="005C636C">
        <w:rPr>
          <w:rFonts w:eastAsia="Times New Roman" w:cs="Arial"/>
          <w:color w:val="000000"/>
        </w:rPr>
        <w:t xml:space="preserve">some dereliction </w:t>
      </w:r>
      <w:r w:rsidR="002D55D2">
        <w:rPr>
          <w:rFonts w:eastAsia="Times New Roman" w:cs="Arial"/>
          <w:color w:val="000000"/>
        </w:rPr>
        <w:t xml:space="preserve">by </w:t>
      </w:r>
      <w:r w:rsidR="00D439CF">
        <w:rPr>
          <w:rFonts w:eastAsia="Times New Roman" w:cs="Arial"/>
          <w:color w:val="000000"/>
        </w:rPr>
        <w:t>Seumanu</w:t>
      </w:r>
      <w:r w:rsidR="00BB6939">
        <w:rPr>
          <w:rFonts w:eastAsia="Times New Roman" w:cs="Arial"/>
          <w:color w:val="000000"/>
        </w:rPr>
        <w:t>’s</w:t>
      </w:r>
      <w:r w:rsidR="00D439CF">
        <w:rPr>
          <w:rFonts w:eastAsia="Times New Roman" w:cs="Arial"/>
          <w:color w:val="000000"/>
        </w:rPr>
        <w:t xml:space="preserve"> </w:t>
      </w:r>
      <w:r w:rsidR="002D55D2">
        <w:rPr>
          <w:rFonts w:eastAsia="Times New Roman" w:cs="Arial"/>
          <w:color w:val="000000"/>
        </w:rPr>
        <w:t>trial counsel prejudiced him</w:t>
      </w:r>
      <w:r w:rsidR="00E96062">
        <w:rPr>
          <w:rFonts w:eastAsia="Times New Roman" w:cs="Arial"/>
          <w:color w:val="000000"/>
        </w:rPr>
        <w:t xml:space="preserve"> at the penalty phase, </w:t>
      </w:r>
      <w:r w:rsidR="009D7C17">
        <w:rPr>
          <w:rFonts w:eastAsia="Times New Roman" w:cs="Arial"/>
          <w:color w:val="000000"/>
        </w:rPr>
        <w:t xml:space="preserve">his </w:t>
      </w:r>
      <w:r w:rsidR="00FF63CE">
        <w:rPr>
          <w:rFonts w:eastAsia="Times New Roman" w:cs="Arial"/>
          <w:color w:val="000000"/>
        </w:rPr>
        <w:t xml:space="preserve">former postconviction counsel could not have been </w:t>
      </w:r>
      <w:r w:rsidR="0047798F">
        <w:rPr>
          <w:rFonts w:eastAsia="Times New Roman" w:cs="Arial"/>
          <w:color w:val="000000"/>
        </w:rPr>
        <w:t xml:space="preserve">ineffective </w:t>
      </w:r>
      <w:r w:rsidR="00AD3D82">
        <w:rPr>
          <w:rFonts w:eastAsia="Times New Roman" w:cs="Arial"/>
          <w:color w:val="000000"/>
        </w:rPr>
        <w:t xml:space="preserve">in failing to raise the issue </w:t>
      </w:r>
      <w:r w:rsidR="004F2F6A">
        <w:rPr>
          <w:rFonts w:eastAsia="Times New Roman" w:cs="Arial"/>
          <w:color w:val="000000"/>
        </w:rPr>
        <w:t xml:space="preserve">in the Initial Petition. </w:t>
      </w:r>
      <w:r>
        <w:rPr>
          <w:rFonts w:eastAsia="Times New Roman" w:cs="Arial"/>
          <w:color w:val="000000"/>
        </w:rPr>
        <w:t xml:space="preserve"> </w:t>
      </w:r>
      <w:r w:rsidR="00DF6EAD">
        <w:rPr>
          <w:rFonts w:eastAsia="Times New Roman" w:cs="Arial"/>
          <w:color w:val="000000"/>
        </w:rPr>
        <w:t>Se</w:t>
      </w:r>
      <w:r w:rsidR="00CB7ACE">
        <w:rPr>
          <w:rFonts w:eastAsia="Times New Roman" w:cs="Arial"/>
          <w:color w:val="000000"/>
        </w:rPr>
        <w:t xml:space="preserve">umanu </w:t>
      </w:r>
      <w:r>
        <w:rPr>
          <w:rFonts w:eastAsia="Times New Roman" w:cs="Arial"/>
          <w:color w:val="000000"/>
        </w:rPr>
        <w:t xml:space="preserve">urges us to find that, had the </w:t>
      </w:r>
      <w:r w:rsidR="002841A5">
        <w:rPr>
          <w:rFonts w:eastAsia="Times New Roman" w:cs="Arial"/>
          <w:color w:val="000000"/>
        </w:rPr>
        <w:t>“</w:t>
      </w:r>
      <w:r>
        <w:rPr>
          <w:rFonts w:eastAsia="Times New Roman" w:cs="Arial"/>
          <w:color w:val="000000"/>
        </w:rPr>
        <w:t>gambling</w:t>
      </w:r>
      <w:r w:rsidR="002841A5">
        <w:rPr>
          <w:rFonts w:eastAsia="Times New Roman" w:cs="Arial"/>
          <w:color w:val="000000"/>
        </w:rPr>
        <w:t>”</w:t>
      </w:r>
      <w:r>
        <w:rPr>
          <w:rFonts w:eastAsia="Times New Roman" w:cs="Arial"/>
          <w:color w:val="000000"/>
        </w:rPr>
        <w:t xml:space="preserve"> incident been portrayed in the manner </w:t>
      </w:r>
      <w:r w:rsidR="0053195C">
        <w:rPr>
          <w:rFonts w:eastAsia="Times New Roman" w:cs="Arial"/>
          <w:color w:val="000000"/>
        </w:rPr>
        <w:t>he</w:t>
      </w:r>
      <w:r>
        <w:rPr>
          <w:rFonts w:eastAsia="Times New Roman" w:cs="Arial"/>
          <w:color w:val="000000"/>
        </w:rPr>
        <w:t xml:space="preserve"> now claims it should have been, he could have argued </w:t>
      </w:r>
      <w:r w:rsidR="00632453">
        <w:rPr>
          <w:rFonts w:eastAsia="Times New Roman" w:cs="Arial"/>
          <w:color w:val="000000"/>
        </w:rPr>
        <w:t xml:space="preserve">more effectively </w:t>
      </w:r>
      <w:r>
        <w:rPr>
          <w:rFonts w:eastAsia="Times New Roman" w:cs="Arial"/>
          <w:color w:val="000000"/>
        </w:rPr>
        <w:t xml:space="preserve">for life based on mitigating evidence of organic brain damage.  </w:t>
      </w:r>
      <w:r w:rsidR="00A45634">
        <w:rPr>
          <w:rFonts w:eastAsia="Times New Roman" w:cs="Arial"/>
          <w:color w:val="000000"/>
        </w:rPr>
        <w:t>But without</w:t>
      </w:r>
      <w:r>
        <w:rPr>
          <w:rFonts w:eastAsia="Times New Roman" w:cs="Arial"/>
          <w:color w:val="000000"/>
        </w:rPr>
        <w:t xml:space="preserve"> any factual record to support the premise of the argument (proof that he did in fact suffer from brain damage, and if so, the nature of it) and without anything in the record to help us consider how strongly that argument, if properly supported, might have weighed in the penalty phase calculus (an issue that would require us to situate the brain damage claim in the overall mix of aggravation versus mitigation), </w:t>
      </w:r>
      <w:r w:rsidR="00CE6D36">
        <w:rPr>
          <w:rFonts w:eastAsia="Times New Roman" w:cs="Arial"/>
          <w:color w:val="000000"/>
        </w:rPr>
        <w:t xml:space="preserve">we have no basis to conclude </w:t>
      </w:r>
      <w:r w:rsidR="00CB7ACE">
        <w:rPr>
          <w:rFonts w:eastAsia="Times New Roman" w:cs="Arial"/>
          <w:color w:val="000000"/>
        </w:rPr>
        <w:t xml:space="preserve">that </w:t>
      </w:r>
      <w:r w:rsidR="004A030A">
        <w:rPr>
          <w:rFonts w:eastAsia="Times New Roman" w:cs="Arial"/>
          <w:color w:val="000000"/>
        </w:rPr>
        <w:t xml:space="preserve">the </w:t>
      </w:r>
      <w:r w:rsidR="006A299F">
        <w:rPr>
          <w:rFonts w:eastAsia="Times New Roman" w:cs="Arial"/>
          <w:color w:val="000000"/>
        </w:rPr>
        <w:t>i</w:t>
      </w:r>
      <w:r w:rsidR="004F65FD">
        <w:rPr>
          <w:rFonts w:eastAsia="Times New Roman" w:cs="Arial"/>
          <w:color w:val="000000"/>
        </w:rPr>
        <w:t>ncompetence</w:t>
      </w:r>
      <w:r w:rsidR="004F18C8">
        <w:rPr>
          <w:rFonts w:eastAsia="Times New Roman" w:cs="Arial"/>
          <w:color w:val="000000"/>
        </w:rPr>
        <w:t xml:space="preserve"> </w:t>
      </w:r>
      <w:r w:rsidR="004A030A">
        <w:rPr>
          <w:rFonts w:eastAsia="Times New Roman" w:cs="Arial"/>
          <w:color w:val="000000"/>
        </w:rPr>
        <w:t xml:space="preserve">of </w:t>
      </w:r>
      <w:r w:rsidR="00CE6D36">
        <w:rPr>
          <w:rFonts w:eastAsia="Times New Roman" w:cs="Arial"/>
          <w:color w:val="000000"/>
        </w:rPr>
        <w:t xml:space="preserve">Seumanu’s </w:t>
      </w:r>
      <w:r w:rsidR="000C1D3E">
        <w:rPr>
          <w:rFonts w:eastAsia="Times New Roman" w:cs="Arial"/>
          <w:color w:val="000000"/>
        </w:rPr>
        <w:t xml:space="preserve">trial </w:t>
      </w:r>
      <w:r w:rsidR="004A030A">
        <w:rPr>
          <w:rFonts w:eastAsia="Times New Roman" w:cs="Arial"/>
          <w:color w:val="000000"/>
        </w:rPr>
        <w:t xml:space="preserve">counsel </w:t>
      </w:r>
      <w:r w:rsidR="00350556">
        <w:rPr>
          <w:rFonts w:eastAsia="Times New Roman" w:cs="Arial"/>
          <w:color w:val="000000"/>
        </w:rPr>
        <w:t xml:space="preserve">likely </w:t>
      </w:r>
      <w:r w:rsidR="009606AA">
        <w:rPr>
          <w:rFonts w:eastAsia="Times New Roman" w:cs="Arial"/>
          <w:color w:val="000000"/>
        </w:rPr>
        <w:t>deprived him of a better penalty phase outcome</w:t>
      </w:r>
      <w:r w:rsidR="00BD6201">
        <w:rPr>
          <w:rFonts w:eastAsia="Times New Roman" w:cs="Arial"/>
          <w:color w:val="000000"/>
        </w:rPr>
        <w:t xml:space="preserve">, and that his post-conviction counsel, in turn, was incompetent for </w:t>
      </w:r>
      <w:r w:rsidR="007E13AF">
        <w:rPr>
          <w:rFonts w:eastAsia="Times New Roman" w:cs="Arial"/>
          <w:color w:val="000000"/>
        </w:rPr>
        <w:t>overlooking the issue</w:t>
      </w:r>
      <w:r w:rsidR="009606AA">
        <w:rPr>
          <w:rFonts w:eastAsia="Times New Roman" w:cs="Arial"/>
          <w:color w:val="000000"/>
        </w:rPr>
        <w:t xml:space="preserve">. </w:t>
      </w:r>
    </w:p>
    <w:p w:rsidR="0041645F" w:rsidRPr="00B6649D" w:rsidP="0041645F" w14:paraId="17DCFF23" w14:textId="77777777">
      <w:pPr>
        <w:pStyle w:val="Heading3"/>
        <w:numPr>
          <w:ilvl w:val="0"/>
          <w:numId w:val="26"/>
        </w:numPr>
      </w:pPr>
      <w:r w:rsidRPr="00B6649D">
        <w:t>Claim Two</w:t>
      </w:r>
    </w:p>
    <w:p w:rsidR="0041645F" w:rsidP="0041645F" w14:paraId="14349100" w14:textId="00EC65A7">
      <w:pPr>
        <w:shd w:val="clear" w:color="auto" w:fill="FFFFFF"/>
        <w:rPr>
          <w:rFonts w:eastAsia="Times New Roman" w:cs="Times New Roman"/>
          <w:color w:val="000000"/>
        </w:rPr>
      </w:pPr>
      <w:r>
        <w:rPr>
          <w:rFonts w:eastAsia="Times New Roman" w:cs="Arial"/>
          <w:color w:val="000000"/>
        </w:rPr>
        <w:t xml:space="preserve">Claim two alleges that Seumanu </w:t>
      </w:r>
      <w:r>
        <w:rPr>
          <w:rFonts w:eastAsia="Times New Roman" w:cs="Times New Roman"/>
          <w:color w:val="000000"/>
        </w:rPr>
        <w:t>was denied due process by virtue of trial counsel</w:t>
      </w:r>
      <w:r w:rsidR="00D61088">
        <w:rPr>
          <w:rFonts w:eastAsia="Times New Roman" w:cs="Times New Roman"/>
          <w:color w:val="000000"/>
        </w:rPr>
        <w:t>’</w:t>
      </w:r>
      <w:r>
        <w:rPr>
          <w:rFonts w:eastAsia="Times New Roman" w:cs="Times New Roman"/>
          <w:color w:val="000000"/>
        </w:rPr>
        <w:t>s failure to object to the prosecutor</w:t>
      </w:r>
      <w:r w:rsidR="00D61088">
        <w:rPr>
          <w:rFonts w:eastAsia="Times New Roman" w:cs="Times New Roman"/>
          <w:color w:val="000000"/>
        </w:rPr>
        <w:t>’</w:t>
      </w:r>
      <w:r>
        <w:rPr>
          <w:rFonts w:eastAsia="Times New Roman" w:cs="Times New Roman"/>
          <w:color w:val="000000"/>
        </w:rPr>
        <w:t>s misconduct in appealing to the jurors</w:t>
      </w:r>
      <w:r w:rsidR="00D61088">
        <w:rPr>
          <w:rFonts w:eastAsia="Times New Roman" w:cs="Times New Roman"/>
          <w:color w:val="000000"/>
        </w:rPr>
        <w:t>’</w:t>
      </w:r>
      <w:r>
        <w:rPr>
          <w:rFonts w:eastAsia="Times New Roman" w:cs="Times New Roman"/>
          <w:color w:val="000000"/>
        </w:rPr>
        <w:t xml:space="preserve"> passions and prejudices.  Based on a declaration of counsel attached to the Exhaustion Petition, </w:t>
      </w:r>
      <w:r>
        <w:rPr>
          <w:rFonts w:eastAsia="Times New Roman" w:cs="Arial"/>
          <w:color w:val="000000"/>
        </w:rPr>
        <w:t>Seumanu</w:t>
      </w:r>
      <w:r>
        <w:rPr>
          <w:rFonts w:eastAsia="Times New Roman" w:cs="Times New Roman"/>
          <w:color w:val="000000"/>
        </w:rPr>
        <w:t xml:space="preserve"> alleges that, after trial was over and judgment was rendered, he discovered information that his prosecutor had a reputation for “cheating” in trials, and that her supervisors knew it, yet they acquiesced in her unethical practices.  </w:t>
      </w:r>
    </w:p>
    <w:p w:rsidR="0041645F" w:rsidP="0041645F" w14:paraId="3FAB68B8" w14:textId="06C05B2A">
      <w:pPr>
        <w:shd w:val="clear" w:color="auto" w:fill="FFFFFF"/>
        <w:rPr>
          <w:rFonts w:eastAsia="Times New Roman" w:cs="Arial"/>
          <w:color w:val="000000"/>
        </w:rPr>
      </w:pPr>
      <w:r>
        <w:rPr>
          <w:rFonts w:eastAsia="Times New Roman" w:cs="Arial"/>
          <w:color w:val="000000"/>
        </w:rPr>
        <w:t xml:space="preserve">In analyzing this issue, the trial court again noted that Seumanu had previously raised unsuccessful claims of prosecutorial misconduct on direct appeal.  Not only did he specifically raise the issue of improper prosecutorial appeals to passion and prejudice </w:t>
      </w:r>
      <w:r w:rsidR="008F3DD2">
        <w:rPr>
          <w:rFonts w:eastAsia="Times New Roman" w:cs="Arial"/>
          <w:color w:val="000000"/>
        </w:rPr>
        <w:t xml:space="preserve">in </w:t>
      </w:r>
      <w:r>
        <w:rPr>
          <w:rFonts w:eastAsia="Times New Roman" w:cs="Arial"/>
          <w:color w:val="000000"/>
        </w:rPr>
        <w:t xml:space="preserve">his direct appeal, the trial court pointed out, but the Initial Petition made nearly identical claims.  In light of these unsuccessful prior prosecutorial misconduct claims, the trial court found, claim two “does not allege a new or different instance of prosecutorial misconduct”; rather it “amounts to an allegation that additional ammunition was available to support [Seumanu’s] prosecutorial misconduct claims, and that post-conviction counsel was ineffective for failing to use that ammunition.”  The additional factual allegations Seumanu added in support of the Exhaustion Petition, the trial court concluded, would not have made any difference to the outcome. </w:t>
      </w:r>
    </w:p>
    <w:p w:rsidR="0041645F" w:rsidP="0041645F" w14:paraId="2DDD2BC5" w14:textId="0B1EFE6D">
      <w:pPr>
        <w:shd w:val="clear" w:color="auto" w:fill="FFFFFF"/>
        <w:rPr>
          <w:rFonts w:eastAsia="Times New Roman" w:cs="Arial"/>
          <w:color w:val="000000"/>
        </w:rPr>
      </w:pPr>
      <w:r>
        <w:rPr>
          <w:rFonts w:eastAsia="Times New Roman" w:cs="Arial"/>
          <w:color w:val="000000"/>
        </w:rPr>
        <w:t xml:space="preserve">We have been given none of the newly discovered evidence supporting previously rejected allegations of prosecutorial misconduct. </w:t>
      </w:r>
      <w:r w:rsidR="00673748">
        <w:rPr>
          <w:rFonts w:eastAsia="Times New Roman" w:cs="Arial"/>
          <w:color w:val="000000"/>
        </w:rPr>
        <w:t xml:space="preserve"> </w:t>
      </w:r>
      <w:r>
        <w:rPr>
          <w:rFonts w:eastAsia="Times New Roman" w:cs="Arial"/>
          <w:color w:val="000000"/>
        </w:rPr>
        <w:t>We have only the bare allegations in the Exhaustion Petition claiming the evidence is new.  Nowhere does Seumanu allege or show that materials relating to the post-trial investigation on which he relies we</w:t>
      </w:r>
      <w:r w:rsidR="005602CF">
        <w:rPr>
          <w:rFonts w:eastAsia="Times New Roman" w:cs="Arial"/>
          <w:color w:val="000000"/>
        </w:rPr>
        <w:t>re</w:t>
      </w:r>
      <w:r>
        <w:rPr>
          <w:rFonts w:eastAsia="Times New Roman" w:cs="Arial"/>
          <w:color w:val="000000"/>
        </w:rPr>
        <w:t xml:space="preserve"> unavailable at the time he filed </w:t>
      </w:r>
      <w:r w:rsidR="007374AF">
        <w:rPr>
          <w:rFonts w:eastAsia="Times New Roman" w:cs="Arial"/>
          <w:color w:val="000000"/>
        </w:rPr>
        <w:t>the</w:t>
      </w:r>
      <w:r>
        <w:rPr>
          <w:rFonts w:eastAsia="Times New Roman" w:cs="Arial"/>
          <w:color w:val="000000"/>
        </w:rPr>
        <w:t xml:space="preserve"> </w:t>
      </w:r>
      <w:r w:rsidR="00C66EFA">
        <w:rPr>
          <w:rFonts w:eastAsia="Times New Roman" w:cs="Arial"/>
          <w:color w:val="000000"/>
        </w:rPr>
        <w:t>I</w:t>
      </w:r>
      <w:r>
        <w:rPr>
          <w:rFonts w:eastAsia="Times New Roman" w:cs="Arial"/>
          <w:color w:val="000000"/>
        </w:rPr>
        <w:t xml:space="preserve">nitial </w:t>
      </w:r>
      <w:r w:rsidR="00C66EFA">
        <w:rPr>
          <w:rFonts w:eastAsia="Times New Roman" w:cs="Arial"/>
          <w:color w:val="000000"/>
        </w:rPr>
        <w:t>P</w:t>
      </w:r>
      <w:r>
        <w:rPr>
          <w:rFonts w:eastAsia="Times New Roman" w:cs="Arial"/>
          <w:color w:val="000000"/>
        </w:rPr>
        <w:t xml:space="preserve">etition.  And to the extent he alleges </w:t>
      </w:r>
      <w:r w:rsidR="001A28B9">
        <w:rPr>
          <w:rFonts w:eastAsia="Times New Roman" w:cs="Arial"/>
          <w:color w:val="000000"/>
        </w:rPr>
        <w:t>that his former postconviction counsel should have</w:t>
      </w:r>
      <w:r>
        <w:rPr>
          <w:rFonts w:eastAsia="Times New Roman" w:cs="Arial"/>
          <w:color w:val="000000"/>
        </w:rPr>
        <w:t xml:space="preserve"> discover</w:t>
      </w:r>
      <w:r w:rsidR="001A28B9">
        <w:rPr>
          <w:rFonts w:eastAsia="Times New Roman" w:cs="Arial"/>
          <w:color w:val="000000"/>
        </w:rPr>
        <w:t>ed</w:t>
      </w:r>
      <w:r>
        <w:rPr>
          <w:rFonts w:eastAsia="Times New Roman" w:cs="Arial"/>
          <w:color w:val="000000"/>
        </w:rPr>
        <w:t xml:space="preserve"> those materials earlier than he did, we agree with the trial court that Seumanu failed to bear his burden</w:t>
      </w:r>
      <w:r w:rsidR="006C3E88">
        <w:rPr>
          <w:rFonts w:eastAsia="Times New Roman" w:cs="Arial"/>
          <w:color w:val="000000"/>
        </w:rPr>
        <w:t xml:space="preserve"> </w:t>
      </w:r>
      <w:r w:rsidR="001C537A">
        <w:rPr>
          <w:rFonts w:eastAsia="Times New Roman" w:cs="Arial"/>
          <w:color w:val="000000"/>
        </w:rPr>
        <w:t>of plead</w:t>
      </w:r>
      <w:r w:rsidR="00A51CA8">
        <w:rPr>
          <w:rFonts w:eastAsia="Times New Roman" w:cs="Arial"/>
          <w:color w:val="000000"/>
        </w:rPr>
        <w:t xml:space="preserve">ing </w:t>
      </w:r>
      <w:r w:rsidR="001A28B9">
        <w:rPr>
          <w:rFonts w:eastAsia="Times New Roman" w:cs="Arial"/>
          <w:color w:val="000000"/>
        </w:rPr>
        <w:t>ineffective assistance of counsel</w:t>
      </w:r>
      <w:r w:rsidR="00A51CA8">
        <w:rPr>
          <w:rFonts w:eastAsia="Times New Roman" w:cs="Arial"/>
          <w:color w:val="000000"/>
        </w:rPr>
        <w:t xml:space="preserve"> with particularity</w:t>
      </w:r>
      <w:r w:rsidR="001A28B9">
        <w:rPr>
          <w:rFonts w:eastAsia="Times New Roman" w:cs="Arial"/>
          <w:color w:val="000000"/>
        </w:rPr>
        <w:t>.</w:t>
      </w:r>
      <w:r>
        <w:rPr>
          <w:rFonts w:eastAsia="Times New Roman" w:cs="Arial"/>
          <w:color w:val="000000"/>
        </w:rPr>
        <w:t xml:space="preserve"> </w:t>
      </w:r>
    </w:p>
    <w:p w:rsidR="0041645F" w:rsidRPr="00673748" w:rsidP="0041645F" w14:paraId="18E4DEA3" w14:textId="77777777">
      <w:pPr>
        <w:pStyle w:val="Heading3"/>
        <w:numPr>
          <w:ilvl w:val="0"/>
          <w:numId w:val="26"/>
        </w:numPr>
      </w:pPr>
      <w:r w:rsidRPr="00673748">
        <w:t>Claim Three</w:t>
      </w:r>
    </w:p>
    <w:p w:rsidR="0041645F" w:rsidP="0041645F" w14:paraId="1F3DE44A" w14:textId="38B371F9">
      <w:pPr>
        <w:shd w:val="clear" w:color="auto" w:fill="FFFFFF"/>
        <w:tabs>
          <w:tab w:val="left" w:pos="810"/>
          <w:tab w:val="left" w:pos="1170"/>
        </w:tabs>
        <w:ind w:firstLine="0"/>
        <w:rPr>
          <w:rFonts w:eastAsia="Times New Roman" w:cs="Arial"/>
          <w:color w:val="000000"/>
        </w:rPr>
      </w:pPr>
      <w:r>
        <w:rPr>
          <w:rFonts w:eastAsia="Times New Roman" w:cs="Arial"/>
          <w:color w:val="000000"/>
        </w:rPr>
        <w:tab/>
        <w:t xml:space="preserve">In this claim, Seumanu alleges error in a penalty phase jury instruction that did not </w:t>
      </w:r>
      <w:r>
        <w:rPr>
          <w:rFonts w:eastAsia="Times New Roman" w:cs="Times New Roman"/>
          <w:color w:val="000000"/>
        </w:rPr>
        <w:t xml:space="preserve">allow the jury to consider the impact of his execution on his extended family.  Seumanu </w:t>
      </w:r>
      <w:r>
        <w:rPr>
          <w:rFonts w:eastAsia="Times New Roman" w:cs="Arial"/>
          <w:color w:val="000000"/>
        </w:rPr>
        <w:t>argues that because victim impact evidence is admissible, it is only fair that a jury be allowed to hear how a defendant</w:t>
      </w:r>
      <w:r w:rsidR="0017500E">
        <w:rPr>
          <w:rFonts w:eastAsia="Times New Roman" w:cs="Arial"/>
          <w:color w:val="000000"/>
        </w:rPr>
        <w:t>’</w:t>
      </w:r>
      <w:r>
        <w:rPr>
          <w:rFonts w:eastAsia="Times New Roman" w:cs="Arial"/>
          <w:color w:val="000000"/>
        </w:rPr>
        <w:t>s family would be affected by his execution.  “While this argument is not without a certain logical appeal,” the trial court explained, “it is not the law.  As recently as August 2021, the California Supreme Court reaffirmed its longstanding rule that ‘a jury cannot consider sympathy for a defendant</w:t>
      </w:r>
      <w:r w:rsidR="0017500E">
        <w:rPr>
          <w:rFonts w:eastAsia="Times New Roman" w:cs="Arial"/>
          <w:color w:val="000000"/>
        </w:rPr>
        <w:t>’</w:t>
      </w:r>
      <w:r>
        <w:rPr>
          <w:rFonts w:eastAsia="Times New Roman" w:cs="Arial"/>
          <w:color w:val="000000"/>
        </w:rPr>
        <w:t>s family in mitigation.’</w:t>
      </w:r>
      <w:r w:rsidR="002323DF">
        <w:rPr>
          <w:rFonts w:eastAsia="Times New Roman" w:cs="Arial"/>
          <w:color w:val="000000"/>
        </w:rPr>
        <w:t> </w:t>
      </w:r>
      <w:r>
        <w:rPr>
          <w:rFonts w:eastAsia="Times New Roman" w:cs="Arial"/>
          <w:color w:val="000000"/>
        </w:rPr>
        <w:t xml:space="preserve">” </w:t>
      </w:r>
      <w:r w:rsidR="00CF19EC">
        <w:rPr>
          <w:rFonts w:eastAsia="Times New Roman" w:cs="Arial"/>
          <w:color w:val="000000"/>
        </w:rPr>
        <w:t xml:space="preserve"> </w:t>
      </w:r>
      <w:r>
        <w:rPr>
          <w:rFonts w:eastAsia="Times New Roman" w:cs="Arial"/>
          <w:color w:val="000000"/>
        </w:rPr>
        <w:t xml:space="preserve">(See </w:t>
      </w:r>
      <w:r>
        <w:rPr>
          <w:rFonts w:eastAsia="Times New Roman" w:cs="Arial"/>
          <w:i/>
          <w:iCs/>
          <w:color w:val="000000"/>
        </w:rPr>
        <w:t>People v. McDaniel</w:t>
      </w:r>
      <w:r>
        <w:rPr>
          <w:rFonts w:eastAsia="Times New Roman" w:cs="Arial"/>
          <w:color w:val="000000"/>
        </w:rPr>
        <w:t xml:space="preserve"> (2021) 12</w:t>
      </w:r>
      <w:r w:rsidR="00635FC7">
        <w:rPr>
          <w:rFonts w:eastAsia="Times New Roman" w:cs="Arial"/>
          <w:color w:val="000000"/>
        </w:rPr>
        <w:t> </w:t>
      </w:r>
      <w:r>
        <w:rPr>
          <w:rFonts w:eastAsia="Times New Roman" w:cs="Arial"/>
          <w:color w:val="000000"/>
        </w:rPr>
        <w:t xml:space="preserve">Cal.5th 97, 156; </w:t>
      </w:r>
      <w:r>
        <w:rPr>
          <w:rFonts w:eastAsia="Times New Roman" w:cs="Arial"/>
          <w:i/>
          <w:iCs/>
          <w:color w:val="000000"/>
        </w:rPr>
        <w:t>People v. Ochoa</w:t>
      </w:r>
      <w:r>
        <w:rPr>
          <w:rFonts w:eastAsia="Times New Roman" w:cs="Arial"/>
          <w:color w:val="000000"/>
        </w:rPr>
        <w:t xml:space="preserve"> (1998) 19</w:t>
      </w:r>
      <w:r w:rsidR="00635FC7">
        <w:rPr>
          <w:rFonts w:eastAsia="Times New Roman" w:cs="Arial"/>
          <w:color w:val="000000"/>
        </w:rPr>
        <w:t> </w:t>
      </w:r>
      <w:r>
        <w:rPr>
          <w:rFonts w:eastAsia="Times New Roman" w:cs="Arial"/>
          <w:color w:val="000000"/>
        </w:rPr>
        <w:t xml:space="preserve">Cal.4th 353, 456.)  </w:t>
      </w:r>
    </w:p>
    <w:p w:rsidR="0041645F" w:rsidP="0041645F" w14:paraId="246BB2E4" w14:textId="57CDA057">
      <w:pPr>
        <w:shd w:val="clear" w:color="auto" w:fill="FFFFFF"/>
        <w:tabs>
          <w:tab w:val="left" w:pos="810"/>
          <w:tab w:val="left" w:pos="1170"/>
        </w:tabs>
        <w:ind w:firstLine="0"/>
        <w:rPr>
          <w:rFonts w:eastAsia="Times New Roman" w:cs="Arial"/>
          <w:color w:val="000000"/>
        </w:rPr>
      </w:pPr>
      <w:r>
        <w:rPr>
          <w:rFonts w:eastAsia="Times New Roman" w:cs="Arial"/>
          <w:color w:val="000000"/>
        </w:rPr>
        <w:tab/>
        <w:t xml:space="preserve">The trial court concluded that Seumanu could not have been prejudiced by legally correct jury instructions or by his trial counsel’s failure to argue for a change in settled law,” and it further concluded his counsel could not have been ineffective </w:t>
      </w:r>
      <w:r w:rsidR="009920A4">
        <w:rPr>
          <w:rFonts w:eastAsia="Times New Roman" w:cs="Arial"/>
          <w:color w:val="000000"/>
        </w:rPr>
        <w:t xml:space="preserve">for </w:t>
      </w:r>
      <w:r>
        <w:rPr>
          <w:rFonts w:eastAsia="Times New Roman" w:cs="Arial"/>
          <w:color w:val="000000"/>
        </w:rPr>
        <w:t xml:space="preserve">failing to argue for a “wholesale change in the law.”  We agree with that assessment of this purely legal issue.  Because it could not have been ineffective assistance for Seumanu’s former post-conviction counsel not to raise a baseless ineffective assistance claim against trial counsel, </w:t>
      </w:r>
      <w:r w:rsidR="0091469F">
        <w:rPr>
          <w:rFonts w:eastAsia="Times New Roman" w:cs="Arial"/>
          <w:color w:val="000000"/>
        </w:rPr>
        <w:t xml:space="preserve">Seumanu </w:t>
      </w:r>
      <w:r>
        <w:rPr>
          <w:rFonts w:eastAsia="Times New Roman" w:cs="Arial"/>
          <w:color w:val="000000"/>
        </w:rPr>
        <w:t xml:space="preserve">has not met the </w:t>
      </w:r>
      <w:r w:rsidR="005421CB">
        <w:rPr>
          <w:rFonts w:eastAsia="Times New Roman" w:cs="Arial"/>
          <w:color w:val="000000"/>
        </w:rPr>
        <w:t xml:space="preserve">strict </w:t>
      </w:r>
      <w:r w:rsidR="00EF3DB5">
        <w:rPr>
          <w:rFonts w:eastAsia="Times New Roman" w:cs="Arial"/>
          <w:color w:val="000000"/>
        </w:rPr>
        <w:t>pl</w:t>
      </w:r>
      <w:r>
        <w:rPr>
          <w:rFonts w:eastAsia="Times New Roman" w:cs="Arial"/>
          <w:color w:val="000000"/>
        </w:rPr>
        <w:t xml:space="preserve">eading </w:t>
      </w:r>
      <w:r w:rsidR="00EF3DB5">
        <w:rPr>
          <w:rFonts w:eastAsia="Times New Roman" w:cs="Arial"/>
          <w:color w:val="000000"/>
        </w:rPr>
        <w:t xml:space="preserve">standard </w:t>
      </w:r>
      <w:r>
        <w:rPr>
          <w:rFonts w:eastAsia="Times New Roman" w:cs="Arial"/>
          <w:color w:val="000000"/>
        </w:rPr>
        <w:t>that applies here.  The trial court correctly ruled that the ineffective assistance issue raised in the Exhaustion Petition is not</w:t>
      </w:r>
      <w:r w:rsidR="002D17BC">
        <w:rPr>
          <w:rFonts w:eastAsia="Times New Roman" w:cs="Arial"/>
          <w:color w:val="000000"/>
        </w:rPr>
        <w:t xml:space="preserve"> </w:t>
      </w:r>
      <w:r>
        <w:rPr>
          <w:rFonts w:eastAsia="Times New Roman" w:cs="Arial"/>
          <w:color w:val="000000"/>
        </w:rPr>
        <w:t>“</w:t>
      </w:r>
      <w:r w:rsidR="00635FC7">
        <w:rPr>
          <w:rFonts w:eastAsia="Times New Roman" w:cs="Arial"/>
          <w:color w:val="000000"/>
        </w:rPr>
        <w:t> </w:t>
      </w:r>
      <w:r w:rsidR="00F1209E">
        <w:rPr>
          <w:rFonts w:eastAsia="Times New Roman" w:cs="Arial"/>
          <w:color w:val="000000"/>
        </w:rPr>
        <w:t>‘</w:t>
      </w:r>
      <w:r w:rsidR="00635FC7">
        <w:rPr>
          <w:rFonts w:eastAsia="Times New Roman" w:cs="Arial"/>
          <w:color w:val="000000"/>
        </w:rPr>
        <w:t> </w:t>
      </w:r>
      <w:r>
        <w:rPr>
          <w:rFonts w:eastAsia="Times New Roman" w:cs="Arial"/>
          <w:color w:val="000000"/>
        </w:rPr>
        <w:t>“one which would have entitled [Seumanu] to relief had it been raised and adequ</w:t>
      </w:r>
      <w:r>
        <w:rPr>
          <w:rFonts w:eastAsia="Century Schoolbook" w:cs="Century Schoolbook"/>
          <w:color w:val="000000"/>
        </w:rPr>
        <w:t>a</w:t>
      </w:r>
      <w:r>
        <w:rPr>
          <w:rFonts w:eastAsia="Times New Roman" w:cs="Arial"/>
          <w:color w:val="000000"/>
        </w:rPr>
        <w:t>tely presented in the initial petition.”</w:t>
      </w:r>
      <w:r w:rsidR="00635FC7">
        <w:rPr>
          <w:rFonts w:eastAsia="Times New Roman" w:cs="Arial"/>
          <w:color w:val="000000"/>
        </w:rPr>
        <w:t> </w:t>
      </w:r>
      <w:r w:rsidR="00F1209E">
        <w:rPr>
          <w:rFonts w:eastAsia="Times New Roman" w:cs="Arial"/>
          <w:color w:val="000000"/>
        </w:rPr>
        <w:t>’</w:t>
      </w:r>
      <w:r w:rsidR="00635FC7">
        <w:rPr>
          <w:rFonts w:eastAsia="Times New Roman" w:cs="Arial"/>
          <w:color w:val="000000"/>
        </w:rPr>
        <w:t> </w:t>
      </w:r>
      <w:r>
        <w:rPr>
          <w:rFonts w:eastAsia="Times New Roman" w:cs="Arial"/>
          <w:color w:val="000000"/>
        </w:rPr>
        <w:t xml:space="preserve">” </w:t>
      </w:r>
      <w:r w:rsidR="00A45FC9">
        <w:rPr>
          <w:rFonts w:eastAsia="Times New Roman" w:cs="Arial"/>
          <w:color w:val="000000"/>
        </w:rPr>
        <w:t xml:space="preserve"> </w:t>
      </w:r>
      <w:r>
        <w:rPr>
          <w:rFonts w:eastAsia="Times New Roman" w:cs="Arial"/>
          <w:color w:val="000000"/>
        </w:rPr>
        <w:t>(</w:t>
      </w:r>
      <w:r>
        <w:rPr>
          <w:rFonts w:eastAsia="Times New Roman" w:cs="Arial"/>
          <w:i/>
          <w:iCs/>
          <w:color w:val="000000"/>
        </w:rPr>
        <w:t>Friend II</w:t>
      </w:r>
      <w:r>
        <w:rPr>
          <w:rFonts w:eastAsia="Times New Roman" w:cs="Arial"/>
          <w:color w:val="000000"/>
        </w:rPr>
        <w:t xml:space="preserve">, </w:t>
      </w:r>
      <w:r>
        <w:rPr>
          <w:rFonts w:eastAsia="Times New Roman" w:cs="Arial"/>
          <w:i/>
          <w:iCs/>
          <w:color w:val="000000"/>
        </w:rPr>
        <w:t>supra</w:t>
      </w:r>
      <w:r>
        <w:rPr>
          <w:rFonts w:eastAsia="Times New Roman" w:cs="Arial"/>
          <w:color w:val="000000"/>
        </w:rPr>
        <w:t>, 76</w:t>
      </w:r>
      <w:r w:rsidR="00372861">
        <w:rPr>
          <w:rFonts w:eastAsia="Times New Roman" w:cs="Arial"/>
          <w:color w:val="000000"/>
        </w:rPr>
        <w:t> </w:t>
      </w:r>
      <w:r>
        <w:rPr>
          <w:rFonts w:eastAsia="Times New Roman" w:cs="Arial"/>
          <w:color w:val="000000"/>
        </w:rPr>
        <w:t>Cal.App.5th at p.</w:t>
      </w:r>
      <w:r w:rsidR="00635FC7">
        <w:rPr>
          <w:rFonts w:eastAsia="Times New Roman" w:cs="Arial"/>
          <w:color w:val="000000"/>
        </w:rPr>
        <w:t> </w:t>
      </w:r>
      <w:r>
        <w:rPr>
          <w:rFonts w:eastAsia="Times New Roman" w:cs="Arial"/>
          <w:color w:val="000000"/>
        </w:rPr>
        <w:t>63</w:t>
      </w:r>
      <w:r w:rsidR="00DF7FBB">
        <w:rPr>
          <w:rFonts w:eastAsia="Times New Roman" w:cs="Arial"/>
          <w:color w:val="000000"/>
        </w:rPr>
        <w:t>9</w:t>
      </w:r>
      <w:r>
        <w:rPr>
          <w:rFonts w:eastAsia="Times New Roman" w:cs="Arial"/>
          <w:color w:val="000000"/>
        </w:rPr>
        <w:t xml:space="preserve">.)   </w:t>
      </w:r>
    </w:p>
    <w:p w:rsidR="0041645F" w:rsidRPr="00372861" w:rsidP="0041645F" w14:paraId="52BA9DA8" w14:textId="77777777">
      <w:pPr>
        <w:pStyle w:val="Heading3"/>
        <w:numPr>
          <w:ilvl w:val="0"/>
          <w:numId w:val="26"/>
        </w:numPr>
      </w:pPr>
      <w:r w:rsidRPr="00372861">
        <w:t>Claim Four</w:t>
      </w:r>
    </w:p>
    <w:p w:rsidR="00056DDE" w:rsidP="0041645F" w14:paraId="587C2121" w14:textId="26A7D8BD">
      <w:pPr>
        <w:shd w:val="clear" w:color="auto" w:fill="FFFFFF"/>
        <w:rPr>
          <w:rFonts w:eastAsia="Times New Roman" w:cs="Arial"/>
          <w:color w:val="000000"/>
        </w:rPr>
      </w:pPr>
      <w:r>
        <w:rPr>
          <w:rFonts w:eastAsia="Times New Roman" w:cs="Arial"/>
          <w:color w:val="000000"/>
        </w:rPr>
        <w:t xml:space="preserve">In claim four, the first of six claims related to jury selection, Seumanu alleges the excusal of seven </w:t>
      </w:r>
      <w:r w:rsidR="006A5BD1">
        <w:rPr>
          <w:rFonts w:eastAsia="Times New Roman" w:cs="Arial"/>
          <w:color w:val="000000"/>
        </w:rPr>
        <w:t xml:space="preserve">prospective </w:t>
      </w:r>
      <w:r>
        <w:rPr>
          <w:rFonts w:eastAsia="Times New Roman" w:cs="Arial"/>
          <w:color w:val="000000"/>
        </w:rPr>
        <w:t>jurors for cause was reversible error.</w:t>
      </w:r>
      <w:r w:rsidR="003C5B8E">
        <w:rPr>
          <w:rFonts w:eastAsia="Times New Roman" w:cs="Arial"/>
          <w:color w:val="000000"/>
        </w:rPr>
        <w:t xml:space="preserve"> </w:t>
      </w:r>
      <w:r>
        <w:rPr>
          <w:rFonts w:eastAsia="Times New Roman" w:cs="Arial"/>
          <w:color w:val="000000"/>
        </w:rPr>
        <w:t xml:space="preserve"> </w:t>
      </w:r>
      <w:r w:rsidR="00D32DEB">
        <w:rPr>
          <w:rFonts w:eastAsia="Times New Roman" w:cs="Arial"/>
          <w:color w:val="000000"/>
        </w:rPr>
        <w:t xml:space="preserve">This claim focuses on a group </w:t>
      </w:r>
      <w:r>
        <w:rPr>
          <w:rFonts w:eastAsia="Times New Roman" w:cs="Arial"/>
          <w:color w:val="000000"/>
        </w:rPr>
        <w:t xml:space="preserve">of </w:t>
      </w:r>
      <w:r w:rsidR="00D32DEB">
        <w:rPr>
          <w:rFonts w:eastAsia="Times New Roman" w:cs="Arial"/>
          <w:color w:val="000000"/>
        </w:rPr>
        <w:t>jurors</w:t>
      </w:r>
      <w:r>
        <w:rPr>
          <w:rFonts w:eastAsia="Times New Roman" w:cs="Arial"/>
          <w:color w:val="000000"/>
        </w:rPr>
        <w:t>—</w:t>
      </w:r>
      <w:r w:rsidR="00752184">
        <w:rPr>
          <w:rFonts w:eastAsia="Times New Roman" w:cs="Arial"/>
          <w:color w:val="000000"/>
        </w:rPr>
        <w:t>Green 11, Blue 72, Blue 56, Red 44, Yellow 9, Black 51, and White 77</w:t>
      </w:r>
      <w:r>
        <w:rPr>
          <w:rFonts w:eastAsia="Times New Roman" w:cs="Arial"/>
          <w:color w:val="000000"/>
        </w:rPr>
        <w:t>—</w:t>
      </w:r>
      <w:r w:rsidR="00194FC2">
        <w:rPr>
          <w:rFonts w:eastAsia="Times New Roman" w:cs="Arial"/>
          <w:color w:val="000000"/>
        </w:rPr>
        <w:t xml:space="preserve">all of </w:t>
      </w:r>
      <w:r w:rsidR="00D32DEB">
        <w:rPr>
          <w:rFonts w:eastAsia="Times New Roman" w:cs="Arial"/>
          <w:color w:val="000000"/>
        </w:rPr>
        <w:t>who</w:t>
      </w:r>
      <w:r w:rsidR="00194FC2">
        <w:rPr>
          <w:rFonts w:eastAsia="Times New Roman" w:cs="Arial"/>
          <w:color w:val="000000"/>
        </w:rPr>
        <w:t>m</w:t>
      </w:r>
      <w:r w:rsidR="00D32DEB">
        <w:rPr>
          <w:rFonts w:eastAsia="Times New Roman" w:cs="Arial"/>
          <w:color w:val="000000"/>
        </w:rPr>
        <w:t xml:space="preserve"> were excused during </w:t>
      </w:r>
      <w:r w:rsidR="00F07408">
        <w:rPr>
          <w:rFonts w:eastAsia="Times New Roman" w:cs="Arial"/>
          <w:color w:val="000000"/>
        </w:rPr>
        <w:t xml:space="preserve">what is known in capital cases as the “death qualification” </w:t>
      </w:r>
      <w:r w:rsidR="00EB4E15">
        <w:rPr>
          <w:rFonts w:eastAsia="Times New Roman" w:cs="Arial"/>
          <w:color w:val="000000"/>
        </w:rPr>
        <w:t>phase of</w:t>
      </w:r>
      <w:r w:rsidR="00B535A0">
        <w:rPr>
          <w:rFonts w:eastAsia="Times New Roman" w:cs="Arial"/>
          <w:color w:val="000000"/>
        </w:rPr>
        <w:t xml:space="preserve"> jury selection</w:t>
      </w:r>
      <w:r w:rsidR="00E91579">
        <w:rPr>
          <w:rFonts w:eastAsia="Times New Roman" w:cs="Arial"/>
          <w:color w:val="000000"/>
        </w:rPr>
        <w:t xml:space="preserve">.  Death qualification is </w:t>
      </w:r>
      <w:r w:rsidR="009E2188">
        <w:rPr>
          <w:rFonts w:eastAsia="Times New Roman" w:cs="Arial"/>
          <w:color w:val="000000"/>
        </w:rPr>
        <w:t xml:space="preserve">a process </w:t>
      </w:r>
      <w:r w:rsidR="00AA3685">
        <w:rPr>
          <w:rFonts w:eastAsia="Times New Roman" w:cs="Arial"/>
          <w:color w:val="000000"/>
        </w:rPr>
        <w:t>designed to confirm that</w:t>
      </w:r>
      <w:r w:rsidR="000A16CF">
        <w:rPr>
          <w:rFonts w:eastAsia="Times New Roman" w:cs="Arial"/>
          <w:color w:val="000000"/>
        </w:rPr>
        <w:t xml:space="preserve">, should </w:t>
      </w:r>
      <w:r w:rsidR="00E95639">
        <w:rPr>
          <w:rFonts w:eastAsia="Times New Roman" w:cs="Arial"/>
          <w:color w:val="000000"/>
        </w:rPr>
        <w:t xml:space="preserve">the </w:t>
      </w:r>
      <w:r w:rsidR="000A16CF">
        <w:rPr>
          <w:rFonts w:eastAsia="Times New Roman" w:cs="Arial"/>
          <w:color w:val="000000"/>
        </w:rPr>
        <w:t>case proceed</w:t>
      </w:r>
      <w:r w:rsidR="00704F28">
        <w:rPr>
          <w:rFonts w:eastAsia="Times New Roman" w:cs="Arial"/>
          <w:color w:val="000000"/>
        </w:rPr>
        <w:t xml:space="preserve"> to a penalty trial,</w:t>
      </w:r>
      <w:r w:rsidR="00AA3685">
        <w:rPr>
          <w:rFonts w:eastAsia="Times New Roman" w:cs="Arial"/>
          <w:color w:val="000000"/>
        </w:rPr>
        <w:t xml:space="preserve"> prospective jurors </w:t>
      </w:r>
      <w:r w:rsidR="00876F86">
        <w:rPr>
          <w:rFonts w:eastAsia="Times New Roman" w:cs="Arial"/>
          <w:color w:val="000000"/>
        </w:rPr>
        <w:t>are open to considering</w:t>
      </w:r>
      <w:r w:rsidR="00704F28">
        <w:rPr>
          <w:rFonts w:eastAsia="Times New Roman" w:cs="Arial"/>
          <w:color w:val="000000"/>
        </w:rPr>
        <w:t xml:space="preserve"> the imposition of</w:t>
      </w:r>
      <w:r w:rsidR="00F33C10">
        <w:rPr>
          <w:rFonts w:eastAsia="Times New Roman" w:cs="Arial"/>
          <w:color w:val="000000"/>
        </w:rPr>
        <w:t xml:space="preserve"> the death penalty.   </w:t>
      </w:r>
    </w:p>
    <w:p w:rsidR="0041645F" w:rsidP="0041645F" w14:paraId="5C3F2526" w14:textId="20FE57D4">
      <w:pPr>
        <w:shd w:val="clear" w:color="auto" w:fill="FFFFFF"/>
        <w:rPr>
          <w:rFonts w:eastAsia="Times New Roman" w:cs="Arial"/>
          <w:color w:val="000000"/>
        </w:rPr>
      </w:pPr>
      <w:r>
        <w:rPr>
          <w:rFonts w:eastAsia="Times New Roman" w:cs="Arial"/>
          <w:color w:val="000000"/>
        </w:rPr>
        <w:t>Relying on</w:t>
      </w:r>
      <w:r w:rsidR="00C76F9C">
        <w:rPr>
          <w:rFonts w:eastAsia="Times New Roman" w:cs="Arial"/>
          <w:color w:val="000000"/>
        </w:rPr>
        <w:t xml:space="preserve"> various</w:t>
      </w:r>
      <w:r>
        <w:rPr>
          <w:rFonts w:eastAsia="Times New Roman" w:cs="Arial"/>
          <w:color w:val="000000"/>
        </w:rPr>
        <w:t xml:space="preserve"> </w:t>
      </w:r>
      <w:r w:rsidR="006D54FE">
        <w:rPr>
          <w:rFonts w:eastAsia="Times New Roman" w:cs="Arial"/>
          <w:color w:val="000000"/>
        </w:rPr>
        <w:t xml:space="preserve">reporter’s </w:t>
      </w:r>
      <w:r w:rsidR="00C76F9C">
        <w:rPr>
          <w:rFonts w:eastAsia="Times New Roman" w:cs="Arial"/>
          <w:color w:val="000000"/>
        </w:rPr>
        <w:t xml:space="preserve">transcript </w:t>
      </w:r>
      <w:r w:rsidR="000D55C0">
        <w:rPr>
          <w:rFonts w:eastAsia="Times New Roman" w:cs="Arial"/>
          <w:color w:val="000000"/>
        </w:rPr>
        <w:t xml:space="preserve">excerpts </w:t>
      </w:r>
      <w:r w:rsidR="00997A16">
        <w:rPr>
          <w:rFonts w:eastAsia="Times New Roman" w:cs="Arial"/>
          <w:color w:val="000000"/>
        </w:rPr>
        <w:t xml:space="preserve">from the voir dire </w:t>
      </w:r>
      <w:r w:rsidR="000D55C0">
        <w:rPr>
          <w:rFonts w:eastAsia="Times New Roman" w:cs="Arial"/>
          <w:color w:val="000000"/>
        </w:rPr>
        <w:t>and excerpts from juror questionnaires</w:t>
      </w:r>
      <w:r w:rsidR="006D54FE">
        <w:rPr>
          <w:rFonts w:eastAsia="Times New Roman" w:cs="Arial"/>
          <w:color w:val="000000"/>
        </w:rPr>
        <w:t>,</w:t>
      </w:r>
      <w:r w:rsidR="00DF0575">
        <w:rPr>
          <w:rFonts w:eastAsia="Times New Roman" w:cs="Arial"/>
          <w:color w:val="000000"/>
        </w:rPr>
        <w:t xml:space="preserve"> </w:t>
      </w:r>
      <w:r w:rsidR="00BF58C4">
        <w:rPr>
          <w:rFonts w:eastAsia="Times New Roman" w:cs="Arial"/>
          <w:color w:val="000000"/>
        </w:rPr>
        <w:t xml:space="preserve">Seumanu </w:t>
      </w:r>
      <w:r w:rsidR="00DF0575">
        <w:rPr>
          <w:rFonts w:eastAsia="Times New Roman" w:cs="Arial"/>
          <w:color w:val="000000"/>
        </w:rPr>
        <w:t xml:space="preserve">argues that these jurors </w:t>
      </w:r>
      <w:r w:rsidR="00AB634E">
        <w:rPr>
          <w:rFonts w:eastAsia="Times New Roman" w:cs="Arial"/>
          <w:color w:val="000000"/>
        </w:rPr>
        <w:t>should not have been ex</w:t>
      </w:r>
      <w:r w:rsidR="009D679B">
        <w:rPr>
          <w:rFonts w:eastAsia="Times New Roman" w:cs="Arial"/>
          <w:color w:val="000000"/>
        </w:rPr>
        <w:t>cused</w:t>
      </w:r>
      <w:r w:rsidR="00D325E7">
        <w:rPr>
          <w:rFonts w:eastAsia="Times New Roman" w:cs="Arial"/>
          <w:color w:val="000000"/>
        </w:rPr>
        <w:t xml:space="preserve">, </w:t>
      </w:r>
      <w:r w:rsidR="009D679B">
        <w:rPr>
          <w:rFonts w:eastAsia="Times New Roman" w:cs="Arial"/>
          <w:color w:val="000000"/>
        </w:rPr>
        <w:t xml:space="preserve">that </w:t>
      </w:r>
      <w:r w:rsidR="00BF58C4">
        <w:rPr>
          <w:rFonts w:eastAsia="Times New Roman" w:cs="Arial"/>
          <w:color w:val="000000"/>
        </w:rPr>
        <w:t>his trial counsel was constitutionally in</w:t>
      </w:r>
      <w:r w:rsidR="009D679B">
        <w:rPr>
          <w:rFonts w:eastAsia="Times New Roman" w:cs="Arial"/>
          <w:color w:val="000000"/>
        </w:rPr>
        <w:t xml:space="preserve">effective </w:t>
      </w:r>
      <w:r w:rsidR="00BF58C4">
        <w:rPr>
          <w:rFonts w:eastAsia="Times New Roman" w:cs="Arial"/>
          <w:color w:val="000000"/>
        </w:rPr>
        <w:t>for fai</w:t>
      </w:r>
      <w:r w:rsidR="00032B85">
        <w:rPr>
          <w:rFonts w:eastAsia="Times New Roman" w:cs="Arial"/>
          <w:color w:val="000000"/>
        </w:rPr>
        <w:t xml:space="preserve">ling to </w:t>
      </w:r>
      <w:r w:rsidR="0088262A">
        <w:rPr>
          <w:rFonts w:eastAsia="Times New Roman" w:cs="Arial"/>
          <w:color w:val="000000"/>
        </w:rPr>
        <w:t>object to their excusals</w:t>
      </w:r>
      <w:r w:rsidR="006A7E5B">
        <w:rPr>
          <w:rFonts w:eastAsia="Times New Roman" w:cs="Arial"/>
          <w:color w:val="000000"/>
        </w:rPr>
        <w:t xml:space="preserve">, and that </w:t>
      </w:r>
      <w:r w:rsidR="00032B85">
        <w:rPr>
          <w:rFonts w:eastAsia="Times New Roman" w:cs="Arial"/>
          <w:color w:val="000000"/>
        </w:rPr>
        <w:t>his former post-conviction counsel was constitutionally ineffective for failing to pursue</w:t>
      </w:r>
      <w:r w:rsidR="000D0293">
        <w:rPr>
          <w:rFonts w:eastAsia="Times New Roman" w:cs="Arial"/>
          <w:color w:val="000000"/>
        </w:rPr>
        <w:t xml:space="preserve"> the ineffectiveness of his trial counsel </w:t>
      </w:r>
      <w:r w:rsidR="00EC217E">
        <w:rPr>
          <w:rFonts w:eastAsia="Times New Roman" w:cs="Arial"/>
          <w:color w:val="000000"/>
        </w:rPr>
        <w:t xml:space="preserve">on this ground in the Initial Petition. </w:t>
      </w:r>
    </w:p>
    <w:p w:rsidR="0041645F" w:rsidRPr="00E522DC" w:rsidP="00D74D06" w14:paraId="7D810AF4" w14:textId="406C6840">
      <w:pPr>
        <w:shd w:val="clear" w:color="auto" w:fill="FFFFFF"/>
        <w:rPr>
          <w:rFonts w:eastAsia="Times New Roman" w:cs="Arial"/>
          <w:color w:val="000000"/>
        </w:rPr>
      </w:pPr>
      <w:r>
        <w:rPr>
          <w:rFonts w:eastAsia="Times New Roman" w:cs="Arial"/>
          <w:color w:val="000000"/>
        </w:rPr>
        <w:t>After reviewing the applicable standard</w:t>
      </w:r>
      <w:r w:rsidR="00717A40">
        <w:rPr>
          <w:rFonts w:eastAsia="Times New Roman" w:cs="Arial"/>
          <w:color w:val="000000"/>
        </w:rPr>
        <w:t xml:space="preserve"> as</w:t>
      </w:r>
      <w:r>
        <w:rPr>
          <w:rFonts w:eastAsia="Times New Roman" w:cs="Arial"/>
          <w:color w:val="000000"/>
        </w:rPr>
        <w:t xml:space="preserve"> set forth in </w:t>
      </w:r>
      <w:r>
        <w:rPr>
          <w:rFonts w:eastAsia="Times New Roman" w:cs="Times New Roman"/>
          <w:i/>
          <w:iCs/>
          <w:color w:val="3D3D3D"/>
          <w:bdr w:val="none" w:sz="0" w:space="0" w:color="auto" w:frame="1"/>
        </w:rPr>
        <w:t>Witherspoon v. Illinois</w:t>
      </w:r>
      <w:r>
        <w:rPr>
          <w:rFonts w:eastAsia="Times New Roman" w:cs="Times New Roman"/>
          <w:color w:val="000000"/>
        </w:rPr>
        <w:t xml:space="preserve"> (1968) 391</w:t>
      </w:r>
      <w:r w:rsidR="006F7146">
        <w:rPr>
          <w:rFonts w:eastAsia="Times New Roman" w:cs="Times New Roman"/>
          <w:color w:val="000000"/>
        </w:rPr>
        <w:t> </w:t>
      </w:r>
      <w:r>
        <w:rPr>
          <w:rFonts w:eastAsia="Times New Roman" w:cs="Times New Roman"/>
          <w:color w:val="000000"/>
        </w:rPr>
        <w:t>U.S. 510 (</w:t>
      </w:r>
      <w:r>
        <w:rPr>
          <w:rFonts w:eastAsia="Times New Roman" w:cs="Times New Roman"/>
          <w:i/>
          <w:iCs/>
          <w:color w:val="000000"/>
        </w:rPr>
        <w:t>Witherspoon</w:t>
      </w:r>
      <w:r>
        <w:rPr>
          <w:rFonts w:eastAsia="Times New Roman" w:cs="Times New Roman"/>
          <w:color w:val="000000"/>
        </w:rPr>
        <w:t xml:space="preserve">) </w:t>
      </w:r>
      <w:r>
        <w:rPr>
          <w:rFonts w:eastAsia="Times New Roman" w:cs="Arial"/>
          <w:color w:val="000000"/>
        </w:rPr>
        <w:t xml:space="preserve">and </w:t>
      </w:r>
      <w:r>
        <w:rPr>
          <w:rFonts w:eastAsia="Times New Roman" w:cs="Times New Roman"/>
          <w:i/>
          <w:iCs/>
          <w:color w:val="3D3D3D"/>
          <w:bdr w:val="none" w:sz="0" w:space="0" w:color="auto" w:frame="1"/>
        </w:rPr>
        <w:t>Wainwright v. Witt</w:t>
      </w:r>
      <w:r>
        <w:rPr>
          <w:rFonts w:eastAsia="Times New Roman" w:cs="Times New Roman"/>
          <w:color w:val="000000"/>
        </w:rPr>
        <w:t xml:space="preserve"> (1985) 469</w:t>
      </w:r>
      <w:r w:rsidR="006F7146">
        <w:rPr>
          <w:rFonts w:eastAsia="Times New Roman" w:cs="Times New Roman"/>
          <w:color w:val="000000"/>
        </w:rPr>
        <w:t> </w:t>
      </w:r>
      <w:r>
        <w:rPr>
          <w:rFonts w:eastAsia="Times New Roman" w:cs="Times New Roman"/>
          <w:color w:val="000000"/>
        </w:rPr>
        <w:t>U.S. 412 (</w:t>
      </w:r>
      <w:r>
        <w:rPr>
          <w:rFonts w:eastAsia="Times New Roman" w:cs="Times New Roman"/>
          <w:i/>
          <w:iCs/>
          <w:color w:val="000000"/>
        </w:rPr>
        <w:t>Witt</w:t>
      </w:r>
      <w:r>
        <w:rPr>
          <w:rFonts w:eastAsia="Times New Roman" w:cs="Times New Roman"/>
          <w:color w:val="000000"/>
        </w:rPr>
        <w:t xml:space="preserve">), </w:t>
      </w:r>
      <w:r>
        <w:rPr>
          <w:rFonts w:eastAsia="Times New Roman" w:cs="Arial"/>
          <w:color w:val="000000"/>
        </w:rPr>
        <w:t>and applying th</w:t>
      </w:r>
      <w:r w:rsidR="00717A40">
        <w:rPr>
          <w:rFonts w:eastAsia="Times New Roman" w:cs="Arial"/>
          <w:color w:val="000000"/>
        </w:rPr>
        <w:t xml:space="preserve">at </w:t>
      </w:r>
      <w:r>
        <w:rPr>
          <w:rFonts w:eastAsia="Times New Roman" w:cs="Arial"/>
          <w:color w:val="000000"/>
        </w:rPr>
        <w:t xml:space="preserve">standard to </w:t>
      </w:r>
      <w:r w:rsidR="00E91579">
        <w:rPr>
          <w:rFonts w:eastAsia="Times New Roman" w:cs="Arial"/>
          <w:color w:val="000000"/>
        </w:rPr>
        <w:t xml:space="preserve">each of </w:t>
      </w:r>
      <w:r>
        <w:rPr>
          <w:rFonts w:eastAsia="Times New Roman" w:cs="Arial"/>
          <w:color w:val="000000"/>
        </w:rPr>
        <w:t>the</w:t>
      </w:r>
      <w:r w:rsidR="007B3C62">
        <w:rPr>
          <w:rFonts w:eastAsia="Times New Roman" w:cs="Arial"/>
          <w:color w:val="000000"/>
        </w:rPr>
        <w:t xml:space="preserve">se prospective jurors, </w:t>
      </w:r>
      <w:r>
        <w:rPr>
          <w:rFonts w:eastAsia="Times New Roman" w:cs="Arial"/>
          <w:color w:val="000000"/>
        </w:rPr>
        <w:t xml:space="preserve">the trial court </w:t>
      </w:r>
      <w:r w:rsidR="001019BC">
        <w:rPr>
          <w:rFonts w:eastAsia="Times New Roman" w:cs="Arial"/>
          <w:color w:val="000000"/>
        </w:rPr>
        <w:t>stated it</w:t>
      </w:r>
      <w:r>
        <w:rPr>
          <w:rFonts w:eastAsia="Times New Roman" w:cs="Arial"/>
          <w:color w:val="000000"/>
        </w:rPr>
        <w:t xml:space="preserve"> could not “conclude that the failure to challenge their excusal constituted ineffective assistance of counsel.”  Because the law accords great deference to the assessment of </w:t>
      </w:r>
      <w:r w:rsidR="007361F5">
        <w:rPr>
          <w:rFonts w:eastAsia="Times New Roman" w:cs="Arial"/>
          <w:color w:val="000000"/>
        </w:rPr>
        <w:t xml:space="preserve">the attitudes of </w:t>
      </w:r>
      <w:r w:rsidR="00E91579">
        <w:rPr>
          <w:rFonts w:eastAsia="Times New Roman" w:cs="Arial"/>
          <w:color w:val="000000"/>
        </w:rPr>
        <w:t xml:space="preserve">prospective </w:t>
      </w:r>
      <w:r w:rsidR="007361F5">
        <w:rPr>
          <w:rFonts w:eastAsia="Times New Roman" w:cs="Arial"/>
          <w:color w:val="000000"/>
        </w:rPr>
        <w:t xml:space="preserve">jurors </w:t>
      </w:r>
      <w:r>
        <w:rPr>
          <w:rFonts w:eastAsia="Times New Roman" w:cs="Arial"/>
          <w:color w:val="000000"/>
        </w:rPr>
        <w:t xml:space="preserve">by the judge </w:t>
      </w:r>
      <w:r w:rsidR="0066106E">
        <w:rPr>
          <w:rFonts w:eastAsia="Times New Roman" w:cs="Arial"/>
          <w:color w:val="000000"/>
        </w:rPr>
        <w:t>presiding over the voir dire</w:t>
      </w:r>
      <w:r>
        <w:rPr>
          <w:rFonts w:eastAsia="Times New Roman" w:cs="Arial"/>
          <w:color w:val="000000"/>
        </w:rPr>
        <w:t>, the trial court found it highly unlikely</w:t>
      </w:r>
      <w:r w:rsidR="00767FCF">
        <w:rPr>
          <w:rFonts w:eastAsia="Times New Roman" w:cs="Arial"/>
          <w:color w:val="000000"/>
        </w:rPr>
        <w:t>, had trial counsel objected to the excusal of any of the seven</w:t>
      </w:r>
      <w:r w:rsidR="00705CFB">
        <w:rPr>
          <w:rFonts w:eastAsia="Times New Roman" w:cs="Arial"/>
          <w:color w:val="000000"/>
        </w:rPr>
        <w:t xml:space="preserve"> indi</w:t>
      </w:r>
      <w:r w:rsidR="005D151C">
        <w:rPr>
          <w:rFonts w:eastAsia="Times New Roman" w:cs="Arial"/>
          <w:color w:val="000000"/>
        </w:rPr>
        <w:t>viduals at issue</w:t>
      </w:r>
      <w:r w:rsidR="00126EA1">
        <w:rPr>
          <w:rFonts w:eastAsia="Times New Roman" w:cs="Arial"/>
          <w:color w:val="000000"/>
        </w:rPr>
        <w:t xml:space="preserve">, the challenge </w:t>
      </w:r>
      <w:r>
        <w:rPr>
          <w:rFonts w:eastAsia="Times New Roman" w:cs="Arial"/>
          <w:color w:val="000000"/>
        </w:rPr>
        <w:t xml:space="preserve">would have been successful.  </w:t>
      </w:r>
    </w:p>
    <w:p w:rsidR="00F506D0" w:rsidRPr="00E522DC" w:rsidP="002F079C" w14:paraId="0F371828" w14:textId="453D644A">
      <w:pPr>
        <w:shd w:val="clear" w:color="auto" w:fill="FFFFFF"/>
      </w:pPr>
      <w:r>
        <w:rPr>
          <w:rFonts w:eastAsia="Times New Roman" w:cs="Arial"/>
          <w:color w:val="000000"/>
        </w:rPr>
        <w:t>T</w:t>
      </w:r>
      <w:r w:rsidR="00BD60AD">
        <w:rPr>
          <w:rFonts w:eastAsia="Times New Roman" w:cs="Arial"/>
          <w:color w:val="000000"/>
        </w:rPr>
        <w:t xml:space="preserve">he </w:t>
      </w:r>
      <w:r w:rsidR="00C2116E">
        <w:rPr>
          <w:rFonts w:eastAsia="Times New Roman" w:cs="Arial"/>
          <w:color w:val="000000"/>
        </w:rPr>
        <w:t>record supports th</w:t>
      </w:r>
      <w:r>
        <w:rPr>
          <w:rFonts w:eastAsia="Times New Roman" w:cs="Arial"/>
          <w:color w:val="000000"/>
        </w:rPr>
        <w:t xml:space="preserve">at determination with respect to </w:t>
      </w:r>
      <w:r w:rsidR="00141108">
        <w:rPr>
          <w:rFonts w:eastAsia="Times New Roman" w:cs="Arial"/>
          <w:color w:val="000000"/>
        </w:rPr>
        <w:t xml:space="preserve">Green 11, Blue 56, Red 44, Yellow 9, Black 51, and White 77, </w:t>
      </w:r>
      <w:r>
        <w:rPr>
          <w:rFonts w:eastAsia="Times New Roman" w:cs="Arial"/>
          <w:color w:val="000000"/>
        </w:rPr>
        <w:t xml:space="preserve">but </w:t>
      </w:r>
      <w:r w:rsidR="002C7B33">
        <w:rPr>
          <w:rFonts w:eastAsia="Times New Roman" w:cs="Arial"/>
          <w:color w:val="000000"/>
        </w:rPr>
        <w:t xml:space="preserve">it does not </w:t>
      </w:r>
      <w:r>
        <w:rPr>
          <w:rFonts w:eastAsia="Times New Roman" w:cs="Arial"/>
          <w:color w:val="000000"/>
        </w:rPr>
        <w:t xml:space="preserve">with respect to </w:t>
      </w:r>
      <w:r w:rsidR="002C7B33">
        <w:rPr>
          <w:rFonts w:eastAsia="Times New Roman" w:cs="Arial"/>
          <w:color w:val="000000"/>
        </w:rPr>
        <w:t xml:space="preserve">Blue 72.  </w:t>
      </w:r>
      <w:r w:rsidR="00940537">
        <w:rPr>
          <w:rFonts w:eastAsia="Times New Roman" w:cs="Arial"/>
          <w:color w:val="000000"/>
        </w:rPr>
        <w:t>T</w:t>
      </w:r>
      <w:r w:rsidRPr="002F079C" w:rsidR="005F7949">
        <w:rPr>
          <w:rFonts w:eastAsia="Times New Roman" w:cs="Times New Roman"/>
          <w:color w:val="000000"/>
        </w:rPr>
        <w:t>he improper exclusion of even a single juror is sufficient to require resentencing in a capital case</w:t>
      </w:r>
      <w:r w:rsidR="008F0D04">
        <w:rPr>
          <w:rFonts w:eastAsia="Times New Roman" w:cs="Times New Roman"/>
          <w:color w:val="000000"/>
        </w:rPr>
        <w:t>,</w:t>
      </w:r>
      <w:r w:rsidRPr="002F079C" w:rsidR="005C70D4">
        <w:rPr>
          <w:rFonts w:eastAsia="Times New Roman" w:cs="Times New Roman"/>
          <w:color w:val="000000"/>
        </w:rPr>
        <w:t xml:space="preserve"> even when </w:t>
      </w:r>
      <w:r w:rsidRPr="002F079C" w:rsidR="00F2445E">
        <w:rPr>
          <w:rFonts w:eastAsia="Times New Roman" w:cs="Times New Roman"/>
          <w:color w:val="000000"/>
        </w:rPr>
        <w:t>the prosecution has peremptory challenge</w:t>
      </w:r>
      <w:r w:rsidR="00601998">
        <w:rPr>
          <w:rFonts w:eastAsia="Times New Roman" w:cs="Times New Roman"/>
          <w:color w:val="000000"/>
        </w:rPr>
        <w:t>s</w:t>
      </w:r>
      <w:r w:rsidRPr="002F079C" w:rsidR="00F2445E">
        <w:rPr>
          <w:rFonts w:eastAsia="Times New Roman" w:cs="Times New Roman"/>
          <w:color w:val="000000"/>
        </w:rPr>
        <w:t xml:space="preserve"> left when the juror is excused</w:t>
      </w:r>
      <w:r w:rsidR="0085127A">
        <w:rPr>
          <w:rFonts w:eastAsia="Times New Roman" w:cs="Times New Roman"/>
          <w:color w:val="000000"/>
        </w:rPr>
        <w:t xml:space="preserve">. </w:t>
      </w:r>
      <w:r w:rsidRPr="002F079C" w:rsidR="00F2445E">
        <w:rPr>
          <w:rFonts w:eastAsia="Times New Roman" w:cs="Times New Roman"/>
          <w:color w:val="000000"/>
        </w:rPr>
        <w:t xml:space="preserve"> </w:t>
      </w:r>
      <w:r w:rsidRPr="002F079C" w:rsidR="00734928">
        <w:rPr>
          <w:rFonts w:eastAsia="Times New Roman" w:cs="Times New Roman"/>
          <w:color w:val="000000"/>
        </w:rPr>
        <w:t>(</w:t>
      </w:r>
      <w:r w:rsidRPr="002F079C" w:rsidR="00161B51">
        <w:rPr>
          <w:rFonts w:eastAsia="Times New Roman" w:cs="Times New Roman"/>
          <w:i/>
          <w:iCs/>
          <w:color w:val="000000"/>
        </w:rPr>
        <w:t>People v. Heard</w:t>
      </w:r>
      <w:r w:rsidRPr="002F079C" w:rsidR="00161B51">
        <w:rPr>
          <w:rFonts w:eastAsia="Times New Roman" w:cs="Times New Roman"/>
          <w:color w:val="000000"/>
        </w:rPr>
        <w:t xml:space="preserve"> (2003) 31</w:t>
      </w:r>
      <w:r w:rsidR="00D0201E">
        <w:rPr>
          <w:rFonts w:eastAsia="Times New Roman" w:cs="Times New Roman"/>
          <w:color w:val="000000"/>
        </w:rPr>
        <w:t> </w:t>
      </w:r>
      <w:r w:rsidRPr="002F079C" w:rsidR="00161B51">
        <w:rPr>
          <w:rFonts w:eastAsia="Times New Roman" w:cs="Times New Roman"/>
          <w:color w:val="000000"/>
        </w:rPr>
        <w:t>C</w:t>
      </w:r>
      <w:r w:rsidR="00DE49C7">
        <w:rPr>
          <w:rFonts w:eastAsia="Times New Roman" w:cs="Times New Roman"/>
          <w:color w:val="000000"/>
        </w:rPr>
        <w:t>al.</w:t>
      </w:r>
      <w:r w:rsidRPr="002F079C" w:rsidR="00161B51">
        <w:rPr>
          <w:rFonts w:eastAsia="Times New Roman" w:cs="Times New Roman"/>
          <w:color w:val="000000"/>
        </w:rPr>
        <w:t>4th 946, 966</w:t>
      </w:r>
      <w:r w:rsidR="001831B1">
        <w:rPr>
          <w:rFonts w:eastAsia="Times New Roman" w:cs="Times New Roman"/>
          <w:color w:val="000000"/>
        </w:rPr>
        <w:t xml:space="preserve">; </w:t>
      </w:r>
      <w:r w:rsidR="003572B5">
        <w:rPr>
          <w:rFonts w:eastAsia="Times New Roman" w:cs="Times New Roman"/>
          <w:color w:val="000000"/>
        </w:rPr>
        <w:t xml:space="preserve">see </w:t>
      </w:r>
      <w:r w:rsidRPr="002F079C" w:rsidR="001831B1">
        <w:rPr>
          <w:rFonts w:eastAsia="Times New Roman" w:cs="Times New Roman"/>
          <w:i/>
          <w:iCs/>
          <w:color w:val="3D3D3D"/>
          <w:bdr w:val="none" w:sz="0" w:space="0" w:color="auto" w:frame="1"/>
        </w:rPr>
        <w:t>Gray v. Mississippi</w:t>
      </w:r>
      <w:r w:rsidRPr="002F079C" w:rsidR="001831B1">
        <w:rPr>
          <w:rFonts w:eastAsia="Times New Roman" w:cs="Times New Roman"/>
          <w:color w:val="000000"/>
        </w:rPr>
        <w:t xml:space="preserve"> (1987) 481</w:t>
      </w:r>
      <w:r w:rsidR="00D0201E">
        <w:rPr>
          <w:rFonts w:eastAsia="Times New Roman" w:cs="Times New Roman"/>
          <w:color w:val="000000"/>
        </w:rPr>
        <w:t> </w:t>
      </w:r>
      <w:r w:rsidRPr="002F079C" w:rsidR="001831B1">
        <w:rPr>
          <w:rFonts w:eastAsia="Times New Roman" w:cs="Times New Roman"/>
          <w:color w:val="000000"/>
        </w:rPr>
        <w:t>U.S. 648,</w:t>
      </w:r>
      <w:r w:rsidR="00F60D70">
        <w:rPr>
          <w:rFonts w:eastAsia="Times New Roman" w:cs="Times New Roman"/>
          <w:color w:val="000000"/>
        </w:rPr>
        <w:t xml:space="preserve"> 666</w:t>
      </w:r>
      <w:r w:rsidR="00026490">
        <w:rPr>
          <w:rFonts w:eastAsia="Times New Roman" w:cs="Times New Roman"/>
          <w:color w:val="000000"/>
        </w:rPr>
        <w:t>–</w:t>
      </w:r>
      <w:r w:rsidR="00F60D70">
        <w:rPr>
          <w:rFonts w:eastAsia="Times New Roman" w:cs="Times New Roman"/>
          <w:color w:val="000000"/>
        </w:rPr>
        <w:t xml:space="preserve">668; </w:t>
      </w:r>
      <w:r w:rsidRPr="00EF17A5" w:rsidR="00F60D70">
        <w:rPr>
          <w:rFonts w:eastAsia="Times New Roman" w:cs="Times New Roman"/>
          <w:i/>
          <w:iCs/>
          <w:color w:val="000000"/>
        </w:rPr>
        <w:t>id</w:t>
      </w:r>
      <w:r w:rsidR="00F60D70">
        <w:rPr>
          <w:rFonts w:eastAsia="Times New Roman" w:cs="Times New Roman"/>
          <w:color w:val="000000"/>
        </w:rPr>
        <w:t xml:space="preserve">. at </w:t>
      </w:r>
      <w:r w:rsidR="003F5C33">
        <w:rPr>
          <w:rFonts w:eastAsia="Times New Roman" w:cs="Times New Roman"/>
          <w:color w:val="000000"/>
        </w:rPr>
        <w:t>pp.</w:t>
      </w:r>
      <w:r w:rsidR="00D0201E">
        <w:rPr>
          <w:rFonts w:eastAsia="Times New Roman" w:cs="Times New Roman"/>
          <w:color w:val="000000"/>
        </w:rPr>
        <w:t> </w:t>
      </w:r>
      <w:r w:rsidR="003F5C33">
        <w:rPr>
          <w:rFonts w:eastAsia="Times New Roman" w:cs="Times New Roman"/>
          <w:color w:val="000000"/>
        </w:rPr>
        <w:t>669</w:t>
      </w:r>
      <w:r w:rsidR="00D0201E">
        <w:rPr>
          <w:rFonts w:eastAsia="Times New Roman" w:cs="Times New Roman"/>
          <w:color w:val="000000"/>
        </w:rPr>
        <w:t>–</w:t>
      </w:r>
      <w:r w:rsidR="003F5C33">
        <w:rPr>
          <w:rFonts w:eastAsia="Times New Roman" w:cs="Times New Roman"/>
          <w:color w:val="000000"/>
        </w:rPr>
        <w:t>672 (conc. opn. of Powell, J</w:t>
      </w:r>
      <w:r w:rsidR="00B97332">
        <w:rPr>
          <w:rFonts w:eastAsia="Times New Roman" w:cs="Times New Roman"/>
          <w:color w:val="000000"/>
        </w:rPr>
        <w:t>.</w:t>
      </w:r>
      <w:r w:rsidRPr="002F079C" w:rsidR="00734928">
        <w:rPr>
          <w:rFonts w:eastAsia="Times New Roman" w:cs="Times New Roman"/>
          <w:color w:val="000000"/>
        </w:rPr>
        <w:t>)</w:t>
      </w:r>
      <w:r w:rsidR="00E54FA3">
        <w:rPr>
          <w:rFonts w:eastAsia="Times New Roman" w:cs="Times New Roman"/>
          <w:color w:val="000000"/>
        </w:rPr>
        <w:t>.</w:t>
      </w:r>
      <w:r w:rsidR="0085127A">
        <w:rPr>
          <w:rFonts w:eastAsia="Times New Roman" w:cs="Times New Roman"/>
          <w:color w:val="000000"/>
        </w:rPr>
        <w:t>)</w:t>
      </w:r>
      <w:r w:rsidR="00DE49C7">
        <w:rPr>
          <w:rFonts w:eastAsia="Times New Roman" w:cs="Times New Roman"/>
          <w:color w:val="000000"/>
        </w:rPr>
        <w:t xml:space="preserve">  </w:t>
      </w:r>
      <w:r w:rsidRPr="002F079C" w:rsidR="001A5C1F">
        <w:rPr>
          <w:rFonts w:eastAsia="Times New Roman" w:cs="Times New Roman"/>
          <w:color w:val="000000"/>
        </w:rPr>
        <w:t>On this record</w:t>
      </w:r>
      <w:r w:rsidR="00601998">
        <w:rPr>
          <w:rFonts w:eastAsia="Times New Roman" w:cs="Times New Roman"/>
          <w:color w:val="000000"/>
        </w:rPr>
        <w:t>,</w:t>
      </w:r>
      <w:r w:rsidRPr="002F079C" w:rsidR="001C35A2">
        <w:rPr>
          <w:rFonts w:eastAsia="Times New Roman" w:cs="Times New Roman"/>
          <w:color w:val="000000"/>
        </w:rPr>
        <w:t xml:space="preserve"> we believe </w:t>
      </w:r>
      <w:r w:rsidRPr="002F079C" w:rsidR="005A0EA9">
        <w:rPr>
          <w:rFonts w:eastAsia="Times New Roman" w:cs="Times New Roman"/>
          <w:color w:val="000000"/>
        </w:rPr>
        <w:t>reasonable jurists</w:t>
      </w:r>
      <w:r w:rsidRPr="002F079C" w:rsidR="008627AF">
        <w:rPr>
          <w:rFonts w:eastAsia="Times New Roman" w:cs="Times New Roman"/>
          <w:color w:val="000000"/>
        </w:rPr>
        <w:t xml:space="preserve"> would have ground</w:t>
      </w:r>
      <w:r w:rsidRPr="002F079C" w:rsidR="00A8548D">
        <w:rPr>
          <w:rFonts w:eastAsia="Times New Roman" w:cs="Times New Roman"/>
          <w:color w:val="000000"/>
        </w:rPr>
        <w:t>s to</w:t>
      </w:r>
      <w:r w:rsidRPr="002F079C" w:rsidR="006C4297">
        <w:rPr>
          <w:rFonts w:eastAsia="Times New Roman" w:cs="Times New Roman"/>
          <w:color w:val="000000"/>
        </w:rPr>
        <w:t xml:space="preserve"> d</w:t>
      </w:r>
      <w:r w:rsidRPr="002F079C" w:rsidR="00076322">
        <w:rPr>
          <w:rFonts w:eastAsia="Times New Roman" w:cs="Times New Roman"/>
          <w:color w:val="000000"/>
        </w:rPr>
        <w:t>is</w:t>
      </w:r>
      <w:r w:rsidRPr="002F079C" w:rsidR="00CE3532">
        <w:rPr>
          <w:rFonts w:eastAsia="Times New Roman" w:cs="Times New Roman"/>
          <w:color w:val="000000"/>
        </w:rPr>
        <w:t xml:space="preserve">agree about whether </w:t>
      </w:r>
      <w:r w:rsidR="0085192D">
        <w:rPr>
          <w:rFonts w:eastAsia="Times New Roman" w:cs="Times New Roman"/>
          <w:color w:val="000000"/>
        </w:rPr>
        <w:t>Blue 72</w:t>
      </w:r>
      <w:r w:rsidR="002C7B33">
        <w:rPr>
          <w:rFonts w:eastAsia="Times New Roman" w:cs="Times New Roman"/>
          <w:color w:val="000000"/>
        </w:rPr>
        <w:t xml:space="preserve"> was </w:t>
      </w:r>
      <w:r w:rsidR="00746FCF">
        <w:rPr>
          <w:rFonts w:eastAsia="Times New Roman" w:cs="Times New Roman"/>
          <w:color w:val="000000"/>
        </w:rPr>
        <w:t>im</w:t>
      </w:r>
      <w:r w:rsidR="00043754">
        <w:rPr>
          <w:rFonts w:eastAsia="Times New Roman" w:cs="Times New Roman"/>
          <w:color w:val="000000"/>
        </w:rPr>
        <w:t>properly</w:t>
      </w:r>
      <w:r w:rsidR="00575A8C">
        <w:rPr>
          <w:rFonts w:eastAsia="Times New Roman" w:cs="Times New Roman"/>
          <w:color w:val="000000"/>
        </w:rPr>
        <w:t xml:space="preserve"> excused for cause</w:t>
      </w:r>
      <w:r w:rsidR="00BA34C5">
        <w:rPr>
          <w:rFonts w:eastAsia="Times New Roman" w:cs="Times New Roman"/>
          <w:color w:val="000000"/>
        </w:rPr>
        <w:t xml:space="preserve">, </w:t>
      </w:r>
      <w:r w:rsidR="004215CA">
        <w:rPr>
          <w:rFonts w:eastAsia="Times New Roman" w:cs="Times New Roman"/>
          <w:color w:val="000000"/>
        </w:rPr>
        <w:t xml:space="preserve">which would </w:t>
      </w:r>
      <w:r w:rsidR="00BA34C5">
        <w:rPr>
          <w:rFonts w:eastAsia="Times New Roman" w:cs="Times New Roman"/>
          <w:color w:val="000000"/>
        </w:rPr>
        <w:t>requir</w:t>
      </w:r>
      <w:r w:rsidR="004215CA">
        <w:rPr>
          <w:rFonts w:eastAsia="Times New Roman" w:cs="Times New Roman"/>
          <w:color w:val="000000"/>
        </w:rPr>
        <w:t>e</w:t>
      </w:r>
      <w:r w:rsidR="00BA34C5">
        <w:rPr>
          <w:rFonts w:eastAsia="Times New Roman" w:cs="Times New Roman"/>
          <w:color w:val="000000"/>
        </w:rPr>
        <w:t xml:space="preserve"> </w:t>
      </w:r>
      <w:r w:rsidR="00CF1154">
        <w:rPr>
          <w:rFonts w:eastAsia="Times New Roman" w:cs="Times New Roman"/>
          <w:color w:val="000000"/>
        </w:rPr>
        <w:t>a penalty retrial</w:t>
      </w:r>
      <w:r w:rsidR="00746FCF">
        <w:rPr>
          <w:rFonts w:eastAsia="Times New Roman" w:cs="Times New Roman"/>
          <w:color w:val="000000"/>
        </w:rPr>
        <w:t xml:space="preserve"> under </w:t>
      </w:r>
      <w:r w:rsidR="00846979">
        <w:rPr>
          <w:rFonts w:eastAsia="Times New Roman" w:cs="Times New Roman"/>
          <w:i/>
          <w:iCs/>
          <w:color w:val="000000"/>
        </w:rPr>
        <w:t xml:space="preserve">People v. Heard </w:t>
      </w:r>
      <w:r w:rsidRPr="00846979" w:rsidR="00846979">
        <w:rPr>
          <w:rFonts w:eastAsia="Times New Roman" w:cs="Times New Roman"/>
          <w:color w:val="000000"/>
        </w:rPr>
        <w:t>and</w:t>
      </w:r>
      <w:r w:rsidR="00846979">
        <w:rPr>
          <w:rFonts w:eastAsia="Times New Roman" w:cs="Times New Roman"/>
          <w:i/>
          <w:iCs/>
          <w:color w:val="000000"/>
        </w:rPr>
        <w:t xml:space="preserve"> </w:t>
      </w:r>
      <w:r w:rsidRPr="002F079C" w:rsidR="00746FCF">
        <w:rPr>
          <w:rFonts w:eastAsia="Times New Roman" w:cs="Times New Roman"/>
          <w:i/>
          <w:iCs/>
          <w:color w:val="000000"/>
        </w:rPr>
        <w:t>Gray v. Mississippi</w:t>
      </w:r>
      <w:r w:rsidR="005E047F">
        <w:rPr>
          <w:rFonts w:eastAsia="Times New Roman" w:cs="Times New Roman"/>
          <w:color w:val="000000"/>
        </w:rPr>
        <w:t>.</w:t>
      </w:r>
    </w:p>
    <w:p w:rsidR="005A57BE" w:rsidP="00E522DC" w14:paraId="3152769C" w14:textId="2DFA5225">
      <w:r w:rsidRPr="00E522DC">
        <w:t>Blue 72</w:t>
      </w:r>
      <w:r w:rsidR="006C41CE">
        <w:t xml:space="preserve"> expressed uncertainty about how she would vote if the death penalty came up on the ballot, but expressed no religious, moral or philosophical compunctions against </w:t>
      </w:r>
      <w:r w:rsidR="00891BCA">
        <w:t>capital punishment</w:t>
      </w:r>
      <w:r w:rsidR="006C41CE">
        <w:t xml:space="preserve">.  </w:t>
      </w:r>
      <w:r w:rsidR="00AD43F8">
        <w:t>S</w:t>
      </w:r>
      <w:r w:rsidR="0025194A">
        <w:t xml:space="preserve">he said </w:t>
      </w:r>
      <w:r w:rsidR="00B6074F">
        <w:t xml:space="preserve">she was </w:t>
      </w:r>
      <w:r w:rsidR="00324892">
        <w:t>“neutral</w:t>
      </w:r>
      <w:r w:rsidR="00B6074F">
        <w:t>” on the death penalty</w:t>
      </w:r>
      <w:r w:rsidR="006D1F87">
        <w:t xml:space="preserve">, </w:t>
      </w:r>
      <w:r w:rsidR="00AD43F8">
        <w:t xml:space="preserve">and then when pressed in </w:t>
      </w:r>
      <w:r w:rsidR="00931F38">
        <w:t>voir dire</w:t>
      </w:r>
      <w:r w:rsidR="00B35A27">
        <w:t>, she said s</w:t>
      </w:r>
      <w:r w:rsidRPr="00E522DC">
        <w:t>he did</w:t>
      </w:r>
      <w:r w:rsidR="00A64C10">
        <w:t xml:space="preserve"> not </w:t>
      </w:r>
      <w:r w:rsidRPr="00E522DC">
        <w:t>want</w:t>
      </w:r>
      <w:r w:rsidRPr="00A178D8">
        <w:t xml:space="preserve"> to be put in the position of having to decide on life versus death</w:t>
      </w:r>
      <w:r w:rsidR="00B7211B">
        <w:t xml:space="preserve">.  </w:t>
      </w:r>
      <w:r w:rsidR="00411124">
        <w:t>T</w:t>
      </w:r>
      <w:r w:rsidRPr="00A178D8">
        <w:t>he trial court</w:t>
      </w:r>
      <w:r w:rsidR="00411124">
        <w:t xml:space="preserve">’s explanation for excusing her was </w:t>
      </w:r>
      <w:r w:rsidRPr="00A178D8">
        <w:t xml:space="preserve">“her own state of unwillingness and apparent lack of desire to be here.” </w:t>
      </w:r>
    </w:p>
    <w:p w:rsidR="00387409" w:rsidP="00E522DC" w14:paraId="3B09A8A1" w14:textId="516E1BF8">
      <w:r w:rsidRPr="006A5934">
        <w:t xml:space="preserve">Prospective jurors </w:t>
      </w:r>
      <w:r w:rsidRPr="006A5934" w:rsidR="00E522DC">
        <w:t xml:space="preserve">need </w:t>
      </w:r>
      <w:r w:rsidR="005333F2">
        <w:t xml:space="preserve">not </w:t>
      </w:r>
      <w:r w:rsidRPr="006A5934" w:rsidR="00E522DC">
        <w:t xml:space="preserve">be enthusiastic about </w:t>
      </w:r>
      <w:r w:rsidR="005333F2">
        <w:t xml:space="preserve">serving </w:t>
      </w:r>
      <w:r w:rsidR="008F61AA">
        <w:t xml:space="preserve">on </w:t>
      </w:r>
      <w:r w:rsidRPr="006A5934" w:rsidR="00E522DC">
        <w:t xml:space="preserve">a capital jury in order to be qualified </w:t>
      </w:r>
      <w:r w:rsidR="00684290">
        <w:t xml:space="preserve">for that </w:t>
      </w:r>
      <w:r w:rsidR="00E91579">
        <w:t xml:space="preserve">grave </w:t>
      </w:r>
      <w:r w:rsidR="00684290">
        <w:t xml:space="preserve">task </w:t>
      </w:r>
      <w:r w:rsidR="00717A40">
        <w:t xml:space="preserve">under the </w:t>
      </w:r>
      <w:r w:rsidRPr="00717A40" w:rsidR="00717A40">
        <w:rPr>
          <w:i/>
          <w:iCs/>
        </w:rPr>
        <w:t>Witherspoon</w:t>
      </w:r>
      <w:r w:rsidR="00717A40">
        <w:t>-</w:t>
      </w:r>
      <w:r w:rsidRPr="00717A40" w:rsidR="00717A40">
        <w:rPr>
          <w:i/>
          <w:iCs/>
        </w:rPr>
        <w:t>Witt</w:t>
      </w:r>
      <w:r w:rsidR="00717A40">
        <w:t xml:space="preserve"> standard</w:t>
      </w:r>
      <w:r w:rsidRPr="006A5934" w:rsidR="00F84DE6">
        <w:t xml:space="preserve">. </w:t>
      </w:r>
      <w:r w:rsidR="005A57BE">
        <w:t xml:space="preserve"> </w:t>
      </w:r>
      <w:r w:rsidRPr="006A5934" w:rsidR="00C564D4">
        <w:t xml:space="preserve">The record </w:t>
      </w:r>
      <w:r w:rsidR="007E1873">
        <w:t xml:space="preserve">here </w:t>
      </w:r>
      <w:r w:rsidRPr="006A5934" w:rsidR="00C564D4">
        <w:t>does not show</w:t>
      </w:r>
      <w:r w:rsidRPr="006A5934" w:rsidR="00747CA8">
        <w:t xml:space="preserve"> any evidence of bias against the death penalty</w:t>
      </w:r>
      <w:r w:rsidRPr="006A5934" w:rsidR="001A06A2">
        <w:t xml:space="preserve"> (</w:t>
      </w:r>
      <w:r w:rsidRPr="00307947" w:rsidR="00307947">
        <w:rPr>
          <w:rFonts w:eastAsia="Times New Roman" w:cs="Times New Roman"/>
          <w:i/>
          <w:iCs/>
          <w:color w:val="3D3D3D"/>
          <w:bdr w:val="none" w:sz="0" w:space="0" w:color="auto" w:frame="1"/>
        </w:rPr>
        <w:t>People v. Cain</w:t>
      </w:r>
      <w:r w:rsidRPr="00307947" w:rsidR="00307947">
        <w:rPr>
          <w:rFonts w:eastAsia="Times New Roman" w:cs="Times New Roman"/>
          <w:color w:val="000000"/>
        </w:rPr>
        <w:t xml:space="preserve"> (1995) 10</w:t>
      </w:r>
      <w:r w:rsidR="001A3C8A">
        <w:rPr>
          <w:rFonts w:eastAsia="Times New Roman" w:cs="Times New Roman"/>
          <w:color w:val="000000"/>
        </w:rPr>
        <w:t> </w:t>
      </w:r>
      <w:r w:rsidRPr="00307947" w:rsidR="00307947">
        <w:rPr>
          <w:rFonts w:eastAsia="Times New Roman" w:cs="Times New Roman"/>
          <w:color w:val="000000"/>
        </w:rPr>
        <w:t>Cal.4th 1, 60</w:t>
      </w:r>
      <w:r w:rsidRPr="006A5934" w:rsidR="00307947">
        <w:rPr>
          <w:rFonts w:eastAsia="Times New Roman" w:cs="Times New Roman"/>
          <w:color w:val="000000"/>
        </w:rPr>
        <w:t xml:space="preserve">; </w:t>
      </w:r>
      <w:r w:rsidRPr="001A06A2" w:rsidR="001A06A2">
        <w:rPr>
          <w:rFonts w:eastAsia="Times New Roman" w:cs="Times New Roman"/>
          <w:i/>
          <w:iCs/>
          <w:color w:val="3D3D3D"/>
          <w:bdr w:val="none" w:sz="0" w:space="0" w:color="auto" w:frame="1"/>
        </w:rPr>
        <w:t>People v. Garceau</w:t>
      </w:r>
      <w:r w:rsidRPr="001A06A2" w:rsidR="001A06A2">
        <w:rPr>
          <w:rFonts w:eastAsia="Times New Roman" w:cs="Times New Roman"/>
          <w:color w:val="000000"/>
        </w:rPr>
        <w:t xml:space="preserve"> (1993) 6</w:t>
      </w:r>
      <w:r w:rsidR="000B75C4">
        <w:rPr>
          <w:rFonts w:eastAsia="Times New Roman" w:cs="Times New Roman"/>
          <w:color w:val="000000"/>
        </w:rPr>
        <w:t> </w:t>
      </w:r>
      <w:r w:rsidRPr="001A06A2" w:rsidR="001A06A2">
        <w:rPr>
          <w:rFonts w:eastAsia="Times New Roman" w:cs="Times New Roman"/>
          <w:color w:val="000000"/>
        </w:rPr>
        <w:t>Cal.4th 140, 175</w:t>
      </w:r>
      <w:r w:rsidRPr="006A5934" w:rsidR="00307947">
        <w:rPr>
          <w:rFonts w:eastAsia="Times New Roman" w:cs="Times New Roman"/>
          <w:color w:val="000000"/>
        </w:rPr>
        <w:t xml:space="preserve">) </w:t>
      </w:r>
      <w:r w:rsidRPr="006A5934" w:rsidR="006A5934">
        <w:rPr>
          <w:rFonts w:eastAsia="Times New Roman" w:cs="Times New Roman"/>
          <w:color w:val="000000"/>
        </w:rPr>
        <w:t xml:space="preserve">or </w:t>
      </w:r>
      <w:r w:rsidRPr="006A5934" w:rsidR="009C3F28">
        <w:t xml:space="preserve">inability </w:t>
      </w:r>
      <w:r w:rsidRPr="006A5934" w:rsidR="00DA7E12">
        <w:t xml:space="preserve">to vote for </w:t>
      </w:r>
      <w:r w:rsidRPr="006A5934" w:rsidR="006A5934">
        <w:t xml:space="preserve">capital punishment if the evidence warranted it </w:t>
      </w:r>
      <w:r w:rsidRPr="006A5934" w:rsidR="00AF3B7F">
        <w:t>(</w:t>
      </w:r>
      <w:r w:rsidRPr="00AF3B7F" w:rsidR="00AF3B7F">
        <w:rPr>
          <w:rFonts w:eastAsia="Times New Roman" w:cs="Times New Roman"/>
          <w:i/>
          <w:iCs/>
          <w:color w:val="3D3D3D"/>
          <w:bdr w:val="none" w:sz="0" w:space="0" w:color="auto" w:frame="1"/>
        </w:rPr>
        <w:t>People v. Wash</w:t>
      </w:r>
      <w:r w:rsidRPr="00AF3B7F" w:rsidR="00AF3B7F">
        <w:rPr>
          <w:rFonts w:eastAsia="Times New Roman" w:cs="Times New Roman"/>
          <w:color w:val="000000"/>
        </w:rPr>
        <w:t xml:space="preserve"> (1993) 6</w:t>
      </w:r>
      <w:r w:rsidR="000B75C4">
        <w:rPr>
          <w:rFonts w:eastAsia="Times New Roman" w:cs="Times New Roman"/>
          <w:color w:val="000000"/>
        </w:rPr>
        <w:t> </w:t>
      </w:r>
      <w:r w:rsidRPr="00AF3B7F" w:rsidR="00AF3B7F">
        <w:rPr>
          <w:rFonts w:eastAsia="Times New Roman" w:cs="Times New Roman"/>
          <w:color w:val="000000"/>
        </w:rPr>
        <w:t>Cal.4th 215, 255</w:t>
      </w:r>
      <w:r w:rsidRPr="006A5934" w:rsidR="00AF3B7F">
        <w:rPr>
          <w:rFonts w:eastAsia="Times New Roman" w:cs="Times New Roman"/>
          <w:color w:val="000000"/>
        </w:rPr>
        <w:t>)</w:t>
      </w:r>
      <w:r w:rsidRPr="006A5934" w:rsidR="006A5934">
        <w:rPr>
          <w:rFonts w:eastAsia="Times New Roman" w:cs="Times New Roman"/>
          <w:color w:val="000000"/>
        </w:rPr>
        <w:t>.</w:t>
      </w:r>
      <w:r w:rsidRPr="006A5934" w:rsidR="00AF3B7F">
        <w:rPr>
          <w:rFonts w:eastAsia="Times New Roman" w:cs="Times New Roman"/>
          <w:color w:val="000000"/>
        </w:rPr>
        <w:t xml:space="preserve"> </w:t>
      </w:r>
      <w:r w:rsidR="002867A6">
        <w:rPr>
          <w:rFonts w:eastAsia="Times New Roman" w:cs="Times New Roman"/>
          <w:color w:val="000000"/>
        </w:rPr>
        <w:t xml:space="preserve"> </w:t>
      </w:r>
      <w:r w:rsidRPr="006A5934" w:rsidR="002867A6">
        <w:t xml:space="preserve">Unless Blue 72 said something </w:t>
      </w:r>
      <w:r w:rsidR="002867A6">
        <w:t xml:space="preserve">suggesting her </w:t>
      </w:r>
      <w:r w:rsidRPr="006A5934" w:rsidR="002867A6">
        <w:t xml:space="preserve">“unwillingness” </w:t>
      </w:r>
      <w:r w:rsidR="002867A6">
        <w:t xml:space="preserve">was an attitudinal propensity to disregard the </w:t>
      </w:r>
      <w:r w:rsidR="00F40BBF">
        <w:t xml:space="preserve">evidence or the </w:t>
      </w:r>
      <w:r w:rsidR="002867A6">
        <w:t>court’s instructions</w:t>
      </w:r>
      <w:r w:rsidR="00966762">
        <w:t>,</w:t>
      </w:r>
      <w:r w:rsidR="002867A6">
        <w:t xml:space="preserve"> a mere </w:t>
      </w:r>
      <w:r w:rsidRPr="006A5934" w:rsidR="002867A6">
        <w:t xml:space="preserve">“lack of desire to be here” </w:t>
      </w:r>
      <w:r w:rsidR="002867A6">
        <w:t xml:space="preserve">and face the difficulty of a </w:t>
      </w:r>
      <w:r w:rsidR="00D20263">
        <w:t xml:space="preserve">making a </w:t>
      </w:r>
      <w:r w:rsidR="002867A6">
        <w:t xml:space="preserve">penalty phase judgment </w:t>
      </w:r>
      <w:r w:rsidRPr="006A5934" w:rsidR="002867A6">
        <w:t xml:space="preserve">was not enough to justify excusal.  </w:t>
      </w:r>
    </w:p>
    <w:p w:rsidR="00E522DC" w:rsidRPr="006A5934" w:rsidP="00E522DC" w14:paraId="4C94BF15" w14:textId="71B4374B">
      <w:r>
        <w:t xml:space="preserve">Death qualification </w:t>
      </w:r>
      <w:r w:rsidR="009972E1">
        <w:t xml:space="preserve">probes </w:t>
      </w:r>
      <w:r w:rsidR="00FC0393">
        <w:t>for neutralit</w:t>
      </w:r>
      <w:r w:rsidR="00C3629F">
        <w:t>y</w:t>
      </w:r>
      <w:r w:rsidR="008F3524">
        <w:t>.</w:t>
      </w:r>
      <w:r w:rsidR="007D60E5">
        <w:t xml:space="preserve">  It is not a search for jurors who favor capital punishment.</w:t>
      </w:r>
      <w:r w:rsidR="00387409">
        <w:t xml:space="preserve">  (</w:t>
      </w:r>
      <w:r w:rsidR="00387409">
        <w:rPr>
          <w:i/>
          <w:iCs/>
        </w:rPr>
        <w:t>People v. Suarez</w:t>
      </w:r>
      <w:r w:rsidR="00387409">
        <w:t xml:space="preserve"> (2020) 10</w:t>
      </w:r>
      <w:r w:rsidR="000B75C4">
        <w:t> </w:t>
      </w:r>
      <w:r w:rsidR="00387409">
        <w:t>Cal.5th 116, 139 [“ ‘Through the</w:t>
      </w:r>
      <w:r w:rsidR="000B75C4">
        <w:t xml:space="preserve"> </w:t>
      </w:r>
      <w:r w:rsidR="00387409">
        <w:t>death</w:t>
      </w:r>
      <w:r w:rsidR="000B75C4">
        <w:t xml:space="preserve"> </w:t>
      </w:r>
      <w:r w:rsidR="00387409">
        <w:t>qualification</w:t>
      </w:r>
      <w:r w:rsidR="000B75C4">
        <w:t xml:space="preserve"> </w:t>
      </w:r>
      <w:r w:rsidR="00387409">
        <w:t xml:space="preserve">process, individuals may be excused not only for their unyielding opposition to capital punishment but also for their intractable support of it. </w:t>
      </w:r>
      <w:r w:rsidR="00F4346D">
        <w:t xml:space="preserve"> </w:t>
      </w:r>
      <w:r w:rsidR="00387409">
        <w:t xml:space="preserve">[Citations.] </w:t>
      </w:r>
      <w:r w:rsidR="000B75C4">
        <w:t>. . .</w:t>
      </w:r>
      <w:r w:rsidR="00387409">
        <w:t xml:space="preserve"> Disqualified</w:t>
      </w:r>
      <w:r w:rsidR="000B75C4">
        <w:t xml:space="preserve"> </w:t>
      </w:r>
      <w:r w:rsidR="00387409">
        <w:t>jurors</w:t>
      </w:r>
      <w:r w:rsidR="000B75C4">
        <w:t xml:space="preserve"> </w:t>
      </w:r>
      <w:r w:rsidR="00387409">
        <w:t>are properly excused for cause, not on the basis of their personal, moral beliefs regarding the death penalty, but because of their inability to “temporarily set aside their own beliefs in deference to the rule of law.”</w:t>
      </w:r>
      <w:r w:rsidR="000B75C4">
        <w:t> </w:t>
      </w:r>
      <w:r w:rsidR="00387409">
        <w:t>’</w:t>
      </w:r>
      <w:r w:rsidR="000B75C4">
        <w:t> </w:t>
      </w:r>
      <w:r w:rsidR="00387409">
        <w:t xml:space="preserve">”].) </w:t>
      </w:r>
      <w:r>
        <w:t xml:space="preserve"> </w:t>
      </w:r>
    </w:p>
    <w:p w:rsidR="0041645F" w:rsidP="002F079C" w14:paraId="5A8E1EE9" w14:textId="0036345E">
      <w:pPr>
        <w:rPr>
          <w:rFonts w:eastAsia="Times New Roman" w:cs="Arial"/>
          <w:color w:val="000000"/>
        </w:rPr>
      </w:pPr>
      <w:r>
        <w:t xml:space="preserve">We </w:t>
      </w:r>
      <w:r w:rsidR="002206DF">
        <w:t xml:space="preserve">are not called upon to </w:t>
      </w:r>
      <w:r>
        <w:t xml:space="preserve">decide the merits of this </w:t>
      </w:r>
      <w:r w:rsidR="005F0ABC">
        <w:t>claim</w:t>
      </w:r>
      <w:r>
        <w:t xml:space="preserve"> now</w:t>
      </w:r>
      <w:r w:rsidR="00A23331">
        <w:t xml:space="preserve">, </w:t>
      </w:r>
      <w:r w:rsidR="006E6A61">
        <w:t xml:space="preserve">and we </w:t>
      </w:r>
      <w:r w:rsidR="00181372">
        <w:t xml:space="preserve">emphasize that we </w:t>
      </w:r>
      <w:r w:rsidR="006E6A61">
        <w:t xml:space="preserve">do not </w:t>
      </w:r>
      <w:r w:rsidR="00181372">
        <w:t>do so</w:t>
      </w:r>
      <w:r w:rsidR="00A23331">
        <w:t xml:space="preserve">.  </w:t>
      </w:r>
      <w:r w:rsidR="00D513F6">
        <w:t xml:space="preserve">It </w:t>
      </w:r>
      <w:r w:rsidR="008C196E">
        <w:t xml:space="preserve">seems possible that a </w:t>
      </w:r>
      <w:r w:rsidR="00A23331">
        <w:t>full assessment</w:t>
      </w:r>
      <w:r w:rsidR="00B66E73">
        <w:t xml:space="preserve"> </w:t>
      </w:r>
      <w:r w:rsidR="008C196E">
        <w:t xml:space="preserve">of </w:t>
      </w:r>
      <w:r w:rsidR="004063ED">
        <w:t xml:space="preserve">the </w:t>
      </w:r>
      <w:r w:rsidRPr="003969B7" w:rsidR="00A23331">
        <w:t>record</w:t>
      </w:r>
      <w:r w:rsidRPr="003969B7" w:rsidR="004063ED">
        <w:t xml:space="preserve"> of the voir dire</w:t>
      </w:r>
      <w:r w:rsidRPr="003969B7" w:rsidR="00A23331">
        <w:t xml:space="preserve"> </w:t>
      </w:r>
      <w:r w:rsidRPr="003969B7" w:rsidR="008C196E">
        <w:t>proceedings</w:t>
      </w:r>
      <w:r w:rsidRPr="003969B7" w:rsidR="004063ED">
        <w:t xml:space="preserve"> </w:t>
      </w:r>
      <w:r w:rsidRPr="003969B7" w:rsidR="003C30D3">
        <w:t>could</w:t>
      </w:r>
      <w:r w:rsidRPr="003969B7" w:rsidR="00D513F6">
        <w:t xml:space="preserve"> reveal</w:t>
      </w:r>
      <w:r w:rsidRPr="003969B7" w:rsidR="005960B1">
        <w:t xml:space="preserve"> something in </w:t>
      </w:r>
      <w:r w:rsidRPr="003969B7" w:rsidR="00117227">
        <w:t xml:space="preserve">the stated views of </w:t>
      </w:r>
      <w:r w:rsidRPr="003969B7" w:rsidR="005960B1">
        <w:t>Blue</w:t>
      </w:r>
      <w:r w:rsidRPr="003969B7" w:rsidR="00117227">
        <w:t xml:space="preserve"> </w:t>
      </w:r>
      <w:r w:rsidR="00CC365C">
        <w:t>72</w:t>
      </w:r>
      <w:r w:rsidRPr="003969B7" w:rsidR="00117227">
        <w:t xml:space="preserve"> that would “</w:t>
      </w:r>
      <w:r w:rsidR="000B75C4">
        <w:t> </w:t>
      </w:r>
      <w:r w:rsidRPr="003969B7" w:rsidR="00117227">
        <w:t>‘</w:t>
      </w:r>
      <w:r w:rsidRPr="00A13AE7" w:rsidR="00A13AE7">
        <w:rPr>
          <w:rFonts w:eastAsia="Times New Roman" w:cs="Times New Roman"/>
          <w:color w:val="000000"/>
        </w:rPr>
        <w:t xml:space="preserve">prevent or substantially impair the performance of </w:t>
      </w:r>
      <w:r w:rsidRPr="003969B7" w:rsidR="00117227">
        <w:rPr>
          <w:rFonts w:eastAsia="Times New Roman" w:cs="Times New Roman"/>
          <w:color w:val="000000"/>
        </w:rPr>
        <w:t>[her</w:t>
      </w:r>
      <w:r w:rsidRPr="003969B7" w:rsidR="003969B7">
        <w:rPr>
          <w:rFonts w:eastAsia="Times New Roman" w:cs="Times New Roman"/>
          <w:color w:val="000000"/>
        </w:rPr>
        <w:t xml:space="preserve">] </w:t>
      </w:r>
      <w:r w:rsidRPr="00A13AE7" w:rsidR="00A13AE7">
        <w:rPr>
          <w:rFonts w:eastAsia="Times New Roman" w:cs="Times New Roman"/>
          <w:color w:val="000000"/>
        </w:rPr>
        <w:t xml:space="preserve">duties as a juror in accordance with </w:t>
      </w:r>
      <w:r w:rsidR="00320FFD">
        <w:rPr>
          <w:rFonts w:eastAsia="Times New Roman" w:cs="Times New Roman"/>
          <w:color w:val="000000"/>
        </w:rPr>
        <w:t xml:space="preserve">[the court’s] </w:t>
      </w:r>
      <w:r w:rsidRPr="00A13AE7" w:rsidR="00A13AE7">
        <w:rPr>
          <w:rFonts w:eastAsia="Times New Roman" w:cs="Times New Roman"/>
          <w:color w:val="000000"/>
        </w:rPr>
        <w:t xml:space="preserve"> instructions and </w:t>
      </w:r>
      <w:r w:rsidR="00320FFD">
        <w:rPr>
          <w:rFonts w:eastAsia="Times New Roman" w:cs="Times New Roman"/>
          <w:color w:val="000000"/>
        </w:rPr>
        <w:t>[the juror’s]</w:t>
      </w:r>
      <w:r w:rsidRPr="00A13AE7" w:rsidR="00A13AE7">
        <w:rPr>
          <w:rFonts w:eastAsia="Times New Roman" w:cs="Times New Roman"/>
          <w:color w:val="000000"/>
        </w:rPr>
        <w:t xml:space="preserve"> oath.’</w:t>
      </w:r>
      <w:r w:rsidR="000B75C4">
        <w:rPr>
          <w:rFonts w:eastAsia="Times New Roman" w:cs="Times New Roman"/>
          <w:color w:val="000000"/>
        </w:rPr>
        <w:t> </w:t>
      </w:r>
      <w:r w:rsidRPr="00A13AE7" w:rsidR="00A13AE7">
        <w:rPr>
          <w:rFonts w:eastAsia="Times New Roman" w:cs="Times New Roman"/>
          <w:color w:val="000000"/>
        </w:rPr>
        <w:t xml:space="preserve">” </w:t>
      </w:r>
      <w:r w:rsidRPr="003969B7" w:rsidR="003969B7">
        <w:rPr>
          <w:rFonts w:eastAsia="Times New Roman" w:cs="Times New Roman"/>
          <w:color w:val="000000"/>
        </w:rPr>
        <w:t xml:space="preserve"> (</w:t>
      </w:r>
      <w:r w:rsidRPr="00A13AE7" w:rsidR="009B3055">
        <w:rPr>
          <w:rFonts w:eastAsia="Times New Roman" w:cs="Times New Roman"/>
          <w:i/>
          <w:iCs/>
          <w:color w:val="3D3D3D"/>
          <w:bdr w:val="none" w:sz="0" w:space="0" w:color="auto" w:frame="1"/>
        </w:rPr>
        <w:t>People v. Peterson</w:t>
      </w:r>
      <w:r w:rsidRPr="00A13AE7" w:rsidR="009B3055">
        <w:rPr>
          <w:rFonts w:eastAsia="Times New Roman" w:cs="Times New Roman"/>
          <w:color w:val="000000"/>
        </w:rPr>
        <w:t xml:space="preserve"> (2020) 10</w:t>
      </w:r>
      <w:r w:rsidR="000B75C4">
        <w:rPr>
          <w:rFonts w:eastAsia="Times New Roman" w:cs="Times New Roman"/>
          <w:color w:val="000000"/>
        </w:rPr>
        <w:t> </w:t>
      </w:r>
      <w:r w:rsidRPr="00A13AE7" w:rsidR="009B3055">
        <w:rPr>
          <w:rFonts w:eastAsia="Times New Roman" w:cs="Times New Roman"/>
          <w:color w:val="000000"/>
        </w:rPr>
        <w:t>Cal.5th 409, 429</w:t>
      </w:r>
      <w:r w:rsidR="0089008C">
        <w:rPr>
          <w:rFonts w:eastAsia="Times New Roman" w:cs="Times New Roman"/>
          <w:color w:val="000000"/>
        </w:rPr>
        <w:t>.</w:t>
      </w:r>
      <w:r w:rsidRPr="00A178D8" w:rsidR="009B3055">
        <w:t>)</w:t>
      </w:r>
      <w:r w:rsidR="0089008C">
        <w:t xml:space="preserve"> </w:t>
      </w:r>
      <w:r w:rsidR="0009167E">
        <w:t xml:space="preserve"> </w:t>
      </w:r>
      <w:r w:rsidR="00295341">
        <w:t>But o</w:t>
      </w:r>
      <w:r w:rsidR="00BB646F">
        <w:t xml:space="preserve">n a prima facie basis, we conclude </w:t>
      </w:r>
      <w:r w:rsidR="003305CC">
        <w:t xml:space="preserve">Seumanu has made a showing of deficient performance </w:t>
      </w:r>
      <w:r w:rsidR="00530785">
        <w:t xml:space="preserve">and </w:t>
      </w:r>
      <w:r w:rsidR="00E62D46">
        <w:t>prejudice</w:t>
      </w:r>
      <w:r w:rsidR="00530785">
        <w:t xml:space="preserve"> </w:t>
      </w:r>
      <w:r w:rsidR="00E62D46">
        <w:t xml:space="preserve">by his trial counsel and </w:t>
      </w:r>
      <w:r w:rsidR="00D56B2B">
        <w:t xml:space="preserve">hence </w:t>
      </w:r>
      <w:r w:rsidR="00E62D46">
        <w:t>by his</w:t>
      </w:r>
      <w:r w:rsidR="00D56B2B">
        <w:t xml:space="preserve"> former post-conviction counsel in failin</w:t>
      </w:r>
      <w:r w:rsidR="0024494A">
        <w:t xml:space="preserve">g to argue the improper exclusion of Blue 72 under </w:t>
      </w:r>
      <w:r w:rsidRPr="00DC52FA" w:rsidR="0024494A">
        <w:rPr>
          <w:i/>
          <w:iCs/>
        </w:rPr>
        <w:t>Witherspoon-Witt</w:t>
      </w:r>
      <w:r w:rsidR="0024494A">
        <w:t xml:space="preserve">.  </w:t>
      </w:r>
      <w:r w:rsidR="00DC52FA">
        <w:t>A</w:t>
      </w:r>
      <w:r w:rsidR="00396094">
        <w:t>s to</w:t>
      </w:r>
      <w:r w:rsidR="0009167E">
        <w:t xml:space="preserve"> this</w:t>
      </w:r>
      <w:r w:rsidR="00AB4577">
        <w:t xml:space="preserve"> particular</w:t>
      </w:r>
      <w:r w:rsidR="00396094">
        <w:t xml:space="preserve"> prospective juror</w:t>
      </w:r>
      <w:r w:rsidR="0009167E">
        <w:t>,</w:t>
      </w:r>
      <w:r w:rsidR="00DC52FA">
        <w:t xml:space="preserve"> therefore,</w:t>
      </w:r>
      <w:r w:rsidR="0009167E">
        <w:t xml:space="preserve"> </w:t>
      </w:r>
      <w:r w:rsidR="00BB646F">
        <w:t>Seumanu has made a substantial showing of non-</w:t>
      </w:r>
      <w:r w:rsidR="002E3335">
        <w:t>successiveness</w:t>
      </w:r>
      <w:r w:rsidR="00BB646F">
        <w:t xml:space="preserve"> </w:t>
      </w:r>
      <w:r w:rsidR="003C5B8E">
        <w:t>based on</w:t>
      </w:r>
      <w:r w:rsidR="00295341">
        <w:t xml:space="preserve"> ineffective </w:t>
      </w:r>
      <w:r w:rsidR="00B6337B">
        <w:t>assistance of counsel</w:t>
      </w:r>
      <w:r w:rsidR="005C6179">
        <w:t>.</w:t>
      </w:r>
      <w:r>
        <w:t xml:space="preserve"> </w:t>
      </w:r>
      <w:r>
        <w:rPr>
          <w:rFonts w:eastAsia="Times New Roman" w:cs="Arial"/>
          <w:color w:val="000000"/>
        </w:rPr>
        <w:t xml:space="preserve"> </w:t>
      </w:r>
      <w:r w:rsidR="00BE4196">
        <w:rPr>
          <w:rFonts w:eastAsia="Times New Roman" w:cs="Arial"/>
          <w:color w:val="000000"/>
        </w:rPr>
        <w:t xml:space="preserve"> </w:t>
      </w:r>
    </w:p>
    <w:p w:rsidR="0041645F" w:rsidRPr="00CC5AD9" w:rsidP="0041645F" w14:paraId="1944BC9E" w14:textId="77777777">
      <w:pPr>
        <w:pStyle w:val="Heading3"/>
        <w:numPr>
          <w:ilvl w:val="0"/>
          <w:numId w:val="26"/>
        </w:numPr>
      </w:pPr>
      <w:r w:rsidRPr="00CC5AD9">
        <w:t xml:space="preserve">Claim Five  </w:t>
      </w:r>
    </w:p>
    <w:p w:rsidR="0041645F" w:rsidP="0041645F" w14:paraId="7D04C96B" w14:textId="388EA117">
      <w:pPr>
        <w:shd w:val="clear" w:color="auto" w:fill="FFFFFF"/>
        <w:rPr>
          <w:rFonts w:eastAsia="Times New Roman" w:cs="Arial"/>
          <w:color w:val="000000"/>
        </w:rPr>
      </w:pPr>
      <w:r>
        <w:rPr>
          <w:rFonts w:eastAsia="Times New Roman" w:cs="Arial"/>
          <w:color w:val="000000"/>
        </w:rPr>
        <w:t xml:space="preserve">Claim five alleges that by allowing the prosecution and the defense to confer and stipulate to the removal of potential jurors off the record and prior to voir dire, the trial court deprived Seumanu of a fair trial.  Seumanu complains that this procedure “upend[ed] the entire system designed by the Legislature [under </w:t>
      </w:r>
      <w:r w:rsidR="000018B5">
        <w:rPr>
          <w:rFonts w:eastAsia="Times New Roman" w:cs="Arial"/>
          <w:color w:val="000000"/>
        </w:rPr>
        <w:t>Code of Civil Procedure</w:t>
      </w:r>
      <w:r>
        <w:rPr>
          <w:rFonts w:eastAsia="Times New Roman" w:cs="Arial"/>
          <w:color w:val="000000"/>
        </w:rPr>
        <w:t xml:space="preserve"> sections 222 and 223] for ensuring that jurors are randomly selected.</w:t>
      </w:r>
      <w:r w:rsidR="009375D4">
        <w:rPr>
          <w:rFonts w:eastAsia="Times New Roman" w:cs="Arial"/>
          <w:color w:val="000000"/>
        </w:rPr>
        <w:t>”</w:t>
      </w:r>
      <w:r>
        <w:rPr>
          <w:rFonts w:eastAsia="Times New Roman" w:cs="Arial"/>
          <w:color w:val="000000"/>
        </w:rPr>
        <w:t xml:space="preserve">  This claim, the trial court said, presents</w:t>
      </w:r>
      <w:r w:rsidR="00CC5AD9">
        <w:rPr>
          <w:rFonts w:eastAsia="Times New Roman" w:cs="Arial"/>
          <w:color w:val="000000"/>
        </w:rPr>
        <w:t xml:space="preserve"> </w:t>
      </w:r>
      <w:r w:rsidR="007C2C38">
        <w:rPr>
          <w:rFonts w:eastAsia="Times New Roman" w:cs="Arial"/>
          <w:color w:val="000000"/>
        </w:rPr>
        <w:t>“</w:t>
      </w:r>
      <w:r>
        <w:rPr>
          <w:rFonts w:eastAsia="Times New Roman" w:cs="Arial"/>
          <w:color w:val="000000"/>
        </w:rPr>
        <w:t>a novel question of law that does not appear to have been addressed by any court.”  But the trial court concluded “it is not necessary</w:t>
      </w:r>
      <w:r w:rsidR="00CC5AD9">
        <w:rPr>
          <w:rFonts w:eastAsia="Times New Roman" w:cs="Arial"/>
          <w:color w:val="000000"/>
        </w:rPr>
        <w:t xml:space="preserve"> . . . </w:t>
      </w:r>
      <w:r>
        <w:rPr>
          <w:rFonts w:eastAsia="Times New Roman" w:cs="Arial"/>
          <w:color w:val="000000"/>
        </w:rPr>
        <w:t>to reach the merits of this question</w:t>
      </w:r>
      <w:r w:rsidR="00CC5AD9">
        <w:rPr>
          <w:rFonts w:eastAsia="Times New Roman" w:cs="Arial"/>
          <w:color w:val="000000"/>
        </w:rPr>
        <w:t xml:space="preserve"> . . . </w:t>
      </w:r>
      <w:r>
        <w:rPr>
          <w:rFonts w:eastAsia="Times New Roman" w:cs="Arial"/>
          <w:color w:val="000000"/>
        </w:rPr>
        <w:t>because [Seumanu] fails to justify his failure to bring th[e] claim earlier.  It was not ineffective assistance for post-conviction counsel to neglect to present a novel and untested legal claim, and [Seumanu] cannot establish prejudice from the failure to do so.”</w:t>
      </w:r>
      <w:r w:rsidR="00CB1FC5">
        <w:rPr>
          <w:rFonts w:eastAsia="Times New Roman" w:cs="Arial"/>
          <w:color w:val="000000"/>
        </w:rPr>
        <w:t xml:space="preserve"> </w:t>
      </w:r>
    </w:p>
    <w:p w:rsidR="0041645F" w:rsidP="0041645F" w14:paraId="3BB00DC6" w14:textId="5364DBB8">
      <w:pPr>
        <w:shd w:val="clear" w:color="auto" w:fill="FFFFFF"/>
        <w:rPr>
          <w:rFonts w:eastAsia="Times New Roman" w:cs="Arial"/>
          <w:color w:val="000000"/>
        </w:rPr>
      </w:pPr>
      <w:r>
        <w:rPr>
          <w:rFonts w:eastAsia="Times New Roman" w:cs="Arial"/>
          <w:color w:val="000000"/>
        </w:rPr>
        <w:t>We agree with the trial court that the alleged practice of stipulating to excusals for cause in contravention of established statutory procedures for jury selection raises a novel issue of law.  We agree, further, that trial counsel cannot be charged with deficient performance for engaging in a practice Seumanu has not claimed, and cannot claim, was so obviously at variance with established law that all reasonably competent counsel would have known to avoid it.  Absent a viable claim of ineffective assistance against trial counsel, Seumanu has not met his burden of pleading that post-conviction counsel was ineffective for omitting claim five from the Initial Petition.</w:t>
      </w:r>
    </w:p>
    <w:p w:rsidR="0041645F" w:rsidP="0041645F" w14:paraId="6C0D412A" w14:textId="2467BAA0">
      <w:pPr>
        <w:shd w:val="clear" w:color="auto" w:fill="FFFFFF"/>
        <w:rPr>
          <w:rFonts w:eastAsia="Times New Roman" w:cs="Arial"/>
          <w:color w:val="000000"/>
        </w:rPr>
      </w:pPr>
      <w:r>
        <w:rPr>
          <w:rFonts w:eastAsia="Times New Roman" w:cs="Arial"/>
          <w:color w:val="000000"/>
        </w:rPr>
        <w:t>Even more fundamentally, we do not see any basis on the thin record we have been provided for concluding there is a reasonable likelihood the judge in Se</w:t>
      </w:r>
      <w:r w:rsidR="00874D7E">
        <w:rPr>
          <w:rFonts w:eastAsia="Times New Roman" w:cs="Arial"/>
          <w:color w:val="000000"/>
        </w:rPr>
        <w:t>u</w:t>
      </w:r>
      <w:r>
        <w:rPr>
          <w:rFonts w:eastAsia="Times New Roman" w:cs="Arial"/>
          <w:color w:val="000000"/>
        </w:rPr>
        <w:t>manu</w:t>
      </w:r>
      <w:r w:rsidR="00874D7E">
        <w:rPr>
          <w:rFonts w:eastAsia="Times New Roman" w:cs="Arial"/>
          <w:color w:val="000000"/>
        </w:rPr>
        <w:t>’</w:t>
      </w:r>
      <w:r>
        <w:rPr>
          <w:rFonts w:eastAsia="Times New Roman" w:cs="Arial"/>
          <w:color w:val="000000"/>
        </w:rPr>
        <w:t>s capital trial would not have granted a motion to excuse for cause the jurors who were allegedly excused improperly by stipulation—i.e.</w:t>
      </w:r>
      <w:r w:rsidR="00CE10C6">
        <w:rPr>
          <w:rFonts w:eastAsia="Times New Roman" w:cs="Arial"/>
          <w:color w:val="000000"/>
        </w:rPr>
        <w:t>,</w:t>
      </w:r>
      <w:r>
        <w:rPr>
          <w:rFonts w:eastAsia="Times New Roman" w:cs="Arial"/>
          <w:color w:val="000000"/>
        </w:rPr>
        <w:t xml:space="preserve"> that the outcome would have been different with respect to at least one of the jurors, thus establishing prejudice. </w:t>
      </w:r>
      <w:r w:rsidR="00941466">
        <w:rPr>
          <w:rFonts w:eastAsia="Times New Roman" w:cs="Arial"/>
          <w:color w:val="000000"/>
        </w:rPr>
        <w:t xml:space="preserve"> In the absence of a re</w:t>
      </w:r>
      <w:r w:rsidR="0006268E">
        <w:rPr>
          <w:rFonts w:eastAsia="Times New Roman" w:cs="Arial"/>
          <w:color w:val="000000"/>
        </w:rPr>
        <w:t>cord to evaluate this issue, w</w:t>
      </w:r>
      <w:r>
        <w:rPr>
          <w:rFonts w:eastAsia="Times New Roman" w:cs="Arial"/>
          <w:color w:val="000000"/>
        </w:rPr>
        <w:t xml:space="preserve">hat would have happened had such an objection been raised at trial is pure speculation.  </w:t>
      </w:r>
      <w:r w:rsidR="002A7A4F">
        <w:rPr>
          <w:rFonts w:eastAsia="Times New Roman" w:cs="Arial"/>
          <w:color w:val="000000"/>
        </w:rPr>
        <w:t>And w</w:t>
      </w:r>
      <w:r>
        <w:rPr>
          <w:rFonts w:eastAsia="Times New Roman" w:cs="Arial"/>
          <w:color w:val="000000"/>
        </w:rPr>
        <w:t xml:space="preserve">ithout some factual basis </w:t>
      </w:r>
      <w:r w:rsidR="002C53E2">
        <w:rPr>
          <w:rFonts w:eastAsia="Times New Roman" w:cs="Arial"/>
          <w:color w:val="000000"/>
        </w:rPr>
        <w:t xml:space="preserve">to guide our analysis, </w:t>
      </w:r>
      <w:r>
        <w:rPr>
          <w:rFonts w:eastAsia="Times New Roman" w:cs="Arial"/>
          <w:color w:val="000000"/>
        </w:rPr>
        <w:t xml:space="preserve">Seumanu cannot meet his burden of showing reversible error </w:t>
      </w:r>
      <w:r w:rsidR="007E0426">
        <w:rPr>
          <w:rFonts w:eastAsia="Times New Roman" w:cs="Arial"/>
          <w:color w:val="000000"/>
        </w:rPr>
        <w:t xml:space="preserve">on </w:t>
      </w:r>
      <w:r>
        <w:rPr>
          <w:rFonts w:eastAsia="Times New Roman" w:cs="Arial"/>
          <w:color w:val="000000"/>
        </w:rPr>
        <w:t>appeal</w:t>
      </w:r>
      <w:r w:rsidR="00FD1513">
        <w:rPr>
          <w:rFonts w:eastAsia="Times New Roman" w:cs="Arial"/>
          <w:color w:val="000000"/>
        </w:rPr>
        <w:t>, which makes further proceedings pointless</w:t>
      </w:r>
      <w:r>
        <w:rPr>
          <w:rFonts w:eastAsia="Times New Roman" w:cs="Arial"/>
          <w:color w:val="000000"/>
        </w:rPr>
        <w:t xml:space="preserve">. </w:t>
      </w:r>
    </w:p>
    <w:p w:rsidR="0041645F" w:rsidRPr="00CE10C6" w:rsidP="0041645F" w14:paraId="5389D919" w14:textId="77777777">
      <w:pPr>
        <w:pStyle w:val="Heading3"/>
        <w:numPr>
          <w:ilvl w:val="0"/>
          <w:numId w:val="26"/>
        </w:numPr>
      </w:pPr>
      <w:r w:rsidRPr="00CE10C6">
        <w:t xml:space="preserve">Claim Six  </w:t>
      </w:r>
    </w:p>
    <w:p w:rsidR="0041645F" w:rsidP="0041645F" w14:paraId="6A5A8333" w14:textId="5F4DFBD5">
      <w:pPr>
        <w:shd w:val="clear" w:color="auto" w:fill="FFFFFF"/>
        <w:rPr>
          <w:rFonts w:eastAsia="Times New Roman" w:cs="Arial"/>
          <w:color w:val="000000"/>
        </w:rPr>
      </w:pPr>
      <w:r>
        <w:rPr>
          <w:rFonts w:eastAsia="Times New Roman" w:cs="Arial"/>
          <w:color w:val="000000"/>
        </w:rPr>
        <w:t>In this claim, Seumanu alleges it was ineffective assistance for his trial counsel to stipulate to the removal of a prospective juror</w:t>
      </w:r>
      <w:r w:rsidR="00A34B47">
        <w:rPr>
          <w:rFonts w:eastAsia="Times New Roman" w:cs="Arial"/>
          <w:color w:val="000000"/>
        </w:rPr>
        <w:t>, Green 33,</w:t>
      </w:r>
      <w:r>
        <w:rPr>
          <w:rFonts w:eastAsia="Times New Roman" w:cs="Arial"/>
          <w:color w:val="000000"/>
        </w:rPr>
        <w:t xml:space="preserve"> who had stated on a juror questionnaire that he could set aside his strongly held views against the death penalty and apply the law as instructed.  </w:t>
      </w:r>
    </w:p>
    <w:p w:rsidR="00226920" w:rsidP="0041645F" w14:paraId="2998E666" w14:textId="12655431">
      <w:pPr>
        <w:shd w:val="clear" w:color="auto" w:fill="FFFFFF"/>
        <w:rPr>
          <w:rFonts w:eastAsia="Times New Roman" w:cs="Arial"/>
          <w:color w:val="000000"/>
        </w:rPr>
      </w:pPr>
      <w:r>
        <w:rPr>
          <w:rFonts w:eastAsia="Times New Roman" w:cs="Arial"/>
          <w:color w:val="000000"/>
        </w:rPr>
        <w:t xml:space="preserve">Pointing out that the juror in question was excused by stipulation, not for cause, the trial court took the view that this claim asked the court to second-guess </w:t>
      </w:r>
      <w:r w:rsidR="00D62D8A">
        <w:rPr>
          <w:rFonts w:eastAsia="Times New Roman" w:cs="Arial"/>
          <w:color w:val="000000"/>
        </w:rPr>
        <w:t xml:space="preserve">trial counsel’s </w:t>
      </w:r>
      <w:r w:rsidR="00B23152">
        <w:rPr>
          <w:rFonts w:eastAsia="Times New Roman" w:cs="Arial"/>
          <w:color w:val="000000"/>
        </w:rPr>
        <w:t xml:space="preserve">tactical </w:t>
      </w:r>
      <w:r>
        <w:rPr>
          <w:rFonts w:eastAsia="Times New Roman" w:cs="Arial"/>
          <w:color w:val="000000"/>
        </w:rPr>
        <w:t>decision to enter in</w:t>
      </w:r>
      <w:r w:rsidR="007A4138">
        <w:rPr>
          <w:rFonts w:eastAsia="Times New Roman" w:cs="Arial"/>
          <w:color w:val="000000"/>
        </w:rPr>
        <w:t>to</w:t>
      </w:r>
      <w:r>
        <w:rPr>
          <w:rFonts w:eastAsia="Times New Roman" w:cs="Arial"/>
          <w:color w:val="000000"/>
        </w:rPr>
        <w:t xml:space="preserve"> the stipulation</w:t>
      </w:r>
      <w:r w:rsidR="00B23152">
        <w:rPr>
          <w:rFonts w:eastAsia="Times New Roman" w:cs="Arial"/>
          <w:color w:val="000000"/>
        </w:rPr>
        <w:t>.</w:t>
      </w:r>
      <w:r>
        <w:rPr>
          <w:rFonts w:eastAsia="Times New Roman" w:cs="Arial"/>
          <w:color w:val="000000"/>
        </w:rPr>
        <w:t xml:space="preserve">  We agree with th</w:t>
      </w:r>
      <w:r w:rsidR="00654CCB">
        <w:rPr>
          <w:rFonts w:eastAsia="Times New Roman" w:cs="Arial"/>
          <w:color w:val="000000"/>
        </w:rPr>
        <w:t xml:space="preserve">is </w:t>
      </w:r>
      <w:r w:rsidR="005D5BCD">
        <w:rPr>
          <w:rFonts w:eastAsia="Times New Roman" w:cs="Arial"/>
          <w:color w:val="000000"/>
        </w:rPr>
        <w:t>assessment,</w:t>
      </w:r>
      <w:r w:rsidR="000C640D">
        <w:rPr>
          <w:rFonts w:eastAsia="Times New Roman" w:cs="Arial"/>
          <w:color w:val="000000"/>
        </w:rPr>
        <w:t xml:space="preserve"> especially since</w:t>
      </w:r>
      <w:r w:rsidR="00AF7B07">
        <w:rPr>
          <w:rFonts w:eastAsia="Times New Roman" w:cs="Arial"/>
          <w:color w:val="000000"/>
        </w:rPr>
        <w:t xml:space="preserve">—according to </w:t>
      </w:r>
      <w:r w:rsidR="00654CCB">
        <w:rPr>
          <w:rFonts w:eastAsia="Times New Roman" w:cs="Arial"/>
          <w:color w:val="000000"/>
        </w:rPr>
        <w:t xml:space="preserve">the court’s </w:t>
      </w:r>
      <w:r w:rsidR="00AF7B07">
        <w:rPr>
          <w:rFonts w:eastAsia="Times New Roman" w:cs="Arial"/>
          <w:color w:val="000000"/>
        </w:rPr>
        <w:t>order of dismissal—</w:t>
      </w:r>
      <w:r w:rsidR="000C640D">
        <w:rPr>
          <w:rFonts w:eastAsia="Times New Roman" w:cs="Arial"/>
          <w:color w:val="000000"/>
        </w:rPr>
        <w:t xml:space="preserve">trial counsel </w:t>
      </w:r>
      <w:r w:rsidR="001479DA">
        <w:rPr>
          <w:rFonts w:eastAsia="Times New Roman" w:cs="Arial"/>
          <w:color w:val="000000"/>
        </w:rPr>
        <w:t xml:space="preserve">declared </w:t>
      </w:r>
      <w:r w:rsidR="002101AB">
        <w:rPr>
          <w:rFonts w:eastAsia="Times New Roman" w:cs="Arial"/>
          <w:color w:val="000000"/>
        </w:rPr>
        <w:t>h</w:t>
      </w:r>
      <w:r w:rsidR="001479DA">
        <w:rPr>
          <w:rFonts w:eastAsia="Times New Roman" w:cs="Arial"/>
          <w:color w:val="000000"/>
        </w:rPr>
        <w:t xml:space="preserve">e </w:t>
      </w:r>
      <w:r w:rsidR="0022036B">
        <w:rPr>
          <w:rFonts w:eastAsia="Times New Roman" w:cs="Arial"/>
          <w:color w:val="000000"/>
        </w:rPr>
        <w:t xml:space="preserve">was willing to stipulate to </w:t>
      </w:r>
      <w:r w:rsidR="00850BF3">
        <w:rPr>
          <w:rFonts w:eastAsia="Times New Roman" w:cs="Arial"/>
          <w:color w:val="000000"/>
        </w:rPr>
        <w:t xml:space="preserve">these </w:t>
      </w:r>
      <w:r w:rsidR="0022036B">
        <w:rPr>
          <w:rFonts w:eastAsia="Times New Roman" w:cs="Arial"/>
          <w:color w:val="000000"/>
        </w:rPr>
        <w:t>excusal</w:t>
      </w:r>
      <w:r w:rsidR="00850BF3">
        <w:rPr>
          <w:rFonts w:eastAsia="Times New Roman" w:cs="Arial"/>
          <w:color w:val="000000"/>
        </w:rPr>
        <w:t>s</w:t>
      </w:r>
      <w:r w:rsidR="0022036B">
        <w:rPr>
          <w:rFonts w:eastAsia="Times New Roman" w:cs="Arial"/>
          <w:color w:val="000000"/>
        </w:rPr>
        <w:t xml:space="preserve"> </w:t>
      </w:r>
      <w:r w:rsidR="00850BF3">
        <w:rPr>
          <w:rFonts w:eastAsia="Times New Roman" w:cs="Arial"/>
          <w:color w:val="000000"/>
        </w:rPr>
        <w:t xml:space="preserve">only where there was a reasonable basis to conclude </w:t>
      </w:r>
      <w:r w:rsidR="00C071C2">
        <w:rPr>
          <w:rFonts w:eastAsia="Times New Roman" w:cs="Arial"/>
          <w:color w:val="000000"/>
        </w:rPr>
        <w:t xml:space="preserve">a </w:t>
      </w:r>
      <w:r w:rsidR="00850BF3">
        <w:rPr>
          <w:rFonts w:eastAsia="Times New Roman" w:cs="Arial"/>
          <w:color w:val="000000"/>
        </w:rPr>
        <w:t xml:space="preserve">juror would be disqualified for cause. </w:t>
      </w:r>
    </w:p>
    <w:p w:rsidR="00A34B47" w:rsidRPr="00197905" w:rsidP="00197905" w14:paraId="71FD5F83" w14:textId="1977EC39">
      <w:pPr>
        <w:autoSpaceDE w:val="0"/>
        <w:autoSpaceDN w:val="0"/>
        <w:adjustRightInd w:val="0"/>
        <w:ind w:firstLine="630"/>
        <w:rPr>
          <w:rFonts w:eastAsia="Times New Roman" w:cs="Arial"/>
          <w:color w:val="000000"/>
        </w:rPr>
      </w:pPr>
      <w:r w:rsidRPr="00197905">
        <w:rPr>
          <w:rFonts w:cs="TimesNewRomanPSMT"/>
        </w:rPr>
        <w:t>According to the Exhaustion Petition, prospective juror Green 33’s questionnaire indicated he was strongly opposed to the death penalty</w:t>
      </w:r>
      <w:r w:rsidRPr="00197905" w:rsidR="00D21D73">
        <w:rPr>
          <w:rFonts w:cs="TimesNewRomanPSMT"/>
        </w:rPr>
        <w:t xml:space="preserve"> based on a</w:t>
      </w:r>
      <w:r w:rsidRPr="00197905">
        <w:rPr>
          <w:rFonts w:cs="TimesNewRomanPSMT"/>
        </w:rPr>
        <w:t xml:space="preserve">n </w:t>
      </w:r>
      <w:r w:rsidR="00A35E62">
        <w:rPr>
          <w:rFonts w:cs="TimesNewRomanPSMT"/>
        </w:rPr>
        <w:t>“</w:t>
      </w:r>
      <w:r w:rsidRPr="00197905">
        <w:rPr>
          <w:rFonts w:cs="TimesNewRomanPSMT"/>
        </w:rPr>
        <w:t>evolving belief</w:t>
      </w:r>
      <w:r w:rsidR="00A35E62">
        <w:rPr>
          <w:rFonts w:cs="TimesNewRomanPSMT"/>
        </w:rPr>
        <w:t>”</w:t>
      </w:r>
      <w:r w:rsidRPr="00197905">
        <w:rPr>
          <w:rFonts w:cs="TimesNewRomanPSMT"/>
        </w:rPr>
        <w:t xml:space="preserve"> (he had been for the death</w:t>
      </w:r>
      <w:r w:rsidRPr="00197905" w:rsidR="00D21D73">
        <w:rPr>
          <w:rFonts w:cs="TimesNewRomanPSMT"/>
        </w:rPr>
        <w:t xml:space="preserve"> </w:t>
      </w:r>
      <w:r w:rsidRPr="00197905">
        <w:rPr>
          <w:rFonts w:cs="TimesNewRomanPSMT"/>
        </w:rPr>
        <w:t xml:space="preserve">penalty as a child) that killing is not a proper way to indicate disapproval of </w:t>
      </w:r>
      <w:r w:rsidR="00242A8E">
        <w:rPr>
          <w:rFonts w:cs="TimesNewRomanPSMT"/>
        </w:rPr>
        <w:t>murder</w:t>
      </w:r>
      <w:r w:rsidRPr="00197905">
        <w:rPr>
          <w:rFonts w:cs="TimesNewRomanPSMT"/>
        </w:rPr>
        <w:t xml:space="preserve">. </w:t>
      </w:r>
      <w:r w:rsidRPr="00197905" w:rsidR="00D21D73">
        <w:rPr>
          <w:rFonts w:cs="TimesNewRomanPSMT"/>
        </w:rPr>
        <w:t xml:space="preserve"> But </w:t>
      </w:r>
      <w:r w:rsidRPr="00197905">
        <w:rPr>
          <w:rFonts w:cs="TimesNewRomanPSMT"/>
        </w:rPr>
        <w:t xml:space="preserve">he </w:t>
      </w:r>
      <w:r w:rsidRPr="00197905" w:rsidR="00D21D73">
        <w:rPr>
          <w:rFonts w:cs="TimesNewRomanPSMT"/>
        </w:rPr>
        <w:t xml:space="preserve">also </w:t>
      </w:r>
      <w:r w:rsidRPr="00197905">
        <w:rPr>
          <w:rFonts w:cs="TimesNewRomanPSMT"/>
        </w:rPr>
        <w:t>wrote that “although I do not endorse</w:t>
      </w:r>
      <w:r w:rsidR="00197905">
        <w:rPr>
          <w:rFonts w:cs="TimesNewRomanPSMT"/>
        </w:rPr>
        <w:t xml:space="preserve"> </w:t>
      </w:r>
      <w:r w:rsidRPr="00197905">
        <w:rPr>
          <w:rFonts w:cs="TimesNewRomanPSMT"/>
        </w:rPr>
        <w:t xml:space="preserve">the death penalty, that is only my opinion and not the law. </w:t>
      </w:r>
      <w:r w:rsidR="003C101A">
        <w:rPr>
          <w:rFonts w:cs="TimesNewRomanPSMT"/>
        </w:rPr>
        <w:t xml:space="preserve"> </w:t>
      </w:r>
      <w:r w:rsidRPr="00197905">
        <w:rPr>
          <w:rFonts w:cs="TimesNewRomanPSMT"/>
        </w:rPr>
        <w:t>I know that I can apply the law as</w:t>
      </w:r>
      <w:r w:rsidRPr="00197905" w:rsidR="00D21D73">
        <w:rPr>
          <w:rFonts w:cs="TimesNewRomanPSMT"/>
        </w:rPr>
        <w:t xml:space="preserve"> </w:t>
      </w:r>
      <w:r w:rsidRPr="00197905">
        <w:rPr>
          <w:rFonts w:cs="TimesNewRomanPSMT"/>
        </w:rPr>
        <w:t xml:space="preserve">instructed, regardless of personal opinions.” </w:t>
      </w:r>
      <w:r w:rsidRPr="00197905" w:rsidR="00D21D73">
        <w:rPr>
          <w:rFonts w:cs="TimesNewRomanPSMT"/>
        </w:rPr>
        <w:t xml:space="preserve"> </w:t>
      </w:r>
      <w:r w:rsidRPr="00197905">
        <w:rPr>
          <w:rFonts w:cs="TimesNewRomanPSMT"/>
        </w:rPr>
        <w:t xml:space="preserve">He was </w:t>
      </w:r>
      <w:r w:rsidRPr="00197905" w:rsidR="00D21D73">
        <w:rPr>
          <w:rFonts w:cs="TimesNewRomanPSMT"/>
        </w:rPr>
        <w:t xml:space="preserve">nevertheless </w:t>
      </w:r>
      <w:r w:rsidRPr="00197905">
        <w:rPr>
          <w:rFonts w:cs="TimesNewRomanPSMT"/>
        </w:rPr>
        <w:t>dismissed via a group</w:t>
      </w:r>
      <w:r w:rsidRPr="00197905" w:rsidR="00D131F6">
        <w:rPr>
          <w:rFonts w:cs="TimesNewRomanPSMT"/>
        </w:rPr>
        <w:t xml:space="preserve"> </w:t>
      </w:r>
      <w:r w:rsidRPr="00197905">
        <w:rPr>
          <w:rFonts w:cs="TimesNewRomanPSMT"/>
        </w:rPr>
        <w:t>stipulation</w:t>
      </w:r>
      <w:r w:rsidRPr="00197905" w:rsidR="00D131F6">
        <w:rPr>
          <w:rFonts w:cs="TimesNewRomanPSMT"/>
        </w:rPr>
        <w:t xml:space="preserve"> applicable to a number of prospective jurors. </w:t>
      </w:r>
    </w:p>
    <w:p w:rsidR="006E34B4" w:rsidP="0041645F" w14:paraId="60C3574D" w14:textId="560C6902">
      <w:pPr>
        <w:shd w:val="clear" w:color="auto" w:fill="FFFFFF"/>
      </w:pPr>
      <w:r>
        <w:rPr>
          <w:rFonts w:eastAsia="Times New Roman" w:cs="Arial"/>
          <w:color w:val="000000"/>
        </w:rPr>
        <w:t>Because trial judges are empowered to assess</w:t>
      </w:r>
      <w:r w:rsidR="00A57E4E">
        <w:rPr>
          <w:rFonts w:eastAsia="Times New Roman" w:cs="Arial"/>
          <w:color w:val="000000"/>
        </w:rPr>
        <w:t xml:space="preserve"> the stated views of prospective jurors </w:t>
      </w:r>
      <w:r w:rsidR="00FB0BFD">
        <w:rPr>
          <w:rFonts w:eastAsia="Times New Roman" w:cs="Arial"/>
          <w:color w:val="000000"/>
        </w:rPr>
        <w:t>like Green 33 and determine whether the</w:t>
      </w:r>
      <w:r w:rsidR="00AF2C38">
        <w:rPr>
          <w:rFonts w:eastAsia="Times New Roman" w:cs="Arial"/>
          <w:color w:val="000000"/>
        </w:rPr>
        <w:t xml:space="preserve"> person in question</w:t>
      </w:r>
      <w:r w:rsidR="00207FBB">
        <w:rPr>
          <w:rFonts w:eastAsia="Times New Roman" w:cs="Arial"/>
          <w:color w:val="000000"/>
        </w:rPr>
        <w:t xml:space="preserve"> holds views </w:t>
      </w:r>
      <w:r w:rsidR="00623D56">
        <w:rPr>
          <w:rFonts w:eastAsia="Times New Roman" w:cs="Arial"/>
          <w:color w:val="000000"/>
        </w:rPr>
        <w:t xml:space="preserve">that </w:t>
      </w:r>
      <w:r w:rsidR="00207FBB">
        <w:rPr>
          <w:rFonts w:eastAsia="Times New Roman" w:cs="Arial"/>
          <w:color w:val="000000"/>
        </w:rPr>
        <w:t xml:space="preserve">would </w:t>
      </w:r>
      <w:r w:rsidRPr="003969B7" w:rsidR="00207FBB">
        <w:t>“</w:t>
      </w:r>
      <w:r w:rsidR="00916DE7">
        <w:t> </w:t>
      </w:r>
      <w:r w:rsidRPr="003969B7" w:rsidR="00207FBB">
        <w:t>‘</w:t>
      </w:r>
      <w:r w:rsidRPr="00A13AE7" w:rsidR="00207FBB">
        <w:rPr>
          <w:rFonts w:eastAsia="Times New Roman" w:cs="Times New Roman"/>
          <w:color w:val="000000"/>
        </w:rPr>
        <w:t xml:space="preserve">prevent or substantially impair the performance of </w:t>
      </w:r>
      <w:r w:rsidRPr="003969B7" w:rsidR="00207FBB">
        <w:rPr>
          <w:rFonts w:eastAsia="Times New Roman" w:cs="Times New Roman"/>
          <w:color w:val="000000"/>
        </w:rPr>
        <w:t xml:space="preserve">[her] </w:t>
      </w:r>
      <w:r w:rsidRPr="00A13AE7" w:rsidR="00207FBB">
        <w:rPr>
          <w:rFonts w:eastAsia="Times New Roman" w:cs="Times New Roman"/>
          <w:color w:val="000000"/>
        </w:rPr>
        <w:t xml:space="preserve">duties as a juror in accordance with </w:t>
      </w:r>
      <w:r w:rsidR="00752674">
        <w:rPr>
          <w:rFonts w:eastAsia="Times New Roman" w:cs="Times New Roman"/>
          <w:color w:val="000000"/>
        </w:rPr>
        <w:t xml:space="preserve">[the court’s] </w:t>
      </w:r>
      <w:r w:rsidRPr="00A13AE7" w:rsidR="00207FBB">
        <w:rPr>
          <w:rFonts w:eastAsia="Times New Roman" w:cs="Times New Roman"/>
          <w:color w:val="000000"/>
        </w:rPr>
        <w:t xml:space="preserve"> instructions and </w:t>
      </w:r>
      <w:r w:rsidR="00DD37CE">
        <w:rPr>
          <w:rFonts w:eastAsia="Times New Roman" w:cs="Times New Roman"/>
          <w:color w:val="000000"/>
        </w:rPr>
        <w:t xml:space="preserve">[the juror’s] </w:t>
      </w:r>
      <w:r w:rsidRPr="00A13AE7" w:rsidR="00207FBB">
        <w:rPr>
          <w:rFonts w:eastAsia="Times New Roman" w:cs="Times New Roman"/>
          <w:color w:val="000000"/>
        </w:rPr>
        <w:t>oath’</w:t>
      </w:r>
      <w:r w:rsidR="00916DE7">
        <w:rPr>
          <w:rFonts w:eastAsia="Times New Roman" w:cs="Times New Roman"/>
          <w:color w:val="000000"/>
        </w:rPr>
        <w:t> </w:t>
      </w:r>
      <w:r w:rsidRPr="00A13AE7" w:rsidR="00207FBB">
        <w:rPr>
          <w:rFonts w:eastAsia="Times New Roman" w:cs="Times New Roman"/>
          <w:color w:val="000000"/>
        </w:rPr>
        <w:t>”</w:t>
      </w:r>
      <w:r w:rsidRPr="003969B7" w:rsidR="00207FBB">
        <w:rPr>
          <w:rFonts w:eastAsia="Times New Roman" w:cs="Times New Roman"/>
          <w:color w:val="000000"/>
        </w:rPr>
        <w:t xml:space="preserve"> (</w:t>
      </w:r>
      <w:r w:rsidRPr="00A13AE7" w:rsidR="00207FBB">
        <w:rPr>
          <w:rFonts w:eastAsia="Times New Roman" w:cs="Times New Roman"/>
          <w:i/>
          <w:iCs/>
          <w:color w:val="3D3D3D"/>
          <w:bdr w:val="none" w:sz="0" w:space="0" w:color="auto" w:frame="1"/>
        </w:rPr>
        <w:t>People v. Peterson</w:t>
      </w:r>
      <w:r w:rsidR="00FD77DE">
        <w:rPr>
          <w:rFonts w:eastAsia="Times New Roman" w:cs="Times New Roman"/>
          <w:color w:val="000000"/>
        </w:rPr>
        <w:t xml:space="preserve">, </w:t>
      </w:r>
      <w:r w:rsidRPr="001A7714" w:rsidR="00FD77DE">
        <w:rPr>
          <w:rFonts w:eastAsia="Times New Roman" w:cs="Times New Roman"/>
          <w:i/>
          <w:iCs/>
          <w:color w:val="000000"/>
        </w:rPr>
        <w:t>supra</w:t>
      </w:r>
      <w:r w:rsidR="00FD77DE">
        <w:rPr>
          <w:rFonts w:eastAsia="Times New Roman" w:cs="Times New Roman"/>
          <w:color w:val="000000"/>
        </w:rPr>
        <w:t xml:space="preserve">, </w:t>
      </w:r>
      <w:r w:rsidRPr="00A13AE7" w:rsidR="00207FBB">
        <w:rPr>
          <w:rFonts w:eastAsia="Times New Roman" w:cs="Times New Roman"/>
          <w:color w:val="000000"/>
        </w:rPr>
        <w:t>10</w:t>
      </w:r>
      <w:r w:rsidR="00EB5900">
        <w:rPr>
          <w:rFonts w:eastAsia="Times New Roman" w:cs="Times New Roman"/>
          <w:color w:val="000000"/>
        </w:rPr>
        <w:t> </w:t>
      </w:r>
      <w:r w:rsidRPr="00A13AE7" w:rsidR="00207FBB">
        <w:rPr>
          <w:rFonts w:eastAsia="Times New Roman" w:cs="Times New Roman"/>
          <w:color w:val="000000"/>
        </w:rPr>
        <w:t xml:space="preserve">Cal.5th </w:t>
      </w:r>
      <w:r w:rsidR="00FD77DE">
        <w:rPr>
          <w:rFonts w:eastAsia="Times New Roman" w:cs="Times New Roman"/>
          <w:color w:val="000000"/>
        </w:rPr>
        <w:t>at p.</w:t>
      </w:r>
      <w:r w:rsidR="00EB5900">
        <w:rPr>
          <w:rFonts w:eastAsia="Times New Roman" w:cs="Times New Roman"/>
          <w:color w:val="000000"/>
        </w:rPr>
        <w:t> </w:t>
      </w:r>
      <w:r w:rsidRPr="00A13AE7" w:rsidR="00207FBB">
        <w:rPr>
          <w:rFonts w:eastAsia="Times New Roman" w:cs="Times New Roman"/>
          <w:color w:val="000000"/>
        </w:rPr>
        <w:t>429</w:t>
      </w:r>
      <w:r w:rsidRPr="00A178D8" w:rsidR="00207FBB">
        <w:t>)</w:t>
      </w:r>
      <w:r w:rsidR="00FB408D">
        <w:t xml:space="preserve">, Green 33’s equivocal questionnaire answer did, in </w:t>
      </w:r>
      <w:r w:rsidR="0057619E">
        <w:t xml:space="preserve">fact, supply a basis for a reasonable judgment by counsel that </w:t>
      </w:r>
      <w:r w:rsidR="007F078E">
        <w:t xml:space="preserve">he would likely be excused for cause. </w:t>
      </w:r>
      <w:r w:rsidR="006F5F53">
        <w:t xml:space="preserve"> Thus, based on what the Exhaustion Petition alleges, </w:t>
      </w:r>
      <w:r w:rsidR="00B32098">
        <w:t xml:space="preserve">we reject the argument that </w:t>
      </w:r>
      <w:r w:rsidR="00B802A8">
        <w:t>trial counsel made a blind</w:t>
      </w:r>
      <w:r w:rsidR="00336871">
        <w:t xml:space="preserve"> stipulation, heedless of whether</w:t>
      </w:r>
      <w:r w:rsidR="00197905">
        <w:t xml:space="preserve"> Green 33 was vulnerable to a motion to excuse for cause.</w:t>
      </w:r>
      <w:r w:rsidR="007F078E">
        <w:t xml:space="preserve"> </w:t>
      </w:r>
    </w:p>
    <w:p w:rsidR="00207FBB" w:rsidP="0041645F" w14:paraId="62194396" w14:textId="5E267F04">
      <w:pPr>
        <w:shd w:val="clear" w:color="auto" w:fill="FFFFFF"/>
        <w:rPr>
          <w:rFonts w:eastAsia="Times New Roman" w:cs="Arial"/>
          <w:color w:val="000000"/>
        </w:rPr>
      </w:pPr>
      <w:r>
        <w:rPr>
          <w:rFonts w:eastAsia="Times New Roman" w:cs="Arial"/>
          <w:color w:val="000000"/>
        </w:rPr>
        <w:t xml:space="preserve">On the record presented to the trial </w:t>
      </w:r>
      <w:r w:rsidR="00D9556E">
        <w:rPr>
          <w:rFonts w:eastAsia="Times New Roman" w:cs="Arial"/>
          <w:color w:val="000000"/>
        </w:rPr>
        <w:t xml:space="preserve">judge </w:t>
      </w:r>
      <w:r w:rsidR="00AC21F7">
        <w:rPr>
          <w:rFonts w:eastAsia="Times New Roman" w:cs="Arial"/>
          <w:color w:val="000000"/>
        </w:rPr>
        <w:t xml:space="preserve">during </w:t>
      </w:r>
      <w:r w:rsidR="002A2BE5">
        <w:rPr>
          <w:rFonts w:eastAsia="Times New Roman" w:cs="Arial"/>
          <w:color w:val="000000"/>
        </w:rPr>
        <w:t>voir dire, t</w:t>
      </w:r>
      <w:r w:rsidR="00D60C5C">
        <w:rPr>
          <w:rFonts w:eastAsia="Times New Roman" w:cs="Arial"/>
          <w:color w:val="000000"/>
        </w:rPr>
        <w:t>rial counsel may have had a</w:t>
      </w:r>
      <w:r>
        <w:rPr>
          <w:rFonts w:eastAsia="Times New Roman" w:cs="Arial"/>
          <w:color w:val="000000"/>
        </w:rPr>
        <w:t>n argument</w:t>
      </w:r>
      <w:r w:rsidR="002A2BE5">
        <w:rPr>
          <w:rFonts w:eastAsia="Times New Roman" w:cs="Arial"/>
          <w:color w:val="000000"/>
        </w:rPr>
        <w:t xml:space="preserve"> that Green 33</w:t>
      </w:r>
      <w:r w:rsidR="00D50FEB">
        <w:rPr>
          <w:rFonts w:eastAsia="Times New Roman" w:cs="Arial"/>
          <w:color w:val="000000"/>
        </w:rPr>
        <w:t xml:space="preserve"> was clear he could follow the law, </w:t>
      </w:r>
      <w:r w:rsidR="00A6362B">
        <w:rPr>
          <w:rFonts w:eastAsia="Times New Roman" w:cs="Arial"/>
          <w:color w:val="000000"/>
        </w:rPr>
        <w:t xml:space="preserve">even a strong argument, </w:t>
      </w:r>
      <w:r w:rsidR="00D50FEB">
        <w:rPr>
          <w:rFonts w:eastAsia="Times New Roman" w:cs="Arial"/>
          <w:color w:val="000000"/>
        </w:rPr>
        <w:t xml:space="preserve">but </w:t>
      </w:r>
      <w:r w:rsidR="00A6362B">
        <w:rPr>
          <w:rFonts w:eastAsia="Times New Roman" w:cs="Arial"/>
          <w:color w:val="000000"/>
        </w:rPr>
        <w:t>there w</w:t>
      </w:r>
      <w:r w:rsidR="005D4AC7">
        <w:rPr>
          <w:rFonts w:eastAsia="Times New Roman" w:cs="Arial"/>
          <w:color w:val="000000"/>
        </w:rPr>
        <w:t xml:space="preserve">ere </w:t>
      </w:r>
      <w:r w:rsidR="00A6362B">
        <w:rPr>
          <w:rFonts w:eastAsia="Times New Roman" w:cs="Arial"/>
          <w:color w:val="000000"/>
        </w:rPr>
        <w:t xml:space="preserve">some indications in the record pointing the other way. </w:t>
      </w:r>
      <w:r>
        <w:rPr>
          <w:rFonts w:eastAsia="Times New Roman" w:cs="Arial"/>
          <w:color w:val="000000"/>
        </w:rPr>
        <w:t xml:space="preserve"> </w:t>
      </w:r>
      <w:r w:rsidR="006E34B4">
        <w:rPr>
          <w:rFonts w:eastAsia="Times New Roman" w:cs="Arial"/>
          <w:color w:val="000000"/>
        </w:rPr>
        <w:t xml:space="preserve">Accordingly, we see no basis for a claim of constitutionally deficient performance here.  Nor do we see any basis for concluding there was prejudice, since we cannot rule out the possibility this juror would have been peremptorily challenged had the proper procedure been followed.  </w:t>
      </w:r>
      <w:r w:rsidR="00AD172F">
        <w:rPr>
          <w:rFonts w:eastAsia="Times New Roman" w:cs="Arial"/>
          <w:color w:val="000000"/>
        </w:rPr>
        <w:t>S</w:t>
      </w:r>
      <w:r w:rsidR="006E34B4">
        <w:rPr>
          <w:rFonts w:eastAsia="Times New Roman" w:cs="Arial"/>
          <w:color w:val="000000"/>
        </w:rPr>
        <w:t>ince there was no viable claim that trial counsel was ineffective, here again there was no basis to claim post-conviction counsel was ineffective.</w:t>
      </w:r>
      <w:r w:rsidR="00FB408D">
        <w:t xml:space="preserve"> </w:t>
      </w:r>
    </w:p>
    <w:p w:rsidR="0041645F" w:rsidRPr="003970BC" w:rsidP="0041645F" w14:paraId="0F2D901F" w14:textId="77777777">
      <w:pPr>
        <w:pStyle w:val="Heading3"/>
        <w:numPr>
          <w:ilvl w:val="0"/>
          <w:numId w:val="26"/>
        </w:numPr>
      </w:pPr>
      <w:r w:rsidRPr="003970BC">
        <w:t>Claim Seven</w:t>
      </w:r>
    </w:p>
    <w:p w:rsidR="0041645F" w:rsidP="0041645F" w14:paraId="61FEBACB" w14:textId="7B0D08F2">
      <w:pPr>
        <w:shd w:val="clear" w:color="auto" w:fill="FFFFFF"/>
        <w:rPr>
          <w:rFonts w:eastAsia="Times New Roman" w:cs="Arial"/>
          <w:color w:val="000000"/>
        </w:rPr>
      </w:pPr>
      <w:r>
        <w:rPr>
          <w:rFonts w:eastAsia="Times New Roman" w:cs="Arial"/>
          <w:color w:val="000000"/>
        </w:rPr>
        <w:t>Claim seven challenges the constitutionality of excluding jurors for cause due to their inability to set aside their views about the death penalty.  For prospective jurors with qualms about the death penalty, the ability of those jurors to set aside their personal views is the key issue during the death qualification</w:t>
      </w:r>
      <w:r w:rsidR="00312F26">
        <w:rPr>
          <w:rFonts w:eastAsia="Times New Roman" w:cs="Arial"/>
          <w:color w:val="000000"/>
        </w:rPr>
        <w:t xml:space="preserve"> phase of voir dire</w:t>
      </w:r>
      <w:r w:rsidR="005D0B7D">
        <w:rPr>
          <w:rFonts w:eastAsia="Times New Roman" w:cs="Arial"/>
          <w:color w:val="000000"/>
        </w:rPr>
        <w:t>, as indicated above</w:t>
      </w:r>
      <w:r w:rsidR="00312F26">
        <w:rPr>
          <w:rFonts w:eastAsia="Times New Roman" w:cs="Arial"/>
          <w:color w:val="000000"/>
        </w:rPr>
        <w:t xml:space="preserve">. </w:t>
      </w:r>
      <w:r>
        <w:rPr>
          <w:rFonts w:eastAsia="Times New Roman" w:cs="Arial"/>
          <w:color w:val="000000"/>
        </w:rPr>
        <w:t xml:space="preserve"> According to Seumanu, by sweeping from capital juries those who have “scruples” about the death penalty, death qualification stacks </w:t>
      </w:r>
      <w:r w:rsidR="00E91579">
        <w:rPr>
          <w:rFonts w:eastAsia="Times New Roman" w:cs="Arial"/>
          <w:color w:val="000000"/>
        </w:rPr>
        <w:t xml:space="preserve">capital </w:t>
      </w:r>
      <w:r>
        <w:rPr>
          <w:rFonts w:eastAsia="Times New Roman" w:cs="Arial"/>
          <w:color w:val="000000"/>
        </w:rPr>
        <w:t xml:space="preserve">juries </w:t>
      </w:r>
      <w:r>
        <w:rPr>
          <w:rFonts w:eastAsia="Times New Roman" w:cs="Arial"/>
          <w:i/>
          <w:iCs/>
          <w:color w:val="000000"/>
        </w:rPr>
        <w:t>at the guilt phase</w:t>
      </w:r>
      <w:r>
        <w:rPr>
          <w:rFonts w:eastAsia="Times New Roman" w:cs="Arial"/>
          <w:color w:val="000000"/>
        </w:rPr>
        <w:t xml:space="preserve"> with jurors who </w:t>
      </w:r>
      <w:r w:rsidR="002F0F67">
        <w:rPr>
          <w:rFonts w:eastAsia="Times New Roman" w:cs="Arial"/>
          <w:color w:val="000000"/>
        </w:rPr>
        <w:t xml:space="preserve">are </w:t>
      </w:r>
      <w:r>
        <w:rPr>
          <w:rFonts w:eastAsia="Times New Roman" w:cs="Arial"/>
          <w:color w:val="000000"/>
        </w:rPr>
        <w:t xml:space="preserve">more likely to convict than </w:t>
      </w:r>
      <w:r w:rsidR="00B4726B">
        <w:rPr>
          <w:rFonts w:eastAsia="Times New Roman" w:cs="Arial"/>
          <w:color w:val="000000"/>
        </w:rPr>
        <w:t>a</w:t>
      </w:r>
      <w:r>
        <w:rPr>
          <w:rFonts w:eastAsia="Times New Roman" w:cs="Arial"/>
          <w:color w:val="000000"/>
        </w:rPr>
        <w:t xml:space="preserve"> jury that is fairly representative of the community, serves as a proxy for racial and gender discrimination, and results in “conviction-prone” juries. </w:t>
      </w:r>
    </w:p>
    <w:p w:rsidR="0041645F" w:rsidP="0041645F" w14:paraId="0450ED2B" w14:textId="149859EC">
      <w:pPr>
        <w:shd w:val="clear" w:color="auto" w:fill="FFFFFF"/>
        <w:rPr>
          <w:rFonts w:eastAsia="Times New Roman" w:cs="Times New Roman"/>
          <w:color w:val="000000"/>
        </w:rPr>
      </w:pPr>
      <w:r>
        <w:rPr>
          <w:rFonts w:eastAsia="Times New Roman" w:cs="Arial"/>
          <w:color w:val="000000"/>
        </w:rPr>
        <w:t>This is not a new argument in capital litigation.  Were we writing on a clean slate, we would be inclined to give it close scrutiny.  But over the course of decades, the applicable law has become well-established, and we do not see that changing any time soon.  As Seumanu concedes, and as the trial court correctly observed, both the United States Supreme Court and the California Supreme Court have consistently upheld the constitutionality of the death qualification process against constitutional attack</w:t>
      </w:r>
      <w:r w:rsidR="00E91579">
        <w:rPr>
          <w:rFonts w:eastAsia="Times New Roman" w:cs="Arial"/>
          <w:color w:val="000000"/>
        </w:rPr>
        <w:t xml:space="preserve"> under federal and state constitutional standards</w:t>
      </w:r>
      <w:r>
        <w:rPr>
          <w:rFonts w:eastAsia="Times New Roman" w:cs="Arial"/>
          <w:color w:val="000000"/>
        </w:rPr>
        <w:t xml:space="preserve">.  (E.g., </w:t>
      </w:r>
      <w:r>
        <w:rPr>
          <w:rFonts w:eastAsia="Times New Roman" w:cs="Arial"/>
          <w:i/>
          <w:iCs/>
          <w:color w:val="000000"/>
        </w:rPr>
        <w:t>People v. Poore</w:t>
      </w:r>
      <w:r>
        <w:rPr>
          <w:rFonts w:eastAsia="Times New Roman" w:cs="Arial"/>
          <w:color w:val="000000"/>
        </w:rPr>
        <w:t xml:space="preserve"> (2022) 13</w:t>
      </w:r>
      <w:r w:rsidR="008F517F">
        <w:rPr>
          <w:rFonts w:eastAsia="Times New Roman" w:cs="Arial"/>
          <w:color w:val="000000"/>
        </w:rPr>
        <w:t> </w:t>
      </w:r>
      <w:r>
        <w:rPr>
          <w:rFonts w:eastAsia="Times New Roman" w:cs="Arial"/>
          <w:color w:val="000000"/>
        </w:rPr>
        <w:t>Cal.5th 266, 29</w:t>
      </w:r>
      <w:r w:rsidR="006970EB">
        <w:rPr>
          <w:rFonts w:eastAsia="Times New Roman" w:cs="Arial"/>
          <w:color w:val="000000"/>
        </w:rPr>
        <w:t>8</w:t>
      </w:r>
      <w:r w:rsidR="008F517F">
        <w:rPr>
          <w:rFonts w:eastAsia="Times New Roman" w:cs="Arial"/>
          <w:color w:val="000000"/>
        </w:rPr>
        <w:t>–</w:t>
      </w:r>
      <w:r w:rsidR="006970EB">
        <w:rPr>
          <w:rFonts w:eastAsia="Times New Roman" w:cs="Arial"/>
          <w:color w:val="000000"/>
        </w:rPr>
        <w:t>300</w:t>
      </w:r>
      <w:r>
        <w:rPr>
          <w:rFonts w:eastAsia="Times New Roman" w:cs="Arial"/>
          <w:color w:val="000000"/>
        </w:rPr>
        <w:t xml:space="preserve">; see </w:t>
      </w:r>
      <w:r>
        <w:rPr>
          <w:rFonts w:eastAsia="Times New Roman" w:cs="Times New Roman"/>
          <w:i/>
          <w:iCs/>
          <w:color w:val="3D3D3D"/>
          <w:bdr w:val="none" w:sz="0" w:space="0" w:color="auto" w:frame="1"/>
        </w:rPr>
        <w:t xml:space="preserve">Hovey v. </w:t>
      </w:r>
      <w:r w:rsidR="00A91E0C">
        <w:rPr>
          <w:rFonts w:eastAsia="Times New Roman" w:cs="Times New Roman"/>
          <w:i/>
          <w:iCs/>
          <w:color w:val="3D3D3D"/>
          <w:bdr w:val="none" w:sz="0" w:space="0" w:color="auto" w:frame="1"/>
        </w:rPr>
        <w:t>Superior Court</w:t>
      </w:r>
      <w:r>
        <w:rPr>
          <w:rFonts w:eastAsia="Times New Roman" w:cs="Times New Roman"/>
          <w:color w:val="000000"/>
        </w:rPr>
        <w:t xml:space="preserve"> (1980) 28</w:t>
      </w:r>
      <w:r w:rsidR="008F517F">
        <w:rPr>
          <w:rFonts w:eastAsia="Times New Roman" w:cs="Times New Roman"/>
          <w:color w:val="000000"/>
        </w:rPr>
        <w:t> </w:t>
      </w:r>
      <w:r>
        <w:rPr>
          <w:rFonts w:eastAsia="Times New Roman" w:cs="Times New Roman"/>
          <w:color w:val="000000"/>
        </w:rPr>
        <w:t>Cal.3d 1</w:t>
      </w:r>
      <w:r w:rsidR="00A539ED">
        <w:rPr>
          <w:rFonts w:eastAsia="Times New Roman" w:cs="Times New Roman"/>
          <w:color w:val="000000"/>
        </w:rPr>
        <w:t>, 1</w:t>
      </w:r>
      <w:r w:rsidR="00760F3C">
        <w:rPr>
          <w:rFonts w:eastAsia="Times New Roman" w:cs="Times New Roman"/>
          <w:color w:val="000000"/>
        </w:rPr>
        <w:t>9</w:t>
      </w:r>
      <w:r w:rsidR="008F517F">
        <w:rPr>
          <w:rFonts w:eastAsia="Times New Roman" w:cs="Times New Roman"/>
          <w:color w:val="000000"/>
        </w:rPr>
        <w:t>–</w:t>
      </w:r>
      <w:r w:rsidR="00760F3C">
        <w:rPr>
          <w:rFonts w:eastAsia="Times New Roman" w:cs="Times New Roman"/>
          <w:color w:val="000000"/>
        </w:rPr>
        <w:t>69</w:t>
      </w:r>
      <w:r>
        <w:rPr>
          <w:rFonts w:eastAsia="Times New Roman" w:cs="Times New Roman"/>
          <w:color w:val="000000"/>
        </w:rPr>
        <w:t xml:space="preserve">; </w:t>
      </w:r>
      <w:r>
        <w:rPr>
          <w:rFonts w:eastAsia="Times New Roman" w:cs="Times New Roman"/>
          <w:i/>
          <w:iCs/>
          <w:color w:val="3D3D3D"/>
          <w:bdr w:val="none" w:sz="0" w:space="0" w:color="auto" w:frame="1"/>
        </w:rPr>
        <w:t>Lockhart v. McCree</w:t>
      </w:r>
      <w:r>
        <w:rPr>
          <w:rFonts w:eastAsia="Times New Roman" w:cs="Times New Roman"/>
          <w:color w:val="000000"/>
        </w:rPr>
        <w:t xml:space="preserve"> (1986) 476</w:t>
      </w:r>
      <w:r w:rsidR="00821960">
        <w:rPr>
          <w:rFonts w:eastAsia="Times New Roman" w:cs="Times New Roman"/>
          <w:color w:val="000000"/>
        </w:rPr>
        <w:t> </w:t>
      </w:r>
      <w:r>
        <w:rPr>
          <w:rFonts w:eastAsia="Times New Roman" w:cs="Times New Roman"/>
          <w:color w:val="000000"/>
        </w:rPr>
        <w:t>U.S. 162</w:t>
      </w:r>
      <w:r w:rsidR="007D65CF">
        <w:rPr>
          <w:rFonts w:eastAsia="Times New Roman" w:cs="Times New Roman"/>
          <w:color w:val="000000"/>
        </w:rPr>
        <w:t>, 17</w:t>
      </w:r>
      <w:r w:rsidR="00C061D1">
        <w:rPr>
          <w:rFonts w:eastAsia="Times New Roman" w:cs="Times New Roman"/>
          <w:color w:val="000000"/>
        </w:rPr>
        <w:t>7</w:t>
      </w:r>
      <w:r w:rsidR="008F517F">
        <w:rPr>
          <w:rFonts w:eastAsia="Times New Roman" w:cs="Times New Roman"/>
          <w:color w:val="000000"/>
        </w:rPr>
        <w:t>–</w:t>
      </w:r>
      <w:r w:rsidR="007D65CF">
        <w:rPr>
          <w:rFonts w:eastAsia="Times New Roman" w:cs="Times New Roman"/>
          <w:color w:val="000000"/>
        </w:rPr>
        <w:t>1</w:t>
      </w:r>
      <w:r w:rsidR="006E52C8">
        <w:rPr>
          <w:rFonts w:eastAsia="Times New Roman" w:cs="Times New Roman"/>
          <w:color w:val="000000"/>
        </w:rPr>
        <w:t>7</w:t>
      </w:r>
      <w:r w:rsidR="007D65CF">
        <w:rPr>
          <w:rFonts w:eastAsia="Times New Roman" w:cs="Times New Roman"/>
          <w:color w:val="000000"/>
        </w:rPr>
        <w:t>8</w:t>
      </w:r>
      <w:r w:rsidR="00DE00A6">
        <w:rPr>
          <w:rFonts w:eastAsia="Times New Roman" w:cs="Times New Roman"/>
          <w:color w:val="000000"/>
        </w:rPr>
        <w:t>.</w:t>
      </w:r>
      <w:r>
        <w:rPr>
          <w:rFonts w:eastAsia="Times New Roman" w:cs="Times New Roman"/>
          <w:color w:val="000000"/>
        </w:rPr>
        <w:t xml:space="preserve">)  </w:t>
      </w:r>
    </w:p>
    <w:p w:rsidR="0041645F" w:rsidP="0041645F" w14:paraId="2FA741EB" w14:textId="77BD3903">
      <w:pPr>
        <w:shd w:val="clear" w:color="auto" w:fill="FFFFFF"/>
        <w:rPr>
          <w:rFonts w:eastAsia="Times New Roman" w:cs="Arial"/>
          <w:color w:val="000000"/>
        </w:rPr>
      </w:pPr>
      <w:r>
        <w:rPr>
          <w:rFonts w:eastAsia="Times New Roman" w:cs="Times New Roman"/>
          <w:color w:val="000000"/>
        </w:rPr>
        <w:t xml:space="preserve">Under the stringent pleading standard Seumanu faces here, claim seven fails to state </w:t>
      </w:r>
      <w:r w:rsidR="004D51F0">
        <w:rPr>
          <w:rFonts w:eastAsia="Times New Roman" w:cs="Times New Roman"/>
          <w:color w:val="000000"/>
        </w:rPr>
        <w:t xml:space="preserve">a </w:t>
      </w:r>
      <w:r>
        <w:rPr>
          <w:rFonts w:eastAsia="Times New Roman" w:cs="Times New Roman"/>
          <w:color w:val="000000"/>
        </w:rPr>
        <w:t xml:space="preserve">claim of ineffective assistance of counsel.  He </w:t>
      </w:r>
      <w:r>
        <w:rPr>
          <w:rFonts w:eastAsia="Times New Roman" w:cs="Arial"/>
          <w:color w:val="000000"/>
        </w:rPr>
        <w:t xml:space="preserve">cannot justify the belated presentation of an argument that, had he raised it, would have run contrary to long established precedent.  Because there was no substantial likelihood such an argument would have succeeded if raised in the Initial Petition, his ineffective assistance claim against his former post-conviction counsel for omitting this claim in the Initial Petition fails for lack of any showing of deficient performance or prejudice.  </w:t>
      </w:r>
    </w:p>
    <w:p w:rsidR="0041645F" w:rsidRPr="00DB0DB1" w:rsidP="0041645F" w14:paraId="3E98B029" w14:textId="77777777">
      <w:pPr>
        <w:pStyle w:val="Heading3"/>
        <w:numPr>
          <w:ilvl w:val="0"/>
          <w:numId w:val="26"/>
        </w:numPr>
      </w:pPr>
      <w:r w:rsidRPr="00DB0DB1">
        <w:t>Claim Eight</w:t>
      </w:r>
    </w:p>
    <w:p w:rsidR="0041645F" w:rsidP="0041645F" w14:paraId="02AADBEE" w14:textId="03034CA6">
      <w:pPr>
        <w:shd w:val="clear" w:color="auto" w:fill="FFFFFF"/>
        <w:rPr>
          <w:rFonts w:eastAsia="Times New Roman" w:cs="Arial"/>
          <w:color w:val="000000"/>
        </w:rPr>
      </w:pPr>
      <w:r>
        <w:rPr>
          <w:rFonts w:eastAsia="Times New Roman" w:cs="Arial"/>
          <w:color w:val="000000"/>
        </w:rPr>
        <w:t xml:space="preserve">This claim, a variation on claim seven, “alleges that the process of death qualifying juries violates the statutory and constitutional rights of prospective jurors in California.”   </w:t>
      </w:r>
    </w:p>
    <w:p w:rsidR="0041645F" w:rsidP="0041645F" w14:paraId="6FC3F46D" w14:textId="30A02DAF">
      <w:pPr>
        <w:shd w:val="clear" w:color="auto" w:fill="FFFFFF"/>
        <w:rPr>
          <w:rFonts w:eastAsia="Times New Roman" w:cs="Arial"/>
          <w:color w:val="000000"/>
        </w:rPr>
      </w:pPr>
      <w:r>
        <w:rPr>
          <w:rFonts w:eastAsia="Times New Roman" w:cs="Arial"/>
          <w:color w:val="000000"/>
        </w:rPr>
        <w:t xml:space="preserve">As the trial court recognized, claim eight adds a novel dimension to claim seven by focusing on the rights of scrupled jurors to serve on capital juries.  Seumanu cites no precedent supporting the theory, and provides no proof that reasonably competent counsel would have objected to the death qualification process in his case on this ground, at trial or in the Initial Petition.  </w:t>
      </w:r>
      <w:r>
        <w:rPr>
          <w:rFonts w:eastAsia="Times New Roman" w:cs="Times New Roman"/>
          <w:color w:val="000000"/>
        </w:rPr>
        <w:t xml:space="preserve">Nor has he made </w:t>
      </w:r>
      <w:r w:rsidR="00F471C2">
        <w:rPr>
          <w:rFonts w:eastAsia="Times New Roman" w:cs="Times New Roman"/>
          <w:color w:val="000000"/>
        </w:rPr>
        <w:t>a</w:t>
      </w:r>
      <w:r>
        <w:rPr>
          <w:rFonts w:eastAsia="Times New Roman" w:cs="Times New Roman"/>
          <w:color w:val="000000"/>
        </w:rPr>
        <w:t xml:space="preserve"> showing of any substantial likelihood the legal argument supporting the claim would have met with any success at either </w:t>
      </w:r>
      <w:r w:rsidR="00F471C2">
        <w:rPr>
          <w:rFonts w:eastAsia="Times New Roman" w:cs="Times New Roman"/>
          <w:color w:val="000000"/>
        </w:rPr>
        <w:t xml:space="preserve">of </w:t>
      </w:r>
      <w:r>
        <w:rPr>
          <w:rFonts w:eastAsia="Times New Roman" w:cs="Times New Roman"/>
          <w:color w:val="000000"/>
        </w:rPr>
        <w:t xml:space="preserve">those prior points in time, or now for that matter. </w:t>
      </w:r>
      <w:r>
        <w:rPr>
          <w:rFonts w:eastAsia="Times New Roman" w:cs="Arial"/>
          <w:color w:val="000000"/>
        </w:rPr>
        <w:t xml:space="preserve"> </w:t>
      </w:r>
    </w:p>
    <w:p w:rsidR="0041645F" w:rsidP="0041645F" w14:paraId="4B84F7EE" w14:textId="006B7DB8">
      <w:pPr>
        <w:shd w:val="clear" w:color="auto" w:fill="FFFFFF"/>
        <w:rPr>
          <w:rFonts w:eastAsia="Times New Roman" w:cs="Arial"/>
          <w:color w:val="000000"/>
        </w:rPr>
      </w:pPr>
      <w:r>
        <w:rPr>
          <w:rFonts w:eastAsia="Times New Roman" w:cs="Arial"/>
          <w:color w:val="000000"/>
        </w:rPr>
        <w:t xml:space="preserve">Accordingly, we conclude that </w:t>
      </w:r>
      <w:r>
        <w:rPr>
          <w:rFonts w:eastAsia="Times New Roman" w:cs="Times New Roman"/>
          <w:color w:val="000000"/>
        </w:rPr>
        <w:t xml:space="preserve">Seumanu’s attempt to argue ineffective assistance of counsel as a basis for deeming claim eight non-successive fails on the same grounds claim seven fails.  </w:t>
      </w:r>
    </w:p>
    <w:p w:rsidR="0041645F" w:rsidRPr="006C5BB6" w:rsidP="0041645F" w14:paraId="47283975" w14:textId="10DC3F82">
      <w:pPr>
        <w:pStyle w:val="Heading3"/>
        <w:numPr>
          <w:ilvl w:val="0"/>
          <w:numId w:val="26"/>
        </w:numPr>
      </w:pPr>
      <w:r w:rsidRPr="006C5BB6">
        <w:t xml:space="preserve">Claim Nine </w:t>
      </w:r>
    </w:p>
    <w:p w:rsidR="0041645F" w:rsidP="0041645F" w14:paraId="6D3108BB" w14:textId="77407DCF">
      <w:pPr>
        <w:shd w:val="clear" w:color="auto" w:fill="FFFFFF"/>
        <w:rPr>
          <w:rFonts w:eastAsia="Times New Roman" w:cs="Arial"/>
          <w:color w:val="000000"/>
        </w:rPr>
      </w:pPr>
      <w:r>
        <w:rPr>
          <w:rFonts w:eastAsia="Times New Roman" w:cs="Arial"/>
          <w:color w:val="000000"/>
        </w:rPr>
        <w:t xml:space="preserve">Seumanu’s ninth claim, another variation on claim seven, mounts a frontal legal attack on the standard the United States Supreme Court adopted </w:t>
      </w:r>
      <w:r w:rsidR="00B542E1">
        <w:rPr>
          <w:rFonts w:eastAsia="Times New Roman" w:cs="Arial"/>
          <w:color w:val="000000"/>
        </w:rPr>
        <w:t>40</w:t>
      </w:r>
      <w:r>
        <w:rPr>
          <w:rFonts w:eastAsia="Times New Roman" w:cs="Arial"/>
          <w:color w:val="000000"/>
        </w:rPr>
        <w:t xml:space="preserve"> years ago for evaluating excusals for cause in death qualification. </w:t>
      </w:r>
    </w:p>
    <w:p w:rsidR="0041645F" w:rsidP="0041645F" w14:paraId="0D28D5DD" w14:textId="190210E1">
      <w:pPr>
        <w:shd w:val="clear" w:color="auto" w:fill="FFFFFF"/>
        <w:rPr>
          <w:rFonts w:eastAsia="Times New Roman" w:cs="Times New Roman"/>
          <w:color w:val="000000"/>
        </w:rPr>
      </w:pPr>
      <w:r>
        <w:rPr>
          <w:rFonts w:eastAsia="Times New Roman" w:cs="Arial"/>
          <w:color w:val="000000"/>
        </w:rPr>
        <w:t>The novelty of this argument is that it relies on what has come to be called an “originalist” approach to constitutional argument.  Specifically, Seumanu argues, t</w:t>
      </w:r>
      <w:r>
        <w:rPr>
          <w:rFonts w:eastAsia="Times New Roman" w:cs="Times New Roman"/>
          <w:color w:val="000000"/>
        </w:rPr>
        <w:t xml:space="preserve">he </w:t>
      </w:r>
      <w:r w:rsidR="006C5BB6">
        <w:rPr>
          <w:rFonts w:eastAsia="Times New Roman" w:cs="Times New Roman"/>
          <w:color w:val="000000"/>
        </w:rPr>
        <w:t>“</w:t>
      </w:r>
      <w:r>
        <w:rPr>
          <w:rFonts w:eastAsia="Times New Roman" w:cs="Times New Roman"/>
          <w:color w:val="000000"/>
        </w:rPr>
        <w:t>substantial impairment</w:t>
      </w:r>
      <w:r w:rsidR="006C5BB6">
        <w:rPr>
          <w:rFonts w:eastAsia="Times New Roman" w:cs="Times New Roman"/>
          <w:color w:val="000000"/>
        </w:rPr>
        <w:t>”</w:t>
      </w:r>
      <w:r>
        <w:rPr>
          <w:rFonts w:eastAsia="Times New Roman" w:cs="Times New Roman"/>
          <w:color w:val="000000"/>
        </w:rPr>
        <w:t xml:space="preserve"> standard for excluding potential jurors in capital cases, developed by the United </w:t>
      </w:r>
      <w:r w:rsidR="00E35CFD">
        <w:rPr>
          <w:rFonts w:eastAsia="Times New Roman" w:cs="Times New Roman"/>
          <w:color w:val="000000"/>
        </w:rPr>
        <w:t xml:space="preserve">States </w:t>
      </w:r>
      <w:r>
        <w:rPr>
          <w:rFonts w:eastAsia="Times New Roman" w:cs="Times New Roman"/>
          <w:color w:val="000000"/>
        </w:rPr>
        <w:t xml:space="preserve">Supreme Court under a Sixth Amendment framework enunciated in </w:t>
      </w:r>
      <w:r>
        <w:rPr>
          <w:rFonts w:eastAsia="Times New Roman" w:cs="Times New Roman"/>
          <w:i/>
          <w:iCs/>
          <w:color w:val="3D3D3D"/>
          <w:bdr w:val="none" w:sz="0" w:space="0" w:color="auto" w:frame="1"/>
        </w:rPr>
        <w:t>Adams v. Texas</w:t>
      </w:r>
      <w:r>
        <w:rPr>
          <w:rFonts w:eastAsia="Times New Roman" w:cs="Times New Roman"/>
          <w:color w:val="000000"/>
        </w:rPr>
        <w:t xml:space="preserve"> (1980) 448</w:t>
      </w:r>
      <w:r w:rsidR="004A794E">
        <w:rPr>
          <w:rFonts w:eastAsia="Times New Roman" w:cs="Times New Roman"/>
          <w:color w:val="000000"/>
        </w:rPr>
        <w:t> </w:t>
      </w:r>
      <w:r>
        <w:rPr>
          <w:rFonts w:eastAsia="Times New Roman" w:cs="Times New Roman"/>
          <w:color w:val="000000"/>
        </w:rPr>
        <w:t xml:space="preserve">U.S. 38 is inconsistent with current Sixth Amendment standards established in a series of later cases </w:t>
      </w:r>
      <w:r w:rsidR="00C51366">
        <w:rPr>
          <w:rFonts w:eastAsia="Times New Roman" w:cs="Times New Roman"/>
          <w:color w:val="000000"/>
        </w:rPr>
        <w:t>including</w:t>
      </w:r>
      <w:r>
        <w:rPr>
          <w:rFonts w:eastAsia="Times New Roman" w:cs="Times New Roman"/>
          <w:color w:val="000000"/>
        </w:rPr>
        <w:t xml:space="preserve"> </w:t>
      </w:r>
      <w:r>
        <w:rPr>
          <w:rFonts w:cs="TimesNewRomanPS-ItalicMT"/>
          <w:i/>
          <w:iCs/>
        </w:rPr>
        <w:t>Jones v. United States (</w:t>
      </w:r>
      <w:r>
        <w:rPr>
          <w:rFonts w:cs="TimesNewRomanPS-ItalicMT"/>
        </w:rPr>
        <w:t>1999) 526</w:t>
      </w:r>
      <w:r w:rsidR="004A794E">
        <w:rPr>
          <w:rFonts w:cs="TimesNewRomanPS-ItalicMT"/>
        </w:rPr>
        <w:t> </w:t>
      </w:r>
      <w:r>
        <w:rPr>
          <w:rFonts w:cs="TimesNewRomanPS-ItalicMT"/>
        </w:rPr>
        <w:t xml:space="preserve">U.S. 227, </w:t>
      </w:r>
      <w:r>
        <w:rPr>
          <w:rFonts w:cs="TimesNewRomanPS-ItalicMT"/>
          <w:i/>
          <w:iCs/>
        </w:rPr>
        <w:t xml:space="preserve">Apprendi v. New Jersey </w:t>
      </w:r>
      <w:r>
        <w:rPr>
          <w:rFonts w:cs="TimesNewRomanPSMT"/>
        </w:rPr>
        <w:t>(2000) 530</w:t>
      </w:r>
      <w:r w:rsidR="004A794E">
        <w:rPr>
          <w:rFonts w:cs="TimesNewRomanPSMT"/>
        </w:rPr>
        <w:t> </w:t>
      </w:r>
      <w:r>
        <w:rPr>
          <w:rFonts w:cs="TimesNewRomanPSMT"/>
        </w:rPr>
        <w:t xml:space="preserve">U.S. 466, </w:t>
      </w:r>
      <w:r>
        <w:rPr>
          <w:rFonts w:cs="TimesNewRomanPSMT"/>
          <w:i/>
          <w:iCs/>
        </w:rPr>
        <w:t>Ring v. Arizona</w:t>
      </w:r>
      <w:r>
        <w:rPr>
          <w:rFonts w:cs="TimesNewRomanPSMT"/>
        </w:rPr>
        <w:t xml:space="preserve"> (2002) 536</w:t>
      </w:r>
      <w:r w:rsidR="00A56B48">
        <w:rPr>
          <w:rFonts w:cs="TimesNewRomanPSMT"/>
        </w:rPr>
        <w:t> </w:t>
      </w:r>
      <w:r>
        <w:rPr>
          <w:rFonts w:cs="TimesNewRomanPSMT"/>
        </w:rPr>
        <w:t xml:space="preserve">U.S. 584, </w:t>
      </w:r>
      <w:r>
        <w:rPr>
          <w:rFonts w:cs="TimesNewRomanPS-ItalicMT"/>
          <w:i/>
          <w:iCs/>
        </w:rPr>
        <w:t xml:space="preserve">Crawford v. Washington </w:t>
      </w:r>
      <w:r>
        <w:rPr>
          <w:rFonts w:cs="TimesNewRomanPSMT"/>
        </w:rPr>
        <w:t>(2004) 541</w:t>
      </w:r>
      <w:r w:rsidR="00A56B48">
        <w:rPr>
          <w:rFonts w:cs="TimesNewRomanPSMT"/>
        </w:rPr>
        <w:t> </w:t>
      </w:r>
      <w:r>
        <w:rPr>
          <w:rFonts w:cs="TimesNewRomanPSMT"/>
        </w:rPr>
        <w:t xml:space="preserve">U.S. 36, and </w:t>
      </w:r>
      <w:r>
        <w:rPr>
          <w:rFonts w:eastAsia="Times New Roman" w:cs="Times New Roman"/>
          <w:i/>
          <w:iCs/>
          <w:color w:val="3D3D3D"/>
          <w:bdr w:val="none" w:sz="0" w:space="0" w:color="auto" w:frame="1"/>
        </w:rPr>
        <w:t>Blakely v. Washington</w:t>
      </w:r>
      <w:r>
        <w:rPr>
          <w:rFonts w:eastAsia="Times New Roman" w:cs="Times New Roman"/>
          <w:color w:val="000000"/>
        </w:rPr>
        <w:t xml:space="preserve"> (2004) 542</w:t>
      </w:r>
      <w:r w:rsidR="00A56B48">
        <w:rPr>
          <w:rFonts w:eastAsia="Times New Roman" w:cs="Times New Roman"/>
          <w:color w:val="000000"/>
        </w:rPr>
        <w:t> </w:t>
      </w:r>
      <w:r>
        <w:rPr>
          <w:rFonts w:eastAsia="Times New Roman" w:cs="Times New Roman"/>
          <w:color w:val="000000"/>
        </w:rPr>
        <w:t xml:space="preserve">U.S. 296, as well as with common law principles of jury selection as they were understood at the time of the founding. </w:t>
      </w:r>
    </w:p>
    <w:p w:rsidR="0041645F" w:rsidP="0041645F" w14:paraId="72A1305C" w14:textId="5BA6D1CF">
      <w:pPr>
        <w:shd w:val="clear" w:color="auto" w:fill="FFFFFF"/>
        <w:rPr>
          <w:rFonts w:eastAsia="Times New Roman" w:cs="Times New Roman"/>
          <w:color w:val="000000"/>
        </w:rPr>
      </w:pPr>
      <w:r>
        <w:rPr>
          <w:rFonts w:eastAsia="Times New Roman" w:cs="Times New Roman"/>
          <w:color w:val="000000"/>
        </w:rPr>
        <w:t>The trial court was unpersuaded</w:t>
      </w:r>
      <w:r>
        <w:t xml:space="preserve"> and so are we. </w:t>
      </w:r>
      <w:r w:rsidR="008B5C5C">
        <w:t xml:space="preserve"> </w:t>
      </w:r>
      <w:r>
        <w:rPr>
          <w:rFonts w:eastAsia="Times New Roman" w:cs="Times New Roman"/>
          <w:color w:val="000000"/>
        </w:rPr>
        <w:t xml:space="preserve">In light of well-known </w:t>
      </w:r>
      <w:r w:rsidR="008B5C5C">
        <w:rPr>
          <w:rFonts w:eastAsia="Times New Roman" w:cs="Times New Roman"/>
          <w:color w:val="000000"/>
        </w:rPr>
        <w:t xml:space="preserve">recent </w:t>
      </w:r>
      <w:r>
        <w:rPr>
          <w:rFonts w:eastAsia="Times New Roman" w:cs="Times New Roman"/>
          <w:color w:val="000000"/>
        </w:rPr>
        <w:t xml:space="preserve">trends in the high court’s constitutional law jurisprudence, it may be an interesting question whether Seumanu might someday gain traction with an argument that </w:t>
      </w:r>
      <w:r>
        <w:rPr>
          <w:rFonts w:eastAsia="Times New Roman" w:cs="Times New Roman"/>
          <w:i/>
          <w:iCs/>
          <w:color w:val="3D3D3D"/>
          <w:bdr w:val="none" w:sz="0" w:space="0" w:color="auto" w:frame="1"/>
        </w:rPr>
        <w:t>Lockhart v. McCree</w:t>
      </w:r>
      <w:r>
        <w:rPr>
          <w:rFonts w:eastAsia="Times New Roman" w:cs="Times New Roman"/>
          <w:color w:val="000000"/>
        </w:rPr>
        <w:t xml:space="preserve"> should be revisited on “originalist” grounds.  But from our perspective as an intermediate state court of review, it is sufficient to note that our Supreme Court has specifically rejected the theory.  (See </w:t>
      </w:r>
      <w:r>
        <w:rPr>
          <w:rFonts w:eastAsia="Times New Roman" w:cs="Arial"/>
          <w:i/>
          <w:iCs/>
          <w:color w:val="000000"/>
        </w:rPr>
        <w:t>People v. Poore</w:t>
      </w:r>
      <w:r>
        <w:rPr>
          <w:rFonts w:eastAsia="Times New Roman" w:cs="Arial"/>
          <w:color w:val="000000"/>
        </w:rPr>
        <w:t xml:space="preserve">, </w:t>
      </w:r>
      <w:r>
        <w:rPr>
          <w:rFonts w:eastAsia="Times New Roman" w:cs="Arial"/>
          <w:i/>
          <w:iCs/>
          <w:color w:val="000000"/>
        </w:rPr>
        <w:t>supra</w:t>
      </w:r>
      <w:r>
        <w:rPr>
          <w:rFonts w:eastAsia="Times New Roman" w:cs="Arial"/>
          <w:color w:val="000000"/>
        </w:rPr>
        <w:t>, 13</w:t>
      </w:r>
      <w:r w:rsidR="005F5DC7">
        <w:rPr>
          <w:rFonts w:eastAsia="Times New Roman" w:cs="Arial"/>
          <w:color w:val="000000"/>
        </w:rPr>
        <w:t> </w:t>
      </w:r>
      <w:r>
        <w:rPr>
          <w:rFonts w:eastAsia="Times New Roman" w:cs="Arial"/>
          <w:color w:val="000000"/>
        </w:rPr>
        <w:t>Cal.5th at p.</w:t>
      </w:r>
      <w:r w:rsidR="005F5DC7">
        <w:rPr>
          <w:rFonts w:eastAsia="Times New Roman" w:cs="Arial"/>
          <w:color w:val="000000"/>
        </w:rPr>
        <w:t> </w:t>
      </w:r>
      <w:r>
        <w:rPr>
          <w:rFonts w:eastAsia="Times New Roman" w:cs="Arial"/>
          <w:color w:val="000000"/>
        </w:rPr>
        <w:t xml:space="preserve">299.)  And in any event, </w:t>
      </w:r>
      <w:r>
        <w:rPr>
          <w:rFonts w:eastAsia="Times New Roman" w:cs="Times New Roman"/>
          <w:color w:val="000000"/>
        </w:rPr>
        <w:t xml:space="preserve">however creative Seumanu’s “originalist” argument is today, his counsel can hardly be faulted for failing to advance it at trial or in 2012 when he filed the Initial Petition.  Thus, we conclude the ineffective assistance of counsel argument in claim nine fails for the same reasons claims seven and eight fail. </w:t>
      </w:r>
    </w:p>
    <w:p w:rsidR="0041645F" w:rsidP="00791226" w14:paraId="2CC938A7" w14:textId="43D6C30F">
      <w:pPr>
        <w:pStyle w:val="Heading2"/>
        <w:numPr>
          <w:ilvl w:val="0"/>
          <w:numId w:val="29"/>
        </w:numPr>
      </w:pPr>
      <w:r>
        <w:t xml:space="preserve">Constitutionality of Section 1509(d) </w:t>
      </w:r>
      <w:r w:rsidR="004D34E5">
        <w:t>A</w:t>
      </w:r>
      <w:r>
        <w:t>s Applied</w:t>
      </w:r>
    </w:p>
    <w:p w:rsidR="00BF3621" w:rsidP="00BF3621" w14:paraId="6DEC864A" w14:textId="025C4F49">
      <w:pPr>
        <w:rPr>
          <w:rFonts w:eastAsia="Times New Roman" w:cs="Arial"/>
          <w:color w:val="000000"/>
        </w:rPr>
      </w:pPr>
      <w:r>
        <w:t>The</w:t>
      </w:r>
      <w:r w:rsidR="009F68EF">
        <w:t>re</w:t>
      </w:r>
      <w:r>
        <w:t xml:space="preserve"> is one final issue to consider, a constitutional question that is best framed by returning briefly to our background discussion of</w:t>
      </w:r>
      <w:r w:rsidR="00954BBC">
        <w:t xml:space="preserve"> </w:t>
      </w:r>
      <w:r w:rsidRPr="009F68EF" w:rsidR="00954BBC">
        <w:rPr>
          <w:i/>
          <w:iCs/>
        </w:rPr>
        <w:t>Friend I</w:t>
      </w:r>
      <w:r w:rsidR="00954BBC">
        <w:t xml:space="preserve"> and the traditional two-step </w:t>
      </w:r>
      <w:r w:rsidR="00114BCB">
        <w:t xml:space="preserve">framework for </w:t>
      </w:r>
      <w:r w:rsidR="00954BBC">
        <w:t>analy</w:t>
      </w:r>
      <w:r w:rsidR="00114BCB">
        <w:t xml:space="preserve">zing </w:t>
      </w:r>
      <w:r w:rsidR="00954BBC">
        <w:t>successiveness issues</w:t>
      </w:r>
      <w:r w:rsidR="00114BCB">
        <w:t xml:space="preserve"> that it adopted</w:t>
      </w:r>
      <w:r w:rsidR="00B469E0">
        <w:t>.</w:t>
      </w:r>
      <w:r w:rsidR="00387D1B">
        <w:t xml:space="preserve">  </w:t>
      </w:r>
      <w:r w:rsidR="00387D1B">
        <w:rPr>
          <w:rFonts w:eastAsia="Times New Roman" w:cs="Arial"/>
          <w:color w:val="000000"/>
        </w:rPr>
        <w:t>Recall that, even in the case of successive habeas claims under section 1509(d) there are two narrow circumstances—actual innocence and categorical ineligibility for the death penalty—in which such claims will be entertained on the merits.</w:t>
      </w:r>
    </w:p>
    <w:p w:rsidR="00387D1B" w:rsidRPr="00BF3621" w:rsidP="001C7599" w14:paraId="0A800A93" w14:textId="52FD4DF3">
      <w:pPr>
        <w:shd w:val="clear" w:color="auto" w:fill="FFFFFF"/>
      </w:pPr>
      <w:r>
        <w:rPr>
          <w:rFonts w:eastAsia="Times New Roman" w:cs="Arial"/>
          <w:color w:val="000000"/>
        </w:rPr>
        <w:t>Seumanu concedes that this is not a case of actual innocence or ineligibility for the death penalty and thus does not attempt to argue that he clears the second hurdle in section 1509(d), but he does contend that, to t</w:t>
      </w:r>
      <w:r w:rsidR="00510B86">
        <w:rPr>
          <w:rFonts w:eastAsia="Times New Roman" w:cs="Arial"/>
          <w:color w:val="000000"/>
        </w:rPr>
        <w:t xml:space="preserve">he extent this </w:t>
      </w:r>
      <w:r>
        <w:rPr>
          <w:rFonts w:eastAsia="Times New Roman" w:cs="Arial"/>
          <w:color w:val="000000"/>
        </w:rPr>
        <w:t>statu</w:t>
      </w:r>
      <w:r w:rsidR="007E6174">
        <w:rPr>
          <w:rFonts w:eastAsia="Times New Roman" w:cs="Arial"/>
          <w:color w:val="000000"/>
        </w:rPr>
        <w:t>t</w:t>
      </w:r>
      <w:r>
        <w:rPr>
          <w:rFonts w:eastAsia="Times New Roman" w:cs="Arial"/>
          <w:color w:val="000000"/>
        </w:rPr>
        <w:t xml:space="preserve">e narrows the second step of </w:t>
      </w:r>
      <w:r>
        <w:rPr>
          <w:rFonts w:eastAsia="Times New Roman" w:cs="Arial"/>
          <w:i/>
          <w:iCs/>
          <w:color w:val="000000"/>
        </w:rPr>
        <w:t>Clark</w:t>
      </w:r>
      <w:r>
        <w:rPr>
          <w:rFonts w:eastAsia="Times New Roman" w:cs="Arial"/>
          <w:color w:val="000000"/>
        </w:rPr>
        <w:t xml:space="preserve">’s miscarriage of justice exception, it is unconstitutional.  </w:t>
      </w:r>
      <w:r w:rsidR="00465360">
        <w:rPr>
          <w:rFonts w:eastAsia="Times New Roman" w:cs="Arial"/>
          <w:color w:val="000000"/>
        </w:rPr>
        <w:t>T</w:t>
      </w:r>
      <w:r>
        <w:rPr>
          <w:rFonts w:eastAsia="Times New Roman" w:cs="Arial"/>
          <w:color w:val="000000"/>
        </w:rPr>
        <w:t xml:space="preserve">he trial court addressed </w:t>
      </w:r>
      <w:r w:rsidR="00465360">
        <w:rPr>
          <w:rFonts w:eastAsia="Times New Roman" w:cs="Arial"/>
          <w:color w:val="000000"/>
        </w:rPr>
        <w:t xml:space="preserve">Seumanu’s </w:t>
      </w:r>
      <w:r>
        <w:rPr>
          <w:rFonts w:eastAsia="Times New Roman" w:cs="Arial"/>
          <w:color w:val="000000"/>
        </w:rPr>
        <w:t>constitutional attack on section 1509(d)</w:t>
      </w:r>
      <w:r w:rsidR="00465360">
        <w:rPr>
          <w:rFonts w:eastAsia="Times New Roman" w:cs="Arial"/>
          <w:color w:val="000000"/>
        </w:rPr>
        <w:t xml:space="preserve"> on this basis</w:t>
      </w:r>
      <w:r>
        <w:rPr>
          <w:rFonts w:eastAsia="Times New Roman" w:cs="Arial"/>
          <w:color w:val="000000"/>
        </w:rPr>
        <w:t>, and rejected the argument</w:t>
      </w:r>
      <w:r>
        <w:t xml:space="preserve">.  In his proposed appeal, Seumanu seeks review of that ruling.  </w:t>
      </w:r>
      <w:r w:rsidR="00F46B36">
        <w:t>Even if the Exhaustion Petition was properly deemed successive, Seumanu argues, he contends he is entitled to a COA on the constitutionality of section</w:t>
      </w:r>
      <w:r w:rsidR="00284D9F">
        <w:t> </w:t>
      </w:r>
      <w:r w:rsidR="00F46B36">
        <w:t>1509(d).</w:t>
      </w:r>
    </w:p>
    <w:p w:rsidR="0041645F" w:rsidRPr="009E6A4E" w:rsidP="00BB5C86" w14:paraId="1BAD1CDF" w14:textId="3ECFAD40">
      <w:pPr>
        <w:pStyle w:val="Heading3"/>
      </w:pPr>
      <w:r w:rsidRPr="009E6A4E">
        <w:t xml:space="preserve">Appealability </w:t>
      </w:r>
    </w:p>
    <w:p w:rsidR="0041645F" w:rsidP="0041645F" w14:paraId="44C81715" w14:textId="217644B5">
      <w:pPr>
        <w:shd w:val="clear" w:color="auto" w:fill="FFFFFF"/>
        <w:rPr>
          <w:rFonts w:eastAsia="Times New Roman" w:cs="Arial"/>
          <w:color w:val="000000"/>
        </w:rPr>
      </w:pPr>
      <w:r>
        <w:rPr>
          <w:rFonts w:eastAsia="Times New Roman" w:cs="Arial"/>
          <w:color w:val="000000"/>
        </w:rPr>
        <w:t xml:space="preserve">The </w:t>
      </w:r>
      <w:r w:rsidR="003B1C74">
        <w:rPr>
          <w:rFonts w:eastAsia="Times New Roman" w:cs="Arial"/>
          <w:color w:val="000000"/>
        </w:rPr>
        <w:t>as</w:t>
      </w:r>
      <w:r w:rsidR="00DB200A">
        <w:rPr>
          <w:rFonts w:eastAsia="Times New Roman" w:cs="Arial"/>
          <w:color w:val="000000"/>
        </w:rPr>
        <w:t>-</w:t>
      </w:r>
      <w:r w:rsidR="003B1C74">
        <w:rPr>
          <w:rFonts w:eastAsia="Times New Roman" w:cs="Arial"/>
          <w:color w:val="000000"/>
        </w:rPr>
        <w:t xml:space="preserve">applied </w:t>
      </w:r>
      <w:r>
        <w:rPr>
          <w:rFonts w:eastAsia="Times New Roman" w:cs="Arial"/>
          <w:color w:val="000000"/>
        </w:rPr>
        <w:t xml:space="preserve">constitutional </w:t>
      </w:r>
      <w:r w:rsidR="003B1C74">
        <w:rPr>
          <w:rFonts w:eastAsia="Times New Roman" w:cs="Arial"/>
          <w:color w:val="000000"/>
        </w:rPr>
        <w:t xml:space="preserve">challenge </w:t>
      </w:r>
      <w:r>
        <w:rPr>
          <w:rFonts w:eastAsia="Times New Roman" w:cs="Arial"/>
          <w:color w:val="000000"/>
        </w:rPr>
        <w:t xml:space="preserve">Seumanu asks us to address cannot be fairly characterized as the </w:t>
      </w:r>
      <w:r>
        <w:rPr>
          <w:rFonts w:eastAsia="Times New Roman" w:cs="Times New Roman"/>
          <w:color w:val="000000"/>
        </w:rPr>
        <w:t>“successiveness question itsel</w:t>
      </w:r>
      <w:r w:rsidRPr="00E85982">
        <w:rPr>
          <w:rFonts w:eastAsia="Times New Roman" w:cs="Times New Roman"/>
          <w:color w:val="000000"/>
          <w:spacing w:val="20"/>
        </w:rPr>
        <w:t>f”</w:t>
      </w:r>
      <w:r>
        <w:rPr>
          <w:rFonts w:eastAsia="Times New Roman" w:cs="Times New Roman"/>
          <w:color w:val="000000"/>
        </w:rPr>
        <w:t xml:space="preserve">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EE38E5">
        <w:rPr>
          <w:rFonts w:eastAsia="Times New Roman" w:cs="Times New Roman"/>
          <w:color w:val="000000"/>
        </w:rPr>
        <w:t> </w:t>
      </w:r>
      <w:r>
        <w:rPr>
          <w:rFonts w:eastAsia="Times New Roman" w:cs="Times New Roman"/>
          <w:color w:val="000000"/>
        </w:rPr>
        <w:t>Cal.5</w:t>
      </w:r>
      <w:r w:rsidRPr="00BB5C86">
        <w:rPr>
          <w:rFonts w:eastAsia="Times New Roman" w:cs="Times New Roman"/>
          <w:color w:val="000000"/>
        </w:rPr>
        <w:t>th</w:t>
      </w:r>
      <w:r>
        <w:rPr>
          <w:rFonts w:eastAsia="Times New Roman" w:cs="Times New Roman"/>
          <w:color w:val="000000"/>
        </w:rPr>
        <w:t xml:space="preserve"> at p.</w:t>
      </w:r>
      <w:r w:rsidR="00EE38E5">
        <w:rPr>
          <w:rFonts w:eastAsia="Times New Roman" w:cs="Times New Roman"/>
          <w:color w:val="000000"/>
        </w:rPr>
        <w:t> </w:t>
      </w:r>
      <w:r>
        <w:rPr>
          <w:rFonts w:eastAsia="Times New Roman" w:cs="Times New Roman"/>
          <w:color w:val="000000"/>
        </w:rPr>
        <w:t xml:space="preserve">746), which is the discrete issue the </w:t>
      </w:r>
      <w:r>
        <w:rPr>
          <w:rFonts w:eastAsia="Times New Roman" w:cs="Times New Roman"/>
          <w:i/>
          <w:iCs/>
          <w:color w:val="000000"/>
        </w:rPr>
        <w:t>Friend I</w:t>
      </w:r>
      <w:r>
        <w:rPr>
          <w:rFonts w:eastAsia="Times New Roman" w:cs="Times New Roman"/>
          <w:color w:val="000000"/>
        </w:rPr>
        <w:t xml:space="preserve"> court held was appealable under section </w:t>
      </w:r>
      <w:r w:rsidR="008D474C">
        <w:rPr>
          <w:rFonts w:eastAsia="Times New Roman" w:cs="Times New Roman"/>
          <w:color w:val="000000"/>
        </w:rPr>
        <w:t>1509.1(c)</w:t>
      </w:r>
      <w:r>
        <w:rPr>
          <w:rFonts w:eastAsia="Times New Roman" w:cs="Times New Roman"/>
          <w:color w:val="000000"/>
        </w:rPr>
        <w:t xml:space="preserve"> where capital habeas claims are dismissed for successiveness.  The question presented here raises a related but slightly different issue.  </w:t>
      </w:r>
      <w:r w:rsidR="00AD3116">
        <w:rPr>
          <w:rFonts w:eastAsia="Times New Roman" w:cs="Times New Roman"/>
          <w:color w:val="000000"/>
        </w:rPr>
        <w:t xml:space="preserve">This </w:t>
      </w:r>
      <w:r>
        <w:rPr>
          <w:rFonts w:eastAsia="Times New Roman" w:cs="Arial"/>
          <w:color w:val="000000"/>
        </w:rPr>
        <w:t>constitutional attack on section</w:t>
      </w:r>
      <w:r w:rsidR="00790BD9">
        <w:rPr>
          <w:rFonts w:eastAsia="Times New Roman" w:cs="Arial"/>
          <w:color w:val="000000"/>
        </w:rPr>
        <w:t> </w:t>
      </w:r>
      <w:r>
        <w:rPr>
          <w:rFonts w:eastAsia="Times New Roman" w:cs="Arial"/>
          <w:color w:val="000000"/>
        </w:rPr>
        <w:t xml:space="preserve">1509(d) rests on the premise that </w:t>
      </w:r>
      <w:r w:rsidR="00067C6A">
        <w:rPr>
          <w:rFonts w:eastAsia="Times New Roman" w:cs="Arial"/>
          <w:color w:val="000000"/>
        </w:rPr>
        <w:t xml:space="preserve">Seumanu’s </w:t>
      </w:r>
      <w:r>
        <w:rPr>
          <w:rFonts w:eastAsia="Times New Roman" w:cs="Times New Roman"/>
          <w:color w:val="000000"/>
        </w:rPr>
        <w:t xml:space="preserve">unexhausted claims </w:t>
      </w:r>
      <w:r>
        <w:rPr>
          <w:rFonts w:eastAsia="Times New Roman" w:cs="Times New Roman"/>
          <w:i/>
          <w:iCs/>
          <w:color w:val="000000"/>
        </w:rPr>
        <w:t>are</w:t>
      </w:r>
      <w:r>
        <w:rPr>
          <w:rFonts w:eastAsia="Times New Roman" w:cs="Times New Roman"/>
          <w:color w:val="000000"/>
        </w:rPr>
        <w:t xml:space="preserve"> successive, but nonetheless</w:t>
      </w:r>
      <w:r w:rsidR="00E51127">
        <w:rPr>
          <w:rFonts w:eastAsia="Times New Roman" w:cs="Times New Roman"/>
          <w:color w:val="000000"/>
        </w:rPr>
        <w:t>,</w:t>
      </w:r>
      <w:r>
        <w:rPr>
          <w:rFonts w:eastAsia="Times New Roman" w:cs="Times New Roman"/>
          <w:color w:val="000000"/>
        </w:rPr>
        <w:t xml:space="preserve"> he argues</w:t>
      </w:r>
      <w:r w:rsidR="00E51127">
        <w:rPr>
          <w:rFonts w:eastAsia="Times New Roman" w:cs="Times New Roman"/>
          <w:color w:val="000000"/>
        </w:rPr>
        <w:t>,</w:t>
      </w:r>
      <w:r>
        <w:rPr>
          <w:rFonts w:eastAsia="Times New Roman" w:cs="Times New Roman"/>
          <w:color w:val="000000"/>
        </w:rPr>
        <w:t xml:space="preserve"> under the backstop exception laid out in </w:t>
      </w:r>
      <w:r>
        <w:rPr>
          <w:rFonts w:eastAsia="Times New Roman" w:cs="Times New Roman"/>
          <w:i/>
          <w:iCs/>
          <w:color w:val="000000"/>
        </w:rPr>
        <w:t>Clark</w:t>
      </w:r>
      <w:r>
        <w:rPr>
          <w:rFonts w:eastAsia="Times New Roman" w:cs="Arial"/>
          <w:color w:val="000000"/>
        </w:rPr>
        <w:t>—</w:t>
      </w:r>
      <w:r>
        <w:rPr>
          <w:rFonts w:eastAsia="Times New Roman" w:cs="Times New Roman"/>
          <w:color w:val="000000"/>
        </w:rPr>
        <w:t>applied as originally enunciated in 1993</w:t>
      </w:r>
      <w:r w:rsidR="00234748">
        <w:rPr>
          <w:rFonts w:eastAsia="Times New Roman" w:cs="Times New Roman"/>
          <w:color w:val="000000"/>
        </w:rPr>
        <w:t xml:space="preserve">, before </w:t>
      </w:r>
      <w:r w:rsidR="00674D51">
        <w:rPr>
          <w:rFonts w:eastAsia="Times New Roman" w:cs="Times New Roman"/>
          <w:color w:val="000000"/>
        </w:rPr>
        <w:t xml:space="preserve">the exception </w:t>
      </w:r>
      <w:r w:rsidR="00234748">
        <w:rPr>
          <w:rFonts w:eastAsia="Times New Roman" w:cs="Times New Roman"/>
          <w:color w:val="000000"/>
        </w:rPr>
        <w:t>was narrowed</w:t>
      </w:r>
      <w:r>
        <w:rPr>
          <w:rFonts w:eastAsia="Times New Roman" w:cs="Arial"/>
          <w:color w:val="000000"/>
        </w:rPr>
        <w:t>—</w:t>
      </w:r>
      <w:r>
        <w:rPr>
          <w:rFonts w:eastAsia="Times New Roman" w:cs="Times New Roman"/>
          <w:color w:val="000000"/>
        </w:rPr>
        <w:t xml:space="preserve">these claims should be considered on the merits.  </w:t>
      </w:r>
      <w:r w:rsidR="00F43CEE">
        <w:rPr>
          <w:rFonts w:eastAsia="Times New Roman" w:cs="Times New Roman"/>
          <w:color w:val="000000"/>
        </w:rPr>
        <w:t>Because</w:t>
      </w:r>
      <w:r w:rsidR="00AA576C">
        <w:rPr>
          <w:rFonts w:eastAsia="Times New Roman" w:cs="Times New Roman"/>
          <w:color w:val="000000"/>
        </w:rPr>
        <w:t xml:space="preserve"> section 1509(d) strips him of </w:t>
      </w:r>
      <w:r w:rsidR="00E8030E">
        <w:rPr>
          <w:rFonts w:eastAsia="Times New Roman" w:cs="Times New Roman"/>
          <w:color w:val="000000"/>
        </w:rPr>
        <w:t>that right to review, it is unconstitutional, he contends.</w:t>
      </w:r>
      <w:r>
        <w:rPr>
          <w:rFonts w:eastAsia="Times New Roman" w:cs="Times New Roman"/>
          <w:color w:val="000000"/>
        </w:rPr>
        <w:t xml:space="preserve"> </w:t>
      </w:r>
    </w:p>
    <w:p w:rsidR="0041645F" w:rsidP="0041645F" w14:paraId="4B2A6CAD" w14:textId="5E7E3FF8">
      <w:pPr>
        <w:shd w:val="clear" w:color="auto" w:fill="FFFFFF"/>
      </w:pPr>
      <w:r>
        <w:t>The question we pause to consider here is whether we have appellate jurisdiction to address th</w:t>
      </w:r>
      <w:r w:rsidR="00CC1E71">
        <w:t xml:space="preserve">is </w:t>
      </w:r>
      <w:r>
        <w:t xml:space="preserve">issue at all.  </w:t>
      </w:r>
      <w:r w:rsidR="007F10D2">
        <w:t>(</w:t>
      </w:r>
      <w:r w:rsidR="00AE2BF6">
        <w:t xml:space="preserve">See </w:t>
      </w:r>
      <w:r w:rsidRPr="002F079C" w:rsidR="007F10D2">
        <w:rPr>
          <w:i/>
          <w:iCs/>
        </w:rPr>
        <w:t>Kec</w:t>
      </w:r>
      <w:r w:rsidRPr="002F079C" w:rsidR="00C219F5">
        <w:rPr>
          <w:i/>
          <w:iCs/>
        </w:rPr>
        <w:t>k</w:t>
      </w:r>
      <w:r w:rsidR="00C219F5">
        <w:t xml:space="preserve">, </w:t>
      </w:r>
      <w:r w:rsidRPr="002F079C" w:rsidR="00C219F5">
        <w:rPr>
          <w:i/>
          <w:iCs/>
        </w:rPr>
        <w:t>supra</w:t>
      </w:r>
      <w:r w:rsidR="00C219F5">
        <w:t xml:space="preserve">, </w:t>
      </w:r>
      <w:r w:rsidRPr="00F83F2E" w:rsidR="00C219F5">
        <w:rPr>
          <w:rFonts w:eastAsia="Times New Roman" w:cs="Times New Roman"/>
        </w:rPr>
        <w:t>232</w:t>
      </w:r>
      <w:r w:rsidR="00C219F5">
        <w:rPr>
          <w:rFonts w:eastAsia="Times New Roman" w:cs="Times New Roman"/>
        </w:rPr>
        <w:t> </w:t>
      </w:r>
      <w:r w:rsidRPr="00F83F2E" w:rsidR="00C219F5">
        <w:rPr>
          <w:rFonts w:eastAsia="Times New Roman" w:cs="Times New Roman"/>
        </w:rPr>
        <w:t>Cal</w:t>
      </w:r>
      <w:r w:rsidR="00C219F5">
        <w:rPr>
          <w:rFonts w:eastAsia="Times New Roman" w:cs="Times New Roman"/>
        </w:rPr>
        <w:t>.A</w:t>
      </w:r>
      <w:r w:rsidRPr="00F83F2E" w:rsidR="00C219F5">
        <w:rPr>
          <w:rFonts w:eastAsia="Times New Roman" w:cs="Times New Roman"/>
        </w:rPr>
        <w:t xml:space="preserve">pp.4th </w:t>
      </w:r>
      <w:r w:rsidR="005C0883">
        <w:rPr>
          <w:rFonts w:eastAsia="Times New Roman" w:cs="Times New Roman"/>
        </w:rPr>
        <w:t>at p.</w:t>
      </w:r>
      <w:r w:rsidR="00130F4C">
        <w:rPr>
          <w:rFonts w:eastAsia="Times New Roman" w:cs="Times New Roman"/>
        </w:rPr>
        <w:t> </w:t>
      </w:r>
      <w:r w:rsidRPr="00F83F2E" w:rsidR="00C219F5">
        <w:rPr>
          <w:rFonts w:eastAsia="Times New Roman" w:cs="Times New Roman"/>
        </w:rPr>
        <w:t>301</w:t>
      </w:r>
      <w:r w:rsidR="00C219F5">
        <w:rPr>
          <w:rFonts w:eastAsia="Times New Roman" w:cs="Times New Roman"/>
        </w:rPr>
        <w:t xml:space="preserve">.)  </w:t>
      </w:r>
      <w:r>
        <w:t xml:space="preserve">We conclude that we do.  </w:t>
      </w:r>
    </w:p>
    <w:p w:rsidR="0041645F" w:rsidP="0041645F" w14:paraId="3597FFD7" w14:textId="6344F351">
      <w:pPr>
        <w:shd w:val="clear" w:color="auto" w:fill="FFFFFF"/>
        <w:rPr>
          <w:rFonts w:eastAsia="Times New Roman" w:cs="Arial"/>
          <w:color w:val="000000"/>
        </w:rPr>
      </w:pPr>
      <w:r>
        <w:t xml:space="preserve">Even though the constitutional issue Seumanu asks us to decide is not squarely within the appealability holding in </w:t>
      </w:r>
      <w:r>
        <w:rPr>
          <w:i/>
          <w:iCs/>
        </w:rPr>
        <w:t>Friend I</w:t>
      </w:r>
      <w:r>
        <w:t xml:space="preserve">, we think it is cognizable under the rationale the Supreme Court gave for that holding.  </w:t>
      </w:r>
      <w:r w:rsidR="00631288">
        <w:t>As noted above</w:t>
      </w:r>
      <w:r w:rsidR="00B0126C">
        <w:t>, t</w:t>
      </w:r>
      <w:r>
        <w:t>he court reasoned that the section 1509.1(c) COA standard “</w:t>
      </w:r>
      <w:r>
        <w:rPr>
          <w:rFonts w:eastAsia="Times New Roman" w:cs="Times New Roman"/>
          <w:color w:val="000000"/>
        </w:rPr>
        <w:t xml:space="preserve">may be read to permit a certificate ‘to issue when the petitioner has set forth a substantial argument that </w:t>
      </w:r>
      <w:r w:rsidR="004E602C">
        <w:rPr>
          <w:rFonts w:eastAsia="Times New Roman" w:cs="Times New Roman"/>
          <w:color w:val="000000"/>
        </w:rPr>
        <w:t>section </w:t>
      </w:r>
      <w:r>
        <w:rPr>
          <w:rFonts w:eastAsia="Times New Roman" w:cs="Times New Roman"/>
          <w:color w:val="000000"/>
        </w:rPr>
        <w:t>1509(d) does not apply at all’</w:t>
      </w:r>
      <w:r w:rsidR="00130F4C">
        <w:rPr>
          <w:rFonts w:eastAsia="Times New Roman" w:cs="Times New Roman"/>
          <w:color w:val="000000"/>
        </w:rPr>
        <w:t> </w:t>
      </w:r>
      <w:r>
        <w:rPr>
          <w:rFonts w:eastAsia="Times New Roman" w:cs="Times New Roman"/>
          <w:color w:val="000000"/>
        </w:rPr>
        <w:t xml:space="preserve">” </w:t>
      </w:r>
      <w:r>
        <w:rPr>
          <w:rFonts w:eastAsia="Times New Roman" w:cs="Times New Roman"/>
          <w:i/>
          <w:iCs/>
          <w:color w:val="000000"/>
        </w:rPr>
        <w:t>because the petition at issue is not successive</w:t>
      </w:r>
      <w:r>
        <w:rPr>
          <w:rFonts w:eastAsia="Times New Roman" w:cs="Times New Roman"/>
          <w:color w:val="000000"/>
        </w:rPr>
        <w:t xml:space="preserve">.  </w:t>
      </w:r>
      <w:r w:rsidR="00A20A3F">
        <w:rPr>
          <w:rFonts w:eastAsia="Times New Roman" w:cs="Times New Roman"/>
          <w:color w:val="000000"/>
        </w:rPr>
        <w:t>(</w:t>
      </w:r>
      <w:r w:rsidR="00A20A3F">
        <w:rPr>
          <w:rFonts w:eastAsia="Times New Roman" w:cs="Times New Roman"/>
          <w:i/>
          <w:iCs/>
          <w:color w:val="000000"/>
        </w:rPr>
        <w:t>Friend I</w:t>
      </w:r>
      <w:r w:rsidR="00A20A3F">
        <w:rPr>
          <w:rFonts w:eastAsia="Times New Roman" w:cs="Times New Roman"/>
          <w:color w:val="000000"/>
        </w:rPr>
        <w:t xml:space="preserve">, </w:t>
      </w:r>
      <w:r w:rsidR="00A20A3F">
        <w:rPr>
          <w:rFonts w:eastAsia="Times New Roman" w:cs="Times New Roman"/>
          <w:i/>
          <w:iCs/>
          <w:color w:val="000000"/>
        </w:rPr>
        <w:t>supra</w:t>
      </w:r>
      <w:r w:rsidR="00A20A3F">
        <w:rPr>
          <w:rFonts w:eastAsia="Times New Roman" w:cs="Times New Roman"/>
          <w:color w:val="000000"/>
        </w:rPr>
        <w:t xml:space="preserve">, </w:t>
      </w:r>
      <w:r w:rsidR="00A20A3F">
        <w:rPr>
          <w:rFonts w:eastAsia="Times New Roman" w:cs="Arial"/>
          <w:color w:val="000000"/>
        </w:rPr>
        <w:t>11</w:t>
      </w:r>
      <w:r w:rsidR="00130F4C">
        <w:rPr>
          <w:rFonts w:eastAsia="Times New Roman" w:cs="Arial"/>
          <w:color w:val="000000"/>
        </w:rPr>
        <w:t> </w:t>
      </w:r>
      <w:r w:rsidR="00A20A3F">
        <w:rPr>
          <w:rFonts w:eastAsia="Times New Roman" w:cs="Arial"/>
          <w:color w:val="000000"/>
        </w:rPr>
        <w:t>Cal.5</w:t>
      </w:r>
      <w:r w:rsidRPr="00FA4F46" w:rsidR="00A20A3F">
        <w:rPr>
          <w:rFonts w:eastAsia="Times New Roman" w:cs="Arial"/>
          <w:color w:val="000000"/>
        </w:rPr>
        <w:t>th</w:t>
      </w:r>
      <w:r w:rsidR="00A20A3F">
        <w:rPr>
          <w:rFonts w:eastAsia="Times New Roman" w:cs="Arial"/>
          <w:color w:val="000000"/>
        </w:rPr>
        <w:t xml:space="preserve"> </w:t>
      </w:r>
      <w:r w:rsidR="00A20A3F">
        <w:rPr>
          <w:rFonts w:eastAsia="Times New Roman" w:cs="Times New Roman"/>
          <w:color w:val="000000"/>
        </w:rPr>
        <w:t>at pp.</w:t>
      </w:r>
      <w:r w:rsidR="00130F4C">
        <w:rPr>
          <w:rFonts w:eastAsia="Times New Roman" w:cs="Times New Roman"/>
          <w:color w:val="000000"/>
        </w:rPr>
        <w:t> </w:t>
      </w:r>
      <w:r w:rsidR="00A20A3F">
        <w:rPr>
          <w:rFonts w:eastAsia="Times New Roman" w:cs="Times New Roman"/>
          <w:color w:val="000000"/>
        </w:rPr>
        <w:t>746–747.)</w:t>
      </w:r>
      <w:r w:rsidR="005B6C61">
        <w:rPr>
          <w:rFonts w:eastAsia="Times New Roman" w:cs="Times New Roman"/>
          <w:color w:val="000000"/>
        </w:rPr>
        <w:t xml:space="preserve">  </w:t>
      </w:r>
      <w:r>
        <w:rPr>
          <w:rFonts w:eastAsia="Times New Roman" w:cs="Times New Roman"/>
          <w:color w:val="000000"/>
        </w:rPr>
        <w:t xml:space="preserve">That is why a </w:t>
      </w:r>
      <w:r w:rsidR="00A91E0C">
        <w:rPr>
          <w:rFonts w:eastAsia="Times New Roman" w:cs="Times New Roman"/>
          <w:color w:val="000000"/>
        </w:rPr>
        <w:t>superior court</w:t>
      </w:r>
      <w:r>
        <w:rPr>
          <w:rFonts w:eastAsia="Times New Roman" w:cs="Times New Roman"/>
          <w:color w:val="000000"/>
        </w:rPr>
        <w:t>’s ruling on successiveness may be appealed under section 1509.1(c) (subject to its COA screening mechanism),</w:t>
      </w:r>
      <w:r>
        <w:rPr>
          <w:rFonts w:eastAsia="Times New Roman" w:cs="Arial"/>
          <w:color w:val="000000"/>
        </w:rPr>
        <w:t xml:space="preserve"> </w:t>
      </w:r>
      <w:r>
        <w:rPr>
          <w:rFonts w:eastAsia="Times New Roman" w:cs="Times New Roman"/>
          <w:color w:val="000000"/>
        </w:rPr>
        <w:t>even though there is a statutory bar against using any “[s]</w:t>
      </w:r>
      <w:r>
        <w:rPr>
          <w:rFonts w:eastAsia="Times New Roman" w:cs="Arial"/>
          <w:color w:val="000000"/>
        </w:rPr>
        <w:t>uccessive petition</w:t>
      </w:r>
      <w:r w:rsidR="00CA7FBF">
        <w:rPr>
          <w:rFonts w:eastAsia="Times New Roman" w:cs="Arial"/>
          <w:color w:val="000000"/>
        </w:rPr>
        <w:t xml:space="preserve"> . . . </w:t>
      </w:r>
      <w:r>
        <w:rPr>
          <w:rFonts w:eastAsia="Times New Roman" w:cs="Arial"/>
          <w:color w:val="000000"/>
        </w:rPr>
        <w:t>as a means of reviewing a denial of habeas relief” under section 1509.1</w:t>
      </w:r>
      <w:r w:rsidR="00DC7683">
        <w:rPr>
          <w:rFonts w:eastAsia="Times New Roman" w:cs="Arial"/>
          <w:color w:val="000000"/>
        </w:rPr>
        <w:t>, subdivision </w:t>
      </w:r>
      <w:r>
        <w:rPr>
          <w:rFonts w:eastAsia="Times New Roman" w:cs="Arial"/>
          <w:color w:val="000000"/>
        </w:rPr>
        <w:t>(a).  A stricter reading, prohibiting all appeals from denials of capital habeas relief where a petition is found to be successive, would render dismissals on that basis wholly unreviewable, except where there is a substantial question of actual innocence or categorical ineligibility for capital punishment</w:t>
      </w:r>
      <w:r w:rsidR="00157E90">
        <w:rPr>
          <w:rFonts w:eastAsia="Times New Roman" w:cs="Arial"/>
          <w:color w:val="000000"/>
        </w:rPr>
        <w:t xml:space="preserve">. </w:t>
      </w:r>
      <w:r>
        <w:rPr>
          <w:rFonts w:eastAsia="Times New Roman" w:cs="Arial"/>
          <w:color w:val="000000"/>
        </w:rPr>
        <w:t xml:space="preserve"> (§</w:t>
      </w:r>
      <w:r w:rsidR="00926F9E">
        <w:rPr>
          <w:rFonts w:eastAsia="Times New Roman" w:cs="Arial"/>
          <w:color w:val="000000"/>
        </w:rPr>
        <w:t> </w:t>
      </w:r>
      <w:r>
        <w:rPr>
          <w:rFonts w:eastAsia="Times New Roman" w:cs="Arial"/>
          <w:color w:val="000000"/>
        </w:rPr>
        <w:t>1509(d)</w:t>
      </w:r>
      <w:r w:rsidR="00914C9C">
        <w:rPr>
          <w:rFonts w:eastAsia="Times New Roman" w:cs="Arial"/>
          <w:color w:val="000000"/>
        </w:rPr>
        <w:t>.</w:t>
      </w:r>
      <w:r>
        <w:rPr>
          <w:rFonts w:eastAsia="Times New Roman" w:cs="Arial"/>
          <w:color w:val="000000"/>
        </w:rPr>
        <w:t>)  The court rejected this interpretation because “</w:t>
      </w:r>
      <w:r>
        <w:rPr>
          <w:rFonts w:eastAsia="Times New Roman" w:cs="Times New Roman"/>
          <w:color w:val="000000"/>
        </w:rPr>
        <w:t>leaving unsuccessful petitioners with no opportunity for appellate review at all would be contrary to the voters’ evident intent to provide a statutory right of appeal, albeit a limited one, from denial of petitions deemed successive</w:t>
      </w:r>
      <w:r w:rsidR="00F508C2">
        <w:rPr>
          <w:rFonts w:eastAsia="Times New Roman" w:cs="Times New Roman"/>
          <w:color w:val="000000"/>
        </w:rPr>
        <w:t> </w:t>
      </w:r>
      <w:r w:rsidR="009E6985">
        <w:rPr>
          <w:rFonts w:eastAsia="Times New Roman" w:cs="Times New Roman"/>
          <w:color w:val="000000"/>
        </w:rPr>
        <w:t>. . .</w:t>
      </w:r>
      <w:r w:rsidR="00CA730F">
        <w:rPr>
          <w:rFonts w:eastAsia="Times New Roman" w:cs="Times New Roman"/>
          <w:color w:val="000000"/>
        </w:rPr>
        <w:t> </w:t>
      </w:r>
      <w:r w:rsidR="009E6985">
        <w:rPr>
          <w:rFonts w:eastAsia="Times New Roman" w:cs="Times New Roman"/>
          <w:color w:val="000000"/>
        </w:rPr>
        <w:t>.</w:t>
      </w:r>
      <w:r>
        <w:rPr>
          <w:rFonts w:eastAsia="Times New Roman" w:cs="Times New Roman"/>
          <w:color w:val="000000"/>
        </w:rPr>
        <w:t>”</w:t>
      </w:r>
      <w:r>
        <w:rPr>
          <w:rFonts w:ascii="Source Sans Pro" w:eastAsia="Times New Roman" w:hAnsi="Source Sans Pro" w:cs="Times New Roman"/>
          <w:color w:val="000000"/>
          <w:sz w:val="24"/>
          <w:szCs w:val="24"/>
        </w:rPr>
        <w:t xml:space="preserve"> </w:t>
      </w:r>
      <w:r>
        <w:rPr>
          <w:rFonts w:eastAsia="Times New Roman" w:cs="Arial"/>
          <w:color w:val="000000"/>
        </w:rPr>
        <w:t xml:space="preserve"> </w:t>
      </w:r>
      <w:r>
        <w:rPr>
          <w:rFonts w:eastAsia="Times New Roman" w:cs="Times New Roman"/>
          <w:color w:val="000000"/>
        </w:rPr>
        <w:t>(</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09733C">
        <w:rPr>
          <w:rFonts w:eastAsia="Times New Roman" w:cs="Times New Roman"/>
          <w:color w:val="000000"/>
        </w:rPr>
        <w:t> </w:t>
      </w:r>
      <w:r>
        <w:rPr>
          <w:rFonts w:eastAsia="Times New Roman" w:cs="Times New Roman"/>
          <w:color w:val="000000"/>
        </w:rPr>
        <w:t>Cal.5</w:t>
      </w:r>
      <w:r w:rsidRPr="00630907">
        <w:rPr>
          <w:rFonts w:eastAsia="Times New Roman" w:cs="Times New Roman"/>
          <w:color w:val="000000"/>
        </w:rPr>
        <w:t>th</w:t>
      </w:r>
      <w:r>
        <w:rPr>
          <w:rFonts w:eastAsia="Times New Roman" w:cs="Times New Roman"/>
          <w:color w:val="000000"/>
        </w:rPr>
        <w:t xml:space="preserve"> at p.</w:t>
      </w:r>
      <w:r w:rsidR="0009733C">
        <w:rPr>
          <w:rFonts w:eastAsia="Times New Roman" w:cs="Times New Roman"/>
          <w:color w:val="000000"/>
        </w:rPr>
        <w:t> </w:t>
      </w:r>
      <w:r>
        <w:rPr>
          <w:rFonts w:eastAsia="Times New Roman" w:cs="Times New Roman"/>
          <w:color w:val="000000"/>
        </w:rPr>
        <w:t>747</w:t>
      </w:r>
      <w:r w:rsidR="00B6744E">
        <w:rPr>
          <w:rFonts w:eastAsia="Times New Roman" w:cs="Times New Roman"/>
          <w:color w:val="000000"/>
        </w:rPr>
        <w:t>.</w:t>
      </w:r>
      <w:r>
        <w:rPr>
          <w:rFonts w:eastAsia="Times New Roman" w:cs="Times New Roman"/>
          <w:color w:val="000000"/>
        </w:rPr>
        <w:t>)</w:t>
      </w:r>
      <w:r>
        <w:rPr>
          <w:rFonts w:eastAsia="Times New Roman" w:cs="Arial"/>
          <w:color w:val="000000"/>
        </w:rPr>
        <w:t xml:space="preserve"> </w:t>
      </w:r>
    </w:p>
    <w:p w:rsidR="0041645F" w:rsidP="0041645F" w14:paraId="233EB087" w14:textId="778BD9DB">
      <w:pPr>
        <w:shd w:val="clear" w:color="auto" w:fill="FFFFFF"/>
        <w:rPr>
          <w:rFonts w:eastAsia="Times New Roman" w:cs="Times New Roman"/>
          <w:color w:val="000000"/>
        </w:rPr>
      </w:pPr>
      <w:r>
        <w:rPr>
          <w:rFonts w:eastAsia="Times New Roman" w:cs="Arial"/>
          <w:color w:val="000000"/>
        </w:rPr>
        <w:t xml:space="preserve">Applying the same logic, we believe </w:t>
      </w:r>
      <w:r>
        <w:t>the COA standard under section</w:t>
      </w:r>
      <w:r w:rsidR="00F60A50">
        <w:t> </w:t>
      </w:r>
      <w:r>
        <w:t>1509.1(c) “</w:t>
      </w:r>
      <w:r>
        <w:rPr>
          <w:rFonts w:eastAsia="Times New Roman" w:cs="Times New Roman"/>
          <w:color w:val="000000"/>
        </w:rPr>
        <w:t xml:space="preserve">may be read to permit a [COA] ‘to issue when the petitioner has set forth a substantial argument that </w:t>
      </w:r>
      <w:r w:rsidR="00EC4903">
        <w:rPr>
          <w:rFonts w:eastAsia="Times New Roman" w:cs="Times New Roman"/>
          <w:color w:val="000000"/>
        </w:rPr>
        <w:t>section </w:t>
      </w:r>
      <w:r>
        <w:rPr>
          <w:rFonts w:eastAsia="Times New Roman" w:cs="Times New Roman"/>
          <w:color w:val="000000"/>
        </w:rPr>
        <w:t>1509(d) does not apply at all’</w:t>
      </w:r>
      <w:r w:rsidR="00E44F55">
        <w:rPr>
          <w:rFonts w:eastAsia="Times New Roman" w:cs="Times New Roman"/>
          <w:color w:val="000000"/>
        </w:rPr>
        <w:t> </w:t>
      </w:r>
      <w:r>
        <w:rPr>
          <w:rFonts w:eastAsia="Times New Roman" w:cs="Times New Roman"/>
          <w:color w:val="000000"/>
        </w:rPr>
        <w:t xml:space="preserve">” </w:t>
      </w:r>
      <w:r w:rsidR="001342A7">
        <w:rPr>
          <w:rFonts w:eastAsia="Times New Roman" w:cs="Times New Roman"/>
          <w:color w:val="000000"/>
        </w:rPr>
        <w:t>(</w:t>
      </w:r>
      <w:r w:rsidR="001342A7">
        <w:rPr>
          <w:rFonts w:eastAsia="Times New Roman" w:cs="Times New Roman"/>
          <w:i/>
          <w:iCs/>
          <w:color w:val="000000"/>
        </w:rPr>
        <w:t>Friend I</w:t>
      </w:r>
      <w:r w:rsidR="001342A7">
        <w:rPr>
          <w:rFonts w:eastAsia="Times New Roman" w:cs="Times New Roman"/>
          <w:color w:val="000000"/>
        </w:rPr>
        <w:t xml:space="preserve">, </w:t>
      </w:r>
      <w:r w:rsidRPr="002912B8" w:rsidR="001342A7">
        <w:rPr>
          <w:rFonts w:eastAsia="Times New Roman" w:cs="Times New Roman"/>
          <w:i/>
          <w:iCs/>
          <w:color w:val="000000"/>
        </w:rPr>
        <w:t>supra</w:t>
      </w:r>
      <w:r w:rsidR="001342A7">
        <w:rPr>
          <w:rFonts w:eastAsia="Times New Roman" w:cs="Times New Roman"/>
          <w:color w:val="000000"/>
        </w:rPr>
        <w:t>, 11</w:t>
      </w:r>
      <w:r w:rsidR="00E44F55">
        <w:rPr>
          <w:rFonts w:eastAsia="Times New Roman" w:cs="Times New Roman"/>
          <w:color w:val="000000"/>
        </w:rPr>
        <w:t> </w:t>
      </w:r>
      <w:r w:rsidR="001342A7">
        <w:rPr>
          <w:rFonts w:eastAsia="Times New Roman" w:cs="Times New Roman"/>
          <w:color w:val="000000"/>
        </w:rPr>
        <w:t>Cal.5th at p.</w:t>
      </w:r>
      <w:r w:rsidR="00E44F55">
        <w:rPr>
          <w:rFonts w:eastAsia="Times New Roman" w:cs="Times New Roman"/>
          <w:color w:val="000000"/>
        </w:rPr>
        <w:t> </w:t>
      </w:r>
      <w:r w:rsidR="001342A7">
        <w:rPr>
          <w:rFonts w:eastAsia="Times New Roman" w:cs="Times New Roman"/>
          <w:color w:val="000000"/>
        </w:rPr>
        <w:t>746)</w:t>
      </w:r>
      <w:r w:rsidR="001342A7">
        <w:rPr>
          <w:rFonts w:eastAsia="Times New Roman" w:cs="Times New Roman"/>
          <w:i/>
          <w:iCs/>
          <w:color w:val="000000"/>
        </w:rPr>
        <w:t xml:space="preserve"> </w:t>
      </w:r>
      <w:r w:rsidRPr="00D40568">
        <w:rPr>
          <w:rFonts w:eastAsia="Times New Roman" w:cs="Times New Roman"/>
          <w:color w:val="000000"/>
        </w:rPr>
        <w:t>because</w:t>
      </w:r>
      <w:r>
        <w:rPr>
          <w:rFonts w:eastAsia="Times New Roman" w:cs="Times New Roman"/>
          <w:i/>
          <w:iCs/>
          <w:color w:val="000000"/>
        </w:rPr>
        <w:t xml:space="preserve"> section 1509(d) is unconstitutional</w:t>
      </w:r>
      <w:r>
        <w:rPr>
          <w:rFonts w:eastAsia="Times New Roman" w:cs="Times New Roman"/>
          <w:color w:val="000000"/>
        </w:rPr>
        <w:t xml:space="preserve">.  In view of the harshness of the contrary reading—which would effectively insulate section 1509(d) from constitutional attack in the appellate courts—we believe the appealability reasoning in </w:t>
      </w:r>
      <w:r>
        <w:rPr>
          <w:rFonts w:eastAsia="Times New Roman" w:cs="Times New Roman"/>
          <w:i/>
          <w:iCs/>
          <w:color w:val="000000"/>
        </w:rPr>
        <w:t>Friend I</w:t>
      </w:r>
      <w:r>
        <w:rPr>
          <w:rFonts w:eastAsia="Times New Roman" w:cs="Times New Roman"/>
          <w:color w:val="000000"/>
        </w:rPr>
        <w:t xml:space="preserve"> applies </w:t>
      </w:r>
      <w:r w:rsidR="00783EDB">
        <w:rPr>
          <w:rFonts w:eastAsia="Times New Roman" w:cs="Times New Roman"/>
          <w:color w:val="000000"/>
        </w:rPr>
        <w:t>a for</w:t>
      </w:r>
      <w:r w:rsidR="00BE628A">
        <w:rPr>
          <w:rFonts w:eastAsia="Times New Roman" w:cs="Times New Roman"/>
          <w:color w:val="000000"/>
        </w:rPr>
        <w:t>ti</w:t>
      </w:r>
      <w:r w:rsidR="006E0B49">
        <w:rPr>
          <w:rFonts w:eastAsia="Times New Roman" w:cs="Times New Roman"/>
          <w:color w:val="000000"/>
        </w:rPr>
        <w:t>o</w:t>
      </w:r>
      <w:r w:rsidR="00BE628A">
        <w:rPr>
          <w:rFonts w:eastAsia="Times New Roman" w:cs="Times New Roman"/>
          <w:color w:val="000000"/>
        </w:rPr>
        <w:t>ri.</w:t>
      </w:r>
      <w:r w:rsidR="00B30ABA">
        <w:rPr>
          <w:rFonts w:eastAsia="Times New Roman" w:cs="Times New Roman"/>
          <w:color w:val="000000"/>
        </w:rPr>
        <w:t xml:space="preserve">  </w:t>
      </w:r>
      <w:r>
        <w:rPr>
          <w:rFonts w:eastAsia="Times New Roman" w:cs="Times New Roman"/>
          <w:color w:val="000000"/>
        </w:rPr>
        <w:t xml:space="preserve">To avoid casting serious constitutional doubt on </w:t>
      </w:r>
      <w:r w:rsidR="0012451B">
        <w:rPr>
          <w:rFonts w:eastAsia="Times New Roman" w:cs="Times New Roman"/>
          <w:color w:val="000000"/>
        </w:rPr>
        <w:t>section </w:t>
      </w:r>
      <w:r>
        <w:t xml:space="preserve">1509.1(c), the statute must be read to allow appellate review of constitutional challenges to section 1509(d).  </w:t>
      </w:r>
      <w:r>
        <w:rPr>
          <w:rFonts w:eastAsia="Times New Roman" w:cs="Times New Roman"/>
          <w:color w:val="000000"/>
        </w:rPr>
        <w:t>Accordingly, despite section 1509</w:t>
      </w:r>
      <w:r w:rsidR="00A87FE6">
        <w:rPr>
          <w:rFonts w:eastAsia="Times New Roman" w:cs="Times New Roman"/>
          <w:color w:val="000000"/>
        </w:rPr>
        <w:t>.1</w:t>
      </w:r>
      <w:r w:rsidR="002E000D">
        <w:rPr>
          <w:rFonts w:eastAsia="Times New Roman" w:cs="Times New Roman"/>
          <w:color w:val="000000"/>
        </w:rPr>
        <w:t>, subdivision </w:t>
      </w:r>
      <w:r>
        <w:rPr>
          <w:rFonts w:eastAsia="Times New Roman" w:cs="Times New Roman"/>
          <w:color w:val="000000"/>
        </w:rPr>
        <w:t xml:space="preserve">(a)’s appealability bar in successive petition cases, we conclude that the discrete legal issue of section 1509(d)’s constitutionality may be appealed under section 1509.1(c) along with the successiveness issue itself, in both instances subject to the section 1509.1(c) COA screening mechanism.  </w:t>
      </w:r>
    </w:p>
    <w:p w:rsidR="0041645F" w:rsidRPr="009E6A4E" w:rsidP="009D5F32" w14:paraId="3706E138" w14:textId="685B2B43">
      <w:pPr>
        <w:pStyle w:val="Heading3"/>
        <w:rPr>
          <w:rFonts w:eastAsia="Times New Roman"/>
          <w:color w:val="000000"/>
        </w:rPr>
      </w:pPr>
      <w:r w:rsidRPr="009E6A4E">
        <w:t xml:space="preserve">Lack of any Basis </w:t>
      </w:r>
      <w:r w:rsidR="009D5F32">
        <w:t>T</w:t>
      </w:r>
      <w:r w:rsidRPr="009E6A4E">
        <w:t>o Reach the Merits in this Case</w:t>
      </w:r>
    </w:p>
    <w:p w:rsidR="0041645F" w:rsidP="0041645F" w14:paraId="1DFAE156" w14:textId="09E63327">
      <w:pPr>
        <w:shd w:val="clear" w:color="auto" w:fill="FFFFFF"/>
      </w:pPr>
      <w:r>
        <w:rPr>
          <w:rFonts w:eastAsia="Times New Roman" w:cs="Times New Roman"/>
          <w:color w:val="000000"/>
        </w:rPr>
        <w:t xml:space="preserve">Turning to whether Seumanu is entitled to a COA on the issue of </w:t>
      </w:r>
      <w:r w:rsidR="004A39FB">
        <w:rPr>
          <w:rFonts w:eastAsia="Times New Roman" w:cs="Times New Roman"/>
          <w:color w:val="000000"/>
        </w:rPr>
        <w:t>section </w:t>
      </w:r>
      <w:r>
        <w:t>1509(d)</w:t>
      </w:r>
      <w:r>
        <w:rPr>
          <w:rFonts w:eastAsia="Times New Roman" w:cs="Times New Roman"/>
          <w:color w:val="000000"/>
        </w:rPr>
        <w:t xml:space="preserve">’s constitutionality, he advances </w:t>
      </w:r>
      <w:r>
        <w:t>multiple grounds in support of this argument.</w:t>
      </w:r>
    </w:p>
    <w:p w:rsidR="00C104B6" w:rsidP="0041645F" w14:paraId="41E8621C" w14:textId="5EFDEDD8">
      <w:pPr>
        <w:shd w:val="clear" w:color="auto" w:fill="FFFFFF"/>
        <w:rPr>
          <w:rFonts w:eastAsia="Times New Roman" w:cs="Times New Roman"/>
          <w:color w:val="000000"/>
        </w:rPr>
      </w:pPr>
      <w:r>
        <w:t xml:space="preserve">According to Seumanu, section 1509(d) eliminates the following two circumstances that would have been sufficient to invoke </w:t>
      </w:r>
      <w:r>
        <w:rPr>
          <w:i/>
          <w:iCs/>
        </w:rPr>
        <w:t>Clark</w:t>
      </w:r>
      <w:r>
        <w:t>’s backstop exception</w:t>
      </w:r>
      <w:r>
        <w:rPr>
          <w:rFonts w:eastAsia="Times New Roman" w:cs="Arial"/>
          <w:color w:val="000000"/>
        </w:rPr>
        <w:t>:  (1)</w:t>
      </w:r>
      <w:r w:rsidR="00BC62E5">
        <w:rPr>
          <w:rFonts w:eastAsia="Times New Roman" w:cs="Arial"/>
          <w:color w:val="000000"/>
        </w:rPr>
        <w:t> </w:t>
      </w:r>
      <w:r>
        <w:rPr>
          <w:rFonts w:eastAsia="Times New Roman" w:cs="Times New Roman"/>
          <w:color w:val="000000"/>
        </w:rPr>
        <w:t>a highly prejudicial error of constitutional magnitude (</w:t>
      </w:r>
      <w:r>
        <w:rPr>
          <w:rFonts w:eastAsia="Times New Roman" w:cs="Times New Roman"/>
          <w:i/>
          <w:iCs/>
          <w:color w:val="000000"/>
        </w:rPr>
        <w:t>Clark</w:t>
      </w:r>
      <w:r>
        <w:rPr>
          <w:rFonts w:eastAsia="Times New Roman" w:cs="Times New Roman"/>
          <w:color w:val="000000"/>
        </w:rPr>
        <w:t>’s first miscarriage of justice circumstance), and (2)</w:t>
      </w:r>
      <w:r w:rsidR="00BC62E5">
        <w:rPr>
          <w:rFonts w:eastAsia="Times New Roman" w:cs="Times New Roman"/>
          <w:color w:val="000000"/>
        </w:rPr>
        <w:t> </w:t>
      </w:r>
      <w:r>
        <w:rPr>
          <w:rFonts w:eastAsia="Times New Roman" w:cs="Times New Roman"/>
          <w:color w:val="000000"/>
        </w:rPr>
        <w:t>presentation in a capital trial of a grossly misleading and highly prejudicial profile of the petitioner (</w:t>
      </w:r>
      <w:r>
        <w:rPr>
          <w:rFonts w:eastAsia="Times New Roman" w:cs="Times New Roman"/>
          <w:i/>
          <w:iCs/>
          <w:color w:val="000000"/>
        </w:rPr>
        <w:t>Clark</w:t>
      </w:r>
      <w:r>
        <w:rPr>
          <w:rFonts w:eastAsia="Times New Roman" w:cs="Times New Roman"/>
          <w:color w:val="000000"/>
        </w:rPr>
        <w:t xml:space="preserve">’s third miscarriage of justice circumstance).  Seumanu contends that the deletion of these two prongs of </w:t>
      </w:r>
      <w:r>
        <w:rPr>
          <w:rFonts w:eastAsia="Times New Roman" w:cs="Times New Roman"/>
          <w:i/>
          <w:iCs/>
          <w:color w:val="000000"/>
        </w:rPr>
        <w:t>Clark</w:t>
      </w:r>
      <w:r>
        <w:rPr>
          <w:rFonts w:eastAsia="Times New Roman" w:cs="Times New Roman"/>
          <w:color w:val="000000"/>
        </w:rPr>
        <w:t xml:space="preserve">’s test violates due process, vitiates the constitutional right to habeas corpus, constitutes an unconstitutional retroactive change in the law, and violates equal protection. </w:t>
      </w:r>
      <w:r w:rsidR="0072125D">
        <w:rPr>
          <w:rFonts w:eastAsia="Times New Roman" w:cs="Times New Roman"/>
          <w:color w:val="000000"/>
        </w:rPr>
        <w:t xml:space="preserve"> </w:t>
      </w:r>
    </w:p>
    <w:p w:rsidR="00BD7F4B" w:rsidP="00D40568" w14:paraId="691EA111" w14:textId="207E6266">
      <w:pPr>
        <w:shd w:val="clear" w:color="auto" w:fill="FFFFFF"/>
        <w:rPr>
          <w:rFonts w:eastAsia="Times New Roman" w:cs="Times New Roman"/>
          <w:color w:val="000000"/>
        </w:rPr>
      </w:pPr>
      <w:r>
        <w:rPr>
          <w:rFonts w:eastAsia="Times New Roman" w:cs="Times New Roman"/>
          <w:color w:val="000000"/>
        </w:rPr>
        <w:t>We believe t</w:t>
      </w:r>
      <w:r w:rsidR="0072125D">
        <w:rPr>
          <w:rFonts w:eastAsia="Times New Roman" w:cs="Times New Roman"/>
          <w:color w:val="000000"/>
        </w:rPr>
        <w:t xml:space="preserve">wo of these four arguments have been rejected by the California </w:t>
      </w:r>
      <w:r w:rsidR="003F1961">
        <w:rPr>
          <w:rFonts w:eastAsia="Times New Roman" w:cs="Times New Roman"/>
          <w:color w:val="000000"/>
        </w:rPr>
        <w:t>Supreme Court (</w:t>
      </w:r>
      <w:r w:rsidR="003B3B4C">
        <w:rPr>
          <w:rFonts w:eastAsia="Times New Roman" w:cs="Times New Roman"/>
          <w:color w:val="000000"/>
        </w:rPr>
        <w:t xml:space="preserve">see </w:t>
      </w:r>
      <w:r w:rsidR="003F1961">
        <w:rPr>
          <w:rFonts w:eastAsia="Times New Roman" w:cs="Times New Roman"/>
          <w:i/>
          <w:iCs/>
          <w:color w:val="3D3D3D"/>
          <w:bdr w:val="none" w:sz="0" w:space="0" w:color="auto" w:frame="1"/>
        </w:rPr>
        <w:t>Briggs</w:t>
      </w:r>
      <w:r w:rsidR="003F1961">
        <w:rPr>
          <w:rFonts w:eastAsia="Times New Roman" w:cs="Times New Roman"/>
          <w:color w:val="000000"/>
        </w:rPr>
        <w:t xml:space="preserve">, </w:t>
      </w:r>
      <w:r w:rsidR="003F1961">
        <w:rPr>
          <w:rFonts w:eastAsia="Times New Roman" w:cs="Times New Roman"/>
          <w:i/>
          <w:iCs/>
          <w:color w:val="000000"/>
        </w:rPr>
        <w:t>supra</w:t>
      </w:r>
      <w:r w:rsidR="003F1961">
        <w:rPr>
          <w:rFonts w:eastAsia="Times New Roman" w:cs="Times New Roman"/>
          <w:color w:val="000000"/>
        </w:rPr>
        <w:t>, 3</w:t>
      </w:r>
      <w:r w:rsidR="004F3346">
        <w:rPr>
          <w:rFonts w:eastAsia="Times New Roman" w:cs="Times New Roman"/>
          <w:color w:val="000000"/>
        </w:rPr>
        <w:t> </w:t>
      </w:r>
      <w:r w:rsidR="003F1961">
        <w:rPr>
          <w:rFonts w:eastAsia="Times New Roman" w:cs="Times New Roman"/>
          <w:color w:val="000000"/>
        </w:rPr>
        <w:t>Cal.5th at pp.</w:t>
      </w:r>
      <w:r w:rsidR="004F3346">
        <w:rPr>
          <w:rFonts w:eastAsia="Times New Roman" w:cs="Times New Roman"/>
          <w:color w:val="000000"/>
        </w:rPr>
        <w:t> </w:t>
      </w:r>
      <w:r w:rsidR="00190B05">
        <w:rPr>
          <w:rFonts w:eastAsia="Times New Roman" w:cs="Times New Roman"/>
          <w:color w:val="000000"/>
        </w:rPr>
        <w:t>841</w:t>
      </w:r>
      <w:r w:rsidR="00616413">
        <w:rPr>
          <w:rFonts w:eastAsia="Times New Roman" w:cs="Times New Roman"/>
          <w:color w:val="000000"/>
        </w:rPr>
        <w:t>–</w:t>
      </w:r>
      <w:r w:rsidR="00190B05">
        <w:rPr>
          <w:rFonts w:eastAsia="Times New Roman" w:cs="Times New Roman"/>
          <w:color w:val="000000"/>
        </w:rPr>
        <w:t>84</w:t>
      </w:r>
      <w:r w:rsidR="00131CFD">
        <w:rPr>
          <w:rFonts w:eastAsia="Times New Roman" w:cs="Times New Roman"/>
          <w:color w:val="000000"/>
        </w:rPr>
        <w:t>5</w:t>
      </w:r>
      <w:r w:rsidR="00190B05">
        <w:rPr>
          <w:rFonts w:eastAsia="Times New Roman" w:cs="Times New Roman"/>
          <w:color w:val="000000"/>
        </w:rPr>
        <w:t xml:space="preserve"> </w:t>
      </w:r>
      <w:r w:rsidR="003F1961">
        <w:rPr>
          <w:rFonts w:eastAsia="Times New Roman" w:cs="Times New Roman"/>
          <w:color w:val="000000"/>
        </w:rPr>
        <w:t>[equal protection]</w:t>
      </w:r>
      <w:r w:rsidR="002D5D36">
        <w:rPr>
          <w:rFonts w:eastAsia="Times New Roman" w:cs="Times New Roman"/>
          <w:color w:val="000000"/>
        </w:rPr>
        <w:t xml:space="preserve">; </w:t>
      </w:r>
      <w:r w:rsidR="002D5D36">
        <w:rPr>
          <w:rFonts w:eastAsia="Times New Roman" w:cs="Times New Roman"/>
          <w:i/>
          <w:iCs/>
          <w:color w:val="3D3D3D"/>
          <w:bdr w:val="none" w:sz="0" w:space="0" w:color="auto" w:frame="1"/>
        </w:rPr>
        <w:t>Friend I</w:t>
      </w:r>
      <w:r w:rsidR="002D5D36">
        <w:rPr>
          <w:rFonts w:eastAsia="Times New Roman" w:cs="Times New Roman"/>
          <w:color w:val="000000"/>
        </w:rPr>
        <w:t xml:space="preserve">, </w:t>
      </w:r>
      <w:r w:rsidR="002D5D36">
        <w:rPr>
          <w:rFonts w:eastAsia="Times New Roman" w:cs="Times New Roman"/>
          <w:i/>
          <w:iCs/>
          <w:color w:val="3D3D3D"/>
          <w:bdr w:val="none" w:sz="0" w:space="0" w:color="auto" w:frame="1"/>
        </w:rPr>
        <w:t>supra</w:t>
      </w:r>
      <w:r w:rsidR="002D5D36">
        <w:rPr>
          <w:rFonts w:eastAsia="Times New Roman" w:cs="Times New Roman"/>
          <w:color w:val="000000"/>
        </w:rPr>
        <w:t>, 11</w:t>
      </w:r>
      <w:r w:rsidR="004F3346">
        <w:rPr>
          <w:rFonts w:eastAsia="Times New Roman" w:cs="Times New Roman"/>
          <w:color w:val="000000"/>
        </w:rPr>
        <w:t> </w:t>
      </w:r>
      <w:r w:rsidR="002D5D36">
        <w:rPr>
          <w:rFonts w:eastAsia="Times New Roman" w:cs="Times New Roman"/>
          <w:color w:val="000000"/>
        </w:rPr>
        <w:t>Cal.5th at pp.</w:t>
      </w:r>
      <w:r w:rsidR="004F3346">
        <w:rPr>
          <w:rFonts w:eastAsia="Times New Roman" w:cs="Times New Roman"/>
          <w:color w:val="000000"/>
        </w:rPr>
        <w:t> </w:t>
      </w:r>
      <w:r w:rsidR="00BF7FF0">
        <w:rPr>
          <w:rFonts w:eastAsia="Times New Roman" w:cs="Times New Roman"/>
          <w:color w:val="000000"/>
        </w:rPr>
        <w:t>742</w:t>
      </w:r>
      <w:r w:rsidR="00616413">
        <w:rPr>
          <w:rFonts w:eastAsia="Times New Roman" w:cs="Times New Roman"/>
          <w:color w:val="000000"/>
        </w:rPr>
        <w:t>–</w:t>
      </w:r>
      <w:r w:rsidR="00BF7FF0">
        <w:rPr>
          <w:rFonts w:eastAsia="Times New Roman" w:cs="Times New Roman"/>
          <w:color w:val="000000"/>
        </w:rPr>
        <w:t xml:space="preserve">745 </w:t>
      </w:r>
      <w:r w:rsidR="001439F0">
        <w:rPr>
          <w:rFonts w:eastAsia="Times New Roman" w:cs="Times New Roman"/>
          <w:color w:val="000000"/>
        </w:rPr>
        <w:t>[retroactivity</w:t>
      </w:r>
      <w:r w:rsidR="002A00AA">
        <w:rPr>
          <w:rFonts w:eastAsia="Times New Roman" w:cs="Times New Roman"/>
          <w:color w:val="000000"/>
        </w:rPr>
        <w:t>]</w:t>
      </w:r>
      <w:r w:rsidR="003F1961">
        <w:rPr>
          <w:rFonts w:eastAsia="Times New Roman" w:cs="Times New Roman"/>
          <w:color w:val="000000"/>
        </w:rPr>
        <w:t>)</w:t>
      </w:r>
      <w:r w:rsidR="002D5D36">
        <w:rPr>
          <w:rFonts w:eastAsia="Times New Roman" w:cs="Times New Roman"/>
          <w:color w:val="000000"/>
        </w:rPr>
        <w:t xml:space="preserve">, which leaves only the due process and vitiation of the writ </w:t>
      </w:r>
      <w:r w:rsidR="001439F0">
        <w:rPr>
          <w:rFonts w:eastAsia="Times New Roman" w:cs="Times New Roman"/>
          <w:color w:val="000000"/>
        </w:rPr>
        <w:t>issues for consideration.</w:t>
      </w:r>
      <w:r w:rsidR="00C36FC6">
        <w:rPr>
          <w:rFonts w:eastAsia="Times New Roman" w:cs="Times New Roman"/>
          <w:color w:val="000000"/>
        </w:rPr>
        <w:t xml:space="preserve">  </w:t>
      </w:r>
      <w:r>
        <w:rPr>
          <w:rFonts w:eastAsia="Times New Roman" w:cs="Times New Roman"/>
          <w:color w:val="000000"/>
        </w:rPr>
        <w:t xml:space="preserve">Seumanu insists that </w:t>
      </w:r>
      <w:r w:rsidR="00B96198">
        <w:rPr>
          <w:rFonts w:eastAsia="Times New Roman" w:cs="Times New Roman"/>
          <w:color w:val="000000"/>
        </w:rPr>
        <w:t xml:space="preserve">his </w:t>
      </w:r>
      <w:r w:rsidR="0030485E">
        <w:rPr>
          <w:rFonts w:eastAsia="Times New Roman" w:cs="Times New Roman"/>
          <w:color w:val="000000"/>
        </w:rPr>
        <w:t xml:space="preserve">equal protection </w:t>
      </w:r>
      <w:r w:rsidR="00B96198">
        <w:rPr>
          <w:rFonts w:eastAsia="Times New Roman" w:cs="Times New Roman"/>
          <w:color w:val="000000"/>
        </w:rPr>
        <w:t xml:space="preserve">arguments </w:t>
      </w:r>
      <w:r w:rsidR="0030485E">
        <w:rPr>
          <w:rFonts w:eastAsia="Times New Roman" w:cs="Times New Roman"/>
          <w:color w:val="000000"/>
        </w:rPr>
        <w:t>are</w:t>
      </w:r>
      <w:r w:rsidR="008225F2">
        <w:rPr>
          <w:rFonts w:eastAsia="Times New Roman" w:cs="Times New Roman"/>
          <w:color w:val="000000"/>
        </w:rPr>
        <w:t xml:space="preserve"> not foreclosed by </w:t>
      </w:r>
      <w:r w:rsidRPr="003927BC" w:rsidR="008225F2">
        <w:rPr>
          <w:rFonts w:eastAsia="Times New Roman" w:cs="Times New Roman"/>
          <w:i/>
          <w:iCs/>
          <w:color w:val="000000"/>
        </w:rPr>
        <w:t>Briggs</w:t>
      </w:r>
      <w:r w:rsidR="003927BC">
        <w:rPr>
          <w:rFonts w:eastAsia="Times New Roman" w:cs="Times New Roman"/>
          <w:color w:val="000000"/>
        </w:rPr>
        <w:t xml:space="preserve">, </w:t>
      </w:r>
      <w:r w:rsidR="008225F2">
        <w:rPr>
          <w:rFonts w:eastAsia="Times New Roman" w:cs="Times New Roman"/>
          <w:color w:val="000000"/>
        </w:rPr>
        <w:t>b</w:t>
      </w:r>
      <w:r w:rsidR="002A00AA">
        <w:rPr>
          <w:rFonts w:eastAsia="Times New Roman" w:cs="Times New Roman"/>
          <w:color w:val="000000"/>
        </w:rPr>
        <w:t xml:space="preserve">ut </w:t>
      </w:r>
      <w:r w:rsidR="00125590">
        <w:rPr>
          <w:rFonts w:eastAsia="Times New Roman" w:cs="Times New Roman"/>
          <w:color w:val="000000"/>
        </w:rPr>
        <w:t>assu</w:t>
      </w:r>
      <w:r w:rsidR="00C545D4">
        <w:rPr>
          <w:rFonts w:eastAsia="Times New Roman" w:cs="Times New Roman"/>
          <w:color w:val="000000"/>
        </w:rPr>
        <w:t xml:space="preserve">ming he is </w:t>
      </w:r>
      <w:r w:rsidR="003927BC">
        <w:rPr>
          <w:rFonts w:eastAsia="Times New Roman" w:cs="Times New Roman"/>
          <w:color w:val="000000"/>
        </w:rPr>
        <w:t xml:space="preserve">right about that, </w:t>
      </w:r>
      <w:r w:rsidR="0041645F">
        <w:rPr>
          <w:rFonts w:eastAsia="Times New Roman" w:cs="Times New Roman"/>
          <w:color w:val="000000"/>
        </w:rPr>
        <w:t xml:space="preserve">we decline to address and resolve </w:t>
      </w:r>
      <w:r w:rsidR="007F7857">
        <w:rPr>
          <w:rFonts w:eastAsia="Times New Roman" w:cs="Times New Roman"/>
          <w:color w:val="000000"/>
        </w:rPr>
        <w:t xml:space="preserve">any of his constitutional attacks on </w:t>
      </w:r>
      <w:r w:rsidR="00CD0BF4">
        <w:rPr>
          <w:rFonts w:eastAsia="Times New Roman" w:cs="Times New Roman"/>
          <w:color w:val="000000"/>
        </w:rPr>
        <w:t>section 1509(d) despite having concluded we have jurisdiction to entertain t</w:t>
      </w:r>
      <w:r w:rsidR="0041645F">
        <w:rPr>
          <w:rFonts w:eastAsia="Times New Roman" w:cs="Times New Roman"/>
          <w:color w:val="000000"/>
        </w:rPr>
        <w:t xml:space="preserve">hem in this case. </w:t>
      </w:r>
    </w:p>
    <w:p w:rsidR="001C2590" w:rsidP="00BD7F4B" w14:paraId="214FF607" w14:textId="4EF1E61A">
      <w:pPr>
        <w:shd w:val="clear" w:color="auto" w:fill="FFFFFF"/>
        <w:rPr>
          <w:rFonts w:eastAsia="Times New Roman" w:cs="Times New Roman"/>
          <w:color w:val="000000"/>
        </w:rPr>
      </w:pPr>
      <w:r>
        <w:rPr>
          <w:rFonts w:eastAsia="Times New Roman" w:cs="Times New Roman"/>
          <w:color w:val="000000"/>
        </w:rPr>
        <w:t>Seu</w:t>
      </w:r>
      <w:r w:rsidR="00EE0E33">
        <w:rPr>
          <w:rFonts w:eastAsia="Times New Roman" w:cs="Times New Roman"/>
          <w:color w:val="000000"/>
        </w:rPr>
        <w:t>man</w:t>
      </w:r>
      <w:r>
        <w:rPr>
          <w:rFonts w:eastAsia="Times New Roman" w:cs="Times New Roman"/>
          <w:color w:val="000000"/>
        </w:rPr>
        <w:t>u argues that “In [</w:t>
      </w:r>
      <w:r>
        <w:rPr>
          <w:rFonts w:eastAsia="Times New Roman" w:cs="Times New Roman"/>
          <w:i/>
          <w:iCs/>
          <w:color w:val="000000"/>
        </w:rPr>
        <w:t>Friend I</w:t>
      </w:r>
      <w:r>
        <w:rPr>
          <w:rFonts w:eastAsia="Times New Roman" w:cs="Times New Roman"/>
          <w:color w:val="000000"/>
        </w:rPr>
        <w:t>], the court noted that the new restrictions on successive petitions in section 1509(d) posed ‘novel and serious’ constitutional questions</w:t>
      </w:r>
      <w:r w:rsidR="000E0B07">
        <w:rPr>
          <w:rFonts w:eastAsia="Times New Roman" w:cs="Times New Roman"/>
          <w:color w:val="000000"/>
        </w:rPr>
        <w:t xml:space="preserve">. . . . </w:t>
      </w:r>
      <w:r>
        <w:rPr>
          <w:rFonts w:eastAsia="Times New Roman" w:cs="Times New Roman"/>
          <w:color w:val="000000"/>
        </w:rPr>
        <w:t>Indeed, the court explicitly left open whether the statute</w:t>
      </w:r>
      <w:r w:rsidR="007668F0">
        <w:rPr>
          <w:rFonts w:eastAsia="Times New Roman" w:cs="Times New Roman"/>
          <w:color w:val="000000"/>
        </w:rPr>
        <w:t>’</w:t>
      </w:r>
      <w:r>
        <w:rPr>
          <w:rFonts w:eastAsia="Times New Roman" w:cs="Times New Roman"/>
          <w:color w:val="000000"/>
        </w:rPr>
        <w:t xml:space="preserve">s narrowing of the </w:t>
      </w:r>
      <w:r>
        <w:rPr>
          <w:rFonts w:eastAsia="Times New Roman" w:cs="Times New Roman"/>
          <w:i/>
          <w:iCs/>
          <w:color w:val="000000"/>
        </w:rPr>
        <w:t>Clark</w:t>
      </w:r>
      <w:r>
        <w:rPr>
          <w:rFonts w:eastAsia="Times New Roman" w:cs="Times New Roman"/>
          <w:color w:val="000000"/>
        </w:rPr>
        <w:t xml:space="preserve"> exception was unconstitutional.”  “These ‘novel and serious’ questions are squarely presented in this case,” according to him.  We do not think they are. </w:t>
      </w:r>
      <w:r w:rsidR="0041645F">
        <w:rPr>
          <w:rFonts w:eastAsia="Times New Roman" w:cs="Times New Roman"/>
          <w:color w:val="000000"/>
        </w:rPr>
        <w:t xml:space="preserve"> </w:t>
      </w:r>
    </w:p>
    <w:p w:rsidR="00C34DFA" w:rsidP="0041645F" w14:paraId="43097690" w14:textId="500EB0EC">
      <w:pPr>
        <w:shd w:val="clear" w:color="auto" w:fill="FFFFFF"/>
        <w:rPr>
          <w:rFonts w:eastAsia="Times New Roman" w:cs="Times New Roman"/>
          <w:color w:val="000000"/>
        </w:rPr>
      </w:pPr>
      <w:r>
        <w:rPr>
          <w:rFonts w:eastAsia="Times New Roman" w:cs="Times New Roman"/>
          <w:color w:val="000000"/>
        </w:rPr>
        <w:t xml:space="preserve">The essential wisdom of the Supreme Court’s reading of the term “successive” in </w:t>
      </w:r>
      <w:r>
        <w:rPr>
          <w:rFonts w:eastAsia="Times New Roman" w:cs="Times New Roman"/>
          <w:i/>
          <w:iCs/>
          <w:color w:val="000000"/>
        </w:rPr>
        <w:t>Friend I</w:t>
      </w:r>
      <w:r>
        <w:rPr>
          <w:rFonts w:eastAsia="Times New Roman" w:cs="Times New Roman"/>
          <w:color w:val="000000"/>
        </w:rPr>
        <w:t xml:space="preserve">, as we read the opinion there, is that it removed the necessity to resort to the </w:t>
      </w:r>
      <w:r>
        <w:rPr>
          <w:rFonts w:eastAsia="Times New Roman" w:cs="Times New Roman"/>
          <w:i/>
          <w:iCs/>
          <w:color w:val="000000"/>
        </w:rPr>
        <w:t>Clark</w:t>
      </w:r>
      <w:r>
        <w:rPr>
          <w:rFonts w:eastAsia="Times New Roman" w:cs="Times New Roman"/>
          <w:color w:val="000000"/>
        </w:rPr>
        <w:t xml:space="preserve"> backstop exception in all but the rarest of rare cases.  </w:t>
      </w:r>
      <w:r w:rsidR="002D37BC">
        <w:rPr>
          <w:rFonts w:eastAsia="Times New Roman" w:cs="Times New Roman"/>
          <w:color w:val="000000"/>
        </w:rPr>
        <w:t>We cannot predict whether</w:t>
      </w:r>
      <w:r w:rsidR="00FC2B0D">
        <w:rPr>
          <w:rFonts w:eastAsia="Times New Roman" w:cs="Times New Roman"/>
          <w:color w:val="000000"/>
        </w:rPr>
        <w:t xml:space="preserve">, </w:t>
      </w:r>
      <w:r>
        <w:rPr>
          <w:rFonts w:eastAsia="Times New Roman" w:cs="Times New Roman"/>
          <w:color w:val="000000"/>
        </w:rPr>
        <w:t xml:space="preserve">after </w:t>
      </w:r>
      <w:r>
        <w:rPr>
          <w:rFonts w:eastAsia="Times New Roman" w:cs="Times New Roman"/>
          <w:i/>
          <w:iCs/>
          <w:color w:val="000000"/>
        </w:rPr>
        <w:t>Friend I</w:t>
      </w:r>
      <w:r>
        <w:rPr>
          <w:rFonts w:eastAsia="Times New Roman" w:cs="Times New Roman"/>
          <w:color w:val="000000"/>
        </w:rPr>
        <w:t>, a case might arise where none of the three non-successiveness criteria enunciated by the Supreme Court applies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0B1650">
        <w:rPr>
          <w:rFonts w:eastAsia="Times New Roman" w:cs="Times New Roman"/>
          <w:color w:val="000000"/>
        </w:rPr>
        <w:t> </w:t>
      </w:r>
      <w:r>
        <w:rPr>
          <w:rFonts w:eastAsia="Times New Roman" w:cs="Times New Roman"/>
          <w:color w:val="000000"/>
        </w:rPr>
        <w:t>Cal.5</w:t>
      </w:r>
      <w:r w:rsidRPr="007668F0">
        <w:rPr>
          <w:rFonts w:eastAsia="Times New Roman" w:cs="Times New Roman"/>
          <w:color w:val="000000"/>
        </w:rPr>
        <w:t>th</w:t>
      </w:r>
      <w:r>
        <w:rPr>
          <w:rFonts w:eastAsia="Times New Roman" w:cs="Times New Roman"/>
          <w:color w:val="000000"/>
        </w:rPr>
        <w:t xml:space="preserve"> at p</w:t>
      </w:r>
      <w:r w:rsidR="007668F0">
        <w:rPr>
          <w:rFonts w:eastAsia="Times New Roman" w:cs="Times New Roman"/>
          <w:color w:val="000000"/>
        </w:rPr>
        <w:t>.</w:t>
      </w:r>
      <w:r w:rsidR="000B1650">
        <w:rPr>
          <w:rFonts w:eastAsia="Times New Roman" w:cs="Times New Roman"/>
          <w:color w:val="000000"/>
        </w:rPr>
        <w:t> </w:t>
      </w:r>
      <w:r>
        <w:rPr>
          <w:rFonts w:eastAsia="Times New Roman" w:cs="Times New Roman"/>
          <w:color w:val="000000"/>
        </w:rPr>
        <w:t xml:space="preserve">731), but at least one of the two discarded miscarriage of justice circumstances in </w:t>
      </w:r>
      <w:r>
        <w:rPr>
          <w:rFonts w:eastAsia="Times New Roman" w:cs="Times New Roman"/>
          <w:i/>
          <w:iCs/>
          <w:color w:val="000000"/>
        </w:rPr>
        <w:t>Clark</w:t>
      </w:r>
      <w:r>
        <w:rPr>
          <w:rFonts w:eastAsia="Times New Roman" w:cs="Times New Roman"/>
          <w:color w:val="000000"/>
        </w:rPr>
        <w:t xml:space="preserve"> is </w:t>
      </w:r>
      <w:r w:rsidR="00C25915">
        <w:rPr>
          <w:rFonts w:eastAsia="Times New Roman" w:cs="Times New Roman"/>
          <w:color w:val="000000"/>
        </w:rPr>
        <w:t xml:space="preserve">nonetheless </w:t>
      </w:r>
      <w:r>
        <w:rPr>
          <w:rFonts w:eastAsia="Times New Roman" w:cs="Times New Roman"/>
          <w:color w:val="000000"/>
        </w:rPr>
        <w:t>present (</w:t>
      </w:r>
      <w:r>
        <w:rPr>
          <w:rFonts w:eastAsia="Times New Roman" w:cs="Times New Roman"/>
          <w:i/>
          <w:iCs/>
          <w:color w:val="3D3D3D"/>
          <w:bdr w:val="none" w:sz="0" w:space="0" w:color="auto" w:frame="1"/>
        </w:rPr>
        <w:t>Friend I</w:t>
      </w:r>
      <w:r>
        <w:rPr>
          <w:rFonts w:eastAsia="Times New Roman" w:cs="Times New Roman"/>
          <w:color w:val="000000"/>
        </w:rPr>
        <w:t>, at p.</w:t>
      </w:r>
      <w:r w:rsidR="000B1650">
        <w:rPr>
          <w:rFonts w:eastAsia="Times New Roman" w:cs="Times New Roman"/>
          <w:color w:val="000000"/>
        </w:rPr>
        <w:t> </w:t>
      </w:r>
      <w:r>
        <w:rPr>
          <w:rFonts w:eastAsia="Times New Roman" w:cs="Times New Roman"/>
          <w:color w:val="000000"/>
        </w:rPr>
        <w:t xml:space="preserve">728), thus triggering </w:t>
      </w:r>
      <w:r>
        <w:rPr>
          <w:rFonts w:eastAsia="Times New Roman" w:cs="Times New Roman"/>
          <w:i/>
          <w:iCs/>
          <w:color w:val="000000"/>
        </w:rPr>
        <w:t>Clark</w:t>
      </w:r>
      <w:r>
        <w:rPr>
          <w:rFonts w:eastAsia="Times New Roman" w:cs="Times New Roman"/>
          <w:color w:val="000000"/>
        </w:rPr>
        <w:t>’s backstop exception as it stood before it was narrowed by Proposition 66</w:t>
      </w:r>
      <w:r w:rsidR="00E80FD5">
        <w:rPr>
          <w:rFonts w:eastAsia="Times New Roman" w:cs="Times New Roman"/>
          <w:color w:val="000000"/>
        </w:rPr>
        <w:t xml:space="preserve">, and concretely presenting the </w:t>
      </w:r>
      <w:r w:rsidR="00461584">
        <w:rPr>
          <w:rFonts w:eastAsia="Times New Roman" w:cs="Times New Roman"/>
          <w:color w:val="000000"/>
        </w:rPr>
        <w:t>as</w:t>
      </w:r>
      <w:r w:rsidR="000F010F">
        <w:rPr>
          <w:rFonts w:eastAsia="Times New Roman" w:cs="Times New Roman"/>
          <w:color w:val="000000"/>
        </w:rPr>
        <w:t>-</w:t>
      </w:r>
      <w:r w:rsidR="00461584">
        <w:rPr>
          <w:rFonts w:eastAsia="Times New Roman" w:cs="Times New Roman"/>
          <w:color w:val="000000"/>
        </w:rPr>
        <w:t xml:space="preserve">applied constitutional arguments Seumanu proposes to make.  </w:t>
      </w:r>
      <w:r>
        <w:rPr>
          <w:rFonts w:eastAsia="Times New Roman" w:cs="Times New Roman"/>
          <w:color w:val="000000"/>
        </w:rPr>
        <w:t xml:space="preserve">But </w:t>
      </w:r>
      <w:r w:rsidR="0083603E">
        <w:rPr>
          <w:rFonts w:eastAsia="Times New Roman" w:cs="Times New Roman"/>
          <w:color w:val="000000"/>
        </w:rPr>
        <w:t xml:space="preserve">if there </w:t>
      </w:r>
      <w:r w:rsidR="008528FE">
        <w:rPr>
          <w:rFonts w:eastAsia="Times New Roman" w:cs="Times New Roman"/>
          <w:color w:val="000000"/>
        </w:rPr>
        <w:t xml:space="preserve">remains a real possibility </w:t>
      </w:r>
      <w:r w:rsidR="008F7A07">
        <w:rPr>
          <w:rFonts w:eastAsia="Times New Roman" w:cs="Times New Roman"/>
          <w:color w:val="000000"/>
        </w:rPr>
        <w:t xml:space="preserve">that </w:t>
      </w:r>
      <w:r w:rsidR="00C73C57">
        <w:rPr>
          <w:rFonts w:eastAsia="Times New Roman" w:cs="Times New Roman"/>
          <w:color w:val="000000"/>
        </w:rPr>
        <w:t xml:space="preserve">such a case may arise, </w:t>
      </w:r>
      <w:r>
        <w:rPr>
          <w:rFonts w:eastAsia="Times New Roman" w:cs="Times New Roman"/>
          <w:color w:val="000000"/>
        </w:rPr>
        <w:t xml:space="preserve">we are not convinced this is </w:t>
      </w:r>
      <w:r w:rsidR="0083603E">
        <w:rPr>
          <w:rFonts w:eastAsia="Times New Roman" w:cs="Times New Roman"/>
          <w:color w:val="000000"/>
        </w:rPr>
        <w:t>it.</w:t>
      </w:r>
      <w:r>
        <w:rPr>
          <w:rFonts w:eastAsia="Times New Roman" w:cs="Times New Roman"/>
          <w:color w:val="000000"/>
        </w:rPr>
        <w:t xml:space="preserve"> </w:t>
      </w:r>
      <w:r w:rsidR="004B7E7E">
        <w:rPr>
          <w:rFonts w:eastAsia="Times New Roman" w:cs="Times New Roman"/>
          <w:color w:val="000000"/>
        </w:rPr>
        <w:t xml:space="preserve"> </w:t>
      </w:r>
    </w:p>
    <w:p w:rsidR="001918F5" w:rsidP="001918F5" w14:paraId="6AAA3D10" w14:textId="051901A3">
      <w:pPr>
        <w:shd w:val="clear" w:color="auto" w:fill="FFFFFF"/>
        <w:rPr>
          <w:rFonts w:eastAsia="Times New Roman" w:cs="Times New Roman"/>
          <w:color w:val="000000"/>
        </w:rPr>
      </w:pPr>
      <w:r>
        <w:t>A</w:t>
      </w:r>
      <w:r w:rsidR="00310A58">
        <w:t xml:space="preserve">s with </w:t>
      </w:r>
      <w:r w:rsidR="00F83693">
        <w:t>several</w:t>
      </w:r>
      <w:r w:rsidR="00310A58">
        <w:t xml:space="preserve"> of</w:t>
      </w:r>
      <w:r w:rsidR="0028085C">
        <w:t xml:space="preserve"> Seumanu’s unexhausted claims </w:t>
      </w:r>
      <w:r w:rsidR="00AA65E5">
        <w:t xml:space="preserve">when tested for </w:t>
      </w:r>
      <w:r w:rsidR="0028085C">
        <w:t>successiveness</w:t>
      </w:r>
      <w:r w:rsidR="00AA65E5">
        <w:t xml:space="preserve">, </w:t>
      </w:r>
      <w:r w:rsidR="0028085C">
        <w:t xml:space="preserve">the insurmountable problem for him </w:t>
      </w:r>
      <w:r w:rsidR="00AA65E5">
        <w:t xml:space="preserve">here </w:t>
      </w:r>
      <w:r w:rsidR="0028085C">
        <w:t>is prejudice</w:t>
      </w:r>
      <w:r>
        <w:t>, a quintessentially record-specific issue</w:t>
      </w:r>
      <w:r w:rsidR="0028085C">
        <w:t xml:space="preserve">. </w:t>
      </w:r>
      <w:r>
        <w:t xml:space="preserve"> </w:t>
      </w:r>
      <w:r w:rsidR="0041645F">
        <w:t xml:space="preserve">For each of the two </w:t>
      </w:r>
      <w:r w:rsidR="0041645F">
        <w:rPr>
          <w:i/>
          <w:iCs/>
        </w:rPr>
        <w:t xml:space="preserve">Clark </w:t>
      </w:r>
      <w:r w:rsidR="0041645F">
        <w:t>miscarriage of justice circumstances Seumanu focuses upon</w:t>
      </w:r>
      <w:r w:rsidR="003C08FA">
        <w:t xml:space="preserve"> (the first and the third)</w:t>
      </w:r>
      <w:r w:rsidR="0041645F">
        <w:t xml:space="preserve">, there must be a showing that, absent the alleged constitutional violation, no reasonable judge or jury would have convicted the petitioner or sentenced him to death.  </w:t>
      </w:r>
      <w:r w:rsidR="0041645F">
        <w:rPr>
          <w:rFonts w:eastAsia="Times New Roman" w:cs="Times New Roman"/>
          <w:color w:val="000000"/>
        </w:rPr>
        <w:t>(</w:t>
      </w:r>
      <w:r w:rsidR="0041645F">
        <w:rPr>
          <w:rFonts w:eastAsia="Times New Roman" w:cs="Times New Roman"/>
          <w:i/>
          <w:iCs/>
          <w:color w:val="000000"/>
        </w:rPr>
        <w:t>Clark</w:t>
      </w:r>
      <w:r w:rsidR="0041645F">
        <w:rPr>
          <w:rFonts w:eastAsia="Times New Roman" w:cs="Times New Roman"/>
          <w:color w:val="000000"/>
        </w:rPr>
        <w:t xml:space="preserve">, </w:t>
      </w:r>
      <w:r w:rsidR="0041645F">
        <w:rPr>
          <w:rFonts w:eastAsia="Times New Roman" w:cs="Times New Roman"/>
          <w:i/>
          <w:iCs/>
          <w:color w:val="000000"/>
        </w:rPr>
        <w:t>supra</w:t>
      </w:r>
      <w:r w:rsidR="0041645F">
        <w:rPr>
          <w:rFonts w:eastAsia="Times New Roman" w:cs="Times New Roman"/>
          <w:color w:val="000000"/>
        </w:rPr>
        <w:t>, 5</w:t>
      </w:r>
      <w:r w:rsidR="00824E4D">
        <w:rPr>
          <w:rFonts w:eastAsia="Times New Roman" w:cs="Times New Roman"/>
          <w:color w:val="000000"/>
        </w:rPr>
        <w:t> </w:t>
      </w:r>
      <w:r w:rsidR="0041645F">
        <w:rPr>
          <w:rFonts w:eastAsia="Times New Roman" w:cs="Times New Roman"/>
          <w:color w:val="000000"/>
        </w:rPr>
        <w:t xml:space="preserve">Cal.4th at </w:t>
      </w:r>
      <w:r w:rsidR="009F3ED6">
        <w:rPr>
          <w:rFonts w:eastAsia="Times New Roman" w:cs="Times New Roman"/>
          <w:color w:val="000000"/>
        </w:rPr>
        <w:t>pp. </w:t>
      </w:r>
      <w:r w:rsidR="0041645F">
        <w:rPr>
          <w:rFonts w:eastAsia="Times New Roman" w:cs="Times New Roman"/>
          <w:color w:val="000000"/>
        </w:rPr>
        <w:t>797</w:t>
      </w:r>
      <w:r w:rsidR="00731B7B">
        <w:rPr>
          <w:rFonts w:eastAsia="Times New Roman" w:cs="Times New Roman"/>
          <w:color w:val="000000"/>
        </w:rPr>
        <w:t>–</w:t>
      </w:r>
      <w:r w:rsidR="0041645F">
        <w:rPr>
          <w:rFonts w:eastAsia="Times New Roman" w:cs="Times New Roman"/>
          <w:color w:val="000000"/>
        </w:rPr>
        <w:t xml:space="preserve">798.) </w:t>
      </w:r>
      <w:r w:rsidR="00F90769">
        <w:rPr>
          <w:rFonts w:eastAsia="Times New Roman" w:cs="Times New Roman"/>
          <w:color w:val="000000"/>
        </w:rPr>
        <w:t xml:space="preserve"> That </w:t>
      </w:r>
      <w:r w:rsidR="00B808C4">
        <w:rPr>
          <w:rFonts w:eastAsia="Times New Roman" w:cs="Times New Roman"/>
          <w:color w:val="000000"/>
        </w:rPr>
        <w:t>prejudice standard is m</w:t>
      </w:r>
      <w:r w:rsidR="00F90769">
        <w:rPr>
          <w:rFonts w:eastAsia="Times New Roman" w:cs="Times New Roman"/>
          <w:color w:val="000000"/>
        </w:rPr>
        <w:t>ore demanding tha</w:t>
      </w:r>
      <w:r w:rsidR="00B808C4">
        <w:rPr>
          <w:rFonts w:eastAsia="Times New Roman" w:cs="Times New Roman"/>
          <w:color w:val="000000"/>
        </w:rPr>
        <w:t>n</w:t>
      </w:r>
      <w:r w:rsidR="00F90769">
        <w:rPr>
          <w:rFonts w:eastAsia="Times New Roman" w:cs="Times New Roman"/>
          <w:color w:val="000000"/>
        </w:rPr>
        <w:t xml:space="preserve"> the ineffective assistance of counsel</w:t>
      </w:r>
      <w:r w:rsidR="00053BF6">
        <w:rPr>
          <w:rFonts w:eastAsia="Times New Roman" w:cs="Times New Roman"/>
          <w:color w:val="000000"/>
        </w:rPr>
        <w:t xml:space="preserve"> prejudice standard</w:t>
      </w:r>
      <w:r w:rsidR="008326BD">
        <w:rPr>
          <w:rFonts w:eastAsia="Times New Roman" w:cs="Times New Roman"/>
          <w:color w:val="000000"/>
        </w:rPr>
        <w:t>, and Seumanu gives us no reason to believe he meets it</w:t>
      </w:r>
      <w:r w:rsidR="00053BF6">
        <w:rPr>
          <w:rFonts w:eastAsia="Times New Roman" w:cs="Times New Roman"/>
          <w:color w:val="000000"/>
        </w:rPr>
        <w:t xml:space="preserve">. </w:t>
      </w:r>
    </w:p>
    <w:p w:rsidR="0041645F" w:rsidP="001918F5" w14:paraId="4A35C590" w14:textId="57D5EE53">
      <w:pPr>
        <w:pStyle w:val="FootnoteText"/>
        <w:spacing w:line="360" w:lineRule="auto"/>
        <w:rPr>
          <w:rFonts w:eastAsia="Times New Roman" w:cs="Times New Roman"/>
          <w:color w:val="000000"/>
        </w:rPr>
      </w:pPr>
      <w:r>
        <w:rPr>
          <w:rFonts w:eastAsia="Times New Roman" w:cs="Times New Roman"/>
          <w:color w:val="000000"/>
        </w:rPr>
        <w:t xml:space="preserve">Seumanu’s arguments are so broadly framed that they resemble attacks on the facial constitutionality of section 1509(d).  </w:t>
      </w:r>
      <w:r w:rsidR="001918F5">
        <w:rPr>
          <w:rFonts w:eastAsia="Times New Roman" w:cs="Times New Roman"/>
          <w:color w:val="000000"/>
        </w:rPr>
        <w:t>B</w:t>
      </w:r>
      <w:r>
        <w:rPr>
          <w:rFonts w:eastAsia="Times New Roman" w:cs="Times New Roman"/>
          <w:color w:val="000000"/>
        </w:rPr>
        <w:t xml:space="preserve">ecause </w:t>
      </w:r>
      <w:r w:rsidR="00FB7C7E">
        <w:rPr>
          <w:rFonts w:eastAsia="Times New Roman" w:cs="Times New Roman"/>
          <w:color w:val="000000"/>
        </w:rPr>
        <w:t>he</w:t>
      </w:r>
      <w:r>
        <w:rPr>
          <w:rFonts w:eastAsia="Times New Roman" w:cs="Times New Roman"/>
          <w:color w:val="000000"/>
        </w:rPr>
        <w:t xml:space="preserve"> engages in no meaningful attempt to s</w:t>
      </w:r>
      <w:r w:rsidR="0021774B">
        <w:rPr>
          <w:rFonts w:eastAsia="Times New Roman" w:cs="Times New Roman"/>
          <w:color w:val="000000"/>
        </w:rPr>
        <w:t xml:space="preserve">how </w:t>
      </w:r>
      <w:r w:rsidR="00511C3D">
        <w:rPr>
          <w:rFonts w:eastAsia="Times New Roman" w:cs="Times New Roman"/>
          <w:color w:val="000000"/>
        </w:rPr>
        <w:t xml:space="preserve">how circumstances one or three of the </w:t>
      </w:r>
      <w:r w:rsidRPr="002A797C" w:rsidR="00511C3D">
        <w:rPr>
          <w:rFonts w:eastAsia="Times New Roman" w:cs="Times New Roman"/>
          <w:i/>
          <w:iCs/>
          <w:color w:val="000000"/>
        </w:rPr>
        <w:t xml:space="preserve">Clark </w:t>
      </w:r>
      <w:r w:rsidR="00511C3D">
        <w:rPr>
          <w:rFonts w:eastAsia="Times New Roman" w:cs="Times New Roman"/>
          <w:color w:val="000000"/>
        </w:rPr>
        <w:t>miscarriage of justice test appl</w:t>
      </w:r>
      <w:r w:rsidR="002A797C">
        <w:rPr>
          <w:rFonts w:eastAsia="Times New Roman" w:cs="Times New Roman"/>
          <w:color w:val="000000"/>
        </w:rPr>
        <w:t xml:space="preserve">ies to </w:t>
      </w:r>
      <w:r w:rsidRPr="00C659AA">
        <w:rPr>
          <w:rFonts w:eastAsia="Times New Roman" w:cs="Times New Roman"/>
          <w:i/>
          <w:iCs/>
          <w:color w:val="000000"/>
        </w:rPr>
        <w:t xml:space="preserve">this </w:t>
      </w:r>
      <w:r w:rsidRPr="00C659AA" w:rsidR="002A797C">
        <w:rPr>
          <w:rFonts w:eastAsia="Times New Roman" w:cs="Times New Roman"/>
          <w:i/>
          <w:iCs/>
          <w:color w:val="000000"/>
        </w:rPr>
        <w:t>case</w:t>
      </w:r>
      <w:r w:rsidR="002A797C">
        <w:rPr>
          <w:rFonts w:eastAsia="Times New Roman" w:cs="Times New Roman"/>
          <w:color w:val="000000"/>
        </w:rPr>
        <w:t xml:space="preserve">, </w:t>
      </w:r>
      <w:r>
        <w:rPr>
          <w:rFonts w:eastAsia="Times New Roman" w:cs="Times New Roman"/>
          <w:color w:val="000000"/>
        </w:rPr>
        <w:t xml:space="preserve">we are unpersuaded that </w:t>
      </w:r>
      <w:r w:rsidRPr="002A797C" w:rsidR="00C659AA">
        <w:rPr>
          <w:rFonts w:eastAsia="Times New Roman" w:cs="Times New Roman"/>
          <w:i/>
          <w:iCs/>
          <w:color w:val="000000"/>
        </w:rPr>
        <w:t>Clark</w:t>
      </w:r>
      <w:r w:rsidR="00C659AA">
        <w:rPr>
          <w:rFonts w:eastAsia="Times New Roman" w:cs="Times New Roman"/>
          <w:i/>
          <w:iCs/>
          <w:color w:val="000000"/>
        </w:rPr>
        <w:t xml:space="preserve">’s </w:t>
      </w:r>
      <w:r>
        <w:rPr>
          <w:rFonts w:eastAsia="Times New Roman" w:cs="Times New Roman"/>
          <w:color w:val="000000"/>
        </w:rPr>
        <w:t xml:space="preserve">backstop exception would rescue any of his unexhausted claims from dismissal even if that case retained its full vitality.  </w:t>
      </w:r>
      <w:r w:rsidR="0084430C">
        <w:rPr>
          <w:rFonts w:eastAsia="Times New Roman" w:cs="Times New Roman"/>
          <w:color w:val="000000"/>
        </w:rPr>
        <w:t xml:space="preserve">Phrased in </w:t>
      </w:r>
      <w:r w:rsidR="00F23439">
        <w:rPr>
          <w:rFonts w:eastAsia="Times New Roman" w:cs="Times New Roman"/>
          <w:color w:val="000000"/>
        </w:rPr>
        <w:t xml:space="preserve">the terminology of </w:t>
      </w:r>
      <w:r w:rsidR="0084430C">
        <w:rPr>
          <w:rFonts w:eastAsia="Times New Roman" w:cs="Times New Roman"/>
          <w:color w:val="000000"/>
        </w:rPr>
        <w:t xml:space="preserve">the section 1509.1(c) standard for issuance of a COA, </w:t>
      </w:r>
      <w:r w:rsidR="00C615F0">
        <w:rPr>
          <w:rFonts w:eastAsia="Times New Roman" w:cs="Times New Roman"/>
          <w:color w:val="000000"/>
        </w:rPr>
        <w:t xml:space="preserve">we conclude </w:t>
      </w:r>
      <w:r>
        <w:rPr>
          <w:rFonts w:eastAsia="Times New Roman" w:cs="Times New Roman"/>
          <w:color w:val="000000"/>
        </w:rPr>
        <w:t xml:space="preserve">Seumanu fails to make a substantial showing that, </w:t>
      </w:r>
      <w:r w:rsidRPr="00F23439">
        <w:rPr>
          <w:rFonts w:eastAsia="Times New Roman" w:cs="Times New Roman"/>
          <w:i/>
          <w:iCs/>
          <w:color w:val="000000"/>
        </w:rPr>
        <w:t>as applied to him</w:t>
      </w:r>
      <w:r w:rsidRPr="000B0116">
        <w:rPr>
          <w:rFonts w:eastAsia="Times New Roman" w:cs="Times New Roman"/>
          <w:color w:val="000000"/>
        </w:rPr>
        <w:t>,</w:t>
      </w:r>
      <w:r>
        <w:rPr>
          <w:rFonts w:eastAsia="Times New Roman" w:cs="Times New Roman"/>
          <w:color w:val="000000"/>
        </w:rPr>
        <w:t xml:space="preserve"> there is any constitutional infirmity in section 1509(d). </w:t>
      </w:r>
    </w:p>
    <w:p w:rsidR="0041645F" w:rsidP="00C819DB" w14:paraId="0BE90AC5" w14:textId="2254FBB7">
      <w:pPr>
        <w:pStyle w:val="Heading1"/>
      </w:pPr>
      <w:r>
        <w:t xml:space="preserve">CONCLUSION AND </w:t>
      </w:r>
      <w:r w:rsidR="00DC0776">
        <w:t>DISPOSITION</w:t>
      </w:r>
    </w:p>
    <w:p w:rsidR="00D57541" w:rsidP="0041645F" w14:paraId="027A2A61" w14:textId="2E1FC25C">
      <w:pPr>
        <w:rPr>
          <w:rFonts w:eastAsia="Times New Roman" w:cs="Times New Roman"/>
          <w:color w:val="000000"/>
        </w:rPr>
      </w:pPr>
      <w:r>
        <w:rPr>
          <w:rFonts w:eastAsia="Times New Roman" w:cs="Times New Roman"/>
          <w:color w:val="000000"/>
        </w:rPr>
        <w:t xml:space="preserve">We </w:t>
      </w:r>
      <w:r w:rsidR="00DC7E8B">
        <w:rPr>
          <w:rFonts w:eastAsia="Times New Roman" w:cs="Times New Roman"/>
          <w:color w:val="000000"/>
        </w:rPr>
        <w:t>grant</w:t>
      </w:r>
      <w:r w:rsidR="00F00848">
        <w:rPr>
          <w:rFonts w:eastAsia="Times New Roman" w:cs="Times New Roman"/>
          <w:color w:val="000000"/>
        </w:rPr>
        <w:t xml:space="preserve"> Se</w:t>
      </w:r>
      <w:r w:rsidR="00F37619">
        <w:rPr>
          <w:rFonts w:eastAsia="Times New Roman" w:cs="Times New Roman"/>
          <w:color w:val="000000"/>
        </w:rPr>
        <w:t>u</w:t>
      </w:r>
      <w:r w:rsidR="00F00848">
        <w:rPr>
          <w:rFonts w:eastAsia="Times New Roman" w:cs="Times New Roman"/>
          <w:color w:val="000000"/>
        </w:rPr>
        <w:t xml:space="preserve">manu’s request for </w:t>
      </w:r>
      <w:r w:rsidR="00484864">
        <w:rPr>
          <w:rFonts w:eastAsia="Times New Roman" w:cs="Times New Roman"/>
          <w:color w:val="000000"/>
        </w:rPr>
        <w:t xml:space="preserve">the </w:t>
      </w:r>
      <w:r w:rsidR="00240900">
        <w:rPr>
          <w:rFonts w:eastAsia="Times New Roman" w:cs="Times New Roman"/>
          <w:color w:val="000000"/>
        </w:rPr>
        <w:t xml:space="preserve">appointment of </w:t>
      </w:r>
      <w:r w:rsidR="00484864">
        <w:rPr>
          <w:rFonts w:eastAsia="Times New Roman" w:cs="Times New Roman"/>
          <w:color w:val="000000"/>
        </w:rPr>
        <w:t xml:space="preserve">Michael Snedeker and Lisa Short as his </w:t>
      </w:r>
      <w:r w:rsidR="00240900">
        <w:rPr>
          <w:rFonts w:eastAsia="Times New Roman" w:cs="Times New Roman"/>
          <w:color w:val="000000"/>
        </w:rPr>
        <w:t>counsel</w:t>
      </w:r>
      <w:r w:rsidR="001039C7">
        <w:rPr>
          <w:rFonts w:eastAsia="Times New Roman" w:cs="Times New Roman"/>
          <w:color w:val="000000"/>
        </w:rPr>
        <w:t xml:space="preserve"> in this appeal</w:t>
      </w:r>
      <w:r w:rsidR="00901EF8">
        <w:rPr>
          <w:rFonts w:eastAsia="Times New Roman" w:cs="Times New Roman"/>
          <w:color w:val="000000"/>
        </w:rPr>
        <w:t xml:space="preserve"> effective nunc pro tunc to September</w:t>
      </w:r>
      <w:r w:rsidR="00824E4D">
        <w:rPr>
          <w:rFonts w:eastAsia="Times New Roman" w:cs="Times New Roman"/>
          <w:color w:val="000000"/>
        </w:rPr>
        <w:t> </w:t>
      </w:r>
      <w:r w:rsidR="00901EF8">
        <w:rPr>
          <w:rFonts w:eastAsia="Times New Roman" w:cs="Times New Roman"/>
          <w:color w:val="000000"/>
        </w:rPr>
        <w:t>26, 2023</w:t>
      </w:r>
      <w:r w:rsidR="000D5B48">
        <w:rPr>
          <w:rFonts w:eastAsia="Times New Roman" w:cs="Times New Roman"/>
          <w:color w:val="000000"/>
        </w:rPr>
        <w:t>,</w:t>
      </w:r>
      <w:r w:rsidR="00240900">
        <w:rPr>
          <w:rFonts w:eastAsia="Times New Roman" w:cs="Times New Roman"/>
          <w:color w:val="000000"/>
        </w:rPr>
        <w:t xml:space="preserve"> </w:t>
      </w:r>
      <w:r w:rsidR="008C0ABF">
        <w:rPr>
          <w:rFonts w:eastAsia="Times New Roman" w:cs="Times New Roman"/>
          <w:color w:val="000000"/>
        </w:rPr>
        <w:t xml:space="preserve">subject to the caveat that we </w:t>
      </w:r>
      <w:r w:rsidR="00F37619">
        <w:rPr>
          <w:rFonts w:eastAsia="Times New Roman" w:cs="Times New Roman"/>
          <w:color w:val="000000"/>
        </w:rPr>
        <w:t>lack authority at this time to authorize compensation.</w:t>
      </w:r>
    </w:p>
    <w:p w:rsidR="00F70585" w:rsidP="0041645F" w14:paraId="0A347081" w14:textId="333E922A">
      <w:pPr>
        <w:rPr>
          <w:rFonts w:eastAsia="Times New Roman" w:cs="Times New Roman"/>
          <w:color w:val="000000"/>
        </w:rPr>
      </w:pPr>
      <w:r>
        <w:rPr>
          <w:rFonts w:eastAsia="Times New Roman" w:cs="Times New Roman"/>
          <w:color w:val="000000"/>
        </w:rPr>
        <w:t xml:space="preserve">We </w:t>
      </w:r>
      <w:r w:rsidR="00DC7E8B">
        <w:rPr>
          <w:rFonts w:eastAsia="Times New Roman" w:cs="Times New Roman"/>
          <w:color w:val="000000"/>
        </w:rPr>
        <w:t>grant</w:t>
      </w:r>
      <w:r w:rsidR="002F4633">
        <w:rPr>
          <w:rFonts w:eastAsia="Times New Roman" w:cs="Times New Roman"/>
          <w:color w:val="000000"/>
        </w:rPr>
        <w:t>, in part</w:t>
      </w:r>
      <w:r w:rsidR="00F650CE">
        <w:rPr>
          <w:rFonts w:eastAsia="Times New Roman" w:cs="Times New Roman"/>
          <w:color w:val="000000"/>
        </w:rPr>
        <w:t>,</w:t>
      </w:r>
      <w:r w:rsidR="00DC7E8B">
        <w:rPr>
          <w:rFonts w:eastAsia="Times New Roman" w:cs="Times New Roman"/>
          <w:color w:val="000000"/>
        </w:rPr>
        <w:t xml:space="preserve"> Seumanu’s request for a </w:t>
      </w:r>
      <w:r>
        <w:rPr>
          <w:rFonts w:eastAsia="Times New Roman" w:cs="Times New Roman"/>
          <w:color w:val="000000"/>
        </w:rPr>
        <w:t xml:space="preserve">COA </w:t>
      </w:r>
      <w:r w:rsidR="003C494D">
        <w:rPr>
          <w:rFonts w:eastAsia="Times New Roman" w:cs="Times New Roman"/>
          <w:color w:val="000000"/>
        </w:rPr>
        <w:t xml:space="preserve">as to </w:t>
      </w:r>
      <w:r w:rsidR="00C629E2">
        <w:rPr>
          <w:rFonts w:eastAsia="Times New Roman" w:cs="Times New Roman"/>
          <w:color w:val="000000"/>
        </w:rPr>
        <w:t>claim four</w:t>
      </w:r>
      <w:r w:rsidR="003C494D">
        <w:rPr>
          <w:rFonts w:eastAsia="Times New Roman" w:cs="Times New Roman"/>
          <w:color w:val="000000"/>
        </w:rPr>
        <w:t xml:space="preserve"> in the Exhaustion Petition</w:t>
      </w:r>
      <w:r w:rsidR="002F4633">
        <w:rPr>
          <w:rFonts w:eastAsia="Times New Roman" w:cs="Times New Roman"/>
          <w:color w:val="000000"/>
        </w:rPr>
        <w:t>.</w:t>
      </w:r>
      <w:r w:rsidR="00DC7E8B">
        <w:rPr>
          <w:rFonts w:eastAsia="Times New Roman" w:cs="Times New Roman"/>
          <w:color w:val="000000"/>
        </w:rPr>
        <w:t xml:space="preserve">  </w:t>
      </w:r>
      <w:r w:rsidR="00252BC1">
        <w:rPr>
          <w:rFonts w:eastAsia="Times New Roman" w:cs="Times New Roman"/>
          <w:color w:val="000000"/>
        </w:rPr>
        <w:t xml:space="preserve">We </w:t>
      </w:r>
      <w:r w:rsidR="00472752">
        <w:rPr>
          <w:rFonts w:eastAsia="Times New Roman" w:cs="Times New Roman"/>
          <w:color w:val="000000"/>
        </w:rPr>
        <w:t xml:space="preserve">will entertain </w:t>
      </w:r>
      <w:r w:rsidR="00432966">
        <w:rPr>
          <w:rFonts w:eastAsia="Times New Roman" w:cs="Times New Roman"/>
          <w:color w:val="000000"/>
        </w:rPr>
        <w:t>Seumanu’s</w:t>
      </w:r>
      <w:r w:rsidR="00472752">
        <w:rPr>
          <w:rFonts w:eastAsia="Times New Roman" w:cs="Times New Roman"/>
          <w:color w:val="000000"/>
        </w:rPr>
        <w:t xml:space="preserve"> appeal of the issue of successiveness </w:t>
      </w:r>
      <w:r w:rsidR="00950E19">
        <w:rPr>
          <w:rFonts w:eastAsia="Times New Roman" w:cs="Times New Roman"/>
          <w:color w:val="000000"/>
        </w:rPr>
        <w:t xml:space="preserve">on that claim to the extent he argues it was ineffective assistance </w:t>
      </w:r>
      <w:r w:rsidR="001B7A2C">
        <w:rPr>
          <w:rFonts w:eastAsia="Times New Roman" w:cs="Times New Roman"/>
          <w:color w:val="000000"/>
        </w:rPr>
        <w:t>for his former</w:t>
      </w:r>
      <w:r w:rsidR="00741D32">
        <w:rPr>
          <w:rFonts w:eastAsia="Times New Roman" w:cs="Times New Roman"/>
          <w:color w:val="000000"/>
        </w:rPr>
        <w:t xml:space="preserve"> </w:t>
      </w:r>
      <w:r w:rsidR="001B7A2C">
        <w:rPr>
          <w:rFonts w:eastAsia="Times New Roman" w:cs="Times New Roman"/>
          <w:color w:val="000000"/>
        </w:rPr>
        <w:t>postconviction counsel</w:t>
      </w:r>
      <w:r w:rsidR="00741D32">
        <w:rPr>
          <w:rFonts w:eastAsia="Times New Roman" w:cs="Times New Roman"/>
          <w:color w:val="000000"/>
        </w:rPr>
        <w:t xml:space="preserve"> </w:t>
      </w:r>
      <w:r w:rsidR="000B3E21">
        <w:rPr>
          <w:rFonts w:eastAsia="Times New Roman" w:cs="Times New Roman"/>
          <w:color w:val="000000"/>
        </w:rPr>
        <w:t xml:space="preserve">to omit </w:t>
      </w:r>
      <w:r w:rsidR="00741D32">
        <w:rPr>
          <w:rFonts w:eastAsia="Times New Roman" w:cs="Times New Roman"/>
          <w:color w:val="000000"/>
        </w:rPr>
        <w:t>from</w:t>
      </w:r>
      <w:r w:rsidR="000B3E21">
        <w:rPr>
          <w:rFonts w:eastAsia="Times New Roman" w:cs="Times New Roman"/>
          <w:color w:val="000000"/>
        </w:rPr>
        <w:t xml:space="preserve"> the Initial Petition any contention that </w:t>
      </w:r>
      <w:r w:rsidR="00A83891">
        <w:rPr>
          <w:rFonts w:eastAsia="Times New Roman" w:cs="Times New Roman"/>
          <w:color w:val="000000"/>
        </w:rPr>
        <w:t>pros</w:t>
      </w:r>
      <w:r w:rsidR="0040078B">
        <w:rPr>
          <w:rFonts w:eastAsia="Times New Roman" w:cs="Times New Roman"/>
          <w:color w:val="000000"/>
        </w:rPr>
        <w:t xml:space="preserve">pective juror </w:t>
      </w:r>
      <w:r w:rsidR="004453D6">
        <w:rPr>
          <w:rFonts w:eastAsia="Times New Roman" w:cs="Times New Roman"/>
          <w:color w:val="000000"/>
        </w:rPr>
        <w:t>Blue</w:t>
      </w:r>
      <w:r w:rsidR="00D375F3">
        <w:rPr>
          <w:rFonts w:eastAsia="Times New Roman" w:cs="Times New Roman"/>
          <w:color w:val="000000"/>
        </w:rPr>
        <w:t xml:space="preserve"> </w:t>
      </w:r>
      <w:r w:rsidR="00D37BF2">
        <w:rPr>
          <w:rFonts w:eastAsia="Times New Roman" w:cs="Times New Roman"/>
          <w:color w:val="000000"/>
        </w:rPr>
        <w:t xml:space="preserve">72 </w:t>
      </w:r>
      <w:r w:rsidR="00D40568">
        <w:rPr>
          <w:rFonts w:eastAsia="Times New Roman" w:cs="Times New Roman"/>
          <w:color w:val="000000"/>
        </w:rPr>
        <w:t xml:space="preserve">was </w:t>
      </w:r>
      <w:r w:rsidR="00D37BF2">
        <w:rPr>
          <w:rFonts w:eastAsia="Times New Roman" w:cs="Times New Roman"/>
          <w:color w:val="000000"/>
        </w:rPr>
        <w:t>improperly excused for cause</w:t>
      </w:r>
      <w:r w:rsidR="0074367D">
        <w:rPr>
          <w:rFonts w:eastAsia="Times New Roman" w:cs="Times New Roman"/>
          <w:color w:val="000000"/>
        </w:rPr>
        <w:t xml:space="preserve">, and that, as a result, </w:t>
      </w:r>
      <w:r w:rsidR="00D30986">
        <w:rPr>
          <w:rFonts w:eastAsia="Times New Roman" w:cs="Times New Roman"/>
          <w:color w:val="000000"/>
        </w:rPr>
        <w:t>a penalty retrial</w:t>
      </w:r>
      <w:r w:rsidR="00F650CE">
        <w:rPr>
          <w:rFonts w:eastAsia="Times New Roman" w:cs="Times New Roman"/>
          <w:color w:val="000000"/>
        </w:rPr>
        <w:t xml:space="preserve"> </w:t>
      </w:r>
      <w:r w:rsidR="000B16DA">
        <w:rPr>
          <w:rFonts w:eastAsia="Times New Roman" w:cs="Times New Roman"/>
          <w:color w:val="000000"/>
        </w:rPr>
        <w:t xml:space="preserve">is </w:t>
      </w:r>
      <w:r w:rsidR="00F650CE">
        <w:rPr>
          <w:rFonts w:eastAsia="Times New Roman" w:cs="Times New Roman"/>
          <w:color w:val="000000"/>
        </w:rPr>
        <w:t>required</w:t>
      </w:r>
      <w:r w:rsidR="00D30986">
        <w:rPr>
          <w:rFonts w:eastAsia="Times New Roman" w:cs="Times New Roman"/>
          <w:color w:val="000000"/>
        </w:rPr>
        <w:t xml:space="preserve">. </w:t>
      </w:r>
      <w:r w:rsidR="003C494D">
        <w:rPr>
          <w:rFonts w:eastAsia="Times New Roman" w:cs="Times New Roman"/>
          <w:color w:val="000000"/>
        </w:rPr>
        <w:t xml:space="preserve"> As to the </w:t>
      </w:r>
      <w:r w:rsidR="00D375F3">
        <w:rPr>
          <w:rFonts w:eastAsia="Times New Roman" w:cs="Times New Roman"/>
          <w:color w:val="000000"/>
        </w:rPr>
        <w:t>other prospe</w:t>
      </w:r>
      <w:r w:rsidR="008E00A2">
        <w:rPr>
          <w:rFonts w:eastAsia="Times New Roman" w:cs="Times New Roman"/>
          <w:color w:val="000000"/>
        </w:rPr>
        <w:t>c</w:t>
      </w:r>
      <w:r w:rsidR="00D375F3">
        <w:rPr>
          <w:rFonts w:eastAsia="Times New Roman" w:cs="Times New Roman"/>
          <w:color w:val="000000"/>
        </w:rPr>
        <w:t>ti</w:t>
      </w:r>
      <w:r w:rsidR="008E00A2">
        <w:rPr>
          <w:rFonts w:eastAsia="Times New Roman" w:cs="Times New Roman"/>
          <w:color w:val="000000"/>
        </w:rPr>
        <w:t>ve</w:t>
      </w:r>
      <w:r w:rsidR="00D375F3">
        <w:rPr>
          <w:rFonts w:eastAsia="Times New Roman" w:cs="Times New Roman"/>
          <w:color w:val="000000"/>
        </w:rPr>
        <w:t xml:space="preserve"> jurors </w:t>
      </w:r>
      <w:r w:rsidR="008E00A2">
        <w:rPr>
          <w:rFonts w:eastAsia="Times New Roman" w:cs="Times New Roman"/>
          <w:color w:val="000000"/>
        </w:rPr>
        <w:t xml:space="preserve">embraced by claim four and as to </w:t>
      </w:r>
      <w:r w:rsidR="0019002D">
        <w:rPr>
          <w:rFonts w:eastAsia="Times New Roman" w:cs="Times New Roman"/>
          <w:color w:val="000000"/>
        </w:rPr>
        <w:t xml:space="preserve">the remaining </w:t>
      </w:r>
      <w:r w:rsidR="003C494D">
        <w:rPr>
          <w:rFonts w:eastAsia="Times New Roman" w:cs="Times New Roman"/>
          <w:color w:val="000000"/>
        </w:rPr>
        <w:t>eight claims in the Exhaustion Petition, Seumanu’s request for a COA is denied.</w:t>
      </w:r>
    </w:p>
    <w:p w:rsidR="007F53FD" w:rsidP="0041645F" w14:paraId="435631A9" w14:textId="687DDBDC">
      <w:pPr>
        <w:rPr>
          <w:rFonts w:eastAsia="Times New Roman" w:cs="Times New Roman"/>
          <w:color w:val="000000"/>
        </w:rPr>
      </w:pPr>
      <w:r>
        <w:rPr>
          <w:rFonts w:eastAsia="Times New Roman" w:cs="Times New Roman"/>
          <w:color w:val="000000"/>
        </w:rPr>
        <w:t xml:space="preserve">We think </w:t>
      </w:r>
      <w:r w:rsidR="0052794B">
        <w:rPr>
          <w:rFonts w:eastAsia="Times New Roman" w:cs="Times New Roman"/>
          <w:color w:val="000000"/>
        </w:rPr>
        <w:t xml:space="preserve">the burden </w:t>
      </w:r>
      <w:r w:rsidR="0089277D">
        <w:rPr>
          <w:rFonts w:eastAsia="Times New Roman" w:cs="Times New Roman"/>
          <w:color w:val="000000"/>
        </w:rPr>
        <w:t xml:space="preserve">a </w:t>
      </w:r>
      <w:r w:rsidR="00C70230">
        <w:rPr>
          <w:rFonts w:eastAsia="Times New Roman" w:cs="Times New Roman"/>
          <w:color w:val="000000"/>
        </w:rPr>
        <w:t xml:space="preserve">section 1509.1(c) </w:t>
      </w:r>
      <w:r w:rsidR="0089277D">
        <w:rPr>
          <w:rFonts w:eastAsia="Times New Roman" w:cs="Times New Roman"/>
          <w:color w:val="000000"/>
        </w:rPr>
        <w:t xml:space="preserve">COA requester </w:t>
      </w:r>
      <w:r w:rsidR="00B95395">
        <w:rPr>
          <w:rFonts w:eastAsia="Times New Roman" w:cs="Times New Roman"/>
          <w:color w:val="000000"/>
        </w:rPr>
        <w:t xml:space="preserve">must meet </w:t>
      </w:r>
      <w:r w:rsidR="00B9696A">
        <w:rPr>
          <w:rFonts w:eastAsia="Times New Roman" w:cs="Times New Roman"/>
          <w:color w:val="000000"/>
        </w:rPr>
        <w:t xml:space="preserve">in </w:t>
      </w:r>
      <w:r w:rsidR="0089277D">
        <w:rPr>
          <w:rFonts w:eastAsia="Times New Roman" w:cs="Times New Roman"/>
          <w:color w:val="000000"/>
        </w:rPr>
        <w:t xml:space="preserve">providing </w:t>
      </w:r>
      <w:r w:rsidR="00AD3B86">
        <w:rPr>
          <w:rFonts w:eastAsia="Times New Roman" w:cs="Times New Roman"/>
          <w:color w:val="000000"/>
        </w:rPr>
        <w:t>a sufficient record is clear</w:t>
      </w:r>
      <w:r w:rsidR="005A1314">
        <w:rPr>
          <w:rFonts w:eastAsia="Times New Roman" w:cs="Times New Roman"/>
          <w:color w:val="000000"/>
        </w:rPr>
        <w:t xml:space="preserve"> (see </w:t>
      </w:r>
      <w:r w:rsidRPr="00C83796" w:rsidR="00C50184">
        <w:rPr>
          <w:rFonts w:eastAsia="Times New Roman" w:cs="Times New Roman"/>
          <w:i/>
          <w:iCs/>
          <w:color w:val="000000"/>
        </w:rPr>
        <w:t>Friend II</w:t>
      </w:r>
      <w:r w:rsidRPr="00C83796" w:rsidR="00C50184">
        <w:rPr>
          <w:rFonts w:eastAsia="Times New Roman" w:cs="Times New Roman"/>
          <w:color w:val="000000"/>
        </w:rPr>
        <w:t xml:space="preserve">, </w:t>
      </w:r>
      <w:r w:rsidRPr="00C83796" w:rsidR="00C50184">
        <w:rPr>
          <w:rFonts w:eastAsia="Times New Roman" w:cs="Times New Roman"/>
          <w:i/>
          <w:iCs/>
          <w:color w:val="000000"/>
        </w:rPr>
        <w:t>supra</w:t>
      </w:r>
      <w:r w:rsidRPr="00C83796" w:rsidR="00C50184">
        <w:rPr>
          <w:rFonts w:eastAsia="Times New Roman" w:cs="Times New Roman"/>
          <w:color w:val="000000"/>
        </w:rPr>
        <w:t>, 76</w:t>
      </w:r>
      <w:r w:rsidR="00E13B63">
        <w:rPr>
          <w:rFonts w:eastAsia="Times New Roman" w:cs="Times New Roman"/>
          <w:color w:val="000000"/>
        </w:rPr>
        <w:t> </w:t>
      </w:r>
      <w:r w:rsidRPr="00C83796" w:rsidR="00C50184">
        <w:rPr>
          <w:rFonts w:eastAsia="Times New Roman" w:cs="Times New Roman"/>
          <w:color w:val="000000"/>
        </w:rPr>
        <w:t>Cal.App.5th at p.</w:t>
      </w:r>
      <w:r w:rsidR="00E13B63">
        <w:rPr>
          <w:rFonts w:eastAsia="Times New Roman" w:cs="Times New Roman"/>
          <w:color w:val="000000"/>
        </w:rPr>
        <w:t> </w:t>
      </w:r>
      <w:r w:rsidRPr="00C83796" w:rsidR="00C50184">
        <w:rPr>
          <w:rFonts w:eastAsia="Times New Roman" w:cs="Times New Roman"/>
          <w:color w:val="000000"/>
        </w:rPr>
        <w:t>628</w:t>
      </w:r>
      <w:r w:rsidR="00D70CF4">
        <w:rPr>
          <w:rFonts w:eastAsia="Times New Roman" w:cs="Times New Roman"/>
          <w:color w:val="000000"/>
        </w:rPr>
        <w:t>)</w:t>
      </w:r>
      <w:r w:rsidR="00C50184">
        <w:rPr>
          <w:rFonts w:eastAsia="Times New Roman" w:cs="Times New Roman"/>
          <w:color w:val="000000"/>
        </w:rPr>
        <w:t>,</w:t>
      </w:r>
      <w:r w:rsidR="00D70CF4">
        <w:rPr>
          <w:rFonts w:eastAsia="Times New Roman" w:cs="Times New Roman"/>
          <w:color w:val="000000"/>
        </w:rPr>
        <w:t xml:space="preserve"> </w:t>
      </w:r>
      <w:r w:rsidR="00B1356B">
        <w:rPr>
          <w:rFonts w:eastAsia="Times New Roman" w:cs="Times New Roman"/>
          <w:color w:val="000000"/>
        </w:rPr>
        <w:t xml:space="preserve">but </w:t>
      </w:r>
      <w:r w:rsidR="001D7A9B">
        <w:rPr>
          <w:rFonts w:eastAsia="Times New Roman" w:cs="Times New Roman"/>
          <w:color w:val="000000"/>
        </w:rPr>
        <w:t>since we have only today further expounded upon that burden</w:t>
      </w:r>
      <w:r w:rsidR="00565648">
        <w:rPr>
          <w:rFonts w:eastAsia="Times New Roman" w:cs="Times New Roman"/>
          <w:color w:val="000000"/>
        </w:rPr>
        <w:t>,</w:t>
      </w:r>
      <w:r w:rsidR="001D7A9B">
        <w:rPr>
          <w:rFonts w:eastAsia="Times New Roman" w:cs="Times New Roman"/>
          <w:color w:val="000000"/>
        </w:rPr>
        <w:t xml:space="preserve"> </w:t>
      </w:r>
      <w:r w:rsidR="00B1356B">
        <w:rPr>
          <w:rFonts w:eastAsia="Times New Roman" w:cs="Times New Roman"/>
          <w:color w:val="000000"/>
        </w:rPr>
        <w:t xml:space="preserve">we </w:t>
      </w:r>
      <w:r w:rsidR="00EC7822">
        <w:rPr>
          <w:rFonts w:eastAsia="Times New Roman" w:cs="Times New Roman"/>
          <w:color w:val="000000"/>
        </w:rPr>
        <w:t>recognize the potential</w:t>
      </w:r>
      <w:r w:rsidR="007C53C9">
        <w:rPr>
          <w:rFonts w:eastAsia="Times New Roman" w:cs="Times New Roman"/>
          <w:color w:val="000000"/>
        </w:rPr>
        <w:t xml:space="preserve"> that</w:t>
      </w:r>
      <w:r w:rsidR="00F93C1C">
        <w:rPr>
          <w:rFonts w:eastAsia="Times New Roman" w:cs="Times New Roman"/>
          <w:color w:val="000000"/>
        </w:rPr>
        <w:t xml:space="preserve">, </w:t>
      </w:r>
      <w:r w:rsidRPr="002C53D2" w:rsidR="00F93C1C">
        <w:rPr>
          <w:rFonts w:eastAsia="Times New Roman" w:cs="Times New Roman"/>
          <w:color w:val="000000"/>
        </w:rPr>
        <w:t>in this case</w:t>
      </w:r>
      <w:r w:rsidR="00F93C1C">
        <w:rPr>
          <w:rFonts w:eastAsia="Times New Roman" w:cs="Times New Roman"/>
          <w:color w:val="000000"/>
        </w:rPr>
        <w:t>,</w:t>
      </w:r>
      <w:r w:rsidR="002C1883">
        <w:rPr>
          <w:rFonts w:eastAsia="Times New Roman" w:cs="Times New Roman"/>
          <w:color w:val="000000"/>
        </w:rPr>
        <w:t xml:space="preserve"> </w:t>
      </w:r>
      <w:r w:rsidR="008849CC">
        <w:rPr>
          <w:rFonts w:eastAsia="Times New Roman" w:cs="Times New Roman"/>
          <w:color w:val="000000"/>
        </w:rPr>
        <w:t xml:space="preserve">Seumanu may not have </w:t>
      </w:r>
      <w:r w:rsidR="00006160">
        <w:rPr>
          <w:rFonts w:eastAsia="Times New Roman" w:cs="Times New Roman"/>
          <w:color w:val="000000"/>
        </w:rPr>
        <w:t>anticipated</w:t>
      </w:r>
      <w:r w:rsidR="000C5A49">
        <w:rPr>
          <w:rFonts w:eastAsia="Times New Roman" w:cs="Times New Roman"/>
          <w:color w:val="000000"/>
        </w:rPr>
        <w:t xml:space="preserve"> </w:t>
      </w:r>
      <w:r w:rsidR="00F079E9">
        <w:rPr>
          <w:rFonts w:eastAsia="Times New Roman" w:cs="Times New Roman"/>
          <w:color w:val="000000"/>
        </w:rPr>
        <w:t xml:space="preserve">the </w:t>
      </w:r>
      <w:r w:rsidR="000C5A49">
        <w:rPr>
          <w:rFonts w:eastAsia="Times New Roman" w:cs="Times New Roman"/>
          <w:color w:val="000000"/>
        </w:rPr>
        <w:t>need to provide</w:t>
      </w:r>
      <w:r w:rsidR="005B399D">
        <w:rPr>
          <w:rFonts w:eastAsia="Times New Roman" w:cs="Times New Roman"/>
          <w:color w:val="000000"/>
        </w:rPr>
        <w:t xml:space="preserve"> </w:t>
      </w:r>
      <w:r w:rsidR="00BD0CE1">
        <w:rPr>
          <w:rFonts w:eastAsia="Times New Roman" w:cs="Times New Roman"/>
          <w:color w:val="000000"/>
        </w:rPr>
        <w:t>more record materials than he did</w:t>
      </w:r>
      <w:r w:rsidR="00886D61">
        <w:rPr>
          <w:rFonts w:eastAsia="Times New Roman" w:cs="Times New Roman"/>
          <w:color w:val="000000"/>
        </w:rPr>
        <w:t xml:space="preserve"> </w:t>
      </w:r>
      <w:r w:rsidR="00BD0CE1">
        <w:rPr>
          <w:rFonts w:eastAsia="Times New Roman" w:cs="Times New Roman"/>
          <w:color w:val="000000"/>
        </w:rPr>
        <w:t xml:space="preserve">in making his </w:t>
      </w:r>
      <w:r w:rsidR="00B1356B">
        <w:rPr>
          <w:rFonts w:eastAsia="Times New Roman" w:cs="Times New Roman"/>
          <w:color w:val="000000"/>
        </w:rPr>
        <w:t>C</w:t>
      </w:r>
      <w:r w:rsidR="00BD0CE1">
        <w:rPr>
          <w:rFonts w:eastAsia="Times New Roman" w:cs="Times New Roman"/>
          <w:color w:val="000000"/>
        </w:rPr>
        <w:t>OA request</w:t>
      </w:r>
      <w:r w:rsidR="00827AF4">
        <w:rPr>
          <w:rFonts w:eastAsia="Times New Roman" w:cs="Times New Roman"/>
          <w:color w:val="000000"/>
        </w:rPr>
        <w:t xml:space="preserve">. </w:t>
      </w:r>
      <w:r w:rsidR="00AD482A">
        <w:rPr>
          <w:rFonts w:eastAsia="Times New Roman" w:cs="Times New Roman"/>
          <w:color w:val="000000"/>
        </w:rPr>
        <w:t xml:space="preserve"> </w:t>
      </w:r>
      <w:r w:rsidR="00BD0CE1">
        <w:rPr>
          <w:rFonts w:eastAsia="Times New Roman" w:cs="Times New Roman"/>
          <w:color w:val="000000"/>
        </w:rPr>
        <w:t>(</w:t>
      </w:r>
      <w:r w:rsidR="00827AF4">
        <w:rPr>
          <w:rFonts w:eastAsia="Times New Roman" w:cs="Times New Roman"/>
          <w:color w:val="000000"/>
        </w:rPr>
        <w:t>S</w:t>
      </w:r>
      <w:r w:rsidR="00BD0CE1">
        <w:rPr>
          <w:rFonts w:eastAsia="Times New Roman" w:cs="Times New Roman"/>
          <w:color w:val="000000"/>
        </w:rPr>
        <w:t>ee conc</w:t>
      </w:r>
      <w:r w:rsidR="00C23B79">
        <w:rPr>
          <w:rFonts w:eastAsia="Times New Roman" w:cs="Times New Roman"/>
          <w:color w:val="000000"/>
        </w:rPr>
        <w:t>.</w:t>
      </w:r>
      <w:r w:rsidR="00A52CC2">
        <w:rPr>
          <w:rFonts w:eastAsia="Times New Roman" w:cs="Times New Roman"/>
          <w:color w:val="000000"/>
        </w:rPr>
        <w:t xml:space="preserve"> opn.</w:t>
      </w:r>
      <w:r w:rsidR="00062722">
        <w:rPr>
          <w:rFonts w:eastAsia="Times New Roman" w:cs="Times New Roman"/>
          <w:color w:val="000000"/>
        </w:rPr>
        <w:t xml:space="preserve"> of Goldman, J.</w:t>
      </w:r>
      <w:r w:rsidR="00144AFA">
        <w:rPr>
          <w:rFonts w:eastAsia="Times New Roman" w:cs="Times New Roman"/>
          <w:color w:val="000000"/>
        </w:rPr>
        <w:t xml:space="preserve">, </w:t>
      </w:r>
      <w:r w:rsidRPr="0094383C" w:rsidR="00144AFA">
        <w:rPr>
          <w:rFonts w:eastAsia="Times New Roman" w:cs="Times New Roman"/>
          <w:i/>
          <w:iCs/>
          <w:color w:val="000000"/>
        </w:rPr>
        <w:t>post</w:t>
      </w:r>
      <w:r w:rsidR="00827AF4">
        <w:rPr>
          <w:rFonts w:eastAsia="Times New Roman" w:cs="Times New Roman"/>
          <w:color w:val="000000"/>
        </w:rPr>
        <w:t>.</w:t>
      </w:r>
      <w:r w:rsidR="00062722">
        <w:rPr>
          <w:rFonts w:eastAsia="Times New Roman" w:cs="Times New Roman"/>
          <w:color w:val="000000"/>
        </w:rPr>
        <w:t>)</w:t>
      </w:r>
      <w:r w:rsidR="00827AF4">
        <w:rPr>
          <w:rFonts w:eastAsia="Times New Roman" w:cs="Times New Roman"/>
          <w:color w:val="000000"/>
        </w:rPr>
        <w:t xml:space="preserve"> </w:t>
      </w:r>
      <w:r w:rsidR="00C50184">
        <w:rPr>
          <w:rFonts w:eastAsia="Times New Roman" w:cs="Times New Roman"/>
          <w:color w:val="000000"/>
        </w:rPr>
        <w:t xml:space="preserve"> </w:t>
      </w:r>
      <w:r w:rsidR="00F93C1C">
        <w:rPr>
          <w:rFonts w:eastAsia="Times New Roman" w:cs="Times New Roman"/>
          <w:color w:val="000000"/>
        </w:rPr>
        <w:t>T</w:t>
      </w:r>
      <w:r w:rsidR="00B27F7B">
        <w:rPr>
          <w:rFonts w:eastAsia="Times New Roman" w:cs="Times New Roman"/>
          <w:color w:val="000000"/>
        </w:rPr>
        <w:t xml:space="preserve">o the extent </w:t>
      </w:r>
      <w:r w:rsidR="002D702B">
        <w:rPr>
          <w:rFonts w:eastAsia="Times New Roman" w:cs="Times New Roman"/>
          <w:color w:val="000000"/>
        </w:rPr>
        <w:t xml:space="preserve">Seumanu </w:t>
      </w:r>
      <w:r w:rsidR="00B27F7B">
        <w:rPr>
          <w:rFonts w:eastAsia="Times New Roman" w:cs="Times New Roman"/>
          <w:color w:val="000000"/>
        </w:rPr>
        <w:t xml:space="preserve">believes </w:t>
      </w:r>
      <w:r w:rsidR="00F42E6B">
        <w:rPr>
          <w:rFonts w:eastAsia="Times New Roman" w:cs="Times New Roman"/>
          <w:color w:val="000000"/>
        </w:rPr>
        <w:t>he should be given</w:t>
      </w:r>
      <w:r w:rsidR="00F93C1C">
        <w:rPr>
          <w:rFonts w:eastAsia="Times New Roman" w:cs="Times New Roman"/>
          <w:color w:val="000000"/>
        </w:rPr>
        <w:t xml:space="preserve"> an opportunity to supplement the record before us</w:t>
      </w:r>
      <w:r w:rsidR="00683821">
        <w:rPr>
          <w:rFonts w:eastAsia="Times New Roman" w:cs="Times New Roman"/>
          <w:color w:val="000000"/>
        </w:rPr>
        <w:t xml:space="preserve">, we invite him </w:t>
      </w:r>
      <w:r w:rsidR="00AD482A">
        <w:rPr>
          <w:rFonts w:eastAsia="Times New Roman" w:cs="Times New Roman"/>
          <w:color w:val="000000"/>
        </w:rPr>
        <w:t xml:space="preserve">to move </w:t>
      </w:r>
      <w:r w:rsidR="001F268F">
        <w:rPr>
          <w:rFonts w:eastAsia="Times New Roman" w:cs="Times New Roman"/>
          <w:color w:val="000000"/>
        </w:rPr>
        <w:t>for reconsideration of our denial of a COA on</w:t>
      </w:r>
      <w:r w:rsidR="001926E9">
        <w:rPr>
          <w:rFonts w:eastAsia="Times New Roman" w:cs="Times New Roman"/>
          <w:color w:val="000000"/>
        </w:rPr>
        <w:t xml:space="preserve"> any of his claims</w:t>
      </w:r>
      <w:r w:rsidR="00AD482A">
        <w:rPr>
          <w:rFonts w:eastAsia="Times New Roman" w:cs="Times New Roman"/>
          <w:color w:val="000000"/>
        </w:rPr>
        <w:t>, bearing in mind that time is of the essence in doing so</w:t>
      </w:r>
      <w:r w:rsidR="00461E56">
        <w:rPr>
          <w:rFonts w:eastAsia="Times New Roman" w:cs="Times New Roman"/>
          <w:color w:val="000000"/>
        </w:rPr>
        <w:t xml:space="preserve"> and we may deny </w:t>
      </w:r>
      <w:r w:rsidR="001746B7">
        <w:rPr>
          <w:rFonts w:eastAsia="Times New Roman" w:cs="Times New Roman"/>
          <w:color w:val="000000"/>
        </w:rPr>
        <w:t xml:space="preserve">the motion </w:t>
      </w:r>
      <w:r w:rsidR="00461E56">
        <w:rPr>
          <w:rFonts w:eastAsia="Times New Roman" w:cs="Times New Roman"/>
          <w:color w:val="000000"/>
        </w:rPr>
        <w:t xml:space="preserve">simply because </w:t>
      </w:r>
      <w:r w:rsidR="00F95EC4">
        <w:rPr>
          <w:rFonts w:eastAsia="Times New Roman" w:cs="Times New Roman"/>
          <w:color w:val="000000"/>
        </w:rPr>
        <w:t xml:space="preserve">it impedes our ability to </w:t>
      </w:r>
      <w:r w:rsidR="008729D2">
        <w:rPr>
          <w:rFonts w:eastAsia="Times New Roman" w:cs="Times New Roman"/>
          <w:color w:val="000000"/>
        </w:rPr>
        <w:t>decide this appeal expeditiously.</w:t>
      </w:r>
      <w:r w:rsidR="001926E9">
        <w:rPr>
          <w:rFonts w:eastAsia="Times New Roman" w:cs="Times New Roman"/>
          <w:color w:val="000000"/>
        </w:rPr>
        <w:t xml:space="preserve"> </w:t>
      </w:r>
      <w:r w:rsidR="00024A85">
        <w:rPr>
          <w:rFonts w:eastAsia="Times New Roman" w:cs="Times New Roman"/>
          <w:color w:val="000000"/>
        </w:rPr>
        <w:t xml:space="preserve"> </w:t>
      </w:r>
    </w:p>
    <w:p w:rsidR="00804025" w14:paraId="5CBBF164" w14:textId="6EA64A40">
      <w:pPr>
        <w:tabs>
          <w:tab w:val="left" w:pos="6120"/>
        </w:tabs>
        <w:spacing w:before="240" w:line="240" w:lineRule="auto"/>
      </w:pPr>
      <w:r>
        <w:tab/>
        <w:t xml:space="preserve">STREETER, J. </w:t>
      </w:r>
    </w:p>
    <w:p w:rsidR="00804025" w:rsidP="00E80C73" w14:paraId="312870BB" w14:textId="77777777">
      <w:pPr>
        <w:tabs>
          <w:tab w:val="left" w:pos="1620"/>
        </w:tabs>
        <w:spacing w:before="240" w:after="240" w:line="240" w:lineRule="auto"/>
        <w:ind w:firstLine="0"/>
      </w:pPr>
      <w:r>
        <w:t>WE CONCUR:</w:t>
      </w:r>
    </w:p>
    <w:p w:rsidR="00804025" w:rsidP="00E80C73" w14:paraId="777982E2" w14:textId="78E8F509">
      <w:pPr>
        <w:tabs>
          <w:tab w:val="left" w:pos="1620"/>
        </w:tabs>
        <w:spacing w:line="240" w:lineRule="auto"/>
        <w:ind w:firstLine="0"/>
      </w:pPr>
      <w:r>
        <w:t>BROWN, P. J.</w:t>
      </w:r>
    </w:p>
    <w:p w:rsidR="00804025" w:rsidP="00E80C73" w14:paraId="0B9F06D9" w14:textId="77777777">
      <w:pPr>
        <w:tabs>
          <w:tab w:val="left" w:pos="1620"/>
        </w:tabs>
        <w:spacing w:line="240" w:lineRule="auto"/>
        <w:ind w:firstLine="0"/>
      </w:pPr>
      <w:r>
        <w:t>GOLDMAN, J.</w:t>
      </w:r>
    </w:p>
    <w:p w:rsidR="00151CC1" w:rsidP="00465979" w14:paraId="52F78473" w14:textId="77777777">
      <w:pPr>
        <w:ind w:firstLine="0"/>
      </w:pPr>
    </w:p>
    <w:p w:rsidR="006F01CA" w:rsidP="00465979" w14:paraId="07AB4D94" w14:textId="77777777">
      <w:pPr>
        <w:ind w:firstLine="0"/>
      </w:pPr>
    </w:p>
    <w:p w:rsidR="006F01CA" w:rsidP="00465979" w14:paraId="39CBCDE7" w14:textId="77777777">
      <w:pPr>
        <w:ind w:firstLine="0"/>
        <w:sectPr w:rsidSect="00875686">
          <w:headerReference w:type="default" r:id="rId7"/>
          <w:footerReference w:type="default" r:id="rId8"/>
          <w:headerReference w:type="first" r:id="rId9"/>
          <w:footerReference w:type="first" r:id="rId10"/>
          <w:footnotePr>
            <w:numRestart w:val="eachSect"/>
          </w:footnotePr>
          <w:type w:val="continuous"/>
          <w:pgSz w:w="12240" w:h="15840"/>
          <w:pgMar w:top="1440" w:right="1440" w:bottom="1440" w:left="1440" w:header="720" w:footer="720" w:gutter="0"/>
          <w:pgNumType w:start="1"/>
          <w:cols w:space="720"/>
          <w:titlePg/>
          <w:docGrid w:linePitch="360"/>
        </w:sectPr>
      </w:pPr>
    </w:p>
    <w:p w:rsidR="00C91860" w:rsidP="00465979" w14:paraId="31982C31" w14:textId="37D7201B">
      <w:pPr>
        <w:ind w:firstLine="0"/>
      </w:pPr>
      <w:r>
        <w:t>GOLDMAN, J., Concurring.</w:t>
      </w:r>
    </w:p>
    <w:p w:rsidR="00C91860" w:rsidRPr="00E27EB0" w:rsidP="00C91860" w14:paraId="35E42FD0" w14:textId="77777777">
      <w:r>
        <w:tab/>
        <w:t>We take this opportunity to offer some additional observations, outside of our main opinion, on the procedures governing requests for a certificate of appealability and the instructions that are provided to counsel who prepare them.  We start by recalling the point made by our colleagues in Division Three that the request should “ ‘include copies of reasonably available documentary evidence supporting the claim, including pertinent portions of trial transcripts and affidavits or declarations.’ ”  (</w:t>
      </w:r>
      <w:r w:rsidRPr="00942E2B">
        <w:rPr>
          <w:i/>
          <w:iCs/>
        </w:rPr>
        <w:t>In</w:t>
      </w:r>
      <w:r>
        <w:rPr>
          <w:i/>
          <w:iCs/>
        </w:rPr>
        <w:t> </w:t>
      </w:r>
      <w:r w:rsidRPr="00942E2B">
        <w:rPr>
          <w:i/>
          <w:iCs/>
        </w:rPr>
        <w:t>re</w:t>
      </w:r>
      <w:r>
        <w:rPr>
          <w:i/>
          <w:iCs/>
        </w:rPr>
        <w:t> </w:t>
      </w:r>
      <w:r w:rsidRPr="00942E2B">
        <w:rPr>
          <w:i/>
          <w:iCs/>
        </w:rPr>
        <w:t>Friend</w:t>
      </w:r>
      <w:r>
        <w:t xml:space="preserve"> (2022) 76 Cal.App.5th 623, 637 [quoting </w:t>
      </w:r>
      <w:r>
        <w:rPr>
          <w:i/>
          <w:iCs/>
        </w:rPr>
        <w:t>People v. Duvall</w:t>
      </w:r>
      <w:r>
        <w:t xml:space="preserve"> (1995) 9 Cal.4th 464, 474].)  As the court explained, “</w:t>
      </w:r>
      <w:r w:rsidRPr="002A0B70">
        <w:t>Unless the capital record on appeal has been lodged with the appellate court, the pre-Proposition</w:t>
      </w:r>
      <w:r>
        <w:t> </w:t>
      </w:r>
      <w:r w:rsidRPr="002A0B70">
        <w:t>66 practice of simply citing to transcript pages in the record is unhelpful to a meaningful evaluation of whether the requisite substantial claims have been presented.</w:t>
      </w:r>
      <w:r>
        <w:t>”  (</w:t>
      </w:r>
      <w:r>
        <w:rPr>
          <w:i/>
          <w:iCs/>
        </w:rPr>
        <w:t>Ibid.</w:t>
      </w:r>
      <w:r>
        <w:t xml:space="preserve">)  </w:t>
      </w:r>
    </w:p>
    <w:p w:rsidR="00C91860" w:rsidP="00C91860" w14:paraId="0E0B1A81" w14:textId="77777777">
      <w:r>
        <w:t xml:space="preserve">As we note in the main opinion, there is no provision for lodging the capital record in the Court of Appeal; record preparation does not begin unless and until a court issues a certificate of appealability.  (See Cal. Rules of Court, rules 8.395(c)(2), </w:t>
      </w:r>
      <w:r w:rsidRPr="00230BB5">
        <w:t>8.392(c)(2)</w:t>
      </w:r>
      <w:r>
        <w:t>.)  In this respect, California’s procedure for certificates of appealability differs from its federal analogue, where the district court clerk is required to transmit the file to the court of appeals upon the filing of the notice of appeal.  (Fed. Rules App. Proc., rule 22(b)(1), 28 U.S.C.)  When determining whether a certificate of appealability should issue, the federal appellate court or judge thus bases the decision on “the district court pleadings, the record, and the COA application.”  (</w:t>
      </w:r>
      <w:r w:rsidRPr="00215C17">
        <w:rPr>
          <w:i/>
          <w:iCs/>
        </w:rPr>
        <w:t>Houser v. Dretke</w:t>
      </w:r>
      <w:r>
        <w:t xml:space="preserve"> (5th Cir. 2004) 395 F.3d 560, 562; see, e.g., </w:t>
      </w:r>
      <w:r w:rsidRPr="002C69E1">
        <w:rPr>
          <w:i/>
          <w:iCs/>
        </w:rPr>
        <w:t>U</w:t>
      </w:r>
      <w:r>
        <w:rPr>
          <w:i/>
          <w:iCs/>
        </w:rPr>
        <w:t>nited States</w:t>
      </w:r>
      <w:r w:rsidRPr="002C69E1">
        <w:rPr>
          <w:i/>
          <w:iCs/>
        </w:rPr>
        <w:t xml:space="preserve"> v. Springfield</w:t>
      </w:r>
      <w:r>
        <w:t xml:space="preserve"> (10th Cir. 2003) 337 F.3d 1175, 1177–1178; </w:t>
      </w:r>
      <w:r w:rsidRPr="000F730D">
        <w:rPr>
          <w:i/>
          <w:iCs/>
        </w:rPr>
        <w:t>Wilkinson v. Cowan</w:t>
      </w:r>
      <w:r>
        <w:t xml:space="preserve"> (7th Cir. 2000) 231 F.3d 347, 350.)  By contrast, since we do not have access to any of the pleadings or record materials filed or lodged in the trial court, we can only consider what </w:t>
      </w:r>
      <w:r w:rsidRPr="00634337">
        <w:t>the appellant</w:t>
      </w:r>
      <w:r>
        <w:t xml:space="preserve"> has given us.</w:t>
      </w:r>
    </w:p>
    <w:p w:rsidR="00C91860" w:rsidP="00C91860" w14:paraId="5B047578" w14:textId="148FCA0F">
      <w:r>
        <w:tab/>
        <w:t xml:space="preserve">This point—made by our Division Three colleagues in </w:t>
      </w:r>
      <w:r>
        <w:rPr>
          <w:i/>
          <w:iCs/>
        </w:rPr>
        <w:t>Friend</w:t>
      </w:r>
      <w:r>
        <w:t xml:space="preserve"> and amplified in our opinion today—is not expressly addressed in California Rules of Court, rule 8.392(b)(3), which governs requests for a certificate of appealability.  After stating that the request must be attached to the notice of appeal, it provides only that “[t]</w:t>
      </w:r>
      <w:r w:rsidRPr="00252A05">
        <w:t>he request must identify the petitioner</w:t>
      </w:r>
      <w:r>
        <w:t>’</w:t>
      </w:r>
      <w:r w:rsidRPr="00252A05">
        <w:t>s claim or claims for relief and explain how the requirements of Penal Code section</w:t>
      </w:r>
      <w:r>
        <w:t> </w:t>
      </w:r>
      <w:r w:rsidRPr="00252A05">
        <w:t>1509(d) have been met.</w:t>
      </w:r>
      <w:r>
        <w:t>”  There is also a mandatory form, HC-200, that the Judicial Council prescribes for use in this situation, but it does not directly advise appellants of the necessity of attaching the record materials supporting the appellant’s explanation why the statutory requirements for a certificate of appealability are satisfied.</w:t>
      </w:r>
      <w:r>
        <w:rPr>
          <w:rStyle w:val="FootnoteReference"/>
        </w:rPr>
        <w:footnoteReference w:id="17"/>
      </w:r>
      <w:r>
        <w:t xml:space="preserve">  While practitioners must familiarize themselves with the caselaw construing statutes and rules, we also acknowledge that the certificate of appealability procedure is new to California law, and the Judicial Council may wish to consider revising the rule and/or the form in light of appellate courts’ clarification of what is expected.</w:t>
      </w:r>
    </w:p>
    <w:p w:rsidR="00C91860" w:rsidP="00C91860" w14:paraId="551B55AF" w14:textId="77777777">
      <w:r>
        <w:tab/>
        <w:t xml:space="preserve">Lastly, we note that, because the request for a certificate of appealability is attached to the notice of appeal, under current practice the record materials supporting the request would be filed in the trial court, only for that court to transmit them to the Court of Appeal.  To avoid burdening trial courts with unnecessary filings, we do not preclude the possibility that an appellant could instead file supporting materials directly with the Court of Appeal.  Currently, however, the rules do not explicitly provide for that option, and appellants must take care to ensure that such an approach does not delay the court’s ability to consider the request.  </w:t>
      </w:r>
    </w:p>
    <w:p w:rsidR="00516D43" w14:paraId="4BE7AEC7" w14:textId="4DE649BF">
      <w:pPr>
        <w:tabs>
          <w:tab w:val="left" w:pos="6120"/>
        </w:tabs>
        <w:spacing w:before="240" w:line="240" w:lineRule="auto"/>
      </w:pPr>
      <w:r>
        <w:tab/>
        <w:t xml:space="preserve">GOLDMAN. J. </w:t>
      </w:r>
    </w:p>
    <w:p w:rsidR="00516D43" w:rsidP="00516D43" w14:paraId="1228DCAA" w14:textId="77777777">
      <w:pPr>
        <w:tabs>
          <w:tab w:val="left" w:pos="1620"/>
        </w:tabs>
        <w:spacing w:before="240" w:after="240" w:line="240" w:lineRule="auto"/>
        <w:ind w:firstLine="0"/>
      </w:pPr>
      <w:r>
        <w:t>WE CONCUR:</w:t>
      </w:r>
    </w:p>
    <w:p w:rsidR="00516D43" w:rsidP="00516D43" w14:paraId="44A62D77" w14:textId="77C627C9">
      <w:pPr>
        <w:tabs>
          <w:tab w:val="left" w:pos="1620"/>
        </w:tabs>
        <w:spacing w:line="240" w:lineRule="auto"/>
        <w:ind w:firstLine="0"/>
      </w:pPr>
      <w:r>
        <w:t>BROWN, P. J.</w:t>
      </w:r>
    </w:p>
    <w:p w:rsidR="00516D43" w:rsidP="00516D43" w14:paraId="362B018D" w14:textId="65F57D6C">
      <w:pPr>
        <w:tabs>
          <w:tab w:val="left" w:pos="1620"/>
        </w:tabs>
        <w:spacing w:line="240" w:lineRule="auto"/>
        <w:ind w:firstLine="0"/>
      </w:pPr>
      <w:r>
        <w:t>STREETER, J.</w:t>
      </w:r>
    </w:p>
    <w:p w:rsidR="007E46C0" w:rsidP="00E80C73" w14:paraId="37AD98A0" w14:textId="77777777">
      <w:pPr>
        <w:spacing w:line="240" w:lineRule="auto"/>
        <w:ind w:firstLine="0"/>
        <w:sectPr w:rsidSect="00691042">
          <w:footnotePr>
            <w:numRestart w:val="eachSect"/>
          </w:footnotePr>
          <w:pgSz w:w="12240" w:h="15840"/>
          <w:pgMar w:top="1440" w:right="1440" w:bottom="1440" w:left="1440" w:header="720" w:footer="720" w:gutter="0"/>
          <w:pgNumType w:start="1"/>
          <w:cols w:space="720"/>
          <w:titlePg/>
          <w:docGrid w:linePitch="360"/>
        </w:sectPr>
      </w:pPr>
    </w:p>
    <w:p w:rsidR="0016201A" w:rsidP="0016201A" w14:paraId="016B27DC" w14:textId="77777777">
      <w:pPr>
        <w:spacing w:after="240"/>
        <w:ind w:left="2340" w:hanging="2340"/>
      </w:pPr>
      <w:r>
        <w:t xml:space="preserve">Trial Court:   </w:t>
      </w:r>
      <w:r w:rsidRPr="0092401B">
        <w:t xml:space="preserve">Superior Court of California, County of </w:t>
      </w:r>
      <w:r>
        <w:t>Alameda</w:t>
      </w:r>
    </w:p>
    <w:p w:rsidR="0016201A" w:rsidP="0016201A" w14:paraId="06E4DDF8" w14:textId="77777777">
      <w:pPr>
        <w:spacing w:after="240"/>
        <w:ind w:left="2340" w:hanging="2340"/>
      </w:pPr>
      <w:r>
        <w:t>Trial Judge:  Hon. Thomas Stevens</w:t>
      </w:r>
    </w:p>
    <w:p w:rsidR="0016201A" w:rsidP="0016201A" w14:paraId="15242BAB" w14:textId="603EF2C0">
      <w:pPr>
        <w:spacing w:line="240" w:lineRule="auto"/>
        <w:ind w:left="1987" w:hanging="1987"/>
      </w:pPr>
      <w:r>
        <w:t xml:space="preserve">Counsel:        Michael R. Snedeker and Lisa R. Short, under appointment by the Court of Appeal, for </w:t>
      </w:r>
      <w:r w:rsidRPr="00571DB6">
        <w:t>Appellant.</w:t>
      </w:r>
      <w:r>
        <w:t xml:space="preserve"> </w:t>
      </w:r>
    </w:p>
    <w:p w:rsidR="0016201A" w:rsidP="0016201A" w14:paraId="27AC036C" w14:textId="77777777">
      <w:pPr>
        <w:ind w:firstLine="0"/>
      </w:pPr>
    </w:p>
    <w:p w:rsidR="0016201A" w:rsidP="0016201A" w14:paraId="0D0BFC39" w14:textId="656F0DDC">
      <w:pPr>
        <w:spacing w:line="240" w:lineRule="auto"/>
        <w:ind w:left="1980" w:hanging="1980"/>
      </w:pPr>
      <w:r>
        <w:t>                       Rob Bonta, Attorney General, Lance E. Winters and James William Bilderback II, Senior Assistant Attorneys General, Alice B. Lustre, Supervising Deputy Attorney General, for Respondent.</w:t>
      </w:r>
    </w:p>
    <w:p w:rsidR="0041645F" w:rsidP="00E80C73" w14:paraId="0D83B993" w14:textId="77777777">
      <w:pPr>
        <w:spacing w:line="240" w:lineRule="auto"/>
        <w:ind w:firstLine="0"/>
      </w:pPr>
    </w:p>
    <w:sectPr w:rsidSect="00CA4113">
      <w:footerReference w:type="default" r:id="rId11"/>
      <w:footnotePr>
        <w:numRestart w:val="eachSect"/>
      </w:footnotePr>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charset w:val="00"/>
    <w:family w:val="roman"/>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3A4" w:rsidP="00A8478F" w14:paraId="6A7B754F" w14:textId="20A37C7B">
    <w:pPr>
      <w:pStyle w:val="Footer"/>
      <w:ind w:firstLine="0"/>
      <w:jc w:val="center"/>
    </w:pPr>
    <w:sdt>
      <w:sdtPr>
        <w:id w:val="-1166539735"/>
        <w:docPartObj>
          <w:docPartGallery w:val="Page Numbers (Bottom of Page)"/>
          <w:docPartUnique/>
        </w:docPartObj>
      </w:sdtPr>
      <w:sdtEndPr>
        <w:rPr>
          <w:noProof/>
        </w:rPr>
      </w:sdtEndPr>
      <w:sdtContent>
        <w:r w:rsidR="006F01CA">
          <w:fldChar w:fldCharType="begin"/>
        </w:r>
        <w:r w:rsidR="006F01CA">
          <w:instrText xml:space="preserve"> PAGE   \* MERGEFORMAT </w:instrText>
        </w:r>
        <w:r w:rsidR="006F01CA">
          <w:fldChar w:fldCharType="separate"/>
        </w:r>
        <w:r w:rsidR="006F01CA">
          <w:rPr>
            <w:noProof/>
          </w:rPr>
          <w:t>2</w:t>
        </w:r>
        <w:r w:rsidR="006F01C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3A4" w:rsidP="00A8478F" w14:paraId="04412E20" w14:textId="019281E0">
    <w:pPr>
      <w:pStyle w:val="Footer"/>
      <w:ind w:firstLine="0"/>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0D8" w14:paraId="25EECA34" w14:textId="55D38032">
    <w:pPr>
      <w:pStyle w:val="Footer"/>
      <w:jc w:val="center"/>
    </w:pPr>
  </w:p>
  <w:p w:rsidR="00F76FDE" w:rsidP="00454E01" w14:paraId="5FB9A8E1" w14:textId="77777777">
    <w:pPr>
      <w:pStyle w:val="Footer"/>
      <w:tabs>
        <w:tab w:val="clear" w:pos="720"/>
      </w:tabs>
      <w:ind w:firstLine="0"/>
    </w:pPr>
    <w:r w:rsidRPr="009B762A">
      <w:rPr>
        <w:i/>
        <w:sz w:val="20"/>
        <w:szCs w:val="20"/>
      </w:rPr>
      <w:t>In re Seumanu</w:t>
    </w:r>
    <w:r w:rsidRPr="009B762A">
      <w:rPr>
        <w:sz w:val="20"/>
        <w:szCs w:val="20"/>
      </w:rPr>
      <w:t xml:space="preserve"> </w:t>
    </w:r>
    <w:r w:rsidRPr="009B762A" w:rsidR="009B762A">
      <w:rPr>
        <w:sz w:val="20"/>
        <w:szCs w:val="20"/>
      </w:rPr>
      <w:t>–</w:t>
    </w:r>
    <w:r w:rsidRPr="009B762A">
      <w:rPr>
        <w:sz w:val="20"/>
        <w:szCs w:val="20"/>
      </w:rPr>
      <w:t xml:space="preserve"> A</w:t>
    </w:r>
    <w:r w:rsidRPr="009B762A" w:rsidR="009B762A">
      <w:rPr>
        <w:sz w:val="20"/>
        <w:szCs w:val="20"/>
      </w:rPr>
      <w:t>169146</w:t>
    </w:r>
  </w:p>
  <w:p w:rsidR="0076281F" w:rsidRPr="009B762A" w14:paraId="54CFF1D3" w14:textId="33D017E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4FF7" w:rsidP="003B2BC2" w14:paraId="0ADF43DB" w14:textId="77777777">
      <w:pPr>
        <w:spacing w:line="240" w:lineRule="auto"/>
        <w:ind w:firstLine="0"/>
      </w:pPr>
      <w:r>
        <w:separator/>
      </w:r>
    </w:p>
  </w:footnote>
  <w:footnote w:type="continuationSeparator" w:id="1">
    <w:p w:rsidR="00C14FF7" w:rsidP="003B2BC2" w14:paraId="165D3F5A" w14:textId="77777777">
      <w:pPr>
        <w:spacing w:line="240" w:lineRule="auto"/>
        <w:ind w:firstLine="0"/>
      </w:pPr>
      <w:r>
        <w:continuationSeparator/>
      </w:r>
    </w:p>
  </w:footnote>
  <w:footnote w:type="continuationNotice" w:id="2">
    <w:p w:rsidR="00C14FF7" w14:paraId="3E453299" w14:textId="77777777">
      <w:pPr>
        <w:spacing w:line="240" w:lineRule="auto"/>
      </w:pPr>
    </w:p>
  </w:footnote>
  <w:footnote w:id="3">
    <w:p w:rsidR="00D37D02" w:rsidP="00D37D02" w14:paraId="0DF5F8BC" w14:textId="081B1A72">
      <w:pPr>
        <w:pStyle w:val="FootnoteText"/>
      </w:pPr>
      <w:r>
        <w:rPr>
          <w:rStyle w:val="FootnoteReference"/>
        </w:rPr>
        <w:footnoteRef/>
      </w:r>
      <w:r>
        <w:t xml:space="preserve"> All further statutory references are to the Penal Code. </w:t>
      </w:r>
      <w:r w:rsidR="00841EA9">
        <w:t xml:space="preserve"> All </w:t>
      </w:r>
      <w:r w:rsidR="00142B4A">
        <w:t>reference</w:t>
      </w:r>
      <w:r w:rsidR="009163D1">
        <w:t>s</w:t>
      </w:r>
      <w:r w:rsidR="00142B4A">
        <w:t xml:space="preserve"> to </w:t>
      </w:r>
      <w:r w:rsidR="008246ED">
        <w:t xml:space="preserve">court </w:t>
      </w:r>
      <w:r w:rsidR="002B353F">
        <w:t>rule</w:t>
      </w:r>
      <w:r w:rsidR="00142B4A">
        <w:t xml:space="preserve">s </w:t>
      </w:r>
      <w:r w:rsidR="002B353F">
        <w:t xml:space="preserve">are to the California Rules of Court. </w:t>
      </w:r>
    </w:p>
  </w:footnote>
  <w:footnote w:id="4">
    <w:p w:rsidR="005F1020" w:rsidP="005F1020" w14:paraId="5762D5C6" w14:textId="195EF4D3">
      <w:pPr>
        <w:shd w:val="clear" w:color="auto" w:fill="FFFFFF"/>
        <w:spacing w:line="240" w:lineRule="auto"/>
        <w:rPr>
          <w:rFonts w:eastAsia="Times New Roman" w:cs="Times New Roman"/>
        </w:rPr>
      </w:pPr>
      <w:r w:rsidRPr="00C41DE0">
        <w:rPr>
          <w:rStyle w:val="FootnoteReference"/>
        </w:rPr>
        <w:footnoteRef/>
      </w:r>
      <w:r w:rsidRPr="00C41DE0">
        <w:t xml:space="preserve"> </w:t>
      </w:r>
      <w:r>
        <w:t xml:space="preserve">The check-the-box </w:t>
      </w:r>
      <w:r w:rsidRPr="00C41DE0">
        <w:t xml:space="preserve">request for appointment of counsel </w:t>
      </w:r>
      <w:r>
        <w:t>in Seuman</w:t>
      </w:r>
      <w:r w:rsidR="00FD52E7">
        <w:t>u</w:t>
      </w:r>
      <w:r>
        <w:t xml:space="preserve">’s </w:t>
      </w:r>
      <w:r w:rsidR="00956ED1">
        <w:t xml:space="preserve">notice of appeal </w:t>
      </w:r>
      <w:r w:rsidRPr="00C41DE0">
        <w:t>provided no information complying with rule 8.391</w:t>
      </w:r>
      <w:r w:rsidR="00FD52E7">
        <w:t xml:space="preserve">.  That rule </w:t>
      </w:r>
      <w:r w:rsidRPr="00C41DE0">
        <w:t>sets minimum standards for appointment of counsel in appeals under section 1509.1 from superior court decisions in death penalty-related habeas corpus proceedings.  On February</w:t>
      </w:r>
      <w:r w:rsidR="0029259B">
        <w:t> </w:t>
      </w:r>
      <w:r w:rsidRPr="00C41DE0">
        <w:t>14, 2024, we directed that Seumanu provide sufficient information to demonstrate Snedeker and Short have “</w:t>
      </w:r>
      <w:r w:rsidRPr="00C41DE0">
        <w:rPr>
          <w:rFonts w:eastAsia="Times New Roman" w:cs="Times New Roman"/>
          <w:color w:val="000000"/>
        </w:rPr>
        <w:t xml:space="preserve">the commitment, proficiency, and knowledge necessary to represent [him] competently” in this court under </w:t>
      </w:r>
      <w:r w:rsidRPr="00C41DE0">
        <w:t xml:space="preserve">rule 8.652(i), which establishes </w:t>
      </w:r>
      <w:r w:rsidR="00987F39">
        <w:t xml:space="preserve">a </w:t>
      </w:r>
      <w:r w:rsidRPr="00C41DE0">
        <w:t xml:space="preserve">qualification standard </w:t>
      </w:r>
      <w:r w:rsidR="00106975">
        <w:t xml:space="preserve">specifically </w:t>
      </w:r>
      <w:r w:rsidRPr="00C41DE0">
        <w:t>applicable to counsel appointments for the purpose of exhausting state court remedies where there has been a prior federal appointment.  We also directed that Seumanu himself file a declaration in compliance with rule 8.391(a)(3) requesting continued representation by Snedeker and Short.  On March</w:t>
      </w:r>
      <w:r w:rsidR="000B25B5">
        <w:t> </w:t>
      </w:r>
      <w:r w:rsidRPr="00C41DE0">
        <w:t>1, 2024, we received declarations from Snedeker and Seumanu providing satisfactory information in compliance with these rules.</w:t>
      </w:r>
    </w:p>
    <w:p w:rsidR="005F1020" w:rsidRPr="008D0930" w:rsidP="00CA366F" w14:paraId="49F27131" w14:textId="6E30D3EE">
      <w:pPr>
        <w:pStyle w:val="FootnoteText"/>
      </w:pPr>
      <w:r w:rsidRPr="00C41DE0">
        <w:t xml:space="preserve"> </w:t>
      </w:r>
    </w:p>
  </w:footnote>
  <w:footnote w:id="5">
    <w:p w:rsidR="008F6C0B" w:rsidRPr="00211D15" w:rsidP="00527A83" w14:paraId="6A25F4D3" w14:textId="77777777">
      <w:pPr>
        <w:shd w:val="clear" w:color="auto" w:fill="FFFFFF"/>
        <w:spacing w:line="320" w:lineRule="atLeast"/>
      </w:pPr>
      <w:r w:rsidRPr="00211D15">
        <w:rPr>
          <w:rStyle w:val="FootnoteReference"/>
        </w:rPr>
        <w:footnoteRef/>
      </w:r>
      <w:r w:rsidRPr="00211D15">
        <w:t xml:space="preserve"> </w:t>
      </w:r>
      <w:r w:rsidRPr="00211D15" w:rsidR="00CE3707">
        <w:t xml:space="preserve">In a footnote, the Attorney General </w:t>
      </w:r>
      <w:r w:rsidRPr="00211D15" w:rsidR="00C46B8F">
        <w:t>dr</w:t>
      </w:r>
      <w:r w:rsidR="00864736">
        <w:t>e</w:t>
      </w:r>
      <w:r w:rsidRPr="00211D15" w:rsidR="00C46B8F">
        <w:t xml:space="preserve">w our attention to </w:t>
      </w:r>
      <w:r w:rsidRPr="00211D15" w:rsidR="005C5FA0">
        <w:t>language in section 1509.1(c) stating that “</w:t>
      </w:r>
      <w:r w:rsidR="008230DA">
        <w:t>[t]</w:t>
      </w:r>
      <w:r w:rsidRPr="00211D15" w:rsidR="005C5FA0">
        <w:rPr>
          <w:rFonts w:eastAsia="Times New Roman" w:cs="Times New Roman"/>
          <w:color w:val="000000"/>
        </w:rPr>
        <w:t xml:space="preserve">he jurisdiction of the </w:t>
      </w:r>
      <w:r w:rsidR="00A91E0C">
        <w:rPr>
          <w:rFonts w:eastAsia="Times New Roman" w:cs="Times New Roman"/>
          <w:color w:val="000000"/>
        </w:rPr>
        <w:t>court of appeal</w:t>
      </w:r>
      <w:r w:rsidRPr="00211D15" w:rsidR="005C5FA0">
        <w:rPr>
          <w:rFonts w:eastAsia="Times New Roman" w:cs="Times New Roman"/>
          <w:color w:val="000000"/>
        </w:rPr>
        <w:t xml:space="preserve"> is limited to the claims identified in the [COA] and any additional claims added by the </w:t>
      </w:r>
      <w:r w:rsidR="00A91E0C">
        <w:rPr>
          <w:rFonts w:eastAsia="Times New Roman" w:cs="Times New Roman"/>
          <w:color w:val="000000"/>
        </w:rPr>
        <w:t>court of appeal</w:t>
      </w:r>
      <w:r w:rsidRPr="00211D15" w:rsidR="005C5FA0">
        <w:rPr>
          <w:rFonts w:eastAsia="Times New Roman" w:cs="Times New Roman"/>
          <w:color w:val="000000"/>
        </w:rPr>
        <w:t xml:space="preserve"> within 60 days of the notice of appeal</w:t>
      </w:r>
      <w:r w:rsidR="00864736">
        <w:rPr>
          <w:rFonts w:eastAsia="Times New Roman" w:cs="Times New Roman"/>
          <w:color w:val="000000"/>
        </w:rPr>
        <w:t>.</w:t>
      </w:r>
      <w:r w:rsidRPr="00211D15" w:rsidR="005C5FA0">
        <w:rPr>
          <w:rFonts w:eastAsia="Times New Roman" w:cs="Times New Roman"/>
          <w:color w:val="000000"/>
        </w:rPr>
        <w:t xml:space="preserve">” </w:t>
      </w:r>
      <w:r w:rsidR="00864736">
        <w:rPr>
          <w:rFonts w:eastAsia="Times New Roman" w:cs="Times New Roman"/>
          <w:color w:val="000000"/>
        </w:rPr>
        <w:t xml:space="preserve"> In light of this language, the Attorney General note</w:t>
      </w:r>
      <w:r w:rsidR="000E4B1E">
        <w:rPr>
          <w:rFonts w:eastAsia="Times New Roman" w:cs="Times New Roman"/>
          <w:color w:val="000000"/>
        </w:rPr>
        <w:t>d</w:t>
      </w:r>
      <w:r w:rsidR="000D643E">
        <w:rPr>
          <w:rFonts w:eastAsia="Times New Roman" w:cs="Times New Roman"/>
          <w:color w:val="000000"/>
        </w:rPr>
        <w:t xml:space="preserve">, </w:t>
      </w:r>
      <w:r w:rsidRPr="00211D15" w:rsidR="0043233C">
        <w:t>“</w:t>
      </w:r>
      <w:r w:rsidRPr="00211D15" w:rsidR="00CE3707">
        <w:t>it is arguable that a failure to grant an application for a certificate within the 60-day time frame could raise jurisdictional issues.</w:t>
      </w:r>
      <w:r w:rsidRPr="00211D15" w:rsidR="0043233C">
        <w:t>”</w:t>
      </w:r>
      <w:r w:rsidR="00397B33">
        <w:t xml:space="preserve"> </w:t>
      </w:r>
    </w:p>
  </w:footnote>
  <w:footnote w:id="6">
    <w:p w:rsidR="0041645F" w:rsidP="0041645F" w14:paraId="36296093" w14:textId="09DEE016">
      <w:pPr>
        <w:pStyle w:val="FootnoteText"/>
        <w:rPr>
          <w:szCs w:val="26"/>
        </w:rPr>
      </w:pPr>
      <w:r>
        <w:rPr>
          <w:rStyle w:val="FootnoteReference"/>
          <w:szCs w:val="26"/>
        </w:rPr>
        <w:footnoteRef/>
      </w:r>
      <w:r>
        <w:rPr>
          <w:szCs w:val="26"/>
        </w:rPr>
        <w:t xml:space="preserve"> </w:t>
      </w:r>
      <w:r>
        <w:rPr>
          <w:rFonts w:eastAsia="Times New Roman" w:cs="Times New Roman"/>
          <w:color w:val="000000"/>
          <w:szCs w:val="26"/>
        </w:rPr>
        <w:t xml:space="preserve">See </w:t>
      </w:r>
      <w:r>
        <w:rPr>
          <w:rFonts w:eastAsia="Times New Roman" w:cs="Times New Roman"/>
          <w:i/>
          <w:iCs/>
          <w:color w:val="3D3D3D"/>
          <w:szCs w:val="26"/>
          <w:bdr w:val="none" w:sz="0" w:space="0" w:color="auto" w:frame="1"/>
        </w:rPr>
        <w:t xml:space="preserve">Thurmond v. </w:t>
      </w:r>
      <w:r w:rsidR="00C859AC">
        <w:rPr>
          <w:rFonts w:eastAsia="Times New Roman" w:cs="Times New Roman"/>
          <w:i/>
          <w:iCs/>
          <w:color w:val="3D3D3D"/>
          <w:szCs w:val="26"/>
          <w:bdr w:val="none" w:sz="0" w:space="0" w:color="auto" w:frame="1"/>
        </w:rPr>
        <w:t>S</w:t>
      </w:r>
      <w:r w:rsidR="00A91E0C">
        <w:rPr>
          <w:rFonts w:eastAsia="Times New Roman" w:cs="Times New Roman"/>
          <w:i/>
          <w:iCs/>
          <w:color w:val="3D3D3D"/>
          <w:szCs w:val="26"/>
          <w:bdr w:val="none" w:sz="0" w:space="0" w:color="auto" w:frame="1"/>
        </w:rPr>
        <w:t xml:space="preserve">uperior </w:t>
      </w:r>
      <w:r w:rsidR="00C859AC">
        <w:rPr>
          <w:rFonts w:eastAsia="Times New Roman" w:cs="Times New Roman"/>
          <w:i/>
          <w:iCs/>
          <w:color w:val="3D3D3D"/>
          <w:szCs w:val="26"/>
          <w:bdr w:val="none" w:sz="0" w:space="0" w:color="auto" w:frame="1"/>
        </w:rPr>
        <w:t>C</w:t>
      </w:r>
      <w:r w:rsidR="00A91E0C">
        <w:rPr>
          <w:rFonts w:eastAsia="Times New Roman" w:cs="Times New Roman"/>
          <w:i/>
          <w:iCs/>
          <w:color w:val="3D3D3D"/>
          <w:szCs w:val="26"/>
          <w:bdr w:val="none" w:sz="0" w:space="0" w:color="auto" w:frame="1"/>
        </w:rPr>
        <w:t>ourt</w:t>
      </w:r>
      <w:r>
        <w:rPr>
          <w:rFonts w:eastAsia="Times New Roman" w:cs="Times New Roman"/>
          <w:i/>
          <w:iCs/>
          <w:color w:val="3D3D3D"/>
          <w:szCs w:val="26"/>
          <w:bdr w:val="none" w:sz="0" w:space="0" w:color="auto" w:frame="1"/>
        </w:rPr>
        <w:t xml:space="preserve"> of City and County of San Francisco</w:t>
      </w:r>
      <w:r>
        <w:rPr>
          <w:rFonts w:eastAsia="Times New Roman" w:cs="Times New Roman"/>
          <w:color w:val="000000"/>
          <w:szCs w:val="26"/>
        </w:rPr>
        <w:t xml:space="preserve"> (1967) 66</w:t>
      </w:r>
      <w:r w:rsidR="002630E6">
        <w:rPr>
          <w:rFonts w:eastAsia="Times New Roman" w:cs="Times New Roman"/>
          <w:color w:val="000000"/>
          <w:szCs w:val="26"/>
        </w:rPr>
        <w:t> </w:t>
      </w:r>
      <w:r>
        <w:rPr>
          <w:rFonts w:eastAsia="Times New Roman" w:cs="Times New Roman"/>
          <w:color w:val="000000"/>
          <w:szCs w:val="26"/>
        </w:rPr>
        <w:t xml:space="preserve">Cal.2d 836, 839; </w:t>
      </w:r>
      <w:r w:rsidR="00235E7D">
        <w:rPr>
          <w:rFonts w:eastAsia="Times New Roman" w:cs="Times New Roman"/>
          <w:i/>
          <w:iCs/>
          <w:color w:val="3D3D3D"/>
          <w:szCs w:val="26"/>
          <w:bdr w:val="none" w:sz="0" w:space="0" w:color="auto" w:frame="1"/>
        </w:rPr>
        <w:t>Lorraine v. McComb</w:t>
      </w:r>
      <w:r w:rsidR="00235E7D">
        <w:rPr>
          <w:rFonts w:eastAsia="Times New Roman" w:cs="Times New Roman"/>
          <w:color w:val="000000"/>
          <w:szCs w:val="26"/>
        </w:rPr>
        <w:t xml:space="preserve"> (1934) 220 Cal. 753, 756–757; </w:t>
      </w:r>
      <w:r>
        <w:rPr>
          <w:rFonts w:eastAsia="Times New Roman" w:cs="Times New Roman"/>
          <w:i/>
          <w:iCs/>
          <w:color w:val="3D3D3D"/>
          <w:szCs w:val="26"/>
          <w:bdr w:val="none" w:sz="0" w:space="0" w:color="auto" w:frame="1"/>
        </w:rPr>
        <w:t>In re Shafter-Wasco Irrigation District</w:t>
      </w:r>
      <w:r>
        <w:rPr>
          <w:rFonts w:eastAsia="Times New Roman" w:cs="Times New Roman"/>
          <w:color w:val="000000"/>
          <w:szCs w:val="26"/>
        </w:rPr>
        <w:t xml:space="preserve"> (1942) 55</w:t>
      </w:r>
      <w:r w:rsidR="007F2BC5">
        <w:rPr>
          <w:rFonts w:eastAsia="Times New Roman" w:cs="Times New Roman"/>
          <w:color w:val="000000"/>
          <w:szCs w:val="26"/>
        </w:rPr>
        <w:t> </w:t>
      </w:r>
      <w:r>
        <w:rPr>
          <w:rFonts w:eastAsia="Times New Roman" w:cs="Times New Roman"/>
          <w:color w:val="000000"/>
          <w:szCs w:val="26"/>
        </w:rPr>
        <w:t>Cal.App.2d 484, 487</w:t>
      </w:r>
      <w:r w:rsidR="00047B9A">
        <w:rPr>
          <w:rFonts w:eastAsia="Times New Roman" w:cs="Times New Roman"/>
          <w:color w:val="000000"/>
          <w:szCs w:val="26"/>
        </w:rPr>
        <w:t>–</w:t>
      </w:r>
      <w:r w:rsidR="00F204C2">
        <w:rPr>
          <w:rFonts w:eastAsia="Times New Roman" w:cs="Times New Roman"/>
          <w:color w:val="000000"/>
          <w:szCs w:val="26"/>
        </w:rPr>
        <w:t>489</w:t>
      </w:r>
      <w:r>
        <w:rPr>
          <w:rFonts w:eastAsia="Times New Roman" w:cs="Times New Roman"/>
          <w:color w:val="000000"/>
          <w:szCs w:val="26"/>
        </w:rPr>
        <w:t xml:space="preserve"> (</w:t>
      </w:r>
      <w:r>
        <w:rPr>
          <w:rFonts w:eastAsia="Times New Roman" w:cs="Times New Roman"/>
          <w:i/>
          <w:iCs/>
          <w:color w:val="000000"/>
          <w:szCs w:val="26"/>
        </w:rPr>
        <w:t>Shafter-Wasco</w:t>
      </w:r>
      <w:r>
        <w:rPr>
          <w:rFonts w:eastAsia="Times New Roman" w:cs="Times New Roman"/>
          <w:color w:val="000000"/>
          <w:szCs w:val="26"/>
        </w:rPr>
        <w:t xml:space="preserve">); see also </w:t>
      </w:r>
      <w:r>
        <w:rPr>
          <w:rFonts w:eastAsia="Times New Roman" w:cs="Times New Roman"/>
          <w:i/>
          <w:iCs/>
          <w:color w:val="3D3D3D"/>
          <w:szCs w:val="26"/>
          <w:bdr w:val="none" w:sz="0" w:space="0" w:color="auto" w:frame="1"/>
        </w:rPr>
        <w:t xml:space="preserve">Verio Healthcare, Inc. v. </w:t>
      </w:r>
      <w:r w:rsidR="00C859AC">
        <w:rPr>
          <w:rFonts w:eastAsia="Times New Roman" w:cs="Times New Roman"/>
          <w:i/>
          <w:iCs/>
          <w:color w:val="3D3D3D"/>
          <w:szCs w:val="26"/>
          <w:bdr w:val="none" w:sz="0" w:space="0" w:color="auto" w:frame="1"/>
        </w:rPr>
        <w:t>S</w:t>
      </w:r>
      <w:r w:rsidR="00A91E0C">
        <w:rPr>
          <w:rFonts w:eastAsia="Times New Roman" w:cs="Times New Roman"/>
          <w:i/>
          <w:iCs/>
          <w:color w:val="3D3D3D"/>
          <w:szCs w:val="26"/>
          <w:bdr w:val="none" w:sz="0" w:space="0" w:color="auto" w:frame="1"/>
        </w:rPr>
        <w:t xml:space="preserve">uperior </w:t>
      </w:r>
      <w:r w:rsidR="00C859AC">
        <w:rPr>
          <w:rFonts w:eastAsia="Times New Roman" w:cs="Times New Roman"/>
          <w:i/>
          <w:iCs/>
          <w:color w:val="3D3D3D"/>
          <w:szCs w:val="26"/>
          <w:bdr w:val="none" w:sz="0" w:space="0" w:color="auto" w:frame="1"/>
        </w:rPr>
        <w:t>C</w:t>
      </w:r>
      <w:r w:rsidR="00A91E0C">
        <w:rPr>
          <w:rFonts w:eastAsia="Times New Roman" w:cs="Times New Roman"/>
          <w:i/>
          <w:iCs/>
          <w:color w:val="3D3D3D"/>
          <w:szCs w:val="26"/>
          <w:bdr w:val="none" w:sz="0" w:space="0" w:color="auto" w:frame="1"/>
        </w:rPr>
        <w:t>ourt</w:t>
      </w:r>
      <w:r>
        <w:rPr>
          <w:rFonts w:eastAsia="Times New Roman" w:cs="Times New Roman"/>
          <w:color w:val="000000"/>
          <w:szCs w:val="26"/>
        </w:rPr>
        <w:t xml:space="preserve"> (2016) 3</w:t>
      </w:r>
      <w:r w:rsidR="00242476">
        <w:rPr>
          <w:rFonts w:eastAsia="Times New Roman" w:cs="Times New Roman"/>
          <w:color w:val="000000"/>
          <w:szCs w:val="26"/>
        </w:rPr>
        <w:t> </w:t>
      </w:r>
      <w:r>
        <w:rPr>
          <w:rFonts w:eastAsia="Times New Roman" w:cs="Times New Roman"/>
          <w:color w:val="000000"/>
          <w:szCs w:val="26"/>
        </w:rPr>
        <w:t>Cal.App.5th 1315, 1329.</w:t>
      </w:r>
    </w:p>
  </w:footnote>
  <w:footnote w:id="7">
    <w:p w:rsidR="001033E6" w:rsidP="001033E6" w14:paraId="50996717" w14:textId="4039B7F9">
      <w:pPr>
        <w:pStyle w:val="FootnoteText"/>
      </w:pPr>
      <w:r>
        <w:rPr>
          <w:rStyle w:val="FootnoteReference"/>
        </w:rPr>
        <w:footnoteRef/>
      </w:r>
      <w:r>
        <w:t xml:space="preserve"> See </w:t>
      </w:r>
      <w:r w:rsidR="0039610B">
        <w:t>Hon</w:t>
      </w:r>
      <w:r w:rsidR="00CA1E87">
        <w:t xml:space="preserve">. </w:t>
      </w:r>
      <w:r w:rsidR="0039610B">
        <w:t xml:space="preserve">Frank M. </w:t>
      </w:r>
      <w:r>
        <w:t>Coffin, The Ways of a Judge: Reflections from the Federal Appellate Bench (1980) p</w:t>
      </w:r>
      <w:r w:rsidR="005D6573">
        <w:t>age</w:t>
      </w:r>
      <w:r>
        <w:t xml:space="preserve"> 62</w:t>
      </w:r>
      <w:r w:rsidR="00F75AE3">
        <w:t xml:space="preserve"> (Ways of a Judge)</w:t>
      </w:r>
      <w:r>
        <w:t xml:space="preserve"> (“Perhaps there are appellate judges who, on hearing the essential facts o</w:t>
      </w:r>
      <w:r w:rsidR="00557BE4">
        <w:t>f</w:t>
      </w:r>
      <w:r w:rsidR="00F42BF4">
        <w:t xml:space="preserve"> </w:t>
      </w:r>
      <w:r w:rsidR="00234EAB">
        <w:t>. . .</w:t>
      </w:r>
      <w:r w:rsidR="00F637AC">
        <w:t xml:space="preserve"> </w:t>
      </w:r>
      <w:r>
        <w:t>a case, can confidently announce a sound decision without pause.  I have seen professors in the classroom so respond; also panelists, lecturers, and cocktail</w:t>
      </w:r>
      <w:r w:rsidR="00DF03A0">
        <w:t>-party</w:t>
      </w:r>
      <w:r>
        <w:t xml:space="preserve"> pundits.  But I am thankful nothing said under </w:t>
      </w:r>
      <w:r w:rsidR="00DF03A0">
        <w:t xml:space="preserve">such </w:t>
      </w:r>
      <w:r>
        <w:t>circumstances affects the rights of the parties.”)</w:t>
      </w:r>
      <w:r w:rsidR="00CD4E23">
        <w:t>.</w:t>
      </w:r>
    </w:p>
  </w:footnote>
  <w:footnote w:id="8">
    <w:p w:rsidR="00FF6065" w:rsidP="00FF6065" w14:paraId="46417494" w14:textId="78253AA4">
      <w:pPr>
        <w:pStyle w:val="FootnoteText"/>
      </w:pPr>
      <w:r>
        <w:rPr>
          <w:rStyle w:val="FootnoteReference"/>
        </w:rPr>
        <w:footnoteRef/>
      </w:r>
      <w:r>
        <w:t xml:space="preserve"> Coffin, Ways of a Judge,</w:t>
      </w:r>
      <w:r w:rsidR="00DB3E4E">
        <w:t xml:space="preserve"> </w:t>
      </w:r>
      <w:r w:rsidRPr="00F51F2F" w:rsidR="00DB3E4E">
        <w:rPr>
          <w:i/>
          <w:iCs/>
        </w:rPr>
        <w:t>supra</w:t>
      </w:r>
      <w:r w:rsidR="00DB3E4E">
        <w:t>,</w:t>
      </w:r>
      <w:r>
        <w:t xml:space="preserve"> at p</w:t>
      </w:r>
      <w:r w:rsidR="00EC3936">
        <w:t>age</w:t>
      </w:r>
      <w:r>
        <w:t xml:space="preserve"> 61 (In appellate decision</w:t>
      </w:r>
      <w:r w:rsidR="0008307D">
        <w:t xml:space="preserve"> </w:t>
      </w:r>
      <w:r>
        <w:t xml:space="preserve">making, “there is rarely such a thing as a mandatory deadline.  If a court has trouble in developing a consensus, it waits until it has a majority—until each judge in the fullness of his [or her] reflections and the freedom of his [or her] conscience takes </w:t>
      </w:r>
      <w:r w:rsidRPr="00354C00" w:rsidR="001D0EED">
        <w:t>[</w:t>
      </w:r>
      <w:r w:rsidRPr="00354C00">
        <w:t>a</w:t>
      </w:r>
      <w:r w:rsidR="001D0EED">
        <w:t>]</w:t>
      </w:r>
      <w:r w:rsidR="00C7077D">
        <w:t xml:space="preserve"> final</w:t>
      </w:r>
      <w:r>
        <w:t xml:space="preserve"> stand.  The process allows scope for maturation, the slow, subconscious germination of thought.”).</w:t>
      </w:r>
    </w:p>
  </w:footnote>
  <w:footnote w:id="9">
    <w:p w:rsidR="004414CB" w:rsidP="004414CB" w14:paraId="76EC4306" w14:textId="3C6AF4CD">
      <w:pPr>
        <w:shd w:val="clear" w:color="auto" w:fill="FFFFFF"/>
        <w:spacing w:line="320" w:lineRule="atLeast"/>
        <w:rPr>
          <w:rFonts w:eastAsia="Times New Roman" w:cs="Times New Roman"/>
          <w:color w:val="000000"/>
        </w:rPr>
      </w:pPr>
      <w:r>
        <w:rPr>
          <w:rStyle w:val="FootnoteReference"/>
        </w:rPr>
        <w:footnoteRef/>
      </w:r>
      <w:r>
        <w:t xml:space="preserve"> S</w:t>
      </w:r>
      <w:r>
        <w:rPr>
          <w:rFonts w:eastAsia="Times New Roman" w:cs="Times New Roman"/>
          <w:color w:val="000000"/>
        </w:rPr>
        <w:t>ome amici</w:t>
      </w:r>
      <w:r w:rsidR="00301B3C">
        <w:rPr>
          <w:rFonts w:eastAsia="Times New Roman" w:cs="Times New Roman"/>
          <w:color w:val="000000"/>
        </w:rPr>
        <w:t xml:space="preserve"> curiae</w:t>
      </w:r>
      <w:r>
        <w:rPr>
          <w:rFonts w:eastAsia="Times New Roman" w:cs="Times New Roman"/>
          <w:color w:val="000000"/>
        </w:rPr>
        <w:t xml:space="preserve"> in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Friend I</w:t>
      </w:r>
      <w:r>
        <w:rPr>
          <w:rFonts w:eastAsia="Times New Roman" w:cs="Times New Roman"/>
          <w:color w:val="000000"/>
        </w:rPr>
        <w:t xml:space="preserve">, </w:t>
      </w:r>
      <w:r>
        <w:rPr>
          <w:rFonts w:eastAsia="Times New Roman" w:cs="Times New Roman"/>
          <w:i/>
          <w:iCs/>
          <w:color w:val="000000"/>
        </w:rPr>
        <w:t>supra</w:t>
      </w:r>
      <w:r>
        <w:rPr>
          <w:rFonts w:eastAsia="Times New Roman" w:cs="Times New Roman"/>
          <w:color w:val="000000"/>
        </w:rPr>
        <w:t>, 11</w:t>
      </w:r>
      <w:r w:rsidR="00FA5374">
        <w:rPr>
          <w:rFonts w:eastAsia="Times New Roman" w:cs="Times New Roman"/>
          <w:color w:val="000000"/>
        </w:rPr>
        <w:t> </w:t>
      </w:r>
      <w:r>
        <w:rPr>
          <w:rFonts w:eastAsia="Times New Roman" w:cs="Times New Roman"/>
          <w:color w:val="000000"/>
        </w:rPr>
        <w:t>Cal.5</w:t>
      </w:r>
      <w:r w:rsidRPr="007D0D1B">
        <w:rPr>
          <w:rFonts w:eastAsia="Times New Roman" w:cs="Times New Roman"/>
          <w:color w:val="000000"/>
        </w:rPr>
        <w:t>th</w:t>
      </w:r>
      <w:r>
        <w:rPr>
          <w:rFonts w:eastAsia="Times New Roman" w:cs="Times New Roman"/>
          <w:color w:val="000000"/>
        </w:rPr>
        <w:t xml:space="preserve"> at p.</w:t>
      </w:r>
      <w:r w:rsidR="00FA5374">
        <w:rPr>
          <w:rFonts w:eastAsia="Times New Roman" w:cs="Times New Roman"/>
          <w:color w:val="000000"/>
        </w:rPr>
        <w:t> </w:t>
      </w:r>
      <w:r>
        <w:rPr>
          <w:rFonts w:eastAsia="Times New Roman" w:cs="Times New Roman"/>
          <w:color w:val="000000"/>
        </w:rPr>
        <w:t>729) advocated a sweeping interpretation of “successive”—essentially a “one-strike and you’re out” rule—that would have rigidly foreclosed claims “based on newly available evidence of trial misconduct by jurors, the prosecutor, defense counsel, or the trial judge” where the misconduct was “serious enough to call into question the validity of the judgment, yet fail[ed] to meet section 1509(d)’s innocence or ineligibility standard.”  (</w:t>
      </w:r>
      <w:r>
        <w:rPr>
          <w:rFonts w:eastAsia="Times New Roman" w:cs="Times New Roman"/>
          <w:i/>
          <w:iCs/>
          <w:color w:val="000000"/>
        </w:rPr>
        <w:t>Id</w:t>
      </w:r>
      <w:r>
        <w:rPr>
          <w:rFonts w:eastAsia="Times New Roman" w:cs="Times New Roman"/>
          <w:color w:val="000000"/>
        </w:rPr>
        <w:t>. at p.</w:t>
      </w:r>
      <w:r w:rsidR="00FA5374">
        <w:t> </w:t>
      </w:r>
      <w:r>
        <w:rPr>
          <w:rFonts w:eastAsia="Times New Roman" w:cs="Times New Roman"/>
          <w:color w:val="000000"/>
        </w:rPr>
        <w:t>735.)  “Similarly,</w:t>
      </w:r>
      <w:r w:rsidR="00D64672">
        <w:rPr>
          <w:rFonts w:eastAsia="Times New Roman" w:cs="Times New Roman"/>
          <w:color w:val="000000"/>
        </w:rPr>
        <w:t>”</w:t>
      </w:r>
      <w:r>
        <w:rPr>
          <w:rFonts w:eastAsia="Times New Roman" w:cs="Times New Roman"/>
          <w:color w:val="000000"/>
        </w:rPr>
        <w:t xml:space="preserve"> the court explained, the broad reading urged by these amici would have barred claims where “posttrial scientific developments . . . yield[ed] evidence that critically undermine[d] confidence in the jury verdict without establishing innocence or death ineligibility.”  (</w:t>
      </w:r>
      <w:r>
        <w:rPr>
          <w:rFonts w:eastAsia="Times New Roman" w:cs="Times New Roman"/>
          <w:i/>
          <w:iCs/>
          <w:color w:val="000000"/>
        </w:rPr>
        <w:t>Ibid</w:t>
      </w:r>
      <w:r>
        <w:rPr>
          <w:rFonts w:eastAsia="Times New Roman" w:cs="Times New Roman"/>
          <w:color w:val="000000"/>
        </w:rPr>
        <w:t xml:space="preserve">.)  These were some of the concerns that led the court to </w:t>
      </w:r>
      <w:r w:rsidR="00626906">
        <w:rPr>
          <w:rFonts w:eastAsia="Times New Roman" w:cs="Times New Roman"/>
          <w:color w:val="000000"/>
        </w:rPr>
        <w:t>accept the argument that</w:t>
      </w:r>
      <w:r>
        <w:rPr>
          <w:rFonts w:eastAsia="Times New Roman" w:cs="Times New Roman"/>
          <w:color w:val="000000"/>
        </w:rPr>
        <w:t xml:space="preserve"> a “narrower understanding of Proposition 66’s successiveness provisions is not only plausible, but compelled by the canon of constitutional avoidance.”  (</w:t>
      </w:r>
      <w:r>
        <w:rPr>
          <w:rFonts w:eastAsia="Times New Roman" w:cs="Times New Roman"/>
          <w:i/>
          <w:iCs/>
          <w:color w:val="000000"/>
        </w:rPr>
        <w:t>Id.</w:t>
      </w:r>
      <w:r>
        <w:rPr>
          <w:rFonts w:eastAsia="Times New Roman" w:cs="Times New Roman"/>
          <w:color w:val="000000"/>
        </w:rPr>
        <w:t xml:space="preserve"> at p.</w:t>
      </w:r>
      <w:r w:rsidR="00242D92">
        <w:rPr>
          <w:rFonts w:eastAsia="Times New Roman" w:cs="Times New Roman"/>
          <w:color w:val="000000"/>
        </w:rPr>
        <w:t> </w:t>
      </w:r>
      <w:r>
        <w:rPr>
          <w:rFonts w:eastAsia="Times New Roman" w:cs="Times New Roman"/>
          <w:color w:val="000000"/>
        </w:rPr>
        <w:t>734.)</w:t>
      </w:r>
    </w:p>
    <w:p w:rsidR="004414CB" w:rsidP="004414CB" w14:paraId="60D425A1" w14:textId="77777777">
      <w:pPr>
        <w:shd w:val="clear" w:color="auto" w:fill="FFFFFF"/>
        <w:spacing w:line="240" w:lineRule="auto"/>
        <w:ind w:firstLine="0"/>
      </w:pPr>
    </w:p>
  </w:footnote>
  <w:footnote w:id="10">
    <w:p w:rsidR="003B0527" w:rsidP="003B0527" w14:paraId="69FDEB70" w14:textId="7F4449A8">
      <w:pPr>
        <w:shd w:val="clear" w:color="auto" w:fill="FFFFFF"/>
        <w:spacing w:line="320" w:lineRule="atLeast"/>
        <w:rPr>
          <w:rFonts w:eastAsia="Times New Roman" w:cs="Times New Roman"/>
          <w:color w:val="000000"/>
        </w:rPr>
      </w:pPr>
      <w:r w:rsidRPr="00081CD2">
        <w:rPr>
          <w:rStyle w:val="FootnoteReference"/>
        </w:rPr>
        <w:footnoteRef/>
      </w:r>
      <w:r w:rsidRPr="00081CD2">
        <w:t xml:space="preserve"> </w:t>
      </w:r>
      <w:r>
        <w:rPr>
          <w:rFonts w:eastAsia="Times New Roman" w:cs="Times New Roman"/>
          <w:color w:val="000000"/>
        </w:rPr>
        <w:t xml:space="preserve">In its order of dismissal, the trial court uses the term “safety valve” to describe </w:t>
      </w:r>
      <w:r w:rsidRPr="006A5F86">
        <w:rPr>
          <w:rFonts w:eastAsia="Times New Roman" w:cs="Times New Roman"/>
          <w:i/>
          <w:iCs/>
          <w:color w:val="000000"/>
        </w:rPr>
        <w:t>Clark</w:t>
      </w:r>
      <w:r>
        <w:rPr>
          <w:rFonts w:eastAsia="Times New Roman" w:cs="Times New Roman"/>
          <w:color w:val="000000"/>
        </w:rPr>
        <w:t xml:space="preserve">’s miscarriage of justice circumstances.  That is somewhat imprecise.  The </w:t>
      </w:r>
      <w:r w:rsidRPr="00455F32">
        <w:rPr>
          <w:rFonts w:eastAsia="Times New Roman" w:cs="Times New Roman"/>
          <w:i/>
          <w:iCs/>
          <w:color w:val="000000"/>
        </w:rPr>
        <w:t>Friend I</w:t>
      </w:r>
      <w:r>
        <w:rPr>
          <w:rFonts w:eastAsia="Times New Roman" w:cs="Times New Roman"/>
          <w:color w:val="000000"/>
        </w:rPr>
        <w:t xml:space="preserve"> court consistently used the term “safety valve” to describe </w:t>
      </w:r>
      <w:r w:rsidR="007E0746">
        <w:rPr>
          <w:rFonts w:eastAsia="Times New Roman" w:cs="Times New Roman"/>
          <w:color w:val="000000"/>
        </w:rPr>
        <w:t xml:space="preserve">exceptions to the general rule of successiveness in </w:t>
      </w:r>
      <w:r w:rsidR="007D07EB">
        <w:rPr>
          <w:rFonts w:eastAsia="Times New Roman" w:cs="Times New Roman"/>
          <w:color w:val="000000"/>
        </w:rPr>
        <w:t>abuse of the writ</w:t>
      </w:r>
      <w:r w:rsidR="007E0746">
        <w:rPr>
          <w:rFonts w:eastAsia="Times New Roman" w:cs="Times New Roman"/>
          <w:color w:val="000000"/>
        </w:rPr>
        <w:t xml:space="preserve"> </w:t>
      </w:r>
      <w:r w:rsidR="00310886">
        <w:rPr>
          <w:rFonts w:eastAsia="Times New Roman" w:cs="Times New Roman"/>
          <w:color w:val="000000"/>
        </w:rPr>
        <w:t xml:space="preserve">cases. </w:t>
      </w:r>
      <w:r>
        <w:rPr>
          <w:rFonts w:eastAsia="Times New Roman" w:cs="Times New Roman"/>
          <w:color w:val="000000"/>
        </w:rPr>
        <w:t xml:space="preserve"> (</w:t>
      </w:r>
      <w:r>
        <w:rPr>
          <w:rFonts w:eastAsia="Times New Roman" w:cs="Times New Roman"/>
          <w:i/>
          <w:iCs/>
          <w:color w:val="000000"/>
        </w:rPr>
        <w:t>Friend I</w:t>
      </w:r>
      <w:r w:rsidRPr="006B5F7B">
        <w:rPr>
          <w:rFonts w:eastAsia="Times New Roman" w:cs="Times New Roman"/>
          <w:color w:val="000000"/>
        </w:rPr>
        <w:t>,</w:t>
      </w:r>
      <w:r>
        <w:rPr>
          <w:rFonts w:eastAsia="Times New Roman" w:cs="Times New Roman"/>
          <w:i/>
          <w:iCs/>
          <w:color w:val="000000"/>
        </w:rPr>
        <w:t xml:space="preserve"> supra</w:t>
      </w:r>
      <w:r w:rsidRPr="006B5F7B">
        <w:rPr>
          <w:rFonts w:eastAsia="Times New Roman" w:cs="Times New Roman"/>
          <w:color w:val="000000"/>
        </w:rPr>
        <w:t xml:space="preserve">, </w:t>
      </w:r>
      <w:r>
        <w:rPr>
          <w:rFonts w:eastAsia="Times New Roman" w:cs="Times New Roman"/>
          <w:color w:val="000000"/>
        </w:rPr>
        <w:t>11</w:t>
      </w:r>
      <w:r w:rsidR="00472378">
        <w:rPr>
          <w:rFonts w:eastAsia="Times New Roman" w:cs="Times New Roman"/>
          <w:color w:val="000000"/>
        </w:rPr>
        <w:t> </w:t>
      </w:r>
      <w:r>
        <w:rPr>
          <w:rFonts w:eastAsia="Times New Roman" w:cs="Times New Roman"/>
          <w:color w:val="000000"/>
        </w:rPr>
        <w:t>Cal.5th at pp.</w:t>
      </w:r>
      <w:r w:rsidR="00472378">
        <w:rPr>
          <w:rFonts w:eastAsia="Times New Roman" w:cs="Times New Roman"/>
          <w:color w:val="000000"/>
        </w:rPr>
        <w:t> </w:t>
      </w:r>
      <w:r>
        <w:rPr>
          <w:rFonts w:eastAsia="Times New Roman" w:cs="Times New Roman"/>
          <w:color w:val="000000"/>
        </w:rPr>
        <w:t>728, 729, 736, 741.)  Th</w:t>
      </w:r>
      <w:r w:rsidR="00310886">
        <w:rPr>
          <w:rFonts w:eastAsia="Times New Roman" w:cs="Times New Roman"/>
          <w:color w:val="000000"/>
        </w:rPr>
        <w:t>e</w:t>
      </w:r>
      <w:r>
        <w:rPr>
          <w:rFonts w:eastAsia="Times New Roman" w:cs="Times New Roman"/>
          <w:color w:val="000000"/>
        </w:rPr>
        <w:t xml:space="preserve">se </w:t>
      </w:r>
      <w:r w:rsidR="00310886">
        <w:rPr>
          <w:rFonts w:eastAsia="Times New Roman" w:cs="Times New Roman"/>
          <w:color w:val="000000"/>
        </w:rPr>
        <w:t xml:space="preserve">exceptions </w:t>
      </w:r>
      <w:r>
        <w:rPr>
          <w:rFonts w:eastAsia="Times New Roman" w:cs="Times New Roman"/>
          <w:color w:val="000000"/>
        </w:rPr>
        <w:t>apply at the front</w:t>
      </w:r>
      <w:r w:rsidR="00DE38E4">
        <w:rPr>
          <w:rFonts w:eastAsia="Times New Roman" w:cs="Times New Roman"/>
          <w:color w:val="000000"/>
        </w:rPr>
        <w:t xml:space="preserve"> </w:t>
      </w:r>
      <w:r>
        <w:rPr>
          <w:rFonts w:eastAsia="Times New Roman" w:cs="Times New Roman"/>
          <w:color w:val="000000"/>
        </w:rPr>
        <w:t xml:space="preserve">end of the analysis, and for petitions not deemed to be successive, they render </w:t>
      </w:r>
      <w:r w:rsidRPr="002F079C">
        <w:rPr>
          <w:rFonts w:eastAsia="Times New Roman" w:cs="Times New Roman"/>
          <w:i/>
          <w:iCs/>
          <w:color w:val="000000"/>
        </w:rPr>
        <w:t>the successiveness bar</w:t>
      </w:r>
      <w:r>
        <w:rPr>
          <w:rFonts w:eastAsia="Times New Roman" w:cs="Times New Roman"/>
          <w:color w:val="000000"/>
        </w:rPr>
        <w:t xml:space="preserve"> inapplicable.  The </w:t>
      </w:r>
      <w:r w:rsidRPr="00F148FB">
        <w:rPr>
          <w:rFonts w:eastAsia="Times New Roman" w:cs="Times New Roman"/>
          <w:i/>
          <w:iCs/>
          <w:color w:val="000000"/>
        </w:rPr>
        <w:t>Clark</w:t>
      </w:r>
      <w:r>
        <w:rPr>
          <w:rFonts w:eastAsia="Times New Roman" w:cs="Times New Roman"/>
          <w:color w:val="000000"/>
        </w:rPr>
        <w:t xml:space="preserve"> miscarriage of justice </w:t>
      </w:r>
      <w:r w:rsidR="00EA4F6F">
        <w:rPr>
          <w:rFonts w:eastAsia="Times New Roman" w:cs="Times New Roman"/>
          <w:color w:val="000000"/>
        </w:rPr>
        <w:t>circumstances</w:t>
      </w:r>
      <w:r>
        <w:rPr>
          <w:rFonts w:eastAsia="Times New Roman" w:cs="Times New Roman"/>
          <w:color w:val="000000"/>
        </w:rPr>
        <w:t>, by contrast, which more generally appl</w:t>
      </w:r>
      <w:r w:rsidR="00EA4F6F">
        <w:rPr>
          <w:rFonts w:eastAsia="Times New Roman" w:cs="Times New Roman"/>
          <w:color w:val="000000"/>
        </w:rPr>
        <w:t xml:space="preserve">y </w:t>
      </w:r>
      <w:r>
        <w:rPr>
          <w:rFonts w:eastAsia="Times New Roman" w:cs="Times New Roman"/>
          <w:color w:val="000000"/>
        </w:rPr>
        <w:t xml:space="preserve">to </w:t>
      </w:r>
      <w:r w:rsidRPr="002F079C">
        <w:rPr>
          <w:rFonts w:eastAsia="Times New Roman" w:cs="Times New Roman"/>
          <w:i/>
          <w:iCs/>
          <w:color w:val="000000"/>
        </w:rPr>
        <w:t xml:space="preserve">the entire </w:t>
      </w:r>
      <w:r w:rsidR="007D07EB">
        <w:rPr>
          <w:rFonts w:eastAsia="Times New Roman" w:cs="Times New Roman"/>
          <w:i/>
          <w:iCs/>
          <w:color w:val="000000"/>
        </w:rPr>
        <w:t>abuse of the writ</w:t>
      </w:r>
      <w:r w:rsidRPr="002F079C">
        <w:rPr>
          <w:rFonts w:eastAsia="Times New Roman" w:cs="Times New Roman"/>
          <w:i/>
          <w:iCs/>
          <w:color w:val="000000"/>
        </w:rPr>
        <w:t xml:space="preserve"> doctrine</w:t>
      </w:r>
      <w:r>
        <w:rPr>
          <w:rFonts w:eastAsia="Times New Roman" w:cs="Times New Roman"/>
          <w:color w:val="000000"/>
        </w:rPr>
        <w:t xml:space="preserve">, </w:t>
      </w:r>
      <w:r w:rsidR="00DF686F">
        <w:rPr>
          <w:rFonts w:eastAsia="Times New Roman" w:cs="Times New Roman"/>
          <w:color w:val="000000"/>
        </w:rPr>
        <w:t xml:space="preserve">only kick in </w:t>
      </w:r>
      <w:r>
        <w:rPr>
          <w:rFonts w:eastAsia="Times New Roman" w:cs="Times New Roman"/>
          <w:color w:val="000000"/>
        </w:rPr>
        <w:t>at the back</w:t>
      </w:r>
      <w:r w:rsidR="00BA3555">
        <w:rPr>
          <w:rFonts w:eastAsia="Times New Roman" w:cs="Times New Roman"/>
          <w:color w:val="000000"/>
        </w:rPr>
        <w:t xml:space="preserve"> </w:t>
      </w:r>
      <w:r>
        <w:rPr>
          <w:rFonts w:eastAsia="Times New Roman" w:cs="Times New Roman"/>
          <w:color w:val="000000"/>
        </w:rPr>
        <w:t xml:space="preserve">end of the analysis, after a petition has been determined to be successive.  In </w:t>
      </w:r>
      <w:r w:rsidR="006518FE">
        <w:rPr>
          <w:rFonts w:eastAsia="Times New Roman" w:cs="Times New Roman"/>
          <w:color w:val="000000"/>
        </w:rPr>
        <w:t xml:space="preserve">light of that </w:t>
      </w:r>
      <w:r w:rsidR="00334558">
        <w:rPr>
          <w:rFonts w:eastAsia="Times New Roman" w:cs="Times New Roman"/>
          <w:color w:val="000000"/>
        </w:rPr>
        <w:t xml:space="preserve">analytical </w:t>
      </w:r>
      <w:r w:rsidR="0029383E">
        <w:rPr>
          <w:rFonts w:eastAsia="Times New Roman" w:cs="Times New Roman"/>
          <w:color w:val="000000"/>
        </w:rPr>
        <w:t>distinction,</w:t>
      </w:r>
      <w:r>
        <w:rPr>
          <w:rFonts w:eastAsia="Times New Roman" w:cs="Times New Roman"/>
          <w:color w:val="000000"/>
        </w:rPr>
        <w:t xml:space="preserve"> and to avoid </w:t>
      </w:r>
      <w:r w:rsidR="0028620A">
        <w:rPr>
          <w:rFonts w:eastAsia="Times New Roman" w:cs="Times New Roman"/>
          <w:color w:val="000000"/>
        </w:rPr>
        <w:t>confusion</w:t>
      </w:r>
      <w:r>
        <w:rPr>
          <w:rFonts w:eastAsia="Times New Roman" w:cs="Times New Roman"/>
          <w:color w:val="000000"/>
        </w:rPr>
        <w:t xml:space="preserve">, we refer to the </w:t>
      </w:r>
      <w:r w:rsidRPr="00AE3B4A">
        <w:rPr>
          <w:rFonts w:eastAsia="Times New Roman" w:cs="Times New Roman"/>
          <w:i/>
          <w:iCs/>
          <w:color w:val="000000"/>
        </w:rPr>
        <w:t>Clark</w:t>
      </w:r>
      <w:r>
        <w:rPr>
          <w:rFonts w:eastAsia="Times New Roman" w:cs="Times New Roman"/>
          <w:color w:val="000000"/>
        </w:rPr>
        <w:t xml:space="preserve"> miscarriage of justice circumstances as a “backstop</w:t>
      </w:r>
      <w:r w:rsidR="0057701C">
        <w:rPr>
          <w:rFonts w:eastAsia="Times New Roman" w:cs="Times New Roman"/>
          <w:color w:val="000000"/>
        </w:rPr>
        <w:t>,</w:t>
      </w:r>
      <w:r>
        <w:rPr>
          <w:rFonts w:eastAsia="Times New Roman" w:cs="Times New Roman"/>
          <w:color w:val="000000"/>
        </w:rPr>
        <w:t xml:space="preserve">” not as a “safety valve.”   </w:t>
      </w:r>
    </w:p>
    <w:p w:rsidR="003B0527" w:rsidP="003B0527" w14:paraId="4D3E2A83" w14:textId="77777777">
      <w:pPr>
        <w:shd w:val="clear" w:color="auto" w:fill="FFFFFF"/>
        <w:spacing w:line="320" w:lineRule="atLeast"/>
      </w:pPr>
    </w:p>
  </w:footnote>
  <w:footnote w:id="11">
    <w:p w:rsidR="003337EF" w:rsidRPr="0035752C" w:rsidP="003337EF" w14:paraId="4CCF5803" w14:textId="7A56E9B6">
      <w:pPr>
        <w:shd w:val="clear" w:color="auto" w:fill="FFFFFF"/>
        <w:spacing w:line="320" w:lineRule="atLeast"/>
        <w:ind w:firstLine="810"/>
        <w:rPr>
          <w:rFonts w:eastAsia="Times New Roman" w:cs="Times New Roman"/>
          <w:color w:val="000000"/>
        </w:rPr>
      </w:pPr>
      <w:r w:rsidRPr="0035752C">
        <w:rPr>
          <w:rStyle w:val="FootnoteReference"/>
        </w:rPr>
        <w:footnoteRef/>
      </w:r>
      <w:r w:rsidRPr="0035752C">
        <w:t xml:space="preserve"> </w:t>
      </w:r>
      <w:r w:rsidRPr="0035752C">
        <w:rPr>
          <w:rFonts w:eastAsia="Times New Roman" w:cs="Times New Roman"/>
          <w:color w:val="000000"/>
        </w:rPr>
        <w:t>California Constitution, article I, section 11</w:t>
      </w:r>
      <w:r w:rsidR="00B86367">
        <w:rPr>
          <w:rFonts w:eastAsia="Times New Roman" w:cs="Times New Roman"/>
          <w:color w:val="000000"/>
        </w:rPr>
        <w:t xml:space="preserve"> (</w:t>
      </w:r>
      <w:r w:rsidRPr="0035752C">
        <w:rPr>
          <w:rFonts w:eastAsia="Times New Roman" w:cs="Times New Roman"/>
          <w:color w:val="000000"/>
        </w:rPr>
        <w:t>“Habeas corpus may not be suspended unless required by public safety in cases of rebellion or invasion.”</w:t>
      </w:r>
      <w:r w:rsidR="00B86367">
        <w:rPr>
          <w:rFonts w:eastAsia="Times New Roman" w:cs="Times New Roman"/>
          <w:color w:val="000000"/>
        </w:rPr>
        <w:t>); s</w:t>
      </w:r>
      <w:r w:rsidRPr="0035752C">
        <w:rPr>
          <w:rFonts w:eastAsia="Times New Roman" w:cs="Times New Roman"/>
          <w:i/>
          <w:iCs/>
          <w:color w:val="000000"/>
        </w:rPr>
        <w:t>ee Friend I</w:t>
      </w:r>
      <w:r w:rsidRPr="0035752C">
        <w:rPr>
          <w:rFonts w:eastAsia="Times New Roman" w:cs="Times New Roman"/>
          <w:color w:val="000000"/>
        </w:rPr>
        <w:t xml:space="preserve">, </w:t>
      </w:r>
      <w:r w:rsidRPr="0035752C">
        <w:rPr>
          <w:rFonts w:eastAsia="Times New Roman" w:cs="Times New Roman"/>
          <w:i/>
          <w:iCs/>
          <w:color w:val="000000"/>
        </w:rPr>
        <w:t>supra</w:t>
      </w:r>
      <w:r w:rsidRPr="0035752C">
        <w:rPr>
          <w:rFonts w:eastAsia="Times New Roman" w:cs="Times New Roman"/>
          <w:color w:val="000000"/>
        </w:rPr>
        <w:t>, 11</w:t>
      </w:r>
      <w:r w:rsidR="00160D07">
        <w:rPr>
          <w:rFonts w:eastAsia="Times New Roman" w:cs="Times New Roman"/>
          <w:color w:val="000000"/>
        </w:rPr>
        <w:t> </w:t>
      </w:r>
      <w:r w:rsidRPr="0035752C">
        <w:rPr>
          <w:rFonts w:eastAsia="Times New Roman" w:cs="Times New Roman"/>
          <w:color w:val="000000"/>
        </w:rPr>
        <w:t>Cal.5</w:t>
      </w:r>
      <w:r w:rsidRPr="00755FB0">
        <w:rPr>
          <w:rFonts w:eastAsia="Times New Roman" w:cs="Times New Roman"/>
          <w:color w:val="000000"/>
        </w:rPr>
        <w:t>th</w:t>
      </w:r>
      <w:r w:rsidRPr="0035752C">
        <w:rPr>
          <w:rFonts w:eastAsia="Times New Roman" w:cs="Times New Roman"/>
          <w:color w:val="000000"/>
        </w:rPr>
        <w:t xml:space="preserve"> at p.</w:t>
      </w:r>
      <w:r w:rsidR="00160D07">
        <w:rPr>
          <w:rFonts w:eastAsia="Times New Roman" w:cs="Times New Roman"/>
          <w:color w:val="000000"/>
        </w:rPr>
        <w:t> </w:t>
      </w:r>
      <w:r w:rsidRPr="0035752C">
        <w:rPr>
          <w:rFonts w:eastAsia="Times New Roman" w:cs="Times New Roman"/>
          <w:color w:val="000000"/>
        </w:rPr>
        <w:t>736 (“The California Constitution has protected the right to seek relief by habeas corpus since our state</w:t>
      </w:r>
      <w:r w:rsidR="007C3C4F">
        <w:rPr>
          <w:rFonts w:eastAsia="Times New Roman" w:cs="Times New Roman"/>
          <w:color w:val="000000"/>
        </w:rPr>
        <w:t>’</w:t>
      </w:r>
      <w:r w:rsidRPr="0035752C">
        <w:rPr>
          <w:rFonts w:eastAsia="Times New Roman" w:cs="Times New Roman"/>
          <w:color w:val="000000"/>
        </w:rPr>
        <w:t xml:space="preserve">s founding”; </w:t>
      </w:r>
      <w:r>
        <w:rPr>
          <w:rFonts w:eastAsia="Times New Roman" w:cs="Times New Roman"/>
          <w:color w:val="000000"/>
        </w:rPr>
        <w:t xml:space="preserve">and </w:t>
      </w:r>
      <w:r w:rsidRPr="0035752C">
        <w:rPr>
          <w:rFonts w:eastAsia="Times New Roman" w:cs="Times New Roman"/>
          <w:color w:val="000000"/>
        </w:rPr>
        <w:t>the right to invoke the writ, which “</w:t>
      </w:r>
      <w:r w:rsidR="00160D07">
        <w:rPr>
          <w:rFonts w:eastAsia="Times New Roman" w:cs="Times New Roman"/>
          <w:color w:val="000000"/>
        </w:rPr>
        <w:t> </w:t>
      </w:r>
      <w:r w:rsidR="00415217">
        <w:rPr>
          <w:rFonts w:eastAsia="Times New Roman" w:cs="Times New Roman"/>
          <w:color w:val="000000"/>
        </w:rPr>
        <w:t>‘</w:t>
      </w:r>
      <w:r w:rsidRPr="0035752C">
        <w:rPr>
          <w:rFonts w:eastAsia="Times New Roman" w:cs="Times New Roman"/>
          <w:color w:val="000000"/>
        </w:rPr>
        <w:t>often represents a prisoner</w:t>
      </w:r>
      <w:r w:rsidR="007C3C4F">
        <w:rPr>
          <w:rFonts w:eastAsia="Times New Roman" w:cs="Times New Roman"/>
          <w:color w:val="000000"/>
        </w:rPr>
        <w:t>’</w:t>
      </w:r>
      <w:r w:rsidRPr="0035752C">
        <w:rPr>
          <w:rFonts w:eastAsia="Times New Roman" w:cs="Times New Roman"/>
          <w:color w:val="000000"/>
        </w:rPr>
        <w:t>s last chance to obtain judicial review</w:t>
      </w:r>
      <w:r w:rsidR="00415217">
        <w:rPr>
          <w:rFonts w:eastAsia="Times New Roman" w:cs="Times New Roman"/>
          <w:color w:val="000000"/>
        </w:rPr>
        <w:t>’</w:t>
      </w:r>
      <w:r w:rsidRPr="0035752C">
        <w:rPr>
          <w:rFonts w:eastAsia="Times New Roman" w:cs="Times New Roman"/>
          <w:color w:val="000000"/>
        </w:rPr>
        <w:t xml:space="preserve"> of a criminal conviction,” is “an avenue to relief in service of principles of substantial justice”)</w:t>
      </w:r>
      <w:r>
        <w:rPr>
          <w:rFonts w:eastAsia="Times New Roman" w:cs="Times New Roman"/>
          <w:color w:val="000000"/>
        </w:rPr>
        <w:t>.</w:t>
      </w:r>
    </w:p>
    <w:p w:rsidR="003337EF" w:rsidRPr="007E11FB" w:rsidP="003337EF" w14:paraId="49705ABC" w14:textId="77777777">
      <w:pPr>
        <w:pStyle w:val="FootnoteText"/>
        <w:rPr>
          <w:szCs w:val="26"/>
        </w:rPr>
      </w:pPr>
    </w:p>
  </w:footnote>
  <w:footnote w:id="12">
    <w:p w:rsidR="00945800" w:rsidRPr="002F079C" w:rsidP="002F079C" w14:paraId="0C9623EE" w14:textId="68AD9AD6">
      <w:pPr>
        <w:shd w:val="clear" w:color="auto" w:fill="FFFFFF"/>
        <w:spacing w:line="320" w:lineRule="atLeast"/>
        <w:rPr>
          <w:rFonts w:eastAsia="Times New Roman" w:cs="Times New Roman"/>
          <w:color w:val="000000"/>
        </w:rPr>
      </w:pPr>
      <w:r>
        <w:rPr>
          <w:rStyle w:val="FootnoteReference"/>
        </w:rPr>
        <w:footnoteRef/>
      </w:r>
      <w:r>
        <w:t xml:space="preserve"> </w:t>
      </w:r>
      <w:r w:rsidRPr="0090491A">
        <w:rPr>
          <w:rFonts w:eastAsia="Times New Roman" w:cs="Times New Roman"/>
          <w:i/>
          <w:iCs/>
          <w:color w:val="000000"/>
        </w:rPr>
        <w:t>Briggs</w:t>
      </w:r>
      <w:r>
        <w:rPr>
          <w:rFonts w:eastAsia="Times New Roman" w:cs="Times New Roman"/>
          <w:color w:val="000000"/>
        </w:rPr>
        <w:t xml:space="preserve"> makes a similar point</w:t>
      </w:r>
      <w:r w:rsidR="006E288E">
        <w:rPr>
          <w:rFonts w:eastAsia="Times New Roman" w:cs="Times New Roman"/>
          <w:color w:val="000000"/>
        </w:rPr>
        <w:t xml:space="preserve"> about future</w:t>
      </w:r>
      <w:r w:rsidR="004E561B">
        <w:rPr>
          <w:rFonts w:eastAsia="Times New Roman" w:cs="Times New Roman"/>
          <w:color w:val="000000"/>
        </w:rPr>
        <w:t>, as</w:t>
      </w:r>
      <w:r w:rsidR="000A7B67">
        <w:rPr>
          <w:rFonts w:eastAsia="Times New Roman" w:cs="Times New Roman"/>
          <w:color w:val="000000"/>
        </w:rPr>
        <w:t>-</w:t>
      </w:r>
      <w:r w:rsidR="004E561B">
        <w:rPr>
          <w:rFonts w:eastAsia="Times New Roman" w:cs="Times New Roman"/>
          <w:color w:val="000000"/>
        </w:rPr>
        <w:t>applied constitutional challenges</w:t>
      </w:r>
      <w:r>
        <w:rPr>
          <w:rFonts w:eastAsia="Times New Roman" w:cs="Times New Roman"/>
          <w:color w:val="000000"/>
        </w:rPr>
        <w:t xml:space="preserve">.  (See </w:t>
      </w:r>
      <w:r w:rsidRPr="007E11FB">
        <w:rPr>
          <w:i/>
          <w:iCs/>
        </w:rPr>
        <w:t>Briggs</w:t>
      </w:r>
      <w:r w:rsidRPr="007E11FB">
        <w:t xml:space="preserve">, </w:t>
      </w:r>
      <w:r w:rsidRPr="007E11FB">
        <w:rPr>
          <w:i/>
          <w:iCs/>
        </w:rPr>
        <w:t>supra</w:t>
      </w:r>
      <w:r w:rsidRPr="007E11FB">
        <w:t>, 3</w:t>
      </w:r>
      <w:r w:rsidR="00DB45C0">
        <w:t> </w:t>
      </w:r>
      <w:r w:rsidRPr="007E11FB">
        <w:t>Cal.5</w:t>
      </w:r>
      <w:r w:rsidRPr="002A6655">
        <w:t>th</w:t>
      </w:r>
      <w:r w:rsidRPr="007E11FB">
        <w:t xml:space="preserve"> at p.</w:t>
      </w:r>
      <w:r w:rsidR="00DB45C0">
        <w:t> </w:t>
      </w:r>
      <w:r w:rsidRPr="007E11FB">
        <w:t xml:space="preserve">848 </w:t>
      </w:r>
      <w:r w:rsidR="00F90BE4">
        <w:t>[</w:t>
      </w:r>
      <w:r w:rsidRPr="007E11FB">
        <w:t>“</w:t>
      </w:r>
      <w:r w:rsidRPr="007E11FB">
        <w:rPr>
          <w:rFonts w:eastAsia="Times New Roman" w:cs="Times New Roman"/>
          <w:color w:val="000000"/>
        </w:rPr>
        <w:t xml:space="preserve">Going forward, prisoners may seek to challenge such limitations in the </w:t>
      </w:r>
      <w:r w:rsidRPr="00945800">
        <w:rPr>
          <w:rFonts w:eastAsia="Times New Roman" w:cs="Times New Roman"/>
          <w:color w:val="000000"/>
        </w:rPr>
        <w:t xml:space="preserve">context of their individual cases. </w:t>
      </w:r>
      <w:r w:rsidR="0058785B">
        <w:rPr>
          <w:rFonts w:eastAsia="Times New Roman" w:cs="Times New Roman"/>
          <w:color w:val="000000"/>
        </w:rPr>
        <w:t xml:space="preserve"> </w:t>
      </w:r>
      <w:r w:rsidRPr="00945800">
        <w:rPr>
          <w:rFonts w:eastAsia="Times New Roman" w:cs="Times New Roman"/>
          <w:color w:val="000000"/>
        </w:rPr>
        <w:t>We express no view on their prospects for relief, holding only that the modifications imposed by section 1509 do not materially impair the functioning of the courts.”</w:t>
      </w:r>
      <w:r w:rsidR="00F90BE4">
        <w:rPr>
          <w:rFonts w:eastAsia="Times New Roman" w:cs="Times New Roman"/>
          <w:color w:val="000000"/>
        </w:rPr>
        <w:t>]</w:t>
      </w:r>
      <w:r w:rsidRPr="00945800" w:rsidR="00796AFE">
        <w:rPr>
          <w:rFonts w:eastAsia="Times New Roman" w:cs="Times New Roman"/>
          <w:color w:val="000000"/>
        </w:rPr>
        <w:t xml:space="preserve">; </w:t>
      </w:r>
      <w:r w:rsidRPr="002F079C" w:rsidR="00C44825">
        <w:rPr>
          <w:rFonts w:eastAsia="Times New Roman" w:cs="Times New Roman"/>
          <w:i/>
          <w:iCs/>
          <w:color w:val="000000"/>
        </w:rPr>
        <w:t>id</w:t>
      </w:r>
      <w:r w:rsidRPr="00945800" w:rsidR="00C44825">
        <w:rPr>
          <w:rFonts w:eastAsia="Times New Roman" w:cs="Times New Roman"/>
          <w:color w:val="000000"/>
        </w:rPr>
        <w:t xml:space="preserve">, </w:t>
      </w:r>
      <w:r w:rsidRPr="00945800" w:rsidR="009B5AA7">
        <w:rPr>
          <w:rFonts w:eastAsia="Times New Roman" w:cs="Times New Roman"/>
          <w:color w:val="000000"/>
        </w:rPr>
        <w:t>at p.</w:t>
      </w:r>
      <w:r w:rsidR="00DB45C0">
        <w:rPr>
          <w:rFonts w:eastAsia="Times New Roman" w:cs="Times New Roman"/>
          <w:color w:val="000000"/>
        </w:rPr>
        <w:t> </w:t>
      </w:r>
      <w:r w:rsidRPr="00945800" w:rsidR="0084181F">
        <w:rPr>
          <w:rFonts w:eastAsia="Times New Roman" w:cs="Times New Roman"/>
          <w:color w:val="000000"/>
        </w:rPr>
        <w:t xml:space="preserve">868 </w:t>
      </w:r>
      <w:r w:rsidR="009312BD">
        <w:rPr>
          <w:rFonts w:eastAsia="Times New Roman" w:cs="Times New Roman"/>
          <w:color w:val="000000"/>
        </w:rPr>
        <w:t>(</w:t>
      </w:r>
      <w:r w:rsidRPr="00945800" w:rsidR="0084181F">
        <w:rPr>
          <w:rFonts w:eastAsia="Times New Roman" w:cs="Times New Roman"/>
          <w:color w:val="000000"/>
        </w:rPr>
        <w:t>con</w:t>
      </w:r>
      <w:r w:rsidRPr="00945800" w:rsidR="001F0809">
        <w:rPr>
          <w:rFonts w:eastAsia="Times New Roman" w:cs="Times New Roman"/>
          <w:color w:val="000000"/>
        </w:rPr>
        <w:t>c. opn. of Liu</w:t>
      </w:r>
      <w:r w:rsidRPr="00945800" w:rsidR="002535A2">
        <w:rPr>
          <w:rFonts w:eastAsia="Times New Roman" w:cs="Times New Roman"/>
          <w:color w:val="000000"/>
        </w:rPr>
        <w:t>, J.</w:t>
      </w:r>
      <w:r w:rsidR="009312BD">
        <w:rPr>
          <w:rFonts w:eastAsia="Times New Roman" w:cs="Times New Roman"/>
          <w:color w:val="000000"/>
        </w:rPr>
        <w:t>)</w:t>
      </w:r>
      <w:r w:rsidRPr="00945800">
        <w:rPr>
          <w:rFonts w:eastAsia="Times New Roman" w:cs="Times New Roman"/>
          <w:color w:val="000000"/>
        </w:rPr>
        <w:t xml:space="preserve"> </w:t>
      </w:r>
      <w:r w:rsidR="00F90BE4">
        <w:rPr>
          <w:rFonts w:eastAsia="Times New Roman" w:cs="Times New Roman"/>
          <w:color w:val="000000"/>
        </w:rPr>
        <w:t>[</w:t>
      </w:r>
      <w:r w:rsidRPr="00945800">
        <w:rPr>
          <w:rFonts w:eastAsia="Times New Roman" w:cs="Times New Roman"/>
          <w:color w:val="000000"/>
        </w:rPr>
        <w:t>“</w:t>
      </w:r>
      <w:r w:rsidRPr="002F079C">
        <w:rPr>
          <w:rFonts w:eastAsia="Times New Roman" w:cs="Times New Roman"/>
          <w:color w:val="000000"/>
        </w:rPr>
        <w:t>the constitutionality of Proposition 66</w:t>
      </w:r>
      <w:r w:rsidR="00701C4E">
        <w:rPr>
          <w:rFonts w:eastAsia="Times New Roman" w:cs="Times New Roman"/>
          <w:color w:val="000000"/>
        </w:rPr>
        <w:t>’</w:t>
      </w:r>
      <w:r w:rsidRPr="002F079C">
        <w:rPr>
          <w:rFonts w:eastAsia="Times New Roman" w:cs="Times New Roman"/>
          <w:color w:val="000000"/>
        </w:rPr>
        <w:t>s restrictions on successive petitions</w:t>
      </w:r>
      <w:r w:rsidR="004E22C0">
        <w:rPr>
          <w:rFonts w:eastAsia="Times New Roman" w:cs="Times New Roman"/>
          <w:color w:val="000000"/>
        </w:rPr>
        <w:t xml:space="preserve"> . . . </w:t>
      </w:r>
      <w:r w:rsidRPr="002F079C">
        <w:rPr>
          <w:rFonts w:eastAsia="Times New Roman" w:cs="Times New Roman"/>
          <w:color w:val="000000"/>
        </w:rPr>
        <w:t>has yet to be fully tested”</w:t>
      </w:r>
      <w:r w:rsidR="00F90BE4">
        <w:rPr>
          <w:rFonts w:eastAsia="Times New Roman" w:cs="Times New Roman"/>
          <w:color w:val="000000"/>
        </w:rPr>
        <w:t>]</w:t>
      </w:r>
      <w:r w:rsidRPr="002F079C">
        <w:rPr>
          <w:rFonts w:eastAsia="Times New Roman" w:cs="Times New Roman"/>
          <w:color w:val="000000"/>
        </w:rPr>
        <w:t>.</w:t>
      </w:r>
      <w:r w:rsidR="00F90BE4">
        <w:rPr>
          <w:rFonts w:eastAsia="Times New Roman" w:cs="Times New Roman"/>
          <w:color w:val="000000"/>
        </w:rPr>
        <w:t>)</w:t>
      </w:r>
    </w:p>
    <w:p w:rsidR="00270FE7" w:rsidP="006E2590" w14:paraId="47396C24" w14:textId="1D129D26">
      <w:pPr>
        <w:pStyle w:val="FootnoteText"/>
        <w:ind w:firstLine="0"/>
      </w:pPr>
    </w:p>
  </w:footnote>
  <w:footnote w:id="13">
    <w:p w:rsidR="00E87866" w:rsidRPr="00F669BF" w:rsidP="00E87866" w14:paraId="34BB119F" w14:textId="0BCD6A96">
      <w:pPr>
        <w:pStyle w:val="FootnoteText"/>
        <w:ind w:firstLine="360"/>
        <w:rPr>
          <w:rFonts w:eastAsia="Times New Roman" w:cs="Times New Roman"/>
          <w:color w:val="000000"/>
        </w:rPr>
      </w:pPr>
      <w:r>
        <w:rPr>
          <w:rStyle w:val="FootnoteReference"/>
        </w:rPr>
        <w:footnoteRef/>
      </w:r>
      <w:r>
        <w:t xml:space="preserve"> I</w:t>
      </w:r>
      <w:r>
        <w:rPr>
          <w:rFonts w:eastAsia="Times New Roman" w:cs="Times New Roman"/>
          <w:color w:val="000000"/>
        </w:rPr>
        <w:t xml:space="preserve">f and when the record is prepared, </w:t>
      </w:r>
      <w:r w:rsidR="008F76D3">
        <w:rPr>
          <w:rFonts w:eastAsia="Times New Roman" w:cs="Times New Roman"/>
          <w:color w:val="000000"/>
        </w:rPr>
        <w:t xml:space="preserve">it </w:t>
      </w:r>
      <w:r w:rsidR="005139A1">
        <w:rPr>
          <w:rFonts w:eastAsia="Times New Roman" w:cs="Times New Roman"/>
          <w:color w:val="000000"/>
        </w:rPr>
        <w:t xml:space="preserve">may be vast.  It </w:t>
      </w:r>
      <w:r w:rsidR="00197324">
        <w:rPr>
          <w:rFonts w:eastAsia="Times New Roman" w:cs="Times New Roman"/>
          <w:color w:val="000000"/>
        </w:rPr>
        <w:t xml:space="preserve">must include </w:t>
      </w:r>
      <w:r w:rsidR="00E86CE2">
        <w:rPr>
          <w:rFonts w:eastAsia="Times New Roman" w:cs="Times New Roman"/>
          <w:color w:val="000000"/>
        </w:rPr>
        <w:t xml:space="preserve">not only the </w:t>
      </w:r>
      <w:r w:rsidR="00E91579">
        <w:rPr>
          <w:rFonts w:eastAsia="Times New Roman" w:cs="Times New Roman"/>
          <w:color w:val="000000"/>
        </w:rPr>
        <w:t>clerk’s</w:t>
      </w:r>
      <w:r w:rsidR="00E86CE2">
        <w:rPr>
          <w:rFonts w:eastAsia="Times New Roman" w:cs="Times New Roman"/>
          <w:color w:val="000000"/>
        </w:rPr>
        <w:t xml:space="preserve"> transcript</w:t>
      </w:r>
      <w:r w:rsidR="00504008">
        <w:rPr>
          <w:rFonts w:eastAsia="Times New Roman" w:cs="Times New Roman"/>
          <w:color w:val="000000"/>
        </w:rPr>
        <w:t xml:space="preserve"> (rule 8.395(</w:t>
      </w:r>
      <w:r w:rsidR="00E40873">
        <w:rPr>
          <w:rFonts w:eastAsia="Times New Roman" w:cs="Times New Roman"/>
          <w:color w:val="000000"/>
        </w:rPr>
        <w:t>d</w:t>
      </w:r>
      <w:r w:rsidR="00504008">
        <w:rPr>
          <w:rFonts w:eastAsia="Times New Roman" w:cs="Times New Roman"/>
          <w:color w:val="000000"/>
        </w:rPr>
        <w:t>)</w:t>
      </w:r>
      <w:r w:rsidR="00B74989">
        <w:rPr>
          <w:rFonts w:eastAsia="Times New Roman" w:cs="Times New Roman"/>
          <w:color w:val="000000"/>
        </w:rPr>
        <w:t>)</w:t>
      </w:r>
      <w:r w:rsidR="006778CA">
        <w:rPr>
          <w:rFonts w:eastAsia="Times New Roman" w:cs="Times New Roman"/>
          <w:color w:val="000000"/>
        </w:rPr>
        <w:t xml:space="preserve"> and</w:t>
      </w:r>
      <w:r w:rsidR="00256425">
        <w:rPr>
          <w:rFonts w:eastAsia="Times New Roman" w:cs="Times New Roman"/>
          <w:color w:val="000000"/>
        </w:rPr>
        <w:t xml:space="preserve"> </w:t>
      </w:r>
      <w:r w:rsidR="00BF57D0">
        <w:rPr>
          <w:rFonts w:eastAsia="Times New Roman" w:cs="Times New Roman"/>
          <w:color w:val="000000"/>
        </w:rPr>
        <w:t xml:space="preserve">the </w:t>
      </w:r>
      <w:r w:rsidR="00E91579">
        <w:rPr>
          <w:rFonts w:eastAsia="Times New Roman" w:cs="Times New Roman"/>
          <w:color w:val="000000"/>
        </w:rPr>
        <w:t>reporter’s</w:t>
      </w:r>
      <w:r w:rsidR="00256425">
        <w:rPr>
          <w:rFonts w:eastAsia="Times New Roman" w:cs="Times New Roman"/>
          <w:color w:val="000000"/>
        </w:rPr>
        <w:t xml:space="preserve"> transcript (rule</w:t>
      </w:r>
      <w:r w:rsidR="00072BDC">
        <w:rPr>
          <w:rFonts w:eastAsia="Times New Roman" w:cs="Times New Roman"/>
          <w:color w:val="000000"/>
        </w:rPr>
        <w:t> </w:t>
      </w:r>
      <w:r w:rsidR="00D62E0A">
        <w:rPr>
          <w:rFonts w:eastAsia="Times New Roman" w:cs="Times New Roman"/>
          <w:color w:val="000000"/>
        </w:rPr>
        <w:t>8</w:t>
      </w:r>
      <w:r w:rsidR="00CA5B49">
        <w:rPr>
          <w:rFonts w:eastAsia="Times New Roman" w:cs="Times New Roman"/>
          <w:color w:val="000000"/>
        </w:rPr>
        <w:t>.3</w:t>
      </w:r>
      <w:r w:rsidR="00E92844">
        <w:rPr>
          <w:rFonts w:eastAsia="Times New Roman" w:cs="Times New Roman"/>
          <w:color w:val="000000"/>
        </w:rPr>
        <w:t>9</w:t>
      </w:r>
      <w:r w:rsidR="00E94FB1">
        <w:rPr>
          <w:rFonts w:eastAsia="Times New Roman" w:cs="Times New Roman"/>
          <w:color w:val="000000"/>
        </w:rPr>
        <w:t>5(</w:t>
      </w:r>
      <w:r w:rsidR="00385C89">
        <w:rPr>
          <w:rFonts w:eastAsia="Times New Roman" w:cs="Times New Roman"/>
          <w:color w:val="000000"/>
        </w:rPr>
        <w:t>e</w:t>
      </w:r>
      <w:r w:rsidR="00E94FB1">
        <w:rPr>
          <w:rFonts w:eastAsia="Times New Roman" w:cs="Times New Roman"/>
          <w:color w:val="000000"/>
        </w:rPr>
        <w:t>)</w:t>
      </w:r>
      <w:r w:rsidR="00166915">
        <w:rPr>
          <w:rFonts w:eastAsia="Times New Roman" w:cs="Times New Roman"/>
          <w:color w:val="000000"/>
        </w:rPr>
        <w:t>)</w:t>
      </w:r>
      <w:r w:rsidR="009A7D73">
        <w:rPr>
          <w:rFonts w:eastAsia="Times New Roman" w:cs="Times New Roman"/>
          <w:color w:val="000000"/>
        </w:rPr>
        <w:t xml:space="preserve">, </w:t>
      </w:r>
      <w:r w:rsidR="00721DCC">
        <w:rPr>
          <w:rFonts w:eastAsia="Times New Roman" w:cs="Times New Roman"/>
          <w:color w:val="000000"/>
        </w:rPr>
        <w:t xml:space="preserve">but </w:t>
      </w:r>
      <w:r w:rsidR="00CE7B84">
        <w:rPr>
          <w:rFonts w:eastAsia="Times New Roman" w:cs="Times New Roman"/>
          <w:color w:val="000000"/>
        </w:rPr>
        <w:t xml:space="preserve">the record </w:t>
      </w:r>
      <w:r w:rsidR="00852F6F">
        <w:rPr>
          <w:rFonts w:eastAsia="Times New Roman" w:cs="Times New Roman"/>
          <w:color w:val="000000"/>
        </w:rPr>
        <w:t xml:space="preserve">of the automatic appeal and prior habeas proceedings </w:t>
      </w:r>
      <w:r w:rsidR="00F029A2">
        <w:rPr>
          <w:rFonts w:eastAsia="Times New Roman" w:cs="Times New Roman"/>
          <w:color w:val="000000"/>
        </w:rPr>
        <w:t>(rule 8.395(</w:t>
      </w:r>
      <w:r w:rsidR="000812C6">
        <w:rPr>
          <w:rFonts w:eastAsia="Times New Roman" w:cs="Times New Roman"/>
          <w:color w:val="000000"/>
        </w:rPr>
        <w:t>a</w:t>
      </w:r>
      <w:r w:rsidR="00F029A2">
        <w:rPr>
          <w:rFonts w:eastAsia="Times New Roman" w:cs="Times New Roman"/>
          <w:color w:val="000000"/>
        </w:rPr>
        <w:t>)</w:t>
      </w:r>
      <w:r w:rsidR="000812C6">
        <w:rPr>
          <w:rFonts w:eastAsia="Times New Roman" w:cs="Times New Roman"/>
          <w:color w:val="000000"/>
        </w:rPr>
        <w:t>(1)(E)</w:t>
      </w:r>
      <w:r w:rsidR="00F029A2">
        <w:rPr>
          <w:rFonts w:eastAsia="Times New Roman" w:cs="Times New Roman"/>
          <w:color w:val="000000"/>
        </w:rPr>
        <w:t>)</w:t>
      </w:r>
      <w:r w:rsidR="00F42F6F">
        <w:rPr>
          <w:rFonts w:eastAsia="Times New Roman" w:cs="Times New Roman"/>
          <w:color w:val="000000"/>
        </w:rPr>
        <w:t>.</w:t>
      </w:r>
      <w:r w:rsidR="00F029A2">
        <w:rPr>
          <w:rFonts w:eastAsia="Times New Roman" w:cs="Times New Roman"/>
          <w:color w:val="000000"/>
        </w:rPr>
        <w:t xml:space="preserve">  </w:t>
      </w:r>
      <w:r w:rsidR="00BB425B">
        <w:rPr>
          <w:rFonts w:eastAsia="Times New Roman" w:cs="Times New Roman"/>
          <w:color w:val="000000"/>
        </w:rPr>
        <w:t xml:space="preserve">And the documents to be included in the </w:t>
      </w:r>
      <w:r w:rsidR="00E91579">
        <w:rPr>
          <w:rFonts w:eastAsia="Times New Roman" w:cs="Times New Roman"/>
          <w:color w:val="000000"/>
        </w:rPr>
        <w:t>clerk’s</w:t>
      </w:r>
      <w:r w:rsidR="00B51C09">
        <w:rPr>
          <w:rFonts w:eastAsia="Times New Roman" w:cs="Times New Roman"/>
          <w:color w:val="000000"/>
        </w:rPr>
        <w:t xml:space="preserve"> transcript must include not only documents filed with the trial court, but </w:t>
      </w:r>
      <w:r w:rsidR="00682A81">
        <w:rPr>
          <w:rFonts w:eastAsia="Times New Roman" w:cs="Times New Roman"/>
          <w:color w:val="000000"/>
        </w:rPr>
        <w:t xml:space="preserve">documents lodged with the trial court. </w:t>
      </w:r>
      <w:r w:rsidR="00F42F6F">
        <w:rPr>
          <w:rFonts w:eastAsia="Times New Roman" w:cs="Times New Roman"/>
          <w:color w:val="000000"/>
        </w:rPr>
        <w:t xml:space="preserve"> </w:t>
      </w:r>
      <w:r w:rsidR="00682A81">
        <w:rPr>
          <w:rFonts w:eastAsia="Times New Roman" w:cs="Times New Roman"/>
          <w:color w:val="000000"/>
        </w:rPr>
        <w:t>(</w:t>
      </w:r>
      <w:r w:rsidR="00162934">
        <w:rPr>
          <w:rFonts w:eastAsia="Times New Roman" w:cs="Times New Roman"/>
          <w:color w:val="000000"/>
        </w:rPr>
        <w:t>R</w:t>
      </w:r>
      <w:r w:rsidR="00682A81">
        <w:rPr>
          <w:rFonts w:eastAsia="Times New Roman" w:cs="Times New Roman"/>
          <w:color w:val="000000"/>
        </w:rPr>
        <w:t>ule 8.395(</w:t>
      </w:r>
      <w:r w:rsidR="00420155">
        <w:rPr>
          <w:rFonts w:eastAsia="Times New Roman" w:cs="Times New Roman"/>
          <w:color w:val="000000"/>
        </w:rPr>
        <w:t>a</w:t>
      </w:r>
      <w:r w:rsidR="00682A81">
        <w:rPr>
          <w:rFonts w:eastAsia="Times New Roman" w:cs="Times New Roman"/>
          <w:color w:val="000000"/>
        </w:rPr>
        <w:t>)</w:t>
      </w:r>
      <w:r w:rsidR="00B56CAF">
        <w:rPr>
          <w:rFonts w:eastAsia="Times New Roman" w:cs="Times New Roman"/>
          <w:color w:val="000000"/>
        </w:rPr>
        <w:t>(1)(F)</w:t>
      </w:r>
      <w:r w:rsidR="00682A81">
        <w:rPr>
          <w:rFonts w:eastAsia="Times New Roman" w:cs="Times New Roman"/>
          <w:color w:val="000000"/>
        </w:rPr>
        <w:t xml:space="preserve">.) </w:t>
      </w:r>
    </w:p>
  </w:footnote>
  <w:footnote w:id="14">
    <w:p w:rsidR="00E239B9" w:rsidP="00124DAF" w14:paraId="4C3B204B" w14:textId="66386E77">
      <w:pPr>
        <w:pStyle w:val="FootnoteText"/>
        <w:ind w:firstLine="360"/>
      </w:pPr>
      <w:r>
        <w:rPr>
          <w:rStyle w:val="FootnoteReference"/>
        </w:rPr>
        <w:footnoteRef/>
      </w:r>
      <w:r>
        <w:t xml:space="preserve"> </w:t>
      </w:r>
      <w:r w:rsidR="00B11943">
        <w:t>D</w:t>
      </w:r>
      <w:r>
        <w:t xml:space="preserve">eclarations </w:t>
      </w:r>
      <w:r w:rsidR="009669D2">
        <w:t xml:space="preserve">addressing the performance prong of the </w:t>
      </w:r>
      <w:r w:rsidRPr="00124DAF" w:rsidR="009669D2">
        <w:rPr>
          <w:i/>
          <w:iCs/>
        </w:rPr>
        <w:t>Strickland</w:t>
      </w:r>
      <w:r w:rsidR="009669D2">
        <w:t xml:space="preserve"> ineffective assistance of counsel </w:t>
      </w:r>
      <w:r w:rsidR="00B11943">
        <w:t xml:space="preserve">test </w:t>
      </w:r>
      <w:r w:rsidR="00FF7F66">
        <w:t xml:space="preserve">will </w:t>
      </w:r>
      <w:r w:rsidR="006043C0">
        <w:t xml:space="preserve">at </w:t>
      </w:r>
      <w:r w:rsidR="006778CA">
        <w:t xml:space="preserve">a </w:t>
      </w:r>
      <w:r w:rsidR="006043C0">
        <w:t>minimum</w:t>
      </w:r>
      <w:r w:rsidR="009669D2">
        <w:t xml:space="preserve"> </w:t>
      </w:r>
      <w:r>
        <w:t xml:space="preserve">be </w:t>
      </w:r>
      <w:r w:rsidR="00CD0001">
        <w:t xml:space="preserve">required </w:t>
      </w:r>
      <w:r w:rsidR="00D31B04">
        <w:t xml:space="preserve">for us </w:t>
      </w:r>
      <w:r>
        <w:t xml:space="preserve">to </w:t>
      </w:r>
      <w:r w:rsidR="00D31B04">
        <w:t xml:space="preserve">make </w:t>
      </w:r>
      <w:r w:rsidR="00DE275B">
        <w:t xml:space="preserve">an assessment of </w:t>
      </w:r>
      <w:r>
        <w:t xml:space="preserve">successiveness issues that turn on ineffective assistance of counsel.  Beyond </w:t>
      </w:r>
      <w:r w:rsidR="00B11943">
        <w:t>that</w:t>
      </w:r>
      <w:r>
        <w:t xml:space="preserve">, what a petitioner should submit to support a COA </w:t>
      </w:r>
      <w:r w:rsidR="005E6632">
        <w:t xml:space="preserve">in a proposed section 1509.1 appeal </w:t>
      </w:r>
      <w:r>
        <w:t>will vary widely depending on the type of claims presented.  To illustrate based on the claims proposed for appeal in this case, some of Seumanu’s claims are purely legal (i.e.</w:t>
      </w:r>
      <w:r w:rsidR="00934B5D">
        <w:t xml:space="preserve">, </w:t>
      </w:r>
      <w:r>
        <w:t xml:space="preserve">claims </w:t>
      </w:r>
      <w:r w:rsidR="00CF6061">
        <w:t>seven</w:t>
      </w:r>
      <w:r>
        <w:t xml:space="preserve">, </w:t>
      </w:r>
      <w:r w:rsidR="00CF6061">
        <w:t>eight</w:t>
      </w:r>
      <w:r>
        <w:t xml:space="preserve"> and </w:t>
      </w:r>
      <w:r w:rsidR="00484696">
        <w:t>nine</w:t>
      </w:r>
      <w:r>
        <w:t>) and, for record support, probably need nothing more than judicially noticeable background facts from the California Supreme Court’s opinion on direct appeal; other claims focus on the voir dire of particular prospective jurors (e.g.</w:t>
      </w:r>
      <w:r w:rsidR="006A356F">
        <w:t>,</w:t>
      </w:r>
      <w:r>
        <w:t xml:space="preserve"> claims </w:t>
      </w:r>
      <w:r w:rsidR="00F472A5">
        <w:t>four</w:t>
      </w:r>
      <w:r w:rsidR="00CF6061">
        <w:t>, five and six</w:t>
      </w:r>
      <w:r>
        <w:t xml:space="preserve">) and, for record support, probably require only a handful of </w:t>
      </w:r>
      <w:r w:rsidR="00E91579">
        <w:t>reporter’s</w:t>
      </w:r>
      <w:r>
        <w:t xml:space="preserve"> transcript pages</w:t>
      </w:r>
      <w:r w:rsidR="00C32369">
        <w:t xml:space="preserve"> and </w:t>
      </w:r>
      <w:r w:rsidR="006C52FB">
        <w:t>juror questionnaires</w:t>
      </w:r>
      <w:r>
        <w:t>; while the remaining claims (e.g.</w:t>
      </w:r>
      <w:r w:rsidR="006A356F">
        <w:t>,</w:t>
      </w:r>
      <w:r>
        <w:t xml:space="preserve"> claims </w:t>
      </w:r>
      <w:r w:rsidR="00CF6061">
        <w:t>one, two and three</w:t>
      </w:r>
      <w:r>
        <w:t xml:space="preserve">) focus on ineffective assistance issues that require assessments of prejudice under the </w:t>
      </w:r>
      <w:r>
        <w:rPr>
          <w:rFonts w:eastAsia="Times New Roman" w:cs="Times New Roman"/>
          <w:i/>
          <w:iCs/>
          <w:color w:val="3D3D3D"/>
          <w:bdr w:val="none" w:sz="0" w:space="0" w:color="auto" w:frame="1"/>
        </w:rPr>
        <w:t>Strickland</w:t>
      </w:r>
      <w:r>
        <w:rPr>
          <w:rFonts w:eastAsia="Times New Roman" w:cs="Times New Roman"/>
          <w:color w:val="000000"/>
        </w:rPr>
        <w:t xml:space="preserve"> test.  Among these different types of claims, only the latter group—where an assessment of prejudice is in play—require anything resembling review and understanding of the full record of prior proceedings.  And even for claims requiring an assessment of prejudice, there may be any number of ways of providing a “snapshot” of the case as submitted to the jury without </w:t>
      </w:r>
      <w:r w:rsidR="00FD4C8A">
        <w:rPr>
          <w:rFonts w:eastAsia="Times New Roman" w:cs="Times New Roman"/>
          <w:color w:val="000000"/>
        </w:rPr>
        <w:t xml:space="preserve">giving us </w:t>
      </w:r>
      <w:r>
        <w:rPr>
          <w:rFonts w:eastAsia="Times New Roman" w:cs="Times New Roman"/>
          <w:color w:val="000000"/>
        </w:rPr>
        <w:t xml:space="preserve">the entire, gargantuan record of all prior proceedings, such as, for example, providing only excerpts of </w:t>
      </w:r>
      <w:r w:rsidR="00E91579">
        <w:rPr>
          <w:rFonts w:eastAsia="Times New Roman" w:cs="Times New Roman"/>
          <w:color w:val="000000"/>
        </w:rPr>
        <w:t>reporter’s</w:t>
      </w:r>
      <w:r>
        <w:rPr>
          <w:rFonts w:eastAsia="Times New Roman" w:cs="Times New Roman"/>
          <w:color w:val="000000"/>
        </w:rPr>
        <w:t xml:space="preserve"> and/or </w:t>
      </w:r>
      <w:r w:rsidR="00E91579">
        <w:rPr>
          <w:rFonts w:eastAsia="Times New Roman" w:cs="Times New Roman"/>
          <w:color w:val="000000"/>
        </w:rPr>
        <w:t>clerk’s</w:t>
      </w:r>
      <w:r>
        <w:rPr>
          <w:rFonts w:eastAsia="Times New Roman" w:cs="Times New Roman"/>
          <w:color w:val="000000"/>
        </w:rPr>
        <w:t xml:space="preserve"> transcripts covering closing arguments, jury instructions, jury </w:t>
      </w:r>
      <w:r w:rsidR="006A356F">
        <w:rPr>
          <w:rFonts w:eastAsia="Times New Roman" w:cs="Times New Roman"/>
          <w:color w:val="000000"/>
        </w:rPr>
        <w:t>questions or</w:t>
      </w:r>
      <w:r>
        <w:rPr>
          <w:rFonts w:eastAsia="Times New Roman" w:cs="Times New Roman"/>
          <w:color w:val="000000"/>
        </w:rPr>
        <w:t xml:space="preserve"> verdicts, and any section 190.4, subdivision (e) determination. </w:t>
      </w:r>
    </w:p>
  </w:footnote>
  <w:footnote w:id="15">
    <w:p w:rsidR="00166DBB" w:rsidP="00EA65D3" w14:paraId="6F528229" w14:textId="16D958B2">
      <w:pPr>
        <w:spacing w:after="120" w:line="240" w:lineRule="auto"/>
      </w:pPr>
      <w:r>
        <w:rPr>
          <w:rStyle w:val="FootnoteReference"/>
        </w:rPr>
        <w:footnoteRef/>
      </w:r>
      <w:r>
        <w:t xml:space="preserve"> </w:t>
      </w:r>
      <w:r w:rsidR="00055DDC">
        <w:t xml:space="preserve">Exhibit 3 of the Exhaustion Petition </w:t>
      </w:r>
      <w:r w:rsidR="00983403">
        <w:t xml:space="preserve">is </w:t>
      </w:r>
      <w:r w:rsidRPr="00EA2C28" w:rsidR="007001DC">
        <w:t>an index by bates-numbered pages of (1)</w:t>
      </w:r>
      <w:r w:rsidR="00C044D4">
        <w:t> </w:t>
      </w:r>
      <w:r w:rsidR="007001DC">
        <w:t xml:space="preserve">selected portions of the record of Seumanu’s trial, including </w:t>
      </w:r>
      <w:r w:rsidRPr="00EA2C28" w:rsidR="007001DC">
        <w:t xml:space="preserve">excerpts from 74 </w:t>
      </w:r>
      <w:r w:rsidR="00CF2C35">
        <w:t>c</w:t>
      </w:r>
      <w:r w:rsidR="007001DC">
        <w:t xml:space="preserve">lerk’s </w:t>
      </w:r>
      <w:r w:rsidR="00CF2C35">
        <w:t>t</w:t>
      </w:r>
      <w:r w:rsidR="007001DC">
        <w:t>ranscript (</w:t>
      </w:r>
      <w:r w:rsidRPr="00EA2C28" w:rsidR="007001DC">
        <w:t>CT</w:t>
      </w:r>
      <w:r w:rsidR="007001DC">
        <w:t xml:space="preserve">) </w:t>
      </w:r>
      <w:r w:rsidRPr="00EA2C28" w:rsidR="007001DC">
        <w:t xml:space="preserve">volumes, excerpts from 25 </w:t>
      </w:r>
      <w:r w:rsidR="007001DC">
        <w:t>reporter</w:t>
      </w:r>
      <w:r w:rsidR="00CF2C35">
        <w:t>’</w:t>
      </w:r>
      <w:r w:rsidR="007001DC">
        <w:t xml:space="preserve">s transcript (RT) </w:t>
      </w:r>
      <w:r w:rsidRPr="00EA2C28" w:rsidR="007001DC">
        <w:t>volumes,</w:t>
      </w:r>
      <w:r w:rsidR="0011212B">
        <w:t xml:space="preserve"> </w:t>
      </w:r>
      <w:r w:rsidR="007001DC">
        <w:t xml:space="preserve">and </w:t>
      </w:r>
      <w:r w:rsidRPr="00EA2C28" w:rsidR="007001DC">
        <w:t>12 corrected CT volumes; (</w:t>
      </w:r>
      <w:r w:rsidR="007001DC">
        <w:t>2</w:t>
      </w:r>
      <w:r w:rsidRPr="00EA2C28" w:rsidR="007001DC">
        <w:t>)</w:t>
      </w:r>
      <w:r w:rsidR="0011212B">
        <w:t> </w:t>
      </w:r>
      <w:r w:rsidRPr="00EA2C28" w:rsidR="007001DC">
        <w:t xml:space="preserve">all briefs filed </w:t>
      </w:r>
      <w:r w:rsidR="007001DC">
        <w:t>in the California Supreme Court in connection with Se</w:t>
      </w:r>
      <w:r w:rsidR="002D58D4">
        <w:t>u</w:t>
      </w:r>
      <w:r w:rsidR="007001DC">
        <w:t xml:space="preserve">manu’s </w:t>
      </w:r>
      <w:r w:rsidRPr="00EA2C28" w:rsidR="007001DC">
        <w:t>direct appeal; and (</w:t>
      </w:r>
      <w:r w:rsidR="007001DC">
        <w:t>3</w:t>
      </w:r>
      <w:r w:rsidRPr="00EA2C28" w:rsidR="007001DC">
        <w:t>)</w:t>
      </w:r>
      <w:r w:rsidR="0011212B">
        <w:t> </w:t>
      </w:r>
      <w:r w:rsidRPr="00EA2C28" w:rsidR="007001DC">
        <w:t xml:space="preserve">the entire record of </w:t>
      </w:r>
      <w:r w:rsidR="007001DC">
        <w:t>proceedings on the Initial Petition</w:t>
      </w:r>
      <w:r w:rsidR="00F32C09">
        <w:t xml:space="preserve">, </w:t>
      </w:r>
      <w:r w:rsidR="007001DC">
        <w:t xml:space="preserve">consisting of </w:t>
      </w:r>
      <w:r w:rsidRPr="00EA2C28" w:rsidR="007001DC">
        <w:t>the 10</w:t>
      </w:r>
      <w:r w:rsidR="00990F0C">
        <w:t>-</w:t>
      </w:r>
      <w:r w:rsidRPr="00EA2C28" w:rsidR="007001DC">
        <w:t>volume petition itself</w:t>
      </w:r>
      <w:r w:rsidR="007001DC">
        <w:t xml:space="preserve"> and </w:t>
      </w:r>
      <w:r w:rsidRPr="00EA2C28" w:rsidR="007001DC">
        <w:t xml:space="preserve">all eight exhibits </w:t>
      </w:r>
      <w:r w:rsidR="007001DC">
        <w:t>attached to it</w:t>
      </w:r>
      <w:r w:rsidRPr="00EA2C28" w:rsidR="007001DC">
        <w:t>, plus the informal response, the informal reply</w:t>
      </w:r>
      <w:r w:rsidR="001247B1">
        <w:t>,</w:t>
      </w:r>
      <w:r w:rsidRPr="00EA2C28" w:rsidR="007001DC">
        <w:t xml:space="preserve"> and the order</w:t>
      </w:r>
      <w:r w:rsidR="007001DC">
        <w:t xml:space="preserve"> denying habeas relief</w:t>
      </w:r>
      <w:r w:rsidRPr="00EA2C28" w:rsidR="007001DC">
        <w:t xml:space="preserve">. </w:t>
      </w:r>
      <w:r w:rsidR="007001DC">
        <w:t xml:space="preserve"> </w:t>
      </w:r>
    </w:p>
  </w:footnote>
  <w:footnote w:id="16">
    <w:p w:rsidR="00ED7C1C" w14:paraId="6EDE675B" w14:textId="1094748C">
      <w:pPr>
        <w:pStyle w:val="FootnoteText"/>
      </w:pPr>
      <w:r>
        <w:rPr>
          <w:rStyle w:val="FootnoteReference"/>
        </w:rPr>
        <w:footnoteRef/>
      </w:r>
      <w:r>
        <w:t xml:space="preserve"> </w:t>
      </w:r>
      <w:r w:rsidR="00F7606E">
        <w:t>When the</w:t>
      </w:r>
      <w:r w:rsidR="00B67CD5">
        <w:t xml:space="preserve"> Exhaustion Petition and </w:t>
      </w:r>
      <w:r w:rsidR="00DC2483">
        <w:t>the attached</w:t>
      </w:r>
      <w:r w:rsidR="00B67CD5">
        <w:t xml:space="preserve"> exhibits were </w:t>
      </w:r>
      <w:r w:rsidR="00F7606E">
        <w:t>provided to us, we discovered that the exhibits included only a summary index of various record materials</w:t>
      </w:r>
      <w:r w:rsidR="00A847BA">
        <w:t xml:space="preserve"> from the extensive history of past proceedings in this case. </w:t>
      </w:r>
      <w:r w:rsidR="00F7606E">
        <w:t xml:space="preserve"> </w:t>
      </w:r>
      <w:r w:rsidR="00F7606E">
        <w:rPr>
          <w:rFonts w:eastAsia="Times New Roman" w:cs="Arial"/>
          <w:color w:val="000000"/>
        </w:rPr>
        <w:t>(</w:t>
      </w:r>
      <w:r w:rsidR="00A847BA">
        <w:rPr>
          <w:rFonts w:eastAsia="Times New Roman" w:cs="Arial"/>
          <w:color w:val="000000"/>
        </w:rPr>
        <w:t>S</w:t>
      </w:r>
      <w:r w:rsidR="00F7606E">
        <w:rPr>
          <w:rFonts w:eastAsia="Times New Roman" w:cs="Arial"/>
          <w:color w:val="000000"/>
        </w:rPr>
        <w:t>ee fn.</w:t>
      </w:r>
      <w:r w:rsidR="000B3C51">
        <w:rPr>
          <w:rFonts w:eastAsia="Times New Roman" w:cs="Arial"/>
          <w:color w:val="000000"/>
        </w:rPr>
        <w:t> </w:t>
      </w:r>
      <w:r w:rsidR="00F7606E">
        <w:rPr>
          <w:rFonts w:eastAsia="Times New Roman" w:cs="Arial"/>
          <w:color w:val="000000"/>
        </w:rPr>
        <w:t>1</w:t>
      </w:r>
      <w:r w:rsidR="00F0765C">
        <w:rPr>
          <w:rFonts w:eastAsia="Times New Roman" w:cs="Arial"/>
          <w:color w:val="000000"/>
        </w:rPr>
        <w:t>3</w:t>
      </w:r>
      <w:r w:rsidR="00F7606E">
        <w:rPr>
          <w:rFonts w:eastAsia="Times New Roman" w:cs="Arial"/>
          <w:color w:val="000000"/>
        </w:rPr>
        <w:t xml:space="preserve">, </w:t>
      </w:r>
      <w:r w:rsidRPr="0058414D" w:rsidR="00F7606E">
        <w:rPr>
          <w:rFonts w:eastAsia="Times New Roman" w:cs="Arial"/>
          <w:i/>
          <w:iCs/>
          <w:color w:val="000000"/>
        </w:rPr>
        <w:t>ante</w:t>
      </w:r>
      <w:r w:rsidR="008B7500">
        <w:rPr>
          <w:rFonts w:eastAsia="Times New Roman" w:cs="Arial"/>
          <w:color w:val="000000"/>
        </w:rPr>
        <w:t>.</w:t>
      </w:r>
      <w:r w:rsidR="00F7606E">
        <w:rPr>
          <w:rFonts w:eastAsia="Times New Roman" w:cs="Arial"/>
          <w:color w:val="000000"/>
        </w:rPr>
        <w:t>)</w:t>
      </w:r>
      <w:r w:rsidR="0038370F">
        <w:rPr>
          <w:rFonts w:eastAsia="Times New Roman" w:cs="Arial"/>
          <w:color w:val="000000"/>
        </w:rPr>
        <w:t xml:space="preserve"> </w:t>
      </w:r>
      <w:r w:rsidR="00A847BA">
        <w:rPr>
          <w:rFonts w:eastAsia="Times New Roman" w:cs="Arial"/>
          <w:color w:val="000000"/>
        </w:rPr>
        <w:t xml:space="preserve"> </w:t>
      </w:r>
      <w:r w:rsidR="005D1158">
        <w:t xml:space="preserve">Exactly </w:t>
      </w:r>
      <w:r w:rsidR="00A847BA">
        <w:t xml:space="preserve">how much </w:t>
      </w:r>
      <w:r w:rsidR="005D1158">
        <w:t>of the</w:t>
      </w:r>
      <w:r w:rsidR="00370C3C">
        <w:t>se</w:t>
      </w:r>
      <w:r w:rsidR="005D1158">
        <w:t xml:space="preserve"> voluminous record materials </w:t>
      </w:r>
      <w:r w:rsidR="00717670">
        <w:t xml:space="preserve">might have </w:t>
      </w:r>
      <w:r w:rsidR="001B0F50">
        <w:t>been useful to us in evaluating whether Se</w:t>
      </w:r>
      <w:r w:rsidR="00AD0B8C">
        <w:t>u</w:t>
      </w:r>
      <w:r w:rsidR="001B0F50">
        <w:t>manu met</w:t>
      </w:r>
      <w:r w:rsidR="006C2BA3">
        <w:t xml:space="preserve"> his burden of making a</w:t>
      </w:r>
      <w:r w:rsidR="00370C3C">
        <w:t xml:space="preserve"> successful</w:t>
      </w:r>
      <w:r w:rsidR="006C2BA3">
        <w:t xml:space="preserve"> COA showing, we cannot say. </w:t>
      </w:r>
      <w:r w:rsidR="007E30B7">
        <w:t xml:space="preserve"> It was up to him to make that judgment </w:t>
      </w:r>
      <w:r w:rsidRPr="00CA6A6B" w:rsidR="007E30B7">
        <w:rPr>
          <w:i/>
          <w:iCs/>
        </w:rPr>
        <w:t>when he filed his COA request</w:t>
      </w:r>
      <w:r w:rsidR="0018412D">
        <w:t xml:space="preserve">, not to wait for us to tell him </w:t>
      </w:r>
      <w:r w:rsidR="006269D0">
        <w:t xml:space="preserve">exactly </w:t>
      </w:r>
      <w:r w:rsidR="0018412D">
        <w:t xml:space="preserve">what we </w:t>
      </w:r>
      <w:r w:rsidR="00027BEC">
        <w:t>would like to see</w:t>
      </w:r>
      <w:r w:rsidR="00DA55E5">
        <w:t xml:space="preserve">.  </w:t>
      </w:r>
    </w:p>
  </w:footnote>
  <w:footnote w:id="17">
    <w:p w:rsidR="00C91860" w:rsidRPr="00345C62" w:rsidP="00C91860" w14:paraId="14B2F34B" w14:textId="77777777">
      <w:pPr>
        <w:pStyle w:val="FootnoteText"/>
      </w:pPr>
      <w:r>
        <w:rPr>
          <w:rStyle w:val="FootnoteReference"/>
        </w:rPr>
        <w:footnoteRef/>
      </w:r>
      <w:r>
        <w:t xml:space="preserve"> Judicial Council Form HC-001, which may be used to file a petition for habeas corpus, expressly references the requirement in </w:t>
      </w:r>
      <w:r>
        <w:rPr>
          <w:i/>
          <w:iCs/>
        </w:rPr>
        <w:t>People v. Duvall, supra</w:t>
      </w:r>
      <w:r>
        <w:t xml:space="preserve">, 9 Cal.4th at page 474, that the claims be supported by declarations, relevant records, transcripts, or other documents.  </w:t>
      </w:r>
      <w:r>
        <w:rPr>
          <w:i/>
          <w:iCs/>
        </w:rPr>
        <w:t>Friend</w:t>
      </w:r>
      <w:r>
        <w:t xml:space="preserve"> quoted </w:t>
      </w:r>
      <w:r>
        <w:rPr>
          <w:i/>
          <w:iCs/>
        </w:rPr>
        <w:t>Duvall</w:t>
      </w:r>
      <w:r>
        <w:t xml:space="preserve"> when it held that the same requirement applies to requests for a certificate of appealability.  (</w:t>
      </w:r>
      <w:r>
        <w:rPr>
          <w:i/>
          <w:iCs/>
        </w:rPr>
        <w:t>In re Friend, supra</w:t>
      </w:r>
      <w:r>
        <w:t>, 76 Cal.App.5th at p. 637.)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1CA" w:rsidP="006F01CA" w14:paraId="12B9CF98" w14:textId="3DC0EB0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3A4" w14:paraId="519CEB6B" w14:textId="2D1C526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B01350"/>
    <w:multiLevelType w:val="hybridMultilevel"/>
    <w:tmpl w:val="8A4ACBA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B1E7D42"/>
    <w:multiLevelType w:val="hybridMultilevel"/>
    <w:tmpl w:val="87D0D0D2"/>
    <w:lvl w:ilvl="0">
      <w:start w:val="1"/>
      <w:numFmt w:val="upperRoman"/>
      <w:pStyle w:val="Heading1"/>
      <w:lvlText w:val="%1."/>
      <w:lvlJc w:val="right"/>
      <w:pPr>
        <w:ind w:left="72" w:hanging="72"/>
      </w:pPr>
      <w:rPr>
        <w:rFonts w:hint="default"/>
        <w:b/>
        <w:i w:val="0"/>
        <w:sz w:val="26"/>
      </w:rPr>
    </w:lvl>
    <w:lvl w:ilvl="1" w:tentative="1">
      <w:start w:val="1"/>
      <w:numFmt w:val="lowerLetter"/>
      <w:lvlText w:val="%2."/>
      <w:lvlJc w:val="left"/>
      <w:pPr>
        <w:ind w:left="8010" w:hanging="360"/>
      </w:pPr>
    </w:lvl>
    <w:lvl w:ilvl="2" w:tentative="1">
      <w:start w:val="1"/>
      <w:numFmt w:val="lowerRoman"/>
      <w:lvlText w:val="%3."/>
      <w:lvlJc w:val="right"/>
      <w:pPr>
        <w:ind w:left="8730" w:hanging="180"/>
      </w:pPr>
    </w:lvl>
    <w:lvl w:ilvl="3" w:tentative="1">
      <w:start w:val="1"/>
      <w:numFmt w:val="decimal"/>
      <w:lvlText w:val="%4."/>
      <w:lvlJc w:val="left"/>
      <w:pPr>
        <w:ind w:left="9450" w:hanging="360"/>
      </w:pPr>
    </w:lvl>
    <w:lvl w:ilvl="4" w:tentative="1">
      <w:start w:val="1"/>
      <w:numFmt w:val="lowerLetter"/>
      <w:lvlText w:val="%5."/>
      <w:lvlJc w:val="left"/>
      <w:pPr>
        <w:ind w:left="10170" w:hanging="360"/>
      </w:pPr>
    </w:lvl>
    <w:lvl w:ilvl="5" w:tentative="1">
      <w:start w:val="1"/>
      <w:numFmt w:val="lowerRoman"/>
      <w:lvlText w:val="%6."/>
      <w:lvlJc w:val="right"/>
      <w:pPr>
        <w:ind w:left="10890" w:hanging="180"/>
      </w:pPr>
    </w:lvl>
    <w:lvl w:ilvl="6" w:tentative="1">
      <w:start w:val="1"/>
      <w:numFmt w:val="decimal"/>
      <w:lvlText w:val="%7."/>
      <w:lvlJc w:val="left"/>
      <w:pPr>
        <w:ind w:left="11610" w:hanging="360"/>
      </w:pPr>
    </w:lvl>
    <w:lvl w:ilvl="7" w:tentative="1">
      <w:start w:val="1"/>
      <w:numFmt w:val="lowerLetter"/>
      <w:lvlText w:val="%8."/>
      <w:lvlJc w:val="left"/>
      <w:pPr>
        <w:ind w:left="12330" w:hanging="360"/>
      </w:pPr>
    </w:lvl>
    <w:lvl w:ilvl="8" w:tentative="1">
      <w:start w:val="1"/>
      <w:numFmt w:val="lowerRoman"/>
      <w:lvlText w:val="%9."/>
      <w:lvlJc w:val="right"/>
      <w:pPr>
        <w:ind w:left="13050" w:hanging="180"/>
      </w:pPr>
    </w:lvl>
  </w:abstractNum>
  <w:abstractNum w:abstractNumId="2">
    <w:nsid w:val="28003934"/>
    <w:multiLevelType w:val="hybridMultilevel"/>
    <w:tmpl w:val="8376B2B6"/>
    <w:lvl w:ilvl="0">
      <w:start w:val="1"/>
      <w:numFmt w:val="decimal"/>
      <w:lvlText w:val="(%1)"/>
      <w:lvlJc w:val="left"/>
      <w:pPr>
        <w:ind w:left="1110" w:hanging="390"/>
      </w:pPr>
      <w:rPr>
        <w:rFonts w:hint="default"/>
        <w:i w:val="0"/>
        <w:iCs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8555485"/>
    <w:multiLevelType w:val="hybridMultilevel"/>
    <w:tmpl w:val="1E8EA318"/>
    <w:lvl w:ilvl="0">
      <w:start w:val="1"/>
      <w:numFmt w:val="decimal"/>
      <w:pStyle w:val="Heading3"/>
      <w:lvlText w:val="%1."/>
      <w:lvlJc w:val="left"/>
      <w:pPr>
        <w:ind w:left="1080" w:hanging="360"/>
      </w:pPr>
      <w:rPr>
        <w:rFonts w:hint="default"/>
        <w:b/>
        <w:bCs/>
        <w:i w:val="0"/>
        <w:i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BC53C32"/>
    <w:multiLevelType w:val="hybridMultilevel"/>
    <w:tmpl w:val="FFF6061C"/>
    <w:lvl w:ilvl="0">
      <w:start w:val="1"/>
      <w:numFmt w:val="upperLetter"/>
      <w:pStyle w:val="Heading2"/>
      <w:lvlText w:val="%1."/>
      <w:lvlJc w:val="left"/>
      <w:pPr>
        <w:ind w:left="720" w:hanging="36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DBC1024"/>
    <w:multiLevelType w:val="hybridMultilevel"/>
    <w:tmpl w:val="B31847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2F0332F"/>
    <w:multiLevelType w:val="hybridMultilevel"/>
    <w:tmpl w:val="8A4ACBA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4DF54BF"/>
    <w:multiLevelType w:val="hybridMultilevel"/>
    <w:tmpl w:val="8D2A04DA"/>
    <w:lvl w:ilvl="0">
      <w:start w:val="1"/>
      <w:numFmt w:val="decimal"/>
      <w:lvlText w:val="(%1)"/>
      <w:lvlJc w:val="left"/>
      <w:pPr>
        <w:ind w:left="1110" w:hanging="39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48B21188"/>
    <w:multiLevelType w:val="hybridMultilevel"/>
    <w:tmpl w:val="53A67ABC"/>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4A7C30E2"/>
    <w:multiLevelType w:val="hybridMultilevel"/>
    <w:tmpl w:val="1FC2E096"/>
    <w:lvl w:ilvl="0">
      <w:start w:val="1"/>
      <w:numFmt w:val="lowerLetter"/>
      <w:pStyle w:val="Heading4"/>
      <w:lvlText w:val="%1."/>
      <w:lvlJc w:val="left"/>
      <w:pPr>
        <w:ind w:left="1440" w:hanging="360"/>
      </w:pPr>
      <w:rPr>
        <w:rFonts w:hint="default"/>
        <w:i w:val="0"/>
        <w:iCs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7C4D6E09"/>
    <w:multiLevelType w:val="hybridMultilevel"/>
    <w:tmpl w:val="28103E62"/>
    <w:lvl w:ilvl="0">
      <w:start w:val="1"/>
      <w:numFmt w:val="lowerLetter"/>
      <w:lvlText w:val="(%1)"/>
      <w:lvlJc w:val="left"/>
      <w:pPr>
        <w:ind w:left="1470" w:hanging="360"/>
      </w:pPr>
      <w:rPr>
        <w:rFonts w:hint="default"/>
      </w:rPr>
    </w:lvl>
    <w:lvl w:ilvl="1" w:tentative="1">
      <w:start w:val="1"/>
      <w:numFmt w:val="lowerLetter"/>
      <w:lvlText w:val="%2."/>
      <w:lvlJc w:val="left"/>
      <w:pPr>
        <w:ind w:left="2190" w:hanging="360"/>
      </w:pPr>
    </w:lvl>
    <w:lvl w:ilvl="2" w:tentative="1">
      <w:start w:val="1"/>
      <w:numFmt w:val="lowerRoman"/>
      <w:lvlText w:val="%3."/>
      <w:lvlJc w:val="right"/>
      <w:pPr>
        <w:ind w:left="2910" w:hanging="180"/>
      </w:pPr>
    </w:lvl>
    <w:lvl w:ilvl="3" w:tentative="1">
      <w:start w:val="1"/>
      <w:numFmt w:val="decimal"/>
      <w:lvlText w:val="%4."/>
      <w:lvlJc w:val="left"/>
      <w:pPr>
        <w:ind w:left="3630" w:hanging="360"/>
      </w:pPr>
    </w:lvl>
    <w:lvl w:ilvl="4" w:tentative="1">
      <w:start w:val="1"/>
      <w:numFmt w:val="lowerLetter"/>
      <w:lvlText w:val="%5."/>
      <w:lvlJc w:val="left"/>
      <w:pPr>
        <w:ind w:left="4350" w:hanging="360"/>
      </w:pPr>
    </w:lvl>
    <w:lvl w:ilvl="5" w:tentative="1">
      <w:start w:val="1"/>
      <w:numFmt w:val="lowerRoman"/>
      <w:lvlText w:val="%6."/>
      <w:lvlJc w:val="right"/>
      <w:pPr>
        <w:ind w:left="5070" w:hanging="180"/>
      </w:pPr>
    </w:lvl>
    <w:lvl w:ilvl="6" w:tentative="1">
      <w:start w:val="1"/>
      <w:numFmt w:val="decimal"/>
      <w:lvlText w:val="%7."/>
      <w:lvlJc w:val="left"/>
      <w:pPr>
        <w:ind w:left="5790" w:hanging="360"/>
      </w:pPr>
    </w:lvl>
    <w:lvl w:ilvl="7" w:tentative="1">
      <w:start w:val="1"/>
      <w:numFmt w:val="lowerLetter"/>
      <w:lvlText w:val="%8."/>
      <w:lvlJc w:val="left"/>
      <w:pPr>
        <w:ind w:left="6510" w:hanging="360"/>
      </w:pPr>
    </w:lvl>
    <w:lvl w:ilvl="8" w:tentative="1">
      <w:start w:val="1"/>
      <w:numFmt w:val="lowerRoman"/>
      <w:lvlText w:val="%9."/>
      <w:lvlJc w:val="right"/>
      <w:pPr>
        <w:ind w:left="7230" w:hanging="180"/>
      </w:pPr>
    </w:lvl>
  </w:abstractNum>
  <w:num w:numId="1">
    <w:abstractNumId w:val="1"/>
  </w:num>
  <w:num w:numId="2">
    <w:abstractNumId w:val="4"/>
  </w:num>
  <w:num w:numId="3">
    <w:abstractNumId w:val="3"/>
  </w:num>
  <w:num w:numId="4">
    <w:abstractNumId w:val="9"/>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2"/>
  </w:num>
  <w:num w:numId="19">
    <w:abstractNumId w:val="10"/>
  </w:num>
  <w:num w:numId="20">
    <w:abstractNumId w:val="8"/>
  </w:num>
  <w:num w:numId="21">
    <w:abstractNumId w:val="7"/>
  </w:num>
  <w:num w:numId="22">
    <w:abstractNumId w:val="0"/>
  </w:num>
  <w:num w:numId="23">
    <w:abstractNumId w:val="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4"/>
    </w:lvlOverride>
  </w:num>
  <w:num w:numId="3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PaneFormatFilter w:val="1008" w:allStyles="0" w:alternateStyleNames="0" w:clearFormatting="1" w:customStyles="0" w:directFormattingOnNumbering="0" w:directFormattingOnParagraphs="0" w:directFormattingOnRuns="0" w:directFormattingOnTables="0" w:headingStyles="0" w:latentStyles="0" w:numberingStyles="0" w:stylesInUse="1" w:tableStyles="0" w:top3HeadingStyles="0" w:visibleStyles="0"/>
  <w:defaultTabStop w:val="360"/>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68"/>
    <w:rsid w:val="00000373"/>
    <w:rsid w:val="0000080F"/>
    <w:rsid w:val="00000DA8"/>
    <w:rsid w:val="000018B5"/>
    <w:rsid w:val="00001F2E"/>
    <w:rsid w:val="000024DD"/>
    <w:rsid w:val="0000265A"/>
    <w:rsid w:val="000027FB"/>
    <w:rsid w:val="00002D5E"/>
    <w:rsid w:val="0000300A"/>
    <w:rsid w:val="00003239"/>
    <w:rsid w:val="0000328C"/>
    <w:rsid w:val="00003327"/>
    <w:rsid w:val="00003583"/>
    <w:rsid w:val="000043F7"/>
    <w:rsid w:val="00004480"/>
    <w:rsid w:val="000048A9"/>
    <w:rsid w:val="00005A61"/>
    <w:rsid w:val="00006160"/>
    <w:rsid w:val="0000650E"/>
    <w:rsid w:val="00006877"/>
    <w:rsid w:val="00006EE1"/>
    <w:rsid w:val="00007062"/>
    <w:rsid w:val="000070F5"/>
    <w:rsid w:val="000072F4"/>
    <w:rsid w:val="000075B8"/>
    <w:rsid w:val="00010295"/>
    <w:rsid w:val="00010EC5"/>
    <w:rsid w:val="000114E7"/>
    <w:rsid w:val="000118A1"/>
    <w:rsid w:val="00011A84"/>
    <w:rsid w:val="0001210C"/>
    <w:rsid w:val="0001275F"/>
    <w:rsid w:val="00012D23"/>
    <w:rsid w:val="00013173"/>
    <w:rsid w:val="00014496"/>
    <w:rsid w:val="000144E5"/>
    <w:rsid w:val="00014DE8"/>
    <w:rsid w:val="000159CE"/>
    <w:rsid w:val="00015B68"/>
    <w:rsid w:val="00015D1E"/>
    <w:rsid w:val="00015DD2"/>
    <w:rsid w:val="00015E39"/>
    <w:rsid w:val="00015F09"/>
    <w:rsid w:val="0001601B"/>
    <w:rsid w:val="000161BE"/>
    <w:rsid w:val="0001628C"/>
    <w:rsid w:val="0001679F"/>
    <w:rsid w:val="00016865"/>
    <w:rsid w:val="00016C01"/>
    <w:rsid w:val="00016DC4"/>
    <w:rsid w:val="00017071"/>
    <w:rsid w:val="000177D7"/>
    <w:rsid w:val="00017980"/>
    <w:rsid w:val="00020CC1"/>
    <w:rsid w:val="000210D2"/>
    <w:rsid w:val="000212F1"/>
    <w:rsid w:val="0002161A"/>
    <w:rsid w:val="00021AB1"/>
    <w:rsid w:val="000221B3"/>
    <w:rsid w:val="00022610"/>
    <w:rsid w:val="00022E76"/>
    <w:rsid w:val="0002306E"/>
    <w:rsid w:val="000231C5"/>
    <w:rsid w:val="00023712"/>
    <w:rsid w:val="00024181"/>
    <w:rsid w:val="00024254"/>
    <w:rsid w:val="00024676"/>
    <w:rsid w:val="00024A5D"/>
    <w:rsid w:val="00024A85"/>
    <w:rsid w:val="0002555D"/>
    <w:rsid w:val="000261A8"/>
    <w:rsid w:val="00026490"/>
    <w:rsid w:val="00026854"/>
    <w:rsid w:val="00026D2B"/>
    <w:rsid w:val="00027BEC"/>
    <w:rsid w:val="00027E3B"/>
    <w:rsid w:val="000301D2"/>
    <w:rsid w:val="00030663"/>
    <w:rsid w:val="00030B25"/>
    <w:rsid w:val="000314F9"/>
    <w:rsid w:val="0003161B"/>
    <w:rsid w:val="0003167D"/>
    <w:rsid w:val="00031FA7"/>
    <w:rsid w:val="00032324"/>
    <w:rsid w:val="0003288B"/>
    <w:rsid w:val="00032B85"/>
    <w:rsid w:val="00034B56"/>
    <w:rsid w:val="00034D38"/>
    <w:rsid w:val="00034D9B"/>
    <w:rsid w:val="00034E3C"/>
    <w:rsid w:val="00035107"/>
    <w:rsid w:val="00035633"/>
    <w:rsid w:val="0003574B"/>
    <w:rsid w:val="00035879"/>
    <w:rsid w:val="00035A77"/>
    <w:rsid w:val="00035C41"/>
    <w:rsid w:val="00035DDD"/>
    <w:rsid w:val="000367F4"/>
    <w:rsid w:val="000369F3"/>
    <w:rsid w:val="00036AE0"/>
    <w:rsid w:val="00036DD8"/>
    <w:rsid w:val="000373C6"/>
    <w:rsid w:val="00037605"/>
    <w:rsid w:val="00037DDE"/>
    <w:rsid w:val="000404D1"/>
    <w:rsid w:val="00040788"/>
    <w:rsid w:val="00040C4F"/>
    <w:rsid w:val="000412B2"/>
    <w:rsid w:val="0004145B"/>
    <w:rsid w:val="0004149F"/>
    <w:rsid w:val="00041A72"/>
    <w:rsid w:val="00042BF5"/>
    <w:rsid w:val="000430F8"/>
    <w:rsid w:val="000432C5"/>
    <w:rsid w:val="00043754"/>
    <w:rsid w:val="000437BF"/>
    <w:rsid w:val="00043AE4"/>
    <w:rsid w:val="00043AEA"/>
    <w:rsid w:val="00043AED"/>
    <w:rsid w:val="00044781"/>
    <w:rsid w:val="00044B7E"/>
    <w:rsid w:val="00044CCF"/>
    <w:rsid w:val="000450CC"/>
    <w:rsid w:val="00045223"/>
    <w:rsid w:val="00045F44"/>
    <w:rsid w:val="00046446"/>
    <w:rsid w:val="00047140"/>
    <w:rsid w:val="0004776B"/>
    <w:rsid w:val="00047B9A"/>
    <w:rsid w:val="00047DB7"/>
    <w:rsid w:val="00047FDA"/>
    <w:rsid w:val="000505A3"/>
    <w:rsid w:val="00050790"/>
    <w:rsid w:val="0005089F"/>
    <w:rsid w:val="00050906"/>
    <w:rsid w:val="00050E29"/>
    <w:rsid w:val="00051C9B"/>
    <w:rsid w:val="00052526"/>
    <w:rsid w:val="00053BF6"/>
    <w:rsid w:val="00053EF7"/>
    <w:rsid w:val="00053F9A"/>
    <w:rsid w:val="000540B8"/>
    <w:rsid w:val="00054D5D"/>
    <w:rsid w:val="00054F1C"/>
    <w:rsid w:val="00055405"/>
    <w:rsid w:val="000556D6"/>
    <w:rsid w:val="00055DDC"/>
    <w:rsid w:val="00056396"/>
    <w:rsid w:val="00056857"/>
    <w:rsid w:val="00056DDE"/>
    <w:rsid w:val="00057376"/>
    <w:rsid w:val="00057501"/>
    <w:rsid w:val="00057E85"/>
    <w:rsid w:val="000607B2"/>
    <w:rsid w:val="00060DF4"/>
    <w:rsid w:val="0006119E"/>
    <w:rsid w:val="0006149C"/>
    <w:rsid w:val="00061CC1"/>
    <w:rsid w:val="00061D92"/>
    <w:rsid w:val="00062239"/>
    <w:rsid w:val="0006268E"/>
    <w:rsid w:val="00062722"/>
    <w:rsid w:val="00062D97"/>
    <w:rsid w:val="00063678"/>
    <w:rsid w:val="00063951"/>
    <w:rsid w:val="00063C0D"/>
    <w:rsid w:val="00063ED9"/>
    <w:rsid w:val="000645D3"/>
    <w:rsid w:val="00064843"/>
    <w:rsid w:val="00064A2D"/>
    <w:rsid w:val="00064C3E"/>
    <w:rsid w:val="00064CDF"/>
    <w:rsid w:val="0006590D"/>
    <w:rsid w:val="00066340"/>
    <w:rsid w:val="00066D96"/>
    <w:rsid w:val="00066F6D"/>
    <w:rsid w:val="000670F3"/>
    <w:rsid w:val="000672F8"/>
    <w:rsid w:val="00067557"/>
    <w:rsid w:val="0006765D"/>
    <w:rsid w:val="00067A33"/>
    <w:rsid w:val="00067AE4"/>
    <w:rsid w:val="00067C6A"/>
    <w:rsid w:val="00070EA9"/>
    <w:rsid w:val="00070F61"/>
    <w:rsid w:val="0007123B"/>
    <w:rsid w:val="000717AA"/>
    <w:rsid w:val="00072772"/>
    <w:rsid w:val="00072BDC"/>
    <w:rsid w:val="00072D5D"/>
    <w:rsid w:val="00072EF8"/>
    <w:rsid w:val="00073033"/>
    <w:rsid w:val="0007329F"/>
    <w:rsid w:val="00074E0B"/>
    <w:rsid w:val="00074F2A"/>
    <w:rsid w:val="000758B3"/>
    <w:rsid w:val="00075D1D"/>
    <w:rsid w:val="00076322"/>
    <w:rsid w:val="000773AB"/>
    <w:rsid w:val="000775C3"/>
    <w:rsid w:val="00077D52"/>
    <w:rsid w:val="0008034E"/>
    <w:rsid w:val="000804C3"/>
    <w:rsid w:val="00080ADB"/>
    <w:rsid w:val="00080C03"/>
    <w:rsid w:val="000810FD"/>
    <w:rsid w:val="000812C6"/>
    <w:rsid w:val="00081572"/>
    <w:rsid w:val="00081A86"/>
    <w:rsid w:val="00081BA2"/>
    <w:rsid w:val="00081CC0"/>
    <w:rsid w:val="00081CD2"/>
    <w:rsid w:val="00081CF6"/>
    <w:rsid w:val="000829AD"/>
    <w:rsid w:val="00082C2C"/>
    <w:rsid w:val="00082C8B"/>
    <w:rsid w:val="0008307D"/>
    <w:rsid w:val="000832ED"/>
    <w:rsid w:val="00083693"/>
    <w:rsid w:val="00083762"/>
    <w:rsid w:val="00083844"/>
    <w:rsid w:val="00083B91"/>
    <w:rsid w:val="00083D6F"/>
    <w:rsid w:val="000840FA"/>
    <w:rsid w:val="00084339"/>
    <w:rsid w:val="00084552"/>
    <w:rsid w:val="00084B44"/>
    <w:rsid w:val="000853B7"/>
    <w:rsid w:val="000857E8"/>
    <w:rsid w:val="0008608C"/>
    <w:rsid w:val="00086213"/>
    <w:rsid w:val="000869CE"/>
    <w:rsid w:val="00086AA7"/>
    <w:rsid w:val="00086B28"/>
    <w:rsid w:val="000874DF"/>
    <w:rsid w:val="00090660"/>
    <w:rsid w:val="0009083E"/>
    <w:rsid w:val="00091065"/>
    <w:rsid w:val="00091434"/>
    <w:rsid w:val="00091492"/>
    <w:rsid w:val="00091568"/>
    <w:rsid w:val="0009167E"/>
    <w:rsid w:val="00091C3B"/>
    <w:rsid w:val="000921C1"/>
    <w:rsid w:val="0009272B"/>
    <w:rsid w:val="00092BFB"/>
    <w:rsid w:val="00092C4C"/>
    <w:rsid w:val="00092E13"/>
    <w:rsid w:val="000931D8"/>
    <w:rsid w:val="00093264"/>
    <w:rsid w:val="0009341F"/>
    <w:rsid w:val="000941E3"/>
    <w:rsid w:val="00094324"/>
    <w:rsid w:val="00094DCE"/>
    <w:rsid w:val="00095247"/>
    <w:rsid w:val="00095765"/>
    <w:rsid w:val="0009733C"/>
    <w:rsid w:val="000975C1"/>
    <w:rsid w:val="000A05FB"/>
    <w:rsid w:val="000A0EC5"/>
    <w:rsid w:val="000A0FEB"/>
    <w:rsid w:val="000A121C"/>
    <w:rsid w:val="000A12F4"/>
    <w:rsid w:val="000A16CF"/>
    <w:rsid w:val="000A1C7D"/>
    <w:rsid w:val="000A1DAE"/>
    <w:rsid w:val="000A1DE6"/>
    <w:rsid w:val="000A2095"/>
    <w:rsid w:val="000A214C"/>
    <w:rsid w:val="000A2654"/>
    <w:rsid w:val="000A281C"/>
    <w:rsid w:val="000A380A"/>
    <w:rsid w:val="000A390F"/>
    <w:rsid w:val="000A49E6"/>
    <w:rsid w:val="000A5130"/>
    <w:rsid w:val="000A563D"/>
    <w:rsid w:val="000A583F"/>
    <w:rsid w:val="000A58A2"/>
    <w:rsid w:val="000A60C2"/>
    <w:rsid w:val="000A693F"/>
    <w:rsid w:val="000A6E8C"/>
    <w:rsid w:val="000A736F"/>
    <w:rsid w:val="000A7424"/>
    <w:rsid w:val="000A7456"/>
    <w:rsid w:val="000A798F"/>
    <w:rsid w:val="000A7B67"/>
    <w:rsid w:val="000B0116"/>
    <w:rsid w:val="000B06F3"/>
    <w:rsid w:val="000B087D"/>
    <w:rsid w:val="000B1650"/>
    <w:rsid w:val="000B16DA"/>
    <w:rsid w:val="000B1731"/>
    <w:rsid w:val="000B2518"/>
    <w:rsid w:val="000B25B5"/>
    <w:rsid w:val="000B29C7"/>
    <w:rsid w:val="000B2A8F"/>
    <w:rsid w:val="000B2AEA"/>
    <w:rsid w:val="000B2D01"/>
    <w:rsid w:val="000B3281"/>
    <w:rsid w:val="000B349D"/>
    <w:rsid w:val="000B3800"/>
    <w:rsid w:val="000B3956"/>
    <w:rsid w:val="000B3C51"/>
    <w:rsid w:val="000B3E21"/>
    <w:rsid w:val="000B415F"/>
    <w:rsid w:val="000B475D"/>
    <w:rsid w:val="000B48A2"/>
    <w:rsid w:val="000B4DE1"/>
    <w:rsid w:val="000B5069"/>
    <w:rsid w:val="000B5098"/>
    <w:rsid w:val="000B62CC"/>
    <w:rsid w:val="000B6DC6"/>
    <w:rsid w:val="000B75C4"/>
    <w:rsid w:val="000B7881"/>
    <w:rsid w:val="000B7DA5"/>
    <w:rsid w:val="000B7ECA"/>
    <w:rsid w:val="000C0EE0"/>
    <w:rsid w:val="000C1087"/>
    <w:rsid w:val="000C11AD"/>
    <w:rsid w:val="000C123E"/>
    <w:rsid w:val="000C145F"/>
    <w:rsid w:val="000C1750"/>
    <w:rsid w:val="000C1D3E"/>
    <w:rsid w:val="000C1F38"/>
    <w:rsid w:val="000C26BA"/>
    <w:rsid w:val="000C2A83"/>
    <w:rsid w:val="000C2AC4"/>
    <w:rsid w:val="000C2C3D"/>
    <w:rsid w:val="000C2E24"/>
    <w:rsid w:val="000C2F08"/>
    <w:rsid w:val="000C3234"/>
    <w:rsid w:val="000C34EE"/>
    <w:rsid w:val="000C3D29"/>
    <w:rsid w:val="000C41C2"/>
    <w:rsid w:val="000C42FC"/>
    <w:rsid w:val="000C4B83"/>
    <w:rsid w:val="000C5A49"/>
    <w:rsid w:val="000C5D77"/>
    <w:rsid w:val="000C6014"/>
    <w:rsid w:val="000C62F0"/>
    <w:rsid w:val="000C636B"/>
    <w:rsid w:val="000C640D"/>
    <w:rsid w:val="000C66E3"/>
    <w:rsid w:val="000C6A4D"/>
    <w:rsid w:val="000C6F00"/>
    <w:rsid w:val="000C6F48"/>
    <w:rsid w:val="000C705A"/>
    <w:rsid w:val="000C7E4D"/>
    <w:rsid w:val="000C7EEC"/>
    <w:rsid w:val="000D0293"/>
    <w:rsid w:val="000D032B"/>
    <w:rsid w:val="000D059A"/>
    <w:rsid w:val="000D0F39"/>
    <w:rsid w:val="000D1F5A"/>
    <w:rsid w:val="000D20A5"/>
    <w:rsid w:val="000D2416"/>
    <w:rsid w:val="000D28F3"/>
    <w:rsid w:val="000D2D4C"/>
    <w:rsid w:val="000D349E"/>
    <w:rsid w:val="000D3B00"/>
    <w:rsid w:val="000D4A41"/>
    <w:rsid w:val="000D55C0"/>
    <w:rsid w:val="000D5B48"/>
    <w:rsid w:val="000D6002"/>
    <w:rsid w:val="000D643E"/>
    <w:rsid w:val="000D6EC1"/>
    <w:rsid w:val="000D7213"/>
    <w:rsid w:val="000D7446"/>
    <w:rsid w:val="000D77C5"/>
    <w:rsid w:val="000D7C17"/>
    <w:rsid w:val="000E0718"/>
    <w:rsid w:val="000E0B07"/>
    <w:rsid w:val="000E0FD3"/>
    <w:rsid w:val="000E138B"/>
    <w:rsid w:val="000E1861"/>
    <w:rsid w:val="000E1B04"/>
    <w:rsid w:val="000E200E"/>
    <w:rsid w:val="000E241A"/>
    <w:rsid w:val="000E29EB"/>
    <w:rsid w:val="000E338E"/>
    <w:rsid w:val="000E3740"/>
    <w:rsid w:val="000E39A6"/>
    <w:rsid w:val="000E3C41"/>
    <w:rsid w:val="000E3C5D"/>
    <w:rsid w:val="000E3D4A"/>
    <w:rsid w:val="000E3DD3"/>
    <w:rsid w:val="000E3FC8"/>
    <w:rsid w:val="000E4097"/>
    <w:rsid w:val="000E41A3"/>
    <w:rsid w:val="000E432B"/>
    <w:rsid w:val="000E4B1E"/>
    <w:rsid w:val="000E4D7A"/>
    <w:rsid w:val="000E4FA2"/>
    <w:rsid w:val="000E5177"/>
    <w:rsid w:val="000E5474"/>
    <w:rsid w:val="000E620B"/>
    <w:rsid w:val="000E680A"/>
    <w:rsid w:val="000E6CB1"/>
    <w:rsid w:val="000E782F"/>
    <w:rsid w:val="000E7E1B"/>
    <w:rsid w:val="000E7F40"/>
    <w:rsid w:val="000F010F"/>
    <w:rsid w:val="000F20D9"/>
    <w:rsid w:val="000F221B"/>
    <w:rsid w:val="000F2803"/>
    <w:rsid w:val="000F29AC"/>
    <w:rsid w:val="000F2BD0"/>
    <w:rsid w:val="000F3089"/>
    <w:rsid w:val="000F3B51"/>
    <w:rsid w:val="000F3ED1"/>
    <w:rsid w:val="000F3FC2"/>
    <w:rsid w:val="000F4085"/>
    <w:rsid w:val="000F4618"/>
    <w:rsid w:val="000F4EAE"/>
    <w:rsid w:val="000F4F55"/>
    <w:rsid w:val="000F51C4"/>
    <w:rsid w:val="000F5499"/>
    <w:rsid w:val="000F5D3D"/>
    <w:rsid w:val="000F5EF0"/>
    <w:rsid w:val="000F6106"/>
    <w:rsid w:val="000F64D1"/>
    <w:rsid w:val="000F6A45"/>
    <w:rsid w:val="000F6B83"/>
    <w:rsid w:val="000F6DA0"/>
    <w:rsid w:val="000F6EE9"/>
    <w:rsid w:val="000F730D"/>
    <w:rsid w:val="000F73F5"/>
    <w:rsid w:val="000F7561"/>
    <w:rsid w:val="000F7A6E"/>
    <w:rsid w:val="000F7B86"/>
    <w:rsid w:val="000F7E9D"/>
    <w:rsid w:val="000F7EEB"/>
    <w:rsid w:val="001001F8"/>
    <w:rsid w:val="00100E56"/>
    <w:rsid w:val="0010109D"/>
    <w:rsid w:val="0010112F"/>
    <w:rsid w:val="001019BC"/>
    <w:rsid w:val="00101AA7"/>
    <w:rsid w:val="00102FB7"/>
    <w:rsid w:val="00103192"/>
    <w:rsid w:val="001033E6"/>
    <w:rsid w:val="0010345C"/>
    <w:rsid w:val="00103476"/>
    <w:rsid w:val="001039C7"/>
    <w:rsid w:val="00103BD7"/>
    <w:rsid w:val="00103D53"/>
    <w:rsid w:val="00103D86"/>
    <w:rsid w:val="001040C6"/>
    <w:rsid w:val="001045B0"/>
    <w:rsid w:val="00104979"/>
    <w:rsid w:val="00105532"/>
    <w:rsid w:val="0010581F"/>
    <w:rsid w:val="001058A1"/>
    <w:rsid w:val="00106975"/>
    <w:rsid w:val="001072EC"/>
    <w:rsid w:val="00107649"/>
    <w:rsid w:val="00107665"/>
    <w:rsid w:val="00107D36"/>
    <w:rsid w:val="001100BB"/>
    <w:rsid w:val="00110571"/>
    <w:rsid w:val="00110D08"/>
    <w:rsid w:val="0011116E"/>
    <w:rsid w:val="00111316"/>
    <w:rsid w:val="0011159F"/>
    <w:rsid w:val="00111751"/>
    <w:rsid w:val="0011212B"/>
    <w:rsid w:val="00112687"/>
    <w:rsid w:val="001127A2"/>
    <w:rsid w:val="001127F1"/>
    <w:rsid w:val="00112AC1"/>
    <w:rsid w:val="00112CA3"/>
    <w:rsid w:val="00112E98"/>
    <w:rsid w:val="00112ED5"/>
    <w:rsid w:val="00112EE2"/>
    <w:rsid w:val="0011303D"/>
    <w:rsid w:val="001130C5"/>
    <w:rsid w:val="00114BCB"/>
    <w:rsid w:val="00114E77"/>
    <w:rsid w:val="00114F2E"/>
    <w:rsid w:val="00115133"/>
    <w:rsid w:val="001154C4"/>
    <w:rsid w:val="0011594A"/>
    <w:rsid w:val="0011633D"/>
    <w:rsid w:val="00116FB3"/>
    <w:rsid w:val="00117059"/>
    <w:rsid w:val="00117227"/>
    <w:rsid w:val="001200AB"/>
    <w:rsid w:val="001201EE"/>
    <w:rsid w:val="0012090B"/>
    <w:rsid w:val="0012109C"/>
    <w:rsid w:val="00121866"/>
    <w:rsid w:val="001219CF"/>
    <w:rsid w:val="00121D8F"/>
    <w:rsid w:val="001230F1"/>
    <w:rsid w:val="0012368D"/>
    <w:rsid w:val="0012376F"/>
    <w:rsid w:val="00123E70"/>
    <w:rsid w:val="0012451B"/>
    <w:rsid w:val="001247B1"/>
    <w:rsid w:val="00124D52"/>
    <w:rsid w:val="00124DAF"/>
    <w:rsid w:val="00125590"/>
    <w:rsid w:val="001256F4"/>
    <w:rsid w:val="00125707"/>
    <w:rsid w:val="00126259"/>
    <w:rsid w:val="00126301"/>
    <w:rsid w:val="00126EA1"/>
    <w:rsid w:val="00126FA9"/>
    <w:rsid w:val="001273ED"/>
    <w:rsid w:val="00127486"/>
    <w:rsid w:val="00127BF9"/>
    <w:rsid w:val="0013013E"/>
    <w:rsid w:val="0013076E"/>
    <w:rsid w:val="00130F4C"/>
    <w:rsid w:val="00130F70"/>
    <w:rsid w:val="00130F9C"/>
    <w:rsid w:val="001312A5"/>
    <w:rsid w:val="00131CFD"/>
    <w:rsid w:val="00131EBE"/>
    <w:rsid w:val="001325C0"/>
    <w:rsid w:val="0013274D"/>
    <w:rsid w:val="00132783"/>
    <w:rsid w:val="00132939"/>
    <w:rsid w:val="001329B0"/>
    <w:rsid w:val="001342A7"/>
    <w:rsid w:val="001343D0"/>
    <w:rsid w:val="00134748"/>
    <w:rsid w:val="00135630"/>
    <w:rsid w:val="00135730"/>
    <w:rsid w:val="001359C6"/>
    <w:rsid w:val="0013661D"/>
    <w:rsid w:val="001368B8"/>
    <w:rsid w:val="001373E4"/>
    <w:rsid w:val="0013759C"/>
    <w:rsid w:val="00137662"/>
    <w:rsid w:val="001409B6"/>
    <w:rsid w:val="00140B1F"/>
    <w:rsid w:val="00140B42"/>
    <w:rsid w:val="00141108"/>
    <w:rsid w:val="00141544"/>
    <w:rsid w:val="00141D45"/>
    <w:rsid w:val="00142A13"/>
    <w:rsid w:val="00142B4A"/>
    <w:rsid w:val="00143406"/>
    <w:rsid w:val="0014368C"/>
    <w:rsid w:val="00143945"/>
    <w:rsid w:val="001439F0"/>
    <w:rsid w:val="00143D7D"/>
    <w:rsid w:val="00144072"/>
    <w:rsid w:val="00144502"/>
    <w:rsid w:val="00144AFA"/>
    <w:rsid w:val="00144F64"/>
    <w:rsid w:val="001453A8"/>
    <w:rsid w:val="001454A6"/>
    <w:rsid w:val="00145557"/>
    <w:rsid w:val="00145D92"/>
    <w:rsid w:val="00146202"/>
    <w:rsid w:val="0014622D"/>
    <w:rsid w:val="001473FA"/>
    <w:rsid w:val="001476F7"/>
    <w:rsid w:val="0014791C"/>
    <w:rsid w:val="001479DA"/>
    <w:rsid w:val="00150086"/>
    <w:rsid w:val="001500F8"/>
    <w:rsid w:val="001501CF"/>
    <w:rsid w:val="00150351"/>
    <w:rsid w:val="001504FE"/>
    <w:rsid w:val="00150666"/>
    <w:rsid w:val="00151322"/>
    <w:rsid w:val="001514D9"/>
    <w:rsid w:val="0015169E"/>
    <w:rsid w:val="0015198F"/>
    <w:rsid w:val="00151BC6"/>
    <w:rsid w:val="00151CC1"/>
    <w:rsid w:val="00151CF2"/>
    <w:rsid w:val="00151D88"/>
    <w:rsid w:val="00151E40"/>
    <w:rsid w:val="00151E59"/>
    <w:rsid w:val="001532AA"/>
    <w:rsid w:val="0015358F"/>
    <w:rsid w:val="001536F6"/>
    <w:rsid w:val="0015377E"/>
    <w:rsid w:val="0015380C"/>
    <w:rsid w:val="0015391F"/>
    <w:rsid w:val="0015461A"/>
    <w:rsid w:val="00154C39"/>
    <w:rsid w:val="00155080"/>
    <w:rsid w:val="0015530B"/>
    <w:rsid w:val="00155359"/>
    <w:rsid w:val="00155880"/>
    <w:rsid w:val="001563D0"/>
    <w:rsid w:val="00156E19"/>
    <w:rsid w:val="00157404"/>
    <w:rsid w:val="001576C8"/>
    <w:rsid w:val="00157A38"/>
    <w:rsid w:val="00157BFF"/>
    <w:rsid w:val="00157E90"/>
    <w:rsid w:val="00157E9C"/>
    <w:rsid w:val="001605A4"/>
    <w:rsid w:val="00160AE9"/>
    <w:rsid w:val="00160C37"/>
    <w:rsid w:val="00160D07"/>
    <w:rsid w:val="00160E2F"/>
    <w:rsid w:val="00160F3A"/>
    <w:rsid w:val="001611E7"/>
    <w:rsid w:val="001613F6"/>
    <w:rsid w:val="001616CF"/>
    <w:rsid w:val="00161B51"/>
    <w:rsid w:val="00161CA6"/>
    <w:rsid w:val="00161F4F"/>
    <w:rsid w:val="0016201A"/>
    <w:rsid w:val="001624E9"/>
    <w:rsid w:val="00162934"/>
    <w:rsid w:val="00162CE2"/>
    <w:rsid w:val="00162FB8"/>
    <w:rsid w:val="001630A4"/>
    <w:rsid w:val="00163C47"/>
    <w:rsid w:val="00163D12"/>
    <w:rsid w:val="00163E6E"/>
    <w:rsid w:val="0016407F"/>
    <w:rsid w:val="0016444E"/>
    <w:rsid w:val="001644F0"/>
    <w:rsid w:val="00164E34"/>
    <w:rsid w:val="001651C2"/>
    <w:rsid w:val="00165920"/>
    <w:rsid w:val="00165C7E"/>
    <w:rsid w:val="00165F01"/>
    <w:rsid w:val="00166082"/>
    <w:rsid w:val="00166760"/>
    <w:rsid w:val="00166915"/>
    <w:rsid w:val="00166A41"/>
    <w:rsid w:val="00166DBB"/>
    <w:rsid w:val="00166E4C"/>
    <w:rsid w:val="00167A17"/>
    <w:rsid w:val="00167DB1"/>
    <w:rsid w:val="00170126"/>
    <w:rsid w:val="0017065C"/>
    <w:rsid w:val="00170844"/>
    <w:rsid w:val="001709D3"/>
    <w:rsid w:val="00170C41"/>
    <w:rsid w:val="00171943"/>
    <w:rsid w:val="001723C8"/>
    <w:rsid w:val="001727BF"/>
    <w:rsid w:val="00172E21"/>
    <w:rsid w:val="0017421B"/>
    <w:rsid w:val="001746B7"/>
    <w:rsid w:val="00174F79"/>
    <w:rsid w:val="0017500E"/>
    <w:rsid w:val="0017515F"/>
    <w:rsid w:val="001751DF"/>
    <w:rsid w:val="001754BC"/>
    <w:rsid w:val="00175737"/>
    <w:rsid w:val="00175BB1"/>
    <w:rsid w:val="00175DAC"/>
    <w:rsid w:val="0017666D"/>
    <w:rsid w:val="0017676D"/>
    <w:rsid w:val="0017742A"/>
    <w:rsid w:val="00177506"/>
    <w:rsid w:val="00177705"/>
    <w:rsid w:val="00177CA1"/>
    <w:rsid w:val="00180643"/>
    <w:rsid w:val="00181372"/>
    <w:rsid w:val="001815B8"/>
    <w:rsid w:val="00181761"/>
    <w:rsid w:val="00181B61"/>
    <w:rsid w:val="00181D5F"/>
    <w:rsid w:val="00181F60"/>
    <w:rsid w:val="00182130"/>
    <w:rsid w:val="001821F7"/>
    <w:rsid w:val="0018248E"/>
    <w:rsid w:val="00182632"/>
    <w:rsid w:val="001831B1"/>
    <w:rsid w:val="00183298"/>
    <w:rsid w:val="00183513"/>
    <w:rsid w:val="0018412D"/>
    <w:rsid w:val="00184295"/>
    <w:rsid w:val="001844F5"/>
    <w:rsid w:val="00184511"/>
    <w:rsid w:val="001845AA"/>
    <w:rsid w:val="00184ABE"/>
    <w:rsid w:val="00184AE7"/>
    <w:rsid w:val="00184C2F"/>
    <w:rsid w:val="00186B1B"/>
    <w:rsid w:val="00186BB3"/>
    <w:rsid w:val="00186D1B"/>
    <w:rsid w:val="00186E04"/>
    <w:rsid w:val="00187CD5"/>
    <w:rsid w:val="00187D28"/>
    <w:rsid w:val="0019002D"/>
    <w:rsid w:val="001904B3"/>
    <w:rsid w:val="001907CB"/>
    <w:rsid w:val="00190B05"/>
    <w:rsid w:val="001912E0"/>
    <w:rsid w:val="00191419"/>
    <w:rsid w:val="001914A6"/>
    <w:rsid w:val="001918E4"/>
    <w:rsid w:val="001918F5"/>
    <w:rsid w:val="00192012"/>
    <w:rsid w:val="001920BB"/>
    <w:rsid w:val="001924C0"/>
    <w:rsid w:val="001924F5"/>
    <w:rsid w:val="001926E9"/>
    <w:rsid w:val="00192E3C"/>
    <w:rsid w:val="00193025"/>
    <w:rsid w:val="00194FC2"/>
    <w:rsid w:val="00195178"/>
    <w:rsid w:val="0019543A"/>
    <w:rsid w:val="001955D1"/>
    <w:rsid w:val="001956DF"/>
    <w:rsid w:val="001956EF"/>
    <w:rsid w:val="001958ED"/>
    <w:rsid w:val="00196394"/>
    <w:rsid w:val="00196C65"/>
    <w:rsid w:val="00196F75"/>
    <w:rsid w:val="00197324"/>
    <w:rsid w:val="0019743F"/>
    <w:rsid w:val="001974F6"/>
    <w:rsid w:val="00197905"/>
    <w:rsid w:val="00197A6E"/>
    <w:rsid w:val="001A0655"/>
    <w:rsid w:val="001A06A2"/>
    <w:rsid w:val="001A0A2B"/>
    <w:rsid w:val="001A0CAC"/>
    <w:rsid w:val="001A1278"/>
    <w:rsid w:val="001A1BC4"/>
    <w:rsid w:val="001A1FD7"/>
    <w:rsid w:val="001A23E6"/>
    <w:rsid w:val="001A2897"/>
    <w:rsid w:val="001A28B9"/>
    <w:rsid w:val="001A2F86"/>
    <w:rsid w:val="001A31DC"/>
    <w:rsid w:val="001A36CB"/>
    <w:rsid w:val="001A3C8A"/>
    <w:rsid w:val="001A3F60"/>
    <w:rsid w:val="001A4760"/>
    <w:rsid w:val="001A5678"/>
    <w:rsid w:val="001A5BF2"/>
    <w:rsid w:val="001A5C1F"/>
    <w:rsid w:val="001A6B48"/>
    <w:rsid w:val="001A7714"/>
    <w:rsid w:val="001A78E4"/>
    <w:rsid w:val="001A7E0E"/>
    <w:rsid w:val="001A7F04"/>
    <w:rsid w:val="001A7F23"/>
    <w:rsid w:val="001B0496"/>
    <w:rsid w:val="001B0728"/>
    <w:rsid w:val="001B0F50"/>
    <w:rsid w:val="001B0FC8"/>
    <w:rsid w:val="001B1067"/>
    <w:rsid w:val="001B11E8"/>
    <w:rsid w:val="001B16A2"/>
    <w:rsid w:val="001B1860"/>
    <w:rsid w:val="001B27C7"/>
    <w:rsid w:val="001B320D"/>
    <w:rsid w:val="001B3FEE"/>
    <w:rsid w:val="001B41D8"/>
    <w:rsid w:val="001B4DCF"/>
    <w:rsid w:val="001B598F"/>
    <w:rsid w:val="001B5A34"/>
    <w:rsid w:val="001B6125"/>
    <w:rsid w:val="001B6AC6"/>
    <w:rsid w:val="001B740B"/>
    <w:rsid w:val="001B78CF"/>
    <w:rsid w:val="001B7A2C"/>
    <w:rsid w:val="001B7B89"/>
    <w:rsid w:val="001B7F76"/>
    <w:rsid w:val="001C0564"/>
    <w:rsid w:val="001C12F6"/>
    <w:rsid w:val="001C15FA"/>
    <w:rsid w:val="001C16B1"/>
    <w:rsid w:val="001C16BB"/>
    <w:rsid w:val="001C2590"/>
    <w:rsid w:val="001C2924"/>
    <w:rsid w:val="001C29C5"/>
    <w:rsid w:val="001C2CE3"/>
    <w:rsid w:val="001C2E47"/>
    <w:rsid w:val="001C3538"/>
    <w:rsid w:val="001C35A2"/>
    <w:rsid w:val="001C367D"/>
    <w:rsid w:val="001C3768"/>
    <w:rsid w:val="001C38CE"/>
    <w:rsid w:val="001C3C8B"/>
    <w:rsid w:val="001C40E0"/>
    <w:rsid w:val="001C41C5"/>
    <w:rsid w:val="001C42F3"/>
    <w:rsid w:val="001C4354"/>
    <w:rsid w:val="001C4503"/>
    <w:rsid w:val="001C481F"/>
    <w:rsid w:val="001C48A1"/>
    <w:rsid w:val="001C4CAC"/>
    <w:rsid w:val="001C4DA4"/>
    <w:rsid w:val="001C537A"/>
    <w:rsid w:val="001C5456"/>
    <w:rsid w:val="001C5770"/>
    <w:rsid w:val="001C62F7"/>
    <w:rsid w:val="001C7303"/>
    <w:rsid w:val="001C7599"/>
    <w:rsid w:val="001C7B6A"/>
    <w:rsid w:val="001C7C5F"/>
    <w:rsid w:val="001D04ED"/>
    <w:rsid w:val="001D0EB8"/>
    <w:rsid w:val="001D0EED"/>
    <w:rsid w:val="001D0F5E"/>
    <w:rsid w:val="001D0FAF"/>
    <w:rsid w:val="001D1762"/>
    <w:rsid w:val="001D17E5"/>
    <w:rsid w:val="001D1A23"/>
    <w:rsid w:val="001D1D1E"/>
    <w:rsid w:val="001D1DEC"/>
    <w:rsid w:val="001D2369"/>
    <w:rsid w:val="001D2C02"/>
    <w:rsid w:val="001D2DDF"/>
    <w:rsid w:val="001D3475"/>
    <w:rsid w:val="001D3F14"/>
    <w:rsid w:val="001D40C3"/>
    <w:rsid w:val="001D4850"/>
    <w:rsid w:val="001D4946"/>
    <w:rsid w:val="001D4E68"/>
    <w:rsid w:val="001D5E38"/>
    <w:rsid w:val="001D5F65"/>
    <w:rsid w:val="001D6346"/>
    <w:rsid w:val="001D649B"/>
    <w:rsid w:val="001D6743"/>
    <w:rsid w:val="001D6787"/>
    <w:rsid w:val="001D6A03"/>
    <w:rsid w:val="001D6AAE"/>
    <w:rsid w:val="001D6B2E"/>
    <w:rsid w:val="001D72D4"/>
    <w:rsid w:val="001D7A9B"/>
    <w:rsid w:val="001D7B2F"/>
    <w:rsid w:val="001D7B6A"/>
    <w:rsid w:val="001D7CD7"/>
    <w:rsid w:val="001E011A"/>
    <w:rsid w:val="001E03E6"/>
    <w:rsid w:val="001E05E7"/>
    <w:rsid w:val="001E0662"/>
    <w:rsid w:val="001E0781"/>
    <w:rsid w:val="001E0BFE"/>
    <w:rsid w:val="001E134B"/>
    <w:rsid w:val="001E1489"/>
    <w:rsid w:val="001E16E4"/>
    <w:rsid w:val="001E2271"/>
    <w:rsid w:val="001E24EC"/>
    <w:rsid w:val="001E25D8"/>
    <w:rsid w:val="001E27E3"/>
    <w:rsid w:val="001E2A9C"/>
    <w:rsid w:val="001E2C03"/>
    <w:rsid w:val="001E2DAF"/>
    <w:rsid w:val="001E2DD2"/>
    <w:rsid w:val="001E2E69"/>
    <w:rsid w:val="001E3499"/>
    <w:rsid w:val="001E38C9"/>
    <w:rsid w:val="001E3BE2"/>
    <w:rsid w:val="001E46B4"/>
    <w:rsid w:val="001E4D85"/>
    <w:rsid w:val="001E541A"/>
    <w:rsid w:val="001E5685"/>
    <w:rsid w:val="001E5B4F"/>
    <w:rsid w:val="001E68F7"/>
    <w:rsid w:val="001E6A36"/>
    <w:rsid w:val="001E7002"/>
    <w:rsid w:val="001E747B"/>
    <w:rsid w:val="001F00C1"/>
    <w:rsid w:val="001F032B"/>
    <w:rsid w:val="001F0575"/>
    <w:rsid w:val="001F0809"/>
    <w:rsid w:val="001F08B7"/>
    <w:rsid w:val="001F08FC"/>
    <w:rsid w:val="001F0D2D"/>
    <w:rsid w:val="001F0D45"/>
    <w:rsid w:val="001F0FD1"/>
    <w:rsid w:val="001F11DB"/>
    <w:rsid w:val="001F1268"/>
    <w:rsid w:val="001F1385"/>
    <w:rsid w:val="001F189C"/>
    <w:rsid w:val="001F1C1D"/>
    <w:rsid w:val="001F23F8"/>
    <w:rsid w:val="001F2619"/>
    <w:rsid w:val="001F268F"/>
    <w:rsid w:val="001F2B0A"/>
    <w:rsid w:val="001F32DA"/>
    <w:rsid w:val="001F3FA2"/>
    <w:rsid w:val="001F3FF6"/>
    <w:rsid w:val="001F43D7"/>
    <w:rsid w:val="001F4695"/>
    <w:rsid w:val="001F4AF6"/>
    <w:rsid w:val="001F4B69"/>
    <w:rsid w:val="001F4CBA"/>
    <w:rsid w:val="001F5869"/>
    <w:rsid w:val="001F620C"/>
    <w:rsid w:val="001F65F4"/>
    <w:rsid w:val="001F6C15"/>
    <w:rsid w:val="001F74ED"/>
    <w:rsid w:val="001F7834"/>
    <w:rsid w:val="002001A7"/>
    <w:rsid w:val="0020084C"/>
    <w:rsid w:val="00200C1A"/>
    <w:rsid w:val="00201B41"/>
    <w:rsid w:val="0020239B"/>
    <w:rsid w:val="002024D3"/>
    <w:rsid w:val="00203142"/>
    <w:rsid w:val="0020340B"/>
    <w:rsid w:val="00203AD5"/>
    <w:rsid w:val="00203CFE"/>
    <w:rsid w:val="00203DF2"/>
    <w:rsid w:val="002047DC"/>
    <w:rsid w:val="002048CB"/>
    <w:rsid w:val="00204E71"/>
    <w:rsid w:val="00204F7C"/>
    <w:rsid w:val="00206143"/>
    <w:rsid w:val="0020665D"/>
    <w:rsid w:val="002067C9"/>
    <w:rsid w:val="00206895"/>
    <w:rsid w:val="00206D19"/>
    <w:rsid w:val="00206F6E"/>
    <w:rsid w:val="0020788C"/>
    <w:rsid w:val="00207B37"/>
    <w:rsid w:val="00207FBB"/>
    <w:rsid w:val="002101AB"/>
    <w:rsid w:val="00210C42"/>
    <w:rsid w:val="002113A8"/>
    <w:rsid w:val="00211636"/>
    <w:rsid w:val="00211D15"/>
    <w:rsid w:val="0021256D"/>
    <w:rsid w:val="00212D49"/>
    <w:rsid w:val="002130F3"/>
    <w:rsid w:val="002136C0"/>
    <w:rsid w:val="00213729"/>
    <w:rsid w:val="002137C5"/>
    <w:rsid w:val="00213B54"/>
    <w:rsid w:val="00213D1F"/>
    <w:rsid w:val="002140A5"/>
    <w:rsid w:val="002153E7"/>
    <w:rsid w:val="00215A23"/>
    <w:rsid w:val="00215ABB"/>
    <w:rsid w:val="00215C17"/>
    <w:rsid w:val="00215F98"/>
    <w:rsid w:val="00216418"/>
    <w:rsid w:val="00217376"/>
    <w:rsid w:val="0021774B"/>
    <w:rsid w:val="00217832"/>
    <w:rsid w:val="002179F1"/>
    <w:rsid w:val="00217F25"/>
    <w:rsid w:val="002201A4"/>
    <w:rsid w:val="0022036B"/>
    <w:rsid w:val="002206DF"/>
    <w:rsid w:val="00220802"/>
    <w:rsid w:val="00220853"/>
    <w:rsid w:val="00220D50"/>
    <w:rsid w:val="00221108"/>
    <w:rsid w:val="0022223F"/>
    <w:rsid w:val="00222D17"/>
    <w:rsid w:val="00223716"/>
    <w:rsid w:val="002238D7"/>
    <w:rsid w:val="002241C2"/>
    <w:rsid w:val="002241D4"/>
    <w:rsid w:val="002241EF"/>
    <w:rsid w:val="002246E8"/>
    <w:rsid w:val="0022472C"/>
    <w:rsid w:val="00224B51"/>
    <w:rsid w:val="00224B7F"/>
    <w:rsid w:val="00224D87"/>
    <w:rsid w:val="00224F35"/>
    <w:rsid w:val="00225940"/>
    <w:rsid w:val="002259DE"/>
    <w:rsid w:val="00225A9E"/>
    <w:rsid w:val="00226920"/>
    <w:rsid w:val="00227281"/>
    <w:rsid w:val="0022768E"/>
    <w:rsid w:val="00227836"/>
    <w:rsid w:val="00227DD0"/>
    <w:rsid w:val="002300E2"/>
    <w:rsid w:val="002301A3"/>
    <w:rsid w:val="00230536"/>
    <w:rsid w:val="0023089E"/>
    <w:rsid w:val="002309E4"/>
    <w:rsid w:val="00230BB5"/>
    <w:rsid w:val="00230C43"/>
    <w:rsid w:val="00230C95"/>
    <w:rsid w:val="00231468"/>
    <w:rsid w:val="002323DF"/>
    <w:rsid w:val="00232413"/>
    <w:rsid w:val="00232465"/>
    <w:rsid w:val="002325B4"/>
    <w:rsid w:val="0023277E"/>
    <w:rsid w:val="00232EF0"/>
    <w:rsid w:val="00233965"/>
    <w:rsid w:val="00233C75"/>
    <w:rsid w:val="002344D9"/>
    <w:rsid w:val="00234748"/>
    <w:rsid w:val="00234D06"/>
    <w:rsid w:val="00234EAB"/>
    <w:rsid w:val="002352B4"/>
    <w:rsid w:val="0023543C"/>
    <w:rsid w:val="00235D3A"/>
    <w:rsid w:val="00235E7D"/>
    <w:rsid w:val="00236693"/>
    <w:rsid w:val="00236D8C"/>
    <w:rsid w:val="002376D5"/>
    <w:rsid w:val="00237A0D"/>
    <w:rsid w:val="00237B85"/>
    <w:rsid w:val="00237E83"/>
    <w:rsid w:val="002403E6"/>
    <w:rsid w:val="00240452"/>
    <w:rsid w:val="00240475"/>
    <w:rsid w:val="002407C1"/>
    <w:rsid w:val="00240900"/>
    <w:rsid w:val="00240A0D"/>
    <w:rsid w:val="00240CBE"/>
    <w:rsid w:val="00240D5E"/>
    <w:rsid w:val="00240E40"/>
    <w:rsid w:val="0024112D"/>
    <w:rsid w:val="00241390"/>
    <w:rsid w:val="0024156F"/>
    <w:rsid w:val="00241643"/>
    <w:rsid w:val="00241E6C"/>
    <w:rsid w:val="00241F46"/>
    <w:rsid w:val="00242476"/>
    <w:rsid w:val="002427C0"/>
    <w:rsid w:val="0024280C"/>
    <w:rsid w:val="0024288A"/>
    <w:rsid w:val="002429EE"/>
    <w:rsid w:val="00242A8E"/>
    <w:rsid w:val="00242D92"/>
    <w:rsid w:val="00242FD7"/>
    <w:rsid w:val="002431E7"/>
    <w:rsid w:val="00243968"/>
    <w:rsid w:val="002448B6"/>
    <w:rsid w:val="00244901"/>
    <w:rsid w:val="0024494A"/>
    <w:rsid w:val="002450FA"/>
    <w:rsid w:val="00245D26"/>
    <w:rsid w:val="00246441"/>
    <w:rsid w:val="00246EC0"/>
    <w:rsid w:val="00246EFA"/>
    <w:rsid w:val="002475D8"/>
    <w:rsid w:val="00247EEE"/>
    <w:rsid w:val="00247F93"/>
    <w:rsid w:val="00250003"/>
    <w:rsid w:val="002504F8"/>
    <w:rsid w:val="002507FD"/>
    <w:rsid w:val="00250A52"/>
    <w:rsid w:val="00251875"/>
    <w:rsid w:val="0025194A"/>
    <w:rsid w:val="00251B5E"/>
    <w:rsid w:val="00251F01"/>
    <w:rsid w:val="00251FE5"/>
    <w:rsid w:val="002526D9"/>
    <w:rsid w:val="002527A9"/>
    <w:rsid w:val="00252A05"/>
    <w:rsid w:val="00252BA0"/>
    <w:rsid w:val="00252BC1"/>
    <w:rsid w:val="00252DEB"/>
    <w:rsid w:val="00252E19"/>
    <w:rsid w:val="002535A2"/>
    <w:rsid w:val="002538EF"/>
    <w:rsid w:val="00253BA9"/>
    <w:rsid w:val="00254943"/>
    <w:rsid w:val="00255032"/>
    <w:rsid w:val="002553DB"/>
    <w:rsid w:val="00256425"/>
    <w:rsid w:val="00256531"/>
    <w:rsid w:val="00256770"/>
    <w:rsid w:val="002570CE"/>
    <w:rsid w:val="00257F32"/>
    <w:rsid w:val="00260468"/>
    <w:rsid w:val="00260AC4"/>
    <w:rsid w:val="0026142B"/>
    <w:rsid w:val="002618B8"/>
    <w:rsid w:val="00261B82"/>
    <w:rsid w:val="00262701"/>
    <w:rsid w:val="00262964"/>
    <w:rsid w:val="00262C77"/>
    <w:rsid w:val="002630E6"/>
    <w:rsid w:val="00263E9C"/>
    <w:rsid w:val="00264400"/>
    <w:rsid w:val="0026465B"/>
    <w:rsid w:val="002647D8"/>
    <w:rsid w:val="0026487F"/>
    <w:rsid w:val="002649E6"/>
    <w:rsid w:val="00264FC7"/>
    <w:rsid w:val="00265615"/>
    <w:rsid w:val="002660DA"/>
    <w:rsid w:val="00266186"/>
    <w:rsid w:val="002662C2"/>
    <w:rsid w:val="00266966"/>
    <w:rsid w:val="00266D1B"/>
    <w:rsid w:val="00267140"/>
    <w:rsid w:val="0026740C"/>
    <w:rsid w:val="00267DDD"/>
    <w:rsid w:val="00270375"/>
    <w:rsid w:val="002704D2"/>
    <w:rsid w:val="00270F0E"/>
    <w:rsid w:val="00270FE7"/>
    <w:rsid w:val="00271CAB"/>
    <w:rsid w:val="00271E78"/>
    <w:rsid w:val="002727B5"/>
    <w:rsid w:val="002728BA"/>
    <w:rsid w:val="002729C0"/>
    <w:rsid w:val="00273055"/>
    <w:rsid w:val="00273450"/>
    <w:rsid w:val="00273EDF"/>
    <w:rsid w:val="00274091"/>
    <w:rsid w:val="00274448"/>
    <w:rsid w:val="00275687"/>
    <w:rsid w:val="002759EA"/>
    <w:rsid w:val="00275AF7"/>
    <w:rsid w:val="00275DB9"/>
    <w:rsid w:val="00276616"/>
    <w:rsid w:val="00276978"/>
    <w:rsid w:val="002769CE"/>
    <w:rsid w:val="002775F0"/>
    <w:rsid w:val="0027775B"/>
    <w:rsid w:val="00277B5F"/>
    <w:rsid w:val="002800DB"/>
    <w:rsid w:val="00280592"/>
    <w:rsid w:val="0028085C"/>
    <w:rsid w:val="00280B64"/>
    <w:rsid w:val="00280C36"/>
    <w:rsid w:val="00281045"/>
    <w:rsid w:val="002810C2"/>
    <w:rsid w:val="00281672"/>
    <w:rsid w:val="0028191E"/>
    <w:rsid w:val="00281957"/>
    <w:rsid w:val="00281A29"/>
    <w:rsid w:val="0028236B"/>
    <w:rsid w:val="00283637"/>
    <w:rsid w:val="002839C3"/>
    <w:rsid w:val="00283C47"/>
    <w:rsid w:val="00283D37"/>
    <w:rsid w:val="002841A5"/>
    <w:rsid w:val="002845EB"/>
    <w:rsid w:val="002848AB"/>
    <w:rsid w:val="00284B83"/>
    <w:rsid w:val="00284D9F"/>
    <w:rsid w:val="00284F81"/>
    <w:rsid w:val="002850DE"/>
    <w:rsid w:val="002856D4"/>
    <w:rsid w:val="00285E13"/>
    <w:rsid w:val="002861CF"/>
    <w:rsid w:val="0028620A"/>
    <w:rsid w:val="00286710"/>
    <w:rsid w:val="002867A6"/>
    <w:rsid w:val="00287171"/>
    <w:rsid w:val="002871A7"/>
    <w:rsid w:val="002872DD"/>
    <w:rsid w:val="00287740"/>
    <w:rsid w:val="00287AE8"/>
    <w:rsid w:val="00287DA3"/>
    <w:rsid w:val="002901BF"/>
    <w:rsid w:val="002902F1"/>
    <w:rsid w:val="00290E0A"/>
    <w:rsid w:val="002910E5"/>
    <w:rsid w:val="0029118C"/>
    <w:rsid w:val="002912B8"/>
    <w:rsid w:val="002913CA"/>
    <w:rsid w:val="0029154E"/>
    <w:rsid w:val="00291653"/>
    <w:rsid w:val="0029165A"/>
    <w:rsid w:val="00291736"/>
    <w:rsid w:val="00292046"/>
    <w:rsid w:val="0029220E"/>
    <w:rsid w:val="002923AD"/>
    <w:rsid w:val="0029259B"/>
    <w:rsid w:val="002927B2"/>
    <w:rsid w:val="00292F9B"/>
    <w:rsid w:val="0029336D"/>
    <w:rsid w:val="0029383E"/>
    <w:rsid w:val="00293C44"/>
    <w:rsid w:val="00294227"/>
    <w:rsid w:val="00295341"/>
    <w:rsid w:val="002957CE"/>
    <w:rsid w:val="00295ADD"/>
    <w:rsid w:val="00295E9B"/>
    <w:rsid w:val="00295FBA"/>
    <w:rsid w:val="00296821"/>
    <w:rsid w:val="00296AC6"/>
    <w:rsid w:val="00296E2E"/>
    <w:rsid w:val="00297540"/>
    <w:rsid w:val="002975CF"/>
    <w:rsid w:val="002977DE"/>
    <w:rsid w:val="00297A73"/>
    <w:rsid w:val="00297EC4"/>
    <w:rsid w:val="002A00AA"/>
    <w:rsid w:val="002A0227"/>
    <w:rsid w:val="002A0647"/>
    <w:rsid w:val="002A0B70"/>
    <w:rsid w:val="002A19E9"/>
    <w:rsid w:val="002A19F7"/>
    <w:rsid w:val="002A2235"/>
    <w:rsid w:val="002A2675"/>
    <w:rsid w:val="002A2BE5"/>
    <w:rsid w:val="002A2D0B"/>
    <w:rsid w:val="002A3035"/>
    <w:rsid w:val="002A380B"/>
    <w:rsid w:val="002A42D0"/>
    <w:rsid w:val="002A44CD"/>
    <w:rsid w:val="002A503C"/>
    <w:rsid w:val="002A5285"/>
    <w:rsid w:val="002A58A4"/>
    <w:rsid w:val="002A6372"/>
    <w:rsid w:val="002A6655"/>
    <w:rsid w:val="002A6980"/>
    <w:rsid w:val="002A77EB"/>
    <w:rsid w:val="002A797C"/>
    <w:rsid w:val="002A7A4F"/>
    <w:rsid w:val="002B034D"/>
    <w:rsid w:val="002B0C93"/>
    <w:rsid w:val="002B0CCD"/>
    <w:rsid w:val="002B0EA3"/>
    <w:rsid w:val="002B13ED"/>
    <w:rsid w:val="002B151D"/>
    <w:rsid w:val="002B253D"/>
    <w:rsid w:val="002B281D"/>
    <w:rsid w:val="002B2828"/>
    <w:rsid w:val="002B353F"/>
    <w:rsid w:val="002B3923"/>
    <w:rsid w:val="002B3E13"/>
    <w:rsid w:val="002B41EB"/>
    <w:rsid w:val="002B4832"/>
    <w:rsid w:val="002B4A99"/>
    <w:rsid w:val="002B4AD7"/>
    <w:rsid w:val="002B4BA0"/>
    <w:rsid w:val="002B4D63"/>
    <w:rsid w:val="002B4EB4"/>
    <w:rsid w:val="002B574A"/>
    <w:rsid w:val="002B5752"/>
    <w:rsid w:val="002B5A31"/>
    <w:rsid w:val="002B5B94"/>
    <w:rsid w:val="002B607A"/>
    <w:rsid w:val="002B617F"/>
    <w:rsid w:val="002B694A"/>
    <w:rsid w:val="002B6FC4"/>
    <w:rsid w:val="002B7076"/>
    <w:rsid w:val="002B72AD"/>
    <w:rsid w:val="002B7343"/>
    <w:rsid w:val="002B76D4"/>
    <w:rsid w:val="002C0261"/>
    <w:rsid w:val="002C0360"/>
    <w:rsid w:val="002C0416"/>
    <w:rsid w:val="002C04A2"/>
    <w:rsid w:val="002C0CF1"/>
    <w:rsid w:val="002C1883"/>
    <w:rsid w:val="002C1A66"/>
    <w:rsid w:val="002C1D3A"/>
    <w:rsid w:val="002C2A96"/>
    <w:rsid w:val="002C3B0F"/>
    <w:rsid w:val="002C417A"/>
    <w:rsid w:val="002C4B6F"/>
    <w:rsid w:val="002C53D2"/>
    <w:rsid w:val="002C53E2"/>
    <w:rsid w:val="002C55D2"/>
    <w:rsid w:val="002C5602"/>
    <w:rsid w:val="002C5938"/>
    <w:rsid w:val="002C5CA9"/>
    <w:rsid w:val="002C61D5"/>
    <w:rsid w:val="002C69E1"/>
    <w:rsid w:val="002C6EEF"/>
    <w:rsid w:val="002C7A02"/>
    <w:rsid w:val="002C7B33"/>
    <w:rsid w:val="002C7EE5"/>
    <w:rsid w:val="002D019F"/>
    <w:rsid w:val="002D04F5"/>
    <w:rsid w:val="002D059A"/>
    <w:rsid w:val="002D0A51"/>
    <w:rsid w:val="002D0C96"/>
    <w:rsid w:val="002D0E5C"/>
    <w:rsid w:val="002D17BC"/>
    <w:rsid w:val="002D1A11"/>
    <w:rsid w:val="002D1FBE"/>
    <w:rsid w:val="002D26F3"/>
    <w:rsid w:val="002D2763"/>
    <w:rsid w:val="002D2E1B"/>
    <w:rsid w:val="002D2E5D"/>
    <w:rsid w:val="002D2F43"/>
    <w:rsid w:val="002D31A3"/>
    <w:rsid w:val="002D37BC"/>
    <w:rsid w:val="002D3C99"/>
    <w:rsid w:val="002D3CBF"/>
    <w:rsid w:val="002D3D79"/>
    <w:rsid w:val="002D3E68"/>
    <w:rsid w:val="002D4061"/>
    <w:rsid w:val="002D4923"/>
    <w:rsid w:val="002D4A6E"/>
    <w:rsid w:val="002D4A9E"/>
    <w:rsid w:val="002D5570"/>
    <w:rsid w:val="002D55D2"/>
    <w:rsid w:val="002D57C5"/>
    <w:rsid w:val="002D58D4"/>
    <w:rsid w:val="002D5D36"/>
    <w:rsid w:val="002D5D86"/>
    <w:rsid w:val="002D5DFC"/>
    <w:rsid w:val="002D5FA9"/>
    <w:rsid w:val="002D68E7"/>
    <w:rsid w:val="002D6C5B"/>
    <w:rsid w:val="002D6E29"/>
    <w:rsid w:val="002D6F41"/>
    <w:rsid w:val="002D702B"/>
    <w:rsid w:val="002D7A66"/>
    <w:rsid w:val="002D7BD1"/>
    <w:rsid w:val="002D7C40"/>
    <w:rsid w:val="002D7E80"/>
    <w:rsid w:val="002D7F5D"/>
    <w:rsid w:val="002E0000"/>
    <w:rsid w:val="002E000D"/>
    <w:rsid w:val="002E00D8"/>
    <w:rsid w:val="002E014A"/>
    <w:rsid w:val="002E0C25"/>
    <w:rsid w:val="002E0CFA"/>
    <w:rsid w:val="002E18EB"/>
    <w:rsid w:val="002E2238"/>
    <w:rsid w:val="002E2262"/>
    <w:rsid w:val="002E24E0"/>
    <w:rsid w:val="002E27C1"/>
    <w:rsid w:val="002E2810"/>
    <w:rsid w:val="002E2F2B"/>
    <w:rsid w:val="002E303F"/>
    <w:rsid w:val="002E3335"/>
    <w:rsid w:val="002E383E"/>
    <w:rsid w:val="002E3C4C"/>
    <w:rsid w:val="002E3DF0"/>
    <w:rsid w:val="002E4043"/>
    <w:rsid w:val="002E4067"/>
    <w:rsid w:val="002E42D7"/>
    <w:rsid w:val="002E46F6"/>
    <w:rsid w:val="002E4B0F"/>
    <w:rsid w:val="002E4C69"/>
    <w:rsid w:val="002E57A2"/>
    <w:rsid w:val="002E5AD8"/>
    <w:rsid w:val="002E6801"/>
    <w:rsid w:val="002E6841"/>
    <w:rsid w:val="002E727D"/>
    <w:rsid w:val="002E7381"/>
    <w:rsid w:val="002E7ACB"/>
    <w:rsid w:val="002E7F69"/>
    <w:rsid w:val="002F079C"/>
    <w:rsid w:val="002F0980"/>
    <w:rsid w:val="002F0C27"/>
    <w:rsid w:val="002F0EDD"/>
    <w:rsid w:val="002F0F67"/>
    <w:rsid w:val="002F2432"/>
    <w:rsid w:val="002F248E"/>
    <w:rsid w:val="002F2ACB"/>
    <w:rsid w:val="002F2B56"/>
    <w:rsid w:val="002F2BFB"/>
    <w:rsid w:val="002F31E5"/>
    <w:rsid w:val="002F352D"/>
    <w:rsid w:val="002F35D8"/>
    <w:rsid w:val="002F37A4"/>
    <w:rsid w:val="002F4633"/>
    <w:rsid w:val="002F4A42"/>
    <w:rsid w:val="002F4BEF"/>
    <w:rsid w:val="002F4E9F"/>
    <w:rsid w:val="002F5204"/>
    <w:rsid w:val="002F52D4"/>
    <w:rsid w:val="002F544A"/>
    <w:rsid w:val="002F5638"/>
    <w:rsid w:val="002F58CD"/>
    <w:rsid w:val="002F5E76"/>
    <w:rsid w:val="002F74B6"/>
    <w:rsid w:val="002F7703"/>
    <w:rsid w:val="002F7DEA"/>
    <w:rsid w:val="00300123"/>
    <w:rsid w:val="003014BA"/>
    <w:rsid w:val="003015C4"/>
    <w:rsid w:val="00301B09"/>
    <w:rsid w:val="00301B3C"/>
    <w:rsid w:val="0030207A"/>
    <w:rsid w:val="003023D9"/>
    <w:rsid w:val="00302495"/>
    <w:rsid w:val="003026C0"/>
    <w:rsid w:val="00302882"/>
    <w:rsid w:val="00302C29"/>
    <w:rsid w:val="00302CCF"/>
    <w:rsid w:val="00303328"/>
    <w:rsid w:val="0030341F"/>
    <w:rsid w:val="0030370C"/>
    <w:rsid w:val="00303BA2"/>
    <w:rsid w:val="003041FA"/>
    <w:rsid w:val="0030485E"/>
    <w:rsid w:val="003048F3"/>
    <w:rsid w:val="0030558E"/>
    <w:rsid w:val="00305B0B"/>
    <w:rsid w:val="00306109"/>
    <w:rsid w:val="003065B6"/>
    <w:rsid w:val="00306823"/>
    <w:rsid w:val="00306901"/>
    <w:rsid w:val="00306B91"/>
    <w:rsid w:val="00306BF9"/>
    <w:rsid w:val="00306C76"/>
    <w:rsid w:val="00307947"/>
    <w:rsid w:val="00307C97"/>
    <w:rsid w:val="00307FF7"/>
    <w:rsid w:val="00310337"/>
    <w:rsid w:val="00310886"/>
    <w:rsid w:val="00310990"/>
    <w:rsid w:val="00310A58"/>
    <w:rsid w:val="00310CAC"/>
    <w:rsid w:val="0031148E"/>
    <w:rsid w:val="00311562"/>
    <w:rsid w:val="00311ECB"/>
    <w:rsid w:val="0031268A"/>
    <w:rsid w:val="00312B97"/>
    <w:rsid w:val="00312F26"/>
    <w:rsid w:val="00313189"/>
    <w:rsid w:val="003131B2"/>
    <w:rsid w:val="00313A68"/>
    <w:rsid w:val="00313DCC"/>
    <w:rsid w:val="00313E62"/>
    <w:rsid w:val="0031445A"/>
    <w:rsid w:val="0031486D"/>
    <w:rsid w:val="0031559E"/>
    <w:rsid w:val="00315A61"/>
    <w:rsid w:val="00315A62"/>
    <w:rsid w:val="0031621C"/>
    <w:rsid w:val="00316627"/>
    <w:rsid w:val="0031673B"/>
    <w:rsid w:val="00316987"/>
    <w:rsid w:val="00316D6D"/>
    <w:rsid w:val="00316D97"/>
    <w:rsid w:val="00316EA5"/>
    <w:rsid w:val="0031725C"/>
    <w:rsid w:val="003174A2"/>
    <w:rsid w:val="0031776D"/>
    <w:rsid w:val="00317BFD"/>
    <w:rsid w:val="00317E5A"/>
    <w:rsid w:val="0032010E"/>
    <w:rsid w:val="0032063C"/>
    <w:rsid w:val="00320B48"/>
    <w:rsid w:val="00320FF4"/>
    <w:rsid w:val="00320FFD"/>
    <w:rsid w:val="00321449"/>
    <w:rsid w:val="0032167E"/>
    <w:rsid w:val="00321817"/>
    <w:rsid w:val="00321818"/>
    <w:rsid w:val="00321E1A"/>
    <w:rsid w:val="003226CD"/>
    <w:rsid w:val="003226D3"/>
    <w:rsid w:val="00323345"/>
    <w:rsid w:val="00323CC3"/>
    <w:rsid w:val="00324892"/>
    <w:rsid w:val="00325353"/>
    <w:rsid w:val="003256E2"/>
    <w:rsid w:val="00325754"/>
    <w:rsid w:val="00325D33"/>
    <w:rsid w:val="00326055"/>
    <w:rsid w:val="003269C0"/>
    <w:rsid w:val="00326A9B"/>
    <w:rsid w:val="00326BB4"/>
    <w:rsid w:val="003274F6"/>
    <w:rsid w:val="00327BD9"/>
    <w:rsid w:val="003301F6"/>
    <w:rsid w:val="00330311"/>
    <w:rsid w:val="003305CC"/>
    <w:rsid w:val="00330727"/>
    <w:rsid w:val="00330A4B"/>
    <w:rsid w:val="00330B4B"/>
    <w:rsid w:val="00330EDD"/>
    <w:rsid w:val="00331206"/>
    <w:rsid w:val="00331F82"/>
    <w:rsid w:val="0033250B"/>
    <w:rsid w:val="00332AFC"/>
    <w:rsid w:val="003337EF"/>
    <w:rsid w:val="0033443A"/>
    <w:rsid w:val="00334558"/>
    <w:rsid w:val="00334695"/>
    <w:rsid w:val="003349BE"/>
    <w:rsid w:val="003349E4"/>
    <w:rsid w:val="00334B5B"/>
    <w:rsid w:val="00334DB2"/>
    <w:rsid w:val="003352E0"/>
    <w:rsid w:val="00335BA6"/>
    <w:rsid w:val="00335BC8"/>
    <w:rsid w:val="003365ED"/>
    <w:rsid w:val="00336871"/>
    <w:rsid w:val="00337786"/>
    <w:rsid w:val="00337876"/>
    <w:rsid w:val="003404D5"/>
    <w:rsid w:val="00341007"/>
    <w:rsid w:val="00341143"/>
    <w:rsid w:val="00341247"/>
    <w:rsid w:val="003412DD"/>
    <w:rsid w:val="003413F7"/>
    <w:rsid w:val="00342D17"/>
    <w:rsid w:val="00343023"/>
    <w:rsid w:val="003439E0"/>
    <w:rsid w:val="00343C4E"/>
    <w:rsid w:val="00343CA9"/>
    <w:rsid w:val="003444C4"/>
    <w:rsid w:val="003445A8"/>
    <w:rsid w:val="003456F5"/>
    <w:rsid w:val="003458A2"/>
    <w:rsid w:val="00345BEB"/>
    <w:rsid w:val="00345C62"/>
    <w:rsid w:val="00345F18"/>
    <w:rsid w:val="0034667F"/>
    <w:rsid w:val="00346BE2"/>
    <w:rsid w:val="00346C29"/>
    <w:rsid w:val="00346E79"/>
    <w:rsid w:val="00346FEC"/>
    <w:rsid w:val="003472BE"/>
    <w:rsid w:val="003479CC"/>
    <w:rsid w:val="003500C4"/>
    <w:rsid w:val="00350556"/>
    <w:rsid w:val="0035069A"/>
    <w:rsid w:val="00350755"/>
    <w:rsid w:val="003507D5"/>
    <w:rsid w:val="003508E8"/>
    <w:rsid w:val="003509DE"/>
    <w:rsid w:val="00350F90"/>
    <w:rsid w:val="003510BD"/>
    <w:rsid w:val="003515C1"/>
    <w:rsid w:val="003517A7"/>
    <w:rsid w:val="00352931"/>
    <w:rsid w:val="0035298B"/>
    <w:rsid w:val="00352ADD"/>
    <w:rsid w:val="00352BE9"/>
    <w:rsid w:val="00353450"/>
    <w:rsid w:val="00353884"/>
    <w:rsid w:val="00353E14"/>
    <w:rsid w:val="00354110"/>
    <w:rsid w:val="00354744"/>
    <w:rsid w:val="00354B19"/>
    <w:rsid w:val="00354BEC"/>
    <w:rsid w:val="00354C00"/>
    <w:rsid w:val="003553DA"/>
    <w:rsid w:val="0035573E"/>
    <w:rsid w:val="00356224"/>
    <w:rsid w:val="003563C2"/>
    <w:rsid w:val="00356C28"/>
    <w:rsid w:val="00356E4D"/>
    <w:rsid w:val="00356FC1"/>
    <w:rsid w:val="003572B5"/>
    <w:rsid w:val="0035752C"/>
    <w:rsid w:val="003576C2"/>
    <w:rsid w:val="00360336"/>
    <w:rsid w:val="003609C2"/>
    <w:rsid w:val="00360F87"/>
    <w:rsid w:val="00361847"/>
    <w:rsid w:val="0036233C"/>
    <w:rsid w:val="003629BB"/>
    <w:rsid w:val="00362C7F"/>
    <w:rsid w:val="0036347A"/>
    <w:rsid w:val="003635C1"/>
    <w:rsid w:val="00363977"/>
    <w:rsid w:val="00363F3F"/>
    <w:rsid w:val="0036412F"/>
    <w:rsid w:val="003641A9"/>
    <w:rsid w:val="00364233"/>
    <w:rsid w:val="00364B55"/>
    <w:rsid w:val="0036506E"/>
    <w:rsid w:val="00365BC0"/>
    <w:rsid w:val="00365E55"/>
    <w:rsid w:val="003661B3"/>
    <w:rsid w:val="003664D1"/>
    <w:rsid w:val="00366A86"/>
    <w:rsid w:val="0036748C"/>
    <w:rsid w:val="00367870"/>
    <w:rsid w:val="0036796B"/>
    <w:rsid w:val="00367D0C"/>
    <w:rsid w:val="00370565"/>
    <w:rsid w:val="0037098C"/>
    <w:rsid w:val="00370C3C"/>
    <w:rsid w:val="00372861"/>
    <w:rsid w:val="00372BE9"/>
    <w:rsid w:val="00372C69"/>
    <w:rsid w:val="003738E0"/>
    <w:rsid w:val="0037401C"/>
    <w:rsid w:val="003743AA"/>
    <w:rsid w:val="003746B9"/>
    <w:rsid w:val="00375881"/>
    <w:rsid w:val="00375A13"/>
    <w:rsid w:val="00375AB8"/>
    <w:rsid w:val="003763D8"/>
    <w:rsid w:val="00376721"/>
    <w:rsid w:val="00376D18"/>
    <w:rsid w:val="00376EAB"/>
    <w:rsid w:val="00376F56"/>
    <w:rsid w:val="0037727A"/>
    <w:rsid w:val="003773FD"/>
    <w:rsid w:val="00377C18"/>
    <w:rsid w:val="00380342"/>
    <w:rsid w:val="00380DF9"/>
    <w:rsid w:val="003814A5"/>
    <w:rsid w:val="0038191F"/>
    <w:rsid w:val="003819F8"/>
    <w:rsid w:val="00381B1D"/>
    <w:rsid w:val="00382355"/>
    <w:rsid w:val="00382543"/>
    <w:rsid w:val="00383041"/>
    <w:rsid w:val="0038370F"/>
    <w:rsid w:val="00383BC5"/>
    <w:rsid w:val="00384000"/>
    <w:rsid w:val="0038471E"/>
    <w:rsid w:val="00384724"/>
    <w:rsid w:val="0038476F"/>
    <w:rsid w:val="00384A77"/>
    <w:rsid w:val="00384C1E"/>
    <w:rsid w:val="003850BA"/>
    <w:rsid w:val="00385417"/>
    <w:rsid w:val="00385A2C"/>
    <w:rsid w:val="00385C89"/>
    <w:rsid w:val="0038600A"/>
    <w:rsid w:val="00386489"/>
    <w:rsid w:val="003865A9"/>
    <w:rsid w:val="0038680C"/>
    <w:rsid w:val="00386A07"/>
    <w:rsid w:val="00386E83"/>
    <w:rsid w:val="003870FE"/>
    <w:rsid w:val="003871EE"/>
    <w:rsid w:val="00387409"/>
    <w:rsid w:val="00387947"/>
    <w:rsid w:val="00387CC6"/>
    <w:rsid w:val="00387D1B"/>
    <w:rsid w:val="003901AE"/>
    <w:rsid w:val="003901BD"/>
    <w:rsid w:val="0039028E"/>
    <w:rsid w:val="00390672"/>
    <w:rsid w:val="00390890"/>
    <w:rsid w:val="00390C66"/>
    <w:rsid w:val="00390FCC"/>
    <w:rsid w:val="00391C86"/>
    <w:rsid w:val="00391E77"/>
    <w:rsid w:val="003927BC"/>
    <w:rsid w:val="00392C61"/>
    <w:rsid w:val="0039381C"/>
    <w:rsid w:val="00393D3C"/>
    <w:rsid w:val="00394274"/>
    <w:rsid w:val="0039447F"/>
    <w:rsid w:val="00394541"/>
    <w:rsid w:val="00394626"/>
    <w:rsid w:val="00395710"/>
    <w:rsid w:val="00395C38"/>
    <w:rsid w:val="00396094"/>
    <w:rsid w:val="0039610B"/>
    <w:rsid w:val="003965FE"/>
    <w:rsid w:val="003967CD"/>
    <w:rsid w:val="003967EB"/>
    <w:rsid w:val="00396979"/>
    <w:rsid w:val="003969B7"/>
    <w:rsid w:val="00396A9A"/>
    <w:rsid w:val="003970BC"/>
    <w:rsid w:val="003970FD"/>
    <w:rsid w:val="003972A6"/>
    <w:rsid w:val="00397B33"/>
    <w:rsid w:val="003A0C6A"/>
    <w:rsid w:val="003A1BE5"/>
    <w:rsid w:val="003A1FF2"/>
    <w:rsid w:val="003A213A"/>
    <w:rsid w:val="003A2861"/>
    <w:rsid w:val="003A2949"/>
    <w:rsid w:val="003A2AE7"/>
    <w:rsid w:val="003A33CA"/>
    <w:rsid w:val="003A34EC"/>
    <w:rsid w:val="003A3EC1"/>
    <w:rsid w:val="003A3EC4"/>
    <w:rsid w:val="003A451F"/>
    <w:rsid w:val="003A508E"/>
    <w:rsid w:val="003A523D"/>
    <w:rsid w:val="003A54D0"/>
    <w:rsid w:val="003A5C67"/>
    <w:rsid w:val="003A64CC"/>
    <w:rsid w:val="003A6772"/>
    <w:rsid w:val="003A67F3"/>
    <w:rsid w:val="003A7146"/>
    <w:rsid w:val="003A76C9"/>
    <w:rsid w:val="003A77AD"/>
    <w:rsid w:val="003A7CA7"/>
    <w:rsid w:val="003B026E"/>
    <w:rsid w:val="003B0527"/>
    <w:rsid w:val="003B0816"/>
    <w:rsid w:val="003B12B1"/>
    <w:rsid w:val="003B169E"/>
    <w:rsid w:val="003B18BB"/>
    <w:rsid w:val="003B1A25"/>
    <w:rsid w:val="003B1C74"/>
    <w:rsid w:val="003B20AA"/>
    <w:rsid w:val="003B2306"/>
    <w:rsid w:val="003B2430"/>
    <w:rsid w:val="003B2435"/>
    <w:rsid w:val="003B2BC2"/>
    <w:rsid w:val="003B2E69"/>
    <w:rsid w:val="003B3364"/>
    <w:rsid w:val="003B358D"/>
    <w:rsid w:val="003B39E4"/>
    <w:rsid w:val="003B3AD0"/>
    <w:rsid w:val="003B3B4C"/>
    <w:rsid w:val="003B3C63"/>
    <w:rsid w:val="003B47B1"/>
    <w:rsid w:val="003B4B03"/>
    <w:rsid w:val="003B4CB1"/>
    <w:rsid w:val="003B4CC7"/>
    <w:rsid w:val="003B58BE"/>
    <w:rsid w:val="003B5904"/>
    <w:rsid w:val="003B6D1A"/>
    <w:rsid w:val="003B7BCF"/>
    <w:rsid w:val="003B7E3E"/>
    <w:rsid w:val="003C01C4"/>
    <w:rsid w:val="003C06CB"/>
    <w:rsid w:val="003C08B2"/>
    <w:rsid w:val="003C08FA"/>
    <w:rsid w:val="003C101A"/>
    <w:rsid w:val="003C116D"/>
    <w:rsid w:val="003C1267"/>
    <w:rsid w:val="003C1A3A"/>
    <w:rsid w:val="003C1D07"/>
    <w:rsid w:val="003C22F0"/>
    <w:rsid w:val="003C266D"/>
    <w:rsid w:val="003C2D98"/>
    <w:rsid w:val="003C30D3"/>
    <w:rsid w:val="003C31E4"/>
    <w:rsid w:val="003C3226"/>
    <w:rsid w:val="003C39A0"/>
    <w:rsid w:val="003C4278"/>
    <w:rsid w:val="003C494D"/>
    <w:rsid w:val="003C4A88"/>
    <w:rsid w:val="003C4AF9"/>
    <w:rsid w:val="003C4C41"/>
    <w:rsid w:val="003C4D70"/>
    <w:rsid w:val="003C5B8E"/>
    <w:rsid w:val="003C65B6"/>
    <w:rsid w:val="003C6EB3"/>
    <w:rsid w:val="003C7015"/>
    <w:rsid w:val="003C72C4"/>
    <w:rsid w:val="003C7564"/>
    <w:rsid w:val="003C76C9"/>
    <w:rsid w:val="003C7D7A"/>
    <w:rsid w:val="003D0112"/>
    <w:rsid w:val="003D10A3"/>
    <w:rsid w:val="003D13D6"/>
    <w:rsid w:val="003D1718"/>
    <w:rsid w:val="003D2259"/>
    <w:rsid w:val="003D2647"/>
    <w:rsid w:val="003D29A7"/>
    <w:rsid w:val="003D39AB"/>
    <w:rsid w:val="003D3A88"/>
    <w:rsid w:val="003D3DCB"/>
    <w:rsid w:val="003D3EA9"/>
    <w:rsid w:val="003D4FA5"/>
    <w:rsid w:val="003D5BD6"/>
    <w:rsid w:val="003D5E91"/>
    <w:rsid w:val="003D64CD"/>
    <w:rsid w:val="003D748A"/>
    <w:rsid w:val="003D7877"/>
    <w:rsid w:val="003D7D8A"/>
    <w:rsid w:val="003E012D"/>
    <w:rsid w:val="003E18C2"/>
    <w:rsid w:val="003E190F"/>
    <w:rsid w:val="003E224D"/>
    <w:rsid w:val="003E28A5"/>
    <w:rsid w:val="003E2A21"/>
    <w:rsid w:val="003E306C"/>
    <w:rsid w:val="003E3430"/>
    <w:rsid w:val="003E3477"/>
    <w:rsid w:val="003E370F"/>
    <w:rsid w:val="003E37BE"/>
    <w:rsid w:val="003E3C7C"/>
    <w:rsid w:val="003E529A"/>
    <w:rsid w:val="003E53B1"/>
    <w:rsid w:val="003E5C82"/>
    <w:rsid w:val="003E5DFB"/>
    <w:rsid w:val="003E6E1B"/>
    <w:rsid w:val="003E72F0"/>
    <w:rsid w:val="003E760C"/>
    <w:rsid w:val="003E7693"/>
    <w:rsid w:val="003E76DC"/>
    <w:rsid w:val="003E7727"/>
    <w:rsid w:val="003F039E"/>
    <w:rsid w:val="003F06FC"/>
    <w:rsid w:val="003F07F1"/>
    <w:rsid w:val="003F09E3"/>
    <w:rsid w:val="003F0BB5"/>
    <w:rsid w:val="003F0F49"/>
    <w:rsid w:val="003F16FB"/>
    <w:rsid w:val="003F1961"/>
    <w:rsid w:val="003F1BA3"/>
    <w:rsid w:val="003F1F41"/>
    <w:rsid w:val="003F2000"/>
    <w:rsid w:val="003F2404"/>
    <w:rsid w:val="003F2449"/>
    <w:rsid w:val="003F2515"/>
    <w:rsid w:val="003F2A1A"/>
    <w:rsid w:val="003F334C"/>
    <w:rsid w:val="003F4109"/>
    <w:rsid w:val="003F4ED8"/>
    <w:rsid w:val="003F5349"/>
    <w:rsid w:val="003F5C33"/>
    <w:rsid w:val="003F645C"/>
    <w:rsid w:val="003F666D"/>
    <w:rsid w:val="003F66FF"/>
    <w:rsid w:val="003F686D"/>
    <w:rsid w:val="003F7078"/>
    <w:rsid w:val="003F73EA"/>
    <w:rsid w:val="003F7899"/>
    <w:rsid w:val="0040078B"/>
    <w:rsid w:val="004011AA"/>
    <w:rsid w:val="00401C1B"/>
    <w:rsid w:val="0040233C"/>
    <w:rsid w:val="00402C2C"/>
    <w:rsid w:val="0040306A"/>
    <w:rsid w:val="00403392"/>
    <w:rsid w:val="00403550"/>
    <w:rsid w:val="004035D3"/>
    <w:rsid w:val="004036D9"/>
    <w:rsid w:val="0040409F"/>
    <w:rsid w:val="0040412B"/>
    <w:rsid w:val="00404B8B"/>
    <w:rsid w:val="00405652"/>
    <w:rsid w:val="00405722"/>
    <w:rsid w:val="00405770"/>
    <w:rsid w:val="00405BBC"/>
    <w:rsid w:val="00405BC6"/>
    <w:rsid w:val="00405C0F"/>
    <w:rsid w:val="00405DF1"/>
    <w:rsid w:val="004061C2"/>
    <w:rsid w:val="004063E9"/>
    <w:rsid w:val="004063ED"/>
    <w:rsid w:val="004064A9"/>
    <w:rsid w:val="00406D9D"/>
    <w:rsid w:val="004077B9"/>
    <w:rsid w:val="004079A1"/>
    <w:rsid w:val="004108AA"/>
    <w:rsid w:val="004109A9"/>
    <w:rsid w:val="00411124"/>
    <w:rsid w:val="0041185C"/>
    <w:rsid w:val="00411B0B"/>
    <w:rsid w:val="004121F0"/>
    <w:rsid w:val="004123DA"/>
    <w:rsid w:val="00412466"/>
    <w:rsid w:val="004124C9"/>
    <w:rsid w:val="0041258B"/>
    <w:rsid w:val="00412CD3"/>
    <w:rsid w:val="00412D2A"/>
    <w:rsid w:val="00412E2E"/>
    <w:rsid w:val="00412FC2"/>
    <w:rsid w:val="0041328B"/>
    <w:rsid w:val="00413B2D"/>
    <w:rsid w:val="00413BFF"/>
    <w:rsid w:val="0041410E"/>
    <w:rsid w:val="004142FD"/>
    <w:rsid w:val="0041464D"/>
    <w:rsid w:val="00414696"/>
    <w:rsid w:val="00414804"/>
    <w:rsid w:val="0041484C"/>
    <w:rsid w:val="00414ADA"/>
    <w:rsid w:val="00414B82"/>
    <w:rsid w:val="00414F0D"/>
    <w:rsid w:val="00414F24"/>
    <w:rsid w:val="0041512A"/>
    <w:rsid w:val="00415217"/>
    <w:rsid w:val="004153BB"/>
    <w:rsid w:val="0041645F"/>
    <w:rsid w:val="004169FF"/>
    <w:rsid w:val="00416CCA"/>
    <w:rsid w:val="0041722B"/>
    <w:rsid w:val="00417845"/>
    <w:rsid w:val="00420155"/>
    <w:rsid w:val="004203F5"/>
    <w:rsid w:val="00420C87"/>
    <w:rsid w:val="00421235"/>
    <w:rsid w:val="0042136E"/>
    <w:rsid w:val="004215CA"/>
    <w:rsid w:val="00421669"/>
    <w:rsid w:val="004216DB"/>
    <w:rsid w:val="00421744"/>
    <w:rsid w:val="00421A1E"/>
    <w:rsid w:val="00422958"/>
    <w:rsid w:val="00423EC7"/>
    <w:rsid w:val="0042478F"/>
    <w:rsid w:val="004247FE"/>
    <w:rsid w:val="00425627"/>
    <w:rsid w:val="00425D7A"/>
    <w:rsid w:val="00426433"/>
    <w:rsid w:val="00426666"/>
    <w:rsid w:val="004268D9"/>
    <w:rsid w:val="004269EA"/>
    <w:rsid w:val="00426AC1"/>
    <w:rsid w:val="00427EA7"/>
    <w:rsid w:val="0043012B"/>
    <w:rsid w:val="00430F08"/>
    <w:rsid w:val="00430F61"/>
    <w:rsid w:val="0043140D"/>
    <w:rsid w:val="004315BD"/>
    <w:rsid w:val="0043179E"/>
    <w:rsid w:val="004321C1"/>
    <w:rsid w:val="004322DF"/>
    <w:rsid w:val="0043233C"/>
    <w:rsid w:val="00432966"/>
    <w:rsid w:val="004330A3"/>
    <w:rsid w:val="00433D34"/>
    <w:rsid w:val="00434197"/>
    <w:rsid w:val="00434403"/>
    <w:rsid w:val="004348EC"/>
    <w:rsid w:val="00434CD4"/>
    <w:rsid w:val="00434F0E"/>
    <w:rsid w:val="0043543C"/>
    <w:rsid w:val="00435689"/>
    <w:rsid w:val="00435B99"/>
    <w:rsid w:val="00436026"/>
    <w:rsid w:val="004360FF"/>
    <w:rsid w:val="0043617A"/>
    <w:rsid w:val="0043620F"/>
    <w:rsid w:val="004362B1"/>
    <w:rsid w:val="00437847"/>
    <w:rsid w:val="00437BCE"/>
    <w:rsid w:val="00437DF8"/>
    <w:rsid w:val="00437E76"/>
    <w:rsid w:val="00440002"/>
    <w:rsid w:val="004404B6"/>
    <w:rsid w:val="004409D3"/>
    <w:rsid w:val="00440A53"/>
    <w:rsid w:val="0044124F"/>
    <w:rsid w:val="004414CB"/>
    <w:rsid w:val="0044231C"/>
    <w:rsid w:val="0044294D"/>
    <w:rsid w:val="00444530"/>
    <w:rsid w:val="00445121"/>
    <w:rsid w:val="004453D6"/>
    <w:rsid w:val="004456A3"/>
    <w:rsid w:val="004458E2"/>
    <w:rsid w:val="00445CA3"/>
    <w:rsid w:val="00446733"/>
    <w:rsid w:val="00446E6B"/>
    <w:rsid w:val="00447577"/>
    <w:rsid w:val="00447ABB"/>
    <w:rsid w:val="00447C17"/>
    <w:rsid w:val="00450032"/>
    <w:rsid w:val="0045020D"/>
    <w:rsid w:val="00450261"/>
    <w:rsid w:val="00450386"/>
    <w:rsid w:val="00450862"/>
    <w:rsid w:val="00451013"/>
    <w:rsid w:val="004510C8"/>
    <w:rsid w:val="00451224"/>
    <w:rsid w:val="0045153A"/>
    <w:rsid w:val="00451AB9"/>
    <w:rsid w:val="00451D2E"/>
    <w:rsid w:val="004524AD"/>
    <w:rsid w:val="0045282E"/>
    <w:rsid w:val="00453434"/>
    <w:rsid w:val="00453A64"/>
    <w:rsid w:val="0045436E"/>
    <w:rsid w:val="004545E9"/>
    <w:rsid w:val="00454E01"/>
    <w:rsid w:val="00454EE2"/>
    <w:rsid w:val="00455B49"/>
    <w:rsid w:val="00455F31"/>
    <w:rsid w:val="00455F32"/>
    <w:rsid w:val="00456644"/>
    <w:rsid w:val="00456823"/>
    <w:rsid w:val="00456CB0"/>
    <w:rsid w:val="00457082"/>
    <w:rsid w:val="004571CE"/>
    <w:rsid w:val="004576B1"/>
    <w:rsid w:val="00457803"/>
    <w:rsid w:val="00457C18"/>
    <w:rsid w:val="00457EE8"/>
    <w:rsid w:val="004612B7"/>
    <w:rsid w:val="00461584"/>
    <w:rsid w:val="00461BB2"/>
    <w:rsid w:val="00461E56"/>
    <w:rsid w:val="00461EB7"/>
    <w:rsid w:val="0046234F"/>
    <w:rsid w:val="0046326A"/>
    <w:rsid w:val="00463604"/>
    <w:rsid w:val="0046370A"/>
    <w:rsid w:val="00464137"/>
    <w:rsid w:val="004641D1"/>
    <w:rsid w:val="004642C0"/>
    <w:rsid w:val="00464695"/>
    <w:rsid w:val="00464F95"/>
    <w:rsid w:val="00464FAF"/>
    <w:rsid w:val="00465360"/>
    <w:rsid w:val="00465921"/>
    <w:rsid w:val="00465979"/>
    <w:rsid w:val="00465D3F"/>
    <w:rsid w:val="004661B9"/>
    <w:rsid w:val="004663A4"/>
    <w:rsid w:val="00466543"/>
    <w:rsid w:val="004665D6"/>
    <w:rsid w:val="004669E8"/>
    <w:rsid w:val="00466AC1"/>
    <w:rsid w:val="00466F7C"/>
    <w:rsid w:val="004672EB"/>
    <w:rsid w:val="004674DE"/>
    <w:rsid w:val="004679FC"/>
    <w:rsid w:val="00467D52"/>
    <w:rsid w:val="00470F5F"/>
    <w:rsid w:val="004714B1"/>
    <w:rsid w:val="004717DE"/>
    <w:rsid w:val="00472378"/>
    <w:rsid w:val="0047255A"/>
    <w:rsid w:val="00472752"/>
    <w:rsid w:val="004737F9"/>
    <w:rsid w:val="00473984"/>
    <w:rsid w:val="00474246"/>
    <w:rsid w:val="00474759"/>
    <w:rsid w:val="0047534D"/>
    <w:rsid w:val="004756C8"/>
    <w:rsid w:val="00475D10"/>
    <w:rsid w:val="00475EF9"/>
    <w:rsid w:val="004765D3"/>
    <w:rsid w:val="004766C6"/>
    <w:rsid w:val="004768D6"/>
    <w:rsid w:val="00476A08"/>
    <w:rsid w:val="00476E7A"/>
    <w:rsid w:val="0047746D"/>
    <w:rsid w:val="0047798F"/>
    <w:rsid w:val="004779C5"/>
    <w:rsid w:val="00480245"/>
    <w:rsid w:val="00480541"/>
    <w:rsid w:val="00480AA9"/>
    <w:rsid w:val="00480C63"/>
    <w:rsid w:val="00480DBF"/>
    <w:rsid w:val="00480FBF"/>
    <w:rsid w:val="0048111F"/>
    <w:rsid w:val="004817C3"/>
    <w:rsid w:val="00481C90"/>
    <w:rsid w:val="00482C5F"/>
    <w:rsid w:val="00483076"/>
    <w:rsid w:val="004832D6"/>
    <w:rsid w:val="00483A07"/>
    <w:rsid w:val="00484696"/>
    <w:rsid w:val="00484864"/>
    <w:rsid w:val="00484EA5"/>
    <w:rsid w:val="004850DB"/>
    <w:rsid w:val="004855A0"/>
    <w:rsid w:val="004857CA"/>
    <w:rsid w:val="00485A56"/>
    <w:rsid w:val="00485E5D"/>
    <w:rsid w:val="0048601E"/>
    <w:rsid w:val="004867AE"/>
    <w:rsid w:val="00486B9F"/>
    <w:rsid w:val="00487181"/>
    <w:rsid w:val="00487580"/>
    <w:rsid w:val="0048798E"/>
    <w:rsid w:val="0049038D"/>
    <w:rsid w:val="0049119A"/>
    <w:rsid w:val="0049139F"/>
    <w:rsid w:val="004916E2"/>
    <w:rsid w:val="00491C8F"/>
    <w:rsid w:val="0049249C"/>
    <w:rsid w:val="004940FE"/>
    <w:rsid w:val="0049444D"/>
    <w:rsid w:val="0049484A"/>
    <w:rsid w:val="00494F9A"/>
    <w:rsid w:val="00495A48"/>
    <w:rsid w:val="00495C93"/>
    <w:rsid w:val="00495C9D"/>
    <w:rsid w:val="00496247"/>
    <w:rsid w:val="0049679C"/>
    <w:rsid w:val="00497436"/>
    <w:rsid w:val="004976F4"/>
    <w:rsid w:val="00497A92"/>
    <w:rsid w:val="00497EB7"/>
    <w:rsid w:val="004A002A"/>
    <w:rsid w:val="004A030A"/>
    <w:rsid w:val="004A0DBB"/>
    <w:rsid w:val="004A157D"/>
    <w:rsid w:val="004A1DD9"/>
    <w:rsid w:val="004A2C40"/>
    <w:rsid w:val="004A3549"/>
    <w:rsid w:val="004A382A"/>
    <w:rsid w:val="004A39FB"/>
    <w:rsid w:val="004A3F09"/>
    <w:rsid w:val="004A4492"/>
    <w:rsid w:val="004A44EA"/>
    <w:rsid w:val="004A4899"/>
    <w:rsid w:val="004A4EF1"/>
    <w:rsid w:val="004A5071"/>
    <w:rsid w:val="004A5933"/>
    <w:rsid w:val="004A647B"/>
    <w:rsid w:val="004A654D"/>
    <w:rsid w:val="004A6993"/>
    <w:rsid w:val="004A71B7"/>
    <w:rsid w:val="004A75C3"/>
    <w:rsid w:val="004A794E"/>
    <w:rsid w:val="004B009F"/>
    <w:rsid w:val="004B0507"/>
    <w:rsid w:val="004B0767"/>
    <w:rsid w:val="004B1077"/>
    <w:rsid w:val="004B1450"/>
    <w:rsid w:val="004B15FE"/>
    <w:rsid w:val="004B24B1"/>
    <w:rsid w:val="004B26F0"/>
    <w:rsid w:val="004B30DC"/>
    <w:rsid w:val="004B43B1"/>
    <w:rsid w:val="004B48D9"/>
    <w:rsid w:val="004B53A1"/>
    <w:rsid w:val="004B5602"/>
    <w:rsid w:val="004B6D41"/>
    <w:rsid w:val="004B6D8B"/>
    <w:rsid w:val="004B7A44"/>
    <w:rsid w:val="004B7B33"/>
    <w:rsid w:val="004B7E7E"/>
    <w:rsid w:val="004C009B"/>
    <w:rsid w:val="004C07F4"/>
    <w:rsid w:val="004C08FF"/>
    <w:rsid w:val="004C0B81"/>
    <w:rsid w:val="004C1773"/>
    <w:rsid w:val="004C1A00"/>
    <w:rsid w:val="004C1A02"/>
    <w:rsid w:val="004C1D97"/>
    <w:rsid w:val="004C1DE0"/>
    <w:rsid w:val="004C2D62"/>
    <w:rsid w:val="004C321D"/>
    <w:rsid w:val="004C3767"/>
    <w:rsid w:val="004C3C1A"/>
    <w:rsid w:val="004C416C"/>
    <w:rsid w:val="004C4818"/>
    <w:rsid w:val="004C51A8"/>
    <w:rsid w:val="004C5520"/>
    <w:rsid w:val="004C57C9"/>
    <w:rsid w:val="004C5B50"/>
    <w:rsid w:val="004C6546"/>
    <w:rsid w:val="004C669E"/>
    <w:rsid w:val="004C6849"/>
    <w:rsid w:val="004C6EE2"/>
    <w:rsid w:val="004C75E9"/>
    <w:rsid w:val="004D0144"/>
    <w:rsid w:val="004D02EF"/>
    <w:rsid w:val="004D0836"/>
    <w:rsid w:val="004D0CFA"/>
    <w:rsid w:val="004D0FA6"/>
    <w:rsid w:val="004D134F"/>
    <w:rsid w:val="004D18B9"/>
    <w:rsid w:val="004D2117"/>
    <w:rsid w:val="004D216D"/>
    <w:rsid w:val="004D2E4A"/>
    <w:rsid w:val="004D3345"/>
    <w:rsid w:val="004D3464"/>
    <w:rsid w:val="004D34E5"/>
    <w:rsid w:val="004D395C"/>
    <w:rsid w:val="004D39EA"/>
    <w:rsid w:val="004D3A2C"/>
    <w:rsid w:val="004D3D8F"/>
    <w:rsid w:val="004D3EC0"/>
    <w:rsid w:val="004D439A"/>
    <w:rsid w:val="004D471D"/>
    <w:rsid w:val="004D4840"/>
    <w:rsid w:val="004D4EC8"/>
    <w:rsid w:val="004D51F0"/>
    <w:rsid w:val="004D5213"/>
    <w:rsid w:val="004D570B"/>
    <w:rsid w:val="004D5920"/>
    <w:rsid w:val="004D5B59"/>
    <w:rsid w:val="004D5DB4"/>
    <w:rsid w:val="004D6716"/>
    <w:rsid w:val="004D6EEF"/>
    <w:rsid w:val="004D7164"/>
    <w:rsid w:val="004D7244"/>
    <w:rsid w:val="004D72F4"/>
    <w:rsid w:val="004D74A4"/>
    <w:rsid w:val="004D74EA"/>
    <w:rsid w:val="004D7599"/>
    <w:rsid w:val="004E0015"/>
    <w:rsid w:val="004E098C"/>
    <w:rsid w:val="004E0D0D"/>
    <w:rsid w:val="004E0D5D"/>
    <w:rsid w:val="004E1087"/>
    <w:rsid w:val="004E12B0"/>
    <w:rsid w:val="004E151B"/>
    <w:rsid w:val="004E1D49"/>
    <w:rsid w:val="004E22C0"/>
    <w:rsid w:val="004E2456"/>
    <w:rsid w:val="004E2677"/>
    <w:rsid w:val="004E2998"/>
    <w:rsid w:val="004E2C9B"/>
    <w:rsid w:val="004E3600"/>
    <w:rsid w:val="004E4140"/>
    <w:rsid w:val="004E487A"/>
    <w:rsid w:val="004E4E60"/>
    <w:rsid w:val="004E4EB1"/>
    <w:rsid w:val="004E5550"/>
    <w:rsid w:val="004E561B"/>
    <w:rsid w:val="004E602C"/>
    <w:rsid w:val="004E6657"/>
    <w:rsid w:val="004E6C28"/>
    <w:rsid w:val="004E6DDD"/>
    <w:rsid w:val="004E6E59"/>
    <w:rsid w:val="004E7466"/>
    <w:rsid w:val="004E79B7"/>
    <w:rsid w:val="004E7A04"/>
    <w:rsid w:val="004E7AA8"/>
    <w:rsid w:val="004F00A3"/>
    <w:rsid w:val="004F1242"/>
    <w:rsid w:val="004F18C8"/>
    <w:rsid w:val="004F1EC0"/>
    <w:rsid w:val="004F2389"/>
    <w:rsid w:val="004F2792"/>
    <w:rsid w:val="004F2C4D"/>
    <w:rsid w:val="004F2C8E"/>
    <w:rsid w:val="004F2D6B"/>
    <w:rsid w:val="004F2F6A"/>
    <w:rsid w:val="004F3147"/>
    <w:rsid w:val="004F3346"/>
    <w:rsid w:val="004F33FB"/>
    <w:rsid w:val="004F3A8F"/>
    <w:rsid w:val="004F3B31"/>
    <w:rsid w:val="004F3F1A"/>
    <w:rsid w:val="004F42ED"/>
    <w:rsid w:val="004F452D"/>
    <w:rsid w:val="004F45C2"/>
    <w:rsid w:val="004F65FD"/>
    <w:rsid w:val="004F68E9"/>
    <w:rsid w:val="004F6C66"/>
    <w:rsid w:val="004F7123"/>
    <w:rsid w:val="004F72E7"/>
    <w:rsid w:val="004F77FC"/>
    <w:rsid w:val="004F790F"/>
    <w:rsid w:val="00500140"/>
    <w:rsid w:val="00500200"/>
    <w:rsid w:val="00500B09"/>
    <w:rsid w:val="00500B38"/>
    <w:rsid w:val="00500C57"/>
    <w:rsid w:val="00501461"/>
    <w:rsid w:val="00501688"/>
    <w:rsid w:val="00501941"/>
    <w:rsid w:val="005025DE"/>
    <w:rsid w:val="00502AEF"/>
    <w:rsid w:val="00502E32"/>
    <w:rsid w:val="0050324A"/>
    <w:rsid w:val="00503540"/>
    <w:rsid w:val="00503B0C"/>
    <w:rsid w:val="00503F75"/>
    <w:rsid w:val="00504008"/>
    <w:rsid w:val="00504535"/>
    <w:rsid w:val="0050471D"/>
    <w:rsid w:val="00504FE1"/>
    <w:rsid w:val="005054A7"/>
    <w:rsid w:val="00505C0C"/>
    <w:rsid w:val="00506014"/>
    <w:rsid w:val="005062C0"/>
    <w:rsid w:val="00506543"/>
    <w:rsid w:val="005065DE"/>
    <w:rsid w:val="0050688F"/>
    <w:rsid w:val="00506A5F"/>
    <w:rsid w:val="005104EC"/>
    <w:rsid w:val="005105B5"/>
    <w:rsid w:val="00510B86"/>
    <w:rsid w:val="005119FA"/>
    <w:rsid w:val="00511C3D"/>
    <w:rsid w:val="00511E2A"/>
    <w:rsid w:val="00512483"/>
    <w:rsid w:val="00512AB2"/>
    <w:rsid w:val="00512AFD"/>
    <w:rsid w:val="00512C7D"/>
    <w:rsid w:val="00512CD6"/>
    <w:rsid w:val="00512F45"/>
    <w:rsid w:val="0051305E"/>
    <w:rsid w:val="005139A1"/>
    <w:rsid w:val="00513E89"/>
    <w:rsid w:val="005140EA"/>
    <w:rsid w:val="005144B4"/>
    <w:rsid w:val="005149B5"/>
    <w:rsid w:val="00514C27"/>
    <w:rsid w:val="00514D02"/>
    <w:rsid w:val="00515015"/>
    <w:rsid w:val="005152A2"/>
    <w:rsid w:val="005153D3"/>
    <w:rsid w:val="0051548A"/>
    <w:rsid w:val="005155A5"/>
    <w:rsid w:val="00515BFB"/>
    <w:rsid w:val="00515C03"/>
    <w:rsid w:val="00515EE6"/>
    <w:rsid w:val="00516109"/>
    <w:rsid w:val="00516320"/>
    <w:rsid w:val="005165E8"/>
    <w:rsid w:val="005166EC"/>
    <w:rsid w:val="00516A02"/>
    <w:rsid w:val="00516B24"/>
    <w:rsid w:val="00516D43"/>
    <w:rsid w:val="005170FB"/>
    <w:rsid w:val="0051796E"/>
    <w:rsid w:val="00517F23"/>
    <w:rsid w:val="005205BC"/>
    <w:rsid w:val="00520FB0"/>
    <w:rsid w:val="0052146C"/>
    <w:rsid w:val="005214C2"/>
    <w:rsid w:val="005215F5"/>
    <w:rsid w:val="00521625"/>
    <w:rsid w:val="005216D8"/>
    <w:rsid w:val="005219C8"/>
    <w:rsid w:val="00522350"/>
    <w:rsid w:val="00522994"/>
    <w:rsid w:val="00522F52"/>
    <w:rsid w:val="005230EF"/>
    <w:rsid w:val="00523BC0"/>
    <w:rsid w:val="00524AB2"/>
    <w:rsid w:val="00524B59"/>
    <w:rsid w:val="00524BC0"/>
    <w:rsid w:val="005254F8"/>
    <w:rsid w:val="00525E5A"/>
    <w:rsid w:val="005271E5"/>
    <w:rsid w:val="0052794B"/>
    <w:rsid w:val="00527A83"/>
    <w:rsid w:val="00527D49"/>
    <w:rsid w:val="00530785"/>
    <w:rsid w:val="00531632"/>
    <w:rsid w:val="0053195C"/>
    <w:rsid w:val="00531DA1"/>
    <w:rsid w:val="00532320"/>
    <w:rsid w:val="00532672"/>
    <w:rsid w:val="005333F2"/>
    <w:rsid w:val="00533AAC"/>
    <w:rsid w:val="00533B54"/>
    <w:rsid w:val="00533E87"/>
    <w:rsid w:val="00533F57"/>
    <w:rsid w:val="00533FB7"/>
    <w:rsid w:val="0053418A"/>
    <w:rsid w:val="005348D2"/>
    <w:rsid w:val="00534BBA"/>
    <w:rsid w:val="00534F8E"/>
    <w:rsid w:val="00535194"/>
    <w:rsid w:val="005351A1"/>
    <w:rsid w:val="00535642"/>
    <w:rsid w:val="005358AD"/>
    <w:rsid w:val="00535EE9"/>
    <w:rsid w:val="005365BB"/>
    <w:rsid w:val="00536FC7"/>
    <w:rsid w:val="005376ED"/>
    <w:rsid w:val="00537990"/>
    <w:rsid w:val="00537DC6"/>
    <w:rsid w:val="005405DA"/>
    <w:rsid w:val="005406C4"/>
    <w:rsid w:val="00541617"/>
    <w:rsid w:val="00541E38"/>
    <w:rsid w:val="005421CB"/>
    <w:rsid w:val="00542632"/>
    <w:rsid w:val="00542C15"/>
    <w:rsid w:val="00542CED"/>
    <w:rsid w:val="00542F61"/>
    <w:rsid w:val="0054363B"/>
    <w:rsid w:val="005439D8"/>
    <w:rsid w:val="00543BB4"/>
    <w:rsid w:val="00543BD7"/>
    <w:rsid w:val="005444EF"/>
    <w:rsid w:val="00544651"/>
    <w:rsid w:val="00544BAF"/>
    <w:rsid w:val="00544F8E"/>
    <w:rsid w:val="00545522"/>
    <w:rsid w:val="005464FB"/>
    <w:rsid w:val="00546594"/>
    <w:rsid w:val="005466FA"/>
    <w:rsid w:val="00546846"/>
    <w:rsid w:val="00546B2A"/>
    <w:rsid w:val="005470D0"/>
    <w:rsid w:val="00547F53"/>
    <w:rsid w:val="00547FFB"/>
    <w:rsid w:val="00550655"/>
    <w:rsid w:val="0055134F"/>
    <w:rsid w:val="005513A8"/>
    <w:rsid w:val="005521DF"/>
    <w:rsid w:val="00552490"/>
    <w:rsid w:val="00552654"/>
    <w:rsid w:val="0055343F"/>
    <w:rsid w:val="00553717"/>
    <w:rsid w:val="005537A8"/>
    <w:rsid w:val="0055431B"/>
    <w:rsid w:val="00554367"/>
    <w:rsid w:val="00554A94"/>
    <w:rsid w:val="00554BFD"/>
    <w:rsid w:val="00554E99"/>
    <w:rsid w:val="00555273"/>
    <w:rsid w:val="00555440"/>
    <w:rsid w:val="005554B3"/>
    <w:rsid w:val="00555BC5"/>
    <w:rsid w:val="00556144"/>
    <w:rsid w:val="00556EA5"/>
    <w:rsid w:val="00557BE4"/>
    <w:rsid w:val="005602CF"/>
    <w:rsid w:val="005604DA"/>
    <w:rsid w:val="00561268"/>
    <w:rsid w:val="00561318"/>
    <w:rsid w:val="005618BB"/>
    <w:rsid w:val="005622C3"/>
    <w:rsid w:val="005626BE"/>
    <w:rsid w:val="00562B22"/>
    <w:rsid w:val="00562DE8"/>
    <w:rsid w:val="00562F82"/>
    <w:rsid w:val="00563201"/>
    <w:rsid w:val="005634C1"/>
    <w:rsid w:val="005637D6"/>
    <w:rsid w:val="005637FD"/>
    <w:rsid w:val="00563F56"/>
    <w:rsid w:val="00563F68"/>
    <w:rsid w:val="00563FDE"/>
    <w:rsid w:val="00564174"/>
    <w:rsid w:val="005641C6"/>
    <w:rsid w:val="00564536"/>
    <w:rsid w:val="0056461C"/>
    <w:rsid w:val="00564C92"/>
    <w:rsid w:val="005655AF"/>
    <w:rsid w:val="00565648"/>
    <w:rsid w:val="005658A7"/>
    <w:rsid w:val="00565923"/>
    <w:rsid w:val="00565F42"/>
    <w:rsid w:val="00566300"/>
    <w:rsid w:val="00566613"/>
    <w:rsid w:val="005667B4"/>
    <w:rsid w:val="00566965"/>
    <w:rsid w:val="00570EA1"/>
    <w:rsid w:val="005714CB"/>
    <w:rsid w:val="00571745"/>
    <w:rsid w:val="005718C6"/>
    <w:rsid w:val="00571DB6"/>
    <w:rsid w:val="00572209"/>
    <w:rsid w:val="00572CF3"/>
    <w:rsid w:val="00573621"/>
    <w:rsid w:val="00573FD5"/>
    <w:rsid w:val="00574131"/>
    <w:rsid w:val="00574328"/>
    <w:rsid w:val="00574688"/>
    <w:rsid w:val="00574C5A"/>
    <w:rsid w:val="00574FCE"/>
    <w:rsid w:val="00575654"/>
    <w:rsid w:val="005756DE"/>
    <w:rsid w:val="005759B7"/>
    <w:rsid w:val="00575A8C"/>
    <w:rsid w:val="0057619E"/>
    <w:rsid w:val="0057675D"/>
    <w:rsid w:val="00576E37"/>
    <w:rsid w:val="0057701C"/>
    <w:rsid w:val="0057791C"/>
    <w:rsid w:val="00577B2F"/>
    <w:rsid w:val="005800A5"/>
    <w:rsid w:val="0058035F"/>
    <w:rsid w:val="00580987"/>
    <w:rsid w:val="00580DD8"/>
    <w:rsid w:val="0058171B"/>
    <w:rsid w:val="005820D8"/>
    <w:rsid w:val="0058221D"/>
    <w:rsid w:val="00582B26"/>
    <w:rsid w:val="0058412E"/>
    <w:rsid w:val="0058414D"/>
    <w:rsid w:val="00584178"/>
    <w:rsid w:val="00584422"/>
    <w:rsid w:val="00584530"/>
    <w:rsid w:val="005849CD"/>
    <w:rsid w:val="00584C93"/>
    <w:rsid w:val="005851D0"/>
    <w:rsid w:val="005854F7"/>
    <w:rsid w:val="0058574A"/>
    <w:rsid w:val="005857D5"/>
    <w:rsid w:val="005859F4"/>
    <w:rsid w:val="00585A7C"/>
    <w:rsid w:val="00586014"/>
    <w:rsid w:val="0058762E"/>
    <w:rsid w:val="0058785B"/>
    <w:rsid w:val="00590212"/>
    <w:rsid w:val="0059076A"/>
    <w:rsid w:val="00590BA4"/>
    <w:rsid w:val="00590BCD"/>
    <w:rsid w:val="00590DCA"/>
    <w:rsid w:val="00590FE0"/>
    <w:rsid w:val="0059138A"/>
    <w:rsid w:val="00591795"/>
    <w:rsid w:val="0059187F"/>
    <w:rsid w:val="00591B6C"/>
    <w:rsid w:val="00592323"/>
    <w:rsid w:val="00592407"/>
    <w:rsid w:val="005927FB"/>
    <w:rsid w:val="00592A0A"/>
    <w:rsid w:val="00592B83"/>
    <w:rsid w:val="005932BA"/>
    <w:rsid w:val="00593348"/>
    <w:rsid w:val="00593385"/>
    <w:rsid w:val="005949BA"/>
    <w:rsid w:val="00594FA4"/>
    <w:rsid w:val="00595536"/>
    <w:rsid w:val="00595591"/>
    <w:rsid w:val="005955BC"/>
    <w:rsid w:val="0059571C"/>
    <w:rsid w:val="0059582C"/>
    <w:rsid w:val="005960B1"/>
    <w:rsid w:val="005960BB"/>
    <w:rsid w:val="005966C8"/>
    <w:rsid w:val="00597594"/>
    <w:rsid w:val="005976D6"/>
    <w:rsid w:val="00597850"/>
    <w:rsid w:val="00597E46"/>
    <w:rsid w:val="00597F35"/>
    <w:rsid w:val="00597F69"/>
    <w:rsid w:val="005A067F"/>
    <w:rsid w:val="005A0E8F"/>
    <w:rsid w:val="005A0EA9"/>
    <w:rsid w:val="005A0EBB"/>
    <w:rsid w:val="005A1314"/>
    <w:rsid w:val="005A173B"/>
    <w:rsid w:val="005A17B0"/>
    <w:rsid w:val="005A1B30"/>
    <w:rsid w:val="005A1E01"/>
    <w:rsid w:val="005A24F9"/>
    <w:rsid w:val="005A27A5"/>
    <w:rsid w:val="005A2A8A"/>
    <w:rsid w:val="005A2C39"/>
    <w:rsid w:val="005A31FC"/>
    <w:rsid w:val="005A3693"/>
    <w:rsid w:val="005A3F71"/>
    <w:rsid w:val="005A4264"/>
    <w:rsid w:val="005A428D"/>
    <w:rsid w:val="005A444B"/>
    <w:rsid w:val="005A52B7"/>
    <w:rsid w:val="005A5623"/>
    <w:rsid w:val="005A57BE"/>
    <w:rsid w:val="005A57F2"/>
    <w:rsid w:val="005A642F"/>
    <w:rsid w:val="005A6563"/>
    <w:rsid w:val="005A727B"/>
    <w:rsid w:val="005A78C9"/>
    <w:rsid w:val="005A7ABB"/>
    <w:rsid w:val="005A7C24"/>
    <w:rsid w:val="005A7CB4"/>
    <w:rsid w:val="005B1A9B"/>
    <w:rsid w:val="005B205F"/>
    <w:rsid w:val="005B2984"/>
    <w:rsid w:val="005B2A6C"/>
    <w:rsid w:val="005B2B37"/>
    <w:rsid w:val="005B2D6D"/>
    <w:rsid w:val="005B399D"/>
    <w:rsid w:val="005B3C7D"/>
    <w:rsid w:val="005B4663"/>
    <w:rsid w:val="005B49AF"/>
    <w:rsid w:val="005B4BE7"/>
    <w:rsid w:val="005B5153"/>
    <w:rsid w:val="005B5304"/>
    <w:rsid w:val="005B589C"/>
    <w:rsid w:val="005B5960"/>
    <w:rsid w:val="005B5BC1"/>
    <w:rsid w:val="005B6A5B"/>
    <w:rsid w:val="005B6B9D"/>
    <w:rsid w:val="005B6C61"/>
    <w:rsid w:val="005B6CED"/>
    <w:rsid w:val="005B6E5F"/>
    <w:rsid w:val="005B6EAA"/>
    <w:rsid w:val="005B7AAE"/>
    <w:rsid w:val="005C0861"/>
    <w:rsid w:val="005C0883"/>
    <w:rsid w:val="005C0C89"/>
    <w:rsid w:val="005C11B8"/>
    <w:rsid w:val="005C1350"/>
    <w:rsid w:val="005C1424"/>
    <w:rsid w:val="005C1669"/>
    <w:rsid w:val="005C1807"/>
    <w:rsid w:val="005C18D3"/>
    <w:rsid w:val="005C192B"/>
    <w:rsid w:val="005C194E"/>
    <w:rsid w:val="005C1AA9"/>
    <w:rsid w:val="005C1B4F"/>
    <w:rsid w:val="005C1CFB"/>
    <w:rsid w:val="005C21C5"/>
    <w:rsid w:val="005C307F"/>
    <w:rsid w:val="005C3527"/>
    <w:rsid w:val="005C38F7"/>
    <w:rsid w:val="005C3A2E"/>
    <w:rsid w:val="005C416F"/>
    <w:rsid w:val="005C4EEB"/>
    <w:rsid w:val="005C50F3"/>
    <w:rsid w:val="005C53EB"/>
    <w:rsid w:val="005C56FB"/>
    <w:rsid w:val="005C59B4"/>
    <w:rsid w:val="005C5AB2"/>
    <w:rsid w:val="005C5B15"/>
    <w:rsid w:val="005C5FA0"/>
    <w:rsid w:val="005C6179"/>
    <w:rsid w:val="005C6282"/>
    <w:rsid w:val="005C636C"/>
    <w:rsid w:val="005C68A1"/>
    <w:rsid w:val="005C70D4"/>
    <w:rsid w:val="005C750F"/>
    <w:rsid w:val="005D0533"/>
    <w:rsid w:val="005D0884"/>
    <w:rsid w:val="005D0B7D"/>
    <w:rsid w:val="005D0F9D"/>
    <w:rsid w:val="005D1158"/>
    <w:rsid w:val="005D11B3"/>
    <w:rsid w:val="005D1210"/>
    <w:rsid w:val="005D12D7"/>
    <w:rsid w:val="005D141E"/>
    <w:rsid w:val="005D151C"/>
    <w:rsid w:val="005D1943"/>
    <w:rsid w:val="005D1ADE"/>
    <w:rsid w:val="005D1CFE"/>
    <w:rsid w:val="005D2067"/>
    <w:rsid w:val="005D2BDA"/>
    <w:rsid w:val="005D2FE1"/>
    <w:rsid w:val="005D3AE2"/>
    <w:rsid w:val="005D3D64"/>
    <w:rsid w:val="005D4A38"/>
    <w:rsid w:val="005D4AC7"/>
    <w:rsid w:val="005D4E00"/>
    <w:rsid w:val="005D56D9"/>
    <w:rsid w:val="005D5BCD"/>
    <w:rsid w:val="005D6573"/>
    <w:rsid w:val="005D6926"/>
    <w:rsid w:val="005D69F8"/>
    <w:rsid w:val="005D6B48"/>
    <w:rsid w:val="005D73D0"/>
    <w:rsid w:val="005D7579"/>
    <w:rsid w:val="005D7599"/>
    <w:rsid w:val="005D7B4E"/>
    <w:rsid w:val="005D7F12"/>
    <w:rsid w:val="005E047F"/>
    <w:rsid w:val="005E0628"/>
    <w:rsid w:val="005E0FA8"/>
    <w:rsid w:val="005E11B1"/>
    <w:rsid w:val="005E178A"/>
    <w:rsid w:val="005E1858"/>
    <w:rsid w:val="005E18D5"/>
    <w:rsid w:val="005E19EE"/>
    <w:rsid w:val="005E20F4"/>
    <w:rsid w:val="005E29B1"/>
    <w:rsid w:val="005E2E37"/>
    <w:rsid w:val="005E2E8B"/>
    <w:rsid w:val="005E3176"/>
    <w:rsid w:val="005E32DD"/>
    <w:rsid w:val="005E370C"/>
    <w:rsid w:val="005E3D34"/>
    <w:rsid w:val="005E4CB7"/>
    <w:rsid w:val="005E4F73"/>
    <w:rsid w:val="005E50DE"/>
    <w:rsid w:val="005E555B"/>
    <w:rsid w:val="005E5D74"/>
    <w:rsid w:val="005E5E1E"/>
    <w:rsid w:val="005E5EDC"/>
    <w:rsid w:val="005E64BB"/>
    <w:rsid w:val="005E6632"/>
    <w:rsid w:val="005E6E6A"/>
    <w:rsid w:val="005E6F06"/>
    <w:rsid w:val="005E6FEE"/>
    <w:rsid w:val="005E75C2"/>
    <w:rsid w:val="005E788B"/>
    <w:rsid w:val="005F0ABC"/>
    <w:rsid w:val="005F1020"/>
    <w:rsid w:val="005F1421"/>
    <w:rsid w:val="005F1D7B"/>
    <w:rsid w:val="005F1E42"/>
    <w:rsid w:val="005F1F44"/>
    <w:rsid w:val="005F2174"/>
    <w:rsid w:val="005F2361"/>
    <w:rsid w:val="005F2662"/>
    <w:rsid w:val="005F2986"/>
    <w:rsid w:val="005F3054"/>
    <w:rsid w:val="005F30FD"/>
    <w:rsid w:val="005F36A3"/>
    <w:rsid w:val="005F3728"/>
    <w:rsid w:val="005F40BB"/>
    <w:rsid w:val="005F4317"/>
    <w:rsid w:val="005F4596"/>
    <w:rsid w:val="005F47AF"/>
    <w:rsid w:val="005F4895"/>
    <w:rsid w:val="005F4B9F"/>
    <w:rsid w:val="005F5500"/>
    <w:rsid w:val="005F5DC7"/>
    <w:rsid w:val="005F5E59"/>
    <w:rsid w:val="005F6434"/>
    <w:rsid w:val="005F6560"/>
    <w:rsid w:val="005F6646"/>
    <w:rsid w:val="005F6E62"/>
    <w:rsid w:val="005F7457"/>
    <w:rsid w:val="005F7949"/>
    <w:rsid w:val="0060016D"/>
    <w:rsid w:val="0060045C"/>
    <w:rsid w:val="006007F2"/>
    <w:rsid w:val="00600C37"/>
    <w:rsid w:val="00600D67"/>
    <w:rsid w:val="00601291"/>
    <w:rsid w:val="0060138A"/>
    <w:rsid w:val="0060197C"/>
    <w:rsid w:val="00601998"/>
    <w:rsid w:val="0060199D"/>
    <w:rsid w:val="00601B16"/>
    <w:rsid w:val="00602906"/>
    <w:rsid w:val="0060296C"/>
    <w:rsid w:val="00602A04"/>
    <w:rsid w:val="0060370A"/>
    <w:rsid w:val="0060394C"/>
    <w:rsid w:val="006039D9"/>
    <w:rsid w:val="00603DD0"/>
    <w:rsid w:val="00603EAC"/>
    <w:rsid w:val="00603F9A"/>
    <w:rsid w:val="006043C0"/>
    <w:rsid w:val="00604460"/>
    <w:rsid w:val="00604887"/>
    <w:rsid w:val="00604F56"/>
    <w:rsid w:val="00605143"/>
    <w:rsid w:val="0060585C"/>
    <w:rsid w:val="0060659B"/>
    <w:rsid w:val="006068A8"/>
    <w:rsid w:val="00606DE4"/>
    <w:rsid w:val="0060713A"/>
    <w:rsid w:val="006072FB"/>
    <w:rsid w:val="00607898"/>
    <w:rsid w:val="006078E7"/>
    <w:rsid w:val="00607B32"/>
    <w:rsid w:val="006100CD"/>
    <w:rsid w:val="0061017E"/>
    <w:rsid w:val="00610280"/>
    <w:rsid w:val="00610FC6"/>
    <w:rsid w:val="0061130B"/>
    <w:rsid w:val="00611A82"/>
    <w:rsid w:val="00612193"/>
    <w:rsid w:val="0061306E"/>
    <w:rsid w:val="00613E87"/>
    <w:rsid w:val="00613F88"/>
    <w:rsid w:val="00614CB3"/>
    <w:rsid w:val="00615288"/>
    <w:rsid w:val="0061530A"/>
    <w:rsid w:val="00615A0E"/>
    <w:rsid w:val="00615EB3"/>
    <w:rsid w:val="0061601E"/>
    <w:rsid w:val="0061605F"/>
    <w:rsid w:val="00616413"/>
    <w:rsid w:val="00616E0F"/>
    <w:rsid w:val="00616E85"/>
    <w:rsid w:val="0061706E"/>
    <w:rsid w:val="0061781B"/>
    <w:rsid w:val="00617C1A"/>
    <w:rsid w:val="00617C48"/>
    <w:rsid w:val="00617E41"/>
    <w:rsid w:val="006204E9"/>
    <w:rsid w:val="0062085C"/>
    <w:rsid w:val="00620F8B"/>
    <w:rsid w:val="00620F8C"/>
    <w:rsid w:val="006215AD"/>
    <w:rsid w:val="00621D82"/>
    <w:rsid w:val="00622284"/>
    <w:rsid w:val="006222EC"/>
    <w:rsid w:val="006224AC"/>
    <w:rsid w:val="006226A0"/>
    <w:rsid w:val="00622775"/>
    <w:rsid w:val="00622E6C"/>
    <w:rsid w:val="00622FC8"/>
    <w:rsid w:val="00622FF2"/>
    <w:rsid w:val="0062306B"/>
    <w:rsid w:val="00623D56"/>
    <w:rsid w:val="00623F9A"/>
    <w:rsid w:val="00624273"/>
    <w:rsid w:val="00624536"/>
    <w:rsid w:val="006248C2"/>
    <w:rsid w:val="006249B0"/>
    <w:rsid w:val="006251FB"/>
    <w:rsid w:val="00625843"/>
    <w:rsid w:val="00625BF1"/>
    <w:rsid w:val="00626028"/>
    <w:rsid w:val="0062681A"/>
    <w:rsid w:val="00626906"/>
    <w:rsid w:val="006269D0"/>
    <w:rsid w:val="006270FF"/>
    <w:rsid w:val="00627907"/>
    <w:rsid w:val="00627F5A"/>
    <w:rsid w:val="006305BF"/>
    <w:rsid w:val="0063086F"/>
    <w:rsid w:val="0063087C"/>
    <w:rsid w:val="00630907"/>
    <w:rsid w:val="00630D21"/>
    <w:rsid w:val="006310E8"/>
    <w:rsid w:val="00631288"/>
    <w:rsid w:val="006316CE"/>
    <w:rsid w:val="00631F34"/>
    <w:rsid w:val="006322ED"/>
    <w:rsid w:val="00632453"/>
    <w:rsid w:val="0063296F"/>
    <w:rsid w:val="00632C09"/>
    <w:rsid w:val="00633188"/>
    <w:rsid w:val="006334B8"/>
    <w:rsid w:val="006338F5"/>
    <w:rsid w:val="00633F9D"/>
    <w:rsid w:val="00634028"/>
    <w:rsid w:val="00634337"/>
    <w:rsid w:val="0063450E"/>
    <w:rsid w:val="006349B0"/>
    <w:rsid w:val="00634FC3"/>
    <w:rsid w:val="006351EE"/>
    <w:rsid w:val="00635942"/>
    <w:rsid w:val="00635FC7"/>
    <w:rsid w:val="0063725F"/>
    <w:rsid w:val="00637383"/>
    <w:rsid w:val="006374D6"/>
    <w:rsid w:val="00637749"/>
    <w:rsid w:val="00637915"/>
    <w:rsid w:val="0063794C"/>
    <w:rsid w:val="00637F1B"/>
    <w:rsid w:val="00637F8E"/>
    <w:rsid w:val="0064037B"/>
    <w:rsid w:val="00640C52"/>
    <w:rsid w:val="00641380"/>
    <w:rsid w:val="006414B3"/>
    <w:rsid w:val="006419A8"/>
    <w:rsid w:val="00641BBD"/>
    <w:rsid w:val="00641E08"/>
    <w:rsid w:val="00641E5B"/>
    <w:rsid w:val="006421A9"/>
    <w:rsid w:val="006428D9"/>
    <w:rsid w:val="0064338B"/>
    <w:rsid w:val="00643468"/>
    <w:rsid w:val="00643C9E"/>
    <w:rsid w:val="0064419C"/>
    <w:rsid w:val="00644283"/>
    <w:rsid w:val="00644419"/>
    <w:rsid w:val="00644BEC"/>
    <w:rsid w:val="00644EB2"/>
    <w:rsid w:val="00645138"/>
    <w:rsid w:val="00645901"/>
    <w:rsid w:val="00645985"/>
    <w:rsid w:val="00645D6C"/>
    <w:rsid w:val="00646624"/>
    <w:rsid w:val="00646693"/>
    <w:rsid w:val="00646A27"/>
    <w:rsid w:val="00646D52"/>
    <w:rsid w:val="006476B9"/>
    <w:rsid w:val="006477D1"/>
    <w:rsid w:val="00647A85"/>
    <w:rsid w:val="006508D9"/>
    <w:rsid w:val="00650D25"/>
    <w:rsid w:val="00650ED4"/>
    <w:rsid w:val="00650FB7"/>
    <w:rsid w:val="006518FE"/>
    <w:rsid w:val="00651F60"/>
    <w:rsid w:val="00652867"/>
    <w:rsid w:val="00652AFB"/>
    <w:rsid w:val="006533B4"/>
    <w:rsid w:val="0065385A"/>
    <w:rsid w:val="00653B91"/>
    <w:rsid w:val="00654CCB"/>
    <w:rsid w:val="00654EB6"/>
    <w:rsid w:val="00654EB9"/>
    <w:rsid w:val="006554F4"/>
    <w:rsid w:val="00656011"/>
    <w:rsid w:val="0065631E"/>
    <w:rsid w:val="0065663F"/>
    <w:rsid w:val="00656842"/>
    <w:rsid w:val="00656A67"/>
    <w:rsid w:val="00657409"/>
    <w:rsid w:val="00657BEA"/>
    <w:rsid w:val="00657EB7"/>
    <w:rsid w:val="0066006B"/>
    <w:rsid w:val="00660378"/>
    <w:rsid w:val="006605EE"/>
    <w:rsid w:val="006607D4"/>
    <w:rsid w:val="006608B1"/>
    <w:rsid w:val="0066106E"/>
    <w:rsid w:val="0066157A"/>
    <w:rsid w:val="0066190C"/>
    <w:rsid w:val="00662109"/>
    <w:rsid w:val="00663289"/>
    <w:rsid w:val="0066358D"/>
    <w:rsid w:val="0066388D"/>
    <w:rsid w:val="00664157"/>
    <w:rsid w:val="006644E5"/>
    <w:rsid w:val="006646C2"/>
    <w:rsid w:val="0066488F"/>
    <w:rsid w:val="00664A54"/>
    <w:rsid w:val="0066549B"/>
    <w:rsid w:val="0066654C"/>
    <w:rsid w:val="00666615"/>
    <w:rsid w:val="006668BC"/>
    <w:rsid w:val="00666A42"/>
    <w:rsid w:val="00666DAE"/>
    <w:rsid w:val="006674C3"/>
    <w:rsid w:val="00667850"/>
    <w:rsid w:val="0067003E"/>
    <w:rsid w:val="0067047E"/>
    <w:rsid w:val="00670511"/>
    <w:rsid w:val="006709FA"/>
    <w:rsid w:val="00670C4B"/>
    <w:rsid w:val="00670EB5"/>
    <w:rsid w:val="00670F72"/>
    <w:rsid w:val="00671139"/>
    <w:rsid w:val="0067137B"/>
    <w:rsid w:val="00671AE5"/>
    <w:rsid w:val="0067245C"/>
    <w:rsid w:val="006724ED"/>
    <w:rsid w:val="00672582"/>
    <w:rsid w:val="006726FC"/>
    <w:rsid w:val="006727ED"/>
    <w:rsid w:val="00672A7C"/>
    <w:rsid w:val="006732A8"/>
    <w:rsid w:val="006734B9"/>
    <w:rsid w:val="00673748"/>
    <w:rsid w:val="00673D97"/>
    <w:rsid w:val="006742B0"/>
    <w:rsid w:val="006743A5"/>
    <w:rsid w:val="006745DC"/>
    <w:rsid w:val="006746CE"/>
    <w:rsid w:val="00674B53"/>
    <w:rsid w:val="00674D51"/>
    <w:rsid w:val="00674F6A"/>
    <w:rsid w:val="0067534C"/>
    <w:rsid w:val="00675420"/>
    <w:rsid w:val="006754BC"/>
    <w:rsid w:val="00675622"/>
    <w:rsid w:val="00675765"/>
    <w:rsid w:val="006758DE"/>
    <w:rsid w:val="00675ACD"/>
    <w:rsid w:val="00675BBB"/>
    <w:rsid w:val="006766F5"/>
    <w:rsid w:val="00676B2C"/>
    <w:rsid w:val="006778CA"/>
    <w:rsid w:val="006778E7"/>
    <w:rsid w:val="00677AB2"/>
    <w:rsid w:val="006801CD"/>
    <w:rsid w:val="00680C7B"/>
    <w:rsid w:val="00681018"/>
    <w:rsid w:val="006814AD"/>
    <w:rsid w:val="006816BA"/>
    <w:rsid w:val="00681DD0"/>
    <w:rsid w:val="00682083"/>
    <w:rsid w:val="00682401"/>
    <w:rsid w:val="0068257F"/>
    <w:rsid w:val="006828A3"/>
    <w:rsid w:val="00682A81"/>
    <w:rsid w:val="00683128"/>
    <w:rsid w:val="006832AA"/>
    <w:rsid w:val="00683530"/>
    <w:rsid w:val="00683821"/>
    <w:rsid w:val="00684290"/>
    <w:rsid w:val="006849CF"/>
    <w:rsid w:val="00686768"/>
    <w:rsid w:val="00686911"/>
    <w:rsid w:val="00686BFC"/>
    <w:rsid w:val="00690A6A"/>
    <w:rsid w:val="00690D8D"/>
    <w:rsid w:val="00690DE0"/>
    <w:rsid w:val="00690E72"/>
    <w:rsid w:val="00691042"/>
    <w:rsid w:val="006914E5"/>
    <w:rsid w:val="0069176C"/>
    <w:rsid w:val="006918FD"/>
    <w:rsid w:val="00691EF3"/>
    <w:rsid w:val="00692BC6"/>
    <w:rsid w:val="00693B9B"/>
    <w:rsid w:val="00694119"/>
    <w:rsid w:val="00695801"/>
    <w:rsid w:val="00695942"/>
    <w:rsid w:val="00695D56"/>
    <w:rsid w:val="00696997"/>
    <w:rsid w:val="00696FFA"/>
    <w:rsid w:val="006970EB"/>
    <w:rsid w:val="00697536"/>
    <w:rsid w:val="00697E2F"/>
    <w:rsid w:val="006A0AA9"/>
    <w:rsid w:val="006A11B2"/>
    <w:rsid w:val="006A1615"/>
    <w:rsid w:val="006A16CD"/>
    <w:rsid w:val="006A1C49"/>
    <w:rsid w:val="006A2661"/>
    <w:rsid w:val="006A2727"/>
    <w:rsid w:val="006A2874"/>
    <w:rsid w:val="006A299F"/>
    <w:rsid w:val="006A356F"/>
    <w:rsid w:val="006A39AE"/>
    <w:rsid w:val="006A40A0"/>
    <w:rsid w:val="006A47EC"/>
    <w:rsid w:val="006A4ACC"/>
    <w:rsid w:val="006A557E"/>
    <w:rsid w:val="006A5934"/>
    <w:rsid w:val="006A5BD1"/>
    <w:rsid w:val="006A5C1E"/>
    <w:rsid w:val="006A5DA8"/>
    <w:rsid w:val="006A5F86"/>
    <w:rsid w:val="006A62B6"/>
    <w:rsid w:val="006A640A"/>
    <w:rsid w:val="006A655B"/>
    <w:rsid w:val="006A71F9"/>
    <w:rsid w:val="006A7E5B"/>
    <w:rsid w:val="006B0512"/>
    <w:rsid w:val="006B0921"/>
    <w:rsid w:val="006B0FCB"/>
    <w:rsid w:val="006B12C0"/>
    <w:rsid w:val="006B1B40"/>
    <w:rsid w:val="006B23AA"/>
    <w:rsid w:val="006B23D8"/>
    <w:rsid w:val="006B249D"/>
    <w:rsid w:val="006B269C"/>
    <w:rsid w:val="006B2C34"/>
    <w:rsid w:val="006B2EA3"/>
    <w:rsid w:val="006B2EE1"/>
    <w:rsid w:val="006B36E6"/>
    <w:rsid w:val="006B390B"/>
    <w:rsid w:val="006B3E25"/>
    <w:rsid w:val="006B47E6"/>
    <w:rsid w:val="006B4BC6"/>
    <w:rsid w:val="006B5373"/>
    <w:rsid w:val="006B55A5"/>
    <w:rsid w:val="006B5C5E"/>
    <w:rsid w:val="006B5DB5"/>
    <w:rsid w:val="006B5F7B"/>
    <w:rsid w:val="006B6358"/>
    <w:rsid w:val="006B6C27"/>
    <w:rsid w:val="006B6DE6"/>
    <w:rsid w:val="006B717A"/>
    <w:rsid w:val="006B7855"/>
    <w:rsid w:val="006B7A44"/>
    <w:rsid w:val="006C0171"/>
    <w:rsid w:val="006C0273"/>
    <w:rsid w:val="006C03F9"/>
    <w:rsid w:val="006C093E"/>
    <w:rsid w:val="006C1A9F"/>
    <w:rsid w:val="006C1E17"/>
    <w:rsid w:val="006C213F"/>
    <w:rsid w:val="006C21BE"/>
    <w:rsid w:val="006C227D"/>
    <w:rsid w:val="006C23C7"/>
    <w:rsid w:val="006C2BA3"/>
    <w:rsid w:val="006C2C9C"/>
    <w:rsid w:val="006C3475"/>
    <w:rsid w:val="006C34B6"/>
    <w:rsid w:val="006C3CAB"/>
    <w:rsid w:val="006C3E88"/>
    <w:rsid w:val="006C41CE"/>
    <w:rsid w:val="006C4297"/>
    <w:rsid w:val="006C4E62"/>
    <w:rsid w:val="006C51A3"/>
    <w:rsid w:val="006C52FB"/>
    <w:rsid w:val="006C544B"/>
    <w:rsid w:val="006C5BB6"/>
    <w:rsid w:val="006C5C15"/>
    <w:rsid w:val="006C6510"/>
    <w:rsid w:val="006C6D5E"/>
    <w:rsid w:val="006C72AE"/>
    <w:rsid w:val="006C7693"/>
    <w:rsid w:val="006C7885"/>
    <w:rsid w:val="006C7B67"/>
    <w:rsid w:val="006C7EE6"/>
    <w:rsid w:val="006C7FAA"/>
    <w:rsid w:val="006D0150"/>
    <w:rsid w:val="006D12F1"/>
    <w:rsid w:val="006D1485"/>
    <w:rsid w:val="006D199C"/>
    <w:rsid w:val="006D1A92"/>
    <w:rsid w:val="006D1B06"/>
    <w:rsid w:val="006D1F87"/>
    <w:rsid w:val="006D27C8"/>
    <w:rsid w:val="006D2FD8"/>
    <w:rsid w:val="006D363D"/>
    <w:rsid w:val="006D3E16"/>
    <w:rsid w:val="006D3F44"/>
    <w:rsid w:val="006D4C32"/>
    <w:rsid w:val="006D54FE"/>
    <w:rsid w:val="006D5869"/>
    <w:rsid w:val="006D59BF"/>
    <w:rsid w:val="006D5A7D"/>
    <w:rsid w:val="006D6357"/>
    <w:rsid w:val="006D6385"/>
    <w:rsid w:val="006D63E9"/>
    <w:rsid w:val="006D6550"/>
    <w:rsid w:val="006D68AB"/>
    <w:rsid w:val="006D6947"/>
    <w:rsid w:val="006D712A"/>
    <w:rsid w:val="006D72DF"/>
    <w:rsid w:val="006D73B4"/>
    <w:rsid w:val="006D7A77"/>
    <w:rsid w:val="006E0038"/>
    <w:rsid w:val="006E00ED"/>
    <w:rsid w:val="006E0536"/>
    <w:rsid w:val="006E0A79"/>
    <w:rsid w:val="006E0B49"/>
    <w:rsid w:val="006E0C77"/>
    <w:rsid w:val="006E0E61"/>
    <w:rsid w:val="006E1445"/>
    <w:rsid w:val="006E1BD2"/>
    <w:rsid w:val="006E2590"/>
    <w:rsid w:val="006E26B6"/>
    <w:rsid w:val="006E288E"/>
    <w:rsid w:val="006E2C73"/>
    <w:rsid w:val="006E2D7F"/>
    <w:rsid w:val="006E33A3"/>
    <w:rsid w:val="006E34B4"/>
    <w:rsid w:val="006E3B15"/>
    <w:rsid w:val="006E3C12"/>
    <w:rsid w:val="006E46F2"/>
    <w:rsid w:val="006E4C35"/>
    <w:rsid w:val="006E4E60"/>
    <w:rsid w:val="006E4F8D"/>
    <w:rsid w:val="006E5093"/>
    <w:rsid w:val="006E52C7"/>
    <w:rsid w:val="006E52C8"/>
    <w:rsid w:val="006E5340"/>
    <w:rsid w:val="006E5688"/>
    <w:rsid w:val="006E588A"/>
    <w:rsid w:val="006E5FAC"/>
    <w:rsid w:val="006E636D"/>
    <w:rsid w:val="006E6433"/>
    <w:rsid w:val="006E6600"/>
    <w:rsid w:val="006E6A61"/>
    <w:rsid w:val="006E6D91"/>
    <w:rsid w:val="006E6F26"/>
    <w:rsid w:val="006E76D3"/>
    <w:rsid w:val="006E7739"/>
    <w:rsid w:val="006E7C63"/>
    <w:rsid w:val="006F01CA"/>
    <w:rsid w:val="006F0BDE"/>
    <w:rsid w:val="006F0E66"/>
    <w:rsid w:val="006F0EB2"/>
    <w:rsid w:val="006F15B3"/>
    <w:rsid w:val="006F1F4F"/>
    <w:rsid w:val="006F2552"/>
    <w:rsid w:val="006F2B4E"/>
    <w:rsid w:val="006F313D"/>
    <w:rsid w:val="006F34A7"/>
    <w:rsid w:val="006F3CC7"/>
    <w:rsid w:val="006F3D12"/>
    <w:rsid w:val="006F3EF5"/>
    <w:rsid w:val="006F49F6"/>
    <w:rsid w:val="006F533E"/>
    <w:rsid w:val="006F58BC"/>
    <w:rsid w:val="006F59C6"/>
    <w:rsid w:val="006F5F53"/>
    <w:rsid w:val="006F62BC"/>
    <w:rsid w:val="006F7146"/>
    <w:rsid w:val="007001DC"/>
    <w:rsid w:val="00700CD8"/>
    <w:rsid w:val="00700EB2"/>
    <w:rsid w:val="007014CB"/>
    <w:rsid w:val="00701AD9"/>
    <w:rsid w:val="00701B76"/>
    <w:rsid w:val="00701C4E"/>
    <w:rsid w:val="00702709"/>
    <w:rsid w:val="00703544"/>
    <w:rsid w:val="00703588"/>
    <w:rsid w:val="00703D43"/>
    <w:rsid w:val="0070425E"/>
    <w:rsid w:val="00704762"/>
    <w:rsid w:val="0070496C"/>
    <w:rsid w:val="00704C08"/>
    <w:rsid w:val="00704C80"/>
    <w:rsid w:val="00704DEC"/>
    <w:rsid w:val="00704F28"/>
    <w:rsid w:val="00705052"/>
    <w:rsid w:val="007050A8"/>
    <w:rsid w:val="00705BDB"/>
    <w:rsid w:val="00705C9C"/>
    <w:rsid w:val="00705CFB"/>
    <w:rsid w:val="007066C6"/>
    <w:rsid w:val="007066C7"/>
    <w:rsid w:val="007068DE"/>
    <w:rsid w:val="0070690C"/>
    <w:rsid w:val="0070796A"/>
    <w:rsid w:val="00707F38"/>
    <w:rsid w:val="0071087E"/>
    <w:rsid w:val="00710A5F"/>
    <w:rsid w:val="0071153B"/>
    <w:rsid w:val="00712423"/>
    <w:rsid w:val="00712499"/>
    <w:rsid w:val="007139DB"/>
    <w:rsid w:val="00713AEF"/>
    <w:rsid w:val="00713F52"/>
    <w:rsid w:val="0071495A"/>
    <w:rsid w:val="00714AEB"/>
    <w:rsid w:val="00715306"/>
    <w:rsid w:val="00715BB6"/>
    <w:rsid w:val="007163C4"/>
    <w:rsid w:val="00716524"/>
    <w:rsid w:val="00716A84"/>
    <w:rsid w:val="00716CC0"/>
    <w:rsid w:val="00716E98"/>
    <w:rsid w:val="00717004"/>
    <w:rsid w:val="007171B2"/>
    <w:rsid w:val="007171DD"/>
    <w:rsid w:val="00717670"/>
    <w:rsid w:val="00717A40"/>
    <w:rsid w:val="00717C20"/>
    <w:rsid w:val="00717CED"/>
    <w:rsid w:val="00717D9B"/>
    <w:rsid w:val="007200DC"/>
    <w:rsid w:val="007208A2"/>
    <w:rsid w:val="0072125D"/>
    <w:rsid w:val="007213F2"/>
    <w:rsid w:val="00721DCC"/>
    <w:rsid w:val="00722317"/>
    <w:rsid w:val="00722623"/>
    <w:rsid w:val="007230C3"/>
    <w:rsid w:val="0072330D"/>
    <w:rsid w:val="00723A43"/>
    <w:rsid w:val="00723C5F"/>
    <w:rsid w:val="00723F5E"/>
    <w:rsid w:val="00723F71"/>
    <w:rsid w:val="00724745"/>
    <w:rsid w:val="00724E95"/>
    <w:rsid w:val="00724F50"/>
    <w:rsid w:val="00724F9E"/>
    <w:rsid w:val="00725089"/>
    <w:rsid w:val="0072539E"/>
    <w:rsid w:val="00725552"/>
    <w:rsid w:val="007258C9"/>
    <w:rsid w:val="00725A67"/>
    <w:rsid w:val="00725A89"/>
    <w:rsid w:val="00726363"/>
    <w:rsid w:val="00726F6B"/>
    <w:rsid w:val="00727845"/>
    <w:rsid w:val="00727C17"/>
    <w:rsid w:val="00727CB5"/>
    <w:rsid w:val="007314B6"/>
    <w:rsid w:val="007318B3"/>
    <w:rsid w:val="0073198B"/>
    <w:rsid w:val="00731A39"/>
    <w:rsid w:val="00731B7B"/>
    <w:rsid w:val="007328C5"/>
    <w:rsid w:val="00732F30"/>
    <w:rsid w:val="0073314F"/>
    <w:rsid w:val="0073372D"/>
    <w:rsid w:val="00733804"/>
    <w:rsid w:val="00734928"/>
    <w:rsid w:val="00735F26"/>
    <w:rsid w:val="007361F5"/>
    <w:rsid w:val="00736389"/>
    <w:rsid w:val="00736557"/>
    <w:rsid w:val="00736A6B"/>
    <w:rsid w:val="00736CE7"/>
    <w:rsid w:val="00736E59"/>
    <w:rsid w:val="00737356"/>
    <w:rsid w:val="007374AF"/>
    <w:rsid w:val="0073769A"/>
    <w:rsid w:val="00737B68"/>
    <w:rsid w:val="007400E1"/>
    <w:rsid w:val="007405DF"/>
    <w:rsid w:val="007408FE"/>
    <w:rsid w:val="00740FB7"/>
    <w:rsid w:val="00741B1B"/>
    <w:rsid w:val="00741B55"/>
    <w:rsid w:val="00741D32"/>
    <w:rsid w:val="00741D57"/>
    <w:rsid w:val="007430BC"/>
    <w:rsid w:val="00743509"/>
    <w:rsid w:val="0074367D"/>
    <w:rsid w:val="00743918"/>
    <w:rsid w:val="00743B0D"/>
    <w:rsid w:val="00743B92"/>
    <w:rsid w:val="0074424D"/>
    <w:rsid w:val="00744426"/>
    <w:rsid w:val="00744553"/>
    <w:rsid w:val="0074470F"/>
    <w:rsid w:val="007449F2"/>
    <w:rsid w:val="00744CEC"/>
    <w:rsid w:val="00745DC6"/>
    <w:rsid w:val="00745E6D"/>
    <w:rsid w:val="0074612A"/>
    <w:rsid w:val="007467CA"/>
    <w:rsid w:val="00746A45"/>
    <w:rsid w:val="00746FB8"/>
    <w:rsid w:val="00746FCF"/>
    <w:rsid w:val="0074700E"/>
    <w:rsid w:val="007471E6"/>
    <w:rsid w:val="00747204"/>
    <w:rsid w:val="00747233"/>
    <w:rsid w:val="007475DD"/>
    <w:rsid w:val="0074765A"/>
    <w:rsid w:val="007479C8"/>
    <w:rsid w:val="00747CA8"/>
    <w:rsid w:val="00747EF2"/>
    <w:rsid w:val="00747FFC"/>
    <w:rsid w:val="00750DF6"/>
    <w:rsid w:val="007511BE"/>
    <w:rsid w:val="0075138F"/>
    <w:rsid w:val="00751480"/>
    <w:rsid w:val="00751A30"/>
    <w:rsid w:val="00751BFD"/>
    <w:rsid w:val="00751DED"/>
    <w:rsid w:val="00752184"/>
    <w:rsid w:val="00752674"/>
    <w:rsid w:val="0075293C"/>
    <w:rsid w:val="00752B34"/>
    <w:rsid w:val="00752F6B"/>
    <w:rsid w:val="00752FED"/>
    <w:rsid w:val="007530F5"/>
    <w:rsid w:val="00753458"/>
    <w:rsid w:val="00753BED"/>
    <w:rsid w:val="00753FAE"/>
    <w:rsid w:val="00754CB2"/>
    <w:rsid w:val="00754D86"/>
    <w:rsid w:val="00755076"/>
    <w:rsid w:val="007553EC"/>
    <w:rsid w:val="007554E0"/>
    <w:rsid w:val="007555F9"/>
    <w:rsid w:val="00755FB0"/>
    <w:rsid w:val="007561F6"/>
    <w:rsid w:val="00756DA7"/>
    <w:rsid w:val="007572C3"/>
    <w:rsid w:val="00757ADB"/>
    <w:rsid w:val="00757B43"/>
    <w:rsid w:val="00757D9B"/>
    <w:rsid w:val="00760959"/>
    <w:rsid w:val="00760D0A"/>
    <w:rsid w:val="00760F3C"/>
    <w:rsid w:val="00761024"/>
    <w:rsid w:val="00761321"/>
    <w:rsid w:val="00762124"/>
    <w:rsid w:val="007624D6"/>
    <w:rsid w:val="0076281F"/>
    <w:rsid w:val="00762988"/>
    <w:rsid w:val="00762DA9"/>
    <w:rsid w:val="007633A8"/>
    <w:rsid w:val="007633E5"/>
    <w:rsid w:val="007635A1"/>
    <w:rsid w:val="00763C1C"/>
    <w:rsid w:val="007643B3"/>
    <w:rsid w:val="007645B2"/>
    <w:rsid w:val="00764982"/>
    <w:rsid w:val="00765227"/>
    <w:rsid w:val="00765793"/>
    <w:rsid w:val="007659ED"/>
    <w:rsid w:val="007662BA"/>
    <w:rsid w:val="007664B3"/>
    <w:rsid w:val="00766661"/>
    <w:rsid w:val="0076668A"/>
    <w:rsid w:val="007668F0"/>
    <w:rsid w:val="00766B25"/>
    <w:rsid w:val="00766B2E"/>
    <w:rsid w:val="00766D9F"/>
    <w:rsid w:val="00766ED3"/>
    <w:rsid w:val="00767172"/>
    <w:rsid w:val="00767274"/>
    <w:rsid w:val="007676AD"/>
    <w:rsid w:val="00767C2C"/>
    <w:rsid w:val="00767FCF"/>
    <w:rsid w:val="0077007A"/>
    <w:rsid w:val="007701C6"/>
    <w:rsid w:val="0077053F"/>
    <w:rsid w:val="00770760"/>
    <w:rsid w:val="00770C8A"/>
    <w:rsid w:val="007717BD"/>
    <w:rsid w:val="00771E38"/>
    <w:rsid w:val="00771FD3"/>
    <w:rsid w:val="007729C2"/>
    <w:rsid w:val="00772C12"/>
    <w:rsid w:val="007736F4"/>
    <w:rsid w:val="00773CE9"/>
    <w:rsid w:val="00773D22"/>
    <w:rsid w:val="00774118"/>
    <w:rsid w:val="00774191"/>
    <w:rsid w:val="00774620"/>
    <w:rsid w:val="00774BE1"/>
    <w:rsid w:val="00775EFC"/>
    <w:rsid w:val="007761E5"/>
    <w:rsid w:val="007767A3"/>
    <w:rsid w:val="00777645"/>
    <w:rsid w:val="00777928"/>
    <w:rsid w:val="007805C6"/>
    <w:rsid w:val="00780AFD"/>
    <w:rsid w:val="0078106C"/>
    <w:rsid w:val="00781083"/>
    <w:rsid w:val="007810B8"/>
    <w:rsid w:val="007810D4"/>
    <w:rsid w:val="00781F54"/>
    <w:rsid w:val="00781F61"/>
    <w:rsid w:val="007821E4"/>
    <w:rsid w:val="00783070"/>
    <w:rsid w:val="00783232"/>
    <w:rsid w:val="007839AE"/>
    <w:rsid w:val="00783DCF"/>
    <w:rsid w:val="00783EDB"/>
    <w:rsid w:val="00783F07"/>
    <w:rsid w:val="00784D07"/>
    <w:rsid w:val="00784FD9"/>
    <w:rsid w:val="00785180"/>
    <w:rsid w:val="00785422"/>
    <w:rsid w:val="00785534"/>
    <w:rsid w:val="00786171"/>
    <w:rsid w:val="007868AE"/>
    <w:rsid w:val="00786BEC"/>
    <w:rsid w:val="00786E79"/>
    <w:rsid w:val="00787173"/>
    <w:rsid w:val="007871D6"/>
    <w:rsid w:val="00787691"/>
    <w:rsid w:val="00787DE2"/>
    <w:rsid w:val="00787F63"/>
    <w:rsid w:val="0079060E"/>
    <w:rsid w:val="007909E4"/>
    <w:rsid w:val="00790BD9"/>
    <w:rsid w:val="00790CBA"/>
    <w:rsid w:val="00790EC7"/>
    <w:rsid w:val="0079115C"/>
    <w:rsid w:val="00791226"/>
    <w:rsid w:val="00791635"/>
    <w:rsid w:val="00791711"/>
    <w:rsid w:val="00791A46"/>
    <w:rsid w:val="00791EA9"/>
    <w:rsid w:val="00791F62"/>
    <w:rsid w:val="00792280"/>
    <w:rsid w:val="00792332"/>
    <w:rsid w:val="0079271E"/>
    <w:rsid w:val="00792F67"/>
    <w:rsid w:val="00793609"/>
    <w:rsid w:val="0079374C"/>
    <w:rsid w:val="00793D7F"/>
    <w:rsid w:val="00794269"/>
    <w:rsid w:val="00794707"/>
    <w:rsid w:val="00795052"/>
    <w:rsid w:val="00796AFE"/>
    <w:rsid w:val="00796DB7"/>
    <w:rsid w:val="00796F01"/>
    <w:rsid w:val="00797478"/>
    <w:rsid w:val="00797D8D"/>
    <w:rsid w:val="007A033A"/>
    <w:rsid w:val="007A0417"/>
    <w:rsid w:val="007A086E"/>
    <w:rsid w:val="007A2BD7"/>
    <w:rsid w:val="007A2F98"/>
    <w:rsid w:val="007A3BA7"/>
    <w:rsid w:val="007A4138"/>
    <w:rsid w:val="007A4659"/>
    <w:rsid w:val="007A4761"/>
    <w:rsid w:val="007A4ED4"/>
    <w:rsid w:val="007A52AF"/>
    <w:rsid w:val="007A54E4"/>
    <w:rsid w:val="007A58B5"/>
    <w:rsid w:val="007A5B23"/>
    <w:rsid w:val="007A5BBA"/>
    <w:rsid w:val="007A5E52"/>
    <w:rsid w:val="007A64C8"/>
    <w:rsid w:val="007A75C0"/>
    <w:rsid w:val="007A7681"/>
    <w:rsid w:val="007A777F"/>
    <w:rsid w:val="007A7AF6"/>
    <w:rsid w:val="007A7D61"/>
    <w:rsid w:val="007A7D94"/>
    <w:rsid w:val="007B005C"/>
    <w:rsid w:val="007B0E39"/>
    <w:rsid w:val="007B1072"/>
    <w:rsid w:val="007B1242"/>
    <w:rsid w:val="007B1A2F"/>
    <w:rsid w:val="007B1BE6"/>
    <w:rsid w:val="007B223D"/>
    <w:rsid w:val="007B2277"/>
    <w:rsid w:val="007B25EC"/>
    <w:rsid w:val="007B274D"/>
    <w:rsid w:val="007B33F5"/>
    <w:rsid w:val="007B36BD"/>
    <w:rsid w:val="007B371A"/>
    <w:rsid w:val="007B388A"/>
    <w:rsid w:val="007B3B7C"/>
    <w:rsid w:val="007B3C62"/>
    <w:rsid w:val="007B3C97"/>
    <w:rsid w:val="007B4D1B"/>
    <w:rsid w:val="007B4FFC"/>
    <w:rsid w:val="007B5037"/>
    <w:rsid w:val="007B52F8"/>
    <w:rsid w:val="007B568D"/>
    <w:rsid w:val="007B58E3"/>
    <w:rsid w:val="007B6352"/>
    <w:rsid w:val="007B6508"/>
    <w:rsid w:val="007B71E1"/>
    <w:rsid w:val="007B74C8"/>
    <w:rsid w:val="007B7708"/>
    <w:rsid w:val="007B7C5A"/>
    <w:rsid w:val="007B7DF3"/>
    <w:rsid w:val="007C0265"/>
    <w:rsid w:val="007C096D"/>
    <w:rsid w:val="007C0DE6"/>
    <w:rsid w:val="007C184F"/>
    <w:rsid w:val="007C18B7"/>
    <w:rsid w:val="007C2341"/>
    <w:rsid w:val="007C2C38"/>
    <w:rsid w:val="007C2F9B"/>
    <w:rsid w:val="007C3C4F"/>
    <w:rsid w:val="007C3C59"/>
    <w:rsid w:val="007C3C72"/>
    <w:rsid w:val="007C3FF4"/>
    <w:rsid w:val="007C5223"/>
    <w:rsid w:val="007C53C9"/>
    <w:rsid w:val="007C53D3"/>
    <w:rsid w:val="007C53E9"/>
    <w:rsid w:val="007C56D8"/>
    <w:rsid w:val="007C57ED"/>
    <w:rsid w:val="007C5A6D"/>
    <w:rsid w:val="007C72BD"/>
    <w:rsid w:val="007C764B"/>
    <w:rsid w:val="007C7DE2"/>
    <w:rsid w:val="007C7E27"/>
    <w:rsid w:val="007D00D2"/>
    <w:rsid w:val="007D0292"/>
    <w:rsid w:val="007D03BA"/>
    <w:rsid w:val="007D07EB"/>
    <w:rsid w:val="007D0A41"/>
    <w:rsid w:val="007D0B1B"/>
    <w:rsid w:val="007D0D1B"/>
    <w:rsid w:val="007D0DE2"/>
    <w:rsid w:val="007D0EFC"/>
    <w:rsid w:val="007D1C8A"/>
    <w:rsid w:val="007D236F"/>
    <w:rsid w:val="007D2B97"/>
    <w:rsid w:val="007D330B"/>
    <w:rsid w:val="007D372A"/>
    <w:rsid w:val="007D3A0F"/>
    <w:rsid w:val="007D3B8E"/>
    <w:rsid w:val="007D3E24"/>
    <w:rsid w:val="007D3E86"/>
    <w:rsid w:val="007D521D"/>
    <w:rsid w:val="007D5413"/>
    <w:rsid w:val="007D5BAF"/>
    <w:rsid w:val="007D5D3F"/>
    <w:rsid w:val="007D6017"/>
    <w:rsid w:val="007D60E5"/>
    <w:rsid w:val="007D63D2"/>
    <w:rsid w:val="007D65CF"/>
    <w:rsid w:val="007D6B78"/>
    <w:rsid w:val="007D7312"/>
    <w:rsid w:val="007D73D8"/>
    <w:rsid w:val="007E0426"/>
    <w:rsid w:val="007E0674"/>
    <w:rsid w:val="007E0746"/>
    <w:rsid w:val="007E0CE3"/>
    <w:rsid w:val="007E0E26"/>
    <w:rsid w:val="007E11FB"/>
    <w:rsid w:val="007E13AF"/>
    <w:rsid w:val="007E1873"/>
    <w:rsid w:val="007E1922"/>
    <w:rsid w:val="007E1968"/>
    <w:rsid w:val="007E1B97"/>
    <w:rsid w:val="007E266F"/>
    <w:rsid w:val="007E2726"/>
    <w:rsid w:val="007E29E0"/>
    <w:rsid w:val="007E3058"/>
    <w:rsid w:val="007E3082"/>
    <w:rsid w:val="007E30B7"/>
    <w:rsid w:val="007E365C"/>
    <w:rsid w:val="007E3FCA"/>
    <w:rsid w:val="007E4515"/>
    <w:rsid w:val="007E46C0"/>
    <w:rsid w:val="007E5003"/>
    <w:rsid w:val="007E51FC"/>
    <w:rsid w:val="007E5451"/>
    <w:rsid w:val="007E5568"/>
    <w:rsid w:val="007E5682"/>
    <w:rsid w:val="007E572F"/>
    <w:rsid w:val="007E603D"/>
    <w:rsid w:val="007E6174"/>
    <w:rsid w:val="007E69ED"/>
    <w:rsid w:val="007E6D96"/>
    <w:rsid w:val="007F01C0"/>
    <w:rsid w:val="007F078E"/>
    <w:rsid w:val="007F0BF4"/>
    <w:rsid w:val="007F10D2"/>
    <w:rsid w:val="007F1CD3"/>
    <w:rsid w:val="007F2229"/>
    <w:rsid w:val="007F24EA"/>
    <w:rsid w:val="007F2651"/>
    <w:rsid w:val="007F28CF"/>
    <w:rsid w:val="007F2BC5"/>
    <w:rsid w:val="007F30B1"/>
    <w:rsid w:val="007F32BB"/>
    <w:rsid w:val="007F3474"/>
    <w:rsid w:val="007F36DB"/>
    <w:rsid w:val="007F39FF"/>
    <w:rsid w:val="007F3CF2"/>
    <w:rsid w:val="007F4121"/>
    <w:rsid w:val="007F436D"/>
    <w:rsid w:val="007F449D"/>
    <w:rsid w:val="007F44EC"/>
    <w:rsid w:val="007F53FD"/>
    <w:rsid w:val="007F5B58"/>
    <w:rsid w:val="007F5BA2"/>
    <w:rsid w:val="007F5BA9"/>
    <w:rsid w:val="007F62D9"/>
    <w:rsid w:val="007F648B"/>
    <w:rsid w:val="007F64C1"/>
    <w:rsid w:val="007F663F"/>
    <w:rsid w:val="007F6CE7"/>
    <w:rsid w:val="007F7048"/>
    <w:rsid w:val="007F725E"/>
    <w:rsid w:val="007F745E"/>
    <w:rsid w:val="007F759B"/>
    <w:rsid w:val="007F7857"/>
    <w:rsid w:val="007F7A63"/>
    <w:rsid w:val="007F7D81"/>
    <w:rsid w:val="008003C1"/>
    <w:rsid w:val="0080048A"/>
    <w:rsid w:val="008005BD"/>
    <w:rsid w:val="0080069C"/>
    <w:rsid w:val="008008CA"/>
    <w:rsid w:val="00800CC1"/>
    <w:rsid w:val="00800EE1"/>
    <w:rsid w:val="0080171D"/>
    <w:rsid w:val="008019CC"/>
    <w:rsid w:val="00801DCE"/>
    <w:rsid w:val="00801FEF"/>
    <w:rsid w:val="0080208B"/>
    <w:rsid w:val="0080213F"/>
    <w:rsid w:val="008025C3"/>
    <w:rsid w:val="008025E4"/>
    <w:rsid w:val="00802C71"/>
    <w:rsid w:val="008031F2"/>
    <w:rsid w:val="00803CE0"/>
    <w:rsid w:val="00804025"/>
    <w:rsid w:val="008040EA"/>
    <w:rsid w:val="00804144"/>
    <w:rsid w:val="00804A2E"/>
    <w:rsid w:val="00804C02"/>
    <w:rsid w:val="00804C78"/>
    <w:rsid w:val="00804DE4"/>
    <w:rsid w:val="00804F13"/>
    <w:rsid w:val="00805979"/>
    <w:rsid w:val="00806056"/>
    <w:rsid w:val="008068D6"/>
    <w:rsid w:val="00806E00"/>
    <w:rsid w:val="008075B5"/>
    <w:rsid w:val="008077C2"/>
    <w:rsid w:val="00807B91"/>
    <w:rsid w:val="008105D7"/>
    <w:rsid w:val="00811380"/>
    <w:rsid w:val="0081163E"/>
    <w:rsid w:val="0081188A"/>
    <w:rsid w:val="00811981"/>
    <w:rsid w:val="00811F56"/>
    <w:rsid w:val="0081283A"/>
    <w:rsid w:val="00812C2E"/>
    <w:rsid w:val="0081329D"/>
    <w:rsid w:val="008142CC"/>
    <w:rsid w:val="00814E9C"/>
    <w:rsid w:val="0081536D"/>
    <w:rsid w:val="00816260"/>
    <w:rsid w:val="0081640F"/>
    <w:rsid w:val="008168F3"/>
    <w:rsid w:val="00817879"/>
    <w:rsid w:val="00817B8B"/>
    <w:rsid w:val="00817C75"/>
    <w:rsid w:val="00817E36"/>
    <w:rsid w:val="00817E42"/>
    <w:rsid w:val="00820294"/>
    <w:rsid w:val="008203C6"/>
    <w:rsid w:val="00820620"/>
    <w:rsid w:val="008209C2"/>
    <w:rsid w:val="00820BF4"/>
    <w:rsid w:val="00820DCE"/>
    <w:rsid w:val="00820F43"/>
    <w:rsid w:val="008210E5"/>
    <w:rsid w:val="00821373"/>
    <w:rsid w:val="008213C1"/>
    <w:rsid w:val="008215EC"/>
    <w:rsid w:val="00821960"/>
    <w:rsid w:val="00821F55"/>
    <w:rsid w:val="00822018"/>
    <w:rsid w:val="00822227"/>
    <w:rsid w:val="008225F2"/>
    <w:rsid w:val="008230DA"/>
    <w:rsid w:val="0082357E"/>
    <w:rsid w:val="0082359C"/>
    <w:rsid w:val="00823899"/>
    <w:rsid w:val="00823E76"/>
    <w:rsid w:val="00823E84"/>
    <w:rsid w:val="00824294"/>
    <w:rsid w:val="0082442F"/>
    <w:rsid w:val="008244EF"/>
    <w:rsid w:val="008246ED"/>
    <w:rsid w:val="008249C8"/>
    <w:rsid w:val="00824CB5"/>
    <w:rsid w:val="00824E4D"/>
    <w:rsid w:val="0082502B"/>
    <w:rsid w:val="008251CB"/>
    <w:rsid w:val="008255BC"/>
    <w:rsid w:val="00825E9E"/>
    <w:rsid w:val="008260C0"/>
    <w:rsid w:val="00826C2A"/>
    <w:rsid w:val="00826C4A"/>
    <w:rsid w:val="00826D75"/>
    <w:rsid w:val="008277A8"/>
    <w:rsid w:val="00827AF4"/>
    <w:rsid w:val="00827B9B"/>
    <w:rsid w:val="00830487"/>
    <w:rsid w:val="00830E69"/>
    <w:rsid w:val="00831602"/>
    <w:rsid w:val="00832560"/>
    <w:rsid w:val="008326BD"/>
    <w:rsid w:val="00832F68"/>
    <w:rsid w:val="00833FE6"/>
    <w:rsid w:val="00834791"/>
    <w:rsid w:val="00834C03"/>
    <w:rsid w:val="00834D82"/>
    <w:rsid w:val="0083569B"/>
    <w:rsid w:val="0083575F"/>
    <w:rsid w:val="00835C13"/>
    <w:rsid w:val="0083603E"/>
    <w:rsid w:val="008368C3"/>
    <w:rsid w:val="00837B66"/>
    <w:rsid w:val="00837E4F"/>
    <w:rsid w:val="00840303"/>
    <w:rsid w:val="008405D5"/>
    <w:rsid w:val="008411B1"/>
    <w:rsid w:val="008412A6"/>
    <w:rsid w:val="008415BA"/>
    <w:rsid w:val="0084181F"/>
    <w:rsid w:val="00841EA9"/>
    <w:rsid w:val="0084216D"/>
    <w:rsid w:val="008425AC"/>
    <w:rsid w:val="00842853"/>
    <w:rsid w:val="00842C14"/>
    <w:rsid w:val="00842E28"/>
    <w:rsid w:val="008430E1"/>
    <w:rsid w:val="0084346B"/>
    <w:rsid w:val="00843D06"/>
    <w:rsid w:val="0084430C"/>
    <w:rsid w:val="00844CD9"/>
    <w:rsid w:val="008453FD"/>
    <w:rsid w:val="00845453"/>
    <w:rsid w:val="00845CC6"/>
    <w:rsid w:val="00846181"/>
    <w:rsid w:val="00846341"/>
    <w:rsid w:val="00846975"/>
    <w:rsid w:val="00846979"/>
    <w:rsid w:val="00846AE4"/>
    <w:rsid w:val="00847FAD"/>
    <w:rsid w:val="008500AD"/>
    <w:rsid w:val="00850873"/>
    <w:rsid w:val="00850BF3"/>
    <w:rsid w:val="00850FE7"/>
    <w:rsid w:val="0085127A"/>
    <w:rsid w:val="0085149A"/>
    <w:rsid w:val="00851587"/>
    <w:rsid w:val="008515B1"/>
    <w:rsid w:val="0085173D"/>
    <w:rsid w:val="0085192D"/>
    <w:rsid w:val="00851B64"/>
    <w:rsid w:val="00852301"/>
    <w:rsid w:val="008528FE"/>
    <w:rsid w:val="00852F6F"/>
    <w:rsid w:val="00853273"/>
    <w:rsid w:val="00853FD5"/>
    <w:rsid w:val="008542E5"/>
    <w:rsid w:val="00854404"/>
    <w:rsid w:val="008545C9"/>
    <w:rsid w:val="0085464D"/>
    <w:rsid w:val="00854845"/>
    <w:rsid w:val="00854914"/>
    <w:rsid w:val="008550AF"/>
    <w:rsid w:val="0085573E"/>
    <w:rsid w:val="008558DA"/>
    <w:rsid w:val="00855D4A"/>
    <w:rsid w:val="00855DB0"/>
    <w:rsid w:val="00855F57"/>
    <w:rsid w:val="00856420"/>
    <w:rsid w:val="0085647E"/>
    <w:rsid w:val="0085654C"/>
    <w:rsid w:val="00856E39"/>
    <w:rsid w:val="0085707D"/>
    <w:rsid w:val="008577A2"/>
    <w:rsid w:val="00857983"/>
    <w:rsid w:val="008600BA"/>
    <w:rsid w:val="0086072D"/>
    <w:rsid w:val="00860800"/>
    <w:rsid w:val="0086087E"/>
    <w:rsid w:val="008608E7"/>
    <w:rsid w:val="00860FD2"/>
    <w:rsid w:val="0086178D"/>
    <w:rsid w:val="00861C10"/>
    <w:rsid w:val="008622F4"/>
    <w:rsid w:val="00862386"/>
    <w:rsid w:val="008627AF"/>
    <w:rsid w:val="00862B81"/>
    <w:rsid w:val="00862E4E"/>
    <w:rsid w:val="00862FB4"/>
    <w:rsid w:val="0086380E"/>
    <w:rsid w:val="0086382C"/>
    <w:rsid w:val="00863DF6"/>
    <w:rsid w:val="0086424B"/>
    <w:rsid w:val="00864337"/>
    <w:rsid w:val="00864515"/>
    <w:rsid w:val="00864736"/>
    <w:rsid w:val="00864B7D"/>
    <w:rsid w:val="00864C48"/>
    <w:rsid w:val="00864EBA"/>
    <w:rsid w:val="00864FB6"/>
    <w:rsid w:val="00865230"/>
    <w:rsid w:val="0086574E"/>
    <w:rsid w:val="008666B7"/>
    <w:rsid w:val="00867AE5"/>
    <w:rsid w:val="00867F3E"/>
    <w:rsid w:val="008702B5"/>
    <w:rsid w:val="00871503"/>
    <w:rsid w:val="008715DE"/>
    <w:rsid w:val="00871BFB"/>
    <w:rsid w:val="0087218F"/>
    <w:rsid w:val="008729D2"/>
    <w:rsid w:val="00872A1B"/>
    <w:rsid w:val="0087316C"/>
    <w:rsid w:val="0087343C"/>
    <w:rsid w:val="00873540"/>
    <w:rsid w:val="0087398C"/>
    <w:rsid w:val="00874099"/>
    <w:rsid w:val="00874523"/>
    <w:rsid w:val="00874999"/>
    <w:rsid w:val="00874D7E"/>
    <w:rsid w:val="008751B4"/>
    <w:rsid w:val="00875616"/>
    <w:rsid w:val="00875686"/>
    <w:rsid w:val="0087593B"/>
    <w:rsid w:val="00875AE2"/>
    <w:rsid w:val="00875CC3"/>
    <w:rsid w:val="00876C1A"/>
    <w:rsid w:val="00876C65"/>
    <w:rsid w:val="00876F01"/>
    <w:rsid w:val="00876F86"/>
    <w:rsid w:val="008771DB"/>
    <w:rsid w:val="00880530"/>
    <w:rsid w:val="00880871"/>
    <w:rsid w:val="00881E0C"/>
    <w:rsid w:val="008824D2"/>
    <w:rsid w:val="0088262A"/>
    <w:rsid w:val="00882883"/>
    <w:rsid w:val="00883104"/>
    <w:rsid w:val="0088328C"/>
    <w:rsid w:val="00883404"/>
    <w:rsid w:val="00883762"/>
    <w:rsid w:val="0088394F"/>
    <w:rsid w:val="00883A2D"/>
    <w:rsid w:val="00883D53"/>
    <w:rsid w:val="00883D5C"/>
    <w:rsid w:val="0088413F"/>
    <w:rsid w:val="00884645"/>
    <w:rsid w:val="00884774"/>
    <w:rsid w:val="008849CC"/>
    <w:rsid w:val="008850C3"/>
    <w:rsid w:val="008854D3"/>
    <w:rsid w:val="00885A52"/>
    <w:rsid w:val="00885B8A"/>
    <w:rsid w:val="00886941"/>
    <w:rsid w:val="00886A1D"/>
    <w:rsid w:val="00886D61"/>
    <w:rsid w:val="00887354"/>
    <w:rsid w:val="008875CF"/>
    <w:rsid w:val="0089008C"/>
    <w:rsid w:val="00890113"/>
    <w:rsid w:val="008903A3"/>
    <w:rsid w:val="00890F3F"/>
    <w:rsid w:val="0089105B"/>
    <w:rsid w:val="00891255"/>
    <w:rsid w:val="00891410"/>
    <w:rsid w:val="00891579"/>
    <w:rsid w:val="00891A92"/>
    <w:rsid w:val="00891BCA"/>
    <w:rsid w:val="0089277D"/>
    <w:rsid w:val="0089301A"/>
    <w:rsid w:val="0089301E"/>
    <w:rsid w:val="00893386"/>
    <w:rsid w:val="00893609"/>
    <w:rsid w:val="00893648"/>
    <w:rsid w:val="008942CB"/>
    <w:rsid w:val="0089461C"/>
    <w:rsid w:val="00894657"/>
    <w:rsid w:val="008946F5"/>
    <w:rsid w:val="00895572"/>
    <w:rsid w:val="008956D0"/>
    <w:rsid w:val="008957FA"/>
    <w:rsid w:val="00895BB9"/>
    <w:rsid w:val="00896B12"/>
    <w:rsid w:val="00896F83"/>
    <w:rsid w:val="00897FA7"/>
    <w:rsid w:val="008A0607"/>
    <w:rsid w:val="008A1A21"/>
    <w:rsid w:val="008A203A"/>
    <w:rsid w:val="008A2182"/>
    <w:rsid w:val="008A2B8A"/>
    <w:rsid w:val="008A2FA9"/>
    <w:rsid w:val="008A349A"/>
    <w:rsid w:val="008A3937"/>
    <w:rsid w:val="008A3A12"/>
    <w:rsid w:val="008A428D"/>
    <w:rsid w:val="008A4586"/>
    <w:rsid w:val="008A45C0"/>
    <w:rsid w:val="008A45E2"/>
    <w:rsid w:val="008A4B5A"/>
    <w:rsid w:val="008A53D8"/>
    <w:rsid w:val="008A561B"/>
    <w:rsid w:val="008A564B"/>
    <w:rsid w:val="008A570F"/>
    <w:rsid w:val="008A5E78"/>
    <w:rsid w:val="008A61C4"/>
    <w:rsid w:val="008A621F"/>
    <w:rsid w:val="008A64B6"/>
    <w:rsid w:val="008A65D6"/>
    <w:rsid w:val="008A7066"/>
    <w:rsid w:val="008A74D4"/>
    <w:rsid w:val="008A7CA0"/>
    <w:rsid w:val="008B00E2"/>
    <w:rsid w:val="008B0491"/>
    <w:rsid w:val="008B1103"/>
    <w:rsid w:val="008B11C0"/>
    <w:rsid w:val="008B1AA2"/>
    <w:rsid w:val="008B1F35"/>
    <w:rsid w:val="008B2F69"/>
    <w:rsid w:val="008B33E0"/>
    <w:rsid w:val="008B3B95"/>
    <w:rsid w:val="008B408B"/>
    <w:rsid w:val="008B41C5"/>
    <w:rsid w:val="008B44CA"/>
    <w:rsid w:val="008B4818"/>
    <w:rsid w:val="008B4B62"/>
    <w:rsid w:val="008B4D95"/>
    <w:rsid w:val="008B533D"/>
    <w:rsid w:val="008B5425"/>
    <w:rsid w:val="008B5AC5"/>
    <w:rsid w:val="008B5C5C"/>
    <w:rsid w:val="008B61CB"/>
    <w:rsid w:val="008B6458"/>
    <w:rsid w:val="008B64B6"/>
    <w:rsid w:val="008B689F"/>
    <w:rsid w:val="008B7188"/>
    <w:rsid w:val="008B7500"/>
    <w:rsid w:val="008C00B1"/>
    <w:rsid w:val="008C0411"/>
    <w:rsid w:val="008C08EF"/>
    <w:rsid w:val="008C0ABF"/>
    <w:rsid w:val="008C0FE7"/>
    <w:rsid w:val="008C1805"/>
    <w:rsid w:val="008C196E"/>
    <w:rsid w:val="008C2124"/>
    <w:rsid w:val="008C2407"/>
    <w:rsid w:val="008C27E7"/>
    <w:rsid w:val="008C2C0E"/>
    <w:rsid w:val="008C2D62"/>
    <w:rsid w:val="008C2EAD"/>
    <w:rsid w:val="008C2F48"/>
    <w:rsid w:val="008C2F6F"/>
    <w:rsid w:val="008C356B"/>
    <w:rsid w:val="008C3BE7"/>
    <w:rsid w:val="008C3E1B"/>
    <w:rsid w:val="008C42AE"/>
    <w:rsid w:val="008C453B"/>
    <w:rsid w:val="008C4887"/>
    <w:rsid w:val="008C4992"/>
    <w:rsid w:val="008C4B2D"/>
    <w:rsid w:val="008C5110"/>
    <w:rsid w:val="008C5ADB"/>
    <w:rsid w:val="008C5D69"/>
    <w:rsid w:val="008C5F52"/>
    <w:rsid w:val="008C64E8"/>
    <w:rsid w:val="008C6B56"/>
    <w:rsid w:val="008C6DFA"/>
    <w:rsid w:val="008C7673"/>
    <w:rsid w:val="008C7AAB"/>
    <w:rsid w:val="008D006E"/>
    <w:rsid w:val="008D04AE"/>
    <w:rsid w:val="008D0782"/>
    <w:rsid w:val="008D07F8"/>
    <w:rsid w:val="008D0930"/>
    <w:rsid w:val="008D1148"/>
    <w:rsid w:val="008D1159"/>
    <w:rsid w:val="008D13EF"/>
    <w:rsid w:val="008D1541"/>
    <w:rsid w:val="008D1E26"/>
    <w:rsid w:val="008D2157"/>
    <w:rsid w:val="008D2416"/>
    <w:rsid w:val="008D27CA"/>
    <w:rsid w:val="008D2854"/>
    <w:rsid w:val="008D299B"/>
    <w:rsid w:val="008D2DD0"/>
    <w:rsid w:val="008D342D"/>
    <w:rsid w:val="008D359D"/>
    <w:rsid w:val="008D3D14"/>
    <w:rsid w:val="008D40BE"/>
    <w:rsid w:val="008D474C"/>
    <w:rsid w:val="008D4952"/>
    <w:rsid w:val="008D5646"/>
    <w:rsid w:val="008D56BA"/>
    <w:rsid w:val="008D5833"/>
    <w:rsid w:val="008D6181"/>
    <w:rsid w:val="008D637C"/>
    <w:rsid w:val="008D699C"/>
    <w:rsid w:val="008D6D84"/>
    <w:rsid w:val="008D704D"/>
    <w:rsid w:val="008D72CD"/>
    <w:rsid w:val="008D77EF"/>
    <w:rsid w:val="008E00A2"/>
    <w:rsid w:val="008E032A"/>
    <w:rsid w:val="008E0787"/>
    <w:rsid w:val="008E0F1F"/>
    <w:rsid w:val="008E1379"/>
    <w:rsid w:val="008E15E8"/>
    <w:rsid w:val="008E178F"/>
    <w:rsid w:val="008E195E"/>
    <w:rsid w:val="008E1DAF"/>
    <w:rsid w:val="008E203A"/>
    <w:rsid w:val="008E21AF"/>
    <w:rsid w:val="008E246F"/>
    <w:rsid w:val="008E2984"/>
    <w:rsid w:val="008E2E16"/>
    <w:rsid w:val="008E318D"/>
    <w:rsid w:val="008E3767"/>
    <w:rsid w:val="008E379F"/>
    <w:rsid w:val="008E4367"/>
    <w:rsid w:val="008E47C4"/>
    <w:rsid w:val="008E4E78"/>
    <w:rsid w:val="008E6902"/>
    <w:rsid w:val="008E6C6C"/>
    <w:rsid w:val="008E6D60"/>
    <w:rsid w:val="008E75BC"/>
    <w:rsid w:val="008E7822"/>
    <w:rsid w:val="008E7AD3"/>
    <w:rsid w:val="008E7D4C"/>
    <w:rsid w:val="008E7EFD"/>
    <w:rsid w:val="008F04B6"/>
    <w:rsid w:val="008F0767"/>
    <w:rsid w:val="008F0D04"/>
    <w:rsid w:val="008F11CE"/>
    <w:rsid w:val="008F1622"/>
    <w:rsid w:val="008F1CFF"/>
    <w:rsid w:val="008F1F38"/>
    <w:rsid w:val="008F1FDA"/>
    <w:rsid w:val="008F22D9"/>
    <w:rsid w:val="008F27AA"/>
    <w:rsid w:val="008F27BF"/>
    <w:rsid w:val="008F3524"/>
    <w:rsid w:val="008F3529"/>
    <w:rsid w:val="008F3AD1"/>
    <w:rsid w:val="008F3AED"/>
    <w:rsid w:val="008F3DD2"/>
    <w:rsid w:val="008F3F96"/>
    <w:rsid w:val="008F3FFE"/>
    <w:rsid w:val="008F4429"/>
    <w:rsid w:val="008F4A50"/>
    <w:rsid w:val="008F517F"/>
    <w:rsid w:val="008F5515"/>
    <w:rsid w:val="008F5EC9"/>
    <w:rsid w:val="008F61AA"/>
    <w:rsid w:val="008F687A"/>
    <w:rsid w:val="008F6B59"/>
    <w:rsid w:val="008F6C0B"/>
    <w:rsid w:val="008F704D"/>
    <w:rsid w:val="008F76D3"/>
    <w:rsid w:val="008F7A07"/>
    <w:rsid w:val="009001B3"/>
    <w:rsid w:val="00900409"/>
    <w:rsid w:val="009009FE"/>
    <w:rsid w:val="00900BEC"/>
    <w:rsid w:val="00900CAE"/>
    <w:rsid w:val="00900F2B"/>
    <w:rsid w:val="009013BD"/>
    <w:rsid w:val="009017EF"/>
    <w:rsid w:val="009018D6"/>
    <w:rsid w:val="00901EF8"/>
    <w:rsid w:val="00902581"/>
    <w:rsid w:val="009027D0"/>
    <w:rsid w:val="0090291A"/>
    <w:rsid w:val="00902D7E"/>
    <w:rsid w:val="00902E6E"/>
    <w:rsid w:val="009031F0"/>
    <w:rsid w:val="00903236"/>
    <w:rsid w:val="009033C3"/>
    <w:rsid w:val="009036DC"/>
    <w:rsid w:val="0090444C"/>
    <w:rsid w:val="0090491A"/>
    <w:rsid w:val="00904EC5"/>
    <w:rsid w:val="009050F5"/>
    <w:rsid w:val="00905B22"/>
    <w:rsid w:val="00905D57"/>
    <w:rsid w:val="0090614C"/>
    <w:rsid w:val="00906342"/>
    <w:rsid w:val="00906731"/>
    <w:rsid w:val="009073FF"/>
    <w:rsid w:val="0091006A"/>
    <w:rsid w:val="0091035D"/>
    <w:rsid w:val="00910AA5"/>
    <w:rsid w:val="00911332"/>
    <w:rsid w:val="0091144D"/>
    <w:rsid w:val="00911C71"/>
    <w:rsid w:val="0091234F"/>
    <w:rsid w:val="00912952"/>
    <w:rsid w:val="00912CAB"/>
    <w:rsid w:val="0091315D"/>
    <w:rsid w:val="0091347B"/>
    <w:rsid w:val="00913504"/>
    <w:rsid w:val="0091359F"/>
    <w:rsid w:val="00913970"/>
    <w:rsid w:val="00913BE0"/>
    <w:rsid w:val="00913CBB"/>
    <w:rsid w:val="00913F40"/>
    <w:rsid w:val="009143BD"/>
    <w:rsid w:val="0091469F"/>
    <w:rsid w:val="00914A01"/>
    <w:rsid w:val="00914A9D"/>
    <w:rsid w:val="00914C9C"/>
    <w:rsid w:val="0091504F"/>
    <w:rsid w:val="009152CD"/>
    <w:rsid w:val="00915A91"/>
    <w:rsid w:val="00915F93"/>
    <w:rsid w:val="009163D1"/>
    <w:rsid w:val="009164BF"/>
    <w:rsid w:val="00916DE7"/>
    <w:rsid w:val="009178DF"/>
    <w:rsid w:val="00917A64"/>
    <w:rsid w:val="00917C37"/>
    <w:rsid w:val="0092043D"/>
    <w:rsid w:val="009204B6"/>
    <w:rsid w:val="0092090E"/>
    <w:rsid w:val="00920B97"/>
    <w:rsid w:val="00921149"/>
    <w:rsid w:val="009217F7"/>
    <w:rsid w:val="00921852"/>
    <w:rsid w:val="00921B6B"/>
    <w:rsid w:val="00921EEF"/>
    <w:rsid w:val="009224DC"/>
    <w:rsid w:val="0092295A"/>
    <w:rsid w:val="009229C9"/>
    <w:rsid w:val="00923158"/>
    <w:rsid w:val="00923913"/>
    <w:rsid w:val="00923C33"/>
    <w:rsid w:val="0092401B"/>
    <w:rsid w:val="00924BE6"/>
    <w:rsid w:val="009261F4"/>
    <w:rsid w:val="00926362"/>
    <w:rsid w:val="00926BFE"/>
    <w:rsid w:val="00926CB1"/>
    <w:rsid w:val="00926F84"/>
    <w:rsid w:val="00926F9E"/>
    <w:rsid w:val="00927678"/>
    <w:rsid w:val="00927704"/>
    <w:rsid w:val="00927E2D"/>
    <w:rsid w:val="00930745"/>
    <w:rsid w:val="009307E6"/>
    <w:rsid w:val="009312BD"/>
    <w:rsid w:val="0093150C"/>
    <w:rsid w:val="00931F38"/>
    <w:rsid w:val="0093231B"/>
    <w:rsid w:val="009323AF"/>
    <w:rsid w:val="009336FD"/>
    <w:rsid w:val="00933745"/>
    <w:rsid w:val="00933930"/>
    <w:rsid w:val="00933F83"/>
    <w:rsid w:val="0093408D"/>
    <w:rsid w:val="009342DC"/>
    <w:rsid w:val="00934467"/>
    <w:rsid w:val="00934696"/>
    <w:rsid w:val="0093497B"/>
    <w:rsid w:val="009349A7"/>
    <w:rsid w:val="00934B19"/>
    <w:rsid w:val="00934B5D"/>
    <w:rsid w:val="00934C72"/>
    <w:rsid w:val="0093523D"/>
    <w:rsid w:val="009359A4"/>
    <w:rsid w:val="00935C16"/>
    <w:rsid w:val="00935C61"/>
    <w:rsid w:val="00936900"/>
    <w:rsid w:val="00936933"/>
    <w:rsid w:val="00936EEC"/>
    <w:rsid w:val="009375D4"/>
    <w:rsid w:val="00937ACA"/>
    <w:rsid w:val="009400FA"/>
    <w:rsid w:val="00940114"/>
    <w:rsid w:val="00940537"/>
    <w:rsid w:val="0094074F"/>
    <w:rsid w:val="00940864"/>
    <w:rsid w:val="00940AB7"/>
    <w:rsid w:val="00940B7C"/>
    <w:rsid w:val="00941466"/>
    <w:rsid w:val="00941D52"/>
    <w:rsid w:val="009420A2"/>
    <w:rsid w:val="009427D6"/>
    <w:rsid w:val="00942E2B"/>
    <w:rsid w:val="00943579"/>
    <w:rsid w:val="0094383C"/>
    <w:rsid w:val="00943F8E"/>
    <w:rsid w:val="00944002"/>
    <w:rsid w:val="009443B7"/>
    <w:rsid w:val="0094479B"/>
    <w:rsid w:val="00944C2C"/>
    <w:rsid w:val="00945202"/>
    <w:rsid w:val="00945800"/>
    <w:rsid w:val="00945A8B"/>
    <w:rsid w:val="00945C65"/>
    <w:rsid w:val="00945D11"/>
    <w:rsid w:val="00945E14"/>
    <w:rsid w:val="00945E69"/>
    <w:rsid w:val="00945EC3"/>
    <w:rsid w:val="0094637B"/>
    <w:rsid w:val="00946495"/>
    <w:rsid w:val="00946737"/>
    <w:rsid w:val="009469E4"/>
    <w:rsid w:val="00946AE5"/>
    <w:rsid w:val="00947430"/>
    <w:rsid w:val="009477F3"/>
    <w:rsid w:val="00950339"/>
    <w:rsid w:val="0095042A"/>
    <w:rsid w:val="00950592"/>
    <w:rsid w:val="00950C51"/>
    <w:rsid w:val="00950C8F"/>
    <w:rsid w:val="00950E19"/>
    <w:rsid w:val="009513BB"/>
    <w:rsid w:val="00951763"/>
    <w:rsid w:val="00951BD5"/>
    <w:rsid w:val="00951E7D"/>
    <w:rsid w:val="00952324"/>
    <w:rsid w:val="00952DB8"/>
    <w:rsid w:val="00953D76"/>
    <w:rsid w:val="00953FAD"/>
    <w:rsid w:val="00954094"/>
    <w:rsid w:val="009541B3"/>
    <w:rsid w:val="009541BA"/>
    <w:rsid w:val="0095453F"/>
    <w:rsid w:val="009548D5"/>
    <w:rsid w:val="00954A36"/>
    <w:rsid w:val="00954A4C"/>
    <w:rsid w:val="00954BBC"/>
    <w:rsid w:val="00954C16"/>
    <w:rsid w:val="00954ED5"/>
    <w:rsid w:val="00954F9E"/>
    <w:rsid w:val="00955061"/>
    <w:rsid w:val="00955486"/>
    <w:rsid w:val="009555B4"/>
    <w:rsid w:val="009555C0"/>
    <w:rsid w:val="00955B1C"/>
    <w:rsid w:val="00955D22"/>
    <w:rsid w:val="00956A8D"/>
    <w:rsid w:val="00956BF7"/>
    <w:rsid w:val="00956ECC"/>
    <w:rsid w:val="00956ED1"/>
    <w:rsid w:val="009572BC"/>
    <w:rsid w:val="00957D88"/>
    <w:rsid w:val="00957E88"/>
    <w:rsid w:val="0096016F"/>
    <w:rsid w:val="009606AA"/>
    <w:rsid w:val="00960AA0"/>
    <w:rsid w:val="00960AD1"/>
    <w:rsid w:val="00961510"/>
    <w:rsid w:val="009615BC"/>
    <w:rsid w:val="00961DA4"/>
    <w:rsid w:val="009624C1"/>
    <w:rsid w:val="0096269A"/>
    <w:rsid w:val="009629F0"/>
    <w:rsid w:val="0096327F"/>
    <w:rsid w:val="009633BC"/>
    <w:rsid w:val="0096392B"/>
    <w:rsid w:val="00964293"/>
    <w:rsid w:val="00964B4C"/>
    <w:rsid w:val="00965D31"/>
    <w:rsid w:val="009660E9"/>
    <w:rsid w:val="00966762"/>
    <w:rsid w:val="009669D2"/>
    <w:rsid w:val="00966A11"/>
    <w:rsid w:val="00966F8E"/>
    <w:rsid w:val="00967346"/>
    <w:rsid w:val="00967601"/>
    <w:rsid w:val="00967D4D"/>
    <w:rsid w:val="0097102A"/>
    <w:rsid w:val="009710B3"/>
    <w:rsid w:val="009719A1"/>
    <w:rsid w:val="00971BE2"/>
    <w:rsid w:val="00972141"/>
    <w:rsid w:val="0097261F"/>
    <w:rsid w:val="009730C3"/>
    <w:rsid w:val="00973374"/>
    <w:rsid w:val="00973874"/>
    <w:rsid w:val="00973DFE"/>
    <w:rsid w:val="009748C3"/>
    <w:rsid w:val="00974A21"/>
    <w:rsid w:val="00974E55"/>
    <w:rsid w:val="00975266"/>
    <w:rsid w:val="00975AD4"/>
    <w:rsid w:val="00976355"/>
    <w:rsid w:val="00976398"/>
    <w:rsid w:val="0097682F"/>
    <w:rsid w:val="00976ED9"/>
    <w:rsid w:val="009771DF"/>
    <w:rsid w:val="00977BA8"/>
    <w:rsid w:val="0098021E"/>
    <w:rsid w:val="0098036B"/>
    <w:rsid w:val="00980608"/>
    <w:rsid w:val="00980B13"/>
    <w:rsid w:val="00980ECD"/>
    <w:rsid w:val="009811C4"/>
    <w:rsid w:val="00981472"/>
    <w:rsid w:val="00981CD7"/>
    <w:rsid w:val="00982503"/>
    <w:rsid w:val="0098253F"/>
    <w:rsid w:val="009825B6"/>
    <w:rsid w:val="009826AA"/>
    <w:rsid w:val="00982A61"/>
    <w:rsid w:val="00982AC0"/>
    <w:rsid w:val="00982BD4"/>
    <w:rsid w:val="009832A9"/>
    <w:rsid w:val="00983403"/>
    <w:rsid w:val="0098347F"/>
    <w:rsid w:val="00983620"/>
    <w:rsid w:val="00983968"/>
    <w:rsid w:val="00983998"/>
    <w:rsid w:val="00983DAF"/>
    <w:rsid w:val="0098446F"/>
    <w:rsid w:val="009847AC"/>
    <w:rsid w:val="00984D71"/>
    <w:rsid w:val="00984EA5"/>
    <w:rsid w:val="00984FC7"/>
    <w:rsid w:val="00984FD6"/>
    <w:rsid w:val="00985110"/>
    <w:rsid w:val="00985817"/>
    <w:rsid w:val="009866BB"/>
    <w:rsid w:val="009867F2"/>
    <w:rsid w:val="009872C8"/>
    <w:rsid w:val="009877A7"/>
    <w:rsid w:val="00987EC5"/>
    <w:rsid w:val="00987EFD"/>
    <w:rsid w:val="00987F39"/>
    <w:rsid w:val="00990249"/>
    <w:rsid w:val="00990CA6"/>
    <w:rsid w:val="00990F0C"/>
    <w:rsid w:val="009913FA"/>
    <w:rsid w:val="0099167D"/>
    <w:rsid w:val="00991766"/>
    <w:rsid w:val="009917A8"/>
    <w:rsid w:val="00991BB0"/>
    <w:rsid w:val="00991C6D"/>
    <w:rsid w:val="00991E08"/>
    <w:rsid w:val="00991E79"/>
    <w:rsid w:val="009920A4"/>
    <w:rsid w:val="00992F8D"/>
    <w:rsid w:val="00992F93"/>
    <w:rsid w:val="00993154"/>
    <w:rsid w:val="009937B1"/>
    <w:rsid w:val="009939D7"/>
    <w:rsid w:val="00993A65"/>
    <w:rsid w:val="00993B72"/>
    <w:rsid w:val="00993C17"/>
    <w:rsid w:val="00993DFA"/>
    <w:rsid w:val="00993FAF"/>
    <w:rsid w:val="0099403B"/>
    <w:rsid w:val="0099410F"/>
    <w:rsid w:val="00994EBF"/>
    <w:rsid w:val="009953BF"/>
    <w:rsid w:val="009955F4"/>
    <w:rsid w:val="00995753"/>
    <w:rsid w:val="00995847"/>
    <w:rsid w:val="00995C89"/>
    <w:rsid w:val="00995EBA"/>
    <w:rsid w:val="00995FAF"/>
    <w:rsid w:val="00996853"/>
    <w:rsid w:val="00996F44"/>
    <w:rsid w:val="009972E1"/>
    <w:rsid w:val="00997939"/>
    <w:rsid w:val="00997A16"/>
    <w:rsid w:val="00997AB9"/>
    <w:rsid w:val="00997CBC"/>
    <w:rsid w:val="009A02A3"/>
    <w:rsid w:val="009A0779"/>
    <w:rsid w:val="009A090F"/>
    <w:rsid w:val="009A0E81"/>
    <w:rsid w:val="009A0FBF"/>
    <w:rsid w:val="009A14D3"/>
    <w:rsid w:val="009A1D50"/>
    <w:rsid w:val="009A2455"/>
    <w:rsid w:val="009A25A0"/>
    <w:rsid w:val="009A28F9"/>
    <w:rsid w:val="009A2BF1"/>
    <w:rsid w:val="009A2F9F"/>
    <w:rsid w:val="009A33DF"/>
    <w:rsid w:val="009A4771"/>
    <w:rsid w:val="009A48FA"/>
    <w:rsid w:val="009A4F3E"/>
    <w:rsid w:val="009A5AB5"/>
    <w:rsid w:val="009A6724"/>
    <w:rsid w:val="009A6C82"/>
    <w:rsid w:val="009A70F2"/>
    <w:rsid w:val="009A7645"/>
    <w:rsid w:val="009A7D03"/>
    <w:rsid w:val="009A7D73"/>
    <w:rsid w:val="009B03A5"/>
    <w:rsid w:val="009B05A8"/>
    <w:rsid w:val="009B0ED5"/>
    <w:rsid w:val="009B1AEA"/>
    <w:rsid w:val="009B1AF1"/>
    <w:rsid w:val="009B231A"/>
    <w:rsid w:val="009B2642"/>
    <w:rsid w:val="009B2755"/>
    <w:rsid w:val="009B28B1"/>
    <w:rsid w:val="009B2D24"/>
    <w:rsid w:val="009B3055"/>
    <w:rsid w:val="009B38BF"/>
    <w:rsid w:val="009B3DA1"/>
    <w:rsid w:val="009B3FC9"/>
    <w:rsid w:val="009B40E5"/>
    <w:rsid w:val="009B4378"/>
    <w:rsid w:val="009B4850"/>
    <w:rsid w:val="009B48A1"/>
    <w:rsid w:val="009B5636"/>
    <w:rsid w:val="009B5AA7"/>
    <w:rsid w:val="009B688E"/>
    <w:rsid w:val="009B6B32"/>
    <w:rsid w:val="009B6DB4"/>
    <w:rsid w:val="009B762A"/>
    <w:rsid w:val="009B7F00"/>
    <w:rsid w:val="009C04B4"/>
    <w:rsid w:val="009C129B"/>
    <w:rsid w:val="009C1E86"/>
    <w:rsid w:val="009C2359"/>
    <w:rsid w:val="009C24FC"/>
    <w:rsid w:val="009C2602"/>
    <w:rsid w:val="009C28D2"/>
    <w:rsid w:val="009C2B3B"/>
    <w:rsid w:val="009C398C"/>
    <w:rsid w:val="009C3F28"/>
    <w:rsid w:val="009C442F"/>
    <w:rsid w:val="009C47C6"/>
    <w:rsid w:val="009C49BB"/>
    <w:rsid w:val="009C54DB"/>
    <w:rsid w:val="009C6189"/>
    <w:rsid w:val="009C6755"/>
    <w:rsid w:val="009C6AC3"/>
    <w:rsid w:val="009C6FD3"/>
    <w:rsid w:val="009C7633"/>
    <w:rsid w:val="009C7CAD"/>
    <w:rsid w:val="009C7E42"/>
    <w:rsid w:val="009D0567"/>
    <w:rsid w:val="009D06DA"/>
    <w:rsid w:val="009D09F9"/>
    <w:rsid w:val="009D0A70"/>
    <w:rsid w:val="009D0A95"/>
    <w:rsid w:val="009D1FE9"/>
    <w:rsid w:val="009D2CBB"/>
    <w:rsid w:val="009D2EFC"/>
    <w:rsid w:val="009D3520"/>
    <w:rsid w:val="009D3C73"/>
    <w:rsid w:val="009D3CD6"/>
    <w:rsid w:val="009D4144"/>
    <w:rsid w:val="009D4ADD"/>
    <w:rsid w:val="009D5C0D"/>
    <w:rsid w:val="009D5E45"/>
    <w:rsid w:val="009D5F32"/>
    <w:rsid w:val="009D606D"/>
    <w:rsid w:val="009D6531"/>
    <w:rsid w:val="009D679B"/>
    <w:rsid w:val="009D6ED6"/>
    <w:rsid w:val="009D7225"/>
    <w:rsid w:val="009D725E"/>
    <w:rsid w:val="009D733A"/>
    <w:rsid w:val="009D769E"/>
    <w:rsid w:val="009D770E"/>
    <w:rsid w:val="009D788D"/>
    <w:rsid w:val="009D7955"/>
    <w:rsid w:val="009D7C17"/>
    <w:rsid w:val="009D7C7D"/>
    <w:rsid w:val="009D7E92"/>
    <w:rsid w:val="009D7FAD"/>
    <w:rsid w:val="009E07D3"/>
    <w:rsid w:val="009E0AB1"/>
    <w:rsid w:val="009E0FE6"/>
    <w:rsid w:val="009E139B"/>
    <w:rsid w:val="009E15D0"/>
    <w:rsid w:val="009E1703"/>
    <w:rsid w:val="009E1782"/>
    <w:rsid w:val="009E1967"/>
    <w:rsid w:val="009E1B19"/>
    <w:rsid w:val="009E20F3"/>
    <w:rsid w:val="009E2188"/>
    <w:rsid w:val="009E218B"/>
    <w:rsid w:val="009E2A64"/>
    <w:rsid w:val="009E2B1C"/>
    <w:rsid w:val="009E34A2"/>
    <w:rsid w:val="009E3919"/>
    <w:rsid w:val="009E3C61"/>
    <w:rsid w:val="009E3D17"/>
    <w:rsid w:val="009E4149"/>
    <w:rsid w:val="009E4924"/>
    <w:rsid w:val="009E4A27"/>
    <w:rsid w:val="009E4B72"/>
    <w:rsid w:val="009E52EF"/>
    <w:rsid w:val="009E537D"/>
    <w:rsid w:val="009E575A"/>
    <w:rsid w:val="009E58FD"/>
    <w:rsid w:val="009E5CC1"/>
    <w:rsid w:val="009E61E6"/>
    <w:rsid w:val="009E64F3"/>
    <w:rsid w:val="009E6704"/>
    <w:rsid w:val="009E6878"/>
    <w:rsid w:val="009E6985"/>
    <w:rsid w:val="009E6A4E"/>
    <w:rsid w:val="009E6DC9"/>
    <w:rsid w:val="009E70EC"/>
    <w:rsid w:val="009E7626"/>
    <w:rsid w:val="009E7E54"/>
    <w:rsid w:val="009F0161"/>
    <w:rsid w:val="009F042E"/>
    <w:rsid w:val="009F086F"/>
    <w:rsid w:val="009F08B8"/>
    <w:rsid w:val="009F0D7E"/>
    <w:rsid w:val="009F1028"/>
    <w:rsid w:val="009F14BC"/>
    <w:rsid w:val="009F19D6"/>
    <w:rsid w:val="009F2481"/>
    <w:rsid w:val="009F2572"/>
    <w:rsid w:val="009F3426"/>
    <w:rsid w:val="009F36AB"/>
    <w:rsid w:val="009F3B89"/>
    <w:rsid w:val="009F3D9D"/>
    <w:rsid w:val="009F3ED6"/>
    <w:rsid w:val="009F4208"/>
    <w:rsid w:val="009F4345"/>
    <w:rsid w:val="009F46AA"/>
    <w:rsid w:val="009F5962"/>
    <w:rsid w:val="009F5BE8"/>
    <w:rsid w:val="009F6359"/>
    <w:rsid w:val="009F65F3"/>
    <w:rsid w:val="009F68EF"/>
    <w:rsid w:val="009F6A46"/>
    <w:rsid w:val="009F6D46"/>
    <w:rsid w:val="009F6D66"/>
    <w:rsid w:val="009F6F41"/>
    <w:rsid w:val="009F7601"/>
    <w:rsid w:val="00A000B8"/>
    <w:rsid w:val="00A0140D"/>
    <w:rsid w:val="00A02144"/>
    <w:rsid w:val="00A02537"/>
    <w:rsid w:val="00A02B84"/>
    <w:rsid w:val="00A03D6B"/>
    <w:rsid w:val="00A04506"/>
    <w:rsid w:val="00A045C2"/>
    <w:rsid w:val="00A049EE"/>
    <w:rsid w:val="00A04C97"/>
    <w:rsid w:val="00A04DC1"/>
    <w:rsid w:val="00A04F85"/>
    <w:rsid w:val="00A05321"/>
    <w:rsid w:val="00A056FD"/>
    <w:rsid w:val="00A057D4"/>
    <w:rsid w:val="00A05B5C"/>
    <w:rsid w:val="00A06220"/>
    <w:rsid w:val="00A064FC"/>
    <w:rsid w:val="00A06643"/>
    <w:rsid w:val="00A07165"/>
    <w:rsid w:val="00A074DC"/>
    <w:rsid w:val="00A07C8C"/>
    <w:rsid w:val="00A101F4"/>
    <w:rsid w:val="00A10417"/>
    <w:rsid w:val="00A10756"/>
    <w:rsid w:val="00A11343"/>
    <w:rsid w:val="00A1154C"/>
    <w:rsid w:val="00A11578"/>
    <w:rsid w:val="00A1184C"/>
    <w:rsid w:val="00A128A5"/>
    <w:rsid w:val="00A12FD5"/>
    <w:rsid w:val="00A13125"/>
    <w:rsid w:val="00A1312D"/>
    <w:rsid w:val="00A13AE7"/>
    <w:rsid w:val="00A151C7"/>
    <w:rsid w:val="00A1582F"/>
    <w:rsid w:val="00A1649C"/>
    <w:rsid w:val="00A169EA"/>
    <w:rsid w:val="00A169F7"/>
    <w:rsid w:val="00A16FCF"/>
    <w:rsid w:val="00A172D3"/>
    <w:rsid w:val="00A17529"/>
    <w:rsid w:val="00A178D8"/>
    <w:rsid w:val="00A17BF9"/>
    <w:rsid w:val="00A201A2"/>
    <w:rsid w:val="00A20377"/>
    <w:rsid w:val="00A20501"/>
    <w:rsid w:val="00A205E4"/>
    <w:rsid w:val="00A20818"/>
    <w:rsid w:val="00A20A3F"/>
    <w:rsid w:val="00A20FD6"/>
    <w:rsid w:val="00A21020"/>
    <w:rsid w:val="00A21072"/>
    <w:rsid w:val="00A21187"/>
    <w:rsid w:val="00A22425"/>
    <w:rsid w:val="00A22D4F"/>
    <w:rsid w:val="00A232F1"/>
    <w:rsid w:val="00A23331"/>
    <w:rsid w:val="00A240D1"/>
    <w:rsid w:val="00A241A1"/>
    <w:rsid w:val="00A24A08"/>
    <w:rsid w:val="00A24D95"/>
    <w:rsid w:val="00A256EF"/>
    <w:rsid w:val="00A25A82"/>
    <w:rsid w:val="00A25D2B"/>
    <w:rsid w:val="00A25EE7"/>
    <w:rsid w:val="00A26177"/>
    <w:rsid w:val="00A26326"/>
    <w:rsid w:val="00A2694B"/>
    <w:rsid w:val="00A269C3"/>
    <w:rsid w:val="00A270C4"/>
    <w:rsid w:val="00A271C2"/>
    <w:rsid w:val="00A273A5"/>
    <w:rsid w:val="00A27A38"/>
    <w:rsid w:val="00A27C78"/>
    <w:rsid w:val="00A3019B"/>
    <w:rsid w:val="00A308FA"/>
    <w:rsid w:val="00A315F3"/>
    <w:rsid w:val="00A31BBD"/>
    <w:rsid w:val="00A326A4"/>
    <w:rsid w:val="00A330D5"/>
    <w:rsid w:val="00A3370B"/>
    <w:rsid w:val="00A33BEF"/>
    <w:rsid w:val="00A33CD8"/>
    <w:rsid w:val="00A33D6C"/>
    <w:rsid w:val="00A33EF7"/>
    <w:rsid w:val="00A34115"/>
    <w:rsid w:val="00A3446E"/>
    <w:rsid w:val="00A34B47"/>
    <w:rsid w:val="00A34EEF"/>
    <w:rsid w:val="00A34FB5"/>
    <w:rsid w:val="00A35E62"/>
    <w:rsid w:val="00A366B4"/>
    <w:rsid w:val="00A36B44"/>
    <w:rsid w:val="00A36C3E"/>
    <w:rsid w:val="00A373D5"/>
    <w:rsid w:val="00A37532"/>
    <w:rsid w:val="00A3763B"/>
    <w:rsid w:val="00A37939"/>
    <w:rsid w:val="00A37E40"/>
    <w:rsid w:val="00A40460"/>
    <w:rsid w:val="00A408D6"/>
    <w:rsid w:val="00A40B1A"/>
    <w:rsid w:val="00A42467"/>
    <w:rsid w:val="00A42614"/>
    <w:rsid w:val="00A428F5"/>
    <w:rsid w:val="00A42FEA"/>
    <w:rsid w:val="00A431A2"/>
    <w:rsid w:val="00A4325A"/>
    <w:rsid w:val="00A433CB"/>
    <w:rsid w:val="00A43519"/>
    <w:rsid w:val="00A439C4"/>
    <w:rsid w:val="00A44530"/>
    <w:rsid w:val="00A4459D"/>
    <w:rsid w:val="00A44DB4"/>
    <w:rsid w:val="00A45374"/>
    <w:rsid w:val="00A4540F"/>
    <w:rsid w:val="00A45581"/>
    <w:rsid w:val="00A45634"/>
    <w:rsid w:val="00A456AF"/>
    <w:rsid w:val="00A457D7"/>
    <w:rsid w:val="00A45FC9"/>
    <w:rsid w:val="00A461C8"/>
    <w:rsid w:val="00A46323"/>
    <w:rsid w:val="00A4662F"/>
    <w:rsid w:val="00A46669"/>
    <w:rsid w:val="00A467C9"/>
    <w:rsid w:val="00A4693E"/>
    <w:rsid w:val="00A46AFA"/>
    <w:rsid w:val="00A46BFC"/>
    <w:rsid w:val="00A47643"/>
    <w:rsid w:val="00A47EDF"/>
    <w:rsid w:val="00A505FB"/>
    <w:rsid w:val="00A50ABB"/>
    <w:rsid w:val="00A50FB5"/>
    <w:rsid w:val="00A51606"/>
    <w:rsid w:val="00A51695"/>
    <w:rsid w:val="00A517C0"/>
    <w:rsid w:val="00A51854"/>
    <w:rsid w:val="00A51CA8"/>
    <w:rsid w:val="00A521CB"/>
    <w:rsid w:val="00A52A79"/>
    <w:rsid w:val="00A52CC2"/>
    <w:rsid w:val="00A5337F"/>
    <w:rsid w:val="00A539E1"/>
    <w:rsid w:val="00A539ED"/>
    <w:rsid w:val="00A5587D"/>
    <w:rsid w:val="00A55E48"/>
    <w:rsid w:val="00A563E9"/>
    <w:rsid w:val="00A565AC"/>
    <w:rsid w:val="00A565E7"/>
    <w:rsid w:val="00A5679D"/>
    <w:rsid w:val="00A56B48"/>
    <w:rsid w:val="00A57249"/>
    <w:rsid w:val="00A575F4"/>
    <w:rsid w:val="00A57B7D"/>
    <w:rsid w:val="00A57CBD"/>
    <w:rsid w:val="00A57D88"/>
    <w:rsid w:val="00A57E4E"/>
    <w:rsid w:val="00A6061F"/>
    <w:rsid w:val="00A6123D"/>
    <w:rsid w:val="00A614D8"/>
    <w:rsid w:val="00A619EE"/>
    <w:rsid w:val="00A61D9C"/>
    <w:rsid w:val="00A61DE5"/>
    <w:rsid w:val="00A62CA5"/>
    <w:rsid w:val="00A630E5"/>
    <w:rsid w:val="00A634FC"/>
    <w:rsid w:val="00A6362B"/>
    <w:rsid w:val="00A640E3"/>
    <w:rsid w:val="00A64A38"/>
    <w:rsid w:val="00A64C10"/>
    <w:rsid w:val="00A64DFA"/>
    <w:rsid w:val="00A6595A"/>
    <w:rsid w:val="00A6653E"/>
    <w:rsid w:val="00A66E75"/>
    <w:rsid w:val="00A66EC8"/>
    <w:rsid w:val="00A66EEE"/>
    <w:rsid w:val="00A67085"/>
    <w:rsid w:val="00A6747F"/>
    <w:rsid w:val="00A67491"/>
    <w:rsid w:val="00A70591"/>
    <w:rsid w:val="00A706AE"/>
    <w:rsid w:val="00A710C9"/>
    <w:rsid w:val="00A71218"/>
    <w:rsid w:val="00A7178E"/>
    <w:rsid w:val="00A718DD"/>
    <w:rsid w:val="00A72368"/>
    <w:rsid w:val="00A724D9"/>
    <w:rsid w:val="00A7259B"/>
    <w:rsid w:val="00A726EC"/>
    <w:rsid w:val="00A727A1"/>
    <w:rsid w:val="00A72BD9"/>
    <w:rsid w:val="00A73792"/>
    <w:rsid w:val="00A73B73"/>
    <w:rsid w:val="00A73F14"/>
    <w:rsid w:val="00A748C7"/>
    <w:rsid w:val="00A74C32"/>
    <w:rsid w:val="00A75414"/>
    <w:rsid w:val="00A76C76"/>
    <w:rsid w:val="00A76DD2"/>
    <w:rsid w:val="00A77260"/>
    <w:rsid w:val="00A77552"/>
    <w:rsid w:val="00A77619"/>
    <w:rsid w:val="00A77949"/>
    <w:rsid w:val="00A802FF"/>
    <w:rsid w:val="00A812F2"/>
    <w:rsid w:val="00A81D1B"/>
    <w:rsid w:val="00A820A0"/>
    <w:rsid w:val="00A824C5"/>
    <w:rsid w:val="00A8253B"/>
    <w:rsid w:val="00A82AF2"/>
    <w:rsid w:val="00A82B7F"/>
    <w:rsid w:val="00A82F21"/>
    <w:rsid w:val="00A8308A"/>
    <w:rsid w:val="00A83129"/>
    <w:rsid w:val="00A83508"/>
    <w:rsid w:val="00A837C2"/>
    <w:rsid w:val="00A83829"/>
    <w:rsid w:val="00A83891"/>
    <w:rsid w:val="00A83CA1"/>
    <w:rsid w:val="00A8478F"/>
    <w:rsid w:val="00A847BA"/>
    <w:rsid w:val="00A84911"/>
    <w:rsid w:val="00A84A28"/>
    <w:rsid w:val="00A852AA"/>
    <w:rsid w:val="00A8548D"/>
    <w:rsid w:val="00A8572E"/>
    <w:rsid w:val="00A85939"/>
    <w:rsid w:val="00A85AF5"/>
    <w:rsid w:val="00A8607B"/>
    <w:rsid w:val="00A8609A"/>
    <w:rsid w:val="00A867D7"/>
    <w:rsid w:val="00A86CCC"/>
    <w:rsid w:val="00A86EA6"/>
    <w:rsid w:val="00A8706D"/>
    <w:rsid w:val="00A87720"/>
    <w:rsid w:val="00A87B39"/>
    <w:rsid w:val="00A87FE6"/>
    <w:rsid w:val="00A903CB"/>
    <w:rsid w:val="00A9060E"/>
    <w:rsid w:val="00A90806"/>
    <w:rsid w:val="00A90945"/>
    <w:rsid w:val="00A90CA7"/>
    <w:rsid w:val="00A91179"/>
    <w:rsid w:val="00A9145B"/>
    <w:rsid w:val="00A91E0C"/>
    <w:rsid w:val="00A9214F"/>
    <w:rsid w:val="00A92773"/>
    <w:rsid w:val="00A93619"/>
    <w:rsid w:val="00A93F89"/>
    <w:rsid w:val="00A940CE"/>
    <w:rsid w:val="00A940F0"/>
    <w:rsid w:val="00A9482D"/>
    <w:rsid w:val="00A949A9"/>
    <w:rsid w:val="00A952A3"/>
    <w:rsid w:val="00A955F0"/>
    <w:rsid w:val="00A968C3"/>
    <w:rsid w:val="00A96B36"/>
    <w:rsid w:val="00A96BB9"/>
    <w:rsid w:val="00A96FC6"/>
    <w:rsid w:val="00A971FD"/>
    <w:rsid w:val="00A97748"/>
    <w:rsid w:val="00A97993"/>
    <w:rsid w:val="00A97A74"/>
    <w:rsid w:val="00A97ADE"/>
    <w:rsid w:val="00A97D67"/>
    <w:rsid w:val="00AA041F"/>
    <w:rsid w:val="00AA0774"/>
    <w:rsid w:val="00AA1391"/>
    <w:rsid w:val="00AA1B9C"/>
    <w:rsid w:val="00AA1BBC"/>
    <w:rsid w:val="00AA24B6"/>
    <w:rsid w:val="00AA27E7"/>
    <w:rsid w:val="00AA2DC4"/>
    <w:rsid w:val="00AA305A"/>
    <w:rsid w:val="00AA34D0"/>
    <w:rsid w:val="00AA3685"/>
    <w:rsid w:val="00AA3687"/>
    <w:rsid w:val="00AA3737"/>
    <w:rsid w:val="00AA392C"/>
    <w:rsid w:val="00AA3A5C"/>
    <w:rsid w:val="00AA3D87"/>
    <w:rsid w:val="00AA41DE"/>
    <w:rsid w:val="00AA5021"/>
    <w:rsid w:val="00AA55BA"/>
    <w:rsid w:val="00AA576C"/>
    <w:rsid w:val="00AA5B10"/>
    <w:rsid w:val="00AA5D62"/>
    <w:rsid w:val="00AA6029"/>
    <w:rsid w:val="00AA61FC"/>
    <w:rsid w:val="00AA640A"/>
    <w:rsid w:val="00AA65E5"/>
    <w:rsid w:val="00AA6CA6"/>
    <w:rsid w:val="00AA7032"/>
    <w:rsid w:val="00AA7277"/>
    <w:rsid w:val="00AA793B"/>
    <w:rsid w:val="00AB041C"/>
    <w:rsid w:val="00AB09D8"/>
    <w:rsid w:val="00AB0DE2"/>
    <w:rsid w:val="00AB127B"/>
    <w:rsid w:val="00AB1EEC"/>
    <w:rsid w:val="00AB3A2E"/>
    <w:rsid w:val="00AB3F30"/>
    <w:rsid w:val="00AB42D4"/>
    <w:rsid w:val="00AB4577"/>
    <w:rsid w:val="00AB4587"/>
    <w:rsid w:val="00AB50A0"/>
    <w:rsid w:val="00AB542B"/>
    <w:rsid w:val="00AB5515"/>
    <w:rsid w:val="00AB59D6"/>
    <w:rsid w:val="00AB5DA9"/>
    <w:rsid w:val="00AB5F71"/>
    <w:rsid w:val="00AB634E"/>
    <w:rsid w:val="00AB66F2"/>
    <w:rsid w:val="00AB6A3F"/>
    <w:rsid w:val="00AB779E"/>
    <w:rsid w:val="00AB7B29"/>
    <w:rsid w:val="00AB7F4D"/>
    <w:rsid w:val="00AC003C"/>
    <w:rsid w:val="00AC0F30"/>
    <w:rsid w:val="00AC1475"/>
    <w:rsid w:val="00AC169C"/>
    <w:rsid w:val="00AC18DC"/>
    <w:rsid w:val="00AC20E8"/>
    <w:rsid w:val="00AC21F7"/>
    <w:rsid w:val="00AC2992"/>
    <w:rsid w:val="00AC2DCD"/>
    <w:rsid w:val="00AC2E4A"/>
    <w:rsid w:val="00AC31EC"/>
    <w:rsid w:val="00AC35EA"/>
    <w:rsid w:val="00AC4446"/>
    <w:rsid w:val="00AC4774"/>
    <w:rsid w:val="00AC47A6"/>
    <w:rsid w:val="00AC47F7"/>
    <w:rsid w:val="00AC48C4"/>
    <w:rsid w:val="00AC527E"/>
    <w:rsid w:val="00AC59F6"/>
    <w:rsid w:val="00AC5A4B"/>
    <w:rsid w:val="00AC640F"/>
    <w:rsid w:val="00AC699A"/>
    <w:rsid w:val="00AC73AF"/>
    <w:rsid w:val="00AC74AD"/>
    <w:rsid w:val="00AC7598"/>
    <w:rsid w:val="00AC798E"/>
    <w:rsid w:val="00AC7D4A"/>
    <w:rsid w:val="00AD01B4"/>
    <w:rsid w:val="00AD08C2"/>
    <w:rsid w:val="00AD0B8C"/>
    <w:rsid w:val="00AD0F2A"/>
    <w:rsid w:val="00AD172F"/>
    <w:rsid w:val="00AD1DCF"/>
    <w:rsid w:val="00AD2215"/>
    <w:rsid w:val="00AD2648"/>
    <w:rsid w:val="00AD2D30"/>
    <w:rsid w:val="00AD2DCC"/>
    <w:rsid w:val="00AD3116"/>
    <w:rsid w:val="00AD3755"/>
    <w:rsid w:val="00AD39EC"/>
    <w:rsid w:val="00AD3A09"/>
    <w:rsid w:val="00AD3B86"/>
    <w:rsid w:val="00AD3D82"/>
    <w:rsid w:val="00AD43F8"/>
    <w:rsid w:val="00AD472C"/>
    <w:rsid w:val="00AD482A"/>
    <w:rsid w:val="00AD4DFC"/>
    <w:rsid w:val="00AD520C"/>
    <w:rsid w:val="00AD5664"/>
    <w:rsid w:val="00AD5B0D"/>
    <w:rsid w:val="00AD5E5D"/>
    <w:rsid w:val="00AD5EEA"/>
    <w:rsid w:val="00AD65D4"/>
    <w:rsid w:val="00AD6871"/>
    <w:rsid w:val="00AD6A70"/>
    <w:rsid w:val="00AD6CD2"/>
    <w:rsid w:val="00AD70AB"/>
    <w:rsid w:val="00AD7693"/>
    <w:rsid w:val="00AD7738"/>
    <w:rsid w:val="00AD7AE3"/>
    <w:rsid w:val="00AE009E"/>
    <w:rsid w:val="00AE0301"/>
    <w:rsid w:val="00AE0313"/>
    <w:rsid w:val="00AE0836"/>
    <w:rsid w:val="00AE1136"/>
    <w:rsid w:val="00AE14A4"/>
    <w:rsid w:val="00AE1622"/>
    <w:rsid w:val="00AE165B"/>
    <w:rsid w:val="00AE19F0"/>
    <w:rsid w:val="00AE1B21"/>
    <w:rsid w:val="00AE1C8F"/>
    <w:rsid w:val="00AE24E8"/>
    <w:rsid w:val="00AE2BF6"/>
    <w:rsid w:val="00AE2C0E"/>
    <w:rsid w:val="00AE2C1E"/>
    <w:rsid w:val="00AE308D"/>
    <w:rsid w:val="00AE3B4A"/>
    <w:rsid w:val="00AE4223"/>
    <w:rsid w:val="00AE4501"/>
    <w:rsid w:val="00AE4749"/>
    <w:rsid w:val="00AE4DB6"/>
    <w:rsid w:val="00AE55B2"/>
    <w:rsid w:val="00AE580C"/>
    <w:rsid w:val="00AE61B8"/>
    <w:rsid w:val="00AE61DC"/>
    <w:rsid w:val="00AE6539"/>
    <w:rsid w:val="00AE7258"/>
    <w:rsid w:val="00AE7504"/>
    <w:rsid w:val="00AE7666"/>
    <w:rsid w:val="00AE783C"/>
    <w:rsid w:val="00AF0265"/>
    <w:rsid w:val="00AF03D5"/>
    <w:rsid w:val="00AF0B9D"/>
    <w:rsid w:val="00AF0D5C"/>
    <w:rsid w:val="00AF0FD0"/>
    <w:rsid w:val="00AF12FF"/>
    <w:rsid w:val="00AF1535"/>
    <w:rsid w:val="00AF18EB"/>
    <w:rsid w:val="00AF1C9D"/>
    <w:rsid w:val="00AF225C"/>
    <w:rsid w:val="00AF247E"/>
    <w:rsid w:val="00AF290D"/>
    <w:rsid w:val="00AF2C38"/>
    <w:rsid w:val="00AF3983"/>
    <w:rsid w:val="00AF3B7F"/>
    <w:rsid w:val="00AF3ECC"/>
    <w:rsid w:val="00AF43A5"/>
    <w:rsid w:val="00AF4DA1"/>
    <w:rsid w:val="00AF534B"/>
    <w:rsid w:val="00AF5562"/>
    <w:rsid w:val="00AF574F"/>
    <w:rsid w:val="00AF5F2D"/>
    <w:rsid w:val="00AF61FE"/>
    <w:rsid w:val="00AF62F8"/>
    <w:rsid w:val="00AF65D3"/>
    <w:rsid w:val="00AF6A34"/>
    <w:rsid w:val="00AF6E92"/>
    <w:rsid w:val="00AF7A34"/>
    <w:rsid w:val="00AF7A47"/>
    <w:rsid w:val="00AF7B07"/>
    <w:rsid w:val="00B002C7"/>
    <w:rsid w:val="00B0126C"/>
    <w:rsid w:val="00B01C9D"/>
    <w:rsid w:val="00B02571"/>
    <w:rsid w:val="00B02992"/>
    <w:rsid w:val="00B02D94"/>
    <w:rsid w:val="00B030B1"/>
    <w:rsid w:val="00B0381B"/>
    <w:rsid w:val="00B03D6A"/>
    <w:rsid w:val="00B04342"/>
    <w:rsid w:val="00B047E9"/>
    <w:rsid w:val="00B04995"/>
    <w:rsid w:val="00B04A4B"/>
    <w:rsid w:val="00B04E0C"/>
    <w:rsid w:val="00B05061"/>
    <w:rsid w:val="00B050E3"/>
    <w:rsid w:val="00B05234"/>
    <w:rsid w:val="00B05297"/>
    <w:rsid w:val="00B05852"/>
    <w:rsid w:val="00B06AEA"/>
    <w:rsid w:val="00B06C12"/>
    <w:rsid w:val="00B07A6D"/>
    <w:rsid w:val="00B07DBB"/>
    <w:rsid w:val="00B100A3"/>
    <w:rsid w:val="00B10B82"/>
    <w:rsid w:val="00B10E4C"/>
    <w:rsid w:val="00B1141D"/>
    <w:rsid w:val="00B11784"/>
    <w:rsid w:val="00B11943"/>
    <w:rsid w:val="00B12030"/>
    <w:rsid w:val="00B120CF"/>
    <w:rsid w:val="00B12235"/>
    <w:rsid w:val="00B1356B"/>
    <w:rsid w:val="00B136F0"/>
    <w:rsid w:val="00B136F6"/>
    <w:rsid w:val="00B13E8C"/>
    <w:rsid w:val="00B1448C"/>
    <w:rsid w:val="00B1479C"/>
    <w:rsid w:val="00B14886"/>
    <w:rsid w:val="00B1511A"/>
    <w:rsid w:val="00B156DD"/>
    <w:rsid w:val="00B16338"/>
    <w:rsid w:val="00B16791"/>
    <w:rsid w:val="00B16926"/>
    <w:rsid w:val="00B16AB8"/>
    <w:rsid w:val="00B16F08"/>
    <w:rsid w:val="00B1781F"/>
    <w:rsid w:val="00B17970"/>
    <w:rsid w:val="00B17A2B"/>
    <w:rsid w:val="00B17D5F"/>
    <w:rsid w:val="00B17ED6"/>
    <w:rsid w:val="00B20037"/>
    <w:rsid w:val="00B2045D"/>
    <w:rsid w:val="00B206FC"/>
    <w:rsid w:val="00B20D70"/>
    <w:rsid w:val="00B21159"/>
    <w:rsid w:val="00B22326"/>
    <w:rsid w:val="00B2310F"/>
    <w:rsid w:val="00B23152"/>
    <w:rsid w:val="00B23352"/>
    <w:rsid w:val="00B23369"/>
    <w:rsid w:val="00B2338F"/>
    <w:rsid w:val="00B23BEF"/>
    <w:rsid w:val="00B24560"/>
    <w:rsid w:val="00B24FD8"/>
    <w:rsid w:val="00B25061"/>
    <w:rsid w:val="00B250C0"/>
    <w:rsid w:val="00B255DB"/>
    <w:rsid w:val="00B256F3"/>
    <w:rsid w:val="00B2598E"/>
    <w:rsid w:val="00B25BAC"/>
    <w:rsid w:val="00B25CAD"/>
    <w:rsid w:val="00B25DF4"/>
    <w:rsid w:val="00B2624C"/>
    <w:rsid w:val="00B26396"/>
    <w:rsid w:val="00B26FAB"/>
    <w:rsid w:val="00B276D3"/>
    <w:rsid w:val="00B27881"/>
    <w:rsid w:val="00B27EA0"/>
    <w:rsid w:val="00B27F7B"/>
    <w:rsid w:val="00B30ABA"/>
    <w:rsid w:val="00B31B4A"/>
    <w:rsid w:val="00B32098"/>
    <w:rsid w:val="00B32299"/>
    <w:rsid w:val="00B32F7D"/>
    <w:rsid w:val="00B3304C"/>
    <w:rsid w:val="00B330FC"/>
    <w:rsid w:val="00B33550"/>
    <w:rsid w:val="00B33610"/>
    <w:rsid w:val="00B34914"/>
    <w:rsid w:val="00B3537D"/>
    <w:rsid w:val="00B353B5"/>
    <w:rsid w:val="00B354E8"/>
    <w:rsid w:val="00B356B1"/>
    <w:rsid w:val="00B3583A"/>
    <w:rsid w:val="00B358D7"/>
    <w:rsid w:val="00B35A27"/>
    <w:rsid w:val="00B36091"/>
    <w:rsid w:val="00B3612A"/>
    <w:rsid w:val="00B3626B"/>
    <w:rsid w:val="00B3639D"/>
    <w:rsid w:val="00B3690D"/>
    <w:rsid w:val="00B3695A"/>
    <w:rsid w:val="00B3697B"/>
    <w:rsid w:val="00B36A2F"/>
    <w:rsid w:val="00B36BCA"/>
    <w:rsid w:val="00B37916"/>
    <w:rsid w:val="00B40CB3"/>
    <w:rsid w:val="00B41589"/>
    <w:rsid w:val="00B416B0"/>
    <w:rsid w:val="00B418AE"/>
    <w:rsid w:val="00B41BEA"/>
    <w:rsid w:val="00B4231C"/>
    <w:rsid w:val="00B4275D"/>
    <w:rsid w:val="00B42793"/>
    <w:rsid w:val="00B43267"/>
    <w:rsid w:val="00B43360"/>
    <w:rsid w:val="00B434DE"/>
    <w:rsid w:val="00B43990"/>
    <w:rsid w:val="00B440CF"/>
    <w:rsid w:val="00B4424B"/>
    <w:rsid w:val="00B44350"/>
    <w:rsid w:val="00B445AD"/>
    <w:rsid w:val="00B446DA"/>
    <w:rsid w:val="00B4479A"/>
    <w:rsid w:val="00B447F1"/>
    <w:rsid w:val="00B44B97"/>
    <w:rsid w:val="00B44ED1"/>
    <w:rsid w:val="00B457F4"/>
    <w:rsid w:val="00B45D04"/>
    <w:rsid w:val="00B469E0"/>
    <w:rsid w:val="00B46C84"/>
    <w:rsid w:val="00B47103"/>
    <w:rsid w:val="00B4726B"/>
    <w:rsid w:val="00B476D3"/>
    <w:rsid w:val="00B47942"/>
    <w:rsid w:val="00B50187"/>
    <w:rsid w:val="00B501FE"/>
    <w:rsid w:val="00B50AC0"/>
    <w:rsid w:val="00B50AEF"/>
    <w:rsid w:val="00B50AFA"/>
    <w:rsid w:val="00B51377"/>
    <w:rsid w:val="00B51A6D"/>
    <w:rsid w:val="00B51C09"/>
    <w:rsid w:val="00B535A0"/>
    <w:rsid w:val="00B536BB"/>
    <w:rsid w:val="00B54095"/>
    <w:rsid w:val="00B542E1"/>
    <w:rsid w:val="00B54C88"/>
    <w:rsid w:val="00B5537E"/>
    <w:rsid w:val="00B55390"/>
    <w:rsid w:val="00B55412"/>
    <w:rsid w:val="00B559E5"/>
    <w:rsid w:val="00B55B04"/>
    <w:rsid w:val="00B55B3A"/>
    <w:rsid w:val="00B5623D"/>
    <w:rsid w:val="00B56317"/>
    <w:rsid w:val="00B56837"/>
    <w:rsid w:val="00B56C08"/>
    <w:rsid w:val="00B56CAF"/>
    <w:rsid w:val="00B57222"/>
    <w:rsid w:val="00B57950"/>
    <w:rsid w:val="00B57C72"/>
    <w:rsid w:val="00B60061"/>
    <w:rsid w:val="00B601FF"/>
    <w:rsid w:val="00B60543"/>
    <w:rsid w:val="00B60577"/>
    <w:rsid w:val="00B6074F"/>
    <w:rsid w:val="00B611E8"/>
    <w:rsid w:val="00B62613"/>
    <w:rsid w:val="00B62774"/>
    <w:rsid w:val="00B62894"/>
    <w:rsid w:val="00B63065"/>
    <w:rsid w:val="00B6337B"/>
    <w:rsid w:val="00B6338D"/>
    <w:rsid w:val="00B6342B"/>
    <w:rsid w:val="00B63BD2"/>
    <w:rsid w:val="00B6464B"/>
    <w:rsid w:val="00B64785"/>
    <w:rsid w:val="00B64CFB"/>
    <w:rsid w:val="00B65759"/>
    <w:rsid w:val="00B65863"/>
    <w:rsid w:val="00B65939"/>
    <w:rsid w:val="00B659C5"/>
    <w:rsid w:val="00B65AC8"/>
    <w:rsid w:val="00B6649D"/>
    <w:rsid w:val="00B66CFB"/>
    <w:rsid w:val="00B66E73"/>
    <w:rsid w:val="00B67314"/>
    <w:rsid w:val="00B6744E"/>
    <w:rsid w:val="00B6746F"/>
    <w:rsid w:val="00B6757D"/>
    <w:rsid w:val="00B67A11"/>
    <w:rsid w:val="00B67CD5"/>
    <w:rsid w:val="00B67FAE"/>
    <w:rsid w:val="00B7008C"/>
    <w:rsid w:val="00B7027F"/>
    <w:rsid w:val="00B70281"/>
    <w:rsid w:val="00B70B5E"/>
    <w:rsid w:val="00B710CC"/>
    <w:rsid w:val="00B710FF"/>
    <w:rsid w:val="00B7166A"/>
    <w:rsid w:val="00B7211B"/>
    <w:rsid w:val="00B72344"/>
    <w:rsid w:val="00B72462"/>
    <w:rsid w:val="00B7293B"/>
    <w:rsid w:val="00B72D36"/>
    <w:rsid w:val="00B7388A"/>
    <w:rsid w:val="00B73B15"/>
    <w:rsid w:val="00B73BDD"/>
    <w:rsid w:val="00B73FBA"/>
    <w:rsid w:val="00B74670"/>
    <w:rsid w:val="00B74989"/>
    <w:rsid w:val="00B75764"/>
    <w:rsid w:val="00B758AB"/>
    <w:rsid w:val="00B75AD4"/>
    <w:rsid w:val="00B75B1D"/>
    <w:rsid w:val="00B761C0"/>
    <w:rsid w:val="00B76290"/>
    <w:rsid w:val="00B76AFB"/>
    <w:rsid w:val="00B76D21"/>
    <w:rsid w:val="00B77051"/>
    <w:rsid w:val="00B772EC"/>
    <w:rsid w:val="00B77505"/>
    <w:rsid w:val="00B77F07"/>
    <w:rsid w:val="00B77FBF"/>
    <w:rsid w:val="00B8000D"/>
    <w:rsid w:val="00B802A8"/>
    <w:rsid w:val="00B807F5"/>
    <w:rsid w:val="00B808C4"/>
    <w:rsid w:val="00B80BA4"/>
    <w:rsid w:val="00B80D0E"/>
    <w:rsid w:val="00B811FE"/>
    <w:rsid w:val="00B812A0"/>
    <w:rsid w:val="00B81533"/>
    <w:rsid w:val="00B81BC4"/>
    <w:rsid w:val="00B81DF1"/>
    <w:rsid w:val="00B82205"/>
    <w:rsid w:val="00B82611"/>
    <w:rsid w:val="00B82CD4"/>
    <w:rsid w:val="00B82DE9"/>
    <w:rsid w:val="00B83121"/>
    <w:rsid w:val="00B831D0"/>
    <w:rsid w:val="00B834E6"/>
    <w:rsid w:val="00B834E7"/>
    <w:rsid w:val="00B83707"/>
    <w:rsid w:val="00B83719"/>
    <w:rsid w:val="00B838B2"/>
    <w:rsid w:val="00B83B4F"/>
    <w:rsid w:val="00B83DE7"/>
    <w:rsid w:val="00B83F73"/>
    <w:rsid w:val="00B84418"/>
    <w:rsid w:val="00B84974"/>
    <w:rsid w:val="00B84AC2"/>
    <w:rsid w:val="00B84CB3"/>
    <w:rsid w:val="00B84D0C"/>
    <w:rsid w:val="00B852FA"/>
    <w:rsid w:val="00B854CA"/>
    <w:rsid w:val="00B860A3"/>
    <w:rsid w:val="00B860EA"/>
    <w:rsid w:val="00B86367"/>
    <w:rsid w:val="00B86836"/>
    <w:rsid w:val="00B86A15"/>
    <w:rsid w:val="00B86F4A"/>
    <w:rsid w:val="00B8762B"/>
    <w:rsid w:val="00B90030"/>
    <w:rsid w:val="00B90676"/>
    <w:rsid w:val="00B90DD5"/>
    <w:rsid w:val="00B90E82"/>
    <w:rsid w:val="00B914D2"/>
    <w:rsid w:val="00B91F9F"/>
    <w:rsid w:val="00B92302"/>
    <w:rsid w:val="00B92A87"/>
    <w:rsid w:val="00B9366C"/>
    <w:rsid w:val="00B93C13"/>
    <w:rsid w:val="00B94646"/>
    <w:rsid w:val="00B949DE"/>
    <w:rsid w:val="00B94AD8"/>
    <w:rsid w:val="00B94C01"/>
    <w:rsid w:val="00B94F59"/>
    <w:rsid w:val="00B95395"/>
    <w:rsid w:val="00B953B4"/>
    <w:rsid w:val="00B95D0C"/>
    <w:rsid w:val="00B95D71"/>
    <w:rsid w:val="00B96055"/>
    <w:rsid w:val="00B96198"/>
    <w:rsid w:val="00B9696A"/>
    <w:rsid w:val="00B96C18"/>
    <w:rsid w:val="00B96D8B"/>
    <w:rsid w:val="00B971DD"/>
    <w:rsid w:val="00B97220"/>
    <w:rsid w:val="00B97332"/>
    <w:rsid w:val="00B97BA3"/>
    <w:rsid w:val="00B97E97"/>
    <w:rsid w:val="00BA04AD"/>
    <w:rsid w:val="00BA1986"/>
    <w:rsid w:val="00BA1F8D"/>
    <w:rsid w:val="00BA2B4E"/>
    <w:rsid w:val="00BA302B"/>
    <w:rsid w:val="00BA34C5"/>
    <w:rsid w:val="00BA3555"/>
    <w:rsid w:val="00BA3712"/>
    <w:rsid w:val="00BA39E2"/>
    <w:rsid w:val="00BA3D1A"/>
    <w:rsid w:val="00BA40BD"/>
    <w:rsid w:val="00BA44EC"/>
    <w:rsid w:val="00BA4564"/>
    <w:rsid w:val="00BA4798"/>
    <w:rsid w:val="00BA49B4"/>
    <w:rsid w:val="00BA5616"/>
    <w:rsid w:val="00BA65B1"/>
    <w:rsid w:val="00BA6B16"/>
    <w:rsid w:val="00BA6B77"/>
    <w:rsid w:val="00BA7858"/>
    <w:rsid w:val="00BA7A25"/>
    <w:rsid w:val="00BA7C77"/>
    <w:rsid w:val="00BA7FF5"/>
    <w:rsid w:val="00BB0046"/>
    <w:rsid w:val="00BB0454"/>
    <w:rsid w:val="00BB0C60"/>
    <w:rsid w:val="00BB0FD3"/>
    <w:rsid w:val="00BB1E71"/>
    <w:rsid w:val="00BB2132"/>
    <w:rsid w:val="00BB3011"/>
    <w:rsid w:val="00BB32C5"/>
    <w:rsid w:val="00BB37CB"/>
    <w:rsid w:val="00BB39ED"/>
    <w:rsid w:val="00BB3F49"/>
    <w:rsid w:val="00BB425B"/>
    <w:rsid w:val="00BB476F"/>
    <w:rsid w:val="00BB4C6F"/>
    <w:rsid w:val="00BB4D99"/>
    <w:rsid w:val="00BB548E"/>
    <w:rsid w:val="00BB59FD"/>
    <w:rsid w:val="00BB5C86"/>
    <w:rsid w:val="00BB646F"/>
    <w:rsid w:val="00BB6525"/>
    <w:rsid w:val="00BB6939"/>
    <w:rsid w:val="00BB7617"/>
    <w:rsid w:val="00BB7728"/>
    <w:rsid w:val="00BC03BE"/>
    <w:rsid w:val="00BC0B7D"/>
    <w:rsid w:val="00BC14B5"/>
    <w:rsid w:val="00BC178C"/>
    <w:rsid w:val="00BC18FE"/>
    <w:rsid w:val="00BC1C94"/>
    <w:rsid w:val="00BC236E"/>
    <w:rsid w:val="00BC26D4"/>
    <w:rsid w:val="00BC3311"/>
    <w:rsid w:val="00BC3732"/>
    <w:rsid w:val="00BC3C6E"/>
    <w:rsid w:val="00BC3F1E"/>
    <w:rsid w:val="00BC409A"/>
    <w:rsid w:val="00BC4146"/>
    <w:rsid w:val="00BC44FC"/>
    <w:rsid w:val="00BC4578"/>
    <w:rsid w:val="00BC45D7"/>
    <w:rsid w:val="00BC46E1"/>
    <w:rsid w:val="00BC4A7A"/>
    <w:rsid w:val="00BC4B0C"/>
    <w:rsid w:val="00BC5878"/>
    <w:rsid w:val="00BC62E5"/>
    <w:rsid w:val="00BC71FC"/>
    <w:rsid w:val="00BC77F9"/>
    <w:rsid w:val="00BC78B2"/>
    <w:rsid w:val="00BD009A"/>
    <w:rsid w:val="00BD028C"/>
    <w:rsid w:val="00BD08E5"/>
    <w:rsid w:val="00BD0CE1"/>
    <w:rsid w:val="00BD0E1B"/>
    <w:rsid w:val="00BD1526"/>
    <w:rsid w:val="00BD1740"/>
    <w:rsid w:val="00BD1815"/>
    <w:rsid w:val="00BD190B"/>
    <w:rsid w:val="00BD20E0"/>
    <w:rsid w:val="00BD2186"/>
    <w:rsid w:val="00BD2446"/>
    <w:rsid w:val="00BD246B"/>
    <w:rsid w:val="00BD2481"/>
    <w:rsid w:val="00BD24EA"/>
    <w:rsid w:val="00BD2788"/>
    <w:rsid w:val="00BD27B5"/>
    <w:rsid w:val="00BD34E7"/>
    <w:rsid w:val="00BD3727"/>
    <w:rsid w:val="00BD3877"/>
    <w:rsid w:val="00BD398E"/>
    <w:rsid w:val="00BD3C6D"/>
    <w:rsid w:val="00BD3EF0"/>
    <w:rsid w:val="00BD4023"/>
    <w:rsid w:val="00BD4463"/>
    <w:rsid w:val="00BD4630"/>
    <w:rsid w:val="00BD47DC"/>
    <w:rsid w:val="00BD48DF"/>
    <w:rsid w:val="00BD495D"/>
    <w:rsid w:val="00BD4C7D"/>
    <w:rsid w:val="00BD4CCE"/>
    <w:rsid w:val="00BD507B"/>
    <w:rsid w:val="00BD5834"/>
    <w:rsid w:val="00BD5B1C"/>
    <w:rsid w:val="00BD5E74"/>
    <w:rsid w:val="00BD60AD"/>
    <w:rsid w:val="00BD6201"/>
    <w:rsid w:val="00BD6216"/>
    <w:rsid w:val="00BD6D42"/>
    <w:rsid w:val="00BD7078"/>
    <w:rsid w:val="00BD7415"/>
    <w:rsid w:val="00BD759B"/>
    <w:rsid w:val="00BD7F4B"/>
    <w:rsid w:val="00BE0211"/>
    <w:rsid w:val="00BE0792"/>
    <w:rsid w:val="00BE0A38"/>
    <w:rsid w:val="00BE0F35"/>
    <w:rsid w:val="00BE1E38"/>
    <w:rsid w:val="00BE20B2"/>
    <w:rsid w:val="00BE21E3"/>
    <w:rsid w:val="00BE227D"/>
    <w:rsid w:val="00BE2396"/>
    <w:rsid w:val="00BE23D3"/>
    <w:rsid w:val="00BE2F6D"/>
    <w:rsid w:val="00BE2FE0"/>
    <w:rsid w:val="00BE347E"/>
    <w:rsid w:val="00BE39B1"/>
    <w:rsid w:val="00BE3F5D"/>
    <w:rsid w:val="00BE4196"/>
    <w:rsid w:val="00BE496A"/>
    <w:rsid w:val="00BE4B60"/>
    <w:rsid w:val="00BE4D05"/>
    <w:rsid w:val="00BE54C6"/>
    <w:rsid w:val="00BE6212"/>
    <w:rsid w:val="00BE628A"/>
    <w:rsid w:val="00BE671B"/>
    <w:rsid w:val="00BE69BA"/>
    <w:rsid w:val="00BE6EE7"/>
    <w:rsid w:val="00BE711E"/>
    <w:rsid w:val="00BE78AD"/>
    <w:rsid w:val="00BE7917"/>
    <w:rsid w:val="00BE7F17"/>
    <w:rsid w:val="00BF06D6"/>
    <w:rsid w:val="00BF0BB9"/>
    <w:rsid w:val="00BF1031"/>
    <w:rsid w:val="00BF16EF"/>
    <w:rsid w:val="00BF1889"/>
    <w:rsid w:val="00BF1CE4"/>
    <w:rsid w:val="00BF229C"/>
    <w:rsid w:val="00BF2989"/>
    <w:rsid w:val="00BF29A4"/>
    <w:rsid w:val="00BF30FA"/>
    <w:rsid w:val="00BF3621"/>
    <w:rsid w:val="00BF3A70"/>
    <w:rsid w:val="00BF3C1A"/>
    <w:rsid w:val="00BF4336"/>
    <w:rsid w:val="00BF43B2"/>
    <w:rsid w:val="00BF44A1"/>
    <w:rsid w:val="00BF47E9"/>
    <w:rsid w:val="00BF4FC6"/>
    <w:rsid w:val="00BF5136"/>
    <w:rsid w:val="00BF51F0"/>
    <w:rsid w:val="00BF5592"/>
    <w:rsid w:val="00BF57D0"/>
    <w:rsid w:val="00BF58C4"/>
    <w:rsid w:val="00BF6EE6"/>
    <w:rsid w:val="00BF7081"/>
    <w:rsid w:val="00BF749F"/>
    <w:rsid w:val="00BF784E"/>
    <w:rsid w:val="00BF78DB"/>
    <w:rsid w:val="00BF7A1F"/>
    <w:rsid w:val="00BF7F0F"/>
    <w:rsid w:val="00BF7FF0"/>
    <w:rsid w:val="00C000C2"/>
    <w:rsid w:val="00C00637"/>
    <w:rsid w:val="00C01AD9"/>
    <w:rsid w:val="00C01F57"/>
    <w:rsid w:val="00C02198"/>
    <w:rsid w:val="00C02D08"/>
    <w:rsid w:val="00C037BB"/>
    <w:rsid w:val="00C03CDB"/>
    <w:rsid w:val="00C044D4"/>
    <w:rsid w:val="00C04767"/>
    <w:rsid w:val="00C048EB"/>
    <w:rsid w:val="00C05055"/>
    <w:rsid w:val="00C0593A"/>
    <w:rsid w:val="00C05992"/>
    <w:rsid w:val="00C0605E"/>
    <w:rsid w:val="00C061D1"/>
    <w:rsid w:val="00C067B3"/>
    <w:rsid w:val="00C071C2"/>
    <w:rsid w:val="00C075AC"/>
    <w:rsid w:val="00C077EB"/>
    <w:rsid w:val="00C0792A"/>
    <w:rsid w:val="00C07E7B"/>
    <w:rsid w:val="00C1002E"/>
    <w:rsid w:val="00C10491"/>
    <w:rsid w:val="00C104B6"/>
    <w:rsid w:val="00C10724"/>
    <w:rsid w:val="00C10850"/>
    <w:rsid w:val="00C10AA1"/>
    <w:rsid w:val="00C10E8E"/>
    <w:rsid w:val="00C1113E"/>
    <w:rsid w:val="00C1132F"/>
    <w:rsid w:val="00C11536"/>
    <w:rsid w:val="00C11CA2"/>
    <w:rsid w:val="00C11DCF"/>
    <w:rsid w:val="00C12342"/>
    <w:rsid w:val="00C1239A"/>
    <w:rsid w:val="00C124BE"/>
    <w:rsid w:val="00C12F09"/>
    <w:rsid w:val="00C135A9"/>
    <w:rsid w:val="00C13AB4"/>
    <w:rsid w:val="00C13D4F"/>
    <w:rsid w:val="00C1408F"/>
    <w:rsid w:val="00C142A6"/>
    <w:rsid w:val="00C14800"/>
    <w:rsid w:val="00C14FF7"/>
    <w:rsid w:val="00C15191"/>
    <w:rsid w:val="00C15328"/>
    <w:rsid w:val="00C15C35"/>
    <w:rsid w:val="00C16210"/>
    <w:rsid w:val="00C16258"/>
    <w:rsid w:val="00C16672"/>
    <w:rsid w:val="00C1668A"/>
    <w:rsid w:val="00C167DD"/>
    <w:rsid w:val="00C16DD1"/>
    <w:rsid w:val="00C16EC7"/>
    <w:rsid w:val="00C17442"/>
    <w:rsid w:val="00C17466"/>
    <w:rsid w:val="00C17485"/>
    <w:rsid w:val="00C1794F"/>
    <w:rsid w:val="00C200EE"/>
    <w:rsid w:val="00C203AE"/>
    <w:rsid w:val="00C20621"/>
    <w:rsid w:val="00C20D77"/>
    <w:rsid w:val="00C20E1F"/>
    <w:rsid w:val="00C20F86"/>
    <w:rsid w:val="00C2116E"/>
    <w:rsid w:val="00C21793"/>
    <w:rsid w:val="00C219F5"/>
    <w:rsid w:val="00C22640"/>
    <w:rsid w:val="00C22AA4"/>
    <w:rsid w:val="00C23749"/>
    <w:rsid w:val="00C23B79"/>
    <w:rsid w:val="00C23E1D"/>
    <w:rsid w:val="00C244ED"/>
    <w:rsid w:val="00C24691"/>
    <w:rsid w:val="00C24B2E"/>
    <w:rsid w:val="00C24E24"/>
    <w:rsid w:val="00C25467"/>
    <w:rsid w:val="00C25808"/>
    <w:rsid w:val="00C25915"/>
    <w:rsid w:val="00C25E2A"/>
    <w:rsid w:val="00C25E86"/>
    <w:rsid w:val="00C26430"/>
    <w:rsid w:val="00C26C77"/>
    <w:rsid w:val="00C27024"/>
    <w:rsid w:val="00C2749D"/>
    <w:rsid w:val="00C27635"/>
    <w:rsid w:val="00C2779D"/>
    <w:rsid w:val="00C3042C"/>
    <w:rsid w:val="00C317A8"/>
    <w:rsid w:val="00C3191D"/>
    <w:rsid w:val="00C3202A"/>
    <w:rsid w:val="00C320F8"/>
    <w:rsid w:val="00C32369"/>
    <w:rsid w:val="00C3240B"/>
    <w:rsid w:val="00C32759"/>
    <w:rsid w:val="00C3279E"/>
    <w:rsid w:val="00C329FF"/>
    <w:rsid w:val="00C32B28"/>
    <w:rsid w:val="00C33281"/>
    <w:rsid w:val="00C342D1"/>
    <w:rsid w:val="00C34DFA"/>
    <w:rsid w:val="00C34FBF"/>
    <w:rsid w:val="00C35487"/>
    <w:rsid w:val="00C357BA"/>
    <w:rsid w:val="00C35D07"/>
    <w:rsid w:val="00C35E07"/>
    <w:rsid w:val="00C3629F"/>
    <w:rsid w:val="00C365F4"/>
    <w:rsid w:val="00C36FC6"/>
    <w:rsid w:val="00C37171"/>
    <w:rsid w:val="00C373B3"/>
    <w:rsid w:val="00C3782A"/>
    <w:rsid w:val="00C404A1"/>
    <w:rsid w:val="00C40BC6"/>
    <w:rsid w:val="00C41127"/>
    <w:rsid w:val="00C41A06"/>
    <w:rsid w:val="00C41DE0"/>
    <w:rsid w:val="00C4221C"/>
    <w:rsid w:val="00C4272A"/>
    <w:rsid w:val="00C43312"/>
    <w:rsid w:val="00C4344B"/>
    <w:rsid w:val="00C435B6"/>
    <w:rsid w:val="00C4399A"/>
    <w:rsid w:val="00C43D3F"/>
    <w:rsid w:val="00C43DD1"/>
    <w:rsid w:val="00C43FEE"/>
    <w:rsid w:val="00C44027"/>
    <w:rsid w:val="00C447D6"/>
    <w:rsid w:val="00C44825"/>
    <w:rsid w:val="00C45143"/>
    <w:rsid w:val="00C45528"/>
    <w:rsid w:val="00C46590"/>
    <w:rsid w:val="00C46B8F"/>
    <w:rsid w:val="00C46C24"/>
    <w:rsid w:val="00C46FAF"/>
    <w:rsid w:val="00C479C3"/>
    <w:rsid w:val="00C47A14"/>
    <w:rsid w:val="00C50184"/>
    <w:rsid w:val="00C503AF"/>
    <w:rsid w:val="00C507A6"/>
    <w:rsid w:val="00C50C27"/>
    <w:rsid w:val="00C5104B"/>
    <w:rsid w:val="00C51366"/>
    <w:rsid w:val="00C52AB0"/>
    <w:rsid w:val="00C52C6D"/>
    <w:rsid w:val="00C52D2E"/>
    <w:rsid w:val="00C53650"/>
    <w:rsid w:val="00C53736"/>
    <w:rsid w:val="00C5376B"/>
    <w:rsid w:val="00C54080"/>
    <w:rsid w:val="00C545D4"/>
    <w:rsid w:val="00C54B63"/>
    <w:rsid w:val="00C55288"/>
    <w:rsid w:val="00C55786"/>
    <w:rsid w:val="00C558B2"/>
    <w:rsid w:val="00C55BC7"/>
    <w:rsid w:val="00C55FAC"/>
    <w:rsid w:val="00C5641E"/>
    <w:rsid w:val="00C564D4"/>
    <w:rsid w:val="00C56BF7"/>
    <w:rsid w:val="00C57389"/>
    <w:rsid w:val="00C57614"/>
    <w:rsid w:val="00C57A24"/>
    <w:rsid w:val="00C57D9F"/>
    <w:rsid w:val="00C57EC9"/>
    <w:rsid w:val="00C60271"/>
    <w:rsid w:val="00C6053F"/>
    <w:rsid w:val="00C60561"/>
    <w:rsid w:val="00C60AD7"/>
    <w:rsid w:val="00C60B6A"/>
    <w:rsid w:val="00C60BDD"/>
    <w:rsid w:val="00C60E08"/>
    <w:rsid w:val="00C615F0"/>
    <w:rsid w:val="00C61791"/>
    <w:rsid w:val="00C61C09"/>
    <w:rsid w:val="00C61CFC"/>
    <w:rsid w:val="00C625C8"/>
    <w:rsid w:val="00C629E2"/>
    <w:rsid w:val="00C631A6"/>
    <w:rsid w:val="00C63B59"/>
    <w:rsid w:val="00C63D94"/>
    <w:rsid w:val="00C63E05"/>
    <w:rsid w:val="00C63E72"/>
    <w:rsid w:val="00C65103"/>
    <w:rsid w:val="00C65164"/>
    <w:rsid w:val="00C659AA"/>
    <w:rsid w:val="00C66380"/>
    <w:rsid w:val="00C665F4"/>
    <w:rsid w:val="00C666C8"/>
    <w:rsid w:val="00C66975"/>
    <w:rsid w:val="00C66EFA"/>
    <w:rsid w:val="00C67181"/>
    <w:rsid w:val="00C6721F"/>
    <w:rsid w:val="00C67505"/>
    <w:rsid w:val="00C677C9"/>
    <w:rsid w:val="00C677DA"/>
    <w:rsid w:val="00C6793C"/>
    <w:rsid w:val="00C67A0A"/>
    <w:rsid w:val="00C67AAA"/>
    <w:rsid w:val="00C701FB"/>
    <w:rsid w:val="00C70230"/>
    <w:rsid w:val="00C7077D"/>
    <w:rsid w:val="00C70831"/>
    <w:rsid w:val="00C70A1E"/>
    <w:rsid w:val="00C70CE4"/>
    <w:rsid w:val="00C70F93"/>
    <w:rsid w:val="00C7124F"/>
    <w:rsid w:val="00C71941"/>
    <w:rsid w:val="00C71A2B"/>
    <w:rsid w:val="00C71A68"/>
    <w:rsid w:val="00C71B19"/>
    <w:rsid w:val="00C72717"/>
    <w:rsid w:val="00C72A06"/>
    <w:rsid w:val="00C72A4A"/>
    <w:rsid w:val="00C72BFB"/>
    <w:rsid w:val="00C72DB7"/>
    <w:rsid w:val="00C736EE"/>
    <w:rsid w:val="00C73C57"/>
    <w:rsid w:val="00C73D00"/>
    <w:rsid w:val="00C74315"/>
    <w:rsid w:val="00C74553"/>
    <w:rsid w:val="00C74AEB"/>
    <w:rsid w:val="00C74FE0"/>
    <w:rsid w:val="00C750AF"/>
    <w:rsid w:val="00C75954"/>
    <w:rsid w:val="00C75D9E"/>
    <w:rsid w:val="00C7603C"/>
    <w:rsid w:val="00C7654C"/>
    <w:rsid w:val="00C765B5"/>
    <w:rsid w:val="00C7667D"/>
    <w:rsid w:val="00C76B39"/>
    <w:rsid w:val="00C76F9C"/>
    <w:rsid w:val="00C77637"/>
    <w:rsid w:val="00C778B2"/>
    <w:rsid w:val="00C7795F"/>
    <w:rsid w:val="00C77C39"/>
    <w:rsid w:val="00C8001E"/>
    <w:rsid w:val="00C805D3"/>
    <w:rsid w:val="00C80DAD"/>
    <w:rsid w:val="00C813BB"/>
    <w:rsid w:val="00C816C4"/>
    <w:rsid w:val="00C819DB"/>
    <w:rsid w:val="00C820CA"/>
    <w:rsid w:val="00C82337"/>
    <w:rsid w:val="00C82640"/>
    <w:rsid w:val="00C82903"/>
    <w:rsid w:val="00C82B44"/>
    <w:rsid w:val="00C82FBC"/>
    <w:rsid w:val="00C8347D"/>
    <w:rsid w:val="00C83527"/>
    <w:rsid w:val="00C83585"/>
    <w:rsid w:val="00C83796"/>
    <w:rsid w:val="00C83919"/>
    <w:rsid w:val="00C83B73"/>
    <w:rsid w:val="00C848DF"/>
    <w:rsid w:val="00C84AAA"/>
    <w:rsid w:val="00C851DF"/>
    <w:rsid w:val="00C8554D"/>
    <w:rsid w:val="00C859AC"/>
    <w:rsid w:val="00C85DC6"/>
    <w:rsid w:val="00C863A4"/>
    <w:rsid w:val="00C86518"/>
    <w:rsid w:val="00C8661C"/>
    <w:rsid w:val="00C866EF"/>
    <w:rsid w:val="00C86B18"/>
    <w:rsid w:val="00C877C2"/>
    <w:rsid w:val="00C8795F"/>
    <w:rsid w:val="00C87A3F"/>
    <w:rsid w:val="00C87C53"/>
    <w:rsid w:val="00C90117"/>
    <w:rsid w:val="00C90DB2"/>
    <w:rsid w:val="00C91860"/>
    <w:rsid w:val="00C91868"/>
    <w:rsid w:val="00C918EF"/>
    <w:rsid w:val="00C91C19"/>
    <w:rsid w:val="00C92294"/>
    <w:rsid w:val="00C9229F"/>
    <w:rsid w:val="00C92382"/>
    <w:rsid w:val="00C92DAA"/>
    <w:rsid w:val="00C93286"/>
    <w:rsid w:val="00C93B2B"/>
    <w:rsid w:val="00C93CD7"/>
    <w:rsid w:val="00C942DE"/>
    <w:rsid w:val="00C94F60"/>
    <w:rsid w:val="00C954C9"/>
    <w:rsid w:val="00C9625B"/>
    <w:rsid w:val="00C96262"/>
    <w:rsid w:val="00C96C05"/>
    <w:rsid w:val="00C96CDF"/>
    <w:rsid w:val="00C97090"/>
    <w:rsid w:val="00C97C11"/>
    <w:rsid w:val="00C97D5D"/>
    <w:rsid w:val="00C97E86"/>
    <w:rsid w:val="00CA06FD"/>
    <w:rsid w:val="00CA1826"/>
    <w:rsid w:val="00CA1918"/>
    <w:rsid w:val="00CA1E87"/>
    <w:rsid w:val="00CA22D2"/>
    <w:rsid w:val="00CA233D"/>
    <w:rsid w:val="00CA355D"/>
    <w:rsid w:val="00CA366F"/>
    <w:rsid w:val="00CA4113"/>
    <w:rsid w:val="00CA4E90"/>
    <w:rsid w:val="00CA50D9"/>
    <w:rsid w:val="00CA52AC"/>
    <w:rsid w:val="00CA5B49"/>
    <w:rsid w:val="00CA5E61"/>
    <w:rsid w:val="00CA6462"/>
    <w:rsid w:val="00CA6646"/>
    <w:rsid w:val="00CA6A6B"/>
    <w:rsid w:val="00CA730F"/>
    <w:rsid w:val="00CA73EF"/>
    <w:rsid w:val="00CA74E5"/>
    <w:rsid w:val="00CA77A5"/>
    <w:rsid w:val="00CA7AAE"/>
    <w:rsid w:val="00CA7C54"/>
    <w:rsid w:val="00CA7E83"/>
    <w:rsid w:val="00CA7FBF"/>
    <w:rsid w:val="00CB05BC"/>
    <w:rsid w:val="00CB0DB4"/>
    <w:rsid w:val="00CB0E5C"/>
    <w:rsid w:val="00CB0FE2"/>
    <w:rsid w:val="00CB1B7D"/>
    <w:rsid w:val="00CB1ECD"/>
    <w:rsid w:val="00CB1FC5"/>
    <w:rsid w:val="00CB20C2"/>
    <w:rsid w:val="00CB24CB"/>
    <w:rsid w:val="00CB2B91"/>
    <w:rsid w:val="00CB2D12"/>
    <w:rsid w:val="00CB2F9F"/>
    <w:rsid w:val="00CB31B8"/>
    <w:rsid w:val="00CB35F7"/>
    <w:rsid w:val="00CB39DC"/>
    <w:rsid w:val="00CB3B15"/>
    <w:rsid w:val="00CB4437"/>
    <w:rsid w:val="00CB4590"/>
    <w:rsid w:val="00CB479D"/>
    <w:rsid w:val="00CB4B98"/>
    <w:rsid w:val="00CB4D9B"/>
    <w:rsid w:val="00CB51B0"/>
    <w:rsid w:val="00CB5871"/>
    <w:rsid w:val="00CB5A33"/>
    <w:rsid w:val="00CB5D61"/>
    <w:rsid w:val="00CB5FB4"/>
    <w:rsid w:val="00CB630B"/>
    <w:rsid w:val="00CB6586"/>
    <w:rsid w:val="00CB65DF"/>
    <w:rsid w:val="00CB6603"/>
    <w:rsid w:val="00CB6818"/>
    <w:rsid w:val="00CB687C"/>
    <w:rsid w:val="00CB68C3"/>
    <w:rsid w:val="00CB7ACE"/>
    <w:rsid w:val="00CC04FF"/>
    <w:rsid w:val="00CC051F"/>
    <w:rsid w:val="00CC0AF3"/>
    <w:rsid w:val="00CC14BF"/>
    <w:rsid w:val="00CC1599"/>
    <w:rsid w:val="00CC1CBB"/>
    <w:rsid w:val="00CC1E71"/>
    <w:rsid w:val="00CC1FC7"/>
    <w:rsid w:val="00CC2077"/>
    <w:rsid w:val="00CC26F2"/>
    <w:rsid w:val="00CC2775"/>
    <w:rsid w:val="00CC284D"/>
    <w:rsid w:val="00CC3323"/>
    <w:rsid w:val="00CC3394"/>
    <w:rsid w:val="00CC365C"/>
    <w:rsid w:val="00CC3837"/>
    <w:rsid w:val="00CC3C37"/>
    <w:rsid w:val="00CC3F2B"/>
    <w:rsid w:val="00CC422F"/>
    <w:rsid w:val="00CC4840"/>
    <w:rsid w:val="00CC4B2C"/>
    <w:rsid w:val="00CC4F58"/>
    <w:rsid w:val="00CC552F"/>
    <w:rsid w:val="00CC559F"/>
    <w:rsid w:val="00CC55C6"/>
    <w:rsid w:val="00CC5AD9"/>
    <w:rsid w:val="00CC614F"/>
    <w:rsid w:val="00CC63A1"/>
    <w:rsid w:val="00CC6AC5"/>
    <w:rsid w:val="00CC6D88"/>
    <w:rsid w:val="00CC6ED5"/>
    <w:rsid w:val="00CC7309"/>
    <w:rsid w:val="00CC7C25"/>
    <w:rsid w:val="00CD0001"/>
    <w:rsid w:val="00CD02AF"/>
    <w:rsid w:val="00CD03B8"/>
    <w:rsid w:val="00CD0772"/>
    <w:rsid w:val="00CD0BF4"/>
    <w:rsid w:val="00CD0D84"/>
    <w:rsid w:val="00CD0E77"/>
    <w:rsid w:val="00CD1267"/>
    <w:rsid w:val="00CD19DE"/>
    <w:rsid w:val="00CD1DD7"/>
    <w:rsid w:val="00CD2068"/>
    <w:rsid w:val="00CD20F4"/>
    <w:rsid w:val="00CD3518"/>
    <w:rsid w:val="00CD3797"/>
    <w:rsid w:val="00CD3D0D"/>
    <w:rsid w:val="00CD3D7D"/>
    <w:rsid w:val="00CD420A"/>
    <w:rsid w:val="00CD4D71"/>
    <w:rsid w:val="00CD4E23"/>
    <w:rsid w:val="00CD54E5"/>
    <w:rsid w:val="00CD5CB8"/>
    <w:rsid w:val="00CD613F"/>
    <w:rsid w:val="00CD636D"/>
    <w:rsid w:val="00CD754F"/>
    <w:rsid w:val="00CE0328"/>
    <w:rsid w:val="00CE0FE3"/>
    <w:rsid w:val="00CE10C6"/>
    <w:rsid w:val="00CE1552"/>
    <w:rsid w:val="00CE1993"/>
    <w:rsid w:val="00CE1FC2"/>
    <w:rsid w:val="00CE2910"/>
    <w:rsid w:val="00CE2F66"/>
    <w:rsid w:val="00CE2F8C"/>
    <w:rsid w:val="00CE3100"/>
    <w:rsid w:val="00CE3211"/>
    <w:rsid w:val="00CE3532"/>
    <w:rsid w:val="00CE3601"/>
    <w:rsid w:val="00CE3707"/>
    <w:rsid w:val="00CE3CB6"/>
    <w:rsid w:val="00CE3FE9"/>
    <w:rsid w:val="00CE4456"/>
    <w:rsid w:val="00CE458F"/>
    <w:rsid w:val="00CE4787"/>
    <w:rsid w:val="00CE4AF5"/>
    <w:rsid w:val="00CE4B08"/>
    <w:rsid w:val="00CE5236"/>
    <w:rsid w:val="00CE579C"/>
    <w:rsid w:val="00CE5C2D"/>
    <w:rsid w:val="00CE5DD0"/>
    <w:rsid w:val="00CE65DC"/>
    <w:rsid w:val="00CE6920"/>
    <w:rsid w:val="00CE6A1C"/>
    <w:rsid w:val="00CE6A6F"/>
    <w:rsid w:val="00CE6B80"/>
    <w:rsid w:val="00CE6D36"/>
    <w:rsid w:val="00CE7402"/>
    <w:rsid w:val="00CE7B84"/>
    <w:rsid w:val="00CE7D46"/>
    <w:rsid w:val="00CE7E73"/>
    <w:rsid w:val="00CF022D"/>
    <w:rsid w:val="00CF02B8"/>
    <w:rsid w:val="00CF02BE"/>
    <w:rsid w:val="00CF066C"/>
    <w:rsid w:val="00CF0843"/>
    <w:rsid w:val="00CF0A90"/>
    <w:rsid w:val="00CF0ABE"/>
    <w:rsid w:val="00CF1016"/>
    <w:rsid w:val="00CF1154"/>
    <w:rsid w:val="00CF19EC"/>
    <w:rsid w:val="00CF1D48"/>
    <w:rsid w:val="00CF1ECE"/>
    <w:rsid w:val="00CF2C35"/>
    <w:rsid w:val="00CF40F9"/>
    <w:rsid w:val="00CF4985"/>
    <w:rsid w:val="00CF49C8"/>
    <w:rsid w:val="00CF4BB3"/>
    <w:rsid w:val="00CF4D86"/>
    <w:rsid w:val="00CF4F52"/>
    <w:rsid w:val="00CF5A01"/>
    <w:rsid w:val="00CF6061"/>
    <w:rsid w:val="00CF618F"/>
    <w:rsid w:val="00CF785C"/>
    <w:rsid w:val="00CF7FB2"/>
    <w:rsid w:val="00D00164"/>
    <w:rsid w:val="00D0097C"/>
    <w:rsid w:val="00D01E4D"/>
    <w:rsid w:val="00D01EF0"/>
    <w:rsid w:val="00D01FAE"/>
    <w:rsid w:val="00D0201E"/>
    <w:rsid w:val="00D02AB7"/>
    <w:rsid w:val="00D02B50"/>
    <w:rsid w:val="00D02D5F"/>
    <w:rsid w:val="00D02D8B"/>
    <w:rsid w:val="00D02EE4"/>
    <w:rsid w:val="00D032DE"/>
    <w:rsid w:val="00D03640"/>
    <w:rsid w:val="00D036E7"/>
    <w:rsid w:val="00D03855"/>
    <w:rsid w:val="00D03DAC"/>
    <w:rsid w:val="00D03EDF"/>
    <w:rsid w:val="00D040E1"/>
    <w:rsid w:val="00D04482"/>
    <w:rsid w:val="00D052F1"/>
    <w:rsid w:val="00D05BD2"/>
    <w:rsid w:val="00D05C0D"/>
    <w:rsid w:val="00D05C28"/>
    <w:rsid w:val="00D06326"/>
    <w:rsid w:val="00D06944"/>
    <w:rsid w:val="00D07007"/>
    <w:rsid w:val="00D07995"/>
    <w:rsid w:val="00D07A80"/>
    <w:rsid w:val="00D106FD"/>
    <w:rsid w:val="00D10B92"/>
    <w:rsid w:val="00D1153B"/>
    <w:rsid w:val="00D11A43"/>
    <w:rsid w:val="00D11FF2"/>
    <w:rsid w:val="00D121C6"/>
    <w:rsid w:val="00D1226C"/>
    <w:rsid w:val="00D124D2"/>
    <w:rsid w:val="00D12654"/>
    <w:rsid w:val="00D12C76"/>
    <w:rsid w:val="00D12D1F"/>
    <w:rsid w:val="00D131D6"/>
    <w:rsid w:val="00D131F6"/>
    <w:rsid w:val="00D13223"/>
    <w:rsid w:val="00D132B6"/>
    <w:rsid w:val="00D13696"/>
    <w:rsid w:val="00D13E0B"/>
    <w:rsid w:val="00D14857"/>
    <w:rsid w:val="00D14A34"/>
    <w:rsid w:val="00D14A83"/>
    <w:rsid w:val="00D14CDB"/>
    <w:rsid w:val="00D14D4B"/>
    <w:rsid w:val="00D14F09"/>
    <w:rsid w:val="00D163DD"/>
    <w:rsid w:val="00D1721F"/>
    <w:rsid w:val="00D1762C"/>
    <w:rsid w:val="00D17959"/>
    <w:rsid w:val="00D179AE"/>
    <w:rsid w:val="00D20263"/>
    <w:rsid w:val="00D2026F"/>
    <w:rsid w:val="00D20C22"/>
    <w:rsid w:val="00D20CDE"/>
    <w:rsid w:val="00D20FC9"/>
    <w:rsid w:val="00D21271"/>
    <w:rsid w:val="00D21525"/>
    <w:rsid w:val="00D21D73"/>
    <w:rsid w:val="00D22057"/>
    <w:rsid w:val="00D2236C"/>
    <w:rsid w:val="00D22A99"/>
    <w:rsid w:val="00D22EE7"/>
    <w:rsid w:val="00D2321C"/>
    <w:rsid w:val="00D23485"/>
    <w:rsid w:val="00D23854"/>
    <w:rsid w:val="00D2386A"/>
    <w:rsid w:val="00D23B70"/>
    <w:rsid w:val="00D23FE5"/>
    <w:rsid w:val="00D25F44"/>
    <w:rsid w:val="00D265B6"/>
    <w:rsid w:val="00D266AA"/>
    <w:rsid w:val="00D26715"/>
    <w:rsid w:val="00D268B7"/>
    <w:rsid w:val="00D26A55"/>
    <w:rsid w:val="00D26AFC"/>
    <w:rsid w:val="00D2784F"/>
    <w:rsid w:val="00D27E28"/>
    <w:rsid w:val="00D30504"/>
    <w:rsid w:val="00D30986"/>
    <w:rsid w:val="00D31111"/>
    <w:rsid w:val="00D31626"/>
    <w:rsid w:val="00D31830"/>
    <w:rsid w:val="00D319B1"/>
    <w:rsid w:val="00D31B04"/>
    <w:rsid w:val="00D3202E"/>
    <w:rsid w:val="00D32183"/>
    <w:rsid w:val="00D325E7"/>
    <w:rsid w:val="00D32A14"/>
    <w:rsid w:val="00D32DEB"/>
    <w:rsid w:val="00D3305F"/>
    <w:rsid w:val="00D334D0"/>
    <w:rsid w:val="00D3360E"/>
    <w:rsid w:val="00D33669"/>
    <w:rsid w:val="00D33924"/>
    <w:rsid w:val="00D3403D"/>
    <w:rsid w:val="00D34138"/>
    <w:rsid w:val="00D350E1"/>
    <w:rsid w:val="00D356A4"/>
    <w:rsid w:val="00D359A0"/>
    <w:rsid w:val="00D35FEF"/>
    <w:rsid w:val="00D366D9"/>
    <w:rsid w:val="00D36E1E"/>
    <w:rsid w:val="00D375F3"/>
    <w:rsid w:val="00D37BF2"/>
    <w:rsid w:val="00D37D02"/>
    <w:rsid w:val="00D40568"/>
    <w:rsid w:val="00D40922"/>
    <w:rsid w:val="00D41728"/>
    <w:rsid w:val="00D4195B"/>
    <w:rsid w:val="00D41EE3"/>
    <w:rsid w:val="00D426A7"/>
    <w:rsid w:val="00D432BB"/>
    <w:rsid w:val="00D439CF"/>
    <w:rsid w:val="00D43B35"/>
    <w:rsid w:val="00D43CF6"/>
    <w:rsid w:val="00D43EB5"/>
    <w:rsid w:val="00D447B3"/>
    <w:rsid w:val="00D449F2"/>
    <w:rsid w:val="00D44A10"/>
    <w:rsid w:val="00D44C9E"/>
    <w:rsid w:val="00D45037"/>
    <w:rsid w:val="00D4641C"/>
    <w:rsid w:val="00D47041"/>
    <w:rsid w:val="00D4777F"/>
    <w:rsid w:val="00D47B4B"/>
    <w:rsid w:val="00D47D45"/>
    <w:rsid w:val="00D50686"/>
    <w:rsid w:val="00D5070E"/>
    <w:rsid w:val="00D50981"/>
    <w:rsid w:val="00D50DD7"/>
    <w:rsid w:val="00D50FEB"/>
    <w:rsid w:val="00D513F6"/>
    <w:rsid w:val="00D51C03"/>
    <w:rsid w:val="00D52557"/>
    <w:rsid w:val="00D52B47"/>
    <w:rsid w:val="00D53E8E"/>
    <w:rsid w:val="00D541D8"/>
    <w:rsid w:val="00D54742"/>
    <w:rsid w:val="00D558A1"/>
    <w:rsid w:val="00D55A10"/>
    <w:rsid w:val="00D56062"/>
    <w:rsid w:val="00D56442"/>
    <w:rsid w:val="00D569ED"/>
    <w:rsid w:val="00D56B2B"/>
    <w:rsid w:val="00D56F46"/>
    <w:rsid w:val="00D57541"/>
    <w:rsid w:val="00D57D6A"/>
    <w:rsid w:val="00D60A7A"/>
    <w:rsid w:val="00D60B27"/>
    <w:rsid w:val="00D60C40"/>
    <w:rsid w:val="00D60C5C"/>
    <w:rsid w:val="00D60CA1"/>
    <w:rsid w:val="00D60DF8"/>
    <w:rsid w:val="00D60F61"/>
    <w:rsid w:val="00D6102F"/>
    <w:rsid w:val="00D61088"/>
    <w:rsid w:val="00D6110A"/>
    <w:rsid w:val="00D61129"/>
    <w:rsid w:val="00D61248"/>
    <w:rsid w:val="00D6133D"/>
    <w:rsid w:val="00D61BDB"/>
    <w:rsid w:val="00D61C9C"/>
    <w:rsid w:val="00D61FB3"/>
    <w:rsid w:val="00D62525"/>
    <w:rsid w:val="00D62D8A"/>
    <w:rsid w:val="00D62E0A"/>
    <w:rsid w:val="00D62E27"/>
    <w:rsid w:val="00D63593"/>
    <w:rsid w:val="00D63651"/>
    <w:rsid w:val="00D63D6D"/>
    <w:rsid w:val="00D63FB5"/>
    <w:rsid w:val="00D64187"/>
    <w:rsid w:val="00D64455"/>
    <w:rsid w:val="00D64672"/>
    <w:rsid w:val="00D64D75"/>
    <w:rsid w:val="00D64DE4"/>
    <w:rsid w:val="00D64F40"/>
    <w:rsid w:val="00D65477"/>
    <w:rsid w:val="00D6555F"/>
    <w:rsid w:val="00D65FEC"/>
    <w:rsid w:val="00D660BF"/>
    <w:rsid w:val="00D668EB"/>
    <w:rsid w:val="00D672A0"/>
    <w:rsid w:val="00D67394"/>
    <w:rsid w:val="00D673B3"/>
    <w:rsid w:val="00D67AF7"/>
    <w:rsid w:val="00D70210"/>
    <w:rsid w:val="00D7094C"/>
    <w:rsid w:val="00D70CF4"/>
    <w:rsid w:val="00D70D4E"/>
    <w:rsid w:val="00D72301"/>
    <w:rsid w:val="00D72FBE"/>
    <w:rsid w:val="00D7334B"/>
    <w:rsid w:val="00D7355A"/>
    <w:rsid w:val="00D73BA0"/>
    <w:rsid w:val="00D73E72"/>
    <w:rsid w:val="00D74113"/>
    <w:rsid w:val="00D7434F"/>
    <w:rsid w:val="00D747A5"/>
    <w:rsid w:val="00D74D06"/>
    <w:rsid w:val="00D74D2B"/>
    <w:rsid w:val="00D7527A"/>
    <w:rsid w:val="00D758FE"/>
    <w:rsid w:val="00D76057"/>
    <w:rsid w:val="00D763CA"/>
    <w:rsid w:val="00D7658F"/>
    <w:rsid w:val="00D76B28"/>
    <w:rsid w:val="00D76F38"/>
    <w:rsid w:val="00D77744"/>
    <w:rsid w:val="00D80899"/>
    <w:rsid w:val="00D80A1A"/>
    <w:rsid w:val="00D815B1"/>
    <w:rsid w:val="00D81C32"/>
    <w:rsid w:val="00D82A29"/>
    <w:rsid w:val="00D82F27"/>
    <w:rsid w:val="00D83420"/>
    <w:rsid w:val="00D83A60"/>
    <w:rsid w:val="00D843D6"/>
    <w:rsid w:val="00D848DA"/>
    <w:rsid w:val="00D849E2"/>
    <w:rsid w:val="00D84F62"/>
    <w:rsid w:val="00D84F73"/>
    <w:rsid w:val="00D85331"/>
    <w:rsid w:val="00D8534F"/>
    <w:rsid w:val="00D85883"/>
    <w:rsid w:val="00D85AE6"/>
    <w:rsid w:val="00D85B4E"/>
    <w:rsid w:val="00D86607"/>
    <w:rsid w:val="00D8667B"/>
    <w:rsid w:val="00D86E07"/>
    <w:rsid w:val="00D87036"/>
    <w:rsid w:val="00D87082"/>
    <w:rsid w:val="00D8756C"/>
    <w:rsid w:val="00D87878"/>
    <w:rsid w:val="00D87B53"/>
    <w:rsid w:val="00D87F60"/>
    <w:rsid w:val="00D902F7"/>
    <w:rsid w:val="00D90ADA"/>
    <w:rsid w:val="00D913BB"/>
    <w:rsid w:val="00D9186A"/>
    <w:rsid w:val="00D91CEC"/>
    <w:rsid w:val="00D92215"/>
    <w:rsid w:val="00D92EC6"/>
    <w:rsid w:val="00D9344A"/>
    <w:rsid w:val="00D9370C"/>
    <w:rsid w:val="00D937B5"/>
    <w:rsid w:val="00D93FB8"/>
    <w:rsid w:val="00D941F1"/>
    <w:rsid w:val="00D94C10"/>
    <w:rsid w:val="00D9556E"/>
    <w:rsid w:val="00D95C06"/>
    <w:rsid w:val="00D95C36"/>
    <w:rsid w:val="00D966A6"/>
    <w:rsid w:val="00D968E1"/>
    <w:rsid w:val="00D96A8E"/>
    <w:rsid w:val="00D96CB4"/>
    <w:rsid w:val="00D97122"/>
    <w:rsid w:val="00D9747E"/>
    <w:rsid w:val="00D9779E"/>
    <w:rsid w:val="00D97870"/>
    <w:rsid w:val="00D97DA8"/>
    <w:rsid w:val="00DA0355"/>
    <w:rsid w:val="00DA0767"/>
    <w:rsid w:val="00DA0E19"/>
    <w:rsid w:val="00DA187F"/>
    <w:rsid w:val="00DA1E52"/>
    <w:rsid w:val="00DA209B"/>
    <w:rsid w:val="00DA23B3"/>
    <w:rsid w:val="00DA2439"/>
    <w:rsid w:val="00DA2922"/>
    <w:rsid w:val="00DA2CC9"/>
    <w:rsid w:val="00DA2D3C"/>
    <w:rsid w:val="00DA2F07"/>
    <w:rsid w:val="00DA3009"/>
    <w:rsid w:val="00DA33B0"/>
    <w:rsid w:val="00DA36EC"/>
    <w:rsid w:val="00DA466C"/>
    <w:rsid w:val="00DA4DAF"/>
    <w:rsid w:val="00DA55E5"/>
    <w:rsid w:val="00DA6390"/>
    <w:rsid w:val="00DA643F"/>
    <w:rsid w:val="00DA78D3"/>
    <w:rsid w:val="00DA7C86"/>
    <w:rsid w:val="00DA7E12"/>
    <w:rsid w:val="00DA7F99"/>
    <w:rsid w:val="00DB0787"/>
    <w:rsid w:val="00DB0DB1"/>
    <w:rsid w:val="00DB0E83"/>
    <w:rsid w:val="00DB1625"/>
    <w:rsid w:val="00DB1863"/>
    <w:rsid w:val="00DB1AE8"/>
    <w:rsid w:val="00DB1B50"/>
    <w:rsid w:val="00DB1FC8"/>
    <w:rsid w:val="00DB200A"/>
    <w:rsid w:val="00DB2AE4"/>
    <w:rsid w:val="00DB2DEF"/>
    <w:rsid w:val="00DB300D"/>
    <w:rsid w:val="00DB3047"/>
    <w:rsid w:val="00DB35F5"/>
    <w:rsid w:val="00DB3DBA"/>
    <w:rsid w:val="00DB3E4E"/>
    <w:rsid w:val="00DB3EBE"/>
    <w:rsid w:val="00DB413F"/>
    <w:rsid w:val="00DB4149"/>
    <w:rsid w:val="00DB431A"/>
    <w:rsid w:val="00DB45C0"/>
    <w:rsid w:val="00DB4798"/>
    <w:rsid w:val="00DB4E26"/>
    <w:rsid w:val="00DB5071"/>
    <w:rsid w:val="00DB5AA8"/>
    <w:rsid w:val="00DB5AD1"/>
    <w:rsid w:val="00DB5B37"/>
    <w:rsid w:val="00DB7465"/>
    <w:rsid w:val="00DB7840"/>
    <w:rsid w:val="00DC05B7"/>
    <w:rsid w:val="00DC0776"/>
    <w:rsid w:val="00DC0D69"/>
    <w:rsid w:val="00DC1859"/>
    <w:rsid w:val="00DC2246"/>
    <w:rsid w:val="00DC2483"/>
    <w:rsid w:val="00DC2753"/>
    <w:rsid w:val="00DC2CDF"/>
    <w:rsid w:val="00DC3557"/>
    <w:rsid w:val="00DC3668"/>
    <w:rsid w:val="00DC3778"/>
    <w:rsid w:val="00DC50F9"/>
    <w:rsid w:val="00DC52FA"/>
    <w:rsid w:val="00DC5D75"/>
    <w:rsid w:val="00DC62BC"/>
    <w:rsid w:val="00DC66EE"/>
    <w:rsid w:val="00DC68F6"/>
    <w:rsid w:val="00DC6958"/>
    <w:rsid w:val="00DC7683"/>
    <w:rsid w:val="00DC7785"/>
    <w:rsid w:val="00DC790E"/>
    <w:rsid w:val="00DC7C13"/>
    <w:rsid w:val="00DC7E8B"/>
    <w:rsid w:val="00DC7F33"/>
    <w:rsid w:val="00DD0507"/>
    <w:rsid w:val="00DD0681"/>
    <w:rsid w:val="00DD0B49"/>
    <w:rsid w:val="00DD0EE4"/>
    <w:rsid w:val="00DD114A"/>
    <w:rsid w:val="00DD1169"/>
    <w:rsid w:val="00DD127C"/>
    <w:rsid w:val="00DD1829"/>
    <w:rsid w:val="00DD1A04"/>
    <w:rsid w:val="00DD1E41"/>
    <w:rsid w:val="00DD21BB"/>
    <w:rsid w:val="00DD3144"/>
    <w:rsid w:val="00DD3308"/>
    <w:rsid w:val="00DD3469"/>
    <w:rsid w:val="00DD37CE"/>
    <w:rsid w:val="00DD3BA3"/>
    <w:rsid w:val="00DD3CCC"/>
    <w:rsid w:val="00DD3E8C"/>
    <w:rsid w:val="00DD408A"/>
    <w:rsid w:val="00DD420B"/>
    <w:rsid w:val="00DD5023"/>
    <w:rsid w:val="00DD579C"/>
    <w:rsid w:val="00DD58AF"/>
    <w:rsid w:val="00DD58D2"/>
    <w:rsid w:val="00DD6983"/>
    <w:rsid w:val="00DD6F15"/>
    <w:rsid w:val="00DD6F73"/>
    <w:rsid w:val="00DD7AB4"/>
    <w:rsid w:val="00DE00A6"/>
    <w:rsid w:val="00DE0934"/>
    <w:rsid w:val="00DE0B1C"/>
    <w:rsid w:val="00DE0C3D"/>
    <w:rsid w:val="00DE0E0D"/>
    <w:rsid w:val="00DE0FEF"/>
    <w:rsid w:val="00DE12CB"/>
    <w:rsid w:val="00DE18EB"/>
    <w:rsid w:val="00DE1B47"/>
    <w:rsid w:val="00DE1E8D"/>
    <w:rsid w:val="00DE275B"/>
    <w:rsid w:val="00DE28C5"/>
    <w:rsid w:val="00DE2B09"/>
    <w:rsid w:val="00DE2CC2"/>
    <w:rsid w:val="00DE2CDE"/>
    <w:rsid w:val="00DE2F9A"/>
    <w:rsid w:val="00DE35D8"/>
    <w:rsid w:val="00DE3850"/>
    <w:rsid w:val="00DE38E2"/>
    <w:rsid w:val="00DE38E4"/>
    <w:rsid w:val="00DE38FC"/>
    <w:rsid w:val="00DE399D"/>
    <w:rsid w:val="00DE3A7E"/>
    <w:rsid w:val="00DE415A"/>
    <w:rsid w:val="00DE49C7"/>
    <w:rsid w:val="00DE4B5D"/>
    <w:rsid w:val="00DE4BC2"/>
    <w:rsid w:val="00DE4F54"/>
    <w:rsid w:val="00DE4F61"/>
    <w:rsid w:val="00DE534C"/>
    <w:rsid w:val="00DE5506"/>
    <w:rsid w:val="00DE557B"/>
    <w:rsid w:val="00DE5BD6"/>
    <w:rsid w:val="00DE6200"/>
    <w:rsid w:val="00DE66E8"/>
    <w:rsid w:val="00DE6A59"/>
    <w:rsid w:val="00DE7503"/>
    <w:rsid w:val="00DE7E19"/>
    <w:rsid w:val="00DF03A0"/>
    <w:rsid w:val="00DF0575"/>
    <w:rsid w:val="00DF063A"/>
    <w:rsid w:val="00DF0B08"/>
    <w:rsid w:val="00DF0E1D"/>
    <w:rsid w:val="00DF1041"/>
    <w:rsid w:val="00DF125C"/>
    <w:rsid w:val="00DF14E2"/>
    <w:rsid w:val="00DF16A3"/>
    <w:rsid w:val="00DF1A9C"/>
    <w:rsid w:val="00DF2096"/>
    <w:rsid w:val="00DF2352"/>
    <w:rsid w:val="00DF2BD7"/>
    <w:rsid w:val="00DF2C07"/>
    <w:rsid w:val="00DF340F"/>
    <w:rsid w:val="00DF3423"/>
    <w:rsid w:val="00DF35C3"/>
    <w:rsid w:val="00DF379C"/>
    <w:rsid w:val="00DF443A"/>
    <w:rsid w:val="00DF463C"/>
    <w:rsid w:val="00DF48D1"/>
    <w:rsid w:val="00DF4E71"/>
    <w:rsid w:val="00DF4F3B"/>
    <w:rsid w:val="00DF543C"/>
    <w:rsid w:val="00DF55B9"/>
    <w:rsid w:val="00DF5971"/>
    <w:rsid w:val="00DF5A30"/>
    <w:rsid w:val="00DF6574"/>
    <w:rsid w:val="00DF66D6"/>
    <w:rsid w:val="00DF686F"/>
    <w:rsid w:val="00DF6D4F"/>
    <w:rsid w:val="00DF6EAD"/>
    <w:rsid w:val="00DF705E"/>
    <w:rsid w:val="00DF7587"/>
    <w:rsid w:val="00DF7A9F"/>
    <w:rsid w:val="00DF7D35"/>
    <w:rsid w:val="00DF7DB6"/>
    <w:rsid w:val="00DF7FBB"/>
    <w:rsid w:val="00E003C1"/>
    <w:rsid w:val="00E0105E"/>
    <w:rsid w:val="00E01209"/>
    <w:rsid w:val="00E0140D"/>
    <w:rsid w:val="00E01998"/>
    <w:rsid w:val="00E01C0A"/>
    <w:rsid w:val="00E01E94"/>
    <w:rsid w:val="00E029DB"/>
    <w:rsid w:val="00E02B1F"/>
    <w:rsid w:val="00E034D4"/>
    <w:rsid w:val="00E037B8"/>
    <w:rsid w:val="00E04125"/>
    <w:rsid w:val="00E04240"/>
    <w:rsid w:val="00E042E5"/>
    <w:rsid w:val="00E045D0"/>
    <w:rsid w:val="00E05A13"/>
    <w:rsid w:val="00E0636E"/>
    <w:rsid w:val="00E06697"/>
    <w:rsid w:val="00E0692F"/>
    <w:rsid w:val="00E069D5"/>
    <w:rsid w:val="00E06B5A"/>
    <w:rsid w:val="00E06F22"/>
    <w:rsid w:val="00E078BD"/>
    <w:rsid w:val="00E07A3D"/>
    <w:rsid w:val="00E10E98"/>
    <w:rsid w:val="00E10F02"/>
    <w:rsid w:val="00E1126D"/>
    <w:rsid w:val="00E12332"/>
    <w:rsid w:val="00E12B1D"/>
    <w:rsid w:val="00E12D24"/>
    <w:rsid w:val="00E135DA"/>
    <w:rsid w:val="00E1372E"/>
    <w:rsid w:val="00E13808"/>
    <w:rsid w:val="00E13B63"/>
    <w:rsid w:val="00E142E6"/>
    <w:rsid w:val="00E147DA"/>
    <w:rsid w:val="00E14DB2"/>
    <w:rsid w:val="00E15563"/>
    <w:rsid w:val="00E155EE"/>
    <w:rsid w:val="00E15648"/>
    <w:rsid w:val="00E15723"/>
    <w:rsid w:val="00E15984"/>
    <w:rsid w:val="00E15BE8"/>
    <w:rsid w:val="00E15DBA"/>
    <w:rsid w:val="00E15E60"/>
    <w:rsid w:val="00E16462"/>
    <w:rsid w:val="00E16D93"/>
    <w:rsid w:val="00E17CE9"/>
    <w:rsid w:val="00E202D1"/>
    <w:rsid w:val="00E203F3"/>
    <w:rsid w:val="00E209A1"/>
    <w:rsid w:val="00E20B6B"/>
    <w:rsid w:val="00E20D62"/>
    <w:rsid w:val="00E219E9"/>
    <w:rsid w:val="00E2250E"/>
    <w:rsid w:val="00E22930"/>
    <w:rsid w:val="00E22DB3"/>
    <w:rsid w:val="00E2336B"/>
    <w:rsid w:val="00E235E8"/>
    <w:rsid w:val="00E236B9"/>
    <w:rsid w:val="00E239B9"/>
    <w:rsid w:val="00E23E4C"/>
    <w:rsid w:val="00E2419C"/>
    <w:rsid w:val="00E2490F"/>
    <w:rsid w:val="00E251DB"/>
    <w:rsid w:val="00E252F9"/>
    <w:rsid w:val="00E25B0C"/>
    <w:rsid w:val="00E25C1B"/>
    <w:rsid w:val="00E26630"/>
    <w:rsid w:val="00E276EF"/>
    <w:rsid w:val="00E2772A"/>
    <w:rsid w:val="00E27D57"/>
    <w:rsid w:val="00E27E05"/>
    <w:rsid w:val="00E27EB0"/>
    <w:rsid w:val="00E27EC4"/>
    <w:rsid w:val="00E30233"/>
    <w:rsid w:val="00E30369"/>
    <w:rsid w:val="00E305FA"/>
    <w:rsid w:val="00E3089E"/>
    <w:rsid w:val="00E30A16"/>
    <w:rsid w:val="00E30A40"/>
    <w:rsid w:val="00E31363"/>
    <w:rsid w:val="00E32A7B"/>
    <w:rsid w:val="00E32AAD"/>
    <w:rsid w:val="00E33311"/>
    <w:rsid w:val="00E33428"/>
    <w:rsid w:val="00E3348C"/>
    <w:rsid w:val="00E33621"/>
    <w:rsid w:val="00E3398C"/>
    <w:rsid w:val="00E33CBA"/>
    <w:rsid w:val="00E340B7"/>
    <w:rsid w:val="00E342B1"/>
    <w:rsid w:val="00E34814"/>
    <w:rsid w:val="00E3485B"/>
    <w:rsid w:val="00E34883"/>
    <w:rsid w:val="00E35029"/>
    <w:rsid w:val="00E351E5"/>
    <w:rsid w:val="00E35580"/>
    <w:rsid w:val="00E356D2"/>
    <w:rsid w:val="00E35BC1"/>
    <w:rsid w:val="00E35CFD"/>
    <w:rsid w:val="00E35E72"/>
    <w:rsid w:val="00E364C7"/>
    <w:rsid w:val="00E368B9"/>
    <w:rsid w:val="00E36955"/>
    <w:rsid w:val="00E36966"/>
    <w:rsid w:val="00E3714E"/>
    <w:rsid w:val="00E37E1C"/>
    <w:rsid w:val="00E40873"/>
    <w:rsid w:val="00E408B8"/>
    <w:rsid w:val="00E40902"/>
    <w:rsid w:val="00E40970"/>
    <w:rsid w:val="00E4117D"/>
    <w:rsid w:val="00E4129B"/>
    <w:rsid w:val="00E42379"/>
    <w:rsid w:val="00E42C35"/>
    <w:rsid w:val="00E42CBD"/>
    <w:rsid w:val="00E4320C"/>
    <w:rsid w:val="00E43355"/>
    <w:rsid w:val="00E43DAE"/>
    <w:rsid w:val="00E4480E"/>
    <w:rsid w:val="00E44C22"/>
    <w:rsid w:val="00E44F55"/>
    <w:rsid w:val="00E45510"/>
    <w:rsid w:val="00E45D68"/>
    <w:rsid w:val="00E46667"/>
    <w:rsid w:val="00E46A62"/>
    <w:rsid w:val="00E46DA3"/>
    <w:rsid w:val="00E46F4E"/>
    <w:rsid w:val="00E47485"/>
    <w:rsid w:val="00E477A9"/>
    <w:rsid w:val="00E50105"/>
    <w:rsid w:val="00E50124"/>
    <w:rsid w:val="00E50141"/>
    <w:rsid w:val="00E50249"/>
    <w:rsid w:val="00E5040F"/>
    <w:rsid w:val="00E51046"/>
    <w:rsid w:val="00E51073"/>
    <w:rsid w:val="00E51127"/>
    <w:rsid w:val="00E52069"/>
    <w:rsid w:val="00E522DC"/>
    <w:rsid w:val="00E53F8D"/>
    <w:rsid w:val="00E545DA"/>
    <w:rsid w:val="00E5478D"/>
    <w:rsid w:val="00E5488B"/>
    <w:rsid w:val="00E54E70"/>
    <w:rsid w:val="00E54ECA"/>
    <w:rsid w:val="00E54FA3"/>
    <w:rsid w:val="00E55025"/>
    <w:rsid w:val="00E5502F"/>
    <w:rsid w:val="00E559E4"/>
    <w:rsid w:val="00E55D4A"/>
    <w:rsid w:val="00E56013"/>
    <w:rsid w:val="00E5621A"/>
    <w:rsid w:val="00E5646C"/>
    <w:rsid w:val="00E57CBC"/>
    <w:rsid w:val="00E57DF4"/>
    <w:rsid w:val="00E57FD1"/>
    <w:rsid w:val="00E6032B"/>
    <w:rsid w:val="00E6073B"/>
    <w:rsid w:val="00E60E38"/>
    <w:rsid w:val="00E60F3B"/>
    <w:rsid w:val="00E61431"/>
    <w:rsid w:val="00E62562"/>
    <w:rsid w:val="00E62D46"/>
    <w:rsid w:val="00E62EB7"/>
    <w:rsid w:val="00E63524"/>
    <w:rsid w:val="00E63BA3"/>
    <w:rsid w:val="00E63DCC"/>
    <w:rsid w:val="00E63DFF"/>
    <w:rsid w:val="00E641C7"/>
    <w:rsid w:val="00E641D6"/>
    <w:rsid w:val="00E6438E"/>
    <w:rsid w:val="00E64918"/>
    <w:rsid w:val="00E65399"/>
    <w:rsid w:val="00E658A8"/>
    <w:rsid w:val="00E65E07"/>
    <w:rsid w:val="00E65EB1"/>
    <w:rsid w:val="00E66433"/>
    <w:rsid w:val="00E6655F"/>
    <w:rsid w:val="00E66D12"/>
    <w:rsid w:val="00E66F56"/>
    <w:rsid w:val="00E67053"/>
    <w:rsid w:val="00E6766E"/>
    <w:rsid w:val="00E67DD2"/>
    <w:rsid w:val="00E67F41"/>
    <w:rsid w:val="00E7011B"/>
    <w:rsid w:val="00E7083D"/>
    <w:rsid w:val="00E70868"/>
    <w:rsid w:val="00E709C6"/>
    <w:rsid w:val="00E7127E"/>
    <w:rsid w:val="00E71617"/>
    <w:rsid w:val="00E71C4E"/>
    <w:rsid w:val="00E71FDF"/>
    <w:rsid w:val="00E7212E"/>
    <w:rsid w:val="00E721B8"/>
    <w:rsid w:val="00E727A1"/>
    <w:rsid w:val="00E72893"/>
    <w:rsid w:val="00E72FEA"/>
    <w:rsid w:val="00E74C11"/>
    <w:rsid w:val="00E74CA3"/>
    <w:rsid w:val="00E75306"/>
    <w:rsid w:val="00E7538B"/>
    <w:rsid w:val="00E756E6"/>
    <w:rsid w:val="00E7599A"/>
    <w:rsid w:val="00E75A2C"/>
    <w:rsid w:val="00E76CB4"/>
    <w:rsid w:val="00E770D6"/>
    <w:rsid w:val="00E7779C"/>
    <w:rsid w:val="00E77F1E"/>
    <w:rsid w:val="00E800B1"/>
    <w:rsid w:val="00E80206"/>
    <w:rsid w:val="00E8030E"/>
    <w:rsid w:val="00E806F1"/>
    <w:rsid w:val="00E80C73"/>
    <w:rsid w:val="00E80FD5"/>
    <w:rsid w:val="00E81064"/>
    <w:rsid w:val="00E8115F"/>
    <w:rsid w:val="00E813D1"/>
    <w:rsid w:val="00E8199D"/>
    <w:rsid w:val="00E829D8"/>
    <w:rsid w:val="00E82CB0"/>
    <w:rsid w:val="00E8318D"/>
    <w:rsid w:val="00E83835"/>
    <w:rsid w:val="00E8386D"/>
    <w:rsid w:val="00E839C3"/>
    <w:rsid w:val="00E83E37"/>
    <w:rsid w:val="00E83FE9"/>
    <w:rsid w:val="00E8404A"/>
    <w:rsid w:val="00E8494E"/>
    <w:rsid w:val="00E84E14"/>
    <w:rsid w:val="00E84E32"/>
    <w:rsid w:val="00E8522C"/>
    <w:rsid w:val="00E85299"/>
    <w:rsid w:val="00E852A0"/>
    <w:rsid w:val="00E85982"/>
    <w:rsid w:val="00E85A2D"/>
    <w:rsid w:val="00E85D43"/>
    <w:rsid w:val="00E85D61"/>
    <w:rsid w:val="00E86021"/>
    <w:rsid w:val="00E86180"/>
    <w:rsid w:val="00E86A02"/>
    <w:rsid w:val="00E86A65"/>
    <w:rsid w:val="00E86C27"/>
    <w:rsid w:val="00E86CE2"/>
    <w:rsid w:val="00E86DD3"/>
    <w:rsid w:val="00E86F5C"/>
    <w:rsid w:val="00E870AF"/>
    <w:rsid w:val="00E870B6"/>
    <w:rsid w:val="00E87866"/>
    <w:rsid w:val="00E87FFC"/>
    <w:rsid w:val="00E908A7"/>
    <w:rsid w:val="00E9127F"/>
    <w:rsid w:val="00E9131B"/>
    <w:rsid w:val="00E91579"/>
    <w:rsid w:val="00E91847"/>
    <w:rsid w:val="00E92015"/>
    <w:rsid w:val="00E92052"/>
    <w:rsid w:val="00E9216C"/>
    <w:rsid w:val="00E92844"/>
    <w:rsid w:val="00E93A34"/>
    <w:rsid w:val="00E93CD9"/>
    <w:rsid w:val="00E93E22"/>
    <w:rsid w:val="00E941FB"/>
    <w:rsid w:val="00E94529"/>
    <w:rsid w:val="00E94FB1"/>
    <w:rsid w:val="00E95346"/>
    <w:rsid w:val="00E95639"/>
    <w:rsid w:val="00E95B32"/>
    <w:rsid w:val="00E95D91"/>
    <w:rsid w:val="00E96062"/>
    <w:rsid w:val="00E96538"/>
    <w:rsid w:val="00E96AA1"/>
    <w:rsid w:val="00E96E83"/>
    <w:rsid w:val="00E96F48"/>
    <w:rsid w:val="00EA05DD"/>
    <w:rsid w:val="00EA0602"/>
    <w:rsid w:val="00EA0624"/>
    <w:rsid w:val="00EA097E"/>
    <w:rsid w:val="00EA178E"/>
    <w:rsid w:val="00EA19AB"/>
    <w:rsid w:val="00EA1A50"/>
    <w:rsid w:val="00EA1A7C"/>
    <w:rsid w:val="00EA1E5C"/>
    <w:rsid w:val="00EA1F53"/>
    <w:rsid w:val="00EA2330"/>
    <w:rsid w:val="00EA280B"/>
    <w:rsid w:val="00EA2C28"/>
    <w:rsid w:val="00EA2CC5"/>
    <w:rsid w:val="00EA43A7"/>
    <w:rsid w:val="00EA44C4"/>
    <w:rsid w:val="00EA4715"/>
    <w:rsid w:val="00EA4D63"/>
    <w:rsid w:val="00EA4F6F"/>
    <w:rsid w:val="00EA51ED"/>
    <w:rsid w:val="00EA5349"/>
    <w:rsid w:val="00EA58AB"/>
    <w:rsid w:val="00EA5ECD"/>
    <w:rsid w:val="00EA6597"/>
    <w:rsid w:val="00EA65D3"/>
    <w:rsid w:val="00EA65E2"/>
    <w:rsid w:val="00EA677B"/>
    <w:rsid w:val="00EA6835"/>
    <w:rsid w:val="00EA6940"/>
    <w:rsid w:val="00EA7295"/>
    <w:rsid w:val="00EA7479"/>
    <w:rsid w:val="00EB0944"/>
    <w:rsid w:val="00EB0AAA"/>
    <w:rsid w:val="00EB0F65"/>
    <w:rsid w:val="00EB1466"/>
    <w:rsid w:val="00EB16A8"/>
    <w:rsid w:val="00EB1DE6"/>
    <w:rsid w:val="00EB2BDB"/>
    <w:rsid w:val="00EB2C45"/>
    <w:rsid w:val="00EB30DE"/>
    <w:rsid w:val="00EB3335"/>
    <w:rsid w:val="00EB34E7"/>
    <w:rsid w:val="00EB35F7"/>
    <w:rsid w:val="00EB3D41"/>
    <w:rsid w:val="00EB4A3C"/>
    <w:rsid w:val="00EB4E15"/>
    <w:rsid w:val="00EB52BE"/>
    <w:rsid w:val="00EB57D6"/>
    <w:rsid w:val="00EB5900"/>
    <w:rsid w:val="00EB595A"/>
    <w:rsid w:val="00EB6007"/>
    <w:rsid w:val="00EB62E0"/>
    <w:rsid w:val="00EB673B"/>
    <w:rsid w:val="00EB6CA2"/>
    <w:rsid w:val="00EB7529"/>
    <w:rsid w:val="00EB76BA"/>
    <w:rsid w:val="00EB7830"/>
    <w:rsid w:val="00EB791A"/>
    <w:rsid w:val="00EB79FE"/>
    <w:rsid w:val="00EB7FFD"/>
    <w:rsid w:val="00EC0211"/>
    <w:rsid w:val="00EC07B3"/>
    <w:rsid w:val="00EC1047"/>
    <w:rsid w:val="00EC10EB"/>
    <w:rsid w:val="00EC20E8"/>
    <w:rsid w:val="00EC217E"/>
    <w:rsid w:val="00EC28F6"/>
    <w:rsid w:val="00EC30C9"/>
    <w:rsid w:val="00EC30CA"/>
    <w:rsid w:val="00EC3936"/>
    <w:rsid w:val="00EC3CBC"/>
    <w:rsid w:val="00EC3E9B"/>
    <w:rsid w:val="00EC3F25"/>
    <w:rsid w:val="00EC4227"/>
    <w:rsid w:val="00EC4903"/>
    <w:rsid w:val="00EC4D77"/>
    <w:rsid w:val="00EC53FA"/>
    <w:rsid w:val="00EC59F9"/>
    <w:rsid w:val="00EC5CC4"/>
    <w:rsid w:val="00EC5FB5"/>
    <w:rsid w:val="00EC6291"/>
    <w:rsid w:val="00EC6351"/>
    <w:rsid w:val="00EC67EE"/>
    <w:rsid w:val="00EC6E4F"/>
    <w:rsid w:val="00EC7151"/>
    <w:rsid w:val="00EC73AF"/>
    <w:rsid w:val="00EC7822"/>
    <w:rsid w:val="00EC79E2"/>
    <w:rsid w:val="00ED04C3"/>
    <w:rsid w:val="00ED06B7"/>
    <w:rsid w:val="00ED0B14"/>
    <w:rsid w:val="00ED12CE"/>
    <w:rsid w:val="00ED1347"/>
    <w:rsid w:val="00ED168C"/>
    <w:rsid w:val="00ED1F1C"/>
    <w:rsid w:val="00ED2482"/>
    <w:rsid w:val="00ED2D20"/>
    <w:rsid w:val="00ED3C6E"/>
    <w:rsid w:val="00ED418A"/>
    <w:rsid w:val="00ED4284"/>
    <w:rsid w:val="00ED4663"/>
    <w:rsid w:val="00ED4771"/>
    <w:rsid w:val="00ED482B"/>
    <w:rsid w:val="00ED49EA"/>
    <w:rsid w:val="00ED4D89"/>
    <w:rsid w:val="00ED52F3"/>
    <w:rsid w:val="00ED537E"/>
    <w:rsid w:val="00ED5F71"/>
    <w:rsid w:val="00ED62C9"/>
    <w:rsid w:val="00ED690C"/>
    <w:rsid w:val="00ED6CAB"/>
    <w:rsid w:val="00ED7452"/>
    <w:rsid w:val="00ED76E1"/>
    <w:rsid w:val="00ED7738"/>
    <w:rsid w:val="00ED7AD1"/>
    <w:rsid w:val="00ED7C1C"/>
    <w:rsid w:val="00ED7DEA"/>
    <w:rsid w:val="00EE01B6"/>
    <w:rsid w:val="00EE0297"/>
    <w:rsid w:val="00EE07D5"/>
    <w:rsid w:val="00EE0E33"/>
    <w:rsid w:val="00EE1B33"/>
    <w:rsid w:val="00EE1CCF"/>
    <w:rsid w:val="00EE21C5"/>
    <w:rsid w:val="00EE25BD"/>
    <w:rsid w:val="00EE26A6"/>
    <w:rsid w:val="00EE279A"/>
    <w:rsid w:val="00EE30DF"/>
    <w:rsid w:val="00EE336E"/>
    <w:rsid w:val="00EE38C5"/>
    <w:rsid w:val="00EE38E5"/>
    <w:rsid w:val="00EE3AE1"/>
    <w:rsid w:val="00EE4768"/>
    <w:rsid w:val="00EE495A"/>
    <w:rsid w:val="00EE4C32"/>
    <w:rsid w:val="00EE4F28"/>
    <w:rsid w:val="00EE4F41"/>
    <w:rsid w:val="00EE52FE"/>
    <w:rsid w:val="00EE5433"/>
    <w:rsid w:val="00EE657A"/>
    <w:rsid w:val="00EE6F99"/>
    <w:rsid w:val="00EE6FCB"/>
    <w:rsid w:val="00EE7492"/>
    <w:rsid w:val="00EE7A57"/>
    <w:rsid w:val="00EE7E5A"/>
    <w:rsid w:val="00EF0AF2"/>
    <w:rsid w:val="00EF0C3B"/>
    <w:rsid w:val="00EF0C40"/>
    <w:rsid w:val="00EF17A5"/>
    <w:rsid w:val="00EF1F32"/>
    <w:rsid w:val="00EF220A"/>
    <w:rsid w:val="00EF2609"/>
    <w:rsid w:val="00EF2986"/>
    <w:rsid w:val="00EF2D74"/>
    <w:rsid w:val="00EF2F00"/>
    <w:rsid w:val="00EF3178"/>
    <w:rsid w:val="00EF37F8"/>
    <w:rsid w:val="00EF3BBC"/>
    <w:rsid w:val="00EF3C2D"/>
    <w:rsid w:val="00EF3DB5"/>
    <w:rsid w:val="00EF3E21"/>
    <w:rsid w:val="00EF4342"/>
    <w:rsid w:val="00EF5090"/>
    <w:rsid w:val="00EF51EC"/>
    <w:rsid w:val="00EF5453"/>
    <w:rsid w:val="00EF5FEF"/>
    <w:rsid w:val="00EF6094"/>
    <w:rsid w:val="00EF6939"/>
    <w:rsid w:val="00EF732E"/>
    <w:rsid w:val="00EF737F"/>
    <w:rsid w:val="00EF7D56"/>
    <w:rsid w:val="00F00234"/>
    <w:rsid w:val="00F005DA"/>
    <w:rsid w:val="00F00848"/>
    <w:rsid w:val="00F01120"/>
    <w:rsid w:val="00F01266"/>
    <w:rsid w:val="00F01618"/>
    <w:rsid w:val="00F01A0F"/>
    <w:rsid w:val="00F01A84"/>
    <w:rsid w:val="00F01A8A"/>
    <w:rsid w:val="00F0238F"/>
    <w:rsid w:val="00F029A2"/>
    <w:rsid w:val="00F02A4E"/>
    <w:rsid w:val="00F02B63"/>
    <w:rsid w:val="00F03041"/>
    <w:rsid w:val="00F03E48"/>
    <w:rsid w:val="00F03F50"/>
    <w:rsid w:val="00F040C0"/>
    <w:rsid w:val="00F0486F"/>
    <w:rsid w:val="00F0506F"/>
    <w:rsid w:val="00F056C0"/>
    <w:rsid w:val="00F059B7"/>
    <w:rsid w:val="00F059CC"/>
    <w:rsid w:val="00F059E5"/>
    <w:rsid w:val="00F05BB5"/>
    <w:rsid w:val="00F068AB"/>
    <w:rsid w:val="00F06D6B"/>
    <w:rsid w:val="00F06EBF"/>
    <w:rsid w:val="00F07408"/>
    <w:rsid w:val="00F0765C"/>
    <w:rsid w:val="00F07951"/>
    <w:rsid w:val="00F07959"/>
    <w:rsid w:val="00F079E9"/>
    <w:rsid w:val="00F07DFA"/>
    <w:rsid w:val="00F1001B"/>
    <w:rsid w:val="00F1064C"/>
    <w:rsid w:val="00F111E1"/>
    <w:rsid w:val="00F11238"/>
    <w:rsid w:val="00F1133B"/>
    <w:rsid w:val="00F119B0"/>
    <w:rsid w:val="00F11CB7"/>
    <w:rsid w:val="00F11F13"/>
    <w:rsid w:val="00F11F3E"/>
    <w:rsid w:val="00F1209E"/>
    <w:rsid w:val="00F1286C"/>
    <w:rsid w:val="00F12BE3"/>
    <w:rsid w:val="00F12D31"/>
    <w:rsid w:val="00F13379"/>
    <w:rsid w:val="00F13585"/>
    <w:rsid w:val="00F137B5"/>
    <w:rsid w:val="00F13CB4"/>
    <w:rsid w:val="00F1475D"/>
    <w:rsid w:val="00F148D0"/>
    <w:rsid w:val="00F148FB"/>
    <w:rsid w:val="00F15925"/>
    <w:rsid w:val="00F15B5C"/>
    <w:rsid w:val="00F15F83"/>
    <w:rsid w:val="00F15FB9"/>
    <w:rsid w:val="00F16333"/>
    <w:rsid w:val="00F16D61"/>
    <w:rsid w:val="00F1798B"/>
    <w:rsid w:val="00F200D7"/>
    <w:rsid w:val="00F204C2"/>
    <w:rsid w:val="00F20707"/>
    <w:rsid w:val="00F20789"/>
    <w:rsid w:val="00F20E77"/>
    <w:rsid w:val="00F20F0D"/>
    <w:rsid w:val="00F21181"/>
    <w:rsid w:val="00F21B1E"/>
    <w:rsid w:val="00F21DD1"/>
    <w:rsid w:val="00F21F85"/>
    <w:rsid w:val="00F22601"/>
    <w:rsid w:val="00F22924"/>
    <w:rsid w:val="00F23439"/>
    <w:rsid w:val="00F23449"/>
    <w:rsid w:val="00F238CF"/>
    <w:rsid w:val="00F239EC"/>
    <w:rsid w:val="00F23B4F"/>
    <w:rsid w:val="00F23D76"/>
    <w:rsid w:val="00F23F80"/>
    <w:rsid w:val="00F23FAD"/>
    <w:rsid w:val="00F2445E"/>
    <w:rsid w:val="00F24469"/>
    <w:rsid w:val="00F246F6"/>
    <w:rsid w:val="00F24BF6"/>
    <w:rsid w:val="00F24D15"/>
    <w:rsid w:val="00F24DAF"/>
    <w:rsid w:val="00F259CF"/>
    <w:rsid w:val="00F25F95"/>
    <w:rsid w:val="00F26616"/>
    <w:rsid w:val="00F26737"/>
    <w:rsid w:val="00F26CDE"/>
    <w:rsid w:val="00F26E49"/>
    <w:rsid w:val="00F270C0"/>
    <w:rsid w:val="00F2733C"/>
    <w:rsid w:val="00F27CC1"/>
    <w:rsid w:val="00F27D29"/>
    <w:rsid w:val="00F308FC"/>
    <w:rsid w:val="00F30931"/>
    <w:rsid w:val="00F30CAB"/>
    <w:rsid w:val="00F312DE"/>
    <w:rsid w:val="00F32263"/>
    <w:rsid w:val="00F325F6"/>
    <w:rsid w:val="00F32C09"/>
    <w:rsid w:val="00F33BD8"/>
    <w:rsid w:val="00F33C10"/>
    <w:rsid w:val="00F33C62"/>
    <w:rsid w:val="00F33D4E"/>
    <w:rsid w:val="00F33F56"/>
    <w:rsid w:val="00F33FE8"/>
    <w:rsid w:val="00F34194"/>
    <w:rsid w:val="00F34299"/>
    <w:rsid w:val="00F347CD"/>
    <w:rsid w:val="00F34BDF"/>
    <w:rsid w:val="00F35C40"/>
    <w:rsid w:val="00F3648D"/>
    <w:rsid w:val="00F368D9"/>
    <w:rsid w:val="00F36EF6"/>
    <w:rsid w:val="00F37619"/>
    <w:rsid w:val="00F37ABF"/>
    <w:rsid w:val="00F40651"/>
    <w:rsid w:val="00F406EB"/>
    <w:rsid w:val="00F40BBF"/>
    <w:rsid w:val="00F40DD9"/>
    <w:rsid w:val="00F4139A"/>
    <w:rsid w:val="00F416DB"/>
    <w:rsid w:val="00F41A33"/>
    <w:rsid w:val="00F41FFD"/>
    <w:rsid w:val="00F4266F"/>
    <w:rsid w:val="00F427AF"/>
    <w:rsid w:val="00F42BF4"/>
    <w:rsid w:val="00F42E6B"/>
    <w:rsid w:val="00F42F6F"/>
    <w:rsid w:val="00F433E9"/>
    <w:rsid w:val="00F4346D"/>
    <w:rsid w:val="00F436EA"/>
    <w:rsid w:val="00F43B3C"/>
    <w:rsid w:val="00F43CD2"/>
    <w:rsid w:val="00F43CEE"/>
    <w:rsid w:val="00F43E9B"/>
    <w:rsid w:val="00F441A0"/>
    <w:rsid w:val="00F441CB"/>
    <w:rsid w:val="00F447E9"/>
    <w:rsid w:val="00F4494B"/>
    <w:rsid w:val="00F44A7C"/>
    <w:rsid w:val="00F453CC"/>
    <w:rsid w:val="00F4636B"/>
    <w:rsid w:val="00F46A52"/>
    <w:rsid w:val="00F46B36"/>
    <w:rsid w:val="00F470D7"/>
    <w:rsid w:val="00F471C2"/>
    <w:rsid w:val="00F472A5"/>
    <w:rsid w:val="00F473D4"/>
    <w:rsid w:val="00F4742D"/>
    <w:rsid w:val="00F476EA"/>
    <w:rsid w:val="00F47CEB"/>
    <w:rsid w:val="00F47DC4"/>
    <w:rsid w:val="00F506D0"/>
    <w:rsid w:val="00F508A3"/>
    <w:rsid w:val="00F508C2"/>
    <w:rsid w:val="00F50B88"/>
    <w:rsid w:val="00F516AE"/>
    <w:rsid w:val="00F51F2F"/>
    <w:rsid w:val="00F522B2"/>
    <w:rsid w:val="00F525AF"/>
    <w:rsid w:val="00F529DA"/>
    <w:rsid w:val="00F52C52"/>
    <w:rsid w:val="00F534C4"/>
    <w:rsid w:val="00F5439D"/>
    <w:rsid w:val="00F5457A"/>
    <w:rsid w:val="00F549B5"/>
    <w:rsid w:val="00F54CA7"/>
    <w:rsid w:val="00F54FF1"/>
    <w:rsid w:val="00F55890"/>
    <w:rsid w:val="00F55BC5"/>
    <w:rsid w:val="00F55E3F"/>
    <w:rsid w:val="00F5638B"/>
    <w:rsid w:val="00F56400"/>
    <w:rsid w:val="00F5675A"/>
    <w:rsid w:val="00F56D0C"/>
    <w:rsid w:val="00F56F1B"/>
    <w:rsid w:val="00F5722E"/>
    <w:rsid w:val="00F575ED"/>
    <w:rsid w:val="00F60309"/>
    <w:rsid w:val="00F60377"/>
    <w:rsid w:val="00F6096B"/>
    <w:rsid w:val="00F60A50"/>
    <w:rsid w:val="00F60D70"/>
    <w:rsid w:val="00F622F5"/>
    <w:rsid w:val="00F62A12"/>
    <w:rsid w:val="00F62B87"/>
    <w:rsid w:val="00F6334F"/>
    <w:rsid w:val="00F637AC"/>
    <w:rsid w:val="00F63BA0"/>
    <w:rsid w:val="00F648C9"/>
    <w:rsid w:val="00F6499A"/>
    <w:rsid w:val="00F64F64"/>
    <w:rsid w:val="00F650CE"/>
    <w:rsid w:val="00F651A4"/>
    <w:rsid w:val="00F65E12"/>
    <w:rsid w:val="00F6661C"/>
    <w:rsid w:val="00F66928"/>
    <w:rsid w:val="00F669BF"/>
    <w:rsid w:val="00F66B44"/>
    <w:rsid w:val="00F66DC1"/>
    <w:rsid w:val="00F67071"/>
    <w:rsid w:val="00F670C9"/>
    <w:rsid w:val="00F673B2"/>
    <w:rsid w:val="00F67602"/>
    <w:rsid w:val="00F67C7D"/>
    <w:rsid w:val="00F67DDC"/>
    <w:rsid w:val="00F67E33"/>
    <w:rsid w:val="00F70005"/>
    <w:rsid w:val="00F70585"/>
    <w:rsid w:val="00F70BF7"/>
    <w:rsid w:val="00F7115F"/>
    <w:rsid w:val="00F71D6B"/>
    <w:rsid w:val="00F72030"/>
    <w:rsid w:val="00F7261F"/>
    <w:rsid w:val="00F72AA6"/>
    <w:rsid w:val="00F73097"/>
    <w:rsid w:val="00F736B4"/>
    <w:rsid w:val="00F737A8"/>
    <w:rsid w:val="00F73814"/>
    <w:rsid w:val="00F739B4"/>
    <w:rsid w:val="00F745F0"/>
    <w:rsid w:val="00F7516C"/>
    <w:rsid w:val="00F753FA"/>
    <w:rsid w:val="00F75406"/>
    <w:rsid w:val="00F75A10"/>
    <w:rsid w:val="00F75AE3"/>
    <w:rsid w:val="00F75BBE"/>
    <w:rsid w:val="00F7606E"/>
    <w:rsid w:val="00F767A0"/>
    <w:rsid w:val="00F76FDE"/>
    <w:rsid w:val="00F77078"/>
    <w:rsid w:val="00F77238"/>
    <w:rsid w:val="00F7783C"/>
    <w:rsid w:val="00F80244"/>
    <w:rsid w:val="00F80DD6"/>
    <w:rsid w:val="00F81CC7"/>
    <w:rsid w:val="00F82150"/>
    <w:rsid w:val="00F822CF"/>
    <w:rsid w:val="00F82948"/>
    <w:rsid w:val="00F82DD5"/>
    <w:rsid w:val="00F83693"/>
    <w:rsid w:val="00F83962"/>
    <w:rsid w:val="00F83A93"/>
    <w:rsid w:val="00F83D32"/>
    <w:rsid w:val="00F83E3D"/>
    <w:rsid w:val="00F83F2E"/>
    <w:rsid w:val="00F841DC"/>
    <w:rsid w:val="00F84656"/>
    <w:rsid w:val="00F84A93"/>
    <w:rsid w:val="00F84C25"/>
    <w:rsid w:val="00F84DE6"/>
    <w:rsid w:val="00F84F0D"/>
    <w:rsid w:val="00F85CE6"/>
    <w:rsid w:val="00F85FF3"/>
    <w:rsid w:val="00F86745"/>
    <w:rsid w:val="00F86AF5"/>
    <w:rsid w:val="00F86B33"/>
    <w:rsid w:val="00F86D68"/>
    <w:rsid w:val="00F87325"/>
    <w:rsid w:val="00F87410"/>
    <w:rsid w:val="00F87AA6"/>
    <w:rsid w:val="00F90176"/>
    <w:rsid w:val="00F90769"/>
    <w:rsid w:val="00F909C5"/>
    <w:rsid w:val="00F90BE4"/>
    <w:rsid w:val="00F90DB6"/>
    <w:rsid w:val="00F92056"/>
    <w:rsid w:val="00F9209A"/>
    <w:rsid w:val="00F92292"/>
    <w:rsid w:val="00F93592"/>
    <w:rsid w:val="00F93690"/>
    <w:rsid w:val="00F937C9"/>
    <w:rsid w:val="00F93938"/>
    <w:rsid w:val="00F93B76"/>
    <w:rsid w:val="00F93C1C"/>
    <w:rsid w:val="00F93D75"/>
    <w:rsid w:val="00F93F56"/>
    <w:rsid w:val="00F94429"/>
    <w:rsid w:val="00F94C5A"/>
    <w:rsid w:val="00F95391"/>
    <w:rsid w:val="00F95607"/>
    <w:rsid w:val="00F95619"/>
    <w:rsid w:val="00F95ABA"/>
    <w:rsid w:val="00F95EC4"/>
    <w:rsid w:val="00F9620B"/>
    <w:rsid w:val="00F96250"/>
    <w:rsid w:val="00F962FE"/>
    <w:rsid w:val="00F967EB"/>
    <w:rsid w:val="00F971B0"/>
    <w:rsid w:val="00F97501"/>
    <w:rsid w:val="00F9762A"/>
    <w:rsid w:val="00F97637"/>
    <w:rsid w:val="00F97826"/>
    <w:rsid w:val="00F97C4E"/>
    <w:rsid w:val="00F97FB5"/>
    <w:rsid w:val="00FA016B"/>
    <w:rsid w:val="00FA0A02"/>
    <w:rsid w:val="00FA1430"/>
    <w:rsid w:val="00FA1505"/>
    <w:rsid w:val="00FA16C1"/>
    <w:rsid w:val="00FA1B4E"/>
    <w:rsid w:val="00FA20B3"/>
    <w:rsid w:val="00FA23C3"/>
    <w:rsid w:val="00FA2517"/>
    <w:rsid w:val="00FA2F6A"/>
    <w:rsid w:val="00FA47E3"/>
    <w:rsid w:val="00FA4CE0"/>
    <w:rsid w:val="00FA4ED4"/>
    <w:rsid w:val="00FA4F46"/>
    <w:rsid w:val="00FA5128"/>
    <w:rsid w:val="00FA5374"/>
    <w:rsid w:val="00FA5531"/>
    <w:rsid w:val="00FA584B"/>
    <w:rsid w:val="00FA611E"/>
    <w:rsid w:val="00FA6243"/>
    <w:rsid w:val="00FA693F"/>
    <w:rsid w:val="00FA6A99"/>
    <w:rsid w:val="00FA710F"/>
    <w:rsid w:val="00FA76BE"/>
    <w:rsid w:val="00FA7DDE"/>
    <w:rsid w:val="00FA7DE9"/>
    <w:rsid w:val="00FA7E80"/>
    <w:rsid w:val="00FA7FC1"/>
    <w:rsid w:val="00FB0170"/>
    <w:rsid w:val="00FB029E"/>
    <w:rsid w:val="00FB03C2"/>
    <w:rsid w:val="00FB04E3"/>
    <w:rsid w:val="00FB0672"/>
    <w:rsid w:val="00FB0BFD"/>
    <w:rsid w:val="00FB112D"/>
    <w:rsid w:val="00FB14A1"/>
    <w:rsid w:val="00FB17DD"/>
    <w:rsid w:val="00FB1DF3"/>
    <w:rsid w:val="00FB209A"/>
    <w:rsid w:val="00FB26E3"/>
    <w:rsid w:val="00FB3F3E"/>
    <w:rsid w:val="00FB408D"/>
    <w:rsid w:val="00FB468D"/>
    <w:rsid w:val="00FB4E9B"/>
    <w:rsid w:val="00FB5669"/>
    <w:rsid w:val="00FB58E9"/>
    <w:rsid w:val="00FB5BEC"/>
    <w:rsid w:val="00FB5F03"/>
    <w:rsid w:val="00FB6BD3"/>
    <w:rsid w:val="00FB6BF9"/>
    <w:rsid w:val="00FB6D61"/>
    <w:rsid w:val="00FB6F1F"/>
    <w:rsid w:val="00FB7035"/>
    <w:rsid w:val="00FB7564"/>
    <w:rsid w:val="00FB7863"/>
    <w:rsid w:val="00FB795C"/>
    <w:rsid w:val="00FB79BE"/>
    <w:rsid w:val="00FB7C7E"/>
    <w:rsid w:val="00FB7D6A"/>
    <w:rsid w:val="00FC0060"/>
    <w:rsid w:val="00FC0393"/>
    <w:rsid w:val="00FC041B"/>
    <w:rsid w:val="00FC0475"/>
    <w:rsid w:val="00FC1D00"/>
    <w:rsid w:val="00FC250E"/>
    <w:rsid w:val="00FC26FF"/>
    <w:rsid w:val="00FC2834"/>
    <w:rsid w:val="00FC289F"/>
    <w:rsid w:val="00FC2B0D"/>
    <w:rsid w:val="00FC2C06"/>
    <w:rsid w:val="00FC2C48"/>
    <w:rsid w:val="00FC3723"/>
    <w:rsid w:val="00FC391F"/>
    <w:rsid w:val="00FC3AEA"/>
    <w:rsid w:val="00FC3E3E"/>
    <w:rsid w:val="00FC4146"/>
    <w:rsid w:val="00FC4512"/>
    <w:rsid w:val="00FC557E"/>
    <w:rsid w:val="00FC57BD"/>
    <w:rsid w:val="00FC5A9B"/>
    <w:rsid w:val="00FC5AAF"/>
    <w:rsid w:val="00FC68DA"/>
    <w:rsid w:val="00FC6BFD"/>
    <w:rsid w:val="00FC6C4E"/>
    <w:rsid w:val="00FC6CD3"/>
    <w:rsid w:val="00FC6EAF"/>
    <w:rsid w:val="00FC7084"/>
    <w:rsid w:val="00FC73B6"/>
    <w:rsid w:val="00FC7FD1"/>
    <w:rsid w:val="00FD098B"/>
    <w:rsid w:val="00FD0D56"/>
    <w:rsid w:val="00FD11E2"/>
    <w:rsid w:val="00FD129C"/>
    <w:rsid w:val="00FD13D3"/>
    <w:rsid w:val="00FD1513"/>
    <w:rsid w:val="00FD204D"/>
    <w:rsid w:val="00FD243D"/>
    <w:rsid w:val="00FD2EDE"/>
    <w:rsid w:val="00FD38A5"/>
    <w:rsid w:val="00FD40DC"/>
    <w:rsid w:val="00FD437E"/>
    <w:rsid w:val="00FD4511"/>
    <w:rsid w:val="00FD4C8A"/>
    <w:rsid w:val="00FD52E7"/>
    <w:rsid w:val="00FD5F39"/>
    <w:rsid w:val="00FD6053"/>
    <w:rsid w:val="00FD6060"/>
    <w:rsid w:val="00FD6338"/>
    <w:rsid w:val="00FD64ED"/>
    <w:rsid w:val="00FD663F"/>
    <w:rsid w:val="00FD6667"/>
    <w:rsid w:val="00FD673D"/>
    <w:rsid w:val="00FD77DE"/>
    <w:rsid w:val="00FD7AC5"/>
    <w:rsid w:val="00FD7E08"/>
    <w:rsid w:val="00FE07DC"/>
    <w:rsid w:val="00FE0946"/>
    <w:rsid w:val="00FE16D1"/>
    <w:rsid w:val="00FE1A9C"/>
    <w:rsid w:val="00FE1BFE"/>
    <w:rsid w:val="00FE1C06"/>
    <w:rsid w:val="00FE2139"/>
    <w:rsid w:val="00FE2EF6"/>
    <w:rsid w:val="00FE2F7E"/>
    <w:rsid w:val="00FE3F72"/>
    <w:rsid w:val="00FE4384"/>
    <w:rsid w:val="00FE479A"/>
    <w:rsid w:val="00FE4826"/>
    <w:rsid w:val="00FE535A"/>
    <w:rsid w:val="00FE5407"/>
    <w:rsid w:val="00FE557A"/>
    <w:rsid w:val="00FE583D"/>
    <w:rsid w:val="00FE5AEE"/>
    <w:rsid w:val="00FE6A0D"/>
    <w:rsid w:val="00FE6AF3"/>
    <w:rsid w:val="00FE6C6B"/>
    <w:rsid w:val="00FE6D5A"/>
    <w:rsid w:val="00FE6F4F"/>
    <w:rsid w:val="00FE70BF"/>
    <w:rsid w:val="00FE722D"/>
    <w:rsid w:val="00FE7511"/>
    <w:rsid w:val="00FE7B32"/>
    <w:rsid w:val="00FF00F7"/>
    <w:rsid w:val="00FF0387"/>
    <w:rsid w:val="00FF0433"/>
    <w:rsid w:val="00FF052B"/>
    <w:rsid w:val="00FF07AC"/>
    <w:rsid w:val="00FF0E4B"/>
    <w:rsid w:val="00FF0EED"/>
    <w:rsid w:val="00FF0FCF"/>
    <w:rsid w:val="00FF1379"/>
    <w:rsid w:val="00FF14C3"/>
    <w:rsid w:val="00FF18A6"/>
    <w:rsid w:val="00FF1BE9"/>
    <w:rsid w:val="00FF1F39"/>
    <w:rsid w:val="00FF2402"/>
    <w:rsid w:val="00FF2A67"/>
    <w:rsid w:val="00FF3786"/>
    <w:rsid w:val="00FF4084"/>
    <w:rsid w:val="00FF4D06"/>
    <w:rsid w:val="00FF50E8"/>
    <w:rsid w:val="00FF5213"/>
    <w:rsid w:val="00FF5412"/>
    <w:rsid w:val="00FF5F33"/>
    <w:rsid w:val="00FF5F95"/>
    <w:rsid w:val="00FF6065"/>
    <w:rsid w:val="00FF616F"/>
    <w:rsid w:val="00FF63CE"/>
    <w:rsid w:val="00FF6875"/>
    <w:rsid w:val="00FF748D"/>
    <w:rsid w:val="00FF7733"/>
    <w:rsid w:val="00FF7E57"/>
    <w:rsid w:val="00FF7F6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BB"/>
    <w:pPr>
      <w:ind w:firstLine="720"/>
    </w:pPr>
  </w:style>
  <w:style w:type="paragraph" w:styleId="Heading1">
    <w:name w:val="heading 1"/>
    <w:basedOn w:val="Normal"/>
    <w:next w:val="Normal"/>
    <w:link w:val="Heading1Char"/>
    <w:uiPriority w:val="1"/>
    <w:qFormat/>
    <w:rsid w:val="00D92215"/>
    <w:pPr>
      <w:keepNext/>
      <w:numPr>
        <w:numId w:val="1"/>
      </w:numPr>
      <w:jc w:val="center"/>
      <w:outlineLvl w:val="0"/>
    </w:pPr>
    <w:rPr>
      <w:rFonts w:cs="Times New Roman"/>
      <w:b/>
      <w:bCs/>
      <w:caps/>
    </w:rPr>
  </w:style>
  <w:style w:type="paragraph" w:styleId="Heading2">
    <w:name w:val="heading 2"/>
    <w:basedOn w:val="ListParagraph"/>
    <w:next w:val="Normal"/>
    <w:link w:val="Heading2Char"/>
    <w:uiPriority w:val="2"/>
    <w:qFormat/>
    <w:rsid w:val="007B005C"/>
    <w:pPr>
      <w:keepNext/>
      <w:numPr>
        <w:numId w:val="2"/>
      </w:numPr>
      <w:tabs>
        <w:tab w:val="left" w:pos="360"/>
      </w:tabs>
      <w:spacing w:after="120" w:line="240" w:lineRule="auto"/>
      <w:outlineLvl w:val="1"/>
    </w:pPr>
    <w:rPr>
      <w:rFonts w:cs="Times New Roman"/>
      <w:b/>
      <w:i/>
    </w:rPr>
  </w:style>
  <w:style w:type="paragraph" w:styleId="Heading3">
    <w:name w:val="heading 3"/>
    <w:basedOn w:val="ListParagraph"/>
    <w:next w:val="Normal"/>
    <w:link w:val="Heading3Char"/>
    <w:uiPriority w:val="3"/>
    <w:qFormat/>
    <w:rsid w:val="000775C3"/>
    <w:pPr>
      <w:keepNext/>
      <w:numPr>
        <w:numId w:val="30"/>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0775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2215"/>
    <w:rPr>
      <w:rFonts w:cs="Times New Roman"/>
      <w:b/>
      <w:bCs/>
      <w:cap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7B005C"/>
    <w:rPr>
      <w:rFonts w:cs="Times New Roman"/>
      <w:b/>
      <w:i/>
    </w:rPr>
  </w:style>
  <w:style w:type="character" w:customStyle="1" w:styleId="Heading3Char">
    <w:name w:val="Heading 3 Char"/>
    <w:basedOn w:val="DefaultParagraphFont"/>
    <w:link w:val="Heading3"/>
    <w:uiPriority w:val="3"/>
    <w:rsid w:val="00944C2C"/>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DB0E83"/>
    <w:pPr>
      <w:spacing w:after="120" w:line="240" w:lineRule="auto"/>
    </w:pPr>
    <w:rPr>
      <w:szCs w:val="20"/>
    </w:rPr>
  </w:style>
  <w:style w:type="character" w:customStyle="1" w:styleId="FootnoteTextChar">
    <w:name w:val="Footnote Text Char"/>
    <w:basedOn w:val="DefaultParagraphFont"/>
    <w:link w:val="FootnoteText"/>
    <w:uiPriority w:val="99"/>
    <w:rsid w:val="00DB0E83"/>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34"/>
    <w:rsid w:val="000775C3"/>
    <w:pPr>
      <w:ind w:left="720"/>
      <w:contextualSpacing/>
    </w:pPr>
  </w:style>
  <w:style w:type="paragraph" w:customStyle="1" w:styleId="Footnote">
    <w:name w:val="Footnote"/>
    <w:basedOn w:val="FootnoteText"/>
    <w:link w:val="FootnoteChar"/>
    <w:uiPriority w:val="9"/>
    <w:qFormat/>
    <w:rsid w:val="00750DF6"/>
    <w:rPr>
      <w:szCs w:val="26"/>
    </w:rPr>
  </w:style>
  <w:style w:type="character" w:customStyle="1" w:styleId="Heading5Char">
    <w:name w:val="Heading 5 Char"/>
    <w:basedOn w:val="DefaultParagraphFont"/>
    <w:link w:val="Heading5"/>
    <w:uiPriority w:val="9"/>
    <w:rsid w:val="000775C3"/>
    <w:rPr>
      <w:rFonts w:asciiTheme="majorHAnsi" w:eastAsiaTheme="majorEastAsia" w:hAnsiTheme="majorHAnsi" w:cstheme="majorBidi"/>
      <w:color w:val="2F5496" w:themeColor="accent1" w:themeShade="BF"/>
    </w:rPr>
  </w:style>
  <w:style w:type="character" w:customStyle="1" w:styleId="FootnoteChar">
    <w:name w:val="Footnote Char"/>
    <w:basedOn w:val="FootnoteTextChar"/>
    <w:link w:val="Footnote"/>
    <w:uiPriority w:val="9"/>
    <w:rsid w:val="00750DF6"/>
    <w:rPr>
      <w:szCs w:val="20"/>
    </w:rPr>
  </w:style>
  <w:style w:type="paragraph" w:customStyle="1" w:styleId="FootnoteText0">
    <w:name w:val="FootnoteText"/>
    <w:basedOn w:val="ListParagraph"/>
    <w:uiPriority w:val="99"/>
    <w:semiHidden/>
    <w:rsid w:val="00146202"/>
  </w:style>
  <w:style w:type="character" w:customStyle="1" w:styleId="costarpage">
    <w:name w:val="co_starpage"/>
    <w:basedOn w:val="DefaultParagraphFont"/>
    <w:rsid w:val="001C2924"/>
  </w:style>
  <w:style w:type="character" w:styleId="Emphasis">
    <w:name w:val="Emphasis"/>
    <w:basedOn w:val="DefaultParagraphFont"/>
    <w:uiPriority w:val="20"/>
    <w:qFormat/>
    <w:rsid w:val="00C80DAD"/>
    <w:rPr>
      <w:i/>
      <w:iCs/>
    </w:rPr>
  </w:style>
  <w:style w:type="character" w:customStyle="1" w:styleId="coconcept13">
    <w:name w:val="co_concept_1_3"/>
    <w:basedOn w:val="DefaultParagraphFont"/>
    <w:rsid w:val="00F83F2E"/>
  </w:style>
  <w:style w:type="character" w:customStyle="1" w:styleId="coconcept813">
    <w:name w:val="co_concept_8_13"/>
    <w:basedOn w:val="DefaultParagraphFont"/>
    <w:rsid w:val="00F83F2E"/>
  </w:style>
  <w:style w:type="character" w:customStyle="1" w:styleId="coconcept1826">
    <w:name w:val="co_concept_18_26"/>
    <w:basedOn w:val="DefaultParagraphFont"/>
    <w:rsid w:val="00F83F2E"/>
  </w:style>
  <w:style w:type="character" w:customStyle="1" w:styleId="coconcept3142">
    <w:name w:val="co_concept_31_42"/>
    <w:basedOn w:val="DefaultParagraphFont"/>
    <w:rsid w:val="00F83F2E"/>
  </w:style>
  <w:style w:type="paragraph" w:styleId="Revision">
    <w:name w:val="Revision"/>
    <w:hidden/>
    <w:uiPriority w:val="99"/>
    <w:semiHidden/>
    <w:rsid w:val="002F37A4"/>
    <w:pPr>
      <w:spacing w:line="240" w:lineRule="auto"/>
    </w:pPr>
  </w:style>
  <w:style w:type="character" w:styleId="CommentReference">
    <w:name w:val="annotation reference"/>
    <w:basedOn w:val="DefaultParagraphFont"/>
    <w:uiPriority w:val="99"/>
    <w:semiHidden/>
    <w:unhideWhenUsed/>
    <w:rsid w:val="001815B8"/>
    <w:rPr>
      <w:sz w:val="16"/>
      <w:szCs w:val="16"/>
    </w:rPr>
  </w:style>
  <w:style w:type="paragraph" w:styleId="CommentText">
    <w:name w:val="annotation text"/>
    <w:basedOn w:val="Normal"/>
    <w:link w:val="CommentTextChar"/>
    <w:uiPriority w:val="99"/>
    <w:unhideWhenUsed/>
    <w:rsid w:val="001815B8"/>
    <w:pPr>
      <w:spacing w:line="240" w:lineRule="auto"/>
    </w:pPr>
    <w:rPr>
      <w:sz w:val="20"/>
      <w:szCs w:val="20"/>
    </w:rPr>
  </w:style>
  <w:style w:type="character" w:customStyle="1" w:styleId="CommentTextChar">
    <w:name w:val="Comment Text Char"/>
    <w:basedOn w:val="DefaultParagraphFont"/>
    <w:link w:val="CommentText"/>
    <w:uiPriority w:val="99"/>
    <w:rsid w:val="001815B8"/>
    <w:rPr>
      <w:sz w:val="20"/>
      <w:szCs w:val="20"/>
    </w:rPr>
  </w:style>
  <w:style w:type="paragraph" w:styleId="CommentSubject">
    <w:name w:val="annotation subject"/>
    <w:basedOn w:val="CommentText"/>
    <w:next w:val="CommentText"/>
    <w:link w:val="CommentSubjectChar"/>
    <w:uiPriority w:val="99"/>
    <w:semiHidden/>
    <w:unhideWhenUsed/>
    <w:rsid w:val="001815B8"/>
    <w:rPr>
      <w:b/>
      <w:bCs/>
    </w:rPr>
  </w:style>
  <w:style w:type="character" w:customStyle="1" w:styleId="CommentSubjectChar">
    <w:name w:val="Comment Subject Char"/>
    <w:basedOn w:val="CommentTextChar"/>
    <w:link w:val="CommentSubject"/>
    <w:uiPriority w:val="99"/>
    <w:semiHidden/>
    <w:rsid w:val="001815B8"/>
    <w:rPr>
      <w:b/>
      <w:bCs/>
      <w:sz w:val="20"/>
      <w:szCs w:val="20"/>
    </w:rPr>
  </w:style>
  <w:style w:type="character" w:styleId="Hyperlink">
    <w:name w:val="Hyperlink"/>
    <w:basedOn w:val="DefaultParagraphFont"/>
    <w:uiPriority w:val="99"/>
    <w:unhideWhenUsed/>
    <w:rsid w:val="009F4345"/>
    <w:rPr>
      <w:color w:val="0000FF"/>
      <w:u w:val="single"/>
    </w:rPr>
  </w:style>
  <w:style w:type="character" w:customStyle="1" w:styleId="UnresolvedMention1">
    <w:name w:val="Unresolved Mention1"/>
    <w:basedOn w:val="DefaultParagraphFont"/>
    <w:uiPriority w:val="99"/>
    <w:semiHidden/>
    <w:unhideWhenUsed/>
    <w:rsid w:val="009F4345"/>
    <w:rPr>
      <w:color w:val="605E5C"/>
      <w:shd w:val="clear" w:color="auto" w:fill="E1DFDD"/>
    </w:rPr>
  </w:style>
  <w:style w:type="character" w:customStyle="1" w:styleId="cf01">
    <w:name w:val="cf01"/>
    <w:basedOn w:val="DefaultParagraphFont"/>
    <w:rsid w:val="00E33CBA"/>
    <w:rPr>
      <w:rFonts w:ascii="Segoe UI" w:hAnsi="Segoe UI" w:cs="Segoe UI" w:hint="default"/>
      <w:sz w:val="18"/>
      <w:szCs w:val="18"/>
    </w:rPr>
  </w:style>
  <w:style w:type="character" w:customStyle="1" w:styleId="cf11">
    <w:name w:val="cf11"/>
    <w:basedOn w:val="DefaultParagraphFont"/>
    <w:rsid w:val="00E33CBA"/>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1.next.westlaw.com/Link/Document/FullText?findType=L&amp;pubNum=1000546&amp;cite=28USCAS2253&amp;originatingDoc=Ibde8bd9e9c2511d9bc61beebb95be672&amp;refType=RB&amp;originationContext=document&amp;transitionType=DocumentItem&amp;ppcid=5bfb2644529e4e86883e9ec358df2f9e&amp;contextData=(sc.DocLink)"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88A4-9212-4B15-B69F-C4506EB1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12634</Words>
  <Characters>72016</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2024-03-11T20:19:14Z</dcterms:created>
  <dcterms:modified xsi:type="dcterms:W3CDTF">2024-03-11T20:19:14Z</dcterms:modified>
</cp:coreProperties>
</file>