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73EAD" w:rsidRPr="00A57827" w:rsidP="00A57827" w14:paraId="5BE61D30" w14:textId="663D238B">
      <w:pPr>
        <w:spacing w:line="240" w:lineRule="atLeast"/>
        <w:rPr>
          <w:sz w:val="20"/>
          <w:szCs w:val="20"/>
        </w:rPr>
      </w:pPr>
      <w:r w:rsidRPr="00A57827">
        <w:rPr>
          <w:sz w:val="20"/>
          <w:szCs w:val="20"/>
        </w:rPr>
        <w:t>Filed 4/5/24</w:t>
      </w:r>
      <w:r w:rsidR="00A209E7">
        <w:rPr>
          <w:sz w:val="20"/>
          <w:szCs w:val="20"/>
        </w:rPr>
        <w:t>; Certified for Publication 4/23/24 (order attached)</w:t>
      </w:r>
    </w:p>
    <w:p w:rsidR="000E6915" w:rsidP="000E6915" w14:paraId="2537C24E" w14:textId="77777777">
      <w:pPr>
        <w:spacing w:line="240" w:lineRule="atLeast"/>
        <w:jc w:val="center"/>
        <w:rPr>
          <w:u w:val="words"/>
        </w:rPr>
      </w:pPr>
    </w:p>
    <w:p w:rsidR="00A209E7" w:rsidP="000E6915" w14:paraId="6CB3CE1B" w14:textId="77777777">
      <w:pPr>
        <w:spacing w:line="240" w:lineRule="atLeast"/>
        <w:jc w:val="center"/>
        <w:rPr>
          <w:u w:val="words"/>
        </w:rPr>
      </w:pPr>
    </w:p>
    <w:p w:rsidR="00A209E7" w:rsidP="000E6915" w14:paraId="40AE5141" w14:textId="77777777">
      <w:pPr>
        <w:spacing w:line="240" w:lineRule="atLeast"/>
        <w:jc w:val="center"/>
        <w:rPr>
          <w:u w:val="words"/>
        </w:rPr>
      </w:pPr>
    </w:p>
    <w:p w:rsidR="00A209E7" w:rsidP="000E6915" w14:paraId="386A30AA" w14:textId="77777777">
      <w:pPr>
        <w:spacing w:line="240" w:lineRule="atLeast"/>
        <w:jc w:val="center"/>
        <w:rPr>
          <w:u w:val="words"/>
        </w:rPr>
      </w:pPr>
    </w:p>
    <w:p w:rsidR="00A209E7" w:rsidRPr="000E6915" w:rsidP="000E6915" w14:paraId="27D2E609" w14:textId="77777777">
      <w:pPr>
        <w:spacing w:line="240" w:lineRule="atLeast"/>
        <w:jc w:val="center"/>
        <w:rPr>
          <w:u w:val="words"/>
        </w:rPr>
      </w:pPr>
    </w:p>
    <w:p w:rsidR="000E6915" w:rsidRPr="000E6915" w:rsidP="000E6915" w14:paraId="37898EE2" w14:textId="77777777">
      <w:pPr>
        <w:spacing w:line="240" w:lineRule="atLeast"/>
        <w:jc w:val="center"/>
        <w:rPr>
          <w:u w:val="words"/>
        </w:rPr>
      </w:pPr>
    </w:p>
    <w:p w:rsidR="000E6915" w:rsidRPr="000E6915" w:rsidP="000E6915" w14:paraId="053B2773" w14:textId="49652771">
      <w:pPr>
        <w:jc w:val="center"/>
      </w:pPr>
      <w:r w:rsidRPr="000E6915">
        <w:t>IN THE COURT OF APPEAL OF THE STATE OF CALIFORNIA</w:t>
      </w:r>
    </w:p>
    <w:p w:rsidR="000E6915" w:rsidRPr="000E6915" w:rsidP="000E6915" w14:paraId="467FF3AA" w14:textId="35B3AA8F">
      <w:pPr>
        <w:jc w:val="center"/>
      </w:pPr>
      <w:r w:rsidRPr="000E6915">
        <w:t>THIRD APPELLATE DISTRICT</w:t>
      </w:r>
    </w:p>
    <w:p w:rsidR="000E6915" w:rsidRPr="000E6915" w:rsidP="000E6915" w14:paraId="2EB8FEB7" w14:textId="0A1083C8">
      <w:pPr>
        <w:jc w:val="center"/>
      </w:pPr>
      <w:r w:rsidRPr="000E6915">
        <w:t>(Sacramento)</w:t>
      </w:r>
    </w:p>
    <w:p w:rsidR="000E6915" w:rsidRPr="000E6915" w:rsidP="000E6915" w14:paraId="243E1BB9" w14:textId="7DBA5215">
      <w:pPr>
        <w:jc w:val="center"/>
      </w:pPr>
      <w:r w:rsidRPr="000E6915">
        <w:t>----</w:t>
      </w:r>
    </w:p>
    <w:p w:rsidR="000E6915" w:rsidRPr="000E6915" w:rsidP="000E6915" w14:paraId="49EC49A9" w14:textId="77777777">
      <w:pPr>
        <w:jc w:val="center"/>
      </w:pPr>
    </w:p>
    <w:p w:rsidR="000E6915" w:rsidRPr="000E6915" w:rsidP="000E6915" w14:paraId="14E746AA" w14:textId="77777777">
      <w:pPr>
        <w:spacing w:line="240" w:lineRule="atLeast"/>
      </w:pPr>
    </w:p>
    <w:p w:rsidR="000E6915" w:rsidRPr="000E6915" w:rsidP="000E6915" w14:paraId="0495A218" w14:textId="77777777">
      <w:pPr>
        <w:spacing w:line="240" w:lineRule="atLeast"/>
      </w:pPr>
    </w:p>
    <w:p w:rsidR="000E6915" w:rsidRPr="000E6915" w:rsidP="000E6915" w14:paraId="4B585E18" w14:textId="77777777">
      <w:pPr>
        <w:spacing w:line="240" w:lineRule="atLeast"/>
      </w:pPr>
    </w:p>
    <w:tbl>
      <w:tblPr>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
      <w:tblGrid>
        <w:gridCol w:w="5904"/>
        <w:gridCol w:w="3456"/>
      </w:tblGrid>
      <w:tr w14:paraId="19800E26" w14:textId="77777777" w:rsidTr="000E6915">
        <w:tblPrEx>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Ex>
        <w:tc>
          <w:tcPr>
            <w:tcW w:w="5904" w:type="dxa"/>
            <w:shd w:val="clear" w:color="auto" w:fill="auto"/>
          </w:tcPr>
          <w:p w:rsidR="000E6915" w:rsidRPr="000E6915" w:rsidP="000E6915" w14:paraId="07F4A351" w14:textId="7CD87780">
            <w:pPr>
              <w:spacing w:line="240" w:lineRule="atLeast"/>
              <w:rPr>
                <w:rStyle w:val="DefaultParagraphFont"/>
                <w:kern w:val="2"/>
                <w:sz w:val="26"/>
                <w:szCs w:val="26"/>
                <w:lang w:val="en-US" w:eastAsia="en-US" w:bidi="ar-SA"/>
                <w14:ligatures w14:val="standardContextual"/>
              </w:rPr>
            </w:pPr>
            <w:r w:rsidRPr="000E6915">
              <w:rPr>
                <w:kern w:val="2"/>
                <w:sz w:val="26"/>
                <w:szCs w:val="26"/>
                <w:lang w:val="en-US" w:eastAsia="en-US" w:bidi="ar-SA"/>
                <w14:ligatures w14:val="standardContextual"/>
              </w:rPr>
              <w:t>JUNE L</w:t>
            </w:r>
            <w:r w:rsidR="00EE7972">
              <w:rPr>
                <w:smallCaps/>
                <w:kern w:val="2"/>
                <w:sz w:val="26"/>
                <w:szCs w:val="26"/>
                <w:lang w:val="en-US" w:eastAsia="en-US" w:bidi="ar-SA"/>
                <w14:ligatures w14:val="standardContextual"/>
              </w:rPr>
              <w:t>a</w:t>
            </w:r>
            <w:r w:rsidRPr="000E6915">
              <w:rPr>
                <w:kern w:val="2"/>
                <w:sz w:val="26"/>
                <w:szCs w:val="26"/>
                <w:lang w:val="en-US" w:eastAsia="en-US" w:bidi="ar-SA"/>
                <w14:ligatures w14:val="standardContextual"/>
              </w:rPr>
              <w:t>MARR,</w:t>
            </w:r>
          </w:p>
          <w:p w:rsidR="000E6915" w:rsidRPr="000E6915" w:rsidP="000E6915" w14:paraId="1A36562C" w14:textId="77777777">
            <w:pPr>
              <w:spacing w:line="240" w:lineRule="atLeast"/>
              <w:rPr>
                <w:rStyle w:val="DefaultParagraphFont"/>
                <w:kern w:val="2"/>
                <w:sz w:val="26"/>
                <w:szCs w:val="26"/>
                <w:lang w:val="en-US" w:eastAsia="en-US" w:bidi="ar-SA"/>
                <w14:ligatures w14:val="standardContextual"/>
              </w:rPr>
            </w:pPr>
          </w:p>
          <w:p w:rsidR="000E6915" w:rsidRPr="000E6915" w:rsidP="000E6915" w14:paraId="719106AE" w14:textId="77777777">
            <w:pPr>
              <w:spacing w:line="240" w:lineRule="atLeast"/>
              <w:rPr>
                <w:rStyle w:val="DefaultParagraphFont"/>
                <w:kern w:val="2"/>
                <w:sz w:val="26"/>
                <w:szCs w:val="26"/>
                <w:lang w:val="en-US" w:eastAsia="en-US" w:bidi="ar-SA"/>
                <w14:ligatures w14:val="standardContextual"/>
              </w:rPr>
            </w:pPr>
            <w:r w:rsidRPr="000E6915">
              <w:rPr>
                <w:kern w:val="2"/>
                <w:sz w:val="26"/>
                <w:szCs w:val="26"/>
                <w:lang w:val="en-US" w:eastAsia="en-US" w:bidi="ar-SA"/>
                <w14:ligatures w14:val="standardContextual"/>
              </w:rPr>
              <w:tab/>
            </w:r>
            <w:r w:rsidRPr="000E6915">
              <w:rPr>
                <w:kern w:val="2"/>
                <w:sz w:val="26"/>
                <w:szCs w:val="26"/>
                <w:lang w:val="en-US" w:eastAsia="en-US" w:bidi="ar-SA"/>
                <w14:ligatures w14:val="standardContextual"/>
              </w:rPr>
              <w:tab/>
              <w:t>Plaintiff and Appellant,</w:t>
            </w:r>
          </w:p>
          <w:p w:rsidR="000E6915" w:rsidRPr="000E6915" w:rsidP="000E6915" w14:paraId="7BBFAD6D" w14:textId="77777777">
            <w:pPr>
              <w:spacing w:line="240" w:lineRule="atLeast"/>
              <w:rPr>
                <w:rStyle w:val="DefaultParagraphFont"/>
                <w:kern w:val="2"/>
                <w:sz w:val="26"/>
                <w:szCs w:val="26"/>
                <w:lang w:val="en-US" w:eastAsia="en-US" w:bidi="ar-SA"/>
                <w14:ligatures w14:val="standardContextual"/>
              </w:rPr>
            </w:pPr>
          </w:p>
          <w:p w:rsidR="000E6915" w:rsidRPr="000E6915" w:rsidP="000E6915" w14:paraId="0E3381AF" w14:textId="77777777">
            <w:pPr>
              <w:spacing w:line="240" w:lineRule="atLeast"/>
              <w:rPr>
                <w:rStyle w:val="DefaultParagraphFont"/>
                <w:kern w:val="2"/>
                <w:sz w:val="26"/>
                <w:szCs w:val="26"/>
                <w:lang w:val="en-US" w:eastAsia="en-US" w:bidi="ar-SA"/>
                <w14:ligatures w14:val="standardContextual"/>
              </w:rPr>
            </w:pPr>
            <w:r w:rsidRPr="000E6915">
              <w:rPr>
                <w:kern w:val="2"/>
                <w:sz w:val="26"/>
                <w:szCs w:val="26"/>
                <w:lang w:val="en-US" w:eastAsia="en-US" w:bidi="ar-SA"/>
                <w14:ligatures w14:val="standardContextual"/>
              </w:rPr>
              <w:tab/>
              <w:t>v.</w:t>
            </w:r>
          </w:p>
          <w:p w:rsidR="000E6915" w:rsidRPr="000E6915" w:rsidP="000E6915" w14:paraId="2A2DF07C" w14:textId="77777777">
            <w:pPr>
              <w:spacing w:line="240" w:lineRule="atLeast"/>
              <w:rPr>
                <w:rStyle w:val="DefaultParagraphFont"/>
                <w:kern w:val="2"/>
                <w:sz w:val="26"/>
                <w:szCs w:val="26"/>
                <w:lang w:val="en-US" w:eastAsia="en-US" w:bidi="ar-SA"/>
                <w14:ligatures w14:val="standardContextual"/>
              </w:rPr>
            </w:pPr>
          </w:p>
          <w:p w:rsidR="000E6915" w:rsidRPr="000E6915" w:rsidP="000E6915" w14:paraId="7604DF87" w14:textId="77777777">
            <w:pPr>
              <w:spacing w:line="240" w:lineRule="atLeast"/>
              <w:rPr>
                <w:rStyle w:val="DefaultParagraphFont"/>
                <w:kern w:val="2"/>
                <w:sz w:val="26"/>
                <w:szCs w:val="26"/>
                <w:lang w:val="en-US" w:eastAsia="en-US" w:bidi="ar-SA"/>
                <w14:ligatures w14:val="standardContextual"/>
              </w:rPr>
            </w:pPr>
            <w:r w:rsidRPr="000E6915">
              <w:rPr>
                <w:kern w:val="2"/>
                <w:sz w:val="26"/>
                <w:szCs w:val="26"/>
                <w:lang w:val="en-US" w:eastAsia="en-US" w:bidi="ar-SA"/>
                <w14:ligatures w14:val="standardContextual"/>
              </w:rPr>
              <w:t>THE REGENTS OF THE UNIVERSITY OF CALIFORNIA,</w:t>
            </w:r>
          </w:p>
          <w:p w:rsidR="000E6915" w:rsidRPr="000E6915" w:rsidP="000E6915" w14:paraId="05B1C779" w14:textId="77777777">
            <w:pPr>
              <w:spacing w:line="240" w:lineRule="atLeast"/>
              <w:rPr>
                <w:rStyle w:val="DefaultParagraphFont"/>
                <w:kern w:val="2"/>
                <w:sz w:val="26"/>
                <w:szCs w:val="26"/>
                <w:lang w:val="en-US" w:eastAsia="en-US" w:bidi="ar-SA"/>
                <w14:ligatures w14:val="standardContextual"/>
              </w:rPr>
            </w:pPr>
          </w:p>
          <w:p w:rsidR="000E6915" w:rsidRPr="000E6915" w:rsidP="000E6915" w14:paraId="65A562B0" w14:textId="77777777">
            <w:pPr>
              <w:spacing w:line="240" w:lineRule="atLeast"/>
              <w:rPr>
                <w:rStyle w:val="DefaultParagraphFont"/>
                <w:kern w:val="2"/>
                <w:sz w:val="26"/>
                <w:szCs w:val="26"/>
                <w:lang w:val="en-US" w:eastAsia="en-US" w:bidi="ar-SA"/>
                <w14:ligatures w14:val="standardContextual"/>
              </w:rPr>
            </w:pPr>
            <w:r w:rsidRPr="000E6915">
              <w:rPr>
                <w:kern w:val="2"/>
                <w:sz w:val="26"/>
                <w:szCs w:val="26"/>
                <w:lang w:val="en-US" w:eastAsia="en-US" w:bidi="ar-SA"/>
                <w14:ligatures w14:val="standardContextual"/>
              </w:rPr>
              <w:tab/>
            </w:r>
            <w:r w:rsidRPr="000E6915">
              <w:rPr>
                <w:kern w:val="2"/>
                <w:sz w:val="26"/>
                <w:szCs w:val="26"/>
                <w:lang w:val="en-US" w:eastAsia="en-US" w:bidi="ar-SA"/>
                <w14:ligatures w14:val="standardContextual"/>
              </w:rPr>
              <w:tab/>
              <w:t>Defendant and Respondent.</w:t>
            </w:r>
          </w:p>
          <w:p w:rsidR="000E6915" w:rsidRPr="000E6915" w:rsidP="000E6915" w14:paraId="1367E2D3" w14:textId="387DCA5F">
            <w:pPr>
              <w:spacing w:line="240" w:lineRule="atLeast"/>
              <w:rPr>
                <w:rStyle w:val="DefaultParagraphFont"/>
                <w:kern w:val="2"/>
                <w:sz w:val="26"/>
                <w:szCs w:val="26"/>
                <w:lang w:val="en-US" w:eastAsia="en-US" w:bidi="ar-SA"/>
                <w14:ligatures w14:val="standardContextual"/>
              </w:rPr>
            </w:pPr>
          </w:p>
        </w:tc>
        <w:tc>
          <w:tcPr>
            <w:tcW w:w="3456" w:type="dxa"/>
            <w:shd w:val="clear" w:color="auto" w:fill="auto"/>
          </w:tcPr>
          <w:p w:rsidR="000E6915" w:rsidRPr="000E6915" w:rsidP="000E6915" w14:paraId="5CE3885D" w14:textId="77777777">
            <w:pPr>
              <w:spacing w:line="240" w:lineRule="atLeast"/>
              <w:jc w:val="center"/>
              <w:rPr>
                <w:rStyle w:val="DefaultParagraphFont"/>
                <w:kern w:val="2"/>
                <w:sz w:val="26"/>
                <w:szCs w:val="26"/>
                <w:lang w:val="en-US" w:eastAsia="en-US" w:bidi="ar-SA"/>
                <w14:ligatures w14:val="standardContextual"/>
              </w:rPr>
            </w:pPr>
            <w:r w:rsidRPr="000E6915">
              <w:rPr>
                <w:kern w:val="2"/>
                <w:sz w:val="26"/>
                <w:szCs w:val="26"/>
                <w:lang w:val="en-US" w:eastAsia="en-US" w:bidi="ar-SA"/>
                <w14:ligatures w14:val="standardContextual"/>
              </w:rPr>
              <w:t>C097235</w:t>
            </w:r>
          </w:p>
          <w:p w:rsidR="000E6915" w:rsidRPr="000E6915" w:rsidP="000E6915" w14:paraId="514A8735" w14:textId="77777777">
            <w:pPr>
              <w:spacing w:line="240" w:lineRule="atLeast"/>
              <w:jc w:val="center"/>
              <w:rPr>
                <w:rStyle w:val="DefaultParagraphFont"/>
                <w:kern w:val="2"/>
                <w:sz w:val="26"/>
                <w:szCs w:val="26"/>
                <w:lang w:val="en-US" w:eastAsia="en-US" w:bidi="ar-SA"/>
                <w14:ligatures w14:val="standardContextual"/>
              </w:rPr>
            </w:pPr>
          </w:p>
          <w:p w:rsidR="000E6915" w:rsidRPr="000E6915" w:rsidP="000E6915" w14:paraId="18499C82" w14:textId="330703C8">
            <w:pPr>
              <w:spacing w:line="240" w:lineRule="atLeast"/>
              <w:jc w:val="center"/>
              <w:rPr>
                <w:rStyle w:val="DefaultParagraphFont"/>
                <w:kern w:val="2"/>
                <w:sz w:val="26"/>
                <w:szCs w:val="26"/>
                <w:lang w:val="en-US" w:eastAsia="en-US" w:bidi="ar-SA"/>
                <w14:ligatures w14:val="standardContextual"/>
              </w:rPr>
            </w:pPr>
            <w:r w:rsidRPr="000E6915">
              <w:rPr>
                <w:kern w:val="2"/>
                <w:sz w:val="26"/>
                <w:szCs w:val="26"/>
                <w:lang w:val="en-US" w:eastAsia="en-US" w:bidi="ar-SA"/>
                <w14:ligatures w14:val="standardContextual"/>
              </w:rPr>
              <w:t>(Super. Ct. No. 34</w:t>
            </w:r>
            <w:r w:rsidR="00EE7972">
              <w:rPr>
                <w:kern w:val="2"/>
                <w:sz w:val="26"/>
                <w:szCs w:val="26"/>
                <w:lang w:val="en-US" w:eastAsia="en-US" w:bidi="ar-SA"/>
                <w14:ligatures w14:val="standardContextual"/>
              </w:rPr>
              <w:t>-</w:t>
            </w:r>
            <w:r w:rsidRPr="000E6915">
              <w:rPr>
                <w:kern w:val="2"/>
                <w:sz w:val="26"/>
                <w:szCs w:val="26"/>
                <w:lang w:val="en-US" w:eastAsia="en-US" w:bidi="ar-SA"/>
                <w14:ligatures w14:val="standardContextual"/>
              </w:rPr>
              <w:t>2015</w:t>
            </w:r>
            <w:r w:rsidR="00EE7972">
              <w:rPr>
                <w:kern w:val="2"/>
                <w:sz w:val="26"/>
                <w:szCs w:val="26"/>
                <w:lang w:val="en-US" w:eastAsia="en-US" w:bidi="ar-SA"/>
                <w14:ligatures w14:val="standardContextual"/>
              </w:rPr>
              <w:t>-</w:t>
            </w:r>
            <w:r w:rsidRPr="000E6915">
              <w:rPr>
                <w:kern w:val="2"/>
                <w:sz w:val="26"/>
                <w:szCs w:val="26"/>
                <w:lang w:val="en-US" w:eastAsia="en-US" w:bidi="ar-SA"/>
                <w14:ligatures w14:val="standardContextual"/>
              </w:rPr>
              <w:t>00181352</w:t>
            </w:r>
            <w:r w:rsidR="00EE7972">
              <w:rPr>
                <w:kern w:val="2"/>
                <w:sz w:val="26"/>
                <w:szCs w:val="26"/>
                <w:lang w:val="en-US" w:eastAsia="en-US" w:bidi="ar-SA"/>
                <w14:ligatures w14:val="standardContextual"/>
              </w:rPr>
              <w:t>-</w:t>
            </w:r>
            <w:r w:rsidRPr="000E6915">
              <w:rPr>
                <w:kern w:val="2"/>
                <w:sz w:val="26"/>
                <w:szCs w:val="26"/>
                <w:lang w:val="en-US" w:eastAsia="en-US" w:bidi="ar-SA"/>
                <w14:ligatures w14:val="standardContextual"/>
              </w:rPr>
              <w:t>CU</w:t>
            </w:r>
            <w:r w:rsidR="00EE7972">
              <w:rPr>
                <w:kern w:val="2"/>
                <w:sz w:val="26"/>
                <w:szCs w:val="26"/>
                <w:lang w:val="en-US" w:eastAsia="en-US" w:bidi="ar-SA"/>
                <w14:ligatures w14:val="standardContextual"/>
              </w:rPr>
              <w:t>-</w:t>
            </w:r>
            <w:r w:rsidRPr="000E6915">
              <w:rPr>
                <w:kern w:val="2"/>
                <w:sz w:val="26"/>
                <w:szCs w:val="26"/>
                <w:lang w:val="en-US" w:eastAsia="en-US" w:bidi="ar-SA"/>
                <w14:ligatures w14:val="standardContextual"/>
              </w:rPr>
              <w:t>OE</w:t>
            </w:r>
            <w:r w:rsidR="00EE7972">
              <w:rPr>
                <w:kern w:val="2"/>
                <w:sz w:val="26"/>
                <w:szCs w:val="26"/>
                <w:lang w:val="en-US" w:eastAsia="en-US" w:bidi="ar-SA"/>
                <w14:ligatures w14:val="standardContextual"/>
              </w:rPr>
              <w:t>-</w:t>
            </w:r>
            <w:r w:rsidRPr="000E6915">
              <w:rPr>
                <w:kern w:val="2"/>
                <w:sz w:val="26"/>
                <w:szCs w:val="26"/>
                <w:lang w:val="en-US" w:eastAsia="en-US" w:bidi="ar-SA"/>
                <w14:ligatures w14:val="standardContextual"/>
              </w:rPr>
              <w:t>GDS)</w:t>
            </w:r>
          </w:p>
          <w:p w:rsidR="000E6915" w:rsidRPr="000E6915" w:rsidP="000E6915" w14:paraId="0E0AF5E1" w14:textId="77777777">
            <w:pPr>
              <w:spacing w:line="240" w:lineRule="atLeast"/>
              <w:jc w:val="center"/>
              <w:rPr>
                <w:rStyle w:val="DefaultParagraphFont"/>
                <w:kern w:val="2"/>
                <w:sz w:val="26"/>
                <w:szCs w:val="26"/>
                <w:lang w:val="en-US" w:eastAsia="en-US" w:bidi="ar-SA"/>
                <w14:ligatures w14:val="standardContextual"/>
              </w:rPr>
            </w:pPr>
          </w:p>
          <w:p w:rsidR="000E6915" w:rsidRPr="000E6915" w:rsidP="000E6915" w14:paraId="137563BD" w14:textId="3331E4A1">
            <w:pPr>
              <w:spacing w:line="240" w:lineRule="atLeast"/>
              <w:jc w:val="center"/>
              <w:rPr>
                <w:rStyle w:val="DefaultParagraphFont"/>
                <w:kern w:val="2"/>
                <w:sz w:val="26"/>
                <w:szCs w:val="26"/>
                <w:lang w:val="en-US" w:eastAsia="en-US" w:bidi="ar-SA"/>
                <w14:ligatures w14:val="standardContextual"/>
              </w:rPr>
            </w:pPr>
          </w:p>
        </w:tc>
      </w:tr>
    </w:tbl>
    <w:p w:rsidR="000E6915" w:rsidP="00A73EAD" w14:paraId="406F8521" w14:textId="77777777">
      <w:pPr>
        <w:spacing w:line="240" w:lineRule="auto"/>
        <w:rPr>
          <w:highlight w:val="yellow"/>
        </w:rPr>
      </w:pPr>
    </w:p>
    <w:p w:rsidR="000E6915" w:rsidRPr="004F3DF4" w:rsidP="00A73EAD" w14:paraId="7C6CC048" w14:textId="77777777">
      <w:pPr>
        <w:spacing w:line="240" w:lineRule="auto"/>
        <w:rPr>
          <w:highlight w:val="yellow"/>
        </w:rPr>
      </w:pPr>
    </w:p>
    <w:p w:rsidR="00090FA6" w:rsidRPr="004F3DF4" w:rsidP="00456EEA" w14:paraId="36267EB6" w14:textId="1C507797">
      <w:pPr>
        <w:ind w:firstLine="720"/>
        <w:rPr>
          <w:highlight w:val="yellow"/>
        </w:rPr>
      </w:pPr>
      <w:r w:rsidRPr="00B920D2">
        <w:t xml:space="preserve">After </w:t>
      </w:r>
      <w:r w:rsidRPr="00B920D2" w:rsidR="0053227C">
        <w:t xml:space="preserve">performance problems and friction </w:t>
      </w:r>
      <w:r w:rsidRPr="00B920D2">
        <w:t>with her supervisor, p</w:t>
      </w:r>
      <w:r w:rsidRPr="00B920D2" w:rsidR="00FF4759">
        <w:t xml:space="preserve">laintiff June </w:t>
      </w:r>
      <w:r w:rsidRPr="00B920D2" w:rsidR="00064B54">
        <w:t xml:space="preserve">LaMarr </w:t>
      </w:r>
      <w:r w:rsidRPr="00B920D2" w:rsidR="008F5D33">
        <w:t xml:space="preserve">temporarily </w:t>
      </w:r>
      <w:r w:rsidRPr="00B920D2" w:rsidR="000C72A7">
        <w:t>transfer</w:t>
      </w:r>
      <w:r w:rsidRPr="00B920D2" w:rsidR="00FF4759">
        <w:t>red</w:t>
      </w:r>
      <w:r w:rsidRPr="00B920D2" w:rsidR="000C72A7">
        <w:t xml:space="preserve"> to </w:t>
      </w:r>
      <w:r w:rsidRPr="00B920D2" w:rsidR="00AD2D8F">
        <w:t xml:space="preserve">a new </w:t>
      </w:r>
      <w:r w:rsidRPr="00B920D2" w:rsidR="000C72A7">
        <w:t>department</w:t>
      </w:r>
      <w:r w:rsidRPr="00B920D2" w:rsidR="00FF4759">
        <w:t xml:space="preserve"> at the University of California Davis Medical Center, a</w:t>
      </w:r>
      <w:r w:rsidRPr="00B920D2" w:rsidR="00486714">
        <w:t xml:space="preserve"> </w:t>
      </w:r>
      <w:r w:rsidRPr="00B920D2" w:rsidR="00B80E83">
        <w:t>unit</w:t>
      </w:r>
      <w:r w:rsidRPr="00B920D2" w:rsidR="00486714">
        <w:t xml:space="preserve"> </w:t>
      </w:r>
      <w:r w:rsidRPr="00B920D2" w:rsidR="00FF4759">
        <w:t xml:space="preserve">of defendant </w:t>
      </w:r>
      <w:r w:rsidRPr="00B920D2" w:rsidR="008F5FD1">
        <w:t>t</w:t>
      </w:r>
      <w:r w:rsidRPr="00B920D2" w:rsidR="00FF4759">
        <w:t>he Regents of the University of California (Regents)</w:t>
      </w:r>
      <w:r w:rsidRPr="00B920D2" w:rsidR="00CF0469">
        <w:t xml:space="preserve">.  </w:t>
      </w:r>
      <w:r w:rsidRPr="00B920D2" w:rsidR="001F2062">
        <w:t xml:space="preserve">LaMarr </w:t>
      </w:r>
      <w:r w:rsidRPr="00B920D2" w:rsidR="0053227C">
        <w:t xml:space="preserve">was later given </w:t>
      </w:r>
      <w:r w:rsidRPr="00B920D2" w:rsidR="001F2062">
        <w:t xml:space="preserve">the option to move back into her prior </w:t>
      </w:r>
      <w:r w:rsidRPr="00B920D2" w:rsidR="0013699D">
        <w:t>position</w:t>
      </w:r>
      <w:r w:rsidRPr="00B920D2" w:rsidR="0053227C">
        <w:t>,</w:t>
      </w:r>
      <w:r w:rsidRPr="00B920D2" w:rsidR="001F2062">
        <w:t xml:space="preserve"> but</w:t>
      </w:r>
      <w:r w:rsidRPr="00B920D2" w:rsidR="00F6541C">
        <w:t xml:space="preserve"> </w:t>
      </w:r>
      <w:r w:rsidRPr="00B920D2" w:rsidR="000D3058">
        <w:t xml:space="preserve">was </w:t>
      </w:r>
      <w:r w:rsidRPr="00B920D2" w:rsidR="00F6541C">
        <w:t xml:space="preserve">told </w:t>
      </w:r>
      <w:r w:rsidRPr="00B920D2" w:rsidR="00D13D6F">
        <w:t xml:space="preserve">she </w:t>
      </w:r>
      <w:r w:rsidRPr="00B920D2" w:rsidR="00E07AEE">
        <w:t>would face disciplin</w:t>
      </w:r>
      <w:r w:rsidRPr="00B920D2" w:rsidR="0053227C">
        <w:t>e</w:t>
      </w:r>
      <w:r w:rsidRPr="00B920D2" w:rsidR="00E07AEE">
        <w:t xml:space="preserve">, including possible termination, </w:t>
      </w:r>
      <w:r w:rsidRPr="00B920D2" w:rsidR="00D13D6F">
        <w:t xml:space="preserve">if she </w:t>
      </w:r>
      <w:r w:rsidRPr="00B920D2" w:rsidR="001F2062">
        <w:t>did</w:t>
      </w:r>
      <w:r w:rsidRPr="00B920D2" w:rsidR="00243B8A">
        <w:t xml:space="preserve">.  LaMarr </w:t>
      </w:r>
      <w:r w:rsidRPr="00B920D2" w:rsidR="000D3058">
        <w:t xml:space="preserve">ultimately </w:t>
      </w:r>
      <w:r w:rsidRPr="00B920D2" w:rsidR="00243B8A">
        <w:t xml:space="preserve">accepted </w:t>
      </w:r>
      <w:r w:rsidRPr="00B920D2" w:rsidR="009A62DF">
        <w:t>a</w:t>
      </w:r>
      <w:r w:rsidRPr="00B920D2" w:rsidR="00243B8A">
        <w:t xml:space="preserve"> permanent position </w:t>
      </w:r>
      <w:r w:rsidRPr="00B920D2" w:rsidR="00BD5546">
        <w:t>in</w:t>
      </w:r>
      <w:r w:rsidRPr="00B920D2" w:rsidR="00243B8A">
        <w:t xml:space="preserve"> the new department </w:t>
      </w:r>
      <w:r w:rsidRPr="00B920D2" w:rsidR="001E0AF9">
        <w:t>for less</w:t>
      </w:r>
      <w:r w:rsidRPr="00B920D2" w:rsidR="00243B8A">
        <w:t xml:space="preserve"> pay and </w:t>
      </w:r>
      <w:r w:rsidRPr="00495FC4" w:rsidR="00243B8A">
        <w:t xml:space="preserve">sued </w:t>
      </w:r>
      <w:r w:rsidR="00117A46">
        <w:t xml:space="preserve">the </w:t>
      </w:r>
      <w:r w:rsidRPr="00495FC4" w:rsidR="00243B8A">
        <w:t xml:space="preserve">Regents alleging </w:t>
      </w:r>
      <w:r w:rsidR="00117A46">
        <w:t>it</w:t>
      </w:r>
      <w:r w:rsidRPr="00495FC4" w:rsidR="00117A46">
        <w:t xml:space="preserve"> </w:t>
      </w:r>
      <w:r w:rsidRPr="00495FC4" w:rsidR="00DA3517">
        <w:t xml:space="preserve">violated her due process </w:t>
      </w:r>
      <w:r w:rsidRPr="00495FC4" w:rsidR="00AD2D8F">
        <w:t>right</w:t>
      </w:r>
      <w:r w:rsidRPr="00495FC4" w:rsidR="0013699D">
        <w:t>s</w:t>
      </w:r>
      <w:r w:rsidRPr="00495FC4" w:rsidR="00AD2D8F">
        <w:t xml:space="preserve"> </w:t>
      </w:r>
      <w:r w:rsidRPr="00495FC4" w:rsidR="00887F99">
        <w:t>by not providing</w:t>
      </w:r>
      <w:r w:rsidRPr="00495FC4" w:rsidR="00243B8A">
        <w:t xml:space="preserve"> her a hearing </w:t>
      </w:r>
      <w:r w:rsidRPr="00495FC4" w:rsidR="00887F99">
        <w:t>under</w:t>
      </w:r>
      <w:r w:rsidRPr="00495FC4" w:rsidR="00243B8A">
        <w:t xml:space="preserve"> </w:t>
      </w:r>
      <w:bookmarkStart w:id="0" w:name="dabmci_84284a1fb1574f9785953118e8106686"/>
      <w:r w:rsidRPr="00495FC4" w:rsidR="00243B8A">
        <w:rPr>
          <w:i/>
          <w:iCs/>
        </w:rPr>
        <w:t>Skelly</w:t>
      </w:r>
      <w:r w:rsidRPr="00495FC4" w:rsidR="00905EEB">
        <w:rPr>
          <w:i/>
          <w:iCs/>
        </w:rPr>
        <w:t> </w:t>
      </w:r>
      <w:r w:rsidRPr="00495FC4" w:rsidR="00243B8A">
        <w:rPr>
          <w:i/>
          <w:iCs/>
        </w:rPr>
        <w:t xml:space="preserve">v. </w:t>
      </w:r>
      <w:r w:rsidRPr="00495FC4" w:rsidR="00243B8A">
        <w:rPr>
          <w:i/>
          <w:iCs/>
        </w:rPr>
        <w:t>State Personnel Bd.</w:t>
      </w:r>
      <w:r w:rsidRPr="00495FC4" w:rsidR="00243B8A">
        <w:t xml:space="preserve"> (1975) 15</w:t>
      </w:r>
      <w:r w:rsidRPr="00495FC4" w:rsidR="008D7BD6">
        <w:t> </w:t>
      </w:r>
      <w:r w:rsidRPr="00495FC4" w:rsidR="00243B8A">
        <w:t>Cal.3d 194 (</w:t>
      </w:r>
      <w:r w:rsidRPr="00495FC4" w:rsidR="00243B8A">
        <w:rPr>
          <w:i/>
          <w:iCs/>
        </w:rPr>
        <w:t>Skelly</w:t>
      </w:r>
      <w:r w:rsidRPr="00495FC4" w:rsidR="00243B8A">
        <w:t>)</w:t>
      </w:r>
      <w:bookmarkEnd w:id="0"/>
      <w:r w:rsidRPr="00495FC4" w:rsidR="004D490E">
        <w:t xml:space="preserve"> prior to her demotion</w:t>
      </w:r>
      <w:r w:rsidRPr="00495FC4" w:rsidR="00243B8A">
        <w:t xml:space="preserve">.  After a court trial, the trial court </w:t>
      </w:r>
      <w:r w:rsidRPr="00495FC4" w:rsidR="00DA3517">
        <w:t>found</w:t>
      </w:r>
      <w:r w:rsidRPr="00495FC4" w:rsidR="00243B8A">
        <w:t xml:space="preserve"> against LaMarr</w:t>
      </w:r>
      <w:r w:rsidRPr="00495FC4" w:rsidR="00A00B2F">
        <w:t>.  LaMarr now appeals contending the trial court’s finding lack</w:t>
      </w:r>
      <w:r w:rsidRPr="00495FC4" w:rsidR="00E35E87">
        <w:t>ed</w:t>
      </w:r>
      <w:r w:rsidRPr="00495FC4" w:rsidR="00A00B2F">
        <w:t xml:space="preserve"> substantial evidence.  </w:t>
      </w:r>
      <w:r w:rsidRPr="00C54683" w:rsidR="00A00B2F">
        <w:t>We affirm.</w:t>
      </w:r>
    </w:p>
    <w:p w:rsidR="00844D28" w:rsidRPr="00C54683" w:rsidP="00D61384" w14:paraId="6B4655C0" w14:textId="0C356E47">
      <w:pPr>
        <w:keepNext/>
        <w:jc w:val="center"/>
      </w:pPr>
      <w:r w:rsidRPr="00C54683">
        <w:t>FACTUAL AND PROCEDURAL BACKGROUND</w:t>
      </w:r>
    </w:p>
    <w:p w:rsidR="004C5019" w:rsidRPr="00905EEB" w:rsidP="00844D28" w14:paraId="31CCE8AB" w14:textId="6BDCD032">
      <w:pPr>
        <w:ind w:firstLine="720"/>
      </w:pPr>
      <w:r w:rsidRPr="007E2246">
        <w:t xml:space="preserve">The evidence </w:t>
      </w:r>
      <w:r w:rsidRPr="007E2246" w:rsidR="00E07AEE">
        <w:t>introduced at trial</w:t>
      </w:r>
      <w:r w:rsidRPr="007E2246">
        <w:t xml:space="preserve"> established </w:t>
      </w:r>
      <w:r w:rsidRPr="007E2246" w:rsidR="00844D28">
        <w:t xml:space="preserve">LaMarr was </w:t>
      </w:r>
      <w:r w:rsidRPr="00905EEB" w:rsidR="00844D28">
        <w:t xml:space="preserve">a </w:t>
      </w:r>
      <w:r w:rsidRPr="00905EEB" w:rsidR="00E561A6">
        <w:t>medical office services coordinator (coordinator)</w:t>
      </w:r>
      <w:r w:rsidRPr="00905EEB" w:rsidR="00844D28">
        <w:t xml:space="preserve"> l</w:t>
      </w:r>
      <w:r w:rsidRPr="007E2246" w:rsidR="00844D28">
        <w:t>evel V at the U</w:t>
      </w:r>
      <w:r w:rsidRPr="007E2246" w:rsidR="00F8023E">
        <w:t>niversity of California</w:t>
      </w:r>
      <w:r w:rsidRPr="007E2246" w:rsidR="00844D28">
        <w:t xml:space="preserve"> Davis Medical Center’s </w:t>
      </w:r>
      <w:r w:rsidR="008C51DF">
        <w:t>c</w:t>
      </w:r>
      <w:r w:rsidRPr="007E2246" w:rsidR="00844D28">
        <w:t xml:space="preserve">ancer </w:t>
      </w:r>
      <w:r w:rsidR="008C51DF">
        <w:t>c</w:t>
      </w:r>
      <w:r w:rsidRPr="007E2246" w:rsidR="00844D28">
        <w:t>enter</w:t>
      </w:r>
      <w:r w:rsidRPr="007E2246">
        <w:t xml:space="preserve"> in </w:t>
      </w:r>
      <w:r w:rsidRPr="00905EEB">
        <w:t>2014</w:t>
      </w:r>
      <w:r w:rsidRPr="00905EEB" w:rsidR="00844D28">
        <w:t xml:space="preserve">.  </w:t>
      </w:r>
      <w:r w:rsidRPr="00905EEB" w:rsidR="00FD7CA5">
        <w:t>LaMarr’s</w:t>
      </w:r>
      <w:r w:rsidRPr="00905EEB" w:rsidR="00844D28">
        <w:t xml:space="preserve"> supervisor, Walter Knowles, suspended </w:t>
      </w:r>
      <w:r w:rsidRPr="00905EEB" w:rsidR="00FD7CA5">
        <w:t>her</w:t>
      </w:r>
      <w:r w:rsidRPr="00905EEB" w:rsidR="00844D28">
        <w:t xml:space="preserve"> for three days in July 2014 for performance issues.  </w:t>
      </w:r>
      <w:r w:rsidRPr="003A3A8A" w:rsidR="003E32DB">
        <w:t xml:space="preserve">Performance issues persisted after the suspension, however, </w:t>
      </w:r>
      <w:r w:rsidRPr="007E2246" w:rsidR="003E32DB">
        <w:t xml:space="preserve">and </w:t>
      </w:r>
      <w:r w:rsidRPr="007E2246" w:rsidR="00844D28">
        <w:t>Knowles</w:t>
      </w:r>
      <w:r w:rsidRPr="007E2246" w:rsidR="000A0B8C">
        <w:t xml:space="preserve"> subsequently</w:t>
      </w:r>
      <w:r w:rsidRPr="007E2246" w:rsidR="00844D28">
        <w:t xml:space="preserve"> prepared</w:t>
      </w:r>
      <w:r w:rsidRPr="00905EEB" w:rsidR="00826A3E">
        <w:t>, but did not issue,</w:t>
      </w:r>
      <w:r w:rsidRPr="007E2246" w:rsidR="00844D28">
        <w:t xml:space="preserve"> a “Letter of Intent to Dismiss” LaMarr in August 2014</w:t>
      </w:r>
      <w:r w:rsidRPr="003A3A8A" w:rsidR="00844D28">
        <w:t xml:space="preserve">.  </w:t>
      </w:r>
      <w:r w:rsidRPr="00905EEB" w:rsidR="00844D28">
        <w:t>Knowles’s supervisor, Chris Jackson, testified</w:t>
      </w:r>
      <w:r w:rsidRPr="00905EEB" w:rsidR="00004ED4">
        <w:t xml:space="preserve"> at trial he thought</w:t>
      </w:r>
      <w:r w:rsidRPr="00905EEB" w:rsidR="00844D28">
        <w:t xml:space="preserve"> this was an unusually expedited discipline procedure </w:t>
      </w:r>
      <w:r w:rsidRPr="00905EEB" w:rsidR="008E1278">
        <w:t>and it</w:t>
      </w:r>
      <w:r w:rsidRPr="00905EEB" w:rsidR="00844D28">
        <w:t xml:space="preserve"> concerned him.  LaMarr</w:t>
      </w:r>
      <w:r w:rsidRPr="00905EEB" w:rsidR="004C39B8">
        <w:t xml:space="preserve"> had also</w:t>
      </w:r>
      <w:r w:rsidRPr="00905EEB" w:rsidR="00844D28">
        <w:t xml:space="preserve"> told Jackson she was having difficulties with Knowles.  </w:t>
      </w:r>
    </w:p>
    <w:p w:rsidR="00844D28" w:rsidRPr="004F3DF4" w:rsidP="004C5019" w14:paraId="7375FA9F" w14:textId="157518D6">
      <w:pPr>
        <w:ind w:firstLine="720"/>
        <w:rPr>
          <w:highlight w:val="yellow"/>
        </w:rPr>
      </w:pPr>
      <w:r w:rsidRPr="009E68D6">
        <w:t xml:space="preserve">Jackson </w:t>
      </w:r>
      <w:r w:rsidRPr="009E68D6" w:rsidR="00002B3E">
        <w:t xml:space="preserve">consequently </w:t>
      </w:r>
      <w:r w:rsidRPr="009E68D6">
        <w:t xml:space="preserve">sought </w:t>
      </w:r>
      <w:r w:rsidRPr="009E68D6" w:rsidR="00FD7CA5">
        <w:t xml:space="preserve">a </w:t>
      </w:r>
      <w:r w:rsidRPr="009E68D6">
        <w:t>transfer for LaMarr to</w:t>
      </w:r>
      <w:r w:rsidRPr="009E68D6" w:rsidR="00FD7CA5">
        <w:t xml:space="preserve"> a</w:t>
      </w:r>
      <w:r w:rsidRPr="009E68D6">
        <w:t xml:space="preserve"> different department to </w:t>
      </w:r>
      <w:r w:rsidRPr="009E68D6" w:rsidR="00E07AEE">
        <w:t xml:space="preserve">defuse </w:t>
      </w:r>
      <w:r w:rsidRPr="009E68D6">
        <w:t>the situation</w:t>
      </w:r>
      <w:r w:rsidRPr="009E68D6" w:rsidR="00733E12">
        <w:t>.</w:t>
      </w:r>
      <w:r w:rsidRPr="009E68D6">
        <w:t xml:space="preserve">  </w:t>
      </w:r>
      <w:r w:rsidRPr="009E68D6" w:rsidR="00FD7CA5">
        <w:t>Jackson</w:t>
      </w:r>
      <w:r w:rsidRPr="009E68D6">
        <w:t xml:space="preserve"> </w:t>
      </w:r>
      <w:r w:rsidRPr="009E68D6" w:rsidR="00FC04DA">
        <w:t>testified</w:t>
      </w:r>
      <w:r w:rsidR="008C51DF">
        <w:t>,</w:t>
      </w:r>
      <w:r w:rsidRPr="009E68D6" w:rsidR="00FC04DA">
        <w:t xml:space="preserve"> </w:t>
      </w:r>
      <w:r w:rsidRPr="009E68D6" w:rsidR="009E68D6">
        <w:t>“</w:t>
      </w:r>
      <w:r w:rsidR="008C51DF">
        <w:t>T</w:t>
      </w:r>
      <w:r w:rsidRPr="009E68D6" w:rsidR="00FC04DA">
        <w:t xml:space="preserve">here were no </w:t>
      </w:r>
      <w:r w:rsidRPr="009E68D6" w:rsidR="00E561A6">
        <w:t xml:space="preserve">[coordinator level] </w:t>
      </w:r>
      <w:r w:rsidRPr="009E68D6" w:rsidR="00FC04DA">
        <w:t>V positions available</w:t>
      </w:r>
      <w:r w:rsidR="008C51DF">
        <w:t>,</w:t>
      </w:r>
      <w:r w:rsidRPr="009E68D6" w:rsidR="00FC04DA">
        <w:t xml:space="preserve">” </w:t>
      </w:r>
      <w:r w:rsidRPr="009E68D6">
        <w:t>but</w:t>
      </w:r>
      <w:r w:rsidR="008C51DF">
        <w:t xml:space="preserve"> he</w:t>
      </w:r>
      <w:r w:rsidRPr="009E68D6">
        <w:t xml:space="preserve"> found a </w:t>
      </w:r>
      <w:r w:rsidRPr="009E68D6" w:rsidR="00E561A6">
        <w:t xml:space="preserve">coordinator </w:t>
      </w:r>
      <w:r w:rsidRPr="009E68D6">
        <w:t>level III position at another department, the MIND Institute</w:t>
      </w:r>
      <w:r w:rsidRPr="009E68D6" w:rsidR="00E561A6">
        <w:t xml:space="preserve"> (Institute)</w:t>
      </w:r>
      <w:r w:rsidRPr="009E68D6">
        <w:t xml:space="preserve">, that Jackson offered to LaMarr on a “temporary” basis at her normal level V salary.  Jackson did not inform LaMarr of </w:t>
      </w:r>
      <w:r w:rsidRPr="009E68D6" w:rsidR="00826A3E">
        <w:t xml:space="preserve">the letter of intent to dismiss drafted by </w:t>
      </w:r>
      <w:r w:rsidRPr="009E68D6">
        <w:t xml:space="preserve">Knowles.  </w:t>
      </w:r>
      <w:r w:rsidRPr="00666A29" w:rsidR="006A6F1F">
        <w:t xml:space="preserve">In </w:t>
      </w:r>
      <w:r w:rsidRPr="00666A29" w:rsidR="00666A29">
        <w:t xml:space="preserve">September </w:t>
      </w:r>
      <w:r w:rsidRPr="00666A29" w:rsidR="006A6F1F">
        <w:t xml:space="preserve">2014, </w:t>
      </w:r>
      <w:r w:rsidRPr="00666A29">
        <w:t xml:space="preserve">LaMarr </w:t>
      </w:r>
      <w:r w:rsidRPr="00666A29" w:rsidR="006A6F1F">
        <w:t>e</w:t>
      </w:r>
      <w:r w:rsidRPr="00666A29" w:rsidR="009F7897">
        <w:t>-</w:t>
      </w:r>
      <w:r w:rsidRPr="00666A29" w:rsidR="006A6F1F">
        <w:t xml:space="preserve">mailed Jackson she “would like to move forward on temporarily moving from the </w:t>
      </w:r>
      <w:r w:rsidR="005C1027">
        <w:t>[c]</w:t>
      </w:r>
      <w:r w:rsidRPr="00666A29" w:rsidR="006A6F1F">
        <w:t xml:space="preserve">ancer </w:t>
      </w:r>
      <w:r w:rsidR="005C1027">
        <w:t>[c]</w:t>
      </w:r>
      <w:r w:rsidRPr="00666A29" w:rsidR="006A6F1F">
        <w:t>enter.”</w:t>
      </w:r>
      <w:r w:rsidRPr="00666A29" w:rsidR="00F30212">
        <w:t xml:space="preserve">  </w:t>
      </w:r>
    </w:p>
    <w:p w:rsidR="00957C1F" w:rsidRPr="00597809" w:rsidP="00015529" w14:paraId="503E71C1" w14:textId="4F7C38E4">
      <w:pPr>
        <w:ind w:firstLine="720"/>
      </w:pPr>
      <w:r w:rsidRPr="001045DD">
        <w:t>In an e</w:t>
      </w:r>
      <w:r w:rsidRPr="001045DD" w:rsidR="009F7897">
        <w:t>-</w:t>
      </w:r>
      <w:r w:rsidRPr="001045DD">
        <w:t xml:space="preserve">mail chain spanning </w:t>
      </w:r>
      <w:r w:rsidRPr="001045DD" w:rsidR="00E07AEE">
        <w:t xml:space="preserve">between </w:t>
      </w:r>
      <w:r w:rsidRPr="001045DD">
        <w:t>February and March 2015</w:t>
      </w:r>
      <w:r w:rsidRPr="00AE1F91">
        <w:t xml:space="preserve">, </w:t>
      </w:r>
      <w:r w:rsidRPr="00AE1F91" w:rsidR="00844D28">
        <w:t>Jackson e</w:t>
      </w:r>
      <w:r w:rsidRPr="00AE1F91" w:rsidR="009F7897">
        <w:t>-</w:t>
      </w:r>
      <w:r w:rsidRPr="00AE1F91" w:rsidR="00844D28">
        <w:t xml:space="preserve">mailed LaMarr confirming </w:t>
      </w:r>
      <w:r w:rsidRPr="00AE1F91" w:rsidR="00AF7B0A">
        <w:t xml:space="preserve">that </w:t>
      </w:r>
      <w:r w:rsidRPr="00AE1F91" w:rsidR="00844D28">
        <w:t xml:space="preserve">her supervisor at the Institute was pleased with </w:t>
      </w:r>
      <w:r w:rsidRPr="00AE1F91" w:rsidR="00F32174">
        <w:t>LaMarr’s</w:t>
      </w:r>
      <w:r w:rsidRPr="00AE1F91" w:rsidR="00844D28">
        <w:t xml:space="preserve"> performance and </w:t>
      </w:r>
      <w:r w:rsidRPr="00AE1F91" w:rsidR="00AF7B0A">
        <w:t xml:space="preserve">was </w:t>
      </w:r>
      <w:r w:rsidRPr="00AE1F91" w:rsidR="00844D28">
        <w:t xml:space="preserve">comfortable making the role permanent.  </w:t>
      </w:r>
      <w:r w:rsidRPr="00AE1F91" w:rsidR="003C45FA">
        <w:t>O</w:t>
      </w:r>
      <w:r w:rsidRPr="00AE1F91" w:rsidR="00BA7273">
        <w:t>n</w:t>
      </w:r>
      <w:r w:rsidRPr="00AE1F91" w:rsidR="00844D28">
        <w:t xml:space="preserve"> March</w:t>
      </w:r>
      <w:r w:rsidRPr="00AE1F91" w:rsidR="009F7897">
        <w:t> </w:t>
      </w:r>
      <w:r w:rsidRPr="00AE1F91" w:rsidR="00844D28">
        <w:t>10, 2015</w:t>
      </w:r>
      <w:r w:rsidRPr="00AE1F91" w:rsidR="00BA7273">
        <w:t xml:space="preserve">, </w:t>
      </w:r>
      <w:r w:rsidRPr="00AE1F91" w:rsidR="003C45FA">
        <w:t>Jackson e</w:t>
      </w:r>
      <w:r w:rsidRPr="00AE1F91" w:rsidR="009F7897">
        <w:t>-</w:t>
      </w:r>
      <w:r w:rsidRPr="00AE1F91" w:rsidR="003C45FA">
        <w:t xml:space="preserve">mailed LaMarr </w:t>
      </w:r>
      <w:r w:rsidRPr="00AE1F91" w:rsidR="007725FC">
        <w:t>explaining they</w:t>
      </w:r>
      <w:r w:rsidRPr="00AE1F91" w:rsidR="00BA7273">
        <w:t xml:space="preserve"> </w:t>
      </w:r>
      <w:r w:rsidRPr="00AE1F91" w:rsidR="00844D28">
        <w:t xml:space="preserve">“were seeking to be able to keep </w:t>
      </w:r>
      <w:r w:rsidRPr="00AE1F91" w:rsidR="007725FC">
        <w:t>[LaMarr’s]</w:t>
      </w:r>
      <w:r w:rsidRPr="00AE1F91" w:rsidR="00844D28">
        <w:t xml:space="preserve"> current</w:t>
      </w:r>
      <w:r w:rsidRPr="00AE1F91" w:rsidR="00B9402A">
        <w:t xml:space="preserve"> [level V]</w:t>
      </w:r>
      <w:r w:rsidRPr="00AE1F91" w:rsidR="00844D28">
        <w:t xml:space="preserve"> salary if possible” but unfortunately, if she stayed at the Institute she would </w:t>
      </w:r>
      <w:r w:rsidRPr="009E68D6" w:rsidR="00844D28">
        <w:t xml:space="preserve">be a </w:t>
      </w:r>
      <w:r w:rsidRPr="009E68D6" w:rsidR="00E561A6">
        <w:t xml:space="preserve">coordinator </w:t>
      </w:r>
      <w:r w:rsidRPr="009E68D6" w:rsidR="00844D28">
        <w:t>level III with a lower salary.  Jackson</w:t>
      </w:r>
      <w:r w:rsidRPr="00AE1F91" w:rsidR="00844D28">
        <w:t xml:space="preserve"> then </w:t>
      </w:r>
      <w:r w:rsidRPr="00AE1F91" w:rsidR="002D5058">
        <w:t>stated:</w:t>
      </w:r>
      <w:r w:rsidRPr="00AE1F91" w:rsidR="00E561A6">
        <w:t xml:space="preserve"> </w:t>
      </w:r>
      <w:r w:rsidRPr="00AE1F91" w:rsidR="00844D28">
        <w:t xml:space="preserve"> </w:t>
      </w:r>
      <w:r w:rsidRPr="00AE1F91" w:rsidR="00AE1F91">
        <w:t>“T</w:t>
      </w:r>
      <w:r w:rsidRPr="00AE1F91" w:rsidR="00844D28">
        <w:t xml:space="preserve">he two basic options we have now are: </w:t>
      </w:r>
      <w:r w:rsidR="006564B5">
        <w:t> </w:t>
      </w:r>
      <w:r w:rsidRPr="00AE1F91" w:rsidR="00844D28">
        <w:t>[¶]</w:t>
      </w:r>
      <w:r w:rsidR="006564B5">
        <w:t> </w:t>
      </w:r>
      <w:r w:rsidRPr="00AE1F91" w:rsidR="00844D28">
        <w:t xml:space="preserve"> 1) Remain at the </w:t>
      </w:r>
      <w:r w:rsidRPr="00AE1F91" w:rsidR="00E561A6">
        <w:t>[Institute]</w:t>
      </w:r>
      <w:r w:rsidRPr="00AE1F91" w:rsidR="00844D28">
        <w:t xml:space="preserve"> as a </w:t>
      </w:r>
      <w:r w:rsidRPr="00AE1F91" w:rsidR="00E561A6">
        <w:t>[coordinator level ]</w:t>
      </w:r>
      <w:r w:rsidRPr="00AE1F91" w:rsidR="00844D28">
        <w:t>III with a max salary of $25.49 (top of the range)</w:t>
      </w:r>
      <w:r w:rsidR="008C51DF">
        <w:t>[;</w:t>
      </w:r>
      <w:r w:rsidR="009E1F30">
        <w:t xml:space="preserve"> or</w:t>
      </w:r>
      <w:r w:rsidR="008C51DF">
        <w:t>]</w:t>
      </w:r>
      <w:r w:rsidRPr="00AE1F91" w:rsidR="00844D28">
        <w:t xml:space="preserve"> </w:t>
      </w:r>
      <w:r w:rsidR="006564B5">
        <w:t> </w:t>
      </w:r>
      <w:r w:rsidRPr="00AE1F91" w:rsidR="00844D28">
        <w:t>[¶]</w:t>
      </w:r>
      <w:r w:rsidR="006564B5">
        <w:t> </w:t>
      </w:r>
      <w:r w:rsidRPr="00AE1F91" w:rsidR="00844D28">
        <w:t xml:space="preserve"> 2) </w:t>
      </w:r>
      <w:r w:rsidR="008C51DF">
        <w:t>[m]</w:t>
      </w:r>
      <w:r w:rsidRPr="00AE1F91" w:rsidR="00844D28">
        <w:t xml:space="preserve">ove back to the </w:t>
      </w:r>
      <w:r w:rsidR="005C1027">
        <w:t>[c]</w:t>
      </w:r>
      <w:r w:rsidRPr="00AE1F91" w:rsidR="00844D28">
        <w:t xml:space="preserve">ancer </w:t>
      </w:r>
      <w:r w:rsidR="005C1027">
        <w:t>[c]</w:t>
      </w:r>
      <w:r w:rsidRPr="00AE1F91" w:rsidR="00844D28">
        <w:t xml:space="preserve">enter as a </w:t>
      </w:r>
      <w:r w:rsidRPr="00AE1F91" w:rsidR="00E561A6">
        <w:t>[coordinator level ]</w:t>
      </w:r>
      <w:r w:rsidRPr="00AE1F91" w:rsidR="00844D28">
        <w:t>III with a max salary of $25.49</w:t>
      </w:r>
      <w:r w:rsidR="008C51DF">
        <w:t>[.]</w:t>
      </w:r>
      <w:r w:rsidRPr="00AE1F91" w:rsidR="00844D28">
        <w:t xml:space="preserve"> </w:t>
      </w:r>
      <w:r w:rsidRPr="00AE1F91" w:rsidR="00860492">
        <w:t xml:space="preserve"> </w:t>
      </w:r>
      <w:r w:rsidRPr="00AE1F91" w:rsidR="00844D28">
        <w:t xml:space="preserve">[¶]  The only other option would be to go back to the </w:t>
      </w:r>
      <w:r w:rsidR="005C1027">
        <w:t>[c]</w:t>
      </w:r>
      <w:r w:rsidRPr="00AE1F91" w:rsidR="00844D28">
        <w:t xml:space="preserve">ancer </w:t>
      </w:r>
      <w:r w:rsidR="005C1027">
        <w:t>[c]</w:t>
      </w:r>
      <w:r w:rsidRPr="00AE1F91" w:rsidR="00844D28">
        <w:t xml:space="preserve">enter as a </w:t>
      </w:r>
      <w:r w:rsidRPr="00AE1F91" w:rsidR="00E561A6">
        <w:t>[coordinator level ]</w:t>
      </w:r>
      <w:r w:rsidRPr="00AE1F91" w:rsidR="00844D28">
        <w:t xml:space="preserve">V </w:t>
      </w:r>
      <w:r w:rsidRPr="00AE1F91" w:rsidR="009F7897">
        <w:t>[s</w:t>
      </w:r>
      <w:r w:rsidRPr="00AE1F91" w:rsidR="00844D28">
        <w:t>up</w:t>
      </w:r>
      <w:r w:rsidRPr="00AE1F91" w:rsidR="00E561A6">
        <w:t>ervisor]</w:t>
      </w:r>
      <w:r w:rsidRPr="00AE1F91" w:rsidR="00844D28">
        <w:t xml:space="preserve">, but you will be subject to the pending action that was put on hold during this trial period.”  </w:t>
      </w:r>
      <w:r w:rsidRPr="00AE1F91" w:rsidR="00CE53AA">
        <w:t xml:space="preserve">LaMarr </w:t>
      </w:r>
      <w:r w:rsidRPr="00AE1F91" w:rsidR="001B4D16">
        <w:t>told</w:t>
      </w:r>
      <w:r w:rsidRPr="00AE1F91" w:rsidR="00CE53AA">
        <w:t xml:space="preserve"> Jackson and an employee and labor relations supervisor </w:t>
      </w:r>
      <w:r w:rsidRPr="00AE1F91" w:rsidR="001B4D16">
        <w:t xml:space="preserve">she was surprised to learn there was a pending action.  </w:t>
      </w:r>
      <w:r w:rsidRPr="00AE1F91" w:rsidR="00844D28">
        <w:t>The employee and labor relations supervisor responded, “</w:t>
      </w:r>
      <w:r w:rsidRPr="00AE1F91" w:rsidR="009F7897">
        <w:t>[W]</w:t>
      </w:r>
      <w:r w:rsidRPr="00AE1F91" w:rsidR="00844D28">
        <w:t>e have no documentation.</w:t>
      </w:r>
      <w:r w:rsidRPr="00AE1F91" w:rsidR="00E561A6">
        <w:t xml:space="preserve"> </w:t>
      </w:r>
      <w:r w:rsidRPr="00AE1F91" w:rsidR="00844D28">
        <w:t xml:space="preserve"> The </w:t>
      </w:r>
      <w:r w:rsidRPr="00AE1F91" w:rsidR="00AE1F91">
        <w:t>[</w:t>
      </w:r>
      <w:r w:rsidRPr="00AE1F91" w:rsidR="00844D28">
        <w:t>i</w:t>
      </w:r>
      <w:r w:rsidRPr="00AE1F91" w:rsidR="00AE1F91">
        <w:t>]</w:t>
      </w:r>
      <w:r w:rsidRPr="00AE1F91" w:rsidR="00844D28">
        <w:t xml:space="preserve">ntent was never issued.”  </w:t>
      </w:r>
      <w:r w:rsidRPr="00597809" w:rsidR="00844D28">
        <w:t>On March</w:t>
      </w:r>
      <w:r w:rsidRPr="00597809" w:rsidR="009F7897">
        <w:t> </w:t>
      </w:r>
      <w:r w:rsidRPr="00597809" w:rsidR="00844D28">
        <w:t>16, 2015, LaMarr e</w:t>
      </w:r>
      <w:r w:rsidRPr="00597809" w:rsidR="009F7897">
        <w:t>-</w:t>
      </w:r>
      <w:r w:rsidRPr="00597809" w:rsidR="00844D28">
        <w:t xml:space="preserve">mailed Jackson she </w:t>
      </w:r>
      <w:r w:rsidRPr="00597809" w:rsidR="00597809">
        <w:t>“</w:t>
      </w:r>
      <w:r w:rsidRPr="00597809" w:rsidR="00844D28">
        <w:t xml:space="preserve">would love to remain” at the cancer center, “[h]owever, </w:t>
      </w:r>
      <w:r w:rsidRPr="00597809" w:rsidR="009F7897">
        <w:t>[she]</w:t>
      </w:r>
      <w:r w:rsidRPr="00597809" w:rsidR="00844D28">
        <w:t xml:space="preserve"> c</w:t>
      </w:r>
      <w:r w:rsidRPr="00597809" w:rsidR="009F7897">
        <w:t>[ould ]</w:t>
      </w:r>
      <w:r w:rsidRPr="00597809" w:rsidR="00844D28">
        <w:t xml:space="preserve">not return to a[] hostile environment where every decision </w:t>
      </w:r>
      <w:r w:rsidRPr="00597809" w:rsidR="009F7897">
        <w:t>[she]</w:t>
      </w:r>
      <w:r w:rsidRPr="00597809" w:rsidR="00844D28">
        <w:t xml:space="preserve"> make</w:t>
      </w:r>
      <w:r w:rsidRPr="00597809" w:rsidR="009F7897">
        <w:t>[s]</w:t>
      </w:r>
      <w:r w:rsidRPr="00597809" w:rsidR="00844D28">
        <w:t xml:space="preserve"> may be questioned or grounds for dismissal.  Therefore, after full consideration for </w:t>
      </w:r>
      <w:r w:rsidRPr="00597809" w:rsidR="009F7897">
        <w:t>[her]</w:t>
      </w:r>
      <w:r w:rsidRPr="00597809" w:rsidR="00844D28">
        <w:t xml:space="preserve"> health and stress, </w:t>
      </w:r>
      <w:r w:rsidRPr="00597809" w:rsidR="009F7897">
        <w:t>[she]</w:t>
      </w:r>
      <w:r w:rsidRPr="00597809" w:rsidR="00844D28">
        <w:t xml:space="preserve"> w</w:t>
      </w:r>
      <w:r w:rsidRPr="00597809" w:rsidR="009F7897">
        <w:t>[ould]</w:t>
      </w:r>
      <w:r w:rsidRPr="00597809" w:rsidR="00844D28">
        <w:t xml:space="preserve"> remain at the </w:t>
      </w:r>
      <w:r w:rsidRPr="00597809" w:rsidR="00E561A6">
        <w:t>[Institute]</w:t>
      </w:r>
      <w:r w:rsidRPr="00597809" w:rsidR="00844D28">
        <w:t xml:space="preserve">.”  </w:t>
      </w:r>
    </w:p>
    <w:p w:rsidR="00844D28" w:rsidRPr="00635CE4" w:rsidP="00844D28" w14:paraId="69BE2356" w14:textId="6A3DE7C1">
      <w:pPr>
        <w:ind w:firstLine="720"/>
      </w:pPr>
      <w:r w:rsidRPr="00E90012">
        <w:t xml:space="preserve">LaMarr testified </w:t>
      </w:r>
      <w:r w:rsidRPr="00E90012" w:rsidR="00D40BEC">
        <w:t xml:space="preserve">the negative performance reviews in 2014 </w:t>
      </w:r>
      <w:r w:rsidRPr="00E90012">
        <w:t xml:space="preserve">surprised </w:t>
      </w:r>
      <w:r w:rsidRPr="00E90012" w:rsidR="00D40BEC">
        <w:t>her</w:t>
      </w:r>
      <w:r w:rsidRPr="00E90012">
        <w:t xml:space="preserve"> and </w:t>
      </w:r>
      <w:r w:rsidRPr="00E90012" w:rsidR="00D40BEC">
        <w:t xml:space="preserve">she </w:t>
      </w:r>
      <w:r w:rsidRPr="00E90012">
        <w:t>did not want to transfer to the Institute.  When she received the March</w:t>
      </w:r>
      <w:r w:rsidRPr="00E90012" w:rsidR="009F7897">
        <w:t> </w:t>
      </w:r>
      <w:r w:rsidRPr="00E90012">
        <w:t>10, 2015 e</w:t>
      </w:r>
      <w:r w:rsidRPr="00E90012" w:rsidR="009F7897">
        <w:t>-</w:t>
      </w:r>
      <w:r w:rsidRPr="00E90012">
        <w:t xml:space="preserve">mail, she was surprised she could return to the </w:t>
      </w:r>
      <w:r w:rsidR="005C1027">
        <w:t>c</w:t>
      </w:r>
      <w:r w:rsidRPr="00E90012">
        <w:t xml:space="preserve">ancer </w:t>
      </w:r>
      <w:r w:rsidR="005C1027">
        <w:t>c</w:t>
      </w:r>
      <w:r w:rsidRPr="00E90012">
        <w:t xml:space="preserve">enter </w:t>
      </w:r>
      <w:r w:rsidRPr="00E90012" w:rsidR="000752B2">
        <w:t xml:space="preserve">only </w:t>
      </w:r>
      <w:r w:rsidRPr="00E90012">
        <w:t>as a</w:t>
      </w:r>
      <w:r w:rsidRPr="00E90012" w:rsidR="00E561A6">
        <w:t xml:space="preserve"> coordinator</w:t>
      </w:r>
      <w:r w:rsidRPr="00E90012">
        <w:t xml:space="preserve"> level III and </w:t>
      </w:r>
      <w:r w:rsidRPr="00635CE4">
        <w:t xml:space="preserve">felt under duress and forced to stay at the Institute.  She testified, “I had two choices, </w:t>
      </w:r>
      <w:r w:rsidRPr="00635CE4" w:rsidR="009F7897">
        <w:t xml:space="preserve">[be] </w:t>
      </w:r>
      <w:r w:rsidRPr="00635CE4">
        <w:t xml:space="preserve">demoted or fired.”  But she admitted she knew she would have had a right to a </w:t>
      </w:r>
      <w:r w:rsidRPr="00635CE4">
        <w:rPr>
          <w:i/>
          <w:iCs/>
        </w:rPr>
        <w:t>Skelly</w:t>
      </w:r>
      <w:r w:rsidRPr="00635CE4">
        <w:t xml:space="preserve"> hearing if she was terminated.  </w:t>
      </w:r>
      <w:r w:rsidRPr="00635CE4" w:rsidR="00015529">
        <w:t xml:space="preserve">Jackson also testified LaMarr would have been given a </w:t>
      </w:r>
      <w:r w:rsidRPr="00635CE4" w:rsidR="00015529">
        <w:rPr>
          <w:i/>
          <w:iCs/>
        </w:rPr>
        <w:t>Skelly</w:t>
      </w:r>
      <w:r w:rsidRPr="00635CE4" w:rsidR="00015529">
        <w:t xml:space="preserve"> hearing if Knowles </w:t>
      </w:r>
      <w:r w:rsidRPr="00635CE4" w:rsidR="0013699D">
        <w:t>had moved forward with issuing a notice of intent to dismiss LaMarr.</w:t>
      </w:r>
      <w:r w:rsidRPr="00635CE4" w:rsidR="00015529">
        <w:t xml:space="preserve">  </w:t>
      </w:r>
    </w:p>
    <w:p w:rsidR="00815FBB" w:rsidRPr="00597809" w:rsidP="00844D28" w14:paraId="4E990CEE" w14:textId="5111F977">
      <w:pPr>
        <w:ind w:firstLine="720"/>
      </w:pPr>
      <w:r w:rsidRPr="00597809">
        <w:t>On August</w:t>
      </w:r>
      <w:r w:rsidRPr="00597809" w:rsidR="009F7897">
        <w:t> </w:t>
      </w:r>
      <w:r w:rsidRPr="00597809">
        <w:t>3</w:t>
      </w:r>
      <w:r w:rsidRPr="00597809" w:rsidR="00597809">
        <w:t>0</w:t>
      </w:r>
      <w:r w:rsidRPr="00597809">
        <w:t>, 2022, the trial court issued its judgment</w:t>
      </w:r>
      <w:r w:rsidRPr="00597809" w:rsidR="00E561A6">
        <w:t>,</w:t>
      </w:r>
      <w:r w:rsidRPr="00597809">
        <w:t xml:space="preserve"> finding against LaMarr.  The court framed the controverted issue as:  “Whether Ms. LaMarr was deprived of due process on March</w:t>
      </w:r>
      <w:r w:rsidRPr="00597809" w:rsidR="009F7897">
        <w:t> </w:t>
      </w:r>
      <w:r w:rsidRPr="00597809">
        <w:t xml:space="preserve">10, 2015, when, without offering her a pre-deprivation </w:t>
      </w:r>
      <w:r w:rsidRPr="00597809">
        <w:rPr>
          <w:i/>
          <w:iCs/>
        </w:rPr>
        <w:t>Skelly</w:t>
      </w:r>
      <w:r w:rsidRPr="00597809">
        <w:t xml:space="preserve"> hearing, defendant proposed to either transfer her to a non-supervisory position with reduced pay (at the</w:t>
      </w:r>
      <w:r w:rsidR="00597809">
        <w:t xml:space="preserve"> . </w:t>
      </w:r>
      <w:r w:rsidRPr="00597809" w:rsidR="00597809">
        <w:t xml:space="preserve">. . </w:t>
      </w:r>
      <w:r w:rsidRPr="00597809">
        <w:t xml:space="preserve">Institute or the </w:t>
      </w:r>
      <w:r w:rsidR="005C1027">
        <w:t>[c]</w:t>
      </w:r>
      <w:r w:rsidRPr="00597809">
        <w:t xml:space="preserve">ancer </w:t>
      </w:r>
      <w:r w:rsidR="005C1027">
        <w:t>[c]</w:t>
      </w:r>
      <w:r w:rsidRPr="00597809">
        <w:t xml:space="preserve">enter) or return her to her higher paying supervisory position at the </w:t>
      </w:r>
      <w:r w:rsidR="005C1027">
        <w:t>[c]</w:t>
      </w:r>
      <w:r w:rsidRPr="00597809">
        <w:t xml:space="preserve">ancer </w:t>
      </w:r>
      <w:r w:rsidR="005C1027">
        <w:t>[c]</w:t>
      </w:r>
      <w:r w:rsidRPr="00597809">
        <w:t xml:space="preserve">enter and face possible termination proceedings.”  </w:t>
      </w:r>
      <w:r w:rsidRPr="00597809" w:rsidR="00597809">
        <w:t xml:space="preserve">(Fn. omitted.)  </w:t>
      </w:r>
      <w:r w:rsidRPr="00597809">
        <w:t xml:space="preserve">The court answered this in the negative for two reasons.  First, </w:t>
      </w:r>
      <w:r w:rsidR="00117A46">
        <w:t xml:space="preserve">the </w:t>
      </w:r>
      <w:r w:rsidRPr="00597809">
        <w:t xml:space="preserve">Regents never issued a notice of intent to dismiss.  Second, though LaMarr honestly believed she was under duress, “no legal authority supports her position that a subjective feeling of duress triggers due process protections.”  Thus, LaMarr </w:t>
      </w:r>
      <w:r w:rsidRPr="00597809" w:rsidR="00597809">
        <w:t>“</w:t>
      </w:r>
      <w:r w:rsidRPr="00597809">
        <w:t xml:space="preserve">failed to prove by a preponderance of the evidence </w:t>
      </w:r>
      <w:r w:rsidRPr="00597809" w:rsidR="0053227C">
        <w:t xml:space="preserve">that </w:t>
      </w:r>
      <w:r w:rsidRPr="00597809" w:rsidR="00597809">
        <w:t>[</w:t>
      </w:r>
      <w:r w:rsidR="00117A46">
        <w:t xml:space="preserve">the </w:t>
      </w:r>
      <w:r w:rsidRPr="00597809">
        <w:t>Regents</w:t>
      </w:r>
      <w:r w:rsidRPr="00597809" w:rsidR="00597809">
        <w:t>]</w:t>
      </w:r>
      <w:r w:rsidRPr="00597809">
        <w:t xml:space="preserve"> deprived her of </w:t>
      </w:r>
      <w:r w:rsidRPr="00597809" w:rsidR="00597809">
        <w:t xml:space="preserve">her </w:t>
      </w:r>
      <w:r w:rsidRPr="00597809">
        <w:t>due process.</w:t>
      </w:r>
      <w:r w:rsidRPr="00597809" w:rsidR="00597809">
        <w:t>”</w:t>
      </w:r>
      <w:r w:rsidRPr="00597809">
        <w:t xml:space="preserve">  </w:t>
      </w:r>
    </w:p>
    <w:p w:rsidR="003C2DD9" w:rsidRPr="00C54683" w:rsidP="00844D28" w14:paraId="025E80D9" w14:textId="39651294">
      <w:pPr>
        <w:ind w:firstLine="720"/>
      </w:pPr>
      <w:r w:rsidRPr="00C54683">
        <w:t xml:space="preserve">LaMarr appeals.  </w:t>
      </w:r>
    </w:p>
    <w:p w:rsidR="00815FBB" w:rsidRPr="00C54683" w:rsidP="00753543" w14:paraId="558DB035" w14:textId="6F24FE4F">
      <w:pPr>
        <w:keepNext/>
        <w:jc w:val="center"/>
      </w:pPr>
      <w:r w:rsidRPr="00C54683">
        <w:t>DISCUSSION</w:t>
      </w:r>
    </w:p>
    <w:p w:rsidR="00815FBB" w:rsidRPr="004F3DF4" w:rsidP="00753543" w14:paraId="6FCAD10B" w14:textId="57606F6C">
      <w:pPr>
        <w:keepNext/>
        <w:rPr>
          <w:highlight w:val="yellow"/>
        </w:rPr>
      </w:pPr>
      <w:r w:rsidRPr="00495FC4">
        <w:tab/>
        <w:t>LaMarr argues the trial court</w:t>
      </w:r>
      <w:r w:rsidRPr="00495FC4" w:rsidR="0091193D">
        <w:t>’s</w:t>
      </w:r>
      <w:r w:rsidRPr="00495FC4">
        <w:t xml:space="preserve"> finding </w:t>
      </w:r>
      <w:r w:rsidRPr="00495FC4" w:rsidR="0091193D">
        <w:t xml:space="preserve">that </w:t>
      </w:r>
      <w:r w:rsidR="00117A46">
        <w:t xml:space="preserve">the </w:t>
      </w:r>
      <w:r w:rsidRPr="00495FC4">
        <w:t>Regents did not violate her due process lack</w:t>
      </w:r>
      <w:r w:rsidR="008C51DF">
        <w:t>s</w:t>
      </w:r>
      <w:r w:rsidRPr="00495FC4">
        <w:t xml:space="preserve"> substantial evidence.  </w:t>
      </w:r>
      <w:r w:rsidRPr="00B920D2" w:rsidR="0032533A">
        <w:t>LaMarr</w:t>
      </w:r>
      <w:r w:rsidRPr="00B920D2">
        <w:t xml:space="preserve"> contends she “was not informed of any adverse consequences of accepting a transfer, nor was she told that she would not be able to return as a </w:t>
      </w:r>
      <w:r w:rsidRPr="00B920D2" w:rsidR="00B920D2">
        <w:t>[</w:t>
      </w:r>
      <w:r w:rsidRPr="00B920D2" w:rsidR="0091193D">
        <w:t xml:space="preserve">coordinator </w:t>
      </w:r>
      <w:r w:rsidRPr="00B920D2" w:rsidR="00567C12">
        <w:t>level</w:t>
      </w:r>
      <w:r w:rsidRPr="00B920D2" w:rsidR="00B920D2">
        <w:t>]</w:t>
      </w:r>
      <w:r w:rsidRPr="00B920D2">
        <w:t xml:space="preserve"> V to the </w:t>
      </w:r>
      <w:r w:rsidR="005C1027">
        <w:t>[c]</w:t>
      </w:r>
      <w:r w:rsidRPr="00B920D2">
        <w:t xml:space="preserve">ancer </w:t>
      </w:r>
      <w:r w:rsidR="005C1027">
        <w:t>[c]</w:t>
      </w:r>
      <w:r w:rsidRPr="00B920D2">
        <w:t xml:space="preserve">enter without facing a dismissal. </w:t>
      </w:r>
      <w:r w:rsidRPr="00B920D2" w:rsidR="00E729C3">
        <w:t xml:space="preserve"> </w:t>
      </w:r>
      <w:r w:rsidRPr="00B920D2">
        <w:t xml:space="preserve">Her acceptance of Jackson’s proposal for a transfer was not voluntary.”  </w:t>
      </w:r>
      <w:r w:rsidRPr="00B920D2" w:rsidR="0092100B">
        <w:t xml:space="preserve">And </w:t>
      </w:r>
      <w:r w:rsidRPr="00B920D2" w:rsidR="00697741">
        <w:t>LaMarr</w:t>
      </w:r>
      <w:r w:rsidRPr="00B920D2">
        <w:t xml:space="preserve"> eventually accepted the demotion because “she understood that she had only three options—two demotions or a dismissal.”  </w:t>
      </w:r>
      <w:r w:rsidRPr="00B920D2" w:rsidR="00697741">
        <w:t>We disagree.</w:t>
      </w:r>
      <w:r w:rsidRPr="00B920D2" w:rsidR="009F7897">
        <w:t xml:space="preserve">  </w:t>
      </w:r>
    </w:p>
    <w:p w:rsidR="00815FBB" w:rsidRPr="004F3DF4" w:rsidP="0031679C" w14:paraId="16576328" w14:textId="4783C0BB">
      <w:pPr>
        <w:ind w:firstLine="720"/>
        <w:rPr>
          <w:highlight w:val="yellow"/>
        </w:rPr>
      </w:pPr>
      <w:r w:rsidRPr="00495FC4">
        <w:t xml:space="preserve">Our Supreme Court </w:t>
      </w:r>
      <w:r w:rsidRPr="00495FC4" w:rsidR="00154230">
        <w:t>found</w:t>
      </w:r>
      <w:r w:rsidRPr="00495FC4" w:rsidR="00697741">
        <w:t xml:space="preserve"> in </w:t>
      </w:r>
      <w:bookmarkStart w:id="1" w:name="dabmci_28607d7fbcf248ca8c46546559f58717"/>
      <w:r w:rsidRPr="00495FC4" w:rsidR="00697741">
        <w:rPr>
          <w:i/>
          <w:iCs/>
        </w:rPr>
        <w:t>Skelly</w:t>
      </w:r>
      <w:bookmarkEnd w:id="1"/>
      <w:r w:rsidR="0058472A">
        <w:t>,</w:t>
      </w:r>
      <w:r w:rsidRPr="00495FC4" w:rsidR="00697741">
        <w:t xml:space="preserve"> </w:t>
      </w:r>
      <w:r w:rsidRPr="00495FC4" w:rsidR="00495FC4">
        <w:t>“</w:t>
      </w:r>
      <w:r w:rsidR="0058472A">
        <w:t>[T]</w:t>
      </w:r>
      <w:r w:rsidRPr="00495FC4" w:rsidR="00931C58">
        <w:t>he California statutory scheme regulati</w:t>
      </w:r>
      <w:r w:rsidRPr="00495FC4" w:rsidR="005E0327">
        <w:t>ng</w:t>
      </w:r>
      <w:r w:rsidRPr="00495FC4" w:rsidR="00931C58">
        <w:t xml:space="preserve"> civil service employment </w:t>
      </w:r>
      <w:r w:rsidRPr="00495FC4" w:rsidR="00495FC4">
        <w:t>confers . . . ‘</w:t>
      </w:r>
      <w:r w:rsidRPr="00495FC4" w:rsidR="00931C58">
        <w:t>permanent employee</w:t>
      </w:r>
      <w:r w:rsidRPr="00495FC4" w:rsidR="00495FC4">
        <w:t>[</w:t>
      </w:r>
      <w:r w:rsidRPr="00495FC4" w:rsidR="00931C58">
        <w:t>s</w:t>
      </w:r>
      <w:r w:rsidRPr="00495FC4" w:rsidR="00495FC4">
        <w:t>]’</w:t>
      </w:r>
      <w:r w:rsidRPr="00495FC4" w:rsidR="00931C58">
        <w:t xml:space="preserve"> </w:t>
      </w:r>
      <w:r w:rsidRPr="00495FC4" w:rsidR="00495FC4">
        <w:t>[</w:t>
      </w:r>
      <w:r w:rsidRPr="00495FC4" w:rsidR="001754B2">
        <w:t>with</w:t>
      </w:r>
      <w:r w:rsidRPr="00495FC4" w:rsidR="00495FC4">
        <w:t>]</w:t>
      </w:r>
      <w:r w:rsidRPr="00495FC4" w:rsidR="001754B2">
        <w:t xml:space="preserve"> </w:t>
      </w:r>
      <w:r w:rsidRPr="00495FC4" w:rsidR="0031679C">
        <w:t xml:space="preserve">a property interest in the continuation of </w:t>
      </w:r>
      <w:r w:rsidRPr="00495FC4" w:rsidR="00241265">
        <w:t>[their]</w:t>
      </w:r>
      <w:r w:rsidRPr="00495FC4" w:rsidR="0031679C">
        <w:t xml:space="preserve"> employment </w:t>
      </w:r>
      <w:r w:rsidRPr="00495FC4" w:rsidR="009F7897">
        <w:t>[that]</w:t>
      </w:r>
      <w:r w:rsidRPr="00495FC4" w:rsidR="0031679C">
        <w:t xml:space="preserve"> is protected by due process.”</w:t>
      </w:r>
      <w:r w:rsidRPr="00495FC4" w:rsidR="00CA1112">
        <w:t xml:space="preserve"> </w:t>
      </w:r>
      <w:r w:rsidRPr="00495FC4" w:rsidR="0031679C">
        <w:t xml:space="preserve"> </w:t>
      </w:r>
      <w:r w:rsidRPr="00495FC4" w:rsidR="00CA1112">
        <w:t>(</w:t>
      </w:r>
      <w:bookmarkStart w:id="2" w:name="dabmci_35a61564951e4cc3af084b25d005a25d"/>
      <w:r w:rsidRPr="00495FC4" w:rsidR="00647388">
        <w:rPr>
          <w:i/>
          <w:iCs/>
        </w:rPr>
        <w:t>Skelly</w:t>
      </w:r>
      <w:r w:rsidRPr="00495FC4" w:rsidR="00243B8A">
        <w:t>,</w:t>
      </w:r>
      <w:r w:rsidRPr="00495FC4" w:rsidR="00243B8A">
        <w:rPr>
          <w:i/>
          <w:iCs/>
        </w:rPr>
        <w:t xml:space="preserve"> supra</w:t>
      </w:r>
      <w:r w:rsidRPr="00495FC4" w:rsidR="00243B8A">
        <w:t>,</w:t>
      </w:r>
      <w:r w:rsidRPr="00495FC4" w:rsidR="00647388">
        <w:t xml:space="preserve"> 15</w:t>
      </w:r>
      <w:r w:rsidRPr="00495FC4" w:rsidR="008D7BD6">
        <w:t> Cal</w:t>
      </w:r>
      <w:r w:rsidRPr="00495FC4" w:rsidR="006F0BBC">
        <w:t>.</w:t>
      </w:r>
      <w:r w:rsidRPr="00495FC4" w:rsidR="00647388">
        <w:t xml:space="preserve">3d </w:t>
      </w:r>
      <w:r w:rsidRPr="00495FC4" w:rsidR="00243B8A">
        <w:t>at p.</w:t>
      </w:r>
      <w:r w:rsidRPr="00495FC4" w:rsidR="009F7897">
        <w:t> </w:t>
      </w:r>
      <w:r w:rsidRPr="00495FC4" w:rsidR="003C62BA">
        <w:t>206</w:t>
      </w:r>
      <w:bookmarkEnd w:id="2"/>
      <w:r w:rsidRPr="00495FC4" w:rsidR="00647388">
        <w:t>.)</w:t>
      </w:r>
      <w:r w:rsidRPr="00495FC4" w:rsidR="001960E5">
        <w:t xml:space="preserve">  </w:t>
      </w:r>
      <w:r w:rsidRPr="00495FC4" w:rsidR="004335D8">
        <w:t>Before such an employee may be subject to an adverse employee action</w:t>
      </w:r>
      <w:r w:rsidRPr="00495FC4" w:rsidR="001960E5">
        <w:t xml:space="preserve">, </w:t>
      </w:r>
      <w:r w:rsidRPr="00495FC4" w:rsidR="00BE1DE9">
        <w:t>due process</w:t>
      </w:r>
      <w:r w:rsidRPr="00495FC4" w:rsidR="001960E5">
        <w:t xml:space="preserve"> requires, at a minimum, “</w:t>
      </w:r>
      <w:r w:rsidRPr="00495FC4" w:rsidR="006A076B">
        <w:t>notice of the proposed action, the reasons therefor, a copy of the charges and materials upon which the action is based, and the right to respond, either orally or in writing, to the authority initially imposing discipline.”  (</w:t>
      </w:r>
      <w:bookmarkStart w:id="3" w:name="dabmci_47b109c7da454bb389348e57d8af000a"/>
      <w:r w:rsidRPr="00495FC4" w:rsidR="00EB48E8">
        <w:rPr>
          <w:i/>
          <w:iCs/>
        </w:rPr>
        <w:t>Id</w:t>
      </w:r>
      <w:r w:rsidRPr="00495FC4" w:rsidR="00EB48E8">
        <w:t>. at p.</w:t>
      </w:r>
      <w:r w:rsidRPr="00495FC4" w:rsidR="009F7897">
        <w:t> </w:t>
      </w:r>
      <w:r w:rsidRPr="00495FC4" w:rsidR="00EB48E8">
        <w:t>215</w:t>
      </w:r>
      <w:bookmarkEnd w:id="3"/>
      <w:r w:rsidRPr="00462FA3" w:rsidR="00EB48E8">
        <w:t>.</w:t>
      </w:r>
      <w:r w:rsidRPr="00462FA3" w:rsidR="00DD35EE">
        <w:t>)</w:t>
      </w:r>
      <w:r w:rsidRPr="00462FA3" w:rsidR="00B6209F">
        <w:t xml:space="preserve">  </w:t>
      </w:r>
      <w:r w:rsidRPr="00462FA3" w:rsidR="0034238A">
        <w:t xml:space="preserve">“What </w:t>
      </w:r>
      <w:r w:rsidRPr="00462FA3" w:rsidR="0034238A">
        <w:rPr>
          <w:i/>
          <w:iCs/>
        </w:rPr>
        <w:t>Skelly</w:t>
      </w:r>
      <w:r w:rsidRPr="00462FA3" w:rsidR="0034238A">
        <w:t xml:space="preserve"> requires is unambiguous warning that matters have come to a head, coupled with an explicit notice to the employee that he or she now has the opportunity to engage the issue and present the reasons opposing such a disposition.</w:t>
      </w:r>
      <w:r w:rsidRPr="00462FA3" w:rsidR="004B6E06">
        <w:t xml:space="preserve">  Moreover, the opportunity to respond must come</w:t>
      </w:r>
      <w:r w:rsidRPr="00462FA3" w:rsidR="006F0BBC">
        <w:t xml:space="preserve"> </w:t>
      </w:r>
      <w:r w:rsidRPr="00462FA3" w:rsidR="004B6E06">
        <w:rPr>
          <w:i/>
          <w:iCs/>
        </w:rPr>
        <w:t>after</w:t>
      </w:r>
      <w:r w:rsidRPr="00462FA3" w:rsidR="006F0BBC">
        <w:t xml:space="preserve"> </w:t>
      </w:r>
      <w:r w:rsidRPr="00462FA3" w:rsidR="004B6E06">
        <w:t>the notice of intention to dismiss.</w:t>
      </w:r>
      <w:r w:rsidRPr="00462FA3" w:rsidR="0034238A">
        <w:t>”  (</w:t>
      </w:r>
      <w:bookmarkStart w:id="4" w:name="dabmci_4a14b150809347268fa785a4732bfb1b"/>
      <w:r w:rsidRPr="00495FC4" w:rsidR="003B084A">
        <w:rPr>
          <w:i/>
          <w:iCs/>
        </w:rPr>
        <w:t>Coleman v. Regents of University of California</w:t>
      </w:r>
      <w:r w:rsidRPr="00495FC4" w:rsidR="003B084A">
        <w:t xml:space="preserve"> (1979) 93</w:t>
      </w:r>
      <w:r w:rsidRPr="00495FC4" w:rsidR="008D7BD6">
        <w:t> Cal</w:t>
      </w:r>
      <w:r w:rsidRPr="00495FC4" w:rsidR="006F0BBC">
        <w:t>.</w:t>
      </w:r>
      <w:r w:rsidRPr="00495FC4" w:rsidR="003B084A">
        <w:t xml:space="preserve">App.3d 521, </w:t>
      </w:r>
      <w:r w:rsidRPr="00462FA3" w:rsidR="003B084A">
        <w:t>525-526</w:t>
      </w:r>
      <w:bookmarkEnd w:id="4"/>
      <w:r w:rsidRPr="00462FA3" w:rsidR="003B084A">
        <w:t>.)</w:t>
      </w:r>
      <w:r w:rsidRPr="00462FA3" w:rsidR="00ED358A">
        <w:t xml:space="preserve">  </w:t>
      </w:r>
      <w:r w:rsidRPr="00462FA3" w:rsidR="004E6439">
        <w:t>California law defines “</w:t>
      </w:r>
      <w:r w:rsidRPr="00462FA3" w:rsidR="00462FA3">
        <w:t> ‘</w:t>
      </w:r>
      <w:r w:rsidRPr="00462FA3" w:rsidR="004E6439">
        <w:t>adverse action</w:t>
      </w:r>
      <w:r w:rsidRPr="00462FA3" w:rsidR="00462FA3">
        <w:t>’ </w:t>
      </w:r>
      <w:r w:rsidRPr="00462FA3" w:rsidR="004E6439">
        <w:t>” to include</w:t>
      </w:r>
      <w:r w:rsidRPr="00462FA3" w:rsidR="00ED358A">
        <w:t xml:space="preserve"> </w:t>
      </w:r>
      <w:r w:rsidRPr="00462FA3" w:rsidR="004E6439">
        <w:t>“</w:t>
      </w:r>
      <w:r w:rsidRPr="00462FA3" w:rsidR="00ED358A">
        <w:t xml:space="preserve">dismissal, demotion, suspension, or other disciplinary action.”  (Gov. Code, </w:t>
      </w:r>
      <w:r w:rsidRPr="00462FA3" w:rsidR="008D7BD6">
        <w:t>§ </w:t>
      </w:r>
      <w:r w:rsidRPr="00462FA3" w:rsidR="00ED358A">
        <w:t xml:space="preserve">19570.)  </w:t>
      </w:r>
    </w:p>
    <w:p w:rsidR="00022065" w:rsidRPr="004F3DF4" w:rsidP="00473B03" w14:paraId="693E88F7" w14:textId="070E192A">
      <w:pPr>
        <w:ind w:firstLine="720"/>
        <w:rPr>
          <w:highlight w:val="yellow"/>
        </w:rPr>
      </w:pPr>
      <w:r w:rsidRPr="00462FA3">
        <w:t>“Substantial evidence is evidence that is ‘of ponderable legal significance,’ ‘reasonable in nature, credible, and of solid value,’ and ‘</w:t>
      </w:r>
      <w:r w:rsidRPr="00462FA3" w:rsidR="006F0BBC">
        <w:t> </w:t>
      </w:r>
      <w:r w:rsidRPr="00462FA3">
        <w:t xml:space="preserve">“substantial” proof of the essentials </w:t>
      </w:r>
      <w:r w:rsidR="00462FA3">
        <w:t>[that</w:t>
      </w:r>
      <w:r w:rsidRPr="00462FA3" w:rsidR="00462FA3">
        <w:t>]</w:t>
      </w:r>
      <w:r w:rsidRPr="00462FA3">
        <w:t xml:space="preserve"> the law requires in a particular case.’</w:t>
      </w:r>
      <w:r w:rsidRPr="00462FA3" w:rsidR="006F0BBC">
        <w:t> </w:t>
      </w:r>
      <w:r w:rsidRPr="00462FA3">
        <w:t>”  (</w:t>
      </w:r>
      <w:bookmarkStart w:id="5" w:name="dabmci_4396bb59e4044068a48f9318a135ca4e"/>
      <w:r w:rsidRPr="00462FA3">
        <w:rPr>
          <w:i/>
          <w:iCs/>
        </w:rPr>
        <w:t>Conservatorship of O.B.</w:t>
      </w:r>
      <w:r w:rsidRPr="00462FA3">
        <w:t xml:space="preserve"> (2020) 9</w:t>
      </w:r>
      <w:r w:rsidRPr="00462FA3" w:rsidR="008D7BD6">
        <w:t> Cal</w:t>
      </w:r>
      <w:r w:rsidRPr="00462FA3" w:rsidR="006F0BBC">
        <w:t>.</w:t>
      </w:r>
      <w:r w:rsidRPr="00462FA3">
        <w:t>5th 989, 1006</w:t>
      </w:r>
      <w:bookmarkEnd w:id="5"/>
      <w:r w:rsidRPr="00462FA3">
        <w:t>.)  “</w:t>
      </w:r>
      <w:r w:rsidRPr="00462FA3" w:rsidR="006F0BBC">
        <w:t> </w:t>
      </w:r>
      <w:r w:rsidRPr="00462FA3">
        <w:t>‘[C]ircumstantial evidence and any reasonable inferences drawn from that evidence’ may constitute substantial evidence.”  (</w:t>
      </w:r>
      <w:bookmarkStart w:id="6" w:name="dabmci_9befb36568a04bfa874458c11b87c2b4"/>
      <w:r w:rsidRPr="00462FA3">
        <w:rPr>
          <w:i/>
          <w:iCs/>
        </w:rPr>
        <w:t>People v. Grant</w:t>
      </w:r>
      <w:r w:rsidRPr="00462FA3">
        <w:t xml:space="preserve"> (2020) 57</w:t>
      </w:r>
      <w:r w:rsidRPr="00462FA3" w:rsidR="008D7BD6">
        <w:t> Cal</w:t>
      </w:r>
      <w:r w:rsidRPr="00462FA3" w:rsidR="006F0BBC">
        <w:t>.</w:t>
      </w:r>
      <w:r w:rsidRPr="00462FA3">
        <w:t>App.5th 323, 331</w:t>
      </w:r>
      <w:bookmarkEnd w:id="6"/>
      <w:r w:rsidRPr="00462FA3">
        <w:t>.)</w:t>
      </w:r>
      <w:r w:rsidRPr="00462FA3" w:rsidR="006F0BBC">
        <w:t xml:space="preserve">  </w:t>
      </w:r>
    </w:p>
    <w:p w:rsidR="00D0188B" w:rsidRPr="00597809" w:rsidP="00A977E3" w14:paraId="421DA93C" w14:textId="579FD27A">
      <w:pPr>
        <w:ind w:firstLine="720"/>
      </w:pPr>
      <w:r w:rsidRPr="00635CE4">
        <w:t>T</w:t>
      </w:r>
      <w:r w:rsidRPr="00635CE4" w:rsidR="005146B6">
        <w:t xml:space="preserve">here </w:t>
      </w:r>
      <w:r w:rsidRPr="00635CE4" w:rsidR="00050E47">
        <w:t>is</w:t>
      </w:r>
      <w:r w:rsidRPr="00635CE4" w:rsidR="005146B6">
        <w:t xml:space="preserve"> substantial evidence</w:t>
      </w:r>
      <w:r w:rsidRPr="00635CE4" w:rsidR="00473B03">
        <w:t xml:space="preserve"> </w:t>
      </w:r>
      <w:r w:rsidR="00117A46">
        <w:t xml:space="preserve">the </w:t>
      </w:r>
      <w:r w:rsidRPr="00635CE4" w:rsidR="00473B03">
        <w:t>Regents did not violate LaMarr’s due process rights because she</w:t>
      </w:r>
      <w:r w:rsidRPr="00635CE4" w:rsidR="00C72EDC">
        <w:t xml:space="preserve"> was</w:t>
      </w:r>
      <w:r w:rsidRPr="00635CE4" w:rsidR="00473B03">
        <w:t xml:space="preserve"> </w:t>
      </w:r>
      <w:r w:rsidRPr="00635CE4" w:rsidR="0053227C">
        <w:t>never notified of an intent to terminate</w:t>
      </w:r>
      <w:r w:rsidRPr="00635CE4" w:rsidR="00473B03">
        <w:t xml:space="preserve"> and any demotion was voluntary.</w:t>
      </w:r>
      <w:r w:rsidRPr="00635CE4" w:rsidR="004A1D55">
        <w:t xml:space="preserve"> </w:t>
      </w:r>
      <w:r w:rsidRPr="00635CE4" w:rsidR="00473B03">
        <w:t xml:space="preserve"> </w:t>
      </w:r>
      <w:r w:rsidRPr="00E22348" w:rsidR="00032D40">
        <w:t>Knowles</w:t>
      </w:r>
      <w:r w:rsidRPr="00E22348" w:rsidR="002F7656">
        <w:t xml:space="preserve"> did believe LaMarr had</w:t>
      </w:r>
      <w:r w:rsidRPr="00E22348" w:rsidR="00967CEB">
        <w:t xml:space="preserve"> performance issues and </w:t>
      </w:r>
      <w:r w:rsidRPr="00E22348" w:rsidR="002F7656">
        <w:t>he</w:t>
      </w:r>
      <w:r w:rsidRPr="00E22348" w:rsidR="00967CEB">
        <w:t xml:space="preserve"> began considering a termination.</w:t>
      </w:r>
      <w:r w:rsidRPr="00E22348" w:rsidR="002F7656">
        <w:t xml:space="preserve">  </w:t>
      </w:r>
      <w:r w:rsidRPr="00B920D2" w:rsidR="002F7656">
        <w:t>Knowles even drafted a letter of intent to dismiss LaMarr.</w:t>
      </w:r>
      <w:r w:rsidRPr="00B920D2" w:rsidR="00352751">
        <w:t xml:space="preserve">  </w:t>
      </w:r>
      <w:r w:rsidRPr="00597809" w:rsidR="00967CEB">
        <w:t xml:space="preserve">But the evidence </w:t>
      </w:r>
      <w:r w:rsidRPr="00597809" w:rsidR="002F7656">
        <w:t xml:space="preserve">establishes </w:t>
      </w:r>
      <w:r w:rsidRPr="00597809" w:rsidR="00DB6225">
        <w:t>Knowles never issued this letter</w:t>
      </w:r>
      <w:r w:rsidRPr="00597809" w:rsidR="00515E27">
        <w:t>.</w:t>
      </w:r>
      <w:r w:rsidRPr="00597809" w:rsidR="00B9402A">
        <w:t xml:space="preserve">  </w:t>
      </w:r>
      <w:r w:rsidRPr="00597809" w:rsidR="008232DF">
        <w:t xml:space="preserve">Instead, Jackson preempted Knowles </w:t>
      </w:r>
      <w:r w:rsidRPr="00597809" w:rsidR="006476AF">
        <w:t xml:space="preserve">by allowing LaMarr </w:t>
      </w:r>
      <w:r w:rsidRPr="00597809" w:rsidR="00B57AB9">
        <w:t xml:space="preserve">to </w:t>
      </w:r>
      <w:r w:rsidRPr="00597809" w:rsidR="00A5562C">
        <w:t>possibly avoid</w:t>
      </w:r>
      <w:r w:rsidRPr="00597809" w:rsidR="006476AF">
        <w:t xml:space="preserve"> </w:t>
      </w:r>
      <w:r w:rsidRPr="00597809" w:rsidR="00344168">
        <w:t>facing</w:t>
      </w:r>
      <w:r w:rsidRPr="00597809" w:rsidR="006476AF">
        <w:t xml:space="preserve"> termination</w:t>
      </w:r>
      <w:r w:rsidRPr="00597809" w:rsidR="008232DF">
        <w:t xml:space="preserve"> through a transfer</w:t>
      </w:r>
      <w:r w:rsidRPr="00597809" w:rsidR="006476AF">
        <w:t>.</w:t>
      </w:r>
      <w:r w:rsidRPr="00597809" w:rsidR="00AE0593">
        <w:t xml:space="preserve">  </w:t>
      </w:r>
      <w:r w:rsidRPr="00597809" w:rsidR="003F0069">
        <w:t>Knowles</w:t>
      </w:r>
      <w:r w:rsidRPr="00597809" w:rsidR="00B3454A">
        <w:t>’s unissued</w:t>
      </w:r>
      <w:r w:rsidRPr="00597809" w:rsidR="003F0069">
        <w:t xml:space="preserve"> letter, therefore, </w:t>
      </w:r>
      <w:r w:rsidRPr="00597809" w:rsidR="00B3454A">
        <w:t xml:space="preserve">did not </w:t>
      </w:r>
      <w:r w:rsidRPr="00597809" w:rsidR="00E569AC">
        <w:t xml:space="preserve">trigger a right to </w:t>
      </w:r>
      <w:r w:rsidRPr="00597809" w:rsidR="00E569AC">
        <w:rPr>
          <w:i/>
          <w:iCs/>
        </w:rPr>
        <w:t>Skelly</w:t>
      </w:r>
      <w:r w:rsidRPr="00597809" w:rsidR="00E569AC">
        <w:t xml:space="preserve"> proceedings.</w:t>
      </w:r>
      <w:r w:rsidRPr="00597809" w:rsidR="006F0BBC">
        <w:t xml:space="preserve">  </w:t>
      </w:r>
    </w:p>
    <w:p w:rsidR="001960EB" w:rsidRPr="00597809" w:rsidP="00C17611" w14:paraId="7DC90FA5" w14:textId="39B1D5A1">
      <w:pPr>
        <w:ind w:firstLine="720"/>
      </w:pPr>
      <w:r w:rsidRPr="00B920D2">
        <w:t>LaMarr</w:t>
      </w:r>
      <w:r w:rsidRPr="00B920D2" w:rsidR="00C80582">
        <w:t>’s</w:t>
      </w:r>
      <w:r w:rsidRPr="00B920D2" w:rsidR="004B624C">
        <w:t xml:space="preserve"> </w:t>
      </w:r>
      <w:r w:rsidRPr="00B920D2" w:rsidR="0053227C">
        <w:t xml:space="preserve">new </w:t>
      </w:r>
      <w:r w:rsidRPr="00B920D2" w:rsidR="008001E7">
        <w:t xml:space="preserve">permanent </w:t>
      </w:r>
      <w:r w:rsidRPr="00B920D2" w:rsidR="0053227C">
        <w:t xml:space="preserve">position </w:t>
      </w:r>
      <w:r w:rsidRPr="00B920D2" w:rsidR="008001E7">
        <w:t xml:space="preserve">at the </w:t>
      </w:r>
      <w:r w:rsidRPr="00B920D2" w:rsidR="005027F9">
        <w:t>I</w:t>
      </w:r>
      <w:r w:rsidRPr="00B920D2" w:rsidR="008001E7">
        <w:t>nstitute</w:t>
      </w:r>
      <w:r w:rsidRPr="00B920D2" w:rsidR="00C80582">
        <w:t xml:space="preserve"> was a demotion</w:t>
      </w:r>
      <w:r w:rsidRPr="00B920D2" w:rsidR="000C4824">
        <w:t xml:space="preserve">, which is an adverse </w:t>
      </w:r>
      <w:r w:rsidRPr="00B920D2" w:rsidR="0079364E">
        <w:t>result</w:t>
      </w:r>
      <w:r w:rsidRPr="00B920D2" w:rsidR="00344168">
        <w:t xml:space="preserve">, but </w:t>
      </w:r>
      <w:r w:rsidRPr="00B920D2" w:rsidR="00B16E55">
        <w:t xml:space="preserve">this </w:t>
      </w:r>
      <w:r w:rsidRPr="00B920D2" w:rsidR="0053227C">
        <w:t>transfer occurred without a denial of</w:t>
      </w:r>
      <w:r w:rsidRPr="00B920D2" w:rsidR="00457309">
        <w:t xml:space="preserve"> due process</w:t>
      </w:r>
      <w:r w:rsidRPr="00B920D2" w:rsidR="00AD3AD8">
        <w:t>.</w:t>
      </w:r>
      <w:r w:rsidRPr="00B920D2" w:rsidR="008431C6">
        <w:t xml:space="preserve">  </w:t>
      </w:r>
      <w:r w:rsidRPr="00641BCB" w:rsidR="00A14745">
        <w:t>Due process is not required where “</w:t>
      </w:r>
      <w:r w:rsidRPr="00641BCB" w:rsidR="00C23BDF">
        <w:t>the employee ‘has voluntarily surrendered the property interest upon whose</w:t>
      </w:r>
      <w:r w:rsidR="00117A46">
        <w:t xml:space="preserve"> [</w:t>
      </w:r>
      <w:r w:rsidR="00117A46">
        <w:rPr>
          <w:i/>
          <w:iCs/>
        </w:rPr>
        <w:t>sic</w:t>
      </w:r>
      <w:r w:rsidR="00117A46">
        <w:t>]</w:t>
      </w:r>
      <w:r w:rsidRPr="00641BCB" w:rsidR="00C23BDF">
        <w:t xml:space="preserve"> existence the procedural rights depend.’</w:t>
      </w:r>
      <w:r w:rsidRPr="00641BCB" w:rsidR="006F0BBC">
        <w:t> </w:t>
      </w:r>
      <w:r w:rsidRPr="00641BCB" w:rsidR="00C23BDF">
        <w:t>”  (</w:t>
      </w:r>
      <w:bookmarkStart w:id="7" w:name="dabmci_30b1f2c2c0064ff387d578cac81e40a6"/>
      <w:r w:rsidRPr="00641BCB" w:rsidR="00C23BDF">
        <w:rPr>
          <w:i/>
          <w:iCs/>
        </w:rPr>
        <w:t>Coleman v. Department of Personnel Administration</w:t>
      </w:r>
      <w:r w:rsidRPr="00641BCB" w:rsidR="00C23BDF">
        <w:t xml:space="preserve"> (1991) 52</w:t>
      </w:r>
      <w:r w:rsidRPr="00641BCB" w:rsidR="008D7BD6">
        <w:t> Cal</w:t>
      </w:r>
      <w:r w:rsidRPr="00641BCB" w:rsidR="006F0BBC">
        <w:t>.</w:t>
      </w:r>
      <w:r w:rsidRPr="00641BCB" w:rsidR="00C23BDF">
        <w:t>3d 1102, 1115</w:t>
      </w:r>
      <w:bookmarkEnd w:id="7"/>
      <w:r w:rsidRPr="00641BCB" w:rsidR="00C23BDF">
        <w:t>.)</w:t>
      </w:r>
      <w:r w:rsidRPr="00641BCB" w:rsidR="009F74AA">
        <w:t xml:space="preserve">  The</w:t>
      </w:r>
      <w:r w:rsidRPr="00597809" w:rsidR="009F74AA">
        <w:t xml:space="preserve"> evidence here supports </w:t>
      </w:r>
      <w:r w:rsidRPr="00597809" w:rsidR="004C09B3">
        <w:t>the trial court’s finding</w:t>
      </w:r>
      <w:r w:rsidRPr="00597809" w:rsidR="004B624C">
        <w:t xml:space="preserve"> that</w:t>
      </w:r>
      <w:r w:rsidRPr="00597809" w:rsidR="004C09B3">
        <w:t xml:space="preserve"> LaMarr voluntarily accepted the demotion</w:t>
      </w:r>
      <w:r w:rsidRPr="00597809" w:rsidR="00F6199C">
        <w:t xml:space="preserve"> in 2015</w:t>
      </w:r>
      <w:r w:rsidRPr="00597809" w:rsidR="004C09B3">
        <w:t>.</w:t>
      </w:r>
      <w:r w:rsidRPr="00597809" w:rsidR="00B16E55">
        <w:t xml:space="preserve">  Jackson gave </w:t>
      </w:r>
      <w:r w:rsidRPr="00597809" w:rsidR="004C09B3">
        <w:t>LaMarr</w:t>
      </w:r>
      <w:r w:rsidRPr="00597809" w:rsidR="00B16E55">
        <w:t xml:space="preserve"> three options</w:t>
      </w:r>
      <w:r w:rsidRPr="00597809" w:rsidR="0006230F">
        <w:t>, a</w:t>
      </w:r>
      <w:r w:rsidRPr="00597809" w:rsidR="007F51D1">
        <w:t xml:space="preserve">nd though two were </w:t>
      </w:r>
      <w:r w:rsidRPr="00597809" w:rsidR="0006230F">
        <w:t>with</w:t>
      </w:r>
      <w:r w:rsidRPr="00597809" w:rsidR="007F51D1">
        <w:t xml:space="preserve"> lower pay, </w:t>
      </w:r>
      <w:r w:rsidRPr="00641BCB" w:rsidR="007F51D1">
        <w:t xml:space="preserve">Jackson tried to find comparable roles </w:t>
      </w:r>
      <w:r w:rsidRPr="00641BCB" w:rsidR="0006230F">
        <w:t>with the same</w:t>
      </w:r>
      <w:r w:rsidRPr="00641BCB" w:rsidR="007F51D1">
        <w:t xml:space="preserve"> pay but could not.  </w:t>
      </w:r>
      <w:r w:rsidRPr="00641BCB" w:rsidR="00B16E55">
        <w:t>LaM</w:t>
      </w:r>
      <w:r w:rsidRPr="00597809" w:rsidR="00B16E55">
        <w:t xml:space="preserve">arr </w:t>
      </w:r>
      <w:r w:rsidRPr="00597809" w:rsidR="00046C7B">
        <w:t xml:space="preserve">later </w:t>
      </w:r>
      <w:r w:rsidRPr="00597809" w:rsidR="00B16E55">
        <w:t>e</w:t>
      </w:r>
      <w:r w:rsidRPr="00597809" w:rsidR="009F7897">
        <w:t>-</w:t>
      </w:r>
      <w:r w:rsidRPr="00597809" w:rsidR="00B16E55">
        <w:t>maile</w:t>
      </w:r>
      <w:r w:rsidRPr="00597809" w:rsidR="004C09B3">
        <w:t>d</w:t>
      </w:r>
      <w:r w:rsidRPr="00597809" w:rsidR="006F0BBC">
        <w:t>,</w:t>
      </w:r>
      <w:r w:rsidRPr="00597809" w:rsidR="004C09B3">
        <w:t xml:space="preserve"> “</w:t>
      </w:r>
      <w:r w:rsidRPr="00597809" w:rsidR="006F0BBC">
        <w:t>[A]</w:t>
      </w:r>
      <w:r w:rsidRPr="00597809" w:rsidR="004C09B3">
        <w:t xml:space="preserve">fter full consideration for my health and stress, I will remain at the </w:t>
      </w:r>
      <w:r w:rsidRPr="00597809" w:rsidR="00805F50">
        <w:t>[Institute]</w:t>
      </w:r>
      <w:r w:rsidRPr="00597809" w:rsidR="00B16E55">
        <w:t>.</w:t>
      </w:r>
      <w:r w:rsidRPr="00597809" w:rsidR="004C09B3">
        <w:t xml:space="preserve">”  </w:t>
      </w:r>
      <w:r w:rsidRPr="00597809" w:rsidR="00AA3EFD">
        <w:t xml:space="preserve">LaMarr therefore voluntary chose a lower paying </w:t>
      </w:r>
      <w:r w:rsidRPr="00597809" w:rsidR="0053227C">
        <w:t>position rather than returning</w:t>
      </w:r>
      <w:r w:rsidRPr="00597809" w:rsidR="00AA3EFD">
        <w:t xml:space="preserve"> to the </w:t>
      </w:r>
      <w:r w:rsidR="005C1027">
        <w:t>c</w:t>
      </w:r>
      <w:r w:rsidRPr="00597809" w:rsidR="00AA3EFD">
        <w:t xml:space="preserve">ancer </w:t>
      </w:r>
      <w:r w:rsidR="005C1027">
        <w:t>c</w:t>
      </w:r>
      <w:r w:rsidRPr="00597809" w:rsidR="00AA3EFD">
        <w:t>enter.</w:t>
      </w:r>
      <w:r w:rsidRPr="00597809" w:rsidR="00163685">
        <w:t xml:space="preserve">  Though this was clearly a difficult </w:t>
      </w:r>
      <w:r w:rsidRPr="00597809" w:rsidR="00B53DB1">
        <w:t>choice</w:t>
      </w:r>
      <w:r w:rsidRPr="00597809" w:rsidR="00163685">
        <w:t xml:space="preserve"> for LaMarr, </w:t>
      </w:r>
      <w:r w:rsidRPr="00641BCB" w:rsidR="00860BCB">
        <w:t>a difficult choice is not the same as an involuntary choice.  (</w:t>
      </w:r>
      <w:r w:rsidRPr="00641BCB" w:rsidR="00710975">
        <w:t xml:space="preserve">Cf. </w:t>
      </w:r>
      <w:bookmarkStart w:id="8" w:name="dabmci_4c606e79767c4537bce68ad70d53189a"/>
      <w:r w:rsidRPr="00641BCB" w:rsidR="00710975">
        <w:rPr>
          <w:i/>
          <w:iCs/>
        </w:rPr>
        <w:t>People v. Urfer</w:t>
      </w:r>
      <w:r w:rsidRPr="00641BCB" w:rsidR="00710975">
        <w:t xml:space="preserve"> (1979) 94</w:t>
      </w:r>
      <w:r w:rsidRPr="00641BCB" w:rsidR="008D7BD6">
        <w:t> Cal</w:t>
      </w:r>
      <w:r w:rsidRPr="00641BCB" w:rsidR="006F0BBC">
        <w:t>.</w:t>
      </w:r>
      <w:r w:rsidRPr="00641BCB" w:rsidR="00710975">
        <w:t>App.3d 887, 892 [“</w:t>
      </w:r>
      <w:r w:rsidRPr="00641BCB" w:rsidR="006F0BBC">
        <w:t>A</w:t>
      </w:r>
      <w:r w:rsidRPr="00641BCB" w:rsidR="00710975">
        <w:t xml:space="preserve">ssuming </w:t>
      </w:r>
      <w:r w:rsidRPr="00641BCB" w:rsidR="006F0BBC">
        <w:t>[the]</w:t>
      </w:r>
      <w:bookmarkEnd w:id="8"/>
      <w:r w:rsidRPr="00641BCB" w:rsidR="006F0BBC">
        <w:t xml:space="preserve"> </w:t>
      </w:r>
      <w:r w:rsidRPr="00641BCB" w:rsidR="00710975">
        <w:t xml:space="preserve">appellant was reluctant or ‘unwilling’ to change his </w:t>
      </w:r>
      <w:r w:rsidR="00AB6765">
        <w:t xml:space="preserve">[or her] </w:t>
      </w:r>
      <w:r w:rsidRPr="00641BCB" w:rsidR="00710975">
        <w:t>plea, such state of mind is not synonymous with an involuntary act”].</w:t>
      </w:r>
      <w:r w:rsidRPr="00641BCB" w:rsidR="00860BCB">
        <w:t>)</w:t>
      </w:r>
      <w:r w:rsidRPr="00597809" w:rsidR="00C17611">
        <w:t xml:space="preserve">  Thus, there was substantial evidence LaMarr’s demotion did not violate due process.</w:t>
      </w:r>
      <w:r w:rsidRPr="00597809" w:rsidR="006F0BBC">
        <w:t xml:space="preserve">  </w:t>
      </w:r>
    </w:p>
    <w:p w:rsidR="003042B4" w:rsidRPr="00641BCB" w:rsidP="009C1F8E" w14:paraId="0F848EBC" w14:textId="1116D93E">
      <w:pPr>
        <w:ind w:firstLine="720"/>
      </w:pPr>
      <w:r w:rsidRPr="00B920D2">
        <w:t xml:space="preserve">LaMarr maintains </w:t>
      </w:r>
      <w:r w:rsidRPr="00B920D2" w:rsidR="009F3DE5">
        <w:t xml:space="preserve">Jackson obtained </w:t>
      </w:r>
      <w:r w:rsidRPr="00B920D2" w:rsidR="00AD3AD8">
        <w:t xml:space="preserve">her acquiescence </w:t>
      </w:r>
      <w:r w:rsidRPr="00B920D2" w:rsidR="00887C6C">
        <w:t xml:space="preserve">involuntarily, </w:t>
      </w:r>
      <w:r w:rsidRPr="00B920D2" w:rsidR="009F3DE5">
        <w:t>by providing her</w:t>
      </w:r>
      <w:r w:rsidRPr="00B920D2" w:rsidR="00887C6C">
        <w:t xml:space="preserve"> incomplete information and false promises</w:t>
      </w:r>
      <w:r w:rsidRPr="00B920D2" w:rsidR="003C7EF9">
        <w:t xml:space="preserve"> when he first offered LaMarr the transfer</w:t>
      </w:r>
      <w:r w:rsidRPr="00B920D2" w:rsidR="00E56C46">
        <w:t xml:space="preserve"> in 2014</w:t>
      </w:r>
      <w:r w:rsidRPr="00B920D2" w:rsidR="00887C6C">
        <w:t>.</w:t>
      </w:r>
      <w:r w:rsidRPr="00B920D2" w:rsidR="00951698">
        <w:t xml:space="preserve">  </w:t>
      </w:r>
      <w:r w:rsidRPr="00B920D2" w:rsidR="00887C6C">
        <w:t>But even</w:t>
      </w:r>
      <w:r w:rsidRPr="00597809" w:rsidR="00887C6C">
        <w:t xml:space="preserve"> if LaMarr was </w:t>
      </w:r>
      <w:r w:rsidRPr="00597809" w:rsidR="00511E1E">
        <w:t>originally</w:t>
      </w:r>
      <w:r w:rsidRPr="00597809" w:rsidR="00B67795">
        <w:t xml:space="preserve"> not</w:t>
      </w:r>
      <w:r w:rsidRPr="00597809" w:rsidR="00887C6C">
        <w:t xml:space="preserve"> aware the transfer at her normal pay </w:t>
      </w:r>
      <w:r w:rsidRPr="00597809" w:rsidR="0070542A">
        <w:t>was temporary, she was given the option</w:t>
      </w:r>
      <w:r w:rsidRPr="00597809" w:rsidR="008E3B79">
        <w:t xml:space="preserve"> in 2015</w:t>
      </w:r>
      <w:r w:rsidRPr="00597809" w:rsidR="0070542A">
        <w:t xml:space="preserve"> to return to the status quo</w:t>
      </w:r>
      <w:r w:rsidRPr="00597809" w:rsidR="00B7508D">
        <w:t xml:space="preserve"> at the </w:t>
      </w:r>
      <w:r w:rsidR="005C1027">
        <w:t>c</w:t>
      </w:r>
      <w:r w:rsidRPr="00597809" w:rsidR="00B7508D">
        <w:t xml:space="preserve">ancer </w:t>
      </w:r>
      <w:r w:rsidR="005C1027">
        <w:t>c</w:t>
      </w:r>
      <w:r w:rsidRPr="00597809" w:rsidR="00BC52C8">
        <w:t>enter</w:t>
      </w:r>
      <w:r w:rsidRPr="00597809" w:rsidR="00B7508D">
        <w:t xml:space="preserve"> with her same title and with her same pay</w:t>
      </w:r>
      <w:r w:rsidRPr="00597809" w:rsidR="00490210">
        <w:t xml:space="preserve">; </w:t>
      </w:r>
      <w:r w:rsidRPr="00597809" w:rsidR="00BC52C8">
        <w:t>LaMarr</w:t>
      </w:r>
      <w:r w:rsidRPr="00597809" w:rsidR="007D082A">
        <w:t xml:space="preserve"> chose not to</w:t>
      </w:r>
      <w:r w:rsidRPr="00597809" w:rsidR="00BC52C8">
        <w:t xml:space="preserve"> return</w:t>
      </w:r>
      <w:r w:rsidRPr="00597809" w:rsidR="00A4720F">
        <w:t>.</w:t>
      </w:r>
      <w:r w:rsidRPr="00597809" w:rsidR="003415F3">
        <w:t xml:space="preserve">  </w:t>
      </w:r>
      <w:r w:rsidRPr="00641BCB" w:rsidR="00697911">
        <w:t>Th</w:t>
      </w:r>
      <w:r w:rsidRPr="00641BCB" w:rsidR="00767B05">
        <w:t xml:space="preserve">e final </w:t>
      </w:r>
      <w:r w:rsidRPr="00641BCB" w:rsidR="00697911">
        <w:t>decision</w:t>
      </w:r>
      <w:r w:rsidRPr="00641BCB" w:rsidR="00767B05">
        <w:t xml:space="preserve"> at issue here</w:t>
      </w:r>
      <w:r w:rsidRPr="00641BCB" w:rsidR="00B553B4">
        <w:t xml:space="preserve"> in 2015</w:t>
      </w:r>
      <w:r w:rsidRPr="00641BCB" w:rsidR="00697911">
        <w:t xml:space="preserve"> was consequently made </w:t>
      </w:r>
      <w:r w:rsidRPr="00641BCB" w:rsidR="00C77909">
        <w:t>with</w:t>
      </w:r>
      <w:r w:rsidRPr="00641BCB" w:rsidR="00FA4949">
        <w:t xml:space="preserve"> full</w:t>
      </w:r>
      <w:r w:rsidRPr="00641BCB" w:rsidR="00C77909">
        <w:t xml:space="preserve"> </w:t>
      </w:r>
      <w:r w:rsidRPr="00641BCB" w:rsidR="00FA4949">
        <w:t>“</w:t>
      </w:r>
      <w:r w:rsidRPr="00641BCB" w:rsidR="00C77909">
        <w:t>knowledge of the consequences.”  (</w:t>
      </w:r>
      <w:bookmarkStart w:id="9" w:name="dabmci_fc254b965d54400dbe52b783ecc396f7"/>
      <w:r w:rsidRPr="00641BCB" w:rsidR="00C77909">
        <w:rPr>
          <w:i/>
          <w:iCs/>
        </w:rPr>
        <w:t>Moyer v. Workmen’s Comp. Appeals Bd.</w:t>
      </w:r>
      <w:r w:rsidRPr="00641BCB" w:rsidR="00C77909">
        <w:t xml:space="preserve"> (1973) 10</w:t>
      </w:r>
      <w:r w:rsidRPr="00641BCB" w:rsidR="008D7BD6">
        <w:t> Cal</w:t>
      </w:r>
      <w:r w:rsidRPr="00641BCB" w:rsidR="006F0BBC">
        <w:t>.</w:t>
      </w:r>
      <w:r w:rsidRPr="00641BCB" w:rsidR="00C77909">
        <w:t>3d 222, 23</w:t>
      </w:r>
      <w:r w:rsidRPr="00641BCB" w:rsidR="00FA4949">
        <w:t>0</w:t>
      </w:r>
      <w:bookmarkEnd w:id="9"/>
      <w:r w:rsidRPr="00641BCB" w:rsidR="00C77909">
        <w:t>.)</w:t>
      </w:r>
      <w:r w:rsidRPr="00641BCB" w:rsidR="006F0BBC">
        <w:t xml:space="preserve">  </w:t>
      </w:r>
    </w:p>
    <w:p w:rsidR="00E0197C" w:rsidRPr="004F3DF4" w:rsidP="00E44D08" w14:paraId="79F56006" w14:textId="525CD252">
      <w:pPr>
        <w:ind w:firstLine="720"/>
        <w:rPr>
          <w:highlight w:val="yellow"/>
        </w:rPr>
      </w:pPr>
      <w:r w:rsidRPr="00B920D2">
        <w:t>This decision</w:t>
      </w:r>
      <w:r w:rsidRPr="00B920D2" w:rsidR="00706F43">
        <w:t xml:space="preserve"> alone</w:t>
      </w:r>
      <w:r w:rsidRPr="00B920D2">
        <w:t xml:space="preserve"> also did not</w:t>
      </w:r>
      <w:r w:rsidRPr="00B920D2" w:rsidR="0009176A">
        <w:t xml:space="preserve"> trigger her right to a </w:t>
      </w:r>
      <w:r w:rsidRPr="00B920D2" w:rsidR="0009176A">
        <w:rPr>
          <w:i/>
          <w:iCs/>
        </w:rPr>
        <w:t>Skelly</w:t>
      </w:r>
      <w:r w:rsidRPr="00B920D2" w:rsidR="0009176A">
        <w:t xml:space="preserve"> hearing.  </w:t>
      </w:r>
      <w:r w:rsidRPr="00B920D2" w:rsidR="00634E2C">
        <w:t xml:space="preserve">LaMarr </w:t>
      </w:r>
      <w:r w:rsidRPr="00B920D2" w:rsidR="00A14F20">
        <w:t>finally</w:t>
      </w:r>
      <w:r w:rsidRPr="00B920D2" w:rsidR="00634E2C">
        <w:t xml:space="preserve"> contends </w:t>
      </w:r>
      <w:r w:rsidRPr="00B920D2" w:rsidR="00911575">
        <w:t>she “was owed the pre-removal procedures</w:t>
      </w:r>
      <w:r w:rsidRPr="00B920D2" w:rsidR="0075231E">
        <w:t xml:space="preserve"> </w:t>
      </w:r>
      <w:r w:rsidRPr="00B920D2" w:rsidR="00911575">
        <w:t>(i.e., due process) before having to choose between suffering a decrease in</w:t>
      </w:r>
      <w:r w:rsidRPr="00B920D2" w:rsidR="0075231E">
        <w:t xml:space="preserve"> </w:t>
      </w:r>
      <w:r w:rsidRPr="00B920D2" w:rsidR="00911575">
        <w:t>pay rate and grade (demotion) or a dismissal.</w:t>
      </w:r>
      <w:r w:rsidRPr="00B920D2" w:rsidR="0075231E">
        <w:t xml:space="preserve">”  </w:t>
      </w:r>
      <w:r w:rsidRPr="00B920D2" w:rsidR="003C2867">
        <w:t>Otherwise,</w:t>
      </w:r>
      <w:r w:rsidRPr="00B920D2" w:rsidR="00EF1D57">
        <w:t xml:space="preserve"> LaMarr asserts,</w:t>
      </w:r>
      <w:r w:rsidRPr="00B920D2" w:rsidR="003C2867">
        <w:t xml:space="preserve"> </w:t>
      </w:r>
      <w:r w:rsidRPr="00B920D2" w:rsidR="00CC228C">
        <w:t>“</w:t>
      </w:r>
      <w:r w:rsidRPr="00B920D2" w:rsidR="006F0BBC">
        <w:t>B</w:t>
      </w:r>
      <w:r w:rsidRPr="00B920D2" w:rsidR="00CC228C">
        <w:t xml:space="preserve">y simply not issuing an </w:t>
      </w:r>
      <w:r w:rsidRPr="00B920D2" w:rsidR="00B920D2">
        <w:t>[</w:t>
      </w:r>
      <w:r w:rsidRPr="00B920D2" w:rsidR="00B920D2">
        <w:rPr>
          <w:i/>
          <w:iCs/>
        </w:rPr>
        <w:t>sic</w:t>
      </w:r>
      <w:r w:rsidRPr="00B920D2" w:rsidR="00B920D2">
        <w:t xml:space="preserve">] </w:t>
      </w:r>
      <w:r w:rsidRPr="00B920D2" w:rsidR="006F0BBC">
        <w:t>[n]</w:t>
      </w:r>
      <w:r w:rsidRPr="00B920D2" w:rsidR="00CC228C">
        <w:t xml:space="preserve">otice of </w:t>
      </w:r>
      <w:r w:rsidRPr="00B920D2" w:rsidR="006F0BBC">
        <w:t>[i]</w:t>
      </w:r>
      <w:r w:rsidRPr="00B920D2" w:rsidR="00CC228C">
        <w:t xml:space="preserve">ntent, </w:t>
      </w:r>
      <w:r w:rsidR="002F2FCE">
        <w:t xml:space="preserve">[the] </w:t>
      </w:r>
      <w:r w:rsidRPr="00B920D2" w:rsidR="00CC228C">
        <w:t xml:space="preserve">Regents can avoid any due process requirement.”  </w:t>
      </w:r>
      <w:r w:rsidRPr="00B920D2" w:rsidR="009F2E19">
        <w:t>LaMarr mis</w:t>
      </w:r>
      <w:r w:rsidRPr="00B920D2" w:rsidR="00DC0D1A">
        <w:t xml:space="preserve">understands the </w:t>
      </w:r>
      <w:r w:rsidRPr="00B920D2" w:rsidR="00DC0D1A">
        <w:rPr>
          <w:i/>
          <w:iCs/>
        </w:rPr>
        <w:t>Skelly</w:t>
      </w:r>
      <w:r w:rsidRPr="00B920D2" w:rsidR="00DC0D1A">
        <w:t xml:space="preserve"> </w:t>
      </w:r>
      <w:r w:rsidRPr="00495FC4" w:rsidR="00DC0D1A">
        <w:t>requirement.</w:t>
      </w:r>
      <w:r w:rsidRPr="00495FC4" w:rsidR="00085DDA">
        <w:t xml:space="preserve">  </w:t>
      </w:r>
      <w:r w:rsidRPr="00495FC4" w:rsidR="0053227C">
        <w:t xml:space="preserve">The </w:t>
      </w:r>
      <w:r w:rsidRPr="00495FC4" w:rsidR="00085DDA">
        <w:t xml:space="preserve">Regents </w:t>
      </w:r>
      <w:r w:rsidRPr="00495FC4" w:rsidR="009B0701">
        <w:t>does not violate</w:t>
      </w:r>
      <w:r w:rsidRPr="00495FC4" w:rsidR="00085DDA">
        <w:t xml:space="preserve"> due process until </w:t>
      </w:r>
      <w:r w:rsidR="00117A46">
        <w:t>it</w:t>
      </w:r>
      <w:r w:rsidRPr="00495FC4" w:rsidR="00706F43">
        <w:t xml:space="preserve"> takes an adverse action w</w:t>
      </w:r>
      <w:r w:rsidRPr="00495FC4" w:rsidR="005C4EF6">
        <w:t xml:space="preserve">ithout </w:t>
      </w:r>
      <w:r w:rsidRPr="00495FC4" w:rsidR="003101F0">
        <w:t xml:space="preserve">providing the </w:t>
      </w:r>
      <w:r w:rsidRPr="00495FC4" w:rsidR="003101F0">
        <w:rPr>
          <w:i/>
          <w:iCs/>
        </w:rPr>
        <w:t>Skelly</w:t>
      </w:r>
      <w:r w:rsidRPr="00495FC4" w:rsidR="003101F0">
        <w:t xml:space="preserve"> safeguards.  </w:t>
      </w:r>
      <w:r w:rsidRPr="00641BCB" w:rsidR="003101F0">
        <w:t xml:space="preserve">This necessarily means the safeguards must </w:t>
      </w:r>
      <w:r w:rsidRPr="00641BCB" w:rsidR="00AC1E4D">
        <w:t>be</w:t>
      </w:r>
      <w:r w:rsidRPr="00641BCB" w:rsidR="003101F0">
        <w:t xml:space="preserve"> provided before the deprivation.</w:t>
      </w:r>
      <w:r w:rsidRPr="00641BCB" w:rsidR="00DC0D1A">
        <w:t xml:space="preserve">  </w:t>
      </w:r>
      <w:r w:rsidRPr="00641BCB" w:rsidR="00EE6181">
        <w:t>(</w:t>
      </w:r>
      <w:bookmarkStart w:id="10" w:name="dabmci_58561b6c96ed4a3b861407a5fc4a0d88"/>
      <w:r w:rsidRPr="00641BCB" w:rsidR="00EE6181">
        <w:rPr>
          <w:i/>
          <w:iCs/>
        </w:rPr>
        <w:t>Mendoza v. Regents of University of California</w:t>
      </w:r>
      <w:r w:rsidRPr="00641BCB" w:rsidR="00EE6181">
        <w:t xml:space="preserve"> (1978)</w:t>
      </w:r>
      <w:r w:rsidRPr="00641BCB" w:rsidR="009B2896">
        <w:t xml:space="preserve"> 78</w:t>
      </w:r>
      <w:r w:rsidRPr="00641BCB" w:rsidR="008D7BD6">
        <w:t> Cal</w:t>
      </w:r>
      <w:r w:rsidRPr="00641BCB" w:rsidR="006F0BBC">
        <w:t>.</w:t>
      </w:r>
      <w:r w:rsidRPr="00641BCB" w:rsidR="009B2896">
        <w:t>App.3d 168,</w:t>
      </w:r>
      <w:r w:rsidRPr="00641BCB" w:rsidR="00C43253">
        <w:t xml:space="preserve"> 172</w:t>
      </w:r>
      <w:bookmarkEnd w:id="10"/>
      <w:r w:rsidRPr="00641BCB" w:rsidR="003101F0">
        <w:t xml:space="preserve"> [</w:t>
      </w:r>
      <w:r w:rsidRPr="00641BCB" w:rsidR="00BB4753">
        <w:t>a</w:t>
      </w:r>
      <w:r w:rsidRPr="00641BCB" w:rsidR="003101F0">
        <w:t xml:space="preserve"> civil employee may be deprived of </w:t>
      </w:r>
      <w:r w:rsidR="00C861C8">
        <w:t>hi</w:t>
      </w:r>
      <w:r w:rsidR="004E139D">
        <w:t>s</w:t>
      </w:r>
      <w:r w:rsidR="00C861C8">
        <w:t xml:space="preserve"> or her</w:t>
      </w:r>
      <w:r w:rsidRPr="00641BCB" w:rsidR="003101F0">
        <w:t xml:space="preserve"> </w:t>
      </w:r>
      <w:r w:rsidRPr="00641BCB" w:rsidR="00BB4753">
        <w:t>property interest in employment</w:t>
      </w:r>
      <w:r w:rsidRPr="00641BCB" w:rsidR="003101F0">
        <w:t xml:space="preserve"> “only if,</w:t>
      </w:r>
      <w:r w:rsidRPr="00641BCB" w:rsidR="006F0BBC">
        <w:t xml:space="preserve"> </w:t>
      </w:r>
      <w:r w:rsidRPr="00641BCB" w:rsidR="003101F0">
        <w:rPr>
          <w:i/>
          <w:iCs/>
        </w:rPr>
        <w:t>prior</w:t>
      </w:r>
      <w:r w:rsidRPr="00641BCB" w:rsidR="006F0BBC">
        <w:t xml:space="preserve"> </w:t>
      </w:r>
      <w:r w:rsidRPr="00641BCB" w:rsidR="003101F0">
        <w:t xml:space="preserve">to his </w:t>
      </w:r>
      <w:r w:rsidR="00641BCB">
        <w:t xml:space="preserve">[or her] </w:t>
      </w:r>
      <w:r w:rsidRPr="00641BCB" w:rsidR="003101F0">
        <w:t>dismissal, certain procedural safeguards are observed”</w:t>
      </w:r>
      <w:r w:rsidRPr="00641BCB" w:rsidR="00BB4753">
        <w:t>]</w:t>
      </w:r>
      <w:r w:rsidRPr="00641BCB" w:rsidR="00C43253">
        <w:t>.)</w:t>
      </w:r>
      <w:r w:rsidRPr="00641BCB" w:rsidR="006A50E6">
        <w:t xml:space="preserve">  But </w:t>
      </w:r>
      <w:r w:rsidRPr="00641BCB" w:rsidR="00031860">
        <w:t>a</w:t>
      </w:r>
      <w:r w:rsidRPr="00641BCB" w:rsidR="008C554A">
        <w:t xml:space="preserve"> </w:t>
      </w:r>
      <w:r w:rsidRPr="00641BCB" w:rsidR="008C554A">
        <w:rPr>
          <w:i/>
          <w:iCs/>
        </w:rPr>
        <w:t>Skelly</w:t>
      </w:r>
      <w:r w:rsidRPr="00641BCB" w:rsidR="008C554A">
        <w:t xml:space="preserve"> hearing is</w:t>
      </w:r>
      <w:r w:rsidRPr="00641BCB" w:rsidR="00031860">
        <w:t xml:space="preserve"> not</w:t>
      </w:r>
      <w:r w:rsidRPr="00641BCB" w:rsidR="008C554A">
        <w:t xml:space="preserve"> required </w:t>
      </w:r>
      <w:r w:rsidRPr="00641BCB" w:rsidR="006A50E6">
        <w:t>if there has</w:t>
      </w:r>
      <w:r w:rsidRPr="00641BCB" w:rsidR="008C554A">
        <w:t xml:space="preserve"> not been a </w:t>
      </w:r>
      <w:r w:rsidRPr="00641BCB" w:rsidR="006A50E6">
        <w:t>deprivation</w:t>
      </w:r>
      <w:r w:rsidRPr="00641BCB" w:rsidR="005E1C8D">
        <w:t xml:space="preserve"> or an issued intent</w:t>
      </w:r>
      <w:r w:rsidRPr="00641BCB" w:rsidR="009E6CE5">
        <w:t xml:space="preserve"> to </w:t>
      </w:r>
      <w:r w:rsidRPr="00641BCB" w:rsidR="00042DED">
        <w:t>take an adverse action</w:t>
      </w:r>
      <w:r w:rsidRPr="00641BCB" w:rsidR="004C70AF">
        <w:t>.</w:t>
      </w:r>
      <w:r w:rsidRPr="00641BCB" w:rsidR="00841ED5">
        <w:t xml:space="preserve">  </w:t>
      </w:r>
      <w:r w:rsidRPr="00462FA3" w:rsidR="00841ED5">
        <w:t>(</w:t>
      </w:r>
      <w:bookmarkStart w:id="11" w:name="dabmci_3daf967d1b944636aba90618297a965d"/>
      <w:r w:rsidRPr="00462FA3" w:rsidR="00841ED5">
        <w:rPr>
          <w:i/>
          <w:iCs/>
        </w:rPr>
        <w:t>Coleman v. Regents of University of California</w:t>
      </w:r>
      <w:r w:rsidRPr="00462FA3" w:rsidR="00AC1E4D">
        <w:t>,</w:t>
      </w:r>
      <w:r w:rsidRPr="00462FA3" w:rsidR="00AC1E4D">
        <w:rPr>
          <w:i/>
          <w:iCs/>
        </w:rPr>
        <w:t xml:space="preserve"> supra</w:t>
      </w:r>
      <w:r w:rsidRPr="00462FA3" w:rsidR="00AC1E4D">
        <w:t xml:space="preserve">, </w:t>
      </w:r>
      <w:r w:rsidRPr="00462FA3" w:rsidR="00841ED5">
        <w:t>93</w:t>
      </w:r>
      <w:r w:rsidRPr="00462FA3" w:rsidR="008D7BD6">
        <w:t> Cal</w:t>
      </w:r>
      <w:r w:rsidRPr="00462FA3" w:rsidR="006F0BBC">
        <w:t>.</w:t>
      </w:r>
      <w:r w:rsidRPr="00462FA3" w:rsidR="00841ED5">
        <w:t xml:space="preserve">App.3d </w:t>
      </w:r>
      <w:r w:rsidRPr="00462FA3" w:rsidR="00AC1E4D">
        <w:t>at p.</w:t>
      </w:r>
      <w:r w:rsidRPr="00462FA3" w:rsidR="006F0BBC">
        <w:t> </w:t>
      </w:r>
      <w:r w:rsidRPr="00462FA3" w:rsidR="00841ED5">
        <w:t>526</w:t>
      </w:r>
      <w:bookmarkEnd w:id="11"/>
      <w:r w:rsidRPr="00462FA3" w:rsidR="00841ED5">
        <w:t xml:space="preserve"> [“the opportunity to respond must come</w:t>
      </w:r>
      <w:r w:rsidRPr="00462FA3" w:rsidR="006F0BBC">
        <w:t xml:space="preserve"> </w:t>
      </w:r>
      <w:r w:rsidRPr="00462FA3" w:rsidR="00841ED5">
        <w:rPr>
          <w:i/>
          <w:iCs/>
        </w:rPr>
        <w:t>after</w:t>
      </w:r>
      <w:r w:rsidRPr="00462FA3" w:rsidR="006F0BBC">
        <w:t xml:space="preserve"> </w:t>
      </w:r>
      <w:r w:rsidRPr="00462FA3" w:rsidR="00841ED5">
        <w:t>the notice of intention to dismiss”].)</w:t>
      </w:r>
      <w:r w:rsidRPr="00462FA3" w:rsidR="00923240">
        <w:t xml:space="preserve">  </w:t>
      </w:r>
      <w:r w:rsidRPr="002F2FCE" w:rsidR="00171583">
        <w:t>LaMarr provides no legal support for the</w:t>
      </w:r>
      <w:r w:rsidRPr="002F2FCE" w:rsidR="00052CEB">
        <w:t xml:space="preserve"> </w:t>
      </w:r>
      <w:r w:rsidRPr="002F2FCE" w:rsidR="00171583">
        <w:t>proposition</w:t>
      </w:r>
      <w:r w:rsidRPr="002F2FCE" w:rsidR="00BF0E33">
        <w:t xml:space="preserve"> </w:t>
      </w:r>
      <w:r w:rsidRPr="002F2FCE" w:rsidR="001602B2">
        <w:t xml:space="preserve">underlying her argument that </w:t>
      </w:r>
      <w:r w:rsidRPr="002F2FCE" w:rsidR="00BF0E33">
        <w:t>employees are afforded</w:t>
      </w:r>
      <w:r w:rsidRPr="002F2FCE" w:rsidR="00171583">
        <w:t xml:space="preserve"> due process </w:t>
      </w:r>
      <w:r w:rsidRPr="002F2FCE" w:rsidR="00761F6F">
        <w:t xml:space="preserve">as soon as </w:t>
      </w:r>
      <w:r w:rsidRPr="002F2FCE" w:rsidR="00171583">
        <w:t>an employer consider</w:t>
      </w:r>
      <w:r w:rsidRPr="002F2FCE" w:rsidR="00CE5485">
        <w:t>s</w:t>
      </w:r>
      <w:r w:rsidRPr="002F2FCE" w:rsidR="00171583">
        <w:t xml:space="preserve"> </w:t>
      </w:r>
      <w:r w:rsidRPr="002F2FCE" w:rsidR="001602B2">
        <w:t>an adverse action</w:t>
      </w:r>
      <w:r w:rsidRPr="002F2FCE" w:rsidR="004C70AF">
        <w:t xml:space="preserve">; this </w:t>
      </w:r>
      <w:r w:rsidRPr="002F2FCE" w:rsidR="00171583">
        <w:t xml:space="preserve">would </w:t>
      </w:r>
      <w:r w:rsidRPr="002F2FCE" w:rsidR="004C70AF">
        <w:t xml:space="preserve">dramatically expand </w:t>
      </w:r>
      <w:r w:rsidRPr="002F2FCE" w:rsidR="00171583">
        <w:rPr>
          <w:i/>
          <w:iCs/>
        </w:rPr>
        <w:t>Skelly</w:t>
      </w:r>
      <w:r w:rsidRPr="002F2FCE" w:rsidR="00171583">
        <w:t>.</w:t>
      </w:r>
      <w:r w:rsidRPr="002F2FCE" w:rsidR="006F0BBC">
        <w:t xml:space="preserve">  </w:t>
      </w:r>
    </w:p>
    <w:p w:rsidR="0053061F" w:rsidRPr="003451E2" w:rsidP="004565A6" w14:paraId="1D46B2FC" w14:textId="43A2827A">
      <w:pPr>
        <w:ind w:firstLine="720"/>
      </w:pPr>
      <w:r w:rsidRPr="003451E2">
        <w:t xml:space="preserve">Ultimately, it was LaMarr’s prerogative to either risk termination and </w:t>
      </w:r>
      <w:r w:rsidRPr="003451E2" w:rsidR="0053227C">
        <w:t>receive</w:t>
      </w:r>
      <w:r w:rsidRPr="003451E2">
        <w:t xml:space="preserve"> a </w:t>
      </w:r>
      <w:r w:rsidRPr="003451E2">
        <w:rPr>
          <w:i/>
          <w:iCs/>
        </w:rPr>
        <w:t>Skelly</w:t>
      </w:r>
      <w:r w:rsidRPr="003451E2">
        <w:t xml:space="preserve"> hearing, relief she seeks with this lawsuit, or voluntarily accept the transfer and not </w:t>
      </w:r>
      <w:r w:rsidRPr="003451E2" w:rsidR="0053227C">
        <w:t>have</w:t>
      </w:r>
      <w:r w:rsidRPr="003451E2">
        <w:t xml:space="preserve"> a </w:t>
      </w:r>
      <w:r w:rsidRPr="003451E2">
        <w:rPr>
          <w:i/>
          <w:iCs/>
        </w:rPr>
        <w:t>Skelly</w:t>
      </w:r>
      <w:r w:rsidRPr="003451E2">
        <w:t xml:space="preserve"> hearing.  Under the facts of this case, the law did not entitle her to both.  </w:t>
      </w:r>
      <w:r w:rsidRPr="003451E2" w:rsidR="00C72007">
        <w:t>We consequently conclude there was substantial evidence supporting the trial court</w:t>
      </w:r>
      <w:r w:rsidRPr="003451E2" w:rsidR="007279A5">
        <w:t>’s</w:t>
      </w:r>
      <w:r w:rsidRPr="003451E2" w:rsidR="00C72007">
        <w:t xml:space="preserve"> finding </w:t>
      </w:r>
      <w:r w:rsidRPr="003451E2" w:rsidR="007279A5">
        <w:t xml:space="preserve">that </w:t>
      </w:r>
      <w:r w:rsidR="002F2FCE">
        <w:t xml:space="preserve">the </w:t>
      </w:r>
      <w:r w:rsidRPr="003451E2" w:rsidR="00C72007">
        <w:t>Regents did not deprive LaMarr of due process.</w:t>
      </w:r>
      <w:r w:rsidRPr="003451E2" w:rsidR="00753543">
        <w:t xml:space="preserve">  </w:t>
      </w:r>
    </w:p>
    <w:p w:rsidR="00C72007" w:rsidRPr="00C54683" w:rsidP="00753543" w14:paraId="7EB68327" w14:textId="566CD176">
      <w:pPr>
        <w:keepNext/>
        <w:jc w:val="center"/>
      </w:pPr>
      <w:r w:rsidRPr="00C54683">
        <w:t>DISPOSITION</w:t>
      </w:r>
    </w:p>
    <w:p w:rsidR="00C72007" w:rsidP="00753543" w14:paraId="222BC463" w14:textId="5FE72237">
      <w:pPr>
        <w:keepNext/>
        <w:ind w:firstLine="720"/>
        <w:rPr>
          <w:bCs/>
        </w:rPr>
      </w:pPr>
      <w:r w:rsidRPr="00C54683">
        <w:rPr>
          <w:bCs/>
        </w:rPr>
        <w:t>The judgment is affirmed.  The parties shall bear their own costs on appeal.  (</w:t>
      </w:r>
      <w:bookmarkStart w:id="12" w:name="dabmci_e904304fdf2d4ea5ab30aa0198f6a221"/>
      <w:r w:rsidRPr="00C54683">
        <w:rPr>
          <w:bCs/>
        </w:rPr>
        <w:t>Cal. Rules of Court, rule 8.278(a)(5)</w:t>
      </w:r>
      <w:bookmarkEnd w:id="12"/>
      <w:r w:rsidRPr="00C54683">
        <w:rPr>
          <w:bCs/>
        </w:rPr>
        <w:t>.)</w:t>
      </w:r>
      <w:r w:rsidR="00753543">
        <w:rPr>
          <w:bCs/>
        </w:rPr>
        <w:t xml:space="preserve">  </w:t>
      </w:r>
    </w:p>
    <w:p w:rsidR="000E6915" w:rsidP="000E6915" w14:paraId="1871CDA7" w14:textId="77777777">
      <w:pPr>
        <w:keepNext/>
      </w:pPr>
    </w:p>
    <w:p w:rsidR="000E6915" w:rsidP="000E6915" w14:paraId="79C4CE4B" w14:textId="77777777">
      <w:pPr>
        <w:keepNext/>
        <w:spacing w:line="240" w:lineRule="auto"/>
      </w:pPr>
    </w:p>
    <w:p w:rsidR="000E6915" w:rsidP="000E6915" w14:paraId="257655E0" w14:textId="77777777">
      <w:pPr>
        <w:keepNext/>
        <w:spacing w:line="240" w:lineRule="auto"/>
      </w:pPr>
    </w:p>
    <w:p w:rsidR="000E6915" w:rsidP="000E6915" w14:paraId="0BB8029F" w14:textId="77777777">
      <w:pPr>
        <w:keepNext/>
        <w:spacing w:line="240" w:lineRule="auto"/>
      </w:pPr>
    </w:p>
    <w:p w:rsidR="000E6915" w:rsidP="000E6915" w14:paraId="369EB817" w14:textId="4F1911F0">
      <w:pPr>
        <w:keepNext/>
        <w:tabs>
          <w:tab w:val="left" w:pos="5040"/>
          <w:tab w:val="left" w:pos="7920"/>
        </w:tabs>
        <w:spacing w:line="240" w:lineRule="auto"/>
        <w:rPr>
          <w:u w:val="single"/>
        </w:rPr>
      </w:pPr>
      <w:r>
        <w:tab/>
      </w:r>
      <w:r w:rsidRPr="000E6915">
        <w:rPr>
          <w:u w:val="single"/>
        </w:rPr>
        <w:t xml:space="preserve"> </w:t>
      </w:r>
      <w:r w:rsidR="00A57827">
        <w:rPr>
          <w:u w:val="single"/>
        </w:rPr>
        <w:t>/s/</w:t>
      </w:r>
      <w:r w:rsidRPr="000E6915">
        <w:rPr>
          <w:u w:val="single"/>
        </w:rPr>
        <w:t xml:space="preserve">         </w:t>
      </w:r>
      <w:r w:rsidRPr="000E6915">
        <w:rPr>
          <w:u w:val="single"/>
        </w:rPr>
        <w:tab/>
      </w:r>
    </w:p>
    <w:p w:rsidR="000E6915" w:rsidP="000E6915" w14:paraId="6C4A8A7F" w14:textId="373DE5F9">
      <w:pPr>
        <w:keepNext/>
        <w:tabs>
          <w:tab w:val="left" w:pos="5040"/>
          <w:tab w:val="left" w:pos="7920"/>
        </w:tabs>
        <w:spacing w:line="240" w:lineRule="auto"/>
      </w:pPr>
      <w:r>
        <w:tab/>
        <w:t>ROBIE, Acting P. J.</w:t>
      </w:r>
    </w:p>
    <w:p w:rsidR="000E6915" w:rsidP="000E6915" w14:paraId="05FF3D63" w14:textId="77777777">
      <w:pPr>
        <w:keepNext/>
        <w:tabs>
          <w:tab w:val="left" w:pos="5040"/>
          <w:tab w:val="left" w:pos="7920"/>
        </w:tabs>
        <w:spacing w:line="240" w:lineRule="auto"/>
      </w:pPr>
    </w:p>
    <w:p w:rsidR="000E6915" w:rsidP="000E6915" w14:paraId="331268A8" w14:textId="77777777">
      <w:pPr>
        <w:keepNext/>
        <w:tabs>
          <w:tab w:val="left" w:pos="5040"/>
          <w:tab w:val="left" w:pos="7920"/>
        </w:tabs>
        <w:spacing w:line="240" w:lineRule="auto"/>
      </w:pPr>
    </w:p>
    <w:p w:rsidR="000E6915" w:rsidP="000E6915" w14:paraId="60EB030D" w14:textId="77777777">
      <w:pPr>
        <w:keepNext/>
        <w:tabs>
          <w:tab w:val="left" w:pos="5040"/>
          <w:tab w:val="left" w:pos="7920"/>
        </w:tabs>
        <w:spacing w:line="240" w:lineRule="auto"/>
      </w:pPr>
    </w:p>
    <w:p w:rsidR="000E6915" w:rsidP="000E6915" w14:paraId="7978521E" w14:textId="17F347C1">
      <w:pPr>
        <w:keepNext/>
        <w:spacing w:line="240" w:lineRule="auto"/>
      </w:pPr>
      <w:r>
        <w:t>We concur:</w:t>
      </w:r>
    </w:p>
    <w:p w:rsidR="000E6915" w:rsidP="000E6915" w14:paraId="0C469221" w14:textId="77777777">
      <w:pPr>
        <w:keepNext/>
        <w:spacing w:line="240" w:lineRule="auto"/>
      </w:pPr>
    </w:p>
    <w:p w:rsidR="000E6915" w:rsidP="000E6915" w14:paraId="3C999E7C" w14:textId="77777777">
      <w:pPr>
        <w:keepNext/>
        <w:spacing w:line="240" w:lineRule="auto"/>
      </w:pPr>
    </w:p>
    <w:p w:rsidR="000E6915" w:rsidP="000E6915" w14:paraId="392184E0" w14:textId="77777777">
      <w:pPr>
        <w:keepNext/>
        <w:spacing w:line="240" w:lineRule="auto"/>
      </w:pPr>
    </w:p>
    <w:p w:rsidR="000E6915" w:rsidP="000E6915" w14:paraId="016D0BEA" w14:textId="77777777">
      <w:pPr>
        <w:keepNext/>
        <w:spacing w:line="240" w:lineRule="auto"/>
      </w:pPr>
    </w:p>
    <w:p w:rsidR="000E6915" w:rsidP="000E6915" w14:paraId="5B45A3A2" w14:textId="64683F1C">
      <w:pPr>
        <w:keepNext/>
        <w:tabs>
          <w:tab w:val="left" w:pos="2880"/>
        </w:tabs>
        <w:spacing w:line="240" w:lineRule="auto"/>
        <w:rPr>
          <w:u w:val="single"/>
        </w:rPr>
      </w:pPr>
      <w:r w:rsidRPr="000E6915">
        <w:rPr>
          <w:u w:val="single"/>
        </w:rPr>
        <w:t xml:space="preserve"> </w:t>
      </w:r>
      <w:r w:rsidR="00A57827">
        <w:rPr>
          <w:u w:val="single"/>
        </w:rPr>
        <w:t>/s/</w:t>
      </w:r>
      <w:r w:rsidRPr="000E6915">
        <w:rPr>
          <w:u w:val="single"/>
        </w:rPr>
        <w:t xml:space="preserve">         </w:t>
      </w:r>
      <w:r w:rsidRPr="000E6915">
        <w:rPr>
          <w:u w:val="single"/>
        </w:rPr>
        <w:tab/>
      </w:r>
    </w:p>
    <w:p w:rsidR="000E6915" w:rsidP="000E6915" w14:paraId="684B3256" w14:textId="6D915F33">
      <w:pPr>
        <w:keepNext/>
        <w:tabs>
          <w:tab w:val="left" w:pos="2880"/>
        </w:tabs>
        <w:spacing w:line="240" w:lineRule="auto"/>
      </w:pPr>
      <w:r>
        <w:t>KRAUSE, J.</w:t>
      </w:r>
    </w:p>
    <w:p w:rsidR="000E6915" w:rsidP="000E6915" w14:paraId="7480ED97" w14:textId="77777777">
      <w:pPr>
        <w:keepNext/>
        <w:tabs>
          <w:tab w:val="left" w:pos="2880"/>
        </w:tabs>
        <w:spacing w:line="240" w:lineRule="auto"/>
      </w:pPr>
    </w:p>
    <w:p w:rsidR="000E6915" w:rsidP="000E6915" w14:paraId="25D6B8AD" w14:textId="77777777">
      <w:pPr>
        <w:keepNext/>
        <w:tabs>
          <w:tab w:val="left" w:pos="2880"/>
        </w:tabs>
        <w:spacing w:line="240" w:lineRule="auto"/>
      </w:pPr>
    </w:p>
    <w:p w:rsidR="000E6915" w:rsidP="000E6915" w14:paraId="38DAE8A6" w14:textId="77777777">
      <w:pPr>
        <w:keepNext/>
        <w:tabs>
          <w:tab w:val="left" w:pos="2880"/>
        </w:tabs>
        <w:spacing w:line="240" w:lineRule="auto"/>
      </w:pPr>
    </w:p>
    <w:p w:rsidR="000E6915" w:rsidP="000E6915" w14:paraId="6712DF13" w14:textId="77777777">
      <w:pPr>
        <w:keepNext/>
        <w:tabs>
          <w:tab w:val="left" w:pos="2880"/>
        </w:tabs>
        <w:spacing w:line="240" w:lineRule="auto"/>
      </w:pPr>
    </w:p>
    <w:p w:rsidR="000E6915" w:rsidP="000E6915" w14:paraId="3A9DC168" w14:textId="63C8EADC">
      <w:pPr>
        <w:keepNext/>
        <w:tabs>
          <w:tab w:val="left" w:pos="2880"/>
        </w:tabs>
        <w:spacing w:line="240" w:lineRule="auto"/>
        <w:rPr>
          <w:u w:val="single"/>
        </w:rPr>
      </w:pPr>
      <w:r w:rsidRPr="000E6915">
        <w:rPr>
          <w:u w:val="single"/>
        </w:rPr>
        <w:t xml:space="preserve"> </w:t>
      </w:r>
      <w:r w:rsidR="00A57827">
        <w:rPr>
          <w:u w:val="single"/>
        </w:rPr>
        <w:t>/s/</w:t>
      </w:r>
      <w:r w:rsidRPr="000E6915">
        <w:rPr>
          <w:u w:val="single"/>
        </w:rPr>
        <w:t xml:space="preserve">         </w:t>
      </w:r>
      <w:r w:rsidRPr="000E6915">
        <w:rPr>
          <w:u w:val="single"/>
        </w:rPr>
        <w:tab/>
      </w:r>
    </w:p>
    <w:p w:rsidR="000E6915" w:rsidP="000E6915" w14:paraId="02C85FAC" w14:textId="0B64EED6">
      <w:pPr>
        <w:keepNext/>
        <w:tabs>
          <w:tab w:val="left" w:pos="2880"/>
        </w:tabs>
        <w:spacing w:line="240" w:lineRule="auto"/>
      </w:pPr>
      <w:r>
        <w:t>MESIWALA, J.</w:t>
      </w:r>
    </w:p>
    <w:p w:rsidR="00A209E7" w:rsidP="000E6915" w14:paraId="65B9581F" w14:textId="77777777">
      <w:pPr>
        <w:sectPr w:rsidSect="000E6915">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docGrid w:linePitch="354"/>
        </w:sectPr>
      </w:pPr>
    </w:p>
    <w:p w:rsidR="00A209E7" w:rsidRPr="00A209E7" w:rsidP="00A209E7" w14:paraId="733F5502" w14:textId="77777777">
      <w:pPr>
        <w:spacing w:line="240" w:lineRule="atLeast"/>
        <w:rPr>
          <w:kern w:val="0"/>
          <w:sz w:val="20"/>
          <w:szCs w:val="20"/>
          <w14:ligatures w14:val="none"/>
        </w:rPr>
      </w:pPr>
      <w:r w:rsidRPr="00A209E7">
        <w:rPr>
          <w:kern w:val="0"/>
          <w:sz w:val="20"/>
          <w:szCs w:val="20"/>
          <w14:ligatures w14:val="none"/>
        </w:rPr>
        <w:t>Filed 4/23/24</w:t>
      </w:r>
    </w:p>
    <w:p w:rsidR="00A209E7" w:rsidRPr="00A209E7" w:rsidP="00A209E7" w14:paraId="5FAD1AF8" w14:textId="77777777">
      <w:pPr>
        <w:spacing w:line="240" w:lineRule="atLeast"/>
        <w:jc w:val="center"/>
        <w:rPr>
          <w:kern w:val="0"/>
          <w14:ligatures w14:val="none"/>
        </w:rPr>
      </w:pPr>
      <w:r w:rsidRPr="00A209E7">
        <w:rPr>
          <w:kern w:val="0"/>
          <w:u w:val="words"/>
          <w14:ligatures w14:val="none"/>
        </w:rPr>
        <w:t>CERTIFIED FOR PUBLICATION</w:t>
      </w:r>
    </w:p>
    <w:p w:rsidR="00A209E7" w:rsidRPr="00A209E7" w:rsidP="00A209E7" w14:paraId="0EF09601" w14:textId="77777777">
      <w:pPr>
        <w:spacing w:line="240" w:lineRule="atLeast"/>
        <w:jc w:val="center"/>
        <w:rPr>
          <w:kern w:val="0"/>
          <w:u w:val="words"/>
          <w14:ligatures w14:val="none"/>
        </w:rPr>
      </w:pPr>
    </w:p>
    <w:p w:rsidR="00A209E7" w:rsidRPr="00A209E7" w:rsidP="00A209E7" w14:paraId="3EB76C25" w14:textId="77777777">
      <w:pPr>
        <w:spacing w:line="240" w:lineRule="atLeast"/>
        <w:jc w:val="center"/>
        <w:rPr>
          <w:kern w:val="0"/>
          <w:u w:val="words"/>
          <w14:ligatures w14:val="none"/>
        </w:rPr>
      </w:pPr>
    </w:p>
    <w:p w:rsidR="00A209E7" w:rsidRPr="00A209E7" w:rsidP="00A209E7" w14:paraId="1DBCA1BB" w14:textId="77777777">
      <w:pPr>
        <w:jc w:val="center"/>
        <w:rPr>
          <w:kern w:val="0"/>
          <w14:ligatures w14:val="none"/>
        </w:rPr>
      </w:pPr>
      <w:r w:rsidRPr="00A209E7">
        <w:rPr>
          <w:kern w:val="0"/>
          <w14:ligatures w14:val="none"/>
        </w:rPr>
        <w:t>IN THE COURT OF APPEAL OF THE STATE OF CALIFORNIA</w:t>
      </w:r>
    </w:p>
    <w:p w:rsidR="00A209E7" w:rsidRPr="00A209E7" w:rsidP="00A209E7" w14:paraId="6895580D" w14:textId="77777777">
      <w:pPr>
        <w:jc w:val="center"/>
        <w:rPr>
          <w:kern w:val="0"/>
          <w14:ligatures w14:val="none"/>
        </w:rPr>
      </w:pPr>
      <w:r w:rsidRPr="00A209E7">
        <w:rPr>
          <w:kern w:val="0"/>
          <w14:ligatures w14:val="none"/>
        </w:rPr>
        <w:t>THIRD APPELLATE DISTRICT</w:t>
      </w:r>
    </w:p>
    <w:p w:rsidR="00A209E7" w:rsidRPr="00A209E7" w:rsidP="00A209E7" w14:paraId="445FD1C0" w14:textId="77777777">
      <w:pPr>
        <w:jc w:val="center"/>
        <w:rPr>
          <w:kern w:val="0"/>
          <w14:ligatures w14:val="none"/>
        </w:rPr>
      </w:pPr>
      <w:r w:rsidRPr="00A209E7">
        <w:rPr>
          <w:kern w:val="0"/>
          <w14:ligatures w14:val="none"/>
        </w:rPr>
        <w:t>(Sacramento)</w:t>
      </w:r>
    </w:p>
    <w:p w:rsidR="00A209E7" w:rsidRPr="00A209E7" w:rsidP="00A209E7" w14:paraId="2AFE8339" w14:textId="77777777">
      <w:pPr>
        <w:jc w:val="center"/>
        <w:rPr>
          <w:kern w:val="0"/>
          <w14:ligatures w14:val="none"/>
        </w:rPr>
      </w:pPr>
      <w:r w:rsidRPr="00A209E7">
        <w:rPr>
          <w:kern w:val="0"/>
          <w14:ligatures w14:val="none"/>
        </w:rPr>
        <w:t>----</w:t>
      </w:r>
    </w:p>
    <w:p w:rsidR="00A209E7" w:rsidRPr="00A209E7" w:rsidP="00A209E7" w14:paraId="00FCFEB2" w14:textId="77777777">
      <w:pPr>
        <w:jc w:val="center"/>
        <w:rPr>
          <w:kern w:val="0"/>
          <w14:ligatures w14:val="none"/>
        </w:rPr>
      </w:pPr>
    </w:p>
    <w:p w:rsidR="00A209E7" w:rsidRPr="00A209E7" w:rsidP="00A209E7" w14:paraId="04C3B61A" w14:textId="77777777">
      <w:pPr>
        <w:spacing w:line="240" w:lineRule="atLeast"/>
        <w:rPr>
          <w:kern w:val="0"/>
          <w14:ligatures w14:val="none"/>
        </w:rPr>
      </w:pPr>
    </w:p>
    <w:p w:rsidR="00A209E7" w:rsidRPr="00A209E7" w:rsidP="00A209E7" w14:paraId="632DC934" w14:textId="77777777">
      <w:pPr>
        <w:spacing w:line="240" w:lineRule="atLeast"/>
        <w:rPr>
          <w:kern w:val="0"/>
          <w14:ligatures w14:val="none"/>
        </w:rPr>
      </w:pPr>
    </w:p>
    <w:p w:rsidR="00A209E7" w:rsidRPr="00A209E7" w:rsidP="00A209E7" w14:paraId="6E8CB958" w14:textId="77777777">
      <w:pPr>
        <w:spacing w:line="240" w:lineRule="atLeast"/>
        <w:rPr>
          <w:kern w:val="0"/>
          <w14:ligatures w14:val="none"/>
        </w:rPr>
      </w:pPr>
    </w:p>
    <w:tbl>
      <w:tblPr>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
      <w:tblGrid>
        <w:gridCol w:w="5904"/>
        <w:gridCol w:w="3456"/>
      </w:tblGrid>
      <w:tr w14:paraId="6AE495E4" w14:textId="77777777" w:rsidTr="001622BC">
        <w:tblPrEx>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Ex>
        <w:tc>
          <w:tcPr>
            <w:tcW w:w="5904" w:type="dxa"/>
            <w:shd w:val="clear" w:color="auto" w:fill="auto"/>
          </w:tcPr>
          <w:p w:rsidR="00A209E7" w:rsidRPr="00A209E7" w:rsidP="00A209E7" w14:paraId="27AF63AD" w14:textId="77777777">
            <w:pPr>
              <w:spacing w:line="240" w:lineRule="atLeast"/>
              <w:rPr>
                <w:rStyle w:val="DefaultParagraphFont"/>
                <w:kern w:val="0"/>
                <w:sz w:val="26"/>
                <w:szCs w:val="26"/>
                <w:lang w:val="en-US" w:eastAsia="en-US" w:bidi="ar-SA"/>
                <w14:ligatures w14:val="none"/>
              </w:rPr>
            </w:pPr>
            <w:r w:rsidRPr="00A209E7">
              <w:rPr>
                <w:kern w:val="0"/>
                <w:sz w:val="26"/>
                <w:szCs w:val="26"/>
                <w:lang w:val="en-US" w:eastAsia="en-US" w:bidi="ar-SA"/>
                <w14:ligatures w14:val="none"/>
              </w:rPr>
              <w:t>JUNE L</w:t>
            </w:r>
            <w:r w:rsidRPr="00A209E7">
              <w:rPr>
                <w:smallCaps/>
                <w:kern w:val="0"/>
                <w:sz w:val="26"/>
                <w:szCs w:val="26"/>
                <w:lang w:val="en-US" w:eastAsia="en-US" w:bidi="ar-SA"/>
                <w14:ligatures w14:val="none"/>
              </w:rPr>
              <w:t>a</w:t>
            </w:r>
            <w:r w:rsidRPr="00A209E7">
              <w:rPr>
                <w:kern w:val="0"/>
                <w:sz w:val="26"/>
                <w:szCs w:val="26"/>
                <w:lang w:val="en-US" w:eastAsia="en-US" w:bidi="ar-SA"/>
                <w14:ligatures w14:val="none"/>
              </w:rPr>
              <w:t>MARR,</w:t>
            </w:r>
          </w:p>
          <w:p w:rsidR="00A209E7" w:rsidRPr="00A209E7" w:rsidP="00A209E7" w14:paraId="0E8F9D52" w14:textId="77777777">
            <w:pPr>
              <w:spacing w:line="240" w:lineRule="atLeast"/>
              <w:rPr>
                <w:rStyle w:val="DefaultParagraphFont"/>
                <w:kern w:val="0"/>
                <w:sz w:val="26"/>
                <w:szCs w:val="26"/>
                <w:lang w:val="en-US" w:eastAsia="en-US" w:bidi="ar-SA"/>
                <w14:ligatures w14:val="none"/>
              </w:rPr>
            </w:pPr>
          </w:p>
          <w:p w:rsidR="00A209E7" w:rsidRPr="00A209E7" w:rsidP="00A209E7" w14:paraId="3693127B" w14:textId="77777777">
            <w:pPr>
              <w:spacing w:line="240" w:lineRule="atLeast"/>
              <w:rPr>
                <w:rStyle w:val="DefaultParagraphFont"/>
                <w:kern w:val="0"/>
                <w:sz w:val="26"/>
                <w:szCs w:val="26"/>
                <w:lang w:val="en-US" w:eastAsia="en-US" w:bidi="ar-SA"/>
                <w14:ligatures w14:val="none"/>
              </w:rPr>
            </w:pPr>
            <w:r w:rsidRPr="00A209E7">
              <w:rPr>
                <w:kern w:val="0"/>
                <w:sz w:val="26"/>
                <w:szCs w:val="26"/>
                <w:lang w:val="en-US" w:eastAsia="en-US" w:bidi="ar-SA"/>
                <w14:ligatures w14:val="none"/>
              </w:rPr>
              <w:tab/>
            </w:r>
            <w:r w:rsidRPr="00A209E7">
              <w:rPr>
                <w:kern w:val="0"/>
                <w:sz w:val="26"/>
                <w:szCs w:val="26"/>
                <w:lang w:val="en-US" w:eastAsia="en-US" w:bidi="ar-SA"/>
                <w14:ligatures w14:val="none"/>
              </w:rPr>
              <w:tab/>
              <w:t>Plaintiff and Appellant,</w:t>
            </w:r>
          </w:p>
          <w:p w:rsidR="00A209E7" w:rsidRPr="00A209E7" w:rsidP="00A209E7" w14:paraId="4338BB4C" w14:textId="77777777">
            <w:pPr>
              <w:spacing w:line="240" w:lineRule="atLeast"/>
              <w:rPr>
                <w:rStyle w:val="DefaultParagraphFont"/>
                <w:kern w:val="0"/>
                <w:sz w:val="26"/>
                <w:szCs w:val="26"/>
                <w:lang w:val="en-US" w:eastAsia="en-US" w:bidi="ar-SA"/>
                <w14:ligatures w14:val="none"/>
              </w:rPr>
            </w:pPr>
          </w:p>
          <w:p w:rsidR="00A209E7" w:rsidRPr="00A209E7" w:rsidP="00A209E7" w14:paraId="72761871" w14:textId="77777777">
            <w:pPr>
              <w:spacing w:line="240" w:lineRule="atLeast"/>
              <w:rPr>
                <w:rStyle w:val="DefaultParagraphFont"/>
                <w:kern w:val="0"/>
                <w:sz w:val="26"/>
                <w:szCs w:val="26"/>
                <w:lang w:val="en-US" w:eastAsia="en-US" w:bidi="ar-SA"/>
                <w14:ligatures w14:val="none"/>
              </w:rPr>
            </w:pPr>
            <w:r w:rsidRPr="00A209E7">
              <w:rPr>
                <w:kern w:val="0"/>
                <w:sz w:val="26"/>
                <w:szCs w:val="26"/>
                <w:lang w:val="en-US" w:eastAsia="en-US" w:bidi="ar-SA"/>
                <w14:ligatures w14:val="none"/>
              </w:rPr>
              <w:tab/>
              <w:t>v.</w:t>
            </w:r>
          </w:p>
          <w:p w:rsidR="00A209E7" w:rsidRPr="00A209E7" w:rsidP="00A209E7" w14:paraId="37948BFB" w14:textId="77777777">
            <w:pPr>
              <w:spacing w:line="240" w:lineRule="atLeast"/>
              <w:rPr>
                <w:rStyle w:val="DefaultParagraphFont"/>
                <w:kern w:val="0"/>
                <w:sz w:val="26"/>
                <w:szCs w:val="26"/>
                <w:lang w:val="en-US" w:eastAsia="en-US" w:bidi="ar-SA"/>
                <w14:ligatures w14:val="none"/>
              </w:rPr>
            </w:pPr>
          </w:p>
          <w:p w:rsidR="00A209E7" w:rsidRPr="00A209E7" w:rsidP="00A209E7" w14:paraId="58CAE96F" w14:textId="77777777">
            <w:pPr>
              <w:spacing w:line="240" w:lineRule="atLeast"/>
              <w:rPr>
                <w:rStyle w:val="DefaultParagraphFont"/>
                <w:kern w:val="0"/>
                <w:sz w:val="26"/>
                <w:szCs w:val="26"/>
                <w:lang w:val="en-US" w:eastAsia="en-US" w:bidi="ar-SA"/>
                <w14:ligatures w14:val="none"/>
              </w:rPr>
            </w:pPr>
            <w:r w:rsidRPr="00A209E7">
              <w:rPr>
                <w:kern w:val="0"/>
                <w:sz w:val="26"/>
                <w:szCs w:val="26"/>
                <w:lang w:val="en-US" w:eastAsia="en-US" w:bidi="ar-SA"/>
                <w14:ligatures w14:val="none"/>
              </w:rPr>
              <w:t>THE REGENTS OF THE UNIVERSITY OF CALIFORNIA,</w:t>
            </w:r>
          </w:p>
          <w:p w:rsidR="00A209E7" w:rsidRPr="00A209E7" w:rsidP="00A209E7" w14:paraId="7B6A2B93" w14:textId="77777777">
            <w:pPr>
              <w:spacing w:line="240" w:lineRule="atLeast"/>
              <w:rPr>
                <w:rStyle w:val="DefaultParagraphFont"/>
                <w:kern w:val="0"/>
                <w:sz w:val="26"/>
                <w:szCs w:val="26"/>
                <w:lang w:val="en-US" w:eastAsia="en-US" w:bidi="ar-SA"/>
                <w14:ligatures w14:val="none"/>
              </w:rPr>
            </w:pPr>
          </w:p>
          <w:p w:rsidR="00A209E7" w:rsidRPr="00A209E7" w:rsidP="00A209E7" w14:paraId="3316A7F4" w14:textId="77777777">
            <w:pPr>
              <w:spacing w:line="240" w:lineRule="atLeast"/>
              <w:rPr>
                <w:rStyle w:val="DefaultParagraphFont"/>
                <w:kern w:val="0"/>
                <w:sz w:val="26"/>
                <w:szCs w:val="26"/>
                <w:lang w:val="en-US" w:eastAsia="en-US" w:bidi="ar-SA"/>
                <w14:ligatures w14:val="none"/>
              </w:rPr>
            </w:pPr>
            <w:r w:rsidRPr="00A209E7">
              <w:rPr>
                <w:kern w:val="0"/>
                <w:sz w:val="26"/>
                <w:szCs w:val="26"/>
                <w:lang w:val="en-US" w:eastAsia="en-US" w:bidi="ar-SA"/>
                <w14:ligatures w14:val="none"/>
              </w:rPr>
              <w:tab/>
            </w:r>
            <w:r w:rsidRPr="00A209E7">
              <w:rPr>
                <w:kern w:val="0"/>
                <w:sz w:val="26"/>
                <w:szCs w:val="26"/>
                <w:lang w:val="en-US" w:eastAsia="en-US" w:bidi="ar-SA"/>
                <w14:ligatures w14:val="none"/>
              </w:rPr>
              <w:tab/>
              <w:t>Defendant and Respondent.</w:t>
            </w:r>
          </w:p>
          <w:p w:rsidR="00A209E7" w:rsidRPr="00A209E7" w:rsidP="00A209E7" w14:paraId="073617BB" w14:textId="77777777">
            <w:pPr>
              <w:spacing w:line="240" w:lineRule="atLeast"/>
              <w:rPr>
                <w:rStyle w:val="DefaultParagraphFont"/>
                <w:kern w:val="0"/>
                <w:sz w:val="26"/>
                <w:szCs w:val="26"/>
                <w:lang w:val="en-US" w:eastAsia="en-US" w:bidi="ar-SA"/>
                <w14:ligatures w14:val="none"/>
              </w:rPr>
            </w:pPr>
          </w:p>
        </w:tc>
        <w:tc>
          <w:tcPr>
            <w:tcW w:w="3456" w:type="dxa"/>
            <w:shd w:val="clear" w:color="auto" w:fill="auto"/>
          </w:tcPr>
          <w:p w:rsidR="00A209E7" w:rsidRPr="00A209E7" w:rsidP="00A209E7" w14:paraId="41391D7A" w14:textId="77777777">
            <w:pPr>
              <w:spacing w:line="240" w:lineRule="atLeast"/>
              <w:jc w:val="center"/>
              <w:rPr>
                <w:rStyle w:val="DefaultParagraphFont"/>
                <w:kern w:val="0"/>
                <w:sz w:val="26"/>
                <w:szCs w:val="26"/>
                <w:lang w:val="en-US" w:eastAsia="en-US" w:bidi="ar-SA"/>
                <w14:ligatures w14:val="none"/>
              </w:rPr>
            </w:pPr>
            <w:r w:rsidRPr="00A209E7">
              <w:rPr>
                <w:kern w:val="0"/>
                <w:sz w:val="26"/>
                <w:szCs w:val="26"/>
                <w:lang w:val="en-US" w:eastAsia="en-US" w:bidi="ar-SA"/>
                <w14:ligatures w14:val="none"/>
              </w:rPr>
              <w:t>C097235</w:t>
            </w:r>
          </w:p>
          <w:p w:rsidR="00A209E7" w:rsidRPr="00A209E7" w:rsidP="00A209E7" w14:paraId="472CA22B" w14:textId="77777777">
            <w:pPr>
              <w:spacing w:line="240" w:lineRule="atLeast"/>
              <w:jc w:val="center"/>
              <w:rPr>
                <w:rStyle w:val="DefaultParagraphFont"/>
                <w:kern w:val="0"/>
                <w:sz w:val="26"/>
                <w:szCs w:val="26"/>
                <w:lang w:val="en-US" w:eastAsia="en-US" w:bidi="ar-SA"/>
                <w14:ligatures w14:val="none"/>
              </w:rPr>
            </w:pPr>
          </w:p>
          <w:p w:rsidR="00A209E7" w:rsidRPr="00A209E7" w:rsidP="00A209E7" w14:paraId="16562517" w14:textId="77777777">
            <w:pPr>
              <w:spacing w:line="240" w:lineRule="atLeast"/>
              <w:jc w:val="center"/>
              <w:rPr>
                <w:rStyle w:val="DefaultParagraphFont"/>
                <w:kern w:val="0"/>
                <w:sz w:val="26"/>
                <w:szCs w:val="26"/>
                <w:lang w:val="en-US" w:eastAsia="en-US" w:bidi="ar-SA"/>
                <w14:ligatures w14:val="none"/>
              </w:rPr>
            </w:pPr>
            <w:r w:rsidRPr="00A209E7">
              <w:rPr>
                <w:kern w:val="0"/>
                <w:sz w:val="26"/>
                <w:szCs w:val="26"/>
                <w:lang w:val="en-US" w:eastAsia="en-US" w:bidi="ar-SA"/>
                <w14:ligatures w14:val="none"/>
              </w:rPr>
              <w:t>(Super. Ct. No. 34-2015-00181352-CU-OE-GDS)</w:t>
            </w:r>
          </w:p>
          <w:p w:rsidR="00A209E7" w:rsidRPr="00A209E7" w:rsidP="00A209E7" w14:paraId="01D99231" w14:textId="77777777">
            <w:pPr>
              <w:spacing w:line="240" w:lineRule="atLeast"/>
              <w:jc w:val="center"/>
              <w:rPr>
                <w:rStyle w:val="DefaultParagraphFont"/>
                <w:kern w:val="0"/>
                <w:sz w:val="26"/>
                <w:szCs w:val="26"/>
                <w:lang w:val="en-US" w:eastAsia="en-US" w:bidi="ar-SA"/>
                <w14:ligatures w14:val="none"/>
              </w:rPr>
            </w:pPr>
          </w:p>
          <w:p w:rsidR="00A209E7" w:rsidRPr="00A209E7" w:rsidP="00A209E7" w14:paraId="12CA0312" w14:textId="77777777">
            <w:pPr>
              <w:spacing w:line="240" w:lineRule="atLeast"/>
              <w:jc w:val="center"/>
              <w:rPr>
                <w:rStyle w:val="DefaultParagraphFont"/>
                <w:kern w:val="0"/>
                <w:sz w:val="26"/>
                <w:szCs w:val="26"/>
                <w:lang w:val="en-US" w:eastAsia="en-US" w:bidi="ar-SA"/>
                <w14:ligatures w14:val="none"/>
              </w:rPr>
            </w:pPr>
            <w:r w:rsidRPr="00A209E7">
              <w:rPr>
                <w:kern w:val="0"/>
                <w:sz w:val="26"/>
                <w:szCs w:val="26"/>
                <w:lang w:val="en-US" w:eastAsia="en-US" w:bidi="ar-SA"/>
                <w14:ligatures w14:val="none"/>
              </w:rPr>
              <w:t>ORDER CERTIFYING OPINION FOR PUBLICATION</w:t>
            </w:r>
          </w:p>
        </w:tc>
      </w:tr>
    </w:tbl>
    <w:p w:rsidR="00A209E7" w:rsidRPr="00A209E7" w:rsidP="00A209E7" w14:paraId="5E574031" w14:textId="77777777">
      <w:pPr>
        <w:spacing w:line="240" w:lineRule="atLeast"/>
        <w:rPr>
          <w:kern w:val="0"/>
          <w14:ligatures w14:val="none"/>
        </w:rPr>
      </w:pPr>
    </w:p>
    <w:p w:rsidR="00A209E7" w:rsidRPr="00A209E7" w:rsidP="00A209E7" w14:paraId="54467516" w14:textId="77777777">
      <w:pPr>
        <w:spacing w:line="240" w:lineRule="atLeast"/>
        <w:rPr>
          <w:kern w:val="0"/>
          <w14:ligatures w14:val="none"/>
        </w:rPr>
      </w:pPr>
    </w:p>
    <w:p w:rsidR="00A209E7" w:rsidRPr="00A209E7" w:rsidP="00A209E7" w14:paraId="2E06AC4D" w14:textId="77777777">
      <w:pPr>
        <w:spacing w:line="240" w:lineRule="atLeast"/>
        <w:rPr>
          <w:kern w:val="0"/>
          <w14:ligatures w14:val="none"/>
        </w:rPr>
      </w:pPr>
      <w:r w:rsidRPr="00A209E7">
        <w:rPr>
          <w:kern w:val="0"/>
          <w14:ligatures w14:val="none"/>
        </w:rPr>
        <w:tab/>
        <w:t>APPEAL from a judgment of the Superior Court of Sacramento County, Steven M. Gevercer, Judge.  Affirmed.</w:t>
      </w:r>
    </w:p>
    <w:p w:rsidR="00A209E7" w:rsidRPr="00A209E7" w:rsidP="00A209E7" w14:paraId="510CE19C" w14:textId="77777777">
      <w:pPr>
        <w:spacing w:line="240" w:lineRule="atLeast"/>
        <w:rPr>
          <w:kern w:val="0"/>
          <w14:ligatures w14:val="none"/>
        </w:rPr>
      </w:pPr>
    </w:p>
    <w:p w:rsidR="00A209E7" w:rsidRPr="00A209E7" w:rsidP="00A209E7" w14:paraId="7637FD21" w14:textId="77777777">
      <w:pPr>
        <w:spacing w:line="240" w:lineRule="atLeast"/>
        <w:rPr>
          <w:kern w:val="0"/>
          <w14:ligatures w14:val="none"/>
        </w:rPr>
      </w:pPr>
      <w:r w:rsidRPr="00A209E7">
        <w:rPr>
          <w:kern w:val="0"/>
          <w14:ligatures w14:val="none"/>
        </w:rPr>
        <w:tab/>
        <w:t>Law Firm of Joanne Delong and Joanne Delong for Plaintiff and Appellant.</w:t>
      </w:r>
    </w:p>
    <w:p w:rsidR="00A209E7" w:rsidRPr="00A209E7" w:rsidP="00A209E7" w14:paraId="5CF6C490" w14:textId="77777777">
      <w:pPr>
        <w:spacing w:line="240" w:lineRule="atLeast"/>
        <w:rPr>
          <w:kern w:val="0"/>
          <w14:ligatures w14:val="none"/>
        </w:rPr>
      </w:pPr>
    </w:p>
    <w:p w:rsidR="00A209E7" w:rsidRPr="00A209E7" w:rsidP="00A209E7" w14:paraId="01DF9F9C" w14:textId="77777777">
      <w:pPr>
        <w:spacing w:line="240" w:lineRule="atLeast"/>
        <w:ind w:firstLine="720"/>
        <w:rPr>
          <w:kern w:val="0"/>
          <w14:ligatures w14:val="none"/>
        </w:rPr>
      </w:pPr>
      <w:r w:rsidRPr="00A209E7">
        <w:rPr>
          <w:kern w:val="0"/>
          <w14:ligatures w14:val="none"/>
        </w:rPr>
        <w:t>Horvitz &amp; Levy, Jason Y. Siu, H. Thomas Watson; Sloan Sakai Yeung &amp; Wong, Timothy G. Yeung and Ivan Delventhal for Defendant and Respondent.</w:t>
      </w:r>
    </w:p>
    <w:p w:rsidR="00A209E7" w:rsidRPr="00A209E7" w:rsidP="00A209E7" w14:paraId="7AFAC83C" w14:textId="77777777">
      <w:pPr>
        <w:spacing w:line="240" w:lineRule="atLeast"/>
        <w:rPr>
          <w:kern w:val="0"/>
          <w14:ligatures w14:val="none"/>
        </w:rPr>
      </w:pPr>
    </w:p>
    <w:p w:rsidR="00A209E7" w:rsidRPr="00A209E7" w:rsidP="00A209E7" w14:paraId="01E09838" w14:textId="77777777">
      <w:pPr>
        <w:spacing w:line="240" w:lineRule="atLeast"/>
        <w:rPr>
          <w:kern w:val="0"/>
          <w14:ligatures w14:val="none"/>
        </w:rPr>
      </w:pPr>
    </w:p>
    <w:p w:rsidR="00A209E7" w:rsidRPr="00A209E7" w:rsidP="00A209E7" w14:paraId="203C4E79" w14:textId="77777777">
      <w:pPr>
        <w:keepNext/>
        <w:rPr>
          <w:kern w:val="0"/>
          <w14:ligatures w14:val="none"/>
        </w:rPr>
      </w:pPr>
      <w:r w:rsidRPr="00A209E7">
        <w:rPr>
          <w:kern w:val="0"/>
          <w14:ligatures w14:val="none"/>
        </w:rPr>
        <w:t>THE COURT:</w:t>
      </w:r>
    </w:p>
    <w:p w:rsidR="00A209E7" w:rsidRPr="00A209E7" w:rsidP="00A209E7" w14:paraId="449B3F4B" w14:textId="77777777">
      <w:pPr>
        <w:keepNext/>
        <w:rPr>
          <w:kern w:val="0"/>
          <w14:ligatures w14:val="none"/>
        </w:rPr>
      </w:pPr>
      <w:r w:rsidRPr="00A209E7">
        <w:rPr>
          <w:kern w:val="0"/>
          <w14:ligatures w14:val="none"/>
        </w:rPr>
        <w:tab/>
        <w:t xml:space="preserve">The opinion in the above-entitled matter filed on April 5, 2024, was not certified for publication in the Official Reports.  For good cause, it now appears that the opinion should be published in the Official Reports and it is so ordered. </w:t>
      </w:r>
    </w:p>
    <w:p w:rsidR="00A209E7" w:rsidRPr="00A209E7" w:rsidP="00A209E7" w14:paraId="12D7E7BB" w14:textId="77777777">
      <w:pPr>
        <w:keepNext/>
        <w:spacing w:line="240" w:lineRule="auto"/>
        <w:rPr>
          <w:kern w:val="0"/>
          <w14:ligatures w14:val="none"/>
        </w:rPr>
      </w:pPr>
    </w:p>
    <w:p w:rsidR="00A209E7" w:rsidRPr="00A209E7" w:rsidP="00A209E7" w14:paraId="7FE1AF58" w14:textId="77777777">
      <w:pPr>
        <w:keepNext/>
        <w:spacing w:line="240" w:lineRule="auto"/>
        <w:rPr>
          <w:kern w:val="0"/>
          <w14:ligatures w14:val="none"/>
        </w:rPr>
      </w:pPr>
    </w:p>
    <w:p w:rsidR="00A209E7" w:rsidRPr="00A209E7" w:rsidP="00A209E7" w14:paraId="1010CEF0" w14:textId="77777777">
      <w:pPr>
        <w:keepNext/>
        <w:rPr>
          <w:kern w:val="0"/>
          <w14:ligatures w14:val="none"/>
        </w:rPr>
      </w:pPr>
      <w:r w:rsidRPr="00A209E7">
        <w:rPr>
          <w:kern w:val="0"/>
          <w14:ligatures w14:val="none"/>
        </w:rPr>
        <w:t>BY THE COURT:</w:t>
      </w:r>
    </w:p>
    <w:p w:rsidR="00A209E7" w:rsidRPr="00A209E7" w:rsidP="00A209E7" w14:paraId="6FDF8C59" w14:textId="77777777">
      <w:pPr>
        <w:keepNext/>
        <w:spacing w:line="240" w:lineRule="auto"/>
        <w:rPr>
          <w:kern w:val="0"/>
          <w14:ligatures w14:val="none"/>
        </w:rPr>
      </w:pPr>
    </w:p>
    <w:p w:rsidR="00A209E7" w:rsidRPr="00A209E7" w:rsidP="00A209E7" w14:paraId="6E183741" w14:textId="77777777">
      <w:pPr>
        <w:keepNext/>
        <w:spacing w:line="240" w:lineRule="auto"/>
        <w:rPr>
          <w:kern w:val="0"/>
          <w14:ligatures w14:val="none"/>
        </w:rPr>
      </w:pPr>
    </w:p>
    <w:p w:rsidR="00A209E7" w:rsidRPr="00A209E7" w:rsidP="00A209E7" w14:paraId="320C9B72" w14:textId="77777777">
      <w:pPr>
        <w:keepNext/>
        <w:spacing w:line="240" w:lineRule="auto"/>
        <w:rPr>
          <w:kern w:val="0"/>
          <w14:ligatures w14:val="none"/>
        </w:rPr>
      </w:pPr>
    </w:p>
    <w:p w:rsidR="00A209E7" w:rsidRPr="00A209E7" w:rsidP="00A209E7" w14:paraId="28B42E5F" w14:textId="77777777">
      <w:pPr>
        <w:keepNext/>
        <w:tabs>
          <w:tab w:val="left" w:pos="2880"/>
        </w:tabs>
        <w:spacing w:line="240" w:lineRule="auto"/>
        <w:rPr>
          <w:kern w:val="0"/>
          <w:u w:val="single"/>
          <w14:ligatures w14:val="none"/>
        </w:rPr>
      </w:pPr>
      <w:bookmarkStart w:id="13" w:name="_Hlk27134112"/>
      <w:r w:rsidRPr="00A209E7">
        <w:rPr>
          <w:kern w:val="0"/>
          <w:u w:val="single"/>
          <w14:ligatures w14:val="none"/>
        </w:rPr>
        <w:t xml:space="preserve"> /s/         </w:t>
      </w:r>
      <w:r w:rsidRPr="00A209E7">
        <w:rPr>
          <w:kern w:val="0"/>
          <w:u w:val="single"/>
          <w14:ligatures w14:val="none"/>
        </w:rPr>
        <w:tab/>
      </w:r>
    </w:p>
    <w:bookmarkEnd w:id="13"/>
    <w:p w:rsidR="00A209E7" w:rsidRPr="00A209E7" w:rsidP="00A209E7" w14:paraId="2363B0B4" w14:textId="77777777">
      <w:pPr>
        <w:keepNext/>
        <w:tabs>
          <w:tab w:val="left" w:pos="2880"/>
        </w:tabs>
        <w:spacing w:line="240" w:lineRule="auto"/>
        <w:rPr>
          <w:kern w:val="0"/>
          <w14:ligatures w14:val="none"/>
        </w:rPr>
      </w:pPr>
      <w:r w:rsidRPr="00A209E7">
        <w:rPr>
          <w:kern w:val="0"/>
          <w14:ligatures w14:val="none"/>
        </w:rPr>
        <w:t>ROBIE, Acting P. J.</w:t>
      </w:r>
    </w:p>
    <w:p w:rsidR="00A209E7" w:rsidRPr="00A209E7" w:rsidP="00A209E7" w14:paraId="427EBA17" w14:textId="77777777">
      <w:pPr>
        <w:keepNext/>
        <w:tabs>
          <w:tab w:val="left" w:pos="2880"/>
        </w:tabs>
        <w:spacing w:line="240" w:lineRule="auto"/>
        <w:rPr>
          <w:kern w:val="0"/>
          <w14:ligatures w14:val="none"/>
        </w:rPr>
      </w:pPr>
    </w:p>
    <w:p w:rsidR="00A209E7" w:rsidRPr="00A209E7" w:rsidP="00A209E7" w14:paraId="12B5CFE3" w14:textId="77777777">
      <w:pPr>
        <w:keepNext/>
        <w:tabs>
          <w:tab w:val="left" w:pos="2880"/>
        </w:tabs>
        <w:spacing w:line="240" w:lineRule="auto"/>
        <w:rPr>
          <w:kern w:val="0"/>
          <w14:ligatures w14:val="none"/>
        </w:rPr>
      </w:pPr>
    </w:p>
    <w:p w:rsidR="00A209E7" w:rsidRPr="00A209E7" w:rsidP="00A209E7" w14:paraId="63F4EE89" w14:textId="77777777">
      <w:pPr>
        <w:keepNext/>
        <w:tabs>
          <w:tab w:val="left" w:pos="2880"/>
        </w:tabs>
        <w:spacing w:line="240" w:lineRule="auto"/>
        <w:rPr>
          <w:kern w:val="0"/>
          <w14:ligatures w14:val="none"/>
        </w:rPr>
      </w:pPr>
    </w:p>
    <w:p w:rsidR="00A209E7" w:rsidRPr="00A209E7" w:rsidP="00A209E7" w14:paraId="466FEB04" w14:textId="77777777">
      <w:pPr>
        <w:keepNext/>
        <w:tabs>
          <w:tab w:val="left" w:pos="2880"/>
        </w:tabs>
        <w:spacing w:line="240" w:lineRule="auto"/>
        <w:rPr>
          <w:kern w:val="0"/>
          <w:u w:val="single"/>
          <w14:ligatures w14:val="none"/>
        </w:rPr>
      </w:pPr>
      <w:r w:rsidRPr="00A209E7">
        <w:rPr>
          <w:kern w:val="0"/>
          <w:u w:val="single"/>
          <w14:ligatures w14:val="none"/>
        </w:rPr>
        <w:t xml:space="preserve"> /s/         </w:t>
      </w:r>
      <w:r w:rsidRPr="00A209E7">
        <w:rPr>
          <w:kern w:val="0"/>
          <w:u w:val="single"/>
          <w14:ligatures w14:val="none"/>
        </w:rPr>
        <w:tab/>
      </w:r>
    </w:p>
    <w:p w:rsidR="00A209E7" w:rsidRPr="00A209E7" w:rsidP="00A209E7" w14:paraId="4E97CBD9" w14:textId="77777777">
      <w:pPr>
        <w:keepNext/>
        <w:tabs>
          <w:tab w:val="left" w:pos="2880"/>
        </w:tabs>
        <w:spacing w:line="240" w:lineRule="auto"/>
        <w:rPr>
          <w:kern w:val="0"/>
          <w14:ligatures w14:val="none"/>
        </w:rPr>
      </w:pPr>
      <w:r w:rsidRPr="00A209E7">
        <w:rPr>
          <w:kern w:val="0"/>
          <w14:ligatures w14:val="none"/>
        </w:rPr>
        <w:t>KRAUSE, J.</w:t>
      </w:r>
    </w:p>
    <w:p w:rsidR="00A209E7" w:rsidRPr="00A209E7" w:rsidP="00A209E7" w14:paraId="3074240B" w14:textId="77777777">
      <w:pPr>
        <w:keepNext/>
        <w:tabs>
          <w:tab w:val="left" w:pos="2880"/>
        </w:tabs>
        <w:spacing w:line="240" w:lineRule="auto"/>
        <w:rPr>
          <w:kern w:val="0"/>
          <w14:ligatures w14:val="none"/>
        </w:rPr>
      </w:pPr>
    </w:p>
    <w:p w:rsidR="00A209E7" w:rsidRPr="00A209E7" w:rsidP="00A209E7" w14:paraId="72977629" w14:textId="77777777">
      <w:pPr>
        <w:keepNext/>
        <w:tabs>
          <w:tab w:val="left" w:pos="2880"/>
        </w:tabs>
        <w:spacing w:line="240" w:lineRule="auto"/>
        <w:rPr>
          <w:kern w:val="0"/>
          <w14:ligatures w14:val="none"/>
        </w:rPr>
      </w:pPr>
    </w:p>
    <w:p w:rsidR="00A209E7" w:rsidRPr="00A209E7" w:rsidP="00A209E7" w14:paraId="379CFDA1" w14:textId="77777777">
      <w:pPr>
        <w:keepNext/>
        <w:tabs>
          <w:tab w:val="left" w:pos="2880"/>
        </w:tabs>
        <w:spacing w:line="240" w:lineRule="auto"/>
        <w:rPr>
          <w:kern w:val="0"/>
          <w14:ligatures w14:val="none"/>
        </w:rPr>
      </w:pPr>
    </w:p>
    <w:p w:rsidR="00A209E7" w:rsidRPr="00A209E7" w:rsidP="00A209E7" w14:paraId="1CBAD159" w14:textId="77777777">
      <w:pPr>
        <w:keepNext/>
        <w:tabs>
          <w:tab w:val="left" w:pos="2880"/>
        </w:tabs>
        <w:spacing w:line="240" w:lineRule="auto"/>
        <w:rPr>
          <w:kern w:val="0"/>
          <w:u w:val="single"/>
          <w14:ligatures w14:val="none"/>
        </w:rPr>
      </w:pPr>
      <w:r w:rsidRPr="00A209E7">
        <w:rPr>
          <w:kern w:val="0"/>
          <w:u w:val="single"/>
          <w14:ligatures w14:val="none"/>
        </w:rPr>
        <w:t xml:space="preserve"> /s/         </w:t>
      </w:r>
      <w:r w:rsidRPr="00A209E7">
        <w:rPr>
          <w:kern w:val="0"/>
          <w:u w:val="single"/>
          <w14:ligatures w14:val="none"/>
        </w:rPr>
        <w:tab/>
      </w:r>
    </w:p>
    <w:p w:rsidR="00A209E7" w:rsidRPr="00A209E7" w:rsidP="00A209E7" w14:paraId="45FDFE3A" w14:textId="77777777">
      <w:pPr>
        <w:keepNext/>
        <w:tabs>
          <w:tab w:val="left" w:pos="2880"/>
        </w:tabs>
        <w:spacing w:line="240" w:lineRule="auto"/>
        <w:rPr>
          <w:kern w:val="0"/>
          <w14:ligatures w14:val="none"/>
        </w:rPr>
      </w:pPr>
      <w:r w:rsidRPr="00A209E7">
        <w:rPr>
          <w:kern w:val="0"/>
          <w14:ligatures w14:val="none"/>
        </w:rPr>
        <w:t>MESIWALA, J.</w:t>
      </w:r>
    </w:p>
    <w:p w:rsidR="00A209E7" w:rsidRPr="00A209E7" w:rsidP="00A209E7" w14:paraId="3C0EC812" w14:textId="77777777">
      <w:pPr>
        <w:keepNext/>
        <w:tabs>
          <w:tab w:val="left" w:pos="2880"/>
        </w:tabs>
        <w:spacing w:line="240" w:lineRule="auto"/>
        <w:rPr>
          <w:kern w:val="0"/>
          <w14:ligatures w14:val="none"/>
        </w:rPr>
      </w:pPr>
    </w:p>
    <w:p w:rsidR="000E6915" w:rsidRPr="000E6915" w:rsidP="000E6915" w14:paraId="3EEC8480" w14:textId="77777777"/>
    <w:sectPr w:rsidSect="00A209E7">
      <w:footerReference w:type="default" r:id="rId10"/>
      <w:pgSz w:w="12240" w:h="15840" w:code="1"/>
      <w:pgMar w:top="1440" w:right="1440" w:bottom="1440" w:left="1440" w:header="720" w:footer="720" w:gutter="0"/>
      <w:pgNumType w:start="1"/>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D43" w14:paraId="649F76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7756" w:rsidRPr="000E6915" w:rsidP="000E6915" w14:paraId="5BD15619" w14:textId="53DA97C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D43" w14:paraId="28A30CD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09E7" w:rsidRPr="000E6915" w:rsidP="000E6915" w14:paraId="18B1BAE1" w14:textId="77777777">
    <w:pPr>
      <w:pStyle w:val="Footer"/>
      <w:jc w:val="center"/>
    </w:pPr>
    <w:r>
      <w:fldChar w:fldCharType="begin"/>
    </w:r>
    <w:r>
      <w:instrText xml:space="preserve"> PAGE  \* MERGEFORMAT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D43" w14:paraId="66CEA86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D43" w14:paraId="67E2649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D43" w14:paraId="153B02B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9A4C00"/>
    <w:multiLevelType w:val="hybridMultilevel"/>
    <w:tmpl w:val="D14C05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C3A0582"/>
    <w:multiLevelType w:val="hybridMultilevel"/>
    <w:tmpl w:val="1D3E54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AA5EE6"/>
    <w:multiLevelType w:val="hybridMultilevel"/>
    <w:tmpl w:val="C8A60E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E984906"/>
    <w:multiLevelType w:val="hybridMultilevel"/>
    <w:tmpl w:val="407C2B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0A035FB"/>
    <w:multiLevelType w:val="hybridMultilevel"/>
    <w:tmpl w:val="52C241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27708E3"/>
    <w:multiLevelType w:val="hybridMultilevel"/>
    <w:tmpl w:val="5814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B9C748A"/>
    <w:multiLevelType w:val="hybridMultilevel"/>
    <w:tmpl w:val="4B8A81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CC3F1C"/>
    <w:multiLevelType w:val="hybridMultilevel"/>
    <w:tmpl w:val="A95004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E636F66"/>
    <w:multiLevelType w:val="hybridMultilevel"/>
    <w:tmpl w:val="E7DC5E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1A330F0"/>
    <w:multiLevelType w:val="hybridMultilevel"/>
    <w:tmpl w:val="57A0F6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5EF729A"/>
    <w:multiLevelType w:val="hybridMultilevel"/>
    <w:tmpl w:val="8960B31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64085193"/>
    <w:multiLevelType w:val="hybridMultilevel"/>
    <w:tmpl w:val="62FA86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3FA040C"/>
    <w:multiLevelType w:val="hybridMultilevel"/>
    <w:tmpl w:val="FBC0B1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90B62C3"/>
    <w:multiLevelType w:val="hybridMultilevel"/>
    <w:tmpl w:val="437EAD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5"/>
  </w:num>
  <w:num w:numId="6">
    <w:abstractNumId w:val="13"/>
  </w:num>
  <w:num w:numId="7">
    <w:abstractNumId w:val="4"/>
  </w:num>
  <w:num w:numId="8">
    <w:abstractNumId w:val="0"/>
  </w:num>
  <w:num w:numId="9">
    <w:abstractNumId w:val="1"/>
  </w:num>
  <w:num w:numId="10">
    <w:abstractNumId w:val="9"/>
  </w:num>
  <w:num w:numId="11">
    <w:abstractNumId w:val="12"/>
  </w:num>
  <w:num w:numId="12">
    <w:abstractNumId w:val="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BB"/>
    <w:rsid w:val="0000244A"/>
    <w:rsid w:val="00002B3E"/>
    <w:rsid w:val="00004ED4"/>
    <w:rsid w:val="00014C85"/>
    <w:rsid w:val="00015529"/>
    <w:rsid w:val="00016B3E"/>
    <w:rsid w:val="00022065"/>
    <w:rsid w:val="00031860"/>
    <w:rsid w:val="00032D40"/>
    <w:rsid w:val="00033755"/>
    <w:rsid w:val="000338F4"/>
    <w:rsid w:val="00035A3C"/>
    <w:rsid w:val="00041B29"/>
    <w:rsid w:val="00042DED"/>
    <w:rsid w:val="00044E9F"/>
    <w:rsid w:val="000458CD"/>
    <w:rsid w:val="00046C7B"/>
    <w:rsid w:val="00050E47"/>
    <w:rsid w:val="00052CEB"/>
    <w:rsid w:val="0005344E"/>
    <w:rsid w:val="0006230F"/>
    <w:rsid w:val="00062E7C"/>
    <w:rsid w:val="00064B54"/>
    <w:rsid w:val="000701E2"/>
    <w:rsid w:val="00072EE5"/>
    <w:rsid w:val="000742D9"/>
    <w:rsid w:val="000752B2"/>
    <w:rsid w:val="00077F47"/>
    <w:rsid w:val="00085DDA"/>
    <w:rsid w:val="0008662B"/>
    <w:rsid w:val="00087AFF"/>
    <w:rsid w:val="00090FA6"/>
    <w:rsid w:val="00090FDC"/>
    <w:rsid w:val="00091080"/>
    <w:rsid w:val="0009176A"/>
    <w:rsid w:val="000A0B8C"/>
    <w:rsid w:val="000C3337"/>
    <w:rsid w:val="000C4824"/>
    <w:rsid w:val="000C72A7"/>
    <w:rsid w:val="000D3058"/>
    <w:rsid w:val="000D41CA"/>
    <w:rsid w:val="000E2EBA"/>
    <w:rsid w:val="000E609C"/>
    <w:rsid w:val="000E6915"/>
    <w:rsid w:val="000E6A51"/>
    <w:rsid w:val="000F14E4"/>
    <w:rsid w:val="000F3313"/>
    <w:rsid w:val="000F78E2"/>
    <w:rsid w:val="000F7CE4"/>
    <w:rsid w:val="00101043"/>
    <w:rsid w:val="00102C5A"/>
    <w:rsid w:val="0010374D"/>
    <w:rsid w:val="001045DD"/>
    <w:rsid w:val="00116560"/>
    <w:rsid w:val="00116BF9"/>
    <w:rsid w:val="00117A46"/>
    <w:rsid w:val="00122F3C"/>
    <w:rsid w:val="00125D61"/>
    <w:rsid w:val="0013699D"/>
    <w:rsid w:val="00151723"/>
    <w:rsid w:val="00153F6A"/>
    <w:rsid w:val="00154230"/>
    <w:rsid w:val="001602B2"/>
    <w:rsid w:val="00162498"/>
    <w:rsid w:val="00163685"/>
    <w:rsid w:val="00171583"/>
    <w:rsid w:val="00174CFB"/>
    <w:rsid w:val="001754B2"/>
    <w:rsid w:val="0018050D"/>
    <w:rsid w:val="00182940"/>
    <w:rsid w:val="0019235F"/>
    <w:rsid w:val="001960E5"/>
    <w:rsid w:val="001960EB"/>
    <w:rsid w:val="001A01DD"/>
    <w:rsid w:val="001A0B93"/>
    <w:rsid w:val="001B078E"/>
    <w:rsid w:val="001B4D16"/>
    <w:rsid w:val="001C2F69"/>
    <w:rsid w:val="001C3CEA"/>
    <w:rsid w:val="001C5ECC"/>
    <w:rsid w:val="001E0AF9"/>
    <w:rsid w:val="001E78FF"/>
    <w:rsid w:val="001F2062"/>
    <w:rsid w:val="001F25AB"/>
    <w:rsid w:val="001F3777"/>
    <w:rsid w:val="0020453F"/>
    <w:rsid w:val="00212DE6"/>
    <w:rsid w:val="00221B7D"/>
    <w:rsid w:val="00227D46"/>
    <w:rsid w:val="0023182C"/>
    <w:rsid w:val="00241265"/>
    <w:rsid w:val="00243B8A"/>
    <w:rsid w:val="00250950"/>
    <w:rsid w:val="0026249D"/>
    <w:rsid w:val="00267F7C"/>
    <w:rsid w:val="00277BEF"/>
    <w:rsid w:val="00282265"/>
    <w:rsid w:val="002837D3"/>
    <w:rsid w:val="00295FE4"/>
    <w:rsid w:val="002A32A4"/>
    <w:rsid w:val="002B4D19"/>
    <w:rsid w:val="002B7D75"/>
    <w:rsid w:val="002C22F4"/>
    <w:rsid w:val="002C7B4B"/>
    <w:rsid w:val="002D3EA5"/>
    <w:rsid w:val="002D5058"/>
    <w:rsid w:val="002D6089"/>
    <w:rsid w:val="002D7267"/>
    <w:rsid w:val="002D7897"/>
    <w:rsid w:val="002E0691"/>
    <w:rsid w:val="002E652A"/>
    <w:rsid w:val="002F2F20"/>
    <w:rsid w:val="002F2FCE"/>
    <w:rsid w:val="002F48B2"/>
    <w:rsid w:val="002F7656"/>
    <w:rsid w:val="00300C13"/>
    <w:rsid w:val="003042B4"/>
    <w:rsid w:val="00305938"/>
    <w:rsid w:val="00306478"/>
    <w:rsid w:val="003101F0"/>
    <w:rsid w:val="003120C1"/>
    <w:rsid w:val="00314C33"/>
    <w:rsid w:val="00314E17"/>
    <w:rsid w:val="0031679C"/>
    <w:rsid w:val="00317082"/>
    <w:rsid w:val="00317DC9"/>
    <w:rsid w:val="0032533A"/>
    <w:rsid w:val="003276EC"/>
    <w:rsid w:val="003362F5"/>
    <w:rsid w:val="003415F3"/>
    <w:rsid w:val="0034238A"/>
    <w:rsid w:val="00344168"/>
    <w:rsid w:val="003451E2"/>
    <w:rsid w:val="00352751"/>
    <w:rsid w:val="003554A1"/>
    <w:rsid w:val="003621A2"/>
    <w:rsid w:val="00382849"/>
    <w:rsid w:val="003854E4"/>
    <w:rsid w:val="003943AE"/>
    <w:rsid w:val="00396B1F"/>
    <w:rsid w:val="003A3A8A"/>
    <w:rsid w:val="003A41C5"/>
    <w:rsid w:val="003B084A"/>
    <w:rsid w:val="003C0121"/>
    <w:rsid w:val="003C2867"/>
    <w:rsid w:val="003C2DD9"/>
    <w:rsid w:val="003C45D8"/>
    <w:rsid w:val="003C45FA"/>
    <w:rsid w:val="003C62BA"/>
    <w:rsid w:val="003C740F"/>
    <w:rsid w:val="003C7EF9"/>
    <w:rsid w:val="003D497E"/>
    <w:rsid w:val="003D57C6"/>
    <w:rsid w:val="003E32DB"/>
    <w:rsid w:val="003E5716"/>
    <w:rsid w:val="003E6C89"/>
    <w:rsid w:val="003F0069"/>
    <w:rsid w:val="00401321"/>
    <w:rsid w:val="004308C2"/>
    <w:rsid w:val="004335D8"/>
    <w:rsid w:val="0044338A"/>
    <w:rsid w:val="00443446"/>
    <w:rsid w:val="00446085"/>
    <w:rsid w:val="0044637C"/>
    <w:rsid w:val="0044660C"/>
    <w:rsid w:val="0044670A"/>
    <w:rsid w:val="004565A6"/>
    <w:rsid w:val="00456EEA"/>
    <w:rsid w:val="00457309"/>
    <w:rsid w:val="00460A6F"/>
    <w:rsid w:val="00462FA3"/>
    <w:rsid w:val="004632BD"/>
    <w:rsid w:val="00463527"/>
    <w:rsid w:val="00470172"/>
    <w:rsid w:val="00473B03"/>
    <w:rsid w:val="004771F5"/>
    <w:rsid w:val="0048049E"/>
    <w:rsid w:val="00482AE5"/>
    <w:rsid w:val="00482BCA"/>
    <w:rsid w:val="00486714"/>
    <w:rsid w:val="00490210"/>
    <w:rsid w:val="00495FC4"/>
    <w:rsid w:val="0049629D"/>
    <w:rsid w:val="004A1D55"/>
    <w:rsid w:val="004B1E61"/>
    <w:rsid w:val="004B5331"/>
    <w:rsid w:val="004B5DC7"/>
    <w:rsid w:val="004B624C"/>
    <w:rsid w:val="004B6E06"/>
    <w:rsid w:val="004C09B3"/>
    <w:rsid w:val="004C0DBE"/>
    <w:rsid w:val="004C2E47"/>
    <w:rsid w:val="004C39B8"/>
    <w:rsid w:val="004C5019"/>
    <w:rsid w:val="004C70AF"/>
    <w:rsid w:val="004D0C88"/>
    <w:rsid w:val="004D37C7"/>
    <w:rsid w:val="004D4644"/>
    <w:rsid w:val="004D490E"/>
    <w:rsid w:val="004E139D"/>
    <w:rsid w:val="004E6439"/>
    <w:rsid w:val="004F215E"/>
    <w:rsid w:val="004F3DF4"/>
    <w:rsid w:val="004F5C4D"/>
    <w:rsid w:val="0050177C"/>
    <w:rsid w:val="005027F9"/>
    <w:rsid w:val="00505DAA"/>
    <w:rsid w:val="00511E1E"/>
    <w:rsid w:val="005146B6"/>
    <w:rsid w:val="00515E27"/>
    <w:rsid w:val="00527C46"/>
    <w:rsid w:val="0053061F"/>
    <w:rsid w:val="0053227C"/>
    <w:rsid w:val="0054373F"/>
    <w:rsid w:val="00545B16"/>
    <w:rsid w:val="00553208"/>
    <w:rsid w:val="0055555F"/>
    <w:rsid w:val="005660BC"/>
    <w:rsid w:val="00567C12"/>
    <w:rsid w:val="00571B0A"/>
    <w:rsid w:val="0058238C"/>
    <w:rsid w:val="0058472A"/>
    <w:rsid w:val="005870AA"/>
    <w:rsid w:val="00597809"/>
    <w:rsid w:val="00597FB2"/>
    <w:rsid w:val="005B6394"/>
    <w:rsid w:val="005C1027"/>
    <w:rsid w:val="005C4EF6"/>
    <w:rsid w:val="005E0327"/>
    <w:rsid w:val="005E0B0F"/>
    <w:rsid w:val="005E1C8D"/>
    <w:rsid w:val="005E551F"/>
    <w:rsid w:val="005E787F"/>
    <w:rsid w:val="006017AC"/>
    <w:rsid w:val="00605107"/>
    <w:rsid w:val="00611119"/>
    <w:rsid w:val="006139DF"/>
    <w:rsid w:val="00634E2C"/>
    <w:rsid w:val="00635CE4"/>
    <w:rsid w:val="00641716"/>
    <w:rsid w:val="00641BCB"/>
    <w:rsid w:val="006448A4"/>
    <w:rsid w:val="00647388"/>
    <w:rsid w:val="006476AF"/>
    <w:rsid w:val="006564B5"/>
    <w:rsid w:val="00657011"/>
    <w:rsid w:val="006617BD"/>
    <w:rsid w:val="00666A29"/>
    <w:rsid w:val="00673913"/>
    <w:rsid w:val="0067782C"/>
    <w:rsid w:val="0068051B"/>
    <w:rsid w:val="00680DA9"/>
    <w:rsid w:val="00697741"/>
    <w:rsid w:val="00697911"/>
    <w:rsid w:val="006A076B"/>
    <w:rsid w:val="006A50E6"/>
    <w:rsid w:val="006A6F1F"/>
    <w:rsid w:val="006B5461"/>
    <w:rsid w:val="006D591D"/>
    <w:rsid w:val="006E61EF"/>
    <w:rsid w:val="006E6B9C"/>
    <w:rsid w:val="006F0BBC"/>
    <w:rsid w:val="006F0D04"/>
    <w:rsid w:val="006F1787"/>
    <w:rsid w:val="007001E6"/>
    <w:rsid w:val="007004A3"/>
    <w:rsid w:val="0070542A"/>
    <w:rsid w:val="00706F43"/>
    <w:rsid w:val="00710975"/>
    <w:rsid w:val="00716A82"/>
    <w:rsid w:val="00717DA8"/>
    <w:rsid w:val="007203C4"/>
    <w:rsid w:val="00726A14"/>
    <w:rsid w:val="007279A5"/>
    <w:rsid w:val="0073374B"/>
    <w:rsid w:val="00733E12"/>
    <w:rsid w:val="007359B0"/>
    <w:rsid w:val="0074741E"/>
    <w:rsid w:val="00750A44"/>
    <w:rsid w:val="0075231E"/>
    <w:rsid w:val="00753543"/>
    <w:rsid w:val="007609E5"/>
    <w:rsid w:val="00761F6F"/>
    <w:rsid w:val="00767B05"/>
    <w:rsid w:val="007725FC"/>
    <w:rsid w:val="00773476"/>
    <w:rsid w:val="0077479A"/>
    <w:rsid w:val="00780EE4"/>
    <w:rsid w:val="00783FE1"/>
    <w:rsid w:val="007860E3"/>
    <w:rsid w:val="0079364E"/>
    <w:rsid w:val="007A7969"/>
    <w:rsid w:val="007C0CC0"/>
    <w:rsid w:val="007D082A"/>
    <w:rsid w:val="007D2A44"/>
    <w:rsid w:val="007D40D5"/>
    <w:rsid w:val="007D7C5A"/>
    <w:rsid w:val="007E2246"/>
    <w:rsid w:val="007E370F"/>
    <w:rsid w:val="007F51D1"/>
    <w:rsid w:val="008001E7"/>
    <w:rsid w:val="00805F50"/>
    <w:rsid w:val="00815FBB"/>
    <w:rsid w:val="008205E2"/>
    <w:rsid w:val="00820B36"/>
    <w:rsid w:val="00821258"/>
    <w:rsid w:val="00822852"/>
    <w:rsid w:val="008232DF"/>
    <w:rsid w:val="00826A3E"/>
    <w:rsid w:val="0082761D"/>
    <w:rsid w:val="00830A4E"/>
    <w:rsid w:val="00831005"/>
    <w:rsid w:val="00837D43"/>
    <w:rsid w:val="00841ED5"/>
    <w:rsid w:val="00841F94"/>
    <w:rsid w:val="00842839"/>
    <w:rsid w:val="0084305D"/>
    <w:rsid w:val="008431C6"/>
    <w:rsid w:val="00844D28"/>
    <w:rsid w:val="00844E79"/>
    <w:rsid w:val="00860492"/>
    <w:rsid w:val="00860BCB"/>
    <w:rsid w:val="0086228F"/>
    <w:rsid w:val="00874BEA"/>
    <w:rsid w:val="00877E3C"/>
    <w:rsid w:val="008804ED"/>
    <w:rsid w:val="00880D50"/>
    <w:rsid w:val="00881800"/>
    <w:rsid w:val="00883CDD"/>
    <w:rsid w:val="00887C6C"/>
    <w:rsid w:val="00887F99"/>
    <w:rsid w:val="00896010"/>
    <w:rsid w:val="008963F7"/>
    <w:rsid w:val="008A5B5B"/>
    <w:rsid w:val="008A78D7"/>
    <w:rsid w:val="008B08D5"/>
    <w:rsid w:val="008B1C01"/>
    <w:rsid w:val="008B1CC2"/>
    <w:rsid w:val="008B2FF1"/>
    <w:rsid w:val="008C51DF"/>
    <w:rsid w:val="008C554A"/>
    <w:rsid w:val="008D140D"/>
    <w:rsid w:val="008D7BD6"/>
    <w:rsid w:val="008E1278"/>
    <w:rsid w:val="008E2DA1"/>
    <w:rsid w:val="008E3058"/>
    <w:rsid w:val="008E3B79"/>
    <w:rsid w:val="008F5D33"/>
    <w:rsid w:val="008F5FD1"/>
    <w:rsid w:val="008F73F9"/>
    <w:rsid w:val="009035BC"/>
    <w:rsid w:val="00905EEB"/>
    <w:rsid w:val="00910513"/>
    <w:rsid w:val="00911575"/>
    <w:rsid w:val="0091193D"/>
    <w:rsid w:val="00915B01"/>
    <w:rsid w:val="0092100B"/>
    <w:rsid w:val="00923240"/>
    <w:rsid w:val="00923372"/>
    <w:rsid w:val="00931C58"/>
    <w:rsid w:val="00936D75"/>
    <w:rsid w:val="00942869"/>
    <w:rsid w:val="009430C7"/>
    <w:rsid w:val="00947503"/>
    <w:rsid w:val="00951698"/>
    <w:rsid w:val="00951946"/>
    <w:rsid w:val="00952DD7"/>
    <w:rsid w:val="00957C1F"/>
    <w:rsid w:val="00962214"/>
    <w:rsid w:val="00965E8D"/>
    <w:rsid w:val="00967CEB"/>
    <w:rsid w:val="00980C43"/>
    <w:rsid w:val="0098619F"/>
    <w:rsid w:val="009921A3"/>
    <w:rsid w:val="009A0386"/>
    <w:rsid w:val="009A62DF"/>
    <w:rsid w:val="009A6C0B"/>
    <w:rsid w:val="009B0701"/>
    <w:rsid w:val="009B2896"/>
    <w:rsid w:val="009B4FA4"/>
    <w:rsid w:val="009C1F8E"/>
    <w:rsid w:val="009C5696"/>
    <w:rsid w:val="009D28CB"/>
    <w:rsid w:val="009D77A5"/>
    <w:rsid w:val="009E1F30"/>
    <w:rsid w:val="009E3685"/>
    <w:rsid w:val="009E68D6"/>
    <w:rsid w:val="009E6CE5"/>
    <w:rsid w:val="009F2E19"/>
    <w:rsid w:val="009F385E"/>
    <w:rsid w:val="009F3DE5"/>
    <w:rsid w:val="009F53EE"/>
    <w:rsid w:val="009F74AA"/>
    <w:rsid w:val="009F7897"/>
    <w:rsid w:val="00A0030B"/>
    <w:rsid w:val="00A00B2F"/>
    <w:rsid w:val="00A00D33"/>
    <w:rsid w:val="00A13A96"/>
    <w:rsid w:val="00A14745"/>
    <w:rsid w:val="00A14F20"/>
    <w:rsid w:val="00A16824"/>
    <w:rsid w:val="00A209E7"/>
    <w:rsid w:val="00A236E9"/>
    <w:rsid w:val="00A43293"/>
    <w:rsid w:val="00A4368E"/>
    <w:rsid w:val="00A44CC5"/>
    <w:rsid w:val="00A4720F"/>
    <w:rsid w:val="00A545C3"/>
    <w:rsid w:val="00A5562C"/>
    <w:rsid w:val="00A57827"/>
    <w:rsid w:val="00A66636"/>
    <w:rsid w:val="00A66E6A"/>
    <w:rsid w:val="00A71744"/>
    <w:rsid w:val="00A73EAD"/>
    <w:rsid w:val="00A75C9B"/>
    <w:rsid w:val="00A7720B"/>
    <w:rsid w:val="00A815DF"/>
    <w:rsid w:val="00A85B0F"/>
    <w:rsid w:val="00A977E3"/>
    <w:rsid w:val="00AA3EFD"/>
    <w:rsid w:val="00AA5089"/>
    <w:rsid w:val="00AB6765"/>
    <w:rsid w:val="00AC0597"/>
    <w:rsid w:val="00AC1E4D"/>
    <w:rsid w:val="00AC596C"/>
    <w:rsid w:val="00AD11DC"/>
    <w:rsid w:val="00AD2D8F"/>
    <w:rsid w:val="00AD3AD8"/>
    <w:rsid w:val="00AD6468"/>
    <w:rsid w:val="00AE048C"/>
    <w:rsid w:val="00AE0593"/>
    <w:rsid w:val="00AE1F91"/>
    <w:rsid w:val="00AF1527"/>
    <w:rsid w:val="00AF15B9"/>
    <w:rsid w:val="00AF2119"/>
    <w:rsid w:val="00AF7B0A"/>
    <w:rsid w:val="00B0568A"/>
    <w:rsid w:val="00B12370"/>
    <w:rsid w:val="00B12A5C"/>
    <w:rsid w:val="00B13D9D"/>
    <w:rsid w:val="00B14830"/>
    <w:rsid w:val="00B16E55"/>
    <w:rsid w:val="00B3060A"/>
    <w:rsid w:val="00B31D57"/>
    <w:rsid w:val="00B3454A"/>
    <w:rsid w:val="00B37F1C"/>
    <w:rsid w:val="00B53DB1"/>
    <w:rsid w:val="00B553B4"/>
    <w:rsid w:val="00B57AB9"/>
    <w:rsid w:val="00B613AD"/>
    <w:rsid w:val="00B6209F"/>
    <w:rsid w:val="00B62C0F"/>
    <w:rsid w:val="00B67795"/>
    <w:rsid w:val="00B743F3"/>
    <w:rsid w:val="00B74698"/>
    <w:rsid w:val="00B7508D"/>
    <w:rsid w:val="00B80E83"/>
    <w:rsid w:val="00B82032"/>
    <w:rsid w:val="00B84DFE"/>
    <w:rsid w:val="00B91E01"/>
    <w:rsid w:val="00B920D2"/>
    <w:rsid w:val="00B9402A"/>
    <w:rsid w:val="00B95D58"/>
    <w:rsid w:val="00B97FEA"/>
    <w:rsid w:val="00BA0A49"/>
    <w:rsid w:val="00BA7273"/>
    <w:rsid w:val="00BA7DF0"/>
    <w:rsid w:val="00BB4753"/>
    <w:rsid w:val="00BC52C8"/>
    <w:rsid w:val="00BC614F"/>
    <w:rsid w:val="00BD36A0"/>
    <w:rsid w:val="00BD3CDB"/>
    <w:rsid w:val="00BD5546"/>
    <w:rsid w:val="00BE1DE9"/>
    <w:rsid w:val="00BF0E33"/>
    <w:rsid w:val="00BF67CA"/>
    <w:rsid w:val="00C00419"/>
    <w:rsid w:val="00C17611"/>
    <w:rsid w:val="00C23BDF"/>
    <w:rsid w:val="00C23D4F"/>
    <w:rsid w:val="00C23FA0"/>
    <w:rsid w:val="00C24CDE"/>
    <w:rsid w:val="00C366B7"/>
    <w:rsid w:val="00C43253"/>
    <w:rsid w:val="00C447BA"/>
    <w:rsid w:val="00C44CE9"/>
    <w:rsid w:val="00C469DC"/>
    <w:rsid w:val="00C47F3B"/>
    <w:rsid w:val="00C50E9A"/>
    <w:rsid w:val="00C54683"/>
    <w:rsid w:val="00C568E0"/>
    <w:rsid w:val="00C72007"/>
    <w:rsid w:val="00C72EDC"/>
    <w:rsid w:val="00C737CC"/>
    <w:rsid w:val="00C77909"/>
    <w:rsid w:val="00C77E2D"/>
    <w:rsid w:val="00C80582"/>
    <w:rsid w:val="00C861C8"/>
    <w:rsid w:val="00C92717"/>
    <w:rsid w:val="00C97E4C"/>
    <w:rsid w:val="00CA1112"/>
    <w:rsid w:val="00CA57A4"/>
    <w:rsid w:val="00CC228C"/>
    <w:rsid w:val="00CD0CBD"/>
    <w:rsid w:val="00CE1BF6"/>
    <w:rsid w:val="00CE53AA"/>
    <w:rsid w:val="00CE5485"/>
    <w:rsid w:val="00CF0469"/>
    <w:rsid w:val="00CF0558"/>
    <w:rsid w:val="00CF06F7"/>
    <w:rsid w:val="00D0188B"/>
    <w:rsid w:val="00D02C22"/>
    <w:rsid w:val="00D03D08"/>
    <w:rsid w:val="00D10BAC"/>
    <w:rsid w:val="00D13D6F"/>
    <w:rsid w:val="00D17264"/>
    <w:rsid w:val="00D22BF8"/>
    <w:rsid w:val="00D31981"/>
    <w:rsid w:val="00D40BEC"/>
    <w:rsid w:val="00D4748D"/>
    <w:rsid w:val="00D61384"/>
    <w:rsid w:val="00D635F2"/>
    <w:rsid w:val="00D65EBA"/>
    <w:rsid w:val="00D84681"/>
    <w:rsid w:val="00D85F13"/>
    <w:rsid w:val="00D91ED1"/>
    <w:rsid w:val="00D91F0F"/>
    <w:rsid w:val="00D9382A"/>
    <w:rsid w:val="00D94AEC"/>
    <w:rsid w:val="00DA2C76"/>
    <w:rsid w:val="00DA3517"/>
    <w:rsid w:val="00DA6BCE"/>
    <w:rsid w:val="00DB0965"/>
    <w:rsid w:val="00DB1416"/>
    <w:rsid w:val="00DB6225"/>
    <w:rsid w:val="00DC0D1A"/>
    <w:rsid w:val="00DD2DC5"/>
    <w:rsid w:val="00DD35EE"/>
    <w:rsid w:val="00DD66AA"/>
    <w:rsid w:val="00DD7092"/>
    <w:rsid w:val="00DE2132"/>
    <w:rsid w:val="00DE5833"/>
    <w:rsid w:val="00DF6B21"/>
    <w:rsid w:val="00E0169E"/>
    <w:rsid w:val="00E0197C"/>
    <w:rsid w:val="00E07AEE"/>
    <w:rsid w:val="00E1019A"/>
    <w:rsid w:val="00E22348"/>
    <w:rsid w:val="00E30A1F"/>
    <w:rsid w:val="00E35E87"/>
    <w:rsid w:val="00E374A3"/>
    <w:rsid w:val="00E37A2D"/>
    <w:rsid w:val="00E44D08"/>
    <w:rsid w:val="00E51D43"/>
    <w:rsid w:val="00E55341"/>
    <w:rsid w:val="00E561A6"/>
    <w:rsid w:val="00E569AC"/>
    <w:rsid w:val="00E56C46"/>
    <w:rsid w:val="00E671EF"/>
    <w:rsid w:val="00E729C3"/>
    <w:rsid w:val="00E738E7"/>
    <w:rsid w:val="00E802BC"/>
    <w:rsid w:val="00E80E43"/>
    <w:rsid w:val="00E90012"/>
    <w:rsid w:val="00E914B0"/>
    <w:rsid w:val="00E93CD3"/>
    <w:rsid w:val="00EA68EB"/>
    <w:rsid w:val="00EB48E8"/>
    <w:rsid w:val="00EC168D"/>
    <w:rsid w:val="00EC246D"/>
    <w:rsid w:val="00EC3FFB"/>
    <w:rsid w:val="00ED1AE8"/>
    <w:rsid w:val="00ED358A"/>
    <w:rsid w:val="00ED4383"/>
    <w:rsid w:val="00EE540B"/>
    <w:rsid w:val="00EE5C28"/>
    <w:rsid w:val="00EE6181"/>
    <w:rsid w:val="00EE7972"/>
    <w:rsid w:val="00EF0013"/>
    <w:rsid w:val="00EF1D57"/>
    <w:rsid w:val="00F02E03"/>
    <w:rsid w:val="00F058F9"/>
    <w:rsid w:val="00F114C1"/>
    <w:rsid w:val="00F1430D"/>
    <w:rsid w:val="00F166A3"/>
    <w:rsid w:val="00F21914"/>
    <w:rsid w:val="00F27756"/>
    <w:rsid w:val="00F30212"/>
    <w:rsid w:val="00F32174"/>
    <w:rsid w:val="00F33974"/>
    <w:rsid w:val="00F4355F"/>
    <w:rsid w:val="00F4583F"/>
    <w:rsid w:val="00F466B8"/>
    <w:rsid w:val="00F564D0"/>
    <w:rsid w:val="00F576BD"/>
    <w:rsid w:val="00F6052A"/>
    <w:rsid w:val="00F6199C"/>
    <w:rsid w:val="00F6200F"/>
    <w:rsid w:val="00F6541C"/>
    <w:rsid w:val="00F8023E"/>
    <w:rsid w:val="00F809B8"/>
    <w:rsid w:val="00F811EF"/>
    <w:rsid w:val="00F81B08"/>
    <w:rsid w:val="00F91CC1"/>
    <w:rsid w:val="00FA162C"/>
    <w:rsid w:val="00FA2360"/>
    <w:rsid w:val="00FA4949"/>
    <w:rsid w:val="00FB1408"/>
    <w:rsid w:val="00FB1EE5"/>
    <w:rsid w:val="00FB5B32"/>
    <w:rsid w:val="00FB7958"/>
    <w:rsid w:val="00FC04DA"/>
    <w:rsid w:val="00FD7CA5"/>
    <w:rsid w:val="00FE7A66"/>
    <w:rsid w:val="00FF47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2"/>
        <w:sz w:val="26"/>
        <w:szCs w:val="26"/>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ListParagraph">
    <w:name w:val="List Paragraph"/>
    <w:basedOn w:val="Normal"/>
    <w:uiPriority w:val="34"/>
    <w:qFormat/>
    <w:rsid w:val="00815FBB"/>
    <w:pPr>
      <w:ind w:left="720"/>
      <w:contextualSpacing/>
    </w:pPr>
  </w:style>
  <w:style w:type="paragraph" w:styleId="Revision">
    <w:name w:val="Revision"/>
    <w:hidden/>
    <w:uiPriority w:val="99"/>
    <w:semiHidden/>
    <w:rsid w:val="00AD2D8F"/>
  </w:style>
  <w:style w:type="character" w:styleId="CommentReference">
    <w:name w:val="annotation reference"/>
    <w:basedOn w:val="DefaultParagraphFont"/>
    <w:semiHidden/>
    <w:unhideWhenUsed/>
    <w:rsid w:val="00470172"/>
    <w:rPr>
      <w:sz w:val="16"/>
      <w:szCs w:val="16"/>
    </w:rPr>
  </w:style>
  <w:style w:type="paragraph" w:styleId="CommentText">
    <w:name w:val="annotation text"/>
    <w:basedOn w:val="Normal"/>
    <w:link w:val="CommentTextChar"/>
    <w:unhideWhenUsed/>
    <w:rsid w:val="00470172"/>
    <w:pPr>
      <w:spacing w:line="240" w:lineRule="auto"/>
    </w:pPr>
    <w:rPr>
      <w:sz w:val="20"/>
      <w:szCs w:val="20"/>
    </w:rPr>
  </w:style>
  <w:style w:type="character" w:customStyle="1" w:styleId="CommentTextChar">
    <w:name w:val="Comment Text Char"/>
    <w:basedOn w:val="DefaultParagraphFont"/>
    <w:link w:val="CommentText"/>
    <w:rsid w:val="00470172"/>
    <w:rPr>
      <w:sz w:val="20"/>
      <w:szCs w:val="20"/>
    </w:rPr>
  </w:style>
  <w:style w:type="paragraph" w:styleId="CommentSubject">
    <w:name w:val="annotation subject"/>
    <w:basedOn w:val="CommentText"/>
    <w:next w:val="CommentText"/>
    <w:link w:val="CommentSubjectChar"/>
    <w:semiHidden/>
    <w:unhideWhenUsed/>
    <w:rsid w:val="00470172"/>
    <w:rPr>
      <w:b/>
      <w:bCs/>
    </w:rPr>
  </w:style>
  <w:style w:type="character" w:customStyle="1" w:styleId="CommentSubjectChar">
    <w:name w:val="Comment Subject Char"/>
    <w:basedOn w:val="CommentTextChar"/>
    <w:link w:val="CommentSubject"/>
    <w:semiHidden/>
    <w:rsid w:val="004701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2004</Words>
  <Characters>11427</Characters>
  <Application>Microsoft Office Word</Application>
  <DocSecurity>0</DocSecurity>
  <Lines>95</Lines>
  <Paragraphs>26</Paragraphs>
  <ScaleCrop>false</ScaleCrop>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2024-04-23T19:30:23Z</dcterms:created>
  <dcterms:modified xsi:type="dcterms:W3CDTF">2024-04-23T19:30:23Z</dcterms:modified>
</cp:coreProperties>
</file>