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7C2E95" w:rsidRPr="00E1368A" w:rsidP="00E1368A" w14:paraId="447ED666" w14:textId="256D0E0C">
      <w:pPr>
        <w:spacing w:line="240" w:lineRule="atLeast"/>
        <w:rPr>
          <w:sz w:val="20"/>
          <w:szCs w:val="20"/>
        </w:rPr>
      </w:pPr>
      <w:r>
        <w:rPr>
          <w:sz w:val="20"/>
          <w:szCs w:val="20"/>
        </w:rPr>
        <w:t>Filed 3/21/24</w:t>
      </w:r>
    </w:p>
    <w:p w:rsidR="008D34AE" w:rsidRPr="008D34AE" w:rsidP="008D34AE" w14:paraId="22D4E810" w14:textId="4E405F9B">
      <w:pPr>
        <w:spacing w:line="240" w:lineRule="atLeast"/>
        <w:jc w:val="center"/>
      </w:pPr>
      <w:r w:rsidRPr="008D34AE">
        <w:rPr>
          <w:u w:val="words"/>
        </w:rPr>
        <w:t>CERTIFIED FOR PARTIAL PUBLICATION</w:t>
      </w:r>
      <w:r>
        <w:rPr>
          <w:rStyle w:val="FootnoteReference"/>
        </w:rPr>
        <w:footnoteReference w:customMarkFollows="1" w:id="2"/>
        <w:t xml:space="preserve">*</w:t>
      </w:r>
    </w:p>
    <w:p w:rsidR="008D34AE" w:rsidRPr="008D34AE" w:rsidP="008D34AE" w14:paraId="6A7210F0" w14:textId="77777777">
      <w:pPr>
        <w:spacing w:line="240" w:lineRule="atLeast"/>
        <w:jc w:val="center"/>
      </w:pPr>
    </w:p>
    <w:p w:rsidR="008D34AE" w:rsidRPr="008D34AE" w:rsidP="008D34AE" w14:paraId="763983AD" w14:textId="77777777">
      <w:pPr>
        <w:spacing w:line="240" w:lineRule="atLeast"/>
        <w:jc w:val="center"/>
      </w:pPr>
    </w:p>
    <w:p w:rsidR="008D34AE" w:rsidRPr="008D34AE" w:rsidP="008D34AE" w14:paraId="4203DDB7" w14:textId="77777777">
      <w:pPr>
        <w:spacing w:line="240" w:lineRule="atLeast"/>
        <w:jc w:val="center"/>
      </w:pPr>
    </w:p>
    <w:p w:rsidR="008D34AE" w:rsidRPr="008D34AE" w:rsidP="008D34AE" w14:paraId="05EE275A" w14:textId="77777777">
      <w:pPr>
        <w:spacing w:line="240" w:lineRule="atLeast"/>
        <w:jc w:val="center"/>
      </w:pPr>
    </w:p>
    <w:p w:rsidR="008D34AE" w:rsidRPr="008D34AE" w:rsidP="008D34AE" w14:paraId="6AF4535A" w14:textId="77777777">
      <w:pPr>
        <w:spacing w:line="240" w:lineRule="atLeast"/>
        <w:jc w:val="center"/>
      </w:pPr>
    </w:p>
    <w:p w:rsidR="008D34AE" w:rsidRPr="008D34AE" w:rsidP="008D34AE" w14:paraId="27EE3BED" w14:textId="797DAF7D">
      <w:pPr>
        <w:jc w:val="center"/>
      </w:pPr>
      <w:r w:rsidRPr="008D34AE">
        <w:t>IN THE COURT OF APPEAL OF THE STATE OF CALIFORNIA</w:t>
      </w:r>
    </w:p>
    <w:p w:rsidR="008D34AE" w:rsidRPr="008D34AE" w:rsidP="008D34AE" w14:paraId="66DF165B" w14:textId="17697C79">
      <w:pPr>
        <w:jc w:val="center"/>
      </w:pPr>
      <w:r w:rsidRPr="008D34AE">
        <w:t>THIRD APPELLATE DISTRICT</w:t>
      </w:r>
    </w:p>
    <w:p w:rsidR="008D34AE" w:rsidRPr="008D34AE" w:rsidP="008D34AE" w14:paraId="52C2892A" w14:textId="0C14E65B">
      <w:pPr>
        <w:jc w:val="center"/>
      </w:pPr>
      <w:r w:rsidRPr="008D34AE">
        <w:t>(Sacramento)</w:t>
      </w:r>
    </w:p>
    <w:p w:rsidR="008D34AE" w:rsidRPr="008D34AE" w:rsidP="008D34AE" w14:paraId="5EFB20F8" w14:textId="632CABF3">
      <w:pPr>
        <w:jc w:val="center"/>
      </w:pPr>
      <w:r w:rsidRPr="008D34AE">
        <w:t>----</w:t>
      </w:r>
    </w:p>
    <w:p w:rsidR="008D34AE" w:rsidRPr="008D34AE" w:rsidP="008D34AE" w14:paraId="3AA7F8D4" w14:textId="77777777">
      <w:pPr>
        <w:jc w:val="center"/>
      </w:pPr>
    </w:p>
    <w:p w:rsidR="008D34AE" w:rsidRPr="008D34AE" w:rsidP="008D34AE" w14:paraId="3055524D" w14:textId="77777777">
      <w:pPr>
        <w:spacing w:line="240" w:lineRule="atLeast"/>
      </w:pPr>
    </w:p>
    <w:p w:rsidR="008D34AE" w:rsidRPr="008D34AE" w:rsidP="008D34AE" w14:paraId="31388B1D" w14:textId="77777777">
      <w:pPr>
        <w:spacing w:line="240" w:lineRule="atLeast"/>
      </w:pPr>
    </w:p>
    <w:p w:rsidR="008D34AE" w:rsidRPr="008D34AE" w:rsidP="008D34AE" w14:paraId="155A921A" w14:textId="77777777">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42BF7B9F" w14:textId="77777777" w:rsidTr="008D34AE">
        <w:tblPrEx>
          <w:tblW w:w="0" w:type="auto"/>
          <w:tblBorders>
            <w:insideH w:val="single" w:sz="4" w:space="0" w:color="auto"/>
            <w:insideV w:val="single" w:sz="4" w:space="0" w:color="auto"/>
          </w:tblBorders>
          <w:tblLayout w:type="fixed"/>
          <w:tblLook w:val="0000"/>
        </w:tblPrEx>
        <w:tc>
          <w:tcPr>
            <w:tcW w:w="5904" w:type="dxa"/>
            <w:shd w:val="clear" w:color="auto" w:fill="auto"/>
          </w:tcPr>
          <w:p w:rsidR="008D34AE" w:rsidRPr="008D34AE" w:rsidP="008D34AE" w14:paraId="74C75C81" w14:textId="77777777">
            <w:pPr>
              <w:spacing w:line="240" w:lineRule="atLeast"/>
            </w:pPr>
            <w:r w:rsidRPr="008D34AE">
              <w:t>TRIDENT SOCIETY, INC.,</w:t>
            </w:r>
          </w:p>
          <w:p w:rsidR="008D34AE" w:rsidRPr="008D34AE" w:rsidP="008D34AE" w14:paraId="45D3FB71" w14:textId="77777777">
            <w:pPr>
              <w:spacing w:line="240" w:lineRule="atLeast"/>
            </w:pPr>
          </w:p>
          <w:p w:rsidR="008D34AE" w:rsidRPr="008D34AE" w:rsidP="008D34AE" w14:paraId="6E93D96E" w14:textId="77777777">
            <w:pPr>
              <w:spacing w:line="240" w:lineRule="atLeast"/>
            </w:pPr>
            <w:r w:rsidRPr="008D34AE">
              <w:tab/>
            </w:r>
            <w:r w:rsidRPr="008D34AE">
              <w:tab/>
              <w:t>Plaintiff and Appellant,</w:t>
            </w:r>
          </w:p>
          <w:p w:rsidR="008D34AE" w:rsidRPr="008D34AE" w:rsidP="008D34AE" w14:paraId="32C3E94D" w14:textId="77777777">
            <w:pPr>
              <w:spacing w:line="240" w:lineRule="atLeast"/>
            </w:pPr>
          </w:p>
          <w:p w:rsidR="008D34AE" w:rsidRPr="008D34AE" w:rsidP="008D34AE" w14:paraId="5A1830E4" w14:textId="77777777">
            <w:pPr>
              <w:spacing w:line="240" w:lineRule="atLeast"/>
            </w:pPr>
            <w:r w:rsidRPr="008D34AE">
              <w:tab/>
              <w:t>v.</w:t>
            </w:r>
          </w:p>
          <w:p w:rsidR="008D34AE" w:rsidRPr="008D34AE" w:rsidP="008D34AE" w14:paraId="6148B2E0" w14:textId="77777777">
            <w:pPr>
              <w:spacing w:line="240" w:lineRule="atLeast"/>
            </w:pPr>
          </w:p>
          <w:p w:rsidR="008D34AE" w:rsidRPr="008D34AE" w:rsidP="008D34AE" w14:paraId="78BF80EE" w14:textId="77777777">
            <w:pPr>
              <w:spacing w:line="240" w:lineRule="atLeast"/>
            </w:pPr>
            <w:r w:rsidRPr="008D34AE">
              <w:t>CEMETERY AND FUNERAL BUREAU,</w:t>
            </w:r>
          </w:p>
          <w:p w:rsidR="008D34AE" w:rsidRPr="008D34AE" w:rsidP="008D34AE" w14:paraId="62BB06A5" w14:textId="77777777">
            <w:pPr>
              <w:spacing w:line="240" w:lineRule="atLeast"/>
            </w:pPr>
          </w:p>
          <w:p w:rsidR="008D34AE" w:rsidRPr="008D34AE" w:rsidP="008D34AE" w14:paraId="2D1955A2" w14:textId="77777777">
            <w:pPr>
              <w:spacing w:line="240" w:lineRule="atLeast"/>
            </w:pPr>
            <w:r w:rsidRPr="008D34AE">
              <w:tab/>
            </w:r>
            <w:r w:rsidRPr="008D34AE">
              <w:tab/>
              <w:t>Defendant and Respondent.</w:t>
            </w:r>
          </w:p>
          <w:p w:rsidR="008D34AE" w:rsidRPr="008D34AE" w:rsidP="008D34AE" w14:paraId="677A26B8" w14:textId="2349C962">
            <w:pPr>
              <w:spacing w:line="240" w:lineRule="atLeast"/>
            </w:pPr>
          </w:p>
        </w:tc>
        <w:tc>
          <w:tcPr>
            <w:tcW w:w="3456" w:type="dxa"/>
            <w:shd w:val="clear" w:color="auto" w:fill="auto"/>
          </w:tcPr>
          <w:p w:rsidR="008D34AE" w:rsidRPr="008D34AE" w:rsidP="008D34AE" w14:paraId="1D7DFEC4" w14:textId="77777777">
            <w:pPr>
              <w:spacing w:line="240" w:lineRule="atLeast"/>
              <w:jc w:val="center"/>
            </w:pPr>
            <w:r w:rsidRPr="008D34AE">
              <w:t>C098017</w:t>
            </w:r>
          </w:p>
          <w:p w:rsidR="008D34AE" w:rsidRPr="008D34AE" w:rsidP="008D34AE" w14:paraId="66996A00" w14:textId="77777777">
            <w:pPr>
              <w:spacing w:line="240" w:lineRule="atLeast"/>
              <w:jc w:val="center"/>
            </w:pPr>
          </w:p>
          <w:p w:rsidR="008D34AE" w:rsidRPr="008D34AE" w:rsidP="008D34AE" w14:paraId="22E21922" w14:textId="77777777">
            <w:pPr>
              <w:spacing w:line="240" w:lineRule="atLeast"/>
              <w:jc w:val="center"/>
            </w:pPr>
            <w:r w:rsidRPr="008D34AE">
              <w:t>(Super. Ct. No. 34-2022-80003804-CU-WM-GDS)</w:t>
            </w:r>
          </w:p>
          <w:p w:rsidR="008D34AE" w:rsidRPr="008D34AE" w:rsidP="008D34AE" w14:paraId="1040A2D5" w14:textId="77777777">
            <w:pPr>
              <w:spacing w:line="240" w:lineRule="atLeast"/>
              <w:jc w:val="center"/>
            </w:pPr>
          </w:p>
          <w:p w:rsidR="008D34AE" w:rsidRPr="008D34AE" w:rsidP="008D34AE" w14:paraId="542C4E2A" w14:textId="26847385">
            <w:pPr>
              <w:spacing w:line="240" w:lineRule="atLeast"/>
              <w:jc w:val="center"/>
            </w:pPr>
          </w:p>
        </w:tc>
      </w:tr>
    </w:tbl>
    <w:p w:rsidR="008D34AE" w:rsidP="008D34AE" w14:paraId="7AEC9885" w14:textId="77777777">
      <w:pPr>
        <w:spacing w:line="240" w:lineRule="atLeast"/>
      </w:pPr>
    </w:p>
    <w:p w:rsidR="00F14BF6" w:rsidRPr="008D34AE" w:rsidP="008D34AE" w14:paraId="5F67FE98" w14:textId="77777777">
      <w:pPr>
        <w:spacing w:line="240" w:lineRule="atLeast"/>
      </w:pPr>
    </w:p>
    <w:p w:rsidR="008D34AE" w:rsidRPr="008D34AE" w:rsidP="008D34AE" w14:paraId="71AEE10C" w14:textId="5CFC82BE">
      <w:pPr>
        <w:spacing w:line="240" w:lineRule="atLeast"/>
      </w:pPr>
      <w:r w:rsidRPr="008D34AE">
        <w:tab/>
        <w:t>APPEAL from a judgment of the Superior Court of Sacramento County, Steven M. Gevercer, Judge.  Affirmed.</w:t>
      </w:r>
    </w:p>
    <w:p w:rsidR="008D34AE" w:rsidP="008D34AE" w14:paraId="09143AE4" w14:textId="77777777">
      <w:pPr>
        <w:spacing w:line="240" w:lineRule="atLeast"/>
      </w:pPr>
    </w:p>
    <w:p w:rsidR="00F14BF6" w:rsidRPr="008D34AE" w:rsidP="008D34AE" w14:paraId="47EE3A28" w14:textId="77777777">
      <w:pPr>
        <w:spacing w:line="240" w:lineRule="atLeast"/>
      </w:pPr>
    </w:p>
    <w:p w:rsidR="008D34AE" w:rsidRPr="008D34AE" w:rsidP="008D34AE" w14:paraId="44ACFEAF" w14:textId="1AE3862B">
      <w:pPr>
        <w:spacing w:line="240" w:lineRule="atLeast"/>
      </w:pPr>
      <w:r w:rsidRPr="008D34AE">
        <w:tab/>
      </w:r>
      <w:r w:rsidRPr="0014418F" w:rsidR="005D1ADE">
        <w:t>Gurnee, Mason, Rushford, Bonotto &amp; Forestiere</w:t>
      </w:r>
      <w:r w:rsidR="005D1ADE">
        <w:t>,</w:t>
      </w:r>
      <w:r w:rsidRPr="0014418F" w:rsidR="005D1ADE">
        <w:t xml:space="preserve"> Steven </w:t>
      </w:r>
      <w:r w:rsidR="005D1ADE">
        <w:t xml:space="preserve">H. </w:t>
      </w:r>
      <w:r w:rsidRPr="0014418F" w:rsidR="005D1ADE">
        <w:t>Gurnee</w:t>
      </w:r>
      <w:r w:rsidR="005D1ADE">
        <w:t>, Candace H. Shirley</w:t>
      </w:r>
      <w:r w:rsidRPr="0014418F" w:rsidR="005D1ADE">
        <w:t xml:space="preserve">; </w:t>
      </w:r>
      <w:r w:rsidRPr="008D34AE">
        <w:t xml:space="preserve">Gibson, Dunn &amp; Crutcher, Winston Y. Chan and </w:t>
      </w:r>
      <w:r w:rsidRPr="0014418F" w:rsidR="005D1ADE">
        <w:t>Elizabeth K</w:t>
      </w:r>
      <w:r w:rsidR="005D1ADE">
        <w:t>.</w:t>
      </w:r>
      <w:r w:rsidRPr="0014418F" w:rsidR="005D1ADE">
        <w:t xml:space="preserve"> McCloskey </w:t>
      </w:r>
      <w:r w:rsidRPr="008D34AE">
        <w:t>for Plaintiff and Appellant.</w:t>
      </w:r>
    </w:p>
    <w:p w:rsidR="008D34AE" w:rsidRPr="008D34AE" w:rsidP="008D34AE" w14:paraId="12886E38" w14:textId="77777777">
      <w:pPr>
        <w:spacing w:line="240" w:lineRule="atLeast"/>
      </w:pPr>
    </w:p>
    <w:p w:rsidR="008D34AE" w:rsidRPr="008D34AE" w:rsidP="008D34AE" w14:paraId="6D2950B9" w14:textId="2C63C72D">
      <w:pPr>
        <w:spacing w:line="240" w:lineRule="atLeast"/>
      </w:pPr>
      <w:r w:rsidRPr="008D34AE">
        <w:tab/>
        <w:t>Rob Bonta, Attorney General, Carl W. Sonne, Assistant Attorney General, Joshua A. Room and Christopher M. Young, Deputy Attorneys General, for Defendant and Respondent.</w:t>
      </w:r>
    </w:p>
    <w:p w:rsidR="008D34AE" w:rsidP="008D34AE" w14:paraId="3C4EBCCD" w14:textId="77777777">
      <w:pPr>
        <w:spacing w:line="240" w:lineRule="atLeast"/>
        <w:rPr>
          <w:highlight w:val="green"/>
        </w:rPr>
      </w:pPr>
    </w:p>
    <w:p w:rsidR="007C2E95" w:rsidRPr="00091EEC" w:rsidP="007C2E95" w14:paraId="39AB0479" w14:textId="77777777">
      <w:pPr>
        <w:spacing w:line="240" w:lineRule="auto"/>
        <w:rPr>
          <w:highlight w:val="green"/>
        </w:rPr>
      </w:pPr>
    </w:p>
    <w:p w:rsidR="00737CE5" w:rsidRPr="00D13910" w:rsidP="00D8697B" w14:paraId="74268A84" w14:textId="08A00304">
      <w:r w:rsidRPr="00057ACB">
        <w:tab/>
      </w:r>
      <w:r w:rsidRPr="00057ACB" w:rsidR="00CC43F0">
        <w:t xml:space="preserve">The Short Act </w:t>
      </w:r>
      <w:r w:rsidRPr="00057ACB" w:rsidR="00057ACB">
        <w:t>(Bus. &amp; Prof. Code,</w:t>
      </w:r>
      <w:r>
        <w:rPr>
          <w:rStyle w:val="FootnoteReference"/>
        </w:rPr>
        <w:footnoteReference w:id="3"/>
      </w:r>
      <w:r w:rsidRPr="00057ACB" w:rsidR="00057ACB">
        <w:t xml:space="preserve"> § 7735 et seq.) </w:t>
      </w:r>
      <w:r w:rsidRPr="00057ACB" w:rsidR="00B6338F">
        <w:t>governs</w:t>
      </w:r>
      <w:r w:rsidRPr="00057ACB" w:rsidR="00502056">
        <w:t xml:space="preserve"> </w:t>
      </w:r>
      <w:r w:rsidRPr="00057ACB" w:rsidR="00FB2011">
        <w:t>agreements</w:t>
      </w:r>
      <w:r w:rsidRPr="00057ACB" w:rsidR="006908DD">
        <w:t xml:space="preserve"> </w:t>
      </w:r>
      <w:r w:rsidRPr="00057ACB" w:rsidR="00991946">
        <w:t>by</w:t>
      </w:r>
      <w:r w:rsidRPr="00057ACB" w:rsidR="00346961">
        <w:t xml:space="preserve"> </w:t>
      </w:r>
      <w:r w:rsidRPr="00057ACB" w:rsidR="009D092A">
        <w:t>funeral</w:t>
      </w:r>
      <w:r w:rsidRPr="00057ACB" w:rsidR="004574D6">
        <w:t xml:space="preserve"> establishments</w:t>
      </w:r>
      <w:r w:rsidRPr="00057ACB" w:rsidR="009D092A">
        <w:t xml:space="preserve"> </w:t>
      </w:r>
      <w:r w:rsidRPr="00057ACB" w:rsidR="002266ED">
        <w:t>pertaining to</w:t>
      </w:r>
      <w:r w:rsidRPr="00057ACB" w:rsidR="007269F9">
        <w:t xml:space="preserve"> </w:t>
      </w:r>
      <w:r w:rsidRPr="00057ACB" w:rsidR="00725DAF">
        <w:t>“</w:t>
      </w:r>
      <w:r w:rsidRPr="00057ACB" w:rsidR="006D2A59">
        <w:t>the final disposition of human remains</w:t>
      </w:r>
      <w:r w:rsidRPr="00057ACB" w:rsidR="00200325">
        <w:t xml:space="preserve"> or</w:t>
      </w:r>
      <w:r w:rsidRPr="00057ACB" w:rsidR="006D2A59">
        <w:t xml:space="preserve"> </w:t>
      </w:r>
      <w:r w:rsidRPr="00057ACB" w:rsidR="00AE4370">
        <w:t xml:space="preserve">for </w:t>
      </w:r>
      <w:r w:rsidRPr="00057ACB" w:rsidR="007269F9">
        <w:t>funeral</w:t>
      </w:r>
      <w:r w:rsidRPr="00057ACB" w:rsidR="00A131BB">
        <w:t xml:space="preserve"> services</w:t>
      </w:r>
      <w:r w:rsidRPr="00057ACB" w:rsidR="00AE4370">
        <w:t xml:space="preserve"> or for the furnishing of personal</w:t>
      </w:r>
      <w:r w:rsidRPr="00057ACB" w:rsidR="00A131BB">
        <w:t xml:space="preserve"> property or </w:t>
      </w:r>
      <w:r w:rsidRPr="00057ACB" w:rsidR="009B127F">
        <w:t xml:space="preserve">funeral </w:t>
      </w:r>
      <w:r w:rsidRPr="00057ACB" w:rsidR="00A131BB">
        <w:t>merchandise</w:t>
      </w:r>
      <w:r w:rsidRPr="00057ACB" w:rsidR="0017575C">
        <w:t>, wherein the use or delivery of those services, property or merchandise is not immediately required</w:t>
      </w:r>
      <w:r w:rsidRPr="00057ACB" w:rsidR="009B127F">
        <w:t>”</w:t>
      </w:r>
      <w:r w:rsidRPr="00057ACB" w:rsidR="00F75D05">
        <w:t xml:space="preserve"> </w:t>
      </w:r>
      <w:r w:rsidRPr="00057ACB" w:rsidR="00057ACB">
        <w:t>(</w:t>
      </w:r>
      <w:r w:rsidRPr="00057ACB" w:rsidR="00C72D8E">
        <w:t>§ </w:t>
      </w:r>
      <w:r w:rsidRPr="00057ACB" w:rsidR="00F75D05">
        <w:t>7735)</w:t>
      </w:r>
      <w:r w:rsidR="003362E1">
        <w:t>.</w:t>
      </w:r>
      <w:r w:rsidRPr="00057ACB" w:rsidR="00F75D05">
        <w:t xml:space="preserve">  These agreements are</w:t>
      </w:r>
      <w:r w:rsidRPr="00057ACB" w:rsidR="009175D6">
        <w:t xml:space="preserve"> known as preneed </w:t>
      </w:r>
      <w:r w:rsidRPr="00057ACB" w:rsidR="00375670">
        <w:t xml:space="preserve">agreements or preneed </w:t>
      </w:r>
      <w:r w:rsidRPr="00057ACB" w:rsidR="009175D6">
        <w:t xml:space="preserve">contracts.  </w:t>
      </w:r>
      <w:r w:rsidRPr="00057ACB" w:rsidR="000E7C0F">
        <w:t>The Short Act</w:t>
      </w:r>
      <w:r w:rsidRPr="00057ACB" w:rsidR="00202A07">
        <w:t xml:space="preserve"> </w:t>
      </w:r>
      <w:r w:rsidRPr="00057ACB" w:rsidR="000E7C0F">
        <w:t>requir</w:t>
      </w:r>
      <w:r w:rsidRPr="00057ACB" w:rsidR="00F62557">
        <w:t>es</w:t>
      </w:r>
      <w:r w:rsidRPr="00057ACB" w:rsidR="00D57B6B">
        <w:t xml:space="preserve"> </w:t>
      </w:r>
      <w:r w:rsidRPr="00057ACB" w:rsidR="00F10337">
        <w:t xml:space="preserve">a funeral establishment </w:t>
      </w:r>
      <w:r w:rsidRPr="00057ACB" w:rsidR="000E7C0F">
        <w:t>to</w:t>
      </w:r>
      <w:r w:rsidRPr="00057ACB" w:rsidR="00F10337">
        <w:t xml:space="preserve"> hold money it has received </w:t>
      </w:r>
      <w:r w:rsidRPr="00057ACB" w:rsidR="00415DDA">
        <w:t>pursuant to</w:t>
      </w:r>
      <w:r w:rsidRPr="00057ACB" w:rsidR="00F10337">
        <w:t xml:space="preserve"> </w:t>
      </w:r>
      <w:r w:rsidRPr="00057ACB" w:rsidR="001D0B5C">
        <w:t xml:space="preserve">a </w:t>
      </w:r>
      <w:r w:rsidRPr="00057ACB" w:rsidR="00B701EF">
        <w:t xml:space="preserve">preneed </w:t>
      </w:r>
      <w:r w:rsidRPr="00057ACB" w:rsidR="00085A21">
        <w:t>agreement</w:t>
      </w:r>
      <w:r w:rsidRPr="00057ACB" w:rsidR="00415DDA">
        <w:t xml:space="preserve">, and </w:t>
      </w:r>
      <w:r w:rsidRPr="00057ACB" w:rsidR="00C863B7">
        <w:t>“</w:t>
      </w:r>
      <w:r w:rsidRPr="00057ACB" w:rsidR="00415DDA">
        <w:t xml:space="preserve">any </w:t>
      </w:r>
      <w:r w:rsidRPr="00057ACB" w:rsidR="00085A21">
        <w:t>agreement</w:t>
      </w:r>
      <w:r w:rsidRPr="00057ACB" w:rsidR="00415DDA">
        <w:t xml:space="preserve"> collateral thereto,</w:t>
      </w:r>
      <w:r w:rsidRPr="00057ACB" w:rsidR="00C863B7">
        <w:t>”</w:t>
      </w:r>
      <w:r w:rsidRPr="00057ACB" w:rsidR="00B701EF">
        <w:t xml:space="preserve"> in trust </w:t>
      </w:r>
      <w:r w:rsidRPr="00057ACB" w:rsidR="00415DDA">
        <w:t xml:space="preserve">until the </w:t>
      </w:r>
      <w:r w:rsidRPr="00057ACB" w:rsidR="00924794">
        <w:t xml:space="preserve">funeral establishment performs the </w:t>
      </w:r>
      <w:r w:rsidRPr="00057ACB" w:rsidR="00415DDA">
        <w:t>contract</w:t>
      </w:r>
      <w:r w:rsidRPr="00057ACB" w:rsidR="00B701EF">
        <w:t>.</w:t>
      </w:r>
      <w:r w:rsidRPr="00057ACB" w:rsidR="00FA1444">
        <w:t xml:space="preserve">  (</w:t>
      </w:r>
      <w:r w:rsidRPr="00057ACB" w:rsidR="00057ACB">
        <w:t>§ 7735</w:t>
      </w:r>
      <w:r w:rsidRPr="00057ACB" w:rsidR="00FA1444">
        <w:t>.)</w:t>
      </w:r>
      <w:r w:rsidRPr="00057ACB" w:rsidR="00B701EF">
        <w:t xml:space="preserve">  </w:t>
      </w:r>
      <w:r w:rsidRPr="00D13910" w:rsidR="0060519B">
        <w:t xml:space="preserve">The Short Act, however, contains </w:t>
      </w:r>
      <w:r w:rsidRPr="00D13910" w:rsidR="00AF64B1">
        <w:t>a</w:t>
      </w:r>
      <w:r w:rsidRPr="00D13910" w:rsidR="000F3E7F">
        <w:t xml:space="preserve"> provision </w:t>
      </w:r>
      <w:r w:rsidRPr="00D13910" w:rsidR="00F76050">
        <w:t>providing that</w:t>
      </w:r>
      <w:r w:rsidRPr="00D13910" w:rsidR="003C2CE0">
        <w:t xml:space="preserve"> “[n]o</w:t>
      </w:r>
      <w:r w:rsidRPr="00D13910" w:rsidR="00F76050">
        <w:t>t</w:t>
      </w:r>
      <w:r w:rsidRPr="00D13910" w:rsidR="003C2CE0">
        <w:t>hing in this article shall apply to cemetery property; cemetery commodities; cemetery service; or merchandise that is delivered as soon as paid for.”</w:t>
      </w:r>
      <w:r w:rsidRPr="00D13910" w:rsidR="001C1848">
        <w:t xml:space="preserve"> </w:t>
      </w:r>
      <w:r w:rsidRPr="00D13910" w:rsidR="002F0310">
        <w:t xml:space="preserve"> (</w:t>
      </w:r>
      <w:r w:rsidRPr="00D13910" w:rsidR="00C72D8E">
        <w:t>§ </w:t>
      </w:r>
      <w:r w:rsidRPr="00D13910" w:rsidR="002F0310">
        <w:t xml:space="preserve">7741.)  </w:t>
      </w:r>
    </w:p>
    <w:p w:rsidR="00FB5AD3" w:rsidRPr="00330EBE" w:rsidP="007D39CD" w14:paraId="5C008CE3" w14:textId="652D161F">
      <w:r w:rsidRPr="002A170F">
        <w:tab/>
      </w:r>
      <w:r w:rsidRPr="002A170F" w:rsidR="00601ABB">
        <w:t xml:space="preserve">Defendant the Cemetery and Funeral Bureau (Bureau) </w:t>
      </w:r>
      <w:r w:rsidRPr="002A170F" w:rsidR="000B4188">
        <w:t>interprets th</w:t>
      </w:r>
      <w:r w:rsidRPr="002A170F" w:rsidR="00F76050">
        <w:t>e above</w:t>
      </w:r>
      <w:r w:rsidRPr="002A170F" w:rsidR="000B4188">
        <w:t xml:space="preserve"> language </w:t>
      </w:r>
      <w:r w:rsidRPr="002A170F" w:rsidR="0006215B">
        <w:t xml:space="preserve">to </w:t>
      </w:r>
      <w:r w:rsidRPr="002A170F" w:rsidR="00601ABB">
        <w:t>prohibit plaintiff Trident Society, Inc.’s (Trident)</w:t>
      </w:r>
      <w:r w:rsidRPr="002A170F" w:rsidR="000B4188">
        <w:t xml:space="preserve"> </w:t>
      </w:r>
      <w:r w:rsidRPr="002A170F" w:rsidR="005B1BC6">
        <w:t>practice of</w:t>
      </w:r>
      <w:r w:rsidRPr="002A170F" w:rsidR="00D00459">
        <w:t xml:space="preserve"> </w:t>
      </w:r>
      <w:r w:rsidRPr="002A170F" w:rsidR="005D0CDA">
        <w:t>excluding</w:t>
      </w:r>
      <w:r w:rsidRPr="002A170F" w:rsidR="007C6BDB">
        <w:t xml:space="preserve"> </w:t>
      </w:r>
      <w:r w:rsidRPr="002A170F" w:rsidR="001C36CA">
        <w:t xml:space="preserve">from the trust requirement </w:t>
      </w:r>
      <w:r w:rsidRPr="002A170F" w:rsidR="007C6BDB">
        <w:t xml:space="preserve">money </w:t>
      </w:r>
      <w:r w:rsidRPr="002A170F" w:rsidR="005D0CDA">
        <w:t xml:space="preserve">paid </w:t>
      </w:r>
      <w:r w:rsidRPr="002A170F" w:rsidR="007B0DBC">
        <w:t>to purchase merchandise</w:t>
      </w:r>
      <w:r w:rsidRPr="002A170F" w:rsidR="00991946">
        <w:t xml:space="preserve"> that</w:t>
      </w:r>
      <w:r w:rsidRPr="002A170F" w:rsidR="00E94999">
        <w:t xml:space="preserve"> was delivered</w:t>
      </w:r>
      <w:r w:rsidRPr="002A170F" w:rsidR="007B0DBC">
        <w:t xml:space="preserve"> </w:t>
      </w:r>
      <w:r w:rsidRPr="002A170F" w:rsidR="002307CC">
        <w:t xml:space="preserve">and </w:t>
      </w:r>
      <w:r w:rsidR="00D920BD">
        <w:t>that</w:t>
      </w:r>
      <w:r w:rsidRPr="002A170F" w:rsidR="00D920BD">
        <w:t xml:space="preserve"> </w:t>
      </w:r>
      <w:r w:rsidRPr="002A170F" w:rsidR="002307CC">
        <w:t xml:space="preserve">was purchased </w:t>
      </w:r>
      <w:r w:rsidRPr="002A170F" w:rsidR="001E3FE0">
        <w:t>as part of a</w:t>
      </w:r>
      <w:r w:rsidRPr="002A170F" w:rsidR="00196052">
        <w:t xml:space="preserve"> package that include</w:t>
      </w:r>
      <w:r w:rsidRPr="002A170F" w:rsidR="00D46266">
        <w:t>d</w:t>
      </w:r>
      <w:r w:rsidRPr="002A170F" w:rsidR="00196052">
        <w:t xml:space="preserve"> preneed cremation services</w:t>
      </w:r>
      <w:r w:rsidRPr="002A170F" w:rsidR="005F4633">
        <w:t>.</w:t>
      </w:r>
      <w:r w:rsidRPr="002A170F" w:rsidR="00154974">
        <w:t xml:space="preserve">  </w:t>
      </w:r>
      <w:r w:rsidRPr="00330EBE" w:rsidR="00154974">
        <w:t xml:space="preserve">To </w:t>
      </w:r>
      <w:r w:rsidRPr="00330EBE" w:rsidR="00E428D2">
        <w:t xml:space="preserve">Trident, </w:t>
      </w:r>
      <w:r w:rsidRPr="00330EBE" w:rsidR="00242372">
        <w:t xml:space="preserve">section 7741 </w:t>
      </w:r>
      <w:r w:rsidRPr="00330EBE" w:rsidR="00674C14">
        <w:t>exempts its contract</w:t>
      </w:r>
      <w:r w:rsidRPr="00330EBE" w:rsidR="006C0436">
        <w:t xml:space="preserve"> selling merchandise</w:t>
      </w:r>
      <w:r w:rsidRPr="00330EBE" w:rsidR="00674C14">
        <w:t xml:space="preserve"> from </w:t>
      </w:r>
      <w:r w:rsidRPr="00330EBE" w:rsidR="0091642F">
        <w:t>the trusting requirement</w:t>
      </w:r>
      <w:r w:rsidRPr="00330EBE" w:rsidR="00CB6AB7">
        <w:t>,</w:t>
      </w:r>
      <w:r w:rsidRPr="00330EBE" w:rsidR="001E318D">
        <w:t xml:space="preserve"> </w:t>
      </w:r>
      <w:r w:rsidRPr="00330EBE" w:rsidR="00BB64CD">
        <w:t xml:space="preserve">regardless of the collateral nature of </w:t>
      </w:r>
      <w:r w:rsidRPr="00330EBE" w:rsidR="006C0436">
        <w:t>that</w:t>
      </w:r>
      <w:r w:rsidRPr="00330EBE" w:rsidR="00077250">
        <w:t xml:space="preserve"> </w:t>
      </w:r>
      <w:r w:rsidRPr="00330EBE" w:rsidR="00BB64CD">
        <w:t>contract</w:t>
      </w:r>
      <w:r w:rsidRPr="00330EBE" w:rsidR="00CB6AB7">
        <w:t>,</w:t>
      </w:r>
      <w:r w:rsidRPr="00330EBE" w:rsidR="00077250">
        <w:t xml:space="preserve"> </w:t>
      </w:r>
      <w:r w:rsidRPr="00330EBE" w:rsidR="001E318D">
        <w:t xml:space="preserve">because </w:t>
      </w:r>
      <w:r w:rsidRPr="00330EBE" w:rsidR="00BB64CD">
        <w:t>Trident</w:t>
      </w:r>
      <w:r w:rsidRPr="00330EBE" w:rsidR="001E318D">
        <w:t xml:space="preserve"> delivered the merchandise</w:t>
      </w:r>
      <w:r w:rsidRPr="00330EBE" w:rsidR="0091642F">
        <w:t xml:space="preserve">.  </w:t>
      </w:r>
    </w:p>
    <w:p w:rsidR="001D5AA9" w:rsidRPr="00091EEC" w:rsidP="00EE3BF4" w14:paraId="384BE217" w14:textId="05441458">
      <w:pPr>
        <w:rPr>
          <w:highlight w:val="green"/>
        </w:rPr>
      </w:pPr>
      <w:r w:rsidRPr="00EC20F6">
        <w:tab/>
      </w:r>
      <w:r w:rsidRPr="00EC20F6" w:rsidR="00541076">
        <w:t>In the published portion of this opinion, w</w:t>
      </w:r>
      <w:r w:rsidRPr="00EC20F6" w:rsidR="0091642F">
        <w:t xml:space="preserve">e </w:t>
      </w:r>
      <w:r w:rsidRPr="00EC20F6" w:rsidR="008D34B0">
        <w:t xml:space="preserve">agree with </w:t>
      </w:r>
      <w:r w:rsidRPr="00EC20F6" w:rsidR="0091642F">
        <w:t>t</w:t>
      </w:r>
      <w:r w:rsidRPr="00EC20F6" w:rsidR="00402331">
        <w:t xml:space="preserve">he Bureau </w:t>
      </w:r>
      <w:r w:rsidRPr="00EC20F6" w:rsidR="008D34B0">
        <w:t>that</w:t>
      </w:r>
      <w:r w:rsidRPr="00EC20F6" w:rsidR="00E744CD">
        <w:t xml:space="preserve"> the Short Act </w:t>
      </w:r>
      <w:r w:rsidRPr="00EC20F6" w:rsidR="009A281B">
        <w:t xml:space="preserve">requires all money paid </w:t>
      </w:r>
      <w:r w:rsidRPr="00EC20F6" w:rsidR="005F4ABD">
        <w:t>under</w:t>
      </w:r>
      <w:r w:rsidRPr="00EC20F6" w:rsidR="00505B3C">
        <w:t xml:space="preserve"> and collateral to a preneed contract</w:t>
      </w:r>
      <w:r w:rsidRPr="00EC20F6" w:rsidR="00307455">
        <w:t xml:space="preserve"> be held in trust</w:t>
      </w:r>
      <w:r w:rsidRPr="00EC20F6" w:rsidR="003D5384">
        <w:t>, and that</w:t>
      </w:r>
      <w:r w:rsidRPr="00EC20F6" w:rsidR="00962484">
        <w:t xml:space="preserve"> the contract </w:t>
      </w:r>
      <w:r w:rsidRPr="00EC20F6" w:rsidR="00541076">
        <w:t xml:space="preserve">for merchandise </w:t>
      </w:r>
      <w:r w:rsidRPr="00EC20F6" w:rsidR="00962484">
        <w:t>at issue here w</w:t>
      </w:r>
      <w:r w:rsidRPr="00EC20F6" w:rsidR="00EA7C22">
        <w:t>as</w:t>
      </w:r>
      <w:r w:rsidRPr="00EC20F6" w:rsidR="00962484">
        <w:t xml:space="preserve"> collateral</w:t>
      </w:r>
      <w:r w:rsidRPr="00EC20F6" w:rsidR="00EA7C22">
        <w:t xml:space="preserve"> to the preneed contract.</w:t>
      </w:r>
      <w:r w:rsidRPr="00EC20F6" w:rsidR="009C2C2F">
        <w:t xml:space="preserve">  In the unpublished portion of this opinion,</w:t>
      </w:r>
      <w:r w:rsidRPr="00EC20F6" w:rsidR="00505B3C">
        <w:t xml:space="preserve"> </w:t>
      </w:r>
      <w:r w:rsidRPr="00EC20F6" w:rsidR="009C2C2F">
        <w:t>w</w:t>
      </w:r>
      <w:r w:rsidRPr="00EC20F6" w:rsidR="00EC3100">
        <w:t xml:space="preserve">e </w:t>
      </w:r>
      <w:r w:rsidRPr="00EC20F6" w:rsidR="003615B8">
        <w:t>affirm</w:t>
      </w:r>
      <w:r w:rsidRPr="00EC20F6" w:rsidR="009C2C2F">
        <w:t xml:space="preserve"> the Bureau’s </w:t>
      </w:r>
      <w:r w:rsidRPr="00EC20F6" w:rsidR="003615B8">
        <w:t>finding</w:t>
      </w:r>
      <w:r w:rsidRPr="00EC20F6" w:rsidR="00660813">
        <w:t xml:space="preserve"> Trident made </w:t>
      </w:r>
      <w:r w:rsidRPr="00EC20F6" w:rsidR="009C2C2F">
        <w:t>misrepresentation</w:t>
      </w:r>
      <w:r w:rsidRPr="00EC20F6" w:rsidR="00660813">
        <w:t>s</w:t>
      </w:r>
      <w:r w:rsidRPr="00EC20F6" w:rsidR="009C2C2F">
        <w:t xml:space="preserve"> </w:t>
      </w:r>
      <w:r w:rsidRPr="00EC20F6" w:rsidR="00660813">
        <w:t>in the agreements</w:t>
      </w:r>
      <w:r w:rsidRPr="00EC20F6" w:rsidR="00264354">
        <w:t xml:space="preserve"> for preneed services and </w:t>
      </w:r>
      <w:r w:rsidRPr="00EC20F6" w:rsidR="00CD2449">
        <w:t>merchandise</w:t>
      </w:r>
      <w:r w:rsidRPr="00EC20F6" w:rsidR="00050E48">
        <w:t xml:space="preserve">.  </w:t>
      </w:r>
      <w:r w:rsidRPr="00091EEC" w:rsidR="00D804C1">
        <w:t>Accordingly, w</w:t>
      </w:r>
      <w:r w:rsidRPr="00091EEC" w:rsidR="00402331">
        <w:t>e affirm the</w:t>
      </w:r>
      <w:r w:rsidRPr="00091EEC" w:rsidR="00CC0FC3">
        <w:t xml:space="preserve"> trial court’s </w:t>
      </w:r>
      <w:r w:rsidRPr="00091EEC" w:rsidR="00EC3100">
        <w:t xml:space="preserve">order </w:t>
      </w:r>
      <w:r w:rsidRPr="00091EEC" w:rsidR="00D93AD1">
        <w:t>den</w:t>
      </w:r>
      <w:r w:rsidRPr="00091EEC" w:rsidR="00EC3100">
        <w:t>ying</w:t>
      </w:r>
      <w:r w:rsidRPr="00091EEC" w:rsidR="00D93AD1">
        <w:t xml:space="preserve"> Trident’s petition</w:t>
      </w:r>
      <w:r w:rsidRPr="00091EEC" w:rsidR="00402331">
        <w:t xml:space="preserve">.  </w:t>
      </w:r>
    </w:p>
    <w:p w:rsidR="001D5AA9" w:rsidRPr="00091EEC" w:rsidP="00807ACE" w14:paraId="30ED5266" w14:textId="7A1C15E9">
      <w:pPr>
        <w:keepNext/>
        <w:jc w:val="center"/>
      </w:pPr>
      <w:r w:rsidRPr="00091EEC">
        <w:t>FACTUAL AND PROCEDURAL BACKGROUND</w:t>
      </w:r>
    </w:p>
    <w:p w:rsidR="00B85175" w:rsidRPr="00330EBE" w:rsidP="00B85175" w14:paraId="17895A15" w14:textId="3E25501D">
      <w:r w:rsidRPr="005826E2">
        <w:tab/>
        <w:t xml:space="preserve">In 2016, T.G. </w:t>
      </w:r>
      <w:r w:rsidRPr="005826E2" w:rsidR="003448B1">
        <w:t xml:space="preserve">contracted with Trident for </w:t>
      </w:r>
      <w:r w:rsidRPr="005826E2" w:rsidR="00AA6A8E">
        <w:t xml:space="preserve">his own </w:t>
      </w:r>
      <w:r w:rsidRPr="005826E2" w:rsidR="003744F7">
        <w:t>cremation</w:t>
      </w:r>
      <w:r w:rsidRPr="005826E2" w:rsidR="003448B1">
        <w:t xml:space="preserve"> services</w:t>
      </w:r>
      <w:r w:rsidRPr="005826E2" w:rsidR="002F4E38">
        <w:t>.</w:t>
      </w:r>
      <w:r w:rsidRPr="005826E2" w:rsidR="0052687A">
        <w:t xml:space="preserve">  </w:t>
      </w:r>
      <w:r w:rsidRPr="00330EBE" w:rsidR="001D0019">
        <w:t>Trident presented T.G. with a general price list (price list)</w:t>
      </w:r>
      <w:r w:rsidRPr="00330EBE" w:rsidR="00A4555A">
        <w:t>, consisting of</w:t>
      </w:r>
      <w:r w:rsidRPr="00330EBE" w:rsidR="003448B1">
        <w:t xml:space="preserve"> </w:t>
      </w:r>
      <w:r w:rsidRPr="00330EBE">
        <w:t>two</w:t>
      </w:r>
      <w:r w:rsidRPr="00330EBE" w:rsidR="00A4555A">
        <w:t xml:space="preserve"> </w:t>
      </w:r>
      <w:r w:rsidRPr="00330EBE">
        <w:t>page</w:t>
      </w:r>
      <w:r w:rsidRPr="00330EBE" w:rsidR="00A4555A">
        <w:t>s</w:t>
      </w:r>
      <w:r w:rsidRPr="00330EBE">
        <w:t>.</w:t>
      </w:r>
      <w:r w:rsidRPr="00330EBE" w:rsidR="003054DD">
        <w:t xml:space="preserve">  </w:t>
      </w:r>
      <w:r w:rsidRPr="00330EBE" w:rsidR="0052687A">
        <w:t>On the first page was a</w:t>
      </w:r>
      <w:r w:rsidRPr="00330EBE">
        <w:t xml:space="preserve"> disclaimer </w:t>
      </w:r>
      <w:r w:rsidRPr="00330EBE" w:rsidR="0052687A">
        <w:t>providing</w:t>
      </w:r>
      <w:r w:rsidRPr="00330EBE" w:rsidR="00C72D8E">
        <w:t>,</w:t>
      </w:r>
      <w:r w:rsidRPr="00330EBE">
        <w:t xml:space="preserve"> “</w:t>
      </w:r>
      <w:r w:rsidRPr="00330EBE" w:rsidR="00C72D8E">
        <w:t>T</w:t>
      </w:r>
      <w:r w:rsidRPr="00330EBE">
        <w:t xml:space="preserve">he goods and services shown below are those we can provide to our customers.  You may choose only the items you desire.  However, any funeral arrangements you select will include a charge for our basic service and overhead.  If legal or other requirements mean you must buy any items you did not specifically ask for, we will explain the reason in writing on the statement we provide describing the funeral goods and services you selected.”  </w:t>
      </w:r>
    </w:p>
    <w:p w:rsidR="00B85175" w:rsidRPr="000E502D" w:rsidP="001042CC" w14:paraId="0B51A75B" w14:textId="065E7389">
      <w:pPr>
        <w:ind w:firstLine="720"/>
      </w:pPr>
      <w:r w:rsidRPr="000E502D">
        <w:t>Below the disclaimer is a box with</w:t>
      </w:r>
      <w:r w:rsidRPr="000E502D">
        <w:t xml:space="preserve"> the heading “THE STANDARD TRIDENT PLAN </w:t>
      </w:r>
      <w:r w:rsidRPr="000E502D" w:rsidR="000E502D">
        <w:t xml:space="preserve">– </w:t>
      </w:r>
      <w:r w:rsidRPr="000E502D">
        <w:t>$2,104.00”</w:t>
      </w:r>
      <w:r w:rsidRPr="000E502D" w:rsidR="00C76AD5">
        <w:t xml:space="preserve"> (standard plan).</w:t>
      </w:r>
      <w:r w:rsidRPr="000E502D" w:rsidR="00CC6649">
        <w:t xml:space="preserve">  </w:t>
      </w:r>
      <w:r w:rsidRPr="000E502D">
        <w:t xml:space="preserve">The </w:t>
      </w:r>
      <w:r w:rsidRPr="000E502D" w:rsidR="001042CC">
        <w:t>s</w:t>
      </w:r>
      <w:r w:rsidRPr="000E502D">
        <w:t xml:space="preserve">tandard </w:t>
      </w:r>
      <w:r w:rsidRPr="000E502D" w:rsidR="001042CC">
        <w:t>p</w:t>
      </w:r>
      <w:r w:rsidRPr="000E502D">
        <w:t>lan</w:t>
      </w:r>
      <w:r w:rsidRPr="000E502D" w:rsidR="00C76AD5">
        <w:t xml:space="preserve"> </w:t>
      </w:r>
      <w:r w:rsidRPr="000E502D">
        <w:t xml:space="preserve">is described as including “the Trident </w:t>
      </w:r>
      <w:r w:rsidRPr="000E502D" w:rsidR="00C72D8E">
        <w:t>[p]</w:t>
      </w:r>
      <w:r w:rsidRPr="000E502D">
        <w:t xml:space="preserve">reneed </w:t>
      </w:r>
      <w:r w:rsidRPr="000E502D" w:rsidR="00C72D8E">
        <w:t>[d]</w:t>
      </w:r>
      <w:r w:rsidRPr="000E502D">
        <w:t xml:space="preserve">irect </w:t>
      </w:r>
      <w:r w:rsidRPr="000E502D" w:rsidR="00C72D8E">
        <w:t>[c]</w:t>
      </w:r>
      <w:r w:rsidRPr="000E502D">
        <w:t xml:space="preserve">remation </w:t>
      </w:r>
      <w:r w:rsidRPr="000E502D" w:rsidR="00C72D8E">
        <w:t>[p]</w:t>
      </w:r>
      <w:r w:rsidRPr="000E502D">
        <w:t>ackage (preneed</w:t>
      </w:r>
      <w:r w:rsidRPr="000E502D" w:rsidR="00C76AD5">
        <w:t xml:space="preserve"> [</w:t>
      </w:r>
      <w:r w:rsidRPr="000E502D" w:rsidR="005F4ABD">
        <w:t>agreement</w:t>
      </w:r>
      <w:r w:rsidRPr="000E502D" w:rsidR="00C76AD5">
        <w:t>]</w:t>
      </w:r>
      <w:r w:rsidRPr="000E502D">
        <w:t xml:space="preserve">) and the Trident </w:t>
      </w:r>
      <w:r w:rsidRPr="000E502D" w:rsidR="00C72D8E">
        <w:t>[m]</w:t>
      </w:r>
      <w:r w:rsidRPr="000E502D">
        <w:t xml:space="preserve">emento </w:t>
      </w:r>
      <w:r w:rsidRPr="000E502D" w:rsidR="00C72D8E">
        <w:t>[p]</w:t>
      </w:r>
      <w:r w:rsidRPr="000E502D">
        <w:t>ackage (retail</w:t>
      </w:r>
      <w:r w:rsidRPr="000E502D" w:rsidR="00C76AD5">
        <w:t xml:space="preserve"> [</w:t>
      </w:r>
      <w:r w:rsidRPr="000E502D" w:rsidR="005F4ABD">
        <w:t>agreement</w:t>
      </w:r>
      <w:r w:rsidRPr="000E502D" w:rsidR="00C76AD5">
        <w:t>]</w:t>
      </w:r>
      <w:r w:rsidRPr="000E502D">
        <w:t>).”</w:t>
      </w:r>
      <w:r w:rsidRPr="000E502D" w:rsidR="00CC6649">
        <w:t xml:space="preserve">  </w:t>
      </w:r>
      <w:r w:rsidRPr="000E502D">
        <w:t>Below this statement</w:t>
      </w:r>
      <w:r w:rsidRPr="000E502D" w:rsidR="00CA24AC">
        <w:t xml:space="preserve"> is a list of items and services included in the preneed</w:t>
      </w:r>
      <w:r w:rsidRPr="000E502D">
        <w:t xml:space="preserve"> </w:t>
      </w:r>
      <w:r w:rsidRPr="000E502D" w:rsidR="00E2421F">
        <w:t>agreement</w:t>
      </w:r>
      <w:r w:rsidRPr="000E502D">
        <w:t xml:space="preserve">, which the price list </w:t>
      </w:r>
      <w:r w:rsidRPr="000E502D" w:rsidR="002138FA">
        <w:t>indicates</w:t>
      </w:r>
      <w:r w:rsidRPr="000E502D">
        <w:t xml:space="preserve"> is sold on a preneed basis.  </w:t>
      </w:r>
      <w:r w:rsidRPr="000E502D" w:rsidR="00961732">
        <w:t>T</w:t>
      </w:r>
      <w:r w:rsidRPr="000E502D">
        <w:t xml:space="preserve">he price list </w:t>
      </w:r>
      <w:r w:rsidRPr="000E502D" w:rsidR="00961732">
        <w:t xml:space="preserve">then </w:t>
      </w:r>
      <w:r w:rsidRPr="000E502D">
        <w:t xml:space="preserve">describes the items in the </w:t>
      </w:r>
      <w:r w:rsidRPr="000E502D" w:rsidR="00CF3015">
        <w:t xml:space="preserve">retail </w:t>
      </w:r>
      <w:r w:rsidRPr="000E502D" w:rsidR="00E81A96">
        <w:t xml:space="preserve">agreement, </w:t>
      </w:r>
      <w:r w:rsidRPr="000E502D" w:rsidR="00961732">
        <w:t>which</w:t>
      </w:r>
      <w:r w:rsidRPr="000E502D">
        <w:t xml:space="preserve"> “</w:t>
      </w:r>
      <w:r w:rsidRPr="000E502D" w:rsidR="00176CE7">
        <w:t>[are]</w:t>
      </w:r>
      <w:r w:rsidRPr="000E502D">
        <w:t xml:space="preserve"> sold on a retail basis and </w:t>
      </w:r>
      <w:r w:rsidRPr="000E502D" w:rsidR="00176CE7">
        <w:t>[are]</w:t>
      </w:r>
      <w:r w:rsidRPr="000E502D">
        <w:t xml:space="preserve"> not included on any </w:t>
      </w:r>
      <w:r w:rsidRPr="000E502D" w:rsidR="00C72D8E">
        <w:t>[p]</w:t>
      </w:r>
      <w:r w:rsidRPr="000E502D">
        <w:t xml:space="preserve">reneed </w:t>
      </w:r>
      <w:r w:rsidRPr="000E502D" w:rsidR="00C72D8E">
        <w:t>[f]</w:t>
      </w:r>
      <w:r w:rsidRPr="000E502D">
        <w:t xml:space="preserve">uneral </w:t>
      </w:r>
      <w:r w:rsidRPr="000E502D" w:rsidR="00C72D8E">
        <w:t>[a]</w:t>
      </w:r>
      <w:r w:rsidRPr="000E502D">
        <w:t>greement.”</w:t>
      </w:r>
      <w:r w:rsidRPr="000E502D" w:rsidR="001E39F4">
        <w:t xml:space="preserve">  </w:t>
      </w:r>
    </w:p>
    <w:p w:rsidR="00192F67" w:rsidRPr="00B00B6F" w:rsidP="001E39F4" w14:paraId="454E5134" w14:textId="40E29528">
      <w:pPr>
        <w:ind w:firstLine="720"/>
      </w:pPr>
      <w:r w:rsidRPr="00B00B6F">
        <w:t>The second page of the price list i</w:t>
      </w:r>
      <w:r w:rsidRPr="00B00B6F" w:rsidR="00E834A1">
        <w:t>ncludes</w:t>
      </w:r>
      <w:r w:rsidRPr="00B00B6F">
        <w:t xml:space="preserve"> itemized list</w:t>
      </w:r>
      <w:r w:rsidRPr="00B00B6F" w:rsidR="0066287A">
        <w:t>s</w:t>
      </w:r>
      <w:r w:rsidRPr="00B00B6F">
        <w:t xml:space="preserve"> of services </w:t>
      </w:r>
      <w:r w:rsidRPr="00B00B6F" w:rsidR="00A67D98">
        <w:t xml:space="preserve">and merchandise </w:t>
      </w:r>
      <w:r w:rsidRPr="00B00B6F">
        <w:t xml:space="preserve">provided by Trident, with an asterisk by services </w:t>
      </w:r>
      <w:r w:rsidRPr="00B00B6F" w:rsidR="0066287A">
        <w:t xml:space="preserve">and merchandise </w:t>
      </w:r>
      <w:r w:rsidRPr="00B00B6F">
        <w:t xml:space="preserve">included in the </w:t>
      </w:r>
      <w:r w:rsidRPr="00B00B6F" w:rsidR="00816920">
        <w:t>s</w:t>
      </w:r>
      <w:r w:rsidRPr="00B00B6F">
        <w:t xml:space="preserve">tandard </w:t>
      </w:r>
      <w:r w:rsidRPr="00B00B6F" w:rsidR="00816920">
        <w:t>p</w:t>
      </w:r>
      <w:r w:rsidRPr="00B00B6F">
        <w:t xml:space="preserve">lan.  Again, the </w:t>
      </w:r>
      <w:r w:rsidRPr="00B00B6F" w:rsidR="00816920">
        <w:t xml:space="preserve">price </w:t>
      </w:r>
      <w:r w:rsidRPr="00B00B6F">
        <w:t xml:space="preserve">list provides that </w:t>
      </w:r>
      <w:r w:rsidRPr="00B00B6F" w:rsidR="00C70AE5">
        <w:t xml:space="preserve">many of </w:t>
      </w:r>
      <w:r w:rsidRPr="00B00B6F">
        <w:t>the services are sold on a preneed basis and the customer may choose only those services they desire.  The list of services include</w:t>
      </w:r>
      <w:r w:rsidRPr="00B00B6F" w:rsidR="008E0124">
        <w:t>d in the preneed agreement contains</w:t>
      </w:r>
      <w:r w:rsidRPr="00B00B6F">
        <w:t xml:space="preserve"> a processing fee of $234</w:t>
      </w:r>
      <w:r w:rsidRPr="00B00B6F" w:rsidR="00673668">
        <w:t xml:space="preserve"> with</w:t>
      </w:r>
      <w:r w:rsidRPr="00B00B6F">
        <w:t xml:space="preserve"> an asterisk</w:t>
      </w:r>
      <w:r w:rsidRPr="00B00B6F" w:rsidR="00673668">
        <w:t>,</w:t>
      </w:r>
      <w:r w:rsidRPr="00B00B6F">
        <w:t xml:space="preserve"> indicating the processing fee applies to the </w:t>
      </w:r>
      <w:r w:rsidRPr="00B00B6F" w:rsidR="00C70AE5">
        <w:t>s</w:t>
      </w:r>
      <w:r w:rsidRPr="00B00B6F">
        <w:t xml:space="preserve">tandard </w:t>
      </w:r>
      <w:r w:rsidRPr="00B00B6F" w:rsidR="00C70AE5">
        <w:t>p</w:t>
      </w:r>
      <w:r w:rsidRPr="00B00B6F">
        <w:t xml:space="preserve">lan.  </w:t>
      </w:r>
      <w:r w:rsidRPr="00B00B6F" w:rsidR="006C7451">
        <w:t>All told, the items</w:t>
      </w:r>
      <w:r w:rsidRPr="00B00B6F" w:rsidR="0095773F">
        <w:t xml:space="preserve"> in the preneed agreement</w:t>
      </w:r>
      <w:r w:rsidRPr="00B00B6F" w:rsidR="006C7451">
        <w:t xml:space="preserve"> with asterisks next to them total $2,316.  </w:t>
      </w:r>
    </w:p>
    <w:p w:rsidR="00B85175" w:rsidRPr="00B00B6F" w:rsidP="001E39F4" w14:paraId="568E0BB9" w14:textId="5C6D672A">
      <w:pPr>
        <w:ind w:firstLine="720"/>
      </w:pPr>
      <w:r w:rsidRPr="00B00B6F">
        <w:t xml:space="preserve">Below the list </w:t>
      </w:r>
      <w:r w:rsidRPr="00B00B6F" w:rsidR="001A406B">
        <w:t xml:space="preserve">of </w:t>
      </w:r>
      <w:r w:rsidRPr="00B00B6F" w:rsidR="00673668">
        <w:t>services</w:t>
      </w:r>
      <w:r w:rsidRPr="00B00B6F">
        <w:t xml:space="preserve"> in the preneed agreement is a list of items included in the retail agreement.  </w:t>
      </w:r>
      <w:r w:rsidRPr="00B00B6F">
        <w:t xml:space="preserve">Next to </w:t>
      </w:r>
      <w:r w:rsidRPr="00B00B6F" w:rsidR="00F11460">
        <w:t>a</w:t>
      </w:r>
      <w:r w:rsidRPr="00B00B6F">
        <w:t xml:space="preserve"> merchandise heading</w:t>
      </w:r>
      <w:r w:rsidRPr="00B00B6F" w:rsidR="00C63BF3">
        <w:t>,</w:t>
      </w:r>
      <w:r w:rsidRPr="00B00B6F">
        <w:t xml:space="preserve"> appears a notation that merchandise is “[s]old on a retail basis” and that “[n]o merchandise is included on any </w:t>
      </w:r>
      <w:r w:rsidRPr="00B00B6F" w:rsidR="00176CE7">
        <w:t>[p]</w:t>
      </w:r>
      <w:r w:rsidRPr="00B00B6F">
        <w:t xml:space="preserve">reneed </w:t>
      </w:r>
      <w:r w:rsidRPr="00B00B6F" w:rsidR="00176CE7">
        <w:t>[f]</w:t>
      </w:r>
      <w:r w:rsidRPr="00B00B6F">
        <w:t xml:space="preserve">uneral </w:t>
      </w:r>
      <w:r w:rsidRPr="00B00B6F" w:rsidR="00176CE7">
        <w:t>[a]</w:t>
      </w:r>
      <w:r w:rsidRPr="00B00B6F">
        <w:t>greement.”</w:t>
      </w:r>
      <w:r w:rsidRPr="00B00B6F" w:rsidR="0066287A">
        <w:t xml:space="preserve">  </w:t>
      </w:r>
      <w:r w:rsidRPr="00B00B6F" w:rsidR="00D0092F">
        <w:t>The list of items included in the retail agreement does not include a processing fee</w:t>
      </w:r>
      <w:r w:rsidRPr="00B00B6F" w:rsidR="0095773F">
        <w:t xml:space="preserve">, and items in the retail agreement with </w:t>
      </w:r>
      <w:r w:rsidRPr="00B00B6F" w:rsidR="004D12F1">
        <w:t>asterisks</w:t>
      </w:r>
      <w:r w:rsidRPr="00B00B6F" w:rsidR="0095773F">
        <w:t xml:space="preserve"> next to them total $1,233.  </w:t>
      </w:r>
      <w:r w:rsidRPr="00B00B6F">
        <w:t xml:space="preserve">After the itemized lists of costs, the price list provides that if the items purchased in the </w:t>
      </w:r>
      <w:r w:rsidRPr="00B00B6F" w:rsidR="00F11460">
        <w:t>s</w:t>
      </w:r>
      <w:r w:rsidRPr="00B00B6F">
        <w:t xml:space="preserve">tandard </w:t>
      </w:r>
      <w:r w:rsidRPr="00B00B6F" w:rsidR="00F11460">
        <w:t>p</w:t>
      </w:r>
      <w:r w:rsidRPr="00B00B6F">
        <w:t xml:space="preserve">lan were purchased separately, the “total cost of these items is $3,549.00 (depending on selected disposition of cremated remains).”  </w:t>
      </w:r>
    </w:p>
    <w:p w:rsidR="00B85175" w:rsidRPr="00B00B6F" w:rsidP="00B85175" w14:paraId="3FF418BB" w14:textId="4358B5DA">
      <w:r w:rsidRPr="00B00B6F">
        <w:tab/>
      </w:r>
      <w:r w:rsidRPr="00B00B6F" w:rsidR="00C264A3">
        <w:t>T.G.</w:t>
      </w:r>
      <w:r w:rsidRPr="00B00B6F">
        <w:t xml:space="preserve"> </w:t>
      </w:r>
      <w:r w:rsidRPr="00B00B6F" w:rsidR="00500C29">
        <w:t>purchased the standard plan</w:t>
      </w:r>
      <w:r w:rsidRPr="00B00B6F" w:rsidR="00B163AE">
        <w:t>.  Trident</w:t>
      </w:r>
      <w:r w:rsidRPr="0028069B" w:rsidR="00B163AE">
        <w:t xml:space="preserve"> charged him</w:t>
      </w:r>
      <w:r w:rsidRPr="0028069B" w:rsidR="000E7958">
        <w:t xml:space="preserve"> $637</w:t>
      </w:r>
      <w:r w:rsidRPr="0028069B">
        <w:t xml:space="preserve"> </w:t>
      </w:r>
      <w:r w:rsidRPr="0028069B" w:rsidR="00874718">
        <w:t>for</w:t>
      </w:r>
      <w:r w:rsidRPr="0028069B" w:rsidR="00E32E1E">
        <w:t xml:space="preserve"> the </w:t>
      </w:r>
      <w:r w:rsidRPr="0028069B" w:rsidR="00971F94">
        <w:t xml:space="preserve">services in the </w:t>
      </w:r>
      <w:r w:rsidRPr="0028069B" w:rsidR="00E32E1E">
        <w:t xml:space="preserve">preneed </w:t>
      </w:r>
      <w:r w:rsidRPr="0028069B" w:rsidR="00874718">
        <w:t xml:space="preserve">agreement </w:t>
      </w:r>
      <w:r w:rsidRPr="00330EBE" w:rsidR="00B163AE">
        <w:t>and $1,233 for</w:t>
      </w:r>
      <w:r w:rsidRPr="00330EBE" w:rsidR="00971F94">
        <w:t xml:space="preserve"> merchandise in</w:t>
      </w:r>
      <w:r w:rsidRPr="00330EBE" w:rsidR="00B163AE">
        <w:t xml:space="preserve"> the retail agreement</w:t>
      </w:r>
      <w:r w:rsidRPr="00330EBE">
        <w:t xml:space="preserve">.  </w:t>
      </w:r>
      <w:r w:rsidRPr="00330EBE" w:rsidR="00E00B5C">
        <w:t xml:space="preserve">Trident </w:t>
      </w:r>
      <w:r w:rsidRPr="00330EBE" w:rsidR="00971F94">
        <w:t>further added</w:t>
      </w:r>
      <w:r w:rsidRPr="00330EBE" w:rsidR="00E00B5C">
        <w:t xml:space="preserve"> the</w:t>
      </w:r>
      <w:r w:rsidRPr="00330EBE" w:rsidR="00251E52">
        <w:t xml:space="preserve"> $234 processing fee </w:t>
      </w:r>
      <w:r w:rsidRPr="00330EBE" w:rsidR="00E00B5C">
        <w:t>to the retail agreement</w:t>
      </w:r>
      <w:r w:rsidRPr="00330EBE" w:rsidR="00971F94">
        <w:t xml:space="preserve">, instead of </w:t>
      </w:r>
      <w:r w:rsidRPr="00330EBE" w:rsidR="00E13694">
        <w:t xml:space="preserve">to </w:t>
      </w:r>
      <w:r w:rsidRPr="00330EBE" w:rsidR="00971F94">
        <w:t xml:space="preserve">the preneed </w:t>
      </w:r>
      <w:r w:rsidRPr="00B00B6F" w:rsidR="00971F94">
        <w:t>agreement as indicated in the price list.</w:t>
      </w:r>
      <w:r>
        <w:rPr>
          <w:rStyle w:val="FootnoteReference"/>
        </w:rPr>
        <w:footnoteReference w:id="4"/>
      </w:r>
      <w:r w:rsidRPr="00B00B6F" w:rsidR="00971F94">
        <w:t xml:space="preserve">  </w:t>
      </w:r>
    </w:p>
    <w:p w:rsidR="00B85175" w:rsidRPr="009032FA" w:rsidP="004220D7" w14:paraId="5C2393A1" w14:textId="644BE10C">
      <w:pPr>
        <w:ind w:firstLine="720"/>
      </w:pPr>
      <w:r w:rsidRPr="00B00B6F">
        <w:t>The preneed agreement provided several terms regarding cance</w:t>
      </w:r>
      <w:r w:rsidRPr="00B00B6F" w:rsidR="00176CE7">
        <w:t>l</w:t>
      </w:r>
      <w:r w:rsidRPr="00B00B6F">
        <w:t xml:space="preserve">lation of the agreement.  </w:t>
      </w:r>
      <w:r w:rsidRPr="009032FA">
        <w:t xml:space="preserve">First, </w:t>
      </w:r>
      <w:r w:rsidRPr="009032FA">
        <w:t>the terms and conditions</w:t>
      </w:r>
      <w:r w:rsidRPr="009032FA">
        <w:t xml:space="preserve"> provided in part</w:t>
      </w:r>
      <w:r w:rsidRPr="009032FA">
        <w:t xml:space="preserve">, “All written requests for revocation by the </w:t>
      </w:r>
      <w:r w:rsidRPr="009032FA" w:rsidR="00176CE7">
        <w:t>[t]</w:t>
      </w:r>
      <w:r w:rsidRPr="009032FA">
        <w:t>rustor of a trust will be honored with</w:t>
      </w:r>
      <w:r w:rsidRPr="009032FA" w:rsidR="00014250">
        <w:t>in</w:t>
      </w:r>
      <w:r w:rsidRPr="009032FA">
        <w:t xml:space="preserve"> fifteen (15) days of receipt thereof.  The portion of this contract that is fully refundable are the funds held in trust and earned income, less any applicable administrative fees allowed by law and a revocation fee.”  </w:t>
      </w:r>
      <w:r w:rsidRPr="009032FA" w:rsidR="00E96669">
        <w:t>T</w:t>
      </w:r>
      <w:r w:rsidRPr="009032FA" w:rsidR="00745F37">
        <w:t xml:space="preserve">he </w:t>
      </w:r>
      <w:r w:rsidRPr="009032FA" w:rsidR="00E96669">
        <w:t>next</w:t>
      </w:r>
      <w:r w:rsidRPr="009032FA" w:rsidR="00745F37">
        <w:t xml:space="preserve"> page of the preneed agreement </w:t>
      </w:r>
      <w:r w:rsidRPr="009032FA">
        <w:t>provid</w:t>
      </w:r>
      <w:r w:rsidRPr="009032FA" w:rsidR="00745F37">
        <w:t>ed</w:t>
      </w:r>
      <w:r w:rsidRPr="009032FA">
        <w:t>, “All funds received will be deposited with the trustee</w:t>
      </w:r>
      <w:r w:rsidR="009032FA">
        <w:t>s</w:t>
      </w:r>
      <w:r w:rsidRPr="009032FA">
        <w:t xml:space="preserve"> within thirty (30) days and held in a trust </w:t>
      </w:r>
      <w:r w:rsidRPr="009032FA" w:rsidR="00176CE7">
        <w:t>[that]</w:t>
      </w:r>
      <w:r w:rsidRPr="009032FA">
        <w:t xml:space="preserve"> is fully refundable upon fifteen (15) days’ written notice except</w:t>
      </w:r>
      <w:r w:rsidRPr="009032FA" w:rsidR="004320F0">
        <w:t xml:space="preserve"> when the beneficiary is the recipient of public </w:t>
      </w:r>
      <w:r w:rsidRPr="009032FA" w:rsidR="0039192B">
        <w:t>assistance</w:t>
      </w:r>
      <w:r w:rsidRPr="009032FA" w:rsidR="00176CE7">
        <w:t xml:space="preserve"> . . . </w:t>
      </w:r>
      <w:r w:rsidRPr="009032FA" w:rsidR="0039192B">
        <w:t>, and this trust agreement has been designated as being irrevocable</w:t>
      </w:r>
      <w:r w:rsidRPr="009032FA" w:rsidR="00176CE7">
        <w:t> . . . .</w:t>
      </w:r>
      <w:r w:rsidRPr="009032FA">
        <w:t>”</w:t>
      </w:r>
      <w:r w:rsidRPr="009032FA" w:rsidR="00665310">
        <w:t xml:space="preserve">  </w:t>
      </w:r>
      <w:r w:rsidRPr="009032FA" w:rsidR="002E2A38">
        <w:t>(</w:t>
      </w:r>
      <w:r w:rsidRPr="009032FA" w:rsidR="009032FA">
        <w:t>Boldface &amp; some c</w:t>
      </w:r>
      <w:r w:rsidRPr="009032FA" w:rsidR="002E2A38">
        <w:t xml:space="preserve">apitalization omitted.)  </w:t>
      </w:r>
      <w:r w:rsidRPr="009032FA">
        <w:t xml:space="preserve">The next paragraph provides, “This </w:t>
      </w:r>
      <w:r w:rsidRPr="009032FA" w:rsidR="00176CE7">
        <w:t>[a]</w:t>
      </w:r>
      <w:r w:rsidRPr="009032FA">
        <w:t xml:space="preserve">greement may be cancelled within thirty (30) days of the date of acceptance of this </w:t>
      </w:r>
      <w:r w:rsidRPr="009032FA" w:rsidR="00176CE7">
        <w:t>[a]</w:t>
      </w:r>
      <w:r w:rsidRPr="009032FA">
        <w:t xml:space="preserve">greement, and a full refund of all monies paid will be made to </w:t>
      </w:r>
      <w:r w:rsidR="00236A2A">
        <w:t xml:space="preserve">[the] </w:t>
      </w:r>
      <w:r w:rsidR="00D920BD">
        <w:t>[p]</w:t>
      </w:r>
      <w:r w:rsidRPr="009032FA">
        <w:t xml:space="preserve">urchaser.”  </w:t>
      </w:r>
    </w:p>
    <w:p w:rsidR="001D5AA9" w:rsidRPr="009032FA" w:rsidP="00910955" w14:paraId="22817DD6" w14:textId="16513E86">
      <w:pPr>
        <w:ind w:firstLine="720"/>
      </w:pPr>
      <w:r w:rsidRPr="009032FA">
        <w:t xml:space="preserve">T.G. </w:t>
      </w:r>
      <w:r w:rsidRPr="009032FA" w:rsidR="003744F7">
        <w:t>a</w:t>
      </w:r>
      <w:r w:rsidRPr="009032FA">
        <w:t xml:space="preserve">lso </w:t>
      </w:r>
      <w:r w:rsidRPr="009032FA" w:rsidR="00362032">
        <w:t>signed</w:t>
      </w:r>
      <w:r w:rsidRPr="009032FA">
        <w:t xml:space="preserve"> the retail agreement, which provided</w:t>
      </w:r>
      <w:r w:rsidRPr="009032FA" w:rsidR="00ED5AC0">
        <w:t xml:space="preserve"> at the top</w:t>
      </w:r>
      <w:r w:rsidRPr="009032FA" w:rsidR="00B85175">
        <w:t xml:space="preserve">, “Retail merchandise purchased prior to death is not considered part of a preneed funeral agreement.  Payment received for the merchandise described below will not be held in trust.  Retail merchandise will be delivered to the </w:t>
      </w:r>
      <w:r w:rsidRPr="009032FA" w:rsidR="00176CE7">
        <w:t>[p]</w:t>
      </w:r>
      <w:r w:rsidRPr="009032FA" w:rsidR="00B85175">
        <w:t>urchaser.”</w:t>
      </w:r>
      <w:r w:rsidRPr="009032FA" w:rsidR="00E92921">
        <w:t xml:space="preserve">  </w:t>
      </w:r>
      <w:r w:rsidRPr="009032FA" w:rsidR="00B85175">
        <w:t>T.G.</w:t>
      </w:r>
      <w:r w:rsidRPr="009032FA" w:rsidR="00BE2E10">
        <w:t xml:space="preserve"> </w:t>
      </w:r>
      <w:r w:rsidRPr="009032FA" w:rsidR="00ED5AC0">
        <w:t>also</w:t>
      </w:r>
      <w:r w:rsidRPr="009032FA" w:rsidR="00B85175">
        <w:t xml:space="preserve"> signed a notice in the </w:t>
      </w:r>
      <w:r w:rsidRPr="009032FA" w:rsidR="00ED5AC0">
        <w:t>retail agreement</w:t>
      </w:r>
      <w:r w:rsidRPr="009032FA" w:rsidR="00B85175">
        <w:t xml:space="preserve"> providing</w:t>
      </w:r>
      <w:r w:rsidRPr="009032FA" w:rsidR="005D1264">
        <w:t>,</w:t>
      </w:r>
      <w:r w:rsidRPr="009032FA" w:rsidR="00B85175">
        <w:t xml:space="preserve"> “RETURNS – You may, within thirty (30) days of </w:t>
      </w:r>
      <w:r w:rsidRPr="009032FA" w:rsidR="009032FA">
        <w:t xml:space="preserve">the </w:t>
      </w:r>
      <w:r w:rsidRPr="009032FA" w:rsidR="00B85175">
        <w:t xml:space="preserve">acceptance of this </w:t>
      </w:r>
      <w:r w:rsidRPr="009032FA" w:rsidR="00176CE7">
        <w:t>[a]</w:t>
      </w:r>
      <w:r w:rsidRPr="009032FA" w:rsidR="00B85175">
        <w:t xml:space="preserve">greement, return the merchandise and receive a full refund.  Instructions for return will be included with the merchandise.  Your return pursuant to this section is the cancellation of this </w:t>
      </w:r>
      <w:r w:rsidRPr="009032FA" w:rsidR="003744F7">
        <w:t xml:space="preserve">[retail] </w:t>
      </w:r>
      <w:r w:rsidRPr="009032FA" w:rsidR="00176CE7">
        <w:t>[a]</w:t>
      </w:r>
      <w:r w:rsidRPr="009032FA" w:rsidR="00B85175">
        <w:t xml:space="preserve">greement and also operates as </w:t>
      </w:r>
      <w:r w:rsidR="00236A2A">
        <w:t xml:space="preserve">[the] </w:t>
      </w:r>
      <w:r w:rsidRPr="009032FA" w:rsidR="00176CE7">
        <w:t>[p]</w:t>
      </w:r>
      <w:r w:rsidRPr="009032FA" w:rsidR="00B85175">
        <w:t xml:space="preserve">urchaser’s written request to cancel </w:t>
      </w:r>
      <w:r w:rsidRPr="009032FA" w:rsidR="003744F7">
        <w:t>[the preneed agreement]</w:t>
      </w:r>
      <w:r w:rsidRPr="009032FA" w:rsidR="00B85175">
        <w:t xml:space="preserve">, unless the </w:t>
      </w:r>
      <w:r w:rsidRPr="009032FA" w:rsidR="003744F7">
        <w:t>[p</w:t>
      </w:r>
      <w:r w:rsidRPr="009032FA" w:rsidR="00B85175">
        <w:t xml:space="preserve">reneed </w:t>
      </w:r>
      <w:r w:rsidRPr="009032FA" w:rsidR="003744F7">
        <w:t>a</w:t>
      </w:r>
      <w:r w:rsidRPr="009032FA" w:rsidR="00B85175">
        <w:t>greement</w:t>
      </w:r>
      <w:r w:rsidRPr="009032FA" w:rsidR="003744F7">
        <w:t>]</w:t>
      </w:r>
      <w:r w:rsidRPr="009032FA" w:rsidR="00B85175">
        <w:t xml:space="preserve"> has been made irrevocable.”  </w:t>
      </w:r>
    </w:p>
    <w:p w:rsidR="00C264A3" w:rsidRPr="00326B4A" w:rsidP="00B85175" w14:paraId="2F2268EB" w14:textId="19204E08">
      <w:r w:rsidRPr="004D121F">
        <w:tab/>
        <w:t>In 2019, T.G. died</w:t>
      </w:r>
      <w:r w:rsidRPr="004D121F" w:rsidR="00BD0360">
        <w:t xml:space="preserve"> and his sister</w:t>
      </w:r>
      <w:r w:rsidRPr="004D121F">
        <w:t xml:space="preserve"> filed a complaint </w:t>
      </w:r>
      <w:r w:rsidRPr="004D121F" w:rsidR="00477E0B">
        <w:t>with the Bureau</w:t>
      </w:r>
      <w:r w:rsidRPr="004D121F" w:rsidR="00431146">
        <w:t xml:space="preserve"> pertaining to Trident’s sales tactics</w:t>
      </w:r>
      <w:r w:rsidRPr="004D121F" w:rsidR="00477E0B">
        <w:t xml:space="preserve">.  The Bureau investigated and </w:t>
      </w:r>
      <w:r w:rsidRPr="004D121F" w:rsidR="00C035CA">
        <w:t xml:space="preserve">issued a notice of </w:t>
      </w:r>
      <w:r w:rsidRPr="004D121F" w:rsidR="004857C1">
        <w:t>c</w:t>
      </w:r>
      <w:r w:rsidRPr="004D121F" w:rsidR="00DB73F8">
        <w:t>i</w:t>
      </w:r>
      <w:r w:rsidRPr="004D121F" w:rsidR="004857C1">
        <w:t>t</w:t>
      </w:r>
      <w:r w:rsidRPr="004D121F" w:rsidR="00DB73F8">
        <w:t>ation</w:t>
      </w:r>
      <w:r w:rsidRPr="004D121F" w:rsidR="00C035CA">
        <w:t xml:space="preserve"> </w:t>
      </w:r>
      <w:r w:rsidRPr="004D121F" w:rsidR="00014BF5">
        <w:t>f</w:t>
      </w:r>
      <w:r w:rsidRPr="004D121F" w:rsidR="00C035CA">
        <w:t>inding</w:t>
      </w:r>
      <w:r w:rsidRPr="004D121F" w:rsidR="00EE24C7">
        <w:t xml:space="preserve"> Trident</w:t>
      </w:r>
      <w:r w:rsidRPr="004D121F" w:rsidR="000B0107">
        <w:t xml:space="preserve"> failed to place in trust</w:t>
      </w:r>
      <w:r w:rsidRPr="004D121F" w:rsidR="00A566FB">
        <w:t xml:space="preserve"> as required by the Short Act</w:t>
      </w:r>
      <w:r w:rsidRPr="004D121F" w:rsidR="000B0107">
        <w:t xml:space="preserve"> all money collected </w:t>
      </w:r>
      <w:r w:rsidRPr="004D121F" w:rsidR="00F312C8">
        <w:t>from T.G. t</w:t>
      </w:r>
      <w:r w:rsidRPr="004D121F" w:rsidR="0095203C">
        <w:t>o</w:t>
      </w:r>
      <w:r w:rsidRPr="004D121F" w:rsidR="00F312C8">
        <w:t xml:space="preserve"> pa</w:t>
      </w:r>
      <w:r w:rsidRPr="004D121F" w:rsidR="0095203C">
        <w:t>y</w:t>
      </w:r>
      <w:r w:rsidRPr="004D121F" w:rsidR="00D838BB">
        <w:t xml:space="preserve"> for </w:t>
      </w:r>
      <w:r w:rsidRPr="004D121F" w:rsidR="000B0107">
        <w:t>the standard plan.</w:t>
      </w:r>
      <w:r w:rsidRPr="004D121F" w:rsidR="00014BF5">
        <w:t xml:space="preserve">  </w:t>
      </w:r>
      <w:r w:rsidRPr="004D121F" w:rsidR="00F312C8">
        <w:t>It further found that Trident made four misrepresentations</w:t>
      </w:r>
      <w:r w:rsidRPr="004D121F" w:rsidR="00A178E8">
        <w:t xml:space="preserve"> while selling the standard plan</w:t>
      </w:r>
      <w:r w:rsidRPr="004D121F" w:rsidR="00665398">
        <w:t>:  (1)</w:t>
      </w:r>
      <w:r w:rsidRPr="004D121F" w:rsidR="007F512C">
        <w:t xml:space="preserve"> </w:t>
      </w:r>
      <w:r w:rsidRPr="004D121F" w:rsidR="00B71611">
        <w:t xml:space="preserve">Trident misrepresented that </w:t>
      </w:r>
      <w:r w:rsidRPr="004D121F" w:rsidR="00AE03FF">
        <w:t xml:space="preserve">customers </w:t>
      </w:r>
      <w:r w:rsidRPr="004D121F" w:rsidR="007F512C">
        <w:t>could get a refund by cance</w:t>
      </w:r>
      <w:r w:rsidRPr="004D121F" w:rsidR="00176CE7">
        <w:t>l</w:t>
      </w:r>
      <w:r w:rsidRPr="004D121F" w:rsidR="007F512C">
        <w:t xml:space="preserve">ling </w:t>
      </w:r>
      <w:r w:rsidRPr="004D121F" w:rsidR="00AE03FF">
        <w:t>the agreement within</w:t>
      </w:r>
      <w:r w:rsidRPr="004D121F" w:rsidR="007F512C">
        <w:t xml:space="preserve"> 30 days</w:t>
      </w:r>
      <w:r w:rsidRPr="004D121F" w:rsidR="00AE03FF">
        <w:t xml:space="preserve"> when they could </w:t>
      </w:r>
      <w:r w:rsidRPr="004D121F" w:rsidR="00B707B8">
        <w:t xml:space="preserve">in fact </w:t>
      </w:r>
      <w:r w:rsidRPr="004D121F" w:rsidR="006B10E1">
        <w:t>cancel</w:t>
      </w:r>
      <w:r w:rsidRPr="004D121F" w:rsidR="00AE03FF">
        <w:t xml:space="preserve"> at any time</w:t>
      </w:r>
      <w:r w:rsidRPr="004D121F" w:rsidR="007F512C">
        <w:t xml:space="preserve">; (2) </w:t>
      </w:r>
      <w:r w:rsidRPr="004D121F" w:rsidR="00B71611">
        <w:t xml:space="preserve">Trident </w:t>
      </w:r>
      <w:r w:rsidRPr="004D121F" w:rsidR="00817DC1">
        <w:t>fail</w:t>
      </w:r>
      <w:r w:rsidRPr="004D121F" w:rsidR="00AF7EA2">
        <w:t>ed</w:t>
      </w:r>
      <w:r w:rsidRPr="004D121F" w:rsidR="00817DC1">
        <w:t xml:space="preserve"> to </w:t>
      </w:r>
      <w:r w:rsidRPr="004D121F" w:rsidR="005825B5">
        <w:t>indicate</w:t>
      </w:r>
      <w:r w:rsidRPr="004D121F" w:rsidR="00817DC1">
        <w:t xml:space="preserve"> </w:t>
      </w:r>
      <w:r w:rsidRPr="004D121F" w:rsidR="00B71611">
        <w:t xml:space="preserve">the </w:t>
      </w:r>
      <w:r w:rsidRPr="004D121F" w:rsidR="00817DC1">
        <w:t xml:space="preserve">retail </w:t>
      </w:r>
      <w:r w:rsidRPr="004D121F" w:rsidR="005825B5">
        <w:t>agreement</w:t>
      </w:r>
      <w:r w:rsidRPr="004D121F" w:rsidR="00817DC1">
        <w:t xml:space="preserve"> </w:t>
      </w:r>
      <w:r w:rsidRPr="004D121F" w:rsidR="00B71611">
        <w:t>was</w:t>
      </w:r>
      <w:r w:rsidRPr="004D121F" w:rsidR="007F512C">
        <w:t xml:space="preserve"> </w:t>
      </w:r>
      <w:r w:rsidRPr="004D121F" w:rsidR="00085A0F">
        <w:t>a</w:t>
      </w:r>
      <w:r w:rsidRPr="004D121F" w:rsidR="00042994">
        <w:t xml:space="preserve"> </w:t>
      </w:r>
      <w:r w:rsidRPr="004D121F" w:rsidR="007F512C">
        <w:t xml:space="preserve">preneed </w:t>
      </w:r>
      <w:r w:rsidRPr="004D121F" w:rsidR="00085A0F">
        <w:t>contract given it was</w:t>
      </w:r>
      <w:r w:rsidRPr="004D121F" w:rsidR="007F512C">
        <w:t xml:space="preserve"> collateral </w:t>
      </w:r>
      <w:r w:rsidRPr="004D121F" w:rsidR="004805B0">
        <w:t xml:space="preserve">to </w:t>
      </w:r>
      <w:r w:rsidRPr="004D121F" w:rsidR="00C253B3">
        <w:t>the preneed agreement when</w:t>
      </w:r>
      <w:r w:rsidRPr="004D121F" w:rsidR="00DF2751">
        <w:t xml:space="preserve"> </w:t>
      </w:r>
      <w:r w:rsidRPr="004D121F" w:rsidR="003744F7">
        <w:t>entered as part of</w:t>
      </w:r>
      <w:r w:rsidRPr="004D121F" w:rsidR="00970DC0">
        <w:t xml:space="preserve"> the</w:t>
      </w:r>
      <w:r w:rsidRPr="004D121F" w:rsidR="007F512C">
        <w:t xml:space="preserve"> </w:t>
      </w:r>
      <w:r w:rsidRPr="004D121F" w:rsidR="00970DC0">
        <w:t>s</w:t>
      </w:r>
      <w:r w:rsidRPr="004D121F" w:rsidR="007F512C">
        <w:t xml:space="preserve">tandard </w:t>
      </w:r>
      <w:r w:rsidRPr="004D121F" w:rsidR="00970DC0">
        <w:t>p</w:t>
      </w:r>
      <w:r w:rsidRPr="004D121F" w:rsidR="007F512C">
        <w:t xml:space="preserve">lan; (3) </w:t>
      </w:r>
      <w:r w:rsidRPr="004D121F" w:rsidR="00766F8F">
        <w:t>Trident charged processing fee</w:t>
      </w:r>
      <w:r w:rsidRPr="004D121F" w:rsidR="000F6591">
        <w:t>s</w:t>
      </w:r>
      <w:r w:rsidRPr="004D121F" w:rsidR="00766F8F">
        <w:t xml:space="preserve"> even though </w:t>
      </w:r>
      <w:r w:rsidRPr="004D121F" w:rsidR="00B71611">
        <w:t>the fee</w:t>
      </w:r>
      <w:r w:rsidRPr="004D121F" w:rsidR="00E2251F">
        <w:t>s</w:t>
      </w:r>
      <w:r w:rsidRPr="004D121F" w:rsidR="00766F8F">
        <w:t xml:space="preserve"> w</w:t>
      </w:r>
      <w:r w:rsidRPr="004D121F" w:rsidR="00E2251F">
        <w:t>ere</w:t>
      </w:r>
      <w:r w:rsidRPr="004D121F" w:rsidR="00766F8F">
        <w:t xml:space="preserve"> not </w:t>
      </w:r>
      <w:r w:rsidRPr="004D121F" w:rsidR="005A713B">
        <w:t>included</w:t>
      </w:r>
      <w:r w:rsidRPr="004D121F" w:rsidR="00CB71EE">
        <w:t xml:space="preserve"> in the price list</w:t>
      </w:r>
      <w:r w:rsidRPr="004D121F" w:rsidR="007F512C">
        <w:t xml:space="preserve">; </w:t>
      </w:r>
      <w:r w:rsidRPr="004D121F" w:rsidR="00766F8F">
        <w:t xml:space="preserve">and </w:t>
      </w:r>
      <w:r w:rsidRPr="004D121F" w:rsidR="007F512C">
        <w:t xml:space="preserve">(4) </w:t>
      </w:r>
      <w:r w:rsidRPr="004D121F" w:rsidR="00B71611">
        <w:t xml:space="preserve">Trident </w:t>
      </w:r>
      <w:r w:rsidRPr="004D121F" w:rsidR="007F512C">
        <w:t xml:space="preserve">misrepresented that </w:t>
      </w:r>
      <w:r w:rsidRPr="004D121F" w:rsidR="003379F7">
        <w:t xml:space="preserve">T.G.’s </w:t>
      </w:r>
      <w:r w:rsidRPr="004D121F" w:rsidR="00E13F28">
        <w:t xml:space="preserve">cremated </w:t>
      </w:r>
      <w:r w:rsidRPr="004D121F" w:rsidR="007F512C">
        <w:t xml:space="preserve">remains would be delivered by </w:t>
      </w:r>
      <w:r w:rsidRPr="004D121F" w:rsidR="003379F7">
        <w:t xml:space="preserve">a </w:t>
      </w:r>
      <w:r w:rsidRPr="004D121F" w:rsidR="007F512C">
        <w:t>Trident employee</w:t>
      </w:r>
      <w:r w:rsidRPr="004D121F" w:rsidR="004805B0">
        <w:t xml:space="preserve"> to Oceanside</w:t>
      </w:r>
      <w:r w:rsidRPr="004D121F" w:rsidR="007F512C">
        <w:t xml:space="preserve">.  </w:t>
      </w:r>
      <w:r w:rsidRPr="00326B4A" w:rsidR="00014BF5">
        <w:t xml:space="preserve">The Bureau ordered Trident to </w:t>
      </w:r>
      <w:r w:rsidRPr="00326B4A" w:rsidR="00562E2A">
        <w:t xml:space="preserve">abate </w:t>
      </w:r>
      <w:r w:rsidRPr="00326B4A" w:rsidR="00DB295F">
        <w:t>its practices</w:t>
      </w:r>
      <w:r w:rsidRPr="00326B4A" w:rsidR="005F44CB">
        <w:t xml:space="preserve"> without issuing a fine</w:t>
      </w:r>
      <w:r w:rsidRPr="00326B4A" w:rsidR="00504C9A">
        <w:t xml:space="preserve">.  </w:t>
      </w:r>
    </w:p>
    <w:p w:rsidR="00866A31" w:rsidRPr="00D255F6" w:rsidP="00B85175" w14:paraId="4AD329C8" w14:textId="2086BF63">
      <w:r w:rsidRPr="001C711D">
        <w:tab/>
        <w:t xml:space="preserve">Trident appealed the Bureau’s </w:t>
      </w:r>
      <w:r w:rsidRPr="001C711D" w:rsidR="0055599D">
        <w:t>citation</w:t>
      </w:r>
      <w:r w:rsidRPr="001C711D" w:rsidR="006E6EA2">
        <w:t>.</w:t>
      </w:r>
      <w:r w:rsidRPr="001C711D" w:rsidR="00C253B3">
        <w:t xml:space="preserve">  </w:t>
      </w:r>
      <w:r w:rsidRPr="001C711D">
        <w:t xml:space="preserve">An administrative law judge found </w:t>
      </w:r>
      <w:r w:rsidRPr="001C711D" w:rsidR="005B529A">
        <w:t xml:space="preserve">that the </w:t>
      </w:r>
      <w:r w:rsidRPr="001C711D" w:rsidR="00EA676B">
        <w:t>Short Act</w:t>
      </w:r>
      <w:r w:rsidRPr="001C711D" w:rsidR="005B529A">
        <w:t xml:space="preserve"> required Trident to place all funds </w:t>
      </w:r>
      <w:r w:rsidRPr="001C711D" w:rsidR="007748E8">
        <w:t>to</w:t>
      </w:r>
      <w:r w:rsidRPr="001C711D" w:rsidR="00AB3B89">
        <w:t xml:space="preserve"> purchase</w:t>
      </w:r>
      <w:r w:rsidRPr="001C711D" w:rsidR="007748E8">
        <w:t xml:space="preserve"> the standard plan in trust because </w:t>
      </w:r>
      <w:r w:rsidRPr="001C711D" w:rsidR="008A50FC">
        <w:t>the retail agreement was</w:t>
      </w:r>
      <w:r w:rsidRPr="001C711D" w:rsidR="00705A1F">
        <w:t xml:space="preserve"> collateral to </w:t>
      </w:r>
      <w:r w:rsidRPr="001C711D" w:rsidR="008A50FC">
        <w:t>the</w:t>
      </w:r>
      <w:r w:rsidRPr="001C711D" w:rsidR="00705A1F">
        <w:t xml:space="preserve"> preened </w:t>
      </w:r>
      <w:r w:rsidRPr="001C711D" w:rsidR="008A50FC">
        <w:t>agreement</w:t>
      </w:r>
      <w:r w:rsidRPr="001C711D" w:rsidR="00705A1F">
        <w:t>.</w:t>
      </w:r>
      <w:r w:rsidRPr="001C711D" w:rsidR="008A50FC">
        <w:t xml:space="preserve">  </w:t>
      </w:r>
      <w:r w:rsidRPr="00897A65" w:rsidR="00705A1F">
        <w:t xml:space="preserve">The administrative law judge also </w:t>
      </w:r>
      <w:r w:rsidRPr="00897A65" w:rsidR="00762D9A">
        <w:t xml:space="preserve">sustained the Bureau’s misrepresentation findings, except for the finding </w:t>
      </w:r>
      <w:r w:rsidRPr="00897A65" w:rsidR="003A3725">
        <w:t>concerning</w:t>
      </w:r>
      <w:r w:rsidRPr="00897A65" w:rsidR="00762D9A">
        <w:t xml:space="preserve"> the delivery of T.G.’s cremated remains.</w:t>
      </w:r>
      <w:r w:rsidRPr="00897A65" w:rsidR="00587379">
        <w:t xml:space="preserve">  </w:t>
      </w:r>
      <w:r w:rsidRPr="00D255F6">
        <w:t xml:space="preserve">Trident filed a petition for writ of </w:t>
      </w:r>
      <w:r w:rsidRPr="00D255F6" w:rsidR="00196776">
        <w:t>mandate</w:t>
      </w:r>
      <w:r w:rsidRPr="00D255F6">
        <w:t xml:space="preserve"> in the </w:t>
      </w:r>
      <w:r w:rsidRPr="00D255F6" w:rsidR="00196776">
        <w:t>superior</w:t>
      </w:r>
      <w:r w:rsidRPr="00D255F6">
        <w:t xml:space="preserve"> court, challenging the administrative law judge’s </w:t>
      </w:r>
      <w:r w:rsidRPr="00D255F6" w:rsidR="00803E3A">
        <w:t>decision</w:t>
      </w:r>
      <w:r w:rsidRPr="00D255F6">
        <w:t>.</w:t>
      </w:r>
      <w:r w:rsidRPr="00D255F6" w:rsidR="00587379">
        <w:t xml:space="preserve">  </w:t>
      </w:r>
      <w:r w:rsidRPr="00D255F6" w:rsidR="00DA5517">
        <w:t xml:space="preserve">The </w:t>
      </w:r>
      <w:r w:rsidRPr="00D255F6" w:rsidR="00196776">
        <w:t>superior</w:t>
      </w:r>
      <w:r w:rsidRPr="00D255F6" w:rsidR="00DA5517">
        <w:t xml:space="preserve"> court</w:t>
      </w:r>
      <w:r w:rsidRPr="00D255F6" w:rsidR="00714617">
        <w:t xml:space="preserve"> </w:t>
      </w:r>
      <w:r w:rsidRPr="00D255F6" w:rsidR="00D13E1E">
        <w:t xml:space="preserve">denied the petition.  </w:t>
      </w:r>
    </w:p>
    <w:p w:rsidR="001D5AA9" w:rsidRPr="00D255F6" w:rsidP="008A0537" w14:paraId="184235B4" w14:textId="2F9751F5">
      <w:r w:rsidRPr="00D255F6">
        <w:tab/>
        <w:t xml:space="preserve">Trident appeals.  </w:t>
      </w:r>
    </w:p>
    <w:p w:rsidR="001D5AA9" w:rsidRPr="00091EEC" w:rsidP="008621DA" w14:paraId="537E77DB" w14:textId="2BD1D535">
      <w:pPr>
        <w:keepNext/>
        <w:jc w:val="center"/>
      </w:pPr>
      <w:r w:rsidRPr="00091EEC">
        <w:t>DISCUSSION</w:t>
      </w:r>
      <w:r>
        <w:rPr>
          <w:rStyle w:val="FootnoteReference"/>
        </w:rPr>
        <w:footnoteReference w:id="5"/>
      </w:r>
    </w:p>
    <w:p w:rsidR="008621DA" w:rsidRPr="00091EEC" w:rsidP="008621DA" w14:paraId="01977C22" w14:textId="199C501C">
      <w:r w:rsidRPr="00091EEC">
        <w:tab/>
      </w:r>
      <w:r w:rsidRPr="00091EEC">
        <w:t xml:space="preserve">Code of Civil Procedure section 1094.5 “governs judicial review of adjudicatory decisions by administrative agencies.” </w:t>
      </w:r>
      <w:r w:rsidRPr="00091EEC" w:rsidR="00F61E09">
        <w:t xml:space="preserve"> </w:t>
      </w:r>
      <w:r w:rsidRPr="00091EEC">
        <w:t>(</w:t>
      </w:r>
      <w:bookmarkStart w:id="0" w:name="dabmci_fc5665f350504e04ad380e8a0a38c8b8"/>
      <w:r w:rsidRPr="00091EEC">
        <w:rPr>
          <w:i/>
          <w:iCs/>
        </w:rPr>
        <w:t>Akella v. Regents of University of California</w:t>
      </w:r>
      <w:r w:rsidRPr="00091EEC">
        <w:t xml:space="preserve"> (2021) 61</w:t>
      </w:r>
      <w:r w:rsidRPr="00091EEC" w:rsidR="00C72D8E">
        <w:t> Cal.</w:t>
      </w:r>
      <w:r w:rsidRPr="00091EEC">
        <w:t>App.5th 801, 813</w:t>
      </w:r>
      <w:bookmarkEnd w:id="0"/>
      <w:r w:rsidRPr="00091EEC">
        <w:t xml:space="preserve">.) </w:t>
      </w:r>
      <w:r w:rsidRPr="00091EEC" w:rsidR="00FE60E8">
        <w:t xml:space="preserve"> </w:t>
      </w:r>
      <w:r w:rsidRPr="00091EEC">
        <w:t xml:space="preserve">The inquiry in such a case extends to whether the respondent to the administrative mandate petition (here, </w:t>
      </w:r>
      <w:r w:rsidRPr="00091EEC" w:rsidR="00FE60E8">
        <w:t>the Bureau</w:t>
      </w:r>
      <w:r w:rsidRPr="00091EEC">
        <w:t>) “has proceeded without, or in excess of, jurisdiction; whether there was a fair trial; and whether there was any prejudicial abuse of discretion.”</w:t>
      </w:r>
      <w:r w:rsidRPr="00091EEC" w:rsidR="00956366">
        <w:t xml:space="preserve"> </w:t>
      </w:r>
      <w:r w:rsidRPr="00091EEC">
        <w:t xml:space="preserve"> (Code Civ. Proc., </w:t>
      </w:r>
      <w:r w:rsidRPr="00091EEC" w:rsidR="00C72D8E">
        <w:t>§ </w:t>
      </w:r>
      <w:r w:rsidRPr="00091EEC">
        <w:t xml:space="preserve">1094.5, subd. (b).) </w:t>
      </w:r>
      <w:r w:rsidRPr="00091EEC" w:rsidR="00956366">
        <w:t xml:space="preserve"> </w:t>
      </w:r>
      <w:r w:rsidRPr="00091EEC">
        <w:t xml:space="preserve">An abuse of discretion is established if the </w:t>
      </w:r>
      <w:r w:rsidRPr="00091EEC" w:rsidR="008039C5">
        <w:t>Bureau</w:t>
      </w:r>
      <w:r w:rsidRPr="00091EEC">
        <w:t xml:space="preserve"> has failed to proceed “in the manner required by law, the [</w:t>
      </w:r>
      <w:r w:rsidRPr="00091EEC" w:rsidR="008039C5">
        <w:t>Bureau</w:t>
      </w:r>
      <w:r w:rsidRPr="00091EEC" w:rsidR="00FE60E8">
        <w:t>’</w:t>
      </w:r>
      <w:r w:rsidRPr="00091EEC">
        <w:t xml:space="preserve">s] order or decision is not supported by the findings, or the findings are not supported by the evidence.” </w:t>
      </w:r>
      <w:r w:rsidRPr="00091EEC" w:rsidR="00956366">
        <w:t xml:space="preserve"> </w:t>
      </w:r>
      <w:r w:rsidRPr="00091EEC">
        <w:t>(</w:t>
      </w:r>
      <w:bookmarkStart w:id="1" w:name="dabmci_c0800bafcb3f4b149e3c6e9607b4e00a"/>
      <w:r w:rsidRPr="00091EEC">
        <w:rPr>
          <w:i/>
          <w:iCs/>
        </w:rPr>
        <w:t>Ibid</w:t>
      </w:r>
      <w:r w:rsidRPr="00091EEC">
        <w:t>.</w:t>
      </w:r>
      <w:bookmarkEnd w:id="1"/>
      <w:r w:rsidRPr="00091EEC">
        <w:t>)</w:t>
      </w:r>
      <w:r w:rsidRPr="00091EEC" w:rsidR="00956366">
        <w:t xml:space="preserve"> </w:t>
      </w:r>
      <w:r w:rsidRPr="00091EEC">
        <w:t xml:space="preserve"> Whether the record supports the agency</w:t>
      </w:r>
      <w:r w:rsidRPr="00091EEC" w:rsidR="008039C5">
        <w:t>’</w:t>
      </w:r>
      <w:r w:rsidRPr="00091EEC">
        <w:t xml:space="preserve">s findings and factual basis for its decision or order is a question of substantial evidence in light of the entire administrative record. </w:t>
      </w:r>
      <w:r w:rsidRPr="00091EEC" w:rsidR="00956366">
        <w:t xml:space="preserve"> </w:t>
      </w:r>
      <w:r w:rsidRPr="00091EEC">
        <w:t>(</w:t>
      </w:r>
      <w:bookmarkStart w:id="2" w:name="dabmci_b9005e35d1954bcbaf9780e746a71e9f"/>
      <w:r w:rsidRPr="00091EEC" w:rsidR="00D20A8F">
        <w:t>Code Civ. Proc.</w:t>
      </w:r>
      <w:r w:rsidRPr="00091EEC">
        <w:t>,</w:t>
      </w:r>
      <w:bookmarkEnd w:id="2"/>
      <w:r w:rsidRPr="00091EEC">
        <w:t xml:space="preserve"> </w:t>
      </w:r>
      <w:r w:rsidRPr="00091EEC" w:rsidR="00205BE0">
        <w:t>§ 1094.5</w:t>
      </w:r>
      <w:r w:rsidR="00205BE0">
        <w:t xml:space="preserve">, </w:t>
      </w:r>
      <w:r w:rsidRPr="00091EEC">
        <w:t xml:space="preserve">subd. (c); </w:t>
      </w:r>
      <w:bookmarkStart w:id="3" w:name="dabmci_82756fe595fc4a9fa65ceb2347fe1fff"/>
      <w:r w:rsidRPr="00091EEC">
        <w:rPr>
          <w:i/>
          <w:iCs/>
        </w:rPr>
        <w:t>Akella</w:t>
      </w:r>
      <w:r w:rsidRPr="00091EEC">
        <w:t>, at p</w:t>
      </w:r>
      <w:r w:rsidRPr="00091EEC" w:rsidR="00C72D8E">
        <w:t>p. </w:t>
      </w:r>
      <w:r w:rsidRPr="00091EEC">
        <w:t>813-814</w:t>
      </w:r>
      <w:bookmarkEnd w:id="3"/>
      <w:r w:rsidRPr="00091EEC">
        <w:t xml:space="preserve">.) </w:t>
      </w:r>
      <w:r w:rsidRPr="00091EEC" w:rsidR="00956366">
        <w:t xml:space="preserve"> </w:t>
      </w:r>
      <w:r w:rsidRPr="00091EEC">
        <w:t xml:space="preserve">However, to the extent the administrative decision involves a question of law, including the interpretation of statutes and application of judicial precedent, the reviewing court exercises independent judgment. </w:t>
      </w:r>
      <w:r w:rsidRPr="00091EEC" w:rsidR="00956366">
        <w:t xml:space="preserve"> </w:t>
      </w:r>
      <w:r w:rsidRPr="00091EEC">
        <w:t>(</w:t>
      </w:r>
      <w:bookmarkStart w:id="4" w:name="dabmci_fbf7bba680ca42e18dc8a164575e4cf4"/>
      <w:r w:rsidRPr="00091EEC">
        <w:rPr>
          <w:i/>
          <w:iCs/>
        </w:rPr>
        <w:t>Akella</w:t>
      </w:r>
      <w:r w:rsidRPr="00091EEC">
        <w:t xml:space="preserve">, at </w:t>
      </w:r>
      <w:r w:rsidRPr="00091EEC" w:rsidR="00C72D8E">
        <w:t>p. </w:t>
      </w:r>
      <w:r w:rsidRPr="00091EEC">
        <w:t>815</w:t>
      </w:r>
      <w:bookmarkEnd w:id="4"/>
      <w:r w:rsidRPr="00091EEC">
        <w:t xml:space="preserve">; </w:t>
      </w:r>
      <w:bookmarkStart w:id="5" w:name="dabmci_58aecd79195b421c9d60579273581dd2"/>
      <w:r w:rsidRPr="00091EEC">
        <w:rPr>
          <w:i/>
          <w:iCs/>
        </w:rPr>
        <w:t>McAllister v. California Coastal Com.</w:t>
      </w:r>
      <w:r w:rsidRPr="00091EEC">
        <w:t xml:space="preserve"> (2008) 169</w:t>
      </w:r>
      <w:r w:rsidRPr="00091EEC" w:rsidR="00C72D8E">
        <w:t> Cal.</w:t>
      </w:r>
      <w:r w:rsidRPr="00091EEC">
        <w:t>App.4th 912, 921-922</w:t>
      </w:r>
      <w:bookmarkEnd w:id="5"/>
      <w:r w:rsidRPr="00091EEC">
        <w:t>.)</w:t>
      </w:r>
      <w:r w:rsidRPr="00091EEC" w:rsidR="00825F8D">
        <w:t xml:space="preserve">  </w:t>
      </w:r>
    </w:p>
    <w:p w:rsidR="001D5AA9" w:rsidRPr="00091EEC" w:rsidP="00956366" w14:paraId="78E5C812" w14:textId="311583A2">
      <w:pPr>
        <w:ind w:firstLine="720"/>
      </w:pPr>
      <w:r w:rsidRPr="00091EEC">
        <w:t>In applying this standard on appeal, “we do not ‘undertak[e] a review of the trial court</w:t>
      </w:r>
      <w:r w:rsidRPr="00091EEC" w:rsidR="00956366">
        <w:t>’</w:t>
      </w:r>
      <w:r w:rsidRPr="00091EEC">
        <w:t xml:space="preserve">s findings or conclusions. </w:t>
      </w:r>
      <w:r w:rsidRPr="00091EEC" w:rsidR="00956366">
        <w:t xml:space="preserve"> </w:t>
      </w:r>
      <w:r w:rsidRPr="00091EEC">
        <w:t>Instead, “we review the matter without reference to the trial court</w:t>
      </w:r>
      <w:r w:rsidRPr="00091EEC" w:rsidR="00EA385F">
        <w:t>’</w:t>
      </w:r>
      <w:r w:rsidRPr="00091EEC">
        <w:t>s actions.</w:t>
      </w:r>
      <w:r w:rsidRPr="00091EEC" w:rsidR="00EA385F">
        <w:t xml:space="preserve"> </w:t>
      </w:r>
      <w:r w:rsidRPr="00091EEC">
        <w:t xml:space="preserve"> In mandamus actions, the trial court and appellate court perform the same function.”</w:t>
      </w:r>
      <w:r w:rsidRPr="00091EEC" w:rsidR="00F419FE">
        <w:t> </w:t>
      </w:r>
      <w:r w:rsidRPr="00091EEC">
        <w:t>’</w:t>
      </w:r>
      <w:r w:rsidRPr="00091EEC" w:rsidR="00F419FE">
        <w:t> </w:t>
      </w:r>
      <w:r w:rsidRPr="00091EEC">
        <w:t xml:space="preserve">” </w:t>
      </w:r>
      <w:r w:rsidRPr="00091EEC" w:rsidR="00956366">
        <w:t xml:space="preserve"> </w:t>
      </w:r>
      <w:r w:rsidRPr="00091EEC">
        <w:t>(</w:t>
      </w:r>
      <w:bookmarkStart w:id="6" w:name="dabmci_9e48e072a4e34260aebee561af23d235"/>
      <w:r w:rsidRPr="00091EEC">
        <w:rPr>
          <w:i/>
          <w:iCs/>
        </w:rPr>
        <w:t>Jefferson Street Ventures, LLC v. City of Indio</w:t>
      </w:r>
      <w:r w:rsidRPr="00091EEC">
        <w:t xml:space="preserve"> (2015) 236</w:t>
      </w:r>
      <w:r w:rsidRPr="00091EEC" w:rsidR="00C72D8E">
        <w:t> Cal.</w:t>
      </w:r>
      <w:r w:rsidRPr="00091EEC">
        <w:t>App.4th 1175, 1197</w:t>
      </w:r>
      <w:bookmarkEnd w:id="6"/>
      <w:r w:rsidRPr="00091EEC">
        <w:t>.)</w:t>
      </w:r>
      <w:r w:rsidRPr="00091EEC" w:rsidR="00825F8D">
        <w:t xml:space="preserve">  </w:t>
      </w:r>
    </w:p>
    <w:p w:rsidR="001D5AA9" w:rsidRPr="00091EEC" w:rsidP="00680A1D" w14:paraId="0AB1BB80" w14:textId="07F1654F">
      <w:pPr>
        <w:keepNext/>
        <w:jc w:val="center"/>
      </w:pPr>
      <w:r w:rsidRPr="00091EEC">
        <w:t>I</w:t>
      </w:r>
    </w:p>
    <w:p w:rsidR="00091EEC" w:rsidP="005F22B5" w14:paraId="06612B67" w14:textId="0546C3AC">
      <w:pPr>
        <w:keepNext/>
        <w:jc w:val="center"/>
        <w:rPr>
          <w:i/>
          <w:iCs/>
        </w:rPr>
      </w:pPr>
      <w:r w:rsidRPr="00091EEC">
        <w:rPr>
          <w:i/>
          <w:iCs/>
        </w:rPr>
        <w:t xml:space="preserve">Trident Was Required To </w:t>
      </w:r>
      <w:r w:rsidRPr="00091EEC" w:rsidR="00CD07E4">
        <w:rPr>
          <w:i/>
          <w:iCs/>
        </w:rPr>
        <w:t xml:space="preserve">Hold </w:t>
      </w:r>
      <w:r w:rsidR="00236A2A">
        <w:rPr>
          <w:i/>
          <w:iCs/>
        </w:rPr>
        <w:t>I</w:t>
      </w:r>
      <w:r w:rsidRPr="00091EEC" w:rsidR="00CD07E4">
        <w:rPr>
          <w:i/>
          <w:iCs/>
        </w:rPr>
        <w:t xml:space="preserve">n </w:t>
      </w:r>
      <w:r w:rsidRPr="00091EEC" w:rsidR="00C35FCE">
        <w:rPr>
          <w:i/>
          <w:iCs/>
        </w:rPr>
        <w:t>Trust</w:t>
      </w:r>
      <w:r w:rsidRPr="00091EEC">
        <w:rPr>
          <w:i/>
          <w:iCs/>
        </w:rPr>
        <w:t xml:space="preserve"> Money</w:t>
      </w:r>
    </w:p>
    <w:p w:rsidR="003D6EBD" w:rsidRPr="00091EEC" w:rsidP="005F22B5" w14:paraId="55698186" w14:textId="2BED1D8F">
      <w:pPr>
        <w:keepNext/>
        <w:jc w:val="center"/>
        <w:rPr>
          <w:i/>
          <w:iCs/>
        </w:rPr>
      </w:pPr>
      <w:r w:rsidRPr="00091EEC">
        <w:rPr>
          <w:i/>
          <w:iCs/>
        </w:rPr>
        <w:t xml:space="preserve">Received </w:t>
      </w:r>
      <w:r w:rsidRPr="00091EEC" w:rsidR="00F12A1E">
        <w:rPr>
          <w:i/>
          <w:iCs/>
        </w:rPr>
        <w:t>To Purchase</w:t>
      </w:r>
      <w:r w:rsidRPr="00091EEC">
        <w:rPr>
          <w:i/>
          <w:iCs/>
        </w:rPr>
        <w:t xml:space="preserve"> The Standard Plan</w:t>
      </w:r>
    </w:p>
    <w:p w:rsidR="00927B15" w:rsidRPr="00EC20F6" w:rsidP="0092214F" w14:paraId="6E9AE914" w14:textId="3925A4EE">
      <w:pPr>
        <w:keepNext/>
      </w:pPr>
      <w:r w:rsidRPr="009F5E69">
        <w:tab/>
        <w:t>Trident contends</w:t>
      </w:r>
      <w:r w:rsidRPr="009F5E69" w:rsidR="00DD4F7B">
        <w:t xml:space="preserve"> section </w:t>
      </w:r>
      <w:r w:rsidRPr="009F5E69" w:rsidR="00B00490">
        <w:t>7735</w:t>
      </w:r>
      <w:r w:rsidRPr="009F5E69" w:rsidR="009A5A86">
        <w:t xml:space="preserve"> </w:t>
      </w:r>
      <w:r w:rsidRPr="009F5E69" w:rsidR="008F61A3">
        <w:t xml:space="preserve">does not apply to the money it </w:t>
      </w:r>
      <w:r w:rsidRPr="009F5E69" w:rsidR="000E4778">
        <w:t>received to pur</w:t>
      </w:r>
      <w:r w:rsidRPr="009F5E69" w:rsidR="0020697D">
        <w:t xml:space="preserve">chase </w:t>
      </w:r>
      <w:r w:rsidRPr="009F5E69" w:rsidR="00F31161">
        <w:t>the merchandise</w:t>
      </w:r>
      <w:r w:rsidRPr="009F5E69" w:rsidR="00D2585E">
        <w:t xml:space="preserve"> contained in </w:t>
      </w:r>
      <w:r w:rsidRPr="009F5E69" w:rsidR="0020697D">
        <w:t xml:space="preserve">the retail </w:t>
      </w:r>
      <w:r w:rsidRPr="009F5E69" w:rsidR="00D2585E">
        <w:t>agreement</w:t>
      </w:r>
      <w:r w:rsidRPr="009F5E69" w:rsidR="0020697D">
        <w:t xml:space="preserve"> because th</w:t>
      </w:r>
      <w:r w:rsidRPr="009F5E69" w:rsidR="00F31161">
        <w:t>e</w:t>
      </w:r>
      <w:r w:rsidRPr="009F5E69" w:rsidR="0020697D">
        <w:t xml:space="preserve"> merchandise was delivered. </w:t>
      </w:r>
      <w:r w:rsidRPr="009F5E69" w:rsidR="0092214F">
        <w:t xml:space="preserve"> </w:t>
      </w:r>
      <w:r w:rsidRPr="00EC20F6" w:rsidR="0092214F">
        <w:t>We disagree</w:t>
      </w:r>
      <w:r w:rsidRPr="00EC20F6" w:rsidR="00BB433D">
        <w:t>, because although the merchandise was delivered, the contract providing for purchase and delivery of the merchandise was collateral to a preneed contract</w:t>
      </w:r>
      <w:r w:rsidRPr="00EC20F6" w:rsidR="0092214F">
        <w:t>.</w:t>
      </w:r>
    </w:p>
    <w:p w:rsidR="00C839C6" w:rsidRPr="00091EEC" w:rsidP="00AD4C4D" w14:paraId="482049B5" w14:textId="05A9B0D8">
      <w:pPr>
        <w:rPr>
          <w:highlight w:val="green"/>
        </w:rPr>
      </w:pPr>
      <w:r w:rsidRPr="00057ACB">
        <w:tab/>
      </w:r>
      <w:r w:rsidRPr="00057ACB" w:rsidR="00BF2E0E">
        <w:t>Chapter 12 of the Business and Professions Code govern</w:t>
      </w:r>
      <w:r w:rsidRPr="00057ACB" w:rsidR="0012197D">
        <w:t xml:space="preserve">s </w:t>
      </w:r>
      <w:r w:rsidRPr="00057ACB" w:rsidR="00FF15AB">
        <w:t xml:space="preserve">the funeral and burial business.  In </w:t>
      </w:r>
      <w:r w:rsidRPr="00057ACB" w:rsidR="000613E0">
        <w:t>the last article</w:t>
      </w:r>
      <w:r w:rsidRPr="00057ACB" w:rsidR="007D15B0">
        <w:t xml:space="preserve"> of that chapter</w:t>
      </w:r>
      <w:r w:rsidRPr="00057ACB" w:rsidR="00C147E2">
        <w:t xml:space="preserve">, the Legislature enacted the Short Act, which </w:t>
      </w:r>
      <w:r w:rsidRPr="00057ACB" w:rsidR="005429C9">
        <w:t>governs preneed</w:t>
      </w:r>
      <w:r w:rsidRPr="00057ACB" w:rsidR="006049AB">
        <w:t xml:space="preserve"> agreements</w:t>
      </w:r>
      <w:r w:rsidRPr="00057ACB" w:rsidR="00BE37BD">
        <w:t xml:space="preserve"> entered by funeral establishments</w:t>
      </w:r>
      <w:r w:rsidRPr="00057ACB" w:rsidR="00DC4F25">
        <w:t>.</w:t>
      </w:r>
      <w:r w:rsidRPr="00057ACB" w:rsidR="00D435A2">
        <w:t xml:space="preserve">  (</w:t>
      </w:r>
      <w:r w:rsidRPr="00057ACB" w:rsidR="00C72D8E">
        <w:t>§ </w:t>
      </w:r>
      <w:r w:rsidRPr="00057ACB" w:rsidR="00D435A2">
        <w:t>7735</w:t>
      </w:r>
      <w:r w:rsidRPr="00057ACB" w:rsidR="00DC4F25">
        <w:t xml:space="preserve"> et seq</w:t>
      </w:r>
      <w:r w:rsidRPr="00CC1C07" w:rsidR="00D435A2">
        <w:t xml:space="preserve">.)  </w:t>
      </w:r>
      <w:r w:rsidRPr="00CC1C07">
        <w:t>The Short Act</w:t>
      </w:r>
      <w:r w:rsidRPr="00CC1C07" w:rsidR="00BE37BD">
        <w:t>,</w:t>
      </w:r>
      <w:r w:rsidRPr="00CC1C07">
        <w:t xml:space="preserve"> enacted </w:t>
      </w:r>
      <w:r w:rsidRPr="00CC1C07" w:rsidR="006049AB">
        <w:t>in 1965</w:t>
      </w:r>
      <w:r w:rsidRPr="00CC1C07" w:rsidR="00BE37BD">
        <w:t>,</w:t>
      </w:r>
      <w:r w:rsidRPr="00CC1C07" w:rsidR="00AD4C4D">
        <w:t xml:space="preserve"> “sets out an elaborate plan for the control of funds accruing under preneed funeral contracts.  Its obvious purpose is to recognize the utility of a prepaid funeral arrangement and at the same time assure its performance by requiring that all consideration paid pursuant thereto be held in trust until the need materializes.</w:t>
      </w:r>
      <w:r w:rsidRPr="00CC1C07" w:rsidR="002E217B">
        <w:t xml:space="preserve"> </w:t>
      </w:r>
      <w:r w:rsidRPr="00CC1C07" w:rsidR="00AD4C4D">
        <w:t xml:space="preserve"> </w:t>
      </w:r>
      <w:r w:rsidRPr="00CC1C07" w:rsidR="002E217B">
        <w:t>‘</w:t>
      </w:r>
      <w:r w:rsidRPr="00CC1C07" w:rsidR="00AD4C4D">
        <w:t>While such a requirement may seem harsh to some it has been observed that the anticipated passage of time between execution of the agreement and performance establishes a fertile field for fraud, deceit and imposition with the ensuing solvency imminent.</w:t>
      </w:r>
      <w:r w:rsidRPr="00CC1C07" w:rsidR="002E217B">
        <w:t xml:space="preserve"> </w:t>
      </w:r>
      <w:r w:rsidRPr="00CC1C07" w:rsidR="00AD4C4D">
        <w:t xml:space="preserve"> </w:t>
      </w:r>
      <w:r w:rsidR="00237DB0">
        <w:t>[</w:t>
      </w:r>
      <w:r w:rsidRPr="00CC1C07" w:rsidR="00AD4C4D">
        <w:t>Fn. omitted.</w:t>
      </w:r>
      <w:r w:rsidR="00237DB0">
        <w:t>]</w:t>
      </w:r>
      <w:r w:rsidRPr="00CC1C07" w:rsidR="002E217B">
        <w:t xml:space="preserve"> </w:t>
      </w:r>
      <w:r w:rsidRPr="00CC1C07" w:rsidR="00AD4C4D">
        <w:t xml:space="preserve"> </w:t>
      </w:r>
      <w:r w:rsidR="00237DB0">
        <w:t>[</w:t>
      </w:r>
      <w:r w:rsidRPr="00CC1C07" w:rsidR="00AD4C4D">
        <w:t>Citations.</w:t>
      </w:r>
      <w:r w:rsidR="00237DB0">
        <w:t>]</w:t>
      </w:r>
      <w:r w:rsidRPr="00CC1C07" w:rsidR="002E217B">
        <w:t xml:space="preserve"> </w:t>
      </w:r>
      <w:r w:rsidRPr="00CC1C07" w:rsidR="00AD4C4D">
        <w:t xml:space="preserve"> The Legislature has determined that the public interest in securing performance of prepaid funerals was greatly endangered by the large sums attributed to sales expenses and commission.</w:t>
      </w:r>
      <w:r w:rsidRPr="00CC1C07" w:rsidR="00C416CA">
        <w:t>’</w:t>
      </w:r>
      <w:r w:rsidRPr="00CC1C07" w:rsidR="00F419FE">
        <w:t> </w:t>
      </w:r>
      <w:r w:rsidRPr="00CC1C07" w:rsidR="000E4702">
        <w:t>”  (</w:t>
      </w:r>
      <w:bookmarkStart w:id="7" w:name="dabmci_a6d1d012558d495c8ae866091e539795"/>
      <w:r w:rsidRPr="00CC1C07" w:rsidR="00AD4C4D">
        <w:rPr>
          <w:i/>
          <w:iCs/>
        </w:rPr>
        <w:t>Mount Vernon Mem</w:t>
      </w:r>
      <w:r w:rsidRPr="00CC1C07" w:rsidR="00C07A8C">
        <w:rPr>
          <w:i/>
          <w:iCs/>
        </w:rPr>
        <w:t>oria</w:t>
      </w:r>
      <w:r w:rsidRPr="00CC1C07" w:rsidR="00AD4C4D">
        <w:rPr>
          <w:i/>
          <w:iCs/>
        </w:rPr>
        <w:t>l Park v. B</w:t>
      </w:r>
      <w:r w:rsidRPr="00CC1C07" w:rsidR="00CC1C07">
        <w:rPr>
          <w:i/>
          <w:iCs/>
        </w:rPr>
        <w:t>oar</w:t>
      </w:r>
      <w:r w:rsidRPr="00CC1C07" w:rsidR="00AD4C4D">
        <w:rPr>
          <w:i/>
          <w:iCs/>
        </w:rPr>
        <w:t>d of Funeral Directors &amp; Embalmers</w:t>
      </w:r>
      <w:r w:rsidRPr="00CC1C07" w:rsidR="00C07A8C">
        <w:t xml:space="preserve"> (1978)</w:t>
      </w:r>
      <w:r w:rsidRPr="00CC1C07" w:rsidR="00AD4C4D">
        <w:t xml:space="preserve"> 79</w:t>
      </w:r>
      <w:r w:rsidRPr="00CC1C07" w:rsidR="00C72D8E">
        <w:t> Cal.</w:t>
      </w:r>
      <w:r w:rsidRPr="00CC1C07" w:rsidR="00AD4C4D">
        <w:t>App.3d 874, 885</w:t>
      </w:r>
      <w:r w:rsidRPr="00CC1C07" w:rsidR="008E5D7D">
        <w:t xml:space="preserve"> (</w:t>
      </w:r>
      <w:r w:rsidRPr="00CC1C07" w:rsidR="008E5D7D">
        <w:rPr>
          <w:i/>
          <w:iCs/>
        </w:rPr>
        <w:t>Mount Vernon</w:t>
      </w:r>
      <w:r w:rsidRPr="00CC1C07" w:rsidR="008E5D7D">
        <w:t>)</w:t>
      </w:r>
      <w:bookmarkEnd w:id="7"/>
      <w:r w:rsidRPr="00CC1C07" w:rsidR="00C07A8C">
        <w:t>.</w:t>
      </w:r>
      <w:r w:rsidRPr="00CC1C07" w:rsidR="00AD4C4D">
        <w:t>)</w:t>
      </w:r>
      <w:r w:rsidRPr="00CC1C07" w:rsidR="001421FF">
        <w:t xml:space="preserve">  </w:t>
      </w:r>
    </w:p>
    <w:p w:rsidR="004A207D" w:rsidRPr="00CC1C07" w:rsidP="0092244D" w14:paraId="35252611" w14:textId="0CDA3C2F">
      <w:pPr>
        <w:ind w:firstLine="720"/>
      </w:pPr>
      <w:r w:rsidRPr="00CC1C07">
        <w:t>Section 7735, t</w:t>
      </w:r>
      <w:r w:rsidRPr="00CC1C07" w:rsidR="00D435A2">
        <w:t xml:space="preserve">he first section in </w:t>
      </w:r>
      <w:r w:rsidR="003E1AEE">
        <w:t>a</w:t>
      </w:r>
      <w:r w:rsidRPr="00CC1C07" w:rsidR="00D435A2">
        <w:t>rticle</w:t>
      </w:r>
      <w:r w:rsidRPr="00CC1C07" w:rsidR="005429C9">
        <w:t xml:space="preserve"> </w:t>
      </w:r>
      <w:r w:rsidRPr="00CC1C07" w:rsidR="00D435A2">
        <w:t>9</w:t>
      </w:r>
      <w:r w:rsidRPr="00CC1C07">
        <w:t>,</w:t>
      </w:r>
      <w:r w:rsidRPr="00CC1C07" w:rsidR="00D435A2">
        <w:t xml:space="preserve"> is broad</w:t>
      </w:r>
      <w:r w:rsidRPr="00CC1C07" w:rsidR="00473E71">
        <w:t xml:space="preserve">.  It sweepingly </w:t>
      </w:r>
      <w:r w:rsidRPr="00CC1C07">
        <w:t>provides, “</w:t>
      </w:r>
      <w:r w:rsidRPr="00CC1C07" w:rsidR="00043AF9">
        <w:t>No funeral establishment</w:t>
      </w:r>
      <w:r w:rsidRPr="00CC1C07" w:rsidR="00F419FE">
        <w:t xml:space="preserve"> . . . </w:t>
      </w:r>
      <w:r w:rsidRPr="00CC1C07" w:rsidR="00043AF9">
        <w:t>shall enter into</w:t>
      </w:r>
      <w:r w:rsidRPr="00CC1C07" w:rsidR="00160120">
        <w:t xml:space="preserve"> or solicit any preneed </w:t>
      </w:r>
      <w:r w:rsidRPr="00CC1C07" w:rsidR="00FD56E1">
        <w:t>arrangement, contract, or plan</w:t>
      </w:r>
      <w:r w:rsidRPr="00CC1C07" w:rsidR="00F419FE">
        <w:t xml:space="preserve"> . . . </w:t>
      </w:r>
      <w:r w:rsidRPr="00CC1C07" w:rsidR="00553113">
        <w:t>requiring the payment</w:t>
      </w:r>
      <w:r w:rsidRPr="00CC1C07" w:rsidR="00F419FE">
        <w:t xml:space="preserve"> . . . </w:t>
      </w:r>
      <w:r w:rsidRPr="00CC1C07" w:rsidR="00553113">
        <w:t>for the final dispositi</w:t>
      </w:r>
      <w:r w:rsidRPr="00CC1C07" w:rsidR="00443219">
        <w:t xml:space="preserve">on of human remains or for funeral </w:t>
      </w:r>
      <w:r w:rsidRPr="00CC1C07" w:rsidR="00120A56">
        <w:t>services or for the furnishing of personal property or funeral merchandise, wherein the use or delivery of those services, property or merchandise is not immediately required, unless the contract requires that all money paid directly or indirectly a</w:t>
      </w:r>
      <w:r w:rsidRPr="00CC1C07" w:rsidR="000A001E">
        <w:t>nd all securities delivered under that agreement or under any agreement collateral thereto, shall be held in trust for the purpose for which it was paid or delivered until the contract is fulfilled according to its terms</w:t>
      </w:r>
      <w:r w:rsidRPr="00CC1C07" w:rsidR="00F419FE">
        <w:t>.</w:t>
      </w:r>
      <w:r w:rsidRPr="00CC1C07" w:rsidR="000A001E">
        <w:t>”  (</w:t>
      </w:r>
      <w:r w:rsidRPr="00CC1C07" w:rsidR="00C72D8E">
        <w:t>§ </w:t>
      </w:r>
      <w:r w:rsidRPr="00CC1C07" w:rsidR="000A001E">
        <w:t>7735.)</w:t>
      </w:r>
      <w:r w:rsidRPr="00CC1C07" w:rsidR="00D435A2">
        <w:t xml:space="preserve"> </w:t>
      </w:r>
      <w:r w:rsidRPr="00CC1C07" w:rsidR="00BF2E0E">
        <w:t xml:space="preserve"> </w:t>
      </w:r>
    </w:p>
    <w:p w:rsidR="00A17377" w:rsidRPr="00051097" w:rsidP="008D34AE" w14:paraId="3686D991" w14:textId="7ECCCE8E">
      <w:pPr>
        <w:ind w:firstLine="720"/>
      </w:pPr>
      <w:r w:rsidRPr="009F5E69">
        <w:t xml:space="preserve">Trident contends section 7735 exempts from </w:t>
      </w:r>
      <w:r w:rsidRPr="009F5E69" w:rsidR="00B61965">
        <w:t>the</w:t>
      </w:r>
      <w:r w:rsidRPr="009F5E69">
        <w:t xml:space="preserve"> trust requirement all contracts, regardless of their collateral nature, that require immediate use or delivery.  The Bureau counters that section 7735 encompasses within </w:t>
      </w:r>
      <w:r w:rsidRPr="009F5E69" w:rsidR="0023586C">
        <w:t xml:space="preserve">the </w:t>
      </w:r>
      <w:r w:rsidRPr="009F5E69">
        <w:t xml:space="preserve">trust requirement any agreement to purchase services or merchandise that are not presently needed.  </w:t>
      </w:r>
      <w:r w:rsidRPr="00051097">
        <w:t>We review de novo the statutory interpretation question of whether the Short Act exempts delivered merchandise from the trust</w:t>
      </w:r>
      <w:r w:rsidRPr="00051097" w:rsidR="0023586C">
        <w:t xml:space="preserve"> </w:t>
      </w:r>
      <w:r w:rsidRPr="00051097">
        <w:t>requirement contained in section 7735.  (</w:t>
      </w:r>
      <w:bookmarkStart w:id="8" w:name="dabmci_f8e0c998b71546d69537ef1933bd5680"/>
      <w:r w:rsidRPr="00051097">
        <w:rPr>
          <w:i/>
          <w:iCs/>
        </w:rPr>
        <w:t>California Forestry Assn. v. California Fish &amp; Game Commission</w:t>
      </w:r>
      <w:r w:rsidRPr="00051097">
        <w:t xml:space="preserve"> (2007) 156</w:t>
      </w:r>
      <w:r w:rsidRPr="00051097" w:rsidR="00C72D8E">
        <w:t> Cal.</w:t>
      </w:r>
      <w:r w:rsidRPr="00051097">
        <w:t>App.4th 1535, 1544</w:t>
      </w:r>
      <w:bookmarkEnd w:id="8"/>
      <w:r w:rsidRPr="00051097">
        <w:t xml:space="preserve">.)  </w:t>
      </w:r>
      <w:r w:rsidRPr="00051097" w:rsidR="00051097">
        <w:t>“</w:t>
      </w:r>
      <w:r w:rsidRPr="00051097">
        <w:t>We seek to determine the Legislature’s intent and ‘</w:t>
      </w:r>
      <w:r w:rsidRPr="00051097" w:rsidR="00F419FE">
        <w:t> </w:t>
      </w:r>
      <w:r w:rsidRPr="00051097">
        <w:t>“first examine the statutory language, giving it a plain and commonsense meaning.”  [Citation.]  We do not consider statutory language in isolation; instead, we examine the entire statute to construe the words in context.  [Citation.]  If the language is unambiguous, “then the Legislature is presumed to have meant what it said, and the plain meaning of the language governs.”  [Citation.]  “If the statutory language permits more than one reasonable interpretation, courts may consider other aids, such as the statute’s purpose, legislative history, and public policy.”</w:t>
      </w:r>
      <w:r w:rsidRPr="00051097" w:rsidR="00F419FE">
        <w:t> </w:t>
      </w:r>
      <w:r w:rsidRPr="00051097">
        <w:t>’</w:t>
      </w:r>
      <w:r w:rsidRPr="00051097" w:rsidR="00F419FE">
        <w:t> </w:t>
      </w:r>
      <w:r w:rsidRPr="00051097">
        <w:t>”  (</w:t>
      </w:r>
      <w:bookmarkStart w:id="9" w:name="dabmci_e473e98a419345c49ded7dcc1ec9dcc5"/>
      <w:r w:rsidRPr="00051097">
        <w:rPr>
          <w:i/>
          <w:iCs/>
        </w:rPr>
        <w:t>Williams v. FCA US LLC</w:t>
      </w:r>
      <w:r w:rsidRPr="00051097">
        <w:t xml:space="preserve"> (2023) 88</w:t>
      </w:r>
      <w:r w:rsidRPr="00051097" w:rsidR="00C72D8E">
        <w:t> Cal.</w:t>
      </w:r>
      <w:r w:rsidRPr="00051097">
        <w:t>App.5th 765, 775-776</w:t>
      </w:r>
      <w:bookmarkEnd w:id="9"/>
      <w:r w:rsidRPr="00051097">
        <w:t>.)</w:t>
      </w:r>
    </w:p>
    <w:p w:rsidR="00A17377" w:rsidRPr="00091EEC" w:rsidP="00A17377" w14:paraId="6E556B89" w14:textId="121D1639">
      <w:pPr>
        <w:ind w:firstLine="720"/>
        <w:rPr>
          <w:highlight w:val="green"/>
        </w:rPr>
      </w:pPr>
      <w:r w:rsidRPr="009F5E69">
        <w:t>We cannot read section 7735 as broadly as the Bureau suggests we do.</w:t>
      </w:r>
      <w:r w:rsidRPr="00EC20F6">
        <w:t xml:space="preserve">  Section 7735 limits the trust requirement to </w:t>
      </w:r>
      <w:r w:rsidRPr="00CC1C07">
        <w:t>“any preneed arrangement, contract, or plan</w:t>
      </w:r>
      <w:r w:rsidRPr="00CC1C07" w:rsidR="00F419FE">
        <w:t xml:space="preserve"> . . . </w:t>
      </w:r>
      <w:r w:rsidRPr="00CC1C07">
        <w:rPr>
          <w:i/>
          <w:iCs/>
        </w:rPr>
        <w:t>wherein</w:t>
      </w:r>
      <w:r w:rsidRPr="00CC1C07">
        <w:t xml:space="preserve"> the use or delivery of [the subject] services, property, or merchandise is not immediately required.”  (Italics added.)  The term wherein refers to the terms of the arrangement or contract</w:t>
      </w:r>
      <w:r w:rsidRPr="00EC20F6">
        <w:t>.  Thus, application of the provision does not hinge on whether the use or delivery of the service or merchandise contracted for is presently required, but whether the contract requires present use or delivery.  Further</w:t>
      </w:r>
      <w:r w:rsidRPr="00CC1C07">
        <w:t xml:space="preserve">, later in section 7735, the focus is again on the terms of the contract entered, as opposed to the items contracted for.  </w:t>
      </w:r>
      <w:r w:rsidRPr="00CC1C07" w:rsidR="00F27E3A">
        <w:t>Specifically</w:t>
      </w:r>
      <w:r w:rsidRPr="00CC1C07">
        <w:t>, the provision provides</w:t>
      </w:r>
      <w:r w:rsidR="003E1AEE">
        <w:t>,</w:t>
      </w:r>
      <w:r w:rsidRPr="00CC1C07">
        <w:t xml:space="preserve"> “</w:t>
      </w:r>
      <w:r w:rsidR="003E1AEE">
        <w:t>[T]</w:t>
      </w:r>
      <w:r w:rsidRPr="00CC1C07">
        <w:t>he contract requires that all money paid directly or indirectly</w:t>
      </w:r>
      <w:r w:rsidRPr="00CC1C07" w:rsidR="00F419FE">
        <w:t xml:space="preserve"> . . . </w:t>
      </w:r>
      <w:r w:rsidRPr="00CC1C07">
        <w:rPr>
          <w:i/>
          <w:iCs/>
        </w:rPr>
        <w:t>under</w:t>
      </w:r>
      <w:r w:rsidRPr="00CC1C07">
        <w:t xml:space="preserve"> that agreement or </w:t>
      </w:r>
      <w:r w:rsidRPr="00CC1C07">
        <w:rPr>
          <w:i/>
          <w:iCs/>
        </w:rPr>
        <w:t>under</w:t>
      </w:r>
      <w:r w:rsidRPr="00CC1C07">
        <w:t xml:space="preserve"> any agreement collateral thereto, shall he held in trust.”  (§</w:t>
      </w:r>
      <w:r w:rsidRPr="00CC1C07" w:rsidR="00F419FE">
        <w:t> </w:t>
      </w:r>
      <w:r w:rsidRPr="00CC1C07">
        <w:t xml:space="preserve">7735, italics added.)  </w:t>
      </w:r>
    </w:p>
    <w:p w:rsidR="00A17377" w:rsidRPr="00CC1C07" w:rsidP="00A17377" w14:paraId="5E0B5B22" w14:textId="6DE57753">
      <w:pPr>
        <w:ind w:firstLine="720"/>
      </w:pPr>
      <w:r w:rsidRPr="009F5E69">
        <w:t>Section 7735, however, is broader than Trident would have us believe</w:t>
      </w:r>
      <w:r w:rsidRPr="009F5E69" w:rsidR="001E597B">
        <w:t xml:space="preserve"> with its argument </w:t>
      </w:r>
      <w:r w:rsidRPr="009F5E69" w:rsidR="007A149A">
        <w:t xml:space="preserve">that </w:t>
      </w:r>
      <w:r w:rsidRPr="009F5E69" w:rsidR="001E597B">
        <w:t>section 7735 exempts from the trust requirement all contracts, regardless of their collateral nature, requir</w:t>
      </w:r>
      <w:r w:rsidRPr="009F5E69" w:rsidR="007A149A">
        <w:t>ing</w:t>
      </w:r>
      <w:r w:rsidRPr="009F5E69" w:rsidR="001E597B">
        <w:t xml:space="preserve"> immediate use or delivery</w:t>
      </w:r>
      <w:r w:rsidRPr="009F5E69">
        <w:t>.  Section</w:t>
      </w:r>
      <w:r w:rsidRPr="00CC1C07">
        <w:t xml:space="preserve"> 7735 clearly includes in its trust requirement all contracts that are collateral to a preneed </w:t>
      </w:r>
      <w:r w:rsidRPr="001937CB">
        <w:t>contract.  This includes collateral contracts pertaining to delivered services (</w:t>
      </w:r>
      <w:bookmarkStart w:id="10" w:name="dabmci_4e8ce62ab5f74a778cd1acf6c396bfdc"/>
      <w:r w:rsidRPr="001937CB" w:rsidR="00E0414E">
        <w:rPr>
          <w:i/>
          <w:iCs/>
        </w:rPr>
        <w:t>American Funeral Concepts</w:t>
      </w:r>
      <w:r w:rsidR="00280D7E">
        <w:rPr>
          <w:i/>
          <w:iCs/>
        </w:rPr>
        <w:t> </w:t>
      </w:r>
      <w:r w:rsidRPr="001937CB" w:rsidR="00E0414E">
        <w:rPr>
          <w:i/>
          <w:iCs/>
        </w:rPr>
        <w:t xml:space="preserve">v. Board of Funeral Directors &amp; Embalmers </w:t>
      </w:r>
      <w:r w:rsidRPr="001937CB" w:rsidR="00E0414E">
        <w:t>(1982)</w:t>
      </w:r>
      <w:r w:rsidRPr="001937CB">
        <w:t xml:space="preserve"> 136</w:t>
      </w:r>
      <w:r w:rsidRPr="001937CB" w:rsidR="00C72D8E">
        <w:t> Cal.</w:t>
      </w:r>
      <w:r w:rsidRPr="001937CB">
        <w:t xml:space="preserve">App.3d </w:t>
      </w:r>
      <w:r w:rsidRPr="001937CB" w:rsidR="00E0414E">
        <w:t>303,</w:t>
      </w:r>
      <w:r w:rsidRPr="001937CB">
        <w:t xml:space="preserve"> 310-31</w:t>
      </w:r>
      <w:r w:rsidR="003B7F69">
        <w:t>3</w:t>
      </w:r>
      <w:r w:rsidRPr="001937CB" w:rsidR="00E0414E">
        <w:t xml:space="preserve"> (</w:t>
      </w:r>
      <w:r w:rsidRPr="001937CB" w:rsidR="00E0414E">
        <w:rPr>
          <w:i/>
          <w:iCs/>
        </w:rPr>
        <w:t>American</w:t>
      </w:r>
      <w:r w:rsidRPr="003918EE" w:rsidR="00E0414E">
        <w:t>)</w:t>
      </w:r>
      <w:bookmarkEnd w:id="10"/>
      <w:r w:rsidRPr="003918EE">
        <w:t xml:space="preserve">), </w:t>
      </w:r>
      <w:r w:rsidRPr="002F2199">
        <w:t>and would logically also include collateral contracts pertaining to delivered merchandise (</w:t>
      </w:r>
      <w:bookmarkStart w:id="11" w:name="dabmci_601e9495199649cf964665ef732eff24"/>
      <w:r w:rsidRPr="002F2199">
        <w:t>52</w:t>
      </w:r>
      <w:r w:rsidRPr="002F2199" w:rsidR="00057ACB">
        <w:t> </w:t>
      </w:r>
      <w:r w:rsidRPr="002F2199">
        <w:t>Ops.Cal.Atty.Gen.</w:t>
      </w:r>
      <w:r w:rsidRPr="002F2199" w:rsidR="005B7C43">
        <w:t xml:space="preserve"> 202, </w:t>
      </w:r>
      <w:r w:rsidRPr="002F2199">
        <w:t xml:space="preserve">205, </w:t>
      </w:r>
      <w:r w:rsidRPr="00504BC2">
        <w:t>20</w:t>
      </w:r>
      <w:r w:rsidR="00504BC2">
        <w:t>6</w:t>
      </w:r>
      <w:r w:rsidRPr="00504BC2" w:rsidR="005B7C43">
        <w:t xml:space="preserve"> (</w:t>
      </w:r>
      <w:r w:rsidRPr="00504BC2" w:rsidR="00510927">
        <w:t>1969</w:t>
      </w:r>
      <w:r w:rsidRPr="002F2199">
        <w:t>)</w:t>
      </w:r>
      <w:bookmarkEnd w:id="11"/>
      <w:r w:rsidRPr="002F2199" w:rsidR="00510927">
        <w:t>)</w:t>
      </w:r>
      <w:r w:rsidRPr="002F2199">
        <w:t xml:space="preserve">.  </w:t>
      </w:r>
      <w:r w:rsidRPr="00CC1C07">
        <w:t xml:space="preserve">Indeed, if section 7735 applied only to undelivered merchandise and services, the agreement would be preneed and then there would be no reason to include the term “agreement collateral thereto” in the language of the section.  But the language is </w:t>
      </w:r>
      <w:r w:rsidRPr="00CC1C07" w:rsidR="009D7880">
        <w:t>there</w:t>
      </w:r>
      <w:r w:rsidRPr="00CC1C07">
        <w:t xml:space="preserve"> and</w:t>
      </w:r>
      <w:r w:rsidRPr="00CC1C07" w:rsidR="009A2A0B">
        <w:t>,</w:t>
      </w:r>
      <w:r w:rsidRPr="00CC1C07">
        <w:t xml:space="preserve"> by its inclusion</w:t>
      </w:r>
      <w:r w:rsidRPr="00CC1C07" w:rsidR="009A2A0B">
        <w:t>,</w:t>
      </w:r>
      <w:r w:rsidRPr="00CC1C07">
        <w:t xml:space="preserve"> the Legislature extended the applicability of section 7735 beyond preneed agreements alone.</w:t>
      </w:r>
    </w:p>
    <w:p w:rsidR="00894952" w:rsidRPr="001937CB" w:rsidP="00894952" w14:paraId="6F521811" w14:textId="3B3EDDE4">
      <w:pPr>
        <w:ind w:firstLine="720"/>
      </w:pPr>
      <w:r w:rsidRPr="00881C78">
        <w:t xml:space="preserve">With this in mind, </w:t>
      </w:r>
      <w:r w:rsidRPr="00881C78" w:rsidR="00C765CB">
        <w:t xml:space="preserve">Trident attempts to avoid </w:t>
      </w:r>
      <w:r w:rsidRPr="00881C78" w:rsidR="005D48AB">
        <w:t xml:space="preserve">the application of </w:t>
      </w:r>
      <w:r w:rsidRPr="00881C78" w:rsidR="00C61B24">
        <w:t xml:space="preserve">section </w:t>
      </w:r>
      <w:r w:rsidRPr="00881C78" w:rsidR="005D48AB">
        <w:t>7735</w:t>
      </w:r>
      <w:r w:rsidRPr="00881C78" w:rsidR="00593C67">
        <w:t xml:space="preserve"> altogether</w:t>
      </w:r>
      <w:r w:rsidRPr="00881C78" w:rsidR="005D48AB">
        <w:t xml:space="preserve"> </w:t>
      </w:r>
      <w:r w:rsidRPr="00881C78" w:rsidR="00E9301B">
        <w:t xml:space="preserve">by arguing the retail agreement is not a collateral contract to the </w:t>
      </w:r>
      <w:r w:rsidRPr="00881C78" w:rsidR="000613E0">
        <w:t>preneed agreement</w:t>
      </w:r>
      <w:r w:rsidRPr="00881C78" w:rsidR="009A1799">
        <w:t>, and thus falls outside its terms</w:t>
      </w:r>
      <w:r w:rsidRPr="00881C78" w:rsidR="000613E0">
        <w:t>.</w:t>
      </w:r>
      <w:r w:rsidRPr="00881C78" w:rsidR="00CC009D">
        <w:t xml:space="preserve">  </w:t>
      </w:r>
      <w:r w:rsidRPr="00881C78">
        <w:t xml:space="preserve">We </w:t>
      </w:r>
      <w:r w:rsidRPr="00881C78" w:rsidR="00A03E47">
        <w:t>dis</w:t>
      </w:r>
      <w:r w:rsidRPr="00881C78">
        <w:t>agree</w:t>
      </w:r>
      <w:r w:rsidRPr="001937CB">
        <w:t xml:space="preserve">.  In </w:t>
      </w:r>
      <w:r w:rsidRPr="001937CB">
        <w:rPr>
          <w:i/>
          <w:iCs/>
        </w:rPr>
        <w:t>American</w:t>
      </w:r>
      <w:r w:rsidRPr="001937CB">
        <w:t>,</w:t>
      </w:r>
      <w:r w:rsidRPr="001937CB">
        <w:rPr>
          <w:i/>
          <w:iCs/>
        </w:rPr>
        <w:t xml:space="preserve"> </w:t>
      </w:r>
      <w:r w:rsidRPr="001937CB">
        <w:t>we concluded a contract for a membership to arrange funeral-related services was collateral to the preneed contract for those future funeral-related services.  (</w:t>
      </w:r>
      <w:bookmarkStart w:id="12" w:name="dabmci_10226bd62a6a497a937f887946bc9f34"/>
      <w:r w:rsidRPr="001937CB">
        <w:rPr>
          <w:i/>
          <w:iCs/>
        </w:rPr>
        <w:t>American</w:t>
      </w:r>
      <w:r w:rsidRPr="001937CB" w:rsidR="00872325">
        <w:t xml:space="preserve">, </w:t>
      </w:r>
      <w:r w:rsidRPr="001937CB" w:rsidR="00872325">
        <w:rPr>
          <w:i/>
          <w:iCs/>
        </w:rPr>
        <w:t>supra</w:t>
      </w:r>
      <w:r w:rsidRPr="001937CB" w:rsidR="00872325">
        <w:t>,</w:t>
      </w:r>
      <w:r w:rsidRPr="001937CB">
        <w:t xml:space="preserve"> 136</w:t>
      </w:r>
      <w:r w:rsidRPr="001937CB" w:rsidR="00C72D8E">
        <w:t> Cal.</w:t>
      </w:r>
      <w:r w:rsidRPr="001937CB">
        <w:t xml:space="preserve">App.3d </w:t>
      </w:r>
      <w:r w:rsidRPr="001937CB" w:rsidR="00872325">
        <w:t>at p</w:t>
      </w:r>
      <w:r w:rsidRPr="001937CB" w:rsidR="00C72D8E">
        <w:t>p. </w:t>
      </w:r>
      <w:r w:rsidRPr="001937CB">
        <w:t>306-307, 312-313</w:t>
      </w:r>
      <w:bookmarkEnd w:id="12"/>
      <w:r w:rsidRPr="001937CB">
        <w:t>.)  The membership contract provided that the funeral establishment would presently and in the future secure various documents necessary to dispose of a body so that disposition would promptly occur when the need arose.  (</w:t>
      </w:r>
      <w:bookmarkStart w:id="13" w:name="dabmci_7a8e89012dd749b39df0a4b7debc1dc5"/>
      <w:r w:rsidRPr="001937CB">
        <w:rPr>
          <w:i/>
          <w:iCs/>
        </w:rPr>
        <w:t>Id</w:t>
      </w:r>
      <w:r w:rsidRPr="001937CB">
        <w:t>.</w:t>
      </w:r>
      <w:r w:rsidRPr="001937CB">
        <w:rPr>
          <w:i/>
          <w:iCs/>
        </w:rPr>
        <w:t xml:space="preserve"> </w:t>
      </w:r>
      <w:r w:rsidRPr="001937CB">
        <w:t xml:space="preserve">at </w:t>
      </w:r>
      <w:r w:rsidRPr="001937CB" w:rsidR="00C72D8E">
        <w:t>p. </w:t>
      </w:r>
      <w:r w:rsidRPr="001937CB">
        <w:t>310, fn.</w:t>
      </w:r>
      <w:r w:rsidRPr="001937CB" w:rsidR="00C61B24">
        <w:t> </w:t>
      </w:r>
      <w:r w:rsidRPr="001937CB">
        <w:t>6</w:t>
      </w:r>
      <w:bookmarkEnd w:id="13"/>
      <w:r w:rsidRPr="001937CB">
        <w:t xml:space="preserve">.)  </w:t>
      </w:r>
    </w:p>
    <w:p w:rsidR="00894952" w:rsidRPr="003918EE" w:rsidP="00894952" w14:paraId="3B723BE9" w14:textId="33FFD0B2">
      <w:pPr>
        <w:ind w:firstLine="720"/>
      </w:pPr>
      <w:r w:rsidRPr="001937CB">
        <w:t>We held that a disclaimer contained in the membership contract that the membership contract was a separate contract from the preneed contract was not effective because “a critical linkage remained.  The guarantee of a fixed price for the funeral services could not be obtained without the membership [contract].”  (</w:t>
      </w:r>
      <w:bookmarkStart w:id="14" w:name="dabmci_66e7115c9a994259a2c6b32bb342bf76"/>
      <w:r w:rsidRPr="001937CB">
        <w:rPr>
          <w:i/>
          <w:iCs/>
        </w:rPr>
        <w:t>American</w:t>
      </w:r>
      <w:r w:rsidRPr="001937CB">
        <w:t xml:space="preserve">, </w:t>
      </w:r>
      <w:r w:rsidRPr="001937CB">
        <w:rPr>
          <w:i/>
          <w:iCs/>
        </w:rPr>
        <w:t>supra</w:t>
      </w:r>
      <w:r w:rsidRPr="001937CB">
        <w:t>, 136</w:t>
      </w:r>
      <w:r w:rsidRPr="001937CB" w:rsidR="00C72D8E">
        <w:t> Cal.</w:t>
      </w:r>
      <w:r w:rsidRPr="001937CB">
        <w:t>App.3d at p</w:t>
      </w:r>
      <w:r w:rsidRPr="001937CB" w:rsidR="00C72D8E">
        <w:t>p. </w:t>
      </w:r>
      <w:r w:rsidRPr="001937CB">
        <w:t>312-313</w:t>
      </w:r>
      <w:bookmarkEnd w:id="14"/>
      <w:r w:rsidRPr="001937CB">
        <w:t>.)</w:t>
      </w:r>
      <w:r w:rsidRPr="00881C78">
        <w:t xml:space="preserve">  </w:t>
      </w:r>
      <w:r w:rsidRPr="003918EE">
        <w:t>We further reasoned</w:t>
      </w:r>
      <w:r w:rsidRPr="003918EE" w:rsidR="00C61B24">
        <w:t>,</w:t>
      </w:r>
      <w:r w:rsidRPr="003918EE">
        <w:t xml:space="preserve"> “</w:t>
      </w:r>
      <w:r w:rsidRPr="003918EE" w:rsidR="00C61B24">
        <w:t>T</w:t>
      </w:r>
      <w:r w:rsidRPr="003918EE">
        <w:t>he uncontradicted evidence show</w:t>
      </w:r>
      <w:r w:rsidR="002031B8">
        <w:t>s</w:t>
      </w:r>
      <w:r w:rsidRPr="003918EE">
        <w:t xml:space="preserve"> that only members (that is those who paid the basic service charge) were enabled to take advantage of the guaranteed funeral contract.  The record compels the inference that the substantial inducement for paying the membership charge was to obtain the right to a fixed-price funeral.  The basic membership contract </w:t>
      </w:r>
      <w:r w:rsidR="002031B8">
        <w:t>i</w:t>
      </w:r>
      <w:r w:rsidRPr="003918EE">
        <w:t>s collateral to the fixed price funeral contract thereby requiring that moneys paid for it be placed in trust</w:t>
      </w:r>
      <w:r w:rsidRPr="003918EE" w:rsidR="003918EE">
        <w:t>.</w:t>
      </w:r>
      <w:r w:rsidR="00280D7E">
        <w:t xml:space="preserve"> </w:t>
      </w:r>
      <w:r w:rsidRPr="003918EE" w:rsidR="003918EE">
        <w:t> </w:t>
      </w:r>
      <w:r w:rsidRPr="003918EE">
        <w:t>[¶]</w:t>
      </w:r>
      <w:r w:rsidRPr="003918EE" w:rsidR="003918EE">
        <w:t> </w:t>
      </w:r>
      <w:r w:rsidRPr="003918EE" w:rsidR="00C61B24">
        <w:t xml:space="preserve"> </w:t>
      </w:r>
      <w:r w:rsidRPr="003918EE">
        <w:t>Any other result would allow patent circumvention of section 7735.”  (</w:t>
      </w:r>
      <w:r w:rsidRPr="003918EE">
        <w:rPr>
          <w:i/>
          <w:iCs/>
        </w:rPr>
        <w:t>American</w:t>
      </w:r>
      <w:r w:rsidRPr="003918EE">
        <w:t xml:space="preserve">, </w:t>
      </w:r>
      <w:bookmarkStart w:id="15" w:name="dabmci_21aa5b8e585a4709b174111b4b45769a"/>
      <w:r w:rsidRPr="003918EE">
        <w:t xml:space="preserve">at </w:t>
      </w:r>
      <w:r w:rsidRPr="003918EE" w:rsidR="00C72D8E">
        <w:t>p. </w:t>
      </w:r>
      <w:r w:rsidRPr="003918EE">
        <w:t>313</w:t>
      </w:r>
      <w:r w:rsidRPr="003918EE" w:rsidR="003918EE">
        <w:t xml:space="preserve">, fn. </w:t>
      </w:r>
      <w:bookmarkEnd w:id="15"/>
      <w:r w:rsidRPr="003918EE" w:rsidR="003918EE">
        <w:t>omitted</w:t>
      </w:r>
      <w:r w:rsidRPr="003918EE">
        <w:t>.)</w:t>
      </w:r>
    </w:p>
    <w:p w:rsidR="008F47D6" w:rsidRPr="00EC20F6" w:rsidP="00894952" w14:paraId="4F55FA5F" w14:textId="510C5020">
      <w:pPr>
        <w:ind w:firstLine="720"/>
      </w:pPr>
      <w:r w:rsidRPr="00881C78">
        <w:t xml:space="preserve">Similar to our conclusion in </w:t>
      </w:r>
      <w:r w:rsidRPr="00881C78">
        <w:rPr>
          <w:i/>
          <w:iCs/>
        </w:rPr>
        <w:t>American</w:t>
      </w:r>
      <w:r w:rsidRPr="00881C78">
        <w:t xml:space="preserve">, the Attorney General issued an opinion advising that funeral establishments were required to </w:t>
      </w:r>
      <w:r w:rsidRPr="00881C78" w:rsidR="0023586C">
        <w:t xml:space="preserve">place in </w:t>
      </w:r>
      <w:r w:rsidRPr="00881C78">
        <w:t>trust money paid under contracts for delivered merchandise and services when those contracts were collateral to preneed contracts</w:t>
      </w:r>
      <w:r w:rsidRPr="002F2199">
        <w:t>.  (</w:t>
      </w:r>
      <w:r w:rsidRPr="002F2199" w:rsidR="00510927">
        <w:t>52</w:t>
      </w:r>
      <w:r w:rsidRPr="002F2199" w:rsidR="002F2199">
        <w:t> </w:t>
      </w:r>
      <w:r w:rsidRPr="002F2199" w:rsidR="00510927">
        <w:t>Ops.Cal.Atty.Gen</w:t>
      </w:r>
      <w:r w:rsidRPr="00706C38" w:rsidR="00510927">
        <w:t xml:space="preserve">., </w:t>
      </w:r>
      <w:r w:rsidRPr="00706C38" w:rsidR="00510927">
        <w:rPr>
          <w:i/>
          <w:iCs/>
        </w:rPr>
        <w:t>supra</w:t>
      </w:r>
      <w:r w:rsidRPr="00706C38" w:rsidR="00510927">
        <w:t>,</w:t>
      </w:r>
      <w:r w:rsidRPr="00706C38" w:rsidR="007A7C14">
        <w:t xml:space="preserve"> </w:t>
      </w:r>
      <w:r w:rsidR="003B2CE4">
        <w:t xml:space="preserve">at pp. </w:t>
      </w:r>
      <w:r w:rsidRPr="00706C38" w:rsidR="007A7C14">
        <w:t>202</w:t>
      </w:r>
      <w:r w:rsidRPr="002F2199" w:rsidR="007A447C">
        <w:t>, 20</w:t>
      </w:r>
      <w:r w:rsidR="003B2CE4">
        <w:t>4-</w:t>
      </w:r>
      <w:r w:rsidRPr="002F2199" w:rsidR="007A447C">
        <w:t>207</w:t>
      </w:r>
      <w:r w:rsidRPr="002F2199">
        <w:t xml:space="preserve">.)  </w:t>
      </w:r>
      <w:r w:rsidRPr="002F2199">
        <w:t xml:space="preserve">There, </w:t>
      </w:r>
      <w:r w:rsidRPr="002F2199" w:rsidR="00BA6D64">
        <w:t>the Attorney General considered two sam</w:t>
      </w:r>
      <w:r w:rsidRPr="002F2199" w:rsidR="002D2521">
        <w:t>pl</w:t>
      </w:r>
      <w:r w:rsidRPr="002F2199" w:rsidR="00BA6D64">
        <w:t xml:space="preserve">e cases </w:t>
      </w:r>
      <w:r w:rsidRPr="002F2199" w:rsidR="00741764">
        <w:t>wher</w:t>
      </w:r>
      <w:r w:rsidRPr="002F2199" w:rsidR="00B6735F">
        <w:t xml:space="preserve">e the funeral establishments entered preneed contracts with customers </w:t>
      </w:r>
      <w:r w:rsidRPr="002F2199" w:rsidR="00DD118B">
        <w:t>related to funeral services, property, and merchandise to be provided in the future</w:t>
      </w:r>
      <w:r w:rsidRPr="002F2199" w:rsidR="00C61B24">
        <w:t>,</w:t>
      </w:r>
      <w:r w:rsidRPr="002F2199" w:rsidR="00DD118B">
        <w:t xml:space="preserve"> and </w:t>
      </w:r>
      <w:r w:rsidRPr="002F2199" w:rsidR="007B57B5">
        <w:t xml:space="preserve">delivered </w:t>
      </w:r>
      <w:r w:rsidRPr="002F2199" w:rsidR="00DD118B">
        <w:t xml:space="preserve">all money paid under the contract </w:t>
      </w:r>
      <w:r w:rsidRPr="002F2199" w:rsidR="007B57B5">
        <w:t xml:space="preserve">to a trust.  </w:t>
      </w:r>
      <w:r w:rsidRPr="002A6BC2" w:rsidR="007B57B5">
        <w:t>(</w:t>
      </w:r>
      <w:r w:rsidR="002A6BC2">
        <w:rPr>
          <w:i/>
          <w:iCs/>
        </w:rPr>
        <w:t>Id</w:t>
      </w:r>
      <w:r w:rsidRPr="008D34AE" w:rsidR="002A6BC2">
        <w:t>.</w:t>
      </w:r>
      <w:r w:rsidRPr="00706C38" w:rsidR="007B57B5">
        <w:t xml:space="preserve"> </w:t>
      </w:r>
      <w:r w:rsidRPr="002F2199" w:rsidR="007B57B5">
        <w:t>at p</w:t>
      </w:r>
      <w:r w:rsidRPr="002F2199" w:rsidR="00C72D8E">
        <w:t>p. </w:t>
      </w:r>
      <w:r w:rsidRPr="002F2199" w:rsidR="007B57B5">
        <w:t>204-205.)  At the</w:t>
      </w:r>
      <w:r w:rsidRPr="00EC20F6" w:rsidR="007B57B5">
        <w:t xml:space="preserve"> same time, the funeral establishments </w:t>
      </w:r>
      <w:r w:rsidRPr="00EC20F6" w:rsidR="000C44C3">
        <w:t xml:space="preserve">entered a service contract, requiring </w:t>
      </w:r>
      <w:r w:rsidRPr="00EC20F6" w:rsidR="002A7BB7">
        <w:t>payment of money in exchange for</w:t>
      </w:r>
      <w:r w:rsidRPr="00EC20F6" w:rsidR="003B2F96">
        <w:t xml:space="preserve"> “counseling personnel, </w:t>
      </w:r>
      <w:r w:rsidRPr="00EC20F6" w:rsidR="00C61B24">
        <w:t>[f]</w:t>
      </w:r>
      <w:r w:rsidRPr="00EC20F6" w:rsidR="003B2F96">
        <w:t xml:space="preserve">amily </w:t>
      </w:r>
      <w:r w:rsidRPr="00EC20F6" w:rsidR="00C61B24">
        <w:t>[g]</w:t>
      </w:r>
      <w:r w:rsidRPr="00EC20F6" w:rsidR="003B2F96">
        <w:t>uides, and permanent identification cards.”</w:t>
      </w:r>
      <w:r w:rsidRPr="00EC20F6" w:rsidR="002A7BB7">
        <w:t xml:space="preserve"> </w:t>
      </w:r>
      <w:r w:rsidRPr="00EC20F6" w:rsidR="000C44C3">
        <w:t xml:space="preserve"> (</w:t>
      </w:r>
      <w:r w:rsidR="002A6BC2">
        <w:rPr>
          <w:i/>
          <w:iCs/>
        </w:rPr>
        <w:t>Id</w:t>
      </w:r>
      <w:r w:rsidRPr="00A00D1B" w:rsidR="002A6BC2">
        <w:t>.</w:t>
      </w:r>
      <w:r w:rsidR="002A6BC2">
        <w:t xml:space="preserve"> </w:t>
      </w:r>
      <w:r w:rsidRPr="00EC20F6" w:rsidR="000C44C3">
        <w:t xml:space="preserve">at </w:t>
      </w:r>
      <w:r w:rsidRPr="00EC20F6" w:rsidR="00C72D8E">
        <w:t>p. </w:t>
      </w:r>
      <w:r w:rsidRPr="00EC20F6" w:rsidR="000C44C3">
        <w:t>205.)</w:t>
      </w:r>
      <w:r w:rsidRPr="00EC20F6" w:rsidR="006302DB">
        <w:t xml:space="preserve">  “Each service contract state[d] it [wa]s not to be considered or construed as part of the trust agreement.  However, the interrelationship between the two transactions [wa]s apparent.  One service contract even provide[d] that the sums paid pursuant thereto [we]re a credit toward a memorial service which, of course, [wa]s the subject of the trust agreement.”  (</w:t>
      </w:r>
      <w:bookmarkStart w:id="16" w:name="dabmci_6a8ad7e2e77a43d3a084af4b63db5762"/>
      <w:r w:rsidRPr="00EC20F6" w:rsidR="006302DB">
        <w:rPr>
          <w:i/>
          <w:iCs/>
        </w:rPr>
        <w:t>Ibid</w:t>
      </w:r>
      <w:r w:rsidRPr="00EC20F6" w:rsidR="006302DB">
        <w:t>.</w:t>
      </w:r>
      <w:bookmarkEnd w:id="16"/>
      <w:r w:rsidRPr="00EC20F6" w:rsidR="006302DB">
        <w:t>)</w:t>
      </w:r>
    </w:p>
    <w:p w:rsidR="00894952" w:rsidRPr="00091EEC" w:rsidP="00894952" w14:paraId="28713DAD" w14:textId="60F62B75">
      <w:pPr>
        <w:ind w:firstLine="720"/>
        <w:rPr>
          <w:highlight w:val="green"/>
        </w:rPr>
      </w:pPr>
      <w:r w:rsidRPr="00EC20F6">
        <w:t>The Attorney General’s opinion advised th</w:t>
      </w:r>
      <w:r w:rsidRPr="00EC20F6" w:rsidR="001C6975">
        <w:t>ese</w:t>
      </w:r>
      <w:r w:rsidRPr="00EC20F6">
        <w:t xml:space="preserve"> contracts were collateral</w:t>
      </w:r>
      <w:r w:rsidRPr="00EC20F6" w:rsidR="001C6975">
        <w:t>, reasoning</w:t>
      </w:r>
      <w:r w:rsidRPr="00EC20F6" w:rsidR="00C61B24">
        <w:t>,</w:t>
      </w:r>
      <w:r w:rsidRPr="00EC20F6">
        <w:t xml:space="preserve"> “The two agreements [we]re entered into at substantially the same time.  The apparent objective of the counseling provided under the service contract </w:t>
      </w:r>
      <w:r w:rsidR="00236A2A">
        <w:t>[wa]</w:t>
      </w:r>
      <w:r w:rsidRPr="00EC20F6">
        <w:t xml:space="preserve">s the sales presentation of the preneed funeral plan.  The </w:t>
      </w:r>
      <w:r w:rsidRPr="00EC20F6" w:rsidR="002515DE">
        <w:t xml:space="preserve">apparent purpose </w:t>
      </w:r>
      <w:r w:rsidRPr="00EC20F6" w:rsidR="00F81734">
        <w:t xml:space="preserve">of the provided </w:t>
      </w:r>
      <w:r w:rsidRPr="00EC20F6" w:rsidR="00C61B24">
        <w:t>[f]</w:t>
      </w:r>
      <w:r w:rsidRPr="00EC20F6" w:rsidR="00F81734">
        <w:t xml:space="preserve">amily </w:t>
      </w:r>
      <w:r w:rsidRPr="00EC20F6" w:rsidR="00C61B24">
        <w:t>[g]</w:t>
      </w:r>
      <w:r w:rsidRPr="00EC20F6" w:rsidR="00C700BA">
        <w:t>uides, identification cards and other materials</w:t>
      </w:r>
      <w:r w:rsidRPr="00EC20F6" w:rsidR="002515DE">
        <w:t xml:space="preserve"> </w:t>
      </w:r>
      <w:r w:rsidR="00236A2A">
        <w:t>[wa]</w:t>
      </w:r>
      <w:r w:rsidRPr="00EC20F6">
        <w:t xml:space="preserve">s to expedite the future performance of the preneed trust agreement.  The amount paid pursuant to the service contract totaled with the amount paid under the trust agreement </w:t>
      </w:r>
      <w:r w:rsidR="00236A2A">
        <w:t>[wa]</w:t>
      </w:r>
      <w:r w:rsidRPr="00EC20F6">
        <w:t>s approximately equal to or less than the retail value of the funeral service, property and merchandise selected in the trust agreement.  Were it not for the trust agreement the service contract would have no existence.”  (52</w:t>
      </w:r>
      <w:r w:rsidRPr="00EC20F6" w:rsidR="00C61B24">
        <w:t> </w:t>
      </w:r>
      <w:r w:rsidRPr="00EC20F6">
        <w:t>Ops.Cal.Atty.Gen</w:t>
      </w:r>
      <w:r w:rsidRPr="00014183">
        <w:t xml:space="preserve">., </w:t>
      </w:r>
      <w:r w:rsidRPr="00014183">
        <w:rPr>
          <w:i/>
          <w:iCs/>
        </w:rPr>
        <w:t>supra</w:t>
      </w:r>
      <w:r w:rsidRPr="00014183" w:rsidR="00725E65">
        <w:t>,</w:t>
      </w:r>
      <w:r w:rsidRPr="00014183">
        <w:rPr>
          <w:i/>
          <w:iCs/>
        </w:rPr>
        <w:t xml:space="preserve"> </w:t>
      </w:r>
      <w:r w:rsidRPr="00014183">
        <w:t>at</w:t>
      </w:r>
      <w:r w:rsidRPr="00EC20F6">
        <w:t xml:space="preserve"> </w:t>
      </w:r>
      <w:r w:rsidRPr="00EC20F6" w:rsidR="00C72D8E">
        <w:t>p. </w:t>
      </w:r>
      <w:r w:rsidRPr="00EC20F6">
        <w:t>20</w:t>
      </w:r>
      <w:r w:rsidRPr="00EC20F6" w:rsidR="00EC20F6">
        <w:t>6</w:t>
      </w:r>
      <w:r w:rsidRPr="00EC20F6">
        <w:t xml:space="preserve">.)  </w:t>
      </w:r>
    </w:p>
    <w:p w:rsidR="00894952" w:rsidRPr="00504BC2" w:rsidP="00213B29" w14:paraId="1B57DC22" w14:textId="303AF647">
      <w:r w:rsidRPr="009F5E69">
        <w:tab/>
        <w:t xml:space="preserve">Trident argues the retail agreement is not collateral to the preneed agreement </w:t>
      </w:r>
      <w:r w:rsidRPr="007A77A1">
        <w:t xml:space="preserve">because T.G. was not required to enter both agreements to take advantage of the preneed services, unlike the facts in </w:t>
      </w:r>
      <w:r w:rsidRPr="007A77A1">
        <w:rPr>
          <w:i/>
          <w:iCs/>
        </w:rPr>
        <w:t>American</w:t>
      </w:r>
      <w:r w:rsidRPr="007A77A1">
        <w:t>, and by implication the example</w:t>
      </w:r>
      <w:r w:rsidRPr="007A77A1" w:rsidR="008A54A5">
        <w:t>s</w:t>
      </w:r>
      <w:r w:rsidRPr="007A77A1">
        <w:t xml:space="preserve"> in the Attorney General’s opinion recited above.  </w:t>
      </w:r>
      <w:r w:rsidRPr="007A77A1" w:rsidR="006D5D9C">
        <w:t>N</w:t>
      </w:r>
      <w:r w:rsidRPr="007A77A1">
        <w:t>either</w:t>
      </w:r>
      <w:r w:rsidRPr="00881C78">
        <w:t xml:space="preserve"> </w:t>
      </w:r>
      <w:r w:rsidRPr="00881C78">
        <w:rPr>
          <w:i/>
          <w:iCs/>
        </w:rPr>
        <w:t xml:space="preserve">American </w:t>
      </w:r>
      <w:r w:rsidRPr="00881C78">
        <w:t xml:space="preserve">nor the Attorney General’s opinion limited </w:t>
      </w:r>
      <w:r w:rsidR="00C873DF">
        <w:t>its</w:t>
      </w:r>
      <w:r w:rsidRPr="00881C78">
        <w:t xml:space="preserve"> analys</w:t>
      </w:r>
      <w:r w:rsidR="00C873DF">
        <w:t>i</w:t>
      </w:r>
      <w:r w:rsidRPr="00881C78">
        <w:t>s to whether the contracts were mutually exclusive</w:t>
      </w:r>
      <w:r w:rsidRPr="00881C78" w:rsidR="006370E5">
        <w:t>, and n</w:t>
      </w:r>
      <w:r w:rsidRPr="00881C78" w:rsidR="00AC5721">
        <w:t>or</w:t>
      </w:r>
      <w:r w:rsidRPr="00881C78" w:rsidR="006370E5">
        <w:t xml:space="preserve"> </w:t>
      </w:r>
      <w:r w:rsidRPr="001937CB" w:rsidR="006370E5">
        <w:t>shall we</w:t>
      </w:r>
      <w:r w:rsidRPr="001937CB">
        <w:t xml:space="preserve">.  Both authorities considered the circumstances under which the parties entered the contracts, the contracts’ degree of interdependence, and whether the contracts undermine the purpose of the </w:t>
      </w:r>
      <w:bookmarkStart w:id="17" w:name="dabmci_6b7c09f91f584e22bd614a5d7c08e1ed"/>
      <w:r w:rsidRPr="001937CB">
        <w:t>Short Act.  (</w:t>
      </w:r>
      <w:r w:rsidRPr="001937CB">
        <w:rPr>
          <w:i/>
          <w:iCs/>
        </w:rPr>
        <w:t>American</w:t>
      </w:r>
      <w:r w:rsidRPr="001937CB">
        <w:t xml:space="preserve">, </w:t>
      </w:r>
      <w:r w:rsidRPr="001937CB">
        <w:rPr>
          <w:i/>
          <w:iCs/>
        </w:rPr>
        <w:t>supra</w:t>
      </w:r>
      <w:r w:rsidRPr="001937CB">
        <w:t>, 136</w:t>
      </w:r>
      <w:r w:rsidRPr="001937CB" w:rsidR="00C72D8E">
        <w:t> Cal.</w:t>
      </w:r>
      <w:r w:rsidRPr="001937CB">
        <w:t>App.3d at p</w:t>
      </w:r>
      <w:r w:rsidRPr="001937CB" w:rsidR="00C72D8E">
        <w:t>p. </w:t>
      </w:r>
      <w:r w:rsidRPr="001937CB">
        <w:t>312-313</w:t>
      </w:r>
      <w:bookmarkEnd w:id="17"/>
      <w:r w:rsidRPr="00504BC2">
        <w:t>; 52</w:t>
      </w:r>
      <w:r w:rsidRPr="00504BC2" w:rsidR="00C61B24">
        <w:t> </w:t>
      </w:r>
      <w:r w:rsidRPr="00504BC2">
        <w:t xml:space="preserve">Ops.Cal.Atty.Gen., </w:t>
      </w:r>
      <w:r w:rsidRPr="00504BC2">
        <w:rPr>
          <w:i/>
          <w:iCs/>
        </w:rPr>
        <w:t>supra</w:t>
      </w:r>
      <w:r w:rsidRPr="00504BC2" w:rsidR="006A06C6">
        <w:t>,</w:t>
      </w:r>
      <w:r w:rsidRPr="00504BC2">
        <w:rPr>
          <w:i/>
          <w:iCs/>
        </w:rPr>
        <w:t xml:space="preserve"> </w:t>
      </w:r>
      <w:r w:rsidRPr="00504BC2">
        <w:t xml:space="preserve">at </w:t>
      </w:r>
      <w:r w:rsidRPr="00504BC2" w:rsidR="00C72D8E">
        <w:t>p</w:t>
      </w:r>
      <w:r w:rsidR="00504BC2">
        <w:t>p</w:t>
      </w:r>
      <w:r w:rsidRPr="00504BC2" w:rsidR="00C72D8E">
        <w:t>. </w:t>
      </w:r>
      <w:r w:rsidRPr="00504BC2">
        <w:t>20</w:t>
      </w:r>
      <w:r w:rsidR="00504BC2">
        <w:t>3-206</w:t>
      </w:r>
      <w:r w:rsidRPr="00504BC2">
        <w:t xml:space="preserve">.)  </w:t>
      </w:r>
      <w:r w:rsidRPr="00504BC2" w:rsidR="001257D8">
        <w:t>We shall do the same</w:t>
      </w:r>
      <w:r w:rsidRPr="00504BC2" w:rsidR="00177DB5">
        <w:t>.</w:t>
      </w:r>
      <w:r w:rsidRPr="00504BC2">
        <w:t xml:space="preserve">  </w:t>
      </w:r>
    </w:p>
    <w:p w:rsidR="00894952" w:rsidRPr="00091EEC" w:rsidP="00894952" w14:paraId="14A4C65E" w14:textId="250821A3">
      <w:pPr>
        <w:rPr>
          <w:highlight w:val="green"/>
        </w:rPr>
      </w:pPr>
      <w:r w:rsidRPr="00504BC2">
        <w:tab/>
        <w:t>Here, the agreements did more than pertain to the same</w:t>
      </w:r>
      <w:r w:rsidRPr="00897A65">
        <w:t xml:space="preserve"> subject matter.  </w:t>
      </w:r>
      <w:r w:rsidRPr="0028069B">
        <w:t xml:space="preserve">The agreements were entered at the same time </w:t>
      </w:r>
      <w:r w:rsidRPr="000E502D">
        <w:t xml:space="preserve">and were presented as a package deal.  The agreements were explained to T.G. using the same document, i.e., the price list, and the benefits of entering the agreements together were explicitly mentioned in the price list.  </w:t>
      </w:r>
      <w:r w:rsidRPr="001937CB">
        <w:t xml:space="preserve">Like in </w:t>
      </w:r>
      <w:r w:rsidRPr="001937CB">
        <w:rPr>
          <w:i/>
          <w:iCs/>
        </w:rPr>
        <w:t>America</w:t>
      </w:r>
      <w:r w:rsidRPr="001937CB" w:rsidR="005B7C74">
        <w:rPr>
          <w:i/>
          <w:iCs/>
        </w:rPr>
        <w:t>n</w:t>
      </w:r>
      <w:r w:rsidRPr="001937CB">
        <w:t xml:space="preserve">, the fact that Trident asserted the retail agreement was separate from the preneed agreement is meaningless given the </w:t>
      </w:r>
      <w:r w:rsidRPr="001937CB" w:rsidR="002032F1">
        <w:t xml:space="preserve">joint </w:t>
      </w:r>
      <w:r w:rsidRPr="001937CB">
        <w:t>presentation of the agreements</w:t>
      </w:r>
      <w:r w:rsidRPr="001937CB" w:rsidR="0097552D">
        <w:t xml:space="preserve"> and named benefits of entering the agreements together</w:t>
      </w:r>
      <w:r w:rsidRPr="001937CB">
        <w:t>.  (</w:t>
      </w:r>
      <w:bookmarkStart w:id="18" w:name="dabmci_cead2d3c08fa49a4ac4eb6b9cad0370b"/>
      <w:r w:rsidRPr="001937CB">
        <w:rPr>
          <w:i/>
          <w:iCs/>
        </w:rPr>
        <w:t>American</w:t>
      </w:r>
      <w:r w:rsidRPr="001937CB">
        <w:t xml:space="preserve">, </w:t>
      </w:r>
      <w:r w:rsidRPr="001937CB">
        <w:rPr>
          <w:i/>
          <w:iCs/>
        </w:rPr>
        <w:t>supra</w:t>
      </w:r>
      <w:r w:rsidRPr="001937CB">
        <w:t>, 136</w:t>
      </w:r>
      <w:r w:rsidRPr="001937CB" w:rsidR="00C72D8E">
        <w:t> Cal.</w:t>
      </w:r>
      <w:r w:rsidRPr="001937CB">
        <w:t>App.3d</w:t>
      </w:r>
      <w:r w:rsidRPr="001937CB">
        <w:rPr>
          <w:i/>
          <w:iCs/>
        </w:rPr>
        <w:t xml:space="preserve"> </w:t>
      </w:r>
      <w:r w:rsidRPr="001937CB">
        <w:t>at p</w:t>
      </w:r>
      <w:r w:rsidRPr="001937CB" w:rsidR="00C72D8E">
        <w:t>p. </w:t>
      </w:r>
      <w:r w:rsidRPr="001937CB">
        <w:t>312-313</w:t>
      </w:r>
      <w:bookmarkEnd w:id="18"/>
      <w:r w:rsidRPr="001937CB" w:rsidR="00FE45A9">
        <w:t xml:space="preserve">; see </w:t>
      </w:r>
      <w:r w:rsidRPr="00881C78" w:rsidR="00FE45A9">
        <w:t xml:space="preserve">Civil Code, </w:t>
      </w:r>
      <w:r w:rsidRPr="00881C78" w:rsidR="00C72D8E">
        <w:t>§ </w:t>
      </w:r>
      <w:r w:rsidRPr="00881C78" w:rsidR="00FE45A9">
        <w:t>1642 [“</w:t>
      </w:r>
      <w:r w:rsidRPr="00881C78" w:rsidR="00C64EAA">
        <w:t>S</w:t>
      </w:r>
      <w:r w:rsidRPr="00881C78" w:rsidR="00FE45A9">
        <w:t>everal contracts relating to the same matters, between the same parties, and made as parts of substantially one transaction, are to be taken together”</w:t>
      </w:r>
      <w:r w:rsidRPr="00881C78" w:rsidR="00C64EAA">
        <w:t>]</w:t>
      </w:r>
      <w:r w:rsidRPr="00881C78">
        <w:t xml:space="preserve">.)  </w:t>
      </w:r>
    </w:p>
    <w:p w:rsidR="00894952" w:rsidRPr="000B6DA3" w:rsidP="00894952" w14:paraId="105AB89A" w14:textId="263CE132">
      <w:r w:rsidRPr="000E502D">
        <w:tab/>
        <w:t>The terms of the agreements were also interdependent</w:t>
      </w:r>
      <w:r w:rsidRPr="00881C78">
        <w:t xml:space="preserve">.  Like in </w:t>
      </w:r>
      <w:r w:rsidRPr="00881C78">
        <w:rPr>
          <w:i/>
          <w:iCs/>
        </w:rPr>
        <w:t>American</w:t>
      </w:r>
      <w:r w:rsidRPr="00881C78">
        <w:t>, Trident</w:t>
      </w:r>
      <w:r w:rsidRPr="000E502D">
        <w:t xml:space="preserve"> guaranteed a benefit under the preneed agreement contingent on whether its customers also entered the retail </w:t>
      </w:r>
      <w:r w:rsidRPr="001937CB">
        <w:t>agreement.  (</w:t>
      </w:r>
      <w:bookmarkStart w:id="19" w:name="dabmci_fa20817eccad4efb8774e30e8fa8d14d"/>
      <w:r w:rsidRPr="001937CB">
        <w:rPr>
          <w:i/>
          <w:iCs/>
        </w:rPr>
        <w:t>American</w:t>
      </w:r>
      <w:r w:rsidRPr="001937CB">
        <w:t xml:space="preserve">, </w:t>
      </w:r>
      <w:r w:rsidRPr="001937CB">
        <w:rPr>
          <w:i/>
          <w:iCs/>
        </w:rPr>
        <w:t>supra</w:t>
      </w:r>
      <w:r w:rsidRPr="001937CB">
        <w:t>, 136</w:t>
      </w:r>
      <w:r w:rsidRPr="001937CB" w:rsidR="00C72D8E">
        <w:t> Cal.</w:t>
      </w:r>
      <w:r w:rsidRPr="001937CB">
        <w:t>App.3d at p</w:t>
      </w:r>
      <w:r w:rsidRPr="001937CB" w:rsidR="00C72D8E">
        <w:t>p. </w:t>
      </w:r>
      <w:r w:rsidRPr="001937CB">
        <w:t>312-313</w:t>
      </w:r>
      <w:bookmarkEnd w:id="19"/>
      <w:r w:rsidRPr="001937CB">
        <w:t xml:space="preserve">.)  </w:t>
      </w:r>
      <w:r w:rsidRPr="000B6DA3">
        <w:t>Further, by cance</w:t>
      </w:r>
      <w:r w:rsidRPr="000B6DA3" w:rsidR="00176CE7">
        <w:t>l</w:t>
      </w:r>
      <w:r w:rsidRPr="000B6DA3">
        <w:t>ling the retail agreement the terms presume the customer was also cance</w:t>
      </w:r>
      <w:r w:rsidRPr="000B6DA3" w:rsidR="00176CE7">
        <w:t>l</w:t>
      </w:r>
      <w:r w:rsidRPr="000B6DA3">
        <w:t xml:space="preserve">ling the preneed agreement.  </w:t>
      </w:r>
      <w:r w:rsidRPr="009F5E69">
        <w:t xml:space="preserve">While true the retail agreement </w:t>
      </w:r>
      <w:r w:rsidRPr="009F5E69" w:rsidR="005A67A6">
        <w:t>could</w:t>
      </w:r>
      <w:r w:rsidRPr="009F5E69">
        <w:t xml:space="preserve"> exist independent of the preneed agreement,</w:t>
      </w:r>
      <w:r w:rsidRPr="000B6DA3">
        <w:t xml:space="preserve"> there is an interdependence between the agreements that cannot be ignored.</w:t>
      </w:r>
      <w:r w:rsidRPr="000B6DA3" w:rsidR="00C61B24">
        <w:t xml:space="preserve">  </w:t>
      </w:r>
    </w:p>
    <w:p w:rsidR="00535D9B" w:rsidRPr="00CC1C07" w:rsidP="00894952" w14:paraId="0947CEC2" w14:textId="0976F7E7">
      <w:pPr>
        <w:ind w:firstLine="720"/>
      </w:pPr>
      <w:r w:rsidRPr="000B6DA3">
        <w:t>Indeed, the type of interdependence present here serves to undermine the Short Act</w:t>
      </w:r>
      <w:r w:rsidRPr="00D255F6">
        <w:t xml:space="preserve">.  As the superior court observed, </w:t>
      </w:r>
      <w:r w:rsidRPr="00D255F6" w:rsidR="00C46BC9">
        <w:t>the</w:t>
      </w:r>
      <w:r w:rsidRPr="00D255F6">
        <w:t xml:space="preserve"> standard plan induced customers to enter the retail agreement, instead of purchasing the preneed agreement in isolation.  </w:t>
      </w:r>
      <w:r w:rsidRPr="000B6DA3" w:rsidR="00FF212E">
        <w:t xml:space="preserve">Indeed, it </w:t>
      </w:r>
      <w:r w:rsidRPr="000B6DA3">
        <w:t>was</w:t>
      </w:r>
      <w:r w:rsidRPr="000B6DA3" w:rsidR="00A254A8">
        <w:t xml:space="preserve"> </w:t>
      </w:r>
      <w:r w:rsidRPr="000B6DA3" w:rsidR="00A254A8">
        <w:rPr>
          <w:i/>
          <w:iCs/>
        </w:rPr>
        <w:t>more</w:t>
      </w:r>
      <w:r w:rsidRPr="000B6DA3">
        <w:t xml:space="preserve"> expensive for T.G. to purchase prearranged funeral services from Trident</w:t>
      </w:r>
      <w:r w:rsidRPr="000B6DA3" w:rsidR="004661DD">
        <w:t xml:space="preserve"> ($</w:t>
      </w:r>
      <w:r w:rsidRPr="000B6DA3" w:rsidR="00DF7BE5">
        <w:t>2,316)</w:t>
      </w:r>
      <w:r w:rsidRPr="000B6DA3">
        <w:t xml:space="preserve"> </w:t>
      </w:r>
      <w:r w:rsidRPr="000B6DA3" w:rsidR="00FF212E">
        <w:t>than</w:t>
      </w:r>
      <w:r w:rsidRPr="00330EBE" w:rsidR="00FF212E">
        <w:t xml:space="preserve"> </w:t>
      </w:r>
      <w:r w:rsidRPr="00330EBE">
        <w:t>it was for him to purchase prearranged funeral services and merchandise</w:t>
      </w:r>
      <w:r w:rsidRPr="00330EBE" w:rsidR="00DF7BE5">
        <w:t xml:space="preserve"> ($</w:t>
      </w:r>
      <w:r w:rsidRPr="00330EBE" w:rsidR="005E0F09">
        <w:t>2,104</w:t>
      </w:r>
      <w:r w:rsidRPr="000B6DA3" w:rsidR="005E0F09">
        <w:t>)</w:t>
      </w:r>
      <w:r w:rsidRPr="000B6DA3">
        <w:t xml:space="preserve">.  But by </w:t>
      </w:r>
      <w:r w:rsidRPr="000B6DA3" w:rsidR="00FF212E">
        <w:t>T.G. taking advantage of the deal</w:t>
      </w:r>
      <w:r w:rsidRPr="000B6DA3">
        <w:t xml:space="preserve">, Trident was able to divert funds it would otherwise hold in trust for future services.  </w:t>
      </w:r>
      <w:r w:rsidRPr="000B6DA3" w:rsidR="00C5344F">
        <w:t>In this case</w:t>
      </w:r>
      <w:r w:rsidRPr="000B6DA3" w:rsidR="00364117">
        <w:t>,</w:t>
      </w:r>
      <w:r w:rsidRPr="000B6DA3" w:rsidR="00C5344F">
        <w:t xml:space="preserve"> </w:t>
      </w:r>
      <w:r w:rsidRPr="000B6DA3" w:rsidR="005C27CA">
        <w:t>Trident reduced the price of only</w:t>
      </w:r>
      <w:r w:rsidRPr="000B6DA3" w:rsidR="00194120">
        <w:t xml:space="preserve"> the preneed </w:t>
      </w:r>
      <w:r w:rsidRPr="000B6DA3" w:rsidR="00991648">
        <w:t>agreement, and therefore the amount held in trust,</w:t>
      </w:r>
      <w:r w:rsidRPr="000B6DA3">
        <w:t xml:space="preserve"> </w:t>
      </w:r>
      <w:r w:rsidRPr="000B6DA3" w:rsidR="00253C73">
        <w:t xml:space="preserve">while </w:t>
      </w:r>
      <w:r w:rsidRPr="000B6DA3" w:rsidR="00364117">
        <w:t xml:space="preserve">maximizing </w:t>
      </w:r>
      <w:r w:rsidRPr="000B6DA3" w:rsidR="00253C73">
        <w:t xml:space="preserve">the funds immediately available for </w:t>
      </w:r>
      <w:r w:rsidRPr="000B6DA3" w:rsidR="00364117">
        <w:t xml:space="preserve">its </w:t>
      </w:r>
      <w:r w:rsidRPr="000B6DA3" w:rsidR="008A15D1">
        <w:t>overhead and commissions</w:t>
      </w:r>
      <w:r w:rsidRPr="000B6DA3" w:rsidR="00DF6CC6">
        <w:t>.  T</w:t>
      </w:r>
      <w:r w:rsidRPr="00CC1C07" w:rsidR="00DF6CC6">
        <w:t>his type of conduct creates a fertile ground for fraud reminiscent of the funeral industry before enactment of the Short Act when 15 to 30 percent of money paid under preneed agreements was diverted from ensuring the availability of services at the time of need</w:t>
      </w:r>
      <w:r w:rsidRPr="00EC20F6" w:rsidR="00DF6CC6">
        <w:t>.  (52 Ops.Cal.Atty.Gen</w:t>
      </w:r>
      <w:r w:rsidRPr="00706C38" w:rsidR="00DF6CC6">
        <w:t xml:space="preserve">., </w:t>
      </w:r>
      <w:r w:rsidRPr="00706C38" w:rsidR="00DF6CC6">
        <w:rPr>
          <w:i/>
          <w:iCs/>
        </w:rPr>
        <w:t>supra</w:t>
      </w:r>
      <w:r w:rsidRPr="00706C38" w:rsidR="00DF6CC6">
        <w:t>, at</w:t>
      </w:r>
      <w:r w:rsidRPr="00EC20F6" w:rsidR="00DF6CC6">
        <w:t xml:space="preserve"> p. 20</w:t>
      </w:r>
      <w:r w:rsidRPr="00EC20F6" w:rsidR="00EC20F6">
        <w:t>4</w:t>
      </w:r>
      <w:r w:rsidRPr="00EC20F6" w:rsidR="00DF6CC6">
        <w:t>, fn. 2; accord</w:t>
      </w:r>
      <w:r w:rsidRPr="00CC1C07" w:rsidR="00DF6CC6">
        <w:t xml:space="preserve"> </w:t>
      </w:r>
      <w:bookmarkStart w:id="20" w:name="dabmci_e6bae8444e164bb5a1251e736ba54fdf"/>
      <w:r w:rsidRPr="00CC1C07" w:rsidR="00DF6CC6">
        <w:rPr>
          <w:i/>
          <w:iCs/>
        </w:rPr>
        <w:t>Mount Vernon</w:t>
      </w:r>
      <w:r w:rsidRPr="00CC1C07" w:rsidR="00DF6CC6">
        <w:t xml:space="preserve">, </w:t>
      </w:r>
      <w:r w:rsidRPr="00CC1C07" w:rsidR="00DF6CC6">
        <w:rPr>
          <w:i/>
          <w:iCs/>
        </w:rPr>
        <w:t>supra</w:t>
      </w:r>
      <w:r w:rsidRPr="00CC1C07" w:rsidR="00DF6CC6">
        <w:t>, 79 Cal.App.3d at p. 885</w:t>
      </w:r>
      <w:bookmarkEnd w:id="20"/>
      <w:r w:rsidRPr="00CC1C07" w:rsidR="00DF6CC6">
        <w:t>.)</w:t>
      </w:r>
      <w:r w:rsidRPr="00CC1C07">
        <w:t xml:space="preserve">  </w:t>
      </w:r>
    </w:p>
    <w:p w:rsidR="00C765CB" w:rsidRPr="00FF2E0C" w:rsidP="00894952" w14:paraId="1675D842" w14:textId="5974A8DA">
      <w:pPr>
        <w:ind w:firstLine="720"/>
      </w:pPr>
      <w:r>
        <w:t>Trident argues the Bureau never alleged it had insufficient funds in trust under the standard plan to perform cremation services at the time of need, and thus Trident's conduct does not undermine the Short Act.</w:t>
      </w:r>
      <w:r w:rsidRPr="00952E24" w:rsidR="00364117">
        <w:t xml:space="preserve">  </w:t>
      </w:r>
      <w:r w:rsidR="003D43D9">
        <w:t xml:space="preserve">This argument is irrelevant to whether the agreements are collateral.  The forms of the agreements plus the diversion of funds from the trust are </w:t>
      </w:r>
      <w:r w:rsidRPr="00326B4A" w:rsidR="003D43D9">
        <w:t>sufficient</w:t>
      </w:r>
      <w:r w:rsidRPr="00326B4A" w:rsidR="00C5344F">
        <w:t>.</w:t>
      </w:r>
      <w:r w:rsidRPr="00326B4A" w:rsidR="00B44AEE">
        <w:t xml:space="preserve">  Further,</w:t>
      </w:r>
      <w:r w:rsidRPr="00326B4A" w:rsidR="00F440F5">
        <w:t xml:space="preserve">  </w:t>
      </w:r>
      <w:r w:rsidRPr="00326B4A" w:rsidR="00B44AEE">
        <w:t xml:space="preserve">the retail agreement </w:t>
      </w:r>
      <w:r w:rsidRPr="00326B4A" w:rsidR="00C5344F">
        <w:t>shifted</w:t>
      </w:r>
      <w:r w:rsidRPr="00326B4A" w:rsidR="00B44AEE">
        <w:t xml:space="preserve"> </w:t>
      </w:r>
      <w:r w:rsidRPr="00326B4A" w:rsidR="00535D9B">
        <w:t xml:space="preserve">the </w:t>
      </w:r>
      <w:r w:rsidRPr="00326B4A" w:rsidR="00B44AEE">
        <w:t xml:space="preserve">responsibility </w:t>
      </w:r>
      <w:r w:rsidRPr="00326B4A" w:rsidR="00535D9B">
        <w:t xml:space="preserve">to supply merchandise </w:t>
      </w:r>
      <w:r w:rsidRPr="00326B4A" w:rsidR="008A2311">
        <w:t xml:space="preserve">at the time of need </w:t>
      </w:r>
      <w:r w:rsidRPr="00326B4A" w:rsidR="00535D9B">
        <w:t>on</w:t>
      </w:r>
      <w:r w:rsidRPr="00326B4A" w:rsidR="00C5344F">
        <w:t>to</w:t>
      </w:r>
      <w:r w:rsidRPr="00326B4A" w:rsidR="00535D9B">
        <w:t xml:space="preserve"> </w:t>
      </w:r>
      <w:r w:rsidRPr="00326B4A" w:rsidR="00B44AEE">
        <w:t xml:space="preserve">the contracting party </w:t>
      </w:r>
      <w:r w:rsidRPr="00326B4A" w:rsidR="00535D9B">
        <w:t xml:space="preserve">who </w:t>
      </w:r>
      <w:r w:rsidRPr="00326B4A" w:rsidR="00B44AEE">
        <w:t xml:space="preserve">necessarily </w:t>
      </w:r>
      <w:r w:rsidRPr="00326B4A" w:rsidR="00D9538E">
        <w:t xml:space="preserve">will not be present </w:t>
      </w:r>
      <w:r w:rsidRPr="00326B4A" w:rsidR="008A2311">
        <w:t>at the time of need</w:t>
      </w:r>
      <w:r w:rsidRPr="00326B4A" w:rsidR="00B44AEE">
        <w:t xml:space="preserve">. </w:t>
      </w:r>
      <w:r w:rsidRPr="00326B4A" w:rsidR="008A2311">
        <w:t xml:space="preserve"> </w:t>
      </w:r>
      <w:r w:rsidRPr="00326B4A" w:rsidR="00B44AEE">
        <w:t xml:space="preserve">It is far less likely that </w:t>
      </w:r>
      <w:r w:rsidRPr="00326B4A" w:rsidR="00C5344F">
        <w:t>party</w:t>
      </w:r>
      <w:r w:rsidRPr="00326B4A" w:rsidR="00B44AEE">
        <w:t xml:space="preserve"> can ensure availability of the merchandise at </w:t>
      </w:r>
      <w:r w:rsidRPr="00326B4A" w:rsidR="00C5344F">
        <w:t>the time of need</w:t>
      </w:r>
      <w:r w:rsidRPr="00326B4A" w:rsidR="00B44AEE">
        <w:t xml:space="preserve"> th</w:t>
      </w:r>
      <w:r w:rsidRPr="00326B4A" w:rsidR="00C5344F">
        <w:t>a</w:t>
      </w:r>
      <w:r w:rsidRPr="00326B4A" w:rsidR="00B44AEE">
        <w:t xml:space="preserve">n the funeral home </w:t>
      </w:r>
      <w:r w:rsidRPr="00326B4A" w:rsidR="00103039">
        <w:t>that</w:t>
      </w:r>
      <w:r w:rsidRPr="00326B4A" w:rsidR="00B44AEE">
        <w:t xml:space="preserve"> was entrusted </w:t>
      </w:r>
      <w:r w:rsidRPr="00326B4A" w:rsidR="00103039">
        <w:t xml:space="preserve">in the related contract </w:t>
      </w:r>
      <w:r w:rsidRPr="00326B4A" w:rsidR="00B44AEE">
        <w:t xml:space="preserve">with the contracting party’s </w:t>
      </w:r>
      <w:r w:rsidRPr="00326B4A" w:rsidR="00364117">
        <w:t>cremation</w:t>
      </w:r>
      <w:r w:rsidRPr="00326B4A" w:rsidR="00B44AEE">
        <w:t xml:space="preserve"> needs.</w:t>
      </w:r>
      <w:r w:rsidRPr="00FF2E0C" w:rsidR="00B44AEE">
        <w:t xml:space="preserve">  </w:t>
      </w:r>
      <w:r w:rsidRPr="00FF2E0C" w:rsidR="00894952">
        <w:t xml:space="preserve">Accordingly, </w:t>
      </w:r>
      <w:r w:rsidRPr="00FF2E0C" w:rsidR="00C91DD1">
        <w:t xml:space="preserve">the retail agreement is </w:t>
      </w:r>
      <w:r w:rsidRPr="00FF2E0C" w:rsidR="00E030D6">
        <w:t>collateral to the preneed agreement</w:t>
      </w:r>
      <w:r w:rsidRPr="00FF2E0C" w:rsidR="00894952">
        <w:t>.</w:t>
      </w:r>
      <w:r w:rsidRPr="00FF2E0C" w:rsidR="00C610B0">
        <w:t xml:space="preserve">  </w:t>
      </w:r>
    </w:p>
    <w:p w:rsidR="005A75C4" w:rsidRPr="00954E04" w:rsidP="00452DB3" w14:paraId="555902C4" w14:textId="3A7F0220">
      <w:pPr>
        <w:ind w:firstLine="720"/>
      </w:pPr>
      <w:r w:rsidRPr="00F64A31">
        <w:t>Undete</w:t>
      </w:r>
      <w:r w:rsidRPr="00F64A31" w:rsidR="00E1735E">
        <w:t>r</w:t>
      </w:r>
      <w:r w:rsidRPr="00F64A31">
        <w:t>red</w:t>
      </w:r>
      <w:r w:rsidRPr="00F64A31" w:rsidR="002037BD">
        <w:t xml:space="preserve">, Trident argues that section 7741 more specifically exempts merchandise from </w:t>
      </w:r>
      <w:r w:rsidRPr="00F64A31" w:rsidR="00236DAA">
        <w:t>being considered a</w:t>
      </w:r>
      <w:r w:rsidRPr="00F64A31" w:rsidR="002037BD">
        <w:t xml:space="preserve"> collateral contract</w:t>
      </w:r>
      <w:r w:rsidRPr="00F64A31" w:rsidR="00D7537A">
        <w:t xml:space="preserve"> by providing that “[n]othing in this article shall apply to cemetery property; cemetery commodities; cemetery service; or merchandise that is delivered as soon as paid for.”</w:t>
      </w:r>
      <w:r w:rsidRPr="00F64A31" w:rsidR="004264CF">
        <w:t xml:space="preserve">  </w:t>
      </w:r>
      <w:r w:rsidR="00F64A31">
        <w:t xml:space="preserve">(§ 7741.)  </w:t>
      </w:r>
      <w:r w:rsidRPr="00F64A31" w:rsidR="00236DAA">
        <w:t>A</w:t>
      </w:r>
      <w:r w:rsidRPr="00F64A31" w:rsidR="00AA6846">
        <w:t>gain</w:t>
      </w:r>
      <w:r w:rsidRPr="00FF2E0C" w:rsidR="00AA6846">
        <w:t>, we disagree</w:t>
      </w:r>
      <w:r w:rsidRPr="00FF2E0C" w:rsidR="00E07B9D">
        <w:t xml:space="preserve"> with Trident’s contention</w:t>
      </w:r>
      <w:r w:rsidRPr="00FF2E0C" w:rsidR="00AA6846">
        <w:t>.</w:t>
      </w:r>
      <w:r w:rsidRPr="00FF2E0C" w:rsidR="00C610B0">
        <w:t xml:space="preserve">  </w:t>
      </w:r>
      <w:r w:rsidRPr="00CC1C07" w:rsidR="00D562D5">
        <w:t>As demonstrated, s</w:t>
      </w:r>
      <w:r w:rsidRPr="00CC1C07" w:rsidR="00E56B77">
        <w:t xml:space="preserve">ection 7735 focuses on the </w:t>
      </w:r>
      <w:r w:rsidRPr="00CC1C07" w:rsidR="00065B91">
        <w:t>requirements</w:t>
      </w:r>
      <w:r w:rsidRPr="00CC1C07" w:rsidR="00E56B77">
        <w:t xml:space="preserve"> of the contract or agreement entered.  If the </w:t>
      </w:r>
      <w:r w:rsidRPr="00CC1C07" w:rsidR="0017225D">
        <w:t>contract does not require immediate use or delivery</w:t>
      </w:r>
      <w:r w:rsidRPr="00CC1C07" w:rsidR="00E56B77">
        <w:t>, then</w:t>
      </w:r>
      <w:r w:rsidRPr="00CC1C07" w:rsidR="00065B91">
        <w:t xml:space="preserve"> the contract is a preneed contract</w:t>
      </w:r>
      <w:r w:rsidRPr="00CC1C07" w:rsidR="006015A4">
        <w:t>, and</w:t>
      </w:r>
      <w:r w:rsidRPr="00CC1C07" w:rsidR="00E56B77">
        <w:t xml:space="preserve"> any </w:t>
      </w:r>
      <w:r w:rsidRPr="00CC1C07" w:rsidR="0017225D">
        <w:t>money paid under th</w:t>
      </w:r>
      <w:r w:rsidRPr="00CC1C07" w:rsidR="006015A4">
        <w:t>at</w:t>
      </w:r>
      <w:r w:rsidRPr="00CC1C07" w:rsidR="0017225D">
        <w:t xml:space="preserve"> preneed </w:t>
      </w:r>
      <w:r w:rsidRPr="00CC1C07" w:rsidR="00E1735E">
        <w:t>contract</w:t>
      </w:r>
      <w:r w:rsidRPr="00CC1C07" w:rsidR="00E56B77">
        <w:t xml:space="preserve">, and all </w:t>
      </w:r>
      <w:r w:rsidRPr="00CC1C07" w:rsidR="00E1735E">
        <w:t>contracts</w:t>
      </w:r>
      <w:r w:rsidRPr="00CC1C07" w:rsidR="00E56B77">
        <w:t xml:space="preserve"> collateral thereto, fall within the </w:t>
      </w:r>
      <w:r w:rsidRPr="00CC1C07" w:rsidR="0017225D">
        <w:t>parameters</w:t>
      </w:r>
      <w:r w:rsidRPr="00CC1C07" w:rsidR="00E56B77">
        <w:t xml:space="preserve"> of the section.  Read in context, section 7741’s exception </w:t>
      </w:r>
      <w:r w:rsidRPr="00CC1C07" w:rsidR="00E1735E">
        <w:t>for</w:t>
      </w:r>
      <w:r w:rsidRPr="00CC1C07" w:rsidR="00E56B77">
        <w:t xml:space="preserve"> merchandise and cemetery service</w:t>
      </w:r>
      <w:r w:rsidRPr="00CC1C07" w:rsidR="006015A4">
        <w:t xml:space="preserve">, </w:t>
      </w:r>
      <w:r w:rsidRPr="00CC1C07" w:rsidR="00786A37">
        <w:t>property</w:t>
      </w:r>
      <w:r w:rsidRPr="00CC1C07" w:rsidR="006015A4">
        <w:t>, and commodities</w:t>
      </w:r>
      <w:r w:rsidRPr="00CC1C07" w:rsidR="00E56B77">
        <w:t xml:space="preserve"> delivered when paid for pertains to </w:t>
      </w:r>
      <w:r w:rsidRPr="00CC1C07" w:rsidR="00D77843">
        <w:t>noncollateral</w:t>
      </w:r>
      <w:r w:rsidRPr="00CC1C07" w:rsidR="00E07B9D">
        <w:t xml:space="preserve"> </w:t>
      </w:r>
      <w:r w:rsidRPr="00CC1C07" w:rsidR="00E56B77">
        <w:t>agreements</w:t>
      </w:r>
      <w:r w:rsidRPr="00CC1C07" w:rsidR="00D77843">
        <w:t xml:space="preserve"> on those </w:t>
      </w:r>
      <w:r w:rsidRPr="00F64A31" w:rsidR="00D77843">
        <w:t>subjects</w:t>
      </w:r>
      <w:r w:rsidRPr="00F64A31" w:rsidR="00E56B77">
        <w:t xml:space="preserve">.  </w:t>
      </w:r>
      <w:r w:rsidRPr="00F64A31" w:rsidR="003156F1">
        <w:t>For this reason we reject Trident’s contention we are adding words to section 7741, namely</w:t>
      </w:r>
      <w:r w:rsidR="000D6C22">
        <w:t>,</w:t>
      </w:r>
      <w:r w:rsidRPr="00F64A31" w:rsidR="003156F1">
        <w:t xml:space="preserve"> “ ‘[n]othing in this article shall apply to . . . merchandise that is delivered as soon as paid for </w:t>
      </w:r>
      <w:r w:rsidRPr="00F64A31" w:rsidR="003156F1">
        <w:rPr>
          <w:i/>
          <w:iCs/>
        </w:rPr>
        <w:t>unless the merchandise is sold as part of a collateral agreement</w:t>
      </w:r>
      <w:r w:rsidRPr="00F64A31" w:rsidR="003156F1">
        <w:t xml:space="preserve">,’ ” and </w:t>
      </w:r>
      <w:r w:rsidRPr="00954E04" w:rsidR="003156F1">
        <w:t xml:space="preserve">creating tension between sections 7735 and 7741. </w:t>
      </w:r>
      <w:r w:rsidRPr="00954E04" w:rsidR="007A6496">
        <w:t xml:space="preserve"> </w:t>
      </w:r>
      <w:r w:rsidRPr="00954E04" w:rsidR="003156F1">
        <w:t>We</w:t>
      </w:r>
      <w:r w:rsidRPr="00CC1C07" w:rsidR="003156F1">
        <w:t xml:space="preserve"> arrive</w:t>
      </w:r>
      <w:r w:rsidRPr="00CC1C07" w:rsidR="00856606">
        <w:t>d</w:t>
      </w:r>
      <w:r w:rsidRPr="00CC1C07" w:rsidR="003156F1">
        <w:t xml:space="preserve"> at our interpretation of the relevant provisions through a plain reading of the statutes within the context of the statutory scheme of the Short Act.  </w:t>
      </w:r>
      <w:r w:rsidRPr="00954E04" w:rsidR="000604FA">
        <w:t>There is</w:t>
      </w:r>
      <w:r w:rsidRPr="00954E04" w:rsidR="008C7C27">
        <w:t xml:space="preserve"> no tension as it applies to the facts of this case.</w:t>
      </w:r>
      <w:r w:rsidRPr="00954E04" w:rsidR="00437BD6">
        <w:t xml:space="preserve">  </w:t>
      </w:r>
    </w:p>
    <w:p w:rsidR="00375081" w:rsidRPr="00FF2E0C" w:rsidP="00375081" w14:paraId="387B2387" w14:textId="620460E0">
      <w:pPr>
        <w:ind w:firstLine="720"/>
      </w:pPr>
      <w:r w:rsidRPr="00F64A31">
        <w:t xml:space="preserve">To the extent the </w:t>
      </w:r>
      <w:r w:rsidRPr="00F64A31" w:rsidR="00CC3D95">
        <w:t xml:space="preserve">interpretation of section 7741 </w:t>
      </w:r>
      <w:r w:rsidRPr="00F64A31" w:rsidR="00594455">
        <w:t xml:space="preserve">is ambiguous, the </w:t>
      </w:r>
      <w:r w:rsidRPr="00F64A31" w:rsidR="000B10A9">
        <w:t>L</w:t>
      </w:r>
      <w:r w:rsidRPr="00F64A31" w:rsidR="00594455">
        <w:t>egislat</w:t>
      </w:r>
      <w:r w:rsidRPr="00F64A31" w:rsidR="000B10A9">
        <w:t>ure’s</w:t>
      </w:r>
      <w:r w:rsidRPr="00F64A31" w:rsidR="00594455">
        <w:t xml:space="preserve"> intent supports our interpretation</w:t>
      </w:r>
      <w:r w:rsidRPr="00954E04" w:rsidR="00594455">
        <w:t xml:space="preserve">.  </w:t>
      </w:r>
      <w:r w:rsidRPr="00954E04" w:rsidR="00672943">
        <w:t>T</w:t>
      </w:r>
      <w:r w:rsidRPr="00954E04" w:rsidR="00734AAC">
        <w:t>he</w:t>
      </w:r>
      <w:r w:rsidRPr="00EC20F6" w:rsidR="00734AAC">
        <w:t xml:space="preserve"> trust requirements were </w:t>
      </w:r>
      <w:r w:rsidRPr="00EC20F6" w:rsidR="00BA2B60">
        <w:t xml:space="preserve">enacted to place a </w:t>
      </w:r>
      <w:r w:rsidRPr="00EC20F6" w:rsidR="008C7C27">
        <w:t>“</w:t>
      </w:r>
      <w:r w:rsidRPr="00EC20F6" w:rsidR="00BA2B60">
        <w:t>harsh</w:t>
      </w:r>
      <w:r w:rsidRPr="00EC20F6" w:rsidR="008C7C27">
        <w:t>”</w:t>
      </w:r>
      <w:r w:rsidRPr="00EC20F6" w:rsidR="00BA2B60">
        <w:t xml:space="preserve"> burden on funeral establishments</w:t>
      </w:r>
      <w:r w:rsidRPr="00EC20F6" w:rsidR="00325686">
        <w:t xml:space="preserve"> to address the “fertile field for fraud</w:t>
      </w:r>
      <w:r w:rsidRPr="00EC20F6" w:rsidR="00BA2B60">
        <w:t>.</w:t>
      </w:r>
      <w:r w:rsidRPr="00EC20F6" w:rsidR="00325686">
        <w:t>”</w:t>
      </w:r>
      <w:r w:rsidRPr="00EC20F6" w:rsidR="00BA2B60">
        <w:t xml:space="preserve">  (</w:t>
      </w:r>
      <w:r w:rsidRPr="00EC20F6" w:rsidR="002E30FE">
        <w:t>52</w:t>
      </w:r>
      <w:r w:rsidRPr="00EC20F6" w:rsidR="00C610B0">
        <w:t> </w:t>
      </w:r>
      <w:r w:rsidRPr="00EC20F6" w:rsidR="00B748A0">
        <w:t>Ops</w:t>
      </w:r>
      <w:r w:rsidRPr="00EC20F6" w:rsidR="002E30FE">
        <w:t>.</w:t>
      </w:r>
      <w:r w:rsidRPr="00EC20F6" w:rsidR="00B748A0">
        <w:t>Cal.Atty.Gen</w:t>
      </w:r>
      <w:r w:rsidRPr="00706C38" w:rsidR="00B748A0">
        <w:t>.</w:t>
      </w:r>
      <w:r w:rsidRPr="00706C38" w:rsidR="006A06C6">
        <w:t xml:space="preserve">, </w:t>
      </w:r>
      <w:r w:rsidRPr="00706C38" w:rsidR="006A06C6">
        <w:rPr>
          <w:i/>
          <w:iCs/>
        </w:rPr>
        <w:t>supra</w:t>
      </w:r>
      <w:r w:rsidRPr="00706C38" w:rsidR="006A06C6">
        <w:t>,</w:t>
      </w:r>
      <w:r w:rsidRPr="00706C38" w:rsidR="00B748A0">
        <w:t xml:space="preserve"> </w:t>
      </w:r>
      <w:r w:rsidRPr="00706C38" w:rsidR="006A06C6">
        <w:t xml:space="preserve">at </w:t>
      </w:r>
      <w:r w:rsidRPr="00706C38" w:rsidR="00C72D8E">
        <w:t>p.</w:t>
      </w:r>
      <w:r w:rsidRPr="00EC20F6" w:rsidR="00C72D8E">
        <w:t> </w:t>
      </w:r>
      <w:r w:rsidRPr="00EC20F6" w:rsidR="00783726">
        <w:t>204</w:t>
      </w:r>
      <w:r w:rsidRPr="00EC20F6" w:rsidR="00031BBB">
        <w:t xml:space="preserve">; </w:t>
      </w:r>
      <w:r w:rsidRPr="00CC1C07" w:rsidR="00031BBB">
        <w:t xml:space="preserve">accord </w:t>
      </w:r>
      <w:bookmarkStart w:id="21" w:name="dabmci_9b9743f01d90436f9a5cad911c5d737a"/>
      <w:r w:rsidRPr="00CC1C07" w:rsidR="00EA579B">
        <w:rPr>
          <w:i/>
          <w:iCs/>
        </w:rPr>
        <w:t>Mount Vernon</w:t>
      </w:r>
      <w:r w:rsidRPr="00CC1C07" w:rsidR="00EA579B">
        <w:t xml:space="preserve">, </w:t>
      </w:r>
      <w:r w:rsidRPr="00CC1C07" w:rsidR="00EA579B">
        <w:rPr>
          <w:i/>
          <w:iCs/>
        </w:rPr>
        <w:t>supra</w:t>
      </w:r>
      <w:r w:rsidRPr="00CC1C07" w:rsidR="00EA579B">
        <w:t>, 79</w:t>
      </w:r>
      <w:r w:rsidRPr="00CC1C07" w:rsidR="00C72D8E">
        <w:t> Cal.</w:t>
      </w:r>
      <w:r w:rsidRPr="00CC1C07" w:rsidR="00EA579B">
        <w:t xml:space="preserve">App.3d at </w:t>
      </w:r>
      <w:r w:rsidRPr="00CC1C07" w:rsidR="00C72D8E">
        <w:t>p. </w:t>
      </w:r>
      <w:r w:rsidRPr="00CC1C07" w:rsidR="00EA579B">
        <w:t>885</w:t>
      </w:r>
      <w:bookmarkEnd w:id="21"/>
      <w:r w:rsidRPr="00FF2E0C" w:rsidR="00B748A0">
        <w:t>.</w:t>
      </w:r>
      <w:r w:rsidRPr="00FF2E0C" w:rsidR="00BA2B60">
        <w:t xml:space="preserve">)  </w:t>
      </w:r>
      <w:r w:rsidRPr="00FF2E0C" w:rsidR="000604FA">
        <w:t>P</w:t>
      </w:r>
      <w:r w:rsidRPr="00FF2E0C" w:rsidR="00856606">
        <w:t xml:space="preserve">ermitting </w:t>
      </w:r>
      <w:r w:rsidRPr="00FF2E0C" w:rsidR="00A17AA0">
        <w:t xml:space="preserve">merchandise </w:t>
      </w:r>
      <w:r w:rsidRPr="00FF2E0C" w:rsidR="00856606">
        <w:t xml:space="preserve">contained in a collateral agreement to be exempted from the trust requirement would </w:t>
      </w:r>
      <w:r w:rsidRPr="00FF2E0C" w:rsidR="005C27CA">
        <w:t>contribute to</w:t>
      </w:r>
      <w:r w:rsidRPr="00FF2E0C" w:rsidR="00856606">
        <w:t xml:space="preserve"> </w:t>
      </w:r>
      <w:r w:rsidRPr="00FF2E0C" w:rsidR="005C27CA">
        <w:t xml:space="preserve">a </w:t>
      </w:r>
      <w:r w:rsidRPr="00FF2E0C" w:rsidR="00856606">
        <w:t>fertile ground for fraud</w:t>
      </w:r>
      <w:r w:rsidRPr="00FF2E0C" w:rsidR="005C27CA">
        <w:t xml:space="preserve"> by permitting the diversion of funds from the trust.  It is </w:t>
      </w:r>
      <w:r w:rsidRPr="00FF2E0C" w:rsidR="000604FA">
        <w:t>unreasonable</w:t>
      </w:r>
      <w:r w:rsidRPr="00FF2E0C" w:rsidR="005C27CA">
        <w:t xml:space="preserve"> to read the Short Act to allow for fraudulent practices and diversion of funds, as long as the collateral contract at issue involved merchandise.  </w:t>
      </w:r>
      <w:r w:rsidRPr="00FF2E0C" w:rsidR="005071C2">
        <w:t xml:space="preserve"> </w:t>
      </w:r>
    </w:p>
    <w:p w:rsidR="00AD6C01" w:rsidRPr="00FF2E0C" w:rsidP="00375081" w14:paraId="53678615" w14:textId="71F07D76">
      <w:pPr>
        <w:ind w:firstLine="720"/>
      </w:pPr>
      <w:r w:rsidRPr="00FF2E0C">
        <w:t xml:space="preserve">This is not to say funeral establishments cannot sell </w:t>
      </w:r>
      <w:r w:rsidRPr="00FF2E0C" w:rsidR="004B028E">
        <w:t xml:space="preserve">preneed </w:t>
      </w:r>
      <w:r w:rsidRPr="00FF2E0C">
        <w:t>merchandise to a customer</w:t>
      </w:r>
      <w:r w:rsidRPr="00FF2E0C" w:rsidR="004B028E">
        <w:t xml:space="preserve"> pursuant to a retail contract. </w:t>
      </w:r>
      <w:r w:rsidRPr="00FF2E0C">
        <w:t xml:space="preserve"> But making the </w:t>
      </w:r>
      <w:r w:rsidRPr="00FF2E0C" w:rsidR="009C53E3">
        <w:t xml:space="preserve">retail </w:t>
      </w:r>
      <w:r w:rsidRPr="00FF2E0C" w:rsidR="00CF70A5">
        <w:t>contract</w:t>
      </w:r>
      <w:r w:rsidRPr="00FF2E0C" w:rsidR="009C53E3">
        <w:t xml:space="preserve"> collateral to a preneed </w:t>
      </w:r>
      <w:r w:rsidRPr="00FF2E0C" w:rsidR="00CF70A5">
        <w:t>contract</w:t>
      </w:r>
      <w:r w:rsidRPr="00FF2E0C" w:rsidR="004A6B65">
        <w:t xml:space="preserve"> invokes the Short Act and </w:t>
      </w:r>
      <w:r w:rsidRPr="00FF2E0C" w:rsidR="002663A0">
        <w:t>places upon funeral establishment</w:t>
      </w:r>
      <w:r w:rsidRPr="00FF2E0C" w:rsidR="00CF70A5">
        <w:t>s</w:t>
      </w:r>
      <w:r w:rsidRPr="00FF2E0C" w:rsidR="002663A0">
        <w:t xml:space="preserve"> the responsibilities attendant to the Short Act</w:t>
      </w:r>
      <w:r w:rsidRPr="00FF2E0C" w:rsidR="001F75BC">
        <w:t>—ensuring the availability of services and merchandise at the time of need</w:t>
      </w:r>
      <w:r w:rsidRPr="00FF2E0C" w:rsidR="008F54CF">
        <w:t>.</w:t>
      </w:r>
      <w:r w:rsidRPr="00FF2E0C" w:rsidR="000C62FB">
        <w:t xml:space="preserve">  </w:t>
      </w:r>
    </w:p>
    <w:p w:rsidR="008E76E4" w:rsidRPr="00FF2E0C" w:rsidP="008E76E4" w14:paraId="7D7F644F" w14:textId="524B7A23">
      <w:pPr>
        <w:ind w:firstLine="720"/>
      </w:pPr>
      <w:r w:rsidRPr="00954E04">
        <w:t>Trident points to the Bureau’s regulation to support its interpretation of the Short Act to exclude money paid for delivered merchandise from the trust requirement</w:t>
      </w:r>
      <w:r w:rsidR="00C873DF">
        <w:t>;</w:t>
      </w:r>
      <w:r w:rsidRPr="00954E04">
        <w:t xml:space="preserve"> </w:t>
      </w:r>
      <w:r w:rsidR="00C873DF">
        <w:t>s</w:t>
      </w:r>
      <w:r w:rsidRPr="007A77A1">
        <w:t>pecifically</w:t>
      </w:r>
      <w:r w:rsidR="00BF6B93">
        <w:t>,</w:t>
      </w:r>
      <w:r w:rsidRPr="007A77A1">
        <w:t xml:space="preserve"> that</w:t>
      </w:r>
      <w:r w:rsidRPr="007A77A1">
        <w:t xml:space="preserve"> </w:t>
      </w:r>
      <w:r w:rsidRPr="007A77A1" w:rsidR="00A42DF5">
        <w:t>“</w:t>
      </w:r>
      <w:r w:rsidRPr="007A77A1" w:rsidR="000604FA">
        <w:t>[d]</w:t>
      </w:r>
      <w:r w:rsidRPr="007A77A1" w:rsidR="00A42DF5">
        <w:t>elivery of merchandise within the meaning of</w:t>
      </w:r>
      <w:r w:rsidRPr="007A77A1" w:rsidR="005114EF">
        <w:t xml:space="preserve"> . . . [s]</w:t>
      </w:r>
      <w:r w:rsidRPr="007A77A1" w:rsidR="00A42DF5">
        <w:t>ection 7741 shall mean actual personal delivery to a purchaser</w:t>
      </w:r>
      <w:r w:rsidRPr="007A77A1" w:rsidR="005114EF">
        <w:t xml:space="preserve"> . . . </w:t>
      </w:r>
      <w:r w:rsidRPr="007A77A1" w:rsidR="00A42DF5">
        <w:t>of funeral merchandise that</w:t>
      </w:r>
      <w:r w:rsidRPr="007A77A1" w:rsidR="005114EF">
        <w:t xml:space="preserve"> . . . </w:t>
      </w:r>
      <w:r w:rsidRPr="007A77A1" w:rsidR="00A42DF5">
        <w:t>is intended to be used in connection with a preneed arrangement or any agreement collateral thereto.</w:t>
      </w:r>
      <w:r w:rsidRPr="007A77A1">
        <w:t>”</w:t>
      </w:r>
      <w:r w:rsidRPr="007A77A1" w:rsidR="001F75BC">
        <w:t xml:space="preserve">  </w:t>
      </w:r>
      <w:r w:rsidRPr="007A77A1" w:rsidR="007A77A1">
        <w:t>(</w:t>
      </w:r>
      <w:bookmarkStart w:id="22" w:name="dabmci_93491fc5af504a1bbf637f9eb8d702aa"/>
      <w:r w:rsidRPr="007A77A1" w:rsidR="007A77A1">
        <w:t>Cal</w:t>
      </w:r>
      <w:r w:rsidR="007A77A1">
        <w:t>. Code Regs.</w:t>
      </w:r>
      <w:r w:rsidR="00C873DF">
        <w:t>,</w:t>
      </w:r>
      <w:r w:rsidR="007A77A1">
        <w:t xml:space="preserve"> tit. 16, § 1262, subd. (a)</w:t>
      </w:r>
      <w:bookmarkEnd w:id="22"/>
      <w:r w:rsidR="007A77A1">
        <w:t xml:space="preserve">.)  </w:t>
      </w:r>
      <w:r w:rsidRPr="00954E04">
        <w:t xml:space="preserve">Contrary to Trident’s view, the regulation </w:t>
      </w:r>
      <w:r w:rsidRPr="00954E04" w:rsidR="000B27C3">
        <w:t>is</w:t>
      </w:r>
      <w:r w:rsidRPr="00954E04">
        <w:t xml:space="preserve"> consist</w:t>
      </w:r>
      <w:r w:rsidRPr="00954E04" w:rsidR="000B27C3">
        <w:t>ent</w:t>
      </w:r>
      <w:r w:rsidRPr="00954E04">
        <w:t xml:space="preserve"> with our interpretation of section 7735</w:t>
      </w:r>
      <w:r w:rsidRPr="00954E04" w:rsidR="000B27C3">
        <w:t xml:space="preserve"> because it applies</w:t>
      </w:r>
      <w:r w:rsidRPr="00954E04">
        <w:t xml:space="preserve"> to merchandise that “is</w:t>
      </w:r>
      <w:r w:rsidRPr="00FF2E0C">
        <w:t xml:space="preserve"> intended to be </w:t>
      </w:r>
      <w:r w:rsidRPr="00FF2E0C">
        <w:rPr>
          <w:i/>
          <w:iCs/>
        </w:rPr>
        <w:t>used in connection with</w:t>
      </w:r>
      <w:r w:rsidRPr="00FF2E0C">
        <w:t xml:space="preserve"> a preneed arrangement or any arrangement collateral thereto.”  (</w:t>
      </w:r>
      <w:bookmarkStart w:id="23" w:name="dabmci_8a3c227ad2a74485a98b93ec5b686eaa"/>
      <w:r w:rsidRPr="00FF2E0C">
        <w:t>Cal. Code Regs.</w:t>
      </w:r>
      <w:r w:rsidRPr="00FF2E0C" w:rsidR="00FF2E0C">
        <w:t>, tit. 16,</w:t>
      </w:r>
      <w:r w:rsidRPr="00FF2E0C">
        <w:t xml:space="preserve"> §</w:t>
      </w:r>
      <w:r w:rsidRPr="00FF2E0C" w:rsidR="00FF2E0C">
        <w:t> </w:t>
      </w:r>
      <w:r w:rsidRPr="00FF2E0C">
        <w:t>1262, subd. (a)</w:t>
      </w:r>
      <w:bookmarkEnd w:id="23"/>
      <w:r w:rsidRPr="00FF2E0C">
        <w:t xml:space="preserve">, italics added.)  The regulation </w:t>
      </w:r>
      <w:r w:rsidRPr="00FF2E0C" w:rsidR="000C1611">
        <w:t>is</w:t>
      </w:r>
      <w:r w:rsidRPr="00FF2E0C">
        <w:t xml:space="preserve"> silent as to </w:t>
      </w:r>
      <w:r w:rsidRPr="00FF2E0C" w:rsidR="000C1611">
        <w:t>it</w:t>
      </w:r>
      <w:r w:rsidRPr="00FF2E0C">
        <w:t xml:space="preserve">s applicability to merchandise that </w:t>
      </w:r>
      <w:r w:rsidRPr="00FF2E0C">
        <w:rPr>
          <w:i/>
          <w:iCs/>
        </w:rPr>
        <w:t>is part</w:t>
      </w:r>
      <w:r w:rsidRPr="00FF2E0C">
        <w:t xml:space="preserve"> of a preneed arrangement or arrangement collateral thereto.  Further, the regulation explicitly provides that it interprets section 7741</w:t>
      </w:r>
      <w:r w:rsidRPr="00FF2E0C" w:rsidR="001E0C6E">
        <w:t xml:space="preserve">. </w:t>
      </w:r>
      <w:r w:rsidRPr="00FF2E0C">
        <w:t xml:space="preserve"> (</w:t>
      </w:r>
      <w:bookmarkStart w:id="24" w:name="dabmci_8ea423913b934b83a90dca6689e95a70"/>
      <w:r w:rsidRPr="00FF2E0C">
        <w:t>Cal. Code Regs.</w:t>
      </w:r>
      <w:r w:rsidRPr="00FF2E0C" w:rsidR="00FF2E0C">
        <w:t>, tit. 16,</w:t>
      </w:r>
      <w:r w:rsidRPr="00FF2E0C">
        <w:t xml:space="preserve"> §</w:t>
      </w:r>
      <w:r w:rsidRPr="00FF2E0C" w:rsidR="00FF2E0C">
        <w:t> </w:t>
      </w:r>
      <w:r w:rsidRPr="00FF2E0C">
        <w:t>1262</w:t>
      </w:r>
      <w:r w:rsidRPr="00FF2E0C" w:rsidR="00623110">
        <w:t>, subds. (a)-(b)</w:t>
      </w:r>
      <w:bookmarkEnd w:id="24"/>
      <w:r w:rsidRPr="00FF2E0C" w:rsidR="00623110">
        <w:t xml:space="preserve"> [explaining delivery “within the meaning of [s]ection 7741”</w:t>
      </w:r>
      <w:r w:rsidRPr="00FF2E0C" w:rsidR="001E0C6E">
        <w:t>].</w:t>
      </w:r>
      <w:r w:rsidRPr="00FF2E0C">
        <w:t xml:space="preserve">) </w:t>
      </w:r>
      <w:r w:rsidRPr="00FF2E0C" w:rsidR="001E0C6E">
        <w:t xml:space="preserve"> T</w:t>
      </w:r>
      <w:r w:rsidRPr="00FF2E0C">
        <w:t xml:space="preserve">hus its relevance as to the proper interpretation of section 7735 is limited. </w:t>
      </w:r>
    </w:p>
    <w:p w:rsidR="00496244" w:rsidRPr="00952E24" w:rsidP="008E76E4" w14:paraId="1A5766AF" w14:textId="675FFB88">
      <w:pPr>
        <w:ind w:firstLine="720"/>
      </w:pPr>
      <w:r w:rsidRPr="00952E24">
        <w:t xml:space="preserve">Trident further points to the Bureau’s past practices of allowing funeral homes to engage in the type of conduct the Bureau now considers a violation.  </w:t>
      </w:r>
      <w:r w:rsidRPr="00952E24" w:rsidR="00D31104">
        <w:t>We are confident in our interpretation</w:t>
      </w:r>
      <w:r w:rsidRPr="00952E24">
        <w:t xml:space="preserve"> of the relevant statues</w:t>
      </w:r>
      <w:r w:rsidRPr="00952E24" w:rsidR="003744F7">
        <w:t xml:space="preserve">; </w:t>
      </w:r>
      <w:r w:rsidRPr="00952E24" w:rsidR="00D31104">
        <w:t xml:space="preserve">the </w:t>
      </w:r>
      <w:r w:rsidRPr="00952E24" w:rsidR="00921ADC">
        <w:t>Bureau’s past practices</w:t>
      </w:r>
      <w:r w:rsidRPr="00952E24" w:rsidR="00D31104">
        <w:t xml:space="preserve"> do not </w:t>
      </w:r>
      <w:r w:rsidRPr="00952E24" w:rsidR="00324806">
        <w:t xml:space="preserve">make us question our conclusion. </w:t>
      </w:r>
      <w:r w:rsidRPr="00952E24" w:rsidR="00D149D7">
        <w:t xml:space="preserve"> </w:t>
      </w:r>
    </w:p>
    <w:p w:rsidR="006E06A4" w:rsidRPr="00091EEC" w:rsidP="00503A0E" w14:paraId="1F24DB59" w14:textId="59F76468">
      <w:pPr>
        <w:ind w:firstLine="720"/>
      </w:pPr>
      <w:r w:rsidRPr="001F534E">
        <w:t xml:space="preserve">Thus, the Short Act requires Trident to </w:t>
      </w:r>
      <w:r w:rsidRPr="001F534E" w:rsidR="00B469B0">
        <w:t xml:space="preserve">place in </w:t>
      </w:r>
      <w:r w:rsidRPr="001F534E">
        <w:t xml:space="preserve">trust the money paid to purchase the standard plan. </w:t>
      </w:r>
    </w:p>
    <w:p w:rsidR="00996157" w:rsidRPr="00091EEC" w:rsidP="003B268A" w14:paraId="7DE42879" w14:textId="59604EC3">
      <w:pPr>
        <w:keepNext/>
        <w:jc w:val="center"/>
      </w:pPr>
      <w:r w:rsidRPr="00091EEC">
        <w:t>II</w:t>
      </w:r>
    </w:p>
    <w:p w:rsidR="00B51053" w:rsidRPr="00091EEC" w:rsidP="00B51053" w14:paraId="4A8692EE" w14:textId="68418D4F">
      <w:pPr>
        <w:keepNext/>
        <w:jc w:val="center"/>
        <w:rPr>
          <w:i/>
          <w:iCs/>
        </w:rPr>
      </w:pPr>
      <w:r w:rsidRPr="00091EEC">
        <w:rPr>
          <w:i/>
          <w:iCs/>
        </w:rPr>
        <w:t>The Administrative Law Judge</w:t>
      </w:r>
      <w:r w:rsidRPr="00091EEC" w:rsidR="00AE0F77">
        <w:rPr>
          <w:i/>
          <w:iCs/>
        </w:rPr>
        <w:t xml:space="preserve"> Properly Upheld The</w:t>
      </w:r>
    </w:p>
    <w:p w:rsidR="00552D43" w:rsidRPr="00091EEC" w:rsidP="00B51053" w14:paraId="5EBA660E" w14:textId="7F145825">
      <w:pPr>
        <w:keepNext/>
        <w:jc w:val="center"/>
        <w:rPr>
          <w:i/>
          <w:iCs/>
        </w:rPr>
      </w:pPr>
      <w:r w:rsidRPr="00091EEC">
        <w:rPr>
          <w:i/>
          <w:iCs/>
        </w:rPr>
        <w:t xml:space="preserve">Bureau’s </w:t>
      </w:r>
      <w:r w:rsidRPr="00091EEC" w:rsidR="00B51053">
        <w:rPr>
          <w:i/>
          <w:iCs/>
        </w:rPr>
        <w:t xml:space="preserve">Three </w:t>
      </w:r>
      <w:r w:rsidRPr="00091EEC">
        <w:rPr>
          <w:i/>
          <w:iCs/>
        </w:rPr>
        <w:t>Misrepresentation Findings</w:t>
      </w:r>
    </w:p>
    <w:p w:rsidR="009366A8" w:rsidRPr="00091EEC" w:rsidP="00657C12" w14:paraId="60660E42" w14:textId="54593694">
      <w:pPr>
        <w:rPr>
          <w:highlight w:val="green"/>
        </w:rPr>
      </w:pPr>
      <w:r w:rsidRPr="00326B4A">
        <w:tab/>
      </w:r>
      <w:r w:rsidRPr="00326B4A" w:rsidR="00DD7B9D">
        <w:t>T</w:t>
      </w:r>
      <w:r w:rsidRPr="00326B4A" w:rsidR="00323CB1">
        <w:t>he Bureau found Trident violate</w:t>
      </w:r>
      <w:r w:rsidRPr="00326B4A" w:rsidR="00EE02E4">
        <w:t>d</w:t>
      </w:r>
      <w:r w:rsidRPr="00326B4A" w:rsidR="00DD7B9D">
        <w:t xml:space="preserve"> </w:t>
      </w:r>
      <w:r w:rsidRPr="00326B4A" w:rsidR="00323CB1">
        <w:t>s</w:t>
      </w:r>
      <w:r w:rsidRPr="00326B4A" w:rsidR="00657C12">
        <w:t>ection</w:t>
      </w:r>
      <w:r w:rsidRPr="001F534E" w:rsidR="00657C12">
        <w:t xml:space="preserve"> 7692</w:t>
      </w:r>
      <w:r w:rsidRPr="001F534E" w:rsidR="00323CB1">
        <w:t>, which</w:t>
      </w:r>
      <w:r w:rsidRPr="001F534E" w:rsidR="00657C12">
        <w:t xml:space="preserve"> provides</w:t>
      </w:r>
      <w:r w:rsidRPr="001F534E" w:rsidR="00323CB1">
        <w:t xml:space="preserve"> that</w:t>
      </w:r>
      <w:r w:rsidRPr="001F534E" w:rsidR="00657C12">
        <w:t xml:space="preserve"> “</w:t>
      </w:r>
      <w:r w:rsidRPr="001F534E" w:rsidR="00323CB1">
        <w:t>[m]</w:t>
      </w:r>
      <w:r w:rsidRPr="001F534E" w:rsidR="00657C12">
        <w:t xml:space="preserve">isrepresentation or fraud in the conduct of the business or the profession of a funeral director or embalmer constitutes a ground for disciplinary action.”  </w:t>
      </w:r>
      <w:r w:rsidRPr="00BC5951" w:rsidR="00EE02E4">
        <w:t xml:space="preserve">Trident challenges the Bureau’s three misrepresentation findings upheld by the administrative law judge and superior court on both legal and factual grounds.  </w:t>
      </w:r>
    </w:p>
    <w:p w:rsidR="00C96A59" w:rsidRPr="00BC1DEB" w:rsidP="009378C7" w14:paraId="796C8EBA" w14:textId="075611BD">
      <w:r w:rsidRPr="00BC5951">
        <w:tab/>
      </w:r>
      <w:r w:rsidRPr="00BC5951">
        <w:t xml:space="preserve">As to its legal challenges, Trident contends the definition of misrepresentation contained in section 7692 requires an intent on behalf of Trident to </w:t>
      </w:r>
      <w:r w:rsidRPr="00BC5951" w:rsidR="004D7B8B">
        <w:t>deceive</w:t>
      </w:r>
      <w:r w:rsidRPr="00BC5951">
        <w:t xml:space="preserve"> and proof that a customer was</w:t>
      </w:r>
      <w:r w:rsidRPr="00BC5951" w:rsidR="005B07CB">
        <w:t xml:space="preserve"> actually</w:t>
      </w:r>
      <w:r w:rsidRPr="00BC5951">
        <w:t xml:space="preserve"> </w:t>
      </w:r>
      <w:r w:rsidRPr="00BC5951" w:rsidR="00B61AA4">
        <w:t>deceived</w:t>
      </w:r>
      <w:r w:rsidRPr="00BC5951">
        <w:t xml:space="preserve">.  Trident also contends section 7692 prohibits only misrepresentation and fraud and not </w:t>
      </w:r>
      <w:r w:rsidRPr="00BC1DEB">
        <w:t>concealment of information</w:t>
      </w:r>
      <w:r w:rsidRPr="00BC1DEB" w:rsidR="00182CE5">
        <w:t>,</w:t>
      </w:r>
      <w:r w:rsidRPr="00BC1DEB">
        <w:t xml:space="preserve"> as the </w:t>
      </w:r>
      <w:r w:rsidRPr="00BC1DEB" w:rsidR="00182CE5">
        <w:t>superior</w:t>
      </w:r>
      <w:r w:rsidRPr="00BC1DEB">
        <w:t xml:space="preserve"> court found.  </w:t>
      </w:r>
    </w:p>
    <w:p w:rsidR="00CB4835" w:rsidRPr="00091EEC" w:rsidP="00657C12" w14:paraId="48798DE6" w14:textId="75418D4E">
      <w:pPr>
        <w:rPr>
          <w:highlight w:val="green"/>
        </w:rPr>
      </w:pPr>
      <w:r w:rsidRPr="00D255F6">
        <w:tab/>
      </w:r>
      <w:r w:rsidRPr="00D255F6" w:rsidR="00D0022B">
        <w:t xml:space="preserve">The problem with Trident’s argument </w:t>
      </w:r>
      <w:r w:rsidRPr="00D255F6" w:rsidR="00C337FE">
        <w:t xml:space="preserve">regarding intent </w:t>
      </w:r>
      <w:r w:rsidRPr="00D255F6" w:rsidR="00D0022B">
        <w:t xml:space="preserve">is that </w:t>
      </w:r>
      <w:r w:rsidRPr="00D255F6" w:rsidR="00A54835">
        <w:t xml:space="preserve">the </w:t>
      </w:r>
      <w:r w:rsidRPr="00D255F6" w:rsidR="005B07CB">
        <w:t>superior</w:t>
      </w:r>
      <w:r w:rsidRPr="00D255F6" w:rsidR="00A54835">
        <w:t xml:space="preserve"> court found Trident</w:t>
      </w:r>
      <w:r w:rsidRPr="00D255F6" w:rsidR="00D0022B">
        <w:t xml:space="preserve"> abandoned it</w:t>
      </w:r>
      <w:r w:rsidRPr="00D255F6" w:rsidR="00A54835">
        <w:t xml:space="preserve"> in </w:t>
      </w:r>
      <w:r w:rsidRPr="00D255F6" w:rsidR="00CC04A6">
        <w:t>its</w:t>
      </w:r>
      <w:r w:rsidRPr="00D255F6" w:rsidR="00A54835">
        <w:t xml:space="preserve"> reply brief</w:t>
      </w:r>
      <w:r w:rsidRPr="00D255F6" w:rsidR="00D0022B">
        <w:t>.</w:t>
      </w:r>
      <w:r w:rsidRPr="00D255F6" w:rsidR="005B07CB">
        <w:t xml:space="preserve">  </w:t>
      </w:r>
      <w:r w:rsidRPr="00BC5951" w:rsidR="00D0022B">
        <w:t xml:space="preserve">Trident </w:t>
      </w:r>
      <w:r w:rsidRPr="00BC5951" w:rsidR="00CC04A6">
        <w:t>argues the superior</w:t>
      </w:r>
      <w:r w:rsidRPr="00BC5951" w:rsidR="00FF04DB">
        <w:t xml:space="preserve"> court</w:t>
      </w:r>
      <w:r w:rsidRPr="00BC5951" w:rsidR="00CC04A6">
        <w:t xml:space="preserve"> was wrong in this regard </w:t>
      </w:r>
      <w:r w:rsidRPr="00BC5951" w:rsidR="00CF2F3B">
        <w:t>because a reply brief cannot be expected to regurgitate everything in a</w:t>
      </w:r>
      <w:r w:rsidRPr="00BC5951" w:rsidR="00CC04A6">
        <w:t>n opening brief</w:t>
      </w:r>
      <w:r w:rsidRPr="00BC5951" w:rsidR="00766F89">
        <w:t>.</w:t>
      </w:r>
      <w:r w:rsidRPr="00BC5951" w:rsidR="009A61CA">
        <w:t xml:space="preserve">  </w:t>
      </w:r>
      <w:r w:rsidRPr="00BC5951" w:rsidR="00766F89">
        <w:t xml:space="preserve">The </w:t>
      </w:r>
      <w:r w:rsidRPr="00BC5951" w:rsidR="00CC04A6">
        <w:t>superior</w:t>
      </w:r>
      <w:r w:rsidRPr="00D255F6" w:rsidR="00766F89">
        <w:t xml:space="preserve"> court, however, </w:t>
      </w:r>
      <w:r w:rsidRPr="00D255F6" w:rsidR="00651D14">
        <w:t xml:space="preserve">first </w:t>
      </w:r>
      <w:r w:rsidRPr="00D255F6" w:rsidR="00766F89">
        <w:t>made this finding in its tentative ruling.</w:t>
      </w:r>
      <w:r w:rsidRPr="00D255F6" w:rsidR="00B07CC1">
        <w:t xml:space="preserve">  </w:t>
      </w:r>
      <w:r w:rsidRPr="00790E09" w:rsidR="00766F89">
        <w:t xml:space="preserve">Trident did not correct the </w:t>
      </w:r>
      <w:r w:rsidRPr="00790E09" w:rsidR="00CC04A6">
        <w:t>superior</w:t>
      </w:r>
      <w:r w:rsidRPr="00790E09" w:rsidR="00766F89">
        <w:t xml:space="preserve"> court at argument on the merits of the petition or </w:t>
      </w:r>
      <w:r w:rsidRPr="00790E09" w:rsidR="00A135E1">
        <w:t>move</w:t>
      </w:r>
      <w:r w:rsidRPr="00790E09" w:rsidR="00766F89">
        <w:t xml:space="preserve"> for reconsideration after the order was </w:t>
      </w:r>
      <w:r w:rsidRPr="00790E09" w:rsidR="00F716EA">
        <w:t>deemed a</w:t>
      </w:r>
      <w:r w:rsidRPr="00790E09" w:rsidR="00766F89">
        <w:t xml:space="preserve"> </w:t>
      </w:r>
      <w:r w:rsidRPr="00790E09" w:rsidR="00942F29">
        <w:t>final</w:t>
      </w:r>
      <w:r w:rsidRPr="00790E09" w:rsidR="00F716EA">
        <w:t xml:space="preserve"> order</w:t>
      </w:r>
      <w:r w:rsidRPr="00790E09" w:rsidR="00942F29">
        <w:t>.</w:t>
      </w:r>
      <w:r w:rsidRPr="00790E09" w:rsidR="00F8100E">
        <w:t xml:space="preserve">  </w:t>
      </w:r>
      <w:r w:rsidRPr="00790E09" w:rsidR="00942F29">
        <w:t xml:space="preserve">It was not until on appeal that Trident revisits its argument that misrepresentation under </w:t>
      </w:r>
      <w:r w:rsidRPr="00BC5951" w:rsidR="00942F29">
        <w:t>section 7692 requires an intent to deceive</w:t>
      </w:r>
      <w:r w:rsidRPr="00BC5951" w:rsidR="006D1A06">
        <w:t>, asking us to decide this issue in the first instance</w:t>
      </w:r>
      <w:r w:rsidRPr="00BC5951" w:rsidR="00942F29">
        <w:t xml:space="preserve">.  </w:t>
      </w:r>
      <w:r w:rsidRPr="00BC5951" w:rsidR="004A7C2A">
        <w:t>It</w:t>
      </w:r>
      <w:r w:rsidRPr="001F534E" w:rsidR="004A7C2A">
        <w:t xml:space="preserve"> is too late</w:t>
      </w:r>
      <w:r w:rsidRPr="001F534E" w:rsidR="00776899">
        <w:t>;</w:t>
      </w:r>
      <w:r w:rsidRPr="001F534E" w:rsidR="004A7C2A">
        <w:t xml:space="preserve"> </w:t>
      </w:r>
      <w:r w:rsidRPr="001F534E" w:rsidR="00D71F53">
        <w:t>the</w:t>
      </w:r>
      <w:r w:rsidRPr="001F534E" w:rsidR="004A7C2A">
        <w:t xml:space="preserve"> argument is forfeited.  </w:t>
      </w:r>
      <w:r w:rsidRPr="001F534E" w:rsidR="00B67394">
        <w:t>(</w:t>
      </w:r>
      <w:bookmarkStart w:id="25" w:name="dabmci_7144e0ae04324eb1baabf4416ea05e47"/>
      <w:r w:rsidRPr="001F534E" w:rsidR="00495443">
        <w:rPr>
          <w:i/>
          <w:iCs/>
        </w:rPr>
        <w:t xml:space="preserve">Porterville Citizens for Responsible Hillside Development v. City of Porterville </w:t>
      </w:r>
      <w:r w:rsidRPr="001F534E" w:rsidR="00495443">
        <w:t>(2007) 157</w:t>
      </w:r>
      <w:r w:rsidRPr="001F534E" w:rsidR="00C72D8E">
        <w:t> Cal.</w:t>
      </w:r>
      <w:r w:rsidRPr="001F534E" w:rsidR="00495443">
        <w:t>App.4th 885, 912</w:t>
      </w:r>
      <w:bookmarkEnd w:id="25"/>
      <w:r w:rsidRPr="001F534E" w:rsidR="00401662">
        <w:t xml:space="preserve"> [“It is axiomatic that a party may not complain on appeal of rulings to which it acquiesced in the lower court”]</w:t>
      </w:r>
      <w:r w:rsidRPr="001F534E" w:rsidR="00B67394">
        <w:t>.)</w:t>
      </w:r>
      <w:r w:rsidRPr="001F534E" w:rsidR="00F94696">
        <w:t xml:space="preserve">  </w:t>
      </w:r>
    </w:p>
    <w:p w:rsidR="00AE0F77" w:rsidRPr="00087CF3" w:rsidP="00D00112" w14:paraId="15347A4C" w14:textId="5F7C5942">
      <w:pPr>
        <w:ind w:firstLine="720"/>
      </w:pPr>
      <w:r w:rsidRPr="00D255F6">
        <w:t>A</w:t>
      </w:r>
      <w:r w:rsidRPr="00D255F6" w:rsidR="00823E71">
        <w:t xml:space="preserve">s to whether concealment </w:t>
      </w:r>
      <w:r w:rsidRPr="00D255F6" w:rsidR="00C90E1B">
        <w:t>can serve</w:t>
      </w:r>
      <w:r w:rsidRPr="00D255F6" w:rsidR="00823E71">
        <w:t xml:space="preserve"> as a basis for finding misrepresentation under section 7692</w:t>
      </w:r>
      <w:r w:rsidRPr="00D255F6" w:rsidR="00C90E1B">
        <w:t xml:space="preserve">, we agree with the </w:t>
      </w:r>
      <w:r w:rsidRPr="00D255F6" w:rsidR="00501391">
        <w:t>superior</w:t>
      </w:r>
      <w:r w:rsidRPr="00D255F6" w:rsidR="00C90E1B">
        <w:t xml:space="preserve"> court that </w:t>
      </w:r>
      <w:r w:rsidRPr="00D255F6" w:rsidR="00501391">
        <w:t>concealment is a viable theory</w:t>
      </w:r>
      <w:r w:rsidRPr="00D255F6" w:rsidR="006549A4">
        <w:t xml:space="preserve"> of misrepresentation</w:t>
      </w:r>
      <w:r w:rsidRPr="00D255F6" w:rsidR="00C90E1B">
        <w:t>.</w:t>
      </w:r>
      <w:r w:rsidRPr="00D255F6" w:rsidR="00560037">
        <w:t xml:space="preserve">  </w:t>
      </w:r>
      <w:r w:rsidRPr="00BC5951" w:rsidR="002105AC">
        <w:t>S</w:t>
      </w:r>
      <w:r w:rsidRPr="00BC5951" w:rsidR="00D00112">
        <w:t>ection 7692</w:t>
      </w:r>
      <w:r w:rsidRPr="00BC5951" w:rsidR="002105AC">
        <w:t>’s focus</w:t>
      </w:r>
      <w:r w:rsidRPr="00BC5951" w:rsidR="00D00112">
        <w:t xml:space="preserve"> is on the conduct of the business or profession of a funeral establishment, </w:t>
      </w:r>
      <w:r w:rsidRPr="00BC5951" w:rsidR="006D66F0">
        <w:t>which includes contracting with customers</w:t>
      </w:r>
      <w:r w:rsidRPr="00BC5951" w:rsidR="00D00112">
        <w:t xml:space="preserve">.  </w:t>
      </w:r>
      <w:r w:rsidRPr="001F534E" w:rsidR="00501391">
        <w:t xml:space="preserve">The definition of fraud </w:t>
      </w:r>
      <w:r w:rsidRPr="001F534E" w:rsidR="00D00112">
        <w:t xml:space="preserve">in the context of contracting </w:t>
      </w:r>
      <w:r w:rsidRPr="001F534E" w:rsidR="00C90E1B">
        <w:t>has long includ</w:t>
      </w:r>
      <w:r w:rsidRPr="001F534E" w:rsidR="00501391">
        <w:t>ed</w:t>
      </w:r>
      <w:r w:rsidRPr="001F534E" w:rsidR="00C90E1B">
        <w:t xml:space="preserve"> </w:t>
      </w:r>
      <w:r w:rsidRPr="001F534E" w:rsidR="00501391">
        <w:t xml:space="preserve">the act of </w:t>
      </w:r>
      <w:r w:rsidRPr="001F534E" w:rsidR="00C90E1B">
        <w:t>concealment.  (</w:t>
      </w:r>
      <w:bookmarkStart w:id="26" w:name="dabmci_cc0139dcfd7244278cd463e3e6e66dfc"/>
      <w:r w:rsidRPr="001F534E" w:rsidR="00C74D1E">
        <w:rPr>
          <w:i/>
          <w:iCs/>
        </w:rPr>
        <w:t>Belden v. Henriques</w:t>
      </w:r>
      <w:r w:rsidRPr="001F534E" w:rsidR="00C74D1E">
        <w:t xml:space="preserve"> (1857) 8</w:t>
      </w:r>
      <w:r w:rsidRPr="001F534E" w:rsidR="00C72D8E">
        <w:t> Cal.</w:t>
      </w:r>
      <w:r w:rsidRPr="001F534E" w:rsidR="00C74D1E">
        <w:t xml:space="preserve"> 87, 88-89</w:t>
      </w:r>
      <w:bookmarkEnd w:id="26"/>
      <w:r w:rsidRPr="001F534E" w:rsidR="00C74D1E">
        <w:t xml:space="preserve"> [“</w:t>
      </w:r>
      <w:r w:rsidRPr="001F534E" w:rsidR="00F94696">
        <w:t>F</w:t>
      </w:r>
      <w:r w:rsidRPr="001F534E" w:rsidR="00C74D1E">
        <w:t>raud may consist in the misrepresentation, or the concealment of material facts</w:t>
      </w:r>
      <w:r w:rsidRPr="00087CF3" w:rsidR="00C74D1E">
        <w:t xml:space="preserve">”].)  </w:t>
      </w:r>
      <w:r w:rsidRPr="00087CF3" w:rsidR="000A1B36">
        <w:t xml:space="preserve">We presume the Legislature knew of this </w:t>
      </w:r>
      <w:r w:rsidRPr="00087CF3" w:rsidR="00540050">
        <w:t xml:space="preserve">existing </w:t>
      </w:r>
      <w:r w:rsidRPr="00087CF3" w:rsidR="00205D96">
        <w:t>interpretation</w:t>
      </w:r>
      <w:r w:rsidRPr="00087CF3" w:rsidR="000A1B36">
        <w:t xml:space="preserve"> and intended </w:t>
      </w:r>
      <w:r w:rsidRPr="00087CF3" w:rsidR="00501391">
        <w:t xml:space="preserve">to incorporate it in </w:t>
      </w:r>
      <w:r w:rsidRPr="00087CF3" w:rsidR="00421994">
        <w:t>section 7692 when it was enacted in 1939.</w:t>
      </w:r>
      <w:r w:rsidRPr="00087CF3" w:rsidR="00501391">
        <w:t xml:space="preserve">  (</w:t>
      </w:r>
      <w:bookmarkStart w:id="27" w:name="dabmci_5bf9000815e14a1a83e2e9a11f6786a2"/>
      <w:r w:rsidRPr="00087CF3" w:rsidR="007C4C95">
        <w:rPr>
          <w:i/>
          <w:iCs/>
        </w:rPr>
        <w:t>Moran v. Murtaugh Miller Meyer &amp; Nelson, LLP</w:t>
      </w:r>
      <w:r w:rsidRPr="00087CF3" w:rsidR="007C4C95">
        <w:t xml:space="preserve"> (2007) 40</w:t>
      </w:r>
      <w:r w:rsidRPr="00087CF3" w:rsidR="00C72D8E">
        <w:t> Cal.</w:t>
      </w:r>
      <w:r w:rsidRPr="00087CF3" w:rsidR="007C4C95">
        <w:t>4th 780, 785</w:t>
      </w:r>
      <w:bookmarkEnd w:id="27"/>
      <w:r w:rsidR="00087CF3">
        <w:t>; Stats. 19</w:t>
      </w:r>
      <w:r w:rsidR="00BF6B93">
        <w:t>3</w:t>
      </w:r>
      <w:r w:rsidR="00087CF3">
        <w:t>9, ch. </w:t>
      </w:r>
      <w:r w:rsidR="00BF6B93">
        <w:t>39</w:t>
      </w:r>
      <w:r w:rsidR="00087CF3">
        <w:t>, § 1</w:t>
      </w:r>
      <w:r w:rsidRPr="00087CF3" w:rsidR="007C4C95">
        <w:t>.)</w:t>
      </w:r>
      <w:r w:rsidRPr="00087CF3" w:rsidR="00F94696">
        <w:t xml:space="preserve">  </w:t>
      </w:r>
    </w:p>
    <w:p w:rsidR="00EC7761" w:rsidRPr="00087CF3" w:rsidP="00D00112" w14:paraId="6134BE71" w14:textId="32637715">
      <w:pPr>
        <w:ind w:firstLine="720"/>
      </w:pPr>
      <w:r w:rsidRPr="00087CF3">
        <w:t xml:space="preserve">Trident </w:t>
      </w:r>
      <w:r w:rsidRPr="00FD53CC">
        <w:t xml:space="preserve">cites </w:t>
      </w:r>
      <w:bookmarkStart w:id="28" w:name="dabmci_29696f1bcfa6493aa0e20909c7f2b537"/>
      <w:r w:rsidRPr="00FD53CC">
        <w:rPr>
          <w:i/>
          <w:iCs/>
        </w:rPr>
        <w:t xml:space="preserve">Kleffman v. Vonage </w:t>
      </w:r>
      <w:r w:rsidRPr="00FD53CC" w:rsidR="009724EF">
        <w:rPr>
          <w:i/>
          <w:iCs/>
        </w:rPr>
        <w:t>H</w:t>
      </w:r>
      <w:r w:rsidRPr="00FD53CC">
        <w:rPr>
          <w:i/>
          <w:iCs/>
        </w:rPr>
        <w:t xml:space="preserve">oldings Corp. </w:t>
      </w:r>
      <w:r w:rsidRPr="00FD53CC">
        <w:t>(2010) 49</w:t>
      </w:r>
      <w:r w:rsidRPr="00FD53CC" w:rsidR="00C72D8E">
        <w:t> Cal.</w:t>
      </w:r>
      <w:r w:rsidRPr="00FD53CC">
        <w:t>4th 334</w:t>
      </w:r>
      <w:r w:rsidRPr="00FD53CC" w:rsidR="00D37D0F">
        <w:t xml:space="preserve">, </w:t>
      </w:r>
      <w:r w:rsidRPr="00FD53CC" w:rsidR="006F03DC">
        <w:t>339-34</w:t>
      </w:r>
      <w:r w:rsidR="00FD53CC">
        <w:t>5</w:t>
      </w:r>
      <w:bookmarkEnd w:id="28"/>
      <w:r w:rsidRPr="00FD53CC" w:rsidR="006F03DC">
        <w:t xml:space="preserve"> </w:t>
      </w:r>
      <w:r w:rsidRPr="00087CF3" w:rsidR="00D37D0F">
        <w:t>as an example of when our Supreme Court interpreted the term misrepresented</w:t>
      </w:r>
      <w:r w:rsidRPr="00087CF3" w:rsidR="009724EF">
        <w:t xml:space="preserve"> to exclude </w:t>
      </w:r>
      <w:r w:rsidRPr="00087CF3" w:rsidR="00B13FFD">
        <w:t xml:space="preserve">the common synonym </w:t>
      </w:r>
      <w:r w:rsidRPr="00087CF3" w:rsidR="006F03DC">
        <w:t xml:space="preserve">misled.  </w:t>
      </w:r>
      <w:r w:rsidRPr="00FD53CC" w:rsidR="00D63F0A">
        <w:t xml:space="preserve">Our Supreme Court, however, interpreted a different statute with different language </w:t>
      </w:r>
      <w:r w:rsidRPr="00FD53CC" w:rsidR="004C3417">
        <w:t>enacted</w:t>
      </w:r>
      <w:r w:rsidRPr="00FD53CC" w:rsidR="00D63F0A">
        <w:t xml:space="preserve"> in a different chapter of the Business and Professions Code</w:t>
      </w:r>
      <w:r w:rsidRPr="00FD53CC" w:rsidR="00257003">
        <w:t xml:space="preserve"> </w:t>
      </w:r>
      <w:r w:rsidRPr="00FD53CC" w:rsidR="0079432F">
        <w:t xml:space="preserve">with a different statutory scheme and </w:t>
      </w:r>
      <w:r w:rsidRPr="00FD53CC" w:rsidR="009B159E">
        <w:t xml:space="preserve">supporting legislative </w:t>
      </w:r>
      <w:r w:rsidRPr="00FD53CC" w:rsidR="0079432F">
        <w:t>intent.</w:t>
      </w:r>
      <w:r w:rsidRPr="00FD53CC" w:rsidR="00257003">
        <w:t xml:space="preserve">  (</w:t>
      </w:r>
      <w:bookmarkStart w:id="29" w:name="dabmci_d23ce7b2bdb84618a6d7ab9449eeb788"/>
      <w:r w:rsidRPr="00FD53CC" w:rsidR="00257003">
        <w:rPr>
          <w:i/>
          <w:iCs/>
        </w:rPr>
        <w:t>Ibid</w:t>
      </w:r>
      <w:r w:rsidRPr="00FD53CC" w:rsidR="00257003">
        <w:t>.</w:t>
      </w:r>
      <w:bookmarkEnd w:id="29"/>
      <w:r w:rsidRPr="00087CF3" w:rsidR="00257003">
        <w:t>)</w:t>
      </w:r>
      <w:r w:rsidRPr="00087CF3" w:rsidR="009B159E">
        <w:t xml:space="preserve">  Trident has not pointed us to any </w:t>
      </w:r>
      <w:r w:rsidRPr="00087CF3" w:rsidR="006021FD">
        <w:t xml:space="preserve">statutory language or </w:t>
      </w:r>
      <w:r w:rsidRPr="00087CF3" w:rsidR="009B159E">
        <w:t xml:space="preserve">legislative intent </w:t>
      </w:r>
      <w:r w:rsidRPr="00087CF3" w:rsidR="006021FD">
        <w:t>indicating the terms fraud and misrepresen</w:t>
      </w:r>
      <w:r w:rsidRPr="00087CF3" w:rsidR="00307D13">
        <w:t>t</w:t>
      </w:r>
      <w:r w:rsidRPr="00087CF3" w:rsidR="004C3417">
        <w:t>ation</w:t>
      </w:r>
      <w:r w:rsidRPr="00087CF3" w:rsidR="006021FD">
        <w:t xml:space="preserve"> </w:t>
      </w:r>
      <w:r w:rsidRPr="00087CF3" w:rsidR="00863542">
        <w:t xml:space="preserve">in section 7692 </w:t>
      </w:r>
      <w:r w:rsidRPr="00087CF3" w:rsidR="00E501ED">
        <w:t xml:space="preserve">exclude the commonly </w:t>
      </w:r>
      <w:r w:rsidRPr="00087CF3" w:rsidR="00863542">
        <w:t>used</w:t>
      </w:r>
      <w:r w:rsidRPr="00087CF3" w:rsidR="00E501ED">
        <w:t xml:space="preserve"> </w:t>
      </w:r>
      <w:r w:rsidRPr="00087CF3" w:rsidR="00863542">
        <w:t>interpretation</w:t>
      </w:r>
      <w:r w:rsidRPr="00087CF3" w:rsidR="00E501ED">
        <w:t xml:space="preserve"> of conceal. </w:t>
      </w:r>
      <w:r w:rsidRPr="00087CF3" w:rsidR="006021FD">
        <w:t xml:space="preserve"> </w:t>
      </w:r>
    </w:p>
    <w:p w:rsidR="00DA2837" w:rsidRPr="00326B4A" w:rsidP="00DA2837" w14:paraId="21735F90" w14:textId="5F1B42A6">
      <w:pPr>
        <w:ind w:firstLine="720"/>
      </w:pPr>
      <w:r w:rsidRPr="00087CF3">
        <w:t xml:space="preserve">Finally, </w:t>
      </w:r>
      <w:r w:rsidRPr="00087CF3">
        <w:t xml:space="preserve">it was not necessary for the Bureau to demonstrate T.G. was actually deceived for it to find that Trident misrepresented when contracting with </w:t>
      </w:r>
      <w:r w:rsidRPr="00087CF3" w:rsidR="00A7321D">
        <w:t>him</w:t>
      </w:r>
      <w:r w:rsidRPr="00087CF3">
        <w:t>.</w:t>
      </w:r>
      <w:r w:rsidRPr="00087CF3" w:rsidR="00307D13">
        <w:t xml:space="preserve">  </w:t>
      </w:r>
      <w:r w:rsidRPr="00087CF3" w:rsidR="00D93014">
        <w:t>As discussed, t</w:t>
      </w:r>
      <w:r w:rsidRPr="00087CF3">
        <w:t xml:space="preserve">he focus of section 7692 is on the conduct of the business or profession of a funeral </w:t>
      </w:r>
      <w:r w:rsidRPr="00014183">
        <w:t>establishment</w:t>
      </w:r>
      <w:r w:rsidRPr="00014183" w:rsidR="00D93014">
        <w:t xml:space="preserve">.  </w:t>
      </w:r>
      <w:r w:rsidRPr="00014183" w:rsidR="002A3985">
        <w:t>It</w:t>
      </w:r>
      <w:r w:rsidRPr="00014183" w:rsidR="00D93014">
        <w:t xml:space="preserve"> is no</w:t>
      </w:r>
      <w:r w:rsidRPr="00014183" w:rsidR="00C54891">
        <w:t>t whether a customer can bring an actionable claim</w:t>
      </w:r>
      <w:r w:rsidRPr="00014183" w:rsidR="00D93014">
        <w:t xml:space="preserve"> against </w:t>
      </w:r>
      <w:r w:rsidRPr="00014183" w:rsidR="0002706F">
        <w:t>a</w:t>
      </w:r>
      <w:r w:rsidRPr="00014183" w:rsidR="00D93014">
        <w:t xml:space="preserve"> funeral establishment, </w:t>
      </w:r>
      <w:r w:rsidRPr="00014183" w:rsidR="0039239D">
        <w:t>undermining Trident</w:t>
      </w:r>
      <w:r w:rsidR="00951531">
        <w:t>’</w:t>
      </w:r>
      <w:r w:rsidRPr="00014183" w:rsidR="0039239D">
        <w:t xml:space="preserve">s </w:t>
      </w:r>
      <w:r w:rsidRPr="00014183" w:rsidR="00C05D70">
        <w:t xml:space="preserve">contention </w:t>
      </w:r>
      <w:r w:rsidRPr="00014183" w:rsidR="00A2287D">
        <w:t>that elements for a</w:t>
      </w:r>
      <w:r w:rsidRPr="00014183" w:rsidR="00C05D70">
        <w:t xml:space="preserve"> </w:t>
      </w:r>
      <w:r w:rsidRPr="00014183" w:rsidR="00A2287D">
        <w:t xml:space="preserve">common law </w:t>
      </w:r>
      <w:r w:rsidRPr="00014183" w:rsidR="00C05D70">
        <w:t xml:space="preserve">contract </w:t>
      </w:r>
      <w:r w:rsidRPr="00014183" w:rsidR="00A2287D">
        <w:t>claim</w:t>
      </w:r>
      <w:r w:rsidRPr="00014183" w:rsidR="00C05D70">
        <w:t xml:space="preserve"> </w:t>
      </w:r>
      <w:r w:rsidRPr="00014183" w:rsidR="00781507">
        <w:t>suppl</w:t>
      </w:r>
      <w:r w:rsidRPr="00014183" w:rsidR="00A2287D">
        <w:t>y</w:t>
      </w:r>
      <w:r w:rsidRPr="00014183" w:rsidR="00781507">
        <w:t xml:space="preserve"> the standard for </w:t>
      </w:r>
      <w:r w:rsidRPr="00014183" w:rsidR="00A2287D">
        <w:t>finding a misrepresentation</w:t>
      </w:r>
      <w:r w:rsidRPr="00014183">
        <w:t>.</w:t>
      </w:r>
      <w:r w:rsidRPr="00014183" w:rsidR="00DD1679">
        <w:t xml:space="preserve">  </w:t>
      </w:r>
      <w:r w:rsidRPr="00326B4A">
        <w:t xml:space="preserve">This is especially true in the funeral establishment context, and even more so in the context of preneed contracts, where the other contracting party is unlikely to be present at the time the contract is performed and misrepresentations become apparent.  Therefore, we see no error in the superior court’s focus on </w:t>
      </w:r>
      <w:r w:rsidRPr="009A6FD3">
        <w:t xml:space="preserve">the </w:t>
      </w:r>
      <w:r w:rsidRPr="009A6FD3" w:rsidR="00F94696">
        <w:t>e</w:t>
      </w:r>
      <w:r w:rsidRPr="009A6FD3">
        <w:t>ffect Trident’s</w:t>
      </w:r>
      <w:r w:rsidRPr="00326B4A">
        <w:t xml:space="preserve"> conduct had on a reasonable purchaser of its services and merchandise.</w:t>
      </w:r>
    </w:p>
    <w:p w:rsidR="0050577E" w:rsidRPr="00326B4A" w:rsidP="00281876" w14:paraId="0AB87D3D" w14:textId="49EB37C2">
      <w:pPr>
        <w:ind w:firstLine="720"/>
      </w:pPr>
      <w:r w:rsidRPr="00881C78">
        <w:t>Trident</w:t>
      </w:r>
      <w:r w:rsidRPr="00881C78" w:rsidR="00180605">
        <w:t xml:space="preserve">’s factual contentions fair no better. </w:t>
      </w:r>
      <w:r w:rsidRPr="00881C78">
        <w:t xml:space="preserve"> </w:t>
      </w:r>
      <w:r w:rsidRPr="00881C78">
        <w:t>Trident argues it did not conceal any information</w:t>
      </w:r>
      <w:r w:rsidRPr="00881C78" w:rsidR="00B90163">
        <w:t xml:space="preserve"> </w:t>
      </w:r>
      <w:r w:rsidRPr="00881C78" w:rsidR="00041067">
        <w:t xml:space="preserve">related to the return policy for the preneed agreement </w:t>
      </w:r>
      <w:r w:rsidRPr="00881C78" w:rsidR="00B90163">
        <w:t>b</w:t>
      </w:r>
      <w:r w:rsidRPr="00881C78" w:rsidR="00041067">
        <w:t>ecause it</w:t>
      </w:r>
      <w:r w:rsidRPr="00881C78" w:rsidR="00B90163">
        <w:t xml:space="preserve"> provided all the information, </w:t>
      </w:r>
      <w:r w:rsidRPr="00881C78" w:rsidR="006552FB">
        <w:t>albeit</w:t>
      </w:r>
      <w:r w:rsidRPr="00881C78" w:rsidR="00B90163">
        <w:t xml:space="preserve"> </w:t>
      </w:r>
      <w:r w:rsidRPr="00881C78" w:rsidR="00E21857">
        <w:t xml:space="preserve">in various places </w:t>
      </w:r>
      <w:r w:rsidRPr="00881C78" w:rsidR="00BD1CE3">
        <w:t>throughout</w:t>
      </w:r>
      <w:r w:rsidRPr="00881C78" w:rsidR="00E21857">
        <w:t xml:space="preserve"> the</w:t>
      </w:r>
      <w:r w:rsidRPr="00881C78" w:rsidR="00205EFF">
        <w:t xml:space="preserve"> preneed</w:t>
      </w:r>
      <w:r w:rsidRPr="00881C78" w:rsidR="00E21857">
        <w:t xml:space="preserve"> agreement</w:t>
      </w:r>
      <w:r w:rsidRPr="00881C78">
        <w:t>.</w:t>
      </w:r>
      <w:r w:rsidRPr="00881C78" w:rsidR="00D14CDE">
        <w:t xml:space="preserve">  </w:t>
      </w:r>
      <w:r w:rsidRPr="009032FA" w:rsidR="00B90163">
        <w:t xml:space="preserve">Specifically, while the </w:t>
      </w:r>
      <w:r w:rsidRPr="009032FA" w:rsidR="00E452F6">
        <w:t>preneed ag</w:t>
      </w:r>
      <w:r w:rsidRPr="009032FA" w:rsidR="002A74A9">
        <w:t>reement</w:t>
      </w:r>
      <w:r w:rsidRPr="009032FA" w:rsidR="00B90163">
        <w:t xml:space="preserve"> </w:t>
      </w:r>
      <w:r w:rsidRPr="009032FA" w:rsidR="001C6207">
        <w:t xml:space="preserve">provides </w:t>
      </w:r>
      <w:r w:rsidRPr="009032FA" w:rsidR="002A74A9">
        <w:t>before signing</w:t>
      </w:r>
      <w:r w:rsidRPr="009032FA" w:rsidR="001C6207">
        <w:t xml:space="preserve"> th</w:t>
      </w:r>
      <w:r w:rsidRPr="009032FA" w:rsidR="00863542">
        <w:t>at the</w:t>
      </w:r>
      <w:r w:rsidRPr="009032FA" w:rsidR="001C6207">
        <w:t xml:space="preserve"> preneed agreement</w:t>
      </w:r>
      <w:r w:rsidRPr="009032FA" w:rsidR="00C43E3B">
        <w:t xml:space="preserve"> can be cancel</w:t>
      </w:r>
      <w:r w:rsidRPr="009032FA" w:rsidR="00F94696">
        <w:t>l</w:t>
      </w:r>
      <w:r w:rsidRPr="009032FA" w:rsidR="00C43E3B">
        <w:t>ed</w:t>
      </w:r>
      <w:r w:rsidRPr="009032FA" w:rsidR="001C6207">
        <w:t xml:space="preserve"> within 30 days for a full refund, </w:t>
      </w:r>
      <w:r w:rsidRPr="009032FA" w:rsidR="00890476">
        <w:t xml:space="preserve">immediately </w:t>
      </w:r>
      <w:r w:rsidRPr="009032FA" w:rsidR="00390141">
        <w:t xml:space="preserve">preceding that disclosure and </w:t>
      </w:r>
      <w:r w:rsidRPr="009032FA" w:rsidR="003D01D1">
        <w:t>in the terms and conditions of the preneed agreement</w:t>
      </w:r>
      <w:r w:rsidRPr="009032FA" w:rsidR="00846A73">
        <w:t xml:space="preserve">, </w:t>
      </w:r>
      <w:r w:rsidRPr="009032FA" w:rsidR="00C43E3B">
        <w:t>customers</w:t>
      </w:r>
      <w:r w:rsidRPr="009032FA" w:rsidR="00846A73">
        <w:t xml:space="preserve"> w</w:t>
      </w:r>
      <w:r w:rsidRPr="009032FA" w:rsidR="00C43E3B">
        <w:t>ere</w:t>
      </w:r>
      <w:r w:rsidRPr="009032FA" w:rsidR="00846A73">
        <w:t xml:space="preserve"> informed th</w:t>
      </w:r>
      <w:r w:rsidRPr="009032FA" w:rsidR="00114F1A">
        <w:t>ey</w:t>
      </w:r>
      <w:r w:rsidRPr="009032FA" w:rsidR="00F00BAB">
        <w:t xml:space="preserve"> </w:t>
      </w:r>
      <w:r w:rsidRPr="009032FA" w:rsidR="001C6207">
        <w:t>c</w:t>
      </w:r>
      <w:r w:rsidRPr="009032FA" w:rsidR="0085026A">
        <w:t>ould</w:t>
      </w:r>
      <w:r w:rsidRPr="009032FA" w:rsidR="001C6207">
        <w:t xml:space="preserve"> cancel the </w:t>
      </w:r>
      <w:r w:rsidRPr="009032FA" w:rsidR="00846A73">
        <w:t>preneed agreement</w:t>
      </w:r>
      <w:r w:rsidRPr="009032FA" w:rsidR="001C6207">
        <w:t xml:space="preserve"> </w:t>
      </w:r>
      <w:r w:rsidRPr="009032FA" w:rsidR="00F00BAB">
        <w:t>and receive a refund within 15 days</w:t>
      </w:r>
      <w:r w:rsidRPr="009032FA" w:rsidR="00EB7234">
        <w:t xml:space="preserve">, minus </w:t>
      </w:r>
      <w:r w:rsidRPr="009032FA" w:rsidR="00694FE6">
        <w:t>appropriate costs</w:t>
      </w:r>
      <w:r w:rsidRPr="00881C78" w:rsidR="00EB7234">
        <w:t xml:space="preserve">.  </w:t>
      </w:r>
      <w:r w:rsidRPr="00881C78" w:rsidR="005523AE">
        <w:t xml:space="preserve">The problem with Trident’s argument is that </w:t>
      </w:r>
      <w:r w:rsidRPr="00881C78" w:rsidR="00F00BAB">
        <w:t xml:space="preserve">none of the disclosures </w:t>
      </w:r>
      <w:r w:rsidRPr="00881C78" w:rsidR="00A80B3A">
        <w:t xml:space="preserve">stated </w:t>
      </w:r>
      <w:r w:rsidRPr="00881C78" w:rsidR="00114F1A">
        <w:t>customers</w:t>
      </w:r>
      <w:r w:rsidRPr="00881C78" w:rsidR="00F00BAB">
        <w:t xml:space="preserve"> could cancel the preneed agreement </w:t>
      </w:r>
      <w:r w:rsidRPr="00881C78" w:rsidR="00F00BAB">
        <w:rPr>
          <w:i/>
          <w:iCs/>
        </w:rPr>
        <w:t>at any time</w:t>
      </w:r>
      <w:r w:rsidRPr="00881C78" w:rsidR="00744D4D">
        <w:t xml:space="preserve">; </w:t>
      </w:r>
      <w:r w:rsidRPr="00881C78" w:rsidR="009E4D0C">
        <w:t>which is</w:t>
      </w:r>
      <w:r w:rsidRPr="00881C78" w:rsidR="005B3FFE">
        <w:t xml:space="preserve"> the</w:t>
      </w:r>
      <w:r w:rsidRPr="00881C78" w:rsidR="009E4D0C">
        <w:t xml:space="preserve"> cancel</w:t>
      </w:r>
      <w:r w:rsidRPr="00881C78" w:rsidR="00176CE7">
        <w:t>l</w:t>
      </w:r>
      <w:r w:rsidRPr="00881C78" w:rsidR="009E4D0C">
        <w:t>ation policy</w:t>
      </w:r>
      <w:r w:rsidRPr="00881C78" w:rsidR="008C02B6">
        <w:t xml:space="preserve"> imposed by law</w:t>
      </w:r>
      <w:r w:rsidRPr="00881C78" w:rsidR="00F00BAB">
        <w:t>.</w:t>
      </w:r>
      <w:r w:rsidRPr="00881C78" w:rsidR="003120D7">
        <w:t xml:space="preserve">  (</w:t>
      </w:r>
      <w:r w:rsidRPr="00881C78" w:rsidR="00C72D8E">
        <w:t>§ </w:t>
      </w:r>
      <w:r w:rsidRPr="00881C78" w:rsidR="00A12B2C">
        <w:t>773</w:t>
      </w:r>
      <w:r w:rsidRPr="00881C78" w:rsidR="003B7A02">
        <w:t>7</w:t>
      </w:r>
      <w:r w:rsidRPr="00881C78" w:rsidR="00CC3EF0">
        <w:t>, subd. (b)(2)</w:t>
      </w:r>
      <w:r w:rsidRPr="00881C78" w:rsidR="00F607AB">
        <w:t>.</w:t>
      </w:r>
      <w:r w:rsidRPr="00881C78" w:rsidR="003120D7">
        <w:t>)</w:t>
      </w:r>
      <w:r w:rsidRPr="00881C78" w:rsidR="00F00BAB">
        <w:t xml:space="preserve">  The</w:t>
      </w:r>
      <w:r w:rsidRPr="00326B4A" w:rsidR="00F00BAB">
        <w:t xml:space="preserve"> only time constraint communicated </w:t>
      </w:r>
      <w:r w:rsidRPr="00326B4A" w:rsidR="00C43E3B">
        <w:t xml:space="preserve">in the agreements </w:t>
      </w:r>
      <w:r w:rsidRPr="00326B4A" w:rsidR="002A74A9">
        <w:t xml:space="preserve">regarding </w:t>
      </w:r>
      <w:r w:rsidRPr="00326B4A" w:rsidR="00114F1A">
        <w:t>cancel</w:t>
      </w:r>
      <w:r w:rsidRPr="00326B4A" w:rsidR="00176CE7">
        <w:t>l</w:t>
      </w:r>
      <w:r w:rsidRPr="00326B4A" w:rsidR="00114F1A">
        <w:t xml:space="preserve">ation </w:t>
      </w:r>
      <w:r w:rsidRPr="00326B4A" w:rsidR="00F00BAB">
        <w:t>was the 30-day cancel</w:t>
      </w:r>
      <w:r w:rsidRPr="00326B4A" w:rsidR="00176CE7">
        <w:t>l</w:t>
      </w:r>
      <w:r w:rsidRPr="00326B4A" w:rsidR="00F00BAB">
        <w:t xml:space="preserve">ation period, </w:t>
      </w:r>
      <w:r w:rsidRPr="00326B4A" w:rsidR="007C371F">
        <w:t xml:space="preserve">which served the purpose of </w:t>
      </w:r>
      <w:r w:rsidRPr="00326B4A" w:rsidR="00A07C90">
        <w:t>misleading a reasonable</w:t>
      </w:r>
      <w:r w:rsidRPr="00326B4A" w:rsidR="00C43E3B">
        <w:t xml:space="preserve"> customer</w:t>
      </w:r>
      <w:r w:rsidRPr="00326B4A" w:rsidR="00211F6A">
        <w:t xml:space="preserve"> </w:t>
      </w:r>
      <w:r w:rsidRPr="00326B4A" w:rsidR="00114F1A">
        <w:t>into believing</w:t>
      </w:r>
      <w:r w:rsidRPr="00326B4A" w:rsidR="00211F6A">
        <w:t xml:space="preserve"> refund</w:t>
      </w:r>
      <w:r w:rsidRPr="00326B4A" w:rsidR="00114F1A">
        <w:t>s</w:t>
      </w:r>
      <w:r w:rsidRPr="00326B4A" w:rsidR="00211F6A">
        <w:t xml:space="preserve"> </w:t>
      </w:r>
      <w:r w:rsidRPr="00326B4A" w:rsidR="00114F1A">
        <w:t xml:space="preserve">would be delivered </w:t>
      </w:r>
      <w:r w:rsidRPr="00326B4A" w:rsidR="00211F6A">
        <w:t xml:space="preserve">within 15 days as long as </w:t>
      </w:r>
      <w:r w:rsidRPr="00326B4A" w:rsidR="00114F1A">
        <w:t>t</w:t>
      </w:r>
      <w:r w:rsidRPr="00326B4A" w:rsidR="00211F6A">
        <w:t>he</w:t>
      </w:r>
      <w:r w:rsidRPr="00326B4A" w:rsidR="00114F1A">
        <w:t xml:space="preserve"> preneed agreement was</w:t>
      </w:r>
      <w:r w:rsidRPr="00326B4A" w:rsidR="00211F6A">
        <w:t xml:space="preserve"> cancel</w:t>
      </w:r>
      <w:r w:rsidRPr="00326B4A" w:rsidR="00F94696">
        <w:t>l</w:t>
      </w:r>
      <w:r w:rsidRPr="00326B4A" w:rsidR="00211F6A">
        <w:t xml:space="preserve">ed within 30 days.  </w:t>
      </w:r>
      <w:r w:rsidRPr="00326B4A" w:rsidR="00114F1A">
        <w:t>Accordingly, s</w:t>
      </w:r>
      <w:r w:rsidRPr="00326B4A" w:rsidR="007C371F">
        <w:t xml:space="preserve">ubstantial evidence supports the </w:t>
      </w:r>
      <w:r w:rsidRPr="00326B4A" w:rsidR="00863542">
        <w:t>administrative law judge’s</w:t>
      </w:r>
      <w:r w:rsidRPr="00326B4A" w:rsidR="005B042A">
        <w:t xml:space="preserve"> finding that Trident concealed information regarding </w:t>
      </w:r>
      <w:r w:rsidRPr="00326B4A" w:rsidR="002A74A9">
        <w:t>it</w:t>
      </w:r>
      <w:r w:rsidRPr="00326B4A" w:rsidR="000D01DE">
        <w:t>s</w:t>
      </w:r>
      <w:r w:rsidRPr="00326B4A" w:rsidR="002A74A9">
        <w:t xml:space="preserve"> </w:t>
      </w:r>
      <w:r w:rsidRPr="00326B4A" w:rsidR="005B042A">
        <w:t>refund policy for the preneed agreement</w:t>
      </w:r>
      <w:r w:rsidRPr="00326B4A" w:rsidR="002A74A9">
        <w:t xml:space="preserve"> such that a reasonable customer would be misled</w:t>
      </w:r>
      <w:r w:rsidRPr="00326B4A" w:rsidR="005B042A">
        <w:t>.</w:t>
      </w:r>
    </w:p>
    <w:p w:rsidR="0050577E" w:rsidRPr="000B6DA3" w:rsidP="00281876" w14:paraId="0FF3D7FB" w14:textId="42B68242">
      <w:pPr>
        <w:ind w:firstLine="720"/>
      </w:pPr>
      <w:r w:rsidRPr="00897A65">
        <w:t xml:space="preserve">Substantial evidence further supports the </w:t>
      </w:r>
      <w:r w:rsidRPr="00897A65" w:rsidR="00A37BDA">
        <w:t>administrative law judge’s</w:t>
      </w:r>
      <w:r w:rsidRPr="00897A65">
        <w:t xml:space="preserve"> finding that Trident misrepresented the p</w:t>
      </w:r>
      <w:r w:rsidRPr="00897A65" w:rsidR="007F37C7">
        <w:t>reneed character</w:t>
      </w:r>
      <w:r w:rsidRPr="00897A65">
        <w:t xml:space="preserve"> of the retail agreement.</w:t>
      </w:r>
      <w:r w:rsidRPr="00897A65" w:rsidR="00114F1A">
        <w:t xml:space="preserve">  </w:t>
      </w:r>
      <w:r w:rsidRPr="00087CF3" w:rsidR="00984951">
        <w:t>As</w:t>
      </w:r>
      <w:r w:rsidRPr="00CC1C07" w:rsidR="00984951">
        <w:t xml:space="preserve"> demonstrated, the retail agreement was collateral to the preneed agreement, and thus was also subject to the </w:t>
      </w:r>
      <w:r w:rsidRPr="00CC1C07" w:rsidR="009F2C24">
        <w:t>trust requirements contained in section 7735</w:t>
      </w:r>
      <w:r w:rsidRPr="000B6DA3" w:rsidR="009F2C24">
        <w:t xml:space="preserve">.  Because Trident </w:t>
      </w:r>
      <w:r w:rsidRPr="000B6DA3" w:rsidR="00EE5AA3">
        <w:t xml:space="preserve">asserted that the retail agreement was not subject to the trust requirements, it misrepresented the character of the retail agreement.  </w:t>
      </w:r>
    </w:p>
    <w:p w:rsidR="0085680B" w:rsidRPr="000B6DA3" w:rsidP="0031161A" w14:paraId="5D83F317" w14:textId="6AC2114F">
      <w:pPr>
        <w:ind w:firstLine="720"/>
      </w:pPr>
      <w:r w:rsidRPr="00014183">
        <w:t>Finally, Trident conten</w:t>
      </w:r>
      <w:r w:rsidRPr="00014183" w:rsidR="00CE51EF">
        <w:t>d</w:t>
      </w:r>
      <w:r w:rsidRPr="00014183">
        <w:t>s it did not misrepresent the p</w:t>
      </w:r>
      <w:r w:rsidRPr="00014183" w:rsidR="007F37C7">
        <w:t>rocessing fee</w:t>
      </w:r>
      <w:r w:rsidRPr="00014183" w:rsidR="003E1C58">
        <w:t xml:space="preserve"> charged </w:t>
      </w:r>
      <w:r w:rsidRPr="00014183" w:rsidR="008A0906">
        <w:t>to T.G., it merely placed the notation that a</w:t>
      </w:r>
      <w:r w:rsidRPr="00014183" w:rsidR="000B32AE">
        <w:t xml:space="preserve"> processing</w:t>
      </w:r>
      <w:r w:rsidRPr="00014183" w:rsidR="008A0906">
        <w:t xml:space="preserve"> fee would be charged in the wrong place, </w:t>
      </w:r>
      <w:r w:rsidRPr="00014183" w:rsidR="00492FC9">
        <w:t xml:space="preserve">i.e., Trident </w:t>
      </w:r>
      <w:r w:rsidRPr="00014183" w:rsidR="008A0906">
        <w:t>indicat</w:t>
      </w:r>
      <w:r w:rsidRPr="00014183" w:rsidR="00492FC9">
        <w:t>ed</w:t>
      </w:r>
      <w:r w:rsidRPr="00014183" w:rsidR="008A0906">
        <w:t xml:space="preserve"> </w:t>
      </w:r>
      <w:r w:rsidRPr="00014183" w:rsidR="00211BFB">
        <w:t xml:space="preserve">in the price list that </w:t>
      </w:r>
      <w:r w:rsidRPr="00014183" w:rsidR="00492FC9">
        <w:t>the processing fee</w:t>
      </w:r>
      <w:r w:rsidRPr="00014183" w:rsidR="008A0906">
        <w:t xml:space="preserve"> was attached to the preneed agreement instead of the retail agreement.</w:t>
      </w:r>
      <w:r w:rsidRPr="00014183" w:rsidR="000B32AE">
        <w:t xml:space="preserve">  </w:t>
      </w:r>
      <w:r w:rsidRPr="00014183" w:rsidR="008A0906">
        <w:t>W</w:t>
      </w:r>
      <w:r w:rsidRPr="00014183" w:rsidR="00211BFB">
        <w:t xml:space="preserve">hile this </w:t>
      </w:r>
      <w:r w:rsidRPr="00014183" w:rsidR="0058207E">
        <w:t>may be</w:t>
      </w:r>
      <w:r w:rsidRPr="00014183" w:rsidR="00211BFB">
        <w:t xml:space="preserve"> true, </w:t>
      </w:r>
      <w:r w:rsidRPr="000B6DA3" w:rsidR="00211BFB">
        <w:t>the misrepresentation of wh</w:t>
      </w:r>
      <w:r w:rsidRPr="000B6DA3" w:rsidR="001D4C41">
        <w:t>ich agreement</w:t>
      </w:r>
      <w:r w:rsidRPr="000B6DA3" w:rsidR="00211BFB">
        <w:t xml:space="preserve"> the processing fee </w:t>
      </w:r>
      <w:r w:rsidRPr="000B6DA3" w:rsidR="001D4C41">
        <w:t xml:space="preserve">attached </w:t>
      </w:r>
      <w:r w:rsidR="00FB57E6">
        <w:t xml:space="preserve">to </w:t>
      </w:r>
      <w:r w:rsidRPr="000B6DA3" w:rsidR="00341BBF">
        <w:t>was material</w:t>
      </w:r>
      <w:r w:rsidRPr="000B6DA3" w:rsidR="00226BC8">
        <w:t xml:space="preserve">.  </w:t>
      </w:r>
      <w:r w:rsidRPr="000B6DA3" w:rsidR="00CC3DB7">
        <w:t xml:space="preserve">First, the </w:t>
      </w:r>
      <w:r w:rsidRPr="000B6DA3" w:rsidR="007C05A1">
        <w:t>misrepresentation i</w:t>
      </w:r>
      <w:r w:rsidRPr="000B6DA3" w:rsidR="00030457">
        <w:t xml:space="preserve">ncreased the </w:t>
      </w:r>
      <w:r w:rsidRPr="000B6DA3" w:rsidR="007C05A1">
        <w:t xml:space="preserve">price for the items included in the </w:t>
      </w:r>
      <w:r w:rsidRPr="000B6DA3" w:rsidR="00030457">
        <w:t xml:space="preserve">retail agreement beyond what was </w:t>
      </w:r>
      <w:r w:rsidRPr="000B6DA3" w:rsidR="000963AA">
        <w:t xml:space="preserve">listed in </w:t>
      </w:r>
      <w:r w:rsidRPr="000B6DA3" w:rsidR="00004BA9">
        <w:t>the price list</w:t>
      </w:r>
      <w:r w:rsidRPr="000B6DA3" w:rsidR="00D130A3">
        <w:t xml:space="preserve">.  </w:t>
      </w:r>
      <w:r w:rsidRPr="000B6DA3" w:rsidR="007C05A1">
        <w:t xml:space="preserve">Second, </w:t>
      </w:r>
      <w:r w:rsidRPr="000B6DA3" w:rsidR="0012570F">
        <w:t xml:space="preserve">by </w:t>
      </w:r>
      <w:r w:rsidRPr="000B6DA3" w:rsidR="00EE24A0">
        <w:t>purporting to attach</w:t>
      </w:r>
      <w:r w:rsidRPr="000B6DA3" w:rsidR="0012570F">
        <w:t xml:space="preserve"> the processing fee </w:t>
      </w:r>
      <w:r w:rsidRPr="000B6DA3" w:rsidR="001D1569">
        <w:t xml:space="preserve">to the preneed agreement and then indicating the money spent to purchase the preneed agreement would go into trust, Trident </w:t>
      </w:r>
      <w:r w:rsidRPr="000B6DA3" w:rsidR="00B31AE9">
        <w:t xml:space="preserve">represented </w:t>
      </w:r>
      <w:r w:rsidRPr="000B6DA3" w:rsidR="00EE24A0">
        <w:t xml:space="preserve">to customers </w:t>
      </w:r>
      <w:r w:rsidRPr="000B6DA3" w:rsidR="00B31AE9">
        <w:t xml:space="preserve">that the processing fee would be </w:t>
      </w:r>
      <w:r w:rsidRPr="000B6DA3" w:rsidR="00CA6366">
        <w:t>available for later use</w:t>
      </w:r>
      <w:r w:rsidRPr="000B6DA3" w:rsidR="00B31AE9">
        <w:t>.</w:t>
      </w:r>
      <w:r w:rsidRPr="000B6DA3" w:rsidR="00EE24A0">
        <w:t xml:space="preserve">  </w:t>
      </w:r>
      <w:r w:rsidRPr="000B6DA3" w:rsidR="00B31AE9">
        <w:t xml:space="preserve">Instead, </w:t>
      </w:r>
      <w:r w:rsidRPr="000B6DA3" w:rsidR="00236DD5">
        <w:t xml:space="preserve">the processing fee was </w:t>
      </w:r>
      <w:r w:rsidRPr="000B6DA3" w:rsidR="0031161A">
        <w:t>charged as part of the retail agreement and immediately went into Trident’s operating budget</w:t>
      </w:r>
      <w:r w:rsidRPr="000B6DA3" w:rsidR="00CA6366">
        <w:t xml:space="preserve"> and not to ensure </w:t>
      </w:r>
      <w:r w:rsidRPr="000B6DA3" w:rsidR="003A227F">
        <w:t>services at the time of need</w:t>
      </w:r>
      <w:r w:rsidRPr="000B6DA3" w:rsidR="0031161A">
        <w:t xml:space="preserve">.  </w:t>
      </w:r>
      <w:r w:rsidRPr="000B6DA3">
        <w:t>Accordingly, the administrative law judge did not err by fin</w:t>
      </w:r>
      <w:r w:rsidRPr="000B6DA3" w:rsidR="0058207E">
        <w:t>d</w:t>
      </w:r>
      <w:r w:rsidRPr="000B6DA3">
        <w:t>in</w:t>
      </w:r>
      <w:r w:rsidRPr="000B6DA3" w:rsidR="006B3083">
        <w:t>g</w:t>
      </w:r>
      <w:r w:rsidRPr="000B6DA3">
        <w:t xml:space="preserve"> Trident made three</w:t>
      </w:r>
      <w:r w:rsidRPr="000B6DA3" w:rsidR="006B3083">
        <w:t xml:space="preserve"> misrepresentations when contracting with T.G.</w:t>
      </w:r>
    </w:p>
    <w:p w:rsidR="001D5AA9" w:rsidRPr="00091EEC" w:rsidP="008D34AE" w14:paraId="1CD23CD1" w14:textId="44AC042A">
      <w:pPr>
        <w:keepNext/>
        <w:jc w:val="center"/>
      </w:pPr>
      <w:r w:rsidRPr="00091EEC">
        <w:t>DISPOSI</w:t>
      </w:r>
      <w:r w:rsidRPr="00091EEC" w:rsidR="00287196">
        <w:t>TION</w:t>
      </w:r>
    </w:p>
    <w:p w:rsidR="00287196" w:rsidP="008D34AE" w14:paraId="1628A8AF" w14:textId="33E678AD">
      <w:pPr>
        <w:keepNext/>
      </w:pPr>
      <w:r w:rsidRPr="00091EEC">
        <w:tab/>
        <w:t xml:space="preserve">The judgment is </w:t>
      </w:r>
      <w:r w:rsidRPr="001F534E">
        <w:t xml:space="preserve">affirmed.  </w:t>
      </w:r>
      <w:r w:rsidRPr="001F534E" w:rsidR="007B0B28">
        <w:t>The parti</w:t>
      </w:r>
      <w:r w:rsidRPr="001F534E" w:rsidR="00F24897">
        <w:t>e</w:t>
      </w:r>
      <w:r w:rsidRPr="001F534E" w:rsidR="007B0B28">
        <w:t>s shall bear their own costs on appeal.  (</w:t>
      </w:r>
      <w:bookmarkStart w:id="30" w:name="dabmci_dd5c0768ff1949eeb93bed6c1e41a967"/>
      <w:r w:rsidRPr="001F534E" w:rsidR="007B0B28">
        <w:t>Cal. Rules of Court, rule 8.278(a)(5)</w:t>
      </w:r>
      <w:bookmarkEnd w:id="30"/>
      <w:r w:rsidRPr="001F534E" w:rsidR="007B0B28">
        <w:t>.)</w:t>
      </w:r>
    </w:p>
    <w:p w:rsidR="008D34AE" w:rsidP="008D34AE" w14:paraId="1372B015" w14:textId="77777777">
      <w:pPr>
        <w:keepNext/>
      </w:pPr>
    </w:p>
    <w:p w:rsidR="008D34AE" w:rsidP="008D34AE" w14:paraId="110F015C" w14:textId="77777777">
      <w:pPr>
        <w:keepNext/>
        <w:spacing w:line="240" w:lineRule="auto"/>
      </w:pPr>
    </w:p>
    <w:p w:rsidR="008D34AE" w:rsidP="008D34AE" w14:paraId="1AEBD085" w14:textId="77777777">
      <w:pPr>
        <w:keepNext/>
        <w:spacing w:line="240" w:lineRule="auto"/>
      </w:pPr>
    </w:p>
    <w:p w:rsidR="008D34AE" w:rsidP="008D34AE" w14:paraId="3D176296" w14:textId="77777777">
      <w:pPr>
        <w:keepNext/>
        <w:spacing w:line="240" w:lineRule="auto"/>
      </w:pPr>
    </w:p>
    <w:p w:rsidR="008D34AE" w:rsidP="008D34AE" w14:paraId="5D2435EE" w14:textId="7A61EC5E">
      <w:pPr>
        <w:keepNext/>
        <w:tabs>
          <w:tab w:val="left" w:pos="5040"/>
          <w:tab w:val="left" w:pos="7920"/>
        </w:tabs>
        <w:spacing w:line="240" w:lineRule="auto"/>
        <w:rPr>
          <w:u w:val="single"/>
        </w:rPr>
      </w:pPr>
      <w:r>
        <w:tab/>
      </w:r>
      <w:r w:rsidRPr="008D34AE">
        <w:rPr>
          <w:u w:val="single"/>
        </w:rPr>
        <w:t xml:space="preserve"> </w:t>
      </w:r>
      <w:r w:rsidR="00E1368A">
        <w:rPr>
          <w:u w:val="single"/>
        </w:rPr>
        <w:t>/s/</w:t>
      </w:r>
      <w:r w:rsidRPr="008D34AE">
        <w:rPr>
          <w:u w:val="single"/>
        </w:rPr>
        <w:t xml:space="preserve">         </w:t>
      </w:r>
      <w:r w:rsidRPr="008D34AE">
        <w:rPr>
          <w:u w:val="single"/>
        </w:rPr>
        <w:tab/>
      </w:r>
    </w:p>
    <w:p w:rsidR="008D34AE" w:rsidP="008D34AE" w14:paraId="0D8D4B05" w14:textId="04C30FBE">
      <w:pPr>
        <w:keepNext/>
        <w:tabs>
          <w:tab w:val="left" w:pos="5040"/>
          <w:tab w:val="left" w:pos="7920"/>
        </w:tabs>
        <w:spacing w:line="240" w:lineRule="auto"/>
      </w:pPr>
      <w:r>
        <w:tab/>
        <w:t>ROBIE, Acting P. J.</w:t>
      </w:r>
    </w:p>
    <w:p w:rsidR="008D34AE" w:rsidP="008D34AE" w14:paraId="12B4FFD7" w14:textId="77777777">
      <w:pPr>
        <w:keepNext/>
        <w:tabs>
          <w:tab w:val="left" w:pos="5040"/>
          <w:tab w:val="left" w:pos="7920"/>
        </w:tabs>
        <w:spacing w:line="240" w:lineRule="auto"/>
      </w:pPr>
    </w:p>
    <w:p w:rsidR="008D34AE" w:rsidP="008D34AE" w14:paraId="39C6787F" w14:textId="77777777">
      <w:pPr>
        <w:keepNext/>
        <w:tabs>
          <w:tab w:val="left" w:pos="5040"/>
          <w:tab w:val="left" w:pos="7920"/>
        </w:tabs>
        <w:spacing w:line="240" w:lineRule="auto"/>
      </w:pPr>
    </w:p>
    <w:p w:rsidR="008D34AE" w:rsidP="008D34AE" w14:paraId="1AA7F3DE" w14:textId="77777777">
      <w:pPr>
        <w:keepNext/>
        <w:tabs>
          <w:tab w:val="left" w:pos="5040"/>
          <w:tab w:val="left" w:pos="7920"/>
        </w:tabs>
        <w:spacing w:line="240" w:lineRule="auto"/>
      </w:pPr>
    </w:p>
    <w:p w:rsidR="008D34AE" w:rsidP="008D34AE" w14:paraId="0A23BA68" w14:textId="17B2EEF7">
      <w:pPr>
        <w:keepNext/>
        <w:spacing w:line="240" w:lineRule="auto"/>
      </w:pPr>
      <w:r>
        <w:t>We concur:</w:t>
      </w:r>
    </w:p>
    <w:p w:rsidR="008D34AE" w:rsidP="008D34AE" w14:paraId="27B736F1" w14:textId="77777777">
      <w:pPr>
        <w:keepNext/>
        <w:spacing w:line="240" w:lineRule="auto"/>
      </w:pPr>
    </w:p>
    <w:p w:rsidR="008D34AE" w:rsidP="008D34AE" w14:paraId="780E1FA0" w14:textId="77777777">
      <w:pPr>
        <w:keepNext/>
        <w:spacing w:line="240" w:lineRule="auto"/>
      </w:pPr>
    </w:p>
    <w:p w:rsidR="008D34AE" w:rsidP="008D34AE" w14:paraId="066459D7" w14:textId="77777777">
      <w:pPr>
        <w:keepNext/>
        <w:spacing w:line="240" w:lineRule="auto"/>
      </w:pPr>
    </w:p>
    <w:p w:rsidR="008D34AE" w:rsidP="008D34AE" w14:paraId="420B7A63" w14:textId="77777777">
      <w:pPr>
        <w:keepNext/>
        <w:spacing w:line="240" w:lineRule="auto"/>
      </w:pPr>
    </w:p>
    <w:p w:rsidR="008D34AE" w:rsidP="008D34AE" w14:paraId="0840C75F" w14:textId="69263A98">
      <w:pPr>
        <w:keepNext/>
        <w:tabs>
          <w:tab w:val="left" w:pos="2880"/>
        </w:tabs>
        <w:spacing w:line="240" w:lineRule="auto"/>
        <w:rPr>
          <w:u w:val="single"/>
        </w:rPr>
      </w:pPr>
      <w:r w:rsidRPr="008D34AE">
        <w:rPr>
          <w:u w:val="single"/>
        </w:rPr>
        <w:t xml:space="preserve"> </w:t>
      </w:r>
      <w:r w:rsidR="00E1368A">
        <w:rPr>
          <w:u w:val="single"/>
        </w:rPr>
        <w:t>/s/</w:t>
      </w:r>
      <w:r w:rsidRPr="008D34AE">
        <w:rPr>
          <w:u w:val="single"/>
        </w:rPr>
        <w:t xml:space="preserve">         </w:t>
      </w:r>
      <w:r w:rsidRPr="008D34AE">
        <w:rPr>
          <w:u w:val="single"/>
        </w:rPr>
        <w:tab/>
      </w:r>
    </w:p>
    <w:p w:rsidR="008D34AE" w:rsidP="008D34AE" w14:paraId="6C2ED7A6" w14:textId="5D8AFD5F">
      <w:pPr>
        <w:keepNext/>
        <w:tabs>
          <w:tab w:val="left" w:pos="2880"/>
        </w:tabs>
        <w:spacing w:line="240" w:lineRule="auto"/>
      </w:pPr>
      <w:r>
        <w:t>DUARTE, J.</w:t>
      </w:r>
    </w:p>
    <w:p w:rsidR="008D34AE" w:rsidP="008D34AE" w14:paraId="676AE7AF" w14:textId="77777777">
      <w:pPr>
        <w:keepNext/>
        <w:tabs>
          <w:tab w:val="left" w:pos="2880"/>
        </w:tabs>
        <w:spacing w:line="240" w:lineRule="auto"/>
      </w:pPr>
    </w:p>
    <w:p w:rsidR="008D34AE" w:rsidP="008D34AE" w14:paraId="403B9BEB" w14:textId="77777777">
      <w:pPr>
        <w:keepNext/>
        <w:tabs>
          <w:tab w:val="left" w:pos="2880"/>
        </w:tabs>
        <w:spacing w:line="240" w:lineRule="auto"/>
      </w:pPr>
    </w:p>
    <w:p w:rsidR="008D34AE" w:rsidP="008D34AE" w14:paraId="532DAEAA" w14:textId="77777777">
      <w:pPr>
        <w:keepNext/>
        <w:tabs>
          <w:tab w:val="left" w:pos="2880"/>
        </w:tabs>
        <w:spacing w:line="240" w:lineRule="auto"/>
      </w:pPr>
    </w:p>
    <w:p w:rsidR="008D34AE" w:rsidP="008D34AE" w14:paraId="3272531E" w14:textId="77777777">
      <w:pPr>
        <w:keepNext/>
        <w:tabs>
          <w:tab w:val="left" w:pos="2880"/>
        </w:tabs>
        <w:spacing w:line="240" w:lineRule="auto"/>
      </w:pPr>
    </w:p>
    <w:p w:rsidR="008D34AE" w:rsidP="008D34AE" w14:paraId="4DFBF063" w14:textId="5916F582">
      <w:pPr>
        <w:keepNext/>
        <w:tabs>
          <w:tab w:val="left" w:pos="2880"/>
        </w:tabs>
        <w:spacing w:line="240" w:lineRule="auto"/>
        <w:rPr>
          <w:u w:val="single"/>
        </w:rPr>
      </w:pPr>
      <w:r w:rsidRPr="008D34AE">
        <w:rPr>
          <w:u w:val="single"/>
        </w:rPr>
        <w:t xml:space="preserve"> </w:t>
      </w:r>
      <w:r w:rsidR="00E1368A">
        <w:rPr>
          <w:u w:val="single"/>
        </w:rPr>
        <w:t>/s/</w:t>
      </w:r>
      <w:r w:rsidRPr="008D34AE">
        <w:rPr>
          <w:u w:val="single"/>
        </w:rPr>
        <w:t xml:space="preserve">         </w:t>
      </w:r>
      <w:r w:rsidRPr="008D34AE">
        <w:rPr>
          <w:u w:val="single"/>
        </w:rPr>
        <w:tab/>
      </w:r>
    </w:p>
    <w:p w:rsidR="008D34AE" w:rsidRPr="008D34AE" w:rsidP="008D34AE" w14:paraId="6414CFB8" w14:textId="0BEA065E">
      <w:pPr>
        <w:keepNext/>
        <w:tabs>
          <w:tab w:val="left" w:pos="2880"/>
        </w:tabs>
        <w:spacing w:line="240" w:lineRule="auto"/>
      </w:pPr>
      <w:r>
        <w:t>BOULWARE EURIE, J.</w:t>
      </w:r>
    </w:p>
    <w:sectPr w:rsidSect="008D34AE">
      <w:footerReference w:type="default" r:id="rId6"/>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8D34AE" w:rsidP="008D34AE" w14:paraId="2B57320A" w14:textId="2B2A7F0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7169" w14:paraId="07F4AD9F" w14:textId="77777777">
      <w:r>
        <w:separator/>
      </w:r>
    </w:p>
  </w:footnote>
  <w:footnote w:type="continuationSeparator" w:id="1">
    <w:p w:rsidR="00707169" w14:paraId="5B5BFD42" w14:textId="77777777">
      <w:r>
        <w:continuationSeparator/>
      </w:r>
    </w:p>
  </w:footnote>
  <w:footnote w:id="2">
    <w:p w:rsidR="008D34AE" w14:paraId="16A098F3" w14:textId="08260980">
      <w:pPr>
        <w:pStyle w:val="FootnoteText"/>
      </w:pPr>
      <w:r>
        <w:rPr>
          <w:rStyle w:val="FootnoteReference"/>
        </w:rPr>
        <w:t>*</w:t>
      </w:r>
      <w:r>
        <w:tab/>
        <w:t xml:space="preserve">Pursuant to California Rules of Court, rules 8.1105 and 8.1110, this opinion is certified for publication with the exception of part II of the Discussion. </w:t>
      </w:r>
    </w:p>
  </w:footnote>
  <w:footnote w:id="3">
    <w:p w:rsidR="00057ACB" w:rsidP="00057ACB" w14:paraId="3CE965AA" w14:textId="77777777">
      <w:pPr>
        <w:pStyle w:val="FootnoteText"/>
      </w:pPr>
      <w:r>
        <w:rPr>
          <w:rStyle w:val="FootnoteReference"/>
        </w:rPr>
        <w:footnoteRef/>
      </w:r>
      <w:r>
        <w:tab/>
        <w:t xml:space="preserve">Further section references are to the Business and Professions Code unless otherwise indicated. </w:t>
      </w:r>
    </w:p>
  </w:footnote>
  <w:footnote w:id="4">
    <w:p w:rsidR="001E597B" w14:paraId="3C0B6538" w14:textId="2DC07A8E">
      <w:pPr>
        <w:pStyle w:val="FootnoteText"/>
      </w:pPr>
      <w:r w:rsidRPr="009F5E69">
        <w:rPr>
          <w:rStyle w:val="FootnoteReference"/>
        </w:rPr>
        <w:footnoteRef/>
      </w:r>
      <w:r w:rsidRPr="009F5E69">
        <w:tab/>
        <w:t>T.G. entered a finance plan with Trident to pay for the standard plan</w:t>
      </w:r>
      <w:r w:rsidRPr="003918EE">
        <w:t>, wherein he paid $</w:t>
      </w:r>
      <w:r w:rsidRPr="003918EE" w:rsidR="00131BB3">
        <w:t>3</w:t>
      </w:r>
      <w:r w:rsidRPr="003918EE">
        <w:t>5 a month</w:t>
      </w:r>
      <w:r w:rsidRPr="003918EE" w:rsidR="009B76BB">
        <w:t xml:space="preserve">, after an initial downpayment of </w:t>
      </w:r>
      <w:r w:rsidRPr="003918EE" w:rsidR="005B36E1">
        <w:t>$299,</w:t>
      </w:r>
      <w:r w:rsidRPr="003918EE">
        <w:t xml:space="preserve"> for </w:t>
      </w:r>
      <w:r w:rsidRPr="003918EE" w:rsidR="006430B8">
        <w:t>four</w:t>
      </w:r>
      <w:r w:rsidRPr="003918EE">
        <w:t xml:space="preserve"> years</w:t>
      </w:r>
      <w:r w:rsidRPr="003918EE" w:rsidR="006430B8">
        <w:t xml:space="preserve"> </w:t>
      </w:r>
      <w:r w:rsidRPr="003918EE" w:rsidR="00A46070">
        <w:t>four</w:t>
      </w:r>
      <w:r w:rsidRPr="003918EE" w:rsidR="006430B8">
        <w:t xml:space="preserve"> months</w:t>
      </w:r>
      <w:r w:rsidRPr="003918EE">
        <w:t>, with no interest.</w:t>
      </w:r>
      <w:r w:rsidRPr="003918EE" w:rsidR="006430B8">
        <w:t xml:space="preserve">  </w:t>
      </w:r>
      <w:r w:rsidRPr="003918EE">
        <w:t>The money paid</w:t>
      </w:r>
      <w:r w:rsidRPr="00D255F6">
        <w:t xml:space="preserve"> under the finance plan funded the trust last.</w:t>
      </w:r>
      <w:r w:rsidRPr="00D255F6" w:rsidR="006430B8">
        <w:t xml:space="preserve">  </w:t>
      </w:r>
      <w:r w:rsidRPr="003918EE">
        <w:t xml:space="preserve">At the time of T.G.’s death, </w:t>
      </w:r>
      <w:r w:rsidRPr="003918EE" w:rsidR="002470A6">
        <w:t>$85.15</w:t>
      </w:r>
      <w:r w:rsidRPr="003918EE" w:rsidR="00A5640F">
        <w:t xml:space="preserve"> was in the trust account</w:t>
      </w:r>
      <w:r w:rsidRPr="003918EE">
        <w:t xml:space="preserve"> and his sister funded </w:t>
      </w:r>
      <w:r w:rsidRPr="003918EE" w:rsidR="006F6681">
        <w:t xml:space="preserve">the </w:t>
      </w:r>
      <w:r w:rsidRPr="003918EE" w:rsidR="00A5640F">
        <w:t xml:space="preserve">rest </w:t>
      </w:r>
      <w:r w:rsidRPr="003918EE" w:rsidR="009B76BB">
        <w:t xml:space="preserve">of his </w:t>
      </w:r>
      <w:r w:rsidRPr="003918EE">
        <w:t xml:space="preserve">cremation services. </w:t>
      </w:r>
      <w:r w:rsidRPr="003918EE" w:rsidR="00BD5846">
        <w:t xml:space="preserve"> </w:t>
      </w:r>
      <w:r w:rsidRPr="003918EE" w:rsidR="00B16F71">
        <w:t>T.G.’s sister</w:t>
      </w:r>
      <w:r w:rsidRPr="003918EE" w:rsidR="006F6681">
        <w:t xml:space="preserve"> further</w:t>
      </w:r>
      <w:r w:rsidRPr="003918EE" w:rsidR="00B16F71">
        <w:t xml:space="preserve"> </w:t>
      </w:r>
      <w:r w:rsidRPr="003918EE" w:rsidR="001D1987">
        <w:t>claimed</w:t>
      </w:r>
      <w:r w:rsidRPr="003918EE" w:rsidR="00B16F71">
        <w:t xml:space="preserve"> she did not </w:t>
      </w:r>
      <w:r w:rsidRPr="003918EE" w:rsidR="006A4C77">
        <w:t xml:space="preserve">receive, nor was she in </w:t>
      </w:r>
      <w:r w:rsidRPr="003918EE" w:rsidR="001D1987">
        <w:t>possess</w:t>
      </w:r>
      <w:r w:rsidRPr="003918EE" w:rsidR="006A4C77">
        <w:t>ion of,</w:t>
      </w:r>
      <w:r w:rsidRPr="003918EE" w:rsidR="00B16F71">
        <w:t xml:space="preserve"> the merchandise sold </w:t>
      </w:r>
      <w:r w:rsidRPr="003918EE" w:rsidR="001D1987">
        <w:t xml:space="preserve">to T.G. as part of the retail agreement.  </w:t>
      </w:r>
    </w:p>
  </w:footnote>
  <w:footnote w:id="5">
    <w:p w:rsidR="0065480D" w14:paraId="212913B4" w14:textId="0246E53B">
      <w:pPr>
        <w:pStyle w:val="FootnoteText"/>
      </w:pPr>
      <w:r>
        <w:rPr>
          <w:rStyle w:val="FootnoteReference"/>
        </w:rPr>
        <w:footnoteRef/>
      </w:r>
      <w:r>
        <w:tab/>
        <w:t xml:space="preserve">The parties’ requests for judicial notice are granted.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95"/>
    <w:rsid w:val="000000E0"/>
    <w:rsid w:val="000003A6"/>
    <w:rsid w:val="000003A8"/>
    <w:rsid w:val="00000C2C"/>
    <w:rsid w:val="00002B4B"/>
    <w:rsid w:val="00003A53"/>
    <w:rsid w:val="0000423A"/>
    <w:rsid w:val="000049C4"/>
    <w:rsid w:val="00004BA9"/>
    <w:rsid w:val="0000578D"/>
    <w:rsid w:val="00006D21"/>
    <w:rsid w:val="00007144"/>
    <w:rsid w:val="00010084"/>
    <w:rsid w:val="00010109"/>
    <w:rsid w:val="000117D8"/>
    <w:rsid w:val="00011C4F"/>
    <w:rsid w:val="000123FD"/>
    <w:rsid w:val="00013946"/>
    <w:rsid w:val="000139C0"/>
    <w:rsid w:val="00014183"/>
    <w:rsid w:val="00014250"/>
    <w:rsid w:val="00014BF5"/>
    <w:rsid w:val="00015D5B"/>
    <w:rsid w:val="000164EF"/>
    <w:rsid w:val="00020D2C"/>
    <w:rsid w:val="00021715"/>
    <w:rsid w:val="00021FD9"/>
    <w:rsid w:val="00022221"/>
    <w:rsid w:val="00022BDA"/>
    <w:rsid w:val="0002337E"/>
    <w:rsid w:val="00023688"/>
    <w:rsid w:val="000248AD"/>
    <w:rsid w:val="0002572A"/>
    <w:rsid w:val="0002649B"/>
    <w:rsid w:val="0002706F"/>
    <w:rsid w:val="0002711D"/>
    <w:rsid w:val="0002716F"/>
    <w:rsid w:val="00027ACA"/>
    <w:rsid w:val="00030457"/>
    <w:rsid w:val="00030774"/>
    <w:rsid w:val="00031BBB"/>
    <w:rsid w:val="00032383"/>
    <w:rsid w:val="000330AB"/>
    <w:rsid w:val="00033B64"/>
    <w:rsid w:val="00034769"/>
    <w:rsid w:val="000371CC"/>
    <w:rsid w:val="00037995"/>
    <w:rsid w:val="00037B19"/>
    <w:rsid w:val="00040295"/>
    <w:rsid w:val="00040B5B"/>
    <w:rsid w:val="00041067"/>
    <w:rsid w:val="0004169A"/>
    <w:rsid w:val="00042030"/>
    <w:rsid w:val="0004249C"/>
    <w:rsid w:val="00042946"/>
    <w:rsid w:val="00042950"/>
    <w:rsid w:val="00042994"/>
    <w:rsid w:val="00042B9C"/>
    <w:rsid w:val="00043024"/>
    <w:rsid w:val="00043AF9"/>
    <w:rsid w:val="00044328"/>
    <w:rsid w:val="0004437D"/>
    <w:rsid w:val="00046028"/>
    <w:rsid w:val="0004603F"/>
    <w:rsid w:val="0004651E"/>
    <w:rsid w:val="00047DE1"/>
    <w:rsid w:val="00050C96"/>
    <w:rsid w:val="00050E48"/>
    <w:rsid w:val="00051097"/>
    <w:rsid w:val="00052A7E"/>
    <w:rsid w:val="00054C33"/>
    <w:rsid w:val="00054CA7"/>
    <w:rsid w:val="00056E51"/>
    <w:rsid w:val="00056F14"/>
    <w:rsid w:val="00057ACB"/>
    <w:rsid w:val="000604FA"/>
    <w:rsid w:val="000613E0"/>
    <w:rsid w:val="00061733"/>
    <w:rsid w:val="00061BCC"/>
    <w:rsid w:val="0006215B"/>
    <w:rsid w:val="0006263E"/>
    <w:rsid w:val="00062778"/>
    <w:rsid w:val="000643DF"/>
    <w:rsid w:val="000653D5"/>
    <w:rsid w:val="00065B91"/>
    <w:rsid w:val="00065F2E"/>
    <w:rsid w:val="000674F1"/>
    <w:rsid w:val="000678CC"/>
    <w:rsid w:val="000727EE"/>
    <w:rsid w:val="00073C84"/>
    <w:rsid w:val="00074F87"/>
    <w:rsid w:val="00075818"/>
    <w:rsid w:val="00077250"/>
    <w:rsid w:val="00081107"/>
    <w:rsid w:val="00081996"/>
    <w:rsid w:val="00082F3C"/>
    <w:rsid w:val="00083166"/>
    <w:rsid w:val="00085385"/>
    <w:rsid w:val="00085A0F"/>
    <w:rsid w:val="00085A21"/>
    <w:rsid w:val="00085C49"/>
    <w:rsid w:val="00086B04"/>
    <w:rsid w:val="00087CF3"/>
    <w:rsid w:val="000906B1"/>
    <w:rsid w:val="000908A0"/>
    <w:rsid w:val="00090AB3"/>
    <w:rsid w:val="00090AE9"/>
    <w:rsid w:val="00090D25"/>
    <w:rsid w:val="000919F6"/>
    <w:rsid w:val="00091EEC"/>
    <w:rsid w:val="00092DB4"/>
    <w:rsid w:val="00093C33"/>
    <w:rsid w:val="00095805"/>
    <w:rsid w:val="00095C74"/>
    <w:rsid w:val="000963AA"/>
    <w:rsid w:val="00096E37"/>
    <w:rsid w:val="000973FC"/>
    <w:rsid w:val="00097608"/>
    <w:rsid w:val="00097778"/>
    <w:rsid w:val="000A001E"/>
    <w:rsid w:val="000A0D64"/>
    <w:rsid w:val="000A198B"/>
    <w:rsid w:val="000A1B36"/>
    <w:rsid w:val="000A209C"/>
    <w:rsid w:val="000A2AF6"/>
    <w:rsid w:val="000A6222"/>
    <w:rsid w:val="000A6A58"/>
    <w:rsid w:val="000A6D4D"/>
    <w:rsid w:val="000A74E6"/>
    <w:rsid w:val="000B0107"/>
    <w:rsid w:val="000B10A9"/>
    <w:rsid w:val="000B16EF"/>
    <w:rsid w:val="000B1F75"/>
    <w:rsid w:val="000B27C3"/>
    <w:rsid w:val="000B32AE"/>
    <w:rsid w:val="000B3949"/>
    <w:rsid w:val="000B4188"/>
    <w:rsid w:val="000B4792"/>
    <w:rsid w:val="000B6DA3"/>
    <w:rsid w:val="000B6E08"/>
    <w:rsid w:val="000C0A6F"/>
    <w:rsid w:val="000C0AD7"/>
    <w:rsid w:val="000C1611"/>
    <w:rsid w:val="000C1C17"/>
    <w:rsid w:val="000C217E"/>
    <w:rsid w:val="000C2F36"/>
    <w:rsid w:val="000C44C3"/>
    <w:rsid w:val="000C4E3C"/>
    <w:rsid w:val="000C5F3A"/>
    <w:rsid w:val="000C62FB"/>
    <w:rsid w:val="000C64B7"/>
    <w:rsid w:val="000C6A2D"/>
    <w:rsid w:val="000C6A41"/>
    <w:rsid w:val="000C7B23"/>
    <w:rsid w:val="000D01DE"/>
    <w:rsid w:val="000D05AC"/>
    <w:rsid w:val="000D10F6"/>
    <w:rsid w:val="000D152A"/>
    <w:rsid w:val="000D1BE0"/>
    <w:rsid w:val="000D1CEA"/>
    <w:rsid w:val="000D210F"/>
    <w:rsid w:val="000D2C18"/>
    <w:rsid w:val="000D3301"/>
    <w:rsid w:val="000D3FEC"/>
    <w:rsid w:val="000D43EA"/>
    <w:rsid w:val="000D4467"/>
    <w:rsid w:val="000D5988"/>
    <w:rsid w:val="000D6C22"/>
    <w:rsid w:val="000E09E2"/>
    <w:rsid w:val="000E13B9"/>
    <w:rsid w:val="000E178C"/>
    <w:rsid w:val="000E3001"/>
    <w:rsid w:val="000E3523"/>
    <w:rsid w:val="000E381E"/>
    <w:rsid w:val="000E3A39"/>
    <w:rsid w:val="000E4702"/>
    <w:rsid w:val="000E4778"/>
    <w:rsid w:val="000E4FDC"/>
    <w:rsid w:val="000E502D"/>
    <w:rsid w:val="000E53A5"/>
    <w:rsid w:val="000E54CA"/>
    <w:rsid w:val="000E5CF3"/>
    <w:rsid w:val="000E72B9"/>
    <w:rsid w:val="000E7630"/>
    <w:rsid w:val="000E7958"/>
    <w:rsid w:val="000E7ABD"/>
    <w:rsid w:val="000E7C0F"/>
    <w:rsid w:val="000F2820"/>
    <w:rsid w:val="000F30D0"/>
    <w:rsid w:val="000F3A48"/>
    <w:rsid w:val="000F3E7F"/>
    <w:rsid w:val="000F6386"/>
    <w:rsid w:val="000F6591"/>
    <w:rsid w:val="000F76A4"/>
    <w:rsid w:val="000F7FC4"/>
    <w:rsid w:val="00100AAC"/>
    <w:rsid w:val="00101043"/>
    <w:rsid w:val="00103039"/>
    <w:rsid w:val="00104162"/>
    <w:rsid w:val="001042CC"/>
    <w:rsid w:val="001044E1"/>
    <w:rsid w:val="00104B5D"/>
    <w:rsid w:val="00105AFE"/>
    <w:rsid w:val="00107724"/>
    <w:rsid w:val="00107C38"/>
    <w:rsid w:val="001105F6"/>
    <w:rsid w:val="00111D89"/>
    <w:rsid w:val="00112AB3"/>
    <w:rsid w:val="001134A1"/>
    <w:rsid w:val="00114227"/>
    <w:rsid w:val="00114422"/>
    <w:rsid w:val="00114F1A"/>
    <w:rsid w:val="00116145"/>
    <w:rsid w:val="00116570"/>
    <w:rsid w:val="00120A56"/>
    <w:rsid w:val="0012107B"/>
    <w:rsid w:val="0012197D"/>
    <w:rsid w:val="00122190"/>
    <w:rsid w:val="00124BBD"/>
    <w:rsid w:val="0012570F"/>
    <w:rsid w:val="001257D8"/>
    <w:rsid w:val="00125BF8"/>
    <w:rsid w:val="00125DDF"/>
    <w:rsid w:val="00126EFD"/>
    <w:rsid w:val="00127501"/>
    <w:rsid w:val="001276E3"/>
    <w:rsid w:val="00130376"/>
    <w:rsid w:val="00131290"/>
    <w:rsid w:val="001312CC"/>
    <w:rsid w:val="00131BB3"/>
    <w:rsid w:val="00131E12"/>
    <w:rsid w:val="00133517"/>
    <w:rsid w:val="00134116"/>
    <w:rsid w:val="00137530"/>
    <w:rsid w:val="001406EE"/>
    <w:rsid w:val="00140906"/>
    <w:rsid w:val="00140CDC"/>
    <w:rsid w:val="00141288"/>
    <w:rsid w:val="001416D4"/>
    <w:rsid w:val="001421FF"/>
    <w:rsid w:val="00143041"/>
    <w:rsid w:val="00144042"/>
    <w:rsid w:val="0014418F"/>
    <w:rsid w:val="001448EB"/>
    <w:rsid w:val="001452BA"/>
    <w:rsid w:val="00145F43"/>
    <w:rsid w:val="001462CC"/>
    <w:rsid w:val="001467B7"/>
    <w:rsid w:val="001469C9"/>
    <w:rsid w:val="001469F2"/>
    <w:rsid w:val="00150385"/>
    <w:rsid w:val="00150C16"/>
    <w:rsid w:val="00150CD4"/>
    <w:rsid w:val="00151061"/>
    <w:rsid w:val="0015216C"/>
    <w:rsid w:val="00152502"/>
    <w:rsid w:val="001528B7"/>
    <w:rsid w:val="00152A5E"/>
    <w:rsid w:val="00153372"/>
    <w:rsid w:val="00153963"/>
    <w:rsid w:val="00154974"/>
    <w:rsid w:val="00154A21"/>
    <w:rsid w:val="00155A62"/>
    <w:rsid w:val="00156E2C"/>
    <w:rsid w:val="00160120"/>
    <w:rsid w:val="00160C5F"/>
    <w:rsid w:val="001619E0"/>
    <w:rsid w:val="00162498"/>
    <w:rsid w:val="001631F2"/>
    <w:rsid w:val="00163902"/>
    <w:rsid w:val="0016632B"/>
    <w:rsid w:val="00167B5C"/>
    <w:rsid w:val="00170019"/>
    <w:rsid w:val="0017021C"/>
    <w:rsid w:val="00171EDC"/>
    <w:rsid w:val="0017225D"/>
    <w:rsid w:val="0017267B"/>
    <w:rsid w:val="00172D65"/>
    <w:rsid w:val="0017460E"/>
    <w:rsid w:val="001749F3"/>
    <w:rsid w:val="00174C8E"/>
    <w:rsid w:val="00175289"/>
    <w:rsid w:val="0017575C"/>
    <w:rsid w:val="00176234"/>
    <w:rsid w:val="00176690"/>
    <w:rsid w:val="0017679E"/>
    <w:rsid w:val="00176A62"/>
    <w:rsid w:val="00176CE7"/>
    <w:rsid w:val="00177DB5"/>
    <w:rsid w:val="00180605"/>
    <w:rsid w:val="001807B9"/>
    <w:rsid w:val="001811D2"/>
    <w:rsid w:val="00182CE5"/>
    <w:rsid w:val="00183828"/>
    <w:rsid w:val="00183CF0"/>
    <w:rsid w:val="0018431A"/>
    <w:rsid w:val="00184F3A"/>
    <w:rsid w:val="001858A8"/>
    <w:rsid w:val="00186D6F"/>
    <w:rsid w:val="001872BA"/>
    <w:rsid w:val="001915EC"/>
    <w:rsid w:val="00192B77"/>
    <w:rsid w:val="00192F67"/>
    <w:rsid w:val="00193190"/>
    <w:rsid w:val="001937CB"/>
    <w:rsid w:val="001938CD"/>
    <w:rsid w:val="001939F0"/>
    <w:rsid w:val="00193EDA"/>
    <w:rsid w:val="00194120"/>
    <w:rsid w:val="0019412D"/>
    <w:rsid w:val="001946B8"/>
    <w:rsid w:val="0019473B"/>
    <w:rsid w:val="00195393"/>
    <w:rsid w:val="00196052"/>
    <w:rsid w:val="0019605C"/>
    <w:rsid w:val="00196776"/>
    <w:rsid w:val="00196DB1"/>
    <w:rsid w:val="00196DD5"/>
    <w:rsid w:val="00197C77"/>
    <w:rsid w:val="001A251D"/>
    <w:rsid w:val="001A406B"/>
    <w:rsid w:val="001A5452"/>
    <w:rsid w:val="001A5E91"/>
    <w:rsid w:val="001A5F0A"/>
    <w:rsid w:val="001A62A4"/>
    <w:rsid w:val="001A633A"/>
    <w:rsid w:val="001A637C"/>
    <w:rsid w:val="001A677A"/>
    <w:rsid w:val="001B05DB"/>
    <w:rsid w:val="001B16ED"/>
    <w:rsid w:val="001B1EB9"/>
    <w:rsid w:val="001B2124"/>
    <w:rsid w:val="001B2896"/>
    <w:rsid w:val="001B44CB"/>
    <w:rsid w:val="001B5297"/>
    <w:rsid w:val="001B5377"/>
    <w:rsid w:val="001B5871"/>
    <w:rsid w:val="001B781F"/>
    <w:rsid w:val="001C01F2"/>
    <w:rsid w:val="001C0474"/>
    <w:rsid w:val="001C1804"/>
    <w:rsid w:val="001C1848"/>
    <w:rsid w:val="001C2278"/>
    <w:rsid w:val="001C33F4"/>
    <w:rsid w:val="001C36CA"/>
    <w:rsid w:val="001C43C8"/>
    <w:rsid w:val="001C6207"/>
    <w:rsid w:val="001C65D7"/>
    <w:rsid w:val="001C666D"/>
    <w:rsid w:val="001C6975"/>
    <w:rsid w:val="001C6C53"/>
    <w:rsid w:val="001C711D"/>
    <w:rsid w:val="001C7F9E"/>
    <w:rsid w:val="001D0019"/>
    <w:rsid w:val="001D08ED"/>
    <w:rsid w:val="001D0B5C"/>
    <w:rsid w:val="001D1569"/>
    <w:rsid w:val="001D1987"/>
    <w:rsid w:val="001D1F17"/>
    <w:rsid w:val="001D3537"/>
    <w:rsid w:val="001D401B"/>
    <w:rsid w:val="001D4C41"/>
    <w:rsid w:val="001D4F2D"/>
    <w:rsid w:val="001D4F7B"/>
    <w:rsid w:val="001D5AA9"/>
    <w:rsid w:val="001D6B81"/>
    <w:rsid w:val="001D6E33"/>
    <w:rsid w:val="001E0C6E"/>
    <w:rsid w:val="001E267B"/>
    <w:rsid w:val="001E276F"/>
    <w:rsid w:val="001E318D"/>
    <w:rsid w:val="001E328D"/>
    <w:rsid w:val="001E344C"/>
    <w:rsid w:val="001E39F4"/>
    <w:rsid w:val="001E3F51"/>
    <w:rsid w:val="001E3FE0"/>
    <w:rsid w:val="001E4FE9"/>
    <w:rsid w:val="001E597B"/>
    <w:rsid w:val="001E629D"/>
    <w:rsid w:val="001F306F"/>
    <w:rsid w:val="001F34DB"/>
    <w:rsid w:val="001F38DC"/>
    <w:rsid w:val="001F3AC1"/>
    <w:rsid w:val="001F3CAE"/>
    <w:rsid w:val="001F3EEC"/>
    <w:rsid w:val="001F51D6"/>
    <w:rsid w:val="001F534E"/>
    <w:rsid w:val="001F56DC"/>
    <w:rsid w:val="001F5B99"/>
    <w:rsid w:val="001F75BC"/>
    <w:rsid w:val="001F7C4E"/>
    <w:rsid w:val="0020005E"/>
    <w:rsid w:val="00200089"/>
    <w:rsid w:val="00200325"/>
    <w:rsid w:val="00200880"/>
    <w:rsid w:val="00201B3A"/>
    <w:rsid w:val="00202A07"/>
    <w:rsid w:val="002031B8"/>
    <w:rsid w:val="002032F1"/>
    <w:rsid w:val="002037BD"/>
    <w:rsid w:val="00203FE3"/>
    <w:rsid w:val="00204725"/>
    <w:rsid w:val="00204AAB"/>
    <w:rsid w:val="00204AD6"/>
    <w:rsid w:val="002055D4"/>
    <w:rsid w:val="00205741"/>
    <w:rsid w:val="00205BA9"/>
    <w:rsid w:val="00205BE0"/>
    <w:rsid w:val="00205D96"/>
    <w:rsid w:val="00205EFF"/>
    <w:rsid w:val="0020697D"/>
    <w:rsid w:val="002105AC"/>
    <w:rsid w:val="00210895"/>
    <w:rsid w:val="00211B1F"/>
    <w:rsid w:val="00211BFB"/>
    <w:rsid w:val="00211CF4"/>
    <w:rsid w:val="00211F6A"/>
    <w:rsid w:val="002124C8"/>
    <w:rsid w:val="00212C73"/>
    <w:rsid w:val="002138FA"/>
    <w:rsid w:val="00213B29"/>
    <w:rsid w:val="0021405D"/>
    <w:rsid w:val="00215E8E"/>
    <w:rsid w:val="00216378"/>
    <w:rsid w:val="0021749F"/>
    <w:rsid w:val="002178CB"/>
    <w:rsid w:val="00217AC8"/>
    <w:rsid w:val="00217B70"/>
    <w:rsid w:val="002256D6"/>
    <w:rsid w:val="00225BB2"/>
    <w:rsid w:val="00225F6B"/>
    <w:rsid w:val="00226166"/>
    <w:rsid w:val="002266ED"/>
    <w:rsid w:val="00226BC8"/>
    <w:rsid w:val="002307CC"/>
    <w:rsid w:val="00230975"/>
    <w:rsid w:val="00230D63"/>
    <w:rsid w:val="00230E39"/>
    <w:rsid w:val="002315F3"/>
    <w:rsid w:val="002347D5"/>
    <w:rsid w:val="0023586C"/>
    <w:rsid w:val="00235F52"/>
    <w:rsid w:val="00236A2A"/>
    <w:rsid w:val="00236DAA"/>
    <w:rsid w:val="00236DD5"/>
    <w:rsid w:val="00236EEA"/>
    <w:rsid w:val="00237794"/>
    <w:rsid w:val="0023780E"/>
    <w:rsid w:val="00237DB0"/>
    <w:rsid w:val="00240AD7"/>
    <w:rsid w:val="00241A40"/>
    <w:rsid w:val="00242105"/>
    <w:rsid w:val="00242372"/>
    <w:rsid w:val="002427A0"/>
    <w:rsid w:val="00242A00"/>
    <w:rsid w:val="002439A0"/>
    <w:rsid w:val="002457B6"/>
    <w:rsid w:val="00246AFB"/>
    <w:rsid w:val="002470A6"/>
    <w:rsid w:val="002507A1"/>
    <w:rsid w:val="002507DB"/>
    <w:rsid w:val="00250E7B"/>
    <w:rsid w:val="002515DE"/>
    <w:rsid w:val="00251E52"/>
    <w:rsid w:val="00252280"/>
    <w:rsid w:val="00253C73"/>
    <w:rsid w:val="002542CA"/>
    <w:rsid w:val="00255B12"/>
    <w:rsid w:val="0025674D"/>
    <w:rsid w:val="00257003"/>
    <w:rsid w:val="0025715B"/>
    <w:rsid w:val="002601AD"/>
    <w:rsid w:val="00261198"/>
    <w:rsid w:val="00263879"/>
    <w:rsid w:val="00264089"/>
    <w:rsid w:val="00264354"/>
    <w:rsid w:val="0026439F"/>
    <w:rsid w:val="0026451C"/>
    <w:rsid w:val="00266105"/>
    <w:rsid w:val="002663A0"/>
    <w:rsid w:val="00266737"/>
    <w:rsid w:val="00266869"/>
    <w:rsid w:val="0026791F"/>
    <w:rsid w:val="002711AC"/>
    <w:rsid w:val="0027172B"/>
    <w:rsid w:val="00271D4F"/>
    <w:rsid w:val="00273966"/>
    <w:rsid w:val="00273D42"/>
    <w:rsid w:val="0027441C"/>
    <w:rsid w:val="002752E3"/>
    <w:rsid w:val="00275855"/>
    <w:rsid w:val="002762E0"/>
    <w:rsid w:val="00276DD6"/>
    <w:rsid w:val="0028069B"/>
    <w:rsid w:val="00280D7E"/>
    <w:rsid w:val="00281659"/>
    <w:rsid w:val="00281876"/>
    <w:rsid w:val="00281BEC"/>
    <w:rsid w:val="002825D0"/>
    <w:rsid w:val="00283256"/>
    <w:rsid w:val="00283897"/>
    <w:rsid w:val="002842C1"/>
    <w:rsid w:val="00284615"/>
    <w:rsid w:val="00285FC5"/>
    <w:rsid w:val="0028667B"/>
    <w:rsid w:val="002867FA"/>
    <w:rsid w:val="00287196"/>
    <w:rsid w:val="00287C4B"/>
    <w:rsid w:val="0029000D"/>
    <w:rsid w:val="0029126F"/>
    <w:rsid w:val="0029149B"/>
    <w:rsid w:val="00291594"/>
    <w:rsid w:val="002929AF"/>
    <w:rsid w:val="00294601"/>
    <w:rsid w:val="00294E79"/>
    <w:rsid w:val="00296335"/>
    <w:rsid w:val="00296502"/>
    <w:rsid w:val="002968C0"/>
    <w:rsid w:val="002A170F"/>
    <w:rsid w:val="002A196E"/>
    <w:rsid w:val="002A1F36"/>
    <w:rsid w:val="002A2401"/>
    <w:rsid w:val="002A2FEC"/>
    <w:rsid w:val="002A37FE"/>
    <w:rsid w:val="002A3985"/>
    <w:rsid w:val="002A39A9"/>
    <w:rsid w:val="002A4407"/>
    <w:rsid w:val="002A45EF"/>
    <w:rsid w:val="002A50D0"/>
    <w:rsid w:val="002A6151"/>
    <w:rsid w:val="002A6438"/>
    <w:rsid w:val="002A6BC2"/>
    <w:rsid w:val="002A6EC2"/>
    <w:rsid w:val="002A74A9"/>
    <w:rsid w:val="002A7BB7"/>
    <w:rsid w:val="002A7D7B"/>
    <w:rsid w:val="002A7ED5"/>
    <w:rsid w:val="002B0D07"/>
    <w:rsid w:val="002B0E57"/>
    <w:rsid w:val="002B0EB2"/>
    <w:rsid w:val="002B0FEF"/>
    <w:rsid w:val="002B1060"/>
    <w:rsid w:val="002B18C2"/>
    <w:rsid w:val="002B2C97"/>
    <w:rsid w:val="002B2E2F"/>
    <w:rsid w:val="002B713F"/>
    <w:rsid w:val="002B7307"/>
    <w:rsid w:val="002B73A9"/>
    <w:rsid w:val="002B7B00"/>
    <w:rsid w:val="002B7C4D"/>
    <w:rsid w:val="002C1438"/>
    <w:rsid w:val="002C1617"/>
    <w:rsid w:val="002C3A9B"/>
    <w:rsid w:val="002C3F20"/>
    <w:rsid w:val="002C4B75"/>
    <w:rsid w:val="002C7B4D"/>
    <w:rsid w:val="002C7BEC"/>
    <w:rsid w:val="002D09CD"/>
    <w:rsid w:val="002D23F3"/>
    <w:rsid w:val="002D2521"/>
    <w:rsid w:val="002D3570"/>
    <w:rsid w:val="002D69DE"/>
    <w:rsid w:val="002D6CB0"/>
    <w:rsid w:val="002E0215"/>
    <w:rsid w:val="002E1117"/>
    <w:rsid w:val="002E1A33"/>
    <w:rsid w:val="002E1D2C"/>
    <w:rsid w:val="002E217B"/>
    <w:rsid w:val="002E28BE"/>
    <w:rsid w:val="002E29CE"/>
    <w:rsid w:val="002E2A38"/>
    <w:rsid w:val="002E2C30"/>
    <w:rsid w:val="002E2C34"/>
    <w:rsid w:val="002E30FE"/>
    <w:rsid w:val="002E3C14"/>
    <w:rsid w:val="002E4282"/>
    <w:rsid w:val="002E5A54"/>
    <w:rsid w:val="002E5B84"/>
    <w:rsid w:val="002E635C"/>
    <w:rsid w:val="002E6DBD"/>
    <w:rsid w:val="002E7F70"/>
    <w:rsid w:val="002F0310"/>
    <w:rsid w:val="002F0A31"/>
    <w:rsid w:val="002F0C03"/>
    <w:rsid w:val="002F1099"/>
    <w:rsid w:val="002F110F"/>
    <w:rsid w:val="002F2199"/>
    <w:rsid w:val="002F25A3"/>
    <w:rsid w:val="002F3354"/>
    <w:rsid w:val="002F4745"/>
    <w:rsid w:val="002F4ADB"/>
    <w:rsid w:val="002F4E38"/>
    <w:rsid w:val="002F527B"/>
    <w:rsid w:val="002F6BC9"/>
    <w:rsid w:val="002F7D12"/>
    <w:rsid w:val="002F7DF6"/>
    <w:rsid w:val="003007CE"/>
    <w:rsid w:val="00301DC7"/>
    <w:rsid w:val="003026B7"/>
    <w:rsid w:val="003036AE"/>
    <w:rsid w:val="003037D9"/>
    <w:rsid w:val="00304935"/>
    <w:rsid w:val="00304A14"/>
    <w:rsid w:val="00304F49"/>
    <w:rsid w:val="003054DD"/>
    <w:rsid w:val="003054EE"/>
    <w:rsid w:val="0030677D"/>
    <w:rsid w:val="003068AB"/>
    <w:rsid w:val="00307261"/>
    <w:rsid w:val="00307455"/>
    <w:rsid w:val="00307D13"/>
    <w:rsid w:val="0031019F"/>
    <w:rsid w:val="0031161A"/>
    <w:rsid w:val="00311620"/>
    <w:rsid w:val="00311A06"/>
    <w:rsid w:val="003120D7"/>
    <w:rsid w:val="003125C1"/>
    <w:rsid w:val="003156F1"/>
    <w:rsid w:val="00315D01"/>
    <w:rsid w:val="00315E20"/>
    <w:rsid w:val="0031639C"/>
    <w:rsid w:val="003176E1"/>
    <w:rsid w:val="003205A6"/>
    <w:rsid w:val="003208BD"/>
    <w:rsid w:val="00321325"/>
    <w:rsid w:val="0032155D"/>
    <w:rsid w:val="00322357"/>
    <w:rsid w:val="003225F8"/>
    <w:rsid w:val="00323CB1"/>
    <w:rsid w:val="00324806"/>
    <w:rsid w:val="003250F3"/>
    <w:rsid w:val="00325686"/>
    <w:rsid w:val="00326B4A"/>
    <w:rsid w:val="00330876"/>
    <w:rsid w:val="003308C3"/>
    <w:rsid w:val="00330EBE"/>
    <w:rsid w:val="003314BC"/>
    <w:rsid w:val="003318C4"/>
    <w:rsid w:val="00335DDD"/>
    <w:rsid w:val="003362E1"/>
    <w:rsid w:val="003379F7"/>
    <w:rsid w:val="00337EC0"/>
    <w:rsid w:val="00340C3E"/>
    <w:rsid w:val="00341279"/>
    <w:rsid w:val="00341831"/>
    <w:rsid w:val="00341BBF"/>
    <w:rsid w:val="00343B9B"/>
    <w:rsid w:val="003442B2"/>
    <w:rsid w:val="003448B1"/>
    <w:rsid w:val="00344D3D"/>
    <w:rsid w:val="00345D20"/>
    <w:rsid w:val="00346961"/>
    <w:rsid w:val="00347B47"/>
    <w:rsid w:val="00347E9C"/>
    <w:rsid w:val="003507CE"/>
    <w:rsid w:val="003509BC"/>
    <w:rsid w:val="00352DAD"/>
    <w:rsid w:val="0035386E"/>
    <w:rsid w:val="00355AF5"/>
    <w:rsid w:val="00355B1F"/>
    <w:rsid w:val="003564DD"/>
    <w:rsid w:val="003615B8"/>
    <w:rsid w:val="003616AA"/>
    <w:rsid w:val="00362032"/>
    <w:rsid w:val="003621A2"/>
    <w:rsid w:val="003625A5"/>
    <w:rsid w:val="0036271D"/>
    <w:rsid w:val="00363C19"/>
    <w:rsid w:val="00364117"/>
    <w:rsid w:val="0036628A"/>
    <w:rsid w:val="00366AA5"/>
    <w:rsid w:val="00371CCD"/>
    <w:rsid w:val="003723D0"/>
    <w:rsid w:val="003726CD"/>
    <w:rsid w:val="00372CF1"/>
    <w:rsid w:val="00373DE8"/>
    <w:rsid w:val="003744F7"/>
    <w:rsid w:val="00374591"/>
    <w:rsid w:val="00375081"/>
    <w:rsid w:val="00375670"/>
    <w:rsid w:val="00376456"/>
    <w:rsid w:val="00377042"/>
    <w:rsid w:val="00380AF6"/>
    <w:rsid w:val="003813D8"/>
    <w:rsid w:val="00381566"/>
    <w:rsid w:val="00381E84"/>
    <w:rsid w:val="00383F80"/>
    <w:rsid w:val="00384F1A"/>
    <w:rsid w:val="00385F2E"/>
    <w:rsid w:val="00387812"/>
    <w:rsid w:val="00387F44"/>
    <w:rsid w:val="00390141"/>
    <w:rsid w:val="00390697"/>
    <w:rsid w:val="0039144F"/>
    <w:rsid w:val="00391812"/>
    <w:rsid w:val="003918EE"/>
    <w:rsid w:val="0039192B"/>
    <w:rsid w:val="0039239D"/>
    <w:rsid w:val="00392A4A"/>
    <w:rsid w:val="00392BF0"/>
    <w:rsid w:val="00393553"/>
    <w:rsid w:val="00393683"/>
    <w:rsid w:val="00394141"/>
    <w:rsid w:val="00394ACD"/>
    <w:rsid w:val="00396AC7"/>
    <w:rsid w:val="003A1263"/>
    <w:rsid w:val="003A227F"/>
    <w:rsid w:val="003A3725"/>
    <w:rsid w:val="003A3F9D"/>
    <w:rsid w:val="003A45EF"/>
    <w:rsid w:val="003A463C"/>
    <w:rsid w:val="003A4E25"/>
    <w:rsid w:val="003A4FCA"/>
    <w:rsid w:val="003A5337"/>
    <w:rsid w:val="003A5ECA"/>
    <w:rsid w:val="003A6258"/>
    <w:rsid w:val="003A7D32"/>
    <w:rsid w:val="003B268A"/>
    <w:rsid w:val="003B2A0D"/>
    <w:rsid w:val="003B2CE4"/>
    <w:rsid w:val="003B2F96"/>
    <w:rsid w:val="003B2FBF"/>
    <w:rsid w:val="003B46B4"/>
    <w:rsid w:val="003B53B6"/>
    <w:rsid w:val="003B54C0"/>
    <w:rsid w:val="003B552D"/>
    <w:rsid w:val="003B668D"/>
    <w:rsid w:val="003B67C7"/>
    <w:rsid w:val="003B7A02"/>
    <w:rsid w:val="003B7F69"/>
    <w:rsid w:val="003C2CE0"/>
    <w:rsid w:val="003C3821"/>
    <w:rsid w:val="003C3CD7"/>
    <w:rsid w:val="003C3CDA"/>
    <w:rsid w:val="003C4144"/>
    <w:rsid w:val="003C435B"/>
    <w:rsid w:val="003C46E7"/>
    <w:rsid w:val="003C4F7A"/>
    <w:rsid w:val="003C6546"/>
    <w:rsid w:val="003C6C6E"/>
    <w:rsid w:val="003C7B43"/>
    <w:rsid w:val="003D01D1"/>
    <w:rsid w:val="003D08CD"/>
    <w:rsid w:val="003D1F7E"/>
    <w:rsid w:val="003D3C2F"/>
    <w:rsid w:val="003D3CF2"/>
    <w:rsid w:val="003D43D9"/>
    <w:rsid w:val="003D474C"/>
    <w:rsid w:val="003D497E"/>
    <w:rsid w:val="003D4F3F"/>
    <w:rsid w:val="003D5097"/>
    <w:rsid w:val="003D5384"/>
    <w:rsid w:val="003D619B"/>
    <w:rsid w:val="003D6EBD"/>
    <w:rsid w:val="003D7F44"/>
    <w:rsid w:val="003E04A6"/>
    <w:rsid w:val="003E197D"/>
    <w:rsid w:val="003E1AEE"/>
    <w:rsid w:val="003E1C58"/>
    <w:rsid w:val="003E2147"/>
    <w:rsid w:val="003E287E"/>
    <w:rsid w:val="003E37E3"/>
    <w:rsid w:val="003E41F8"/>
    <w:rsid w:val="003E4479"/>
    <w:rsid w:val="003E4AB3"/>
    <w:rsid w:val="003E5B6A"/>
    <w:rsid w:val="003E5E33"/>
    <w:rsid w:val="003E7AC3"/>
    <w:rsid w:val="003F10A9"/>
    <w:rsid w:val="003F178B"/>
    <w:rsid w:val="003F3872"/>
    <w:rsid w:val="003F4236"/>
    <w:rsid w:val="003F4E55"/>
    <w:rsid w:val="003F7923"/>
    <w:rsid w:val="00400645"/>
    <w:rsid w:val="0040151A"/>
    <w:rsid w:val="00401662"/>
    <w:rsid w:val="00402331"/>
    <w:rsid w:val="00402BA3"/>
    <w:rsid w:val="0040306C"/>
    <w:rsid w:val="00404B92"/>
    <w:rsid w:val="004069A1"/>
    <w:rsid w:val="004114B8"/>
    <w:rsid w:val="00412A49"/>
    <w:rsid w:val="0041436F"/>
    <w:rsid w:val="00414516"/>
    <w:rsid w:val="00415DDA"/>
    <w:rsid w:val="004160CD"/>
    <w:rsid w:val="004177A6"/>
    <w:rsid w:val="004210C4"/>
    <w:rsid w:val="00421994"/>
    <w:rsid w:val="00421FED"/>
    <w:rsid w:val="004220D7"/>
    <w:rsid w:val="004224D6"/>
    <w:rsid w:val="00425652"/>
    <w:rsid w:val="00425830"/>
    <w:rsid w:val="00425C3B"/>
    <w:rsid w:val="00425EEC"/>
    <w:rsid w:val="00425F5C"/>
    <w:rsid w:val="00426083"/>
    <w:rsid w:val="004264CF"/>
    <w:rsid w:val="00426BAD"/>
    <w:rsid w:val="00426FC6"/>
    <w:rsid w:val="00426FC8"/>
    <w:rsid w:val="004276A8"/>
    <w:rsid w:val="00431146"/>
    <w:rsid w:val="004320F0"/>
    <w:rsid w:val="00433592"/>
    <w:rsid w:val="004336F3"/>
    <w:rsid w:val="00434057"/>
    <w:rsid w:val="00434C8C"/>
    <w:rsid w:val="00435C10"/>
    <w:rsid w:val="00436406"/>
    <w:rsid w:val="00436E45"/>
    <w:rsid w:val="00437215"/>
    <w:rsid w:val="004374DE"/>
    <w:rsid w:val="004376C1"/>
    <w:rsid w:val="00437AD4"/>
    <w:rsid w:val="00437BD6"/>
    <w:rsid w:val="0044080D"/>
    <w:rsid w:val="004425DA"/>
    <w:rsid w:val="00443219"/>
    <w:rsid w:val="00444B93"/>
    <w:rsid w:val="00446170"/>
    <w:rsid w:val="00447852"/>
    <w:rsid w:val="0045039D"/>
    <w:rsid w:val="0045169A"/>
    <w:rsid w:val="00452DB3"/>
    <w:rsid w:val="00453756"/>
    <w:rsid w:val="0045394A"/>
    <w:rsid w:val="00453DD2"/>
    <w:rsid w:val="0045501F"/>
    <w:rsid w:val="004574D6"/>
    <w:rsid w:val="004575F6"/>
    <w:rsid w:val="00460F91"/>
    <w:rsid w:val="00464CD7"/>
    <w:rsid w:val="004661DD"/>
    <w:rsid w:val="00466EDA"/>
    <w:rsid w:val="004670D2"/>
    <w:rsid w:val="0047110A"/>
    <w:rsid w:val="00471525"/>
    <w:rsid w:val="00472D53"/>
    <w:rsid w:val="00473171"/>
    <w:rsid w:val="00473E71"/>
    <w:rsid w:val="0047500D"/>
    <w:rsid w:val="0047523B"/>
    <w:rsid w:val="0047555A"/>
    <w:rsid w:val="00475774"/>
    <w:rsid w:val="004761C9"/>
    <w:rsid w:val="00476697"/>
    <w:rsid w:val="00476B21"/>
    <w:rsid w:val="00477E0B"/>
    <w:rsid w:val="0048049E"/>
    <w:rsid w:val="004805B0"/>
    <w:rsid w:val="00480FA6"/>
    <w:rsid w:val="00482633"/>
    <w:rsid w:val="004831CB"/>
    <w:rsid w:val="00483E6C"/>
    <w:rsid w:val="00484813"/>
    <w:rsid w:val="004857C1"/>
    <w:rsid w:val="00485A62"/>
    <w:rsid w:val="00485F8A"/>
    <w:rsid w:val="0048601E"/>
    <w:rsid w:val="00486895"/>
    <w:rsid w:val="004868A7"/>
    <w:rsid w:val="00486C02"/>
    <w:rsid w:val="004900D5"/>
    <w:rsid w:val="004901F3"/>
    <w:rsid w:val="00492188"/>
    <w:rsid w:val="004923D5"/>
    <w:rsid w:val="00492451"/>
    <w:rsid w:val="0049267B"/>
    <w:rsid w:val="00492B8C"/>
    <w:rsid w:val="00492FC9"/>
    <w:rsid w:val="00493FC5"/>
    <w:rsid w:val="00494DC7"/>
    <w:rsid w:val="00495443"/>
    <w:rsid w:val="004956B3"/>
    <w:rsid w:val="004959E5"/>
    <w:rsid w:val="00496244"/>
    <w:rsid w:val="004A207D"/>
    <w:rsid w:val="004A239D"/>
    <w:rsid w:val="004A36DE"/>
    <w:rsid w:val="004A3753"/>
    <w:rsid w:val="004A3CA6"/>
    <w:rsid w:val="004A4110"/>
    <w:rsid w:val="004A5963"/>
    <w:rsid w:val="004A5E11"/>
    <w:rsid w:val="004A62CE"/>
    <w:rsid w:val="004A67C7"/>
    <w:rsid w:val="004A6B65"/>
    <w:rsid w:val="004A7617"/>
    <w:rsid w:val="004A7C2A"/>
    <w:rsid w:val="004B028E"/>
    <w:rsid w:val="004B0CA8"/>
    <w:rsid w:val="004B1700"/>
    <w:rsid w:val="004B1800"/>
    <w:rsid w:val="004B4895"/>
    <w:rsid w:val="004B5157"/>
    <w:rsid w:val="004B6162"/>
    <w:rsid w:val="004B67AA"/>
    <w:rsid w:val="004B7F09"/>
    <w:rsid w:val="004C04F8"/>
    <w:rsid w:val="004C0A4D"/>
    <w:rsid w:val="004C1615"/>
    <w:rsid w:val="004C29DE"/>
    <w:rsid w:val="004C3371"/>
    <w:rsid w:val="004C3417"/>
    <w:rsid w:val="004C5895"/>
    <w:rsid w:val="004C5C0C"/>
    <w:rsid w:val="004C603E"/>
    <w:rsid w:val="004C7560"/>
    <w:rsid w:val="004C77E6"/>
    <w:rsid w:val="004D002D"/>
    <w:rsid w:val="004D0963"/>
    <w:rsid w:val="004D0F24"/>
    <w:rsid w:val="004D121F"/>
    <w:rsid w:val="004D12F1"/>
    <w:rsid w:val="004D22BA"/>
    <w:rsid w:val="004D29B5"/>
    <w:rsid w:val="004D355E"/>
    <w:rsid w:val="004D368E"/>
    <w:rsid w:val="004D49CF"/>
    <w:rsid w:val="004D56FF"/>
    <w:rsid w:val="004D5851"/>
    <w:rsid w:val="004D6989"/>
    <w:rsid w:val="004D6D91"/>
    <w:rsid w:val="004D7B8B"/>
    <w:rsid w:val="004E13C4"/>
    <w:rsid w:val="004E1BDB"/>
    <w:rsid w:val="004E22D1"/>
    <w:rsid w:val="004E2802"/>
    <w:rsid w:val="004E4219"/>
    <w:rsid w:val="004E5564"/>
    <w:rsid w:val="004E55FE"/>
    <w:rsid w:val="004E639B"/>
    <w:rsid w:val="004F03B5"/>
    <w:rsid w:val="004F062D"/>
    <w:rsid w:val="004F12C0"/>
    <w:rsid w:val="004F287C"/>
    <w:rsid w:val="004F3C4B"/>
    <w:rsid w:val="004F756C"/>
    <w:rsid w:val="00500C29"/>
    <w:rsid w:val="00500D67"/>
    <w:rsid w:val="00501391"/>
    <w:rsid w:val="005019E1"/>
    <w:rsid w:val="00502056"/>
    <w:rsid w:val="00502451"/>
    <w:rsid w:val="005027B0"/>
    <w:rsid w:val="00502B49"/>
    <w:rsid w:val="00502B76"/>
    <w:rsid w:val="00503A0E"/>
    <w:rsid w:val="00503C7D"/>
    <w:rsid w:val="00504BC2"/>
    <w:rsid w:val="00504C9A"/>
    <w:rsid w:val="00504F5C"/>
    <w:rsid w:val="0050577E"/>
    <w:rsid w:val="00505B3C"/>
    <w:rsid w:val="00505E9A"/>
    <w:rsid w:val="005069FE"/>
    <w:rsid w:val="005071C2"/>
    <w:rsid w:val="00507FD8"/>
    <w:rsid w:val="00510927"/>
    <w:rsid w:val="00510C99"/>
    <w:rsid w:val="00510CA3"/>
    <w:rsid w:val="005114EF"/>
    <w:rsid w:val="00511669"/>
    <w:rsid w:val="00511785"/>
    <w:rsid w:val="00512962"/>
    <w:rsid w:val="00512F59"/>
    <w:rsid w:val="00513168"/>
    <w:rsid w:val="0051325C"/>
    <w:rsid w:val="0051454E"/>
    <w:rsid w:val="005151B7"/>
    <w:rsid w:val="0051565A"/>
    <w:rsid w:val="00515FB1"/>
    <w:rsid w:val="00516F2D"/>
    <w:rsid w:val="00517746"/>
    <w:rsid w:val="00517CD8"/>
    <w:rsid w:val="00517DF8"/>
    <w:rsid w:val="005205DA"/>
    <w:rsid w:val="00520C5A"/>
    <w:rsid w:val="0052294B"/>
    <w:rsid w:val="00522FB0"/>
    <w:rsid w:val="0052386D"/>
    <w:rsid w:val="00523A75"/>
    <w:rsid w:val="00523D25"/>
    <w:rsid w:val="0052420D"/>
    <w:rsid w:val="00525A33"/>
    <w:rsid w:val="0052687A"/>
    <w:rsid w:val="00527305"/>
    <w:rsid w:val="00530B45"/>
    <w:rsid w:val="00530E09"/>
    <w:rsid w:val="00533310"/>
    <w:rsid w:val="00533EA6"/>
    <w:rsid w:val="005349B0"/>
    <w:rsid w:val="00534D4B"/>
    <w:rsid w:val="00535401"/>
    <w:rsid w:val="00535ABB"/>
    <w:rsid w:val="00535D9B"/>
    <w:rsid w:val="00537410"/>
    <w:rsid w:val="00537877"/>
    <w:rsid w:val="00537EC7"/>
    <w:rsid w:val="00540050"/>
    <w:rsid w:val="00540AFA"/>
    <w:rsid w:val="00541076"/>
    <w:rsid w:val="00541C3C"/>
    <w:rsid w:val="005429C9"/>
    <w:rsid w:val="00542D88"/>
    <w:rsid w:val="00543442"/>
    <w:rsid w:val="00543567"/>
    <w:rsid w:val="0054366E"/>
    <w:rsid w:val="00543775"/>
    <w:rsid w:val="00546438"/>
    <w:rsid w:val="0054738E"/>
    <w:rsid w:val="005475DF"/>
    <w:rsid w:val="00550704"/>
    <w:rsid w:val="00550DA7"/>
    <w:rsid w:val="0055172F"/>
    <w:rsid w:val="00552037"/>
    <w:rsid w:val="005523AE"/>
    <w:rsid w:val="00552D43"/>
    <w:rsid w:val="00553113"/>
    <w:rsid w:val="00553652"/>
    <w:rsid w:val="00553C9E"/>
    <w:rsid w:val="0055446D"/>
    <w:rsid w:val="00554972"/>
    <w:rsid w:val="00555931"/>
    <w:rsid w:val="0055599D"/>
    <w:rsid w:val="00555A2E"/>
    <w:rsid w:val="00555B98"/>
    <w:rsid w:val="00557E07"/>
    <w:rsid w:val="00557FE9"/>
    <w:rsid w:val="00560037"/>
    <w:rsid w:val="0056111B"/>
    <w:rsid w:val="0056201A"/>
    <w:rsid w:val="00562E2A"/>
    <w:rsid w:val="00563863"/>
    <w:rsid w:val="00563A3F"/>
    <w:rsid w:val="00563A81"/>
    <w:rsid w:val="005641AE"/>
    <w:rsid w:val="00565F28"/>
    <w:rsid w:val="005660B4"/>
    <w:rsid w:val="0056757B"/>
    <w:rsid w:val="00571288"/>
    <w:rsid w:val="0057142B"/>
    <w:rsid w:val="00572933"/>
    <w:rsid w:val="00575415"/>
    <w:rsid w:val="00576FD1"/>
    <w:rsid w:val="00577100"/>
    <w:rsid w:val="005808AC"/>
    <w:rsid w:val="00580A3C"/>
    <w:rsid w:val="00581F83"/>
    <w:rsid w:val="0058207E"/>
    <w:rsid w:val="005825B5"/>
    <w:rsid w:val="005826E2"/>
    <w:rsid w:val="00583B0E"/>
    <w:rsid w:val="0058463F"/>
    <w:rsid w:val="00586789"/>
    <w:rsid w:val="00586F77"/>
    <w:rsid w:val="00587379"/>
    <w:rsid w:val="0058788B"/>
    <w:rsid w:val="00587946"/>
    <w:rsid w:val="00590D12"/>
    <w:rsid w:val="00590E25"/>
    <w:rsid w:val="005914E8"/>
    <w:rsid w:val="00592878"/>
    <w:rsid w:val="00593398"/>
    <w:rsid w:val="005939D5"/>
    <w:rsid w:val="00593B08"/>
    <w:rsid w:val="00593C67"/>
    <w:rsid w:val="00594455"/>
    <w:rsid w:val="005961D6"/>
    <w:rsid w:val="00596C4D"/>
    <w:rsid w:val="005A2168"/>
    <w:rsid w:val="005A322B"/>
    <w:rsid w:val="005A49E6"/>
    <w:rsid w:val="005A5F28"/>
    <w:rsid w:val="005A67A6"/>
    <w:rsid w:val="005A713B"/>
    <w:rsid w:val="005A75C4"/>
    <w:rsid w:val="005B025B"/>
    <w:rsid w:val="005B042A"/>
    <w:rsid w:val="005B07CB"/>
    <w:rsid w:val="005B1BC6"/>
    <w:rsid w:val="005B2217"/>
    <w:rsid w:val="005B22F7"/>
    <w:rsid w:val="005B3002"/>
    <w:rsid w:val="005B36E1"/>
    <w:rsid w:val="005B3FFE"/>
    <w:rsid w:val="005B408D"/>
    <w:rsid w:val="005B529A"/>
    <w:rsid w:val="005B5FA0"/>
    <w:rsid w:val="005B61F9"/>
    <w:rsid w:val="005B7C43"/>
    <w:rsid w:val="005B7C74"/>
    <w:rsid w:val="005C17F9"/>
    <w:rsid w:val="005C190A"/>
    <w:rsid w:val="005C27CA"/>
    <w:rsid w:val="005C2838"/>
    <w:rsid w:val="005C3E09"/>
    <w:rsid w:val="005C4603"/>
    <w:rsid w:val="005C47AF"/>
    <w:rsid w:val="005C4C68"/>
    <w:rsid w:val="005C56A9"/>
    <w:rsid w:val="005C6644"/>
    <w:rsid w:val="005C7438"/>
    <w:rsid w:val="005C79C9"/>
    <w:rsid w:val="005D0CDA"/>
    <w:rsid w:val="005D0D91"/>
    <w:rsid w:val="005D0DEF"/>
    <w:rsid w:val="005D1264"/>
    <w:rsid w:val="005D1670"/>
    <w:rsid w:val="005D1ADE"/>
    <w:rsid w:val="005D3F2E"/>
    <w:rsid w:val="005D3F53"/>
    <w:rsid w:val="005D43CD"/>
    <w:rsid w:val="005D48AB"/>
    <w:rsid w:val="005D4DDB"/>
    <w:rsid w:val="005D5B5F"/>
    <w:rsid w:val="005D6EB4"/>
    <w:rsid w:val="005D7043"/>
    <w:rsid w:val="005D74B4"/>
    <w:rsid w:val="005D7E22"/>
    <w:rsid w:val="005E0F09"/>
    <w:rsid w:val="005E2605"/>
    <w:rsid w:val="005E3684"/>
    <w:rsid w:val="005E500D"/>
    <w:rsid w:val="005E55D2"/>
    <w:rsid w:val="005E683D"/>
    <w:rsid w:val="005E691D"/>
    <w:rsid w:val="005F22B5"/>
    <w:rsid w:val="005F308D"/>
    <w:rsid w:val="005F44CB"/>
    <w:rsid w:val="005F4633"/>
    <w:rsid w:val="005F4ABD"/>
    <w:rsid w:val="005F55F8"/>
    <w:rsid w:val="005F7002"/>
    <w:rsid w:val="005F71AC"/>
    <w:rsid w:val="005F74F8"/>
    <w:rsid w:val="006015A4"/>
    <w:rsid w:val="00601ABB"/>
    <w:rsid w:val="00601E92"/>
    <w:rsid w:val="006021FD"/>
    <w:rsid w:val="00602507"/>
    <w:rsid w:val="00603434"/>
    <w:rsid w:val="00603D29"/>
    <w:rsid w:val="006049AB"/>
    <w:rsid w:val="0060519B"/>
    <w:rsid w:val="006051A1"/>
    <w:rsid w:val="006051B0"/>
    <w:rsid w:val="00605EA8"/>
    <w:rsid w:val="00605FD1"/>
    <w:rsid w:val="00606B52"/>
    <w:rsid w:val="006071E2"/>
    <w:rsid w:val="00607E13"/>
    <w:rsid w:val="00613521"/>
    <w:rsid w:val="00613578"/>
    <w:rsid w:val="0061393C"/>
    <w:rsid w:val="0061485E"/>
    <w:rsid w:val="00615285"/>
    <w:rsid w:val="0061563D"/>
    <w:rsid w:val="00615CF7"/>
    <w:rsid w:val="0061652B"/>
    <w:rsid w:val="00616735"/>
    <w:rsid w:val="00616D43"/>
    <w:rsid w:val="00616EED"/>
    <w:rsid w:val="006200AF"/>
    <w:rsid w:val="00620BDC"/>
    <w:rsid w:val="00623110"/>
    <w:rsid w:val="00624531"/>
    <w:rsid w:val="006252C6"/>
    <w:rsid w:val="00626551"/>
    <w:rsid w:val="006302DB"/>
    <w:rsid w:val="00630956"/>
    <w:rsid w:val="00631748"/>
    <w:rsid w:val="00632C8F"/>
    <w:rsid w:val="00635028"/>
    <w:rsid w:val="006352AD"/>
    <w:rsid w:val="006355B9"/>
    <w:rsid w:val="00636B2A"/>
    <w:rsid w:val="006370E5"/>
    <w:rsid w:val="006429D2"/>
    <w:rsid w:val="00642F91"/>
    <w:rsid w:val="006430B8"/>
    <w:rsid w:val="00643401"/>
    <w:rsid w:val="006441A2"/>
    <w:rsid w:val="00644B90"/>
    <w:rsid w:val="006453A8"/>
    <w:rsid w:val="00645FED"/>
    <w:rsid w:val="00646183"/>
    <w:rsid w:val="006465F3"/>
    <w:rsid w:val="00647AB3"/>
    <w:rsid w:val="0065090D"/>
    <w:rsid w:val="00651D14"/>
    <w:rsid w:val="0065289E"/>
    <w:rsid w:val="006530AB"/>
    <w:rsid w:val="0065411B"/>
    <w:rsid w:val="0065480D"/>
    <w:rsid w:val="006549A4"/>
    <w:rsid w:val="006552FB"/>
    <w:rsid w:val="00655FB3"/>
    <w:rsid w:val="006561EE"/>
    <w:rsid w:val="00656B2B"/>
    <w:rsid w:val="00657C12"/>
    <w:rsid w:val="006606AD"/>
    <w:rsid w:val="00660813"/>
    <w:rsid w:val="006621EF"/>
    <w:rsid w:val="0066287A"/>
    <w:rsid w:val="006637D1"/>
    <w:rsid w:val="0066395C"/>
    <w:rsid w:val="00664FFA"/>
    <w:rsid w:val="00665310"/>
    <w:rsid w:val="00665398"/>
    <w:rsid w:val="00665524"/>
    <w:rsid w:val="00666619"/>
    <w:rsid w:val="006701D6"/>
    <w:rsid w:val="00670209"/>
    <w:rsid w:val="00670ED5"/>
    <w:rsid w:val="00672943"/>
    <w:rsid w:val="00672DBF"/>
    <w:rsid w:val="0067316F"/>
    <w:rsid w:val="00673668"/>
    <w:rsid w:val="00674115"/>
    <w:rsid w:val="0067497B"/>
    <w:rsid w:val="00674C14"/>
    <w:rsid w:val="00674E9E"/>
    <w:rsid w:val="00675E37"/>
    <w:rsid w:val="006765CF"/>
    <w:rsid w:val="00676D0E"/>
    <w:rsid w:val="00680262"/>
    <w:rsid w:val="00680A1D"/>
    <w:rsid w:val="00684FB6"/>
    <w:rsid w:val="006853C6"/>
    <w:rsid w:val="006857E3"/>
    <w:rsid w:val="006858E4"/>
    <w:rsid w:val="006908DD"/>
    <w:rsid w:val="006914DE"/>
    <w:rsid w:val="006915F9"/>
    <w:rsid w:val="006943D6"/>
    <w:rsid w:val="00694FE6"/>
    <w:rsid w:val="00695C2C"/>
    <w:rsid w:val="00695E13"/>
    <w:rsid w:val="006965F9"/>
    <w:rsid w:val="00697230"/>
    <w:rsid w:val="0069767C"/>
    <w:rsid w:val="006A06C6"/>
    <w:rsid w:val="006A157F"/>
    <w:rsid w:val="006A2A1A"/>
    <w:rsid w:val="006A2C66"/>
    <w:rsid w:val="006A477C"/>
    <w:rsid w:val="006A4B0A"/>
    <w:rsid w:val="006A4C77"/>
    <w:rsid w:val="006A526C"/>
    <w:rsid w:val="006A6EE7"/>
    <w:rsid w:val="006A7B2E"/>
    <w:rsid w:val="006B0029"/>
    <w:rsid w:val="006B02A4"/>
    <w:rsid w:val="006B062A"/>
    <w:rsid w:val="006B0BB2"/>
    <w:rsid w:val="006B0BD9"/>
    <w:rsid w:val="006B0D27"/>
    <w:rsid w:val="006B10E1"/>
    <w:rsid w:val="006B1E20"/>
    <w:rsid w:val="006B3083"/>
    <w:rsid w:val="006B30E4"/>
    <w:rsid w:val="006B433A"/>
    <w:rsid w:val="006B473D"/>
    <w:rsid w:val="006B5461"/>
    <w:rsid w:val="006B69E0"/>
    <w:rsid w:val="006B6C59"/>
    <w:rsid w:val="006B6C99"/>
    <w:rsid w:val="006B7AC1"/>
    <w:rsid w:val="006B7E55"/>
    <w:rsid w:val="006B7F3C"/>
    <w:rsid w:val="006C0436"/>
    <w:rsid w:val="006C07DC"/>
    <w:rsid w:val="006C219E"/>
    <w:rsid w:val="006C25B8"/>
    <w:rsid w:val="006C31B4"/>
    <w:rsid w:val="006C33DF"/>
    <w:rsid w:val="006C7167"/>
    <w:rsid w:val="006C7451"/>
    <w:rsid w:val="006D0FA4"/>
    <w:rsid w:val="006D1A06"/>
    <w:rsid w:val="006D2A59"/>
    <w:rsid w:val="006D2D62"/>
    <w:rsid w:val="006D4A43"/>
    <w:rsid w:val="006D5703"/>
    <w:rsid w:val="006D5D9C"/>
    <w:rsid w:val="006D65A4"/>
    <w:rsid w:val="006D66A9"/>
    <w:rsid w:val="006D66F0"/>
    <w:rsid w:val="006E06A4"/>
    <w:rsid w:val="006E1865"/>
    <w:rsid w:val="006E1F96"/>
    <w:rsid w:val="006E2A8E"/>
    <w:rsid w:val="006E2AC6"/>
    <w:rsid w:val="006E2C0F"/>
    <w:rsid w:val="006E545A"/>
    <w:rsid w:val="006E5BFB"/>
    <w:rsid w:val="006E5D08"/>
    <w:rsid w:val="006E61AF"/>
    <w:rsid w:val="006E6EA2"/>
    <w:rsid w:val="006F00C3"/>
    <w:rsid w:val="006F0127"/>
    <w:rsid w:val="006F015C"/>
    <w:rsid w:val="006F03DC"/>
    <w:rsid w:val="006F06F4"/>
    <w:rsid w:val="006F15A4"/>
    <w:rsid w:val="006F20CE"/>
    <w:rsid w:val="006F3AC7"/>
    <w:rsid w:val="006F3F94"/>
    <w:rsid w:val="006F4D0A"/>
    <w:rsid w:val="006F5B1E"/>
    <w:rsid w:val="006F6681"/>
    <w:rsid w:val="006F730C"/>
    <w:rsid w:val="006F743C"/>
    <w:rsid w:val="006F78A5"/>
    <w:rsid w:val="006F7EDA"/>
    <w:rsid w:val="00700BF4"/>
    <w:rsid w:val="00701EB5"/>
    <w:rsid w:val="007039F1"/>
    <w:rsid w:val="007048F1"/>
    <w:rsid w:val="007051A0"/>
    <w:rsid w:val="00705A1F"/>
    <w:rsid w:val="00705B82"/>
    <w:rsid w:val="00706AF1"/>
    <w:rsid w:val="00706C38"/>
    <w:rsid w:val="00707169"/>
    <w:rsid w:val="007105F3"/>
    <w:rsid w:val="00710D87"/>
    <w:rsid w:val="00710E2C"/>
    <w:rsid w:val="0071163F"/>
    <w:rsid w:val="007121A9"/>
    <w:rsid w:val="00712524"/>
    <w:rsid w:val="0071362F"/>
    <w:rsid w:val="00714617"/>
    <w:rsid w:val="007147E3"/>
    <w:rsid w:val="00716123"/>
    <w:rsid w:val="00716374"/>
    <w:rsid w:val="007172E5"/>
    <w:rsid w:val="007179BC"/>
    <w:rsid w:val="00720AA3"/>
    <w:rsid w:val="00720B72"/>
    <w:rsid w:val="00722596"/>
    <w:rsid w:val="00722720"/>
    <w:rsid w:val="00722DF4"/>
    <w:rsid w:val="007250BD"/>
    <w:rsid w:val="007252C0"/>
    <w:rsid w:val="00725DAF"/>
    <w:rsid w:val="00725E65"/>
    <w:rsid w:val="007269F9"/>
    <w:rsid w:val="00726BB2"/>
    <w:rsid w:val="00727083"/>
    <w:rsid w:val="00727822"/>
    <w:rsid w:val="007314BC"/>
    <w:rsid w:val="007346FB"/>
    <w:rsid w:val="00734AAC"/>
    <w:rsid w:val="007372CE"/>
    <w:rsid w:val="00737CE5"/>
    <w:rsid w:val="00740693"/>
    <w:rsid w:val="00740911"/>
    <w:rsid w:val="00741764"/>
    <w:rsid w:val="0074178B"/>
    <w:rsid w:val="00741A74"/>
    <w:rsid w:val="00741E3D"/>
    <w:rsid w:val="00742D8A"/>
    <w:rsid w:val="0074314A"/>
    <w:rsid w:val="0074339C"/>
    <w:rsid w:val="007438D3"/>
    <w:rsid w:val="0074432B"/>
    <w:rsid w:val="00744A95"/>
    <w:rsid w:val="00744D4D"/>
    <w:rsid w:val="00744E0C"/>
    <w:rsid w:val="0074560A"/>
    <w:rsid w:val="00745D41"/>
    <w:rsid w:val="00745F37"/>
    <w:rsid w:val="007476BA"/>
    <w:rsid w:val="007500A0"/>
    <w:rsid w:val="00750313"/>
    <w:rsid w:val="00750317"/>
    <w:rsid w:val="00751D3E"/>
    <w:rsid w:val="007524C7"/>
    <w:rsid w:val="00753219"/>
    <w:rsid w:val="0075424D"/>
    <w:rsid w:val="007546C2"/>
    <w:rsid w:val="00754D1B"/>
    <w:rsid w:val="00754FD0"/>
    <w:rsid w:val="007550FE"/>
    <w:rsid w:val="00756471"/>
    <w:rsid w:val="00756897"/>
    <w:rsid w:val="00756E36"/>
    <w:rsid w:val="00757A32"/>
    <w:rsid w:val="00761C68"/>
    <w:rsid w:val="00761F83"/>
    <w:rsid w:val="00762D9A"/>
    <w:rsid w:val="0076563F"/>
    <w:rsid w:val="00765FB4"/>
    <w:rsid w:val="0076673B"/>
    <w:rsid w:val="00766EC1"/>
    <w:rsid w:val="00766F89"/>
    <w:rsid w:val="00766F8F"/>
    <w:rsid w:val="0077018A"/>
    <w:rsid w:val="007706BA"/>
    <w:rsid w:val="00771B7A"/>
    <w:rsid w:val="0077234F"/>
    <w:rsid w:val="007744BE"/>
    <w:rsid w:val="007748E8"/>
    <w:rsid w:val="00774E36"/>
    <w:rsid w:val="00775C6D"/>
    <w:rsid w:val="00776899"/>
    <w:rsid w:val="00777CB5"/>
    <w:rsid w:val="00780DFB"/>
    <w:rsid w:val="00780EFF"/>
    <w:rsid w:val="0078132C"/>
    <w:rsid w:val="00781507"/>
    <w:rsid w:val="00781AB0"/>
    <w:rsid w:val="00781DDE"/>
    <w:rsid w:val="007824EC"/>
    <w:rsid w:val="00783726"/>
    <w:rsid w:val="007838F7"/>
    <w:rsid w:val="00784309"/>
    <w:rsid w:val="007852E1"/>
    <w:rsid w:val="00785695"/>
    <w:rsid w:val="00785A80"/>
    <w:rsid w:val="00786A37"/>
    <w:rsid w:val="00786FB3"/>
    <w:rsid w:val="00787973"/>
    <w:rsid w:val="00790E09"/>
    <w:rsid w:val="00791A90"/>
    <w:rsid w:val="00791BA3"/>
    <w:rsid w:val="00793031"/>
    <w:rsid w:val="00793CC0"/>
    <w:rsid w:val="00793DFA"/>
    <w:rsid w:val="0079432F"/>
    <w:rsid w:val="0079434E"/>
    <w:rsid w:val="0079538A"/>
    <w:rsid w:val="00795C3B"/>
    <w:rsid w:val="007A149A"/>
    <w:rsid w:val="007A170A"/>
    <w:rsid w:val="007A207F"/>
    <w:rsid w:val="007A2D47"/>
    <w:rsid w:val="007A2DB3"/>
    <w:rsid w:val="007A40CF"/>
    <w:rsid w:val="007A447C"/>
    <w:rsid w:val="007A44D4"/>
    <w:rsid w:val="007A471E"/>
    <w:rsid w:val="007A4F54"/>
    <w:rsid w:val="007A5830"/>
    <w:rsid w:val="007A622D"/>
    <w:rsid w:val="007A62F7"/>
    <w:rsid w:val="007A6496"/>
    <w:rsid w:val="007A77A1"/>
    <w:rsid w:val="007A7B54"/>
    <w:rsid w:val="007A7C14"/>
    <w:rsid w:val="007B0849"/>
    <w:rsid w:val="007B0B28"/>
    <w:rsid w:val="007B0B5D"/>
    <w:rsid w:val="007B0DBC"/>
    <w:rsid w:val="007B17CB"/>
    <w:rsid w:val="007B17D7"/>
    <w:rsid w:val="007B1F2E"/>
    <w:rsid w:val="007B2567"/>
    <w:rsid w:val="007B3827"/>
    <w:rsid w:val="007B3F6A"/>
    <w:rsid w:val="007B470A"/>
    <w:rsid w:val="007B51FF"/>
    <w:rsid w:val="007B5670"/>
    <w:rsid w:val="007B57B5"/>
    <w:rsid w:val="007B5D01"/>
    <w:rsid w:val="007B5DF3"/>
    <w:rsid w:val="007B7769"/>
    <w:rsid w:val="007C05A1"/>
    <w:rsid w:val="007C0F35"/>
    <w:rsid w:val="007C21E6"/>
    <w:rsid w:val="007C2E95"/>
    <w:rsid w:val="007C32CD"/>
    <w:rsid w:val="007C34BD"/>
    <w:rsid w:val="007C371F"/>
    <w:rsid w:val="007C4A85"/>
    <w:rsid w:val="007C4C95"/>
    <w:rsid w:val="007C4CE6"/>
    <w:rsid w:val="007C4D4D"/>
    <w:rsid w:val="007C5A6B"/>
    <w:rsid w:val="007C6A38"/>
    <w:rsid w:val="007C6BDB"/>
    <w:rsid w:val="007C7895"/>
    <w:rsid w:val="007C7A9F"/>
    <w:rsid w:val="007C7F61"/>
    <w:rsid w:val="007D010A"/>
    <w:rsid w:val="007D0CC4"/>
    <w:rsid w:val="007D15B0"/>
    <w:rsid w:val="007D1806"/>
    <w:rsid w:val="007D210E"/>
    <w:rsid w:val="007D26E6"/>
    <w:rsid w:val="007D311C"/>
    <w:rsid w:val="007D32DA"/>
    <w:rsid w:val="007D39CD"/>
    <w:rsid w:val="007D4F39"/>
    <w:rsid w:val="007D60E4"/>
    <w:rsid w:val="007D6791"/>
    <w:rsid w:val="007D7D4F"/>
    <w:rsid w:val="007E052B"/>
    <w:rsid w:val="007E0DEA"/>
    <w:rsid w:val="007E0FD1"/>
    <w:rsid w:val="007E1EA4"/>
    <w:rsid w:val="007E2A5B"/>
    <w:rsid w:val="007E4663"/>
    <w:rsid w:val="007E59E5"/>
    <w:rsid w:val="007E59F2"/>
    <w:rsid w:val="007E6235"/>
    <w:rsid w:val="007E6A37"/>
    <w:rsid w:val="007E7238"/>
    <w:rsid w:val="007F01E8"/>
    <w:rsid w:val="007F03CD"/>
    <w:rsid w:val="007F237B"/>
    <w:rsid w:val="007F25C5"/>
    <w:rsid w:val="007F37C7"/>
    <w:rsid w:val="007F4028"/>
    <w:rsid w:val="007F512C"/>
    <w:rsid w:val="007F58C1"/>
    <w:rsid w:val="007F689B"/>
    <w:rsid w:val="007F771E"/>
    <w:rsid w:val="007F7E8D"/>
    <w:rsid w:val="0080275D"/>
    <w:rsid w:val="008030CD"/>
    <w:rsid w:val="008039C5"/>
    <w:rsid w:val="00803AC7"/>
    <w:rsid w:val="00803E3A"/>
    <w:rsid w:val="00803EEE"/>
    <w:rsid w:val="00804AB2"/>
    <w:rsid w:val="0080521F"/>
    <w:rsid w:val="00805E3C"/>
    <w:rsid w:val="00806511"/>
    <w:rsid w:val="00806CF7"/>
    <w:rsid w:val="00807ACE"/>
    <w:rsid w:val="00807C07"/>
    <w:rsid w:val="00807F68"/>
    <w:rsid w:val="00811615"/>
    <w:rsid w:val="008120C0"/>
    <w:rsid w:val="008132EB"/>
    <w:rsid w:val="0081654F"/>
    <w:rsid w:val="00816920"/>
    <w:rsid w:val="00816BB5"/>
    <w:rsid w:val="00816D24"/>
    <w:rsid w:val="008172C9"/>
    <w:rsid w:val="008173A2"/>
    <w:rsid w:val="008174AC"/>
    <w:rsid w:val="00817DC1"/>
    <w:rsid w:val="008209F9"/>
    <w:rsid w:val="00820E27"/>
    <w:rsid w:val="00821332"/>
    <w:rsid w:val="00822017"/>
    <w:rsid w:val="0082207D"/>
    <w:rsid w:val="0082248D"/>
    <w:rsid w:val="00823E71"/>
    <w:rsid w:val="0082407B"/>
    <w:rsid w:val="00824256"/>
    <w:rsid w:val="0082476B"/>
    <w:rsid w:val="00824DCC"/>
    <w:rsid w:val="0082540A"/>
    <w:rsid w:val="00825476"/>
    <w:rsid w:val="00825F8D"/>
    <w:rsid w:val="00826EA4"/>
    <w:rsid w:val="00826EEC"/>
    <w:rsid w:val="00830007"/>
    <w:rsid w:val="00831219"/>
    <w:rsid w:val="00831740"/>
    <w:rsid w:val="008320D5"/>
    <w:rsid w:val="00835020"/>
    <w:rsid w:val="00836FA0"/>
    <w:rsid w:val="0083723E"/>
    <w:rsid w:val="00837664"/>
    <w:rsid w:val="008418CB"/>
    <w:rsid w:val="00842240"/>
    <w:rsid w:val="00842932"/>
    <w:rsid w:val="00842E28"/>
    <w:rsid w:val="00843CC8"/>
    <w:rsid w:val="00846479"/>
    <w:rsid w:val="00846A73"/>
    <w:rsid w:val="0085026A"/>
    <w:rsid w:val="00850617"/>
    <w:rsid w:val="008531E5"/>
    <w:rsid w:val="00854AF2"/>
    <w:rsid w:val="008553E1"/>
    <w:rsid w:val="00855A5E"/>
    <w:rsid w:val="00856606"/>
    <w:rsid w:val="0085680B"/>
    <w:rsid w:val="0086031C"/>
    <w:rsid w:val="00860612"/>
    <w:rsid w:val="00860DAB"/>
    <w:rsid w:val="008621DA"/>
    <w:rsid w:val="00863542"/>
    <w:rsid w:val="008641EE"/>
    <w:rsid w:val="00865BB0"/>
    <w:rsid w:val="00866A31"/>
    <w:rsid w:val="00867AF4"/>
    <w:rsid w:val="00870B9F"/>
    <w:rsid w:val="00872325"/>
    <w:rsid w:val="008729D9"/>
    <w:rsid w:val="00872DFE"/>
    <w:rsid w:val="00873251"/>
    <w:rsid w:val="008732F7"/>
    <w:rsid w:val="008736E2"/>
    <w:rsid w:val="00874041"/>
    <w:rsid w:val="008745B9"/>
    <w:rsid w:val="00874718"/>
    <w:rsid w:val="00874BEA"/>
    <w:rsid w:val="00875F58"/>
    <w:rsid w:val="00880518"/>
    <w:rsid w:val="008805E5"/>
    <w:rsid w:val="00881C78"/>
    <w:rsid w:val="0088386F"/>
    <w:rsid w:val="00883D23"/>
    <w:rsid w:val="008854B9"/>
    <w:rsid w:val="008854FA"/>
    <w:rsid w:val="00885842"/>
    <w:rsid w:val="00887AB2"/>
    <w:rsid w:val="00887F04"/>
    <w:rsid w:val="00890476"/>
    <w:rsid w:val="00891A05"/>
    <w:rsid w:val="0089316A"/>
    <w:rsid w:val="00894327"/>
    <w:rsid w:val="00894952"/>
    <w:rsid w:val="00895F1B"/>
    <w:rsid w:val="00896AA3"/>
    <w:rsid w:val="00897A65"/>
    <w:rsid w:val="00897F1D"/>
    <w:rsid w:val="008A0537"/>
    <w:rsid w:val="008A0699"/>
    <w:rsid w:val="008A0906"/>
    <w:rsid w:val="008A15D1"/>
    <w:rsid w:val="008A1686"/>
    <w:rsid w:val="008A230C"/>
    <w:rsid w:val="008A2311"/>
    <w:rsid w:val="008A443B"/>
    <w:rsid w:val="008A4B0B"/>
    <w:rsid w:val="008A50FC"/>
    <w:rsid w:val="008A54A5"/>
    <w:rsid w:val="008A6F71"/>
    <w:rsid w:val="008A7F5A"/>
    <w:rsid w:val="008B12F4"/>
    <w:rsid w:val="008B2432"/>
    <w:rsid w:val="008B2B25"/>
    <w:rsid w:val="008B366B"/>
    <w:rsid w:val="008B3AC5"/>
    <w:rsid w:val="008B418C"/>
    <w:rsid w:val="008B4389"/>
    <w:rsid w:val="008B44A8"/>
    <w:rsid w:val="008B45FE"/>
    <w:rsid w:val="008B53BF"/>
    <w:rsid w:val="008B6778"/>
    <w:rsid w:val="008B756E"/>
    <w:rsid w:val="008B7EF2"/>
    <w:rsid w:val="008C02B6"/>
    <w:rsid w:val="008C06F0"/>
    <w:rsid w:val="008C09EF"/>
    <w:rsid w:val="008C30AE"/>
    <w:rsid w:val="008C36DB"/>
    <w:rsid w:val="008C5450"/>
    <w:rsid w:val="008C5CE2"/>
    <w:rsid w:val="008C663C"/>
    <w:rsid w:val="008C66AD"/>
    <w:rsid w:val="008C6FD2"/>
    <w:rsid w:val="008C7300"/>
    <w:rsid w:val="008C7C27"/>
    <w:rsid w:val="008D0A0F"/>
    <w:rsid w:val="008D14BF"/>
    <w:rsid w:val="008D1BD1"/>
    <w:rsid w:val="008D2DC8"/>
    <w:rsid w:val="008D3433"/>
    <w:rsid w:val="008D34AE"/>
    <w:rsid w:val="008D34B0"/>
    <w:rsid w:val="008D5E4A"/>
    <w:rsid w:val="008D61BA"/>
    <w:rsid w:val="008D7B89"/>
    <w:rsid w:val="008E0124"/>
    <w:rsid w:val="008E03D5"/>
    <w:rsid w:val="008E0A09"/>
    <w:rsid w:val="008E1CCE"/>
    <w:rsid w:val="008E33E5"/>
    <w:rsid w:val="008E5120"/>
    <w:rsid w:val="008E5D7D"/>
    <w:rsid w:val="008E6DAF"/>
    <w:rsid w:val="008E76E4"/>
    <w:rsid w:val="008E7DBA"/>
    <w:rsid w:val="008F0E97"/>
    <w:rsid w:val="008F1419"/>
    <w:rsid w:val="008F1BC3"/>
    <w:rsid w:val="008F228B"/>
    <w:rsid w:val="008F2EF5"/>
    <w:rsid w:val="008F4507"/>
    <w:rsid w:val="008F47D6"/>
    <w:rsid w:val="008F54CF"/>
    <w:rsid w:val="008F596F"/>
    <w:rsid w:val="008F61A3"/>
    <w:rsid w:val="008F748D"/>
    <w:rsid w:val="00902CC9"/>
    <w:rsid w:val="009032FA"/>
    <w:rsid w:val="00903504"/>
    <w:rsid w:val="00905AFD"/>
    <w:rsid w:val="00905B32"/>
    <w:rsid w:val="00905C1A"/>
    <w:rsid w:val="009078D7"/>
    <w:rsid w:val="00910955"/>
    <w:rsid w:val="00912C19"/>
    <w:rsid w:val="009134CC"/>
    <w:rsid w:val="00914A60"/>
    <w:rsid w:val="0091529F"/>
    <w:rsid w:val="0091642F"/>
    <w:rsid w:val="0091720E"/>
    <w:rsid w:val="009175D6"/>
    <w:rsid w:val="00921ADC"/>
    <w:rsid w:val="0092214F"/>
    <w:rsid w:val="0092244D"/>
    <w:rsid w:val="00922925"/>
    <w:rsid w:val="00924201"/>
    <w:rsid w:val="00924794"/>
    <w:rsid w:val="00926594"/>
    <w:rsid w:val="00926B8B"/>
    <w:rsid w:val="00927037"/>
    <w:rsid w:val="009271B9"/>
    <w:rsid w:val="009278BA"/>
    <w:rsid w:val="00927B15"/>
    <w:rsid w:val="00930970"/>
    <w:rsid w:val="00931913"/>
    <w:rsid w:val="00931E1C"/>
    <w:rsid w:val="00932F0B"/>
    <w:rsid w:val="009330B8"/>
    <w:rsid w:val="00933E1C"/>
    <w:rsid w:val="00934670"/>
    <w:rsid w:val="00935365"/>
    <w:rsid w:val="009366A8"/>
    <w:rsid w:val="009378C7"/>
    <w:rsid w:val="0094125F"/>
    <w:rsid w:val="009413FE"/>
    <w:rsid w:val="009415D2"/>
    <w:rsid w:val="009415F0"/>
    <w:rsid w:val="00942F29"/>
    <w:rsid w:val="0094544F"/>
    <w:rsid w:val="009456D4"/>
    <w:rsid w:val="00946493"/>
    <w:rsid w:val="00946A28"/>
    <w:rsid w:val="00950F8A"/>
    <w:rsid w:val="00951073"/>
    <w:rsid w:val="00951531"/>
    <w:rsid w:val="0095203C"/>
    <w:rsid w:val="009521B0"/>
    <w:rsid w:val="00952E24"/>
    <w:rsid w:val="00953148"/>
    <w:rsid w:val="00954E04"/>
    <w:rsid w:val="00954F08"/>
    <w:rsid w:val="00955D2E"/>
    <w:rsid w:val="009560C7"/>
    <w:rsid w:val="00956366"/>
    <w:rsid w:val="00956D25"/>
    <w:rsid w:val="0095773F"/>
    <w:rsid w:val="0096105A"/>
    <w:rsid w:val="00961732"/>
    <w:rsid w:val="009619D8"/>
    <w:rsid w:val="00962484"/>
    <w:rsid w:val="00963C77"/>
    <w:rsid w:val="0096428D"/>
    <w:rsid w:val="00964DB8"/>
    <w:rsid w:val="00966807"/>
    <w:rsid w:val="00966E4B"/>
    <w:rsid w:val="00970DC0"/>
    <w:rsid w:val="00970F69"/>
    <w:rsid w:val="009711A0"/>
    <w:rsid w:val="00971676"/>
    <w:rsid w:val="00971A9E"/>
    <w:rsid w:val="00971F94"/>
    <w:rsid w:val="00972255"/>
    <w:rsid w:val="009724EF"/>
    <w:rsid w:val="00972913"/>
    <w:rsid w:val="0097308A"/>
    <w:rsid w:val="00973357"/>
    <w:rsid w:val="00974675"/>
    <w:rsid w:val="00974BAF"/>
    <w:rsid w:val="00974BFF"/>
    <w:rsid w:val="009752D5"/>
    <w:rsid w:val="0097552D"/>
    <w:rsid w:val="0097572E"/>
    <w:rsid w:val="0097641F"/>
    <w:rsid w:val="0097773F"/>
    <w:rsid w:val="00981050"/>
    <w:rsid w:val="0098229E"/>
    <w:rsid w:val="00983493"/>
    <w:rsid w:val="00984951"/>
    <w:rsid w:val="00984FE8"/>
    <w:rsid w:val="00986399"/>
    <w:rsid w:val="00986BC2"/>
    <w:rsid w:val="0098707E"/>
    <w:rsid w:val="00990031"/>
    <w:rsid w:val="00990807"/>
    <w:rsid w:val="00990A03"/>
    <w:rsid w:val="00991648"/>
    <w:rsid w:val="00991946"/>
    <w:rsid w:val="00991976"/>
    <w:rsid w:val="00991A5C"/>
    <w:rsid w:val="00991FD4"/>
    <w:rsid w:val="009928BC"/>
    <w:rsid w:val="0099293F"/>
    <w:rsid w:val="009933F0"/>
    <w:rsid w:val="00994467"/>
    <w:rsid w:val="009954E0"/>
    <w:rsid w:val="009956C3"/>
    <w:rsid w:val="00995E4D"/>
    <w:rsid w:val="00996157"/>
    <w:rsid w:val="0099787E"/>
    <w:rsid w:val="009A0FD7"/>
    <w:rsid w:val="009A165D"/>
    <w:rsid w:val="009A1799"/>
    <w:rsid w:val="009A1906"/>
    <w:rsid w:val="009A268F"/>
    <w:rsid w:val="009A26AC"/>
    <w:rsid w:val="009A271D"/>
    <w:rsid w:val="009A281B"/>
    <w:rsid w:val="009A2A0B"/>
    <w:rsid w:val="009A2E20"/>
    <w:rsid w:val="009A3448"/>
    <w:rsid w:val="009A54FF"/>
    <w:rsid w:val="009A5A86"/>
    <w:rsid w:val="009A61CA"/>
    <w:rsid w:val="009A69BE"/>
    <w:rsid w:val="009A6C0B"/>
    <w:rsid w:val="009A6FD3"/>
    <w:rsid w:val="009A71CF"/>
    <w:rsid w:val="009A7BA0"/>
    <w:rsid w:val="009A7D39"/>
    <w:rsid w:val="009B127F"/>
    <w:rsid w:val="009B159E"/>
    <w:rsid w:val="009B2082"/>
    <w:rsid w:val="009B2F5F"/>
    <w:rsid w:val="009B5DEF"/>
    <w:rsid w:val="009B76BB"/>
    <w:rsid w:val="009C037C"/>
    <w:rsid w:val="009C0B3D"/>
    <w:rsid w:val="009C23E6"/>
    <w:rsid w:val="009C2C2F"/>
    <w:rsid w:val="009C3C78"/>
    <w:rsid w:val="009C3C93"/>
    <w:rsid w:val="009C407B"/>
    <w:rsid w:val="009C53E3"/>
    <w:rsid w:val="009C5C2E"/>
    <w:rsid w:val="009C6D40"/>
    <w:rsid w:val="009C722A"/>
    <w:rsid w:val="009D0247"/>
    <w:rsid w:val="009D062A"/>
    <w:rsid w:val="009D08B3"/>
    <w:rsid w:val="009D092A"/>
    <w:rsid w:val="009D119D"/>
    <w:rsid w:val="009D39C1"/>
    <w:rsid w:val="009D6483"/>
    <w:rsid w:val="009D75C8"/>
    <w:rsid w:val="009D7880"/>
    <w:rsid w:val="009D7B02"/>
    <w:rsid w:val="009E18B1"/>
    <w:rsid w:val="009E3C20"/>
    <w:rsid w:val="009E4079"/>
    <w:rsid w:val="009E496D"/>
    <w:rsid w:val="009E4D0C"/>
    <w:rsid w:val="009E5449"/>
    <w:rsid w:val="009E581A"/>
    <w:rsid w:val="009E6018"/>
    <w:rsid w:val="009E6E17"/>
    <w:rsid w:val="009E7CBC"/>
    <w:rsid w:val="009F0F5A"/>
    <w:rsid w:val="009F1C5E"/>
    <w:rsid w:val="009F2566"/>
    <w:rsid w:val="009F2C24"/>
    <w:rsid w:val="009F3003"/>
    <w:rsid w:val="009F53EE"/>
    <w:rsid w:val="009F5854"/>
    <w:rsid w:val="009F5E69"/>
    <w:rsid w:val="009F62DB"/>
    <w:rsid w:val="009F723E"/>
    <w:rsid w:val="00A00D1B"/>
    <w:rsid w:val="00A00F08"/>
    <w:rsid w:val="00A01642"/>
    <w:rsid w:val="00A0203E"/>
    <w:rsid w:val="00A020A6"/>
    <w:rsid w:val="00A02301"/>
    <w:rsid w:val="00A02A5C"/>
    <w:rsid w:val="00A02EC5"/>
    <w:rsid w:val="00A0330E"/>
    <w:rsid w:val="00A03E47"/>
    <w:rsid w:val="00A041EE"/>
    <w:rsid w:val="00A075E4"/>
    <w:rsid w:val="00A07C90"/>
    <w:rsid w:val="00A11BD2"/>
    <w:rsid w:val="00A12100"/>
    <w:rsid w:val="00A12336"/>
    <w:rsid w:val="00A12B2C"/>
    <w:rsid w:val="00A131BB"/>
    <w:rsid w:val="00A135E1"/>
    <w:rsid w:val="00A169CA"/>
    <w:rsid w:val="00A170BE"/>
    <w:rsid w:val="00A1732F"/>
    <w:rsid w:val="00A17377"/>
    <w:rsid w:val="00A178E8"/>
    <w:rsid w:val="00A17AA0"/>
    <w:rsid w:val="00A17CAF"/>
    <w:rsid w:val="00A213A5"/>
    <w:rsid w:val="00A21816"/>
    <w:rsid w:val="00A2287D"/>
    <w:rsid w:val="00A22EF9"/>
    <w:rsid w:val="00A23176"/>
    <w:rsid w:val="00A23512"/>
    <w:rsid w:val="00A23959"/>
    <w:rsid w:val="00A2453B"/>
    <w:rsid w:val="00A254A8"/>
    <w:rsid w:val="00A25CA9"/>
    <w:rsid w:val="00A270AB"/>
    <w:rsid w:val="00A2729B"/>
    <w:rsid w:val="00A27A5C"/>
    <w:rsid w:val="00A3078E"/>
    <w:rsid w:val="00A317C7"/>
    <w:rsid w:val="00A31B9A"/>
    <w:rsid w:val="00A33DE5"/>
    <w:rsid w:val="00A3573C"/>
    <w:rsid w:val="00A35EFA"/>
    <w:rsid w:val="00A3730D"/>
    <w:rsid w:val="00A37BDA"/>
    <w:rsid w:val="00A403AD"/>
    <w:rsid w:val="00A427EF"/>
    <w:rsid w:val="00A42DF5"/>
    <w:rsid w:val="00A434E2"/>
    <w:rsid w:val="00A43B9A"/>
    <w:rsid w:val="00A443A3"/>
    <w:rsid w:val="00A44C0A"/>
    <w:rsid w:val="00A451AF"/>
    <w:rsid w:val="00A45466"/>
    <w:rsid w:val="00A4555A"/>
    <w:rsid w:val="00A45AE6"/>
    <w:rsid w:val="00A46070"/>
    <w:rsid w:val="00A46280"/>
    <w:rsid w:val="00A50375"/>
    <w:rsid w:val="00A5075B"/>
    <w:rsid w:val="00A5097F"/>
    <w:rsid w:val="00A50EFE"/>
    <w:rsid w:val="00A51BC0"/>
    <w:rsid w:val="00A52506"/>
    <w:rsid w:val="00A53FFE"/>
    <w:rsid w:val="00A544A7"/>
    <w:rsid w:val="00A54637"/>
    <w:rsid w:val="00A54835"/>
    <w:rsid w:val="00A55F58"/>
    <w:rsid w:val="00A560DD"/>
    <w:rsid w:val="00A5640F"/>
    <w:rsid w:val="00A566FB"/>
    <w:rsid w:val="00A5695D"/>
    <w:rsid w:val="00A57CFF"/>
    <w:rsid w:val="00A60F6B"/>
    <w:rsid w:val="00A610D2"/>
    <w:rsid w:val="00A618B3"/>
    <w:rsid w:val="00A61E18"/>
    <w:rsid w:val="00A62DB0"/>
    <w:rsid w:val="00A63589"/>
    <w:rsid w:val="00A64B2B"/>
    <w:rsid w:val="00A64E64"/>
    <w:rsid w:val="00A65142"/>
    <w:rsid w:val="00A66E10"/>
    <w:rsid w:val="00A67623"/>
    <w:rsid w:val="00A67D98"/>
    <w:rsid w:val="00A713A4"/>
    <w:rsid w:val="00A7241D"/>
    <w:rsid w:val="00A72A5B"/>
    <w:rsid w:val="00A72C05"/>
    <w:rsid w:val="00A7321D"/>
    <w:rsid w:val="00A74EF8"/>
    <w:rsid w:val="00A7579E"/>
    <w:rsid w:val="00A75905"/>
    <w:rsid w:val="00A75E59"/>
    <w:rsid w:val="00A76FA4"/>
    <w:rsid w:val="00A80B3A"/>
    <w:rsid w:val="00A81B02"/>
    <w:rsid w:val="00A82816"/>
    <w:rsid w:val="00A848E4"/>
    <w:rsid w:val="00A8560B"/>
    <w:rsid w:val="00A87562"/>
    <w:rsid w:val="00A87F21"/>
    <w:rsid w:val="00A91C3B"/>
    <w:rsid w:val="00A9238F"/>
    <w:rsid w:val="00A937BE"/>
    <w:rsid w:val="00A9438D"/>
    <w:rsid w:val="00A944E0"/>
    <w:rsid w:val="00A94F45"/>
    <w:rsid w:val="00A95104"/>
    <w:rsid w:val="00A96537"/>
    <w:rsid w:val="00A97256"/>
    <w:rsid w:val="00A973A3"/>
    <w:rsid w:val="00A97D53"/>
    <w:rsid w:val="00AA62D0"/>
    <w:rsid w:val="00AA6846"/>
    <w:rsid w:val="00AA6A8E"/>
    <w:rsid w:val="00AA7F06"/>
    <w:rsid w:val="00AB30EB"/>
    <w:rsid w:val="00AB3B89"/>
    <w:rsid w:val="00AB4374"/>
    <w:rsid w:val="00AB4EE0"/>
    <w:rsid w:val="00AB63AB"/>
    <w:rsid w:val="00AC1E73"/>
    <w:rsid w:val="00AC4CF3"/>
    <w:rsid w:val="00AC50D4"/>
    <w:rsid w:val="00AC5721"/>
    <w:rsid w:val="00AC5759"/>
    <w:rsid w:val="00AC76CC"/>
    <w:rsid w:val="00AD00B0"/>
    <w:rsid w:val="00AD3C21"/>
    <w:rsid w:val="00AD4C4D"/>
    <w:rsid w:val="00AD6685"/>
    <w:rsid w:val="00AD6C01"/>
    <w:rsid w:val="00AD7146"/>
    <w:rsid w:val="00AD79BA"/>
    <w:rsid w:val="00AE03FF"/>
    <w:rsid w:val="00AE0EE5"/>
    <w:rsid w:val="00AE0F77"/>
    <w:rsid w:val="00AE102D"/>
    <w:rsid w:val="00AE3CDC"/>
    <w:rsid w:val="00AE4370"/>
    <w:rsid w:val="00AE4BF2"/>
    <w:rsid w:val="00AE5572"/>
    <w:rsid w:val="00AE5739"/>
    <w:rsid w:val="00AE66DA"/>
    <w:rsid w:val="00AE6EAD"/>
    <w:rsid w:val="00AE751D"/>
    <w:rsid w:val="00AE7F89"/>
    <w:rsid w:val="00AF0FCA"/>
    <w:rsid w:val="00AF1715"/>
    <w:rsid w:val="00AF18E2"/>
    <w:rsid w:val="00AF34C6"/>
    <w:rsid w:val="00AF39CF"/>
    <w:rsid w:val="00AF435A"/>
    <w:rsid w:val="00AF5F97"/>
    <w:rsid w:val="00AF64B1"/>
    <w:rsid w:val="00AF65D2"/>
    <w:rsid w:val="00AF751B"/>
    <w:rsid w:val="00AF7EA2"/>
    <w:rsid w:val="00B00490"/>
    <w:rsid w:val="00B00B6F"/>
    <w:rsid w:val="00B01115"/>
    <w:rsid w:val="00B0124D"/>
    <w:rsid w:val="00B01CC3"/>
    <w:rsid w:val="00B01CCE"/>
    <w:rsid w:val="00B03511"/>
    <w:rsid w:val="00B03615"/>
    <w:rsid w:val="00B052FF"/>
    <w:rsid w:val="00B05EA2"/>
    <w:rsid w:val="00B061D7"/>
    <w:rsid w:val="00B07CC1"/>
    <w:rsid w:val="00B1035A"/>
    <w:rsid w:val="00B10E84"/>
    <w:rsid w:val="00B112C9"/>
    <w:rsid w:val="00B11440"/>
    <w:rsid w:val="00B12D55"/>
    <w:rsid w:val="00B13FFD"/>
    <w:rsid w:val="00B163AE"/>
    <w:rsid w:val="00B16491"/>
    <w:rsid w:val="00B1689B"/>
    <w:rsid w:val="00B16C99"/>
    <w:rsid w:val="00B16F71"/>
    <w:rsid w:val="00B20DE2"/>
    <w:rsid w:val="00B212E2"/>
    <w:rsid w:val="00B2136B"/>
    <w:rsid w:val="00B23316"/>
    <w:rsid w:val="00B23405"/>
    <w:rsid w:val="00B25DCA"/>
    <w:rsid w:val="00B2648D"/>
    <w:rsid w:val="00B3039D"/>
    <w:rsid w:val="00B30EA4"/>
    <w:rsid w:val="00B3116C"/>
    <w:rsid w:val="00B312B8"/>
    <w:rsid w:val="00B312D1"/>
    <w:rsid w:val="00B31961"/>
    <w:rsid w:val="00B31AE9"/>
    <w:rsid w:val="00B32BD4"/>
    <w:rsid w:val="00B34670"/>
    <w:rsid w:val="00B3591A"/>
    <w:rsid w:val="00B3597E"/>
    <w:rsid w:val="00B36136"/>
    <w:rsid w:val="00B36498"/>
    <w:rsid w:val="00B3753C"/>
    <w:rsid w:val="00B4019D"/>
    <w:rsid w:val="00B40C42"/>
    <w:rsid w:val="00B42B3C"/>
    <w:rsid w:val="00B4378B"/>
    <w:rsid w:val="00B43E5F"/>
    <w:rsid w:val="00B448AC"/>
    <w:rsid w:val="00B44AEE"/>
    <w:rsid w:val="00B45446"/>
    <w:rsid w:val="00B469B0"/>
    <w:rsid w:val="00B50D22"/>
    <w:rsid w:val="00B51053"/>
    <w:rsid w:val="00B51714"/>
    <w:rsid w:val="00B533A9"/>
    <w:rsid w:val="00B54A17"/>
    <w:rsid w:val="00B556B2"/>
    <w:rsid w:val="00B56664"/>
    <w:rsid w:val="00B56704"/>
    <w:rsid w:val="00B568F5"/>
    <w:rsid w:val="00B57C9A"/>
    <w:rsid w:val="00B6055E"/>
    <w:rsid w:val="00B60FC4"/>
    <w:rsid w:val="00B6167A"/>
    <w:rsid w:val="00B61853"/>
    <w:rsid w:val="00B61965"/>
    <w:rsid w:val="00B61AA4"/>
    <w:rsid w:val="00B62A59"/>
    <w:rsid w:val="00B62FA5"/>
    <w:rsid w:val="00B6338F"/>
    <w:rsid w:val="00B63A95"/>
    <w:rsid w:val="00B63C9A"/>
    <w:rsid w:val="00B665FB"/>
    <w:rsid w:val="00B668FE"/>
    <w:rsid w:val="00B67045"/>
    <w:rsid w:val="00B6735F"/>
    <w:rsid w:val="00B67394"/>
    <w:rsid w:val="00B700AB"/>
    <w:rsid w:val="00B701EF"/>
    <w:rsid w:val="00B707B8"/>
    <w:rsid w:val="00B70C4B"/>
    <w:rsid w:val="00B70D1C"/>
    <w:rsid w:val="00B71611"/>
    <w:rsid w:val="00B71E93"/>
    <w:rsid w:val="00B72DAB"/>
    <w:rsid w:val="00B73A00"/>
    <w:rsid w:val="00B73A52"/>
    <w:rsid w:val="00B73C18"/>
    <w:rsid w:val="00B74017"/>
    <w:rsid w:val="00B748A0"/>
    <w:rsid w:val="00B760D9"/>
    <w:rsid w:val="00B76168"/>
    <w:rsid w:val="00B765BA"/>
    <w:rsid w:val="00B770D5"/>
    <w:rsid w:val="00B77E7B"/>
    <w:rsid w:val="00B811EF"/>
    <w:rsid w:val="00B81C2F"/>
    <w:rsid w:val="00B82032"/>
    <w:rsid w:val="00B835FC"/>
    <w:rsid w:val="00B83F4C"/>
    <w:rsid w:val="00B84BF3"/>
    <w:rsid w:val="00B850AD"/>
    <w:rsid w:val="00B85175"/>
    <w:rsid w:val="00B86599"/>
    <w:rsid w:val="00B86D5E"/>
    <w:rsid w:val="00B87086"/>
    <w:rsid w:val="00B8729D"/>
    <w:rsid w:val="00B87A3B"/>
    <w:rsid w:val="00B90163"/>
    <w:rsid w:val="00B90A68"/>
    <w:rsid w:val="00B90F63"/>
    <w:rsid w:val="00B92278"/>
    <w:rsid w:val="00B9505A"/>
    <w:rsid w:val="00B95AAA"/>
    <w:rsid w:val="00B96E62"/>
    <w:rsid w:val="00B971A8"/>
    <w:rsid w:val="00BA0639"/>
    <w:rsid w:val="00BA0FC3"/>
    <w:rsid w:val="00BA1072"/>
    <w:rsid w:val="00BA1864"/>
    <w:rsid w:val="00BA18EA"/>
    <w:rsid w:val="00BA1EF2"/>
    <w:rsid w:val="00BA23AD"/>
    <w:rsid w:val="00BA24C3"/>
    <w:rsid w:val="00BA2B60"/>
    <w:rsid w:val="00BA2D38"/>
    <w:rsid w:val="00BA32AF"/>
    <w:rsid w:val="00BA47B4"/>
    <w:rsid w:val="00BA4995"/>
    <w:rsid w:val="00BA5819"/>
    <w:rsid w:val="00BA6454"/>
    <w:rsid w:val="00BA6C2C"/>
    <w:rsid w:val="00BA6D64"/>
    <w:rsid w:val="00BB2909"/>
    <w:rsid w:val="00BB37EC"/>
    <w:rsid w:val="00BB3F48"/>
    <w:rsid w:val="00BB433D"/>
    <w:rsid w:val="00BB64CD"/>
    <w:rsid w:val="00BB6E41"/>
    <w:rsid w:val="00BB7DE1"/>
    <w:rsid w:val="00BC07D4"/>
    <w:rsid w:val="00BC09FF"/>
    <w:rsid w:val="00BC1DEB"/>
    <w:rsid w:val="00BC2C6C"/>
    <w:rsid w:val="00BC3BB6"/>
    <w:rsid w:val="00BC3F82"/>
    <w:rsid w:val="00BC4D74"/>
    <w:rsid w:val="00BC526B"/>
    <w:rsid w:val="00BC533B"/>
    <w:rsid w:val="00BC5691"/>
    <w:rsid w:val="00BC5951"/>
    <w:rsid w:val="00BC5E30"/>
    <w:rsid w:val="00BC6B27"/>
    <w:rsid w:val="00BC6DD7"/>
    <w:rsid w:val="00BD0360"/>
    <w:rsid w:val="00BD05CB"/>
    <w:rsid w:val="00BD0A46"/>
    <w:rsid w:val="00BD114C"/>
    <w:rsid w:val="00BD1CE3"/>
    <w:rsid w:val="00BD210E"/>
    <w:rsid w:val="00BD311E"/>
    <w:rsid w:val="00BD3344"/>
    <w:rsid w:val="00BD33F5"/>
    <w:rsid w:val="00BD3DDC"/>
    <w:rsid w:val="00BD43CA"/>
    <w:rsid w:val="00BD46B1"/>
    <w:rsid w:val="00BD5846"/>
    <w:rsid w:val="00BD630F"/>
    <w:rsid w:val="00BD6705"/>
    <w:rsid w:val="00BD7C36"/>
    <w:rsid w:val="00BD7C41"/>
    <w:rsid w:val="00BE01FF"/>
    <w:rsid w:val="00BE2A6E"/>
    <w:rsid w:val="00BE2C1F"/>
    <w:rsid w:val="00BE2E10"/>
    <w:rsid w:val="00BE3048"/>
    <w:rsid w:val="00BE37BD"/>
    <w:rsid w:val="00BE4634"/>
    <w:rsid w:val="00BE5C30"/>
    <w:rsid w:val="00BF0EDB"/>
    <w:rsid w:val="00BF29B4"/>
    <w:rsid w:val="00BF2E0E"/>
    <w:rsid w:val="00BF3460"/>
    <w:rsid w:val="00BF425C"/>
    <w:rsid w:val="00BF61A8"/>
    <w:rsid w:val="00BF6B93"/>
    <w:rsid w:val="00C00419"/>
    <w:rsid w:val="00C00841"/>
    <w:rsid w:val="00C02436"/>
    <w:rsid w:val="00C02DDA"/>
    <w:rsid w:val="00C035CA"/>
    <w:rsid w:val="00C04548"/>
    <w:rsid w:val="00C048F2"/>
    <w:rsid w:val="00C0507C"/>
    <w:rsid w:val="00C05D70"/>
    <w:rsid w:val="00C066A7"/>
    <w:rsid w:val="00C07A8C"/>
    <w:rsid w:val="00C10187"/>
    <w:rsid w:val="00C11642"/>
    <w:rsid w:val="00C11721"/>
    <w:rsid w:val="00C119EC"/>
    <w:rsid w:val="00C120FC"/>
    <w:rsid w:val="00C129E5"/>
    <w:rsid w:val="00C13663"/>
    <w:rsid w:val="00C14464"/>
    <w:rsid w:val="00C147E2"/>
    <w:rsid w:val="00C1570A"/>
    <w:rsid w:val="00C15D24"/>
    <w:rsid w:val="00C164DD"/>
    <w:rsid w:val="00C16910"/>
    <w:rsid w:val="00C173F4"/>
    <w:rsid w:val="00C1783B"/>
    <w:rsid w:val="00C20186"/>
    <w:rsid w:val="00C20EFA"/>
    <w:rsid w:val="00C21769"/>
    <w:rsid w:val="00C2273F"/>
    <w:rsid w:val="00C2443F"/>
    <w:rsid w:val="00C253B3"/>
    <w:rsid w:val="00C25514"/>
    <w:rsid w:val="00C264A3"/>
    <w:rsid w:val="00C26E08"/>
    <w:rsid w:val="00C26E66"/>
    <w:rsid w:val="00C300F6"/>
    <w:rsid w:val="00C30212"/>
    <w:rsid w:val="00C30856"/>
    <w:rsid w:val="00C30BF3"/>
    <w:rsid w:val="00C31589"/>
    <w:rsid w:val="00C315AB"/>
    <w:rsid w:val="00C326FA"/>
    <w:rsid w:val="00C32A95"/>
    <w:rsid w:val="00C334B5"/>
    <w:rsid w:val="00C337FE"/>
    <w:rsid w:val="00C339BB"/>
    <w:rsid w:val="00C33C5B"/>
    <w:rsid w:val="00C344B6"/>
    <w:rsid w:val="00C34AD1"/>
    <w:rsid w:val="00C34BBD"/>
    <w:rsid w:val="00C35DD4"/>
    <w:rsid w:val="00C35FCE"/>
    <w:rsid w:val="00C416CA"/>
    <w:rsid w:val="00C41721"/>
    <w:rsid w:val="00C42B14"/>
    <w:rsid w:val="00C430AA"/>
    <w:rsid w:val="00C43D9A"/>
    <w:rsid w:val="00C43E3B"/>
    <w:rsid w:val="00C4643A"/>
    <w:rsid w:val="00C46610"/>
    <w:rsid w:val="00C46BC9"/>
    <w:rsid w:val="00C4704F"/>
    <w:rsid w:val="00C4722B"/>
    <w:rsid w:val="00C47687"/>
    <w:rsid w:val="00C528F1"/>
    <w:rsid w:val="00C52C5E"/>
    <w:rsid w:val="00C5344F"/>
    <w:rsid w:val="00C539A1"/>
    <w:rsid w:val="00C54891"/>
    <w:rsid w:val="00C549CA"/>
    <w:rsid w:val="00C565C5"/>
    <w:rsid w:val="00C57053"/>
    <w:rsid w:val="00C57197"/>
    <w:rsid w:val="00C57E0D"/>
    <w:rsid w:val="00C610B0"/>
    <w:rsid w:val="00C610B5"/>
    <w:rsid w:val="00C613A1"/>
    <w:rsid w:val="00C61B24"/>
    <w:rsid w:val="00C62BEA"/>
    <w:rsid w:val="00C63B7C"/>
    <w:rsid w:val="00C63BCE"/>
    <w:rsid w:val="00C63BF3"/>
    <w:rsid w:val="00C64686"/>
    <w:rsid w:val="00C64776"/>
    <w:rsid w:val="00C64CE8"/>
    <w:rsid w:val="00C64EAA"/>
    <w:rsid w:val="00C66284"/>
    <w:rsid w:val="00C6750E"/>
    <w:rsid w:val="00C700BA"/>
    <w:rsid w:val="00C70AE5"/>
    <w:rsid w:val="00C70FD0"/>
    <w:rsid w:val="00C72D8E"/>
    <w:rsid w:val="00C72F46"/>
    <w:rsid w:val="00C7488E"/>
    <w:rsid w:val="00C74A6B"/>
    <w:rsid w:val="00C74D1E"/>
    <w:rsid w:val="00C765CB"/>
    <w:rsid w:val="00C76AD5"/>
    <w:rsid w:val="00C800B0"/>
    <w:rsid w:val="00C82013"/>
    <w:rsid w:val="00C822BD"/>
    <w:rsid w:val="00C82CEC"/>
    <w:rsid w:val="00C839C6"/>
    <w:rsid w:val="00C847C3"/>
    <w:rsid w:val="00C84AA2"/>
    <w:rsid w:val="00C85A73"/>
    <w:rsid w:val="00C863B7"/>
    <w:rsid w:val="00C873DF"/>
    <w:rsid w:val="00C87AFE"/>
    <w:rsid w:val="00C87CFE"/>
    <w:rsid w:val="00C903C3"/>
    <w:rsid w:val="00C90E1B"/>
    <w:rsid w:val="00C9121F"/>
    <w:rsid w:val="00C91DD1"/>
    <w:rsid w:val="00C92227"/>
    <w:rsid w:val="00C92AE9"/>
    <w:rsid w:val="00C92F19"/>
    <w:rsid w:val="00C94C77"/>
    <w:rsid w:val="00C9609E"/>
    <w:rsid w:val="00C96247"/>
    <w:rsid w:val="00C9669A"/>
    <w:rsid w:val="00C9674F"/>
    <w:rsid w:val="00C96A59"/>
    <w:rsid w:val="00C96C62"/>
    <w:rsid w:val="00C97257"/>
    <w:rsid w:val="00C97D7A"/>
    <w:rsid w:val="00CA0611"/>
    <w:rsid w:val="00CA2001"/>
    <w:rsid w:val="00CA2195"/>
    <w:rsid w:val="00CA24AC"/>
    <w:rsid w:val="00CA2FB4"/>
    <w:rsid w:val="00CA36D5"/>
    <w:rsid w:val="00CA43BC"/>
    <w:rsid w:val="00CA4987"/>
    <w:rsid w:val="00CA4E4F"/>
    <w:rsid w:val="00CA4E90"/>
    <w:rsid w:val="00CA4F08"/>
    <w:rsid w:val="00CA553D"/>
    <w:rsid w:val="00CA6366"/>
    <w:rsid w:val="00CA7C20"/>
    <w:rsid w:val="00CB0624"/>
    <w:rsid w:val="00CB20DC"/>
    <w:rsid w:val="00CB25DD"/>
    <w:rsid w:val="00CB2D4F"/>
    <w:rsid w:val="00CB2E2A"/>
    <w:rsid w:val="00CB463C"/>
    <w:rsid w:val="00CB4835"/>
    <w:rsid w:val="00CB5B2A"/>
    <w:rsid w:val="00CB6270"/>
    <w:rsid w:val="00CB62F2"/>
    <w:rsid w:val="00CB6AB7"/>
    <w:rsid w:val="00CB6C5E"/>
    <w:rsid w:val="00CB71EE"/>
    <w:rsid w:val="00CC009D"/>
    <w:rsid w:val="00CC04A6"/>
    <w:rsid w:val="00CC0FC3"/>
    <w:rsid w:val="00CC1B3E"/>
    <w:rsid w:val="00CC1C07"/>
    <w:rsid w:val="00CC1E7F"/>
    <w:rsid w:val="00CC314C"/>
    <w:rsid w:val="00CC3313"/>
    <w:rsid w:val="00CC3D95"/>
    <w:rsid w:val="00CC3DB7"/>
    <w:rsid w:val="00CC3EF0"/>
    <w:rsid w:val="00CC43F0"/>
    <w:rsid w:val="00CC5B58"/>
    <w:rsid w:val="00CC624C"/>
    <w:rsid w:val="00CC6649"/>
    <w:rsid w:val="00CC6E7B"/>
    <w:rsid w:val="00CC6F41"/>
    <w:rsid w:val="00CC7388"/>
    <w:rsid w:val="00CC73B6"/>
    <w:rsid w:val="00CC7BBD"/>
    <w:rsid w:val="00CC7EEA"/>
    <w:rsid w:val="00CD0352"/>
    <w:rsid w:val="00CD07E4"/>
    <w:rsid w:val="00CD16C1"/>
    <w:rsid w:val="00CD2449"/>
    <w:rsid w:val="00CD27B2"/>
    <w:rsid w:val="00CD46ED"/>
    <w:rsid w:val="00CD5EFF"/>
    <w:rsid w:val="00CD666D"/>
    <w:rsid w:val="00CD6EFC"/>
    <w:rsid w:val="00CD7ABE"/>
    <w:rsid w:val="00CE1074"/>
    <w:rsid w:val="00CE1D30"/>
    <w:rsid w:val="00CE2FE7"/>
    <w:rsid w:val="00CE4201"/>
    <w:rsid w:val="00CE51EF"/>
    <w:rsid w:val="00CE6C15"/>
    <w:rsid w:val="00CE7B1E"/>
    <w:rsid w:val="00CF18D9"/>
    <w:rsid w:val="00CF2F3B"/>
    <w:rsid w:val="00CF3015"/>
    <w:rsid w:val="00CF376E"/>
    <w:rsid w:val="00CF3814"/>
    <w:rsid w:val="00CF3960"/>
    <w:rsid w:val="00CF3A68"/>
    <w:rsid w:val="00CF581F"/>
    <w:rsid w:val="00CF5BCF"/>
    <w:rsid w:val="00CF6297"/>
    <w:rsid w:val="00CF708D"/>
    <w:rsid w:val="00CF70A5"/>
    <w:rsid w:val="00CF74BB"/>
    <w:rsid w:val="00D00112"/>
    <w:rsid w:val="00D0022B"/>
    <w:rsid w:val="00D00360"/>
    <w:rsid w:val="00D00459"/>
    <w:rsid w:val="00D0092F"/>
    <w:rsid w:val="00D01197"/>
    <w:rsid w:val="00D019ED"/>
    <w:rsid w:val="00D03E6A"/>
    <w:rsid w:val="00D0404C"/>
    <w:rsid w:val="00D04569"/>
    <w:rsid w:val="00D050F4"/>
    <w:rsid w:val="00D056F3"/>
    <w:rsid w:val="00D07712"/>
    <w:rsid w:val="00D10431"/>
    <w:rsid w:val="00D11F18"/>
    <w:rsid w:val="00D130A3"/>
    <w:rsid w:val="00D13322"/>
    <w:rsid w:val="00D13910"/>
    <w:rsid w:val="00D13E1E"/>
    <w:rsid w:val="00D149D7"/>
    <w:rsid w:val="00D14CDE"/>
    <w:rsid w:val="00D15573"/>
    <w:rsid w:val="00D15C0E"/>
    <w:rsid w:val="00D203D8"/>
    <w:rsid w:val="00D20A8F"/>
    <w:rsid w:val="00D21058"/>
    <w:rsid w:val="00D21D9B"/>
    <w:rsid w:val="00D226BB"/>
    <w:rsid w:val="00D22948"/>
    <w:rsid w:val="00D2486B"/>
    <w:rsid w:val="00D255F6"/>
    <w:rsid w:val="00D2585E"/>
    <w:rsid w:val="00D25F07"/>
    <w:rsid w:val="00D26275"/>
    <w:rsid w:val="00D264BD"/>
    <w:rsid w:val="00D272F5"/>
    <w:rsid w:val="00D27357"/>
    <w:rsid w:val="00D27A35"/>
    <w:rsid w:val="00D306DD"/>
    <w:rsid w:val="00D31104"/>
    <w:rsid w:val="00D31A8A"/>
    <w:rsid w:val="00D31F17"/>
    <w:rsid w:val="00D3224A"/>
    <w:rsid w:val="00D3231F"/>
    <w:rsid w:val="00D32A9A"/>
    <w:rsid w:val="00D32BAA"/>
    <w:rsid w:val="00D33038"/>
    <w:rsid w:val="00D34AEA"/>
    <w:rsid w:val="00D35D70"/>
    <w:rsid w:val="00D36498"/>
    <w:rsid w:val="00D36747"/>
    <w:rsid w:val="00D36950"/>
    <w:rsid w:val="00D36F24"/>
    <w:rsid w:val="00D37D0F"/>
    <w:rsid w:val="00D4050C"/>
    <w:rsid w:val="00D4099A"/>
    <w:rsid w:val="00D416E5"/>
    <w:rsid w:val="00D41B72"/>
    <w:rsid w:val="00D421F3"/>
    <w:rsid w:val="00D435A2"/>
    <w:rsid w:val="00D46266"/>
    <w:rsid w:val="00D47053"/>
    <w:rsid w:val="00D475F7"/>
    <w:rsid w:val="00D47A4F"/>
    <w:rsid w:val="00D50E47"/>
    <w:rsid w:val="00D55486"/>
    <w:rsid w:val="00D5580B"/>
    <w:rsid w:val="00D55C82"/>
    <w:rsid w:val="00D562D5"/>
    <w:rsid w:val="00D56343"/>
    <w:rsid w:val="00D56B0B"/>
    <w:rsid w:val="00D57B6B"/>
    <w:rsid w:val="00D63070"/>
    <w:rsid w:val="00D635D4"/>
    <w:rsid w:val="00D635F2"/>
    <w:rsid w:val="00D63F0A"/>
    <w:rsid w:val="00D650D7"/>
    <w:rsid w:val="00D70873"/>
    <w:rsid w:val="00D7199D"/>
    <w:rsid w:val="00D71F53"/>
    <w:rsid w:val="00D73FA6"/>
    <w:rsid w:val="00D745DF"/>
    <w:rsid w:val="00D74F01"/>
    <w:rsid w:val="00D75017"/>
    <w:rsid w:val="00D7537A"/>
    <w:rsid w:val="00D760B2"/>
    <w:rsid w:val="00D764C6"/>
    <w:rsid w:val="00D77843"/>
    <w:rsid w:val="00D804C1"/>
    <w:rsid w:val="00D82B67"/>
    <w:rsid w:val="00D82D69"/>
    <w:rsid w:val="00D838BB"/>
    <w:rsid w:val="00D852EF"/>
    <w:rsid w:val="00D8668A"/>
    <w:rsid w:val="00D8697B"/>
    <w:rsid w:val="00D87072"/>
    <w:rsid w:val="00D87ED9"/>
    <w:rsid w:val="00D87F4E"/>
    <w:rsid w:val="00D90B32"/>
    <w:rsid w:val="00D90D39"/>
    <w:rsid w:val="00D920BD"/>
    <w:rsid w:val="00D92A0D"/>
    <w:rsid w:val="00D93014"/>
    <w:rsid w:val="00D932A9"/>
    <w:rsid w:val="00D93AD1"/>
    <w:rsid w:val="00D94A54"/>
    <w:rsid w:val="00D9538E"/>
    <w:rsid w:val="00D953B7"/>
    <w:rsid w:val="00D96312"/>
    <w:rsid w:val="00D96923"/>
    <w:rsid w:val="00D97ED8"/>
    <w:rsid w:val="00DA013E"/>
    <w:rsid w:val="00DA02AA"/>
    <w:rsid w:val="00DA0817"/>
    <w:rsid w:val="00DA1765"/>
    <w:rsid w:val="00DA209F"/>
    <w:rsid w:val="00DA2516"/>
    <w:rsid w:val="00DA2837"/>
    <w:rsid w:val="00DA34F6"/>
    <w:rsid w:val="00DA3981"/>
    <w:rsid w:val="00DA3D66"/>
    <w:rsid w:val="00DA4907"/>
    <w:rsid w:val="00DA4A4F"/>
    <w:rsid w:val="00DA4E98"/>
    <w:rsid w:val="00DA5164"/>
    <w:rsid w:val="00DA5517"/>
    <w:rsid w:val="00DA6559"/>
    <w:rsid w:val="00DA6C8A"/>
    <w:rsid w:val="00DB0659"/>
    <w:rsid w:val="00DB06B0"/>
    <w:rsid w:val="00DB1B42"/>
    <w:rsid w:val="00DB27CC"/>
    <w:rsid w:val="00DB295F"/>
    <w:rsid w:val="00DB2DF5"/>
    <w:rsid w:val="00DB4250"/>
    <w:rsid w:val="00DB463F"/>
    <w:rsid w:val="00DB73F8"/>
    <w:rsid w:val="00DC1FDB"/>
    <w:rsid w:val="00DC28DA"/>
    <w:rsid w:val="00DC2A88"/>
    <w:rsid w:val="00DC2E19"/>
    <w:rsid w:val="00DC3680"/>
    <w:rsid w:val="00DC4051"/>
    <w:rsid w:val="00DC4F25"/>
    <w:rsid w:val="00DC558D"/>
    <w:rsid w:val="00DC6A66"/>
    <w:rsid w:val="00DC6F74"/>
    <w:rsid w:val="00DD02B0"/>
    <w:rsid w:val="00DD06B6"/>
    <w:rsid w:val="00DD083D"/>
    <w:rsid w:val="00DD118B"/>
    <w:rsid w:val="00DD12A3"/>
    <w:rsid w:val="00DD1679"/>
    <w:rsid w:val="00DD464C"/>
    <w:rsid w:val="00DD4F7B"/>
    <w:rsid w:val="00DD7B9D"/>
    <w:rsid w:val="00DD7CF9"/>
    <w:rsid w:val="00DE00D7"/>
    <w:rsid w:val="00DE07DB"/>
    <w:rsid w:val="00DE08F0"/>
    <w:rsid w:val="00DE24A6"/>
    <w:rsid w:val="00DE2873"/>
    <w:rsid w:val="00DE39C0"/>
    <w:rsid w:val="00DE4CDA"/>
    <w:rsid w:val="00DE4DB3"/>
    <w:rsid w:val="00DE6269"/>
    <w:rsid w:val="00DE62B8"/>
    <w:rsid w:val="00DE65EA"/>
    <w:rsid w:val="00DE6A7A"/>
    <w:rsid w:val="00DE6EA4"/>
    <w:rsid w:val="00DE7140"/>
    <w:rsid w:val="00DF0FBC"/>
    <w:rsid w:val="00DF1284"/>
    <w:rsid w:val="00DF2751"/>
    <w:rsid w:val="00DF36A4"/>
    <w:rsid w:val="00DF4E4D"/>
    <w:rsid w:val="00DF587B"/>
    <w:rsid w:val="00DF6450"/>
    <w:rsid w:val="00DF686A"/>
    <w:rsid w:val="00DF6B93"/>
    <w:rsid w:val="00DF6CC6"/>
    <w:rsid w:val="00DF7BE5"/>
    <w:rsid w:val="00E00B5C"/>
    <w:rsid w:val="00E030D6"/>
    <w:rsid w:val="00E0414E"/>
    <w:rsid w:val="00E04ADB"/>
    <w:rsid w:val="00E05DC2"/>
    <w:rsid w:val="00E05F24"/>
    <w:rsid w:val="00E06F59"/>
    <w:rsid w:val="00E07B9D"/>
    <w:rsid w:val="00E11E2D"/>
    <w:rsid w:val="00E11FDA"/>
    <w:rsid w:val="00E1368A"/>
    <w:rsid w:val="00E13694"/>
    <w:rsid w:val="00E13F28"/>
    <w:rsid w:val="00E13F65"/>
    <w:rsid w:val="00E147C8"/>
    <w:rsid w:val="00E15AE9"/>
    <w:rsid w:val="00E15BC8"/>
    <w:rsid w:val="00E15EC9"/>
    <w:rsid w:val="00E16281"/>
    <w:rsid w:val="00E1735E"/>
    <w:rsid w:val="00E176DB"/>
    <w:rsid w:val="00E2047C"/>
    <w:rsid w:val="00E20EC8"/>
    <w:rsid w:val="00E21468"/>
    <w:rsid w:val="00E21857"/>
    <w:rsid w:val="00E21A63"/>
    <w:rsid w:val="00E2251F"/>
    <w:rsid w:val="00E237BE"/>
    <w:rsid w:val="00E24141"/>
    <w:rsid w:val="00E2421F"/>
    <w:rsid w:val="00E24646"/>
    <w:rsid w:val="00E2554B"/>
    <w:rsid w:val="00E25811"/>
    <w:rsid w:val="00E25904"/>
    <w:rsid w:val="00E25943"/>
    <w:rsid w:val="00E26CD6"/>
    <w:rsid w:val="00E26E33"/>
    <w:rsid w:val="00E31E3A"/>
    <w:rsid w:val="00E328C1"/>
    <w:rsid w:val="00E32919"/>
    <w:rsid w:val="00E32E1E"/>
    <w:rsid w:val="00E3330F"/>
    <w:rsid w:val="00E3562A"/>
    <w:rsid w:val="00E40D74"/>
    <w:rsid w:val="00E41330"/>
    <w:rsid w:val="00E428D2"/>
    <w:rsid w:val="00E452F6"/>
    <w:rsid w:val="00E46978"/>
    <w:rsid w:val="00E47562"/>
    <w:rsid w:val="00E501ED"/>
    <w:rsid w:val="00E509D5"/>
    <w:rsid w:val="00E50E68"/>
    <w:rsid w:val="00E52E38"/>
    <w:rsid w:val="00E52EF7"/>
    <w:rsid w:val="00E53E1A"/>
    <w:rsid w:val="00E56148"/>
    <w:rsid w:val="00E561DB"/>
    <w:rsid w:val="00E5627A"/>
    <w:rsid w:val="00E56675"/>
    <w:rsid w:val="00E56B77"/>
    <w:rsid w:val="00E6085D"/>
    <w:rsid w:val="00E60F97"/>
    <w:rsid w:val="00E617FE"/>
    <w:rsid w:val="00E628D4"/>
    <w:rsid w:val="00E62D64"/>
    <w:rsid w:val="00E635BB"/>
    <w:rsid w:val="00E63F39"/>
    <w:rsid w:val="00E644B0"/>
    <w:rsid w:val="00E64688"/>
    <w:rsid w:val="00E64C97"/>
    <w:rsid w:val="00E65A20"/>
    <w:rsid w:val="00E6627A"/>
    <w:rsid w:val="00E71508"/>
    <w:rsid w:val="00E7162E"/>
    <w:rsid w:val="00E71904"/>
    <w:rsid w:val="00E71F60"/>
    <w:rsid w:val="00E72643"/>
    <w:rsid w:val="00E73081"/>
    <w:rsid w:val="00E732A5"/>
    <w:rsid w:val="00E73349"/>
    <w:rsid w:val="00E73648"/>
    <w:rsid w:val="00E7378C"/>
    <w:rsid w:val="00E744CD"/>
    <w:rsid w:val="00E74C9B"/>
    <w:rsid w:val="00E7668D"/>
    <w:rsid w:val="00E76DD9"/>
    <w:rsid w:val="00E77FAC"/>
    <w:rsid w:val="00E80E61"/>
    <w:rsid w:val="00E81A96"/>
    <w:rsid w:val="00E82464"/>
    <w:rsid w:val="00E82EAC"/>
    <w:rsid w:val="00E83212"/>
    <w:rsid w:val="00E834A1"/>
    <w:rsid w:val="00E83D6A"/>
    <w:rsid w:val="00E872D7"/>
    <w:rsid w:val="00E87424"/>
    <w:rsid w:val="00E87CF5"/>
    <w:rsid w:val="00E91560"/>
    <w:rsid w:val="00E91B64"/>
    <w:rsid w:val="00E92921"/>
    <w:rsid w:val="00E9301B"/>
    <w:rsid w:val="00E94999"/>
    <w:rsid w:val="00E95978"/>
    <w:rsid w:val="00E964A3"/>
    <w:rsid w:val="00E96669"/>
    <w:rsid w:val="00E96D0E"/>
    <w:rsid w:val="00E97B16"/>
    <w:rsid w:val="00EA3384"/>
    <w:rsid w:val="00EA3447"/>
    <w:rsid w:val="00EA385F"/>
    <w:rsid w:val="00EA4168"/>
    <w:rsid w:val="00EA5294"/>
    <w:rsid w:val="00EA579B"/>
    <w:rsid w:val="00EA6043"/>
    <w:rsid w:val="00EA676B"/>
    <w:rsid w:val="00EA7C22"/>
    <w:rsid w:val="00EB0DB3"/>
    <w:rsid w:val="00EB4310"/>
    <w:rsid w:val="00EB44B7"/>
    <w:rsid w:val="00EB61DA"/>
    <w:rsid w:val="00EB7043"/>
    <w:rsid w:val="00EB7234"/>
    <w:rsid w:val="00EB736A"/>
    <w:rsid w:val="00EB74E7"/>
    <w:rsid w:val="00EB76CD"/>
    <w:rsid w:val="00EB7990"/>
    <w:rsid w:val="00EC0D9F"/>
    <w:rsid w:val="00EC20F6"/>
    <w:rsid w:val="00EC2A5C"/>
    <w:rsid w:val="00EC3100"/>
    <w:rsid w:val="00EC33B6"/>
    <w:rsid w:val="00EC484F"/>
    <w:rsid w:val="00EC4889"/>
    <w:rsid w:val="00EC4DF2"/>
    <w:rsid w:val="00EC4FBB"/>
    <w:rsid w:val="00EC5F02"/>
    <w:rsid w:val="00EC7489"/>
    <w:rsid w:val="00EC76C9"/>
    <w:rsid w:val="00EC7761"/>
    <w:rsid w:val="00EC7854"/>
    <w:rsid w:val="00ED0193"/>
    <w:rsid w:val="00ED191A"/>
    <w:rsid w:val="00ED2366"/>
    <w:rsid w:val="00ED2569"/>
    <w:rsid w:val="00ED3539"/>
    <w:rsid w:val="00ED3B6C"/>
    <w:rsid w:val="00ED428C"/>
    <w:rsid w:val="00ED4423"/>
    <w:rsid w:val="00ED4EED"/>
    <w:rsid w:val="00ED5AB2"/>
    <w:rsid w:val="00ED5AC0"/>
    <w:rsid w:val="00ED6CAA"/>
    <w:rsid w:val="00ED7D63"/>
    <w:rsid w:val="00EE02E4"/>
    <w:rsid w:val="00EE074A"/>
    <w:rsid w:val="00EE0A6A"/>
    <w:rsid w:val="00EE13BC"/>
    <w:rsid w:val="00EE1D27"/>
    <w:rsid w:val="00EE24A0"/>
    <w:rsid w:val="00EE24C7"/>
    <w:rsid w:val="00EE28BB"/>
    <w:rsid w:val="00EE2C12"/>
    <w:rsid w:val="00EE3BF4"/>
    <w:rsid w:val="00EE3F3C"/>
    <w:rsid w:val="00EE41ED"/>
    <w:rsid w:val="00EE47A8"/>
    <w:rsid w:val="00EE517F"/>
    <w:rsid w:val="00EE5AA3"/>
    <w:rsid w:val="00EE5B3D"/>
    <w:rsid w:val="00EE6029"/>
    <w:rsid w:val="00EE6305"/>
    <w:rsid w:val="00EF11BC"/>
    <w:rsid w:val="00EF22B0"/>
    <w:rsid w:val="00EF26D8"/>
    <w:rsid w:val="00EF3288"/>
    <w:rsid w:val="00EF3A90"/>
    <w:rsid w:val="00EF4ACC"/>
    <w:rsid w:val="00EF54EC"/>
    <w:rsid w:val="00F00BAB"/>
    <w:rsid w:val="00F01266"/>
    <w:rsid w:val="00F024FA"/>
    <w:rsid w:val="00F02E35"/>
    <w:rsid w:val="00F045EB"/>
    <w:rsid w:val="00F05ACF"/>
    <w:rsid w:val="00F0661C"/>
    <w:rsid w:val="00F073FB"/>
    <w:rsid w:val="00F07C26"/>
    <w:rsid w:val="00F10337"/>
    <w:rsid w:val="00F10F31"/>
    <w:rsid w:val="00F10F32"/>
    <w:rsid w:val="00F11460"/>
    <w:rsid w:val="00F11844"/>
    <w:rsid w:val="00F11E12"/>
    <w:rsid w:val="00F125E2"/>
    <w:rsid w:val="00F12622"/>
    <w:rsid w:val="00F12A1E"/>
    <w:rsid w:val="00F1335D"/>
    <w:rsid w:val="00F137E4"/>
    <w:rsid w:val="00F13E95"/>
    <w:rsid w:val="00F13F3B"/>
    <w:rsid w:val="00F14658"/>
    <w:rsid w:val="00F14BF6"/>
    <w:rsid w:val="00F15581"/>
    <w:rsid w:val="00F169B1"/>
    <w:rsid w:val="00F16B66"/>
    <w:rsid w:val="00F1759D"/>
    <w:rsid w:val="00F20052"/>
    <w:rsid w:val="00F2094B"/>
    <w:rsid w:val="00F20F9A"/>
    <w:rsid w:val="00F210FD"/>
    <w:rsid w:val="00F21428"/>
    <w:rsid w:val="00F21C2B"/>
    <w:rsid w:val="00F2262B"/>
    <w:rsid w:val="00F226F3"/>
    <w:rsid w:val="00F22B7D"/>
    <w:rsid w:val="00F247C4"/>
    <w:rsid w:val="00F24897"/>
    <w:rsid w:val="00F24BE4"/>
    <w:rsid w:val="00F25E43"/>
    <w:rsid w:val="00F264E0"/>
    <w:rsid w:val="00F26DDF"/>
    <w:rsid w:val="00F27338"/>
    <w:rsid w:val="00F279E6"/>
    <w:rsid w:val="00F27E3A"/>
    <w:rsid w:val="00F30B6C"/>
    <w:rsid w:val="00F31031"/>
    <w:rsid w:val="00F31161"/>
    <w:rsid w:val="00F312C8"/>
    <w:rsid w:val="00F3137C"/>
    <w:rsid w:val="00F31AE1"/>
    <w:rsid w:val="00F321E7"/>
    <w:rsid w:val="00F327BD"/>
    <w:rsid w:val="00F340D5"/>
    <w:rsid w:val="00F375AC"/>
    <w:rsid w:val="00F37EDF"/>
    <w:rsid w:val="00F4080E"/>
    <w:rsid w:val="00F40B7D"/>
    <w:rsid w:val="00F4176B"/>
    <w:rsid w:val="00F419FE"/>
    <w:rsid w:val="00F41C05"/>
    <w:rsid w:val="00F4300D"/>
    <w:rsid w:val="00F43450"/>
    <w:rsid w:val="00F43987"/>
    <w:rsid w:val="00F43C72"/>
    <w:rsid w:val="00F43EF1"/>
    <w:rsid w:val="00F440F5"/>
    <w:rsid w:val="00F44325"/>
    <w:rsid w:val="00F44564"/>
    <w:rsid w:val="00F4796A"/>
    <w:rsid w:val="00F47CE1"/>
    <w:rsid w:val="00F50B58"/>
    <w:rsid w:val="00F51A42"/>
    <w:rsid w:val="00F51D37"/>
    <w:rsid w:val="00F51F53"/>
    <w:rsid w:val="00F520D7"/>
    <w:rsid w:val="00F525C3"/>
    <w:rsid w:val="00F52945"/>
    <w:rsid w:val="00F54107"/>
    <w:rsid w:val="00F55196"/>
    <w:rsid w:val="00F55DB3"/>
    <w:rsid w:val="00F57009"/>
    <w:rsid w:val="00F57CA8"/>
    <w:rsid w:val="00F607AB"/>
    <w:rsid w:val="00F60B0F"/>
    <w:rsid w:val="00F60DF7"/>
    <w:rsid w:val="00F61DE2"/>
    <w:rsid w:val="00F61E09"/>
    <w:rsid w:val="00F61E34"/>
    <w:rsid w:val="00F62557"/>
    <w:rsid w:val="00F62774"/>
    <w:rsid w:val="00F635C2"/>
    <w:rsid w:val="00F6421C"/>
    <w:rsid w:val="00F64A31"/>
    <w:rsid w:val="00F64ED9"/>
    <w:rsid w:val="00F6558B"/>
    <w:rsid w:val="00F6570E"/>
    <w:rsid w:val="00F66C2C"/>
    <w:rsid w:val="00F66E47"/>
    <w:rsid w:val="00F67904"/>
    <w:rsid w:val="00F716EA"/>
    <w:rsid w:val="00F7247C"/>
    <w:rsid w:val="00F72953"/>
    <w:rsid w:val="00F7449E"/>
    <w:rsid w:val="00F74FD5"/>
    <w:rsid w:val="00F75D05"/>
    <w:rsid w:val="00F76050"/>
    <w:rsid w:val="00F76B1C"/>
    <w:rsid w:val="00F770EE"/>
    <w:rsid w:val="00F779FC"/>
    <w:rsid w:val="00F77C6E"/>
    <w:rsid w:val="00F80391"/>
    <w:rsid w:val="00F8089B"/>
    <w:rsid w:val="00F80A2F"/>
    <w:rsid w:val="00F8100E"/>
    <w:rsid w:val="00F81734"/>
    <w:rsid w:val="00F81E15"/>
    <w:rsid w:val="00F821F5"/>
    <w:rsid w:val="00F82ADA"/>
    <w:rsid w:val="00F82E0C"/>
    <w:rsid w:val="00F82E48"/>
    <w:rsid w:val="00F84672"/>
    <w:rsid w:val="00F84B02"/>
    <w:rsid w:val="00F84E93"/>
    <w:rsid w:val="00F85C0B"/>
    <w:rsid w:val="00F85C7C"/>
    <w:rsid w:val="00F865F4"/>
    <w:rsid w:val="00F879E6"/>
    <w:rsid w:val="00F9092A"/>
    <w:rsid w:val="00F90DFA"/>
    <w:rsid w:val="00F91364"/>
    <w:rsid w:val="00F91A21"/>
    <w:rsid w:val="00F92559"/>
    <w:rsid w:val="00F94696"/>
    <w:rsid w:val="00F9514E"/>
    <w:rsid w:val="00F96157"/>
    <w:rsid w:val="00F96C59"/>
    <w:rsid w:val="00F971E9"/>
    <w:rsid w:val="00F97403"/>
    <w:rsid w:val="00F9746B"/>
    <w:rsid w:val="00F978F1"/>
    <w:rsid w:val="00FA1444"/>
    <w:rsid w:val="00FA3B65"/>
    <w:rsid w:val="00FA4B3F"/>
    <w:rsid w:val="00FA52B0"/>
    <w:rsid w:val="00FA5D87"/>
    <w:rsid w:val="00FA6C7A"/>
    <w:rsid w:val="00FA7B8A"/>
    <w:rsid w:val="00FB2011"/>
    <w:rsid w:val="00FB2A29"/>
    <w:rsid w:val="00FB57E6"/>
    <w:rsid w:val="00FB5AD3"/>
    <w:rsid w:val="00FB67F6"/>
    <w:rsid w:val="00FB6AD7"/>
    <w:rsid w:val="00FB7297"/>
    <w:rsid w:val="00FB7971"/>
    <w:rsid w:val="00FC07DD"/>
    <w:rsid w:val="00FC097B"/>
    <w:rsid w:val="00FC0E3D"/>
    <w:rsid w:val="00FC204F"/>
    <w:rsid w:val="00FC298E"/>
    <w:rsid w:val="00FC315E"/>
    <w:rsid w:val="00FC3733"/>
    <w:rsid w:val="00FC3920"/>
    <w:rsid w:val="00FC3A03"/>
    <w:rsid w:val="00FC512E"/>
    <w:rsid w:val="00FC6460"/>
    <w:rsid w:val="00FC759C"/>
    <w:rsid w:val="00FD11AA"/>
    <w:rsid w:val="00FD1712"/>
    <w:rsid w:val="00FD2683"/>
    <w:rsid w:val="00FD2B60"/>
    <w:rsid w:val="00FD3C43"/>
    <w:rsid w:val="00FD3C5F"/>
    <w:rsid w:val="00FD53CC"/>
    <w:rsid w:val="00FD56E1"/>
    <w:rsid w:val="00FD5933"/>
    <w:rsid w:val="00FD5D3F"/>
    <w:rsid w:val="00FD5F91"/>
    <w:rsid w:val="00FD6273"/>
    <w:rsid w:val="00FD63E3"/>
    <w:rsid w:val="00FD685A"/>
    <w:rsid w:val="00FD7B34"/>
    <w:rsid w:val="00FE38A9"/>
    <w:rsid w:val="00FE45A9"/>
    <w:rsid w:val="00FE4CD3"/>
    <w:rsid w:val="00FE60E8"/>
    <w:rsid w:val="00FE615A"/>
    <w:rsid w:val="00FF03DE"/>
    <w:rsid w:val="00FF04DB"/>
    <w:rsid w:val="00FF0A9A"/>
    <w:rsid w:val="00FF15AB"/>
    <w:rsid w:val="00FF20CE"/>
    <w:rsid w:val="00FF212E"/>
    <w:rsid w:val="00FF2E0C"/>
    <w:rsid w:val="00FF42DF"/>
    <w:rsid w:val="00FF5C35"/>
    <w:rsid w:val="00FF5C4C"/>
    <w:rsid w:val="00FF665E"/>
    <w:rsid w:val="00FF66D2"/>
    <w:rsid w:val="00FF6B10"/>
    <w:rsid w:val="00FF6D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customStyle="1" w:styleId="Style1">
    <w:name w:val="Style1"/>
    <w:basedOn w:val="Normal"/>
    <w:link w:val="Style1Char"/>
    <w:qFormat/>
    <w:rsid w:val="006561EE"/>
    <w:pPr>
      <w:widowControl w:val="0"/>
      <w:autoSpaceDE w:val="0"/>
      <w:autoSpaceDN w:val="0"/>
      <w:adjustRightInd w:val="0"/>
      <w:spacing w:line="240" w:lineRule="auto"/>
      <w:jc w:val="both"/>
    </w:pPr>
    <w:rPr>
      <w:sz w:val="20"/>
    </w:rPr>
  </w:style>
  <w:style w:type="character" w:customStyle="1" w:styleId="Style1Char">
    <w:name w:val="Style1 Char"/>
    <w:basedOn w:val="DefaultParagraphFont"/>
    <w:link w:val="Style1"/>
    <w:rsid w:val="006561EE"/>
    <w:rPr>
      <w:sz w:val="20"/>
    </w:rPr>
  </w:style>
  <w:style w:type="paragraph" w:customStyle="1" w:styleId="Default">
    <w:name w:val="Default"/>
    <w:rsid w:val="00E73648"/>
    <w:pPr>
      <w:autoSpaceDE w:val="0"/>
      <w:autoSpaceDN w:val="0"/>
      <w:adjustRightInd w:val="0"/>
    </w:pPr>
    <w:rPr>
      <w:rFonts w:eastAsiaTheme="minorHAnsi"/>
      <w:color w:val="000000"/>
      <w:sz w:val="24"/>
      <w:szCs w:val="24"/>
    </w:rPr>
  </w:style>
  <w:style w:type="character" w:styleId="CommentReference">
    <w:name w:val="annotation reference"/>
    <w:basedOn w:val="DefaultParagraphFont"/>
    <w:semiHidden/>
    <w:unhideWhenUsed/>
    <w:rsid w:val="0094544F"/>
    <w:rPr>
      <w:sz w:val="16"/>
      <w:szCs w:val="16"/>
    </w:rPr>
  </w:style>
  <w:style w:type="paragraph" w:styleId="CommentText">
    <w:name w:val="annotation text"/>
    <w:basedOn w:val="Normal"/>
    <w:link w:val="CommentTextChar"/>
    <w:unhideWhenUsed/>
    <w:rsid w:val="0094544F"/>
    <w:pPr>
      <w:spacing w:line="240" w:lineRule="auto"/>
    </w:pPr>
    <w:rPr>
      <w:sz w:val="20"/>
      <w:szCs w:val="20"/>
    </w:rPr>
  </w:style>
  <w:style w:type="character" w:customStyle="1" w:styleId="CommentTextChar">
    <w:name w:val="Comment Text Char"/>
    <w:basedOn w:val="DefaultParagraphFont"/>
    <w:link w:val="CommentText"/>
    <w:rsid w:val="0094544F"/>
    <w:rPr>
      <w:sz w:val="20"/>
      <w:szCs w:val="20"/>
    </w:rPr>
  </w:style>
  <w:style w:type="paragraph" w:styleId="CommentSubject">
    <w:name w:val="annotation subject"/>
    <w:basedOn w:val="CommentText"/>
    <w:next w:val="CommentText"/>
    <w:link w:val="CommentSubjectChar"/>
    <w:semiHidden/>
    <w:unhideWhenUsed/>
    <w:rsid w:val="0094544F"/>
    <w:rPr>
      <w:b/>
      <w:bCs/>
    </w:rPr>
  </w:style>
  <w:style w:type="character" w:customStyle="1" w:styleId="CommentSubjectChar">
    <w:name w:val="Comment Subject Char"/>
    <w:basedOn w:val="CommentTextChar"/>
    <w:link w:val="CommentSubject"/>
    <w:semiHidden/>
    <w:rsid w:val="0094544F"/>
    <w:rPr>
      <w:b/>
      <w:bCs/>
      <w:sz w:val="20"/>
      <w:szCs w:val="20"/>
    </w:rPr>
  </w:style>
  <w:style w:type="paragraph" w:styleId="Revision">
    <w:name w:val="Revision"/>
    <w:hidden/>
    <w:uiPriority w:val="99"/>
    <w:semiHidden/>
    <w:rsid w:val="0094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DE65-956D-402B-8859-E10AF82E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5301</Words>
  <Characters>30217</Characters>
  <Application>Microsoft Office Word</Application>
  <DocSecurity>0</DocSecurity>
  <Lines>251</Lines>
  <Paragraphs>70</Paragraphs>
  <ScaleCrop>false</ScaleCrop>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2024-03-21T17:59:27Z</dcterms:created>
  <dcterms:modified xsi:type="dcterms:W3CDTF">2024-03-21T17:59:27Z</dcterms:modified>
</cp:coreProperties>
</file>