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3 -->
  <w:body>
    <w:p w:rsidR="005A4A3D" w:rsidRPr="00A01C25" w:rsidP="00A01C25">
      <w:pPr>
        <w:spacing w:line="240" w:lineRule="auto"/>
        <w:rPr>
          <w:sz w:val="20"/>
        </w:rPr>
      </w:pPr>
      <w:r w:rsidRPr="00A01C25">
        <w:rPr>
          <w:sz w:val="20"/>
        </w:rPr>
        <w:t>Filed 1/25/24</w:t>
      </w:r>
    </w:p>
    <w:p w:rsidR="008F6549" w:rsidP="008F6549">
      <w:pPr>
        <w:spacing w:line="240" w:lineRule="auto"/>
      </w:pPr>
    </w:p>
    <w:p w:rsidR="008F6549" w:rsidRPr="00A10054" w:rsidP="008F6549">
      <w:pPr>
        <w:spacing w:after="240" w:line="240" w:lineRule="auto"/>
        <w:jc w:val="center"/>
      </w:pPr>
      <w:r>
        <w:t>CERTIFIED FOR PUBLICATION</w:t>
      </w:r>
    </w:p>
    <w:p w:rsidR="00A00D0A" w:rsidRPr="00A10054" w:rsidP="00A00D0A">
      <w:pPr>
        <w:spacing w:line="240" w:lineRule="auto"/>
      </w:pPr>
      <w:r>
        <w:t xml:space="preserve"> </w:t>
      </w:r>
    </w:p>
    <w:p w:rsidR="00A00D0A" w:rsidRPr="00A10054" w:rsidP="00A00D0A">
      <w:pPr>
        <w:spacing w:line="240" w:lineRule="auto"/>
        <w:jc w:val="center"/>
      </w:pPr>
      <w:r w:rsidRPr="00A10054">
        <w:t>COURT OF APPEAL, FOURTH APPELLATE DISTRICT</w:t>
      </w:r>
    </w:p>
    <w:p w:rsidR="00A00D0A" w:rsidRPr="00A10054" w:rsidP="00A00D0A">
      <w:pPr>
        <w:spacing w:line="240" w:lineRule="auto"/>
        <w:jc w:val="center"/>
      </w:pPr>
    </w:p>
    <w:p w:rsidR="00A00D0A" w:rsidRPr="00A10054" w:rsidP="00A00D0A">
      <w:pPr>
        <w:spacing w:line="240" w:lineRule="auto"/>
        <w:jc w:val="center"/>
      </w:pPr>
      <w:r w:rsidRPr="00A10054">
        <w:t>DIVISION ONE</w:t>
      </w:r>
    </w:p>
    <w:p w:rsidR="00A00D0A" w:rsidRPr="00A10054" w:rsidP="00A00D0A">
      <w:pPr>
        <w:spacing w:line="240" w:lineRule="auto"/>
        <w:jc w:val="center"/>
      </w:pPr>
    </w:p>
    <w:p w:rsidR="00A00D0A" w:rsidRPr="00A10054" w:rsidP="00A00D0A">
      <w:pPr>
        <w:spacing w:line="240" w:lineRule="auto"/>
        <w:jc w:val="center"/>
      </w:pPr>
      <w:r w:rsidRPr="00A10054">
        <w:t>STATE OF CALIFORNIA</w:t>
      </w:r>
    </w:p>
    <w:p w:rsidR="00A00D0A" w:rsidRPr="00A10054" w:rsidP="00A00D0A">
      <w:pPr>
        <w:spacing w:line="240" w:lineRule="auto"/>
        <w:jc w:val="center"/>
      </w:pPr>
    </w:p>
    <w:p w:rsidR="00A00D0A" w:rsidRPr="00A10054" w:rsidP="00A00D0A">
      <w:pPr>
        <w:spacing w:line="240" w:lineRule="auto"/>
        <w:jc w:val="center"/>
      </w:pPr>
    </w:p>
    <w:p w:rsidR="00A00D0A" w:rsidRPr="00A10054" w:rsidP="00A00D0A">
      <w:pPr>
        <w:spacing w:line="240" w:lineRule="auto"/>
        <w:jc w:val="center"/>
      </w:pPr>
    </w:p>
    <w:tbl>
      <w:tblPr>
        <w:tblW w:w="9360" w:type="dxa"/>
        <w:tblLayout w:type="fixed"/>
        <w:tblLook w:val="0000"/>
      </w:tblPr>
      <w:tblGrid>
        <w:gridCol w:w="5040"/>
        <w:gridCol w:w="4320"/>
      </w:tblGrid>
      <w:tr w:rsidTr="00A00D0A">
        <w:tblPrEx>
          <w:tblW w:w="9360" w:type="dxa"/>
          <w:tblLayout w:type="fixed"/>
          <w:tblLook w:val="0000"/>
        </w:tblPrEx>
        <w:tc>
          <w:tcPr>
            <w:tcW w:w="5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0A" w:rsidRPr="00A10054" w:rsidP="00A00D0A">
            <w:pPr>
              <w:spacing w:line="240" w:lineRule="auto"/>
            </w:pPr>
            <w:r w:rsidRPr="00A10054">
              <w:t>THE PEOPLE,</w:t>
            </w:r>
          </w:p>
          <w:p w:rsidR="00A00D0A" w:rsidRPr="00A10054" w:rsidP="00A00D0A">
            <w:pPr>
              <w:spacing w:line="240" w:lineRule="auto"/>
            </w:pPr>
          </w:p>
          <w:p w:rsidR="00A00D0A" w:rsidRPr="00A10054" w:rsidP="00A00D0A">
            <w:pPr>
              <w:spacing w:line="240" w:lineRule="auto"/>
            </w:pPr>
            <w:r w:rsidRPr="00A10054">
              <w:tab/>
              <w:t>Plaintiff and Respondent,</w:t>
            </w:r>
          </w:p>
          <w:p w:rsidR="00A00D0A" w:rsidRPr="00A10054" w:rsidP="00A00D0A">
            <w:pPr>
              <w:spacing w:line="240" w:lineRule="auto"/>
            </w:pPr>
          </w:p>
          <w:p w:rsidR="00A00D0A" w:rsidRPr="00A10054" w:rsidP="00A00D0A">
            <w:pPr>
              <w:spacing w:line="240" w:lineRule="auto"/>
            </w:pPr>
            <w:r w:rsidRPr="00A10054">
              <w:tab/>
              <w:t>v.</w:t>
            </w:r>
          </w:p>
          <w:p w:rsidR="00A00D0A" w:rsidRPr="00A10054" w:rsidP="00A00D0A">
            <w:pPr>
              <w:spacing w:line="240" w:lineRule="auto"/>
            </w:pPr>
          </w:p>
          <w:p w:rsidR="00A00D0A" w:rsidRPr="00A10054" w:rsidP="00A00D0A">
            <w:pPr>
              <w:spacing w:line="240" w:lineRule="auto"/>
            </w:pPr>
            <w:r w:rsidRPr="00A10054">
              <w:t>KEVIN EUGENE CARTWRIGHT,</w:t>
            </w:r>
          </w:p>
          <w:p w:rsidR="00A00D0A" w:rsidRPr="00A10054" w:rsidP="00A00D0A">
            <w:pPr>
              <w:spacing w:line="240" w:lineRule="auto"/>
            </w:pPr>
          </w:p>
          <w:p w:rsidR="00A00D0A" w:rsidRPr="00A10054" w:rsidP="00A00D0A">
            <w:pPr>
              <w:spacing w:line="240" w:lineRule="auto"/>
            </w:pPr>
            <w:r w:rsidRPr="00A10054">
              <w:tab/>
              <w:t>Defendant and Appellant.</w:t>
            </w:r>
          </w:p>
          <w:p w:rsidR="00A00D0A" w:rsidRPr="00A10054" w:rsidP="00A00D0A">
            <w:pPr>
              <w:spacing w:line="240" w:lineRule="auto"/>
            </w:pP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</w:tcPr>
          <w:p w:rsidR="00A00D0A" w:rsidRPr="00A10054" w:rsidP="00A00D0A">
            <w:pPr>
              <w:tabs>
                <w:tab w:val="left" w:pos="144"/>
              </w:tabs>
              <w:spacing w:line="240" w:lineRule="auto"/>
            </w:pPr>
            <w:r w:rsidRPr="00A10054">
              <w:t xml:space="preserve">  D080606</w:t>
            </w:r>
          </w:p>
          <w:p w:rsidR="00A00D0A" w:rsidRPr="00A10054" w:rsidP="00A00D0A">
            <w:pPr>
              <w:tabs>
                <w:tab w:val="left" w:pos="144"/>
              </w:tabs>
              <w:spacing w:line="240" w:lineRule="auto"/>
            </w:pPr>
          </w:p>
          <w:p w:rsidR="00A00D0A" w:rsidRPr="00A10054" w:rsidP="00A00D0A">
            <w:pPr>
              <w:tabs>
                <w:tab w:val="left" w:pos="144"/>
              </w:tabs>
              <w:spacing w:line="240" w:lineRule="auto"/>
            </w:pPr>
          </w:p>
          <w:p w:rsidR="00A00D0A" w:rsidRPr="00A10054" w:rsidP="00A00D0A">
            <w:pPr>
              <w:tabs>
                <w:tab w:val="left" w:pos="144"/>
              </w:tabs>
              <w:spacing w:line="240" w:lineRule="auto"/>
            </w:pPr>
          </w:p>
          <w:p w:rsidR="00A00D0A" w:rsidRPr="00A10054" w:rsidP="00A00D0A">
            <w:pPr>
              <w:tabs>
                <w:tab w:val="left" w:pos="144"/>
              </w:tabs>
              <w:spacing w:line="240" w:lineRule="auto"/>
            </w:pPr>
            <w:r w:rsidRPr="00A10054">
              <w:t xml:space="preserve">  (Super. Ct. No. SCD279043)</w:t>
            </w:r>
          </w:p>
        </w:tc>
      </w:tr>
    </w:tbl>
    <w:p w:rsidR="00A00D0A" w:rsidRPr="00A10054" w:rsidP="00A00D0A">
      <w:pPr>
        <w:spacing w:line="240" w:lineRule="auto"/>
      </w:pPr>
    </w:p>
    <w:p w:rsidR="00A00D0A" w:rsidRPr="00A10054" w:rsidP="00A00D0A">
      <w:r w:rsidRPr="00A10054">
        <w:tab/>
        <w:t xml:space="preserve">APPEAL from a judgment of the Superior Court of San Diego County, </w:t>
      </w:r>
      <w:r w:rsidRPr="00A10054" w:rsidR="00C0798F">
        <w:t>Frederic</w:t>
      </w:r>
      <w:r w:rsidRPr="00A10054" w:rsidR="00D854A2">
        <w:t>k</w:t>
      </w:r>
      <w:r w:rsidRPr="00A10054" w:rsidR="00C0798F">
        <w:t xml:space="preserve"> L. Link and </w:t>
      </w:r>
      <w:r w:rsidRPr="00A10054">
        <w:t>Eugenia Eyherabide, Judges.  Affirmed.</w:t>
      </w:r>
    </w:p>
    <w:p w:rsidR="00A00D0A" w:rsidRPr="00A10054" w:rsidP="00A00D0A">
      <w:r w:rsidRPr="00A10054">
        <w:tab/>
        <w:t xml:space="preserve">Thomas E. Robertson, under appointment by the Court of Appeal, for Defendant and Appellant. </w:t>
      </w:r>
    </w:p>
    <w:p w:rsidR="00A00D0A" w:rsidRPr="00A10054" w:rsidP="00A00D0A">
      <w:r w:rsidRPr="00A10054">
        <w:tab/>
        <w:t xml:space="preserve">Rob Bonta, Attorney General, Lance E. Winters, Chief Assistant Attorney General, Charles C. Ragland, Assistant Attorney General, </w:t>
      </w:r>
      <w:r w:rsidRPr="00A10054" w:rsidR="00C82676">
        <w:t xml:space="preserve">Eric A. Swenson, </w:t>
      </w:r>
      <w:r w:rsidRPr="00A10054">
        <w:t>Junichi Semistu and Felicity Senoski, Deputy Attorneys General, for Plaintiff and Respondent.</w:t>
      </w:r>
    </w:p>
    <w:p w:rsidR="00F90495" w:rsidRPr="00A10054">
      <w:r w:rsidRPr="00A10054">
        <w:br w:type="page"/>
      </w:r>
    </w:p>
    <w:p w:rsidR="00920F38" w:rsidRPr="00A10054" w:rsidP="00A00D0A">
      <w:r w:rsidRPr="00A10054">
        <w:tab/>
        <w:t>A jury convicted Kevin Eugene Cartwright of first</w:t>
      </w:r>
      <w:r w:rsidRPr="00A10054" w:rsidR="00F90495">
        <w:t xml:space="preserve"> </w:t>
      </w:r>
      <w:r w:rsidRPr="00A10054">
        <w:t>degree murder with special circumstances (Pen. Code</w:t>
      </w:r>
      <w:r w:rsidRPr="00A10054" w:rsidR="000D192D">
        <w:t>,</w:t>
      </w:r>
      <w:r>
        <w:rPr>
          <w:rStyle w:val="FootnoteReference"/>
        </w:rPr>
        <w:footnoteReference w:id="2"/>
      </w:r>
      <w:r w:rsidRPr="00A10054">
        <w:t xml:space="preserve"> §§ 187</w:t>
      </w:r>
      <w:r w:rsidRPr="00A10054" w:rsidR="009F4FE3">
        <w:t xml:space="preserve">, subd. </w:t>
      </w:r>
      <w:r w:rsidRPr="00A10054">
        <w:t>(a), 190.2</w:t>
      </w:r>
      <w:r w:rsidRPr="00A10054" w:rsidR="009F4FE3">
        <w:t xml:space="preserve">, subd. </w:t>
      </w:r>
      <w:r w:rsidRPr="00A10054">
        <w:t>(a)(17)), robbery (§ 211), burglary (§ 459), being a felon in possession of a firearm (§</w:t>
      </w:r>
      <w:r w:rsidRPr="00A10054" w:rsidR="009F4FE3">
        <w:t> </w:t>
      </w:r>
      <w:r w:rsidRPr="00A10054">
        <w:t>29800</w:t>
      </w:r>
      <w:r w:rsidRPr="00A10054" w:rsidR="009F4FE3">
        <w:t xml:space="preserve">, subd. </w:t>
      </w:r>
      <w:r w:rsidRPr="00A10054">
        <w:t>(a)(1)), and being a prohibited person owning or possessing ammunition (§ 30305</w:t>
      </w:r>
      <w:r w:rsidRPr="00A10054" w:rsidR="009F4FE3">
        <w:t xml:space="preserve">, subd. </w:t>
      </w:r>
      <w:r w:rsidRPr="00A10054">
        <w:t xml:space="preserve">(a)(1)).  Cartwright admitted to </w:t>
      </w:r>
      <w:r w:rsidRPr="00A10054" w:rsidR="00246596">
        <w:t>eight</w:t>
      </w:r>
      <w:r w:rsidRPr="00A10054" w:rsidR="00A85966">
        <w:t xml:space="preserve"> </w:t>
      </w:r>
      <w:r w:rsidRPr="00A10054">
        <w:t xml:space="preserve">strike priors and received a </w:t>
      </w:r>
      <w:r w:rsidRPr="00A10054" w:rsidR="006B359F">
        <w:t xml:space="preserve">sentence consisting of an indeterminate prison term </w:t>
      </w:r>
      <w:r w:rsidRPr="00A10054">
        <w:t xml:space="preserve">of life without the possibility of parole plus 50 years to life, </w:t>
      </w:r>
      <w:r w:rsidRPr="00A10054" w:rsidR="006B359F">
        <w:t xml:space="preserve">and a determinate prison term of </w:t>
      </w:r>
      <w:r w:rsidRPr="00A10054">
        <w:t xml:space="preserve">20 years </w:t>
      </w:r>
      <w:r w:rsidRPr="00A10054" w:rsidR="00246596">
        <w:t xml:space="preserve">four </w:t>
      </w:r>
      <w:r w:rsidRPr="00A10054">
        <w:t xml:space="preserve">months. </w:t>
      </w:r>
    </w:p>
    <w:p w:rsidR="00920F38" w:rsidRPr="00A10054" w:rsidP="00A00D0A">
      <w:r w:rsidRPr="00A10054">
        <w:tab/>
        <w:t xml:space="preserve">The sole issue on appeal is whether </w:t>
      </w:r>
      <w:r w:rsidRPr="00A10054" w:rsidR="00BC39AC">
        <w:t xml:space="preserve">the trial court erred </w:t>
      </w:r>
      <w:r w:rsidRPr="00A10054" w:rsidR="004A703E">
        <w:t>in</w:t>
      </w:r>
      <w:r w:rsidRPr="00A10054" w:rsidR="00BC39AC">
        <w:t xml:space="preserve"> den</w:t>
      </w:r>
      <w:r w:rsidRPr="00A10054" w:rsidR="004A703E">
        <w:t>ying</w:t>
      </w:r>
      <w:r w:rsidRPr="00A10054" w:rsidR="00BC39AC">
        <w:t xml:space="preserve"> Cartwright’s motion to suppress</w:t>
      </w:r>
      <w:r w:rsidRPr="00A10054">
        <w:t xml:space="preserve"> </w:t>
      </w:r>
      <w:r w:rsidRPr="00A10054" w:rsidR="004A703E">
        <w:t>video</w:t>
      </w:r>
      <w:r w:rsidRPr="00A10054" w:rsidR="00B67513">
        <w:t xml:space="preserve"> </w:t>
      </w:r>
      <w:r w:rsidRPr="00A10054">
        <w:t>footage from the City of San Diego</w:t>
      </w:r>
      <w:r w:rsidRPr="00A10054" w:rsidR="004A703E">
        <w:t>’s</w:t>
      </w:r>
      <w:r w:rsidRPr="00A10054">
        <w:t xml:space="preserve"> (City) “City IQ” streetlight camera program</w:t>
      </w:r>
      <w:r w:rsidRPr="00A10054" w:rsidR="00BC39AC">
        <w:t xml:space="preserve"> and evidence derived from that footage.</w:t>
      </w:r>
      <w:r w:rsidRPr="00A10054">
        <w:t xml:space="preserve"> </w:t>
      </w:r>
      <w:r w:rsidRPr="00A10054" w:rsidR="004C1E3C">
        <w:t xml:space="preserve"> </w:t>
      </w:r>
      <w:r w:rsidRPr="00A10054">
        <w:t xml:space="preserve">We conclude that it did not and affirm the judgment. </w:t>
      </w:r>
    </w:p>
    <w:p w:rsidR="00A00D0A" w:rsidRPr="00A10054" w:rsidP="000D192D">
      <w:pPr>
        <w:pStyle w:val="Heading1"/>
        <w:spacing w:before="120" w:after="120"/>
        <w:jc w:val="center"/>
        <w:rPr>
          <w:rFonts w:ascii="Century Schoolbook" w:hAnsi="Century Schoolbook"/>
          <w:b w:val="0"/>
          <w:bCs w:val="0"/>
          <w:sz w:val="26"/>
          <w:szCs w:val="26"/>
        </w:rPr>
      </w:pPr>
      <w:r w:rsidRPr="00A10054">
        <w:rPr>
          <w:rFonts w:ascii="Century Schoolbook" w:hAnsi="Century Schoolbook"/>
          <w:b w:val="0"/>
          <w:bCs w:val="0"/>
          <w:sz w:val="26"/>
          <w:szCs w:val="26"/>
        </w:rPr>
        <w:t>FACTUAL AND PROCEDURAL BACKGROUND</w:t>
      </w:r>
    </w:p>
    <w:p w:rsidR="001E5DFE" w:rsidRPr="00A10054" w:rsidP="00A00D0A">
      <w:r w:rsidRPr="00A10054">
        <w:tab/>
      </w:r>
      <w:r w:rsidRPr="00A10054" w:rsidR="00920F38">
        <w:t>In the early morning on October 9, 2018, Cartwright entered an adult</w:t>
      </w:r>
      <w:r w:rsidRPr="00A10054" w:rsidR="00B67513">
        <w:t>-</w:t>
      </w:r>
      <w:r w:rsidRPr="00A10054" w:rsidR="004A703E">
        <w:t>c</w:t>
      </w:r>
      <w:r w:rsidRPr="00A10054" w:rsidR="00B67513">
        <w:t>ontent</w:t>
      </w:r>
      <w:r w:rsidRPr="00A10054" w:rsidR="00920F38">
        <w:t xml:space="preserve"> store </w:t>
      </w:r>
      <w:r w:rsidRPr="00A10054" w:rsidR="00B67513">
        <w:t xml:space="preserve">and theater </w:t>
      </w:r>
      <w:r w:rsidRPr="00A10054" w:rsidR="00920F38">
        <w:t>in San Diego with a firearm drawn</w:t>
      </w:r>
      <w:r w:rsidRPr="00A10054" w:rsidR="008948BC">
        <w:t xml:space="preserve">, </w:t>
      </w:r>
      <w:r w:rsidRPr="00A10054" w:rsidR="00920F38">
        <w:t>directed the cashier to open the register</w:t>
      </w:r>
      <w:r w:rsidRPr="00A10054" w:rsidR="008948BC">
        <w:t xml:space="preserve">, and stole the money </w:t>
      </w:r>
      <w:r w:rsidRPr="00A10054" w:rsidR="00B67513">
        <w:t>it contained</w:t>
      </w:r>
      <w:r w:rsidRPr="00A10054" w:rsidR="00920F38">
        <w:t xml:space="preserve">.  When </w:t>
      </w:r>
      <w:r w:rsidRPr="00A10054" w:rsidR="00B67513">
        <w:t>he</w:t>
      </w:r>
      <w:r w:rsidRPr="00A10054" w:rsidR="00920F38">
        <w:t xml:space="preserve"> was unsuccessful in restraining the cashier with zip ties, </w:t>
      </w:r>
      <w:r w:rsidRPr="00A10054" w:rsidR="00B67513">
        <w:t>Cartwright</w:t>
      </w:r>
      <w:r w:rsidRPr="00A10054" w:rsidR="00920F38">
        <w:t xml:space="preserve"> sent </w:t>
      </w:r>
      <w:r w:rsidRPr="00A10054" w:rsidR="00B67513">
        <w:t>him</w:t>
      </w:r>
      <w:r w:rsidRPr="00A10054" w:rsidR="00920F38">
        <w:t xml:space="preserve"> into the theater room.  There, the cashier opened the emergency exit, ush</w:t>
      </w:r>
      <w:r w:rsidRPr="00A10054" w:rsidR="00147078">
        <w:t>er</w:t>
      </w:r>
      <w:r w:rsidRPr="00A10054" w:rsidR="00920F38">
        <w:t xml:space="preserve">ed customers outside, and called the police. </w:t>
      </w:r>
    </w:p>
    <w:p w:rsidR="004D055B" w:rsidRPr="00A10054" w:rsidP="00A00D0A">
      <w:r w:rsidRPr="00A10054">
        <w:tab/>
        <w:t>The following day, October 10</w:t>
      </w:r>
      <w:r w:rsidRPr="00A10054" w:rsidR="00A35470">
        <w:t xml:space="preserve">, </w:t>
      </w:r>
      <w:r w:rsidRPr="00A10054">
        <w:t>Lorena Espinoza</w:t>
      </w:r>
      <w:r>
        <w:rPr>
          <w:rStyle w:val="FootnoteReference"/>
        </w:rPr>
        <w:footnoteReference w:id="3"/>
      </w:r>
      <w:r w:rsidRPr="00A10054">
        <w:t xml:space="preserve"> got out of Cartwright’s gold GMC Yukon wearing a purple wig and dark sunglasses.</w:t>
      </w:r>
      <w:r w:rsidRPr="00A10054" w:rsidR="008948BC">
        <w:t xml:space="preserve"> </w:t>
      </w:r>
      <w:r w:rsidRPr="00A10054">
        <w:t xml:space="preserve"> She entered a flooring store in downtown San Diego</w:t>
      </w:r>
      <w:r w:rsidRPr="00A10054" w:rsidR="006B2558">
        <w:t xml:space="preserve"> and led G.R., the owner </w:t>
      </w:r>
      <w:r w:rsidRPr="00A10054" w:rsidR="006B2558">
        <w:t>and operator, towards the back of the store</w:t>
      </w:r>
      <w:r w:rsidRPr="00A10054">
        <w:t>.</w:t>
      </w:r>
      <w:r w:rsidRPr="00A10054" w:rsidR="008948BC">
        <w:t xml:space="preserve"> Shortly thereafter</w:t>
      </w:r>
      <w:r w:rsidRPr="00A10054">
        <w:t xml:space="preserve">, Cartwright emerged from the Yukon wearing a </w:t>
      </w:r>
      <w:r w:rsidRPr="00A10054" w:rsidR="00F849E8">
        <w:t>granny</w:t>
      </w:r>
      <w:r w:rsidRPr="00A10054">
        <w:t xml:space="preserve"> mask and sunglasses.</w:t>
      </w:r>
      <w:r w:rsidRPr="00A10054" w:rsidR="004C1E3C">
        <w:t xml:space="preserve"> </w:t>
      </w:r>
      <w:r w:rsidRPr="00A10054">
        <w:t xml:space="preserve"> He entered the store</w:t>
      </w:r>
      <w:r w:rsidRPr="00A10054" w:rsidR="00147078">
        <w:t xml:space="preserve"> and</w:t>
      </w:r>
      <w:r w:rsidRPr="00A10054">
        <w:t xml:space="preserve"> incapacitated G.R</w:t>
      </w:r>
      <w:r w:rsidR="004651ED">
        <w:t>.</w:t>
      </w:r>
      <w:r w:rsidRPr="00A10054" w:rsidR="008948BC">
        <w:t xml:space="preserve"> first </w:t>
      </w:r>
      <w:r w:rsidRPr="00A10054">
        <w:t xml:space="preserve">by </w:t>
      </w:r>
      <w:r w:rsidRPr="00A10054" w:rsidR="008948BC">
        <w:t xml:space="preserve">kicking him and then shooting him three times, inflicting two </w:t>
      </w:r>
      <w:r w:rsidRPr="00A10054" w:rsidR="009B73C8">
        <w:t>gunshot</w:t>
      </w:r>
      <w:r w:rsidRPr="00A10054" w:rsidR="008948BC">
        <w:t xml:space="preserve"> wounds and one graze wound.</w:t>
      </w:r>
      <w:r w:rsidRPr="00A10054">
        <w:t xml:space="preserve">  </w:t>
      </w:r>
      <w:r w:rsidRPr="00A10054" w:rsidR="006555ED">
        <w:t xml:space="preserve">G.R. died as a result of these wounds.  </w:t>
      </w:r>
    </w:p>
    <w:p w:rsidR="00920F38" w:rsidRPr="00A10054" w:rsidP="008128F8">
      <w:pPr>
        <w:ind w:firstLine="720"/>
      </w:pPr>
      <w:r w:rsidRPr="00A10054">
        <w:t xml:space="preserve">Cartwright </w:t>
      </w:r>
      <w:r w:rsidRPr="00A10054" w:rsidR="00F849E8">
        <w:t>returned</w:t>
      </w:r>
      <w:r w:rsidRPr="00A10054" w:rsidR="006B2558">
        <w:t xml:space="preserve"> </w:t>
      </w:r>
      <w:r w:rsidRPr="00A10054" w:rsidR="00BC39AC">
        <w:t>to the front of the store with a prybar</w:t>
      </w:r>
      <w:r w:rsidRPr="00A10054" w:rsidR="006B2558">
        <w:t xml:space="preserve">, which he used to open the </w:t>
      </w:r>
      <w:r w:rsidRPr="00A10054" w:rsidR="008948BC">
        <w:t>register</w:t>
      </w:r>
      <w:r w:rsidRPr="00A10054" w:rsidR="00BC39AC">
        <w:t>.</w:t>
      </w:r>
      <w:r w:rsidRPr="00A10054">
        <w:t xml:space="preserve">  Cartwright and Espinoza </w:t>
      </w:r>
      <w:r w:rsidRPr="00A10054" w:rsidR="002270D2">
        <w:t xml:space="preserve">then </w:t>
      </w:r>
      <w:r w:rsidRPr="00A10054">
        <w:t>left the flooring business</w:t>
      </w:r>
      <w:r w:rsidRPr="00A10054" w:rsidR="003D1E5A">
        <w:t xml:space="preserve">. </w:t>
      </w:r>
      <w:r w:rsidRPr="00A10054" w:rsidR="006B2558">
        <w:t xml:space="preserve"> </w:t>
      </w:r>
      <w:r w:rsidRPr="00A10054">
        <w:t>Espinoza returned to the Yukon and drove it away.</w:t>
      </w:r>
      <w:r w:rsidRPr="00A10054" w:rsidR="008948BC">
        <w:t xml:space="preserve"> </w:t>
      </w:r>
      <w:r w:rsidRPr="00A10054">
        <w:t xml:space="preserve"> Cartwright walked behind a nearby clothing store and removed his mask</w:t>
      </w:r>
      <w:r w:rsidRPr="00A10054" w:rsidR="00900079">
        <w:t>, an action captured by the store’s security camera</w:t>
      </w:r>
      <w:r w:rsidRPr="00A10054">
        <w:t xml:space="preserve">. </w:t>
      </w:r>
      <w:r w:rsidRPr="00A10054" w:rsidR="00A4409A">
        <w:t xml:space="preserve"> </w:t>
      </w:r>
      <w:r w:rsidRPr="00A10054" w:rsidR="004A703E">
        <w:t>He then</w:t>
      </w:r>
      <w:r w:rsidRPr="00A10054" w:rsidR="003141A2">
        <w:t xml:space="preserve"> used two different white sedans to leave the area. </w:t>
      </w:r>
      <w:r w:rsidRPr="00A10054">
        <w:t xml:space="preserve"> </w:t>
      </w:r>
    </w:p>
    <w:p w:rsidR="00D7348A" w:rsidRPr="00A10054" w:rsidP="00A00D0A">
      <w:r w:rsidRPr="00A10054">
        <w:tab/>
      </w:r>
      <w:r w:rsidRPr="00A10054" w:rsidR="003141A2">
        <w:t>An</w:t>
      </w:r>
      <w:r w:rsidRPr="00A10054">
        <w:t xml:space="preserve"> investigating detective accessed </w:t>
      </w:r>
      <w:r w:rsidRPr="00A10054" w:rsidR="004A703E">
        <w:t xml:space="preserve">the </w:t>
      </w:r>
      <w:r w:rsidR="00FB2334">
        <w:t>City IQ</w:t>
      </w:r>
      <w:r w:rsidRPr="00A10054">
        <w:t xml:space="preserve"> streetlight </w:t>
      </w:r>
      <w:r w:rsidRPr="00A10054" w:rsidR="003141A2">
        <w:t>camera footage</w:t>
      </w:r>
      <w:r w:rsidRPr="00A10054">
        <w:t>.</w:t>
      </w:r>
      <w:r w:rsidRPr="00A10054" w:rsidR="003141A2">
        <w:t xml:space="preserve"> </w:t>
      </w:r>
      <w:r w:rsidRPr="00A10054">
        <w:t xml:space="preserve"> The cameras are not “situated so they could peer into businesses or residences” and capture </w:t>
      </w:r>
      <w:r w:rsidRPr="00A10054" w:rsidR="008948BC">
        <w:t xml:space="preserve">only </w:t>
      </w:r>
      <w:r w:rsidRPr="00A10054">
        <w:t>the “public right of way.”  The</w:t>
      </w:r>
      <w:r w:rsidRPr="00A10054" w:rsidR="004A703E">
        <w:t>y</w:t>
      </w:r>
      <w:r w:rsidRPr="00A10054">
        <w:t xml:space="preserve"> are fixed position and </w:t>
      </w:r>
      <w:r w:rsidRPr="00A10054" w:rsidR="004A703E">
        <w:t>located</w:t>
      </w:r>
      <w:r w:rsidRPr="00A10054">
        <w:t xml:space="preserve"> throughout downtown San Diego</w:t>
      </w:r>
      <w:r w:rsidRPr="00A10054" w:rsidR="003141A2">
        <w:t xml:space="preserve"> and other parts of the city</w:t>
      </w:r>
      <w:r w:rsidRPr="00A10054" w:rsidR="008948BC">
        <w:t>.</w:t>
      </w:r>
      <w:r w:rsidRPr="00A10054" w:rsidR="003141A2">
        <w:t xml:space="preserve">  </w:t>
      </w:r>
      <w:r w:rsidRPr="00A10054">
        <w:t>The devices capture</w:t>
      </w:r>
      <w:r w:rsidRPr="00A10054" w:rsidR="00594FBF">
        <w:t xml:space="preserve"> “</w:t>
      </w:r>
      <w:r w:rsidRPr="00A10054">
        <w:t>environmental data, like temperature, humidity, pressure, . . .</w:t>
      </w:r>
      <w:r w:rsidRPr="00A10054" w:rsidR="00910D3B">
        <w:t xml:space="preserve"> </w:t>
      </w:r>
      <w:r w:rsidRPr="00A10054">
        <w:t>traffic data, like car speeds, car counts, pedestrian data, bicycle data, and even video data.”</w:t>
      </w:r>
      <w:r w:rsidRPr="00A10054" w:rsidR="00594FBF">
        <w:t xml:space="preserve"> </w:t>
      </w:r>
      <w:r w:rsidRPr="00A10054" w:rsidR="003141A2">
        <w:t xml:space="preserve"> </w:t>
      </w:r>
      <w:r w:rsidRPr="00A10054" w:rsidR="00594FBF">
        <w:t xml:space="preserve">The video feature creates </w:t>
      </w:r>
      <w:r w:rsidRPr="00A10054">
        <w:t>high quality wide lens footage</w:t>
      </w:r>
      <w:r w:rsidRPr="00A10054" w:rsidR="00F849E8">
        <w:t xml:space="preserve">, but </w:t>
      </w:r>
      <w:r w:rsidRPr="00A10054" w:rsidR="00594FBF">
        <w:t>the devices do</w:t>
      </w:r>
      <w:r w:rsidRPr="00A10054" w:rsidR="00F849E8">
        <w:t xml:space="preserve"> not record sound and do not act as gunshot detectors</w:t>
      </w:r>
      <w:r w:rsidR="00602734">
        <w:t xml:space="preserve"> because the</w:t>
      </w:r>
      <w:r w:rsidR="00295E67">
        <w:t xml:space="preserve"> City did not “enable the microphones</w:t>
      </w:r>
      <w:r w:rsidRPr="00A10054">
        <w:t>.</w:t>
      </w:r>
      <w:r w:rsidR="00295E67">
        <w:t>”</w:t>
      </w:r>
      <w:r w:rsidRPr="00A10054" w:rsidR="00594FBF">
        <w:t xml:space="preserve"> </w:t>
      </w:r>
      <w:r w:rsidRPr="00A10054">
        <w:t xml:space="preserve"> </w:t>
      </w:r>
      <w:r w:rsidRPr="00A10054" w:rsidR="00F849E8">
        <w:t>Footage is stored on each camera’s hard</w:t>
      </w:r>
      <w:r w:rsidRPr="00A10054" w:rsidR="00594FBF">
        <w:t xml:space="preserve"> </w:t>
      </w:r>
      <w:r w:rsidRPr="00A10054" w:rsidR="00F849E8">
        <w:t xml:space="preserve">drive for five days; if it is not retrieved within </w:t>
      </w:r>
      <w:r w:rsidRPr="00A10054" w:rsidR="00034723">
        <w:t xml:space="preserve">five </w:t>
      </w:r>
      <w:r w:rsidRPr="00A10054" w:rsidR="00F849E8">
        <w:t>days, the camera records over the footage.</w:t>
      </w:r>
      <w:r w:rsidRPr="00A10054" w:rsidR="00594FBF">
        <w:t xml:space="preserve"> </w:t>
      </w:r>
      <w:r w:rsidRPr="00A10054" w:rsidR="00F849E8">
        <w:t xml:space="preserve"> </w:t>
      </w:r>
    </w:p>
    <w:p w:rsidR="00D7348A" w:rsidRPr="00A10054" w:rsidP="00A00D0A">
      <w:r w:rsidRPr="00A10054">
        <w:tab/>
      </w:r>
      <w:r w:rsidRPr="00A10054" w:rsidR="00A35470">
        <w:t>Video</w:t>
      </w:r>
      <w:r w:rsidRPr="00A10054">
        <w:t xml:space="preserve"> from the streetlight cameras revealed which vehicle Cartwright and Espinoza </w:t>
      </w:r>
      <w:r w:rsidRPr="00A10054" w:rsidR="00594FBF">
        <w:t>drove to the flooring store</w:t>
      </w:r>
      <w:r w:rsidRPr="00A10054">
        <w:t>.</w:t>
      </w:r>
      <w:r w:rsidRPr="00A10054" w:rsidR="008948BC">
        <w:t xml:space="preserve"> </w:t>
      </w:r>
      <w:r w:rsidRPr="00A10054">
        <w:t xml:space="preserve"> Querying </w:t>
      </w:r>
      <w:r w:rsidRPr="00A10054" w:rsidR="007D3A48">
        <w:t xml:space="preserve">Department of Motor Vehicle </w:t>
      </w:r>
      <w:r w:rsidRPr="00A10054">
        <w:t xml:space="preserve">records </w:t>
      </w:r>
      <w:r w:rsidRPr="00A10054" w:rsidR="004A703E">
        <w:t>disclosed</w:t>
      </w:r>
      <w:r w:rsidRPr="00A10054">
        <w:t xml:space="preserve"> Cartwright as the owner of the vehicle.</w:t>
      </w:r>
      <w:r w:rsidRPr="00A10054" w:rsidR="00910D3B">
        <w:t xml:space="preserve"> </w:t>
      </w:r>
      <w:r w:rsidRPr="00A10054">
        <w:t xml:space="preserve"> Police arrested Cartwright and, in a subsequent search, found evidence linking him to both the robbery of the adult store</w:t>
      </w:r>
      <w:r w:rsidRPr="00A10054" w:rsidR="005C15ED">
        <w:t>,</w:t>
      </w:r>
      <w:r w:rsidRPr="00A10054">
        <w:t xml:space="preserve"> and the robbery and homicide at the flooring store. </w:t>
      </w:r>
    </w:p>
    <w:p w:rsidR="00BC39AC" w:rsidRPr="00A10054" w:rsidP="00A00D0A">
      <w:r w:rsidRPr="00A10054">
        <w:tab/>
        <w:t>Cartwright moved to suppress the evidence obtaine</w:t>
      </w:r>
      <w:r w:rsidRPr="00A10054" w:rsidR="00D7348A">
        <w:t>d as a result of</w:t>
      </w:r>
      <w:r w:rsidRPr="00A10054">
        <w:t xml:space="preserve"> the streetlight camera</w:t>
      </w:r>
      <w:r w:rsidRPr="00A10054" w:rsidR="00594FBF">
        <w:t xml:space="preserve"> footage</w:t>
      </w:r>
      <w:r w:rsidRPr="00A10054">
        <w:t>.</w:t>
      </w:r>
      <w:r w:rsidRPr="00A10054" w:rsidR="00D7348A">
        <w:t xml:space="preserve">  The trial court denied his motion.</w:t>
      </w:r>
      <w:r w:rsidRPr="00A10054" w:rsidR="00594FBF">
        <w:t xml:space="preserve"> </w:t>
      </w:r>
    </w:p>
    <w:p w:rsidR="00A00D0A" w:rsidRPr="00A10054" w:rsidP="00C43205">
      <w:pPr>
        <w:pStyle w:val="Heading1"/>
        <w:spacing w:before="120" w:after="120"/>
        <w:jc w:val="center"/>
        <w:rPr>
          <w:rFonts w:ascii="Century Schoolbook" w:hAnsi="Century Schoolbook"/>
          <w:b w:val="0"/>
          <w:bCs w:val="0"/>
          <w:sz w:val="26"/>
          <w:szCs w:val="26"/>
        </w:rPr>
      </w:pPr>
      <w:r w:rsidRPr="00A10054">
        <w:rPr>
          <w:rFonts w:ascii="Century Schoolbook" w:hAnsi="Century Schoolbook"/>
          <w:b w:val="0"/>
          <w:bCs w:val="0"/>
          <w:sz w:val="26"/>
          <w:szCs w:val="26"/>
        </w:rPr>
        <w:t>DISCUSSION</w:t>
      </w:r>
    </w:p>
    <w:p w:rsidR="00920F38" w:rsidRPr="00A10054" w:rsidP="00A00D0A">
      <w:r w:rsidRPr="00A10054">
        <w:tab/>
        <w:t>Cartwright contends the police conducted a warrantless search when they accessed streetlight camera footage maintained by City.</w:t>
      </w:r>
      <w:r w:rsidRPr="00A10054" w:rsidR="00910D3B">
        <w:t xml:space="preserve"> </w:t>
      </w:r>
      <w:r w:rsidRPr="00A10054">
        <w:t xml:space="preserve"> He </w:t>
      </w:r>
      <w:r w:rsidRPr="00A10054" w:rsidR="008948BC">
        <w:t>further asserts that, but for</w:t>
      </w:r>
      <w:r w:rsidRPr="00A10054">
        <w:t xml:space="preserve"> this alleged improper search, the police would not have learned his identity</w:t>
      </w:r>
      <w:r w:rsidRPr="00A10054" w:rsidR="008948BC">
        <w:t xml:space="preserve"> and, consequently, evidence that resulted from the streetlight camera footage</w:t>
      </w:r>
      <w:r w:rsidRPr="00A10054">
        <w:t xml:space="preserve"> is fruit of the poisonous tree. </w:t>
      </w:r>
    </w:p>
    <w:p w:rsidR="00BC39AC" w:rsidRPr="00A10054" w:rsidP="00A00D0A">
      <w:r w:rsidRPr="00A10054">
        <w:tab/>
        <w:t xml:space="preserve">The standard of review of a trial court’s ruling on a motion to suppress is well established. </w:t>
      </w:r>
      <w:r w:rsidRPr="00A10054" w:rsidR="009E30F1">
        <w:t xml:space="preserve"> </w:t>
      </w:r>
      <w:r w:rsidRPr="00A10054">
        <w:t>(</w:t>
      </w:r>
      <w:r w:rsidRPr="00A10054">
        <w:rPr>
          <w:i/>
          <w:iCs/>
        </w:rPr>
        <w:t>People v. Glaser</w:t>
      </w:r>
      <w:r w:rsidRPr="00A10054">
        <w:t xml:space="preserve"> (1995) 11 Cal.4th 354, 362.) </w:t>
      </w:r>
      <w:r w:rsidRPr="00A10054" w:rsidR="009E30F1">
        <w:t xml:space="preserve"> </w:t>
      </w:r>
      <w:r w:rsidRPr="00A10054">
        <w:t xml:space="preserve">On appeal, we examine whether the trial court’s factual findings are supported by substantial evidence. </w:t>
      </w:r>
      <w:r w:rsidRPr="00A10054" w:rsidR="009E30F1">
        <w:t xml:space="preserve"> </w:t>
      </w:r>
      <w:r w:rsidRPr="00A10054">
        <w:t>(</w:t>
      </w:r>
      <w:r w:rsidRPr="00A10054">
        <w:rPr>
          <w:i/>
          <w:iCs/>
        </w:rPr>
        <w:t>Ibid.</w:t>
      </w:r>
      <w:r w:rsidRPr="00A10054">
        <w:t xml:space="preserve">; </w:t>
      </w:r>
      <w:r w:rsidRPr="00A10054">
        <w:rPr>
          <w:i/>
          <w:iCs/>
        </w:rPr>
        <w:t>People v. Camacho</w:t>
      </w:r>
      <w:r w:rsidRPr="00A10054">
        <w:t xml:space="preserve"> (2003) 23 Cal.4th 824, 830.) </w:t>
      </w:r>
      <w:r w:rsidRPr="00A10054" w:rsidR="009E30F1">
        <w:t xml:space="preserve"> </w:t>
      </w:r>
      <w:r w:rsidRPr="00A10054">
        <w:t>We then exercise our independent judgment in determining whether a search occurred and was reasonable under the Fourth Amendment.</w:t>
      </w:r>
      <w:r w:rsidRPr="00A10054" w:rsidR="009E30F1">
        <w:t xml:space="preserve"> </w:t>
      </w:r>
      <w:r w:rsidRPr="00A10054">
        <w:t xml:space="preserve"> (</w:t>
      </w:r>
      <w:r w:rsidRPr="00A10054">
        <w:rPr>
          <w:i/>
          <w:iCs/>
        </w:rPr>
        <w:t>Camacho</w:t>
      </w:r>
      <w:r w:rsidRPr="00A10054">
        <w:t>, at p.</w:t>
      </w:r>
      <w:r w:rsidRPr="00A10054" w:rsidR="001257F7">
        <w:t> </w:t>
      </w:r>
      <w:r w:rsidRPr="00A10054">
        <w:t>830.)</w:t>
      </w:r>
    </w:p>
    <w:p w:rsidR="009B73C8" w:rsidRPr="00A10054" w:rsidP="00A00D0A">
      <w:r w:rsidRPr="00A10054">
        <w:tab/>
        <w:t xml:space="preserve">The Fourth Amendment to the United States Constitution protects against unreasonable searches and seizures. </w:t>
      </w:r>
      <w:r w:rsidRPr="00A10054" w:rsidR="009E30F1">
        <w:t xml:space="preserve"> </w:t>
      </w:r>
      <w:r w:rsidRPr="00A10054">
        <w:t xml:space="preserve">(U.S. Const., 4th Amend.) </w:t>
      </w:r>
      <w:r w:rsidRPr="00A10054" w:rsidR="009E30F1">
        <w:t xml:space="preserve"> </w:t>
      </w:r>
      <w:r w:rsidRPr="00A10054" w:rsidR="003E48FB">
        <w:t>It</w:t>
      </w:r>
      <w:r w:rsidRPr="00A10054" w:rsidR="009E30F1">
        <w:t> </w:t>
      </w:r>
      <w:r w:rsidRPr="00A10054" w:rsidR="003E48FB">
        <w:t>“</w:t>
      </w:r>
      <w:r w:rsidRPr="00A10054">
        <w:t>protects an individual’s reasonable expectation of privacy against unreasonable intrusion on the part of the government.”</w:t>
      </w:r>
      <w:r w:rsidRPr="00A10054" w:rsidR="009E30F1">
        <w:t xml:space="preserve"> </w:t>
      </w:r>
      <w:r w:rsidRPr="00A10054">
        <w:t xml:space="preserve"> (</w:t>
      </w:r>
      <w:r w:rsidRPr="00A10054">
        <w:rPr>
          <w:i/>
          <w:iCs/>
        </w:rPr>
        <w:t>People v. Jenkins</w:t>
      </w:r>
      <w:r w:rsidRPr="00A10054">
        <w:t xml:space="preserve"> (2000) 22 Cal.4th 900, 971.) </w:t>
      </w:r>
      <w:r w:rsidRPr="00A10054" w:rsidR="009E30F1">
        <w:t xml:space="preserve"> </w:t>
      </w:r>
      <w:r w:rsidRPr="00A10054">
        <w:t>To successfully claim Fourth Amendment protection, “ ‘a defendant must demonstrate that he personally has an expectation of privacy in the place searched, and that his expectation is reasonable.’ ”  (</w:t>
      </w:r>
      <w:r w:rsidRPr="00A10054" w:rsidR="009111F7">
        <w:rPr>
          <w:i/>
          <w:iCs/>
        </w:rPr>
        <w:t xml:space="preserve">Jenkins, </w:t>
      </w:r>
      <w:r w:rsidRPr="00A10054">
        <w:t>at p. 972.)</w:t>
      </w:r>
      <w:r w:rsidRPr="00A10054" w:rsidR="009E30F1">
        <w:t xml:space="preserve"> </w:t>
      </w:r>
      <w:r w:rsidRPr="00A10054">
        <w:t xml:space="preserve"> “ ‘In other words, the defendant must show that he or she had a subjective expectation of privacy that was objectively reasonable.’ ”</w:t>
      </w:r>
      <w:r w:rsidRPr="00A10054" w:rsidR="009E30F1">
        <w:t xml:space="preserve"> </w:t>
      </w:r>
      <w:r w:rsidRPr="00A10054">
        <w:t xml:space="preserve"> (</w:t>
      </w:r>
      <w:r w:rsidRPr="00A10054">
        <w:rPr>
          <w:i/>
          <w:iCs/>
        </w:rPr>
        <w:t>People v. Ayala</w:t>
      </w:r>
      <w:r w:rsidRPr="00A10054">
        <w:t xml:space="preserve"> (2000) 23 Cal.4th 225, 255.) </w:t>
      </w:r>
      <w:r w:rsidRPr="00A10054" w:rsidR="009E30F1">
        <w:t xml:space="preserve"> </w:t>
      </w:r>
      <w:r w:rsidRPr="00A10054">
        <w:t xml:space="preserve">Applying these principles, we conclude Cartwright did not have an objectively reasonable expectation of privacy when </w:t>
      </w:r>
      <w:r w:rsidRPr="00A10054" w:rsidR="003E48FB">
        <w:t>he traversed a</w:t>
      </w:r>
      <w:r w:rsidRPr="00A10054">
        <w:t xml:space="preserve"> public right of way </w:t>
      </w:r>
      <w:r w:rsidRPr="00A10054" w:rsidR="003E48FB">
        <w:t xml:space="preserve">in </w:t>
      </w:r>
      <w:r w:rsidRPr="00A10054">
        <w:t xml:space="preserve">downtown </w:t>
      </w:r>
      <w:r w:rsidRPr="00A10054" w:rsidR="003E48FB">
        <w:t xml:space="preserve">San Diego </w:t>
      </w:r>
      <w:r w:rsidRPr="00A10054">
        <w:t xml:space="preserve">in the middle of a business day. </w:t>
      </w:r>
    </w:p>
    <w:p w:rsidR="00B044C9" w:rsidRPr="00A10054" w:rsidP="00A00D0A">
      <w:r w:rsidRPr="00A10054">
        <w:tab/>
      </w:r>
      <w:r w:rsidRPr="00A10054" w:rsidR="00BC39AC">
        <w:t xml:space="preserve">Cartwright relies upon </w:t>
      </w:r>
      <w:r w:rsidRPr="00A10054" w:rsidR="00FC4FC4">
        <w:rPr>
          <w:i/>
          <w:iCs/>
        </w:rPr>
        <w:t xml:space="preserve">Carpenter v. United States </w:t>
      </w:r>
      <w:r w:rsidRPr="00A10054" w:rsidR="00FC4FC4">
        <w:t>(2018) 138 S.Ct. 2206 (</w:t>
      </w:r>
      <w:r w:rsidRPr="00A10054" w:rsidR="00FC4FC4">
        <w:rPr>
          <w:i/>
          <w:iCs/>
        </w:rPr>
        <w:t>Carpenter</w:t>
      </w:r>
      <w:r w:rsidRPr="00A10054" w:rsidR="00FC4FC4">
        <w:t xml:space="preserve">) and </w:t>
      </w:r>
      <w:r w:rsidRPr="00A10054" w:rsidR="00BC39AC">
        <w:rPr>
          <w:i/>
          <w:iCs/>
        </w:rPr>
        <w:t>Leaders of a Beautiful Struggle v. Balt</w:t>
      </w:r>
      <w:r w:rsidRPr="00A10054" w:rsidR="00ED4334">
        <w:rPr>
          <w:i/>
          <w:iCs/>
        </w:rPr>
        <w:t>.</w:t>
      </w:r>
      <w:r w:rsidRPr="00A10054" w:rsidR="00BC39AC">
        <w:rPr>
          <w:i/>
          <w:iCs/>
        </w:rPr>
        <w:t xml:space="preserve"> Police Dep</w:t>
      </w:r>
      <w:r w:rsidRPr="00A10054" w:rsidR="005D06A1">
        <w:rPr>
          <w:i/>
          <w:iCs/>
        </w:rPr>
        <w:t>’</w:t>
      </w:r>
      <w:r w:rsidRPr="00A10054" w:rsidR="00BC39AC">
        <w:rPr>
          <w:i/>
          <w:iCs/>
        </w:rPr>
        <w:t xml:space="preserve">t </w:t>
      </w:r>
      <w:r w:rsidRPr="00A10054" w:rsidR="00BC39AC">
        <w:t>(</w:t>
      </w:r>
      <w:r w:rsidRPr="00A10054" w:rsidR="00FC4FC4">
        <w:t xml:space="preserve">4th Cir. </w:t>
      </w:r>
      <w:r w:rsidRPr="00A10054" w:rsidR="00BC39AC">
        <w:t>2021) 2 F.4th 330 (</w:t>
      </w:r>
      <w:r w:rsidRPr="00A10054" w:rsidR="00BC39AC">
        <w:rPr>
          <w:i/>
          <w:iCs/>
        </w:rPr>
        <w:t>Beautiful Struggle</w:t>
      </w:r>
      <w:r w:rsidRPr="00A10054" w:rsidR="00BC39AC">
        <w:t xml:space="preserve">) to argue that </w:t>
      </w:r>
      <w:r w:rsidRPr="00A10054">
        <w:t>he had an objectively reasonable expectation of privacy.</w:t>
      </w:r>
      <w:r w:rsidRPr="00A10054" w:rsidR="00DB0ED5">
        <w:t xml:space="preserve"> </w:t>
      </w:r>
      <w:r w:rsidRPr="00A10054">
        <w:t xml:space="preserve"> He </w:t>
      </w:r>
      <w:r w:rsidRPr="00A10054" w:rsidR="003E48FB">
        <w:t>suggests</w:t>
      </w:r>
      <w:r w:rsidRPr="00A10054" w:rsidR="008128F8">
        <w:t xml:space="preserve"> </w:t>
      </w:r>
      <w:r w:rsidRPr="00A10054">
        <w:t xml:space="preserve">that </w:t>
      </w:r>
      <w:r w:rsidRPr="00A10054" w:rsidR="00BC39AC">
        <w:t>accessing the recordings from the City’s streetlight cameras</w:t>
      </w:r>
      <w:r w:rsidRPr="00A10054">
        <w:t xml:space="preserve"> </w:t>
      </w:r>
      <w:r w:rsidRPr="00A10054" w:rsidR="003E48FB">
        <w:t>amounted to</w:t>
      </w:r>
      <w:r w:rsidRPr="00A10054" w:rsidR="00BC39AC">
        <w:t xml:space="preserve"> a search </w:t>
      </w:r>
      <w:r w:rsidRPr="00A10054" w:rsidR="003E48FB">
        <w:t xml:space="preserve">within the meaning of the Fourth Amendment </w:t>
      </w:r>
      <w:r w:rsidRPr="00A10054" w:rsidR="00BC39AC">
        <w:t xml:space="preserve">and, consequently, required a warrant. </w:t>
      </w:r>
      <w:r w:rsidRPr="00A10054" w:rsidR="009E30F1">
        <w:t xml:space="preserve"> </w:t>
      </w:r>
      <w:r w:rsidRPr="00A10054">
        <w:t>Cartwright’s</w:t>
      </w:r>
      <w:r w:rsidR="004651ED">
        <w:t xml:space="preserve"> </w:t>
      </w:r>
      <w:r w:rsidRPr="00A10054">
        <w:t xml:space="preserve">reliance on this precedent is </w:t>
      </w:r>
      <w:r w:rsidRPr="00A10054" w:rsidR="00A35470">
        <w:t>misplaced</w:t>
      </w:r>
      <w:r w:rsidRPr="00A10054">
        <w:t>.</w:t>
      </w:r>
    </w:p>
    <w:p w:rsidR="003B2ED4" w:rsidRPr="00A10054" w:rsidP="00A00D0A">
      <w:r w:rsidRPr="00A10054">
        <w:tab/>
        <w:t>The</w:t>
      </w:r>
      <w:r w:rsidRPr="00A10054" w:rsidR="00FC4FC4">
        <w:t xml:space="preserve"> </w:t>
      </w:r>
      <w:r w:rsidRPr="00A10054" w:rsidR="001A7F14">
        <w:t xml:space="preserve">United States </w:t>
      </w:r>
      <w:r w:rsidRPr="00A10054" w:rsidR="00FC4FC4">
        <w:t>Supreme Court in</w:t>
      </w:r>
      <w:r w:rsidRPr="00A10054">
        <w:t xml:space="preserve"> </w:t>
      </w:r>
      <w:r w:rsidRPr="00A10054">
        <w:rPr>
          <w:i/>
          <w:iCs/>
        </w:rPr>
        <w:t>Carpenter</w:t>
      </w:r>
      <w:r w:rsidRPr="00A10054">
        <w:t xml:space="preserve"> court addressed the </w:t>
      </w:r>
      <w:r w:rsidRPr="00A10054" w:rsidR="004340C6">
        <w:t xml:space="preserve">warrantless collection </w:t>
      </w:r>
      <w:r w:rsidRPr="00A10054">
        <w:t>of cell</w:t>
      </w:r>
      <w:r w:rsidRPr="00A10054" w:rsidR="004340C6">
        <w:t>-</w:t>
      </w:r>
      <w:r w:rsidRPr="00A10054">
        <w:t xml:space="preserve">site location information </w:t>
      </w:r>
      <w:r w:rsidRPr="00A10054" w:rsidR="004340C6">
        <w:t xml:space="preserve">and its subsequent use </w:t>
      </w:r>
      <w:r w:rsidRPr="00A10054">
        <w:t>in reconstructing a suspect’s movement over the course of 127 days.</w:t>
      </w:r>
      <w:r w:rsidRPr="00A10054" w:rsidR="009E30F1">
        <w:t xml:space="preserve"> </w:t>
      </w:r>
      <w:r w:rsidRPr="00A10054">
        <w:t xml:space="preserve"> </w:t>
      </w:r>
      <w:r w:rsidRPr="00A10054" w:rsidR="001812D3">
        <w:t>(</w:t>
      </w:r>
      <w:r w:rsidRPr="00A10054" w:rsidR="001812D3">
        <w:rPr>
          <w:i/>
          <w:iCs/>
        </w:rPr>
        <w:t>Carpenter, supra</w:t>
      </w:r>
      <w:r w:rsidRPr="00A10054" w:rsidR="001812D3">
        <w:t>, 138 S.Ct. at p.</w:t>
      </w:r>
      <w:r w:rsidRPr="00A10054" w:rsidR="007274F1">
        <w:t xml:space="preserve"> 2212</w:t>
      </w:r>
      <w:r w:rsidRPr="00A10054" w:rsidR="0021644B">
        <w:t>.</w:t>
      </w:r>
      <w:r w:rsidRPr="00A10054" w:rsidR="001812D3">
        <w:t>)</w:t>
      </w:r>
      <w:r w:rsidRPr="00A10054" w:rsidR="001812D3">
        <w:rPr>
          <w:i/>
          <w:iCs/>
        </w:rPr>
        <w:t xml:space="preserve"> </w:t>
      </w:r>
      <w:r w:rsidRPr="00A10054" w:rsidR="009E30F1">
        <w:rPr>
          <w:i/>
          <w:iCs/>
        </w:rPr>
        <w:t xml:space="preserve"> </w:t>
      </w:r>
      <w:r w:rsidRPr="00A10054">
        <w:t xml:space="preserve">This information </w:t>
      </w:r>
      <w:r w:rsidRPr="00A10054" w:rsidR="004340C6">
        <w:t>linked Carpenter to a series of robberies</w:t>
      </w:r>
      <w:r w:rsidRPr="00A10054" w:rsidR="00FA24FE">
        <w:t xml:space="preserve"> and led </w:t>
      </w:r>
      <w:r w:rsidRPr="00A10054" w:rsidR="004340C6">
        <w:t xml:space="preserve">to his conviction. </w:t>
      </w:r>
      <w:r w:rsidRPr="00A10054" w:rsidR="009E30F1">
        <w:t xml:space="preserve"> </w:t>
      </w:r>
      <w:r w:rsidRPr="00A10054" w:rsidR="001812D3">
        <w:t>(</w:t>
      </w:r>
      <w:r w:rsidRPr="00A10054" w:rsidR="001812D3">
        <w:rPr>
          <w:i/>
          <w:iCs/>
        </w:rPr>
        <w:t>Id.</w:t>
      </w:r>
      <w:r w:rsidRPr="00A10054" w:rsidR="001812D3">
        <w:t xml:space="preserve"> at p.</w:t>
      </w:r>
      <w:r w:rsidRPr="00A10054" w:rsidR="007274F1">
        <w:t xml:space="preserve"> 2213</w:t>
      </w:r>
      <w:r w:rsidRPr="00A10054" w:rsidR="009E30F1">
        <w:t>.</w:t>
      </w:r>
      <w:r w:rsidRPr="00A10054" w:rsidR="001812D3">
        <w:t>)</w:t>
      </w:r>
      <w:r w:rsidRPr="00A10054" w:rsidR="009E30F1">
        <w:t xml:space="preserve"> </w:t>
      </w:r>
      <w:r w:rsidRPr="00A10054" w:rsidR="001812D3">
        <w:t xml:space="preserve"> The </w:t>
      </w:r>
      <w:r w:rsidRPr="00A10054" w:rsidR="00FA24FE">
        <w:t>Court held that t</w:t>
      </w:r>
      <w:r w:rsidRPr="00A10054" w:rsidR="004340C6">
        <w:t>he government’s acquisition of the cell-site</w:t>
      </w:r>
      <w:r w:rsidRPr="00A10054" w:rsidR="00EA2103">
        <w:t xml:space="preserve"> records </w:t>
      </w:r>
      <w:r w:rsidRPr="00A10054" w:rsidR="007274F1">
        <w:t>invaded Carpenter’s reasonable expectation of privacy and constituted a search in violation of the Fourth Amendment</w:t>
      </w:r>
      <w:r w:rsidRPr="00A10054" w:rsidR="00EA2103">
        <w:t xml:space="preserve">. </w:t>
      </w:r>
      <w:r w:rsidRPr="00A10054" w:rsidR="00677CA7">
        <w:t xml:space="preserve"> </w:t>
      </w:r>
      <w:r w:rsidRPr="00A10054" w:rsidR="001812D3">
        <w:t>(</w:t>
      </w:r>
      <w:r w:rsidRPr="00A10054" w:rsidR="001812D3">
        <w:rPr>
          <w:i/>
          <w:iCs/>
        </w:rPr>
        <w:t xml:space="preserve">Id. </w:t>
      </w:r>
      <w:r w:rsidRPr="00A10054" w:rsidR="001812D3">
        <w:t>at p</w:t>
      </w:r>
      <w:r w:rsidRPr="00A10054" w:rsidR="007274F1">
        <w:t>p</w:t>
      </w:r>
      <w:r w:rsidRPr="00A10054" w:rsidR="001812D3">
        <w:t>.</w:t>
      </w:r>
      <w:r w:rsidRPr="00A10054" w:rsidR="007274F1">
        <w:t xml:space="preserve"> 2219,</w:t>
      </w:r>
      <w:r w:rsidRPr="00A10054" w:rsidR="005C15ED">
        <w:t xml:space="preserve"> </w:t>
      </w:r>
      <w:r w:rsidRPr="00A10054" w:rsidR="007274F1">
        <w:t>2223</w:t>
      </w:r>
      <w:r w:rsidRPr="00A10054" w:rsidR="005C15ED">
        <w:t xml:space="preserve">.)  </w:t>
      </w:r>
      <w:r w:rsidRPr="00A10054" w:rsidR="00FA24FE">
        <w:t>Maintaining the special level of privacy for cell phones set forth</w:t>
      </w:r>
      <w:r w:rsidRPr="00A10054" w:rsidR="0082343A">
        <w:t xml:space="preserve"> in </w:t>
      </w:r>
      <w:r w:rsidRPr="00A10054" w:rsidR="0082343A">
        <w:rPr>
          <w:i/>
          <w:iCs/>
        </w:rPr>
        <w:t>Riley v. California</w:t>
      </w:r>
      <w:r w:rsidRPr="00A10054" w:rsidR="0082343A">
        <w:t xml:space="preserve"> (</w:t>
      </w:r>
      <w:r w:rsidRPr="00A10054" w:rsidR="00FA24FE">
        <w:t>2014</w:t>
      </w:r>
      <w:r w:rsidRPr="00A10054" w:rsidR="0082343A">
        <w:t xml:space="preserve">) </w:t>
      </w:r>
      <w:r w:rsidRPr="00A10054" w:rsidR="00BE770A">
        <w:t>573 U.S. 373</w:t>
      </w:r>
      <w:r w:rsidRPr="00A10054" w:rsidR="00FA24FE">
        <w:t xml:space="preserve">, </w:t>
      </w:r>
      <w:r w:rsidRPr="00A10054" w:rsidR="00BE770A">
        <w:t xml:space="preserve">403, </w:t>
      </w:r>
      <w:r w:rsidRPr="00A10054" w:rsidR="00FA24FE">
        <w:t>which held cell-site records “hold for many Americans ‘the privacies of life’ ” (</w:t>
      </w:r>
      <w:r w:rsidRPr="00A10054" w:rsidR="009F751A">
        <w:rPr>
          <w:i/>
          <w:iCs/>
        </w:rPr>
        <w:t>i</w:t>
      </w:r>
      <w:r w:rsidRPr="00A10054" w:rsidR="007274F1">
        <w:rPr>
          <w:i/>
          <w:iCs/>
        </w:rPr>
        <w:t>d.</w:t>
      </w:r>
      <w:r w:rsidRPr="00A10054" w:rsidR="007274F1">
        <w:t xml:space="preserve"> at p. 2213, quoting </w:t>
      </w:r>
      <w:r w:rsidRPr="00A10054" w:rsidR="00BE770A">
        <w:rPr>
          <w:i/>
          <w:iCs/>
        </w:rPr>
        <w:t xml:space="preserve">Boyd v. United States </w:t>
      </w:r>
      <w:r w:rsidRPr="00A10054" w:rsidR="00BE770A">
        <w:t>(1886) 116 U.S. 616, 630</w:t>
      </w:r>
      <w:r w:rsidRPr="00A10054" w:rsidR="00FA24FE">
        <w:t>)</w:t>
      </w:r>
      <w:r w:rsidRPr="00A10054" w:rsidR="009F751A">
        <w:t>,</w:t>
      </w:r>
      <w:r w:rsidRPr="00A10054" w:rsidR="00FA24FE">
        <w:rPr>
          <w:i/>
          <w:iCs/>
        </w:rPr>
        <w:t xml:space="preserve"> </w:t>
      </w:r>
      <w:r w:rsidRPr="00A10054" w:rsidR="00FA24FE">
        <w:t xml:space="preserve">the Court concluded that </w:t>
      </w:r>
      <w:r w:rsidRPr="00A10054">
        <w:t>a person “does not surrender all Fourth Amendment protecting by venturing into the public sphere.</w:t>
      </w:r>
      <w:r w:rsidRPr="00A10054" w:rsidR="00E34BEB">
        <w:t>”</w:t>
      </w:r>
      <w:r w:rsidRPr="00A10054">
        <w:t xml:space="preserve"> </w:t>
      </w:r>
      <w:r w:rsidRPr="00A10054" w:rsidR="009E28C9">
        <w:t xml:space="preserve"> </w:t>
      </w:r>
      <w:r w:rsidRPr="00A10054">
        <w:t>(</w:t>
      </w:r>
      <w:r w:rsidRPr="00A10054">
        <w:rPr>
          <w:i/>
          <w:iCs/>
        </w:rPr>
        <w:t xml:space="preserve">Carpenter, </w:t>
      </w:r>
      <w:r w:rsidRPr="00A10054">
        <w:t>at p. 2217.)</w:t>
      </w:r>
      <w:r w:rsidRPr="00A10054" w:rsidR="00FA24FE">
        <w:t xml:space="preserve"> </w:t>
      </w:r>
      <w:r w:rsidRPr="00A10054" w:rsidR="001812D3">
        <w:t xml:space="preserve"> </w:t>
      </w:r>
    </w:p>
    <w:p w:rsidR="003B2ED4" w:rsidRPr="00A10054" w:rsidP="00A00D0A">
      <w:r w:rsidRPr="00A10054">
        <w:tab/>
      </w:r>
      <w:r w:rsidRPr="00A10054" w:rsidR="00FC4FC4">
        <w:t xml:space="preserve">In </w:t>
      </w:r>
      <w:r w:rsidRPr="00A10054" w:rsidR="001812D3">
        <w:rPr>
          <w:i/>
          <w:iCs/>
        </w:rPr>
        <w:t>Beautiful Struggle</w:t>
      </w:r>
      <w:r w:rsidRPr="00A10054" w:rsidR="00FC4FC4">
        <w:rPr>
          <w:i/>
          <w:iCs/>
        </w:rPr>
        <w:t xml:space="preserve">, </w:t>
      </w:r>
      <w:r w:rsidRPr="00A10054" w:rsidR="00FC4FC4">
        <w:t>the Fourth Circuit’s en banc decision</w:t>
      </w:r>
      <w:r w:rsidRPr="00A10054" w:rsidR="001812D3">
        <w:rPr>
          <w:i/>
          <w:iCs/>
        </w:rPr>
        <w:t xml:space="preserve"> </w:t>
      </w:r>
      <w:r w:rsidRPr="00A10054" w:rsidR="001812D3">
        <w:t xml:space="preserve">applied the </w:t>
      </w:r>
      <w:r w:rsidRPr="00A10054" w:rsidR="001C3810">
        <w:t xml:space="preserve">United States </w:t>
      </w:r>
      <w:r w:rsidRPr="00A10054" w:rsidR="001812D3">
        <w:t xml:space="preserve">Supreme Court’s reasoning </w:t>
      </w:r>
      <w:r w:rsidRPr="00A10054" w:rsidR="00FC4FC4">
        <w:t xml:space="preserve">in </w:t>
      </w:r>
      <w:r w:rsidRPr="00A10054" w:rsidR="00FC4FC4">
        <w:rPr>
          <w:i/>
          <w:iCs/>
        </w:rPr>
        <w:t xml:space="preserve">Carpenter </w:t>
      </w:r>
      <w:r w:rsidRPr="00A10054" w:rsidR="001812D3">
        <w:t xml:space="preserve">to an aerial surveillance program operated by the </w:t>
      </w:r>
      <w:r w:rsidRPr="00A10054" w:rsidR="00E274E1">
        <w:t>c</w:t>
      </w:r>
      <w:r w:rsidRPr="00A10054" w:rsidR="001812D3">
        <w:t xml:space="preserve">ity of Baltimore. </w:t>
      </w:r>
      <w:r w:rsidRPr="00A10054" w:rsidR="009E111B">
        <w:t xml:space="preserve"> </w:t>
      </w:r>
      <w:r w:rsidRPr="00A10054" w:rsidR="001812D3">
        <w:t>(</w:t>
      </w:r>
      <w:r w:rsidRPr="00A10054" w:rsidR="001812D3">
        <w:rPr>
          <w:i/>
          <w:iCs/>
        </w:rPr>
        <w:t>Beautiful Struggle, supra</w:t>
      </w:r>
      <w:r w:rsidRPr="00A10054" w:rsidR="001812D3">
        <w:t>, 2 F.4th at p</w:t>
      </w:r>
      <w:r w:rsidRPr="00A10054" w:rsidR="00E274E1">
        <w:t>p</w:t>
      </w:r>
      <w:r w:rsidRPr="00A10054" w:rsidR="001812D3">
        <w:t>.</w:t>
      </w:r>
      <w:r w:rsidRPr="00A10054" w:rsidR="00090980">
        <w:t> </w:t>
      </w:r>
      <w:r w:rsidRPr="00A10054" w:rsidR="00E274E1">
        <w:t>339</w:t>
      </w:r>
      <w:r w:rsidRPr="00A10054" w:rsidR="00090980">
        <w:t>–</w:t>
      </w:r>
      <w:r w:rsidRPr="00A10054" w:rsidR="00E274E1">
        <w:t>345</w:t>
      </w:r>
      <w:r w:rsidRPr="00A10054" w:rsidR="001812D3">
        <w:t>.)</w:t>
      </w:r>
      <w:r w:rsidRPr="00A10054" w:rsidR="00E274E1">
        <w:t xml:space="preserve"> </w:t>
      </w:r>
      <w:r w:rsidRPr="00A10054" w:rsidR="009E111B">
        <w:t xml:space="preserve"> </w:t>
      </w:r>
      <w:r w:rsidRPr="00A10054" w:rsidR="00E274E1">
        <w:t xml:space="preserve">The city of Baltimore collected both traditional surveillance </w:t>
      </w:r>
      <w:r w:rsidRPr="00A10054" w:rsidR="00FC4FC4">
        <w:t xml:space="preserve">data </w:t>
      </w:r>
      <w:r w:rsidRPr="00A10054" w:rsidR="00E274E1">
        <w:t xml:space="preserve">and aerial photographs. </w:t>
      </w:r>
      <w:r w:rsidRPr="00A10054" w:rsidR="009E111B">
        <w:t xml:space="preserve"> </w:t>
      </w:r>
      <w:r w:rsidRPr="00A10054" w:rsidR="001812D3">
        <w:t>(</w:t>
      </w:r>
      <w:r w:rsidRPr="00A10054" w:rsidR="001812D3">
        <w:rPr>
          <w:i/>
          <w:iCs/>
        </w:rPr>
        <w:t>Id</w:t>
      </w:r>
      <w:r w:rsidRPr="00A10054" w:rsidR="001812D3">
        <w:t>. at p.</w:t>
      </w:r>
      <w:r w:rsidRPr="00A10054" w:rsidR="00E274E1">
        <w:t xml:space="preserve"> 334</w:t>
      </w:r>
      <w:r w:rsidRPr="00A10054" w:rsidR="001812D3">
        <w:t>.)</w:t>
      </w:r>
      <w:r w:rsidRPr="00A10054" w:rsidR="009E111B">
        <w:t xml:space="preserve"> </w:t>
      </w:r>
      <w:r w:rsidRPr="00A10054" w:rsidR="00E274E1">
        <w:t xml:space="preserve"> When combined, the police could effectively track someone’s every movement throughout the city</w:t>
      </w:r>
      <w:r w:rsidRPr="00A10054" w:rsidR="008D6F54">
        <w:t xml:space="preserve"> retroactive</w:t>
      </w:r>
      <w:r w:rsidRPr="00A10054" w:rsidR="00FC4FC4">
        <w:t>ly</w:t>
      </w:r>
      <w:r w:rsidRPr="00A10054" w:rsidR="008D6F54">
        <w:t xml:space="preserve"> over a 45</w:t>
      </w:r>
      <w:r w:rsidRPr="00A10054" w:rsidR="002270D2">
        <w:t>-</w:t>
      </w:r>
      <w:r w:rsidRPr="00A10054" w:rsidR="008D6F54">
        <w:t>day period</w:t>
      </w:r>
      <w:r w:rsidRPr="00A10054" w:rsidR="00E274E1">
        <w:t>.</w:t>
      </w:r>
      <w:r w:rsidRPr="00A10054" w:rsidR="009E111B">
        <w:t xml:space="preserve"> </w:t>
      </w:r>
      <w:r w:rsidRPr="00A10054" w:rsidR="00E274E1">
        <w:t xml:space="preserve"> (</w:t>
      </w:r>
      <w:r w:rsidRPr="00A10054" w:rsidR="00E274E1">
        <w:rPr>
          <w:i/>
          <w:iCs/>
        </w:rPr>
        <w:t xml:space="preserve">Id. </w:t>
      </w:r>
      <w:r w:rsidRPr="00A10054" w:rsidR="00E274E1">
        <w:t>at pp. 345</w:t>
      </w:r>
      <w:r w:rsidRPr="00A10054" w:rsidR="009E111B">
        <w:t>–</w:t>
      </w:r>
      <w:r w:rsidRPr="00A10054" w:rsidR="00E274E1">
        <w:t>346.)</w:t>
      </w:r>
      <w:r w:rsidRPr="00A10054" w:rsidR="009E111B">
        <w:t xml:space="preserve"> </w:t>
      </w:r>
      <w:r w:rsidRPr="00A10054" w:rsidR="00E274E1">
        <w:t xml:space="preserve"> This</w:t>
      </w:r>
      <w:r w:rsidRPr="00A10054" w:rsidR="00FC4FC4">
        <w:t xml:space="preserve"> integrated surveillance</w:t>
      </w:r>
      <w:r w:rsidRPr="00A10054" w:rsidR="00E274E1">
        <w:t>, the Fourth Circuit concluded, was an incursion into privacy directly comparable to the cell-site location information access</w:t>
      </w:r>
      <w:r w:rsidRPr="00A10054" w:rsidR="00964488">
        <w:t>ed</w:t>
      </w:r>
      <w:r w:rsidRPr="00A10054" w:rsidR="00E274E1">
        <w:t xml:space="preserve"> in </w:t>
      </w:r>
      <w:r w:rsidRPr="00A10054" w:rsidR="00E274E1">
        <w:rPr>
          <w:i/>
          <w:iCs/>
        </w:rPr>
        <w:t>Carpenter.</w:t>
      </w:r>
      <w:r w:rsidRPr="00A10054" w:rsidR="00252748">
        <w:rPr>
          <w:i/>
          <w:iCs/>
        </w:rPr>
        <w:t xml:space="preserve"> </w:t>
      </w:r>
      <w:r w:rsidRPr="00A10054" w:rsidR="00E274E1">
        <w:rPr>
          <w:i/>
          <w:iCs/>
        </w:rPr>
        <w:t xml:space="preserve"> </w:t>
      </w:r>
      <w:r w:rsidRPr="00A10054" w:rsidR="00E274E1">
        <w:t>(</w:t>
      </w:r>
      <w:r w:rsidRPr="00A10054" w:rsidR="007E6814">
        <w:rPr>
          <w:i/>
          <w:iCs/>
        </w:rPr>
        <w:t>Beautiful Struggle,</w:t>
      </w:r>
      <w:r w:rsidRPr="00A10054" w:rsidR="00E274E1">
        <w:t xml:space="preserve"> at pp. 345</w:t>
      </w:r>
      <w:r w:rsidRPr="00A10054" w:rsidR="009E111B">
        <w:t>–</w:t>
      </w:r>
      <w:r w:rsidRPr="00A10054" w:rsidR="00E274E1">
        <w:t xml:space="preserve">348.)  </w:t>
      </w:r>
    </w:p>
    <w:p w:rsidR="00B044C9" w:rsidRPr="00A10054" w:rsidP="00A00D0A">
      <w:r w:rsidRPr="00A10054">
        <w:tab/>
        <w:t>N</w:t>
      </w:r>
      <w:r w:rsidRPr="00A10054" w:rsidR="00BC39AC">
        <w:t xml:space="preserve">either </w:t>
      </w:r>
      <w:r w:rsidRPr="00A10054" w:rsidR="00BC39AC">
        <w:rPr>
          <w:i/>
          <w:iCs/>
        </w:rPr>
        <w:t>Carpenter</w:t>
      </w:r>
      <w:r w:rsidRPr="00A10054" w:rsidR="00BC39AC">
        <w:t xml:space="preserve"> nor </w:t>
      </w:r>
      <w:r w:rsidRPr="00A10054" w:rsidR="00BC39AC">
        <w:rPr>
          <w:i/>
          <w:iCs/>
        </w:rPr>
        <w:t>Beautiful Struggle</w:t>
      </w:r>
      <w:r w:rsidRPr="00A10054" w:rsidR="00BC39AC">
        <w:t xml:space="preserve"> </w:t>
      </w:r>
      <w:r w:rsidRPr="00A10054" w:rsidR="00910D3B">
        <w:t>can be read to indicate</w:t>
      </w:r>
      <w:r w:rsidRPr="00A10054" w:rsidR="00BC39AC">
        <w:t xml:space="preserve"> that </w:t>
      </w:r>
      <w:r w:rsidRPr="00A10054" w:rsidR="00964488">
        <w:t xml:space="preserve">the review of footage from </w:t>
      </w:r>
      <w:r w:rsidRPr="00A10054" w:rsidR="00CF6AAB">
        <w:t xml:space="preserve">the </w:t>
      </w:r>
      <w:r w:rsidRPr="00A10054" w:rsidR="00964488">
        <w:t xml:space="preserve">streetlight </w:t>
      </w:r>
      <w:r w:rsidRPr="00A10054" w:rsidR="00CF6AAB">
        <w:t xml:space="preserve">cameras </w:t>
      </w:r>
      <w:r w:rsidRPr="00A10054" w:rsidR="00964488">
        <w:t xml:space="preserve">in this case </w:t>
      </w:r>
      <w:r w:rsidRPr="00A10054" w:rsidR="003D1E5A">
        <w:t>amounts to a search</w:t>
      </w:r>
      <w:r w:rsidRPr="00A10054" w:rsidR="00BC39AC">
        <w:t xml:space="preserve"> subject to a warrant requirement.</w:t>
      </w:r>
      <w:r w:rsidRPr="00A10054" w:rsidR="00DB0ED5">
        <w:t xml:space="preserve"> </w:t>
      </w:r>
      <w:r w:rsidRPr="00A10054" w:rsidR="00BC39AC">
        <w:t xml:space="preserve"> </w:t>
      </w:r>
      <w:r w:rsidRPr="00A10054" w:rsidR="00910D3B">
        <w:t>T</w:t>
      </w:r>
      <w:r w:rsidRPr="00A10054" w:rsidR="00BC39AC">
        <w:t xml:space="preserve">he </w:t>
      </w:r>
      <w:r w:rsidRPr="00A10054" w:rsidR="001C3810">
        <w:t xml:space="preserve">United States </w:t>
      </w:r>
      <w:r w:rsidRPr="00A10054" w:rsidR="00BC39AC">
        <w:t xml:space="preserve">Supreme Court in </w:t>
      </w:r>
      <w:r w:rsidRPr="00A10054" w:rsidR="00BC39AC">
        <w:rPr>
          <w:i/>
          <w:iCs/>
        </w:rPr>
        <w:t>Carpenter</w:t>
      </w:r>
      <w:r w:rsidRPr="00A10054" w:rsidR="00BC39AC">
        <w:t xml:space="preserve"> </w:t>
      </w:r>
      <w:r w:rsidRPr="00A10054" w:rsidR="00B92DD1">
        <w:t xml:space="preserve">specifically indicated </w:t>
      </w:r>
      <w:r w:rsidRPr="00A10054" w:rsidR="00BC39AC">
        <w:t xml:space="preserve">that </w:t>
      </w:r>
      <w:r w:rsidRPr="00A10054" w:rsidR="00B92DD1">
        <w:t>its</w:t>
      </w:r>
      <w:r w:rsidRPr="00A10054" w:rsidR="00BC39AC">
        <w:t xml:space="preserve"> holding was intended to be narrow and did not extend to “conventional surveillance techniques and tools, such as security cameras.” </w:t>
      </w:r>
      <w:r w:rsidRPr="00A10054" w:rsidR="00DB0ED5">
        <w:t xml:space="preserve"> </w:t>
      </w:r>
      <w:r w:rsidRPr="00A10054" w:rsidR="00BC39AC">
        <w:t>(</w:t>
      </w:r>
      <w:r w:rsidRPr="00A10054" w:rsidR="00BC39AC">
        <w:rPr>
          <w:i/>
          <w:iCs/>
        </w:rPr>
        <w:t>Carpenter, supra</w:t>
      </w:r>
      <w:r w:rsidRPr="00A10054" w:rsidR="00BC39AC">
        <w:t>, 138 S.Ct. at 2220.)</w:t>
      </w:r>
      <w:r w:rsidRPr="00A10054" w:rsidR="00DB0ED5">
        <w:t xml:space="preserve"> </w:t>
      </w:r>
      <w:r w:rsidRPr="00A10054" w:rsidR="00BC39AC">
        <w:t xml:space="preserve"> Recordings from cameras, such as the ones that captured Cartwright’s movements in the downtown urban environment in the middle of a weekday, </w:t>
      </w:r>
      <w:r w:rsidRPr="00A10054" w:rsidR="00594FBF">
        <w:t>do not</w:t>
      </w:r>
      <w:r w:rsidRPr="00A10054">
        <w:t xml:space="preserve"> rise to the</w:t>
      </w:r>
      <w:r w:rsidRPr="00A10054" w:rsidR="00BC39AC">
        <w:t xml:space="preserve"> </w:t>
      </w:r>
      <w:r w:rsidRPr="00A10054" w:rsidR="00594FBF">
        <w:t xml:space="preserve">same </w:t>
      </w:r>
      <w:r w:rsidRPr="00A10054" w:rsidR="00BC39AC">
        <w:t xml:space="preserve">“unique nature of cell phone location records.” </w:t>
      </w:r>
      <w:r w:rsidRPr="00A10054" w:rsidR="00DB0ED5">
        <w:t xml:space="preserve"> </w:t>
      </w:r>
      <w:r w:rsidRPr="00A10054" w:rsidR="00BC39AC">
        <w:t>(</w:t>
      </w:r>
      <w:r w:rsidRPr="00A10054" w:rsidR="00BC39AC">
        <w:rPr>
          <w:i/>
          <w:iCs/>
        </w:rPr>
        <w:t xml:space="preserve">Carpenter, </w:t>
      </w:r>
      <w:r w:rsidRPr="00A10054" w:rsidR="00E03610">
        <w:t xml:space="preserve">at </w:t>
      </w:r>
      <w:r w:rsidRPr="00A10054" w:rsidR="00BC39AC">
        <w:t xml:space="preserve">p. 2217.) </w:t>
      </w:r>
      <w:r w:rsidRPr="00A10054" w:rsidR="00DB0ED5">
        <w:t xml:space="preserve"> </w:t>
      </w:r>
      <w:r w:rsidRPr="00A10054" w:rsidR="00BC39AC">
        <w:t>Indeed, “ ‘[a] person traveling</w:t>
      </w:r>
      <w:r w:rsidRPr="00A10054" w:rsidR="00CF6AAB">
        <w:t> . . . </w:t>
      </w:r>
      <w:r w:rsidRPr="00A10054" w:rsidR="00BC39AC">
        <w:t xml:space="preserve">on public thoroughfares has no reasonable expectation of privacy in his movements from one place to another.’ ” </w:t>
      </w:r>
      <w:r w:rsidRPr="00A10054" w:rsidR="00252748">
        <w:t xml:space="preserve"> </w:t>
      </w:r>
      <w:r w:rsidRPr="00A10054" w:rsidR="00BC39AC">
        <w:t>(</w:t>
      </w:r>
      <w:r w:rsidRPr="00A10054" w:rsidR="00BC39AC">
        <w:rPr>
          <w:i/>
          <w:iCs/>
        </w:rPr>
        <w:t>Id</w:t>
      </w:r>
      <w:r w:rsidRPr="00A10054" w:rsidR="00BC39AC">
        <w:t xml:space="preserve">. at p. 2215, quoting </w:t>
      </w:r>
      <w:r w:rsidRPr="00A10054" w:rsidR="00BC39AC">
        <w:rPr>
          <w:i/>
          <w:iCs/>
        </w:rPr>
        <w:t>United States v. Knotts</w:t>
      </w:r>
      <w:r w:rsidRPr="00A10054" w:rsidR="00BC39AC">
        <w:t xml:space="preserve"> (1983) 460 U.S. 276, 281</w:t>
      </w:r>
      <w:r w:rsidRPr="00A10054" w:rsidR="00F56CE3">
        <w:t>, 282</w:t>
      </w:r>
      <w:r w:rsidRPr="00A10054" w:rsidR="00BC39AC">
        <w:t>.)</w:t>
      </w:r>
      <w:r w:rsidRPr="00A10054" w:rsidR="008D6F54">
        <w:t xml:space="preserve"> </w:t>
      </w:r>
      <w:bookmarkStart w:id="0" w:name="_Hlk155609422"/>
      <w:r w:rsidRPr="00A10054" w:rsidR="00252748">
        <w:t xml:space="preserve"> </w:t>
      </w:r>
      <w:r w:rsidRPr="00A10054" w:rsidR="00964488">
        <w:t>Indeed, as t</w:t>
      </w:r>
      <w:r w:rsidRPr="00A10054" w:rsidR="008D6F54">
        <w:t xml:space="preserve">he court in </w:t>
      </w:r>
      <w:r w:rsidRPr="00A10054" w:rsidR="008D6F54">
        <w:rPr>
          <w:i/>
          <w:iCs/>
        </w:rPr>
        <w:t xml:space="preserve">Beautiful Struggle </w:t>
      </w:r>
      <w:r w:rsidRPr="00A10054" w:rsidR="008D6F54">
        <w:t>acknowledged</w:t>
      </w:r>
      <w:r w:rsidRPr="00A10054" w:rsidR="00964488">
        <w:t>,</w:t>
      </w:r>
      <w:r w:rsidRPr="00A10054" w:rsidR="008D6F54">
        <w:t xml:space="preserve"> “</w:t>
      </w:r>
      <w:r w:rsidRPr="00A10054" w:rsidR="000F4087">
        <w:t>P</w:t>
      </w:r>
      <w:r w:rsidRPr="00A10054" w:rsidR="008D6F54">
        <w:t>eople understand that they may be filmed by security cameras on city streets</w:t>
      </w:r>
      <w:r w:rsidRPr="00A10054" w:rsidR="00964488">
        <w:t>.</w:t>
      </w:r>
      <w:r w:rsidRPr="00A10054" w:rsidR="008D6F54">
        <w:t>” (</w:t>
      </w:r>
      <w:r w:rsidRPr="00A10054" w:rsidR="008D6F54">
        <w:rPr>
          <w:i/>
          <w:iCs/>
        </w:rPr>
        <w:t>Beautiful Struggle, supra</w:t>
      </w:r>
      <w:r w:rsidRPr="00A10054" w:rsidR="008D6F54">
        <w:t>, 2 F.4th at p. 345</w:t>
      </w:r>
      <w:r w:rsidRPr="00A10054" w:rsidR="00964488">
        <w:t>.</w:t>
      </w:r>
      <w:r w:rsidRPr="00A10054" w:rsidR="008D6F54">
        <w:t xml:space="preserve">) </w:t>
      </w:r>
      <w:r w:rsidRPr="00A10054" w:rsidR="00252748">
        <w:t xml:space="preserve"> </w:t>
      </w:r>
      <w:r w:rsidRPr="00A10054" w:rsidR="00964488">
        <w:t>This is effectively the same principle</w:t>
      </w:r>
      <w:r w:rsidRPr="00A10054" w:rsidR="008D6F54">
        <w:t xml:space="preserve"> Cartwright now argues against. </w:t>
      </w:r>
      <w:bookmarkEnd w:id="0"/>
    </w:p>
    <w:p w:rsidR="00094690" w:rsidRPr="00A10054" w:rsidP="00A00D0A">
      <w:r w:rsidRPr="00A10054">
        <w:tab/>
        <w:t xml:space="preserve">When Cartwright drove his gold Yukon downtown and parked, </w:t>
      </w:r>
      <w:r w:rsidRPr="00A10054" w:rsidR="00BC39AC">
        <w:t>“the movements of the vehicle and its final destination had been ‘voluntarily conveyed to anyone who wanted to look,’</w:t>
      </w:r>
      <w:r w:rsidRPr="00A10054" w:rsidR="00A35470">
        <w:t xml:space="preserve"> </w:t>
      </w:r>
      <w:r w:rsidRPr="00A10054">
        <w:t>” and Cartwright cannot “</w:t>
      </w:r>
      <w:r w:rsidRPr="00A10054" w:rsidR="00BC39AC">
        <w:t>assert a privacy interest in the information obtained.”</w:t>
      </w:r>
      <w:r w:rsidRPr="00A10054" w:rsidR="00252748">
        <w:t xml:space="preserve"> </w:t>
      </w:r>
      <w:r w:rsidRPr="00A10054" w:rsidR="00BC39AC">
        <w:t xml:space="preserve"> (</w:t>
      </w:r>
      <w:r w:rsidRPr="00A10054" w:rsidR="00E661AA">
        <w:rPr>
          <w:i/>
          <w:iCs/>
        </w:rPr>
        <w:t>Carpenter, supra</w:t>
      </w:r>
      <w:r w:rsidRPr="00A10054" w:rsidR="00E661AA">
        <w:t>, 138 S.Ct. at</w:t>
      </w:r>
      <w:r w:rsidR="00487602">
        <w:t> </w:t>
      </w:r>
      <w:r w:rsidRPr="00A10054" w:rsidR="00E661AA">
        <w:t>2215</w:t>
      </w:r>
      <w:r w:rsidRPr="00A10054" w:rsidR="00BC39AC">
        <w:t xml:space="preserve">.) </w:t>
      </w:r>
      <w:r w:rsidRPr="00A10054" w:rsidR="00594FBF">
        <w:t xml:space="preserve"> Further, the still images </w:t>
      </w:r>
      <w:r w:rsidRPr="00A10054" w:rsidR="00CF6AAB">
        <w:t>included in the record from the Cit</w:t>
      </w:r>
      <w:r w:rsidRPr="00A10054" w:rsidR="003B2ED4">
        <w:t>y</w:t>
      </w:r>
      <w:r w:rsidRPr="00A10054" w:rsidR="00CF6AAB">
        <w:t>’s</w:t>
      </w:r>
      <w:r w:rsidRPr="00A10054" w:rsidR="00594FBF">
        <w:t xml:space="preserve"> cameras are remarkably similar </w:t>
      </w:r>
      <w:r w:rsidRPr="00A10054" w:rsidR="00C221C6">
        <w:t xml:space="preserve">in scope </w:t>
      </w:r>
      <w:r w:rsidRPr="00A10054" w:rsidR="00594FBF">
        <w:t xml:space="preserve">to the </w:t>
      </w:r>
      <w:r w:rsidRPr="00A10054" w:rsidR="00B92DD1">
        <w:t>views obtained from the private security camera</w:t>
      </w:r>
      <w:r w:rsidRPr="00A10054" w:rsidR="00594FBF">
        <w:t xml:space="preserve"> </w:t>
      </w:r>
      <w:r w:rsidRPr="00A10054" w:rsidR="00900079">
        <w:t>behind</w:t>
      </w:r>
      <w:r w:rsidRPr="00A10054" w:rsidR="00594FBF">
        <w:t xml:space="preserve"> the </w:t>
      </w:r>
      <w:r w:rsidRPr="00A10054" w:rsidR="008948BC">
        <w:t>clothing</w:t>
      </w:r>
      <w:r w:rsidRPr="00A10054" w:rsidR="00594FBF">
        <w:t xml:space="preserve"> shop</w:t>
      </w:r>
      <w:r w:rsidRPr="00A10054" w:rsidR="00A7394F">
        <w:t>:</w:t>
      </w:r>
      <w:r w:rsidRPr="00A10054" w:rsidR="00594FBF">
        <w:t xml:space="preserve"> </w:t>
      </w:r>
      <w:r w:rsidRPr="00A10054" w:rsidR="009F5248">
        <w:t xml:space="preserve"> </w:t>
      </w:r>
    </w:p>
    <w:p w:rsidR="00425B8F" w:rsidRPr="00A10054" w:rsidP="004621B8">
      <w:pPr>
        <w:spacing w:line="240" w:lineRule="auto"/>
        <w:jc w:val="center"/>
      </w:pPr>
      <w:r w:rsidRPr="00A10054">
        <w:rPr>
          <w:noProof/>
        </w:rPr>
        <w:drawing>
          <wp:inline distT="0" distB="0" distL="0" distR="0">
            <wp:extent cx="4600013" cy="2565226"/>
            <wp:effectExtent l="190500" t="190500" r="181610" b="1974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87371" cy="26139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dist="0" dir="0" sx="100000" sy="100000" kx="0" ky="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6689A" w:rsidRPr="00A10054" w:rsidP="00425B8F">
      <w:pPr>
        <w:spacing w:line="240" w:lineRule="auto"/>
        <w:jc w:val="center"/>
      </w:pPr>
      <w:r w:rsidRPr="00A10054">
        <w:rPr>
          <w:noProof/>
        </w:rPr>
        <w:drawing>
          <wp:inline distT="0" distB="0" distL="0" distR="0">
            <wp:extent cx="4457178" cy="2657485"/>
            <wp:effectExtent l="152400" t="152400" r="362585" b="352425"/>
            <wp:docPr id="20279483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510418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1272" cy="26897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sx="100000" sy="100000" kx="0" ky="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044C9" w:rsidRPr="00A10054" w:rsidP="0046689A">
      <w:r w:rsidRPr="00A10054">
        <w:t xml:space="preserve">We </w:t>
      </w:r>
      <w:r w:rsidRPr="00A10054" w:rsidR="00CF6AAB">
        <w:t>note</w:t>
      </w:r>
      <w:r w:rsidRPr="00A10054">
        <w:t xml:space="preserve"> this to demonstrate that Cartwright could not maintain a</w:t>
      </w:r>
      <w:r w:rsidRPr="00A10054" w:rsidR="00A35470">
        <w:t xml:space="preserve">n objectively </w:t>
      </w:r>
      <w:r w:rsidRPr="00A10054">
        <w:t xml:space="preserve">reasonable expectation of privacy in the downtown, urban </w:t>
      </w:r>
      <w:r w:rsidRPr="00A10054" w:rsidR="00FA5CC2">
        <w:t xml:space="preserve">public </w:t>
      </w:r>
      <w:r w:rsidRPr="00A10054">
        <w:t>space</w:t>
      </w:r>
      <w:r w:rsidRPr="00A10054" w:rsidR="00FA5CC2">
        <w:t>s</w:t>
      </w:r>
      <w:r w:rsidRPr="00A10054">
        <w:t xml:space="preserve"> when any number of private businesses may have </w:t>
      </w:r>
      <w:r w:rsidRPr="00A10054" w:rsidR="00900079">
        <w:t>maintained</w:t>
      </w:r>
      <w:r w:rsidRPr="00A10054">
        <w:t xml:space="preserve"> </w:t>
      </w:r>
      <w:r w:rsidRPr="00A10054" w:rsidR="00FA5CC2">
        <w:t xml:space="preserve">similar </w:t>
      </w:r>
      <w:r w:rsidRPr="00A10054">
        <w:t xml:space="preserve">cameras </w:t>
      </w:r>
      <w:r w:rsidRPr="00A10054" w:rsidR="00FA5CC2">
        <w:t xml:space="preserve">that capture </w:t>
      </w:r>
      <w:r w:rsidRPr="00A10054">
        <w:t xml:space="preserve">similar </w:t>
      </w:r>
      <w:r w:rsidRPr="00A10054" w:rsidR="00FA5CC2">
        <w:t>images</w:t>
      </w:r>
      <w:r w:rsidRPr="00A10054">
        <w:t>.</w:t>
      </w:r>
      <w:r w:rsidRPr="00A10054" w:rsidR="00900079">
        <w:t xml:space="preserve"> </w:t>
      </w:r>
    </w:p>
    <w:p w:rsidR="00D7348A" w:rsidRPr="00A10054" w:rsidP="00A00D0A">
      <w:r w:rsidRPr="00A10054">
        <w:tab/>
        <w:t xml:space="preserve">Stationary pole cameras, </w:t>
      </w:r>
      <w:r w:rsidRPr="00A10054" w:rsidR="003B2ED4">
        <w:t xml:space="preserve">much like </w:t>
      </w:r>
      <w:r w:rsidRPr="00A10054">
        <w:t>streetlight cameras, only capture “short term” movements rather than “everyone’s movement</w:t>
      </w:r>
      <w:r w:rsidRPr="00A10054" w:rsidR="00544574">
        <w:t>s</w:t>
      </w:r>
      <w:r w:rsidRPr="00A10054">
        <w:t xml:space="preserve"> across the city.” </w:t>
      </w:r>
      <w:r w:rsidRPr="00A10054" w:rsidR="00406F40">
        <w:t xml:space="preserve"> </w:t>
      </w:r>
      <w:r w:rsidRPr="00A10054">
        <w:t>(</w:t>
      </w:r>
      <w:r w:rsidRPr="00A10054">
        <w:rPr>
          <w:i/>
          <w:iCs/>
        </w:rPr>
        <w:t>Beautiful Struggle, supra</w:t>
      </w:r>
      <w:r w:rsidRPr="00A10054">
        <w:t>, 2 F.4th at p. 345.)</w:t>
      </w:r>
      <w:r w:rsidRPr="00A10054" w:rsidR="00406F40">
        <w:t xml:space="preserve"> </w:t>
      </w:r>
      <w:r w:rsidRPr="00A10054">
        <w:t xml:space="preserve"> </w:t>
      </w:r>
      <w:r w:rsidRPr="00A10054" w:rsidR="00B530EE">
        <w:t>T</w:t>
      </w:r>
      <w:r w:rsidRPr="00A10054">
        <w:t>hey are “fixed in place</w:t>
      </w:r>
      <w:r w:rsidRPr="00A10054" w:rsidR="008948BC">
        <w:t>,</w:t>
      </w:r>
      <w:r w:rsidRPr="00A10054">
        <w:t xml:space="preserve">” “only capture individual trips,” and do not create “a retrospective database of everyone’s movements across the city.” </w:t>
      </w:r>
      <w:r w:rsidRPr="00A10054" w:rsidR="00406F40">
        <w:t xml:space="preserve"> </w:t>
      </w:r>
      <w:r w:rsidRPr="00A10054">
        <w:t>(</w:t>
      </w:r>
      <w:r w:rsidRPr="00A10054">
        <w:rPr>
          <w:i/>
          <w:iCs/>
        </w:rPr>
        <w:t>Ibid.</w:t>
      </w:r>
      <w:r w:rsidRPr="00A10054">
        <w:t xml:space="preserve">) </w:t>
      </w:r>
      <w:r w:rsidRPr="00A10054" w:rsidR="00406F40">
        <w:t xml:space="preserve"> </w:t>
      </w:r>
      <w:r w:rsidRPr="00A10054" w:rsidR="008948BC">
        <w:t>Due to these</w:t>
      </w:r>
      <w:r w:rsidRPr="00A10054" w:rsidR="00CF6AAB">
        <w:t xml:space="preserve"> inherent</w:t>
      </w:r>
      <w:r w:rsidRPr="00A10054" w:rsidR="008948BC">
        <w:t xml:space="preserve"> limitations</w:t>
      </w:r>
      <w:r w:rsidRPr="00A10054">
        <w:t>, stationary cameras merely “augment[</w:t>
      </w:r>
      <w:r w:rsidRPr="00A10054" w:rsidR="00406F40">
        <w:t> </w:t>
      </w:r>
      <w:r w:rsidRPr="00A10054">
        <w:t xml:space="preserve">] ordinary police capabilities.” </w:t>
      </w:r>
      <w:r w:rsidRPr="00A10054" w:rsidR="00406F40">
        <w:t xml:space="preserve"> </w:t>
      </w:r>
      <w:r w:rsidRPr="00A10054">
        <w:t>(</w:t>
      </w:r>
      <w:r w:rsidRPr="00A10054">
        <w:rPr>
          <w:i/>
          <w:iCs/>
        </w:rPr>
        <w:t>Ibid</w:t>
      </w:r>
      <w:r w:rsidRPr="00A10054">
        <w:t xml:space="preserve">.) </w:t>
      </w:r>
      <w:r w:rsidRPr="00A10054" w:rsidR="00406F40">
        <w:t xml:space="preserve"> </w:t>
      </w:r>
      <w:r w:rsidRPr="00A10054">
        <w:t>The</w:t>
      </w:r>
      <w:r w:rsidRPr="00A10054" w:rsidR="009711C9">
        <w:t>y</w:t>
      </w:r>
      <w:r w:rsidRPr="00A10054">
        <w:t xml:space="preserve"> </w:t>
      </w:r>
      <w:r w:rsidRPr="00A10054" w:rsidR="00EA483C">
        <w:t xml:space="preserve">modestly </w:t>
      </w:r>
      <w:r w:rsidRPr="00A10054" w:rsidR="00B530EE">
        <w:t>supplement and enhance</w:t>
      </w:r>
      <w:r w:rsidRPr="00A10054" w:rsidR="008948BC">
        <w:t>,</w:t>
      </w:r>
      <w:r w:rsidRPr="00A10054">
        <w:t xml:space="preserve"> “to a permissible degree, warrantless capabilities the police had even before the technology.” </w:t>
      </w:r>
      <w:r w:rsidRPr="00A10054" w:rsidR="00406F40">
        <w:t xml:space="preserve"> </w:t>
      </w:r>
      <w:r w:rsidRPr="00A10054">
        <w:t>(</w:t>
      </w:r>
      <w:r w:rsidRPr="00A10054">
        <w:rPr>
          <w:i/>
          <w:iCs/>
        </w:rPr>
        <w:t>Id.</w:t>
      </w:r>
      <w:r w:rsidRPr="00A10054">
        <w:t xml:space="preserve"> at p. 340, citing </w:t>
      </w:r>
      <w:r w:rsidRPr="00A10054">
        <w:rPr>
          <w:i/>
          <w:iCs/>
        </w:rPr>
        <w:t>United States v. Knotts</w:t>
      </w:r>
      <w:r w:rsidRPr="00A10054">
        <w:t xml:space="preserve"> (1983) 460 U.S. 276, 281</w:t>
      </w:r>
      <w:r w:rsidRPr="00A10054" w:rsidR="00E24C77">
        <w:t>–2</w:t>
      </w:r>
      <w:r w:rsidRPr="00A10054">
        <w:t xml:space="preserve">82 and </w:t>
      </w:r>
      <w:r w:rsidRPr="00A10054">
        <w:rPr>
          <w:i/>
          <w:iCs/>
        </w:rPr>
        <w:t>Kyllo v. United States</w:t>
      </w:r>
      <w:r w:rsidRPr="00A10054">
        <w:t xml:space="preserve"> (2001) 533 U.S. 27, 33</w:t>
      </w:r>
      <w:r w:rsidRPr="00A10054" w:rsidR="00406F40">
        <w:t>–</w:t>
      </w:r>
      <w:r w:rsidRPr="00A10054">
        <w:t xml:space="preserve">35.) </w:t>
      </w:r>
      <w:r w:rsidRPr="00A10054" w:rsidR="00406F40">
        <w:t xml:space="preserve"> </w:t>
      </w:r>
    </w:p>
    <w:p w:rsidR="00BC39AC" w:rsidRPr="00A10054" w:rsidP="008808CC">
      <w:pPr>
        <w:keepNext/>
        <w:keepLines/>
      </w:pPr>
      <w:r w:rsidRPr="00A10054">
        <w:tab/>
      </w:r>
      <w:r w:rsidRPr="00A10054" w:rsidR="008948BC">
        <w:t>We distinguish the cameras in the case before us from</w:t>
      </w:r>
      <w:r w:rsidRPr="00A10054">
        <w:t xml:space="preserve"> </w:t>
      </w:r>
      <w:r w:rsidRPr="00A10054" w:rsidR="008948BC">
        <w:t xml:space="preserve">both the aerial surveillance images and </w:t>
      </w:r>
      <w:r w:rsidRPr="00A10054">
        <w:t xml:space="preserve">the integrated Baltimore Police Department systems </w:t>
      </w:r>
      <w:r w:rsidRPr="00A10054" w:rsidR="00A35470">
        <w:t>addressed</w:t>
      </w:r>
      <w:r w:rsidRPr="00A10054">
        <w:t xml:space="preserve"> in </w:t>
      </w:r>
      <w:r w:rsidRPr="00A10054">
        <w:rPr>
          <w:i/>
          <w:iCs/>
        </w:rPr>
        <w:t>Beautiful Struggle</w:t>
      </w:r>
      <w:r w:rsidRPr="00A10054">
        <w:t xml:space="preserve">. </w:t>
      </w:r>
      <w:r w:rsidRPr="00A10054" w:rsidR="00406F40">
        <w:t xml:space="preserve"> </w:t>
      </w:r>
      <w:r w:rsidRPr="00A10054">
        <w:t>There, Baltimore use</w:t>
      </w:r>
      <w:r w:rsidRPr="00A10054" w:rsidR="00FA5CC2">
        <w:t>d</w:t>
      </w:r>
      <w:r w:rsidRPr="00A10054">
        <w:t xml:space="preserve"> software to integrate the “camera network, license plate readers and gunshot detectors” with the </w:t>
      </w:r>
      <w:r w:rsidRPr="00A10054" w:rsidR="008948BC">
        <w:t>challenged</w:t>
      </w:r>
      <w:r w:rsidRPr="00A10054">
        <w:t xml:space="preserve"> aerial surveillance to “reveal where individuals come and go over an extended period.” </w:t>
      </w:r>
      <w:r w:rsidRPr="00A10054" w:rsidR="00FA4123">
        <w:t xml:space="preserve"> </w:t>
      </w:r>
      <w:r w:rsidRPr="00A10054">
        <w:t>(</w:t>
      </w:r>
      <w:r w:rsidRPr="00A10054" w:rsidR="006F0196">
        <w:rPr>
          <w:i/>
          <w:iCs/>
        </w:rPr>
        <w:t>Beautiful Struggle, supra</w:t>
      </w:r>
      <w:r w:rsidRPr="00A10054" w:rsidR="006F0196">
        <w:t>, 2 F.4th at p. 346</w:t>
      </w:r>
      <w:r w:rsidRPr="00A10054" w:rsidR="008948BC">
        <w:rPr>
          <w:i/>
          <w:iCs/>
        </w:rPr>
        <w:t>.</w:t>
      </w:r>
      <w:r w:rsidRPr="00A10054">
        <w:t>)</w:t>
      </w:r>
      <w:r w:rsidRPr="00A10054" w:rsidR="008C6EEB">
        <w:t xml:space="preserve"> </w:t>
      </w:r>
      <w:r w:rsidRPr="00A10054">
        <w:t xml:space="preserve"> </w:t>
      </w:r>
      <w:r w:rsidRPr="00A10054" w:rsidR="009711C9">
        <w:t xml:space="preserve">Here, the </w:t>
      </w:r>
      <w:r w:rsidRPr="00A10054">
        <w:t xml:space="preserve">City’s camera program stands alone; there is no aerial surveillance or even </w:t>
      </w:r>
      <w:r w:rsidRPr="00A10054" w:rsidR="00A35470">
        <w:t xml:space="preserve">audio </w:t>
      </w:r>
      <w:r w:rsidRPr="00A10054">
        <w:t>to integrate with the recordings captured by the streetlight cameras.</w:t>
      </w:r>
      <w:r w:rsidRPr="00A10054" w:rsidR="00731B9F">
        <w:t xml:space="preserve"> </w:t>
      </w:r>
      <w:r w:rsidRPr="00A10054">
        <w:t xml:space="preserve"> The cameras</w:t>
      </w:r>
      <w:r w:rsidRPr="00A10054" w:rsidR="008948BC">
        <w:t>, by their very nature and limitations,</w:t>
      </w:r>
      <w:r w:rsidRPr="00A10054">
        <w:t xml:space="preserve"> do not reveal the </w:t>
      </w:r>
      <w:r w:rsidRPr="00A10054" w:rsidR="00FA5CC2">
        <w:t xml:space="preserve">transit </w:t>
      </w:r>
      <w:r w:rsidRPr="00A10054">
        <w:t xml:space="preserve">patterns of </w:t>
      </w:r>
      <w:r w:rsidRPr="00A10054" w:rsidR="00FA5CC2">
        <w:t>people</w:t>
      </w:r>
      <w:r w:rsidRPr="00A10054">
        <w:t xml:space="preserve"> throughout the county.</w:t>
      </w:r>
      <w:r w:rsidRPr="00A10054" w:rsidR="00731B9F">
        <w:t xml:space="preserve"> </w:t>
      </w:r>
      <w:r w:rsidRPr="00A10054">
        <w:t xml:space="preserve"> The information they capture is all information voluntarily conveyed to anyone in a public space who cares to look—something any police officer could have done without a warrant. </w:t>
      </w:r>
    </w:p>
    <w:p w:rsidR="008F6549" w:rsidP="00A00D0A">
      <w:r w:rsidRPr="00A10054">
        <w:tab/>
      </w:r>
      <w:r w:rsidRPr="00A10054" w:rsidR="00311648">
        <w:t xml:space="preserve">Cartwright </w:t>
      </w:r>
      <w:r w:rsidRPr="00A10054" w:rsidR="00C221C6">
        <w:t>had no</w:t>
      </w:r>
      <w:r w:rsidRPr="00A10054" w:rsidR="00311648">
        <w:t xml:space="preserve"> objectively reasonable expectation of privacy </w:t>
      </w:r>
      <w:r w:rsidRPr="00A10054" w:rsidR="00C221C6">
        <w:t>when he</w:t>
      </w:r>
      <w:r w:rsidRPr="00A10054" w:rsidR="00311648">
        <w:t xml:space="preserve"> </w:t>
      </w:r>
      <w:r w:rsidRPr="00A10054" w:rsidR="003D1E5A">
        <w:t>used</w:t>
      </w:r>
      <w:r w:rsidRPr="00A10054" w:rsidR="00311648">
        <w:t xml:space="preserve"> the public </w:t>
      </w:r>
      <w:r w:rsidRPr="00A10054" w:rsidR="00C221C6">
        <w:t>streets</w:t>
      </w:r>
      <w:r w:rsidRPr="00A10054" w:rsidR="00311648">
        <w:t xml:space="preserve"> and </w:t>
      </w:r>
      <w:r w:rsidRPr="00A10054" w:rsidR="003D1E5A">
        <w:t>sidewalks</w:t>
      </w:r>
      <w:r w:rsidRPr="00A10054" w:rsidR="00311648">
        <w:t xml:space="preserve"> downtown</w:t>
      </w:r>
      <w:r w:rsidRPr="00A10054" w:rsidR="003D1E5A">
        <w:t xml:space="preserve"> in a manner readily observable to passersby</w:t>
      </w:r>
      <w:r w:rsidRPr="00A10054" w:rsidR="00C221C6">
        <w:t>.</w:t>
      </w:r>
      <w:r w:rsidRPr="00A10054" w:rsidR="00311648">
        <w:t xml:space="preserve"> </w:t>
      </w:r>
      <w:r w:rsidRPr="00A10054" w:rsidR="00C221C6">
        <w:t xml:space="preserve"> W</w:t>
      </w:r>
      <w:r w:rsidRPr="00A10054" w:rsidR="00311648">
        <w:t xml:space="preserve">e </w:t>
      </w:r>
      <w:r w:rsidRPr="00A10054" w:rsidR="00C221C6">
        <w:t>therefore</w:t>
      </w:r>
      <w:r w:rsidRPr="00A10054" w:rsidR="00311648">
        <w:t xml:space="preserve"> conclude the police</w:t>
      </w:r>
      <w:r w:rsidRPr="00A10054">
        <w:t xml:space="preserve"> did not conduct a </w:t>
      </w:r>
      <w:r w:rsidRPr="00A10054" w:rsidR="009711C9">
        <w:t>“</w:t>
      </w:r>
      <w:r w:rsidRPr="00A10054">
        <w:t>search</w:t>
      </w:r>
      <w:r w:rsidRPr="00A10054" w:rsidR="009711C9">
        <w:t>”</w:t>
      </w:r>
      <w:r w:rsidRPr="00A10054">
        <w:t xml:space="preserve"> when they accessed footage from </w:t>
      </w:r>
      <w:r w:rsidRPr="00A10054" w:rsidR="00CF6AAB">
        <w:t xml:space="preserve">City’s </w:t>
      </w:r>
      <w:r w:rsidRPr="00A10054">
        <w:t>streetlight cameras</w:t>
      </w:r>
      <w:r w:rsidRPr="00A10054" w:rsidR="00C221C6">
        <w:t xml:space="preserve"> and, </w:t>
      </w:r>
    </w:p>
    <w:p w:rsidR="00D7348A" w:rsidRPr="00A10054" w:rsidP="00A00D0A">
      <w:r w:rsidRPr="00A10054">
        <w:t>accordingly, there was no violation of the Fourth Amendment</w:t>
      </w:r>
      <w:r w:rsidRPr="00A10054" w:rsidR="00311648">
        <w:t xml:space="preserve">. </w:t>
      </w:r>
    </w:p>
    <w:p w:rsidR="00A00D0A" w:rsidRPr="00A10054" w:rsidP="00731B9F">
      <w:pPr>
        <w:pStyle w:val="Heading1"/>
        <w:keepLines/>
        <w:spacing w:before="120" w:after="120"/>
        <w:jc w:val="center"/>
        <w:rPr>
          <w:rFonts w:ascii="Century Schoolbook" w:hAnsi="Century Schoolbook"/>
          <w:b w:val="0"/>
          <w:bCs w:val="0"/>
          <w:sz w:val="26"/>
          <w:szCs w:val="26"/>
        </w:rPr>
      </w:pPr>
      <w:r w:rsidRPr="00A10054">
        <w:rPr>
          <w:rFonts w:ascii="Century Schoolbook" w:hAnsi="Century Schoolbook"/>
          <w:b w:val="0"/>
          <w:bCs w:val="0"/>
          <w:sz w:val="26"/>
          <w:szCs w:val="26"/>
        </w:rPr>
        <w:t>DISPOSITION</w:t>
      </w:r>
    </w:p>
    <w:p w:rsidR="00731B9F" w:rsidP="00BE770A">
      <w:pPr>
        <w:keepNext/>
        <w:keepLines/>
      </w:pPr>
      <w:r w:rsidRPr="00A10054">
        <w:tab/>
      </w:r>
      <w:r w:rsidRPr="00A10054" w:rsidR="00BC39AC">
        <w:t xml:space="preserve">The judgment </w:t>
      </w:r>
      <w:r w:rsidRPr="00A10054" w:rsidR="00A657EB">
        <w:t>is affirmed.</w:t>
      </w:r>
    </w:p>
    <w:p w:rsidR="00E34EDE" w:rsidP="001059B1">
      <w:pPr>
        <w:keepNext/>
        <w:keepLines/>
        <w:spacing w:line="240" w:lineRule="auto"/>
        <w:jc w:val="right"/>
        <w:rPr>
          <w:u w:val="single"/>
        </w:rPr>
      </w:pPr>
    </w:p>
    <w:p w:rsidR="00E34EDE" w:rsidP="001059B1">
      <w:pPr>
        <w:keepNext/>
        <w:keepLines/>
        <w:spacing w:line="240" w:lineRule="auto"/>
        <w:jc w:val="right"/>
        <w:rPr>
          <w:u w:val="single"/>
        </w:rPr>
      </w:pPr>
    </w:p>
    <w:p w:rsidR="001059B1" w:rsidP="001059B1">
      <w:pPr>
        <w:keepNext/>
        <w:keepLines/>
        <w:spacing w:line="240" w:lineRule="auto"/>
        <w:jc w:val="right"/>
      </w:pPr>
      <w:r>
        <w:t>DATO, J.</w:t>
      </w:r>
    </w:p>
    <w:p w:rsidR="00E34EDE" w:rsidP="001059B1">
      <w:pPr>
        <w:keepNext/>
        <w:keepLines/>
        <w:tabs>
          <w:tab w:val="right" w:pos="3600"/>
        </w:tabs>
        <w:spacing w:line="240" w:lineRule="auto"/>
      </w:pPr>
    </w:p>
    <w:p w:rsidR="001059B1" w:rsidP="001059B1">
      <w:pPr>
        <w:keepNext/>
        <w:keepLines/>
        <w:tabs>
          <w:tab w:val="right" w:pos="3600"/>
        </w:tabs>
        <w:spacing w:line="240" w:lineRule="auto"/>
      </w:pPr>
      <w:r>
        <w:t>WE CONCUR:</w:t>
      </w:r>
    </w:p>
    <w:p w:rsidR="001059B1" w:rsidP="001059B1">
      <w:pPr>
        <w:keepNext/>
        <w:keepLines/>
        <w:tabs>
          <w:tab w:val="right" w:pos="3600"/>
        </w:tabs>
        <w:spacing w:line="240" w:lineRule="auto"/>
      </w:pPr>
    </w:p>
    <w:p w:rsidR="00E34EDE" w:rsidP="001059B1">
      <w:pPr>
        <w:keepNext/>
        <w:keepLines/>
        <w:tabs>
          <w:tab w:val="right" w:pos="3600"/>
        </w:tabs>
        <w:spacing w:line="240" w:lineRule="auto"/>
      </w:pPr>
    </w:p>
    <w:p w:rsidR="001059B1" w:rsidP="001059B1">
      <w:pPr>
        <w:keepNext/>
        <w:keepLines/>
        <w:tabs>
          <w:tab w:val="right" w:pos="3600"/>
        </w:tabs>
        <w:spacing w:line="240" w:lineRule="auto"/>
        <w:rPr>
          <w:u w:val="single"/>
        </w:rPr>
      </w:pPr>
    </w:p>
    <w:p w:rsidR="00E34EDE" w:rsidP="001059B1">
      <w:pPr>
        <w:keepNext/>
        <w:keepLines/>
        <w:tabs>
          <w:tab w:val="right" w:pos="3600"/>
        </w:tabs>
        <w:spacing w:line="240" w:lineRule="auto"/>
        <w:rPr>
          <w:u w:val="single"/>
        </w:rPr>
      </w:pPr>
    </w:p>
    <w:p w:rsidR="001059B1" w:rsidP="001059B1">
      <w:pPr>
        <w:keepNext/>
        <w:keepLines/>
        <w:tabs>
          <w:tab w:val="right" w:pos="3600"/>
        </w:tabs>
        <w:spacing w:line="240" w:lineRule="auto"/>
      </w:pPr>
      <w:r>
        <w:t>HUFFMAN, Acting P. J.</w:t>
      </w:r>
    </w:p>
    <w:p w:rsidR="001059B1" w:rsidP="001059B1">
      <w:pPr>
        <w:keepNext/>
        <w:keepLines/>
        <w:tabs>
          <w:tab w:val="right" w:pos="3600"/>
        </w:tabs>
        <w:spacing w:line="240" w:lineRule="auto"/>
      </w:pPr>
    </w:p>
    <w:p w:rsidR="00E34EDE" w:rsidP="001059B1">
      <w:pPr>
        <w:keepNext/>
        <w:keepLines/>
        <w:tabs>
          <w:tab w:val="right" w:pos="3600"/>
        </w:tabs>
        <w:spacing w:line="240" w:lineRule="auto"/>
      </w:pPr>
    </w:p>
    <w:p w:rsidR="00E34EDE" w:rsidP="001059B1">
      <w:pPr>
        <w:keepNext/>
        <w:keepLines/>
        <w:tabs>
          <w:tab w:val="right" w:pos="3600"/>
        </w:tabs>
        <w:spacing w:line="240" w:lineRule="auto"/>
      </w:pPr>
    </w:p>
    <w:p w:rsidR="001059B1" w:rsidP="001059B1">
      <w:pPr>
        <w:keepNext/>
        <w:keepLines/>
        <w:tabs>
          <w:tab w:val="right" w:pos="3600"/>
        </w:tabs>
        <w:spacing w:line="240" w:lineRule="auto"/>
      </w:pPr>
    </w:p>
    <w:p w:rsidR="001059B1" w:rsidP="001059B1">
      <w:pPr>
        <w:keepNext/>
        <w:keepLines/>
        <w:tabs>
          <w:tab w:val="right" w:pos="3600"/>
        </w:tabs>
        <w:spacing w:line="240" w:lineRule="auto"/>
      </w:pPr>
      <w:r>
        <w:t>CASTILLO, J.</w:t>
      </w:r>
    </w:p>
    <w:p w:rsidR="001059B1" w:rsidRPr="001059B1" w:rsidP="001059B1">
      <w:pPr>
        <w:keepNext/>
        <w:keepLines/>
        <w:tabs>
          <w:tab w:val="right" w:pos="3600"/>
        </w:tabs>
        <w:spacing w:line="240" w:lineRule="auto"/>
      </w:pPr>
    </w:p>
    <w:sectPr w:rsidSect="00995705"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6096672"/>
      <w:docPartObj>
        <w:docPartGallery w:val="Page Numbers (Bottom of Page)"/>
        <w:docPartUnique/>
      </w:docPartObj>
    </w:sdtPr>
    <w:sdtContent>
      <w:p w:rsidR="000328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28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284A" w:rsidP="0003284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9929F4" w:rsidP="0003284A">
      <w:pPr>
        <w:spacing w:line="240" w:lineRule="auto"/>
      </w:pPr>
      <w:r>
        <w:separator/>
      </w:r>
    </w:p>
  </w:footnote>
  <w:footnote w:type="continuationSeparator" w:id="1">
    <w:p w:rsidR="009929F4" w:rsidP="0003284A">
      <w:pPr>
        <w:spacing w:line="240" w:lineRule="auto"/>
      </w:pPr>
      <w:r>
        <w:continuationSeparator/>
      </w:r>
    </w:p>
  </w:footnote>
  <w:footnote w:id="2">
    <w:p w:rsidR="00920F38" w:rsidRPr="00A10054">
      <w:pPr>
        <w:pStyle w:val="FootnoteText"/>
      </w:pPr>
      <w:r w:rsidRPr="00A10054">
        <w:rPr>
          <w:rStyle w:val="FootnoteReference"/>
        </w:rPr>
        <w:footnoteRef/>
      </w:r>
      <w:r w:rsidRPr="00A10054">
        <w:t xml:space="preserve"> </w:t>
      </w:r>
      <w:r w:rsidRPr="00A10054">
        <w:tab/>
        <w:t>All undesignated references are to the Penal Code.</w:t>
      </w:r>
    </w:p>
    <w:p w:rsidR="000D192D" w:rsidRPr="00A10054" w:rsidP="000D192D">
      <w:pPr>
        <w:pStyle w:val="FootnoteText"/>
        <w:spacing w:line="120" w:lineRule="auto"/>
      </w:pPr>
    </w:p>
  </w:footnote>
  <w:footnote w:id="3">
    <w:p w:rsidR="00A35470" w:rsidP="00E27204">
      <w:pPr>
        <w:pStyle w:val="FootnoteText"/>
        <w:keepLines w:val="0"/>
      </w:pPr>
      <w:r w:rsidRPr="00A10054">
        <w:rPr>
          <w:rStyle w:val="FootnoteReference"/>
        </w:rPr>
        <w:footnoteRef/>
      </w:r>
      <w:r w:rsidRPr="00A10054">
        <w:t xml:space="preserve"> </w:t>
      </w:r>
      <w:r w:rsidRPr="00A10054">
        <w:tab/>
      </w:r>
      <w:r w:rsidRPr="00A10054" w:rsidR="006555ED">
        <w:t>Espinoza</w:t>
      </w:r>
      <w:r w:rsidRPr="00A10054" w:rsidR="004D055B">
        <w:t>, Cartwright’s codefendant,</w:t>
      </w:r>
      <w:r w:rsidRPr="00A10054" w:rsidR="00900079">
        <w:t xml:space="preserve"> </w:t>
      </w:r>
      <w:r w:rsidRPr="00A10054" w:rsidR="006555ED">
        <w:t xml:space="preserve">entered a plea of guilty to second degree murder and admitted a firearm allegation to be true; the court sentenced her to a term of 15 years to life plus one year.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80E271E"/>
    <w:multiLevelType w:val="hybridMultilevel"/>
    <w:tmpl w:val="E9C25B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SortMethod w:val="name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BE"/>
    <w:rsid w:val="00017CA3"/>
    <w:rsid w:val="0003284A"/>
    <w:rsid w:val="00034723"/>
    <w:rsid w:val="0007736B"/>
    <w:rsid w:val="00090980"/>
    <w:rsid w:val="00094690"/>
    <w:rsid w:val="000A3E61"/>
    <w:rsid w:val="000A578E"/>
    <w:rsid w:val="000D192D"/>
    <w:rsid w:val="000E2E42"/>
    <w:rsid w:val="000F3946"/>
    <w:rsid w:val="000F4087"/>
    <w:rsid w:val="00104C06"/>
    <w:rsid w:val="001059B1"/>
    <w:rsid w:val="001257F7"/>
    <w:rsid w:val="00147078"/>
    <w:rsid w:val="001512FD"/>
    <w:rsid w:val="00155E98"/>
    <w:rsid w:val="00157C11"/>
    <w:rsid w:val="00175FA9"/>
    <w:rsid w:val="001812D3"/>
    <w:rsid w:val="001A7F14"/>
    <w:rsid w:val="001B4BA4"/>
    <w:rsid w:val="001B67B2"/>
    <w:rsid w:val="001C3810"/>
    <w:rsid w:val="001E5DFE"/>
    <w:rsid w:val="00207FF9"/>
    <w:rsid w:val="0021644B"/>
    <w:rsid w:val="002270D2"/>
    <w:rsid w:val="00246596"/>
    <w:rsid w:val="00247CAB"/>
    <w:rsid w:val="00252748"/>
    <w:rsid w:val="00255E7F"/>
    <w:rsid w:val="00293B10"/>
    <w:rsid w:val="00295E67"/>
    <w:rsid w:val="00297230"/>
    <w:rsid w:val="002B3661"/>
    <w:rsid w:val="002C094F"/>
    <w:rsid w:val="002D3B65"/>
    <w:rsid w:val="002D6CF2"/>
    <w:rsid w:val="00311648"/>
    <w:rsid w:val="003141A2"/>
    <w:rsid w:val="00331CD6"/>
    <w:rsid w:val="00336457"/>
    <w:rsid w:val="00364591"/>
    <w:rsid w:val="003B2ED4"/>
    <w:rsid w:val="003D1E5A"/>
    <w:rsid w:val="003E48FB"/>
    <w:rsid w:val="003F7A71"/>
    <w:rsid w:val="00406F40"/>
    <w:rsid w:val="00425B8F"/>
    <w:rsid w:val="00425CD7"/>
    <w:rsid w:val="004340C6"/>
    <w:rsid w:val="00434BA0"/>
    <w:rsid w:val="004433CB"/>
    <w:rsid w:val="004621B8"/>
    <w:rsid w:val="004651ED"/>
    <w:rsid w:val="00465BE9"/>
    <w:rsid w:val="0046689A"/>
    <w:rsid w:val="00472457"/>
    <w:rsid w:val="00487602"/>
    <w:rsid w:val="00495A42"/>
    <w:rsid w:val="004A703E"/>
    <w:rsid w:val="004A7A7C"/>
    <w:rsid w:val="004C1E3C"/>
    <w:rsid w:val="004D055B"/>
    <w:rsid w:val="004E47AF"/>
    <w:rsid w:val="004F67EE"/>
    <w:rsid w:val="00502218"/>
    <w:rsid w:val="00535ED6"/>
    <w:rsid w:val="00544574"/>
    <w:rsid w:val="00572AEB"/>
    <w:rsid w:val="00594FBF"/>
    <w:rsid w:val="00597BCF"/>
    <w:rsid w:val="005A2A61"/>
    <w:rsid w:val="005A4A3D"/>
    <w:rsid w:val="005B3226"/>
    <w:rsid w:val="005B53B2"/>
    <w:rsid w:val="005C15ED"/>
    <w:rsid w:val="005D06A1"/>
    <w:rsid w:val="005F63FE"/>
    <w:rsid w:val="00602734"/>
    <w:rsid w:val="00624C8E"/>
    <w:rsid w:val="006555ED"/>
    <w:rsid w:val="00676706"/>
    <w:rsid w:val="00677CA7"/>
    <w:rsid w:val="00682E2F"/>
    <w:rsid w:val="006B2558"/>
    <w:rsid w:val="006B359F"/>
    <w:rsid w:val="006C7D32"/>
    <w:rsid w:val="006E740F"/>
    <w:rsid w:val="006F0196"/>
    <w:rsid w:val="00700783"/>
    <w:rsid w:val="007274F1"/>
    <w:rsid w:val="00731B9F"/>
    <w:rsid w:val="00733F88"/>
    <w:rsid w:val="00742433"/>
    <w:rsid w:val="007643FE"/>
    <w:rsid w:val="0076479E"/>
    <w:rsid w:val="00767ECB"/>
    <w:rsid w:val="007D3A48"/>
    <w:rsid w:val="007D7B5E"/>
    <w:rsid w:val="007E32CA"/>
    <w:rsid w:val="007E6814"/>
    <w:rsid w:val="008004C7"/>
    <w:rsid w:val="008128F8"/>
    <w:rsid w:val="00820EFB"/>
    <w:rsid w:val="0082343A"/>
    <w:rsid w:val="00834AB8"/>
    <w:rsid w:val="00846EA5"/>
    <w:rsid w:val="00852079"/>
    <w:rsid w:val="008737F5"/>
    <w:rsid w:val="008808CC"/>
    <w:rsid w:val="008948BC"/>
    <w:rsid w:val="008B6C85"/>
    <w:rsid w:val="008C6EEB"/>
    <w:rsid w:val="008D6F54"/>
    <w:rsid w:val="008E1478"/>
    <w:rsid w:val="008F113A"/>
    <w:rsid w:val="008F6549"/>
    <w:rsid w:val="00900079"/>
    <w:rsid w:val="00910D3B"/>
    <w:rsid w:val="009111F7"/>
    <w:rsid w:val="00920F38"/>
    <w:rsid w:val="009257B2"/>
    <w:rsid w:val="00964488"/>
    <w:rsid w:val="009711C9"/>
    <w:rsid w:val="00975D7A"/>
    <w:rsid w:val="009929F4"/>
    <w:rsid w:val="00995705"/>
    <w:rsid w:val="009A45BA"/>
    <w:rsid w:val="009A7587"/>
    <w:rsid w:val="009B73C8"/>
    <w:rsid w:val="009E111B"/>
    <w:rsid w:val="009E28C9"/>
    <w:rsid w:val="009E30F1"/>
    <w:rsid w:val="009F4FE3"/>
    <w:rsid w:val="009F5248"/>
    <w:rsid w:val="009F751A"/>
    <w:rsid w:val="00A00D0A"/>
    <w:rsid w:val="00A01C25"/>
    <w:rsid w:val="00A10054"/>
    <w:rsid w:val="00A15783"/>
    <w:rsid w:val="00A35470"/>
    <w:rsid w:val="00A4409A"/>
    <w:rsid w:val="00A657EB"/>
    <w:rsid w:val="00A7394F"/>
    <w:rsid w:val="00A85966"/>
    <w:rsid w:val="00AA5C09"/>
    <w:rsid w:val="00AC6F9C"/>
    <w:rsid w:val="00AD33D4"/>
    <w:rsid w:val="00AD6209"/>
    <w:rsid w:val="00AF66E4"/>
    <w:rsid w:val="00B044C9"/>
    <w:rsid w:val="00B530EE"/>
    <w:rsid w:val="00B67513"/>
    <w:rsid w:val="00B75C36"/>
    <w:rsid w:val="00B92DD1"/>
    <w:rsid w:val="00B94429"/>
    <w:rsid w:val="00BB5424"/>
    <w:rsid w:val="00BC39AC"/>
    <w:rsid w:val="00BC54EB"/>
    <w:rsid w:val="00BD63EE"/>
    <w:rsid w:val="00BE770A"/>
    <w:rsid w:val="00BF00DA"/>
    <w:rsid w:val="00BF0DA6"/>
    <w:rsid w:val="00C03A7E"/>
    <w:rsid w:val="00C0420E"/>
    <w:rsid w:val="00C0798F"/>
    <w:rsid w:val="00C1241E"/>
    <w:rsid w:val="00C221C6"/>
    <w:rsid w:val="00C43205"/>
    <w:rsid w:val="00C47475"/>
    <w:rsid w:val="00C52C13"/>
    <w:rsid w:val="00C66CDD"/>
    <w:rsid w:val="00C82676"/>
    <w:rsid w:val="00C86194"/>
    <w:rsid w:val="00CA3C0B"/>
    <w:rsid w:val="00CB53A2"/>
    <w:rsid w:val="00CB5FA3"/>
    <w:rsid w:val="00CC7FBE"/>
    <w:rsid w:val="00CD22FF"/>
    <w:rsid w:val="00CE6116"/>
    <w:rsid w:val="00CF6AAB"/>
    <w:rsid w:val="00D03D9B"/>
    <w:rsid w:val="00D04190"/>
    <w:rsid w:val="00D16CDC"/>
    <w:rsid w:val="00D32991"/>
    <w:rsid w:val="00D72394"/>
    <w:rsid w:val="00D7348A"/>
    <w:rsid w:val="00D854A2"/>
    <w:rsid w:val="00DB0ED5"/>
    <w:rsid w:val="00DD48A6"/>
    <w:rsid w:val="00DE66A3"/>
    <w:rsid w:val="00DE6907"/>
    <w:rsid w:val="00DF7ECA"/>
    <w:rsid w:val="00E03610"/>
    <w:rsid w:val="00E121C4"/>
    <w:rsid w:val="00E24C77"/>
    <w:rsid w:val="00E27204"/>
    <w:rsid w:val="00E274E1"/>
    <w:rsid w:val="00E34BEB"/>
    <w:rsid w:val="00E34EDE"/>
    <w:rsid w:val="00E35688"/>
    <w:rsid w:val="00E41AD6"/>
    <w:rsid w:val="00E50CB7"/>
    <w:rsid w:val="00E661AA"/>
    <w:rsid w:val="00E66447"/>
    <w:rsid w:val="00E744BE"/>
    <w:rsid w:val="00E90F43"/>
    <w:rsid w:val="00EA2103"/>
    <w:rsid w:val="00EA483C"/>
    <w:rsid w:val="00EB39D6"/>
    <w:rsid w:val="00EC17DF"/>
    <w:rsid w:val="00ED4334"/>
    <w:rsid w:val="00EE0F25"/>
    <w:rsid w:val="00EE284D"/>
    <w:rsid w:val="00EE39AD"/>
    <w:rsid w:val="00EF75B2"/>
    <w:rsid w:val="00F341A9"/>
    <w:rsid w:val="00F56CE3"/>
    <w:rsid w:val="00F849E8"/>
    <w:rsid w:val="00F90495"/>
    <w:rsid w:val="00FA0138"/>
    <w:rsid w:val="00FA24FE"/>
    <w:rsid w:val="00FA4123"/>
    <w:rsid w:val="00FA5CC2"/>
    <w:rsid w:val="00FB2334"/>
    <w:rsid w:val="00FB7262"/>
    <w:rsid w:val="00FC4FC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hAnsi="Century Schoolbook" w:eastAsiaTheme="minorHAnsi" w:cs="Times New Roman"/>
        <w:sz w:val="26"/>
        <w:szCs w:val="26"/>
        <w:lang w:val="en-US" w:eastAsia="en-US" w:bidi="en-US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79E"/>
  </w:style>
  <w:style w:type="paragraph" w:styleId="Heading1">
    <w:name w:val="heading 1"/>
    <w:basedOn w:val="Normal"/>
    <w:next w:val="Normal"/>
    <w:link w:val="Heading1Char"/>
    <w:uiPriority w:val="9"/>
    <w:qFormat/>
    <w:rsid w:val="007647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647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6479E"/>
    <w:pPr>
      <w:keepNext/>
      <w:spacing w:before="240" w:after="60"/>
      <w:outlineLvl w:val="2"/>
    </w:pPr>
    <w:rPr>
      <w:rFonts w:asciiTheme="majorHAnsi" w:eastAsiaTheme="majorEastAsia" w:hAnsiTheme="majorHAns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479E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479E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479E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479E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7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47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479E"/>
    <w:rPr>
      <w:rFonts w:asciiTheme="majorHAnsi" w:eastAsiaTheme="majorEastAsia" w:hAnsiTheme="majorHAnsi"/>
      <w:b/>
      <w:b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479E"/>
    <w:rPr>
      <w:b/>
      <w:bCs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479E"/>
    <w:rPr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479E"/>
    <w:rPr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479E"/>
    <w:rPr>
      <w:rFonts w:asciiTheme="majorHAnsi" w:eastAsiaTheme="majorEastAsia" w:hAnsiTheme="majorHAnsi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647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47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479E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479E"/>
    <w:rPr>
      <w:rFonts w:asciiTheme="majorHAnsi" w:eastAsiaTheme="majorEastAsia" w:hAnsiTheme="majorHAnsi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479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47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79E"/>
  </w:style>
  <w:style w:type="paragraph" w:styleId="Footer">
    <w:name w:val="footer"/>
    <w:basedOn w:val="Normal"/>
    <w:link w:val="FooterChar"/>
    <w:uiPriority w:val="99"/>
    <w:unhideWhenUsed/>
    <w:rsid w:val="007647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79E"/>
  </w:style>
  <w:style w:type="character" w:styleId="FootnoteReference">
    <w:name w:val="footnote reference"/>
    <w:basedOn w:val="DefaultParagraphFont"/>
    <w:uiPriority w:val="99"/>
    <w:semiHidden/>
    <w:unhideWhenUsed/>
    <w:rsid w:val="0076479E"/>
    <w:rPr>
      <w:rFonts w:ascii="Century Schoolbook" w:hAnsi="Century Schoolbook"/>
      <w:b w:val="0"/>
      <w:i w:val="0"/>
      <w:position w:val="6"/>
      <w:sz w:val="26"/>
      <w:vertAlign w:val="baseli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479E"/>
    <w:pPr>
      <w:keepLines/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79E"/>
    <w:rPr>
      <w:szCs w:val="20"/>
    </w:rPr>
  </w:style>
  <w:style w:type="paragraph" w:styleId="ListParagraph">
    <w:name w:val="List Paragraph"/>
    <w:basedOn w:val="Normal"/>
    <w:uiPriority w:val="34"/>
    <w:rsid w:val="005B53B2"/>
    <w:pPr>
      <w:ind w:left="720"/>
      <w:contextualSpacing/>
    </w:pPr>
  </w:style>
  <w:style w:type="paragraph" w:styleId="Revision">
    <w:name w:val="Revision"/>
    <w:hidden/>
    <w:uiPriority w:val="99"/>
    <w:semiHidden/>
    <w:rsid w:val="00B67513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A7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7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7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03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A2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ssit">
    <w:name w:val="ss_it"/>
    <w:basedOn w:val="DefaultParagraphFont"/>
    <w:rsid w:val="00FA24FE"/>
  </w:style>
  <w:style w:type="character" w:styleId="Hyperlink">
    <w:name w:val="Hyperlink"/>
    <w:basedOn w:val="DefaultParagraphFont"/>
    <w:uiPriority w:val="99"/>
    <w:unhideWhenUsed/>
    <w:rsid w:val="00FA24F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7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Court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OC Standa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A883D-082D-408D-9070-337CC5ED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2024-01-25T17:00:37Z</dcterms:created>
  <dcterms:modified xsi:type="dcterms:W3CDTF">2024-01-25T17:00:37Z</dcterms:modified>
</cp:coreProperties>
</file>