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FA0CC" w14:textId="51799F28" w:rsidR="005A4A3D" w:rsidRPr="00093837" w:rsidRDefault="00093837" w:rsidP="00093837">
      <w:pPr>
        <w:spacing w:line="240" w:lineRule="auto"/>
        <w:rPr>
          <w:sz w:val="20"/>
        </w:rPr>
      </w:pPr>
      <w:r w:rsidRPr="00093837">
        <w:rPr>
          <w:sz w:val="20"/>
        </w:rPr>
        <w:t>Filed 3/27/24</w:t>
      </w:r>
    </w:p>
    <w:p w14:paraId="26A0D251" w14:textId="77777777" w:rsidR="00C9168C" w:rsidRDefault="00C9168C" w:rsidP="00C9168C">
      <w:pPr>
        <w:spacing w:line="240" w:lineRule="auto"/>
      </w:pPr>
    </w:p>
    <w:p w14:paraId="60A9CB31" w14:textId="6CE4FD87" w:rsidR="00C9168C" w:rsidRDefault="00C9168C" w:rsidP="00C9168C">
      <w:pPr>
        <w:spacing w:line="240" w:lineRule="auto"/>
        <w:jc w:val="center"/>
      </w:pPr>
      <w:r>
        <w:t>CERTIFIED FOR PUBLICATION</w:t>
      </w:r>
    </w:p>
    <w:p w14:paraId="23D8A86C" w14:textId="77777777" w:rsidR="006B3209" w:rsidRDefault="006B3209" w:rsidP="006B3209">
      <w:pPr>
        <w:spacing w:line="240" w:lineRule="auto"/>
      </w:pPr>
    </w:p>
    <w:p w14:paraId="49C209CE" w14:textId="77777777" w:rsidR="006B3209" w:rsidRDefault="006B3209" w:rsidP="006B3209">
      <w:pPr>
        <w:spacing w:line="240" w:lineRule="auto"/>
      </w:pPr>
    </w:p>
    <w:p w14:paraId="33FF041F" w14:textId="77777777" w:rsidR="006B3209" w:rsidRDefault="006B3209" w:rsidP="006B3209">
      <w:pPr>
        <w:spacing w:line="240" w:lineRule="auto"/>
        <w:jc w:val="center"/>
      </w:pPr>
      <w:r>
        <w:t>COURT OF APPEAL, FOURTH APPELLATE DISTRICT</w:t>
      </w:r>
    </w:p>
    <w:p w14:paraId="594DDC65" w14:textId="06F9C72A" w:rsidR="006B3209" w:rsidRDefault="006B3209" w:rsidP="006B3209">
      <w:pPr>
        <w:spacing w:line="240" w:lineRule="auto"/>
        <w:jc w:val="center"/>
      </w:pPr>
    </w:p>
    <w:p w14:paraId="1B0D054E" w14:textId="3581CEB8" w:rsidR="006B3209" w:rsidRDefault="006B3209" w:rsidP="006B3209">
      <w:pPr>
        <w:spacing w:line="240" w:lineRule="auto"/>
        <w:jc w:val="center"/>
      </w:pPr>
      <w:r>
        <w:t>DIVISION ONE</w:t>
      </w:r>
    </w:p>
    <w:p w14:paraId="5D91496A" w14:textId="77777777" w:rsidR="006B3209" w:rsidRDefault="006B3209" w:rsidP="006B3209">
      <w:pPr>
        <w:spacing w:line="240" w:lineRule="auto"/>
        <w:jc w:val="center"/>
      </w:pPr>
    </w:p>
    <w:p w14:paraId="29BA5DAC" w14:textId="77777777" w:rsidR="006B3209" w:rsidRDefault="006B3209" w:rsidP="006B3209">
      <w:pPr>
        <w:spacing w:line="240" w:lineRule="auto"/>
        <w:jc w:val="center"/>
      </w:pPr>
      <w:r>
        <w:t>STATE OF CALIFORNIA</w:t>
      </w:r>
    </w:p>
    <w:p w14:paraId="6DA8541E" w14:textId="77777777" w:rsidR="006B3209" w:rsidRDefault="006B3209" w:rsidP="006B3209">
      <w:pPr>
        <w:spacing w:line="240" w:lineRule="auto"/>
        <w:jc w:val="center"/>
      </w:pPr>
    </w:p>
    <w:p w14:paraId="6DAFEB6C" w14:textId="77777777" w:rsidR="006B3209" w:rsidRDefault="006B3209" w:rsidP="006B3209">
      <w:pPr>
        <w:spacing w:line="240" w:lineRule="auto"/>
        <w:jc w:val="center"/>
      </w:pPr>
    </w:p>
    <w:p w14:paraId="10E77710" w14:textId="77777777" w:rsidR="006B3209" w:rsidRDefault="006B3209" w:rsidP="006B3209">
      <w:pPr>
        <w:spacing w:line="240" w:lineRule="auto"/>
        <w:jc w:val="center"/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040"/>
        <w:gridCol w:w="4320"/>
      </w:tblGrid>
      <w:tr w:rsidR="006B3209" w14:paraId="02767F5E" w14:textId="77777777" w:rsidTr="006B3209"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58C9" w14:textId="77777777" w:rsidR="006B3209" w:rsidRDefault="006B3209" w:rsidP="006B3209">
            <w:pPr>
              <w:spacing w:line="240" w:lineRule="auto"/>
            </w:pPr>
            <w:r>
              <w:t>THE PEOPLE,</w:t>
            </w:r>
          </w:p>
          <w:p w14:paraId="1F8DE4CC" w14:textId="77777777" w:rsidR="006B3209" w:rsidRDefault="006B3209" w:rsidP="006B3209">
            <w:pPr>
              <w:spacing w:line="240" w:lineRule="auto"/>
            </w:pPr>
          </w:p>
          <w:p w14:paraId="218F2E6B" w14:textId="77777777" w:rsidR="006B3209" w:rsidRDefault="006B3209" w:rsidP="006B3209">
            <w:pPr>
              <w:spacing w:line="240" w:lineRule="auto"/>
            </w:pPr>
            <w:r>
              <w:tab/>
              <w:t>Plaintiff and Respondent,</w:t>
            </w:r>
          </w:p>
          <w:p w14:paraId="0CF47D37" w14:textId="77777777" w:rsidR="006B3209" w:rsidRDefault="006B3209" w:rsidP="006B3209">
            <w:pPr>
              <w:spacing w:line="240" w:lineRule="auto"/>
            </w:pPr>
          </w:p>
          <w:p w14:paraId="1A745F41" w14:textId="77777777" w:rsidR="006B3209" w:rsidRDefault="006B3209" w:rsidP="006B3209">
            <w:pPr>
              <w:spacing w:line="240" w:lineRule="auto"/>
            </w:pPr>
            <w:r>
              <w:tab/>
              <w:t>v.</w:t>
            </w:r>
          </w:p>
          <w:p w14:paraId="7D7703E5" w14:textId="77777777" w:rsidR="006B3209" w:rsidRDefault="006B3209" w:rsidP="006B3209">
            <w:pPr>
              <w:spacing w:line="240" w:lineRule="auto"/>
            </w:pPr>
          </w:p>
          <w:p w14:paraId="59DD6CBD" w14:textId="7BD48D94" w:rsidR="006B3209" w:rsidRDefault="006B3209" w:rsidP="006B3209">
            <w:pPr>
              <w:spacing w:line="240" w:lineRule="auto"/>
            </w:pPr>
            <w:r>
              <w:t>DAVID D. MCCLELLAND,</w:t>
            </w:r>
          </w:p>
          <w:p w14:paraId="1EA174F1" w14:textId="77777777" w:rsidR="006B3209" w:rsidRDefault="006B3209" w:rsidP="006B3209">
            <w:pPr>
              <w:spacing w:line="240" w:lineRule="auto"/>
            </w:pPr>
          </w:p>
          <w:p w14:paraId="330FF2B4" w14:textId="77777777" w:rsidR="006B3209" w:rsidRDefault="006B3209" w:rsidP="006B3209">
            <w:pPr>
              <w:spacing w:line="240" w:lineRule="auto"/>
            </w:pPr>
            <w:r>
              <w:tab/>
              <w:t>Defendant and Appellant.</w:t>
            </w:r>
          </w:p>
          <w:p w14:paraId="05DEC33A" w14:textId="77777777" w:rsidR="006B3209" w:rsidRDefault="006B3209" w:rsidP="006B3209">
            <w:pPr>
              <w:spacing w:line="240" w:lineRule="auto"/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14:paraId="4DF447C2" w14:textId="77777777" w:rsidR="006B3209" w:rsidRDefault="006B3209" w:rsidP="006B3209">
            <w:pPr>
              <w:tabs>
                <w:tab w:val="left" w:pos="144"/>
              </w:tabs>
              <w:spacing w:line="240" w:lineRule="auto"/>
            </w:pPr>
            <w:r>
              <w:t xml:space="preserve">  D081369</w:t>
            </w:r>
          </w:p>
          <w:p w14:paraId="2F71C674" w14:textId="77777777" w:rsidR="006B3209" w:rsidRDefault="006B3209" w:rsidP="006B3209">
            <w:pPr>
              <w:tabs>
                <w:tab w:val="left" w:pos="144"/>
              </w:tabs>
              <w:spacing w:line="240" w:lineRule="auto"/>
            </w:pPr>
          </w:p>
          <w:p w14:paraId="3AD715F9" w14:textId="77777777" w:rsidR="006B3209" w:rsidRDefault="006B3209" w:rsidP="006B3209">
            <w:pPr>
              <w:tabs>
                <w:tab w:val="left" w:pos="144"/>
              </w:tabs>
              <w:spacing w:line="240" w:lineRule="auto"/>
            </w:pPr>
          </w:p>
          <w:p w14:paraId="6872D662" w14:textId="77777777" w:rsidR="006B3209" w:rsidRDefault="006B3209" w:rsidP="006B3209">
            <w:pPr>
              <w:tabs>
                <w:tab w:val="left" w:pos="144"/>
              </w:tabs>
              <w:spacing w:line="240" w:lineRule="auto"/>
            </w:pPr>
          </w:p>
          <w:p w14:paraId="18976125" w14:textId="77777777" w:rsidR="006B3209" w:rsidRDefault="006B3209" w:rsidP="006B3209">
            <w:pPr>
              <w:tabs>
                <w:tab w:val="left" w:pos="144"/>
              </w:tabs>
              <w:spacing w:line="240" w:lineRule="auto"/>
            </w:pPr>
            <w:r>
              <w:t xml:space="preserve">  (Super. Ct. No. SCD102568)</w:t>
            </w:r>
          </w:p>
        </w:tc>
      </w:tr>
    </w:tbl>
    <w:p w14:paraId="1700F219" w14:textId="77777777" w:rsidR="006B3209" w:rsidRDefault="006B3209" w:rsidP="006B3209">
      <w:pPr>
        <w:spacing w:line="240" w:lineRule="auto"/>
      </w:pPr>
    </w:p>
    <w:p w14:paraId="1A545E5C" w14:textId="77777777" w:rsidR="006B3209" w:rsidRDefault="006B3209" w:rsidP="006B3209">
      <w:r>
        <w:tab/>
        <w:t>APPEAL from a judgment of the Superior Court of San Diego County, Peter C. Deddeh, Judge.  Affirmed.</w:t>
      </w:r>
    </w:p>
    <w:p w14:paraId="31B4BF85" w14:textId="605340DF" w:rsidR="006B3209" w:rsidRPr="008537EA" w:rsidRDefault="006B3209" w:rsidP="006B3209">
      <w:r>
        <w:tab/>
        <w:t>Barbara A. Smith</w:t>
      </w:r>
      <w:r w:rsidR="00756A03">
        <w:t xml:space="preserve"> and Leslie A. Rose</w:t>
      </w:r>
      <w:r w:rsidRPr="008537EA">
        <w:t xml:space="preserve">, under appointment by the Court of Appeal, for Defendant and Appellant.  </w:t>
      </w:r>
    </w:p>
    <w:p w14:paraId="7E2431D2" w14:textId="670CA450" w:rsidR="006B3209" w:rsidRDefault="006B3209" w:rsidP="006B3209">
      <w:r w:rsidRPr="008537EA">
        <w:tab/>
        <w:t>Rob Bonta, Attorney General, Lance E. Winters, Chief Assistant Attorney General, Charles C. Ragland, Assistant Attorney General,</w:t>
      </w:r>
      <w:r>
        <w:t xml:space="preserve"> Arlene</w:t>
      </w:r>
      <w:r w:rsidR="006D7230">
        <w:t> </w:t>
      </w:r>
      <w:r>
        <w:t>A. Sevidal, James M. Toohey, and Andrew Mestman</w:t>
      </w:r>
      <w:r w:rsidRPr="008537EA">
        <w:t xml:space="preserve">, Deputy Attorneys General, for Plaintiff and Respondent.  </w:t>
      </w:r>
    </w:p>
    <w:p w14:paraId="4D9843B1" w14:textId="19B69775" w:rsidR="006B3209" w:rsidRDefault="006B3209" w:rsidP="006B3209">
      <w:r>
        <w:tab/>
      </w:r>
      <w:r w:rsidR="00CE4A64">
        <w:t xml:space="preserve">David D. McClelland appeals </w:t>
      </w:r>
      <w:r w:rsidR="00EC4680">
        <w:t>the denial of his petition for resentencing</w:t>
      </w:r>
      <w:r w:rsidR="007B46EA">
        <w:t xml:space="preserve">.  He </w:t>
      </w:r>
      <w:r w:rsidR="00F066CF">
        <w:t xml:space="preserve">argues the trial court </w:t>
      </w:r>
      <w:r w:rsidR="00691A07">
        <w:t xml:space="preserve">violated </w:t>
      </w:r>
      <w:r w:rsidR="00584AB5">
        <w:t xml:space="preserve">his </w:t>
      </w:r>
      <w:r w:rsidR="00691A07">
        <w:t>due process</w:t>
      </w:r>
      <w:r w:rsidR="000B3E81">
        <w:t xml:space="preserve"> rights</w:t>
      </w:r>
      <w:r w:rsidR="000F3C3D">
        <w:t xml:space="preserve"> </w:t>
      </w:r>
      <w:r w:rsidR="00EB27ED">
        <w:t>because he was not present at what he misconstrues as the evidentiary hearing</w:t>
      </w:r>
      <w:r w:rsidR="000F3C3D">
        <w:t xml:space="preserve">. </w:t>
      </w:r>
      <w:r w:rsidR="00C451FF">
        <w:t xml:space="preserve"> </w:t>
      </w:r>
      <w:r w:rsidR="00EB27ED">
        <w:t>However, he was present at a</w:t>
      </w:r>
      <w:r w:rsidR="008522D4">
        <w:t xml:space="preserve"> hearing, which we</w:t>
      </w:r>
      <w:r w:rsidR="00EB27ED">
        <w:t xml:space="preserve"> conclude</w:t>
      </w:r>
      <w:r w:rsidR="008522D4">
        <w:t>—</w:t>
      </w:r>
      <w:r w:rsidR="00EB27ED">
        <w:t xml:space="preserve">looking to </w:t>
      </w:r>
      <w:r w:rsidR="00324AD8">
        <w:t>its</w:t>
      </w:r>
      <w:r w:rsidR="00EB27ED">
        <w:t xml:space="preserve"> substance and </w:t>
      </w:r>
      <w:r w:rsidR="00EB27ED">
        <w:lastRenderedPageBreak/>
        <w:t xml:space="preserve">effect rather than its label—was the evidentiary hearing.  </w:t>
      </w:r>
      <w:r w:rsidR="00C451FF">
        <w:t>We</w:t>
      </w:r>
      <w:r w:rsidR="00EB27ED">
        <w:t xml:space="preserve"> therefore</w:t>
      </w:r>
      <w:r w:rsidR="00C451FF">
        <w:t xml:space="preserve"> affirm.</w:t>
      </w:r>
    </w:p>
    <w:p w14:paraId="784B6073" w14:textId="65003AE4" w:rsidR="002969B5" w:rsidRDefault="002969B5" w:rsidP="002969B5">
      <w:pPr>
        <w:jc w:val="center"/>
      </w:pPr>
      <w:r>
        <w:t>I.</w:t>
      </w:r>
    </w:p>
    <w:p w14:paraId="78E9F1A8" w14:textId="18631CF5" w:rsidR="002969B5" w:rsidRDefault="002969B5" w:rsidP="006B3209">
      <w:r>
        <w:tab/>
        <w:t>In 1994, McClelland pled guilty to second degree murder</w:t>
      </w:r>
      <w:r w:rsidR="008C4ECB">
        <w:t xml:space="preserve"> and was sentenced to a state prison term of 15 years to life. </w:t>
      </w:r>
      <w:r w:rsidR="00D16570">
        <w:t xml:space="preserve"> In 2019, he </w:t>
      </w:r>
      <w:r w:rsidR="00A752F0">
        <w:t>filed a</w:t>
      </w:r>
      <w:r w:rsidR="00660F77">
        <w:t xml:space="preserve"> </w:t>
      </w:r>
      <w:r w:rsidR="00A110DE">
        <w:t>Penal Code section 1170.95</w:t>
      </w:r>
      <w:r w:rsidR="00A110DE">
        <w:rPr>
          <w:rStyle w:val="FootnoteReference"/>
        </w:rPr>
        <w:footnoteReference w:id="1"/>
      </w:r>
      <w:r w:rsidR="00A110DE">
        <w:t xml:space="preserve"> </w:t>
      </w:r>
      <w:r w:rsidR="00660F77">
        <w:t xml:space="preserve">petition. </w:t>
      </w:r>
      <w:r w:rsidR="00933631">
        <w:t xml:space="preserve"> The People </w:t>
      </w:r>
      <w:r w:rsidR="00E133C3">
        <w:t>conceded McClelland</w:t>
      </w:r>
      <w:r w:rsidR="00585E89">
        <w:t xml:space="preserve"> made a</w:t>
      </w:r>
      <w:r w:rsidR="00324AD8">
        <w:t xml:space="preserve"> </w:t>
      </w:r>
      <w:r w:rsidR="00E133C3">
        <w:t>prima facie showing of entitlement to relief</w:t>
      </w:r>
      <w:r w:rsidR="0007090F">
        <w:t xml:space="preserve">. </w:t>
      </w:r>
      <w:r w:rsidR="007B12FE">
        <w:t xml:space="preserve"> </w:t>
      </w:r>
      <w:r w:rsidR="007333B1">
        <w:t xml:space="preserve">The trial court </w:t>
      </w:r>
      <w:r w:rsidR="00324AD8">
        <w:t xml:space="preserve">thus </w:t>
      </w:r>
      <w:r w:rsidR="007333B1">
        <w:t xml:space="preserve">issued </w:t>
      </w:r>
      <w:r w:rsidR="002A52B5">
        <w:t>an</w:t>
      </w:r>
      <w:r w:rsidR="00D652CC">
        <w:t xml:space="preserve"> order to show cause</w:t>
      </w:r>
      <w:r w:rsidR="00A17DB5">
        <w:t xml:space="preserve"> (OSC)</w:t>
      </w:r>
      <w:r w:rsidR="001A5656">
        <w:t xml:space="preserve"> </w:t>
      </w:r>
      <w:r w:rsidR="008739AA">
        <w:t>and</w:t>
      </w:r>
      <w:r w:rsidR="001A5656">
        <w:t xml:space="preserve"> scheduled an evidentiary hearing, which was continued and reset </w:t>
      </w:r>
      <w:r w:rsidR="00C55A9F">
        <w:t xml:space="preserve">repeatedly </w:t>
      </w:r>
      <w:r w:rsidR="001A5656">
        <w:t xml:space="preserve">at the parties’ request.  </w:t>
      </w:r>
    </w:p>
    <w:p w14:paraId="2997DABF" w14:textId="0BB84B68" w:rsidR="00B87206" w:rsidRDefault="00B87206" w:rsidP="006B3209">
      <w:r>
        <w:tab/>
      </w:r>
      <w:r w:rsidR="00C55A9F">
        <w:t>In January 2022, t</w:t>
      </w:r>
      <w:r>
        <w:t xml:space="preserve">he People </w:t>
      </w:r>
      <w:r w:rsidR="00CA0A91">
        <w:t xml:space="preserve">submitted a return to the </w:t>
      </w:r>
      <w:r w:rsidR="00A17DB5">
        <w:t>OSC</w:t>
      </w:r>
      <w:r w:rsidR="00F47D00">
        <w:t xml:space="preserve">, </w:t>
      </w:r>
      <w:r w:rsidR="0080239E">
        <w:t>indicat</w:t>
      </w:r>
      <w:r w:rsidR="00F47D00">
        <w:t>ing</w:t>
      </w:r>
      <w:r w:rsidR="009E4A02">
        <w:t xml:space="preserve"> </w:t>
      </w:r>
      <w:r w:rsidR="00585E89">
        <w:t>that</w:t>
      </w:r>
      <w:r w:rsidR="00324AD8">
        <w:t>,</w:t>
      </w:r>
      <w:r w:rsidR="00585E89">
        <w:t xml:space="preserve"> at the </w:t>
      </w:r>
      <w:r w:rsidR="00A17DB5">
        <w:t>evidentiary hearing</w:t>
      </w:r>
      <w:r w:rsidR="00585E89">
        <w:t>, they intended to rely</w:t>
      </w:r>
      <w:r w:rsidR="00A17DB5">
        <w:t xml:space="preserve"> </w:t>
      </w:r>
      <w:r w:rsidR="009E4A02">
        <w:t xml:space="preserve">on </w:t>
      </w:r>
      <w:r w:rsidR="00917B43">
        <w:t xml:space="preserve">(1) </w:t>
      </w:r>
      <w:r w:rsidR="009E4A02">
        <w:t>the grand jury transcript as the record of conviction</w:t>
      </w:r>
      <w:r w:rsidR="00585E89">
        <w:t>,</w:t>
      </w:r>
      <w:r w:rsidR="00B573C2">
        <w:t xml:space="preserve"> and</w:t>
      </w:r>
      <w:r w:rsidR="009E4A02">
        <w:t xml:space="preserve"> </w:t>
      </w:r>
      <w:r w:rsidR="00B573C2">
        <w:t>(2)</w:t>
      </w:r>
      <w:r w:rsidR="009D239F">
        <w:t> </w:t>
      </w:r>
      <w:r w:rsidR="002A6C9A">
        <w:t>McClelland’s statements</w:t>
      </w:r>
      <w:r w:rsidR="006B1F65">
        <w:t xml:space="preserve"> in California Department of Corrections and Rehabilitation</w:t>
      </w:r>
      <w:r w:rsidR="006B54F7">
        <w:t xml:space="preserve"> (CDCR)</w:t>
      </w:r>
      <w:r w:rsidR="006B1F65">
        <w:t xml:space="preserve"> records</w:t>
      </w:r>
      <w:r w:rsidR="00B573C2">
        <w:t xml:space="preserve">. </w:t>
      </w:r>
      <w:r w:rsidR="004C4815">
        <w:t xml:space="preserve"> They </w:t>
      </w:r>
      <w:r w:rsidR="00D172C4">
        <w:t>argued</w:t>
      </w:r>
      <w:r w:rsidR="004C4815">
        <w:t xml:space="preserve"> this evidence established McClelland’s guilt beyond a reasonable doubt of second degree murder as an aider and abettor of an implied malice murder</w:t>
      </w:r>
      <w:r w:rsidR="00104BB0">
        <w:t xml:space="preserve">. </w:t>
      </w:r>
    </w:p>
    <w:p w14:paraId="1FD83C3B" w14:textId="50B89203" w:rsidR="00504FB1" w:rsidRDefault="00504FB1" w:rsidP="006B3209">
      <w:r>
        <w:tab/>
      </w:r>
      <w:r w:rsidR="008166FA">
        <w:t xml:space="preserve">In June, </w:t>
      </w:r>
      <w:r>
        <w:t xml:space="preserve">McClelland </w:t>
      </w:r>
      <w:r w:rsidR="00183BCB">
        <w:t xml:space="preserve">submitted </w:t>
      </w:r>
      <w:r w:rsidR="00324AD8">
        <w:t>his</w:t>
      </w:r>
      <w:r w:rsidR="00D172C4">
        <w:t xml:space="preserve"> evidentiary hearing</w:t>
      </w:r>
      <w:r w:rsidR="00183BCB">
        <w:t xml:space="preserve"> brief. </w:t>
      </w:r>
      <w:r w:rsidR="009D239F">
        <w:t xml:space="preserve"> </w:t>
      </w:r>
      <w:r w:rsidR="004116C3">
        <w:t xml:space="preserve">He </w:t>
      </w:r>
      <w:r w:rsidR="00514DBE">
        <w:t>asked</w:t>
      </w:r>
      <w:r w:rsidR="004116C3">
        <w:t xml:space="preserve"> </w:t>
      </w:r>
      <w:r w:rsidR="00585E89">
        <w:t>the court not</w:t>
      </w:r>
      <w:r w:rsidR="00514DBE">
        <w:t xml:space="preserve"> to</w:t>
      </w:r>
      <w:r w:rsidR="00585E89">
        <w:t xml:space="preserve"> consider </w:t>
      </w:r>
      <w:r w:rsidR="004116C3">
        <w:t>certain hearsay testimony</w:t>
      </w:r>
      <w:r w:rsidR="00324AD8">
        <w:t xml:space="preserve"> in the record</w:t>
      </w:r>
      <w:r w:rsidR="004116C3">
        <w:t xml:space="preserve">. </w:t>
      </w:r>
      <w:r w:rsidR="00DE73A4">
        <w:t xml:space="preserve"> He also argued the evidence </w:t>
      </w:r>
      <w:r w:rsidR="005F18A5">
        <w:t xml:space="preserve">was insufficient to </w:t>
      </w:r>
      <w:r w:rsidR="00887CB8">
        <w:t xml:space="preserve">sustain his conviction beyond a reasonable doubt and urged the court to consider his youth </w:t>
      </w:r>
      <w:r w:rsidR="00DF4A68">
        <w:t xml:space="preserve">in evaluating his actions. </w:t>
      </w:r>
    </w:p>
    <w:p w14:paraId="2F92E455" w14:textId="7D6E9E32" w:rsidR="00DF4A68" w:rsidRPr="00E24633" w:rsidRDefault="00DF4A68" w:rsidP="006B3209">
      <w:r>
        <w:tab/>
      </w:r>
      <w:r w:rsidR="00757170">
        <w:t xml:space="preserve">At the June evidentiary hearing, </w:t>
      </w:r>
      <w:r w:rsidR="00E24633">
        <w:t xml:space="preserve">with all parties and counsel present, </w:t>
      </w:r>
      <w:r w:rsidR="00F002EA">
        <w:t>McClelland’s counsel requested a</w:t>
      </w:r>
      <w:r w:rsidR="00C63234">
        <w:t>nother</w:t>
      </w:r>
      <w:r w:rsidR="00F002EA">
        <w:t xml:space="preserve"> continuance</w:t>
      </w:r>
      <w:r w:rsidR="00E24633">
        <w:t>.</w:t>
      </w:r>
      <w:r w:rsidR="0033768E">
        <w:t xml:space="preserve"> </w:t>
      </w:r>
      <w:r w:rsidR="00E24633">
        <w:t xml:space="preserve"> T</w:t>
      </w:r>
      <w:r w:rsidR="00F002EA">
        <w:t xml:space="preserve">he court </w:t>
      </w:r>
      <w:r w:rsidR="00E24633">
        <w:t xml:space="preserve">then </w:t>
      </w:r>
      <w:r w:rsidR="00F002EA">
        <w:t xml:space="preserve">set </w:t>
      </w:r>
      <w:r w:rsidR="00020F24">
        <w:t xml:space="preserve">a “[s]tatus [h]earing” for September. </w:t>
      </w:r>
    </w:p>
    <w:p w14:paraId="19DF9696" w14:textId="1C241506" w:rsidR="008F68FF" w:rsidRDefault="00C63234" w:rsidP="006B3209">
      <w:r>
        <w:lastRenderedPageBreak/>
        <w:tab/>
      </w:r>
      <w:r w:rsidR="00DD1ADD">
        <w:t xml:space="preserve">Counsel for both parties and McClelland appeared at the September hearing. </w:t>
      </w:r>
      <w:r w:rsidR="00986A33">
        <w:t xml:space="preserve"> The court noted it had read the parties’ briefing and the grand jury transcript.</w:t>
      </w:r>
      <w:r w:rsidR="005B1D8D">
        <w:t xml:space="preserve"> </w:t>
      </w:r>
      <w:r w:rsidR="00B66C76">
        <w:t xml:space="preserve"> The </w:t>
      </w:r>
      <w:r w:rsidR="0086054A">
        <w:t>prosecutor</w:t>
      </w:r>
      <w:r w:rsidR="00B66C76">
        <w:t xml:space="preserve"> asked the court to admit and consider two additional </w:t>
      </w:r>
      <w:r w:rsidR="00835EE5">
        <w:t xml:space="preserve">exhibits: (1) pages from McClelland’s </w:t>
      </w:r>
      <w:r w:rsidR="006B54F7">
        <w:t xml:space="preserve">CDCR “C-file” </w:t>
      </w:r>
      <w:r w:rsidR="0026222A">
        <w:t>related to a Board of Parole hearing</w:t>
      </w:r>
      <w:r w:rsidR="009445C4">
        <w:t xml:space="preserve"> </w:t>
      </w:r>
      <w:r w:rsidR="00794C76">
        <w:t>relevant to “</w:t>
      </w:r>
      <w:r w:rsidR="009445C4">
        <w:t xml:space="preserve">his participation in this murder,” and (2) McClelland’s certified change of plea form.  </w:t>
      </w:r>
      <w:r w:rsidR="004648FB">
        <w:t xml:space="preserve">The court confirmed with </w:t>
      </w:r>
      <w:r w:rsidR="009445C4">
        <w:t xml:space="preserve">McClelland’s </w:t>
      </w:r>
      <w:r w:rsidR="004648FB">
        <w:t>counsel that she had seen the documents</w:t>
      </w:r>
      <w:r w:rsidR="00B24ADA">
        <w:t>, and she did not object to their consideration</w:t>
      </w:r>
      <w:r w:rsidR="00A423AA">
        <w:t>.</w:t>
      </w:r>
      <w:r w:rsidR="004648FB">
        <w:t xml:space="preserve">  </w:t>
      </w:r>
    </w:p>
    <w:p w14:paraId="1A2A3C93" w14:textId="1B33A2B5" w:rsidR="00C63234" w:rsidRDefault="008F68FF" w:rsidP="006B3209">
      <w:r>
        <w:tab/>
        <w:t xml:space="preserve">The court then </w:t>
      </w:r>
      <w:r w:rsidR="00077F03">
        <w:t>offered to</w:t>
      </w:r>
      <w:r>
        <w:t xml:space="preserve"> “set a date in four weeks.”  </w:t>
      </w:r>
      <w:r w:rsidR="005E1743">
        <w:t xml:space="preserve">Instead of accepting a future hearing date, </w:t>
      </w:r>
      <w:r>
        <w:t xml:space="preserve">McClelland’s counsel </w:t>
      </w:r>
      <w:r w:rsidR="005E1743">
        <w:t>said</w:t>
      </w:r>
      <w:r>
        <w:t xml:space="preserve"> it would be “fine too” if the court “want[ed] to issue a written ruling” and “[j]ust submit it to the parties.”  </w:t>
      </w:r>
      <w:r w:rsidR="0040414C">
        <w:t>McClelland’s counsel ask</w:t>
      </w:r>
      <w:r>
        <w:t>ed</w:t>
      </w:r>
      <w:r w:rsidR="0040414C">
        <w:t xml:space="preserve"> the court “to exercise caution when examining the statements</w:t>
      </w:r>
      <w:r w:rsidR="00BD2F2E">
        <w:t>” in McClelland’s C-file</w:t>
      </w:r>
      <w:r w:rsidR="005D594E">
        <w:t xml:space="preserve"> and </w:t>
      </w:r>
      <w:r w:rsidR="00A806E7">
        <w:t>“be mindful of Mr. McClelland’s age at the time of this offense and take that . . . into consideration when looking at his reckless indifference</w:t>
      </w:r>
      <w:r w:rsidR="00BD2F2E">
        <w:t>.</w:t>
      </w:r>
      <w:r w:rsidR="00A806E7">
        <w:t>”</w:t>
      </w:r>
      <w:r w:rsidR="00BD2F2E">
        <w:t xml:space="preserve"> </w:t>
      </w:r>
      <w:r w:rsidR="00A806E7">
        <w:t xml:space="preserve"> McClelland’s counsel </w:t>
      </w:r>
      <w:r w:rsidR="00902906">
        <w:t xml:space="preserve">otherwise submitted on </w:t>
      </w:r>
      <w:r w:rsidR="0077315C">
        <w:t xml:space="preserve">the </w:t>
      </w:r>
      <w:r w:rsidR="00902906">
        <w:t xml:space="preserve">record. </w:t>
      </w:r>
      <w:r w:rsidR="0086054A">
        <w:t xml:space="preserve"> The prosecutor responded that the </w:t>
      </w:r>
      <w:r w:rsidR="000F504A">
        <w:t xml:space="preserve">statements in the C-file were “enlightening” for purposes of determining McClelland’s reckless indifference and implied malice. </w:t>
      </w:r>
    </w:p>
    <w:p w14:paraId="5977C592" w14:textId="3A70D432" w:rsidR="00D56D8A" w:rsidRDefault="00D56D8A" w:rsidP="006B3209">
      <w:r>
        <w:tab/>
      </w:r>
      <w:r w:rsidR="008A39C3">
        <w:t xml:space="preserve">McClelland’s counsel then inquired: “Do you want us back, Your Honor, or are you just going to send us an order?”  The court responded it would “[s]end . . . an order,” and McClelland’s counsel replied, “Perfect.” </w:t>
      </w:r>
      <w:r w:rsidR="00CA31BA">
        <w:t xml:space="preserve"> </w:t>
      </w:r>
    </w:p>
    <w:p w14:paraId="62149F89" w14:textId="4FB599E4" w:rsidR="00D41A34" w:rsidRDefault="000E617E" w:rsidP="006B3209">
      <w:r>
        <w:tab/>
        <w:t>The</w:t>
      </w:r>
      <w:r w:rsidR="00A42E7E">
        <w:t xml:space="preserve"> hearing</w:t>
      </w:r>
      <w:r>
        <w:t xml:space="preserve"> minutes </w:t>
      </w:r>
      <w:r w:rsidR="00020AF0">
        <w:t>show</w:t>
      </w:r>
      <w:r w:rsidR="00451922">
        <w:t xml:space="preserve"> the case was called for a “[m]otion” for “[r]e-sentencing pursuant to [section] 1172.6.”  </w:t>
      </w:r>
      <w:r w:rsidR="00FC083C">
        <w:t>They reflect three exhibits</w:t>
      </w:r>
      <w:r w:rsidR="00D94437">
        <w:t>—</w:t>
      </w:r>
      <w:r w:rsidR="00FC083C">
        <w:t xml:space="preserve">the grand jury transcript, </w:t>
      </w:r>
      <w:r w:rsidR="008552B1">
        <w:t>a comprehensive risk assessment from a Board of Parole hearing, and a change of plea form</w:t>
      </w:r>
      <w:r w:rsidR="00D94437">
        <w:t>—</w:t>
      </w:r>
      <w:r w:rsidR="008552B1">
        <w:t xml:space="preserve">were received </w:t>
      </w:r>
      <w:r w:rsidR="001A6939">
        <w:t>in</w:t>
      </w:r>
      <w:r w:rsidR="008552B1">
        <w:t xml:space="preserve"> evidence</w:t>
      </w:r>
      <w:r w:rsidR="005E1743">
        <w:t>.  The hearing minutes</w:t>
      </w:r>
      <w:r w:rsidR="00D41A34">
        <w:t xml:space="preserve"> state:</w:t>
      </w:r>
      <w:r w:rsidR="009E33AD">
        <w:t xml:space="preserve"> “</w:t>
      </w:r>
      <w:r w:rsidR="00D41A34">
        <w:t>T</w:t>
      </w:r>
      <w:r w:rsidR="009E33AD">
        <w:t xml:space="preserve">he Defense requests the court to take this matter </w:t>
      </w:r>
      <w:r w:rsidR="009E33AD">
        <w:lastRenderedPageBreak/>
        <w:t>under submission.  This request is granted</w:t>
      </w:r>
      <w:r w:rsidR="00A423AA">
        <w:t>,” and</w:t>
      </w:r>
      <w:r w:rsidR="002C4132">
        <w:t xml:space="preserve"> </w:t>
      </w:r>
      <w:r w:rsidR="00A423AA">
        <w:t>“[t]</w:t>
      </w:r>
      <w:r w:rsidR="002C4132">
        <w:t xml:space="preserve">he court will submit a written ruling by October 14.” </w:t>
      </w:r>
      <w:r w:rsidR="00676C26">
        <w:t xml:space="preserve"> </w:t>
      </w:r>
    </w:p>
    <w:p w14:paraId="4B3A6E52" w14:textId="31EEA528" w:rsidR="00B40E01" w:rsidRDefault="00D41A34" w:rsidP="006B3209">
      <w:r>
        <w:tab/>
      </w:r>
      <w:r w:rsidR="00676C26" w:rsidRPr="002F18D8">
        <w:t>An ex parte</w:t>
      </w:r>
      <w:r w:rsidR="00676C26">
        <w:t xml:space="preserve"> court order dated November 15 </w:t>
      </w:r>
      <w:r w:rsidR="008229C9">
        <w:t xml:space="preserve">denied the petition. </w:t>
      </w:r>
      <w:r>
        <w:t xml:space="preserve"> </w:t>
      </w:r>
      <w:r w:rsidR="008229C9">
        <w:t>T</w:t>
      </w:r>
      <w:r w:rsidR="00B40E01">
        <w:t xml:space="preserve">he </w:t>
      </w:r>
      <w:r w:rsidR="008229C9">
        <w:t xml:space="preserve">contemporaneously </w:t>
      </w:r>
      <w:r w:rsidR="00B40E01">
        <w:t xml:space="preserve">issued </w:t>
      </w:r>
      <w:r w:rsidR="008229C9">
        <w:t>written</w:t>
      </w:r>
      <w:r w:rsidR="00B40E01">
        <w:t xml:space="preserve"> order </w:t>
      </w:r>
      <w:r w:rsidR="002E4AAC">
        <w:t xml:space="preserve">noted that </w:t>
      </w:r>
      <w:r w:rsidR="00E168CF">
        <w:t xml:space="preserve">counsel for both parties “stipulated to the [c]ourt taking this matter under submission without an evidentiary hearing.”  </w:t>
      </w:r>
      <w:r w:rsidR="00A87CC0">
        <w:t xml:space="preserve">The </w:t>
      </w:r>
      <w:r w:rsidR="005661CB">
        <w:t>order concluded</w:t>
      </w:r>
      <w:r w:rsidR="00A87CC0">
        <w:t xml:space="preserve"> </w:t>
      </w:r>
      <w:r w:rsidR="00124512">
        <w:t>that “the evidence shows, beyond a reasonable doubt, that Petitioner David McClelland did, with the intent to kill, aid and abet the actual killer in the co</w:t>
      </w:r>
      <w:r w:rsidR="001D1944">
        <w:t>m</w:t>
      </w:r>
      <w:r w:rsidR="00124512">
        <w:t>mission of second degree murder</w:t>
      </w:r>
      <w:r w:rsidR="001D1944">
        <w:t>,” thus rendering McClelland “ineligible for resentencing</w:t>
      </w:r>
      <w:r w:rsidR="00C14577">
        <w:t xml:space="preserve">” under </w:t>
      </w:r>
      <w:r w:rsidR="001D1944">
        <w:t xml:space="preserve">section 1172.6. </w:t>
      </w:r>
    </w:p>
    <w:p w14:paraId="01A0D1F7" w14:textId="7F652A60" w:rsidR="00C63234" w:rsidRDefault="00C63234" w:rsidP="00C63234">
      <w:pPr>
        <w:jc w:val="center"/>
      </w:pPr>
      <w:r>
        <w:t>II.</w:t>
      </w:r>
    </w:p>
    <w:p w14:paraId="0C3E61F7" w14:textId="6513C538" w:rsidR="00C63234" w:rsidRDefault="00C63234" w:rsidP="006B3209">
      <w:r>
        <w:tab/>
      </w:r>
      <w:r w:rsidR="00C14577">
        <w:t xml:space="preserve">McClelland does not argue the </w:t>
      </w:r>
      <w:r w:rsidR="007A1B37">
        <w:t xml:space="preserve">sufficiency of the </w:t>
      </w:r>
      <w:r w:rsidR="00C14577">
        <w:t>evidence support</w:t>
      </w:r>
      <w:r w:rsidR="00324AD8">
        <w:t>ing</w:t>
      </w:r>
      <w:r w:rsidR="00C14577">
        <w:t xml:space="preserve"> this ruling; rather, </w:t>
      </w:r>
      <w:r w:rsidR="007A1B37">
        <w:t>his</w:t>
      </w:r>
      <w:r w:rsidR="00C14577">
        <w:t xml:space="preserve"> sole contention on appeal is that he was denied due process.</w:t>
      </w:r>
      <w:r w:rsidR="00153F50">
        <w:t xml:space="preserve"> </w:t>
      </w:r>
      <w:r w:rsidR="00C14577">
        <w:t xml:space="preserve"> He </w:t>
      </w:r>
      <w:r w:rsidR="00292BD2">
        <w:t>argues</w:t>
      </w:r>
      <w:r w:rsidR="00153F50">
        <w:t xml:space="preserve"> the September hearing </w:t>
      </w:r>
      <w:r w:rsidR="00292BD2">
        <w:t xml:space="preserve">he attended </w:t>
      </w:r>
      <w:r w:rsidR="00153F50">
        <w:t xml:space="preserve">was a “pre-evidentiary hearing.” </w:t>
      </w:r>
      <w:r w:rsidR="006700D9">
        <w:t xml:space="preserve"> According to McClelland, the evidentiary hearing occurred </w:t>
      </w:r>
      <w:r w:rsidR="000F3C54">
        <w:t>i</w:t>
      </w:r>
      <w:r w:rsidR="006700D9">
        <w:t xml:space="preserve">n November, when the court </w:t>
      </w:r>
      <w:r w:rsidR="00B65142">
        <w:t xml:space="preserve">denied </w:t>
      </w:r>
      <w:r w:rsidR="00292BD2">
        <w:t>his</w:t>
      </w:r>
      <w:r w:rsidR="00B65142">
        <w:t xml:space="preserve"> petition.  </w:t>
      </w:r>
      <w:r w:rsidR="007A1B37">
        <w:t xml:space="preserve">He </w:t>
      </w:r>
      <w:r w:rsidR="00324AD8">
        <w:t>claims</w:t>
      </w:r>
      <w:r w:rsidR="007A1B37">
        <w:t xml:space="preserve"> that because he</w:t>
      </w:r>
      <w:r w:rsidR="00AC5055">
        <w:t xml:space="preserve"> had a constitutional right to be personally present at th</w:t>
      </w:r>
      <w:r w:rsidR="00980243">
        <w:t>at</w:t>
      </w:r>
      <w:r w:rsidR="00AC5055">
        <w:t xml:space="preserve"> hearing</w:t>
      </w:r>
      <w:r w:rsidR="008D7C15">
        <w:t>, and b</w:t>
      </w:r>
      <w:r w:rsidR="00597EA8">
        <w:t xml:space="preserve">ecause </w:t>
      </w:r>
      <w:r w:rsidR="00324AD8">
        <w:t>his absence was not harmless error</w:t>
      </w:r>
      <w:r w:rsidR="00597EA8">
        <w:t xml:space="preserve">, </w:t>
      </w:r>
      <w:r w:rsidR="00C80A9D">
        <w:t xml:space="preserve">reversal and remand for a hearing </w:t>
      </w:r>
      <w:r w:rsidR="00324AD8">
        <w:t>at which</w:t>
      </w:r>
      <w:r w:rsidR="00C80A9D">
        <w:t xml:space="preserve"> McClelland</w:t>
      </w:r>
      <w:r w:rsidR="00324AD8">
        <w:t xml:space="preserve"> is</w:t>
      </w:r>
      <w:r w:rsidR="00C80A9D">
        <w:t xml:space="preserve"> personally present is required.  </w:t>
      </w:r>
    </w:p>
    <w:p w14:paraId="2F8B3AE2" w14:textId="4281DCD2" w:rsidR="00324AD8" w:rsidRDefault="00C80A9D" w:rsidP="006B3209">
      <w:r>
        <w:tab/>
      </w:r>
      <w:r w:rsidR="000F3C54">
        <w:t>The People counter that the September hearing</w:t>
      </w:r>
      <w:r w:rsidR="00715F25">
        <w:t>—</w:t>
      </w:r>
      <w:r w:rsidR="000F3C54">
        <w:t>at which</w:t>
      </w:r>
      <w:r w:rsidR="00D01DD6">
        <w:t xml:space="preserve"> (1)</w:t>
      </w:r>
      <w:r w:rsidR="000F3C54">
        <w:t xml:space="preserve"> </w:t>
      </w:r>
      <w:r w:rsidR="00715F25">
        <w:t xml:space="preserve">the prosecutor offered additional evidence and McClelland </w:t>
      </w:r>
      <w:r w:rsidR="00DC5CE6">
        <w:t xml:space="preserve">and </w:t>
      </w:r>
      <w:r w:rsidR="00715F25">
        <w:t>his attorney were present,</w:t>
      </w:r>
      <w:r w:rsidR="00D01DD6">
        <w:t xml:space="preserve"> and (2) both parties </w:t>
      </w:r>
      <w:r w:rsidR="00BF4F0C">
        <w:t>agreed the matter should be taken under submission</w:t>
      </w:r>
      <w:r w:rsidR="00715F25">
        <w:t xml:space="preserve">—was the </w:t>
      </w:r>
      <w:r w:rsidR="00BF4F0C">
        <w:t xml:space="preserve">section 1172.6 </w:t>
      </w:r>
      <w:r w:rsidR="00715F25">
        <w:t>evidentiary hearing</w:t>
      </w:r>
      <w:r w:rsidR="00BF4F0C">
        <w:t xml:space="preserve">. </w:t>
      </w:r>
      <w:r w:rsidR="007219C2">
        <w:t xml:space="preserve"> </w:t>
      </w:r>
    </w:p>
    <w:p w14:paraId="454620A3" w14:textId="0B5EC227" w:rsidR="00C80A9D" w:rsidRDefault="00324AD8" w:rsidP="006B3209">
      <w:r>
        <w:tab/>
      </w:r>
      <w:r w:rsidR="00605105">
        <w:t>Having r</w:t>
      </w:r>
      <w:r w:rsidR="00A7053B">
        <w:t>eview</w:t>
      </w:r>
      <w:r w:rsidR="00605105">
        <w:t>ed</w:t>
      </w:r>
      <w:r w:rsidR="00D2639A">
        <w:t xml:space="preserve"> the record and</w:t>
      </w:r>
      <w:r w:rsidR="00A7053B">
        <w:t xml:space="preserve"> McClelland’s claim de novo</w:t>
      </w:r>
      <w:r w:rsidR="00605105">
        <w:t xml:space="preserve"> (</w:t>
      </w:r>
      <w:r w:rsidR="00A7053B" w:rsidRPr="00A7053B">
        <w:rPr>
          <w:i/>
          <w:iCs/>
        </w:rPr>
        <w:t>People v. Cole</w:t>
      </w:r>
      <w:r w:rsidR="00A7053B" w:rsidRPr="00A7053B">
        <w:t xml:space="preserve"> (2004) 33 Cal.4th 1158, 1230</w:t>
      </w:r>
      <w:r w:rsidR="00605105">
        <w:t>)</w:t>
      </w:r>
      <w:r w:rsidR="00433D06">
        <w:t>, we agree with the People.</w:t>
      </w:r>
    </w:p>
    <w:p w14:paraId="16E58E07" w14:textId="11CBBC26" w:rsidR="00433D06" w:rsidRDefault="00433D06" w:rsidP="00F05D69">
      <w:pPr>
        <w:keepNext/>
        <w:jc w:val="center"/>
      </w:pPr>
      <w:r>
        <w:lastRenderedPageBreak/>
        <w:t>A.</w:t>
      </w:r>
    </w:p>
    <w:p w14:paraId="039120E5" w14:textId="6C017955" w:rsidR="00532AB2" w:rsidRDefault="00433D06" w:rsidP="006B3209">
      <w:r>
        <w:tab/>
      </w:r>
      <w:r w:rsidR="004B5B8A">
        <w:t xml:space="preserve">Effective 2019, the Legislature amended the </w:t>
      </w:r>
      <w:r w:rsidR="00D66F45">
        <w:t xml:space="preserve">Penal Code to provide </w:t>
      </w:r>
      <w:r w:rsidR="00A013B3">
        <w:t xml:space="preserve">that </w:t>
      </w:r>
      <w:r w:rsidR="00D66F45">
        <w:t xml:space="preserve">a </w:t>
      </w:r>
      <w:r w:rsidR="00025ECC">
        <w:t>defendant</w:t>
      </w:r>
      <w:r w:rsidR="00D66F45">
        <w:t xml:space="preserve"> who participated but was not the principal in a murder </w:t>
      </w:r>
      <w:r w:rsidR="00FF4924">
        <w:t xml:space="preserve">cannot be convicted </w:t>
      </w:r>
      <w:r w:rsidR="00A013B3">
        <w:t xml:space="preserve">of murder </w:t>
      </w:r>
      <w:r w:rsidR="00FF4924">
        <w:t xml:space="preserve">based on imputed malice. </w:t>
      </w:r>
      <w:r w:rsidR="00A013B3">
        <w:t xml:space="preserve"> (</w:t>
      </w:r>
      <w:r w:rsidR="00A013B3">
        <w:rPr>
          <w:i/>
          <w:iCs/>
        </w:rPr>
        <w:t>People v. Basler</w:t>
      </w:r>
      <w:r w:rsidR="00A013B3">
        <w:t xml:space="preserve"> </w:t>
      </w:r>
      <w:r w:rsidR="00025ECC">
        <w:t>(2022) 80</w:t>
      </w:r>
      <w:r w:rsidR="00A110DE">
        <w:t> </w:t>
      </w:r>
      <w:r w:rsidR="00025ECC">
        <w:t>Cal.App.5th 46,</w:t>
      </w:r>
      <w:r w:rsidR="00A013B3">
        <w:t xml:space="preserve"> 54 (</w:t>
      </w:r>
      <w:r w:rsidR="00A013B3">
        <w:rPr>
          <w:i/>
          <w:iCs/>
        </w:rPr>
        <w:t>Basler</w:t>
      </w:r>
      <w:r w:rsidR="00A013B3">
        <w:t xml:space="preserve">).)  </w:t>
      </w:r>
      <w:r w:rsidR="00702037">
        <w:t xml:space="preserve">Rather, a </w:t>
      </w:r>
      <w:r w:rsidR="00CB19A5">
        <w:t xml:space="preserve">murder </w:t>
      </w:r>
      <w:r w:rsidR="00702037">
        <w:t xml:space="preserve">conviction </w:t>
      </w:r>
      <w:r w:rsidR="00CB19A5">
        <w:t>requires</w:t>
      </w:r>
      <w:r w:rsidR="00702037">
        <w:t xml:space="preserve"> th</w:t>
      </w:r>
      <w:r w:rsidR="00025ECC">
        <w:t>e defendant’s personal</w:t>
      </w:r>
      <w:r w:rsidR="00702037">
        <w:t xml:space="preserve"> actions and subjective intent. </w:t>
      </w:r>
      <w:r w:rsidR="00FC6C9D">
        <w:t xml:space="preserve"> (</w:t>
      </w:r>
      <w:r w:rsidR="00FC6C9D">
        <w:rPr>
          <w:i/>
          <w:iCs/>
        </w:rPr>
        <w:t>Ibid.</w:t>
      </w:r>
      <w:r w:rsidR="00FC6C9D">
        <w:t xml:space="preserve">)  </w:t>
      </w:r>
      <w:r w:rsidR="00CE223E">
        <w:t>Section</w:t>
      </w:r>
      <w:r w:rsidR="007A3B2A">
        <w:t> </w:t>
      </w:r>
      <w:r w:rsidR="00CE223E">
        <w:t xml:space="preserve">1172.6 </w:t>
      </w:r>
      <w:r w:rsidR="00EE6A02">
        <w:t xml:space="preserve">provides a mechanism for defendants who, like McClelland, were </w:t>
      </w:r>
      <w:r w:rsidR="00F57313">
        <w:t xml:space="preserve">“charged with murder and who would have been </w:t>
      </w:r>
      <w:r w:rsidR="005E6B3E">
        <w:t xml:space="preserve">subject to prosecution for murder under a </w:t>
      </w:r>
      <w:r w:rsidR="00460B66">
        <w:t>. . .</w:t>
      </w:r>
      <w:r w:rsidR="005E6B3E">
        <w:t xml:space="preserve"> theory of imputed malice” but instead pled guilty to murder or a lesser offense</w:t>
      </w:r>
      <w:r w:rsidR="0085220C">
        <w:t xml:space="preserve"> to seek relief from their convictions</w:t>
      </w:r>
      <w:r w:rsidR="005E6B3E">
        <w:t>.  (</w:t>
      </w:r>
      <w:r w:rsidR="005E6B3E">
        <w:rPr>
          <w:i/>
          <w:iCs/>
        </w:rPr>
        <w:t>People v. Gaillard</w:t>
      </w:r>
      <w:r w:rsidR="005E6B3E">
        <w:t xml:space="preserve"> (2024) </w:t>
      </w:r>
      <w:r w:rsidR="009C004F">
        <w:t>99 Cal.App.5th 1206, 1211</w:t>
      </w:r>
      <w:r w:rsidR="00D6686B">
        <w:t xml:space="preserve">.)  </w:t>
      </w:r>
    </w:p>
    <w:p w14:paraId="5DCAE56E" w14:textId="461A8FF8" w:rsidR="00433D06" w:rsidRDefault="00532AB2" w:rsidP="006B3209">
      <w:r>
        <w:tab/>
      </w:r>
      <w:r w:rsidR="004218D0">
        <w:t xml:space="preserve">If a defendant files a </w:t>
      </w:r>
      <w:r>
        <w:t xml:space="preserve">section 1172.6 </w:t>
      </w:r>
      <w:r w:rsidR="004218D0">
        <w:t xml:space="preserve">petition </w:t>
      </w:r>
      <w:r w:rsidR="006B3058">
        <w:t xml:space="preserve">and makes a prima facie showing </w:t>
      </w:r>
      <w:r w:rsidR="00E6232A">
        <w:t>of</w:t>
      </w:r>
      <w:r w:rsidR="002423FC">
        <w:t xml:space="preserve"> entitle</w:t>
      </w:r>
      <w:r w:rsidR="00E6232A">
        <w:t>ment</w:t>
      </w:r>
      <w:r w:rsidR="002423FC">
        <w:t xml:space="preserve"> to relief, “the court shall issue an</w:t>
      </w:r>
      <w:r w:rsidR="001741CE">
        <w:t>”</w:t>
      </w:r>
      <w:r w:rsidR="002423FC">
        <w:t xml:space="preserve"> </w:t>
      </w:r>
      <w:r w:rsidR="005B41FB">
        <w:t>OSC</w:t>
      </w:r>
      <w:r>
        <w:t>.  (§</w:t>
      </w:r>
      <w:r w:rsidR="001741CE">
        <w:t> </w:t>
      </w:r>
      <w:r>
        <w:t>1172.6, subd.</w:t>
      </w:r>
      <w:r w:rsidR="006372D5">
        <w:t> </w:t>
      </w:r>
      <w:r>
        <w:t xml:space="preserve">(c).)  </w:t>
      </w:r>
      <w:r w:rsidR="00DD0F6D">
        <w:t xml:space="preserve">The court must then “hold a hearing </w:t>
      </w:r>
      <w:r w:rsidR="005507DC">
        <w:t>to determine whether to vacate the murder</w:t>
      </w:r>
      <w:r w:rsidR="00BA7123">
        <w:t xml:space="preserve"> . . . </w:t>
      </w:r>
      <w:r w:rsidR="005507DC">
        <w:t>conviction</w:t>
      </w:r>
      <w:r w:rsidR="00BA7123">
        <w:t xml:space="preserve"> and to recall </w:t>
      </w:r>
      <w:r w:rsidR="006803F8">
        <w:t>the sentence and resentence</w:t>
      </w:r>
      <w:r w:rsidR="00CF690D">
        <w:t>”</w:t>
      </w:r>
      <w:r w:rsidR="006803F8">
        <w:t xml:space="preserve"> </w:t>
      </w:r>
      <w:r w:rsidR="00AF6435">
        <w:t xml:space="preserve">the </w:t>
      </w:r>
      <w:r w:rsidR="00CF690D">
        <w:t>defendant</w:t>
      </w:r>
      <w:r w:rsidR="00AF6435">
        <w:t xml:space="preserve">.  </w:t>
      </w:r>
      <w:r w:rsidR="00716CF0">
        <w:t>(</w:t>
      </w:r>
      <w:r w:rsidR="00716CF0">
        <w:rPr>
          <w:i/>
          <w:iCs/>
        </w:rPr>
        <w:t>Id.</w:t>
      </w:r>
      <w:r w:rsidR="00716CF0">
        <w:t xml:space="preserve">, subd. (d)(1).)  </w:t>
      </w:r>
      <w:r w:rsidR="00C14C13">
        <w:t xml:space="preserve">Both </w:t>
      </w:r>
      <w:r w:rsidR="00CF690D">
        <w:t>t</w:t>
      </w:r>
      <w:r w:rsidR="00C14C13">
        <w:t xml:space="preserve">he prosecutor and the </w:t>
      </w:r>
      <w:r w:rsidR="00CF690D">
        <w:t>defendant</w:t>
      </w:r>
      <w:r w:rsidR="00C14C13">
        <w:t xml:space="preserve"> </w:t>
      </w:r>
      <w:r w:rsidR="00CF690D">
        <w:t>“</w:t>
      </w:r>
      <w:r w:rsidR="003437E9">
        <w:t xml:space="preserve">may also </w:t>
      </w:r>
      <w:r w:rsidR="00F773AE">
        <w:t>offer new or additional evidence</w:t>
      </w:r>
      <w:r w:rsidR="00A10C79">
        <w:t>,</w:t>
      </w:r>
      <w:r w:rsidR="00F773AE">
        <w:t>”</w:t>
      </w:r>
      <w:r w:rsidR="00A10C79">
        <w:t xml:space="preserve"> and the court generally may admit evidence at the hearing in accordance with the Evidence Code.</w:t>
      </w:r>
      <w:r w:rsidR="00F773AE">
        <w:t xml:space="preserve">  (</w:t>
      </w:r>
      <w:r w:rsidR="00A10C79">
        <w:rPr>
          <w:i/>
          <w:iCs/>
        </w:rPr>
        <w:t>Id.</w:t>
      </w:r>
      <w:r w:rsidR="00A10C79">
        <w:t>, subd.</w:t>
      </w:r>
      <w:r w:rsidR="00C11239">
        <w:t> </w:t>
      </w:r>
      <w:r w:rsidR="00A10C79">
        <w:t>(d)(3).</w:t>
      </w:r>
      <w:r w:rsidR="00F773AE">
        <w:t xml:space="preserve">)  </w:t>
      </w:r>
      <w:r w:rsidR="005F17A9">
        <w:t xml:space="preserve">The prosecutor bears the burden of proving </w:t>
      </w:r>
      <w:r w:rsidR="001741CE" w:rsidRPr="001741CE">
        <w:t xml:space="preserve">beyond a reasonable doubt </w:t>
      </w:r>
      <w:r w:rsidR="00A10C79">
        <w:t xml:space="preserve">the </w:t>
      </w:r>
      <w:r w:rsidR="00CF690D">
        <w:t>defendant</w:t>
      </w:r>
      <w:r w:rsidR="00A10C79">
        <w:t xml:space="preserve"> guilty of murder</w:t>
      </w:r>
      <w:r w:rsidR="004958B9">
        <w:t>.  (</w:t>
      </w:r>
      <w:r w:rsidR="004958B9">
        <w:rPr>
          <w:i/>
          <w:iCs/>
        </w:rPr>
        <w:t>Ibid.</w:t>
      </w:r>
      <w:r w:rsidR="004958B9">
        <w:t>)</w:t>
      </w:r>
    </w:p>
    <w:p w14:paraId="26E90AC2" w14:textId="66DABCF6" w:rsidR="00506CBD" w:rsidRPr="006271AF" w:rsidRDefault="004958B9" w:rsidP="006B3209">
      <w:r>
        <w:tab/>
      </w:r>
      <w:r w:rsidR="000016E2">
        <w:t>Th</w:t>
      </w:r>
      <w:r w:rsidR="0045014B">
        <w:t>is</w:t>
      </w:r>
      <w:r w:rsidR="000016E2">
        <w:t xml:space="preserve"> hearing </w:t>
      </w:r>
      <w:r w:rsidR="0045014B">
        <w:t>is a “critical stage</w:t>
      </w:r>
      <w:r w:rsidR="00336093">
        <w:t>[ ]</w:t>
      </w:r>
      <w:r w:rsidR="0045014B">
        <w:t>”</w:t>
      </w:r>
      <w:r w:rsidR="005D63B4">
        <w:t xml:space="preserve"> of the proceedings</w:t>
      </w:r>
      <w:r w:rsidR="001741CE">
        <w:t>.</w:t>
      </w:r>
      <w:r w:rsidR="005D63B4">
        <w:t xml:space="preserve">  </w:t>
      </w:r>
      <w:r w:rsidR="001741CE">
        <w:t>(</w:t>
      </w:r>
      <w:r w:rsidR="001741CE">
        <w:rPr>
          <w:i/>
          <w:iCs/>
        </w:rPr>
        <w:t>Basler</w:t>
      </w:r>
      <w:r w:rsidR="001741CE">
        <w:t xml:space="preserve">, </w:t>
      </w:r>
      <w:r w:rsidR="001741CE">
        <w:rPr>
          <w:i/>
          <w:iCs/>
        </w:rPr>
        <w:t>supra</w:t>
      </w:r>
      <w:r w:rsidR="001741CE">
        <w:t>, 80</w:t>
      </w:r>
      <w:r w:rsidR="002F18D8">
        <w:t> </w:t>
      </w:r>
      <w:r w:rsidR="001741CE">
        <w:t>Cal.App.5th at p. 59.)  T</w:t>
      </w:r>
      <w:r w:rsidR="005D63B4">
        <w:t xml:space="preserve">he defendant has constitutional </w:t>
      </w:r>
      <w:r w:rsidR="002F2149">
        <w:t xml:space="preserve">due process </w:t>
      </w:r>
      <w:r w:rsidR="005D63B4">
        <w:t>right</w:t>
      </w:r>
      <w:r w:rsidR="005823EF">
        <w:t>s</w:t>
      </w:r>
      <w:r w:rsidR="005D63B4">
        <w:t xml:space="preserve"> to be personally present</w:t>
      </w:r>
      <w:r w:rsidR="002F2149">
        <w:t xml:space="preserve"> </w:t>
      </w:r>
      <w:r w:rsidR="001741CE">
        <w:t>at the hearing</w:t>
      </w:r>
      <w:r w:rsidR="00F96254">
        <w:t xml:space="preserve"> absent</w:t>
      </w:r>
      <w:r w:rsidR="000B4E4F">
        <w:t xml:space="preserve"> “a knowing, intelligent</w:t>
      </w:r>
      <w:r w:rsidR="005823EF">
        <w:t xml:space="preserve">[,] and voluntary waiver.”  </w:t>
      </w:r>
      <w:r w:rsidR="001741CE">
        <w:t>(</w:t>
      </w:r>
      <w:r w:rsidR="001741CE">
        <w:rPr>
          <w:i/>
          <w:iCs/>
        </w:rPr>
        <w:t>Ibid.</w:t>
      </w:r>
      <w:r w:rsidR="001741CE">
        <w:t>)</w:t>
      </w:r>
      <w:r w:rsidR="007751E9">
        <w:t xml:space="preserve">  </w:t>
      </w:r>
      <w:r w:rsidR="00E33030">
        <w:t xml:space="preserve">A defendant not given the opportunity to participate in the section 1172.6 evidentiary hearing </w:t>
      </w:r>
      <w:r w:rsidR="00B15372">
        <w:t xml:space="preserve">cannot decide whether, in light of the People’s evidence, to testify or present other evidence. </w:t>
      </w:r>
      <w:r w:rsidR="00575E48">
        <w:t xml:space="preserve"> (</w:t>
      </w:r>
      <w:r w:rsidR="00575E48">
        <w:rPr>
          <w:i/>
          <w:iCs/>
        </w:rPr>
        <w:t>Ibid.</w:t>
      </w:r>
      <w:r w:rsidR="00575E48">
        <w:t>)  Nor can an excluded defendant</w:t>
      </w:r>
      <w:r w:rsidR="0082233F">
        <w:t xml:space="preserve"> provide “input to </w:t>
      </w:r>
      <w:r w:rsidR="00BF6307">
        <w:t>. . .</w:t>
      </w:r>
      <w:r w:rsidR="0082233F">
        <w:t xml:space="preserve"> counsel on the People’s </w:t>
      </w:r>
      <w:r w:rsidR="0082233F">
        <w:lastRenderedPageBreak/>
        <w:t xml:space="preserve">presentation and arguments, resulting in </w:t>
      </w:r>
      <w:r w:rsidR="00BF6307">
        <w:t>. . .</w:t>
      </w:r>
      <w:r w:rsidR="004B6BAD">
        <w:t xml:space="preserve"> </w:t>
      </w:r>
      <w:r w:rsidR="0082233F">
        <w:t>counsel drawing different inferences from the trial evidence or doing more than submitting on the papers.”  (</w:t>
      </w:r>
      <w:r w:rsidR="0082233F">
        <w:rPr>
          <w:i/>
          <w:iCs/>
        </w:rPr>
        <w:t>Id.</w:t>
      </w:r>
      <w:r w:rsidR="0082233F">
        <w:t xml:space="preserve"> at p. 60.)  </w:t>
      </w:r>
    </w:p>
    <w:p w14:paraId="0116269E" w14:textId="124757B2" w:rsidR="001038D4" w:rsidRDefault="001038D4" w:rsidP="001038D4">
      <w:pPr>
        <w:jc w:val="center"/>
      </w:pPr>
      <w:r>
        <w:t>B.</w:t>
      </w:r>
    </w:p>
    <w:p w14:paraId="541EF75F" w14:textId="6ECBEC0E" w:rsidR="00605105" w:rsidRDefault="00605105" w:rsidP="00DD3F7D">
      <w:r>
        <w:tab/>
      </w:r>
      <w:r w:rsidR="00E6232A">
        <w:t xml:space="preserve">Having </w:t>
      </w:r>
      <w:r w:rsidR="003F7E65">
        <w:t>contextual</w:t>
      </w:r>
      <w:r w:rsidR="00E6232A">
        <w:t>ly</w:t>
      </w:r>
      <w:r w:rsidR="003F7E65">
        <w:t xml:space="preserve"> review</w:t>
      </w:r>
      <w:r w:rsidR="00E6232A">
        <w:t>ed</w:t>
      </w:r>
      <w:r w:rsidR="003F7E65">
        <w:t xml:space="preserve"> the record</w:t>
      </w:r>
      <w:r w:rsidR="00B011B0">
        <w:t>, we conclude</w:t>
      </w:r>
      <w:r w:rsidR="00411D8C">
        <w:t xml:space="preserve"> </w:t>
      </w:r>
      <w:r w:rsidR="00B011B0">
        <w:t>the September hearing satisfied the criteria of section 1172.6(d)</w:t>
      </w:r>
      <w:r w:rsidR="00E30A20">
        <w:t>(3)</w:t>
      </w:r>
      <w:r w:rsidR="00411D8C">
        <w:t>.</w:t>
      </w:r>
      <w:r w:rsidR="00035394">
        <w:t xml:space="preserve"> </w:t>
      </w:r>
      <w:r w:rsidR="00411D8C">
        <w:t xml:space="preserve"> </w:t>
      </w:r>
      <w:r w:rsidR="00661926">
        <w:t>Thus</w:t>
      </w:r>
      <w:r w:rsidR="00035394">
        <w:t xml:space="preserve">, as McClelland was present, no error </w:t>
      </w:r>
      <w:r w:rsidR="005976E8">
        <w:t>viola</w:t>
      </w:r>
      <w:r w:rsidR="003F7E65">
        <w:t>ted</w:t>
      </w:r>
      <w:r w:rsidR="005976E8">
        <w:t xml:space="preserve"> </w:t>
      </w:r>
      <w:r w:rsidR="00661926">
        <w:t>his d</w:t>
      </w:r>
      <w:r w:rsidR="00035394">
        <w:t>ue process</w:t>
      </w:r>
      <w:r w:rsidR="005976E8">
        <w:t xml:space="preserve"> rights.</w:t>
      </w:r>
      <w:r w:rsidR="00035394">
        <w:t xml:space="preserve"> </w:t>
      </w:r>
    </w:p>
    <w:p w14:paraId="0A7110A7" w14:textId="5C91046C" w:rsidR="00B85D80" w:rsidRDefault="00B85D80" w:rsidP="00DD3F7D">
      <w:r>
        <w:tab/>
        <w:t xml:space="preserve">As an initial matter, </w:t>
      </w:r>
      <w:r w:rsidR="00DD5D60">
        <w:t>contrary to McClelland’s position, there was no November</w:t>
      </w:r>
      <w:r w:rsidR="00714657">
        <w:t xml:space="preserve"> evidentiary</w:t>
      </w:r>
      <w:r w:rsidR="00DD5D60">
        <w:t xml:space="preserve"> hearing for which the September hearing could have served as a “pre-evidentiary hearing.”  </w:t>
      </w:r>
      <w:r w:rsidR="00E62403">
        <w:t xml:space="preserve">At the September hearing, the trial court merely </w:t>
      </w:r>
      <w:r w:rsidR="00C413ED">
        <w:t>indicated</w:t>
      </w:r>
      <w:r w:rsidR="00E62403">
        <w:t xml:space="preserve"> it would submit its ruling to the parties.</w:t>
      </w:r>
      <w:r w:rsidR="00A25E6E">
        <w:t xml:space="preserve">  That is what happened: </w:t>
      </w:r>
      <w:r w:rsidR="00C413ED">
        <w:t xml:space="preserve">in November, </w:t>
      </w:r>
      <w:r w:rsidR="00A25E6E">
        <w:t>the trial court issued a</w:t>
      </w:r>
      <w:r w:rsidR="002F710E">
        <w:t xml:space="preserve"> reasoned,</w:t>
      </w:r>
      <w:r w:rsidR="00A25E6E">
        <w:t xml:space="preserve"> written ruling and an ex parte order.  The</w:t>
      </w:r>
      <w:r w:rsidR="00F85616">
        <w:t xml:space="preserve"> record is devoid of any </w:t>
      </w:r>
      <w:r w:rsidR="00A25E6E">
        <w:t>minutes for a November hearing</w:t>
      </w:r>
      <w:r w:rsidR="00714657">
        <w:t>.</w:t>
      </w:r>
      <w:r w:rsidR="00A25E6E">
        <w:t xml:space="preserve"> </w:t>
      </w:r>
    </w:p>
    <w:p w14:paraId="03A016EA" w14:textId="42637A3A" w:rsidR="002A6EA4" w:rsidRDefault="00C03788" w:rsidP="00DD3F7D">
      <w:r>
        <w:tab/>
        <w:t>McClelland claims the trial court’s statement</w:t>
      </w:r>
      <w:r w:rsidR="009D6903">
        <w:t>,</w:t>
      </w:r>
      <w:r>
        <w:t xml:space="preserve"> in </w:t>
      </w:r>
      <w:r w:rsidR="00324AD8">
        <w:t>its</w:t>
      </w:r>
      <w:r>
        <w:t xml:space="preserve"> order denying his petition</w:t>
      </w:r>
      <w:r w:rsidR="009D6903">
        <w:t>,</w:t>
      </w:r>
      <w:r>
        <w:t xml:space="preserve"> that the parties submitted on the papers </w:t>
      </w:r>
      <w:r w:rsidR="00BF2785">
        <w:t>“without an evidentiary hearing” means</w:t>
      </w:r>
      <w:r>
        <w:t xml:space="preserve"> no evidentiary hearing occurred, as “[s]urely a court conducting a hearing is in the best position to characterize the nature of that hearing.”  </w:t>
      </w:r>
      <w:r w:rsidR="00C05E5C">
        <w:t>W</w:t>
      </w:r>
      <w:r>
        <w:t xml:space="preserve">e disagree.  </w:t>
      </w:r>
      <w:r w:rsidR="00BD36F2">
        <w:t>W</w:t>
      </w:r>
      <w:r w:rsidR="00033AA7" w:rsidRPr="00033AA7">
        <w:t xml:space="preserve">e look to the substance and effect of the </w:t>
      </w:r>
      <w:r w:rsidR="00BD36F2">
        <w:t>September hearing</w:t>
      </w:r>
      <w:r w:rsidR="00033AA7" w:rsidRPr="00033AA7">
        <w:t xml:space="preserve">, </w:t>
      </w:r>
      <w:r w:rsidR="00F43901">
        <w:t xml:space="preserve">rather than its </w:t>
      </w:r>
      <w:r w:rsidR="00BD36F2">
        <w:t xml:space="preserve">asserted </w:t>
      </w:r>
      <w:r w:rsidR="00F43901">
        <w:t>label</w:t>
      </w:r>
      <w:r w:rsidR="00AE5117">
        <w:t>,</w:t>
      </w:r>
      <w:r w:rsidR="00F43901">
        <w:t xml:space="preserve"> to determine </w:t>
      </w:r>
      <w:r w:rsidR="00AC7E04">
        <w:t>if</w:t>
      </w:r>
      <w:r w:rsidR="00F43901">
        <w:t xml:space="preserve"> </w:t>
      </w:r>
      <w:r w:rsidR="00653EFA">
        <w:t>it satisfied the requirements of section 1172.6(d)(3).</w:t>
      </w:r>
    </w:p>
    <w:p w14:paraId="41DBE275" w14:textId="7D54D87C" w:rsidR="0045219A" w:rsidRDefault="001038D4" w:rsidP="00DD3F7D">
      <w:r>
        <w:tab/>
      </w:r>
      <w:r w:rsidR="00324AD8">
        <w:t xml:space="preserve">In this regard, </w:t>
      </w:r>
      <w:r w:rsidR="00DD3F7D">
        <w:t xml:space="preserve">McClelland </w:t>
      </w:r>
      <w:r w:rsidR="00A57C25">
        <w:t>argue</w:t>
      </w:r>
      <w:r w:rsidR="00DD3F7D">
        <w:t>s the September hearing cannot possibly have been the statutorily required hearing because “there were no arguments made in appellant’s presence; there were merely discussions of what evidence would be heard at a future date, with no</w:t>
      </w:r>
      <w:r w:rsidR="005946D3">
        <w:t xml:space="preserve"> </w:t>
      </w:r>
      <w:r w:rsidR="00DD3F7D">
        <w:t>discussions in appellant’s presence, regarding the import of those matters</w:t>
      </w:r>
      <w:r w:rsidR="005946D3">
        <w:t xml:space="preserve">.” </w:t>
      </w:r>
      <w:r w:rsidR="00727E48">
        <w:t xml:space="preserve"> </w:t>
      </w:r>
      <w:r w:rsidR="00297EBE">
        <w:t>W</w:t>
      </w:r>
      <w:r w:rsidR="007B3D29">
        <w:t xml:space="preserve">e </w:t>
      </w:r>
      <w:r w:rsidR="00514DBE">
        <w:t>are unpersuaded</w:t>
      </w:r>
      <w:r w:rsidR="007B3D29">
        <w:t xml:space="preserve">.  </w:t>
      </w:r>
    </w:p>
    <w:p w14:paraId="71A1B12C" w14:textId="5A40796F" w:rsidR="00BE13BF" w:rsidRDefault="0045219A" w:rsidP="00DD3F7D">
      <w:r>
        <w:lastRenderedPageBreak/>
        <w:tab/>
        <w:t>First, t</w:t>
      </w:r>
      <w:r w:rsidR="00E0460C">
        <w:t>here were no discussions</w:t>
      </w:r>
      <w:r w:rsidR="003507CD">
        <w:t xml:space="preserve"> at the hearing</w:t>
      </w:r>
      <w:r w:rsidR="00E0460C">
        <w:t xml:space="preserve"> about evidence to </w:t>
      </w:r>
      <w:r>
        <w:t>“</w:t>
      </w:r>
      <w:r w:rsidR="00E0460C">
        <w:t>be heard at a future date.</w:t>
      </w:r>
      <w:r>
        <w:t xml:space="preserve">” </w:t>
      </w:r>
      <w:r w:rsidR="00E0460C">
        <w:t xml:space="preserve"> Instead, the court admitted the evidence</w:t>
      </w:r>
      <w:r w:rsidR="00413290">
        <w:t xml:space="preserve"> </w:t>
      </w:r>
      <w:r w:rsidR="008522D4">
        <w:t xml:space="preserve">submitted </w:t>
      </w:r>
      <w:r w:rsidR="00413290">
        <w:t>by the parties.  Both parties wanted the grand jury transcript admitted.  The prosecutor requested the court</w:t>
      </w:r>
      <w:r w:rsidR="00A47C50">
        <w:t xml:space="preserve"> to</w:t>
      </w:r>
      <w:r w:rsidR="00413290">
        <w:t xml:space="preserve"> consider, and the court admitted, two additional exhibits</w:t>
      </w:r>
      <w:r w:rsidR="002A7641">
        <w:t xml:space="preserve">, without objection from McClelland’s counsel, who </w:t>
      </w:r>
      <w:r w:rsidR="006679D9">
        <w:t xml:space="preserve">did not offer any </w:t>
      </w:r>
      <w:r w:rsidR="00A47C50">
        <w:t>additional evidence</w:t>
      </w:r>
      <w:r w:rsidR="002A7641">
        <w:t xml:space="preserve"> despite having</w:t>
      </w:r>
      <w:r w:rsidR="00451C47">
        <w:t xml:space="preserve"> the opportunity to do so.  McClelland</w:t>
      </w:r>
      <w:r w:rsidR="00BD60FC">
        <w:t>, who</w:t>
      </w:r>
      <w:r w:rsidR="00451C47">
        <w:t xml:space="preserve"> was present, could have </w:t>
      </w:r>
      <w:r w:rsidR="00ED1893">
        <w:t xml:space="preserve">conferred with his counsel and requested a further hearing at which </w:t>
      </w:r>
      <w:r w:rsidR="00E568CC">
        <w:t>he could testify or offer the testimony of other relevant witnesses</w:t>
      </w:r>
      <w:r w:rsidR="00BD60FC">
        <w:t xml:space="preserve"> or additional evidence</w:t>
      </w:r>
      <w:r w:rsidR="00E568CC">
        <w:t xml:space="preserve">.  But he did not do so.  Instead, his counsel submitted on the evidence and the parties’ briefing.  </w:t>
      </w:r>
      <w:r w:rsidR="00A11513">
        <w:t xml:space="preserve">In fact, she suggested the court follow this procedure when the court offered to set an additional hearing.  </w:t>
      </w:r>
      <w:r w:rsidR="00D4734D">
        <w:t xml:space="preserve">The court </w:t>
      </w:r>
      <w:r w:rsidR="00341368">
        <w:t xml:space="preserve">thus </w:t>
      </w:r>
      <w:r w:rsidR="00D4734D">
        <w:t xml:space="preserve">had before it all the information McClelland, his counsel, and the prosecutor </w:t>
      </w:r>
      <w:r w:rsidR="00CA454E">
        <w:t xml:space="preserve">wanted considered in determining whether McClelland was entitled to relief.  </w:t>
      </w:r>
      <w:r w:rsidR="00ED524A">
        <w:t>That is all that section</w:t>
      </w:r>
      <w:r w:rsidR="002F18D8">
        <w:t> </w:t>
      </w:r>
      <w:r w:rsidR="00ED524A">
        <w:t>1172.6(d)(3) and due process require.</w:t>
      </w:r>
      <w:r w:rsidR="00226BF2">
        <w:t xml:space="preserve">  </w:t>
      </w:r>
    </w:p>
    <w:p w14:paraId="75F3FB41" w14:textId="4576F178" w:rsidR="00E20666" w:rsidRDefault="00BE13BF" w:rsidP="00DD3F7D">
      <w:r>
        <w:tab/>
      </w:r>
      <w:r w:rsidR="00226BF2">
        <w:t xml:space="preserve">To the extent McClelland claims the record should reflect some </w:t>
      </w:r>
      <w:r w:rsidR="00D22362">
        <w:t xml:space="preserve">on-the-record </w:t>
      </w:r>
      <w:r w:rsidR="00226BF2">
        <w:t xml:space="preserve">discussion of </w:t>
      </w:r>
      <w:r w:rsidR="008522D4">
        <w:t xml:space="preserve">his </w:t>
      </w:r>
      <w:r w:rsidR="00B334F3">
        <w:t xml:space="preserve">rights </w:t>
      </w:r>
      <w:r w:rsidR="00042578">
        <w:t xml:space="preserve">and the importance of </w:t>
      </w:r>
      <w:r w:rsidR="00B334F3">
        <w:t>the evidentiary hearing</w:t>
      </w:r>
      <w:r w:rsidR="00226BF2">
        <w:t xml:space="preserve">, we disagree.  </w:t>
      </w:r>
      <w:r w:rsidR="00B334F3">
        <w:t xml:space="preserve">Counsel has a duty to </w:t>
      </w:r>
      <w:r w:rsidR="0007616E">
        <w:t>consult with</w:t>
      </w:r>
      <w:r w:rsidR="00A633C6">
        <w:t xml:space="preserve"> </w:t>
      </w:r>
      <w:r w:rsidR="0007616E">
        <w:t>client</w:t>
      </w:r>
      <w:r w:rsidR="00157746">
        <w:t>s</w:t>
      </w:r>
      <w:r w:rsidR="0007616E">
        <w:t xml:space="preserve"> and </w:t>
      </w:r>
      <w:r w:rsidR="00F213D1">
        <w:t xml:space="preserve">keep </w:t>
      </w:r>
      <w:r w:rsidR="0007616E">
        <w:t>the</w:t>
      </w:r>
      <w:r w:rsidR="00157746">
        <w:t>m</w:t>
      </w:r>
      <w:r w:rsidR="00F213D1">
        <w:t xml:space="preserve"> informed</w:t>
      </w:r>
      <w:r w:rsidR="006E683F">
        <w:t xml:space="preserve">.  (See </w:t>
      </w:r>
      <w:r w:rsidR="00E317ED" w:rsidRPr="00E317ED">
        <w:t>Rules Prof. Conduct, rule</w:t>
      </w:r>
      <w:r w:rsidR="006E683F">
        <w:t xml:space="preserve"> 1.4.)  Courts generally presume that counsel </w:t>
      </w:r>
      <w:r w:rsidR="00BA5CB9">
        <w:t>acts competently.  (</w:t>
      </w:r>
      <w:r w:rsidR="006C721B" w:rsidRPr="006C721B">
        <w:rPr>
          <w:i/>
          <w:iCs/>
        </w:rPr>
        <w:t>People v. Barrett</w:t>
      </w:r>
      <w:r w:rsidR="006C721B" w:rsidRPr="006C721B">
        <w:t xml:space="preserve"> (2012) 54</w:t>
      </w:r>
      <w:r w:rsidR="00477A88">
        <w:t> </w:t>
      </w:r>
      <w:r w:rsidR="006C721B" w:rsidRPr="006C721B">
        <w:t>Cal.4th 1081, 1105</w:t>
      </w:r>
      <w:r w:rsidR="006C721B">
        <w:t xml:space="preserve">.)  </w:t>
      </w:r>
      <w:r w:rsidR="004B437B">
        <w:t>McClelland points to no</w:t>
      </w:r>
      <w:r w:rsidR="002572C7">
        <w:t xml:space="preserve"> record</w:t>
      </w:r>
      <w:r w:rsidR="004B437B">
        <w:t xml:space="preserve"> evidence undermining th</w:t>
      </w:r>
      <w:r w:rsidR="002572C7">
        <w:t>is</w:t>
      </w:r>
      <w:r w:rsidR="004B437B">
        <w:t xml:space="preserve"> presumption</w:t>
      </w:r>
      <w:r w:rsidR="00E02369">
        <w:t xml:space="preserve"> and cites no </w:t>
      </w:r>
      <w:r w:rsidR="00BA43C5">
        <w:t xml:space="preserve">legal </w:t>
      </w:r>
      <w:r w:rsidR="00E02369">
        <w:t xml:space="preserve">authority </w:t>
      </w:r>
      <w:r w:rsidR="002572C7">
        <w:t>that</w:t>
      </w:r>
      <w:r w:rsidR="00BA43C5">
        <w:t xml:space="preserve"> the court has similar duties to a criminal defendant. </w:t>
      </w:r>
    </w:p>
    <w:p w14:paraId="104FAB63" w14:textId="070BF4C5" w:rsidR="00CE0A92" w:rsidRDefault="00CE0A92" w:rsidP="00DD3F7D">
      <w:r>
        <w:tab/>
        <w:t xml:space="preserve">Further, </w:t>
      </w:r>
      <w:r w:rsidR="005036EC">
        <w:t xml:space="preserve">contrary to McClelland’s claim, </w:t>
      </w:r>
      <w:r w:rsidR="008C599E">
        <w:t xml:space="preserve">substantive </w:t>
      </w:r>
      <w:r>
        <w:t xml:space="preserve">arguments </w:t>
      </w:r>
      <w:r w:rsidRPr="005036EC">
        <w:rPr>
          <w:i/>
          <w:iCs/>
        </w:rPr>
        <w:t>were</w:t>
      </w:r>
      <w:r>
        <w:t xml:space="preserve"> made in</w:t>
      </w:r>
      <w:r w:rsidR="005036EC">
        <w:t xml:space="preserve"> his</w:t>
      </w:r>
      <w:r>
        <w:t xml:space="preserve"> presence</w:t>
      </w:r>
      <w:r w:rsidR="005036EC">
        <w:t xml:space="preserve"> </w:t>
      </w:r>
      <w:r w:rsidR="008C599E">
        <w:t>at</w:t>
      </w:r>
      <w:r w:rsidR="005036EC">
        <w:t xml:space="preserve"> the September hearing</w:t>
      </w:r>
      <w:r>
        <w:t xml:space="preserve">.  The court acknowledged having read the parties’ briefs, which </w:t>
      </w:r>
      <w:r w:rsidR="006369D4">
        <w:t xml:space="preserve">provided their legal arguments </w:t>
      </w:r>
      <w:r w:rsidR="00FB70C0">
        <w:t>as to</w:t>
      </w:r>
      <w:r w:rsidR="006369D4">
        <w:t xml:space="preserve"> McClelland’s entitlement to relief.</w:t>
      </w:r>
      <w:r w:rsidR="007F46B3">
        <w:t xml:space="preserve">  </w:t>
      </w:r>
      <w:r w:rsidR="00964E89">
        <w:t xml:space="preserve">At the hearing, </w:t>
      </w:r>
      <w:r w:rsidR="007F46B3">
        <w:t xml:space="preserve">McClelland’s attorney not </w:t>
      </w:r>
      <w:r w:rsidR="007F46B3">
        <w:lastRenderedPageBreak/>
        <w:t xml:space="preserve">only urged the court to exercise caution in </w:t>
      </w:r>
      <w:r w:rsidR="005B3004">
        <w:t>its reliance on some of the evidence the prosecutor submitted</w:t>
      </w:r>
      <w:r w:rsidR="00FB70C0">
        <w:t>,</w:t>
      </w:r>
      <w:r w:rsidR="005B3004">
        <w:t xml:space="preserve"> but</w:t>
      </w:r>
      <w:r w:rsidR="00FB70C0">
        <w:t xml:space="preserve"> she</w:t>
      </w:r>
      <w:r w:rsidR="005B3004">
        <w:t xml:space="preserve"> also </w:t>
      </w:r>
      <w:r w:rsidR="0010609F">
        <w:t xml:space="preserve">asked the court to consider McClelland’s age at the time the crime was committed in </w:t>
      </w:r>
      <w:r w:rsidR="004B0643">
        <w:t xml:space="preserve">assessing </w:t>
      </w:r>
      <w:r w:rsidR="00FB70C0">
        <w:t>his</w:t>
      </w:r>
      <w:r w:rsidR="004B0643">
        <w:t xml:space="preserve"> culpability.  </w:t>
      </w:r>
      <w:r w:rsidR="00122E6E">
        <w:t>In response, t</w:t>
      </w:r>
      <w:r w:rsidR="004B0643">
        <w:t xml:space="preserve">he prosecutor briefly argued </w:t>
      </w:r>
      <w:r w:rsidR="004019E4">
        <w:t xml:space="preserve">the import of </w:t>
      </w:r>
      <w:r w:rsidR="00122E6E">
        <w:t>the same evidence</w:t>
      </w:r>
      <w:r w:rsidR="004019E4">
        <w:t xml:space="preserve">.  </w:t>
      </w:r>
      <w:r w:rsidR="005553FC">
        <w:t>Rather than</w:t>
      </w:r>
      <w:r w:rsidR="00122E6E">
        <w:t xml:space="preserve"> substantively</w:t>
      </w:r>
      <w:r w:rsidR="005553FC">
        <w:t xml:space="preserve"> respond, McClelland’s counsel asked if the court “want[ed them] back</w:t>
      </w:r>
      <w:r w:rsidR="00680547">
        <w:t xml:space="preserve">,” having already </w:t>
      </w:r>
      <w:r w:rsidR="00122E6E">
        <w:t>said</w:t>
      </w:r>
      <w:r w:rsidR="00680547">
        <w:t xml:space="preserve"> she was “fine” with the court issuing a written ruling instead of setting a further hearing.  </w:t>
      </w:r>
      <w:r w:rsidR="008C510A">
        <w:t xml:space="preserve">As McClelland was present, he could have conferred with his counsel and requested an opportunity to </w:t>
      </w:r>
      <w:r w:rsidR="005B7E53">
        <w:t>present further evidence or argument.  He did not.</w:t>
      </w:r>
      <w:r w:rsidR="00C67F6D">
        <w:t xml:space="preserve">  On this record, the court was not required to </w:t>
      </w:r>
      <w:r w:rsidR="008122FF">
        <w:t>do anything further to fulfill its obligations under section 117</w:t>
      </w:r>
      <w:r w:rsidR="00477A88">
        <w:t>2</w:t>
      </w:r>
      <w:r w:rsidR="008122FF">
        <w:t>.</w:t>
      </w:r>
      <w:r w:rsidR="00477A88">
        <w:t>6</w:t>
      </w:r>
      <w:r w:rsidR="00217B26">
        <w:t>(d)(3)</w:t>
      </w:r>
      <w:r w:rsidR="008122FF">
        <w:t>.</w:t>
      </w:r>
    </w:p>
    <w:p w14:paraId="227A1671" w14:textId="3DF9886D" w:rsidR="008C5DDC" w:rsidRDefault="0087490D" w:rsidP="00DD3F7D">
      <w:r>
        <w:tab/>
        <w:t xml:space="preserve">We thus conclude the September hearing </w:t>
      </w:r>
      <w:r w:rsidR="00E63FEA">
        <w:t>conformed to</w:t>
      </w:r>
      <w:r>
        <w:t xml:space="preserve"> </w:t>
      </w:r>
      <w:r w:rsidR="00D41986">
        <w:t>section</w:t>
      </w:r>
      <w:r w:rsidR="00477A88">
        <w:t> </w:t>
      </w:r>
      <w:r w:rsidR="00D41986">
        <w:t>1172.6</w:t>
      </w:r>
      <w:r w:rsidR="00F7427F">
        <w:t>(d)(3)</w:t>
      </w:r>
      <w:r w:rsidR="00D41986">
        <w:t>’s requirements</w:t>
      </w:r>
      <w:r w:rsidR="00F7427F">
        <w:t xml:space="preserve">.  </w:t>
      </w:r>
      <w:r w:rsidR="005B06EA">
        <w:t xml:space="preserve">The parties had an opportunity to offer additional evidence </w:t>
      </w:r>
      <w:r w:rsidR="003C3702">
        <w:t xml:space="preserve">relevant to McClelland’s guilt under current law </w:t>
      </w:r>
      <w:r w:rsidR="005B06EA">
        <w:t xml:space="preserve">and argue the merits of McClelland’s petition.  </w:t>
      </w:r>
      <w:r w:rsidR="00F7427F">
        <w:t xml:space="preserve">As McClelland was personally present at the hearing, </w:t>
      </w:r>
      <w:r w:rsidR="0032196D">
        <w:t xml:space="preserve">he was not denied </w:t>
      </w:r>
      <w:r w:rsidR="003C3702">
        <w:t>due process</w:t>
      </w:r>
      <w:r w:rsidR="00EE0D00">
        <w:t>.</w:t>
      </w:r>
    </w:p>
    <w:p w14:paraId="345C2F35" w14:textId="2E10CC89" w:rsidR="00C9168C" w:rsidRDefault="00433D06" w:rsidP="00A633C6">
      <w:pPr>
        <w:keepNext/>
        <w:jc w:val="center"/>
      </w:pPr>
      <w:r>
        <w:t>III.</w:t>
      </w:r>
    </w:p>
    <w:p w14:paraId="1A1B098C" w14:textId="27DF1603" w:rsidR="00433D06" w:rsidRDefault="00433D06" w:rsidP="006B3209">
      <w:r>
        <w:tab/>
        <w:t>We affirm.</w:t>
      </w:r>
    </w:p>
    <w:p w14:paraId="164B1248" w14:textId="77777777" w:rsidR="008C5DDC" w:rsidRDefault="008C5DDC" w:rsidP="008C5DDC">
      <w:pPr>
        <w:spacing w:line="240" w:lineRule="auto"/>
      </w:pPr>
    </w:p>
    <w:p w14:paraId="47057821" w14:textId="37DE719D" w:rsidR="008C5DDC" w:rsidRDefault="008C5DDC" w:rsidP="008C5DDC">
      <w:pPr>
        <w:keepNext/>
        <w:spacing w:line="240" w:lineRule="auto"/>
        <w:jc w:val="right"/>
      </w:pPr>
      <w:r>
        <w:t>CASTILLO, J.</w:t>
      </w:r>
    </w:p>
    <w:p w14:paraId="44EC8E36" w14:textId="77777777" w:rsidR="008C5DDC" w:rsidRDefault="008C5DDC" w:rsidP="008C5DDC">
      <w:pPr>
        <w:keepNext/>
        <w:tabs>
          <w:tab w:val="right" w:pos="3600"/>
        </w:tabs>
        <w:spacing w:line="240" w:lineRule="auto"/>
      </w:pPr>
    </w:p>
    <w:p w14:paraId="3F2BC68B" w14:textId="0D6C90F3" w:rsidR="008C5DDC" w:rsidRDefault="008C5DDC" w:rsidP="008C5DDC">
      <w:pPr>
        <w:keepNext/>
        <w:tabs>
          <w:tab w:val="right" w:pos="3600"/>
        </w:tabs>
        <w:spacing w:line="240" w:lineRule="auto"/>
      </w:pPr>
      <w:r>
        <w:t>WE CONCUR:</w:t>
      </w:r>
    </w:p>
    <w:p w14:paraId="67E1EB04" w14:textId="77777777" w:rsidR="008C5DDC" w:rsidRDefault="008C5DDC" w:rsidP="008C5DDC">
      <w:pPr>
        <w:keepNext/>
        <w:tabs>
          <w:tab w:val="right" w:pos="3600"/>
        </w:tabs>
        <w:spacing w:line="240" w:lineRule="auto"/>
      </w:pPr>
    </w:p>
    <w:p w14:paraId="66D0152A" w14:textId="77777777" w:rsidR="008C5DDC" w:rsidRDefault="008C5DDC" w:rsidP="008C5DDC">
      <w:pPr>
        <w:keepNext/>
        <w:tabs>
          <w:tab w:val="right" w:pos="3600"/>
        </w:tabs>
        <w:spacing w:line="240" w:lineRule="auto"/>
      </w:pPr>
    </w:p>
    <w:p w14:paraId="0A40258F" w14:textId="30BA8BBB" w:rsidR="008C5DDC" w:rsidRDefault="008C5DDC" w:rsidP="008C5DDC">
      <w:pPr>
        <w:keepNext/>
        <w:tabs>
          <w:tab w:val="right" w:pos="3600"/>
        </w:tabs>
        <w:spacing w:line="240" w:lineRule="auto"/>
      </w:pPr>
      <w:r>
        <w:t>McCONNELL, P. J.</w:t>
      </w:r>
    </w:p>
    <w:p w14:paraId="2EB1F8C6" w14:textId="77777777" w:rsidR="008C5DDC" w:rsidRDefault="008C5DDC" w:rsidP="008C5DDC">
      <w:pPr>
        <w:keepNext/>
        <w:tabs>
          <w:tab w:val="right" w:pos="3600"/>
        </w:tabs>
        <w:spacing w:line="240" w:lineRule="auto"/>
      </w:pPr>
    </w:p>
    <w:p w14:paraId="2F09D6AE" w14:textId="77777777" w:rsidR="008C5DDC" w:rsidRDefault="008C5DDC" w:rsidP="008C5DDC">
      <w:pPr>
        <w:keepNext/>
        <w:tabs>
          <w:tab w:val="right" w:pos="3600"/>
        </w:tabs>
        <w:spacing w:line="240" w:lineRule="auto"/>
      </w:pPr>
    </w:p>
    <w:p w14:paraId="14CCDD11" w14:textId="7F8F5780" w:rsidR="008C5DDC" w:rsidRDefault="008C5DDC" w:rsidP="008C5DDC">
      <w:pPr>
        <w:keepNext/>
        <w:tabs>
          <w:tab w:val="right" w:pos="3600"/>
        </w:tabs>
        <w:spacing w:line="240" w:lineRule="auto"/>
      </w:pPr>
      <w:r>
        <w:t>DO, J.</w:t>
      </w:r>
    </w:p>
    <w:p w14:paraId="2D3959B3" w14:textId="77777777" w:rsidR="008C5DDC" w:rsidRPr="008C5DDC" w:rsidRDefault="008C5DDC" w:rsidP="006C6946">
      <w:pPr>
        <w:keepNext/>
        <w:tabs>
          <w:tab w:val="right" w:pos="3600"/>
        </w:tabs>
        <w:spacing w:line="240" w:lineRule="auto"/>
      </w:pPr>
    </w:p>
    <w:sectPr w:rsidR="008C5DDC" w:rsidRPr="008C5DDC" w:rsidSect="006B3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67089" w14:textId="77777777" w:rsidR="00605C20" w:rsidRDefault="00605C20" w:rsidP="0003284A">
      <w:pPr>
        <w:spacing w:line="240" w:lineRule="auto"/>
      </w:pPr>
      <w:r>
        <w:separator/>
      </w:r>
    </w:p>
  </w:endnote>
  <w:endnote w:type="continuationSeparator" w:id="0">
    <w:p w14:paraId="74196ECE" w14:textId="77777777" w:rsidR="00605C20" w:rsidRDefault="00605C20" w:rsidP="00032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DD5B12" w14:textId="77777777" w:rsidR="001950EA" w:rsidRDefault="00195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096672"/>
      <w:docPartObj>
        <w:docPartGallery w:val="Page Numbers (Bottom of Page)"/>
        <w:docPartUnique/>
      </w:docPartObj>
    </w:sdtPr>
    <w:sdtEndPr/>
    <w:sdtContent>
      <w:p w14:paraId="6DFF827B" w14:textId="77777777" w:rsidR="0003284A" w:rsidRDefault="00443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D8F42" w14:textId="77777777" w:rsidR="0003284A" w:rsidRDefault="000328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186EB" w14:textId="77777777" w:rsidR="0003284A" w:rsidRDefault="0003284A" w:rsidP="000328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30219" w14:textId="77777777" w:rsidR="00605C20" w:rsidRDefault="00605C20" w:rsidP="0003284A">
      <w:pPr>
        <w:spacing w:line="240" w:lineRule="auto"/>
      </w:pPr>
      <w:r>
        <w:separator/>
      </w:r>
    </w:p>
  </w:footnote>
  <w:footnote w:type="continuationSeparator" w:id="0">
    <w:p w14:paraId="39FD40F7" w14:textId="77777777" w:rsidR="00605C20" w:rsidRDefault="00605C20" w:rsidP="0003284A">
      <w:pPr>
        <w:spacing w:line="240" w:lineRule="auto"/>
      </w:pPr>
      <w:r>
        <w:continuationSeparator/>
      </w:r>
    </w:p>
  </w:footnote>
  <w:footnote w:id="1">
    <w:p w14:paraId="47989FEB" w14:textId="795E9EDE" w:rsidR="00A110DE" w:rsidRDefault="00A110DE" w:rsidP="00A110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Assembly Bill No. 200, effective June 30, 2022, amended section</w:t>
      </w:r>
      <w:r w:rsidR="002B0233">
        <w:t> </w:t>
      </w:r>
      <w:r>
        <w:t>1170.95 and renumbered it section 1172.6.  (See Stats. 2022, ch. 58, §</w:t>
      </w:r>
      <w:r w:rsidR="00DC75F8">
        <w:t> </w:t>
      </w:r>
      <w:r>
        <w:t>10.)  We refer to the statute by its current number in this opinion.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C3DDF" w14:textId="77777777" w:rsidR="001950EA" w:rsidRDefault="00195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8CF66" w14:textId="77777777" w:rsidR="001950EA" w:rsidRDefault="00195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F3B2F" w14:textId="77777777" w:rsidR="001950EA" w:rsidRDefault="00195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SortMethod w:val="00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09"/>
    <w:rsid w:val="000016E2"/>
    <w:rsid w:val="00006CF7"/>
    <w:rsid w:val="00012F57"/>
    <w:rsid w:val="00020AF0"/>
    <w:rsid w:val="00020F24"/>
    <w:rsid w:val="00023E24"/>
    <w:rsid w:val="00025ECC"/>
    <w:rsid w:val="0003284A"/>
    <w:rsid w:val="00033AA7"/>
    <w:rsid w:val="00035394"/>
    <w:rsid w:val="000353D4"/>
    <w:rsid w:val="00042578"/>
    <w:rsid w:val="00064979"/>
    <w:rsid w:val="00067336"/>
    <w:rsid w:val="0007090F"/>
    <w:rsid w:val="0007616E"/>
    <w:rsid w:val="00077F03"/>
    <w:rsid w:val="000866A0"/>
    <w:rsid w:val="00093837"/>
    <w:rsid w:val="000A42AA"/>
    <w:rsid w:val="000A5751"/>
    <w:rsid w:val="000B3E81"/>
    <w:rsid w:val="000B4E4F"/>
    <w:rsid w:val="000C10F5"/>
    <w:rsid w:val="000C5B29"/>
    <w:rsid w:val="000C7A8F"/>
    <w:rsid w:val="000D1C93"/>
    <w:rsid w:val="000E617E"/>
    <w:rsid w:val="000E7145"/>
    <w:rsid w:val="000F3C3D"/>
    <w:rsid w:val="000F3C54"/>
    <w:rsid w:val="000F504A"/>
    <w:rsid w:val="00102C6B"/>
    <w:rsid w:val="001038D4"/>
    <w:rsid w:val="00103E38"/>
    <w:rsid w:val="00104BB0"/>
    <w:rsid w:val="0010609F"/>
    <w:rsid w:val="00122E6E"/>
    <w:rsid w:val="00124512"/>
    <w:rsid w:val="00153F50"/>
    <w:rsid w:val="00157746"/>
    <w:rsid w:val="001741CE"/>
    <w:rsid w:val="0017791D"/>
    <w:rsid w:val="00183BCB"/>
    <w:rsid w:val="0018425C"/>
    <w:rsid w:val="001950EA"/>
    <w:rsid w:val="00196079"/>
    <w:rsid w:val="001A5656"/>
    <w:rsid w:val="001A6939"/>
    <w:rsid w:val="001B4583"/>
    <w:rsid w:val="001B558C"/>
    <w:rsid w:val="001D1944"/>
    <w:rsid w:val="001E1D24"/>
    <w:rsid w:val="002022BC"/>
    <w:rsid w:val="00211907"/>
    <w:rsid w:val="00213EB0"/>
    <w:rsid w:val="00217B26"/>
    <w:rsid w:val="00226BF2"/>
    <w:rsid w:val="002423FC"/>
    <w:rsid w:val="00245E30"/>
    <w:rsid w:val="002502ED"/>
    <w:rsid w:val="00254CFB"/>
    <w:rsid w:val="002572C7"/>
    <w:rsid w:val="0026222A"/>
    <w:rsid w:val="002636BE"/>
    <w:rsid w:val="00270D32"/>
    <w:rsid w:val="002800BC"/>
    <w:rsid w:val="00283E0E"/>
    <w:rsid w:val="002925CE"/>
    <w:rsid w:val="00292BD2"/>
    <w:rsid w:val="002969B5"/>
    <w:rsid w:val="00297EBE"/>
    <w:rsid w:val="002A52B5"/>
    <w:rsid w:val="002A6C9A"/>
    <w:rsid w:val="002A6EA4"/>
    <w:rsid w:val="002A7641"/>
    <w:rsid w:val="002B0233"/>
    <w:rsid w:val="002C0465"/>
    <w:rsid w:val="002C4132"/>
    <w:rsid w:val="002D1EC6"/>
    <w:rsid w:val="002E4335"/>
    <w:rsid w:val="002E4AAC"/>
    <w:rsid w:val="002F18D8"/>
    <w:rsid w:val="002F2149"/>
    <w:rsid w:val="002F710E"/>
    <w:rsid w:val="00314480"/>
    <w:rsid w:val="0032196D"/>
    <w:rsid w:val="00323343"/>
    <w:rsid w:val="00324AD8"/>
    <w:rsid w:val="00336093"/>
    <w:rsid w:val="0033768E"/>
    <w:rsid w:val="00341368"/>
    <w:rsid w:val="003437E9"/>
    <w:rsid w:val="003507CD"/>
    <w:rsid w:val="0036324D"/>
    <w:rsid w:val="00393CD1"/>
    <w:rsid w:val="00393DAD"/>
    <w:rsid w:val="003A4CC3"/>
    <w:rsid w:val="003C3702"/>
    <w:rsid w:val="003E78C6"/>
    <w:rsid w:val="003F27A4"/>
    <w:rsid w:val="003F7E65"/>
    <w:rsid w:val="004019E4"/>
    <w:rsid w:val="0040414C"/>
    <w:rsid w:val="00404C0F"/>
    <w:rsid w:val="004116C3"/>
    <w:rsid w:val="00411D8C"/>
    <w:rsid w:val="00413290"/>
    <w:rsid w:val="00415565"/>
    <w:rsid w:val="004218D0"/>
    <w:rsid w:val="00423EBC"/>
    <w:rsid w:val="00433D06"/>
    <w:rsid w:val="00434BA0"/>
    <w:rsid w:val="00440629"/>
    <w:rsid w:val="004433CB"/>
    <w:rsid w:val="0045014B"/>
    <w:rsid w:val="00451922"/>
    <w:rsid w:val="00451C47"/>
    <w:rsid w:val="0045219A"/>
    <w:rsid w:val="004534CE"/>
    <w:rsid w:val="00457E42"/>
    <w:rsid w:val="00460B66"/>
    <w:rsid w:val="00462AEA"/>
    <w:rsid w:val="004648FB"/>
    <w:rsid w:val="00477A88"/>
    <w:rsid w:val="00483CCF"/>
    <w:rsid w:val="004958B9"/>
    <w:rsid w:val="004B0643"/>
    <w:rsid w:val="004B437B"/>
    <w:rsid w:val="004B5B8A"/>
    <w:rsid w:val="004B6BAD"/>
    <w:rsid w:val="004C4815"/>
    <w:rsid w:val="004D66E0"/>
    <w:rsid w:val="004E2A96"/>
    <w:rsid w:val="005036EC"/>
    <w:rsid w:val="00504FB1"/>
    <w:rsid w:val="00506CBD"/>
    <w:rsid w:val="00514DBE"/>
    <w:rsid w:val="00532AB2"/>
    <w:rsid w:val="005507DC"/>
    <w:rsid w:val="005553FC"/>
    <w:rsid w:val="005576CB"/>
    <w:rsid w:val="005661CB"/>
    <w:rsid w:val="00567453"/>
    <w:rsid w:val="00575E48"/>
    <w:rsid w:val="005823EF"/>
    <w:rsid w:val="00582542"/>
    <w:rsid w:val="00584AB5"/>
    <w:rsid w:val="00585E89"/>
    <w:rsid w:val="005946D3"/>
    <w:rsid w:val="005976E8"/>
    <w:rsid w:val="00597EA8"/>
    <w:rsid w:val="005A0743"/>
    <w:rsid w:val="005A4A3D"/>
    <w:rsid w:val="005B06EA"/>
    <w:rsid w:val="005B1D8D"/>
    <w:rsid w:val="005B3004"/>
    <w:rsid w:val="005B41FB"/>
    <w:rsid w:val="005B7BA5"/>
    <w:rsid w:val="005B7E53"/>
    <w:rsid w:val="005D594E"/>
    <w:rsid w:val="005D63B4"/>
    <w:rsid w:val="005E1743"/>
    <w:rsid w:val="005E6B3E"/>
    <w:rsid w:val="005F17A9"/>
    <w:rsid w:val="005F18A5"/>
    <w:rsid w:val="005F2A22"/>
    <w:rsid w:val="005F3BA3"/>
    <w:rsid w:val="00605105"/>
    <w:rsid w:val="00605C20"/>
    <w:rsid w:val="006077CE"/>
    <w:rsid w:val="00613B68"/>
    <w:rsid w:val="00623FCD"/>
    <w:rsid w:val="006271AF"/>
    <w:rsid w:val="006369D4"/>
    <w:rsid w:val="006372D5"/>
    <w:rsid w:val="00653EFA"/>
    <w:rsid w:val="006579E4"/>
    <w:rsid w:val="00660F77"/>
    <w:rsid w:val="00661926"/>
    <w:rsid w:val="006679D9"/>
    <w:rsid w:val="006700D9"/>
    <w:rsid w:val="00676C26"/>
    <w:rsid w:val="006803F8"/>
    <w:rsid w:val="00680547"/>
    <w:rsid w:val="00681B3D"/>
    <w:rsid w:val="00691A07"/>
    <w:rsid w:val="0069253A"/>
    <w:rsid w:val="006A5B5B"/>
    <w:rsid w:val="006B1F65"/>
    <w:rsid w:val="006B2C39"/>
    <w:rsid w:val="006B3058"/>
    <w:rsid w:val="006B3209"/>
    <w:rsid w:val="006B54F7"/>
    <w:rsid w:val="006B5714"/>
    <w:rsid w:val="006C3E7E"/>
    <w:rsid w:val="006C6946"/>
    <w:rsid w:val="006C721B"/>
    <w:rsid w:val="006D7230"/>
    <w:rsid w:val="006E683F"/>
    <w:rsid w:val="00702037"/>
    <w:rsid w:val="00712D24"/>
    <w:rsid w:val="00714657"/>
    <w:rsid w:val="00715F25"/>
    <w:rsid w:val="007168EA"/>
    <w:rsid w:val="00716CF0"/>
    <w:rsid w:val="007219C2"/>
    <w:rsid w:val="00727E48"/>
    <w:rsid w:val="007327C3"/>
    <w:rsid w:val="007333B1"/>
    <w:rsid w:val="00756A03"/>
    <w:rsid w:val="00757170"/>
    <w:rsid w:val="00764166"/>
    <w:rsid w:val="0076479E"/>
    <w:rsid w:val="0077315C"/>
    <w:rsid w:val="007751E9"/>
    <w:rsid w:val="00775864"/>
    <w:rsid w:val="00794C76"/>
    <w:rsid w:val="007A1B37"/>
    <w:rsid w:val="007A3B2A"/>
    <w:rsid w:val="007A51F6"/>
    <w:rsid w:val="007B12FE"/>
    <w:rsid w:val="007B3D29"/>
    <w:rsid w:val="007B46EA"/>
    <w:rsid w:val="007C60D7"/>
    <w:rsid w:val="007F46B3"/>
    <w:rsid w:val="0080239E"/>
    <w:rsid w:val="00804FBC"/>
    <w:rsid w:val="008122FF"/>
    <w:rsid w:val="008166FA"/>
    <w:rsid w:val="0082233F"/>
    <w:rsid w:val="008229C9"/>
    <w:rsid w:val="00824CE4"/>
    <w:rsid w:val="00834AB8"/>
    <w:rsid w:val="00835EE5"/>
    <w:rsid w:val="0085220C"/>
    <w:rsid w:val="008522D4"/>
    <w:rsid w:val="008552B1"/>
    <w:rsid w:val="008569C7"/>
    <w:rsid w:val="0086054A"/>
    <w:rsid w:val="008739AA"/>
    <w:rsid w:val="0087490D"/>
    <w:rsid w:val="00884199"/>
    <w:rsid w:val="00887CB8"/>
    <w:rsid w:val="00891948"/>
    <w:rsid w:val="00892E71"/>
    <w:rsid w:val="0089570C"/>
    <w:rsid w:val="008A386A"/>
    <w:rsid w:val="008A39C3"/>
    <w:rsid w:val="008C35C0"/>
    <w:rsid w:val="008C4ECB"/>
    <w:rsid w:val="008C510A"/>
    <w:rsid w:val="008C599E"/>
    <w:rsid w:val="008C5DDC"/>
    <w:rsid w:val="008D5B43"/>
    <w:rsid w:val="008D7C15"/>
    <w:rsid w:val="008E60AF"/>
    <w:rsid w:val="008F68FF"/>
    <w:rsid w:val="00902906"/>
    <w:rsid w:val="009134E8"/>
    <w:rsid w:val="00917B43"/>
    <w:rsid w:val="00923648"/>
    <w:rsid w:val="00933631"/>
    <w:rsid w:val="00936530"/>
    <w:rsid w:val="009445C4"/>
    <w:rsid w:val="00944D5A"/>
    <w:rsid w:val="00953810"/>
    <w:rsid w:val="009573A0"/>
    <w:rsid w:val="00964E89"/>
    <w:rsid w:val="00980243"/>
    <w:rsid w:val="00980781"/>
    <w:rsid w:val="009843B5"/>
    <w:rsid w:val="00986A33"/>
    <w:rsid w:val="00995705"/>
    <w:rsid w:val="009A45BA"/>
    <w:rsid w:val="009C004F"/>
    <w:rsid w:val="009C5414"/>
    <w:rsid w:val="009D239F"/>
    <w:rsid w:val="009D6903"/>
    <w:rsid w:val="009E33AD"/>
    <w:rsid w:val="009E4A02"/>
    <w:rsid w:val="009F16BF"/>
    <w:rsid w:val="00A002BA"/>
    <w:rsid w:val="00A013B3"/>
    <w:rsid w:val="00A0214E"/>
    <w:rsid w:val="00A0782F"/>
    <w:rsid w:val="00A07DF1"/>
    <w:rsid w:val="00A10C79"/>
    <w:rsid w:val="00A110DE"/>
    <w:rsid w:val="00A11513"/>
    <w:rsid w:val="00A1729F"/>
    <w:rsid w:val="00A17DB5"/>
    <w:rsid w:val="00A25E6E"/>
    <w:rsid w:val="00A27985"/>
    <w:rsid w:val="00A4092A"/>
    <w:rsid w:val="00A40F71"/>
    <w:rsid w:val="00A423AA"/>
    <w:rsid w:val="00A42E7E"/>
    <w:rsid w:val="00A47C50"/>
    <w:rsid w:val="00A57C25"/>
    <w:rsid w:val="00A633C6"/>
    <w:rsid w:val="00A7053B"/>
    <w:rsid w:val="00A72188"/>
    <w:rsid w:val="00A752F0"/>
    <w:rsid w:val="00A806E7"/>
    <w:rsid w:val="00A81E86"/>
    <w:rsid w:val="00A87CC0"/>
    <w:rsid w:val="00AA7C14"/>
    <w:rsid w:val="00AC5055"/>
    <w:rsid w:val="00AC7E04"/>
    <w:rsid w:val="00AE5117"/>
    <w:rsid w:val="00AF6435"/>
    <w:rsid w:val="00B011B0"/>
    <w:rsid w:val="00B10D6A"/>
    <w:rsid w:val="00B12C14"/>
    <w:rsid w:val="00B15372"/>
    <w:rsid w:val="00B228DD"/>
    <w:rsid w:val="00B24ADA"/>
    <w:rsid w:val="00B334F3"/>
    <w:rsid w:val="00B40E01"/>
    <w:rsid w:val="00B573C2"/>
    <w:rsid w:val="00B65142"/>
    <w:rsid w:val="00B66C76"/>
    <w:rsid w:val="00B772C4"/>
    <w:rsid w:val="00B85D80"/>
    <w:rsid w:val="00B87206"/>
    <w:rsid w:val="00BA43C5"/>
    <w:rsid w:val="00BA5CB9"/>
    <w:rsid w:val="00BA7123"/>
    <w:rsid w:val="00BC064E"/>
    <w:rsid w:val="00BD0863"/>
    <w:rsid w:val="00BD2F2E"/>
    <w:rsid w:val="00BD36F2"/>
    <w:rsid w:val="00BD60FC"/>
    <w:rsid w:val="00BE13BF"/>
    <w:rsid w:val="00BF2785"/>
    <w:rsid w:val="00BF4F0C"/>
    <w:rsid w:val="00BF6307"/>
    <w:rsid w:val="00C03788"/>
    <w:rsid w:val="00C05E5C"/>
    <w:rsid w:val="00C11239"/>
    <w:rsid w:val="00C12598"/>
    <w:rsid w:val="00C14577"/>
    <w:rsid w:val="00C14C13"/>
    <w:rsid w:val="00C245C4"/>
    <w:rsid w:val="00C248D7"/>
    <w:rsid w:val="00C413ED"/>
    <w:rsid w:val="00C44C1E"/>
    <w:rsid w:val="00C451FF"/>
    <w:rsid w:val="00C55A9F"/>
    <w:rsid w:val="00C63234"/>
    <w:rsid w:val="00C67F6D"/>
    <w:rsid w:val="00C80A9D"/>
    <w:rsid w:val="00C851E1"/>
    <w:rsid w:val="00C9168C"/>
    <w:rsid w:val="00CA0A91"/>
    <w:rsid w:val="00CA31BA"/>
    <w:rsid w:val="00CA454E"/>
    <w:rsid w:val="00CA4D5C"/>
    <w:rsid w:val="00CB19A5"/>
    <w:rsid w:val="00CB3A1D"/>
    <w:rsid w:val="00CB6825"/>
    <w:rsid w:val="00CD0196"/>
    <w:rsid w:val="00CE0A92"/>
    <w:rsid w:val="00CE223E"/>
    <w:rsid w:val="00CE4A64"/>
    <w:rsid w:val="00CE5D22"/>
    <w:rsid w:val="00CE6116"/>
    <w:rsid w:val="00CF690D"/>
    <w:rsid w:val="00CF7690"/>
    <w:rsid w:val="00D01DD6"/>
    <w:rsid w:val="00D16570"/>
    <w:rsid w:val="00D172C4"/>
    <w:rsid w:val="00D22362"/>
    <w:rsid w:val="00D2639A"/>
    <w:rsid w:val="00D375CE"/>
    <w:rsid w:val="00D41986"/>
    <w:rsid w:val="00D41A34"/>
    <w:rsid w:val="00D424EB"/>
    <w:rsid w:val="00D4734D"/>
    <w:rsid w:val="00D53B74"/>
    <w:rsid w:val="00D56D8A"/>
    <w:rsid w:val="00D652CC"/>
    <w:rsid w:val="00D6686B"/>
    <w:rsid w:val="00D66F45"/>
    <w:rsid w:val="00D72394"/>
    <w:rsid w:val="00D757CD"/>
    <w:rsid w:val="00D80F14"/>
    <w:rsid w:val="00D94437"/>
    <w:rsid w:val="00D94552"/>
    <w:rsid w:val="00D95D4F"/>
    <w:rsid w:val="00DA34FF"/>
    <w:rsid w:val="00DC5CE6"/>
    <w:rsid w:val="00DC75F8"/>
    <w:rsid w:val="00DD0F6D"/>
    <w:rsid w:val="00DD17BE"/>
    <w:rsid w:val="00DD1ADD"/>
    <w:rsid w:val="00DD3F7D"/>
    <w:rsid w:val="00DD5D60"/>
    <w:rsid w:val="00DE73A4"/>
    <w:rsid w:val="00DF4A68"/>
    <w:rsid w:val="00DF7A4E"/>
    <w:rsid w:val="00E02369"/>
    <w:rsid w:val="00E0460C"/>
    <w:rsid w:val="00E070E2"/>
    <w:rsid w:val="00E133C3"/>
    <w:rsid w:val="00E168CF"/>
    <w:rsid w:val="00E20666"/>
    <w:rsid w:val="00E24633"/>
    <w:rsid w:val="00E30A20"/>
    <w:rsid w:val="00E317ED"/>
    <w:rsid w:val="00E33030"/>
    <w:rsid w:val="00E568CC"/>
    <w:rsid w:val="00E6232A"/>
    <w:rsid w:val="00E62403"/>
    <w:rsid w:val="00E63FEA"/>
    <w:rsid w:val="00E75C16"/>
    <w:rsid w:val="00E936E5"/>
    <w:rsid w:val="00EA6C04"/>
    <w:rsid w:val="00EB27ED"/>
    <w:rsid w:val="00EB39D6"/>
    <w:rsid w:val="00EC4680"/>
    <w:rsid w:val="00EC5210"/>
    <w:rsid w:val="00ED1893"/>
    <w:rsid w:val="00ED5118"/>
    <w:rsid w:val="00ED524A"/>
    <w:rsid w:val="00EE0D00"/>
    <w:rsid w:val="00EE284D"/>
    <w:rsid w:val="00EE6A02"/>
    <w:rsid w:val="00F002EA"/>
    <w:rsid w:val="00F05D69"/>
    <w:rsid w:val="00F066CF"/>
    <w:rsid w:val="00F1022C"/>
    <w:rsid w:val="00F213D1"/>
    <w:rsid w:val="00F42B65"/>
    <w:rsid w:val="00F43901"/>
    <w:rsid w:val="00F4694C"/>
    <w:rsid w:val="00F47D00"/>
    <w:rsid w:val="00F564FD"/>
    <w:rsid w:val="00F57313"/>
    <w:rsid w:val="00F7427F"/>
    <w:rsid w:val="00F773AE"/>
    <w:rsid w:val="00F85616"/>
    <w:rsid w:val="00F96254"/>
    <w:rsid w:val="00FA0138"/>
    <w:rsid w:val="00FB70C0"/>
    <w:rsid w:val="00FC083C"/>
    <w:rsid w:val="00FC6C9D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96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Schoolbook" w:eastAsiaTheme="minorHAnsi" w:hAnsi="Century Schoolbook" w:cs="Times New Roman"/>
        <w:kern w:val="2"/>
        <w:sz w:val="26"/>
        <w:szCs w:val="26"/>
        <w:lang w:val="en-US" w:eastAsia="en-US" w:bidi="en-US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9E"/>
  </w:style>
  <w:style w:type="paragraph" w:styleId="Heading1">
    <w:name w:val="heading 1"/>
    <w:basedOn w:val="Normal"/>
    <w:next w:val="Normal"/>
    <w:link w:val="Heading1Char"/>
    <w:uiPriority w:val="9"/>
    <w:qFormat/>
    <w:rsid w:val="00764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4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479E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79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79E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79E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79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479E"/>
    <w:rPr>
      <w:rFonts w:asciiTheme="majorHAnsi" w:eastAsiaTheme="majorEastAsia" w:hAnsiTheme="majorHAnsi"/>
      <w:b/>
      <w:b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79E"/>
    <w:rPr>
      <w:b/>
      <w:bCs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79E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79E"/>
    <w:rPr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79E"/>
    <w:rPr>
      <w:rFonts w:asciiTheme="majorHAnsi" w:eastAsiaTheme="majorEastAsia" w:hAnsiTheme="majorHAns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64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4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79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479E"/>
    <w:rPr>
      <w:rFonts w:asciiTheme="majorHAnsi" w:eastAsiaTheme="majorEastAsia" w:hAnsiTheme="majorHAnsi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79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47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9E"/>
  </w:style>
  <w:style w:type="paragraph" w:styleId="Footer">
    <w:name w:val="footer"/>
    <w:basedOn w:val="Normal"/>
    <w:link w:val="FooterChar"/>
    <w:uiPriority w:val="99"/>
    <w:unhideWhenUsed/>
    <w:rsid w:val="007647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9E"/>
  </w:style>
  <w:style w:type="character" w:styleId="FootnoteReference">
    <w:name w:val="footnote reference"/>
    <w:basedOn w:val="DefaultParagraphFont"/>
    <w:uiPriority w:val="99"/>
    <w:semiHidden/>
    <w:unhideWhenUsed/>
    <w:rsid w:val="0076479E"/>
    <w:rPr>
      <w:rFonts w:ascii="Century Schoolbook" w:hAnsi="Century Schoolbook"/>
      <w:b w:val="0"/>
      <w:i w:val="0"/>
      <w:position w:val="6"/>
      <w:sz w:val="26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79E"/>
    <w:pPr>
      <w:keepLines/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79E"/>
    <w:rPr>
      <w:szCs w:val="20"/>
    </w:rPr>
  </w:style>
  <w:style w:type="paragraph" w:styleId="Revision">
    <w:name w:val="Revision"/>
    <w:hidden/>
    <w:uiPriority w:val="99"/>
    <w:semiHidden/>
    <w:rsid w:val="00585E8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232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597204434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625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26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156458116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75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509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234975147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224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0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797140709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293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04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807627985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945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65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429157696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ourt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C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1955</Words>
  <Characters>10539</Characters>
  <Application>Microsoft Office Word</Application>
  <DocSecurity>0</DocSecurity>
  <Lines>225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2024-03-27T17:47:00Z</dcterms:created>
  <dcterms:modified xsi:type="dcterms:W3CDTF">2024-03-27T17:47:00Z</dcterms:modified>
  <cp:category/>
</cp:coreProperties>
</file>