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9D20" w14:textId="6E4D3D76" w:rsidR="00E4061A" w:rsidRPr="001D276C" w:rsidRDefault="001D276C" w:rsidP="001D276C">
      <w:pPr>
        <w:spacing w:line="240" w:lineRule="auto"/>
        <w:rPr>
          <w:sz w:val="20"/>
        </w:rPr>
      </w:pPr>
      <w:r w:rsidRPr="001D276C">
        <w:rPr>
          <w:sz w:val="20"/>
        </w:rPr>
        <w:t>Filed 1/24/24</w:t>
      </w:r>
    </w:p>
    <w:p w14:paraId="160FE563" w14:textId="77777777" w:rsidR="00E4061A" w:rsidRDefault="00E4061A" w:rsidP="00E4061A">
      <w:pPr>
        <w:spacing w:line="240" w:lineRule="auto"/>
      </w:pPr>
    </w:p>
    <w:p w14:paraId="20628B21" w14:textId="32F2EDB5" w:rsidR="00345179" w:rsidRPr="005E0C95" w:rsidRDefault="00E4061A" w:rsidP="00E4061A">
      <w:pPr>
        <w:spacing w:line="240" w:lineRule="auto"/>
        <w:jc w:val="center"/>
      </w:pPr>
      <w:r>
        <w:t>CERTIFIED FOR PUBLICATION</w:t>
      </w:r>
    </w:p>
    <w:p w14:paraId="29A3C6A4" w14:textId="77777777" w:rsidR="00345179" w:rsidRPr="005E0C95" w:rsidRDefault="00345179" w:rsidP="00345179">
      <w:pPr>
        <w:spacing w:line="240" w:lineRule="auto"/>
      </w:pPr>
    </w:p>
    <w:p w14:paraId="60CDAF1E" w14:textId="37FBB8BE" w:rsidR="005A4A3D" w:rsidRPr="005E0C95" w:rsidRDefault="003A6C3B" w:rsidP="003A6C3B">
      <w:pPr>
        <w:spacing w:line="240" w:lineRule="auto"/>
        <w:jc w:val="center"/>
      </w:pPr>
      <w:r w:rsidRPr="005E0C95">
        <w:t>COURT OF APPEAL, FOURTH APPELLATE DISTRICT</w:t>
      </w:r>
    </w:p>
    <w:p w14:paraId="605CEDD6" w14:textId="681D01F5" w:rsidR="003A6C3B" w:rsidRPr="005E0C95" w:rsidRDefault="003A6C3B" w:rsidP="003A6C3B">
      <w:pPr>
        <w:spacing w:line="240" w:lineRule="auto"/>
        <w:jc w:val="center"/>
      </w:pPr>
    </w:p>
    <w:p w14:paraId="3BE0FE54" w14:textId="59B2C36A" w:rsidR="003A6C3B" w:rsidRPr="005E0C95" w:rsidRDefault="003A6C3B" w:rsidP="003A6C3B">
      <w:pPr>
        <w:spacing w:line="240" w:lineRule="auto"/>
        <w:jc w:val="center"/>
      </w:pPr>
      <w:r w:rsidRPr="005E0C95">
        <w:t>DIVISION ONE</w:t>
      </w:r>
    </w:p>
    <w:p w14:paraId="39FF8D6E" w14:textId="1BE17939" w:rsidR="003A6C3B" w:rsidRPr="005E0C95" w:rsidRDefault="003A6C3B" w:rsidP="003A6C3B">
      <w:pPr>
        <w:spacing w:line="240" w:lineRule="auto"/>
        <w:jc w:val="center"/>
      </w:pPr>
    </w:p>
    <w:p w14:paraId="33F44564" w14:textId="3241F335" w:rsidR="003A6C3B" w:rsidRPr="005E0C95" w:rsidRDefault="003A6C3B" w:rsidP="003A6C3B">
      <w:pPr>
        <w:spacing w:line="240" w:lineRule="auto"/>
        <w:jc w:val="center"/>
      </w:pPr>
      <w:r w:rsidRPr="005E0C95">
        <w:t>STATE OF CALIFORNIA</w:t>
      </w:r>
    </w:p>
    <w:p w14:paraId="271C14CB" w14:textId="7B566FBB" w:rsidR="003A6C3B" w:rsidRPr="005E0C95" w:rsidRDefault="003A6C3B" w:rsidP="003A6C3B">
      <w:pPr>
        <w:spacing w:line="240" w:lineRule="auto"/>
        <w:jc w:val="center"/>
      </w:pPr>
    </w:p>
    <w:p w14:paraId="3E095DC8" w14:textId="085F9D72" w:rsidR="003A6C3B" w:rsidRPr="005E0C95" w:rsidRDefault="003A6C3B" w:rsidP="003A6C3B">
      <w:pPr>
        <w:spacing w:line="240" w:lineRule="auto"/>
        <w:jc w:val="center"/>
      </w:pPr>
    </w:p>
    <w:p w14:paraId="5727E572" w14:textId="309A27BF" w:rsidR="003A6C3B" w:rsidRPr="005E0C95" w:rsidRDefault="003A6C3B" w:rsidP="003A6C3B">
      <w:pPr>
        <w:spacing w:line="240" w:lineRule="auto"/>
        <w:jc w:val="center"/>
      </w:pPr>
    </w:p>
    <w:tbl>
      <w:tblPr>
        <w:tblW w:w="0" w:type="auto"/>
        <w:tblLayout w:type="fixed"/>
        <w:tblLook w:val="0000" w:firstRow="0" w:lastRow="0" w:firstColumn="0" w:lastColumn="0" w:noHBand="0" w:noVBand="0"/>
      </w:tblPr>
      <w:tblGrid>
        <w:gridCol w:w="4680"/>
        <w:gridCol w:w="4680"/>
      </w:tblGrid>
      <w:tr w:rsidR="003A6C3B" w:rsidRPr="005E0C95" w14:paraId="46F50E0A" w14:textId="77777777" w:rsidTr="003A6C3B">
        <w:tc>
          <w:tcPr>
            <w:tcW w:w="4680" w:type="dxa"/>
            <w:tcBorders>
              <w:right w:val="single" w:sz="4" w:space="0" w:color="auto"/>
            </w:tcBorders>
            <w:shd w:val="clear" w:color="auto" w:fill="auto"/>
          </w:tcPr>
          <w:p w14:paraId="6C51ECAC" w14:textId="77777777" w:rsidR="003A6C3B" w:rsidRPr="005E0C95" w:rsidRDefault="003A6C3B" w:rsidP="003A6C3B">
            <w:pPr>
              <w:spacing w:line="240" w:lineRule="auto"/>
            </w:pPr>
            <w:r w:rsidRPr="005E0C95">
              <w:t>ONECIMO SIERRA SUAREZ,</w:t>
            </w:r>
          </w:p>
          <w:p w14:paraId="504A2412" w14:textId="77777777" w:rsidR="003A6C3B" w:rsidRPr="005E0C95" w:rsidRDefault="003A6C3B" w:rsidP="003A6C3B">
            <w:pPr>
              <w:spacing w:line="240" w:lineRule="auto"/>
            </w:pPr>
          </w:p>
          <w:p w14:paraId="257253B5" w14:textId="77777777" w:rsidR="003A6C3B" w:rsidRPr="005E0C95" w:rsidRDefault="003A6C3B" w:rsidP="003A6C3B">
            <w:pPr>
              <w:spacing w:line="240" w:lineRule="auto"/>
            </w:pPr>
            <w:r w:rsidRPr="005E0C95">
              <w:tab/>
              <w:t>Petitioner,</w:t>
            </w:r>
          </w:p>
          <w:p w14:paraId="2116CB00" w14:textId="77777777" w:rsidR="003A6C3B" w:rsidRPr="005E0C95" w:rsidRDefault="003A6C3B" w:rsidP="003A6C3B">
            <w:pPr>
              <w:spacing w:line="240" w:lineRule="auto"/>
            </w:pPr>
          </w:p>
          <w:p w14:paraId="0A384B23" w14:textId="77777777" w:rsidR="003A6C3B" w:rsidRPr="005E0C95" w:rsidRDefault="003A6C3B" w:rsidP="003A6C3B">
            <w:pPr>
              <w:spacing w:line="240" w:lineRule="auto"/>
            </w:pPr>
            <w:r w:rsidRPr="005E0C95">
              <w:tab/>
              <w:t>v.</w:t>
            </w:r>
          </w:p>
          <w:p w14:paraId="279519C4" w14:textId="77777777" w:rsidR="003A6C3B" w:rsidRPr="005E0C95" w:rsidRDefault="003A6C3B" w:rsidP="003A6C3B">
            <w:pPr>
              <w:spacing w:line="240" w:lineRule="auto"/>
            </w:pPr>
          </w:p>
          <w:p w14:paraId="6FB8F29E" w14:textId="77777777" w:rsidR="003A6C3B" w:rsidRPr="005E0C95" w:rsidRDefault="003A6C3B" w:rsidP="003A6C3B">
            <w:pPr>
              <w:spacing w:line="240" w:lineRule="auto"/>
            </w:pPr>
            <w:r w:rsidRPr="005E0C95">
              <w:t>THE SUPERIOR COURT OF SAN DIEGO COUNTY,</w:t>
            </w:r>
          </w:p>
          <w:p w14:paraId="36924852" w14:textId="77777777" w:rsidR="003A6C3B" w:rsidRPr="005E0C95" w:rsidRDefault="003A6C3B" w:rsidP="003A6C3B">
            <w:pPr>
              <w:spacing w:line="240" w:lineRule="auto"/>
            </w:pPr>
          </w:p>
          <w:p w14:paraId="446CC325" w14:textId="77777777" w:rsidR="003A6C3B" w:rsidRPr="005E0C95" w:rsidRDefault="003A6C3B" w:rsidP="003A6C3B">
            <w:pPr>
              <w:spacing w:line="240" w:lineRule="auto"/>
            </w:pPr>
            <w:r w:rsidRPr="005E0C95">
              <w:tab/>
              <w:t>Respondent;</w:t>
            </w:r>
          </w:p>
          <w:p w14:paraId="2896EBAA" w14:textId="3E4A535C" w:rsidR="003A6C3B" w:rsidRPr="005E0C95" w:rsidRDefault="003A6C3B" w:rsidP="003A6C3B">
            <w:pPr>
              <w:spacing w:line="240" w:lineRule="auto"/>
            </w:pPr>
          </w:p>
        </w:tc>
        <w:tc>
          <w:tcPr>
            <w:tcW w:w="4680" w:type="dxa"/>
            <w:tcBorders>
              <w:left w:val="single" w:sz="4" w:space="0" w:color="auto"/>
            </w:tcBorders>
            <w:shd w:val="clear" w:color="auto" w:fill="auto"/>
          </w:tcPr>
          <w:p w14:paraId="4A38C3A5" w14:textId="77777777" w:rsidR="003A6C3B" w:rsidRPr="005E0C95" w:rsidRDefault="003A6C3B" w:rsidP="003A6C3B">
            <w:pPr>
              <w:spacing w:line="240" w:lineRule="auto"/>
            </w:pPr>
            <w:r w:rsidRPr="005E0C95">
              <w:t xml:space="preserve">  D082429</w:t>
            </w:r>
          </w:p>
          <w:p w14:paraId="393394EC" w14:textId="77777777" w:rsidR="003A6C3B" w:rsidRPr="005E0C95" w:rsidRDefault="003A6C3B" w:rsidP="003A6C3B">
            <w:pPr>
              <w:spacing w:line="240" w:lineRule="auto"/>
            </w:pPr>
          </w:p>
          <w:p w14:paraId="01D01B7F" w14:textId="77777777" w:rsidR="00C10B82" w:rsidRPr="005E0C95" w:rsidRDefault="003A6C3B" w:rsidP="00C10B82">
            <w:pPr>
              <w:spacing w:line="240" w:lineRule="auto"/>
            </w:pPr>
            <w:r w:rsidRPr="005E0C95">
              <w:t xml:space="preserve">  </w:t>
            </w:r>
          </w:p>
          <w:p w14:paraId="5E23B8D7" w14:textId="77777777" w:rsidR="00C10B82" w:rsidRPr="005E0C95" w:rsidRDefault="00C10B82" w:rsidP="00C10B82">
            <w:pPr>
              <w:spacing w:line="240" w:lineRule="auto"/>
            </w:pPr>
          </w:p>
          <w:p w14:paraId="02EDDD68" w14:textId="77777777" w:rsidR="00C10B82" w:rsidRPr="005E0C95" w:rsidRDefault="00C10B82" w:rsidP="00C10B82">
            <w:pPr>
              <w:spacing w:line="240" w:lineRule="auto"/>
            </w:pPr>
            <w:r w:rsidRPr="005E0C95">
              <w:t xml:space="preserve">  </w:t>
            </w:r>
            <w:r w:rsidR="003A6C3B" w:rsidRPr="005E0C95">
              <w:t>(Super. Ct. No. 37-2022-00000615-</w:t>
            </w:r>
          </w:p>
          <w:p w14:paraId="40DBAFD3" w14:textId="70F6D87B" w:rsidR="003A6C3B" w:rsidRPr="005E0C95" w:rsidRDefault="00C10B82" w:rsidP="00C10B82">
            <w:pPr>
              <w:spacing w:line="240" w:lineRule="auto"/>
            </w:pPr>
            <w:r w:rsidRPr="005E0C95">
              <w:t xml:space="preserve">  </w:t>
            </w:r>
            <w:r w:rsidR="003A6C3B" w:rsidRPr="005E0C95">
              <w:t>CU-OE-CTL)</w:t>
            </w:r>
          </w:p>
        </w:tc>
      </w:tr>
      <w:tr w:rsidR="003A6C3B" w:rsidRPr="005E0C95" w14:paraId="7AED8BF4" w14:textId="77777777" w:rsidTr="003A6C3B">
        <w:tc>
          <w:tcPr>
            <w:tcW w:w="4680" w:type="dxa"/>
            <w:tcBorders>
              <w:bottom w:val="single" w:sz="4" w:space="0" w:color="auto"/>
              <w:right w:val="single" w:sz="4" w:space="0" w:color="auto"/>
            </w:tcBorders>
            <w:shd w:val="clear" w:color="auto" w:fill="auto"/>
          </w:tcPr>
          <w:p w14:paraId="2B3BC2C7" w14:textId="77777777" w:rsidR="003A6C3B" w:rsidRPr="005E0C95" w:rsidRDefault="003A6C3B" w:rsidP="003A6C3B">
            <w:pPr>
              <w:spacing w:line="240" w:lineRule="auto"/>
            </w:pPr>
            <w:r w:rsidRPr="005E0C95">
              <w:t>RUDOLPH &amp; SLETTEN, INC.,</w:t>
            </w:r>
          </w:p>
          <w:p w14:paraId="1D1A59B5" w14:textId="77777777" w:rsidR="003A6C3B" w:rsidRPr="005E0C95" w:rsidRDefault="003A6C3B" w:rsidP="003A6C3B">
            <w:pPr>
              <w:spacing w:line="240" w:lineRule="auto"/>
            </w:pPr>
          </w:p>
          <w:p w14:paraId="2D4C2EA9" w14:textId="77777777" w:rsidR="003A6C3B" w:rsidRPr="005E0C95" w:rsidRDefault="003A6C3B" w:rsidP="003A6C3B">
            <w:pPr>
              <w:spacing w:line="240" w:lineRule="auto"/>
            </w:pPr>
            <w:r w:rsidRPr="005E0C95">
              <w:tab/>
              <w:t>Real Party in Interest.</w:t>
            </w:r>
          </w:p>
          <w:p w14:paraId="42286E0C" w14:textId="187A77A2" w:rsidR="003A6C3B" w:rsidRPr="005E0C95" w:rsidRDefault="003A6C3B" w:rsidP="003A6C3B">
            <w:pPr>
              <w:spacing w:line="240" w:lineRule="auto"/>
            </w:pPr>
          </w:p>
        </w:tc>
        <w:tc>
          <w:tcPr>
            <w:tcW w:w="4680" w:type="dxa"/>
            <w:tcBorders>
              <w:left w:val="single" w:sz="4" w:space="0" w:color="auto"/>
            </w:tcBorders>
            <w:shd w:val="clear" w:color="auto" w:fill="auto"/>
          </w:tcPr>
          <w:p w14:paraId="2412A917" w14:textId="77777777" w:rsidR="003A6C3B" w:rsidRPr="005E0C95" w:rsidRDefault="003A6C3B" w:rsidP="003A6C3B">
            <w:pPr>
              <w:spacing w:line="240" w:lineRule="auto"/>
            </w:pPr>
          </w:p>
        </w:tc>
      </w:tr>
    </w:tbl>
    <w:p w14:paraId="24F3A25B" w14:textId="5EA6D4B2" w:rsidR="003A6C3B" w:rsidRPr="005E0C95" w:rsidRDefault="003A6C3B" w:rsidP="003A6C3B">
      <w:pPr>
        <w:spacing w:line="240" w:lineRule="auto"/>
      </w:pPr>
    </w:p>
    <w:p w14:paraId="050BE1C2" w14:textId="71711FFD" w:rsidR="00CA6034" w:rsidRPr="005E0C95" w:rsidRDefault="00FD76DD" w:rsidP="00C10B82">
      <w:r w:rsidRPr="005E0C95">
        <w:tab/>
      </w:r>
      <w:r w:rsidR="00752AA3" w:rsidRPr="005E0C95">
        <w:t>ORIGINAL PROCEEDING</w:t>
      </w:r>
      <w:r w:rsidR="00CA6034" w:rsidRPr="005E0C95">
        <w:t xml:space="preserve"> in mandate. </w:t>
      </w:r>
      <w:r w:rsidR="00734122" w:rsidRPr="005E0C95">
        <w:t xml:space="preserve"> </w:t>
      </w:r>
      <w:r w:rsidR="00CA6034" w:rsidRPr="005E0C95">
        <w:t>Kenneth J. Medel, Judge. Petition granted.</w:t>
      </w:r>
    </w:p>
    <w:p w14:paraId="31D5A293" w14:textId="1A1E2EE1" w:rsidR="00CA6034" w:rsidRPr="005E0C95" w:rsidRDefault="00FD76DD" w:rsidP="00C10B82">
      <w:r w:rsidRPr="005E0C95">
        <w:tab/>
      </w:r>
      <w:r w:rsidR="002523BC" w:rsidRPr="005E0C95">
        <w:t xml:space="preserve">Moon Law Group, </w:t>
      </w:r>
      <w:r w:rsidR="00CA6034" w:rsidRPr="005E0C95">
        <w:t xml:space="preserve">Kane Moon, Allen Feghali, and Edwin </w:t>
      </w:r>
      <w:r w:rsidR="00543C53">
        <w:t xml:space="preserve">M. </w:t>
      </w:r>
      <w:r w:rsidR="00CA6034" w:rsidRPr="005E0C95">
        <w:t>Kamarzarian, Attorneys for Petitioner.</w:t>
      </w:r>
    </w:p>
    <w:p w14:paraId="26929F26" w14:textId="0FA93A4C" w:rsidR="00345179" w:rsidRPr="005E0C95" w:rsidRDefault="00FD76DD" w:rsidP="00C10B82">
      <w:r w:rsidRPr="005E0C95">
        <w:tab/>
      </w:r>
      <w:r w:rsidR="00DB21A6" w:rsidRPr="005E0C95">
        <w:t xml:space="preserve">Nida &amp; Romyn, </w:t>
      </w:r>
      <w:r w:rsidR="00345179" w:rsidRPr="005E0C95">
        <w:t xml:space="preserve">Robert Nida, Matthew J. Luce, and William Schubert, Attorneys for Real Party in Interest. </w:t>
      </w:r>
    </w:p>
    <w:p w14:paraId="2967896F" w14:textId="04102CDD" w:rsidR="00285FEA" w:rsidRPr="005E0C95" w:rsidRDefault="00285FEA" w:rsidP="00285FEA">
      <w:pPr>
        <w:ind w:firstLine="720"/>
      </w:pPr>
      <w:r w:rsidRPr="005E0C95">
        <w:t>No appearance for Respondent.</w:t>
      </w:r>
    </w:p>
    <w:p w14:paraId="346B5229" w14:textId="3434869A" w:rsidR="00CA6034" w:rsidRPr="005E0C95" w:rsidRDefault="00FD76DD" w:rsidP="00C10B82">
      <w:r w:rsidRPr="005E0C95">
        <w:tab/>
      </w:r>
    </w:p>
    <w:p w14:paraId="56F913F6" w14:textId="77777777" w:rsidR="00345179" w:rsidRPr="005E0C95" w:rsidRDefault="00345179">
      <w:r w:rsidRPr="005E0C95">
        <w:br w:type="page"/>
      </w:r>
    </w:p>
    <w:p w14:paraId="7FB7CC3C" w14:textId="4A70D6D4" w:rsidR="000D2AF8" w:rsidRPr="005E0C95" w:rsidRDefault="00CA6034" w:rsidP="00C10B82">
      <w:r w:rsidRPr="005E0C95">
        <w:lastRenderedPageBreak/>
        <w:tab/>
      </w:r>
      <w:r w:rsidR="00973304" w:rsidRPr="005E0C95">
        <w:t xml:space="preserve">Concerned with the fairness of adhesion contracts in the consumer and employment context that require </w:t>
      </w:r>
      <w:r w:rsidR="00D26307" w:rsidRPr="005E0C95">
        <w:t xml:space="preserve">the </w:t>
      </w:r>
      <w:r w:rsidR="00973304" w:rsidRPr="005E0C95">
        <w:t xml:space="preserve">arbitration of disputes, beginning in 2019 the Legislature enacted protections against delays in the </w:t>
      </w:r>
      <w:r w:rsidR="009A0551" w:rsidRPr="005E0C95">
        <w:t xml:space="preserve">arbitration </w:t>
      </w:r>
      <w:r w:rsidR="00973304" w:rsidRPr="005E0C95">
        <w:t>process as a result of businesses and employers failing to pay the necessary fees before the arbitration c</w:t>
      </w:r>
      <w:r w:rsidR="00A30DEF" w:rsidRPr="005E0C95">
        <w:t>an</w:t>
      </w:r>
      <w:r w:rsidR="00973304" w:rsidRPr="005E0C95">
        <w:t xml:space="preserve"> proceed.  </w:t>
      </w:r>
      <w:r w:rsidR="009A0551" w:rsidRPr="005E0C95">
        <w:t>(Stats. 2019, ch</w:t>
      </w:r>
      <w:r w:rsidR="007D34C6">
        <w:t>.</w:t>
      </w:r>
      <w:r w:rsidR="009A0551" w:rsidRPr="005E0C95">
        <w:t>, 870 (S</w:t>
      </w:r>
      <w:r w:rsidR="00333F7D" w:rsidRPr="005E0C95">
        <w:t>en</w:t>
      </w:r>
      <w:r w:rsidR="009A0551" w:rsidRPr="005E0C95">
        <w:t>.</w:t>
      </w:r>
      <w:r w:rsidR="00333F7D" w:rsidRPr="005E0C95">
        <w:t xml:space="preserve"> </w:t>
      </w:r>
      <w:r w:rsidR="009A0551" w:rsidRPr="005E0C95">
        <w:t>B</w:t>
      </w:r>
      <w:r w:rsidR="00333F7D" w:rsidRPr="005E0C95">
        <w:t>ill</w:t>
      </w:r>
      <w:r w:rsidR="009A0551" w:rsidRPr="005E0C95">
        <w:t xml:space="preserve"> No. 707)</w:t>
      </w:r>
      <w:r w:rsidR="00D91C7B" w:rsidRPr="005E0C95">
        <w:t> § 1</w:t>
      </w:r>
      <w:r w:rsidR="009A0551" w:rsidRPr="005E0C95">
        <w:t xml:space="preserve">.)  </w:t>
      </w:r>
      <w:r w:rsidR="00973304" w:rsidRPr="005E0C95">
        <w:t xml:space="preserve">Amendments to these statutes in 2021 </w:t>
      </w:r>
      <w:r w:rsidR="002F46F5" w:rsidRPr="005E0C95">
        <w:t>(Stats. 2021, ch. 222 (</w:t>
      </w:r>
      <w:r w:rsidR="00477F0D">
        <w:t>Reg. Sess. 2021–2022</w:t>
      </w:r>
      <w:r w:rsidR="002F46F5" w:rsidRPr="005E0C95">
        <w:t xml:space="preserve">)) </w:t>
      </w:r>
      <w:r w:rsidR="00A30DEF" w:rsidRPr="005E0C95">
        <w:t>“</w:t>
      </w:r>
      <w:r w:rsidR="002F46F5" w:rsidRPr="005E0C95">
        <w:t>obligate a company or business [that] drafts an arbitration agreement to pay its share of arbitration fees by no later than 30 days after the date they are due, and specify that the failure to do so constitutes a ‘material breach of the arbitration agreement.’ ”  (</w:t>
      </w:r>
      <w:r w:rsidR="002F46F5" w:rsidRPr="005E0C95">
        <w:rPr>
          <w:i/>
          <w:iCs/>
        </w:rPr>
        <w:t>Gallo v. Wood Ranch USA, Inc.</w:t>
      </w:r>
      <w:r w:rsidR="002F46F5" w:rsidRPr="005E0C95">
        <w:t xml:space="preserve"> (2022) 81 Cal.App.5th 621, 629</w:t>
      </w:r>
      <w:r w:rsidR="00875937" w:rsidRPr="005E0C95">
        <w:t xml:space="preserve"> (</w:t>
      </w:r>
      <w:r w:rsidR="00875937" w:rsidRPr="005E0C95">
        <w:rPr>
          <w:i/>
          <w:iCs/>
        </w:rPr>
        <w:t>Gallo</w:t>
      </w:r>
      <w:r w:rsidR="00875937" w:rsidRPr="005E0C95">
        <w:t>)</w:t>
      </w:r>
      <w:r w:rsidR="002F46F5" w:rsidRPr="005E0C95">
        <w:t xml:space="preserve">.)  </w:t>
      </w:r>
      <w:r w:rsidR="00A30DEF" w:rsidRPr="005E0C95">
        <w:t xml:space="preserve">A material breach </w:t>
      </w:r>
      <w:r w:rsidR="005479FD" w:rsidRPr="005E0C95">
        <w:t xml:space="preserve">waives </w:t>
      </w:r>
      <w:r w:rsidR="00A30DEF" w:rsidRPr="005E0C95">
        <w:t>t</w:t>
      </w:r>
      <w:r w:rsidR="000D2AF8" w:rsidRPr="005E0C95">
        <w:t xml:space="preserve">he contractual right to arbitration and the consumer or employee </w:t>
      </w:r>
      <w:r w:rsidR="00A30DEF" w:rsidRPr="005E0C95">
        <w:t>i</w:t>
      </w:r>
      <w:r w:rsidR="000D2AF8" w:rsidRPr="005E0C95">
        <w:t>s permitted to litigate the dispute in court</w:t>
      </w:r>
      <w:r w:rsidR="00D26307" w:rsidRPr="005E0C95">
        <w:t xml:space="preserve"> if he or she so chooses</w:t>
      </w:r>
      <w:r w:rsidR="000D2AF8" w:rsidRPr="005E0C95">
        <w:t xml:space="preserve">. </w:t>
      </w:r>
    </w:p>
    <w:p w14:paraId="01B00732" w14:textId="020CF23F" w:rsidR="00CA6034" w:rsidRPr="005E0C95" w:rsidRDefault="00B97A8C" w:rsidP="00C10B82">
      <w:pPr>
        <w:ind w:firstLine="720"/>
      </w:pPr>
      <w:r w:rsidRPr="005E0C95">
        <w:t>After</w:t>
      </w:r>
      <w:r w:rsidR="000D2AF8" w:rsidRPr="005E0C95">
        <w:t xml:space="preserve"> plaintiff </w:t>
      </w:r>
      <w:r w:rsidR="00CA6034" w:rsidRPr="005E0C95">
        <w:t xml:space="preserve">Onecimo Sierra Suarez </w:t>
      </w:r>
      <w:r w:rsidR="000D2AF8" w:rsidRPr="005E0C95">
        <w:t>sued his employer for alleged wage</w:t>
      </w:r>
      <w:r w:rsidR="00D04711" w:rsidRPr="005E0C95">
        <w:t xml:space="preserve"> </w:t>
      </w:r>
      <w:r w:rsidR="000D2AF8" w:rsidRPr="005E0C95">
        <w:t>an</w:t>
      </w:r>
      <w:r w:rsidR="00D04711" w:rsidRPr="005E0C95">
        <w:t xml:space="preserve">d </w:t>
      </w:r>
      <w:r w:rsidR="000D2AF8" w:rsidRPr="005E0C95">
        <w:t xml:space="preserve">hour violations, the employer successfully moved to stay the court action and proceed to arbitration as provided in the employment agreement that the employer drafted.  </w:t>
      </w:r>
      <w:r w:rsidRPr="005E0C95">
        <w:t>When</w:t>
      </w:r>
      <w:r w:rsidR="00243004" w:rsidRPr="005E0C95">
        <w:t xml:space="preserve"> the employer waited more than 30 days to pay </w:t>
      </w:r>
      <w:r w:rsidR="00D26307" w:rsidRPr="005E0C95">
        <w:t>its</w:t>
      </w:r>
      <w:r w:rsidR="005479FD" w:rsidRPr="005E0C95">
        <w:t xml:space="preserve"> share of the</w:t>
      </w:r>
      <w:r w:rsidR="00243004" w:rsidRPr="005E0C95">
        <w:t xml:space="preserve"> arbitrator’s initial </w:t>
      </w:r>
      <w:r w:rsidR="00010FF5" w:rsidRPr="005E0C95">
        <w:t xml:space="preserve">filing </w:t>
      </w:r>
      <w:r w:rsidR="00243004" w:rsidRPr="005E0C95">
        <w:t xml:space="preserve">fee, Suarez </w:t>
      </w:r>
      <w:r w:rsidR="00D26307" w:rsidRPr="005E0C95">
        <w:t>unsuccessful</w:t>
      </w:r>
      <w:r w:rsidR="00C76DF7" w:rsidRPr="005E0C95">
        <w:t>ly</w:t>
      </w:r>
      <w:r w:rsidR="00752AA3" w:rsidRPr="005E0C95">
        <w:t xml:space="preserve"> </w:t>
      </w:r>
      <w:r w:rsidR="00EC2726" w:rsidRPr="005E0C95">
        <w:t xml:space="preserve">moved </w:t>
      </w:r>
      <w:r w:rsidR="00752AA3" w:rsidRPr="005E0C95">
        <w:t>to vacate the arbitration stay</w:t>
      </w:r>
      <w:r w:rsidR="00F40A1F" w:rsidRPr="005E0C95">
        <w:t>.  He now seeks writ relief directing the trial court to find that the employer has waived its right to arbitration</w:t>
      </w:r>
      <w:r w:rsidR="00752AA3" w:rsidRPr="005E0C95">
        <w:t xml:space="preserve"> pursuant to Code of Civil Procedure</w:t>
      </w:r>
      <w:r w:rsidR="00F40A1F" w:rsidRPr="005E0C95">
        <w:t xml:space="preserve"> sections 1281.97 et seq.</w:t>
      </w:r>
      <w:r w:rsidR="00752AA3" w:rsidRPr="005E0C95">
        <w:rPr>
          <w:rStyle w:val="FootnoteReference"/>
        </w:rPr>
        <w:footnoteReference w:id="1"/>
      </w:r>
      <w:r w:rsidR="00752AA3" w:rsidRPr="005E0C95">
        <w:t xml:space="preserve">  </w:t>
      </w:r>
      <w:r w:rsidR="00CA6034" w:rsidRPr="005E0C95">
        <w:t>We</w:t>
      </w:r>
      <w:r w:rsidR="00752AA3" w:rsidRPr="005E0C95">
        <w:t xml:space="preserve"> </w:t>
      </w:r>
      <w:r w:rsidR="00F40A1F" w:rsidRPr="005E0C95">
        <w:t xml:space="preserve">agree and </w:t>
      </w:r>
      <w:r w:rsidR="00752AA3" w:rsidRPr="005E0C95">
        <w:t>grant the petition.</w:t>
      </w:r>
      <w:r w:rsidR="00AE214D" w:rsidRPr="005E0C95">
        <w:t xml:space="preserve">  </w:t>
      </w:r>
    </w:p>
    <w:p w14:paraId="1CEB974B" w14:textId="198BF97B" w:rsidR="003A6C3B" w:rsidRPr="005E0C95" w:rsidRDefault="00F26444" w:rsidP="00FC7E3F">
      <w:pPr>
        <w:pStyle w:val="Heading1"/>
        <w:jc w:val="center"/>
        <w:rPr>
          <w:rFonts w:ascii="Century Schoolbook" w:hAnsi="Century Schoolbook"/>
          <w:b w:val="0"/>
          <w:bCs w:val="0"/>
          <w:sz w:val="26"/>
          <w:szCs w:val="26"/>
        </w:rPr>
      </w:pPr>
      <w:r w:rsidRPr="005E0C95">
        <w:rPr>
          <w:rFonts w:ascii="Century Schoolbook" w:hAnsi="Century Schoolbook"/>
          <w:b w:val="0"/>
          <w:bCs w:val="0"/>
          <w:sz w:val="26"/>
          <w:szCs w:val="26"/>
        </w:rPr>
        <w:lastRenderedPageBreak/>
        <w:t xml:space="preserve">FACTUAL AND PROCEDURAL </w:t>
      </w:r>
      <w:r w:rsidR="00CA6034" w:rsidRPr="005E0C95">
        <w:rPr>
          <w:rFonts w:ascii="Century Schoolbook" w:hAnsi="Century Schoolbook"/>
          <w:b w:val="0"/>
          <w:bCs w:val="0"/>
          <w:sz w:val="26"/>
          <w:szCs w:val="26"/>
        </w:rPr>
        <w:t>BACKGROUND</w:t>
      </w:r>
    </w:p>
    <w:p w14:paraId="6213C75A" w14:textId="3E4B3AEF" w:rsidR="00E81F4A" w:rsidRPr="005E0C95" w:rsidRDefault="00E81F4A" w:rsidP="00C10B82">
      <w:r w:rsidRPr="005E0C95">
        <w:tab/>
        <w:t xml:space="preserve">Suarez is the </w:t>
      </w:r>
      <w:r w:rsidR="008E38B3" w:rsidRPr="005E0C95">
        <w:t>plaintiff</w:t>
      </w:r>
      <w:r w:rsidRPr="005E0C95">
        <w:t xml:space="preserve"> in a </w:t>
      </w:r>
      <w:r w:rsidR="008E38B3" w:rsidRPr="005E0C95">
        <w:t xml:space="preserve">pending </w:t>
      </w:r>
      <w:r w:rsidRPr="005E0C95">
        <w:t xml:space="preserve">civil action in San Diego Superior Court. </w:t>
      </w:r>
      <w:r w:rsidR="00C86A35" w:rsidRPr="005E0C95">
        <w:t xml:space="preserve"> </w:t>
      </w:r>
      <w:r w:rsidR="00D34585" w:rsidRPr="005E0C95">
        <w:t>His</w:t>
      </w:r>
      <w:r w:rsidRPr="005E0C95">
        <w:t xml:space="preserve"> </w:t>
      </w:r>
      <w:r w:rsidR="00752AA3" w:rsidRPr="005E0C95">
        <w:t>claim asserts wage</w:t>
      </w:r>
      <w:r w:rsidR="00C76DF7" w:rsidRPr="005E0C95">
        <w:t xml:space="preserve"> </w:t>
      </w:r>
      <w:r w:rsidR="00752AA3" w:rsidRPr="005E0C95">
        <w:t>and</w:t>
      </w:r>
      <w:r w:rsidR="00C76DF7" w:rsidRPr="005E0C95">
        <w:t xml:space="preserve"> </w:t>
      </w:r>
      <w:r w:rsidR="00752AA3" w:rsidRPr="005E0C95">
        <w:t xml:space="preserve">hour violations against his former employer, </w:t>
      </w:r>
      <w:r w:rsidR="008E38B3" w:rsidRPr="005E0C95">
        <w:t>defendant</w:t>
      </w:r>
      <w:r w:rsidR="00A30DEF" w:rsidRPr="005E0C95">
        <w:t xml:space="preserve"> and real party</w:t>
      </w:r>
      <w:r w:rsidR="00752AA3" w:rsidRPr="005E0C95">
        <w:t xml:space="preserve"> Rudolph &amp; Sletten, Inc. (R</w:t>
      </w:r>
      <w:r w:rsidR="009B7AF1" w:rsidRPr="005E0C95">
        <w:t>&amp;S</w:t>
      </w:r>
      <w:r w:rsidR="00752AA3" w:rsidRPr="005E0C95">
        <w:t>)</w:t>
      </w:r>
      <w:r w:rsidR="008E1905" w:rsidRPr="005E0C95">
        <w:t>.</w:t>
      </w:r>
      <w:r w:rsidR="005C5890" w:rsidRPr="005E0C95">
        <w:t xml:space="preserve"> </w:t>
      </w:r>
      <w:r w:rsidR="00752AA3" w:rsidRPr="005E0C95">
        <w:t xml:space="preserve"> </w:t>
      </w:r>
      <w:r w:rsidR="00B97A8C" w:rsidRPr="005E0C95">
        <w:t>In late</w:t>
      </w:r>
      <w:r w:rsidR="008E38B3" w:rsidRPr="005E0C95">
        <w:t xml:space="preserve"> October 2022, </w:t>
      </w:r>
      <w:r w:rsidR="00D26307" w:rsidRPr="005E0C95">
        <w:t xml:space="preserve">on R&amp;S’s motion, </w:t>
      </w:r>
      <w:r w:rsidR="008E38B3" w:rsidRPr="005E0C95">
        <w:t>the superior court</w:t>
      </w:r>
      <w:r w:rsidR="00752AA3" w:rsidRPr="005E0C95">
        <w:t xml:space="preserve"> stayed the action and ordered the parties to arbitration.</w:t>
      </w:r>
      <w:r w:rsidR="00D26307" w:rsidRPr="005E0C95">
        <w:t xml:space="preserve"> </w:t>
      </w:r>
      <w:r w:rsidR="00752AA3" w:rsidRPr="005E0C95">
        <w:t xml:space="preserve"> </w:t>
      </w:r>
      <w:r w:rsidR="008E38B3" w:rsidRPr="005E0C95">
        <w:t>T</w:t>
      </w:r>
      <w:r w:rsidR="00B97A8C" w:rsidRPr="005E0C95">
        <w:t>hen</w:t>
      </w:r>
      <w:r w:rsidR="008E38B3" w:rsidRPr="005E0C95">
        <w:t>, i</w:t>
      </w:r>
      <w:r w:rsidR="00915B59" w:rsidRPr="005E0C95">
        <w:t>n accordance with that order, Suarez filed his demand for arbitration</w:t>
      </w:r>
      <w:r w:rsidR="009B7AF1" w:rsidRPr="005E0C95">
        <w:t>,</w:t>
      </w:r>
      <w:r w:rsidR="00D42F59" w:rsidRPr="005E0C95">
        <w:t xml:space="preserve"> initiat</w:t>
      </w:r>
      <w:r w:rsidR="009B7AF1" w:rsidRPr="005E0C95">
        <w:t>ing</w:t>
      </w:r>
      <w:r w:rsidR="00D42F59" w:rsidRPr="005E0C95">
        <w:t xml:space="preserve"> </w:t>
      </w:r>
      <w:r w:rsidR="009B7AF1" w:rsidRPr="005E0C95">
        <w:t>the</w:t>
      </w:r>
      <w:r w:rsidR="00D42F59" w:rsidRPr="005E0C95">
        <w:t xml:space="preserve"> arbitration </w:t>
      </w:r>
      <w:r w:rsidR="00BE04E3" w:rsidRPr="005E0C95">
        <w:t>proceeding</w:t>
      </w:r>
      <w:r w:rsidR="00915B59" w:rsidRPr="005E0C95">
        <w:t>.</w:t>
      </w:r>
      <w:r w:rsidR="00D26307" w:rsidRPr="005E0C95">
        <w:t xml:space="preserve"> </w:t>
      </w:r>
    </w:p>
    <w:p w14:paraId="1CF1BE78" w14:textId="22BD3F1C" w:rsidR="00010FF5" w:rsidRPr="005E0C95" w:rsidRDefault="00A32309" w:rsidP="00C10B82">
      <w:r w:rsidRPr="005E0C95">
        <w:tab/>
      </w:r>
      <w:r w:rsidR="009B7AF1" w:rsidRPr="005E0C95">
        <w:t xml:space="preserve">Less than a month later, on December 2, </w:t>
      </w:r>
      <w:r w:rsidR="00B97A8C" w:rsidRPr="005E0C95">
        <w:t xml:space="preserve">2022, </w:t>
      </w:r>
      <w:r w:rsidR="009B7AF1" w:rsidRPr="005E0C95">
        <w:t>t</w:t>
      </w:r>
      <w:r w:rsidR="00BB3021" w:rsidRPr="005E0C95">
        <w:t xml:space="preserve">he </w:t>
      </w:r>
      <w:r w:rsidR="008E0CB6" w:rsidRPr="005E0C95">
        <w:t>arbitration</w:t>
      </w:r>
      <w:r w:rsidR="00BB3021" w:rsidRPr="005E0C95">
        <w:t xml:space="preserve"> provider, </w:t>
      </w:r>
      <w:r w:rsidR="00D34585" w:rsidRPr="005E0C95">
        <w:t>JAMS</w:t>
      </w:r>
      <w:r w:rsidR="00BB3021" w:rsidRPr="005E0C95">
        <w:t>,</w:t>
      </w:r>
      <w:r w:rsidR="00166B0D" w:rsidRPr="005E0C95">
        <w:t xml:space="preserve"> Inc.</w:t>
      </w:r>
      <w:r w:rsidR="00C86A35" w:rsidRPr="005E0C95">
        <w:rPr>
          <w:rStyle w:val="FootnoteReference"/>
        </w:rPr>
        <w:footnoteReference w:id="2"/>
      </w:r>
      <w:r w:rsidR="00D34585" w:rsidRPr="005E0C95">
        <w:t xml:space="preserve"> issued an </w:t>
      </w:r>
      <w:r w:rsidR="00A30DEF" w:rsidRPr="005E0C95">
        <w:t>e</w:t>
      </w:r>
      <w:r w:rsidR="001C3142" w:rsidRPr="005E0C95">
        <w:t>-</w:t>
      </w:r>
      <w:r w:rsidR="00A30DEF" w:rsidRPr="005E0C95">
        <w:t xml:space="preserve">mail </w:t>
      </w:r>
      <w:r w:rsidR="00D34585" w:rsidRPr="005E0C95">
        <w:t xml:space="preserve">invoice </w:t>
      </w:r>
      <w:r w:rsidR="00010FF5" w:rsidRPr="005E0C95">
        <w:t xml:space="preserve">for the initial filing fee </w:t>
      </w:r>
      <w:r w:rsidR="00F26444" w:rsidRPr="005E0C95">
        <w:t>to Suarez and R</w:t>
      </w:r>
      <w:r w:rsidR="009B7AF1" w:rsidRPr="005E0C95">
        <w:t>&amp;S</w:t>
      </w:r>
      <w:r w:rsidR="00F26444" w:rsidRPr="005E0C95">
        <w:t xml:space="preserve"> </w:t>
      </w:r>
      <w:r w:rsidR="00D34585" w:rsidRPr="005E0C95">
        <w:t>marked, “due upon receipt</w:t>
      </w:r>
      <w:r w:rsidR="009B7AF1" w:rsidRPr="005E0C95">
        <w:t>.</w:t>
      </w:r>
      <w:r w:rsidR="00D34585" w:rsidRPr="005E0C95">
        <w:t>”</w:t>
      </w:r>
      <w:r w:rsidR="009B7AF1" w:rsidRPr="005E0C95">
        <w:t xml:space="preserve"> </w:t>
      </w:r>
      <w:r w:rsidR="00D34585" w:rsidRPr="005E0C95">
        <w:t xml:space="preserve"> </w:t>
      </w:r>
      <w:r w:rsidR="00010FF5" w:rsidRPr="005E0C95">
        <w:t xml:space="preserve">The total fee due was $1,750, allocated $400 to Suarez and $1,350 to R&amp;S.  </w:t>
      </w:r>
      <w:r w:rsidR="00D26645" w:rsidRPr="005E0C95">
        <w:t>Though it was not required, JAMS followed up on December 19, 2022 to request a status of payment.</w:t>
      </w:r>
      <w:r w:rsidR="00D26307" w:rsidRPr="005E0C95">
        <w:t xml:space="preserve"> </w:t>
      </w:r>
      <w:r w:rsidR="00D26645" w:rsidRPr="005E0C95">
        <w:t xml:space="preserve"> </w:t>
      </w:r>
      <w:r w:rsidR="00D34585" w:rsidRPr="005E0C95">
        <w:t>I</w:t>
      </w:r>
      <w:r w:rsidRPr="005E0C95">
        <w:t>t is undisputed that R</w:t>
      </w:r>
      <w:r w:rsidR="009B7AF1" w:rsidRPr="005E0C95">
        <w:t>&amp;S</w:t>
      </w:r>
      <w:r w:rsidRPr="005E0C95">
        <w:t xml:space="preserve"> </w:t>
      </w:r>
      <w:r w:rsidR="00D26307" w:rsidRPr="005E0C95">
        <w:t xml:space="preserve">did not </w:t>
      </w:r>
      <w:r w:rsidR="006E2594" w:rsidRPr="005E0C95">
        <w:t>pa</w:t>
      </w:r>
      <w:r w:rsidR="00D26307" w:rsidRPr="005E0C95">
        <w:t>y</w:t>
      </w:r>
      <w:r w:rsidR="006E2594" w:rsidRPr="005E0C95">
        <w:t xml:space="preserve"> </w:t>
      </w:r>
      <w:r w:rsidR="00010FF5" w:rsidRPr="005E0C95">
        <w:t xml:space="preserve">its share of </w:t>
      </w:r>
      <w:r w:rsidR="006E2594" w:rsidRPr="005E0C95">
        <w:t xml:space="preserve">the </w:t>
      </w:r>
      <w:r w:rsidR="009B7AF1" w:rsidRPr="005E0C95">
        <w:t xml:space="preserve">JAMS </w:t>
      </w:r>
      <w:r w:rsidR="006E2594" w:rsidRPr="005E0C95">
        <w:t xml:space="preserve">invoice </w:t>
      </w:r>
      <w:r w:rsidR="00D26307" w:rsidRPr="005E0C95">
        <w:t>until</w:t>
      </w:r>
      <w:r w:rsidR="006E2594" w:rsidRPr="005E0C95">
        <w:t xml:space="preserve"> January 4, 202</w:t>
      </w:r>
      <w:r w:rsidR="009B7AF1" w:rsidRPr="005E0C95">
        <w:t>3</w:t>
      </w:r>
      <w:r w:rsidR="006E2594" w:rsidRPr="005E0C95">
        <w:t>.</w:t>
      </w:r>
      <w:r w:rsidR="00D26307" w:rsidRPr="005E0C95">
        <w:t xml:space="preserve"> </w:t>
      </w:r>
      <w:r w:rsidR="006E2594" w:rsidRPr="005E0C95">
        <w:t xml:space="preserve"> </w:t>
      </w:r>
    </w:p>
    <w:p w14:paraId="6141F12C" w14:textId="397CF1A0" w:rsidR="00A32309" w:rsidRPr="005E0C95" w:rsidRDefault="00010FF5" w:rsidP="00C10B82">
      <w:r w:rsidRPr="005E0C95">
        <w:tab/>
      </w:r>
      <w:r w:rsidR="00D61AB5" w:rsidRPr="005E0C95">
        <w:t>Within the next t</w:t>
      </w:r>
      <w:r w:rsidR="00F06426" w:rsidRPr="005E0C95">
        <w:t xml:space="preserve">wo weeks </w:t>
      </w:r>
      <w:r w:rsidR="00D61AB5" w:rsidRPr="005E0C95">
        <w:t xml:space="preserve">both parties filed competing motions in the superior court.  R&amp;S sought to compel compliance with the court’s earlier arbitration order, while </w:t>
      </w:r>
      <w:r w:rsidR="00F06426" w:rsidRPr="005E0C95">
        <w:t>Suarez filed a motion to vacate the stay of his civil action</w:t>
      </w:r>
      <w:r w:rsidR="00D61AB5" w:rsidRPr="005E0C95">
        <w:t>.</w:t>
      </w:r>
      <w:r w:rsidR="00F06426" w:rsidRPr="005E0C95">
        <w:t xml:space="preserve"> </w:t>
      </w:r>
      <w:r w:rsidR="00D61AB5" w:rsidRPr="005E0C95">
        <w:t xml:space="preserve"> Suarez </w:t>
      </w:r>
      <w:r w:rsidR="00F06426" w:rsidRPr="005E0C95">
        <w:t>contend</w:t>
      </w:r>
      <w:r w:rsidR="00D61AB5" w:rsidRPr="005E0C95">
        <w:t>ed</w:t>
      </w:r>
      <w:r w:rsidR="00F06426" w:rsidRPr="005E0C95">
        <w:t xml:space="preserve"> that R&amp;S had waived its right to arbitrate the dispute by failing to pay its share of the arbitration filing fee within 30 days as required by section 1281.97.  R&amp;S </w:t>
      </w:r>
      <w:r w:rsidR="00D61AB5" w:rsidRPr="005E0C95">
        <w:t>disagreed</w:t>
      </w:r>
      <w:r w:rsidR="00F06426" w:rsidRPr="005E0C95">
        <w:t>, asserting that it had</w:t>
      </w:r>
      <w:r w:rsidR="0055301B" w:rsidRPr="005E0C95">
        <w:t xml:space="preserve"> </w:t>
      </w:r>
      <w:r w:rsidR="00295D53" w:rsidRPr="005E0C95">
        <w:t>until the close of business on January 5, 2022 to pay the invoice</w:t>
      </w:r>
      <w:r w:rsidR="00F06426" w:rsidRPr="005E0C95">
        <w:t>, making its January 4 payment timely</w:t>
      </w:r>
      <w:r w:rsidR="00295D53" w:rsidRPr="005E0C95">
        <w:t>.</w:t>
      </w:r>
      <w:r w:rsidR="00F06426" w:rsidRPr="005E0C95">
        <w:t xml:space="preserve"> </w:t>
      </w:r>
      <w:r w:rsidR="00295D53" w:rsidRPr="005E0C95">
        <w:t xml:space="preserve"> </w:t>
      </w:r>
      <w:r w:rsidR="00F06426" w:rsidRPr="005E0C95">
        <w:t xml:space="preserve">While conceding that </w:t>
      </w:r>
      <w:r w:rsidR="001525BE" w:rsidRPr="005E0C95">
        <w:t xml:space="preserve">its payment would normally have been due on </w:t>
      </w:r>
      <w:r w:rsidR="00F06426" w:rsidRPr="005E0C95">
        <w:t xml:space="preserve">January </w:t>
      </w:r>
      <w:r w:rsidR="001525BE" w:rsidRPr="005E0C95">
        <w:t>1</w:t>
      </w:r>
      <w:r w:rsidR="00F06426" w:rsidRPr="005E0C95">
        <w:t>, 2023</w:t>
      </w:r>
      <w:r w:rsidR="001525BE" w:rsidRPr="005E0C95">
        <w:t>—</w:t>
      </w:r>
      <w:r w:rsidR="00F06426" w:rsidRPr="005E0C95">
        <w:t xml:space="preserve">30 </w:t>
      </w:r>
      <w:r w:rsidR="001525BE" w:rsidRPr="005E0C95">
        <w:t xml:space="preserve">calendar </w:t>
      </w:r>
      <w:r w:rsidR="00F06426" w:rsidRPr="005E0C95">
        <w:t>days after December 2, 2022</w:t>
      </w:r>
      <w:r w:rsidR="001525BE" w:rsidRPr="005E0C95">
        <w:t>—</w:t>
      </w:r>
      <w:r w:rsidR="00F06426" w:rsidRPr="005E0C95">
        <w:t xml:space="preserve">R&amp;S argued that </w:t>
      </w:r>
      <w:r w:rsidR="001525BE" w:rsidRPr="005E0C95">
        <w:t xml:space="preserve">sections 12 and 1010.6 operated </w:t>
      </w:r>
      <w:r w:rsidR="00A30DEF" w:rsidRPr="005E0C95">
        <w:t xml:space="preserve">in tandem </w:t>
      </w:r>
      <w:r w:rsidR="001525BE" w:rsidRPr="005E0C95">
        <w:t xml:space="preserve">to </w:t>
      </w:r>
      <w:r w:rsidR="001525BE" w:rsidRPr="005E0C95">
        <w:rPr>
          <w:i/>
          <w:iCs/>
        </w:rPr>
        <w:t>extend</w:t>
      </w:r>
      <w:r w:rsidR="001525BE" w:rsidRPr="005E0C95">
        <w:t xml:space="preserve"> the due date until January 5.  The superior court agreed</w:t>
      </w:r>
      <w:r w:rsidR="00D61AB5" w:rsidRPr="005E0C95">
        <w:t xml:space="preserve"> </w:t>
      </w:r>
      <w:r w:rsidR="00D61AB5" w:rsidRPr="005E0C95">
        <w:lastRenderedPageBreak/>
        <w:t>with R&amp;S</w:t>
      </w:r>
      <w:r w:rsidR="00123F1E" w:rsidRPr="005E0C95">
        <w:t xml:space="preserve">, </w:t>
      </w:r>
      <w:r w:rsidR="00D61AB5" w:rsidRPr="005E0C95">
        <w:t>granting the motion to compel compliance with the existing arbitration order</w:t>
      </w:r>
      <w:r w:rsidR="001525BE" w:rsidRPr="005E0C95">
        <w:t xml:space="preserve"> and den</w:t>
      </w:r>
      <w:r w:rsidR="00D61AB5" w:rsidRPr="005E0C95">
        <w:t>ying</w:t>
      </w:r>
      <w:r w:rsidR="001525BE" w:rsidRPr="005E0C95">
        <w:t xml:space="preserve"> Suarez</w:t>
      </w:r>
      <w:r w:rsidR="00A30DEF" w:rsidRPr="005E0C95">
        <w:t>’s</w:t>
      </w:r>
      <w:r w:rsidR="001525BE" w:rsidRPr="005E0C95">
        <w:t xml:space="preserve"> motion to lift the stay.  We issued an order to show cause to review this issue of first impression</w:t>
      </w:r>
      <w:r w:rsidR="006E2594" w:rsidRPr="005E0C95">
        <w:t xml:space="preserve">. </w:t>
      </w:r>
    </w:p>
    <w:p w14:paraId="7514E2D9" w14:textId="49ECE37D" w:rsidR="00CA6034" w:rsidRPr="005E0C95" w:rsidRDefault="00CA6034" w:rsidP="00AB0412">
      <w:pPr>
        <w:pStyle w:val="Heading1"/>
        <w:spacing w:before="120" w:after="120"/>
        <w:jc w:val="center"/>
        <w:rPr>
          <w:rFonts w:ascii="Century Schoolbook" w:hAnsi="Century Schoolbook"/>
          <w:b w:val="0"/>
          <w:bCs w:val="0"/>
          <w:sz w:val="26"/>
          <w:szCs w:val="26"/>
        </w:rPr>
      </w:pPr>
      <w:r w:rsidRPr="005E0C95">
        <w:rPr>
          <w:rFonts w:ascii="Century Schoolbook" w:hAnsi="Century Schoolbook"/>
          <w:b w:val="0"/>
          <w:bCs w:val="0"/>
          <w:sz w:val="26"/>
          <w:szCs w:val="26"/>
        </w:rPr>
        <w:t>DISCUSSION</w:t>
      </w:r>
    </w:p>
    <w:p w14:paraId="6F003448" w14:textId="009C3F31" w:rsidR="00CE0E97" w:rsidRPr="005E0C95" w:rsidRDefault="00D42F59" w:rsidP="00C10B82">
      <w:r w:rsidRPr="005E0C95">
        <w:tab/>
      </w:r>
      <w:r w:rsidR="002646E1" w:rsidRPr="005E0C95">
        <w:t>The nub of th</w:t>
      </w:r>
      <w:r w:rsidR="00D26307" w:rsidRPr="005E0C95">
        <w:t>is</w:t>
      </w:r>
      <w:r w:rsidR="002646E1" w:rsidRPr="005E0C95">
        <w:t xml:space="preserve"> dispute is the calculation of a statutory deadline for payment of arbitration filing fees, and whether any failure to meet that deadline constituted a material breach of the arbitration agreement.  The superior court determined that the statutory deadline prescribed by section 1281.97 was extended by operation of other unrelated statutes such that R&amp;S made timely payment</w:t>
      </w:r>
      <w:r w:rsidR="005479FD" w:rsidRPr="005E0C95">
        <w:t xml:space="preserve">. </w:t>
      </w:r>
      <w:r w:rsidR="00D26307" w:rsidRPr="005E0C95">
        <w:t xml:space="preserve"> </w:t>
      </w:r>
      <w:r w:rsidR="002646E1" w:rsidRPr="005E0C95">
        <w:t>R&amp;S seeks to defend the court’s reasoning, but also argues that even if it missed the deadline, for various other reasons it was not in material breach of the arbitration agreement.</w:t>
      </w:r>
    </w:p>
    <w:p w14:paraId="754485DF" w14:textId="03D4A7B5" w:rsidR="00AB5482" w:rsidRPr="005E0C95" w:rsidRDefault="00CE0E97" w:rsidP="00AB0412">
      <w:pPr>
        <w:pStyle w:val="Heading2"/>
        <w:numPr>
          <w:ilvl w:val="0"/>
          <w:numId w:val="1"/>
        </w:numPr>
        <w:spacing w:before="120" w:after="240" w:line="240" w:lineRule="auto"/>
        <w:ind w:left="619"/>
        <w:rPr>
          <w:rFonts w:ascii="Century Schoolbook" w:hAnsi="Century Schoolbook"/>
          <w:b w:val="0"/>
          <w:bCs w:val="0"/>
          <w:sz w:val="26"/>
          <w:szCs w:val="26"/>
        </w:rPr>
      </w:pPr>
      <w:r w:rsidRPr="005E0C95">
        <w:rPr>
          <w:rFonts w:ascii="Century Schoolbook" w:hAnsi="Century Schoolbook"/>
          <w:b w:val="0"/>
          <w:bCs w:val="0"/>
          <w:sz w:val="26"/>
          <w:szCs w:val="26"/>
        </w:rPr>
        <w:t xml:space="preserve">The grace period for payment of arbitration fees by </w:t>
      </w:r>
      <w:r w:rsidR="00323642" w:rsidRPr="005E0C95">
        <w:rPr>
          <w:rFonts w:ascii="Century Schoolbook" w:hAnsi="Century Schoolbook"/>
          <w:b w:val="0"/>
          <w:bCs w:val="0"/>
          <w:sz w:val="26"/>
          <w:szCs w:val="26"/>
        </w:rPr>
        <w:t>R&amp;S was not extended to January 5, 2023</w:t>
      </w:r>
      <w:r w:rsidRPr="005E0C95">
        <w:rPr>
          <w:rFonts w:ascii="Century Schoolbook" w:hAnsi="Century Schoolbook"/>
          <w:b w:val="0"/>
          <w:bCs w:val="0"/>
          <w:sz w:val="26"/>
          <w:szCs w:val="26"/>
        </w:rPr>
        <w:t>.</w:t>
      </w:r>
      <w:r w:rsidR="00AB5482" w:rsidRPr="005E0C95">
        <w:rPr>
          <w:rFonts w:ascii="Century Schoolbook" w:hAnsi="Century Schoolbook"/>
          <w:b w:val="0"/>
          <w:bCs w:val="0"/>
          <w:sz w:val="26"/>
          <w:szCs w:val="26"/>
        </w:rPr>
        <w:t xml:space="preserve"> </w:t>
      </w:r>
    </w:p>
    <w:p w14:paraId="377CB212" w14:textId="2937D712" w:rsidR="00A1031D" w:rsidRPr="005E0C95" w:rsidRDefault="00AB5482" w:rsidP="00C10B82">
      <w:r w:rsidRPr="005E0C95">
        <w:tab/>
        <w:t>The Legislature enacted sections 1281.97 and 1281.98, recognizing that a “</w:t>
      </w:r>
      <w:r w:rsidR="00654047" w:rsidRPr="005E0C95">
        <w:t> ‘</w:t>
      </w:r>
      <w:r w:rsidRPr="005E0C95">
        <w:t>company’s failure to pay the fees of an arbitration provider</w:t>
      </w:r>
      <w:r w:rsidR="00654047" w:rsidRPr="005E0C95">
        <w:t>’ </w:t>
      </w:r>
      <w:r w:rsidRPr="005E0C95">
        <w:t xml:space="preserve">” </w:t>
      </w:r>
      <w:r w:rsidR="00BE04E3" w:rsidRPr="005E0C95">
        <w:t>in a timely manner</w:t>
      </w:r>
      <w:r w:rsidRPr="005E0C95">
        <w:t xml:space="preserve"> “</w:t>
      </w:r>
      <w:r w:rsidR="00676154" w:rsidRPr="005E0C95">
        <w:t> ‘</w:t>
      </w:r>
      <w:r w:rsidRPr="005E0C95">
        <w:t>hinder[ed] the efficient resolution of disputes and contravene[d] public policy.</w:t>
      </w:r>
      <w:r w:rsidR="00676154" w:rsidRPr="005E0C95">
        <w:t>’ ”</w:t>
      </w:r>
      <w:r w:rsidRPr="005E0C95">
        <w:rPr>
          <w:rStyle w:val="FootnoteReference"/>
        </w:rPr>
        <w:footnoteReference w:id="3"/>
      </w:r>
      <w:r w:rsidRPr="005E0C95">
        <w:t xml:space="preserve">  (</w:t>
      </w:r>
      <w:r w:rsidRPr="005E0C95">
        <w:rPr>
          <w:i/>
          <w:iCs/>
        </w:rPr>
        <w:t>De</w:t>
      </w:r>
      <w:r w:rsidR="00A82953" w:rsidRPr="005E0C95">
        <w:rPr>
          <w:i/>
          <w:iCs/>
        </w:rPr>
        <w:t> </w:t>
      </w:r>
      <w:r w:rsidRPr="005E0C95">
        <w:rPr>
          <w:i/>
          <w:iCs/>
        </w:rPr>
        <w:t xml:space="preserve">Leon v. Juanita’s Foods </w:t>
      </w:r>
      <w:r w:rsidRPr="005E0C95">
        <w:t>(2022) 85 Cal.App.5th 740, 750</w:t>
      </w:r>
      <w:r w:rsidR="00CE0E97" w:rsidRPr="005E0C95">
        <w:t xml:space="preserve"> (</w:t>
      </w:r>
      <w:r w:rsidR="00CE0E97" w:rsidRPr="005E0C95">
        <w:rPr>
          <w:i/>
          <w:iCs/>
        </w:rPr>
        <w:t>De</w:t>
      </w:r>
      <w:r w:rsidR="00A82953" w:rsidRPr="005E0C95">
        <w:rPr>
          <w:i/>
          <w:iCs/>
        </w:rPr>
        <w:t> </w:t>
      </w:r>
      <w:r w:rsidR="00CE0E97" w:rsidRPr="005E0C95">
        <w:rPr>
          <w:i/>
          <w:iCs/>
        </w:rPr>
        <w:t>Leon</w:t>
      </w:r>
      <w:r w:rsidR="00CE0E97" w:rsidRPr="005E0C95">
        <w:t>)</w:t>
      </w:r>
      <w:r w:rsidRPr="005E0C95">
        <w:t xml:space="preserve">.) </w:t>
      </w:r>
      <w:r w:rsidR="00A1031D" w:rsidRPr="005E0C95">
        <w:t xml:space="preserve"> </w:t>
      </w:r>
      <w:r w:rsidR="00EC4B3D" w:rsidRPr="005E0C95">
        <w:t>Section 1281.97</w:t>
      </w:r>
      <w:r w:rsidR="00A1031D" w:rsidRPr="005E0C95">
        <w:t xml:space="preserve"> require</w:t>
      </w:r>
      <w:r w:rsidR="00EC4B3D" w:rsidRPr="005E0C95">
        <w:t>s</w:t>
      </w:r>
      <w:r w:rsidR="00A1031D" w:rsidRPr="005E0C95">
        <w:t xml:space="preserve"> that the provider transmit an invoice to the parties specifying “the full amount owed and the date that payment is due,” generally indicating the invoice is “due on receipt.”  (</w:t>
      </w:r>
      <w:r w:rsidR="00132957" w:rsidRPr="005E0C95">
        <w:rPr>
          <w:i/>
          <w:iCs/>
        </w:rPr>
        <w:t>Id.</w:t>
      </w:r>
      <w:r w:rsidR="00A1031D" w:rsidRPr="005E0C95">
        <w:t xml:space="preserve">, subd. (a)(2).)  </w:t>
      </w:r>
      <w:r w:rsidR="00EC4B3D" w:rsidRPr="005E0C95">
        <w:lastRenderedPageBreak/>
        <w:t>It</w:t>
      </w:r>
      <w:r w:rsidR="00406ADD">
        <w:t> </w:t>
      </w:r>
      <w:r w:rsidR="00A1031D" w:rsidRPr="005E0C95">
        <w:t>also allow</w:t>
      </w:r>
      <w:r w:rsidR="00EC4B3D" w:rsidRPr="005E0C95">
        <w:t>s</w:t>
      </w:r>
      <w:r w:rsidR="00A1031D" w:rsidRPr="005E0C95">
        <w:t xml:space="preserve"> a grace period for payment of “30 days after the due date.”  (</w:t>
      </w:r>
      <w:r w:rsidR="00CF7758" w:rsidRPr="005E0C95">
        <w:rPr>
          <w:i/>
          <w:iCs/>
        </w:rPr>
        <w:t>Id.</w:t>
      </w:r>
      <w:r w:rsidR="00A1031D" w:rsidRPr="005E0C95">
        <w:t>,</w:t>
      </w:r>
      <w:r w:rsidR="003F6E3C">
        <w:t> </w:t>
      </w:r>
      <w:r w:rsidR="00A1031D" w:rsidRPr="005E0C95">
        <w:t xml:space="preserve">subd. (a)(1).)  </w:t>
      </w:r>
    </w:p>
    <w:p w14:paraId="4F4A1003" w14:textId="6CBCBFBE" w:rsidR="00CE0E97" w:rsidRPr="005E0C95" w:rsidRDefault="00AB5482" w:rsidP="00C10B82">
      <w:pPr>
        <w:spacing w:before="240"/>
        <w:ind w:firstLine="720"/>
      </w:pPr>
      <w:r w:rsidRPr="005E0C95">
        <w:t xml:space="preserve">This legislation was aimed at a very specific problem—the “procedural limbo and delay workers and consumers face when they submit to arbitration, pursuant to a mandatory arbitration agreement, but the employer fails or refuses to pay their share of the arbitration fees.” </w:t>
      </w:r>
      <w:r w:rsidR="00B43067" w:rsidRPr="005E0C95">
        <w:t xml:space="preserve">(Assem. Com. on Judiciary, Analysis of Sen. Bill No. 707 (2019–2020 Reg. Sess.) as amended May 20, 2019, p. </w:t>
      </w:r>
      <w:r w:rsidR="004E6874" w:rsidRPr="005E0C95">
        <w:t>11</w:t>
      </w:r>
      <w:r w:rsidR="00B43067" w:rsidRPr="005E0C95">
        <w:t xml:space="preserve"> (Assembly Report).)  </w:t>
      </w:r>
      <w:r w:rsidRPr="005E0C95">
        <w:t xml:space="preserve">Prior to the enactment, state law </w:t>
      </w:r>
      <w:r w:rsidR="009340DF" w:rsidRPr="005E0C95">
        <w:t xml:space="preserve">did </w:t>
      </w:r>
      <w:r w:rsidRPr="005E0C95">
        <w:t xml:space="preserve">“not provide clear guidance for courts and litigants in the event a drafting party fails to properly pay to commence arbitration in a timely manner.” </w:t>
      </w:r>
      <w:r w:rsidR="00EE79F0" w:rsidRPr="005E0C95">
        <w:t xml:space="preserve"> </w:t>
      </w:r>
      <w:r w:rsidRPr="005E0C95">
        <w:t>(</w:t>
      </w:r>
      <w:r w:rsidR="00B43067" w:rsidRPr="005E0C95">
        <w:rPr>
          <w:i/>
          <w:iCs/>
        </w:rPr>
        <w:t xml:space="preserve">Id., </w:t>
      </w:r>
      <w:r w:rsidR="00B43067" w:rsidRPr="005E0C95">
        <w:t xml:space="preserve">at </w:t>
      </w:r>
      <w:r w:rsidRPr="005E0C95">
        <w:t xml:space="preserve">p. 6.)  </w:t>
      </w:r>
      <w:r w:rsidR="00CE0E97" w:rsidRPr="005E0C95">
        <w:t>“That problem was fixed with the ‘material breach and sanction provisions’ of the statute, which constitute a ‘strict yet reasonable method to ensure the timely adjudication of employee and consumer claims that are subject to arbitration.</w:t>
      </w:r>
      <w:r w:rsidR="00AF7309" w:rsidRPr="005E0C95">
        <w:t>’</w:t>
      </w:r>
      <w:r w:rsidR="00CE0E97" w:rsidRPr="005E0C95">
        <w:t xml:space="preserve"> ”  </w:t>
      </w:r>
      <w:r w:rsidR="000E28A8" w:rsidRPr="005E0C95">
        <w:t>(</w:t>
      </w:r>
      <w:r w:rsidR="00CE0E97" w:rsidRPr="005E0C95">
        <w:rPr>
          <w:i/>
          <w:iCs/>
        </w:rPr>
        <w:t>De Leon, supra,</w:t>
      </w:r>
      <w:r w:rsidR="00CE0E97" w:rsidRPr="005E0C95">
        <w:t xml:space="preserve"> 85 Cal.App.5th at p. 757, quoting Assembly Report</w:t>
      </w:r>
      <w:r w:rsidR="006A0799" w:rsidRPr="005E0C95">
        <w:t>,</w:t>
      </w:r>
      <w:r w:rsidR="00CE0E97" w:rsidRPr="005E0C95">
        <w:t xml:space="preserve"> at p. 9</w:t>
      </w:r>
      <w:r w:rsidR="000E28A8" w:rsidRPr="005E0C95">
        <w:t xml:space="preserve">; see also </w:t>
      </w:r>
      <w:r w:rsidR="000E28A8" w:rsidRPr="005E0C95">
        <w:rPr>
          <w:i/>
          <w:iCs/>
        </w:rPr>
        <w:t>Doe v. Superior Court</w:t>
      </w:r>
      <w:r w:rsidR="000E28A8" w:rsidRPr="005E0C95">
        <w:t xml:space="preserve"> (2023) 95 Cal.App.5th 346, 357 (</w:t>
      </w:r>
      <w:r w:rsidR="000E28A8" w:rsidRPr="005E0C95">
        <w:rPr>
          <w:i/>
          <w:iCs/>
        </w:rPr>
        <w:t>Doe</w:t>
      </w:r>
      <w:r w:rsidR="000E28A8" w:rsidRPr="005E0C95">
        <w:t>).</w:t>
      </w:r>
      <w:r w:rsidR="000E28A8" w:rsidRPr="005E0C95">
        <w:rPr>
          <w:rStyle w:val="FootnoteReference"/>
        </w:rPr>
        <w:footnoteReference w:id="4"/>
      </w:r>
      <w:r w:rsidR="000E28A8" w:rsidRPr="005E0C95">
        <w:t xml:space="preserve">) </w:t>
      </w:r>
    </w:p>
    <w:p w14:paraId="3F4F71AB" w14:textId="1E01FE4A" w:rsidR="004A1775" w:rsidRPr="005E0C95" w:rsidRDefault="00CE0E97" w:rsidP="00C10B82">
      <w:r w:rsidRPr="005E0C95">
        <w:tab/>
        <w:t>R&amp;S does not take issue with</w:t>
      </w:r>
      <w:r w:rsidR="00154494" w:rsidRPr="005E0C95">
        <w:t xml:space="preserve"> the Legislature’s intent that the time limits in section 1281.97 be strictly enforced.  Rather, it contends that two different provisions of the Code of Civil Procedure operated to extend the 30-</w:t>
      </w:r>
      <w:r w:rsidR="00154494" w:rsidRPr="005E0C95">
        <w:lastRenderedPageBreak/>
        <w:t xml:space="preserve">day </w:t>
      </w:r>
      <w:r w:rsidR="00A1031D" w:rsidRPr="005E0C95">
        <w:t>grace period</w:t>
      </w:r>
      <w:r w:rsidR="00154494" w:rsidRPr="005E0C95">
        <w:t xml:space="preserve">.  </w:t>
      </w:r>
      <w:r w:rsidR="00A1031D" w:rsidRPr="005E0C95">
        <w:t xml:space="preserve">Agreeing that the </w:t>
      </w:r>
      <w:r w:rsidR="000E28A8" w:rsidRPr="005E0C95">
        <w:t xml:space="preserve">invoice </w:t>
      </w:r>
      <w:r w:rsidR="00A1031D" w:rsidRPr="005E0C95">
        <w:t>due date in this case was December 2, 2022, i</w:t>
      </w:r>
      <w:r w:rsidR="00154494" w:rsidRPr="005E0C95">
        <w:t xml:space="preserve">t first relies on section 12, which has the effect of extending </w:t>
      </w:r>
      <w:r w:rsidR="000E28A8" w:rsidRPr="005E0C95">
        <w:t>certain</w:t>
      </w:r>
      <w:r w:rsidR="00154494" w:rsidRPr="005E0C95">
        <w:t xml:space="preserve"> deadline</w:t>
      </w:r>
      <w:r w:rsidR="000E28A8" w:rsidRPr="005E0C95">
        <w:t>s that</w:t>
      </w:r>
      <w:r w:rsidR="00154494" w:rsidRPr="005E0C95">
        <w:t xml:space="preserve"> fall on a holiday.</w:t>
      </w:r>
      <w:r w:rsidR="00103E09" w:rsidRPr="005E0C95">
        <w:rPr>
          <w:rStyle w:val="FootnoteReference"/>
        </w:rPr>
        <w:footnoteReference w:id="5"/>
      </w:r>
      <w:r w:rsidR="00154494" w:rsidRPr="005E0C95">
        <w:t xml:space="preserve">  By R&amp;S’s calculation, because 30 days from December 2, 2022 would be January 1, 2023, and because both January 1 and 2 were holidays, the </w:t>
      </w:r>
      <w:r w:rsidR="000E28A8" w:rsidRPr="005E0C95">
        <w:t>grace period</w:t>
      </w:r>
      <w:r w:rsidR="00154494" w:rsidRPr="005E0C95">
        <w:t xml:space="preserve"> for payment was extended to January 3. </w:t>
      </w:r>
      <w:r w:rsidR="00103E09" w:rsidRPr="005E0C95">
        <w:t xml:space="preserve"> </w:t>
      </w:r>
    </w:p>
    <w:p w14:paraId="6E470847" w14:textId="2CC80992" w:rsidR="004A1775" w:rsidRPr="005E0C95" w:rsidRDefault="004A1775" w:rsidP="00C10B82">
      <w:pPr>
        <w:ind w:firstLine="720"/>
      </w:pPr>
      <w:r w:rsidRPr="005E0C95">
        <w:t>R&amp;S</w:t>
      </w:r>
      <w:r w:rsidR="00103E09" w:rsidRPr="005E0C95">
        <w:t xml:space="preserve"> then seeks to tack on an additional two days based on section </w:t>
      </w:r>
      <w:r w:rsidR="007F0747" w:rsidRPr="005E0C95">
        <w:t>1010.6</w:t>
      </w:r>
      <w:r w:rsidR="00103E09" w:rsidRPr="005E0C95">
        <w:t xml:space="preserve">, which deals with the electronic service of documents.  </w:t>
      </w:r>
      <w:r w:rsidRPr="005E0C95">
        <w:t>The first sentence of the section provides that “</w:t>
      </w:r>
      <w:r w:rsidR="00EC4B3D" w:rsidRPr="005E0C95">
        <w:t xml:space="preserve">[a] document may be served electronically </w:t>
      </w:r>
      <w:r w:rsidRPr="005E0C95">
        <w:t>in an action filed with the court as provided in this section</w:t>
      </w:r>
      <w:r w:rsidR="00EC4B3D" w:rsidRPr="005E0C95">
        <w:t>.</w:t>
      </w:r>
      <w:r w:rsidRPr="005E0C95">
        <w:t>”  (</w:t>
      </w:r>
      <w:r w:rsidR="007F0747" w:rsidRPr="005E0C95">
        <w:rPr>
          <w:i/>
          <w:iCs/>
        </w:rPr>
        <w:t>Id.</w:t>
      </w:r>
      <w:r w:rsidRPr="005E0C95">
        <w:t>, subd. (a).)  If</w:t>
      </w:r>
      <w:r w:rsidRPr="005E0C95">
        <w:rPr>
          <w:i/>
          <w:iCs/>
        </w:rPr>
        <w:t xml:space="preserve"> </w:t>
      </w:r>
      <w:r w:rsidR="00EC4B3D" w:rsidRPr="005E0C95">
        <w:t xml:space="preserve">such </w:t>
      </w:r>
      <w:r w:rsidRPr="005E0C95">
        <w:t>a document “may be served by mail, express mail, overnight delivery, or facsimile transmission, [then] electronic service of that document is deemed complete at the time of the electronic transmission of the document or at the time that the electronic notification of service of the document is sent.”  (</w:t>
      </w:r>
      <w:r w:rsidR="007F0747" w:rsidRPr="005E0C95">
        <w:rPr>
          <w:i/>
          <w:iCs/>
        </w:rPr>
        <w:t>Id.</w:t>
      </w:r>
      <w:r w:rsidRPr="005E0C95">
        <w:t>, subd. (a)(3)(A).)  At the same time, “any right or duty to do any act or make any response within any period . . . shall be extended after service by electronic means by two court days . . . .”  (</w:t>
      </w:r>
      <w:r w:rsidR="007F0747" w:rsidRPr="005E0C95">
        <w:rPr>
          <w:i/>
          <w:iCs/>
        </w:rPr>
        <w:t>Id.</w:t>
      </w:r>
      <w:r w:rsidRPr="005E0C95">
        <w:t>, subd. (a)(3)(B).)</w:t>
      </w:r>
    </w:p>
    <w:p w14:paraId="4868967A" w14:textId="77777777" w:rsidR="008F7D2E" w:rsidRDefault="00EC4B3D" w:rsidP="00A026F2">
      <w:pPr>
        <w:keepLines/>
        <w:ind w:firstLine="720"/>
      </w:pPr>
      <w:r w:rsidRPr="005E0C95">
        <w:t xml:space="preserve">It is this latter provision that R&amp;S focuses on.  It claims that </w:t>
      </w:r>
      <w:r w:rsidR="00103E09" w:rsidRPr="005E0C95">
        <w:t xml:space="preserve">the two-day extension provided for by subdivision (a)(3)(B) </w:t>
      </w:r>
      <w:r w:rsidR="00AB2368" w:rsidRPr="005E0C95">
        <w:t xml:space="preserve">of section 1010.6 </w:t>
      </w:r>
      <w:r w:rsidR="00103E09" w:rsidRPr="005E0C95">
        <w:t xml:space="preserve">is added at the </w:t>
      </w:r>
      <w:r w:rsidR="00103E09" w:rsidRPr="002B0F36">
        <w:t>end</w:t>
      </w:r>
      <w:r w:rsidR="00103E09" w:rsidRPr="005E0C95">
        <w:t xml:space="preserve"> of the section 12 extension to yield a </w:t>
      </w:r>
      <w:r w:rsidR="00A1031D" w:rsidRPr="005E0C95">
        <w:t>revised deadline</w:t>
      </w:r>
      <w:r w:rsidR="00103E09" w:rsidRPr="005E0C95">
        <w:t xml:space="preserve"> for the payment of arbitration fees of January 5</w:t>
      </w:r>
      <w:r w:rsidR="00934D28" w:rsidRPr="005E0C95">
        <w:t>, 2023</w:t>
      </w:r>
      <w:r w:rsidR="00103E09" w:rsidRPr="005E0C95">
        <w:t xml:space="preserve">.  Because </w:t>
      </w:r>
      <w:r w:rsidR="000E28A8" w:rsidRPr="005E0C95">
        <w:t>R&amp;S</w:t>
      </w:r>
      <w:r w:rsidR="00103E09" w:rsidRPr="005E0C95">
        <w:t xml:space="preserve"> made its payment to JAMS on January 4, </w:t>
      </w:r>
      <w:r w:rsidR="000E28A8" w:rsidRPr="005E0C95">
        <w:t>it</w:t>
      </w:r>
      <w:r w:rsidR="00742448" w:rsidRPr="005E0C95">
        <w:t> </w:t>
      </w:r>
      <w:r w:rsidR="00103E09" w:rsidRPr="005E0C95">
        <w:t xml:space="preserve">asserts </w:t>
      </w:r>
      <w:r w:rsidR="000E28A8" w:rsidRPr="005E0C95">
        <w:t>the payment</w:t>
      </w:r>
      <w:r w:rsidR="00103E09" w:rsidRPr="005E0C95">
        <w:t xml:space="preserve"> was timely.</w:t>
      </w:r>
      <w:r w:rsidR="00145103" w:rsidRPr="005E0C95">
        <w:t xml:space="preserve">  </w:t>
      </w:r>
    </w:p>
    <w:p w14:paraId="79290FEA" w14:textId="219D49B3" w:rsidR="00145103" w:rsidRPr="005E0C95" w:rsidRDefault="00AF78AA" w:rsidP="002B0F36">
      <w:pPr>
        <w:keepLines/>
        <w:ind w:firstLine="720"/>
      </w:pPr>
      <w:r w:rsidRPr="005E0C95">
        <w:lastRenderedPageBreak/>
        <w:t xml:space="preserve">We will assume without deciding that section 12 </w:t>
      </w:r>
      <w:r w:rsidR="0095615D" w:rsidRPr="005E0C95">
        <w:t>c</w:t>
      </w:r>
      <w:r w:rsidRPr="005E0C95">
        <w:t xml:space="preserve">ould </w:t>
      </w:r>
      <w:r w:rsidR="0095615D" w:rsidRPr="005E0C95">
        <w:t xml:space="preserve">potentially </w:t>
      </w:r>
      <w:r w:rsidRPr="005E0C95">
        <w:t xml:space="preserve">apply to extend the time for R&amp;S’s payment of arbitration fees </w:t>
      </w:r>
      <w:r w:rsidRPr="005E0C95">
        <w:rPr>
          <w:i/>
          <w:iCs/>
        </w:rPr>
        <w:t xml:space="preserve">if </w:t>
      </w:r>
      <w:r w:rsidRPr="005E0C95">
        <w:t xml:space="preserve">the </w:t>
      </w:r>
      <w:r w:rsidR="00A1031D" w:rsidRPr="005E0C95">
        <w:t>deadline</w:t>
      </w:r>
      <w:r w:rsidR="00EC4B3D" w:rsidRPr="005E0C95">
        <w:t xml:space="preserve"> for payment</w:t>
      </w:r>
      <w:r w:rsidRPr="005E0C95">
        <w:t xml:space="preserve"> fell on a “holiday.”  Even so, </w:t>
      </w:r>
      <w:r w:rsidR="008F7D2E">
        <w:t xml:space="preserve">the major </w:t>
      </w:r>
      <w:r w:rsidR="00145103" w:rsidRPr="005E0C95">
        <w:t xml:space="preserve">problem with R&amp;S’s argument is that section </w:t>
      </w:r>
      <w:r w:rsidR="007F0747" w:rsidRPr="005E0C95">
        <w:t>1010.6</w:t>
      </w:r>
      <w:r w:rsidR="00145103" w:rsidRPr="005E0C95">
        <w:t xml:space="preserve"> simply does not apply to the e</w:t>
      </w:r>
      <w:r w:rsidR="002E552E" w:rsidRPr="005E0C95">
        <w:t>-</w:t>
      </w:r>
      <w:r w:rsidR="00145103" w:rsidRPr="005E0C95">
        <w:t>mail transmission of a JAMS fee invoice.</w:t>
      </w:r>
      <w:r w:rsidR="009F3C67" w:rsidRPr="005E0C95">
        <w:rPr>
          <w:rStyle w:val="FootnoteReference"/>
        </w:rPr>
        <w:footnoteReference w:id="6"/>
      </w:r>
      <w:r w:rsidR="00145103" w:rsidRPr="005E0C95">
        <w:t xml:space="preserve">  </w:t>
      </w:r>
      <w:r w:rsidR="00EC4B3D" w:rsidRPr="005E0C95">
        <w:t>By</w:t>
      </w:r>
      <w:r w:rsidR="006549A6" w:rsidRPr="005E0C95">
        <w:t> </w:t>
      </w:r>
      <w:r w:rsidR="00EC4B3D" w:rsidRPr="005E0C95">
        <w:t xml:space="preserve">its terms, the statute </w:t>
      </w:r>
      <w:r w:rsidR="002130ED" w:rsidRPr="005E0C95">
        <w:t xml:space="preserve">governs </w:t>
      </w:r>
      <w:r w:rsidR="00EC4B3D" w:rsidRPr="005E0C95">
        <w:t xml:space="preserve">the </w:t>
      </w:r>
      <w:r w:rsidR="002130ED" w:rsidRPr="005E0C95">
        <w:rPr>
          <w:i/>
          <w:iCs/>
        </w:rPr>
        <w:t xml:space="preserve">service </w:t>
      </w:r>
      <w:r w:rsidR="002130ED" w:rsidRPr="005E0C95">
        <w:t xml:space="preserve">of documents </w:t>
      </w:r>
      <w:r w:rsidR="002130ED" w:rsidRPr="005E0C95">
        <w:rPr>
          <w:i/>
          <w:iCs/>
        </w:rPr>
        <w:t xml:space="preserve">in an action filed with the court.  </w:t>
      </w:r>
      <w:r w:rsidR="002130ED" w:rsidRPr="005E0C95">
        <w:t>An arbitration proceeding is not “an action filed with the court,” and the invoice required by section 1281.97 is “provided” to the parties but is not “served.”</w:t>
      </w:r>
    </w:p>
    <w:p w14:paraId="55AD7250" w14:textId="5C8545D5" w:rsidR="0067074C" w:rsidRPr="005E0C95" w:rsidRDefault="002130ED" w:rsidP="00C10B82">
      <w:r w:rsidRPr="005E0C95">
        <w:tab/>
        <w:t xml:space="preserve">That an arbitration proceeding is not a court action is axiomatic.  Private arbitration exists as an </w:t>
      </w:r>
      <w:r w:rsidRPr="005E0C95">
        <w:rPr>
          <w:i/>
          <w:iCs/>
        </w:rPr>
        <w:t xml:space="preserve">alternative </w:t>
      </w:r>
      <w:r w:rsidRPr="005E0C95">
        <w:t xml:space="preserve">to resolving disputes in the public court system.  </w:t>
      </w:r>
      <w:r w:rsidR="0067074C" w:rsidRPr="005E0C95">
        <w:t xml:space="preserve">(See </w:t>
      </w:r>
      <w:r w:rsidR="0067074C" w:rsidRPr="005E0C95">
        <w:rPr>
          <w:i/>
          <w:iCs/>
        </w:rPr>
        <w:t>Berglund v. Arthroscopic &amp; Laser Surgery Center of San Diego, L.P.</w:t>
      </w:r>
      <w:r w:rsidR="0067074C" w:rsidRPr="005E0C95">
        <w:t xml:space="preserve"> (2008) 44 Cal.4th 528, 539.)  Indeed, the parties’ agreement drafted by R&amp;S expressly reflects this understanding, stating that “[b]oth [R&amp;S] and [Suarez] understand that by using arbitration to resolve disputes they are giving up any right that they may have to a judge or jury trial with regard to all issues concerning employment.”  It goes on to explain that the “cost of the arbitrator and other incidental costs of arbitration </w:t>
      </w:r>
      <w:r w:rsidR="0067074C" w:rsidRPr="005E0C95">
        <w:rPr>
          <w:i/>
          <w:iCs/>
        </w:rPr>
        <w:t>that would not be incurred in a court proceeding</w:t>
      </w:r>
      <w:r w:rsidR="0067074C" w:rsidRPr="005E0C95">
        <w:t xml:space="preserve"> shall be borne by [R&amp;S].” (Italics added.) </w:t>
      </w:r>
      <w:r w:rsidR="0067074C" w:rsidRPr="005E0C95">
        <w:lastRenderedPageBreak/>
        <w:t>In</w:t>
      </w:r>
      <w:r w:rsidR="00141CE9">
        <w:t> </w:t>
      </w:r>
      <w:r w:rsidR="0067074C" w:rsidRPr="005E0C95">
        <w:t xml:space="preserve">characterizing the arbitration agreement as an </w:t>
      </w:r>
      <w:r w:rsidR="0067074C" w:rsidRPr="005E0C95">
        <w:rPr>
          <w:i/>
          <w:iCs/>
        </w:rPr>
        <w:t>alternative</w:t>
      </w:r>
      <w:r w:rsidR="0067074C" w:rsidRPr="005E0C95">
        <w:t xml:space="preserve"> to the use of a judicial forum, and in agreeing to cover the costs of an arbitration conducted </w:t>
      </w:r>
      <w:r w:rsidR="0067074C" w:rsidRPr="005E0C95">
        <w:rPr>
          <w:i/>
          <w:iCs/>
        </w:rPr>
        <w:t>in lieu of</w:t>
      </w:r>
      <w:r w:rsidR="0067074C" w:rsidRPr="005E0C95">
        <w:t xml:space="preserve"> a court proceeding, R&amp;S drew a stark line of delineation between arbitration and an action filed with the court.</w:t>
      </w:r>
      <w:r w:rsidR="001D6785" w:rsidRPr="005E0C95">
        <w:t xml:space="preserve">  Section </w:t>
      </w:r>
      <w:r w:rsidR="007F0747" w:rsidRPr="005E0C95">
        <w:t>1010.6</w:t>
      </w:r>
      <w:r w:rsidR="001D6785" w:rsidRPr="005E0C95">
        <w:t xml:space="preserve"> applies only to the latter.</w:t>
      </w:r>
    </w:p>
    <w:p w14:paraId="28BEC541" w14:textId="127AD90E" w:rsidR="00E32C83" w:rsidRPr="005E0C95" w:rsidRDefault="001D6785" w:rsidP="00C10B82">
      <w:r w:rsidRPr="005E0C95">
        <w:tab/>
        <w:t xml:space="preserve">Moreover, as we have noted, section </w:t>
      </w:r>
      <w:r w:rsidR="007F0747" w:rsidRPr="005E0C95">
        <w:t>1010.6</w:t>
      </w:r>
      <w:r w:rsidRPr="005E0C95">
        <w:t xml:space="preserve"> governs the electronic </w:t>
      </w:r>
      <w:r w:rsidRPr="005E0C95">
        <w:rPr>
          <w:i/>
          <w:iCs/>
        </w:rPr>
        <w:t>service</w:t>
      </w:r>
      <w:r w:rsidRPr="005E0C95">
        <w:t xml:space="preserve"> of documents.  “Service” is a legal term of art.  </w:t>
      </w:r>
      <w:r w:rsidR="00E32C83" w:rsidRPr="005E0C95">
        <w:t>(See generally</w:t>
      </w:r>
      <w:r w:rsidR="00B9761C" w:rsidRPr="005E0C95">
        <w:t xml:space="preserve"> </w:t>
      </w:r>
      <w:r w:rsidR="00E32C83" w:rsidRPr="005E0C95">
        <w:rPr>
          <w:i/>
          <w:iCs/>
        </w:rPr>
        <w:t>Sheppard v. Lightpost Museum Fund</w:t>
      </w:r>
      <w:r w:rsidR="00E32C83" w:rsidRPr="005E0C95">
        <w:t xml:space="preserve"> (2006) 146 Cal.App.4th 315, 323.)  </w:t>
      </w:r>
    </w:p>
    <w:p w14:paraId="03903F16" w14:textId="5BD3AC13" w:rsidR="00BF321D" w:rsidRPr="005E0C95" w:rsidRDefault="00926DF6" w:rsidP="00C10B82">
      <w:r w:rsidRPr="005E0C95">
        <w:t>Typically</w:t>
      </w:r>
      <w:r w:rsidR="00E32C83" w:rsidRPr="005E0C95">
        <w:t>,</w:t>
      </w:r>
      <w:r w:rsidRPr="005E0C95">
        <w:t xml:space="preserve"> it</w:t>
      </w:r>
      <w:r w:rsidR="00D92A5B" w:rsidRPr="005E0C95">
        <w:t xml:space="preserve"> involves sending service </w:t>
      </w:r>
      <w:r w:rsidR="00D92A5B" w:rsidRPr="005E0C95">
        <w:rPr>
          <w:i/>
          <w:iCs/>
        </w:rPr>
        <w:t xml:space="preserve">copies </w:t>
      </w:r>
      <w:r w:rsidR="00D92A5B" w:rsidRPr="005E0C95">
        <w:t xml:space="preserve">of documents filed with the court to opposing parties in the litigation.  </w:t>
      </w:r>
      <w:r w:rsidR="001D6785" w:rsidRPr="005E0C95">
        <w:t xml:space="preserve">Even if the service procedures of section </w:t>
      </w:r>
      <w:r w:rsidR="007F0747" w:rsidRPr="005E0C95">
        <w:t>1010.6</w:t>
      </w:r>
      <w:r w:rsidR="001D6785" w:rsidRPr="005E0C95">
        <w:t xml:space="preserve"> somehow </w:t>
      </w:r>
      <w:r w:rsidRPr="005E0C95">
        <w:t xml:space="preserve">extended </w:t>
      </w:r>
      <w:r w:rsidR="001D6785" w:rsidRPr="005E0C95">
        <w:t>to arbitration</w:t>
      </w:r>
      <w:r w:rsidRPr="005E0C95">
        <w:t>s in general</w:t>
      </w:r>
      <w:r w:rsidR="001D6785" w:rsidRPr="005E0C95">
        <w:t xml:space="preserve">, the document that R&amp;S seeks to apply it to is not something that is “served.”  </w:t>
      </w:r>
      <w:r w:rsidR="00D92A5B" w:rsidRPr="005E0C95">
        <w:t>It is an invoice—a</w:t>
      </w:r>
      <w:r w:rsidR="004D60A9" w:rsidRPr="005E0C95">
        <w:t> </w:t>
      </w:r>
      <w:r w:rsidR="00D92A5B" w:rsidRPr="005E0C95">
        <w:t xml:space="preserve">bill for anticipated services—that governs the economic relationship between the provider and the parties.  It is not a document filed with the court or, by analogy, the arbitrator.  </w:t>
      </w:r>
      <w:r w:rsidRPr="005E0C95">
        <w:t xml:space="preserve">Nothing in section 1281.97 </w:t>
      </w:r>
      <w:r w:rsidR="00504A3C" w:rsidRPr="005E0C95">
        <w:t xml:space="preserve">(or elsewhere in the </w:t>
      </w:r>
      <w:r w:rsidR="00AF7309" w:rsidRPr="005E0C95">
        <w:t>California Arbitration Act (CAA)</w:t>
      </w:r>
      <w:r w:rsidR="00504A3C" w:rsidRPr="005E0C95">
        <w:t xml:space="preserve">) </w:t>
      </w:r>
      <w:r w:rsidRPr="005E0C95">
        <w:t xml:space="preserve">says anything about the arbitration provider “serving” the invoice on the parties.  The statute merely requires the provider to “immediately </w:t>
      </w:r>
      <w:r w:rsidRPr="005E0C95">
        <w:rPr>
          <w:i/>
          <w:iCs/>
        </w:rPr>
        <w:t>provide</w:t>
      </w:r>
      <w:r w:rsidRPr="005E0C95">
        <w:t xml:space="preserve"> an invoice for any fees and costs . . . to all the parties to the arbitration.”  (§</w:t>
      </w:r>
      <w:r w:rsidR="00AF7309" w:rsidRPr="005E0C95">
        <w:t xml:space="preserve"> </w:t>
      </w:r>
      <w:r w:rsidRPr="005E0C95">
        <w:t xml:space="preserve">1281.97, subd. (a)(2).) </w:t>
      </w:r>
      <w:r w:rsidR="00E40973" w:rsidRPr="005E0C95">
        <w:t xml:space="preserve"> </w:t>
      </w:r>
      <w:r w:rsidR="00BE7FA5" w:rsidRPr="005E0C95">
        <w:tab/>
      </w:r>
      <w:r w:rsidR="001E65CE" w:rsidRPr="005E0C95">
        <w:t xml:space="preserve"> </w:t>
      </w:r>
    </w:p>
    <w:p w14:paraId="155610E6" w14:textId="64689EFA" w:rsidR="00BF321D" w:rsidRPr="005E0C95" w:rsidRDefault="00BF321D" w:rsidP="00F775F5">
      <w:pPr>
        <w:pStyle w:val="Heading2"/>
        <w:keepNext w:val="0"/>
        <w:numPr>
          <w:ilvl w:val="0"/>
          <w:numId w:val="1"/>
        </w:numPr>
        <w:spacing w:before="120" w:after="0" w:line="240" w:lineRule="auto"/>
        <w:ind w:left="619"/>
        <w:rPr>
          <w:rFonts w:ascii="Century Schoolbook" w:hAnsi="Century Schoolbook"/>
          <w:b w:val="0"/>
          <w:bCs w:val="0"/>
          <w:sz w:val="26"/>
          <w:szCs w:val="26"/>
        </w:rPr>
      </w:pPr>
      <w:r w:rsidRPr="005E0C95">
        <w:rPr>
          <w:rFonts w:ascii="Century Schoolbook" w:hAnsi="Century Schoolbook"/>
          <w:b w:val="0"/>
          <w:bCs w:val="0"/>
          <w:sz w:val="26"/>
          <w:szCs w:val="26"/>
        </w:rPr>
        <w:t>Section 1281.97 does not make a material breach by the employer contingent on any payment by the employee.</w:t>
      </w:r>
    </w:p>
    <w:p w14:paraId="6ECF6182" w14:textId="77777777" w:rsidR="00413C0A" w:rsidRPr="005E0C95" w:rsidRDefault="00413C0A" w:rsidP="00F775F5">
      <w:pPr>
        <w:spacing w:line="180" w:lineRule="auto"/>
        <w:rPr>
          <w:i/>
          <w:iCs/>
        </w:rPr>
      </w:pPr>
    </w:p>
    <w:p w14:paraId="4E26E8CD" w14:textId="54AF7BFE" w:rsidR="00E85BF3" w:rsidRPr="005E0C95" w:rsidRDefault="0074303E" w:rsidP="00D45931">
      <w:pPr>
        <w:spacing w:before="60"/>
      </w:pPr>
      <w:r w:rsidRPr="005E0C95">
        <w:tab/>
        <w:t xml:space="preserve">R&amp;S argues that because Suarez did not pay his portion of the initial arbitration fees, </w:t>
      </w:r>
      <w:r w:rsidR="00D443D7">
        <w:t>he</w:t>
      </w:r>
      <w:r w:rsidRPr="005E0C95">
        <w:t xml:space="preserve"> never properly </w:t>
      </w:r>
      <w:r w:rsidR="00D443D7">
        <w:t>“</w:t>
      </w:r>
      <w:r w:rsidR="00E810EF" w:rsidRPr="005E0C95">
        <w:t>initiate</w:t>
      </w:r>
      <w:r w:rsidR="00D443D7">
        <w:t>[</w:t>
      </w:r>
      <w:r w:rsidR="00E810EF" w:rsidRPr="005E0C95">
        <w:t>d</w:t>
      </w:r>
      <w:r w:rsidR="00D443D7">
        <w:t>] an arbitration” within the meaning of subdivision (a)(2)</w:t>
      </w:r>
      <w:r w:rsidRPr="005E0C95">
        <w:t xml:space="preserve"> and section 1281.97 </w:t>
      </w:r>
      <w:r w:rsidR="00D443D7">
        <w:t xml:space="preserve">therefore </w:t>
      </w:r>
      <w:r w:rsidRPr="005E0C95">
        <w:t xml:space="preserve">does not apply. </w:t>
      </w:r>
      <w:r w:rsidR="002A4E5E" w:rsidRPr="005E0C95">
        <w:t xml:space="preserve"> </w:t>
      </w:r>
      <w:r w:rsidR="00D443D7">
        <w:t xml:space="preserve">But by its express terms, the statute contemplates the employee complying with certain “filing requirements” to initiate the arbitration </w:t>
      </w:r>
      <w:r w:rsidR="00D443D7">
        <w:rPr>
          <w:i/>
          <w:iCs/>
        </w:rPr>
        <w:t xml:space="preserve">before </w:t>
      </w:r>
      <w:r w:rsidR="00D443D7">
        <w:t xml:space="preserve">the provider is obligated to send an invoice.  Necessarily, then, the arbitration is </w:t>
      </w:r>
      <w:r w:rsidR="00D443D7">
        <w:lastRenderedPageBreak/>
        <w:t>“initiated” before any fees are paid.  Moreover, a</w:t>
      </w:r>
      <w:r w:rsidR="005479FD" w:rsidRPr="005E0C95">
        <w:t xml:space="preserve">s </w:t>
      </w:r>
      <w:r w:rsidR="00FE0218" w:rsidRPr="005E0C95">
        <w:t xml:space="preserve">we have already </w:t>
      </w:r>
      <w:r w:rsidR="005479FD" w:rsidRPr="005E0C95">
        <w:t xml:space="preserve">discussed, </w:t>
      </w:r>
      <w:r w:rsidR="00885D8F" w:rsidRPr="005E0C95">
        <w:t xml:space="preserve"> </w:t>
      </w:r>
      <w:r w:rsidR="00FE0218" w:rsidRPr="005E0C95">
        <w:t>the focus</w:t>
      </w:r>
      <w:r w:rsidR="005479FD" w:rsidRPr="005E0C95">
        <w:t xml:space="preserve"> of section 1281.97 is </w:t>
      </w:r>
      <w:r w:rsidR="00D26645" w:rsidRPr="005E0C95">
        <w:t>unmistakably</w:t>
      </w:r>
      <w:r w:rsidR="00FE0218" w:rsidRPr="005E0C95">
        <w:t xml:space="preserve"> on employers and not employees. </w:t>
      </w:r>
      <w:r w:rsidR="007A2E0A" w:rsidRPr="005E0C95">
        <w:t xml:space="preserve"> (</w:t>
      </w:r>
      <w:r w:rsidR="007A2E0A" w:rsidRPr="005E0C95">
        <w:rPr>
          <w:i/>
          <w:iCs/>
        </w:rPr>
        <w:t>Doe, supra</w:t>
      </w:r>
      <w:r w:rsidR="007A2E0A" w:rsidRPr="005E0C95">
        <w:t>, 95 Cal.App.5th at p. 357</w:t>
      </w:r>
      <w:r w:rsidR="00FE0218" w:rsidRPr="005E0C95">
        <w:t xml:space="preserve"> [statutory purpose is to “deter </w:t>
      </w:r>
      <w:r w:rsidR="00FE0218" w:rsidRPr="005E0C95">
        <w:rPr>
          <w:i/>
          <w:iCs/>
        </w:rPr>
        <w:t>employers</w:t>
      </w:r>
      <w:r w:rsidR="00FE0218" w:rsidRPr="005E0C95">
        <w:t xml:space="preserve"> from strategically withholding payments of arbitration fees”</w:t>
      </w:r>
      <w:r w:rsidR="00D8784B" w:rsidRPr="005E0C95">
        <w:t xml:space="preserve"> (italics added.)</w:t>
      </w:r>
      <w:r w:rsidR="00FE0218" w:rsidRPr="005E0C95">
        <w:t>]</w:t>
      </w:r>
      <w:r w:rsidR="007A2E0A" w:rsidRPr="005E0C95">
        <w:t xml:space="preserve">.) </w:t>
      </w:r>
      <w:r w:rsidR="00D60942" w:rsidRPr="005E0C95">
        <w:t xml:space="preserve"> </w:t>
      </w:r>
      <w:r w:rsidR="002B6D9E" w:rsidRPr="005E0C95">
        <w:t>The plain language of the statute</w:t>
      </w:r>
      <w:r w:rsidR="00D60942" w:rsidRPr="005E0C95">
        <w:t xml:space="preserve"> does not </w:t>
      </w:r>
      <w:r w:rsidR="002B6D9E" w:rsidRPr="005E0C95">
        <w:t>say anything about</w:t>
      </w:r>
      <w:r w:rsidRPr="005E0C95">
        <w:t xml:space="preserve"> Suarez’s payment and does not c</w:t>
      </w:r>
      <w:r w:rsidR="00975562" w:rsidRPr="005E0C95">
        <w:t>reate penalties for employees who do not pay their share of the arbitration fees</w:t>
      </w:r>
      <w:r w:rsidRPr="005E0C95">
        <w:t xml:space="preserve">. </w:t>
      </w:r>
      <w:r w:rsidR="00D26645" w:rsidRPr="005E0C95">
        <w:t xml:space="preserve"> </w:t>
      </w:r>
      <w:r w:rsidRPr="005E0C95">
        <w:t xml:space="preserve">Instead, </w:t>
      </w:r>
      <w:r w:rsidR="00D26645" w:rsidRPr="005E0C95">
        <w:t>it</w:t>
      </w:r>
      <w:r w:rsidRPr="005E0C95">
        <w:t xml:space="preserve"> focuses exclusively on the obligations of the drafter</w:t>
      </w:r>
      <w:r w:rsidR="002B6D9E" w:rsidRPr="005E0C95">
        <w:t xml:space="preserve"> of the arbitration agreement</w:t>
      </w:r>
      <w:r w:rsidRPr="005E0C95">
        <w:t xml:space="preserve">, </w:t>
      </w:r>
      <w:r w:rsidR="002B6D9E" w:rsidRPr="005E0C95">
        <w:t xml:space="preserve">in this case </w:t>
      </w:r>
      <w:r w:rsidRPr="005E0C95">
        <w:t xml:space="preserve">R&amp;S. </w:t>
      </w:r>
      <w:r w:rsidR="002B6D9E" w:rsidRPr="005E0C95">
        <w:t xml:space="preserve"> </w:t>
      </w:r>
      <w:r w:rsidR="00CC02EE" w:rsidRPr="005E0C95">
        <w:t>T</w:t>
      </w:r>
      <w:r w:rsidR="00E810EF" w:rsidRPr="005E0C95">
        <w:t>he drafter is the “business or company that pushed the case into an arbit</w:t>
      </w:r>
      <w:r w:rsidR="002B6D9E" w:rsidRPr="005E0C95">
        <w:t>r</w:t>
      </w:r>
      <w:r w:rsidR="00E810EF" w:rsidRPr="005E0C95">
        <w:t>al forum</w:t>
      </w:r>
      <w:r w:rsidR="00CC02EE" w:rsidRPr="005E0C95">
        <w:t>” and, historically, burdened a consumer or employee with “ ‘</w:t>
      </w:r>
      <w:r w:rsidR="00511BC5" w:rsidRPr="005E0C95">
        <w:t> “</w:t>
      </w:r>
      <w:r w:rsidR="00CC02EE" w:rsidRPr="005E0C95">
        <w:t>the procedural limbo and delay</w:t>
      </w:r>
      <w:r w:rsidR="00511BC5" w:rsidRPr="005E0C95">
        <w:t>” </w:t>
      </w:r>
      <w:r w:rsidR="00CC02EE" w:rsidRPr="005E0C95">
        <w:t xml:space="preserve">’ ” the Legislature sought to address. </w:t>
      </w:r>
      <w:r w:rsidR="00D26645" w:rsidRPr="005E0C95">
        <w:t xml:space="preserve"> </w:t>
      </w:r>
      <w:r w:rsidR="00E810EF" w:rsidRPr="005E0C95">
        <w:t>(</w:t>
      </w:r>
      <w:r w:rsidR="00E810EF" w:rsidRPr="005E0C95">
        <w:rPr>
          <w:i/>
          <w:iCs/>
        </w:rPr>
        <w:t>Gallo, supra</w:t>
      </w:r>
      <w:r w:rsidR="00E810EF" w:rsidRPr="005E0C95">
        <w:t xml:space="preserve">, 81 Cal.App.5th at p. 634.) </w:t>
      </w:r>
    </w:p>
    <w:p w14:paraId="694D8321" w14:textId="1E1FE9A7" w:rsidR="0019382C" w:rsidRPr="005E0C95" w:rsidRDefault="00E85BF3" w:rsidP="00C10B82">
      <w:r w:rsidRPr="005E0C95">
        <w:tab/>
      </w:r>
      <w:r w:rsidR="00E810EF" w:rsidRPr="005E0C95">
        <w:t xml:space="preserve">In the matter before us, R&amp;S </w:t>
      </w:r>
      <w:r w:rsidR="002B6D9E" w:rsidRPr="005E0C95">
        <w:t>wanted</w:t>
      </w:r>
      <w:r w:rsidR="00E810EF" w:rsidRPr="005E0C95">
        <w:t xml:space="preserve"> to </w:t>
      </w:r>
      <w:r w:rsidR="002B6D9E" w:rsidRPr="005E0C95">
        <w:t>compel the resolution of Suarez’s</w:t>
      </w:r>
      <w:r w:rsidR="00E810EF" w:rsidRPr="005E0C95">
        <w:t xml:space="preserve"> dispute in arbitration. </w:t>
      </w:r>
      <w:r w:rsidR="00D26645" w:rsidRPr="005E0C95">
        <w:t xml:space="preserve"> </w:t>
      </w:r>
      <w:r w:rsidR="002B6D9E" w:rsidRPr="005E0C95">
        <w:t>It sought to accomplish this</w:t>
      </w:r>
      <w:r w:rsidR="00E810EF" w:rsidRPr="005E0C95">
        <w:t xml:space="preserve"> by removing the dispute </w:t>
      </w:r>
      <w:r w:rsidR="002B6D9E" w:rsidRPr="005E0C95">
        <w:t xml:space="preserve">from the public court system and transferring it </w:t>
      </w:r>
      <w:r w:rsidR="00E810EF" w:rsidRPr="005E0C95">
        <w:t>to the arbit</w:t>
      </w:r>
      <w:r w:rsidR="002B6D9E" w:rsidRPr="005E0C95">
        <w:t>r</w:t>
      </w:r>
      <w:r w:rsidR="00E810EF" w:rsidRPr="005E0C95">
        <w:t>al forum</w:t>
      </w:r>
      <w:r w:rsidR="00CC02EE" w:rsidRPr="005E0C95">
        <w:t>.</w:t>
      </w:r>
      <w:r w:rsidRPr="005E0C95">
        <w:t xml:space="preserve"> </w:t>
      </w:r>
      <w:r w:rsidR="00D26645" w:rsidRPr="005E0C95">
        <w:t xml:space="preserve"> </w:t>
      </w:r>
      <w:r w:rsidRPr="005E0C95">
        <w:t xml:space="preserve">When </w:t>
      </w:r>
      <w:r w:rsidR="002B6D9E" w:rsidRPr="005E0C95">
        <w:t>it</w:t>
      </w:r>
      <w:r w:rsidRPr="005E0C95">
        <w:t xml:space="preserve"> failed to pay </w:t>
      </w:r>
      <w:r w:rsidR="002B6D9E" w:rsidRPr="005E0C95">
        <w:t>its</w:t>
      </w:r>
      <w:r w:rsidRPr="005E0C95">
        <w:t xml:space="preserve"> share of the arbitration fees before the expiration of the grace period, </w:t>
      </w:r>
      <w:r w:rsidR="002B6D9E" w:rsidRPr="005E0C95">
        <w:t>it created</w:t>
      </w:r>
      <w:r w:rsidRPr="005E0C95">
        <w:t xml:space="preserve"> the exact problem the Legislature sought to </w:t>
      </w:r>
      <w:r w:rsidR="002B6D9E" w:rsidRPr="005E0C95">
        <w:t>avoid when it enacted sections 1281.97 and 1281.98</w:t>
      </w:r>
      <w:r w:rsidRPr="005E0C95">
        <w:t xml:space="preserve">. </w:t>
      </w:r>
      <w:r w:rsidR="002B6D9E" w:rsidRPr="005E0C95">
        <w:t xml:space="preserve"> </w:t>
      </w:r>
      <w:r w:rsidRPr="005E0C95">
        <w:t xml:space="preserve">Now faced with the consequences of </w:t>
      </w:r>
      <w:r w:rsidR="000C02DB" w:rsidRPr="005E0C95">
        <w:t>its</w:t>
      </w:r>
      <w:r w:rsidRPr="005E0C95">
        <w:t xml:space="preserve"> tardiness, </w:t>
      </w:r>
      <w:r w:rsidR="000C02DB" w:rsidRPr="005E0C95">
        <w:t>R&amp;S improperly</w:t>
      </w:r>
      <w:r w:rsidRPr="005E0C95">
        <w:t xml:space="preserve"> attempt</w:t>
      </w:r>
      <w:r w:rsidR="000C02DB" w:rsidRPr="005E0C95">
        <w:t>s</w:t>
      </w:r>
      <w:r w:rsidRPr="005E0C95">
        <w:t xml:space="preserve"> to shift the burden back to </w:t>
      </w:r>
      <w:r w:rsidR="000C02DB" w:rsidRPr="005E0C95">
        <w:t>its</w:t>
      </w:r>
      <w:r w:rsidRPr="005E0C95">
        <w:t xml:space="preserve"> employee</w:t>
      </w:r>
      <w:r w:rsidR="000C02DB" w:rsidRPr="005E0C95">
        <w:t>, giving rise to</w:t>
      </w:r>
      <w:r w:rsidRPr="005E0C95">
        <w:t xml:space="preserve"> further </w:t>
      </w:r>
      <w:r w:rsidR="000C02DB" w:rsidRPr="005E0C95">
        <w:t>“</w:t>
      </w:r>
      <w:r w:rsidRPr="005E0C95">
        <w:t>procedural limbo and delay.</w:t>
      </w:r>
      <w:r w:rsidR="000C02DB" w:rsidRPr="005E0C95">
        <w:t>”</w:t>
      </w:r>
      <w:r w:rsidR="005F17BB" w:rsidRPr="005E0C95">
        <w:t xml:space="preserve">  (Assembly Report, </w:t>
      </w:r>
      <w:r w:rsidR="005F17BB" w:rsidRPr="005E0C95">
        <w:rPr>
          <w:i/>
          <w:iCs/>
        </w:rPr>
        <w:t xml:space="preserve">supra, </w:t>
      </w:r>
      <w:r w:rsidR="005F17BB" w:rsidRPr="005E0C95">
        <w:t>p. 11.)</w:t>
      </w:r>
    </w:p>
    <w:p w14:paraId="7565A5C4" w14:textId="6E8AD468" w:rsidR="00AB5482" w:rsidRPr="005E0C95" w:rsidRDefault="00AB5482" w:rsidP="00C80565">
      <w:pPr>
        <w:pStyle w:val="Heading2"/>
        <w:numPr>
          <w:ilvl w:val="0"/>
          <w:numId w:val="1"/>
        </w:numPr>
        <w:spacing w:before="120" w:after="120"/>
        <w:ind w:left="619"/>
        <w:rPr>
          <w:rFonts w:ascii="Century Schoolbook" w:hAnsi="Century Schoolbook"/>
          <w:b w:val="0"/>
          <w:bCs w:val="0"/>
          <w:sz w:val="26"/>
          <w:szCs w:val="26"/>
        </w:rPr>
      </w:pPr>
      <w:r w:rsidRPr="005E0C95">
        <w:rPr>
          <w:rFonts w:ascii="Century Schoolbook" w:hAnsi="Century Schoolbook"/>
          <w:b w:val="0"/>
          <w:bCs w:val="0"/>
          <w:sz w:val="26"/>
          <w:szCs w:val="26"/>
        </w:rPr>
        <w:t xml:space="preserve">The Federal Arbitration Act does not preempt </w:t>
      </w:r>
      <w:r w:rsidR="00493811" w:rsidRPr="005E0C95">
        <w:rPr>
          <w:rFonts w:ascii="Century Schoolbook" w:hAnsi="Century Schoolbook"/>
          <w:b w:val="0"/>
          <w:bCs w:val="0"/>
          <w:sz w:val="26"/>
          <w:szCs w:val="26"/>
        </w:rPr>
        <w:t>s</w:t>
      </w:r>
      <w:r w:rsidRPr="005E0C95">
        <w:rPr>
          <w:rFonts w:ascii="Century Schoolbook" w:hAnsi="Century Schoolbook"/>
          <w:b w:val="0"/>
          <w:bCs w:val="0"/>
          <w:sz w:val="26"/>
          <w:szCs w:val="26"/>
        </w:rPr>
        <w:t>ection 1281.97.</w:t>
      </w:r>
    </w:p>
    <w:p w14:paraId="559F4896" w14:textId="0095B401" w:rsidR="00E85BF3" w:rsidRPr="005E0C95" w:rsidRDefault="008D2C6A" w:rsidP="00C10B82">
      <w:r w:rsidRPr="005E0C95">
        <w:tab/>
        <w:t xml:space="preserve">Finally, </w:t>
      </w:r>
      <w:r w:rsidR="00830820" w:rsidRPr="005E0C95">
        <w:t>R&amp;S</w:t>
      </w:r>
      <w:r w:rsidRPr="005E0C95">
        <w:t xml:space="preserve"> argues we cannot disturb the trial court’s </w:t>
      </w:r>
      <w:r w:rsidR="000C02DB" w:rsidRPr="005E0C95">
        <w:t>ruling because section 1281.97 is</w:t>
      </w:r>
      <w:r w:rsidRPr="005E0C95">
        <w:t xml:space="preserve"> preempt</w:t>
      </w:r>
      <w:r w:rsidR="000C02DB" w:rsidRPr="005E0C95">
        <w:t>ed by</w:t>
      </w:r>
      <w:r w:rsidRPr="005E0C95">
        <w:t xml:space="preserve"> the Federal Arbitration Act (FAA).  </w:t>
      </w:r>
      <w:r w:rsidR="00AC6DCF" w:rsidRPr="005E0C95">
        <w:t>It relies on</w:t>
      </w:r>
      <w:r w:rsidR="00434A2C" w:rsidRPr="005E0C95">
        <w:t xml:space="preserve"> the FAA’s equal treatment principle</w:t>
      </w:r>
      <w:r w:rsidR="00D36EDA" w:rsidRPr="005E0C95">
        <w:t xml:space="preserve">, asserting </w:t>
      </w:r>
      <w:r w:rsidR="00AC6DCF" w:rsidRPr="005E0C95">
        <w:t xml:space="preserve">that although a court can invalidate an arbitration agreement based on </w:t>
      </w:r>
      <w:r w:rsidR="00D36EDA" w:rsidRPr="005E0C95">
        <w:t xml:space="preserve">normal </w:t>
      </w:r>
      <w:r w:rsidR="00AC6DCF" w:rsidRPr="005E0C95">
        <w:t xml:space="preserve">state law </w:t>
      </w:r>
      <w:r w:rsidR="00D36EDA" w:rsidRPr="005E0C95">
        <w:t>contract rules</w:t>
      </w:r>
      <w:r w:rsidR="00AC6DCF" w:rsidRPr="005E0C95">
        <w:t>, it cannot do so by resort to rules that “</w:t>
      </w:r>
      <w:r w:rsidR="003367C9" w:rsidRPr="005E0C95">
        <w:t> ‘</w:t>
      </w:r>
      <w:r w:rsidR="00AC6DCF" w:rsidRPr="005E0C95">
        <w:t xml:space="preserve">apply only to arbitration or that </w:t>
      </w:r>
      <w:r w:rsidR="00AC6DCF" w:rsidRPr="005E0C95">
        <w:lastRenderedPageBreak/>
        <w:t>derive their meaning from the fact that an agreement to arbitrate is at issue.</w:t>
      </w:r>
      <w:r w:rsidR="003367C9" w:rsidRPr="005E0C95">
        <w:t>’ </w:t>
      </w:r>
      <w:r w:rsidR="00AC6DCF" w:rsidRPr="005E0C95">
        <w:t>”  (</w:t>
      </w:r>
      <w:r w:rsidR="00AC6DCF" w:rsidRPr="005E0C95">
        <w:rPr>
          <w:i/>
          <w:iCs/>
        </w:rPr>
        <w:t xml:space="preserve">Viking River Cruises, Inc. v. Moriana </w:t>
      </w:r>
      <w:r w:rsidR="00AC6DCF" w:rsidRPr="005E0C95">
        <w:t>(2022) 142 S.Ct. 1906, 1917.)</w:t>
      </w:r>
      <w:r w:rsidR="00D36EDA" w:rsidRPr="005E0C95">
        <w:t xml:space="preserve"> </w:t>
      </w:r>
      <w:r w:rsidR="00434A2C" w:rsidRPr="005E0C95">
        <w:t xml:space="preserve"> </w:t>
      </w:r>
    </w:p>
    <w:p w14:paraId="5A5222E1" w14:textId="56939AD6" w:rsidR="008A36FA" w:rsidRPr="005E0C95" w:rsidRDefault="00434A2C" w:rsidP="00C10B82">
      <w:r w:rsidRPr="005E0C95">
        <w:tab/>
      </w:r>
      <w:r w:rsidR="001F3971" w:rsidRPr="005E0C95">
        <w:t>Two recent decisions from o</w:t>
      </w:r>
      <w:r w:rsidRPr="005E0C95">
        <w:t xml:space="preserve">ur colleagues in the Second Appellate District </w:t>
      </w:r>
      <w:r w:rsidR="001F3971" w:rsidRPr="005E0C95">
        <w:t>have rejected</w:t>
      </w:r>
      <w:r w:rsidRPr="005E0C95">
        <w:t xml:space="preserve"> a nearly identical argument</w:t>
      </w:r>
      <w:r w:rsidR="001F3971" w:rsidRPr="005E0C95">
        <w:t xml:space="preserve">. </w:t>
      </w:r>
      <w:r w:rsidRPr="005E0C95">
        <w:t xml:space="preserve"> </w:t>
      </w:r>
      <w:r w:rsidR="001F3971" w:rsidRPr="005E0C95">
        <w:t>(</w:t>
      </w:r>
      <w:r w:rsidR="001F3971" w:rsidRPr="005E0C95">
        <w:rPr>
          <w:i/>
          <w:iCs/>
        </w:rPr>
        <w:t>Gallo, supra,</w:t>
      </w:r>
      <w:r w:rsidR="001F3971" w:rsidRPr="005E0C95">
        <w:t xml:space="preserve"> 81 Cal.App.5th at </w:t>
      </w:r>
      <w:r w:rsidR="00530D26" w:rsidRPr="005E0C95">
        <w:t>p</w:t>
      </w:r>
      <w:r w:rsidR="001F3971" w:rsidRPr="005E0C95">
        <w:t>p.</w:t>
      </w:r>
      <w:r w:rsidR="00530D26" w:rsidRPr="005E0C95">
        <w:t xml:space="preserve"> </w:t>
      </w:r>
      <w:r w:rsidR="001F3971" w:rsidRPr="005E0C95">
        <w:t>6</w:t>
      </w:r>
      <w:r w:rsidR="00530D26" w:rsidRPr="005E0C95">
        <w:t>35</w:t>
      </w:r>
      <w:r w:rsidR="005834EC" w:rsidRPr="005E0C95">
        <w:t>–</w:t>
      </w:r>
      <w:r w:rsidR="00530D26" w:rsidRPr="005E0C95">
        <w:t xml:space="preserve">646; </w:t>
      </w:r>
      <w:r w:rsidRPr="005E0C95">
        <w:rPr>
          <w:i/>
          <w:iCs/>
        </w:rPr>
        <w:t>Espinoza v. Superior Court</w:t>
      </w:r>
      <w:r w:rsidRPr="005E0C95">
        <w:t xml:space="preserve"> (2022) 83 Cal.App.5th 761</w:t>
      </w:r>
      <w:r w:rsidR="00530D26" w:rsidRPr="005E0C95">
        <w:t>, 778</w:t>
      </w:r>
      <w:r w:rsidR="008D6BD5" w:rsidRPr="005E0C95">
        <w:t>–</w:t>
      </w:r>
      <w:r w:rsidR="00530D26" w:rsidRPr="005E0C95">
        <w:t>779</w:t>
      </w:r>
      <w:r w:rsidRPr="005E0C95">
        <w:t>.</w:t>
      </w:r>
      <w:r w:rsidR="00530D26" w:rsidRPr="005E0C95">
        <w:t xml:space="preserve">)  </w:t>
      </w:r>
      <w:r w:rsidR="008A36FA" w:rsidRPr="005E0C95">
        <w:t xml:space="preserve">In </w:t>
      </w:r>
      <w:r w:rsidR="008A36FA" w:rsidRPr="005E0C95">
        <w:rPr>
          <w:i/>
          <w:iCs/>
        </w:rPr>
        <w:t xml:space="preserve">Gallo, </w:t>
      </w:r>
      <w:r w:rsidR="008A36FA" w:rsidRPr="005E0C95">
        <w:t xml:space="preserve">the arbitration agreement incorporated the “procedural provisions” of the CAA, including section 1281.97.  The employer nonetheless argued that section 1281.97 was preempted by the FAA.  </w:t>
      </w:r>
      <w:r w:rsidR="00530D26" w:rsidRPr="005E0C95">
        <w:t xml:space="preserve">The lynchpin of </w:t>
      </w:r>
      <w:r w:rsidR="00530D26" w:rsidRPr="005E0C95">
        <w:rPr>
          <w:i/>
          <w:iCs/>
        </w:rPr>
        <w:t>Gallo</w:t>
      </w:r>
      <w:r w:rsidR="00530D26" w:rsidRPr="005E0C95">
        <w:t>’s analysis is that</w:t>
      </w:r>
      <w:r w:rsidRPr="005E0C95">
        <w:t xml:space="preserve"> </w:t>
      </w:r>
      <w:r w:rsidR="00530D26" w:rsidRPr="005E0C95">
        <w:t xml:space="preserve">“a state law will not be preempted by the FAA </w:t>
      </w:r>
      <w:r w:rsidR="00530D26" w:rsidRPr="005E0C95">
        <w:rPr>
          <w:i/>
          <w:iCs/>
        </w:rPr>
        <w:t>merely because</w:t>
      </w:r>
      <w:r w:rsidR="00530D26" w:rsidRPr="005E0C95">
        <w:t xml:space="preserve"> it is arbitration specific.” </w:t>
      </w:r>
      <w:r w:rsidR="0051652A">
        <w:t xml:space="preserve"> </w:t>
      </w:r>
      <w:r w:rsidR="00530D26" w:rsidRPr="005E0C95">
        <w:t>(</w:t>
      </w:r>
      <w:r w:rsidR="00530D26" w:rsidRPr="005E0C95">
        <w:rPr>
          <w:i/>
          <w:iCs/>
        </w:rPr>
        <w:t xml:space="preserve">Gallo, </w:t>
      </w:r>
      <w:r w:rsidR="00530D26" w:rsidRPr="005E0C95">
        <w:t>at p.</w:t>
      </w:r>
      <w:r w:rsidR="005761B9" w:rsidRPr="005E0C95">
        <w:t> </w:t>
      </w:r>
      <w:r w:rsidR="00530D26" w:rsidRPr="005E0C95">
        <w:t xml:space="preserve">638.)  Instead, </w:t>
      </w:r>
      <w:r w:rsidR="00D26645" w:rsidRPr="005E0C95">
        <w:t>state law is</w:t>
      </w:r>
      <w:r w:rsidR="00530D26" w:rsidRPr="005E0C95">
        <w:t xml:space="preserve"> preempt</w:t>
      </w:r>
      <w:r w:rsidR="00D26645" w:rsidRPr="005E0C95">
        <w:t>ed</w:t>
      </w:r>
      <w:r w:rsidR="00530D26" w:rsidRPr="005E0C95">
        <w:t xml:space="preserve"> only where</w:t>
      </w:r>
      <w:r w:rsidR="00D26645" w:rsidRPr="005E0C95">
        <w:t xml:space="preserve"> it</w:t>
      </w:r>
      <w:r w:rsidR="00530D26" w:rsidRPr="005E0C95">
        <w:t xml:space="preserve">: </w:t>
      </w:r>
      <w:r w:rsidR="00D26645" w:rsidRPr="005E0C95">
        <w:t xml:space="preserve"> </w:t>
      </w:r>
      <w:r w:rsidR="00530D26" w:rsidRPr="005E0C95">
        <w:t>(1)</w:t>
      </w:r>
      <w:r w:rsidR="004C0346" w:rsidRPr="005E0C95">
        <w:t> </w:t>
      </w:r>
      <w:r w:rsidR="00530D26" w:rsidRPr="005E0C95">
        <w:t>outright prohibits the formation or enforcement of arbitration agreements, or (2) imposes requirements on arbitration agreements that “discourage their formation or enforcement.”  (</w:t>
      </w:r>
      <w:r w:rsidR="00530D26" w:rsidRPr="005E0C95">
        <w:rPr>
          <w:i/>
          <w:iCs/>
        </w:rPr>
        <w:t xml:space="preserve">Id. </w:t>
      </w:r>
      <w:r w:rsidR="00530D26" w:rsidRPr="005E0C95">
        <w:t>at pp. 637</w:t>
      </w:r>
      <w:r w:rsidR="00AE658E" w:rsidRPr="005E0C95">
        <w:t>–</w:t>
      </w:r>
      <w:r w:rsidR="00530D26" w:rsidRPr="005E0C95">
        <w:t xml:space="preserve">638.)  </w:t>
      </w:r>
      <w:r w:rsidR="007B69E5" w:rsidRPr="005E0C95">
        <w:t xml:space="preserve">As the </w:t>
      </w:r>
      <w:r w:rsidR="007B69E5" w:rsidRPr="005E0C95">
        <w:rPr>
          <w:i/>
          <w:iCs/>
        </w:rPr>
        <w:t xml:space="preserve">Gallo </w:t>
      </w:r>
      <w:r w:rsidR="007B69E5" w:rsidRPr="005E0C95">
        <w:t>court explained, section 1281.97 does neither of these things.  (</w:t>
      </w:r>
      <w:r w:rsidR="007B69E5" w:rsidRPr="005E0C95">
        <w:rPr>
          <w:i/>
          <w:iCs/>
        </w:rPr>
        <w:t xml:space="preserve">Id. </w:t>
      </w:r>
      <w:r w:rsidR="007B69E5" w:rsidRPr="005E0C95">
        <w:t>at p. 641.)  It</w:t>
      </w:r>
      <w:r w:rsidR="005214BD" w:rsidRPr="005E0C95">
        <w:t> </w:t>
      </w:r>
      <w:r w:rsidR="007B69E5" w:rsidRPr="005E0C95">
        <w:t xml:space="preserve">merely specifies arbitration-specific procedural rules for the payment of fees.  And “ ‘[t]here is no federal policy favoring arbitration under a certain set of rules.’ ” </w:t>
      </w:r>
      <w:r w:rsidR="006E1FE7" w:rsidRPr="005E0C95">
        <w:t xml:space="preserve"> </w:t>
      </w:r>
      <w:r w:rsidR="007B69E5" w:rsidRPr="005E0C95">
        <w:t>(</w:t>
      </w:r>
      <w:r w:rsidR="007B69E5" w:rsidRPr="005E0C95">
        <w:rPr>
          <w:i/>
          <w:iCs/>
        </w:rPr>
        <w:t xml:space="preserve">Id. </w:t>
      </w:r>
      <w:r w:rsidR="007B69E5" w:rsidRPr="005E0C95">
        <w:t>at p.</w:t>
      </w:r>
      <w:r w:rsidR="00B36DC1" w:rsidRPr="005E0C95">
        <w:t> </w:t>
      </w:r>
      <w:r w:rsidR="007B69E5" w:rsidRPr="005E0C95">
        <w:t xml:space="preserve">639, quoting </w:t>
      </w:r>
      <w:r w:rsidR="007B69E5" w:rsidRPr="005E0C95">
        <w:rPr>
          <w:i/>
          <w:iCs/>
        </w:rPr>
        <w:t>Volt Info. Sciences v. Leland Stanford Jr. U.</w:t>
      </w:r>
      <w:r w:rsidR="007B69E5" w:rsidRPr="005E0C95">
        <w:t xml:space="preserve"> (1989) 489 U.S. 468, 476</w:t>
      </w:r>
      <w:r w:rsidR="00885D8F" w:rsidRPr="005E0C95">
        <w:t>.</w:t>
      </w:r>
      <w:r w:rsidR="007B69E5" w:rsidRPr="005E0C95">
        <w:t xml:space="preserve">) </w:t>
      </w:r>
      <w:r w:rsidR="00D26645" w:rsidRPr="005E0C95">
        <w:t xml:space="preserve"> </w:t>
      </w:r>
      <w:r w:rsidR="007B69E5" w:rsidRPr="005E0C95">
        <w:t xml:space="preserve">Accordingly, states </w:t>
      </w:r>
      <w:r w:rsidR="00D26645" w:rsidRPr="005E0C95">
        <w:t>properly enact</w:t>
      </w:r>
      <w:r w:rsidR="007B69E5" w:rsidRPr="005E0C95">
        <w:t xml:space="preserve"> laws “that define the standard rules ‘governing the conduct of arbitration.’ ”  (</w:t>
      </w:r>
      <w:r w:rsidR="007B69E5" w:rsidRPr="005E0C95">
        <w:rPr>
          <w:i/>
          <w:iCs/>
        </w:rPr>
        <w:t>Ibid.</w:t>
      </w:r>
      <w:r w:rsidR="007B69E5" w:rsidRPr="005E0C95">
        <w:t xml:space="preserve">)  “Indeed, specific provisions of the CAA have been upheld as not preempted by the FAA, even though those provisions are necessarily arbitration specific.” </w:t>
      </w:r>
      <w:r w:rsidR="002A75FD" w:rsidRPr="005E0C95">
        <w:t xml:space="preserve"> </w:t>
      </w:r>
      <w:r w:rsidR="007B69E5" w:rsidRPr="005E0C95">
        <w:t>(</w:t>
      </w:r>
      <w:r w:rsidR="007B69E5" w:rsidRPr="005E0C95">
        <w:rPr>
          <w:i/>
          <w:iCs/>
        </w:rPr>
        <w:t>Gallo</w:t>
      </w:r>
      <w:r w:rsidR="00C7353E" w:rsidRPr="005E0C95">
        <w:rPr>
          <w:i/>
          <w:iCs/>
        </w:rPr>
        <w:t>,</w:t>
      </w:r>
      <w:r w:rsidR="007B69E5" w:rsidRPr="005E0C95">
        <w:t xml:space="preserve"> at p.</w:t>
      </w:r>
      <w:r w:rsidR="00C7353E" w:rsidRPr="005E0C95">
        <w:t> </w:t>
      </w:r>
      <w:r w:rsidR="007B69E5" w:rsidRPr="005E0C95">
        <w:t xml:space="preserve">639.) </w:t>
      </w:r>
    </w:p>
    <w:p w14:paraId="31C14F2F" w14:textId="093F178D" w:rsidR="008D2C6A" w:rsidRPr="005E0C95" w:rsidRDefault="00434A2C" w:rsidP="00C10B82">
      <w:pPr>
        <w:ind w:firstLine="720"/>
      </w:pPr>
      <w:r w:rsidRPr="005E0C95">
        <w:t xml:space="preserve">In </w:t>
      </w:r>
      <w:r w:rsidRPr="005E0C95">
        <w:rPr>
          <w:i/>
          <w:iCs/>
        </w:rPr>
        <w:t>Espinoza</w:t>
      </w:r>
      <w:r w:rsidRPr="005E0C95">
        <w:t xml:space="preserve">, </w:t>
      </w:r>
      <w:r w:rsidR="008A36FA" w:rsidRPr="005E0C95">
        <w:t xml:space="preserve">the </w:t>
      </w:r>
      <w:r w:rsidR="00011BAB" w:rsidRPr="005E0C95">
        <w:t xml:space="preserve">parties’ arbitration agreement did not expressly incorporate the </w:t>
      </w:r>
      <w:r w:rsidR="008A36FA" w:rsidRPr="005E0C95">
        <w:t>procedural provisions of the CAA.  The appellate court nonetheless held they “ ‘apply in California courts by default.’</w:t>
      </w:r>
      <w:r w:rsidR="00885D8F" w:rsidRPr="005E0C95">
        <w:t xml:space="preserve"> ”</w:t>
      </w:r>
      <w:r w:rsidR="008A36FA" w:rsidRPr="005E0C95">
        <w:t xml:space="preserve">  (</w:t>
      </w:r>
      <w:r w:rsidR="008A36FA" w:rsidRPr="005E0C95">
        <w:rPr>
          <w:i/>
          <w:iCs/>
        </w:rPr>
        <w:t xml:space="preserve">Espinoza, supra, </w:t>
      </w:r>
      <w:r w:rsidR="008A36FA" w:rsidRPr="005E0C95">
        <w:t xml:space="preserve">83 Cal.App.5th at p. 786, quoting </w:t>
      </w:r>
      <w:r w:rsidR="00011BAB" w:rsidRPr="005E0C95">
        <w:rPr>
          <w:i/>
          <w:iCs/>
        </w:rPr>
        <w:t>Valencia v. Smyth</w:t>
      </w:r>
      <w:r w:rsidR="00011BAB" w:rsidRPr="005E0C95">
        <w:t xml:space="preserve"> (2010) 185 </w:t>
      </w:r>
      <w:r w:rsidR="00011BAB" w:rsidRPr="005E0C95">
        <w:lastRenderedPageBreak/>
        <w:t>Cal.App.4th 153, 174</w:t>
      </w:r>
      <w:r w:rsidR="008A36FA" w:rsidRPr="005E0C95">
        <w:t xml:space="preserve">.)  </w:t>
      </w:r>
      <w:r w:rsidR="00011BAB" w:rsidRPr="005E0C95">
        <w:t xml:space="preserve">Relying on the preemption analysis in </w:t>
      </w:r>
      <w:r w:rsidR="00011BAB" w:rsidRPr="005E0C95">
        <w:rPr>
          <w:i/>
          <w:iCs/>
        </w:rPr>
        <w:t xml:space="preserve">Gallo, </w:t>
      </w:r>
      <w:r w:rsidR="00011BAB" w:rsidRPr="005E0C95">
        <w:t xml:space="preserve">Espinoza concluded that section 1281.97 is not preempted by the FAA.  </w:t>
      </w:r>
      <w:r w:rsidRPr="005E0C95">
        <w:t>(</w:t>
      </w:r>
      <w:r w:rsidRPr="005E0C95">
        <w:rPr>
          <w:i/>
          <w:iCs/>
        </w:rPr>
        <w:t xml:space="preserve">Espinoza, </w:t>
      </w:r>
      <w:r w:rsidRPr="005E0C95">
        <w:t xml:space="preserve">at pp. </w:t>
      </w:r>
      <w:r w:rsidR="00011BAB" w:rsidRPr="005E0C95">
        <w:t>780</w:t>
      </w:r>
      <w:r w:rsidR="00884CEA" w:rsidRPr="005E0C95">
        <w:t>–</w:t>
      </w:r>
      <w:r w:rsidR="00011BAB" w:rsidRPr="005E0C95">
        <w:t>785</w:t>
      </w:r>
      <w:r w:rsidRPr="005E0C95">
        <w:t>.)</w:t>
      </w:r>
      <w:r w:rsidR="007B4644" w:rsidRPr="005E0C95">
        <w:t xml:space="preserve"> </w:t>
      </w:r>
    </w:p>
    <w:p w14:paraId="5B288E41" w14:textId="1F56A8F4" w:rsidR="00011BAB" w:rsidRPr="005E0C95" w:rsidRDefault="00011BAB" w:rsidP="00C10B82">
      <w:pPr>
        <w:ind w:firstLine="720"/>
      </w:pPr>
      <w:r w:rsidRPr="005E0C95">
        <w:t xml:space="preserve">As in </w:t>
      </w:r>
      <w:r w:rsidRPr="005E0C95">
        <w:rPr>
          <w:i/>
          <w:iCs/>
        </w:rPr>
        <w:t xml:space="preserve">Gallo, </w:t>
      </w:r>
      <w:r w:rsidRPr="005E0C95">
        <w:t xml:space="preserve">R&amp;S elected to fully incorporate the CAA, inclusive of section 1281.97, within the arbitration agreement.  Notably, the arbitration agreement was executed </w:t>
      </w:r>
      <w:r w:rsidRPr="005E0C95">
        <w:rPr>
          <w:i/>
          <w:iCs/>
        </w:rPr>
        <w:t>after</w:t>
      </w:r>
      <w:r w:rsidRPr="005E0C95">
        <w:t xml:space="preserve"> the CAA expanded to include section 1281.97.  R&amp;S opted into these specific rules of arbitration in lieu of resolving Suarez’s dispute in a court action.</w:t>
      </w:r>
    </w:p>
    <w:p w14:paraId="4E38E2EA" w14:textId="77A7F94D" w:rsidR="0019382C" w:rsidRPr="005E0C95" w:rsidRDefault="00EC16E4" w:rsidP="00C10B82">
      <w:r w:rsidRPr="005E0C95">
        <w:tab/>
        <w:t xml:space="preserve">We follow the precedent set in </w:t>
      </w:r>
      <w:r w:rsidR="00011BAB" w:rsidRPr="005E0C95">
        <w:rPr>
          <w:i/>
          <w:iCs/>
        </w:rPr>
        <w:t xml:space="preserve">Gallo </w:t>
      </w:r>
      <w:r w:rsidR="00011BAB" w:rsidRPr="005E0C95">
        <w:t xml:space="preserve">and </w:t>
      </w:r>
      <w:r w:rsidRPr="005E0C95">
        <w:rPr>
          <w:i/>
          <w:iCs/>
        </w:rPr>
        <w:t xml:space="preserve">Espinoza </w:t>
      </w:r>
      <w:r w:rsidR="00011BAB" w:rsidRPr="005E0C95">
        <w:t>to</w:t>
      </w:r>
      <w:r w:rsidRPr="005E0C95">
        <w:t xml:space="preserve"> conclude that section 1281.97 neither prohibits nor discourages the formation of arbitration agreements. </w:t>
      </w:r>
      <w:r w:rsidR="00011BAB" w:rsidRPr="005E0C95">
        <w:t xml:space="preserve"> </w:t>
      </w:r>
      <w:r w:rsidRPr="005E0C95">
        <w:t xml:space="preserve">Rather, the statute </w:t>
      </w:r>
      <w:r w:rsidR="00011BAB" w:rsidRPr="005E0C95">
        <w:t>regulates</w:t>
      </w:r>
      <w:r w:rsidRPr="005E0C95">
        <w:t xml:space="preserve"> the conduct of the parties to help “achieve the FAA’s goal of ‘safeguarding arbitration.’ ”</w:t>
      </w:r>
      <w:r w:rsidR="0051652A">
        <w:t xml:space="preserve"> </w:t>
      </w:r>
      <w:r w:rsidRPr="005E0C95">
        <w:t xml:space="preserve"> (</w:t>
      </w:r>
      <w:r w:rsidR="00C2672B" w:rsidRPr="005E0C95">
        <w:rPr>
          <w:i/>
          <w:iCs/>
        </w:rPr>
        <w:t>Espinoza</w:t>
      </w:r>
      <w:r w:rsidR="00011BAB" w:rsidRPr="005E0C95">
        <w:rPr>
          <w:i/>
          <w:iCs/>
        </w:rPr>
        <w:t xml:space="preserve">, supra, </w:t>
      </w:r>
      <w:r w:rsidR="00011BAB" w:rsidRPr="005E0C95">
        <w:t>83 Cal.App.5th</w:t>
      </w:r>
      <w:r w:rsidR="00C2672B" w:rsidRPr="005E0C95">
        <w:rPr>
          <w:i/>
          <w:iCs/>
        </w:rPr>
        <w:t xml:space="preserve"> </w:t>
      </w:r>
      <w:r w:rsidR="00C2672B" w:rsidRPr="005E0C95">
        <w:t xml:space="preserve">at </w:t>
      </w:r>
      <w:r w:rsidR="00011BAB" w:rsidRPr="005E0C95">
        <w:t xml:space="preserve">p. </w:t>
      </w:r>
      <w:r w:rsidR="00C2672B" w:rsidRPr="005E0C95">
        <w:t>783</w:t>
      </w:r>
      <w:r w:rsidRPr="005E0C95">
        <w:t>.)</w:t>
      </w:r>
      <w:r w:rsidR="00D36EDA" w:rsidRPr="005E0C95">
        <w:t xml:space="preserve"> </w:t>
      </w:r>
      <w:r w:rsidR="00011BAB" w:rsidRPr="005E0C95">
        <w:t xml:space="preserve"> </w:t>
      </w:r>
      <w:r w:rsidR="00C363BA" w:rsidRPr="005E0C95">
        <w:t>The rules are designed</w:t>
      </w:r>
      <w:r w:rsidR="00D36EDA" w:rsidRPr="005E0C95">
        <w:t xml:space="preserve"> to encourage drafters of arbitration agreements to engage in arbitration promptly.</w:t>
      </w:r>
      <w:r w:rsidR="00C363BA" w:rsidRPr="005E0C95">
        <w:t xml:space="preserve"> </w:t>
      </w:r>
      <w:r w:rsidR="00011BAB" w:rsidRPr="005E0C95">
        <w:t xml:space="preserve"> </w:t>
      </w:r>
      <w:r w:rsidR="00D36EDA" w:rsidRPr="005E0C95">
        <w:t xml:space="preserve">We observe that in the matter before us, as in </w:t>
      </w:r>
      <w:r w:rsidR="00D36EDA" w:rsidRPr="005E0C95">
        <w:rPr>
          <w:i/>
          <w:iCs/>
        </w:rPr>
        <w:t>Espinoza</w:t>
      </w:r>
      <w:r w:rsidR="00D36EDA" w:rsidRPr="005E0C95">
        <w:t xml:space="preserve"> and </w:t>
      </w:r>
      <w:r w:rsidR="00D36EDA" w:rsidRPr="005E0C95">
        <w:rPr>
          <w:i/>
          <w:iCs/>
        </w:rPr>
        <w:t>Gallo</w:t>
      </w:r>
      <w:r w:rsidR="00D36EDA" w:rsidRPr="005E0C95">
        <w:t xml:space="preserve">, waiver and material breach do not automatically remove a matter from arbitration. </w:t>
      </w:r>
      <w:r w:rsidR="00011BAB" w:rsidRPr="005E0C95">
        <w:t xml:space="preserve"> </w:t>
      </w:r>
      <w:r w:rsidR="00D36EDA" w:rsidRPr="005E0C95">
        <w:t xml:space="preserve">Instead, the employee is given the </w:t>
      </w:r>
      <w:r w:rsidR="00D36EDA" w:rsidRPr="005E0C95">
        <w:rPr>
          <w:i/>
          <w:iCs/>
        </w:rPr>
        <w:t>option</w:t>
      </w:r>
      <w:r w:rsidR="00D36EDA" w:rsidRPr="005E0C95">
        <w:t xml:space="preserve"> of resolving the stagnant dispute in an action before the court.</w:t>
      </w:r>
      <w:r w:rsidR="001700D6" w:rsidRPr="005E0C95">
        <w:t xml:space="preserve">  This rule of procedure for the conduct of the arbitration proceeding is not preempted by the FAA.</w:t>
      </w:r>
    </w:p>
    <w:p w14:paraId="237BB364" w14:textId="7DF57FE8" w:rsidR="00CA6034" w:rsidRPr="005E0C95" w:rsidRDefault="00CA6034" w:rsidP="006A3B3B">
      <w:pPr>
        <w:pStyle w:val="Heading1"/>
        <w:keepLines/>
        <w:spacing w:before="120" w:after="120"/>
        <w:jc w:val="center"/>
        <w:rPr>
          <w:rFonts w:ascii="Century Schoolbook" w:hAnsi="Century Schoolbook"/>
          <w:b w:val="0"/>
          <w:bCs w:val="0"/>
          <w:sz w:val="26"/>
          <w:szCs w:val="26"/>
        </w:rPr>
      </w:pPr>
      <w:r w:rsidRPr="005E0C95">
        <w:rPr>
          <w:rFonts w:ascii="Century Schoolbook" w:hAnsi="Century Schoolbook"/>
          <w:b w:val="0"/>
          <w:bCs w:val="0"/>
          <w:sz w:val="26"/>
          <w:szCs w:val="26"/>
        </w:rPr>
        <w:lastRenderedPageBreak/>
        <w:t>DISPOSITION</w:t>
      </w:r>
    </w:p>
    <w:p w14:paraId="1B20E856" w14:textId="26FFEF98" w:rsidR="00312A13" w:rsidRDefault="00D846D5" w:rsidP="006A3B3B">
      <w:pPr>
        <w:keepNext/>
        <w:keepLines/>
      </w:pPr>
      <w:r w:rsidRPr="005E0C95">
        <w:tab/>
      </w:r>
      <w:r w:rsidR="000E73A5" w:rsidRPr="005E0C95">
        <w:t>A</w:t>
      </w:r>
      <w:r w:rsidR="004A3CE6" w:rsidRPr="005E0C95">
        <w:t xml:space="preserve"> writ of mandate </w:t>
      </w:r>
      <w:r w:rsidR="000E73A5" w:rsidRPr="005E0C95">
        <w:t xml:space="preserve">shall </w:t>
      </w:r>
      <w:r w:rsidR="004A3CE6" w:rsidRPr="005E0C95">
        <w:t xml:space="preserve">issue directing </w:t>
      </w:r>
      <w:r w:rsidR="00413C0A" w:rsidRPr="005E0C95">
        <w:t>the superior court</w:t>
      </w:r>
      <w:r w:rsidR="004A3CE6" w:rsidRPr="005E0C95">
        <w:t xml:space="preserve"> to vacate its</w:t>
      </w:r>
      <w:r w:rsidR="00752AA3" w:rsidRPr="005E0C95">
        <w:t xml:space="preserve"> May 19, 2023</w:t>
      </w:r>
      <w:r w:rsidR="004A3CE6" w:rsidRPr="005E0C95">
        <w:t xml:space="preserve"> </w:t>
      </w:r>
      <w:r w:rsidR="00752AA3" w:rsidRPr="005E0C95">
        <w:t xml:space="preserve">order </w:t>
      </w:r>
      <w:r w:rsidR="000E73A5" w:rsidRPr="005E0C95">
        <w:t xml:space="preserve">granting R&amp;S’s motion to compel compliance with the existing arbitration order and </w:t>
      </w:r>
      <w:r w:rsidR="00752AA3" w:rsidRPr="005E0C95">
        <w:t>denying Suarez’s motion to vacate the stay</w:t>
      </w:r>
      <w:r w:rsidR="000E73A5" w:rsidRPr="005E0C95">
        <w:t>.  The court shall then</w:t>
      </w:r>
      <w:r w:rsidR="00752AA3" w:rsidRPr="005E0C95">
        <w:t xml:space="preserve"> enter a new order granting </w:t>
      </w:r>
      <w:r w:rsidR="000E73A5" w:rsidRPr="005E0C95">
        <w:t>Suarez’s</w:t>
      </w:r>
      <w:r w:rsidR="00752AA3" w:rsidRPr="005E0C95">
        <w:t xml:space="preserve"> motion</w:t>
      </w:r>
      <w:r w:rsidR="00904F92" w:rsidRPr="005E0C95">
        <w:t xml:space="preserve"> and denying the one filed by R&amp;S.</w:t>
      </w:r>
      <w:r w:rsidR="00752AA3" w:rsidRPr="005E0C95">
        <w:t xml:space="preserve"> </w:t>
      </w:r>
      <w:r w:rsidR="00413C0A" w:rsidRPr="005E0C95">
        <w:t xml:space="preserve"> </w:t>
      </w:r>
      <w:r w:rsidR="004A3CE6" w:rsidRPr="005E0C95">
        <w:t xml:space="preserve">The stay previously issued by this court </w:t>
      </w:r>
      <w:r w:rsidR="00C11BD1" w:rsidRPr="005E0C95">
        <w:t xml:space="preserve">on August 2, 2023 </w:t>
      </w:r>
      <w:r w:rsidR="00752AA3" w:rsidRPr="005E0C95">
        <w:t>will</w:t>
      </w:r>
      <w:r w:rsidR="004A3CE6" w:rsidRPr="005E0C95">
        <w:t xml:space="preserve"> </w:t>
      </w:r>
      <w:r w:rsidR="00752AA3" w:rsidRPr="005E0C95">
        <w:t>dissolve upon finality of th</w:t>
      </w:r>
      <w:r w:rsidR="002A1563" w:rsidRPr="005E0C95">
        <w:t>is</w:t>
      </w:r>
      <w:r w:rsidR="00752AA3" w:rsidRPr="005E0C95">
        <w:t xml:space="preserve"> opinion</w:t>
      </w:r>
      <w:r w:rsidR="004A3CE6" w:rsidRPr="005E0C95">
        <w:t xml:space="preserve">. </w:t>
      </w:r>
      <w:r w:rsidR="00413C0A" w:rsidRPr="005E0C95">
        <w:t xml:space="preserve"> Suarez shall recover his costs in this writ proceeding</w:t>
      </w:r>
      <w:r w:rsidR="000E73A5" w:rsidRPr="005E0C95">
        <w:t>.  He is also entitled to reasonable attorney’s fees pursuant to section 1281.99 in an amount to be determined by the superior court</w:t>
      </w:r>
      <w:r w:rsidR="00413C0A" w:rsidRPr="005E0C95">
        <w:t>.</w:t>
      </w:r>
      <w:r w:rsidR="004A3CE6" w:rsidRPr="005E0C95">
        <w:t xml:space="preserve"> </w:t>
      </w:r>
    </w:p>
    <w:p w14:paraId="1EEFB118" w14:textId="77777777" w:rsidR="00D077AE" w:rsidRDefault="00D077AE" w:rsidP="00312A13"/>
    <w:p w14:paraId="0C40C711" w14:textId="77777777" w:rsidR="005B63FF" w:rsidRPr="00312A13" w:rsidRDefault="005B63FF" w:rsidP="00312A13"/>
    <w:p w14:paraId="0AF494C3" w14:textId="4AB62471" w:rsidR="00E32C83" w:rsidRPr="005E0C95" w:rsidRDefault="00E32C83" w:rsidP="00E32C83">
      <w:pPr>
        <w:keepNext/>
        <w:spacing w:line="240" w:lineRule="auto"/>
        <w:jc w:val="right"/>
      </w:pPr>
      <w:r w:rsidRPr="005E0C95">
        <w:t>DATO, J.</w:t>
      </w:r>
    </w:p>
    <w:p w14:paraId="418DCEB1" w14:textId="2C5D5121" w:rsidR="00E32C83" w:rsidRPr="005E0C95" w:rsidRDefault="00E32C83" w:rsidP="00E32C83">
      <w:pPr>
        <w:keepNext/>
        <w:tabs>
          <w:tab w:val="right" w:pos="3600"/>
        </w:tabs>
        <w:spacing w:line="240" w:lineRule="auto"/>
      </w:pPr>
      <w:r w:rsidRPr="005E0C95">
        <w:t>WE CONCUR:</w:t>
      </w:r>
    </w:p>
    <w:p w14:paraId="7D5E1494" w14:textId="419C5232" w:rsidR="00015550" w:rsidRPr="005E0C95" w:rsidRDefault="00015550" w:rsidP="00E32C83">
      <w:pPr>
        <w:keepNext/>
        <w:tabs>
          <w:tab w:val="right" w:pos="3600"/>
        </w:tabs>
        <w:spacing w:line="240" w:lineRule="auto"/>
      </w:pPr>
    </w:p>
    <w:p w14:paraId="250A2920" w14:textId="77777777" w:rsidR="00CC02A4" w:rsidRPr="005E0C95" w:rsidRDefault="00CC02A4" w:rsidP="00E32C83">
      <w:pPr>
        <w:keepNext/>
        <w:tabs>
          <w:tab w:val="right" w:pos="3600"/>
        </w:tabs>
        <w:spacing w:line="240" w:lineRule="auto"/>
      </w:pPr>
    </w:p>
    <w:p w14:paraId="0073FB65" w14:textId="77777777" w:rsidR="00015550" w:rsidRPr="005E0C95" w:rsidRDefault="00015550" w:rsidP="00E32C83">
      <w:pPr>
        <w:keepNext/>
        <w:tabs>
          <w:tab w:val="right" w:pos="3600"/>
        </w:tabs>
        <w:spacing w:line="240" w:lineRule="auto"/>
      </w:pPr>
    </w:p>
    <w:p w14:paraId="11DC67C3" w14:textId="2C219AFD" w:rsidR="00E32C83" w:rsidRPr="005E0C95" w:rsidRDefault="00E32C83" w:rsidP="00E32C83">
      <w:pPr>
        <w:keepNext/>
        <w:tabs>
          <w:tab w:val="right" w:pos="3600"/>
        </w:tabs>
        <w:spacing w:line="240" w:lineRule="auto"/>
      </w:pPr>
      <w:r w:rsidRPr="005E0C95">
        <w:t>O</w:t>
      </w:r>
      <w:r w:rsidR="00175A8B">
        <w:t>’</w:t>
      </w:r>
      <w:r w:rsidRPr="005E0C95">
        <w:t>ROURKE, Acting P. J.</w:t>
      </w:r>
    </w:p>
    <w:p w14:paraId="5650346C" w14:textId="00B83C1D" w:rsidR="00015550" w:rsidRPr="005E0C95" w:rsidRDefault="00015550" w:rsidP="00E32C83">
      <w:pPr>
        <w:keepNext/>
        <w:tabs>
          <w:tab w:val="right" w:pos="3600"/>
        </w:tabs>
        <w:spacing w:line="240" w:lineRule="auto"/>
      </w:pPr>
    </w:p>
    <w:p w14:paraId="36E6CA26" w14:textId="77777777" w:rsidR="00CC02A4" w:rsidRPr="005E0C95" w:rsidRDefault="00CC02A4" w:rsidP="00E32C83">
      <w:pPr>
        <w:keepNext/>
        <w:tabs>
          <w:tab w:val="right" w:pos="3600"/>
        </w:tabs>
        <w:spacing w:line="240" w:lineRule="auto"/>
      </w:pPr>
    </w:p>
    <w:p w14:paraId="0D992932" w14:textId="77777777" w:rsidR="00015550" w:rsidRPr="005E0C95" w:rsidRDefault="00015550" w:rsidP="00E32C83">
      <w:pPr>
        <w:keepNext/>
        <w:tabs>
          <w:tab w:val="right" w:pos="3600"/>
        </w:tabs>
        <w:spacing w:line="240" w:lineRule="auto"/>
      </w:pPr>
    </w:p>
    <w:p w14:paraId="6CDC7775" w14:textId="20439E26" w:rsidR="00E32C83" w:rsidRPr="00E32C83" w:rsidRDefault="00E32C83" w:rsidP="00BA57BA">
      <w:pPr>
        <w:keepNext/>
        <w:tabs>
          <w:tab w:val="right" w:pos="3600"/>
        </w:tabs>
        <w:spacing w:line="240" w:lineRule="auto"/>
      </w:pPr>
      <w:r w:rsidRPr="005E0C95">
        <w:t>DO, J.</w:t>
      </w:r>
    </w:p>
    <w:sectPr w:rsidR="00E32C83" w:rsidRPr="00E32C83" w:rsidSect="009957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CB02" w14:textId="77777777" w:rsidR="00C056F1" w:rsidRDefault="00C056F1" w:rsidP="0003284A">
      <w:pPr>
        <w:spacing w:line="240" w:lineRule="auto"/>
      </w:pPr>
      <w:r>
        <w:separator/>
      </w:r>
    </w:p>
  </w:endnote>
  <w:endnote w:type="continuationSeparator" w:id="0">
    <w:p w14:paraId="2B39E0B7" w14:textId="77777777" w:rsidR="00C056F1" w:rsidRDefault="00C056F1" w:rsidP="00032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FD6D" w14:textId="77777777" w:rsidR="00116953" w:rsidRDefault="00116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6672"/>
      <w:docPartObj>
        <w:docPartGallery w:val="Page Numbers (Bottom of Page)"/>
        <w:docPartUnique/>
      </w:docPartObj>
    </w:sdtPr>
    <w:sdtEndPr/>
    <w:sdtContent>
      <w:p w14:paraId="731A9BAF" w14:textId="77777777" w:rsidR="0003284A" w:rsidRDefault="004433CB">
        <w:pPr>
          <w:pStyle w:val="Footer"/>
          <w:jc w:val="center"/>
        </w:pPr>
        <w:r>
          <w:fldChar w:fldCharType="begin"/>
        </w:r>
        <w:r>
          <w:instrText xml:space="preserve"> PAGE   \* MERGEFORMAT </w:instrText>
        </w:r>
        <w:r>
          <w:fldChar w:fldCharType="separate"/>
        </w:r>
        <w:r w:rsidR="0003284A">
          <w:rPr>
            <w:noProof/>
          </w:rPr>
          <w:t>1</w:t>
        </w:r>
        <w:r>
          <w:rPr>
            <w:noProof/>
          </w:rPr>
          <w:fldChar w:fldCharType="end"/>
        </w:r>
      </w:p>
    </w:sdtContent>
  </w:sdt>
  <w:p w14:paraId="5ED37C30" w14:textId="77777777" w:rsidR="0003284A" w:rsidRDefault="00032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C41D" w14:textId="77777777" w:rsidR="0003284A" w:rsidRDefault="0003284A" w:rsidP="00032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ED29" w14:textId="77777777" w:rsidR="00C056F1" w:rsidRDefault="00C056F1" w:rsidP="0003284A">
      <w:pPr>
        <w:spacing w:line="240" w:lineRule="auto"/>
      </w:pPr>
      <w:r>
        <w:separator/>
      </w:r>
    </w:p>
  </w:footnote>
  <w:footnote w:type="continuationSeparator" w:id="0">
    <w:p w14:paraId="4BF00931" w14:textId="77777777" w:rsidR="00C056F1" w:rsidRDefault="00C056F1" w:rsidP="0003284A">
      <w:pPr>
        <w:spacing w:line="240" w:lineRule="auto"/>
      </w:pPr>
      <w:r>
        <w:continuationSeparator/>
      </w:r>
    </w:p>
  </w:footnote>
  <w:footnote w:id="1">
    <w:p w14:paraId="3798B9C1" w14:textId="690135C7" w:rsidR="00752AA3" w:rsidRPr="005E0C95" w:rsidRDefault="00752AA3">
      <w:pPr>
        <w:pStyle w:val="FootnoteText"/>
      </w:pPr>
      <w:r w:rsidRPr="005E0C95">
        <w:rPr>
          <w:rStyle w:val="FootnoteReference"/>
        </w:rPr>
        <w:footnoteRef/>
      </w:r>
      <w:r w:rsidRPr="005E0C95">
        <w:t xml:space="preserve"> </w:t>
      </w:r>
      <w:r w:rsidRPr="005E0C95">
        <w:tab/>
      </w:r>
      <w:r w:rsidR="00BF6A38" w:rsidRPr="005E0C95">
        <w:t>Undesignated s</w:t>
      </w:r>
      <w:r w:rsidR="00F40A1F" w:rsidRPr="005E0C95">
        <w:t>tatutory</w:t>
      </w:r>
      <w:r w:rsidRPr="005E0C95">
        <w:t xml:space="preserve"> references are to the Code of Civil Procedure</w:t>
      </w:r>
      <w:r w:rsidR="00F40A1F" w:rsidRPr="005E0C95">
        <w:t xml:space="preserve"> unless otherwise indicated</w:t>
      </w:r>
      <w:r w:rsidRPr="005E0C95">
        <w:t xml:space="preserve">. </w:t>
      </w:r>
    </w:p>
  </w:footnote>
  <w:footnote w:id="2">
    <w:p w14:paraId="5DDE36C7" w14:textId="2A7C45C2" w:rsidR="00C86A35" w:rsidRPr="005E0C95" w:rsidRDefault="00B03E7E">
      <w:pPr>
        <w:pStyle w:val="FootnoteText"/>
      </w:pPr>
      <w:r w:rsidRPr="005E0C95">
        <w:rPr>
          <w:rStyle w:val="FootnoteReference"/>
        </w:rPr>
        <w:footnoteRef/>
      </w:r>
      <w:r w:rsidRPr="005E0C95">
        <w:t xml:space="preserve"> </w:t>
      </w:r>
      <w:r w:rsidRPr="005E0C95">
        <w:tab/>
        <w:t>JAMS stands for Judicial Arbitration and Mediation Services.</w:t>
      </w:r>
    </w:p>
  </w:footnote>
  <w:footnote w:id="3">
    <w:p w14:paraId="7BBA252F" w14:textId="51AAD524" w:rsidR="00AB5482" w:rsidRPr="005E0C95" w:rsidRDefault="00AB5482" w:rsidP="00AB5482">
      <w:pPr>
        <w:pStyle w:val="FootnoteText"/>
      </w:pPr>
      <w:r w:rsidRPr="005E0C95">
        <w:rPr>
          <w:rStyle w:val="FootnoteReference"/>
        </w:rPr>
        <w:footnoteRef/>
      </w:r>
      <w:r w:rsidRPr="005E0C95">
        <w:t xml:space="preserve"> </w:t>
      </w:r>
      <w:r w:rsidRPr="005E0C95">
        <w:tab/>
      </w:r>
      <w:r w:rsidR="00A10E77" w:rsidRPr="005E0C95">
        <w:t xml:space="preserve">The primary difference between sections 1281.97 and 1281.98 is that “section 1281.97 concerns a failure to timely pay ‘the fees or costs to </w:t>
      </w:r>
      <w:r w:rsidR="00A10E77" w:rsidRPr="005E0C95">
        <w:rPr>
          <w:i/>
          <w:iCs/>
        </w:rPr>
        <w:t>initiate</w:t>
      </w:r>
      <w:r w:rsidR="00A10E77" w:rsidRPr="005E0C95">
        <w:t>’ an arbitration proceeding</w:t>
      </w:r>
      <w:r w:rsidR="00BE04E3" w:rsidRPr="005E0C95">
        <w:t>,</w:t>
      </w:r>
      <w:r w:rsidR="00A10E77" w:rsidRPr="005E0C95">
        <w:t xml:space="preserve">” whereas “section 1281.98 concerns a failure to timely pay ‘the fees or costs required to </w:t>
      </w:r>
      <w:r w:rsidR="00A10E77" w:rsidRPr="005E0C95">
        <w:rPr>
          <w:i/>
          <w:iCs/>
        </w:rPr>
        <w:t>continue</w:t>
      </w:r>
      <w:r w:rsidR="00A10E77" w:rsidRPr="005E0C95">
        <w:t>’ an arbitration proceeding.” (</w:t>
      </w:r>
      <w:r w:rsidR="00A10E77" w:rsidRPr="005E0C95">
        <w:rPr>
          <w:i/>
          <w:iCs/>
        </w:rPr>
        <w:t>De Leon</w:t>
      </w:r>
      <w:r w:rsidR="000F5EF8" w:rsidRPr="005E0C95">
        <w:rPr>
          <w:i/>
          <w:iCs/>
        </w:rPr>
        <w:t>, supra,</w:t>
      </w:r>
      <w:r w:rsidR="00A10E77" w:rsidRPr="005E0C95">
        <w:rPr>
          <w:i/>
          <w:iCs/>
        </w:rPr>
        <w:t xml:space="preserve"> </w:t>
      </w:r>
      <w:r w:rsidR="00A10E77" w:rsidRPr="005E0C95">
        <w:t xml:space="preserve">85 Cal.App.5th </w:t>
      </w:r>
      <w:r w:rsidR="000F5EF8" w:rsidRPr="005E0C95">
        <w:t>at p. </w:t>
      </w:r>
      <w:r w:rsidR="00A10E77" w:rsidRPr="005E0C95">
        <w:t>750, quoting §§</w:t>
      </w:r>
      <w:r w:rsidR="000679E7" w:rsidRPr="005E0C95">
        <w:t> </w:t>
      </w:r>
      <w:r w:rsidR="00A10E77" w:rsidRPr="005E0C95">
        <w:t>1281.97, subd. (a)(1), 1281.98, subd. (a)(1).)</w:t>
      </w:r>
      <w:r w:rsidR="00861D98" w:rsidRPr="005E0C95">
        <w:t xml:space="preserve">  Because this case focuses on initial fees, we will refer primarily to section 1281.97.</w:t>
      </w:r>
    </w:p>
  </w:footnote>
  <w:footnote w:id="4">
    <w:p w14:paraId="0551BF59" w14:textId="3692DA14" w:rsidR="000E28A8" w:rsidRPr="005E0C95" w:rsidRDefault="000E28A8" w:rsidP="00A54F9C">
      <w:pPr>
        <w:pStyle w:val="FootnoteText"/>
        <w:keepLines w:val="0"/>
      </w:pPr>
      <w:r w:rsidRPr="005E0C95">
        <w:rPr>
          <w:rStyle w:val="FootnoteReference"/>
        </w:rPr>
        <w:footnoteRef/>
      </w:r>
      <w:r w:rsidRPr="005E0C95">
        <w:t xml:space="preserve"> </w:t>
      </w:r>
      <w:r w:rsidRPr="005E0C95">
        <w:tab/>
      </w:r>
      <w:r w:rsidR="008E5A6F">
        <w:t xml:space="preserve">The overriding moral of this story may be to pay your bills on time.  </w:t>
      </w:r>
      <w:r w:rsidRPr="005E0C95">
        <w:t>As</w:t>
      </w:r>
      <w:r w:rsidR="008E5A6F">
        <w:t> </w:t>
      </w:r>
      <w:r w:rsidRPr="005E0C95">
        <w:t xml:space="preserve">the </w:t>
      </w:r>
      <w:r w:rsidRPr="005E0C95">
        <w:rPr>
          <w:i/>
          <w:iCs/>
        </w:rPr>
        <w:t xml:space="preserve">Doe </w:t>
      </w:r>
      <w:r w:rsidRPr="005E0C95">
        <w:t>court explained, “</w:t>
      </w:r>
      <w:r w:rsidR="00333F7D" w:rsidRPr="005E0C95">
        <w:t>O</w:t>
      </w:r>
      <w:r w:rsidRPr="005E0C95">
        <w:t xml:space="preserve">ne of the Legislature’s main objectives was to deter employers from strategically withholding payments of arbitration fees so </w:t>
      </w:r>
      <w:r w:rsidR="00BD2158" w:rsidRPr="005E0C95">
        <w:t xml:space="preserve">that </w:t>
      </w:r>
      <w:r w:rsidRPr="005E0C95">
        <w:t>they could no longer stymie the ability of employees to assert their legal rights.  To do this, the Legislature established strict breach provisions for nonpayment . . . </w:t>
      </w:r>
      <w:r w:rsidR="004F5631" w:rsidRPr="005E0C95">
        <w:t xml:space="preserve">.  </w:t>
      </w:r>
      <w:r w:rsidRPr="005E0C95">
        <w:rPr>
          <w:i/>
          <w:iCs/>
        </w:rPr>
        <w:t>Any</w:t>
      </w:r>
      <w:r w:rsidRPr="005E0C95">
        <w:t xml:space="preserve"> untimely payment constituted a material breach regardless of the circumstances or status of the arbitration proceedings.” </w:t>
      </w:r>
      <w:r w:rsidR="005F6F2B" w:rsidRPr="005E0C95">
        <w:t xml:space="preserve"> </w:t>
      </w:r>
      <w:r w:rsidRPr="005E0C95">
        <w:t>(</w:t>
      </w:r>
      <w:r w:rsidR="00023C17">
        <w:rPr>
          <w:i/>
          <w:iCs/>
        </w:rPr>
        <w:t xml:space="preserve">Doe, supra, </w:t>
      </w:r>
      <w:r w:rsidR="00754E43">
        <w:rPr>
          <w:i/>
          <w:iCs/>
        </w:rPr>
        <w:t>s</w:t>
      </w:r>
      <w:r w:rsidR="00F51857" w:rsidRPr="005E0C95">
        <w:t>95 Cal.App.5th</w:t>
      </w:r>
      <w:r w:rsidR="00F51857" w:rsidRPr="005E0C95">
        <w:rPr>
          <w:i/>
          <w:iCs/>
        </w:rPr>
        <w:t xml:space="preserve"> </w:t>
      </w:r>
      <w:r w:rsidRPr="005E0C95">
        <w:t>at p. 357</w:t>
      </w:r>
      <w:r w:rsidR="00AF7309" w:rsidRPr="005E0C95">
        <w:t>.</w:t>
      </w:r>
      <w:r w:rsidRPr="005E0C95">
        <w:t>)  Moreover, the statutes contemplate that “such breaches [will be] strictly enforced.”  (</w:t>
      </w:r>
      <w:r w:rsidRPr="005E0C95">
        <w:rPr>
          <w:i/>
          <w:iCs/>
        </w:rPr>
        <w:t>Ibid.</w:t>
      </w:r>
      <w:r w:rsidRPr="005E0C95">
        <w:t>)</w:t>
      </w:r>
    </w:p>
    <w:p w14:paraId="6BCDDA40" w14:textId="77777777" w:rsidR="00A54F9C" w:rsidRPr="005E0C95" w:rsidRDefault="00A54F9C" w:rsidP="00E40BB4">
      <w:pPr>
        <w:pStyle w:val="FootnoteText"/>
        <w:keepLines w:val="0"/>
        <w:spacing w:line="120" w:lineRule="auto"/>
      </w:pPr>
    </w:p>
  </w:footnote>
  <w:footnote w:id="5">
    <w:p w14:paraId="06A628F5" w14:textId="53639F6E" w:rsidR="00103E09" w:rsidRPr="005E0C95" w:rsidRDefault="00103E09">
      <w:pPr>
        <w:pStyle w:val="FootnoteText"/>
      </w:pPr>
      <w:r w:rsidRPr="005E0C95">
        <w:rPr>
          <w:rStyle w:val="FootnoteReference"/>
        </w:rPr>
        <w:footnoteRef/>
      </w:r>
      <w:r w:rsidRPr="005E0C95">
        <w:t xml:space="preserve"> </w:t>
      </w:r>
      <w:r w:rsidRPr="005E0C95">
        <w:tab/>
        <w:t>Section 12 provides:  “The time in which any act provided by law is to be done is computed by excluding the first day, and including the last, unless the last day is a holiday, and then it is also excluded.”</w:t>
      </w:r>
    </w:p>
  </w:footnote>
  <w:footnote w:id="6">
    <w:p w14:paraId="1421EE1F" w14:textId="39D7745C" w:rsidR="009F3C67" w:rsidRDefault="009F3C67" w:rsidP="00F775F5">
      <w:pPr>
        <w:pStyle w:val="FootnoteText"/>
        <w:keepLines w:val="0"/>
      </w:pPr>
      <w:r w:rsidRPr="005E0C95">
        <w:rPr>
          <w:rStyle w:val="FootnoteReference"/>
        </w:rPr>
        <w:footnoteRef/>
      </w:r>
      <w:r w:rsidRPr="005E0C95">
        <w:t xml:space="preserve"> </w:t>
      </w:r>
      <w:r w:rsidRPr="005E0C95">
        <w:tab/>
        <w:t xml:space="preserve">R&amp;S relies on language in the arbitration agreement that it claims “adopted the Code of Civil Procedure for a broad set of activities and motion practice” to suggest that incorporation of section </w:t>
      </w:r>
      <w:r w:rsidR="007F0747" w:rsidRPr="005E0C95">
        <w:t>1010.6</w:t>
      </w:r>
      <w:r w:rsidRPr="005E0C95">
        <w:t xml:space="preserve"> was necessarily implied.  But the language it cites is specific, incorporating the “California rules of civil procedure relating to pleading, . . . evidence, motions for summary judgment, judgment on the pleadings and judgment under Code of Civil Procedure Section 631.8.”  This enumerated list appears to be exhaustive rather than illustrative</w:t>
      </w:r>
      <w:r w:rsidR="00504A3C" w:rsidRPr="005E0C95">
        <w:t>.  There is no reason to think</w:t>
      </w:r>
      <w:r w:rsidRPr="005E0C95">
        <w:t xml:space="preserve"> the arbitration agreement contemplate</w:t>
      </w:r>
      <w:r w:rsidR="00504A3C" w:rsidRPr="005E0C95">
        <w:t>d</w:t>
      </w:r>
      <w:r w:rsidRPr="005E0C95">
        <w:t xml:space="preserve"> the inclusion of other, un</w:t>
      </w:r>
      <w:r w:rsidR="00504A3C" w:rsidRPr="005E0C95">
        <w:t>specified rules and procedures</w:t>
      </w:r>
      <w:r w:rsidRPr="005E0C95">
        <w:t xml:space="preserve">. </w:t>
      </w:r>
      <w:r w:rsidR="00504A3C" w:rsidRPr="005E0C95">
        <w:t xml:space="preserve"> In any event</w:t>
      </w:r>
      <w:r w:rsidRPr="005E0C95">
        <w:t xml:space="preserve">, an arbitration invoice is not </w:t>
      </w:r>
      <w:r w:rsidR="00504A3C" w:rsidRPr="005E0C95">
        <w:t xml:space="preserve">even reasonably </w:t>
      </w:r>
      <w:r w:rsidRPr="005E0C95">
        <w:t xml:space="preserve">related to </w:t>
      </w:r>
      <w:r w:rsidR="00504A3C" w:rsidRPr="005E0C95">
        <w:t xml:space="preserve">the subjects of </w:t>
      </w:r>
      <w:r w:rsidRPr="005E0C95">
        <w:t>pleading, evidence, motions for summary judgment, judgment on the pleadings or judgment under section 631.8.</w:t>
      </w:r>
      <w:r w:rsidRPr="009F3C6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94E7" w14:textId="77777777" w:rsidR="00116953" w:rsidRDefault="00116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CE7E" w14:textId="77777777" w:rsidR="00116953" w:rsidRDefault="00116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C8B8" w14:textId="77777777" w:rsidR="00116953" w:rsidRDefault="00116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3FB"/>
    <w:multiLevelType w:val="hybridMultilevel"/>
    <w:tmpl w:val="E2E28190"/>
    <w:lvl w:ilvl="0" w:tplc="2D7C3D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F5ECC"/>
    <w:multiLevelType w:val="hybridMultilevel"/>
    <w:tmpl w:val="EDD6DED2"/>
    <w:lvl w:ilvl="0" w:tplc="2D7C3D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634D3"/>
    <w:multiLevelType w:val="hybridMultilevel"/>
    <w:tmpl w:val="4DE49BE2"/>
    <w:lvl w:ilvl="0" w:tplc="A41AEE26">
      <w:start w:val="1"/>
      <w:numFmt w:val="upperLetter"/>
      <w:lvlText w:val="%1."/>
      <w:lvlJc w:val="righ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00396"/>
    <w:multiLevelType w:val="hybridMultilevel"/>
    <w:tmpl w:val="C28C0E96"/>
    <w:lvl w:ilvl="0" w:tplc="A6885FCE">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541477">
    <w:abstractNumId w:val="2"/>
  </w:num>
  <w:num w:numId="2" w16cid:durableId="967198409">
    <w:abstractNumId w:val="3"/>
  </w:num>
  <w:num w:numId="3" w16cid:durableId="1671173905">
    <w:abstractNumId w:val="1"/>
  </w:num>
  <w:num w:numId="4" w16cid:durableId="76029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F1"/>
    <w:rsid w:val="0000689B"/>
    <w:rsid w:val="00010FF5"/>
    <w:rsid w:val="00011BAB"/>
    <w:rsid w:val="00015550"/>
    <w:rsid w:val="00016C43"/>
    <w:rsid w:val="00021969"/>
    <w:rsid w:val="00023C17"/>
    <w:rsid w:val="00026ACC"/>
    <w:rsid w:val="0003284A"/>
    <w:rsid w:val="00042BE6"/>
    <w:rsid w:val="000523E5"/>
    <w:rsid w:val="00063DBE"/>
    <w:rsid w:val="000679E7"/>
    <w:rsid w:val="000714CB"/>
    <w:rsid w:val="000A760F"/>
    <w:rsid w:val="000B7A9B"/>
    <w:rsid w:val="000C02DB"/>
    <w:rsid w:val="000D2AF8"/>
    <w:rsid w:val="000E28A8"/>
    <w:rsid w:val="000E73A5"/>
    <w:rsid w:val="000F5EF8"/>
    <w:rsid w:val="00103E09"/>
    <w:rsid w:val="00105965"/>
    <w:rsid w:val="00116953"/>
    <w:rsid w:val="00123F1E"/>
    <w:rsid w:val="00132957"/>
    <w:rsid w:val="0014198A"/>
    <w:rsid w:val="00141CE9"/>
    <w:rsid w:val="00145103"/>
    <w:rsid w:val="00146C5B"/>
    <w:rsid w:val="001521FC"/>
    <w:rsid w:val="001525BE"/>
    <w:rsid w:val="00154494"/>
    <w:rsid w:val="00166B0D"/>
    <w:rsid w:val="001700D6"/>
    <w:rsid w:val="00175A8B"/>
    <w:rsid w:val="001803CA"/>
    <w:rsid w:val="001862C3"/>
    <w:rsid w:val="0019382C"/>
    <w:rsid w:val="001A0A2C"/>
    <w:rsid w:val="001B0E0D"/>
    <w:rsid w:val="001C3142"/>
    <w:rsid w:val="001D276C"/>
    <w:rsid w:val="001D6785"/>
    <w:rsid w:val="001E2664"/>
    <w:rsid w:val="001E39DD"/>
    <w:rsid w:val="001E65CE"/>
    <w:rsid w:val="001F1180"/>
    <w:rsid w:val="001F3971"/>
    <w:rsid w:val="00200D17"/>
    <w:rsid w:val="00207EA2"/>
    <w:rsid w:val="002130ED"/>
    <w:rsid w:val="00225ADD"/>
    <w:rsid w:val="00243004"/>
    <w:rsid w:val="002523BC"/>
    <w:rsid w:val="002646E1"/>
    <w:rsid w:val="00267FC2"/>
    <w:rsid w:val="00285FEA"/>
    <w:rsid w:val="00295D53"/>
    <w:rsid w:val="002971D4"/>
    <w:rsid w:val="002A1563"/>
    <w:rsid w:val="002A4E5E"/>
    <w:rsid w:val="002A75FD"/>
    <w:rsid w:val="002A7756"/>
    <w:rsid w:val="002B0F36"/>
    <w:rsid w:val="002B6D9E"/>
    <w:rsid w:val="002C0C40"/>
    <w:rsid w:val="002C69F0"/>
    <w:rsid w:val="002D3EBF"/>
    <w:rsid w:val="002E10F9"/>
    <w:rsid w:val="002E552E"/>
    <w:rsid w:val="002F46F5"/>
    <w:rsid w:val="002F64BD"/>
    <w:rsid w:val="003032D1"/>
    <w:rsid w:val="00303C78"/>
    <w:rsid w:val="00312A13"/>
    <w:rsid w:val="00323642"/>
    <w:rsid w:val="003279F4"/>
    <w:rsid w:val="00333F7D"/>
    <w:rsid w:val="003367C9"/>
    <w:rsid w:val="00345179"/>
    <w:rsid w:val="00354547"/>
    <w:rsid w:val="003655BA"/>
    <w:rsid w:val="003840AB"/>
    <w:rsid w:val="00391832"/>
    <w:rsid w:val="003A6C3B"/>
    <w:rsid w:val="003C0C7F"/>
    <w:rsid w:val="003D6015"/>
    <w:rsid w:val="003D6360"/>
    <w:rsid w:val="003D6643"/>
    <w:rsid w:val="003F5993"/>
    <w:rsid w:val="003F6E3C"/>
    <w:rsid w:val="00406ADD"/>
    <w:rsid w:val="00413C0A"/>
    <w:rsid w:val="00434A2C"/>
    <w:rsid w:val="00434BA0"/>
    <w:rsid w:val="004433CB"/>
    <w:rsid w:val="00453310"/>
    <w:rsid w:val="00455C10"/>
    <w:rsid w:val="00463675"/>
    <w:rsid w:val="004718ED"/>
    <w:rsid w:val="00477F0D"/>
    <w:rsid w:val="00493811"/>
    <w:rsid w:val="004A1775"/>
    <w:rsid w:val="004A3CE6"/>
    <w:rsid w:val="004C0346"/>
    <w:rsid w:val="004D0455"/>
    <w:rsid w:val="004D60A9"/>
    <w:rsid w:val="004E5788"/>
    <w:rsid w:val="004E6874"/>
    <w:rsid w:val="004F1C2C"/>
    <w:rsid w:val="004F5631"/>
    <w:rsid w:val="00503837"/>
    <w:rsid w:val="00504A3C"/>
    <w:rsid w:val="00511BC5"/>
    <w:rsid w:val="0051652A"/>
    <w:rsid w:val="005214BD"/>
    <w:rsid w:val="00530D26"/>
    <w:rsid w:val="005401FA"/>
    <w:rsid w:val="00541B81"/>
    <w:rsid w:val="00543C53"/>
    <w:rsid w:val="005479FD"/>
    <w:rsid w:val="0055301B"/>
    <w:rsid w:val="005673B0"/>
    <w:rsid w:val="005761B9"/>
    <w:rsid w:val="005834EC"/>
    <w:rsid w:val="005A1EF3"/>
    <w:rsid w:val="005A4A3D"/>
    <w:rsid w:val="005B087B"/>
    <w:rsid w:val="005B63FF"/>
    <w:rsid w:val="005C5890"/>
    <w:rsid w:val="005E0C95"/>
    <w:rsid w:val="005F17BB"/>
    <w:rsid w:val="005F6F2B"/>
    <w:rsid w:val="00643A07"/>
    <w:rsid w:val="00651219"/>
    <w:rsid w:val="00654047"/>
    <w:rsid w:val="006549A6"/>
    <w:rsid w:val="00654FA2"/>
    <w:rsid w:val="0067074C"/>
    <w:rsid w:val="00676154"/>
    <w:rsid w:val="00683E30"/>
    <w:rsid w:val="00684C57"/>
    <w:rsid w:val="006A0799"/>
    <w:rsid w:val="006A3B3B"/>
    <w:rsid w:val="006B4568"/>
    <w:rsid w:val="006C308D"/>
    <w:rsid w:val="006E1279"/>
    <w:rsid w:val="006E1FE7"/>
    <w:rsid w:val="006E2594"/>
    <w:rsid w:val="006F1967"/>
    <w:rsid w:val="006F74B9"/>
    <w:rsid w:val="0071549F"/>
    <w:rsid w:val="00720D8C"/>
    <w:rsid w:val="00721790"/>
    <w:rsid w:val="00726956"/>
    <w:rsid w:val="007320A8"/>
    <w:rsid w:val="00734122"/>
    <w:rsid w:val="00742448"/>
    <w:rsid w:val="0074303E"/>
    <w:rsid w:val="007505FB"/>
    <w:rsid w:val="00752AA3"/>
    <w:rsid w:val="00754E43"/>
    <w:rsid w:val="0076479E"/>
    <w:rsid w:val="00767289"/>
    <w:rsid w:val="00781A54"/>
    <w:rsid w:val="00794337"/>
    <w:rsid w:val="007A2E0A"/>
    <w:rsid w:val="007B0CF4"/>
    <w:rsid w:val="007B4644"/>
    <w:rsid w:val="007B69E5"/>
    <w:rsid w:val="007B79CA"/>
    <w:rsid w:val="007D34C6"/>
    <w:rsid w:val="007F0747"/>
    <w:rsid w:val="0080008C"/>
    <w:rsid w:val="00802524"/>
    <w:rsid w:val="008246E6"/>
    <w:rsid w:val="00830820"/>
    <w:rsid w:val="00834AB8"/>
    <w:rsid w:val="00835526"/>
    <w:rsid w:val="008433B4"/>
    <w:rsid w:val="00843955"/>
    <w:rsid w:val="00843E19"/>
    <w:rsid w:val="0084744B"/>
    <w:rsid w:val="00861D98"/>
    <w:rsid w:val="008752B2"/>
    <w:rsid w:val="00875937"/>
    <w:rsid w:val="00884CEA"/>
    <w:rsid w:val="00885D8F"/>
    <w:rsid w:val="008A36FA"/>
    <w:rsid w:val="008B09C1"/>
    <w:rsid w:val="008B1D37"/>
    <w:rsid w:val="008B3B16"/>
    <w:rsid w:val="008C262E"/>
    <w:rsid w:val="008D28AA"/>
    <w:rsid w:val="008D2C6A"/>
    <w:rsid w:val="008D41DC"/>
    <w:rsid w:val="008D6BD5"/>
    <w:rsid w:val="008E0CB6"/>
    <w:rsid w:val="008E1905"/>
    <w:rsid w:val="008E38B3"/>
    <w:rsid w:val="008E3AB1"/>
    <w:rsid w:val="008E5A6F"/>
    <w:rsid w:val="008F2454"/>
    <w:rsid w:val="008F262B"/>
    <w:rsid w:val="008F7D2E"/>
    <w:rsid w:val="00904F92"/>
    <w:rsid w:val="009102A5"/>
    <w:rsid w:val="00915B59"/>
    <w:rsid w:val="009240A7"/>
    <w:rsid w:val="00926DF6"/>
    <w:rsid w:val="009340DF"/>
    <w:rsid w:val="00934D28"/>
    <w:rsid w:val="00935D9B"/>
    <w:rsid w:val="00945519"/>
    <w:rsid w:val="0095615D"/>
    <w:rsid w:val="00964541"/>
    <w:rsid w:val="00973304"/>
    <w:rsid w:val="00975562"/>
    <w:rsid w:val="00985A64"/>
    <w:rsid w:val="00995705"/>
    <w:rsid w:val="00995A5E"/>
    <w:rsid w:val="009A0551"/>
    <w:rsid w:val="009A45BA"/>
    <w:rsid w:val="009A72FF"/>
    <w:rsid w:val="009B7AF1"/>
    <w:rsid w:val="009F3C67"/>
    <w:rsid w:val="00A026F2"/>
    <w:rsid w:val="00A05B90"/>
    <w:rsid w:val="00A1031D"/>
    <w:rsid w:val="00A10E77"/>
    <w:rsid w:val="00A2109E"/>
    <w:rsid w:val="00A30DEF"/>
    <w:rsid w:val="00A32309"/>
    <w:rsid w:val="00A54F9C"/>
    <w:rsid w:val="00A64B7F"/>
    <w:rsid w:val="00A82953"/>
    <w:rsid w:val="00AA7B9B"/>
    <w:rsid w:val="00AB0412"/>
    <w:rsid w:val="00AB2368"/>
    <w:rsid w:val="00AB5482"/>
    <w:rsid w:val="00AB641D"/>
    <w:rsid w:val="00AC6DCF"/>
    <w:rsid w:val="00AD1038"/>
    <w:rsid w:val="00AE214D"/>
    <w:rsid w:val="00AE256A"/>
    <w:rsid w:val="00AE4439"/>
    <w:rsid w:val="00AE658E"/>
    <w:rsid w:val="00AF5D64"/>
    <w:rsid w:val="00AF7309"/>
    <w:rsid w:val="00AF78AA"/>
    <w:rsid w:val="00B03E7E"/>
    <w:rsid w:val="00B15D1D"/>
    <w:rsid w:val="00B36DC1"/>
    <w:rsid w:val="00B43067"/>
    <w:rsid w:val="00B636BD"/>
    <w:rsid w:val="00B91300"/>
    <w:rsid w:val="00B9496F"/>
    <w:rsid w:val="00B9761C"/>
    <w:rsid w:val="00B97A8C"/>
    <w:rsid w:val="00BA20D4"/>
    <w:rsid w:val="00BA57BA"/>
    <w:rsid w:val="00BB3021"/>
    <w:rsid w:val="00BC29C5"/>
    <w:rsid w:val="00BC51E4"/>
    <w:rsid w:val="00BD2158"/>
    <w:rsid w:val="00BD7046"/>
    <w:rsid w:val="00BE04E3"/>
    <w:rsid w:val="00BE428D"/>
    <w:rsid w:val="00BE7FA5"/>
    <w:rsid w:val="00BF321D"/>
    <w:rsid w:val="00BF6A38"/>
    <w:rsid w:val="00C056F1"/>
    <w:rsid w:val="00C10B82"/>
    <w:rsid w:val="00C11BD1"/>
    <w:rsid w:val="00C20E86"/>
    <w:rsid w:val="00C21B8B"/>
    <w:rsid w:val="00C2672B"/>
    <w:rsid w:val="00C363BA"/>
    <w:rsid w:val="00C4403E"/>
    <w:rsid w:val="00C52082"/>
    <w:rsid w:val="00C63A88"/>
    <w:rsid w:val="00C656D9"/>
    <w:rsid w:val="00C7353E"/>
    <w:rsid w:val="00C73FED"/>
    <w:rsid w:val="00C76DF7"/>
    <w:rsid w:val="00C80565"/>
    <w:rsid w:val="00C86A35"/>
    <w:rsid w:val="00CA6034"/>
    <w:rsid w:val="00CA7FD8"/>
    <w:rsid w:val="00CB5240"/>
    <w:rsid w:val="00CC02A4"/>
    <w:rsid w:val="00CC02EE"/>
    <w:rsid w:val="00CC03D3"/>
    <w:rsid w:val="00CD45B6"/>
    <w:rsid w:val="00CE0E97"/>
    <w:rsid w:val="00CE25D2"/>
    <w:rsid w:val="00CE6116"/>
    <w:rsid w:val="00CE64EB"/>
    <w:rsid w:val="00CF7758"/>
    <w:rsid w:val="00D02A19"/>
    <w:rsid w:val="00D04711"/>
    <w:rsid w:val="00D06A3B"/>
    <w:rsid w:val="00D077AE"/>
    <w:rsid w:val="00D10E0A"/>
    <w:rsid w:val="00D1760E"/>
    <w:rsid w:val="00D25845"/>
    <w:rsid w:val="00D26307"/>
    <w:rsid w:val="00D26645"/>
    <w:rsid w:val="00D27E28"/>
    <w:rsid w:val="00D34585"/>
    <w:rsid w:val="00D36EDA"/>
    <w:rsid w:val="00D379BA"/>
    <w:rsid w:val="00D42F59"/>
    <w:rsid w:val="00D443D7"/>
    <w:rsid w:val="00D45931"/>
    <w:rsid w:val="00D45AEF"/>
    <w:rsid w:val="00D6028E"/>
    <w:rsid w:val="00D60942"/>
    <w:rsid w:val="00D61AB5"/>
    <w:rsid w:val="00D625D2"/>
    <w:rsid w:val="00D72394"/>
    <w:rsid w:val="00D846D5"/>
    <w:rsid w:val="00D8784B"/>
    <w:rsid w:val="00D91C7B"/>
    <w:rsid w:val="00D92A5B"/>
    <w:rsid w:val="00D95106"/>
    <w:rsid w:val="00DB21A6"/>
    <w:rsid w:val="00DD7BFB"/>
    <w:rsid w:val="00DE07D9"/>
    <w:rsid w:val="00DE371E"/>
    <w:rsid w:val="00E32C83"/>
    <w:rsid w:val="00E32D82"/>
    <w:rsid w:val="00E4061A"/>
    <w:rsid w:val="00E40973"/>
    <w:rsid w:val="00E40BB4"/>
    <w:rsid w:val="00E41FC0"/>
    <w:rsid w:val="00E7626C"/>
    <w:rsid w:val="00E810EF"/>
    <w:rsid w:val="00E81F4A"/>
    <w:rsid w:val="00E85BF3"/>
    <w:rsid w:val="00EA1087"/>
    <w:rsid w:val="00EB3710"/>
    <w:rsid w:val="00EB39D6"/>
    <w:rsid w:val="00EB63DB"/>
    <w:rsid w:val="00EC16E4"/>
    <w:rsid w:val="00EC2726"/>
    <w:rsid w:val="00EC409B"/>
    <w:rsid w:val="00EC4B3D"/>
    <w:rsid w:val="00ED7E73"/>
    <w:rsid w:val="00EE284D"/>
    <w:rsid w:val="00EE5D0C"/>
    <w:rsid w:val="00EE79F0"/>
    <w:rsid w:val="00EF62B1"/>
    <w:rsid w:val="00F0145E"/>
    <w:rsid w:val="00F06426"/>
    <w:rsid w:val="00F1006D"/>
    <w:rsid w:val="00F26444"/>
    <w:rsid w:val="00F40A1F"/>
    <w:rsid w:val="00F440DD"/>
    <w:rsid w:val="00F51857"/>
    <w:rsid w:val="00F5779A"/>
    <w:rsid w:val="00F60AC6"/>
    <w:rsid w:val="00F775F5"/>
    <w:rsid w:val="00FA0138"/>
    <w:rsid w:val="00FC6C44"/>
    <w:rsid w:val="00FC7E3F"/>
    <w:rsid w:val="00FD76DD"/>
    <w:rsid w:val="00FE0218"/>
    <w:rsid w:val="00FE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680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sz w:val="26"/>
        <w:szCs w:val="26"/>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9E"/>
  </w:style>
  <w:style w:type="paragraph" w:styleId="Heading1">
    <w:name w:val="heading 1"/>
    <w:basedOn w:val="Normal"/>
    <w:next w:val="Normal"/>
    <w:link w:val="Heading1Char"/>
    <w:uiPriority w:val="9"/>
    <w:qFormat/>
    <w:rsid w:val="007647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647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6479E"/>
    <w:pPr>
      <w:keepNext/>
      <w:spacing w:before="240" w:after="60"/>
      <w:outlineLvl w:val="2"/>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76479E"/>
    <w:pPr>
      <w:spacing w:before="240" w:after="60"/>
      <w:outlineLvl w:val="5"/>
    </w:pPr>
    <w:rPr>
      <w:b/>
      <w:bCs/>
    </w:rPr>
  </w:style>
  <w:style w:type="paragraph" w:styleId="Heading7">
    <w:name w:val="heading 7"/>
    <w:basedOn w:val="Normal"/>
    <w:next w:val="Normal"/>
    <w:link w:val="Heading7Char"/>
    <w:uiPriority w:val="9"/>
    <w:semiHidden/>
    <w:unhideWhenUsed/>
    <w:qFormat/>
    <w:rsid w:val="0076479E"/>
    <w:pPr>
      <w:spacing w:before="240" w:after="60"/>
      <w:outlineLvl w:val="6"/>
    </w:pPr>
    <w:rPr>
      <w:sz w:val="24"/>
    </w:rPr>
  </w:style>
  <w:style w:type="paragraph" w:styleId="Heading8">
    <w:name w:val="heading 8"/>
    <w:basedOn w:val="Normal"/>
    <w:next w:val="Normal"/>
    <w:link w:val="Heading8Char"/>
    <w:uiPriority w:val="9"/>
    <w:semiHidden/>
    <w:unhideWhenUsed/>
    <w:qFormat/>
    <w:rsid w:val="007647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6479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7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647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6479E"/>
    <w:rPr>
      <w:rFonts w:asciiTheme="majorHAnsi" w:eastAsiaTheme="majorEastAsia" w:hAnsiTheme="majorHAnsi"/>
      <w:b/>
      <w:bCs/>
      <w:szCs w:val="26"/>
    </w:rPr>
  </w:style>
  <w:style w:type="character" w:customStyle="1" w:styleId="Heading6Char">
    <w:name w:val="Heading 6 Char"/>
    <w:basedOn w:val="DefaultParagraphFont"/>
    <w:link w:val="Heading6"/>
    <w:uiPriority w:val="9"/>
    <w:semiHidden/>
    <w:rsid w:val="0076479E"/>
    <w:rPr>
      <w:b/>
      <w:bCs/>
      <w:szCs w:val="26"/>
    </w:rPr>
  </w:style>
  <w:style w:type="character" w:customStyle="1" w:styleId="Heading7Char">
    <w:name w:val="Heading 7 Char"/>
    <w:basedOn w:val="DefaultParagraphFont"/>
    <w:link w:val="Heading7"/>
    <w:uiPriority w:val="9"/>
    <w:semiHidden/>
    <w:rsid w:val="0076479E"/>
    <w:rPr>
      <w:sz w:val="24"/>
    </w:rPr>
  </w:style>
  <w:style w:type="character" w:customStyle="1" w:styleId="Heading8Char">
    <w:name w:val="Heading 8 Char"/>
    <w:basedOn w:val="DefaultParagraphFont"/>
    <w:link w:val="Heading8"/>
    <w:uiPriority w:val="9"/>
    <w:semiHidden/>
    <w:rsid w:val="0076479E"/>
    <w:rPr>
      <w:i/>
      <w:iCs/>
      <w:sz w:val="24"/>
    </w:rPr>
  </w:style>
  <w:style w:type="character" w:customStyle="1" w:styleId="Heading9Char">
    <w:name w:val="Heading 9 Char"/>
    <w:basedOn w:val="DefaultParagraphFont"/>
    <w:link w:val="Heading9"/>
    <w:uiPriority w:val="9"/>
    <w:semiHidden/>
    <w:rsid w:val="0076479E"/>
    <w:rPr>
      <w:rFonts w:asciiTheme="majorHAnsi" w:eastAsiaTheme="majorEastAsia" w:hAnsiTheme="majorHAnsi"/>
      <w:szCs w:val="26"/>
    </w:rPr>
  </w:style>
  <w:style w:type="paragraph" w:styleId="Title">
    <w:name w:val="Title"/>
    <w:basedOn w:val="Normal"/>
    <w:next w:val="Normal"/>
    <w:link w:val="TitleChar"/>
    <w:uiPriority w:val="10"/>
    <w:qFormat/>
    <w:rsid w:val="007647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47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47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6479E"/>
    <w:rPr>
      <w:rFonts w:asciiTheme="majorHAnsi" w:eastAsiaTheme="majorEastAsia" w:hAnsiTheme="majorHAnsi"/>
      <w:sz w:val="24"/>
    </w:rPr>
  </w:style>
  <w:style w:type="paragraph" w:styleId="TOCHeading">
    <w:name w:val="TOC Heading"/>
    <w:basedOn w:val="Heading1"/>
    <w:next w:val="Normal"/>
    <w:uiPriority w:val="39"/>
    <w:semiHidden/>
    <w:unhideWhenUsed/>
    <w:qFormat/>
    <w:rsid w:val="0076479E"/>
    <w:pPr>
      <w:outlineLvl w:val="9"/>
    </w:pPr>
  </w:style>
  <w:style w:type="paragraph" w:styleId="Header">
    <w:name w:val="header"/>
    <w:basedOn w:val="Normal"/>
    <w:link w:val="HeaderChar"/>
    <w:uiPriority w:val="99"/>
    <w:unhideWhenUsed/>
    <w:rsid w:val="0076479E"/>
    <w:pPr>
      <w:tabs>
        <w:tab w:val="center" w:pos="4680"/>
        <w:tab w:val="right" w:pos="9360"/>
      </w:tabs>
      <w:spacing w:line="240" w:lineRule="auto"/>
    </w:pPr>
  </w:style>
  <w:style w:type="character" w:customStyle="1" w:styleId="HeaderChar">
    <w:name w:val="Header Char"/>
    <w:basedOn w:val="DefaultParagraphFont"/>
    <w:link w:val="Header"/>
    <w:uiPriority w:val="99"/>
    <w:rsid w:val="0076479E"/>
  </w:style>
  <w:style w:type="paragraph" w:styleId="Footer">
    <w:name w:val="footer"/>
    <w:basedOn w:val="Normal"/>
    <w:link w:val="FooterChar"/>
    <w:uiPriority w:val="99"/>
    <w:unhideWhenUsed/>
    <w:rsid w:val="0076479E"/>
    <w:pPr>
      <w:tabs>
        <w:tab w:val="center" w:pos="4680"/>
        <w:tab w:val="right" w:pos="9360"/>
      </w:tabs>
      <w:spacing w:line="240" w:lineRule="auto"/>
    </w:pPr>
  </w:style>
  <w:style w:type="character" w:customStyle="1" w:styleId="FooterChar">
    <w:name w:val="Footer Char"/>
    <w:basedOn w:val="DefaultParagraphFont"/>
    <w:link w:val="Footer"/>
    <w:uiPriority w:val="99"/>
    <w:rsid w:val="0076479E"/>
  </w:style>
  <w:style w:type="character" w:styleId="FootnoteReference">
    <w:name w:val="footnote reference"/>
    <w:basedOn w:val="DefaultParagraphFont"/>
    <w:uiPriority w:val="99"/>
    <w:semiHidden/>
    <w:unhideWhenUsed/>
    <w:rsid w:val="0076479E"/>
    <w:rPr>
      <w:rFonts w:ascii="Century Schoolbook" w:hAnsi="Century Schoolbook"/>
      <w:b w:val="0"/>
      <w:i w:val="0"/>
      <w:position w:val="6"/>
      <w:sz w:val="26"/>
      <w:vertAlign w:val="baseline"/>
    </w:rPr>
  </w:style>
  <w:style w:type="paragraph" w:styleId="FootnoteText">
    <w:name w:val="footnote text"/>
    <w:basedOn w:val="Normal"/>
    <w:link w:val="FootnoteTextChar"/>
    <w:uiPriority w:val="99"/>
    <w:unhideWhenUsed/>
    <w:rsid w:val="0076479E"/>
    <w:pPr>
      <w:keepLines/>
      <w:spacing w:line="240" w:lineRule="auto"/>
    </w:pPr>
    <w:rPr>
      <w:szCs w:val="20"/>
    </w:rPr>
  </w:style>
  <w:style w:type="character" w:customStyle="1" w:styleId="FootnoteTextChar">
    <w:name w:val="Footnote Text Char"/>
    <w:basedOn w:val="DefaultParagraphFont"/>
    <w:link w:val="FootnoteText"/>
    <w:uiPriority w:val="99"/>
    <w:rsid w:val="0076479E"/>
    <w:rPr>
      <w:szCs w:val="20"/>
    </w:rPr>
  </w:style>
  <w:style w:type="paragraph" w:styleId="Revision">
    <w:name w:val="Revision"/>
    <w:hidden/>
    <w:uiPriority w:val="99"/>
    <w:semiHidden/>
    <w:rsid w:val="008E38B3"/>
    <w:pPr>
      <w:spacing w:line="240" w:lineRule="auto"/>
    </w:pPr>
  </w:style>
  <w:style w:type="character" w:styleId="CommentReference">
    <w:name w:val="annotation reference"/>
    <w:basedOn w:val="DefaultParagraphFont"/>
    <w:uiPriority w:val="99"/>
    <w:semiHidden/>
    <w:unhideWhenUsed/>
    <w:rsid w:val="00720D8C"/>
    <w:rPr>
      <w:sz w:val="16"/>
      <w:szCs w:val="16"/>
    </w:rPr>
  </w:style>
  <w:style w:type="paragraph" w:styleId="CommentText">
    <w:name w:val="annotation text"/>
    <w:basedOn w:val="Normal"/>
    <w:link w:val="CommentTextChar"/>
    <w:uiPriority w:val="99"/>
    <w:unhideWhenUsed/>
    <w:rsid w:val="00720D8C"/>
    <w:pPr>
      <w:spacing w:line="240" w:lineRule="auto"/>
    </w:pPr>
    <w:rPr>
      <w:sz w:val="20"/>
      <w:szCs w:val="20"/>
    </w:rPr>
  </w:style>
  <w:style w:type="character" w:customStyle="1" w:styleId="CommentTextChar">
    <w:name w:val="Comment Text Char"/>
    <w:basedOn w:val="DefaultParagraphFont"/>
    <w:link w:val="CommentText"/>
    <w:uiPriority w:val="99"/>
    <w:rsid w:val="00720D8C"/>
    <w:rPr>
      <w:sz w:val="20"/>
      <w:szCs w:val="20"/>
    </w:rPr>
  </w:style>
  <w:style w:type="paragraph" w:styleId="CommentSubject">
    <w:name w:val="annotation subject"/>
    <w:basedOn w:val="CommentText"/>
    <w:next w:val="CommentText"/>
    <w:link w:val="CommentSubjectChar"/>
    <w:uiPriority w:val="99"/>
    <w:semiHidden/>
    <w:unhideWhenUsed/>
    <w:rsid w:val="00720D8C"/>
    <w:rPr>
      <w:b/>
      <w:bCs/>
    </w:rPr>
  </w:style>
  <w:style w:type="character" w:customStyle="1" w:styleId="CommentSubjectChar">
    <w:name w:val="Comment Subject Char"/>
    <w:basedOn w:val="CommentTextChar"/>
    <w:link w:val="CommentSubject"/>
    <w:uiPriority w:val="99"/>
    <w:semiHidden/>
    <w:rsid w:val="00720D8C"/>
    <w:rPr>
      <w:b/>
      <w:bCs/>
      <w:sz w:val="20"/>
      <w:szCs w:val="20"/>
    </w:rPr>
  </w:style>
  <w:style w:type="paragraph" w:styleId="ListParagraph">
    <w:name w:val="List Paragraph"/>
    <w:basedOn w:val="Normal"/>
    <w:uiPriority w:val="34"/>
    <w:rsid w:val="00BF321D"/>
    <w:pPr>
      <w:ind w:left="720"/>
      <w:contextualSpacing/>
    </w:pPr>
  </w:style>
  <w:style w:type="character" w:styleId="PlaceholderText">
    <w:name w:val="Placeholder Text"/>
    <w:basedOn w:val="DefaultParagraphFont"/>
    <w:uiPriority w:val="99"/>
    <w:semiHidden/>
    <w:rsid w:val="00A10E77"/>
    <w:rPr>
      <w:color w:val="808080"/>
    </w:rPr>
  </w:style>
  <w:style w:type="character" w:styleId="Hyperlink">
    <w:name w:val="Hyperlink"/>
    <w:basedOn w:val="DefaultParagraphFont"/>
    <w:uiPriority w:val="99"/>
    <w:unhideWhenUsed/>
    <w:rsid w:val="000B7A9B"/>
    <w:rPr>
      <w:color w:val="0000FF" w:themeColor="hyperlink"/>
      <w:u w:val="single"/>
    </w:rPr>
  </w:style>
  <w:style w:type="character" w:styleId="UnresolvedMention">
    <w:name w:val="Unresolved Mention"/>
    <w:basedOn w:val="DefaultParagraphFont"/>
    <w:uiPriority w:val="99"/>
    <w:semiHidden/>
    <w:unhideWhenUsed/>
    <w:rsid w:val="000B7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1151">
      <w:bodyDiv w:val="1"/>
      <w:marLeft w:val="0"/>
      <w:marRight w:val="0"/>
      <w:marTop w:val="0"/>
      <w:marBottom w:val="0"/>
      <w:divBdr>
        <w:top w:val="none" w:sz="0" w:space="0" w:color="auto"/>
        <w:left w:val="none" w:sz="0" w:space="0" w:color="auto"/>
        <w:bottom w:val="none" w:sz="0" w:space="0" w:color="auto"/>
        <w:right w:val="none" w:sz="0" w:space="0" w:color="auto"/>
      </w:divBdr>
      <w:divsChild>
        <w:div w:id="1203593309">
          <w:marLeft w:val="0"/>
          <w:marRight w:val="0"/>
          <w:marTop w:val="0"/>
          <w:marBottom w:val="0"/>
          <w:divBdr>
            <w:top w:val="none" w:sz="0" w:space="0" w:color="3D3D3D"/>
            <w:left w:val="none" w:sz="0" w:space="0" w:color="3D3D3D"/>
            <w:bottom w:val="none" w:sz="0" w:space="0" w:color="3D3D3D"/>
            <w:right w:val="none" w:sz="0" w:space="0" w:color="3D3D3D"/>
          </w:divBdr>
          <w:divsChild>
            <w:div w:id="120783473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2549616">
      <w:bodyDiv w:val="1"/>
      <w:marLeft w:val="0"/>
      <w:marRight w:val="0"/>
      <w:marTop w:val="0"/>
      <w:marBottom w:val="0"/>
      <w:divBdr>
        <w:top w:val="none" w:sz="0" w:space="0" w:color="auto"/>
        <w:left w:val="none" w:sz="0" w:space="0" w:color="auto"/>
        <w:bottom w:val="none" w:sz="0" w:space="0" w:color="auto"/>
        <w:right w:val="none" w:sz="0" w:space="0" w:color="auto"/>
      </w:divBdr>
      <w:divsChild>
        <w:div w:id="1096560013">
          <w:marLeft w:val="0"/>
          <w:marRight w:val="0"/>
          <w:marTop w:val="0"/>
          <w:marBottom w:val="0"/>
          <w:divBdr>
            <w:top w:val="none" w:sz="0" w:space="0" w:color="3D3D3D"/>
            <w:left w:val="none" w:sz="0" w:space="0" w:color="3D3D3D"/>
            <w:bottom w:val="none" w:sz="0" w:space="0" w:color="3D3D3D"/>
            <w:right w:val="none" w:sz="0" w:space="0" w:color="3D3D3D"/>
          </w:divBdr>
          <w:divsChild>
            <w:div w:id="146041506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92833614">
      <w:bodyDiv w:val="1"/>
      <w:marLeft w:val="0"/>
      <w:marRight w:val="0"/>
      <w:marTop w:val="0"/>
      <w:marBottom w:val="0"/>
      <w:divBdr>
        <w:top w:val="none" w:sz="0" w:space="0" w:color="auto"/>
        <w:left w:val="none" w:sz="0" w:space="0" w:color="auto"/>
        <w:bottom w:val="none" w:sz="0" w:space="0" w:color="auto"/>
        <w:right w:val="none" w:sz="0" w:space="0" w:color="auto"/>
      </w:divBdr>
      <w:divsChild>
        <w:div w:id="196895735">
          <w:marLeft w:val="0"/>
          <w:marRight w:val="0"/>
          <w:marTop w:val="0"/>
          <w:marBottom w:val="0"/>
          <w:divBdr>
            <w:top w:val="none" w:sz="0" w:space="0" w:color="3D3D3D"/>
            <w:left w:val="none" w:sz="0" w:space="0" w:color="3D3D3D"/>
            <w:bottom w:val="none" w:sz="0" w:space="0" w:color="3D3D3D"/>
            <w:right w:val="none" w:sz="0" w:space="0" w:color="3D3D3D"/>
          </w:divBdr>
          <w:divsChild>
            <w:div w:id="116971272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47515999">
      <w:bodyDiv w:val="1"/>
      <w:marLeft w:val="0"/>
      <w:marRight w:val="0"/>
      <w:marTop w:val="0"/>
      <w:marBottom w:val="0"/>
      <w:divBdr>
        <w:top w:val="none" w:sz="0" w:space="0" w:color="auto"/>
        <w:left w:val="none" w:sz="0" w:space="0" w:color="auto"/>
        <w:bottom w:val="none" w:sz="0" w:space="0" w:color="auto"/>
        <w:right w:val="none" w:sz="0" w:space="0" w:color="auto"/>
      </w:divBdr>
      <w:divsChild>
        <w:div w:id="1262570035">
          <w:marLeft w:val="0"/>
          <w:marRight w:val="0"/>
          <w:marTop w:val="0"/>
          <w:marBottom w:val="0"/>
          <w:divBdr>
            <w:top w:val="none" w:sz="0" w:space="0" w:color="3D3D3D"/>
            <w:left w:val="none" w:sz="0" w:space="0" w:color="3D3D3D"/>
            <w:bottom w:val="none" w:sz="0" w:space="0" w:color="3D3D3D"/>
            <w:right w:val="none" w:sz="0" w:space="0" w:color="3D3D3D"/>
          </w:divBdr>
        </w:div>
      </w:divsChild>
    </w:div>
    <w:div w:id="816994671">
      <w:bodyDiv w:val="1"/>
      <w:marLeft w:val="0"/>
      <w:marRight w:val="0"/>
      <w:marTop w:val="0"/>
      <w:marBottom w:val="0"/>
      <w:divBdr>
        <w:top w:val="none" w:sz="0" w:space="0" w:color="auto"/>
        <w:left w:val="none" w:sz="0" w:space="0" w:color="auto"/>
        <w:bottom w:val="none" w:sz="0" w:space="0" w:color="auto"/>
        <w:right w:val="none" w:sz="0" w:space="0" w:color="auto"/>
      </w:divBdr>
      <w:divsChild>
        <w:div w:id="1187597525">
          <w:marLeft w:val="0"/>
          <w:marRight w:val="0"/>
          <w:marTop w:val="0"/>
          <w:marBottom w:val="0"/>
          <w:divBdr>
            <w:top w:val="none" w:sz="0" w:space="0" w:color="3D3D3D"/>
            <w:left w:val="none" w:sz="0" w:space="0" w:color="3D3D3D"/>
            <w:bottom w:val="none" w:sz="0" w:space="0" w:color="3D3D3D"/>
            <w:right w:val="none" w:sz="0" w:space="0" w:color="3D3D3D"/>
          </w:divBdr>
        </w:div>
      </w:divsChild>
    </w:div>
    <w:div w:id="860969069">
      <w:bodyDiv w:val="1"/>
      <w:marLeft w:val="0"/>
      <w:marRight w:val="0"/>
      <w:marTop w:val="0"/>
      <w:marBottom w:val="0"/>
      <w:divBdr>
        <w:top w:val="none" w:sz="0" w:space="0" w:color="auto"/>
        <w:left w:val="none" w:sz="0" w:space="0" w:color="auto"/>
        <w:bottom w:val="none" w:sz="0" w:space="0" w:color="auto"/>
        <w:right w:val="none" w:sz="0" w:space="0" w:color="auto"/>
      </w:divBdr>
      <w:divsChild>
        <w:div w:id="1646815187">
          <w:marLeft w:val="0"/>
          <w:marRight w:val="0"/>
          <w:marTop w:val="0"/>
          <w:marBottom w:val="0"/>
          <w:divBdr>
            <w:top w:val="none" w:sz="0" w:space="0" w:color="3D3D3D"/>
            <w:left w:val="none" w:sz="0" w:space="0" w:color="3D3D3D"/>
            <w:bottom w:val="none" w:sz="0" w:space="0" w:color="3D3D3D"/>
            <w:right w:val="none" w:sz="0" w:space="0" w:color="3D3D3D"/>
          </w:divBdr>
          <w:divsChild>
            <w:div w:id="133538076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03120259">
      <w:bodyDiv w:val="1"/>
      <w:marLeft w:val="0"/>
      <w:marRight w:val="0"/>
      <w:marTop w:val="0"/>
      <w:marBottom w:val="0"/>
      <w:divBdr>
        <w:top w:val="none" w:sz="0" w:space="0" w:color="auto"/>
        <w:left w:val="none" w:sz="0" w:space="0" w:color="auto"/>
        <w:bottom w:val="none" w:sz="0" w:space="0" w:color="auto"/>
        <w:right w:val="none" w:sz="0" w:space="0" w:color="auto"/>
      </w:divBdr>
      <w:divsChild>
        <w:div w:id="166797119">
          <w:marLeft w:val="0"/>
          <w:marRight w:val="0"/>
          <w:marTop w:val="0"/>
          <w:marBottom w:val="0"/>
          <w:divBdr>
            <w:top w:val="none" w:sz="0" w:space="0" w:color="3D3D3D"/>
            <w:left w:val="none" w:sz="0" w:space="0" w:color="3D3D3D"/>
            <w:bottom w:val="none" w:sz="0" w:space="0" w:color="3D3D3D"/>
            <w:right w:val="none" w:sz="0" w:space="0" w:color="3D3D3D"/>
          </w:divBdr>
          <w:divsChild>
            <w:div w:id="179852277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76655339">
      <w:bodyDiv w:val="1"/>
      <w:marLeft w:val="0"/>
      <w:marRight w:val="0"/>
      <w:marTop w:val="0"/>
      <w:marBottom w:val="0"/>
      <w:divBdr>
        <w:top w:val="none" w:sz="0" w:space="0" w:color="auto"/>
        <w:left w:val="none" w:sz="0" w:space="0" w:color="auto"/>
        <w:bottom w:val="none" w:sz="0" w:space="0" w:color="auto"/>
        <w:right w:val="none" w:sz="0" w:space="0" w:color="auto"/>
      </w:divBdr>
      <w:divsChild>
        <w:div w:id="2125031653">
          <w:marLeft w:val="0"/>
          <w:marRight w:val="0"/>
          <w:marTop w:val="0"/>
          <w:marBottom w:val="0"/>
          <w:divBdr>
            <w:top w:val="none" w:sz="0" w:space="0" w:color="3D3D3D"/>
            <w:left w:val="none" w:sz="0" w:space="0" w:color="3D3D3D"/>
            <w:bottom w:val="none" w:sz="0" w:space="0" w:color="3D3D3D"/>
            <w:right w:val="none" w:sz="0" w:space="0" w:color="3D3D3D"/>
          </w:divBdr>
          <w:divsChild>
            <w:div w:id="147675294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78884509">
      <w:bodyDiv w:val="1"/>
      <w:marLeft w:val="0"/>
      <w:marRight w:val="0"/>
      <w:marTop w:val="0"/>
      <w:marBottom w:val="0"/>
      <w:divBdr>
        <w:top w:val="none" w:sz="0" w:space="0" w:color="auto"/>
        <w:left w:val="none" w:sz="0" w:space="0" w:color="auto"/>
        <w:bottom w:val="none" w:sz="0" w:space="0" w:color="auto"/>
        <w:right w:val="none" w:sz="0" w:space="0" w:color="auto"/>
      </w:divBdr>
      <w:divsChild>
        <w:div w:id="345405377">
          <w:marLeft w:val="0"/>
          <w:marRight w:val="0"/>
          <w:marTop w:val="0"/>
          <w:marBottom w:val="0"/>
          <w:divBdr>
            <w:top w:val="none" w:sz="0" w:space="0" w:color="3D3D3D"/>
            <w:left w:val="none" w:sz="0" w:space="0" w:color="3D3D3D"/>
            <w:bottom w:val="none" w:sz="0" w:space="0" w:color="3D3D3D"/>
            <w:right w:val="none" w:sz="0" w:space="0" w:color="3D3D3D"/>
          </w:divBdr>
          <w:divsChild>
            <w:div w:id="163953152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50385400">
      <w:bodyDiv w:val="1"/>
      <w:marLeft w:val="0"/>
      <w:marRight w:val="0"/>
      <w:marTop w:val="0"/>
      <w:marBottom w:val="0"/>
      <w:divBdr>
        <w:top w:val="none" w:sz="0" w:space="0" w:color="auto"/>
        <w:left w:val="none" w:sz="0" w:space="0" w:color="auto"/>
        <w:bottom w:val="none" w:sz="0" w:space="0" w:color="auto"/>
        <w:right w:val="none" w:sz="0" w:space="0" w:color="auto"/>
      </w:divBdr>
      <w:divsChild>
        <w:div w:id="1765606496">
          <w:marLeft w:val="0"/>
          <w:marRight w:val="0"/>
          <w:marTop w:val="0"/>
          <w:marBottom w:val="0"/>
          <w:divBdr>
            <w:top w:val="none" w:sz="0" w:space="0" w:color="3D3D3D"/>
            <w:left w:val="none" w:sz="0" w:space="0" w:color="3D3D3D"/>
            <w:bottom w:val="none" w:sz="0" w:space="0" w:color="3D3D3D"/>
            <w:right w:val="none" w:sz="0" w:space="0" w:color="3D3D3D"/>
          </w:divBdr>
          <w:divsChild>
            <w:div w:id="68282198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2823</Words>
  <Characters>14467</Characters>
  <Application>Microsoft Office Word</Application>
  <DocSecurity>0</DocSecurity>
  <Lines>295</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2024-01-23T19:09:00Z</cp:lastPrinted>
  <dcterms:created xsi:type="dcterms:W3CDTF">2024-01-24T18:53:00Z</dcterms:created>
  <dcterms:modified xsi:type="dcterms:W3CDTF">2024-01-24T18:53:00Z</dcterms:modified>
  <cp:category/>
</cp:coreProperties>
</file>