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9B067" w14:textId="77777777" w:rsidR="00741AA7" w:rsidRPr="00741AA7" w:rsidRDefault="00741AA7" w:rsidP="00741AA7">
      <w:pPr>
        <w:contextualSpacing/>
        <w:rPr>
          <w:bCs/>
          <w:sz w:val="20"/>
        </w:rPr>
      </w:pPr>
      <w:bookmarkStart w:id="0" w:name="_Hlk158291443"/>
      <w:r w:rsidRPr="00741AA7">
        <w:rPr>
          <w:bCs/>
          <w:sz w:val="20"/>
        </w:rPr>
        <w:t>Filed 2/14/24</w:t>
      </w:r>
    </w:p>
    <w:p w14:paraId="330C9768" w14:textId="08B2B6C1" w:rsidR="003B59BC" w:rsidRDefault="00EC0039" w:rsidP="00EC0039">
      <w:pPr>
        <w:contextualSpacing/>
        <w:jc w:val="center"/>
      </w:pPr>
      <w:r>
        <w:rPr>
          <w:b/>
        </w:rPr>
        <w:t>CERTIFIED FOR PUBLICATION</w:t>
      </w:r>
      <w:bookmarkEnd w:id="0"/>
    </w:p>
    <w:p w14:paraId="34C99906" w14:textId="35004596" w:rsidR="003B59BC" w:rsidRDefault="003B59BC" w:rsidP="003B59BC">
      <w:pPr>
        <w:contextualSpacing/>
        <w:jc w:val="center"/>
      </w:pPr>
    </w:p>
    <w:p w14:paraId="667A4D21" w14:textId="495142ED" w:rsidR="003B59BC" w:rsidRDefault="003B59BC" w:rsidP="003B59BC">
      <w:pPr>
        <w:contextualSpacing/>
        <w:jc w:val="center"/>
        <w:rPr>
          <w:b/>
        </w:rPr>
      </w:pPr>
      <w:r>
        <w:rPr>
          <w:b/>
        </w:rPr>
        <w:t>IN THE COURT OF APPEAL OF THE STATE OF CALIFORNIA</w:t>
      </w:r>
    </w:p>
    <w:p w14:paraId="4D816CEB" w14:textId="793C3FA5" w:rsidR="003B59BC" w:rsidRDefault="003B59BC" w:rsidP="003B59BC">
      <w:pPr>
        <w:contextualSpacing/>
        <w:jc w:val="center"/>
        <w:rPr>
          <w:b/>
        </w:rPr>
      </w:pPr>
    </w:p>
    <w:p w14:paraId="176299B3" w14:textId="273D18D4" w:rsidR="003B59BC" w:rsidRDefault="003B59BC" w:rsidP="003B59BC">
      <w:pPr>
        <w:contextualSpacing/>
        <w:jc w:val="center"/>
        <w:rPr>
          <w:b/>
        </w:rPr>
      </w:pPr>
      <w:r>
        <w:rPr>
          <w:b/>
        </w:rPr>
        <w:t>FOURTH APPELLATE DISTRICT</w:t>
      </w:r>
    </w:p>
    <w:p w14:paraId="6DEE35E2" w14:textId="66961A22" w:rsidR="003B59BC" w:rsidRDefault="003B59BC" w:rsidP="003B59BC">
      <w:pPr>
        <w:contextualSpacing/>
        <w:jc w:val="center"/>
        <w:rPr>
          <w:b/>
        </w:rPr>
      </w:pPr>
    </w:p>
    <w:p w14:paraId="657AD352" w14:textId="77777777" w:rsidR="003B59BC" w:rsidRDefault="003B59BC" w:rsidP="003B59BC">
      <w:pPr>
        <w:contextualSpacing/>
        <w:jc w:val="center"/>
        <w:rPr>
          <w:b/>
        </w:rPr>
      </w:pPr>
      <w:r>
        <w:rPr>
          <w:b/>
        </w:rPr>
        <w:t>DIVISION TWO</w:t>
      </w:r>
    </w:p>
    <w:p w14:paraId="27756E15" w14:textId="3409DE69" w:rsidR="003B59BC" w:rsidRDefault="003B59BC" w:rsidP="003B59BC">
      <w:pPr>
        <w:contextualSpacing/>
        <w:jc w:val="center"/>
      </w:pPr>
    </w:p>
    <w:p w14:paraId="79A63204" w14:textId="77D9B56A" w:rsidR="003B59BC" w:rsidRDefault="003B59BC" w:rsidP="003B59BC">
      <w:pPr>
        <w:contextualSpacing/>
        <w:jc w:val="center"/>
      </w:pPr>
    </w:p>
    <w:p w14:paraId="7611AE59" w14:textId="1F5A7C81" w:rsidR="003B59BC" w:rsidRDefault="003B59BC" w:rsidP="003B59BC">
      <w:pPr>
        <w:contextualSpacing/>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B59BC" w14:paraId="6214B37A" w14:textId="77777777" w:rsidTr="003B59BC">
        <w:tc>
          <w:tcPr>
            <w:tcW w:w="4675" w:type="dxa"/>
            <w:tcBorders>
              <w:bottom w:val="single" w:sz="4" w:space="0" w:color="auto"/>
              <w:right w:val="single" w:sz="4" w:space="0" w:color="auto"/>
            </w:tcBorders>
            <w:shd w:val="clear" w:color="auto" w:fill="auto"/>
          </w:tcPr>
          <w:p w14:paraId="510943A1" w14:textId="77777777" w:rsidR="003B59BC" w:rsidRDefault="003B59BC" w:rsidP="003B59BC">
            <w:pPr>
              <w:contextualSpacing/>
            </w:pPr>
            <w:r>
              <w:t>SAN BERNARDINO COUNTY FIRE PROTECTION DISTRICT,</w:t>
            </w:r>
          </w:p>
          <w:p w14:paraId="6A777D21" w14:textId="77777777" w:rsidR="003B59BC" w:rsidRDefault="003B59BC" w:rsidP="003B59BC">
            <w:pPr>
              <w:contextualSpacing/>
            </w:pPr>
          </w:p>
          <w:p w14:paraId="2C5FFAE9" w14:textId="77777777" w:rsidR="003B59BC" w:rsidRDefault="003B59BC" w:rsidP="003B59BC">
            <w:pPr>
              <w:contextualSpacing/>
            </w:pPr>
            <w:r>
              <w:tab/>
              <w:t>Plaintiff and Appellant,</w:t>
            </w:r>
          </w:p>
          <w:p w14:paraId="49FAD62D" w14:textId="77777777" w:rsidR="003B59BC" w:rsidRDefault="003B59BC" w:rsidP="003B59BC">
            <w:pPr>
              <w:contextualSpacing/>
            </w:pPr>
          </w:p>
          <w:p w14:paraId="63C8E502" w14:textId="77777777" w:rsidR="003B59BC" w:rsidRDefault="003B59BC" w:rsidP="003B59BC">
            <w:pPr>
              <w:contextualSpacing/>
            </w:pPr>
            <w:r>
              <w:t>v.</w:t>
            </w:r>
          </w:p>
          <w:p w14:paraId="6842FCDF" w14:textId="77777777" w:rsidR="003B59BC" w:rsidRDefault="003B59BC" w:rsidP="003B59BC">
            <w:pPr>
              <w:contextualSpacing/>
            </w:pPr>
          </w:p>
          <w:p w14:paraId="5B41480A" w14:textId="664F04A1" w:rsidR="003B59BC" w:rsidRDefault="003B59BC" w:rsidP="003B59BC">
            <w:pPr>
              <w:contextualSpacing/>
            </w:pPr>
            <w:r>
              <w:t>BOB PAGE, as County Registrar, etc.,</w:t>
            </w:r>
          </w:p>
          <w:p w14:paraId="22C39BCF" w14:textId="77777777" w:rsidR="003B59BC" w:rsidRDefault="003B59BC" w:rsidP="003B59BC">
            <w:pPr>
              <w:contextualSpacing/>
            </w:pPr>
          </w:p>
          <w:p w14:paraId="64141229" w14:textId="77777777" w:rsidR="003B59BC" w:rsidRDefault="003B59BC" w:rsidP="003B59BC">
            <w:pPr>
              <w:contextualSpacing/>
            </w:pPr>
            <w:r>
              <w:tab/>
              <w:t>Defendant;</w:t>
            </w:r>
          </w:p>
          <w:p w14:paraId="1B4A26DC" w14:textId="77777777" w:rsidR="003B59BC" w:rsidRDefault="003B59BC" w:rsidP="003B59BC">
            <w:pPr>
              <w:contextualSpacing/>
            </w:pPr>
          </w:p>
          <w:p w14:paraId="53C7F408" w14:textId="56EC7F25" w:rsidR="003B59BC" w:rsidRDefault="003B59BC" w:rsidP="003B59BC">
            <w:pPr>
              <w:contextualSpacing/>
            </w:pPr>
            <w:r>
              <w:t>ROBERT CABLE et al.,</w:t>
            </w:r>
          </w:p>
          <w:p w14:paraId="7B561CB7" w14:textId="77777777" w:rsidR="003B59BC" w:rsidRDefault="003B59BC" w:rsidP="003B59BC">
            <w:pPr>
              <w:contextualSpacing/>
            </w:pPr>
          </w:p>
          <w:p w14:paraId="211F1E52" w14:textId="2DF9C57D" w:rsidR="003B59BC" w:rsidRDefault="003B59BC" w:rsidP="003B59BC">
            <w:pPr>
              <w:contextualSpacing/>
            </w:pPr>
            <w:r>
              <w:tab/>
              <w:t>Real Parties in Interest and Appellants.</w:t>
            </w:r>
          </w:p>
          <w:p w14:paraId="4E4470C8" w14:textId="432C9A10" w:rsidR="003B59BC" w:rsidRDefault="003B59BC" w:rsidP="003B59BC">
            <w:pPr>
              <w:contextualSpacing/>
            </w:pPr>
          </w:p>
        </w:tc>
        <w:tc>
          <w:tcPr>
            <w:tcW w:w="4675" w:type="dxa"/>
            <w:tcBorders>
              <w:left w:val="single" w:sz="4" w:space="0" w:color="auto"/>
            </w:tcBorders>
            <w:shd w:val="clear" w:color="auto" w:fill="auto"/>
          </w:tcPr>
          <w:p w14:paraId="0A9D1C35" w14:textId="77777777" w:rsidR="003B59BC" w:rsidRDefault="003B59BC" w:rsidP="003B59BC">
            <w:pPr>
              <w:contextualSpacing/>
            </w:pPr>
          </w:p>
          <w:p w14:paraId="3A0CFBD6" w14:textId="77777777" w:rsidR="003B59BC" w:rsidRDefault="003B59BC" w:rsidP="003B59BC">
            <w:pPr>
              <w:contextualSpacing/>
            </w:pPr>
          </w:p>
          <w:p w14:paraId="1E8582F2" w14:textId="77777777" w:rsidR="003B59BC" w:rsidRDefault="003B59BC" w:rsidP="003B59BC">
            <w:pPr>
              <w:contextualSpacing/>
            </w:pPr>
            <w:r>
              <w:tab/>
              <w:t>E079130</w:t>
            </w:r>
          </w:p>
          <w:p w14:paraId="4ABDA890" w14:textId="77777777" w:rsidR="003B59BC" w:rsidRDefault="003B59BC" w:rsidP="003B59BC">
            <w:pPr>
              <w:contextualSpacing/>
            </w:pPr>
          </w:p>
          <w:p w14:paraId="4AE36F8B" w14:textId="6D29083B" w:rsidR="003B59BC" w:rsidRDefault="003B59BC" w:rsidP="003B59BC">
            <w:pPr>
              <w:contextualSpacing/>
            </w:pPr>
            <w:r>
              <w:tab/>
              <w:t>(Super. Ct. No. CIVSB2201601)</w:t>
            </w:r>
          </w:p>
          <w:p w14:paraId="7DC3057F" w14:textId="77777777" w:rsidR="003B59BC" w:rsidRDefault="003B59BC" w:rsidP="003B59BC">
            <w:pPr>
              <w:contextualSpacing/>
            </w:pPr>
          </w:p>
          <w:p w14:paraId="221DA335" w14:textId="64B7F9EA" w:rsidR="003B59BC" w:rsidRDefault="003B59BC" w:rsidP="003B59BC">
            <w:pPr>
              <w:contextualSpacing/>
            </w:pPr>
            <w:r>
              <w:tab/>
              <w:t>OPINION</w:t>
            </w:r>
          </w:p>
          <w:p w14:paraId="32A7953A" w14:textId="28DF85D2" w:rsidR="003B59BC" w:rsidRDefault="003B59BC" w:rsidP="003B59BC">
            <w:pPr>
              <w:contextualSpacing/>
            </w:pPr>
          </w:p>
        </w:tc>
      </w:tr>
    </w:tbl>
    <w:p w14:paraId="0578E82E" w14:textId="6FE83F52" w:rsidR="003B59BC" w:rsidRDefault="003B59BC" w:rsidP="00DC0C27">
      <w:pPr>
        <w:spacing w:line="600" w:lineRule="exact"/>
      </w:pPr>
      <w:r>
        <w:tab/>
        <w:t>APPEAL from the Superior Court of San Bernardino County.  David S. Cohn, Judge.  Affirmed and Dismissed.</w:t>
      </w:r>
    </w:p>
    <w:p w14:paraId="4C5BDAFD" w14:textId="5EBE21BC" w:rsidR="00666E91" w:rsidRDefault="003B59BC" w:rsidP="00DC0C27">
      <w:pPr>
        <w:spacing w:line="600" w:lineRule="exact"/>
      </w:pPr>
      <w:r>
        <w:tab/>
      </w:r>
      <w:r w:rsidR="00666E91">
        <w:t>The Sutton Law Firm and Bradley W. Hertz; Sanders Political Law and Nicholas L. Sanders, for Plaintiff and Appellant.</w:t>
      </w:r>
    </w:p>
    <w:p w14:paraId="19A7A08D" w14:textId="77777777" w:rsidR="004832AB" w:rsidRDefault="004832AB" w:rsidP="00DC0C27">
      <w:pPr>
        <w:spacing w:line="600" w:lineRule="exact"/>
        <w:ind w:firstLine="720"/>
      </w:pPr>
      <w:r>
        <w:t>Jolena E. Grider, Deputy County Counsel, for Defendant.</w:t>
      </w:r>
    </w:p>
    <w:p w14:paraId="3BD22174" w14:textId="6B7B37AC" w:rsidR="003B59BC" w:rsidRDefault="003B59BC" w:rsidP="00DC0C27">
      <w:pPr>
        <w:spacing w:line="600" w:lineRule="exact"/>
        <w:ind w:firstLine="720"/>
      </w:pPr>
      <w:r>
        <w:t>Michel &amp; Associates, C.D. Michel, Joseph Di Monda, and Alexander A. Frank, for Real Parties in Interest and Appellants.</w:t>
      </w:r>
    </w:p>
    <w:p w14:paraId="2426B73A" w14:textId="09A5F88A" w:rsidR="003B59BC" w:rsidRDefault="00E71FCD" w:rsidP="00EC0039">
      <w:pPr>
        <w:keepNext/>
        <w:keepLines/>
        <w:spacing w:line="600" w:lineRule="exact"/>
        <w:jc w:val="center"/>
      </w:pPr>
      <w:r w:rsidRPr="009A41DA">
        <w:lastRenderedPageBreak/>
        <w:t>I</w:t>
      </w:r>
      <w:r w:rsidR="00D86ADC" w:rsidRPr="009A41DA">
        <w:t>.</w:t>
      </w:r>
    </w:p>
    <w:p w14:paraId="330682FB" w14:textId="2A3A9304" w:rsidR="00FA2D74" w:rsidRPr="009A41DA" w:rsidRDefault="00E71FCD" w:rsidP="00EC0039">
      <w:pPr>
        <w:keepNext/>
        <w:keepLines/>
        <w:spacing w:line="600" w:lineRule="exact"/>
        <w:jc w:val="center"/>
      </w:pPr>
      <w:r w:rsidRPr="009A41DA">
        <w:t>INTRODUCTION</w:t>
      </w:r>
    </w:p>
    <w:p w14:paraId="521DF326" w14:textId="051B54ED" w:rsidR="00FA2D74" w:rsidRPr="009A41DA" w:rsidRDefault="00FA2D74" w:rsidP="00DC0C27">
      <w:pPr>
        <w:spacing w:line="600" w:lineRule="exact"/>
      </w:pPr>
      <w:r w:rsidRPr="009A41DA">
        <w:tab/>
      </w:r>
      <w:bookmarkStart w:id="1" w:name="_Hlk147846062"/>
      <w:r w:rsidR="00B75E9C">
        <w:t>Real parties in interest and a</w:t>
      </w:r>
      <w:r w:rsidR="00D75A63" w:rsidRPr="009A41DA">
        <w:t>ppellants (Real Parties)</w:t>
      </w:r>
      <w:r w:rsidR="00D75A63" w:rsidRPr="004832AB">
        <w:rPr>
          <w:rStyle w:val="FootnoteReference"/>
          <w:sz w:val="26"/>
          <w:szCs w:val="26"/>
          <w:vertAlign w:val="superscript"/>
        </w:rPr>
        <w:footnoteReference w:id="2"/>
      </w:r>
      <w:r w:rsidR="00D75A63" w:rsidRPr="009A41DA">
        <w:t xml:space="preserve"> </w:t>
      </w:r>
      <w:r w:rsidR="00EF03BF" w:rsidRPr="009A41DA">
        <w:t>circulat</w:t>
      </w:r>
      <w:r w:rsidR="00995010" w:rsidRPr="009A41DA">
        <w:t>ed</w:t>
      </w:r>
      <w:r w:rsidR="00EF03BF" w:rsidRPr="009A41DA">
        <w:t xml:space="preserve"> an initiative petition</w:t>
      </w:r>
      <w:r w:rsidR="00995010" w:rsidRPr="009A41DA">
        <w:t xml:space="preserve"> </w:t>
      </w:r>
      <w:r w:rsidR="002753D3" w:rsidRPr="009A41DA">
        <w:t>seeking to</w:t>
      </w:r>
      <w:r w:rsidR="00EF03BF" w:rsidRPr="009A41DA">
        <w:t xml:space="preserve"> repeal </w:t>
      </w:r>
      <w:r w:rsidR="00995010" w:rsidRPr="009A41DA">
        <w:t>a</w:t>
      </w:r>
      <w:r w:rsidR="00EF03BF" w:rsidRPr="009A41DA">
        <w:t xml:space="preserve"> special tax</w:t>
      </w:r>
      <w:r w:rsidR="002753D3" w:rsidRPr="009A41DA">
        <w:t xml:space="preserve"> </w:t>
      </w:r>
      <w:r w:rsidR="00995010" w:rsidRPr="009A41DA">
        <w:t>imposed in Service Zone Five (FP-5) of the San Bernardino County Fire Protection District (District)</w:t>
      </w:r>
      <w:r w:rsidR="00EF03BF" w:rsidRPr="009A41DA">
        <w:t xml:space="preserve">.  </w:t>
      </w:r>
      <w:r w:rsidR="002753D3" w:rsidRPr="009A41DA">
        <w:t xml:space="preserve">In an attempt to prevent the </w:t>
      </w:r>
      <w:r w:rsidR="00995010" w:rsidRPr="009A41DA">
        <w:t>i</w:t>
      </w:r>
      <w:r w:rsidR="002753D3" w:rsidRPr="009A41DA">
        <w:t>nitiative</w:t>
      </w:r>
      <w:r w:rsidR="00995010" w:rsidRPr="009A41DA">
        <w:t xml:space="preserve"> (Initiative)</w:t>
      </w:r>
      <w:r w:rsidR="002753D3" w:rsidRPr="009A41DA">
        <w:t xml:space="preserve"> from appearing on the June 2022 ballot, the District filed in the trial court a writ petition and complaint for injunctive and declaratory </w:t>
      </w:r>
      <w:r w:rsidR="002753D3" w:rsidRPr="00431A8F">
        <w:t xml:space="preserve">relief (Writ Petition), alleging that Real Parties’ </w:t>
      </w:r>
      <w:r w:rsidR="00DE086E" w:rsidRPr="00431A8F">
        <w:t>Initiative</w:t>
      </w:r>
      <w:r w:rsidR="002753D3" w:rsidRPr="00431A8F">
        <w:t xml:space="preserve"> included material</w:t>
      </w:r>
      <w:r w:rsidR="0060384B" w:rsidRPr="00431A8F">
        <w:t xml:space="preserve">, </w:t>
      </w:r>
      <w:r w:rsidR="002753D3" w:rsidRPr="00431A8F">
        <w:t>false</w:t>
      </w:r>
      <w:r w:rsidR="0060384B" w:rsidRPr="00431A8F">
        <w:t xml:space="preserve"> and</w:t>
      </w:r>
      <w:r w:rsidR="002753D3" w:rsidRPr="00431A8F">
        <w:t xml:space="preserve"> misleading information</w:t>
      </w:r>
      <w:r w:rsidR="00C525EE" w:rsidRPr="009A41DA">
        <w:t xml:space="preserve"> in violation of Elections Code section 18600</w:t>
      </w:r>
      <w:r w:rsidR="002753D3" w:rsidRPr="009A41DA">
        <w:t>.</w:t>
      </w:r>
      <w:r w:rsidR="00C525EE" w:rsidRPr="004832AB">
        <w:rPr>
          <w:rStyle w:val="FootnoteReference"/>
          <w:sz w:val="26"/>
          <w:szCs w:val="26"/>
          <w:vertAlign w:val="superscript"/>
        </w:rPr>
        <w:footnoteReference w:id="3"/>
      </w:r>
      <w:r w:rsidR="002753D3" w:rsidRPr="009A41DA">
        <w:t xml:space="preserve">  The trial court </w:t>
      </w:r>
      <w:r w:rsidR="00C571A6">
        <w:t>ruled</w:t>
      </w:r>
      <w:r w:rsidR="00E375AC" w:rsidRPr="009A41DA">
        <w:t xml:space="preserve"> that Real Parties’ Initiative was invalid because it contained false and misleading statements, and </w:t>
      </w:r>
      <w:r w:rsidR="007E7AB6" w:rsidRPr="009A41DA">
        <w:t xml:space="preserve">granted the District’s Writ Petition.  </w:t>
      </w:r>
      <w:r w:rsidR="0006746A" w:rsidRPr="009A41DA">
        <w:t>But b</w:t>
      </w:r>
      <w:r w:rsidR="00D75A63" w:rsidRPr="009A41DA">
        <w:t xml:space="preserve">ecause it was too late to prevent the Initiative from appearing on the ballot, the electorate voted on the </w:t>
      </w:r>
      <w:r w:rsidR="00A0326A" w:rsidRPr="009A41DA">
        <w:t>Initiative and it passed.</w:t>
      </w:r>
    </w:p>
    <w:bookmarkEnd w:id="1"/>
    <w:p w14:paraId="06AC80A3" w14:textId="4F35377E" w:rsidR="00CA6A26" w:rsidRPr="009A41DA" w:rsidRDefault="00A0326A" w:rsidP="00DC0C27">
      <w:pPr>
        <w:spacing w:line="600" w:lineRule="exact"/>
      </w:pPr>
      <w:r w:rsidRPr="009A41DA">
        <w:tab/>
      </w:r>
      <w:bookmarkStart w:id="2" w:name="_Hlk147847333"/>
      <w:r w:rsidR="005601BA" w:rsidRPr="009A41DA">
        <w:t>Real Parties appeal the trial court order granting the District’s Writ Petition.  They</w:t>
      </w:r>
      <w:r w:rsidRPr="009A41DA">
        <w:t xml:space="preserve"> contend that </w:t>
      </w:r>
      <w:r w:rsidR="00C525EE" w:rsidRPr="009A41DA">
        <w:t>the trial court erred in finding that the Initiative contained false and misleading statements in violation of section 18600.  Real Parties also contend that the trial court erred in ruling that</w:t>
      </w:r>
      <w:r w:rsidR="00CA6A26" w:rsidRPr="009A41DA">
        <w:t xml:space="preserve"> the District was not required to prove intent because section 18600’s intent requirement is inapplicable.  In th</w:t>
      </w:r>
      <w:r w:rsidR="00C525EE" w:rsidRPr="009A41DA">
        <w:t>e District</w:t>
      </w:r>
      <w:r w:rsidR="00CA6A26" w:rsidRPr="009A41DA">
        <w:t>’s</w:t>
      </w:r>
      <w:r w:rsidR="00C525EE" w:rsidRPr="009A41DA">
        <w:t xml:space="preserve"> cross-appeal, </w:t>
      </w:r>
      <w:r w:rsidR="00CA6A26" w:rsidRPr="009A41DA">
        <w:t xml:space="preserve">the District </w:t>
      </w:r>
      <w:r w:rsidR="00C525EE" w:rsidRPr="009A41DA">
        <w:lastRenderedPageBreak/>
        <w:t>argu</w:t>
      </w:r>
      <w:r w:rsidR="00CA6A26" w:rsidRPr="009A41DA">
        <w:t>es</w:t>
      </w:r>
      <w:r w:rsidR="00C525EE" w:rsidRPr="009A41DA">
        <w:t xml:space="preserve"> that</w:t>
      </w:r>
      <w:r w:rsidR="00DB691B" w:rsidRPr="009A41DA">
        <w:t xml:space="preserve"> the full</w:t>
      </w:r>
      <w:r w:rsidR="001A7B07" w:rsidRPr="009A41DA">
        <w:t>-</w:t>
      </w:r>
      <w:r w:rsidR="00DB691B" w:rsidRPr="009A41DA">
        <w:t>text doctrine provided an additional ground for the trial court</w:t>
      </w:r>
      <w:r w:rsidR="00CA6A26" w:rsidRPr="009A41DA">
        <w:t xml:space="preserve"> to rule</w:t>
      </w:r>
      <w:r w:rsidR="00DB691B" w:rsidRPr="009A41DA">
        <w:t xml:space="preserve"> that the Initiative is invalid.</w:t>
      </w:r>
    </w:p>
    <w:p w14:paraId="16080D24" w14:textId="479EC5D3" w:rsidR="00D75A63" w:rsidRPr="009A41DA" w:rsidRDefault="00E71FCD" w:rsidP="00DC0C27">
      <w:pPr>
        <w:spacing w:line="600" w:lineRule="exact"/>
      </w:pPr>
      <w:r w:rsidRPr="009A41DA">
        <w:tab/>
        <w:t>We conclude</w:t>
      </w:r>
      <w:r w:rsidR="00DB691B" w:rsidRPr="009A41DA">
        <w:t xml:space="preserve"> </w:t>
      </w:r>
      <w:r w:rsidR="00CA6A26" w:rsidRPr="009A41DA">
        <w:t xml:space="preserve">the trial court properly </w:t>
      </w:r>
      <w:r w:rsidR="005B319F" w:rsidRPr="009A41DA">
        <w:t xml:space="preserve">found the Initiative invalid and </w:t>
      </w:r>
      <w:r w:rsidR="00FB7203" w:rsidRPr="009A41DA">
        <w:t xml:space="preserve">appropriately </w:t>
      </w:r>
      <w:r w:rsidR="005B319F" w:rsidRPr="009A41DA">
        <w:t xml:space="preserve">granted the District’s Writ Petition based on the Initiative </w:t>
      </w:r>
      <w:r w:rsidR="00CA6A26" w:rsidRPr="009A41DA">
        <w:t>contain</w:t>
      </w:r>
      <w:r w:rsidR="005B319F" w:rsidRPr="009A41DA">
        <w:t>ing</w:t>
      </w:r>
      <w:r w:rsidR="00CA6A26" w:rsidRPr="009A41DA">
        <w:t xml:space="preserve"> false and misleading information.  We </w:t>
      </w:r>
      <w:r w:rsidR="005C2149" w:rsidRPr="009A41DA">
        <w:t>further</w:t>
      </w:r>
      <w:r w:rsidR="00CA6A26" w:rsidRPr="009A41DA">
        <w:t xml:space="preserve"> conclude the District was not required to establish intent under section 18600</w:t>
      </w:r>
      <w:r w:rsidR="00FB7203" w:rsidRPr="009A41DA">
        <w:t xml:space="preserve"> and affirm the order granting the Writ Petition</w:t>
      </w:r>
      <w:r w:rsidR="00CA6A26" w:rsidRPr="009A41DA">
        <w:t xml:space="preserve">.  </w:t>
      </w:r>
      <w:r w:rsidR="005601BA" w:rsidRPr="009A41DA">
        <w:t>Because w</w:t>
      </w:r>
      <w:r w:rsidR="00CA6A26" w:rsidRPr="009A41DA">
        <w:t xml:space="preserve">e </w:t>
      </w:r>
      <w:r w:rsidR="005601BA" w:rsidRPr="009A41DA">
        <w:t>conclude the trial court properly disqualified the Initiative</w:t>
      </w:r>
      <w:r w:rsidR="005B319F" w:rsidRPr="009A41DA">
        <w:t xml:space="preserve"> as invalid</w:t>
      </w:r>
      <w:r w:rsidR="005601BA" w:rsidRPr="009A41DA">
        <w:t>, the District’s cross-appeal, raising an additional ground for disqualifying the Initiative, is</w:t>
      </w:r>
      <w:r w:rsidR="00E375AC" w:rsidRPr="009A41DA">
        <w:t xml:space="preserve"> dismissed as</w:t>
      </w:r>
      <w:r w:rsidR="005601BA" w:rsidRPr="009A41DA">
        <w:t xml:space="preserve"> moot.</w:t>
      </w:r>
    </w:p>
    <w:bookmarkEnd w:id="2"/>
    <w:p w14:paraId="710E6F9F" w14:textId="77777777" w:rsidR="004832AB" w:rsidRDefault="00E71FCD" w:rsidP="00DC0C27">
      <w:pPr>
        <w:spacing w:line="600" w:lineRule="exact"/>
        <w:jc w:val="center"/>
      </w:pPr>
      <w:r w:rsidRPr="009A41DA">
        <w:t>II</w:t>
      </w:r>
      <w:r w:rsidR="00D86ADC" w:rsidRPr="009A41DA">
        <w:t>.</w:t>
      </w:r>
    </w:p>
    <w:p w14:paraId="2C0F1A19" w14:textId="085647D5" w:rsidR="00F02B21" w:rsidRPr="009A41DA" w:rsidRDefault="00E71FCD" w:rsidP="00DC0C27">
      <w:pPr>
        <w:spacing w:line="600" w:lineRule="exact"/>
        <w:jc w:val="center"/>
      </w:pPr>
      <w:r w:rsidRPr="009A41DA">
        <w:t>FACTUAL AND PROCEDURAL BACKGROUND</w:t>
      </w:r>
    </w:p>
    <w:p w14:paraId="4921B7F9" w14:textId="3A58BBC2" w:rsidR="005C5756" w:rsidRPr="009A41DA" w:rsidRDefault="00E31907" w:rsidP="00DC0C27">
      <w:pPr>
        <w:spacing w:line="600" w:lineRule="exact"/>
        <w:ind w:firstLine="720"/>
      </w:pPr>
      <w:r w:rsidRPr="009A41DA">
        <w:t>In 2006, t</w:t>
      </w:r>
      <w:r w:rsidR="00CF07F7" w:rsidRPr="009A41DA">
        <w:t xml:space="preserve">he </w:t>
      </w:r>
      <w:r w:rsidRPr="009A41DA">
        <w:t xml:space="preserve">San Bernardino County Board of Supervisors approved the creation of </w:t>
      </w:r>
      <w:r w:rsidR="00CF07F7" w:rsidRPr="009A41DA">
        <w:t xml:space="preserve">County Service Area </w:t>
      </w:r>
      <w:r w:rsidRPr="009A41DA">
        <w:t>70, FP-5, which included</w:t>
      </w:r>
      <w:r w:rsidR="00CF07F7" w:rsidRPr="009A41DA">
        <w:t xml:space="preserve"> the Helendale/Silver Lakes area of San Bernardino County (County).</w:t>
      </w:r>
      <w:r w:rsidR="00371336" w:rsidRPr="009A41DA">
        <w:t xml:space="preserve">  Initially, FP-5 was a small jurisdiction with 1,022 residents who voted in 2006 in favor of imposition of a $117 special tax per parcel to fund fire </w:t>
      </w:r>
      <w:r w:rsidR="00C31E9B" w:rsidRPr="009A41DA">
        <w:t xml:space="preserve">and emergency </w:t>
      </w:r>
      <w:r w:rsidR="00371336" w:rsidRPr="009A41DA">
        <w:t>services in FP-5.  The special tax included an annual inflationary increase of up to 3</w:t>
      </w:r>
      <w:r w:rsidR="00B75E9C">
        <w:t xml:space="preserve"> percent</w:t>
      </w:r>
      <w:r w:rsidR="00371336" w:rsidRPr="009A41DA">
        <w:t>.</w:t>
      </w:r>
    </w:p>
    <w:p w14:paraId="68963D1F" w14:textId="0566AE85" w:rsidR="006C0D6F" w:rsidRPr="009A41DA" w:rsidRDefault="00C31E9B" w:rsidP="00DC0C27">
      <w:pPr>
        <w:spacing w:line="600" w:lineRule="exact"/>
        <w:ind w:firstLine="720"/>
      </w:pPr>
      <w:r w:rsidRPr="009A41DA">
        <w:t xml:space="preserve">In 2008, the County formed </w:t>
      </w:r>
      <w:r w:rsidR="00D00C2A" w:rsidRPr="009A41DA">
        <w:t>the District</w:t>
      </w:r>
      <w:r w:rsidRPr="009A41DA">
        <w:t xml:space="preserve"> </w:t>
      </w:r>
      <w:r w:rsidR="0026558A" w:rsidRPr="009A41DA">
        <w:t>under the Fire Protection Act (Health &amp; Saf</w:t>
      </w:r>
      <w:r w:rsidR="00FC1E4C">
        <w:t xml:space="preserve">. </w:t>
      </w:r>
      <w:r w:rsidR="0026558A" w:rsidRPr="009A41DA">
        <w:t xml:space="preserve">Code, </w:t>
      </w:r>
      <w:r w:rsidR="0026558A" w:rsidRPr="009A41DA">
        <w:rPr>
          <w:szCs w:val="26"/>
        </w:rPr>
        <w:t>§ 13803, subd. (a)</w:t>
      </w:r>
      <w:r w:rsidR="001A7B07" w:rsidRPr="009A41DA">
        <w:rPr>
          <w:szCs w:val="26"/>
        </w:rPr>
        <w:t>)</w:t>
      </w:r>
      <w:r w:rsidR="0026558A" w:rsidRPr="009A41DA">
        <w:rPr>
          <w:szCs w:val="26"/>
        </w:rPr>
        <w:t xml:space="preserve">, and </w:t>
      </w:r>
      <w:r w:rsidRPr="009A41DA">
        <w:t xml:space="preserve">annexed FP-5 and its special tax into the District.  </w:t>
      </w:r>
      <w:r w:rsidR="00CF07F7" w:rsidRPr="009A41DA">
        <w:t xml:space="preserve">The District </w:t>
      </w:r>
      <w:r w:rsidR="00C6064B" w:rsidRPr="009A41DA">
        <w:t>include</w:t>
      </w:r>
      <w:r w:rsidR="006A4BC6" w:rsidRPr="009A41DA">
        <w:t>s</w:t>
      </w:r>
      <w:r w:rsidR="00C6064B" w:rsidRPr="009A41DA">
        <w:t xml:space="preserve"> 1</w:t>
      </w:r>
      <w:r w:rsidR="00CF07F7" w:rsidRPr="009A41DA">
        <w:t>0 separate fire protection service zones, including FP-5.</w:t>
      </w:r>
    </w:p>
    <w:p w14:paraId="35D634A5" w14:textId="630A263F" w:rsidR="00192312" w:rsidRPr="009A41DA" w:rsidRDefault="00565BCF" w:rsidP="00DC0C27">
      <w:pPr>
        <w:keepNext/>
        <w:keepLines/>
        <w:spacing w:line="600" w:lineRule="exact"/>
        <w:ind w:firstLine="720"/>
        <w:rPr>
          <w:i/>
          <w:iCs/>
        </w:rPr>
      </w:pPr>
      <w:r w:rsidRPr="009A41DA">
        <w:lastRenderedPageBreak/>
        <w:t>A</w:t>
      </w:r>
      <w:r w:rsidR="00D86ADC" w:rsidRPr="009A41DA">
        <w:t>.</w:t>
      </w:r>
      <w:r w:rsidRPr="009A41DA">
        <w:t xml:space="preserve"> </w:t>
      </w:r>
      <w:r w:rsidR="00192312" w:rsidRPr="009A41DA">
        <w:rPr>
          <w:i/>
          <w:iCs/>
        </w:rPr>
        <w:t>Expansion of FP-5 by Annexation</w:t>
      </w:r>
    </w:p>
    <w:p w14:paraId="5D3B3DB2" w14:textId="1C34D594" w:rsidR="005877C1" w:rsidRPr="009A41DA" w:rsidRDefault="005C5756" w:rsidP="00DC0C27">
      <w:pPr>
        <w:keepNext/>
        <w:keepLines/>
        <w:spacing w:line="600" w:lineRule="exact"/>
        <w:ind w:firstLine="720"/>
      </w:pPr>
      <w:bookmarkStart w:id="3" w:name="_Hlk146033086"/>
      <w:r w:rsidRPr="009A41DA">
        <w:t xml:space="preserve">The services provided by the District are primarily funded through property taxes, contract revenue, and assessment revenue.  The District also receives funding from the County.  </w:t>
      </w:r>
      <w:r w:rsidR="00C31E9B" w:rsidRPr="009A41DA">
        <w:t>I</w:t>
      </w:r>
      <w:r w:rsidR="006C0D6F" w:rsidRPr="009A41DA">
        <w:t xml:space="preserve">n </w:t>
      </w:r>
      <w:r w:rsidR="00CF07F7" w:rsidRPr="009A41DA">
        <w:t xml:space="preserve">2018, </w:t>
      </w:r>
      <w:r w:rsidR="0036529C" w:rsidRPr="009A41DA">
        <w:t>the District</w:t>
      </w:r>
      <w:r w:rsidR="00326704" w:rsidRPr="009A41DA">
        <w:t xml:space="preserve"> </w:t>
      </w:r>
      <w:r w:rsidR="0036529C" w:rsidRPr="009A41DA">
        <w:t>was operating under a $29 million shortfall</w:t>
      </w:r>
      <w:r w:rsidR="00C31E9B" w:rsidRPr="009A41DA">
        <w:t>.  T</w:t>
      </w:r>
      <w:r w:rsidR="00326704" w:rsidRPr="009A41DA">
        <w:t>he District</w:t>
      </w:r>
      <w:r w:rsidR="002E7AB7">
        <w:t xml:space="preserve"> therefore</w:t>
      </w:r>
      <w:r w:rsidR="00326704" w:rsidRPr="009A41DA">
        <w:t xml:space="preserve"> proposed at a County Board of Supervisors meeting to </w:t>
      </w:r>
      <w:r w:rsidR="0036529C" w:rsidRPr="009A41DA">
        <w:t>increas</w:t>
      </w:r>
      <w:r w:rsidR="00326704" w:rsidRPr="009A41DA">
        <w:t>e</w:t>
      </w:r>
      <w:r w:rsidR="0036529C" w:rsidRPr="009A41DA">
        <w:t xml:space="preserve"> tax revenue by expanding FP-5 to include Grand Terrace, Yucca Valley, and all unincorporated areas not already receiving fire and emergency medical </w:t>
      </w:r>
      <w:r w:rsidR="00DE086E" w:rsidRPr="009A41DA">
        <w:t>services</w:t>
      </w:r>
      <w:r w:rsidR="0036529C" w:rsidRPr="009A41DA">
        <w:t xml:space="preserve"> from the District, except for unincorporated areas within </w:t>
      </w:r>
      <w:r w:rsidR="00DE086E" w:rsidRPr="009A41DA">
        <w:t>Montclair’s</w:t>
      </w:r>
      <w:r w:rsidR="0036529C" w:rsidRPr="009A41DA">
        <w:t xml:space="preserve"> sphere of influence.  Otherwise, the District would have </w:t>
      </w:r>
      <w:r w:rsidR="00C6064B" w:rsidRPr="009A41DA">
        <w:t xml:space="preserve">had </w:t>
      </w:r>
      <w:r w:rsidR="0036529C" w:rsidRPr="009A41DA">
        <w:t>to impose severe cuts to fire services</w:t>
      </w:r>
      <w:r w:rsidR="006D6EBE" w:rsidRPr="009A41DA">
        <w:t xml:space="preserve"> or continue subsidizing fire services in </w:t>
      </w:r>
      <w:r w:rsidR="00C571A6">
        <w:t xml:space="preserve">those </w:t>
      </w:r>
      <w:r w:rsidR="006D6EBE" w:rsidRPr="009A41DA">
        <w:t>communities with funds collected from property owners in other areas of the County.</w:t>
      </w:r>
      <w:bookmarkEnd w:id="3"/>
    </w:p>
    <w:p w14:paraId="35D72393" w14:textId="1D1A2116" w:rsidR="00FB7203" w:rsidRPr="009A41DA" w:rsidRDefault="00326704" w:rsidP="00DC0C27">
      <w:pPr>
        <w:spacing w:line="600" w:lineRule="exact"/>
        <w:ind w:firstLine="720"/>
      </w:pPr>
      <w:r w:rsidRPr="009A41DA">
        <w:t xml:space="preserve">At the June 12, 2018, Board </w:t>
      </w:r>
      <w:r w:rsidR="00E92A1E" w:rsidRPr="009A41DA">
        <w:t xml:space="preserve">of Supervisors </w:t>
      </w:r>
      <w:r w:rsidRPr="009A41DA">
        <w:t xml:space="preserve">meeting, the Board </w:t>
      </w:r>
      <w:r w:rsidR="00B562CB" w:rsidRPr="009A41DA">
        <w:t xml:space="preserve">of Supervisors </w:t>
      </w:r>
      <w:r w:rsidR="0016200B" w:rsidRPr="009A41DA">
        <w:t xml:space="preserve">adopted a resolution for a new </w:t>
      </w:r>
      <w:r w:rsidR="00D85BD3" w:rsidRPr="009A41DA">
        <w:t xml:space="preserve">annual </w:t>
      </w:r>
      <w:r w:rsidR="0016200B" w:rsidRPr="009A41DA">
        <w:t xml:space="preserve">parcel tax on all </w:t>
      </w:r>
      <w:r w:rsidR="00DE086E" w:rsidRPr="009A41DA">
        <w:t>unincorporated</w:t>
      </w:r>
      <w:r w:rsidR="0016200B" w:rsidRPr="009A41DA">
        <w:t xml:space="preserve"> parcels and some incorporated parcels</w:t>
      </w:r>
      <w:r w:rsidR="005C5756" w:rsidRPr="009A41DA">
        <w:t xml:space="preserve"> in the District</w:t>
      </w:r>
      <w:r w:rsidR="0016200B" w:rsidRPr="009A41DA">
        <w:t>.  The Board</w:t>
      </w:r>
      <w:r w:rsidR="00E92A1E" w:rsidRPr="009A41DA">
        <w:t xml:space="preserve"> of Supervisors</w:t>
      </w:r>
      <w:r w:rsidR="0016200B" w:rsidRPr="009A41DA">
        <w:t xml:space="preserve"> also adopted a resolution providing protest procedures allowing affected landowners to protest </w:t>
      </w:r>
      <w:r w:rsidR="002E7AB7">
        <w:t xml:space="preserve">the </w:t>
      </w:r>
      <w:r w:rsidR="0016200B" w:rsidRPr="009A41DA">
        <w:t>implementation of the new</w:t>
      </w:r>
      <w:r w:rsidR="00FB7203" w:rsidRPr="009A41DA">
        <w:t xml:space="preserve"> special</w:t>
      </w:r>
      <w:r w:rsidR="0016200B" w:rsidRPr="009A41DA">
        <w:t xml:space="preserve"> tax and expansion of FP-5.</w:t>
      </w:r>
      <w:r w:rsidR="001A7B07" w:rsidRPr="009A41DA">
        <w:t xml:space="preserve">  </w:t>
      </w:r>
      <w:r w:rsidR="00E92A1E" w:rsidRPr="009A41DA">
        <w:t xml:space="preserve">After a public hearing </w:t>
      </w:r>
      <w:r w:rsidR="001A7B07" w:rsidRPr="009A41DA">
        <w:t>i</w:t>
      </w:r>
      <w:r w:rsidR="00E92A1E" w:rsidRPr="009A41DA">
        <w:t xml:space="preserve">n October 2018, </w:t>
      </w:r>
      <w:r w:rsidR="00E638B3" w:rsidRPr="009A41DA">
        <w:t>in which</w:t>
      </w:r>
      <w:r w:rsidR="00E92A1E" w:rsidRPr="009A41DA">
        <w:t xml:space="preserve"> the public</w:t>
      </w:r>
      <w:r w:rsidR="00E638B3" w:rsidRPr="009A41DA">
        <w:t xml:space="preserve"> was permitted</w:t>
      </w:r>
      <w:r w:rsidR="00E92A1E" w:rsidRPr="009A41DA">
        <w:t xml:space="preserve"> to protest </w:t>
      </w:r>
      <w:r w:rsidR="002E7AB7">
        <w:t xml:space="preserve">the </w:t>
      </w:r>
      <w:r w:rsidR="00E92A1E" w:rsidRPr="009A41DA">
        <w:t>expansion of FP-5, the</w:t>
      </w:r>
      <w:r w:rsidR="00B562CB" w:rsidRPr="009A41DA">
        <w:t xml:space="preserve"> Board of Supervisors, sitting as the Board of Directors of the District,</w:t>
      </w:r>
      <w:r w:rsidR="00E92A1E" w:rsidRPr="009A41DA">
        <w:t xml:space="preserve"> </w:t>
      </w:r>
      <w:r w:rsidR="00B562CB" w:rsidRPr="009A41DA">
        <w:t xml:space="preserve">passed a resolution </w:t>
      </w:r>
      <w:r w:rsidR="00200642" w:rsidRPr="009A41DA">
        <w:t>approving</w:t>
      </w:r>
      <w:r w:rsidR="00B562CB" w:rsidRPr="009A41DA">
        <w:t xml:space="preserve"> </w:t>
      </w:r>
      <w:r w:rsidR="002E7AB7">
        <w:t xml:space="preserve">the </w:t>
      </w:r>
      <w:r w:rsidR="00B562CB" w:rsidRPr="009A41DA">
        <w:t>expan</w:t>
      </w:r>
      <w:r w:rsidR="00200642" w:rsidRPr="009A41DA">
        <w:t>sion of</w:t>
      </w:r>
      <w:r w:rsidR="00B562CB" w:rsidRPr="009A41DA">
        <w:t xml:space="preserve"> FP-5</w:t>
      </w:r>
      <w:r w:rsidR="00200642" w:rsidRPr="009A41DA">
        <w:t xml:space="preserve"> and imposition of the new special tax</w:t>
      </w:r>
      <w:r w:rsidR="00B562CB" w:rsidRPr="009A41DA">
        <w:t>.</w:t>
      </w:r>
      <w:r w:rsidR="00FB7203" w:rsidRPr="009A41DA">
        <w:t xml:space="preserve">  In 2018, the landowners in FP-5 were assessed an annual fee set at $157.26 per year, which could increase up to 3</w:t>
      </w:r>
      <w:r w:rsidR="002E7AB7">
        <w:t xml:space="preserve"> percent</w:t>
      </w:r>
      <w:r w:rsidR="00FB7203" w:rsidRPr="009A41DA">
        <w:t xml:space="preserve"> per year.</w:t>
      </w:r>
    </w:p>
    <w:p w14:paraId="69B6113B" w14:textId="0871D17A" w:rsidR="00192312" w:rsidRPr="009A41DA" w:rsidRDefault="00565BCF" w:rsidP="00DC0C27">
      <w:pPr>
        <w:keepNext/>
        <w:keepLines/>
        <w:spacing w:line="600" w:lineRule="exact"/>
        <w:ind w:firstLine="720"/>
        <w:rPr>
          <w:i/>
          <w:iCs/>
        </w:rPr>
      </w:pPr>
      <w:r w:rsidRPr="009A41DA">
        <w:lastRenderedPageBreak/>
        <w:t>B</w:t>
      </w:r>
      <w:r w:rsidR="00D86ADC" w:rsidRPr="009A41DA">
        <w:t>.</w:t>
      </w:r>
      <w:r w:rsidRPr="009A41DA">
        <w:t xml:space="preserve"> </w:t>
      </w:r>
      <w:r w:rsidR="00192312" w:rsidRPr="009A41DA">
        <w:rPr>
          <w:i/>
          <w:iCs/>
        </w:rPr>
        <w:t xml:space="preserve">Demurrer Ruling in </w:t>
      </w:r>
      <w:r w:rsidR="00E43812" w:rsidRPr="009A41DA">
        <w:t>T</w:t>
      </w:r>
      <w:r w:rsidR="00192312" w:rsidRPr="009A41DA">
        <w:t>he Red Brennan Group</w:t>
      </w:r>
      <w:r w:rsidR="00192312" w:rsidRPr="009A41DA">
        <w:rPr>
          <w:i/>
          <w:iCs/>
        </w:rPr>
        <w:t xml:space="preserve"> Lawsuit</w:t>
      </w:r>
    </w:p>
    <w:p w14:paraId="0B63C539" w14:textId="0E741CFD" w:rsidR="00D768E6" w:rsidRPr="009A41DA" w:rsidRDefault="00301047" w:rsidP="00DC0C27">
      <w:pPr>
        <w:keepNext/>
        <w:keepLines/>
        <w:spacing w:line="600" w:lineRule="exact"/>
        <w:ind w:firstLine="720"/>
      </w:pPr>
      <w:r w:rsidRPr="009A41DA">
        <w:t xml:space="preserve">In </w:t>
      </w:r>
      <w:r w:rsidR="007A22E4" w:rsidRPr="009A41DA">
        <w:t xml:space="preserve">response to the resolution, in </w:t>
      </w:r>
      <w:r w:rsidRPr="009A41DA">
        <w:t xml:space="preserve">October 2018, The Red Brennan Group and other plaintiffs filed </w:t>
      </w:r>
      <w:r w:rsidR="007A22E4" w:rsidRPr="009A41DA">
        <w:t xml:space="preserve">in the San Bernardino County Superior Court </w:t>
      </w:r>
      <w:r w:rsidRPr="009A41DA">
        <w:t xml:space="preserve">a </w:t>
      </w:r>
      <w:r w:rsidR="00077C64" w:rsidRPr="009A41DA">
        <w:t xml:space="preserve">reverse validation </w:t>
      </w:r>
      <w:r w:rsidR="001416BA" w:rsidRPr="009A41DA">
        <w:t>lawsuit</w:t>
      </w:r>
      <w:r w:rsidR="00077C64" w:rsidRPr="009A41DA">
        <w:t xml:space="preserve"> </w:t>
      </w:r>
      <w:r w:rsidR="00D768E6" w:rsidRPr="009A41DA">
        <w:t xml:space="preserve">(Code Civ. Proc., </w:t>
      </w:r>
      <w:r w:rsidR="00D768E6" w:rsidRPr="009A41DA">
        <w:rPr>
          <w:szCs w:val="26"/>
        </w:rPr>
        <w:t>§§ 860, 863</w:t>
      </w:r>
      <w:r w:rsidR="00D768E6" w:rsidRPr="009A41DA">
        <w:t xml:space="preserve">) </w:t>
      </w:r>
      <w:r w:rsidR="00077C64" w:rsidRPr="009A41DA">
        <w:t xml:space="preserve">against the County, </w:t>
      </w:r>
      <w:r w:rsidR="00D00C2A" w:rsidRPr="009A41DA">
        <w:t xml:space="preserve">the </w:t>
      </w:r>
      <w:r w:rsidR="00077C64" w:rsidRPr="009A41DA">
        <w:t>District, and other defendants, contesting the validity of the District’s approval of expansion of FP-5 in October 2018</w:t>
      </w:r>
      <w:r w:rsidR="00FB7203" w:rsidRPr="009A41DA">
        <w:t>,</w:t>
      </w:r>
      <w:r w:rsidR="001416BA" w:rsidRPr="009A41DA">
        <w:t xml:space="preserve"> </w:t>
      </w:r>
      <w:r w:rsidR="00D768E6" w:rsidRPr="009A41DA">
        <w:t xml:space="preserve">and </w:t>
      </w:r>
      <w:r w:rsidR="005C5756" w:rsidRPr="009A41DA">
        <w:t xml:space="preserve">imposing the </w:t>
      </w:r>
      <w:r w:rsidR="00D768E6" w:rsidRPr="009A41DA">
        <w:t xml:space="preserve">special tax without a two-thirds vote by the electorate </w:t>
      </w:r>
      <w:r w:rsidR="001416BA" w:rsidRPr="009A41DA">
        <w:t>(</w:t>
      </w:r>
      <w:bookmarkStart w:id="4" w:name="_Hlk146120728"/>
      <w:r w:rsidR="001416BA" w:rsidRPr="009A41DA">
        <w:rPr>
          <w:i/>
          <w:iCs/>
        </w:rPr>
        <w:t xml:space="preserve">The </w:t>
      </w:r>
      <w:r w:rsidR="008872D6" w:rsidRPr="009A41DA">
        <w:rPr>
          <w:i/>
          <w:iCs/>
        </w:rPr>
        <w:t xml:space="preserve">Red </w:t>
      </w:r>
      <w:r w:rsidR="001416BA" w:rsidRPr="009A41DA">
        <w:rPr>
          <w:i/>
          <w:iCs/>
        </w:rPr>
        <w:t>Brennan Group</w:t>
      </w:r>
      <w:r w:rsidR="001416BA" w:rsidRPr="009A41DA">
        <w:t>,</w:t>
      </w:r>
      <w:r w:rsidR="001416BA" w:rsidRPr="009A41DA">
        <w:rPr>
          <w:i/>
          <w:iCs/>
        </w:rPr>
        <w:t xml:space="preserve"> et al. v. </w:t>
      </w:r>
      <w:r w:rsidR="00150620" w:rsidRPr="009A41DA">
        <w:rPr>
          <w:i/>
          <w:iCs/>
        </w:rPr>
        <w:t>T</w:t>
      </w:r>
      <w:r w:rsidR="008872D6" w:rsidRPr="009A41DA">
        <w:rPr>
          <w:i/>
          <w:iCs/>
        </w:rPr>
        <w:t>he Board of Supervisors of San Bernardino County</w:t>
      </w:r>
      <w:r w:rsidR="008872D6" w:rsidRPr="009A41DA">
        <w:t>,</w:t>
      </w:r>
      <w:r w:rsidR="00150620" w:rsidRPr="009A41DA">
        <w:rPr>
          <w:i/>
          <w:iCs/>
        </w:rPr>
        <w:t xml:space="preserve"> et al.</w:t>
      </w:r>
      <w:r w:rsidR="00150620" w:rsidRPr="009A41DA">
        <w:t>,</w:t>
      </w:r>
      <w:r w:rsidR="00150620" w:rsidRPr="009A41DA">
        <w:rPr>
          <w:i/>
          <w:iCs/>
        </w:rPr>
        <w:t xml:space="preserve"> </w:t>
      </w:r>
      <w:r w:rsidR="00150620" w:rsidRPr="009A41DA">
        <w:t xml:space="preserve">Case No. </w:t>
      </w:r>
      <w:r w:rsidR="008872D6" w:rsidRPr="009A41DA">
        <w:t>CIVDS</w:t>
      </w:r>
      <w:r w:rsidR="00150620" w:rsidRPr="009A41DA">
        <w:t>-</w:t>
      </w:r>
      <w:r w:rsidR="008872D6" w:rsidRPr="009A41DA">
        <w:t>1826559 (</w:t>
      </w:r>
      <w:r w:rsidR="008872D6" w:rsidRPr="009A41DA">
        <w:rPr>
          <w:i/>
          <w:iCs/>
        </w:rPr>
        <w:t>The Red Brennan Group</w:t>
      </w:r>
      <w:r w:rsidR="008872D6" w:rsidRPr="009A41DA">
        <w:t xml:space="preserve"> lawsuit</w:t>
      </w:r>
      <w:r w:rsidR="001416BA" w:rsidRPr="009A41DA">
        <w:t>)</w:t>
      </w:r>
      <w:r w:rsidR="00077C64" w:rsidRPr="009A41DA">
        <w:t>)</w:t>
      </w:r>
      <w:r w:rsidR="005C5756" w:rsidRPr="009A41DA">
        <w:t>.</w:t>
      </w:r>
      <w:r w:rsidR="001416BA" w:rsidRPr="009A41DA">
        <w:t xml:space="preserve"> </w:t>
      </w:r>
      <w:bookmarkEnd w:id="4"/>
      <w:r w:rsidR="00077C64" w:rsidRPr="009A41DA">
        <w:t xml:space="preserve"> The lawsuit</w:t>
      </w:r>
      <w:r w:rsidRPr="009A41DA">
        <w:t xml:space="preserve"> </w:t>
      </w:r>
      <w:r w:rsidR="00D768E6" w:rsidRPr="009A41DA">
        <w:t>included</w:t>
      </w:r>
      <w:r w:rsidRPr="009A41DA">
        <w:t xml:space="preserve"> causes of action for (1) permanent injunction, (2) declaratory relief as to the approved special tax, and (3) declaratory relief as to the necessity of an Environmental Impact Report.</w:t>
      </w:r>
      <w:r w:rsidR="007A22E4" w:rsidRPr="009A41DA">
        <w:t xml:space="preserve">  </w:t>
      </w:r>
    </w:p>
    <w:p w14:paraId="279D6941" w14:textId="1788E124" w:rsidR="00A25546" w:rsidRPr="009A41DA" w:rsidRDefault="005C5756" w:rsidP="00DC0C27">
      <w:pPr>
        <w:spacing w:line="600" w:lineRule="exact"/>
        <w:ind w:firstLine="720"/>
      </w:pPr>
      <w:r w:rsidRPr="009A41DA">
        <w:t>I</w:t>
      </w:r>
      <w:r w:rsidR="00200642" w:rsidRPr="009A41DA">
        <w:t xml:space="preserve">n January 2019, the defendants in </w:t>
      </w:r>
      <w:r w:rsidR="00200642" w:rsidRPr="009A41DA">
        <w:rPr>
          <w:i/>
          <w:iCs/>
        </w:rPr>
        <w:t>The Red Brennan Group</w:t>
      </w:r>
      <w:r w:rsidR="00200642" w:rsidRPr="009A41DA">
        <w:t xml:space="preserve"> lawsuit</w:t>
      </w:r>
      <w:r w:rsidR="002331EE" w:rsidRPr="009A41DA">
        <w:t xml:space="preserve"> filed a demurrer to the first amended complaint, and </w:t>
      </w:r>
      <w:r w:rsidRPr="009A41DA">
        <w:t>in</w:t>
      </w:r>
      <w:r w:rsidR="002331EE" w:rsidRPr="009A41DA">
        <w:t xml:space="preserve"> April 2019, the trial </w:t>
      </w:r>
      <w:r w:rsidR="00D00C2A" w:rsidRPr="009A41DA">
        <w:t xml:space="preserve">court </w:t>
      </w:r>
      <w:r w:rsidR="002331EE" w:rsidRPr="009A41DA">
        <w:t>sustained the demurrer without leave to amend</w:t>
      </w:r>
      <w:bookmarkStart w:id="5" w:name="_Hlk146791276"/>
      <w:r w:rsidR="002331EE" w:rsidRPr="009A41DA">
        <w:t xml:space="preserve"> on the ground the action was time-barred for failure to timely bring </w:t>
      </w:r>
      <w:r w:rsidR="00077C64" w:rsidRPr="009A41DA">
        <w:t xml:space="preserve">it </w:t>
      </w:r>
      <w:r w:rsidR="002331EE" w:rsidRPr="009A41DA">
        <w:t>within 60 days</w:t>
      </w:r>
      <w:r w:rsidR="0038060B" w:rsidRPr="009A41DA">
        <w:t xml:space="preserve"> after the District approved the expansion of FP-5 on October 16, 2018.</w:t>
      </w:r>
      <w:bookmarkEnd w:id="5"/>
      <w:r w:rsidR="005B765A" w:rsidRPr="009A41DA">
        <w:t xml:space="preserve">  </w:t>
      </w:r>
    </w:p>
    <w:p w14:paraId="5EDB318B" w14:textId="7931E3A3" w:rsidR="00200642" w:rsidRPr="009A41DA" w:rsidRDefault="005B765A" w:rsidP="00DC0C27">
      <w:pPr>
        <w:spacing w:line="600" w:lineRule="exact"/>
        <w:ind w:firstLine="720"/>
        <w:rPr>
          <w:szCs w:val="26"/>
        </w:rPr>
      </w:pPr>
      <w:r w:rsidRPr="009A41DA">
        <w:t>The trial court</w:t>
      </w:r>
      <w:r w:rsidR="00BF72B1" w:rsidRPr="009A41DA">
        <w:t xml:space="preserve"> further </w:t>
      </w:r>
      <w:r w:rsidRPr="009A41DA">
        <w:t>stated in its detailed, 18-page decision that</w:t>
      </w:r>
      <w:r w:rsidR="00BF72B1" w:rsidRPr="009A41DA">
        <w:t xml:space="preserve">, “substantively, although Plaintiffs title this a claim contesting the </w:t>
      </w:r>
      <w:r w:rsidR="00A25546" w:rsidRPr="009A41DA">
        <w:t>u</w:t>
      </w:r>
      <w:r w:rsidR="00BF72B1" w:rsidRPr="009A41DA">
        <w:t xml:space="preserve">nconstitutional imposition of the special tax, the underlying premise is that the special tax should not be imposed on the citizens in the annexed part of the fire protection zone simply because the tax was already assessed in the original zone. . . . </w:t>
      </w:r>
      <w:r w:rsidR="002A0E46">
        <w:t xml:space="preserve"> </w:t>
      </w:r>
      <w:r w:rsidR="00BF72B1" w:rsidRPr="009A41DA">
        <w:t>However, under Government Code section 57330, . . . ‘</w:t>
      </w:r>
      <w:r w:rsidR="00DE086E" w:rsidRPr="009A41DA">
        <w:t>any</w:t>
      </w:r>
      <w:r w:rsidR="00BF72B1" w:rsidRPr="009A41DA">
        <w:t xml:space="preserve"> territory annexed to a city or district shall be subject to the levying or fixing and </w:t>
      </w:r>
      <w:r w:rsidR="00BF72B1" w:rsidRPr="009A41DA">
        <w:lastRenderedPageBreak/>
        <w:t>collection of any previou</w:t>
      </w:r>
      <w:r w:rsidR="00A25546" w:rsidRPr="009A41DA">
        <w:t xml:space="preserve">sly authorized taxes, benefit assessments, fees, or charges of the city or district.’  (Gov. </w:t>
      </w:r>
      <w:r w:rsidR="00FC1E4C">
        <w:t>[Code]</w:t>
      </w:r>
      <w:r w:rsidR="00A25546" w:rsidRPr="009A41DA">
        <w:t xml:space="preserve">, </w:t>
      </w:r>
      <w:r w:rsidR="00A25546" w:rsidRPr="009A41DA">
        <w:rPr>
          <w:szCs w:val="26"/>
        </w:rPr>
        <w:t xml:space="preserve">§ 57330.)  As a result, Plaintiffs’ claim regarding the </w:t>
      </w:r>
      <w:r w:rsidR="00DE086E" w:rsidRPr="009A41DA">
        <w:rPr>
          <w:szCs w:val="26"/>
        </w:rPr>
        <w:t>improper</w:t>
      </w:r>
      <w:r w:rsidR="00A25546" w:rsidRPr="009A41DA">
        <w:rPr>
          <w:szCs w:val="26"/>
        </w:rPr>
        <w:t xml:space="preserve"> imposition of the special tax actually arises out of the annexation action taken by District – i.e., but for the annexation and the expansion of Service Zone FP-5, the special tax would not be assessed on the annexed parcels.”</w:t>
      </w:r>
    </w:p>
    <w:p w14:paraId="689ACFAC" w14:textId="4A499CE0" w:rsidR="00F47225" w:rsidRPr="009A41DA" w:rsidRDefault="00A25546" w:rsidP="00DC0C27">
      <w:pPr>
        <w:spacing w:line="600" w:lineRule="exact"/>
        <w:ind w:firstLine="720"/>
      </w:pPr>
      <w:bookmarkStart w:id="6" w:name="_Hlk146792297"/>
      <w:r w:rsidRPr="009A41DA">
        <w:rPr>
          <w:szCs w:val="26"/>
        </w:rPr>
        <w:t>The trial court</w:t>
      </w:r>
      <w:r w:rsidR="008872D6" w:rsidRPr="009A41DA">
        <w:rPr>
          <w:szCs w:val="26"/>
        </w:rPr>
        <w:t xml:space="preserve"> in </w:t>
      </w:r>
      <w:r w:rsidR="008872D6" w:rsidRPr="009A41DA">
        <w:rPr>
          <w:i/>
          <w:iCs/>
        </w:rPr>
        <w:t>The Red Brennan Group</w:t>
      </w:r>
      <w:r w:rsidR="008872D6" w:rsidRPr="009A41DA">
        <w:t xml:space="preserve"> lawsuit</w:t>
      </w:r>
      <w:r w:rsidRPr="009A41DA">
        <w:rPr>
          <w:szCs w:val="26"/>
        </w:rPr>
        <w:t xml:space="preserve"> also rejected the plaintiffs’ constitutional challenge to the special tax as unfounded</w:t>
      </w:r>
      <w:r w:rsidR="00E50F6B" w:rsidRPr="009A41DA">
        <w:rPr>
          <w:szCs w:val="26"/>
        </w:rPr>
        <w:t xml:space="preserve"> under </w:t>
      </w:r>
      <w:r w:rsidRPr="009A41DA">
        <w:rPr>
          <w:i/>
          <w:iCs/>
        </w:rPr>
        <w:t xml:space="preserve">Citizens Association of Sunset Beach v. Orange County Local Agency Formation Commission </w:t>
      </w:r>
      <w:r w:rsidRPr="009A41DA">
        <w:t>(2012) 209 Cal.App.</w:t>
      </w:r>
      <w:r w:rsidR="00D00C2A" w:rsidRPr="009A41DA">
        <w:t>4th</w:t>
      </w:r>
      <w:r w:rsidRPr="009A41DA">
        <w:t xml:space="preserve"> 1182</w:t>
      </w:r>
      <w:r w:rsidR="00E50F6B" w:rsidRPr="009A41DA">
        <w:t>, 1194-1195</w:t>
      </w:r>
      <w:r w:rsidRPr="009A41DA">
        <w:t xml:space="preserve"> (</w:t>
      </w:r>
      <w:r w:rsidRPr="009A41DA">
        <w:rPr>
          <w:i/>
          <w:iCs/>
        </w:rPr>
        <w:t>Sunset Beach</w:t>
      </w:r>
      <w:r w:rsidRPr="009A41DA">
        <w:t>)</w:t>
      </w:r>
      <w:r w:rsidR="00E50F6B" w:rsidRPr="009A41DA">
        <w:t xml:space="preserve">, </w:t>
      </w:r>
      <w:r w:rsidR="00D00C2A" w:rsidRPr="009A41DA">
        <w:t xml:space="preserve">finding </w:t>
      </w:r>
      <w:r w:rsidR="00E50F6B" w:rsidRPr="009A41DA">
        <w:t xml:space="preserve">that “the </w:t>
      </w:r>
      <w:r w:rsidR="00E50F6B" w:rsidRPr="009A41DA">
        <w:rPr>
          <w:i/>
          <w:iCs/>
        </w:rPr>
        <w:t xml:space="preserve">Sunset Beach </w:t>
      </w:r>
      <w:r w:rsidR="00E50F6B" w:rsidRPr="009A41DA">
        <w:t>court concluded Proposition 218’s proponents ‘simply never intended it to apply to annexations.</w:t>
      </w:r>
      <w:r w:rsidR="003473F7" w:rsidRPr="009A41DA">
        <w:t>’</w:t>
      </w:r>
      <w:r w:rsidR="00E50F6B" w:rsidRPr="009A41DA">
        <w:t xml:space="preserve">  (</w:t>
      </w:r>
      <w:r w:rsidR="00E50F6B" w:rsidRPr="009A41DA">
        <w:rPr>
          <w:i/>
          <w:iCs/>
        </w:rPr>
        <w:t xml:space="preserve">Id. </w:t>
      </w:r>
      <w:r w:rsidR="00E50F6B" w:rsidRPr="009A41DA">
        <w:t>at 1195.)”</w:t>
      </w:r>
      <w:bookmarkEnd w:id="6"/>
    </w:p>
    <w:p w14:paraId="758526CD" w14:textId="5F46D2F5" w:rsidR="00485427" w:rsidRPr="009A41DA" w:rsidRDefault="00485427" w:rsidP="00DC0C27">
      <w:pPr>
        <w:spacing w:line="600" w:lineRule="exact"/>
        <w:ind w:firstLine="720"/>
      </w:pPr>
      <w:r w:rsidRPr="009A41DA">
        <w:t>In June 2020, the District Board passed and adopted Resolution No. 2020-95</w:t>
      </w:r>
      <w:r w:rsidR="002F6007" w:rsidRPr="009A41DA">
        <w:t>, which</w:t>
      </w:r>
      <w:r w:rsidRPr="009A41DA">
        <w:t xml:space="preserve"> </w:t>
      </w:r>
      <w:r w:rsidR="00423037" w:rsidRPr="009A41DA">
        <w:t>set</w:t>
      </w:r>
      <w:r w:rsidRPr="009A41DA">
        <w:t xml:space="preserve"> the FP-5 special tax</w:t>
      </w:r>
      <w:r w:rsidR="002F6007" w:rsidRPr="009A41DA">
        <w:t xml:space="preserve"> </w:t>
      </w:r>
      <w:r w:rsidR="00423037" w:rsidRPr="009A41DA">
        <w:t>at</w:t>
      </w:r>
      <w:r w:rsidRPr="009A41DA">
        <w:t xml:space="preserve"> $157.26 per parcel for the fiscal year 2020-2021.</w:t>
      </w:r>
    </w:p>
    <w:p w14:paraId="2069618F" w14:textId="669EB36F" w:rsidR="00A25546" w:rsidRPr="009A41DA" w:rsidRDefault="00565BCF" w:rsidP="00DC0C27">
      <w:pPr>
        <w:spacing w:line="600" w:lineRule="exact"/>
        <w:ind w:firstLine="720"/>
        <w:rPr>
          <w:i/>
          <w:iCs/>
        </w:rPr>
      </w:pPr>
      <w:r w:rsidRPr="009A41DA">
        <w:t>C</w:t>
      </w:r>
      <w:r w:rsidR="00D86ADC" w:rsidRPr="009A41DA">
        <w:t>.</w:t>
      </w:r>
      <w:r w:rsidRPr="009A41DA">
        <w:t xml:space="preserve"> </w:t>
      </w:r>
      <w:r w:rsidR="006F47C4" w:rsidRPr="009A41DA">
        <w:rPr>
          <w:i/>
          <w:iCs/>
        </w:rPr>
        <w:t xml:space="preserve">The </w:t>
      </w:r>
      <w:r w:rsidR="00AF4448" w:rsidRPr="009A41DA">
        <w:rPr>
          <w:i/>
          <w:iCs/>
        </w:rPr>
        <w:t>Initiative</w:t>
      </w:r>
    </w:p>
    <w:p w14:paraId="3D9CA950" w14:textId="0A790EE4" w:rsidR="00AF4448" w:rsidRPr="009A41DA" w:rsidRDefault="00756515" w:rsidP="00DC0C27">
      <w:pPr>
        <w:spacing w:line="600" w:lineRule="exact"/>
        <w:ind w:firstLine="720"/>
      </w:pPr>
      <w:r w:rsidRPr="009A41DA">
        <w:t xml:space="preserve">In May 2021, Real Parties submitted the Initiative text to the County registrar </w:t>
      </w:r>
      <w:r w:rsidR="00EE3815" w:rsidRPr="009A41DA">
        <w:t xml:space="preserve">(Registrar) </w:t>
      </w:r>
      <w:r w:rsidRPr="009A41DA">
        <w:t xml:space="preserve">and a “Notice of Intent to Circulate Petition.”  </w:t>
      </w:r>
      <w:r w:rsidR="00AF4448" w:rsidRPr="009A41DA">
        <w:t>Between June and Octobe</w:t>
      </w:r>
      <w:r w:rsidR="009B6A83" w:rsidRPr="009A41DA">
        <w:t>r 2021, Real Parties</w:t>
      </w:r>
      <w:r w:rsidRPr="009A41DA">
        <w:t xml:space="preserve"> circulat</w:t>
      </w:r>
      <w:r w:rsidR="002F6007" w:rsidRPr="009A41DA">
        <w:t>ed</w:t>
      </w:r>
      <w:r w:rsidRPr="009A41DA">
        <w:t xml:space="preserve"> the Initiative petition among the District’s voters.</w:t>
      </w:r>
      <w:r w:rsidR="009B6A83" w:rsidRPr="009A41DA">
        <w:t xml:space="preserve"> </w:t>
      </w:r>
      <w:r w:rsidR="00457727" w:rsidRPr="009A41DA">
        <w:t xml:space="preserve"> In October 2021, Real Parties </w:t>
      </w:r>
      <w:r w:rsidR="00D5413E" w:rsidRPr="009A41DA">
        <w:t xml:space="preserve">submitted the signed Initiative Petition to the </w:t>
      </w:r>
      <w:r w:rsidR="00EE3815" w:rsidRPr="009A41DA">
        <w:t>R</w:t>
      </w:r>
      <w:r w:rsidR="00D5413E" w:rsidRPr="009A41DA">
        <w:t xml:space="preserve">egistrar, and </w:t>
      </w:r>
      <w:r w:rsidR="002F6007" w:rsidRPr="009A41DA">
        <w:t>i</w:t>
      </w:r>
      <w:r w:rsidR="00D5413E" w:rsidRPr="009A41DA">
        <w:t xml:space="preserve">n December 2021, the </w:t>
      </w:r>
      <w:r w:rsidR="00EE3815" w:rsidRPr="009A41DA">
        <w:t>R</w:t>
      </w:r>
      <w:r w:rsidR="00D5413E" w:rsidRPr="009A41DA">
        <w:t xml:space="preserve">egistrar certified that the number of signatures on the Initiative Petition was sufficient to qualify the Initiative for the June 7, 2022 ballot.  </w:t>
      </w:r>
      <w:r w:rsidR="002F6007" w:rsidRPr="009A41DA">
        <w:t>I</w:t>
      </w:r>
      <w:r w:rsidR="00D5413E" w:rsidRPr="009A41DA">
        <w:t>n January 2022, the District Board voted to place the Initiative on the ballot</w:t>
      </w:r>
      <w:r w:rsidR="002F6EF8" w:rsidRPr="009A41DA">
        <w:t>.</w:t>
      </w:r>
    </w:p>
    <w:p w14:paraId="2A5E485F" w14:textId="613D0769" w:rsidR="00F1422E" w:rsidRPr="009A41DA" w:rsidRDefault="00F1422E" w:rsidP="00DC0C27">
      <w:pPr>
        <w:spacing w:line="600" w:lineRule="exact"/>
        <w:ind w:firstLine="720"/>
      </w:pPr>
      <w:bookmarkStart w:id="7" w:name="_Hlk147929622"/>
      <w:r w:rsidRPr="009A41DA">
        <w:lastRenderedPageBreak/>
        <w:t>The Initiative’s Notice of Intent to Circulate Petition states</w:t>
      </w:r>
      <w:r w:rsidR="002F6007" w:rsidRPr="009A41DA">
        <w:t xml:space="preserve"> in </w:t>
      </w:r>
      <w:r w:rsidR="00D00463" w:rsidRPr="009A41DA">
        <w:t>part</w:t>
      </w:r>
      <w:r w:rsidRPr="009A41DA">
        <w:t xml:space="preserve">: </w:t>
      </w:r>
      <w:r w:rsidR="00FC1E4C">
        <w:t xml:space="preserve"> </w:t>
      </w:r>
      <w:r w:rsidRPr="009A41DA">
        <w:t xml:space="preserve">“Vote ‘Yes’ to repeal the special tax associated with FP-5.  The California Constitution </w:t>
      </w:r>
      <w:r w:rsidR="005913F4" w:rsidRPr="009A41DA">
        <w:t xml:space="preserve"> </w:t>
      </w:r>
      <w:r w:rsidRPr="009A41DA">
        <w:t>states, ‘</w:t>
      </w:r>
      <w:r w:rsidR="00FC1E4C" w:rsidRPr="00FC1E4C">
        <w:rPr>
          <w:i/>
          <w:iCs/>
        </w:rPr>
        <w:t>N</w:t>
      </w:r>
      <w:r w:rsidRPr="009A41DA">
        <w:rPr>
          <w:i/>
          <w:iCs/>
        </w:rPr>
        <w:t xml:space="preserve">o local government may impose, extend, or increase any special tax unless and until that tax is submitted to the electorate and approved by a two-thirds vote.’  </w:t>
      </w:r>
      <w:r w:rsidRPr="009A41DA">
        <w:t>Despite this clear language, the FP-5 special tax was imposed by elected representatives on one million county residents without their consent.</w:t>
      </w:r>
      <w:r w:rsidR="00D00463" w:rsidRPr="009A41DA">
        <w:t>”</w:t>
      </w:r>
    </w:p>
    <w:p w14:paraId="6280651E" w14:textId="7D522507" w:rsidR="00184F2E" w:rsidRPr="009A41DA" w:rsidRDefault="00F1422E" w:rsidP="00DC0C27">
      <w:pPr>
        <w:spacing w:line="600" w:lineRule="exact"/>
        <w:ind w:firstLine="720"/>
      </w:pPr>
      <w:r w:rsidRPr="009A41DA">
        <w:t>The Initiative</w:t>
      </w:r>
      <w:r w:rsidR="00902100" w:rsidRPr="009A41DA">
        <w:t xml:space="preserve">’s </w:t>
      </w:r>
      <w:r w:rsidR="00D00463" w:rsidRPr="009A41DA">
        <w:t>text states in part:</w:t>
      </w:r>
      <w:r w:rsidR="00FC1E4C">
        <w:t xml:space="preserve"> </w:t>
      </w:r>
      <w:r w:rsidR="00D00463" w:rsidRPr="009A41DA">
        <w:t xml:space="preserve"> </w:t>
      </w:r>
      <w:r w:rsidR="00902100" w:rsidRPr="009A41DA">
        <w:t>“</w:t>
      </w:r>
      <w:r w:rsidR="00184F2E" w:rsidRPr="009A41DA">
        <w:rPr>
          <w:szCs w:val="26"/>
        </w:rPr>
        <w:t>The County’s sidestep of the provisions of the California Constitution has victimized property owners whose parcels have been annexed and who are now required to pay an ever increasing (up to 3% per year) annual parcel tax they didn’t vote on.”</w:t>
      </w:r>
    </w:p>
    <w:bookmarkEnd w:id="7"/>
    <w:p w14:paraId="7D71F359" w14:textId="118EEEAB" w:rsidR="00071416" w:rsidRPr="009A41DA" w:rsidRDefault="00565BCF" w:rsidP="00DC0C27">
      <w:pPr>
        <w:spacing w:line="600" w:lineRule="exact"/>
        <w:ind w:firstLine="720"/>
        <w:rPr>
          <w:i/>
          <w:iCs/>
        </w:rPr>
      </w:pPr>
      <w:r w:rsidRPr="009A41DA">
        <w:t>D</w:t>
      </w:r>
      <w:r w:rsidR="00D86ADC" w:rsidRPr="009A41DA">
        <w:t>.</w:t>
      </w:r>
      <w:r w:rsidRPr="009A41DA">
        <w:t xml:space="preserve"> </w:t>
      </w:r>
      <w:r w:rsidR="00DE086E" w:rsidRPr="009A41DA">
        <w:rPr>
          <w:i/>
          <w:iCs/>
        </w:rPr>
        <w:t>The District</w:t>
      </w:r>
      <w:r w:rsidR="00967759" w:rsidRPr="009A41DA">
        <w:rPr>
          <w:i/>
          <w:iCs/>
        </w:rPr>
        <w:t>’s Petition for Writ of Mandate</w:t>
      </w:r>
    </w:p>
    <w:p w14:paraId="2934143E" w14:textId="2888D4D5" w:rsidR="003361BD" w:rsidRPr="009A41DA" w:rsidRDefault="00FB7203" w:rsidP="00DC0C27">
      <w:pPr>
        <w:spacing w:line="600" w:lineRule="exact"/>
        <w:ind w:firstLine="720"/>
      </w:pPr>
      <w:r w:rsidRPr="009A41DA">
        <w:t>I</w:t>
      </w:r>
      <w:r w:rsidR="00DE086E" w:rsidRPr="009A41DA">
        <w:t xml:space="preserve">n February 2022, </w:t>
      </w:r>
      <w:r w:rsidR="00565BCF" w:rsidRPr="009A41DA">
        <w:t xml:space="preserve">the District filed a </w:t>
      </w:r>
      <w:r w:rsidR="0030364F" w:rsidRPr="009A41DA">
        <w:t xml:space="preserve">petition for writ of mandate and complaint for injunctive and declaratory relief against </w:t>
      </w:r>
      <w:r w:rsidR="00C571A6">
        <w:t xml:space="preserve">the </w:t>
      </w:r>
      <w:r w:rsidR="0030364F" w:rsidRPr="009A41DA">
        <w:t xml:space="preserve">County </w:t>
      </w:r>
      <w:r w:rsidR="00EE3815" w:rsidRPr="009A41DA">
        <w:t>R</w:t>
      </w:r>
      <w:r w:rsidR="0030364F" w:rsidRPr="009A41DA">
        <w:t>egistrar.</w:t>
      </w:r>
      <w:r w:rsidR="00F40884" w:rsidRPr="009A41DA">
        <w:t xml:space="preserve">  The District alleged</w:t>
      </w:r>
      <w:r w:rsidR="00D00463" w:rsidRPr="009A41DA">
        <w:t xml:space="preserve"> that</w:t>
      </w:r>
      <w:r w:rsidR="003C38A2" w:rsidRPr="009A41DA">
        <w:t xml:space="preserve"> </w:t>
      </w:r>
      <w:r w:rsidR="00F40884" w:rsidRPr="009A41DA">
        <w:t xml:space="preserve">Real Parties, as proponents of the Initiative, were violating </w:t>
      </w:r>
      <w:r w:rsidRPr="009A41DA">
        <w:t xml:space="preserve">the </w:t>
      </w:r>
      <w:r w:rsidR="00F40884" w:rsidRPr="009A41DA">
        <w:t>California Elections Code and case law</w:t>
      </w:r>
      <w:r w:rsidR="00D00463" w:rsidRPr="009A41DA">
        <w:t xml:space="preserve"> by circulating an Initiative that did not include the full text of the Initiative, failed to attach or include relevant documents and information, and included material false and misleading information.  </w:t>
      </w:r>
      <w:r w:rsidR="003278B0" w:rsidRPr="009A41DA">
        <w:t>T</w:t>
      </w:r>
      <w:r w:rsidR="003C38A2" w:rsidRPr="009A41DA">
        <w:t xml:space="preserve">he District </w:t>
      </w:r>
      <w:r w:rsidR="00D00463" w:rsidRPr="009A41DA">
        <w:t>requested</w:t>
      </w:r>
      <w:r w:rsidR="00F40884" w:rsidRPr="009A41DA">
        <w:t xml:space="preserve"> judicial relief to prevent the invalid Initiative </w:t>
      </w:r>
      <w:r w:rsidR="00D00463" w:rsidRPr="009A41DA">
        <w:t xml:space="preserve">from </w:t>
      </w:r>
      <w:r w:rsidRPr="009A41DA">
        <w:t>appeari</w:t>
      </w:r>
      <w:r w:rsidR="00D00463" w:rsidRPr="009A41DA">
        <w:t xml:space="preserve">ng </w:t>
      </w:r>
      <w:r w:rsidR="00F40884" w:rsidRPr="009A41DA">
        <w:t>on the June 2022 ballot</w:t>
      </w:r>
      <w:r w:rsidR="003278B0" w:rsidRPr="009A41DA">
        <w:t xml:space="preserve">.  </w:t>
      </w:r>
    </w:p>
    <w:p w14:paraId="136A86C8" w14:textId="1F140E5C" w:rsidR="00967759" w:rsidRPr="009A41DA" w:rsidRDefault="003C38A2" w:rsidP="00DC0C27">
      <w:pPr>
        <w:spacing w:line="600" w:lineRule="exact"/>
        <w:ind w:firstLine="720"/>
      </w:pPr>
      <w:r w:rsidRPr="009A41DA">
        <w:t xml:space="preserve">Noting that the Initiative Petition sought to repeal the FP-5 special tax, </w:t>
      </w:r>
      <w:r w:rsidR="003361BD" w:rsidRPr="009A41DA">
        <w:t>t</w:t>
      </w:r>
      <w:r w:rsidR="00F40884" w:rsidRPr="009A41DA">
        <w:t>h</w:t>
      </w:r>
      <w:r w:rsidRPr="009A41DA">
        <w:t xml:space="preserve">e District alleged that </w:t>
      </w:r>
      <w:r w:rsidR="003361BD" w:rsidRPr="009A41DA">
        <w:t xml:space="preserve">“by failing to adequately or accurately inform petition signers of crucial details about the proposed repeal, and failing to include key documents that are expressly </w:t>
      </w:r>
      <w:r w:rsidR="003361BD" w:rsidRPr="009A41DA">
        <w:lastRenderedPageBreak/>
        <w:t xml:space="preserve">referred to in the Initiative, Real Parties unlawfully deprived the District’s voters of their rights to be sufficiently informed about what they were being asked to sign and ultimately, vote on.”  The District </w:t>
      </w:r>
      <w:r w:rsidR="003278B0" w:rsidRPr="009A41DA">
        <w:t xml:space="preserve">further </w:t>
      </w:r>
      <w:r w:rsidR="003361BD" w:rsidRPr="009A41DA">
        <w:t xml:space="preserve">alleged that Real Parties’ willfully and </w:t>
      </w:r>
      <w:r w:rsidR="006C5114" w:rsidRPr="009A41DA">
        <w:t>knowingly</w:t>
      </w:r>
      <w:r w:rsidR="003361BD" w:rsidRPr="009A41DA">
        <w:t xml:space="preserve"> misinformed the electorate by circulat</w:t>
      </w:r>
      <w:r w:rsidR="00D00463" w:rsidRPr="009A41DA">
        <w:t>ing</w:t>
      </w:r>
      <w:r w:rsidR="003361BD" w:rsidRPr="009A41DA">
        <w:t xml:space="preserve"> the Initiative</w:t>
      </w:r>
      <w:r w:rsidR="00D00463" w:rsidRPr="009A41DA">
        <w:t xml:space="preserve">, which </w:t>
      </w:r>
      <w:r w:rsidR="003361BD" w:rsidRPr="009A41DA">
        <w:t>contain</w:t>
      </w:r>
      <w:r w:rsidR="00D00463" w:rsidRPr="009A41DA">
        <w:t>ed</w:t>
      </w:r>
      <w:r w:rsidR="003361BD" w:rsidRPr="009A41DA">
        <w:t xml:space="preserve"> false statements and misrepresentations, in violation of section 18600, subdivision (b)</w:t>
      </w:r>
      <w:r w:rsidR="00975543" w:rsidRPr="009A41DA">
        <w:t xml:space="preserve"> and </w:t>
      </w:r>
      <w:r w:rsidR="00975543" w:rsidRPr="009A41DA">
        <w:rPr>
          <w:i/>
          <w:iCs/>
        </w:rPr>
        <w:t>S</w:t>
      </w:r>
      <w:r w:rsidR="00FC1E4C">
        <w:rPr>
          <w:i/>
          <w:iCs/>
        </w:rPr>
        <w:t xml:space="preserve">an </w:t>
      </w:r>
      <w:r w:rsidR="00975543" w:rsidRPr="009A41DA">
        <w:rPr>
          <w:i/>
          <w:iCs/>
        </w:rPr>
        <w:t>F</w:t>
      </w:r>
      <w:r w:rsidR="00FC1E4C">
        <w:rPr>
          <w:i/>
          <w:iCs/>
        </w:rPr>
        <w:t>rancisco</w:t>
      </w:r>
      <w:r w:rsidR="00975543" w:rsidRPr="009A41DA">
        <w:rPr>
          <w:i/>
          <w:iCs/>
        </w:rPr>
        <w:t xml:space="preserve"> Forty-Niners v. Nishioka </w:t>
      </w:r>
      <w:r w:rsidR="00975543" w:rsidRPr="009A41DA">
        <w:t>(1999) 75 Cal.App.4</w:t>
      </w:r>
      <w:r w:rsidR="00FC1E4C">
        <w:t>th</w:t>
      </w:r>
      <w:r w:rsidR="00975543" w:rsidRPr="009A41DA">
        <w:t xml:space="preserve"> 637</w:t>
      </w:r>
      <w:r w:rsidR="0029775B" w:rsidRPr="009A41DA">
        <w:t xml:space="preserve"> (</w:t>
      </w:r>
      <w:r w:rsidR="0029775B" w:rsidRPr="009A41DA">
        <w:rPr>
          <w:i/>
          <w:iCs/>
        </w:rPr>
        <w:t>Nishioka</w:t>
      </w:r>
      <w:r w:rsidR="0029775B" w:rsidRPr="009A41DA">
        <w:t>)</w:t>
      </w:r>
      <w:r w:rsidR="003361BD" w:rsidRPr="009A41DA">
        <w:t>.</w:t>
      </w:r>
    </w:p>
    <w:p w14:paraId="4F9346BF" w14:textId="5CE1F3B9" w:rsidR="003361BD" w:rsidRPr="009A41DA" w:rsidRDefault="00A422F8" w:rsidP="00DC0C27">
      <w:pPr>
        <w:spacing w:line="600" w:lineRule="exact"/>
        <w:ind w:firstLine="720"/>
      </w:pPr>
      <w:r w:rsidRPr="009A41DA">
        <w:t xml:space="preserve">The District </w:t>
      </w:r>
      <w:r w:rsidR="00D00463" w:rsidRPr="009A41DA">
        <w:t>alleges</w:t>
      </w:r>
      <w:r w:rsidR="00987810" w:rsidRPr="009A41DA">
        <w:t xml:space="preserve"> the Initiative contains the following </w:t>
      </w:r>
      <w:r w:rsidRPr="009A41DA">
        <w:t xml:space="preserve">false, misleading, and inaccurate information: </w:t>
      </w:r>
    </w:p>
    <w:p w14:paraId="58747B38" w14:textId="5F77AB3F" w:rsidR="00823F0A" w:rsidRPr="009A41DA" w:rsidRDefault="00987810" w:rsidP="00DC0C27">
      <w:pPr>
        <w:spacing w:line="600" w:lineRule="exact"/>
        <w:ind w:left="720"/>
      </w:pPr>
      <w:r w:rsidRPr="009A41DA">
        <w:t xml:space="preserve">(1) </w:t>
      </w:r>
      <w:r w:rsidR="00823F0A" w:rsidRPr="009A41DA">
        <w:t>“</w:t>
      </w:r>
      <w:bookmarkStart w:id="8" w:name="_Hlk146729478"/>
      <w:r w:rsidR="00823F0A" w:rsidRPr="009A41DA">
        <w:t xml:space="preserve">The California Constitution </w:t>
      </w:r>
      <w:r w:rsidR="004F299D" w:rsidRPr="009A41DA">
        <w:t>[</w:t>
      </w:r>
      <w:r w:rsidR="004F299D" w:rsidRPr="009A41DA">
        <w:rPr>
          <w:szCs w:val="26"/>
        </w:rPr>
        <w:t xml:space="preserve">article XIII C, </w:t>
      </w:r>
      <w:r w:rsidR="004F299D" w:rsidRPr="009A41DA">
        <w:rPr>
          <w:szCs w:val="26"/>
          <w:bdr w:val="none" w:sz="0" w:space="0" w:color="auto" w:frame="1"/>
        </w:rPr>
        <w:t>§ 2</w:t>
      </w:r>
      <w:r w:rsidR="004F299D" w:rsidRPr="009A41DA">
        <w:rPr>
          <w:szCs w:val="26"/>
        </w:rPr>
        <w:t xml:space="preserve">, (d)] </w:t>
      </w:r>
      <w:r w:rsidR="00823F0A" w:rsidRPr="009A41DA">
        <w:t xml:space="preserve">states, </w:t>
      </w:r>
      <w:r w:rsidR="00FC1E4C">
        <w:t>‘</w:t>
      </w:r>
      <w:r w:rsidR="00823F0A" w:rsidRPr="009A41DA">
        <w:rPr>
          <w:i/>
          <w:iCs/>
        </w:rPr>
        <w:t>No local government may impose, extend, or increase any special tax unless and until that tax is submitted to the electorate and approved by a two-thirds vote.</w:t>
      </w:r>
      <w:r w:rsidR="00FC1E4C">
        <w:rPr>
          <w:i/>
          <w:iCs/>
        </w:rPr>
        <w:t>’</w:t>
      </w:r>
      <w:r w:rsidR="004F299D" w:rsidRPr="009A41DA">
        <w:t xml:space="preserve"> </w:t>
      </w:r>
      <w:r w:rsidR="00823F0A" w:rsidRPr="009A41DA">
        <w:rPr>
          <w:i/>
          <w:iCs/>
        </w:rPr>
        <w:t xml:space="preserve"> </w:t>
      </w:r>
      <w:bookmarkEnd w:id="8"/>
      <w:r w:rsidR="00823F0A" w:rsidRPr="009A41DA">
        <w:t xml:space="preserve">Despite this clear language, the FP-5 special tax was imposed by elected representatives on one million county residents without their consent. . . . </w:t>
      </w:r>
      <w:r w:rsidR="00FC1E4C">
        <w:t xml:space="preserve"> </w:t>
      </w:r>
      <w:r w:rsidR="00823F0A" w:rsidRPr="009A41DA">
        <w:t>Citizens must follow the law and so must their representatives!!</w:t>
      </w:r>
      <w:r w:rsidRPr="009A41DA">
        <w:t>”</w:t>
      </w:r>
      <w:r w:rsidR="00823F0A" w:rsidRPr="009A41DA">
        <w:t xml:space="preserve">  (</w:t>
      </w:r>
      <w:r w:rsidR="00FB7203" w:rsidRPr="009A41DA">
        <w:t>Initiative n</w:t>
      </w:r>
      <w:r w:rsidR="00823F0A" w:rsidRPr="009A41DA">
        <w:t xml:space="preserve">otice of </w:t>
      </w:r>
      <w:r w:rsidR="00FB7203" w:rsidRPr="009A41DA">
        <w:t>i</w:t>
      </w:r>
      <w:r w:rsidR="00823F0A" w:rsidRPr="009A41DA">
        <w:t>ntent.)</w:t>
      </w:r>
    </w:p>
    <w:p w14:paraId="4CA3936A" w14:textId="0CF18933" w:rsidR="002609E5" w:rsidRPr="009A41DA" w:rsidRDefault="00987810" w:rsidP="00DC0C27">
      <w:pPr>
        <w:spacing w:line="600" w:lineRule="exact"/>
        <w:ind w:left="720"/>
      </w:pPr>
      <w:r w:rsidRPr="009A41DA">
        <w:t>(2) “</w:t>
      </w:r>
      <w:r w:rsidR="002609E5" w:rsidRPr="009A41DA">
        <w:t>Even though the Constitution of California prohibits taxation without two-thirds voter approval, in 2020, the Fire District Board of Directors, without voter approval, imposed a tax on every parcel in FP-5 set at $157.26 for the year 2020-2021.</w:t>
      </w:r>
      <w:r w:rsidRPr="009A41DA">
        <w:t>”</w:t>
      </w:r>
      <w:r w:rsidR="002609E5" w:rsidRPr="009A41DA">
        <w:t xml:space="preserve">  (</w:t>
      </w:r>
      <w:r w:rsidRPr="009A41DA">
        <w:t>Initiative</w:t>
      </w:r>
      <w:r w:rsidR="002609E5" w:rsidRPr="009A41DA">
        <w:t xml:space="preserve"> </w:t>
      </w:r>
      <w:r w:rsidR="00FB7203" w:rsidRPr="009A41DA">
        <w:t>f</w:t>
      </w:r>
      <w:r w:rsidR="002609E5" w:rsidRPr="009A41DA">
        <w:t xml:space="preserve">indings, </w:t>
      </w:r>
      <w:r w:rsidR="00FB7203" w:rsidRPr="009A41DA">
        <w:t>s</w:t>
      </w:r>
      <w:r w:rsidR="002609E5" w:rsidRPr="009A41DA">
        <w:t>ection 1(a)(4).)</w:t>
      </w:r>
    </w:p>
    <w:p w14:paraId="2E01EA67" w14:textId="29291FED" w:rsidR="002609E5" w:rsidRPr="009A41DA" w:rsidRDefault="002609E5" w:rsidP="00DC0C27">
      <w:pPr>
        <w:spacing w:line="600" w:lineRule="exact"/>
        <w:ind w:left="720"/>
      </w:pPr>
      <w:r w:rsidRPr="009A41DA">
        <w:t>(</w:t>
      </w:r>
      <w:r w:rsidR="00987810" w:rsidRPr="009A41DA">
        <w:t>3</w:t>
      </w:r>
      <w:r w:rsidRPr="009A41DA">
        <w:t xml:space="preserve">) </w:t>
      </w:r>
      <w:r w:rsidR="00987810" w:rsidRPr="009A41DA">
        <w:t>“</w:t>
      </w:r>
      <w:r w:rsidRPr="009A41DA">
        <w:t xml:space="preserve">The County’s sidestep of the provisions of the California Constitution has victimized property owners whose parcels have been annexed and who are now required to pay an ever increasing (up to 3% per year) annual parcel tax they </w:t>
      </w:r>
      <w:r w:rsidRPr="009A41DA">
        <w:lastRenderedPageBreak/>
        <w:t>didn’t vote on.  Further, without a prohibition in place, additional victims and their properties will potentially be added to FP-5 and its tax without their vote of approval.</w:t>
      </w:r>
      <w:r w:rsidR="00987810" w:rsidRPr="009A41DA">
        <w:t>”</w:t>
      </w:r>
      <w:r w:rsidRPr="009A41DA">
        <w:t xml:space="preserve">  (</w:t>
      </w:r>
      <w:r w:rsidR="00987810" w:rsidRPr="009A41DA">
        <w:t xml:space="preserve">Initiative </w:t>
      </w:r>
      <w:r w:rsidR="00FB7203" w:rsidRPr="009A41DA">
        <w:t>f</w:t>
      </w:r>
      <w:r w:rsidR="00987810" w:rsidRPr="009A41DA">
        <w:t>in</w:t>
      </w:r>
      <w:r w:rsidRPr="009A41DA">
        <w:t xml:space="preserve">dings, </w:t>
      </w:r>
      <w:r w:rsidR="00FB7203" w:rsidRPr="009A41DA">
        <w:t>s</w:t>
      </w:r>
      <w:r w:rsidRPr="009A41DA">
        <w:t>ection 1(a)(5).)</w:t>
      </w:r>
    </w:p>
    <w:p w14:paraId="1D24B0A6" w14:textId="76FF3164" w:rsidR="00963A15" w:rsidRPr="009A41DA" w:rsidRDefault="00963A15" w:rsidP="00DC0C27">
      <w:pPr>
        <w:spacing w:line="600" w:lineRule="exact"/>
      </w:pPr>
      <w:r w:rsidRPr="009A41DA">
        <w:tab/>
        <w:t xml:space="preserve">Based on these misrepresentations and misleading statements, the District alleged in the first cause of action for writ of mandate that it was entitled to a writ of mandate prohibiting the County </w:t>
      </w:r>
      <w:r w:rsidR="00EE3815" w:rsidRPr="009A41DA">
        <w:t>R</w:t>
      </w:r>
      <w:r w:rsidRPr="009A41DA">
        <w:t>egistrar from printing the Initiative on the ballot.  The District alleged in the second cause of action for injunctive relief</w:t>
      </w:r>
      <w:r w:rsidR="00DC3C22" w:rsidRPr="009A41DA">
        <w:t xml:space="preserve"> that the District was entitled to a temporary restraining order, preliminary injunction, and permanent injunction prohibiting the </w:t>
      </w:r>
      <w:r w:rsidR="00EE3815" w:rsidRPr="009A41DA">
        <w:t>R</w:t>
      </w:r>
      <w:r w:rsidR="00DC3C22" w:rsidRPr="009A41DA">
        <w:t xml:space="preserve">egistrar from taking any action that would cause the legally invalid Initiative to be placed on the ballot.  The District alleged in the third cause of action that it is entitled to a declaration that the Initiative violates the law, that the Initiative is invalid, and that the </w:t>
      </w:r>
      <w:r w:rsidR="0020305F" w:rsidRPr="009A41DA">
        <w:t xml:space="preserve">Initiative </w:t>
      </w:r>
      <w:r w:rsidR="00DC3C22" w:rsidRPr="009A41DA">
        <w:t>sh</w:t>
      </w:r>
      <w:r w:rsidR="0020305F" w:rsidRPr="009A41DA">
        <w:t>ould</w:t>
      </w:r>
      <w:r w:rsidR="00DC3C22" w:rsidRPr="009A41DA">
        <w:t xml:space="preserve"> not </w:t>
      </w:r>
      <w:r w:rsidR="00987810" w:rsidRPr="009A41DA">
        <w:t xml:space="preserve">be </w:t>
      </w:r>
      <w:r w:rsidR="00DC3C22" w:rsidRPr="009A41DA">
        <w:t>place</w:t>
      </w:r>
      <w:r w:rsidR="00987810" w:rsidRPr="009A41DA">
        <w:t>d</w:t>
      </w:r>
      <w:r w:rsidR="00DC3C22" w:rsidRPr="009A41DA">
        <w:t xml:space="preserve"> on the ballot.</w:t>
      </w:r>
    </w:p>
    <w:p w14:paraId="33F80D46" w14:textId="00B132FC" w:rsidR="00A021EA" w:rsidRPr="009A41DA" w:rsidRDefault="00D0767D" w:rsidP="00DC0C27">
      <w:pPr>
        <w:spacing w:line="600" w:lineRule="exact"/>
      </w:pPr>
      <w:r w:rsidRPr="009A41DA">
        <w:tab/>
      </w:r>
      <w:r w:rsidR="00A021EA" w:rsidRPr="009A41DA">
        <w:t xml:space="preserve">On March 17, 2022, Real Parties filed opposition to the District’s Writ Petition, </w:t>
      </w:r>
      <w:r w:rsidR="00EA1062" w:rsidRPr="009A41DA">
        <w:t xml:space="preserve">a request for judicial notice, and </w:t>
      </w:r>
      <w:r w:rsidR="00A021EA" w:rsidRPr="009A41DA">
        <w:t xml:space="preserve">declarations by each Real Party, stating they were not parties to </w:t>
      </w:r>
      <w:r w:rsidR="00A021EA" w:rsidRPr="009A41DA">
        <w:rPr>
          <w:i/>
          <w:iCs/>
        </w:rPr>
        <w:t>The Red Brennan Group</w:t>
      </w:r>
      <w:r w:rsidR="00A021EA" w:rsidRPr="009A41DA">
        <w:t xml:space="preserve"> lawsuit and</w:t>
      </w:r>
      <w:r w:rsidR="004051E9" w:rsidRPr="009A41DA">
        <w:t xml:space="preserve"> did not have any involvement with th</w:t>
      </w:r>
      <w:r w:rsidR="00987810" w:rsidRPr="009A41DA">
        <w:t>at</w:t>
      </w:r>
      <w:r w:rsidR="004051E9" w:rsidRPr="009A41DA">
        <w:t xml:space="preserve"> case or “knowledge or understanding of the court’s reasoning in its demurrer ruling.”</w:t>
      </w:r>
      <w:r w:rsidR="00163F10" w:rsidRPr="009A41DA">
        <w:t xml:space="preserve">  The District filed a reply arguing that Real Parties could not claim ignorance of </w:t>
      </w:r>
      <w:r w:rsidR="00163F10" w:rsidRPr="009A41DA">
        <w:rPr>
          <w:i/>
          <w:iCs/>
        </w:rPr>
        <w:t>The Red Brennan Group</w:t>
      </w:r>
      <w:r w:rsidR="00163F10" w:rsidRPr="009A41DA">
        <w:t xml:space="preserve"> lawsuit or the court’s finding in that action that the FP-5’s special tax was legal, because The Red Brennan Group was the moving force behind Real Parties’ Initiative.</w:t>
      </w:r>
    </w:p>
    <w:p w14:paraId="1E1A21DF" w14:textId="245C5D43" w:rsidR="006B24E9" w:rsidRPr="009A41DA" w:rsidRDefault="00CF0B88" w:rsidP="00DC0C27">
      <w:pPr>
        <w:spacing w:line="600" w:lineRule="exact"/>
        <w:ind w:firstLine="720"/>
        <w:rPr>
          <w:i/>
          <w:iCs/>
        </w:rPr>
      </w:pPr>
      <w:r w:rsidRPr="009A41DA">
        <w:lastRenderedPageBreak/>
        <w:t xml:space="preserve">On March 29, 2022, the trial court </w:t>
      </w:r>
      <w:r w:rsidR="00BD1104" w:rsidRPr="009A41DA">
        <w:t xml:space="preserve">granted the </w:t>
      </w:r>
      <w:r w:rsidR="00987810" w:rsidRPr="009A41DA">
        <w:t>District’s Writ P</w:t>
      </w:r>
      <w:r w:rsidR="00BD1104" w:rsidRPr="009A41DA">
        <w:t>etition on the grounds stated in</w:t>
      </w:r>
      <w:r w:rsidR="005455E8" w:rsidRPr="009A41DA">
        <w:t xml:space="preserve"> the court’s written tentative ruling</w:t>
      </w:r>
      <w:r w:rsidR="00F50606" w:rsidRPr="009A41DA">
        <w:t>, which state</w:t>
      </w:r>
      <w:r w:rsidR="006B24E9" w:rsidRPr="009A41DA">
        <w:t>s</w:t>
      </w:r>
      <w:r w:rsidR="00F50606" w:rsidRPr="009A41DA">
        <w:t xml:space="preserve"> that the Initiative does not violate the </w:t>
      </w:r>
      <w:r w:rsidR="00FC1E4C">
        <w:t>“‘</w:t>
      </w:r>
      <w:r w:rsidR="00F50606" w:rsidRPr="009A41DA">
        <w:t>full-text doctrine</w:t>
      </w:r>
      <w:r w:rsidR="006B24E9" w:rsidRPr="009A41DA">
        <w:t>,</w:t>
      </w:r>
      <w:r w:rsidR="00FC1E4C">
        <w:t>’</w:t>
      </w:r>
      <w:r w:rsidR="006B24E9" w:rsidRPr="009A41DA">
        <w:t>” but is invalid because it contains false and misleading information</w:t>
      </w:r>
      <w:r w:rsidR="00BD1104" w:rsidRPr="009A41DA">
        <w:t>.</w:t>
      </w:r>
      <w:r w:rsidR="005455E8" w:rsidRPr="009A41DA">
        <w:t xml:space="preserve">  </w:t>
      </w:r>
      <w:r w:rsidR="006B24E9" w:rsidRPr="009A41DA">
        <w:t xml:space="preserve">The tentative further states: </w:t>
      </w:r>
      <w:r w:rsidR="00FC1E4C">
        <w:t xml:space="preserve"> </w:t>
      </w:r>
      <w:r w:rsidR="006B24E9" w:rsidRPr="009A41DA">
        <w:t xml:space="preserve">“The initiative implies that the tax is unconstitutional and was improperly adopted. . . . </w:t>
      </w:r>
      <w:r w:rsidR="00FC1E4C">
        <w:t xml:space="preserve"> </w:t>
      </w:r>
      <w:r w:rsidR="006B24E9" w:rsidRPr="009A41DA">
        <w:t>The court has already determined in a previous case that the annexation argument advanced as a ground for constitutional invalidity of the tax is incorrect.  (</w:t>
      </w:r>
      <w:r w:rsidR="006B24E9" w:rsidRPr="009A41DA">
        <w:rPr>
          <w:i/>
          <w:iCs/>
        </w:rPr>
        <w:t>The Red Brennan Group, et al. v. The Board of Supervisors of San Berna[r]dino County et al</w:t>
      </w:r>
      <w:r w:rsidR="006B24E9" w:rsidRPr="009A41DA">
        <w:t>., Case No. CIVDS-1826559.)”</w:t>
      </w:r>
    </w:p>
    <w:p w14:paraId="4811465E" w14:textId="7438EFAF" w:rsidR="009A4A66" w:rsidRPr="009A41DA" w:rsidRDefault="005455E8" w:rsidP="00DC0C27">
      <w:pPr>
        <w:spacing w:line="600" w:lineRule="exact"/>
        <w:ind w:firstLine="720"/>
      </w:pPr>
      <w:r w:rsidRPr="009A41DA">
        <w:t xml:space="preserve">The court </w:t>
      </w:r>
      <w:r w:rsidR="009551F1" w:rsidRPr="009A41DA">
        <w:t>added</w:t>
      </w:r>
      <w:r w:rsidR="006B24E9" w:rsidRPr="009A41DA">
        <w:t xml:space="preserve"> during the Writ Petition hearing</w:t>
      </w:r>
      <w:r w:rsidRPr="009A41DA">
        <w:t xml:space="preserve"> that, “I don’t think intent is required here.  The question is whether this language is false or misleading.  And I think it is for the reasons stated that it implies strongly the unconstitutionality of what was done previously” </w:t>
      </w:r>
      <w:r w:rsidR="009A4A66" w:rsidRPr="009A41DA">
        <w:t>(</w:t>
      </w:r>
      <w:r w:rsidRPr="009A41DA">
        <w:t>imposi</w:t>
      </w:r>
      <w:r w:rsidR="009A4A66" w:rsidRPr="009A41DA">
        <w:t>ng</w:t>
      </w:r>
      <w:r w:rsidRPr="009A41DA">
        <w:t xml:space="preserve"> the existing FP-5 service tax on </w:t>
      </w:r>
      <w:r w:rsidR="00987810" w:rsidRPr="009A41DA">
        <w:t xml:space="preserve">annexed </w:t>
      </w:r>
      <w:r w:rsidRPr="009A41DA">
        <w:t>parcels</w:t>
      </w:r>
      <w:r w:rsidR="00FB7203" w:rsidRPr="009A41DA">
        <w:t>)</w:t>
      </w:r>
      <w:r w:rsidRPr="009A41DA">
        <w:t>.</w:t>
      </w:r>
      <w:r w:rsidR="00FB7203" w:rsidRPr="009A41DA">
        <w:t xml:space="preserve">  </w:t>
      </w:r>
      <w:r w:rsidR="009A4A66" w:rsidRPr="009A41DA">
        <w:t xml:space="preserve">The trial court </w:t>
      </w:r>
      <w:r w:rsidR="00987810" w:rsidRPr="009A41DA">
        <w:t xml:space="preserve">also </w:t>
      </w:r>
      <w:r w:rsidR="009A4A66" w:rsidRPr="009A41DA">
        <w:t>stated in its adopted tentative ruling that the Initiative did not violate the full text doctrine (</w:t>
      </w:r>
      <w:r w:rsidR="009A4A66" w:rsidRPr="009A41DA">
        <w:rPr>
          <w:szCs w:val="26"/>
        </w:rPr>
        <w:t>§ 9304).</w:t>
      </w:r>
    </w:p>
    <w:p w14:paraId="08752CC0" w14:textId="3366CD6B" w:rsidR="00FC5608" w:rsidRPr="009A41DA" w:rsidRDefault="00FC5608" w:rsidP="00DC0C27">
      <w:pPr>
        <w:spacing w:line="600" w:lineRule="exact"/>
        <w:ind w:firstLine="720"/>
        <w:rPr>
          <w:i/>
          <w:iCs/>
        </w:rPr>
      </w:pPr>
      <w:r w:rsidRPr="009A41DA">
        <w:t>E</w:t>
      </w:r>
      <w:r w:rsidR="00D86ADC" w:rsidRPr="009A41DA">
        <w:t>.</w:t>
      </w:r>
      <w:r w:rsidRPr="009A41DA">
        <w:t xml:space="preserve"> </w:t>
      </w:r>
      <w:r w:rsidRPr="009A41DA">
        <w:rPr>
          <w:i/>
          <w:iCs/>
        </w:rPr>
        <w:t>Real Parties’ Petition for Writ of Mandate</w:t>
      </w:r>
    </w:p>
    <w:p w14:paraId="0FF0EC25" w14:textId="05E8A7FC" w:rsidR="006D317C" w:rsidRPr="009A41DA" w:rsidRDefault="00CF6FCF" w:rsidP="00DC0C27">
      <w:pPr>
        <w:spacing w:line="600" w:lineRule="exact"/>
        <w:ind w:firstLine="720"/>
      </w:pPr>
      <w:r w:rsidRPr="009A41DA">
        <w:t>On March 30, 2022, the day after the trial court ruled on the District’s Writ Petition, Real Parties filed an emergency</w:t>
      </w:r>
      <w:r w:rsidR="00BC2B61" w:rsidRPr="009A41DA">
        <w:t xml:space="preserve"> ex parte</w:t>
      </w:r>
      <w:r w:rsidRPr="009A41DA">
        <w:t xml:space="preserve"> writ </w:t>
      </w:r>
      <w:r w:rsidR="00BC2B61" w:rsidRPr="009A41DA">
        <w:t>petition</w:t>
      </w:r>
      <w:r w:rsidRPr="009A41DA">
        <w:t xml:space="preserve"> in this court, </w:t>
      </w:r>
      <w:r w:rsidR="00BC2B61" w:rsidRPr="009A41DA">
        <w:t>request</w:t>
      </w:r>
      <w:r w:rsidRPr="009A41DA">
        <w:t>ing revers</w:t>
      </w:r>
      <w:r w:rsidR="00FB7203" w:rsidRPr="009A41DA">
        <w:t>al of</w:t>
      </w:r>
      <w:r w:rsidRPr="009A41DA">
        <w:t xml:space="preserve"> the trial court’s ruling and </w:t>
      </w:r>
      <w:r w:rsidR="00FB7203" w:rsidRPr="009A41DA">
        <w:t>retention of</w:t>
      </w:r>
      <w:r w:rsidRPr="009A41DA">
        <w:t xml:space="preserve"> the Initiative (</w:t>
      </w:r>
      <w:r w:rsidR="006F47C4" w:rsidRPr="009A41DA">
        <w:t xml:space="preserve">also known as </w:t>
      </w:r>
      <w:r w:rsidRPr="009A41DA">
        <w:t>Measure Z) on the June 2022 ballot.</w:t>
      </w:r>
      <w:r w:rsidR="00EE3815" w:rsidRPr="009A41DA">
        <w:t xml:space="preserve">  The deadline for the Registrar to finalize the ballot printing for the June 2022 election was March 30, 2022, the date the official election materials were sent to the printer.  </w:t>
      </w:r>
      <w:r w:rsidR="006D317C" w:rsidRPr="009A41DA">
        <w:t xml:space="preserve">On March 30, 2022, this court ordered the proceedings </w:t>
      </w:r>
      <w:r w:rsidR="00AC2987" w:rsidRPr="009A41DA">
        <w:t xml:space="preserve">and order </w:t>
      </w:r>
      <w:r w:rsidR="00AC2987" w:rsidRPr="009A41DA">
        <w:lastRenderedPageBreak/>
        <w:t xml:space="preserve">on March 29, 2022, </w:t>
      </w:r>
      <w:r w:rsidR="006D317C" w:rsidRPr="009A41DA">
        <w:t xml:space="preserve">stayed pending </w:t>
      </w:r>
      <w:r w:rsidR="00FB7203" w:rsidRPr="009A41DA">
        <w:t>this court’s ruling on</w:t>
      </w:r>
      <w:r w:rsidR="006D317C" w:rsidRPr="009A41DA">
        <w:t xml:space="preserve"> the District’s Writ Petition on the merits.</w:t>
      </w:r>
      <w:r w:rsidR="006C0297" w:rsidRPr="009A41DA">
        <w:t xml:space="preserve">  T</w:t>
      </w:r>
      <w:r w:rsidR="00987810" w:rsidRPr="009A41DA">
        <w:t>hus, t</w:t>
      </w:r>
      <w:r w:rsidR="006C0297" w:rsidRPr="009A41DA">
        <w:t>he trial court’s order on March 29, 2022, barr</w:t>
      </w:r>
      <w:r w:rsidR="00753D33" w:rsidRPr="009A41DA">
        <w:t>ing</w:t>
      </w:r>
      <w:r w:rsidR="006C0297" w:rsidRPr="009A41DA">
        <w:t xml:space="preserve"> printing the </w:t>
      </w:r>
      <w:r w:rsidR="00E978DF" w:rsidRPr="009A41DA">
        <w:t>Initiative</w:t>
      </w:r>
      <w:r w:rsidR="006C0297" w:rsidRPr="009A41DA">
        <w:t xml:space="preserve"> </w:t>
      </w:r>
      <w:r w:rsidR="00753D33" w:rsidRPr="009A41DA">
        <w:t>i</w:t>
      </w:r>
      <w:r w:rsidR="006C0297" w:rsidRPr="009A41DA">
        <w:t xml:space="preserve">n the June 2022 </w:t>
      </w:r>
      <w:r w:rsidR="00FB7203" w:rsidRPr="009A41DA">
        <w:t>ballot</w:t>
      </w:r>
      <w:r w:rsidR="00753D33" w:rsidRPr="009A41DA">
        <w:t>, was stayed</w:t>
      </w:r>
      <w:r w:rsidR="00CA64BF" w:rsidRPr="009A41DA">
        <w:t>.</w:t>
      </w:r>
    </w:p>
    <w:p w14:paraId="7DEF82BA" w14:textId="79BB3515" w:rsidR="00CA64BF" w:rsidRPr="009A41DA" w:rsidRDefault="00CA64BF" w:rsidP="00DC0C27">
      <w:pPr>
        <w:spacing w:line="600" w:lineRule="exact"/>
        <w:ind w:firstLine="720"/>
      </w:pPr>
      <w:r w:rsidRPr="009A41DA">
        <w:t xml:space="preserve">On May 2, 2022, this court </w:t>
      </w:r>
      <w:r w:rsidR="00FB7203" w:rsidRPr="009A41DA">
        <w:t>denied</w:t>
      </w:r>
      <w:r w:rsidRPr="009A41DA">
        <w:t xml:space="preserve"> Real Parties’ Writ Petition and lifted the stay imposed on March 30, 2022.  This court stated in its order that it was taking judicial notice of the ruling on</w:t>
      </w:r>
      <w:r w:rsidR="00753D33" w:rsidRPr="009A41DA">
        <w:t xml:space="preserve"> </w:t>
      </w:r>
      <w:r w:rsidRPr="009A41DA">
        <w:rPr>
          <w:i/>
          <w:iCs/>
        </w:rPr>
        <w:t>The Red Brennan Group</w:t>
      </w:r>
      <w:r w:rsidRPr="009A41DA">
        <w:t xml:space="preserve"> lawsuit</w:t>
      </w:r>
      <w:r w:rsidR="00785532" w:rsidRPr="009A41DA">
        <w:t xml:space="preserve"> demurrer</w:t>
      </w:r>
      <w:r w:rsidRPr="009A41DA">
        <w:t>.</w:t>
      </w:r>
    </w:p>
    <w:p w14:paraId="7458520D" w14:textId="1DF05A52" w:rsidR="00CA64BF" w:rsidRPr="009A41DA" w:rsidRDefault="00CA64BF" w:rsidP="00DC0C27">
      <w:pPr>
        <w:spacing w:line="600" w:lineRule="exact"/>
        <w:ind w:firstLine="720"/>
      </w:pPr>
      <w:r w:rsidRPr="009A41DA">
        <w:t xml:space="preserve">On May 31, 2022, the trial court </w:t>
      </w:r>
      <w:r w:rsidR="00806D79" w:rsidRPr="009A41DA">
        <w:t xml:space="preserve">entered judgment on </w:t>
      </w:r>
      <w:r w:rsidR="00D86ADC" w:rsidRPr="009A41DA">
        <w:t xml:space="preserve">the </w:t>
      </w:r>
      <w:r w:rsidR="00753D33" w:rsidRPr="009A41DA">
        <w:t xml:space="preserve">order granting the </w:t>
      </w:r>
      <w:r w:rsidR="00D86ADC" w:rsidRPr="009A41DA">
        <w:t>District</w:t>
      </w:r>
      <w:r w:rsidR="00806D79" w:rsidRPr="009A41DA">
        <w:t>’s Writ Petition</w:t>
      </w:r>
      <w:r w:rsidR="00785532" w:rsidRPr="009A41DA">
        <w:t>,</w:t>
      </w:r>
      <w:r w:rsidR="00753D33" w:rsidRPr="009A41DA">
        <w:t xml:space="preserve"> invalidating</w:t>
      </w:r>
      <w:r w:rsidR="00806D79" w:rsidRPr="009A41DA">
        <w:t xml:space="preserve"> the Initiative</w:t>
      </w:r>
      <w:r w:rsidR="00785532" w:rsidRPr="009A41DA">
        <w:t>,</w:t>
      </w:r>
      <w:r w:rsidR="00806D79" w:rsidRPr="009A41DA">
        <w:t xml:space="preserve"> and </w:t>
      </w:r>
      <w:r w:rsidR="006C5114" w:rsidRPr="009A41DA">
        <w:t>prohibit</w:t>
      </w:r>
      <w:r w:rsidR="00753D33" w:rsidRPr="009A41DA">
        <w:t>ing</w:t>
      </w:r>
      <w:r w:rsidR="00806D79" w:rsidRPr="009A41DA">
        <w:t xml:space="preserve"> enforc</w:t>
      </w:r>
      <w:r w:rsidR="00753D33" w:rsidRPr="009A41DA">
        <w:t xml:space="preserve">ement of it </w:t>
      </w:r>
      <w:r w:rsidR="00806D79" w:rsidRPr="009A41DA">
        <w:t>or giv</w:t>
      </w:r>
      <w:r w:rsidR="00753D33" w:rsidRPr="009A41DA">
        <w:t>ing it</w:t>
      </w:r>
      <w:r w:rsidR="00806D79" w:rsidRPr="009A41DA">
        <w:t xml:space="preserve"> legal effect.</w:t>
      </w:r>
    </w:p>
    <w:p w14:paraId="47BC7784" w14:textId="457C775F" w:rsidR="00462586" w:rsidRPr="009A41DA" w:rsidRDefault="00785532" w:rsidP="00DC0C27">
      <w:pPr>
        <w:spacing w:line="600" w:lineRule="exact"/>
        <w:ind w:firstLine="720"/>
      </w:pPr>
      <w:r w:rsidRPr="009A41DA">
        <w:t>I</w:t>
      </w:r>
      <w:r w:rsidR="00462586" w:rsidRPr="009A41DA">
        <w:t>n June 2022, Real Parties filed a notice of appeal of the May 31, 2022 order.</w:t>
      </w:r>
      <w:r w:rsidR="00D86ADC" w:rsidRPr="009A41DA">
        <w:t xml:space="preserve">  </w:t>
      </w:r>
      <w:r w:rsidRPr="009A41DA">
        <w:t>I</w:t>
      </w:r>
      <w:r w:rsidR="00D86ADC" w:rsidRPr="009A41DA">
        <w:t>n July 2022, the District filed a notice of cross-appeal of the May 31, 2022 order.</w:t>
      </w:r>
    </w:p>
    <w:p w14:paraId="755938BF" w14:textId="77777777" w:rsidR="004832AB" w:rsidRDefault="00D86ADC" w:rsidP="00FC1E4C">
      <w:pPr>
        <w:keepNext/>
        <w:keepLines/>
        <w:spacing w:line="600" w:lineRule="exact"/>
        <w:jc w:val="center"/>
      </w:pPr>
      <w:r w:rsidRPr="009A41DA">
        <w:t>III.</w:t>
      </w:r>
    </w:p>
    <w:p w14:paraId="728CE36C" w14:textId="573708CB" w:rsidR="00D86ADC" w:rsidRPr="009A41DA" w:rsidRDefault="00D86ADC" w:rsidP="00FC1E4C">
      <w:pPr>
        <w:keepNext/>
        <w:keepLines/>
        <w:spacing w:line="600" w:lineRule="exact"/>
        <w:jc w:val="center"/>
      </w:pPr>
      <w:r w:rsidRPr="009A41DA">
        <w:t>DISCUSSION</w:t>
      </w:r>
    </w:p>
    <w:p w14:paraId="1FBAFCF7" w14:textId="2F8870C0" w:rsidR="000949A4" w:rsidRPr="009A41DA" w:rsidRDefault="00D86ADC" w:rsidP="00DC0C27">
      <w:pPr>
        <w:spacing w:line="600" w:lineRule="exact"/>
      </w:pPr>
      <w:r w:rsidRPr="009A41DA">
        <w:tab/>
        <w:t>Real Parties</w:t>
      </w:r>
      <w:r w:rsidR="008A5362" w:rsidRPr="009A41DA">
        <w:t xml:space="preserve"> raise three </w:t>
      </w:r>
      <w:r w:rsidR="00785532" w:rsidRPr="009A41DA">
        <w:t>key</w:t>
      </w:r>
      <w:r w:rsidR="008A5362" w:rsidRPr="009A41DA">
        <w:t xml:space="preserve"> issues</w:t>
      </w:r>
      <w:r w:rsidR="00753D33" w:rsidRPr="009A41DA">
        <w:t xml:space="preserve"> in this appeal</w:t>
      </w:r>
      <w:r w:rsidR="008A5362" w:rsidRPr="009A41DA">
        <w:t xml:space="preserve">: </w:t>
      </w:r>
    </w:p>
    <w:p w14:paraId="58E4C602" w14:textId="089C3171" w:rsidR="000949A4" w:rsidRPr="009A41DA" w:rsidRDefault="008A5362" w:rsidP="00DC0C27">
      <w:pPr>
        <w:spacing w:line="600" w:lineRule="exact"/>
      </w:pPr>
      <w:r w:rsidRPr="009A41DA">
        <w:t xml:space="preserve">(1) </w:t>
      </w:r>
      <w:r w:rsidR="004E01D4" w:rsidRPr="009A41DA">
        <w:t>w</w:t>
      </w:r>
      <w:r w:rsidRPr="009A41DA">
        <w:t xml:space="preserve">hether the Initiative contains false </w:t>
      </w:r>
      <w:r w:rsidR="00753D33" w:rsidRPr="009A41DA">
        <w:t xml:space="preserve">and </w:t>
      </w:r>
      <w:r w:rsidRPr="009A41DA">
        <w:t>misleading statements, either implied or express</w:t>
      </w:r>
      <w:r w:rsidR="00753D33" w:rsidRPr="009A41DA">
        <w:t>,</w:t>
      </w:r>
      <w:r w:rsidRPr="009A41DA">
        <w:t xml:space="preserve"> invalidating the Initiative; </w:t>
      </w:r>
    </w:p>
    <w:p w14:paraId="50EA32DC" w14:textId="6562E5EA" w:rsidR="000949A4" w:rsidRPr="009A41DA" w:rsidRDefault="008A5362" w:rsidP="00DC0C27">
      <w:pPr>
        <w:spacing w:line="600" w:lineRule="exact"/>
      </w:pPr>
      <w:r w:rsidRPr="009A41DA">
        <w:t xml:space="preserve">(2) whether a violation of section 18600 requires that false </w:t>
      </w:r>
      <w:r w:rsidR="00753D33" w:rsidRPr="009A41DA">
        <w:t>and</w:t>
      </w:r>
      <w:r w:rsidRPr="009A41DA">
        <w:t xml:space="preserve"> misleading statements be made intentionally; </w:t>
      </w:r>
      <w:r w:rsidR="000949A4" w:rsidRPr="009A41DA">
        <w:t>and</w:t>
      </w:r>
    </w:p>
    <w:p w14:paraId="2C99A97F" w14:textId="7BEFE914" w:rsidR="000949A4" w:rsidRPr="009A41DA" w:rsidRDefault="008A5362" w:rsidP="00DC0C27">
      <w:pPr>
        <w:spacing w:line="600" w:lineRule="exact"/>
      </w:pPr>
      <w:r w:rsidRPr="009A41DA">
        <w:t xml:space="preserve">(3) </w:t>
      </w:r>
      <w:r w:rsidR="00D660AD" w:rsidRPr="009A41DA">
        <w:t xml:space="preserve">whether the </w:t>
      </w:r>
      <w:r w:rsidR="00753D33" w:rsidRPr="009A41DA">
        <w:t>ruling sustaining the</w:t>
      </w:r>
      <w:r w:rsidR="00D660AD" w:rsidRPr="009A41DA">
        <w:t xml:space="preserve"> demurrer in </w:t>
      </w:r>
      <w:r w:rsidR="00D660AD" w:rsidRPr="009A41DA">
        <w:rPr>
          <w:i/>
          <w:iCs/>
        </w:rPr>
        <w:t>The Red Brennan Group</w:t>
      </w:r>
      <w:r w:rsidR="00D660AD" w:rsidRPr="009A41DA">
        <w:t xml:space="preserve"> lawsuit has binding precedential effect in this case, and </w:t>
      </w:r>
      <w:r w:rsidR="0005136F" w:rsidRPr="009A41DA">
        <w:t>whether</w:t>
      </w:r>
      <w:r w:rsidR="00D660AD" w:rsidRPr="009A41DA">
        <w:t xml:space="preserve"> Real Parties had notice of </w:t>
      </w:r>
      <w:r w:rsidR="00753D33" w:rsidRPr="009A41DA">
        <w:t>it</w:t>
      </w:r>
      <w:r w:rsidR="000949A4" w:rsidRPr="009A41DA">
        <w:t xml:space="preserve">.  </w:t>
      </w:r>
    </w:p>
    <w:p w14:paraId="16944803" w14:textId="55E7F0EE" w:rsidR="004D7496" w:rsidRPr="009A41DA" w:rsidRDefault="004D7496" w:rsidP="00A75BD9">
      <w:pPr>
        <w:keepNext/>
        <w:keepLines/>
        <w:spacing w:line="600" w:lineRule="exact"/>
        <w:ind w:firstLine="720"/>
        <w:rPr>
          <w:i/>
          <w:iCs/>
        </w:rPr>
      </w:pPr>
      <w:r w:rsidRPr="009A41DA">
        <w:lastRenderedPageBreak/>
        <w:t>A</w:t>
      </w:r>
      <w:r w:rsidR="00781DE0" w:rsidRPr="009A41DA">
        <w:t>.</w:t>
      </w:r>
      <w:r w:rsidRPr="009A41DA">
        <w:rPr>
          <w:i/>
          <w:iCs/>
        </w:rPr>
        <w:t xml:space="preserve"> Standard of Review</w:t>
      </w:r>
    </w:p>
    <w:p w14:paraId="6E9D6F15" w14:textId="340373AA" w:rsidR="00646D24" w:rsidRPr="009A41DA" w:rsidRDefault="0027284C" w:rsidP="00A75BD9">
      <w:pPr>
        <w:keepNext/>
        <w:keepLines/>
        <w:shd w:val="clear" w:color="auto" w:fill="FFFFFF"/>
        <w:spacing w:line="600" w:lineRule="exact"/>
        <w:ind w:firstLine="720"/>
        <w:rPr>
          <w:szCs w:val="26"/>
        </w:rPr>
      </w:pPr>
      <w:r w:rsidRPr="009A41DA">
        <w:rPr>
          <w:szCs w:val="26"/>
        </w:rPr>
        <w:t>Generally, w</w:t>
      </w:r>
      <w:r w:rsidR="0005136F" w:rsidRPr="009A41DA">
        <w:rPr>
          <w:szCs w:val="26"/>
        </w:rPr>
        <w:t>e review questions of law de novo (</w:t>
      </w:r>
      <w:r w:rsidRPr="009A41DA">
        <w:rPr>
          <w:i/>
          <w:iCs/>
          <w:szCs w:val="26"/>
        </w:rPr>
        <w:t>City of Marina v. Board of Trustees of California State University</w:t>
      </w:r>
      <w:r w:rsidRPr="009A41DA">
        <w:rPr>
          <w:szCs w:val="26"/>
        </w:rPr>
        <w:t xml:space="preserve"> (2006) 39 Cal.4th 341, 355</w:t>
      </w:r>
      <w:r w:rsidR="00FC1E4C">
        <w:rPr>
          <w:szCs w:val="26"/>
        </w:rPr>
        <w:t>-</w:t>
      </w:r>
      <w:r w:rsidRPr="009A41DA">
        <w:rPr>
          <w:szCs w:val="26"/>
        </w:rPr>
        <w:t>356)</w:t>
      </w:r>
      <w:r w:rsidR="00AA74B8" w:rsidRPr="009A41DA">
        <w:rPr>
          <w:szCs w:val="26"/>
        </w:rPr>
        <w:t>.</w:t>
      </w:r>
      <w:r w:rsidRPr="009A41DA">
        <w:rPr>
          <w:szCs w:val="26"/>
        </w:rPr>
        <w:t xml:space="preserve">  We review factual findings for substantial evidence.  (</w:t>
      </w:r>
      <w:r w:rsidR="00646D24" w:rsidRPr="009A41DA">
        <w:rPr>
          <w:i/>
          <w:iCs/>
          <w:szCs w:val="26"/>
        </w:rPr>
        <w:t xml:space="preserve">City of San Buenaventura v. United Water Conservation District </w:t>
      </w:r>
      <w:r w:rsidR="00646D24" w:rsidRPr="009A41DA">
        <w:rPr>
          <w:szCs w:val="26"/>
        </w:rPr>
        <w:t>(2022) 79 Cal.App.5th 110, 120</w:t>
      </w:r>
      <w:r w:rsidR="00FC1E4C">
        <w:rPr>
          <w:szCs w:val="26"/>
        </w:rPr>
        <w:t xml:space="preserve"> (</w:t>
      </w:r>
      <w:r w:rsidR="00FC1E4C" w:rsidRPr="00FC1E4C">
        <w:rPr>
          <w:i/>
          <w:iCs/>
          <w:szCs w:val="26"/>
        </w:rPr>
        <w:t>United Water</w:t>
      </w:r>
      <w:r w:rsidR="00646D24" w:rsidRPr="009A41DA">
        <w:rPr>
          <w:szCs w:val="26"/>
        </w:rPr>
        <w:t>)</w:t>
      </w:r>
      <w:r w:rsidR="00FC1E4C">
        <w:rPr>
          <w:szCs w:val="26"/>
        </w:rPr>
        <w:t>.)</w:t>
      </w:r>
    </w:p>
    <w:p w14:paraId="786483D5" w14:textId="2D8ACC9E" w:rsidR="008F2476" w:rsidRPr="009A41DA" w:rsidRDefault="0082068B" w:rsidP="00DC0C27">
      <w:pPr>
        <w:shd w:val="clear" w:color="auto" w:fill="FFFFFF"/>
        <w:spacing w:line="600" w:lineRule="exact"/>
        <w:ind w:firstLine="720"/>
        <w:rPr>
          <w:szCs w:val="26"/>
        </w:rPr>
      </w:pPr>
      <w:r w:rsidRPr="0054354D">
        <w:rPr>
          <w:szCs w:val="26"/>
        </w:rPr>
        <w:t>When</w:t>
      </w:r>
      <w:r w:rsidR="008F2476" w:rsidRPr="0054354D">
        <w:rPr>
          <w:szCs w:val="26"/>
        </w:rPr>
        <w:t xml:space="preserve"> reviewing the trial court’s ruling on a writ of mandate, the appellate court is ordinarily confined to an inquiry as to whether the findings and judgment of the trial court are supported by substantial evidence.  Where questions of law are presented, the appellate court conducts an independent review and does not defer to the trial court’s decision.  (</w:t>
      </w:r>
      <w:r w:rsidR="008F2476" w:rsidRPr="0054354D">
        <w:rPr>
          <w:i/>
          <w:iCs/>
          <w:szCs w:val="26"/>
          <w:bdr w:val="none" w:sz="0" w:space="0" w:color="auto" w:frame="1"/>
        </w:rPr>
        <w:t>Evans v. Unemployment Ins. Appeals Bd.</w:t>
      </w:r>
      <w:r w:rsidR="008F2476" w:rsidRPr="0054354D">
        <w:rPr>
          <w:szCs w:val="26"/>
        </w:rPr>
        <w:t xml:space="preserve"> (1985) 39 Cal.3d 398, 407; </w:t>
      </w:r>
      <w:r w:rsidR="008F2476" w:rsidRPr="0054354D">
        <w:rPr>
          <w:i/>
          <w:iCs/>
          <w:szCs w:val="26"/>
          <w:bdr w:val="none" w:sz="0" w:space="0" w:color="auto" w:frame="1"/>
        </w:rPr>
        <w:t>Rodriguez v. Solis</w:t>
      </w:r>
      <w:r w:rsidR="008F2476" w:rsidRPr="0054354D">
        <w:rPr>
          <w:szCs w:val="26"/>
        </w:rPr>
        <w:t xml:space="preserve"> (1991) 1 Cal.App.4th 495, 502.)</w:t>
      </w:r>
    </w:p>
    <w:p w14:paraId="5224E303" w14:textId="7F55FF9F" w:rsidR="008D5EC8" w:rsidRPr="009A41DA" w:rsidRDefault="00A103AE" w:rsidP="00DC0C27">
      <w:pPr>
        <w:shd w:val="clear" w:color="auto" w:fill="FFFFFF"/>
        <w:spacing w:line="600" w:lineRule="exact"/>
        <w:ind w:firstLine="720"/>
        <w:rPr>
          <w:szCs w:val="26"/>
        </w:rPr>
      </w:pPr>
      <w:r w:rsidRPr="009A41DA">
        <w:rPr>
          <w:szCs w:val="26"/>
        </w:rPr>
        <w:t>Since this appeal c</w:t>
      </w:r>
      <w:r w:rsidR="008428FD" w:rsidRPr="009A41DA">
        <w:rPr>
          <w:szCs w:val="26"/>
        </w:rPr>
        <w:t xml:space="preserve">oncerns </w:t>
      </w:r>
      <w:r w:rsidRPr="009A41DA">
        <w:rPr>
          <w:szCs w:val="26"/>
        </w:rPr>
        <w:t xml:space="preserve">the possible application of </w:t>
      </w:r>
      <w:r w:rsidR="008428FD" w:rsidRPr="009A41DA">
        <w:rPr>
          <w:szCs w:val="26"/>
        </w:rPr>
        <w:t xml:space="preserve">a constitutional provision enacted by initiative </w:t>
      </w:r>
      <w:r w:rsidR="00AA74B8" w:rsidRPr="009A41DA">
        <w:rPr>
          <w:szCs w:val="26"/>
        </w:rPr>
        <w:t>(</w:t>
      </w:r>
      <w:r w:rsidR="008428FD" w:rsidRPr="009A41DA">
        <w:rPr>
          <w:szCs w:val="26"/>
        </w:rPr>
        <w:t>P</w:t>
      </w:r>
      <w:r w:rsidRPr="009A41DA">
        <w:rPr>
          <w:szCs w:val="26"/>
        </w:rPr>
        <w:t>roposition 218</w:t>
      </w:r>
      <w:r w:rsidR="00AA74B8" w:rsidRPr="009A41DA">
        <w:rPr>
          <w:szCs w:val="26"/>
        </w:rPr>
        <w:t>),</w:t>
      </w:r>
      <w:r w:rsidRPr="009A41DA">
        <w:rPr>
          <w:szCs w:val="26"/>
        </w:rPr>
        <w:t xml:space="preserve"> </w:t>
      </w:r>
      <w:r w:rsidR="0017542A" w:rsidRPr="009A41DA">
        <w:rPr>
          <w:szCs w:val="26"/>
        </w:rPr>
        <w:t>“</w:t>
      </w:r>
      <w:r w:rsidRPr="009A41DA">
        <w:rPr>
          <w:szCs w:val="26"/>
        </w:rPr>
        <w:t xml:space="preserve">our task is ascertaining the intent of the voters.  ‘When construing a constitutional provision enacted by initiative, the intent of the voters is the paramount consideration.’  [Citation.]  To determine intent, courts look first to the language of the provision, giving its words their ordinary meaning.  If that language is clear in relation to the problem at hand, there is no need to go further.  </w:t>
      </w:r>
      <w:r w:rsidR="00ED13A4" w:rsidRPr="009A41DA">
        <w:rPr>
          <w:szCs w:val="26"/>
        </w:rPr>
        <w:t>[Citation.]</w:t>
      </w:r>
      <w:r w:rsidRPr="009A41DA">
        <w:rPr>
          <w:szCs w:val="26"/>
        </w:rPr>
        <w:t xml:space="preserve">  If, on the other hand, the language is ambiguous, we turn to extrinsic indicia of voter intent, particularly what the ballot pamphlet said about the initiative.  [Citation.]  </w:t>
      </w:r>
      <w:bookmarkStart w:id="9" w:name="_Hlk146622775"/>
      <w:r w:rsidRPr="009A41DA">
        <w:rPr>
          <w:szCs w:val="26"/>
        </w:rPr>
        <w:t>[¶]</w:t>
      </w:r>
      <w:bookmarkEnd w:id="9"/>
      <w:r w:rsidR="00F54797">
        <w:rPr>
          <w:szCs w:val="26"/>
        </w:rPr>
        <w:t xml:space="preserve"> </w:t>
      </w:r>
      <w:r w:rsidRPr="009A41DA">
        <w:rPr>
          <w:szCs w:val="26"/>
        </w:rPr>
        <w:t xml:space="preserve"> In construing the language of an initiative, we consider not only the ordinary meaning of the </w:t>
      </w:r>
      <w:r w:rsidRPr="009A41DA">
        <w:rPr>
          <w:szCs w:val="26"/>
        </w:rPr>
        <w:lastRenderedPageBreak/>
        <w:t xml:space="preserve">bare words, but how those words fit into the initiative as a whole.  [Citations.]”  </w:t>
      </w:r>
      <w:r w:rsidR="00395031" w:rsidRPr="009A41DA">
        <w:rPr>
          <w:szCs w:val="26"/>
        </w:rPr>
        <w:t>(</w:t>
      </w:r>
      <w:bookmarkStart w:id="10" w:name="_Hlk148112003"/>
      <w:r w:rsidR="00AA74B8" w:rsidRPr="009A41DA">
        <w:rPr>
          <w:i/>
          <w:iCs/>
        </w:rPr>
        <w:t>Sunset Beach</w:t>
      </w:r>
      <w:r w:rsidR="00AA74B8" w:rsidRPr="009A41DA">
        <w:t xml:space="preserve">, </w:t>
      </w:r>
      <w:r w:rsidR="00AA74B8" w:rsidRPr="009A41DA">
        <w:rPr>
          <w:i/>
          <w:iCs/>
        </w:rPr>
        <w:t>supra</w:t>
      </w:r>
      <w:r w:rsidR="00AA74B8" w:rsidRPr="009A41DA">
        <w:t xml:space="preserve">, 209 Cal.App.4th </w:t>
      </w:r>
      <w:bookmarkEnd w:id="10"/>
      <w:r w:rsidR="00395031" w:rsidRPr="009A41DA">
        <w:rPr>
          <w:szCs w:val="26"/>
        </w:rPr>
        <w:t>at p. 1189.)</w:t>
      </w:r>
    </w:p>
    <w:p w14:paraId="3143A7F0" w14:textId="26F2912F" w:rsidR="00262746" w:rsidRPr="009A41DA" w:rsidRDefault="001900A7" w:rsidP="00DC0C27">
      <w:pPr>
        <w:shd w:val="clear" w:color="auto" w:fill="FFFFFF"/>
        <w:spacing w:line="600" w:lineRule="exact"/>
        <w:ind w:firstLine="720"/>
        <w:rPr>
          <w:szCs w:val="26"/>
        </w:rPr>
      </w:pPr>
      <w:r w:rsidRPr="009A41DA">
        <w:rPr>
          <w:szCs w:val="26"/>
        </w:rPr>
        <w:t>Our review of th</w:t>
      </w:r>
      <w:r w:rsidR="0005136F" w:rsidRPr="009A41DA">
        <w:rPr>
          <w:szCs w:val="26"/>
        </w:rPr>
        <w:t>e trial court’s order that the Initiative is invalid</w:t>
      </w:r>
      <w:r w:rsidRPr="009A41DA">
        <w:rPr>
          <w:szCs w:val="26"/>
        </w:rPr>
        <w:t xml:space="preserve"> is strictly </w:t>
      </w:r>
      <w:r w:rsidRPr="00431A8F">
        <w:rPr>
          <w:szCs w:val="26"/>
        </w:rPr>
        <w:t xml:space="preserve">circumscribed by the long-established </w:t>
      </w:r>
      <w:r w:rsidRPr="00431A8F">
        <w:rPr>
          <w:szCs w:val="26"/>
          <w:bdr w:val="none" w:sz="0" w:space="0" w:color="auto" w:frame="1"/>
          <w:shd w:val="clear" w:color="auto" w:fill="FFFFFF"/>
        </w:rPr>
        <w:t>rule</w:t>
      </w:r>
      <w:r w:rsidRPr="00431A8F">
        <w:rPr>
          <w:szCs w:val="26"/>
        </w:rPr>
        <w:t xml:space="preserve"> </w:t>
      </w:r>
      <w:r w:rsidR="0005136F" w:rsidRPr="00431A8F">
        <w:rPr>
          <w:szCs w:val="26"/>
        </w:rPr>
        <w:t>“</w:t>
      </w:r>
      <w:r w:rsidRPr="00431A8F">
        <w:rPr>
          <w:szCs w:val="26"/>
        </w:rPr>
        <w:t xml:space="preserve">of according extraordinarily broad deference to the electorate’s power to enact laws by </w:t>
      </w:r>
      <w:r w:rsidRPr="00431A8F">
        <w:rPr>
          <w:szCs w:val="26"/>
          <w:bdr w:val="none" w:sz="0" w:space="0" w:color="auto" w:frame="1"/>
          <w:shd w:val="clear" w:color="auto" w:fill="FFFFFF"/>
        </w:rPr>
        <w:t>initiative</w:t>
      </w:r>
      <w:r w:rsidRPr="00431A8F">
        <w:rPr>
          <w:szCs w:val="26"/>
        </w:rPr>
        <w:t xml:space="preserve">.  The state constitutional right of </w:t>
      </w:r>
      <w:r w:rsidRPr="00431A8F">
        <w:rPr>
          <w:szCs w:val="26"/>
          <w:bdr w:val="none" w:sz="0" w:space="0" w:color="auto" w:frame="1"/>
          <w:shd w:val="clear" w:color="auto" w:fill="FFFFFF"/>
        </w:rPr>
        <w:t>initiative</w:t>
      </w:r>
      <w:r w:rsidRPr="00431A8F">
        <w:rPr>
          <w:szCs w:val="26"/>
        </w:rPr>
        <w:t xml:space="preserve"> or referendum is ‘one of the most precious rights of our democratic process.’  [Citation.]  These powers are reserved to the people, not granted to them.</w:t>
      </w:r>
      <w:r w:rsidR="0027284C" w:rsidRPr="00431A8F">
        <w:rPr>
          <w:szCs w:val="26"/>
        </w:rPr>
        <w:t xml:space="preserve"> </w:t>
      </w:r>
      <w:r w:rsidRPr="00431A8F">
        <w:rPr>
          <w:szCs w:val="26"/>
        </w:rPr>
        <w:t xml:space="preserve"> Thus, it is our duty to ‘“‘jealously guard’”’ these powers and construe the relevant constitutional provisions liberally in favor of the people’s right to exercise the powers of </w:t>
      </w:r>
      <w:r w:rsidRPr="00431A8F">
        <w:rPr>
          <w:szCs w:val="26"/>
          <w:bdr w:val="none" w:sz="0" w:space="0" w:color="auto" w:frame="1"/>
          <w:shd w:val="clear" w:color="auto" w:fill="FFFFFF"/>
        </w:rPr>
        <w:t>initiative</w:t>
      </w:r>
      <w:r w:rsidRPr="00431A8F">
        <w:rPr>
          <w:szCs w:val="26"/>
        </w:rPr>
        <w:t xml:space="preserve"> and referendum.  [Citation.]  An </w:t>
      </w:r>
      <w:r w:rsidRPr="00431A8F">
        <w:rPr>
          <w:szCs w:val="26"/>
          <w:bdr w:val="none" w:sz="0" w:space="0" w:color="auto" w:frame="1"/>
          <w:shd w:val="clear" w:color="auto" w:fill="FFFFFF"/>
        </w:rPr>
        <w:t>initiative</w:t>
      </w:r>
      <w:r w:rsidRPr="00431A8F">
        <w:rPr>
          <w:szCs w:val="26"/>
        </w:rPr>
        <w:t xml:space="preserve"> measure ‘“must be upheld unless [its] unconstitutionality clearly, positively, and unmistakably appears.”’  [Citation.]” </w:t>
      </w:r>
      <w:r w:rsidR="00A103AE" w:rsidRPr="00431A8F">
        <w:rPr>
          <w:szCs w:val="26"/>
        </w:rPr>
        <w:t xml:space="preserve"> (</w:t>
      </w:r>
      <w:r w:rsidR="00431A8F" w:rsidRPr="00431A8F">
        <w:rPr>
          <w:i/>
          <w:iCs/>
          <w:szCs w:val="26"/>
        </w:rPr>
        <w:t>Pala Band of Mission Indians v. Board of Supervisors</w:t>
      </w:r>
      <w:r w:rsidR="00431A8F" w:rsidRPr="00431A8F">
        <w:rPr>
          <w:szCs w:val="26"/>
        </w:rPr>
        <w:t xml:space="preserve"> (1997) 54 Cal.App.4th 565, 573</w:t>
      </w:r>
      <w:r w:rsidR="00A103AE" w:rsidRPr="00431A8F">
        <w:t>.)</w:t>
      </w:r>
    </w:p>
    <w:p w14:paraId="7F3A04B8" w14:textId="456AEEBD" w:rsidR="00E72847" w:rsidRPr="009A41DA" w:rsidRDefault="00DB39BD" w:rsidP="00DC0C27">
      <w:pPr>
        <w:spacing w:line="600" w:lineRule="exact"/>
        <w:ind w:firstLine="720"/>
      </w:pPr>
      <w:r w:rsidRPr="009A41DA">
        <w:t xml:space="preserve">Here, the trial court entertained preelection review of </w:t>
      </w:r>
      <w:r w:rsidR="00A103AE" w:rsidRPr="009A41DA">
        <w:t xml:space="preserve">Real Parties’ Initiative, which was </w:t>
      </w:r>
      <w:r w:rsidRPr="009A41DA">
        <w:t>a</w:t>
      </w:r>
      <w:r w:rsidR="000C28ED" w:rsidRPr="009A41DA">
        <w:t>n</w:t>
      </w:r>
      <w:r w:rsidRPr="009A41DA">
        <w:t xml:space="preserve"> initiative</w:t>
      </w:r>
      <w:r w:rsidR="00A103AE" w:rsidRPr="009A41DA">
        <w:t xml:space="preserve"> seeking to repeal a special tax under the Proposition 218 amendment to the California Constitution</w:t>
      </w:r>
      <w:r w:rsidR="002C5A7D" w:rsidRPr="009A41DA">
        <w:t>.  E</w:t>
      </w:r>
      <w:r w:rsidRPr="009A41DA">
        <w:t xml:space="preserve">ven though the trial court found that the Initiative was invalid and should not be placed on the ballot, it was too late to prevent it from being included </w:t>
      </w:r>
      <w:r w:rsidR="00A103AE" w:rsidRPr="009A41DA">
        <w:t>o</w:t>
      </w:r>
      <w:r w:rsidRPr="009A41DA">
        <w:t xml:space="preserve">n the ballot.  As a result, the electorate voted on the Initiative and approved it.  </w:t>
      </w:r>
      <w:r w:rsidR="000642A0" w:rsidRPr="009A41DA">
        <w:t xml:space="preserve">Nevertheless, </w:t>
      </w:r>
      <w:r w:rsidRPr="009A41DA">
        <w:t xml:space="preserve">the Initiative remains invalid under the trial court’s preelection </w:t>
      </w:r>
      <w:r w:rsidR="00781DE0" w:rsidRPr="009A41DA">
        <w:t>ruling</w:t>
      </w:r>
      <w:r w:rsidR="00C571A6">
        <w:t>,</w:t>
      </w:r>
      <w:r w:rsidRPr="009A41DA">
        <w:t xml:space="preserve"> finding </w:t>
      </w:r>
      <w:r w:rsidR="00A103AE" w:rsidRPr="009A41DA">
        <w:t>Proposition 218</w:t>
      </w:r>
      <w:r w:rsidR="000642A0" w:rsidRPr="009A41DA">
        <w:t xml:space="preserve"> d</w:t>
      </w:r>
      <w:r w:rsidR="00AA74B8" w:rsidRPr="009A41DA">
        <w:t>oes</w:t>
      </w:r>
      <w:r w:rsidR="000642A0" w:rsidRPr="009A41DA">
        <w:t xml:space="preserve"> not apply</w:t>
      </w:r>
      <w:r w:rsidR="00AA74B8" w:rsidRPr="009A41DA">
        <w:t xml:space="preserve"> and the Initiative contains false and misleading statements</w:t>
      </w:r>
      <w:r w:rsidR="000642A0" w:rsidRPr="009A41DA">
        <w:t xml:space="preserve">.  </w:t>
      </w:r>
      <w:r w:rsidRPr="009A41DA">
        <w:t>Real Parties request this court to overturn the trial court’s May 3</w:t>
      </w:r>
      <w:r w:rsidR="002C5A7D" w:rsidRPr="009A41DA">
        <w:t>1</w:t>
      </w:r>
      <w:r w:rsidRPr="009A41DA">
        <w:t>, 2022, pre-election order deeming the Initiative invalid.</w:t>
      </w:r>
    </w:p>
    <w:p w14:paraId="4F06E3C3" w14:textId="795E2D34" w:rsidR="009166EE" w:rsidRPr="009A41DA" w:rsidRDefault="000B0DD7" w:rsidP="00DC0C27">
      <w:pPr>
        <w:spacing w:line="600" w:lineRule="exact"/>
        <w:ind w:firstLine="720"/>
        <w:rPr>
          <w:szCs w:val="26"/>
        </w:rPr>
      </w:pPr>
      <w:r w:rsidRPr="009A41DA">
        <w:lastRenderedPageBreak/>
        <w:t>Our review of the Initiative</w:t>
      </w:r>
      <w:r w:rsidR="00781DE0" w:rsidRPr="009A41DA">
        <w:t xml:space="preserve"> requires this court to do so under the independent</w:t>
      </w:r>
      <w:r w:rsidR="008F2476" w:rsidRPr="009A41DA">
        <w:t>, de novo</w:t>
      </w:r>
      <w:r w:rsidR="00781DE0" w:rsidRPr="009A41DA">
        <w:t xml:space="preserve"> standard of review</w:t>
      </w:r>
      <w:r w:rsidR="00395031" w:rsidRPr="009A41DA">
        <w:t xml:space="preserve"> b</w:t>
      </w:r>
      <w:r w:rsidR="00395031" w:rsidRPr="009A41DA">
        <w:rPr>
          <w:szCs w:val="26"/>
        </w:rPr>
        <w:t xml:space="preserve">ecause the validity of </w:t>
      </w:r>
      <w:r w:rsidR="00AA74B8" w:rsidRPr="009A41DA">
        <w:rPr>
          <w:szCs w:val="26"/>
        </w:rPr>
        <w:t>the Initiative and whether Proposition 218 applies</w:t>
      </w:r>
      <w:r w:rsidR="00395031" w:rsidRPr="009A41DA">
        <w:rPr>
          <w:szCs w:val="26"/>
        </w:rPr>
        <w:t xml:space="preserve"> is </w:t>
      </w:r>
      <w:r w:rsidR="00785532" w:rsidRPr="009A41DA">
        <w:rPr>
          <w:szCs w:val="26"/>
        </w:rPr>
        <w:t xml:space="preserve">a </w:t>
      </w:r>
      <w:r w:rsidR="00395031" w:rsidRPr="009A41DA">
        <w:rPr>
          <w:szCs w:val="26"/>
        </w:rPr>
        <w:t>constitutional question</w:t>
      </w:r>
      <w:r w:rsidR="00781DE0" w:rsidRPr="009A41DA">
        <w:t>.  (</w:t>
      </w:r>
      <w:r w:rsidR="00395031" w:rsidRPr="009A41DA">
        <w:rPr>
          <w:i/>
          <w:iCs/>
          <w:szCs w:val="26"/>
          <w:bdr w:val="none" w:sz="0" w:space="0" w:color="auto" w:frame="1"/>
        </w:rPr>
        <w:t>Silicon Valley</w:t>
      </w:r>
      <w:r w:rsidR="00FC1E4C">
        <w:rPr>
          <w:i/>
          <w:iCs/>
          <w:szCs w:val="26"/>
          <w:bdr w:val="none" w:sz="0" w:space="0" w:color="auto" w:frame="1"/>
        </w:rPr>
        <w:t xml:space="preserve"> Taxpayers’ Assn., Inc. v. Santa Clara County Open Space Authority</w:t>
      </w:r>
      <w:r w:rsidR="00FC1E4C">
        <w:rPr>
          <w:szCs w:val="26"/>
          <w:bdr w:val="none" w:sz="0" w:space="0" w:color="auto" w:frame="1"/>
        </w:rPr>
        <w:t xml:space="preserve"> (</w:t>
      </w:r>
      <w:r w:rsidR="00B539EA">
        <w:rPr>
          <w:szCs w:val="26"/>
          <w:bdr w:val="none" w:sz="0" w:space="0" w:color="auto" w:frame="1"/>
        </w:rPr>
        <w:t>2008)</w:t>
      </w:r>
      <w:r w:rsidR="00395031" w:rsidRPr="009A41DA">
        <w:rPr>
          <w:szCs w:val="26"/>
        </w:rPr>
        <w:t xml:space="preserve"> 44 Cal.4th </w:t>
      </w:r>
      <w:r w:rsidR="00B539EA">
        <w:rPr>
          <w:szCs w:val="26"/>
        </w:rPr>
        <w:t xml:space="preserve">431, </w:t>
      </w:r>
      <w:r w:rsidR="00395031" w:rsidRPr="009A41DA">
        <w:rPr>
          <w:szCs w:val="26"/>
        </w:rPr>
        <w:t xml:space="preserve">441; see also </w:t>
      </w:r>
      <w:r w:rsidR="00781DE0" w:rsidRPr="009A41DA">
        <w:rPr>
          <w:i/>
          <w:iCs/>
          <w:szCs w:val="26"/>
        </w:rPr>
        <w:t>United Water</w:t>
      </w:r>
      <w:r w:rsidR="00B539EA">
        <w:rPr>
          <w:szCs w:val="26"/>
        </w:rPr>
        <w:t xml:space="preserve">, </w:t>
      </w:r>
      <w:r w:rsidR="00B539EA" w:rsidRPr="00B539EA">
        <w:rPr>
          <w:i/>
          <w:iCs/>
          <w:szCs w:val="26"/>
        </w:rPr>
        <w:t>supra</w:t>
      </w:r>
      <w:r w:rsidR="00B539EA">
        <w:rPr>
          <w:szCs w:val="26"/>
        </w:rPr>
        <w:t>,</w:t>
      </w:r>
      <w:r w:rsidR="00781DE0" w:rsidRPr="009A41DA">
        <w:rPr>
          <w:szCs w:val="26"/>
        </w:rPr>
        <w:t xml:space="preserve"> 79 Cal.App.5th </w:t>
      </w:r>
      <w:r w:rsidR="00B539EA">
        <w:rPr>
          <w:szCs w:val="26"/>
        </w:rPr>
        <w:t xml:space="preserve">at p. </w:t>
      </w:r>
      <w:r w:rsidR="00781DE0" w:rsidRPr="009A41DA">
        <w:rPr>
          <w:szCs w:val="26"/>
        </w:rPr>
        <w:t>118</w:t>
      </w:r>
      <w:bookmarkStart w:id="11" w:name="_Hlk146879108"/>
      <w:r w:rsidR="008F2476" w:rsidRPr="009A41DA">
        <w:rPr>
          <w:szCs w:val="26"/>
        </w:rPr>
        <w:t xml:space="preserve">; </w:t>
      </w:r>
      <w:r w:rsidR="008F2476" w:rsidRPr="0054354D">
        <w:rPr>
          <w:i/>
          <w:iCs/>
          <w:szCs w:val="26"/>
          <w:bdr w:val="none" w:sz="0" w:space="0" w:color="auto" w:frame="1"/>
        </w:rPr>
        <w:t>Evans v. Unemployment Ins. Appeals Bd.</w:t>
      </w:r>
      <w:r w:rsidR="00B539EA">
        <w:rPr>
          <w:szCs w:val="26"/>
          <w:bdr w:val="none" w:sz="0" w:space="0" w:color="auto" w:frame="1"/>
        </w:rPr>
        <w:t xml:space="preserve">, </w:t>
      </w:r>
      <w:r w:rsidR="00B539EA" w:rsidRPr="00B539EA">
        <w:rPr>
          <w:i/>
          <w:iCs/>
          <w:szCs w:val="26"/>
          <w:bdr w:val="none" w:sz="0" w:space="0" w:color="auto" w:frame="1"/>
        </w:rPr>
        <w:t>supra</w:t>
      </w:r>
      <w:r w:rsidR="00B539EA">
        <w:rPr>
          <w:szCs w:val="26"/>
          <w:bdr w:val="none" w:sz="0" w:space="0" w:color="auto" w:frame="1"/>
        </w:rPr>
        <w:t xml:space="preserve">, </w:t>
      </w:r>
      <w:r w:rsidR="008F2476" w:rsidRPr="0054354D">
        <w:rPr>
          <w:szCs w:val="26"/>
        </w:rPr>
        <w:t xml:space="preserve">39 Cal.3d </w:t>
      </w:r>
      <w:r w:rsidR="00B539EA">
        <w:rPr>
          <w:szCs w:val="26"/>
        </w:rPr>
        <w:t xml:space="preserve">at p. </w:t>
      </w:r>
      <w:r w:rsidR="008F2476" w:rsidRPr="0054354D">
        <w:rPr>
          <w:szCs w:val="26"/>
        </w:rPr>
        <w:t>407</w:t>
      </w:r>
      <w:r w:rsidR="00781DE0" w:rsidRPr="009A41DA">
        <w:rPr>
          <w:szCs w:val="26"/>
        </w:rPr>
        <w:t>.)</w:t>
      </w:r>
      <w:bookmarkEnd w:id="11"/>
    </w:p>
    <w:p w14:paraId="1A594FAF" w14:textId="15F4EC3B" w:rsidR="0027284C" w:rsidRPr="009A41DA" w:rsidRDefault="0027284C" w:rsidP="00DC0C27">
      <w:pPr>
        <w:spacing w:line="600" w:lineRule="exact"/>
        <w:ind w:firstLine="720"/>
        <w:rPr>
          <w:i/>
          <w:iCs/>
        </w:rPr>
      </w:pPr>
      <w:r w:rsidRPr="009A41DA">
        <w:t>B</w:t>
      </w:r>
      <w:r w:rsidR="00781DE0" w:rsidRPr="009A41DA">
        <w:t>.</w:t>
      </w:r>
      <w:r w:rsidRPr="009A41DA">
        <w:t xml:space="preserve"> </w:t>
      </w:r>
      <w:r w:rsidR="00785532" w:rsidRPr="009A41DA">
        <w:rPr>
          <w:i/>
          <w:iCs/>
        </w:rPr>
        <w:t>Inv</w:t>
      </w:r>
      <w:r w:rsidR="00BE73E8" w:rsidRPr="009A41DA">
        <w:rPr>
          <w:i/>
          <w:iCs/>
        </w:rPr>
        <w:t>alidity of Initiative Containing False and Misleading Statements</w:t>
      </w:r>
    </w:p>
    <w:p w14:paraId="167B12C2" w14:textId="0E467103" w:rsidR="00705D43" w:rsidRPr="009A41DA" w:rsidRDefault="00BE73E8" w:rsidP="00DC0C27">
      <w:pPr>
        <w:shd w:val="clear" w:color="auto" w:fill="FFFFFF"/>
        <w:spacing w:line="600" w:lineRule="exact"/>
        <w:ind w:firstLine="720"/>
        <w:rPr>
          <w:szCs w:val="26"/>
        </w:rPr>
      </w:pPr>
      <w:r w:rsidRPr="009A41DA">
        <w:rPr>
          <w:szCs w:val="26"/>
        </w:rPr>
        <w:t xml:space="preserve">The trial court invalidated the Initiative based on finding it contained false and misleading statements </w:t>
      </w:r>
      <w:r w:rsidR="00ED13A4" w:rsidRPr="009A41DA">
        <w:rPr>
          <w:szCs w:val="26"/>
        </w:rPr>
        <w:t xml:space="preserve">that </w:t>
      </w:r>
      <w:r w:rsidRPr="009A41DA">
        <w:rPr>
          <w:szCs w:val="26"/>
        </w:rPr>
        <w:t>implied the FP-5 special tax violated the California Constitution amendment, Proposition 218.</w:t>
      </w:r>
    </w:p>
    <w:p w14:paraId="331AA873" w14:textId="45FDF3B4" w:rsidR="00E50753" w:rsidRPr="009A41DA" w:rsidRDefault="0027284C" w:rsidP="00DC0C27">
      <w:pPr>
        <w:shd w:val="clear" w:color="auto" w:fill="FFFFFF"/>
        <w:spacing w:line="600" w:lineRule="exact"/>
        <w:ind w:firstLine="720"/>
        <w:rPr>
          <w:szCs w:val="26"/>
        </w:rPr>
      </w:pPr>
      <w:r w:rsidRPr="009A41DA">
        <w:rPr>
          <w:szCs w:val="26"/>
        </w:rPr>
        <w:t>“</w:t>
      </w:r>
      <w:r w:rsidR="00646D24" w:rsidRPr="009A41DA">
        <w:rPr>
          <w:szCs w:val="26"/>
        </w:rPr>
        <w:t>‘</w:t>
      </w:r>
      <w:r w:rsidRPr="009A41DA">
        <w:rPr>
          <w:szCs w:val="26"/>
        </w:rPr>
        <w:t xml:space="preserve">Through a series of initiatives—Proposition 13 in 1978, Proposition 218 in 1996, and Proposition 26 in 2010—California voters have </w:t>
      </w:r>
      <w:r w:rsidR="00B539EA">
        <w:rPr>
          <w:szCs w:val="26"/>
        </w:rPr>
        <w:t>“</w:t>
      </w:r>
      <w:r w:rsidRPr="009A41DA">
        <w:rPr>
          <w:szCs w:val="26"/>
        </w:rPr>
        <w:t>limit[ed] the authority of state and local governments to impose taxes without voter approval.</w:t>
      </w:r>
      <w:r w:rsidR="00646D24" w:rsidRPr="009A41DA">
        <w:rPr>
          <w:szCs w:val="26"/>
        </w:rPr>
        <w:t>”</w:t>
      </w:r>
      <w:r w:rsidRPr="009A41DA">
        <w:rPr>
          <w:szCs w:val="26"/>
        </w:rPr>
        <w:t xml:space="preserve"> </w:t>
      </w:r>
      <w:r w:rsidR="00646D24" w:rsidRPr="009A41DA">
        <w:rPr>
          <w:szCs w:val="26"/>
        </w:rPr>
        <w:t xml:space="preserve"> </w:t>
      </w:r>
      <w:r w:rsidRPr="009A41DA">
        <w:rPr>
          <w:szCs w:val="26"/>
        </w:rPr>
        <w:t>[Citations.]</w:t>
      </w:r>
      <w:r w:rsidR="00646D24" w:rsidRPr="009A41DA">
        <w:rPr>
          <w:szCs w:val="26"/>
        </w:rPr>
        <w:t xml:space="preserve">’ </w:t>
      </w:r>
      <w:r w:rsidRPr="009A41DA">
        <w:rPr>
          <w:szCs w:val="26"/>
        </w:rPr>
        <w:t xml:space="preserve"> </w:t>
      </w:r>
      <w:r w:rsidR="00646D24" w:rsidRPr="009A41DA">
        <w:rPr>
          <w:szCs w:val="26"/>
        </w:rPr>
        <w:t>[Citation.]”  (</w:t>
      </w:r>
      <w:r w:rsidR="00646D24" w:rsidRPr="009A41DA">
        <w:rPr>
          <w:i/>
          <w:iCs/>
          <w:szCs w:val="26"/>
        </w:rPr>
        <w:t>United Water</w:t>
      </w:r>
      <w:r w:rsidR="00B539EA" w:rsidRPr="00B539EA">
        <w:rPr>
          <w:szCs w:val="26"/>
        </w:rPr>
        <w:t>,</w:t>
      </w:r>
      <w:r w:rsidR="00B539EA">
        <w:rPr>
          <w:i/>
          <w:iCs/>
          <w:szCs w:val="26"/>
        </w:rPr>
        <w:t xml:space="preserve"> supra</w:t>
      </w:r>
      <w:r w:rsidR="00B539EA" w:rsidRPr="00B539EA">
        <w:rPr>
          <w:szCs w:val="26"/>
        </w:rPr>
        <w:t>,</w:t>
      </w:r>
      <w:r w:rsidR="00646D24" w:rsidRPr="009A41DA">
        <w:rPr>
          <w:szCs w:val="26"/>
        </w:rPr>
        <w:t xml:space="preserve"> 79 Cal.App.</w:t>
      </w:r>
      <w:r w:rsidR="00B539EA">
        <w:rPr>
          <w:szCs w:val="26"/>
        </w:rPr>
        <w:t xml:space="preserve">5th at p. </w:t>
      </w:r>
      <w:r w:rsidR="00646D24" w:rsidRPr="009A41DA">
        <w:rPr>
          <w:szCs w:val="26"/>
        </w:rPr>
        <w:t>114.)</w:t>
      </w:r>
      <w:r w:rsidR="00705D43" w:rsidRPr="009A41DA">
        <w:rPr>
          <w:szCs w:val="26"/>
        </w:rPr>
        <w:t xml:space="preserve">  “</w:t>
      </w:r>
      <w:r w:rsidR="00E50753" w:rsidRPr="009A41DA">
        <w:rPr>
          <w:szCs w:val="26"/>
        </w:rPr>
        <w:t xml:space="preserve">Proposition 218 added </w:t>
      </w:r>
      <w:r w:rsidR="00CD55ED" w:rsidRPr="009A41DA">
        <w:rPr>
          <w:szCs w:val="26"/>
        </w:rPr>
        <w:t xml:space="preserve">[to the California Constitution] </w:t>
      </w:r>
      <w:r w:rsidR="00E50753" w:rsidRPr="009A41DA">
        <w:rPr>
          <w:szCs w:val="26"/>
        </w:rPr>
        <w:t xml:space="preserve">article XIII C, which requires voter approval of all taxes imposed by local governments. </w:t>
      </w:r>
      <w:r w:rsidR="000756A5" w:rsidRPr="009A41DA">
        <w:rPr>
          <w:szCs w:val="26"/>
        </w:rPr>
        <w:t xml:space="preserve"> </w:t>
      </w:r>
      <w:r w:rsidR="00B539EA">
        <w:rPr>
          <w:szCs w:val="26"/>
        </w:rPr>
        <w:t>[Citations.]</w:t>
      </w:r>
      <w:r w:rsidR="00E50753" w:rsidRPr="009A41DA">
        <w:rPr>
          <w:szCs w:val="26"/>
        </w:rPr>
        <w:t xml:space="preserve"> </w:t>
      </w:r>
      <w:r w:rsidR="00E335B5" w:rsidRPr="009A41DA">
        <w:rPr>
          <w:szCs w:val="26"/>
        </w:rPr>
        <w:t xml:space="preserve"> </w:t>
      </w:r>
      <w:r w:rsidR="00E50753" w:rsidRPr="009A41DA">
        <w:rPr>
          <w:szCs w:val="26"/>
        </w:rPr>
        <w:t xml:space="preserve">It also </w:t>
      </w:r>
      <w:r w:rsidR="00134691" w:rsidRPr="009A41DA">
        <w:rPr>
          <w:szCs w:val="26"/>
        </w:rPr>
        <w:t>‘</w:t>
      </w:r>
      <w:r w:rsidR="00E50753" w:rsidRPr="009A41DA">
        <w:rPr>
          <w:szCs w:val="26"/>
        </w:rPr>
        <w:t xml:space="preserve">tighten[ed] the two-thirds voter approval requirement for </w:t>
      </w:r>
      <w:r w:rsidR="00134691" w:rsidRPr="009A41DA">
        <w:rPr>
          <w:szCs w:val="26"/>
        </w:rPr>
        <w:t>“</w:t>
      </w:r>
      <w:r w:rsidR="00E50753" w:rsidRPr="009A41DA">
        <w:rPr>
          <w:szCs w:val="26"/>
        </w:rPr>
        <w:t>special</w:t>
      </w:r>
      <w:r w:rsidR="00134691" w:rsidRPr="009A41DA">
        <w:rPr>
          <w:szCs w:val="26"/>
        </w:rPr>
        <w:t>”</w:t>
      </w:r>
      <w:r w:rsidR="00E50753" w:rsidRPr="009A41DA">
        <w:rPr>
          <w:szCs w:val="26"/>
        </w:rPr>
        <w:t xml:space="preserve"> taxes</w:t>
      </w:r>
      <w:r w:rsidR="00E50753" w:rsidRPr="009A41DA">
        <w:rPr>
          <w:b/>
          <w:bCs/>
          <w:szCs w:val="26"/>
        </w:rPr>
        <w:t xml:space="preserve"> </w:t>
      </w:r>
      <w:r w:rsidR="00E50753" w:rsidRPr="009A41DA">
        <w:rPr>
          <w:szCs w:val="26"/>
        </w:rPr>
        <w:t>and assessments imposed by Proposition 13.</w:t>
      </w:r>
      <w:r w:rsidR="00134691" w:rsidRPr="009A41DA">
        <w:rPr>
          <w:szCs w:val="26"/>
        </w:rPr>
        <w:t>’</w:t>
      </w:r>
      <w:r w:rsidR="00E335B5" w:rsidRPr="009A41DA">
        <w:rPr>
          <w:szCs w:val="26"/>
        </w:rPr>
        <w:t xml:space="preserve"> </w:t>
      </w:r>
      <w:r w:rsidR="00E50753" w:rsidRPr="009A41DA">
        <w:rPr>
          <w:szCs w:val="26"/>
        </w:rPr>
        <w:t xml:space="preserve"> (</w:t>
      </w:r>
      <w:r w:rsidR="00E50753" w:rsidRPr="009A41DA">
        <w:rPr>
          <w:i/>
          <w:iCs/>
          <w:szCs w:val="26"/>
          <w:bdr w:val="none" w:sz="0" w:space="0" w:color="auto" w:frame="1"/>
        </w:rPr>
        <w:t>Brooktrails Township Community Services Dist. v. Board of Supervisors of Mendocino County</w:t>
      </w:r>
      <w:r w:rsidR="00E50753" w:rsidRPr="009A41DA">
        <w:rPr>
          <w:szCs w:val="26"/>
        </w:rPr>
        <w:t xml:space="preserve"> (2013) 218 Cal.App.4th 195, 197.)</w:t>
      </w:r>
      <w:r w:rsidR="00134691" w:rsidRPr="009A41DA">
        <w:rPr>
          <w:szCs w:val="26"/>
        </w:rPr>
        <w:t>”</w:t>
      </w:r>
      <w:r w:rsidR="00E72847" w:rsidRPr="009A41DA">
        <w:rPr>
          <w:szCs w:val="26"/>
        </w:rPr>
        <w:t xml:space="preserve">  (</w:t>
      </w:r>
      <w:r w:rsidR="00E72847" w:rsidRPr="009A41DA">
        <w:rPr>
          <w:i/>
          <w:iCs/>
          <w:szCs w:val="26"/>
        </w:rPr>
        <w:t>United Water</w:t>
      </w:r>
      <w:r w:rsidR="00B539EA">
        <w:rPr>
          <w:szCs w:val="26"/>
        </w:rPr>
        <w:t xml:space="preserve">, </w:t>
      </w:r>
      <w:r w:rsidR="00B539EA" w:rsidRPr="00B539EA">
        <w:rPr>
          <w:i/>
          <w:iCs/>
          <w:szCs w:val="26"/>
        </w:rPr>
        <w:t>supra</w:t>
      </w:r>
      <w:r w:rsidR="00B539EA">
        <w:rPr>
          <w:szCs w:val="26"/>
        </w:rPr>
        <w:t xml:space="preserve">, </w:t>
      </w:r>
      <w:r w:rsidR="00E72847" w:rsidRPr="009A41DA">
        <w:rPr>
          <w:szCs w:val="26"/>
        </w:rPr>
        <w:t xml:space="preserve">79 Cal.App.5th </w:t>
      </w:r>
      <w:r w:rsidR="00B539EA">
        <w:rPr>
          <w:szCs w:val="26"/>
        </w:rPr>
        <w:t xml:space="preserve">at p. </w:t>
      </w:r>
      <w:r w:rsidR="00E72847" w:rsidRPr="009A41DA">
        <w:rPr>
          <w:szCs w:val="26"/>
        </w:rPr>
        <w:t>118.)</w:t>
      </w:r>
    </w:p>
    <w:p w14:paraId="122427FB" w14:textId="50B25C8F" w:rsidR="009166EE" w:rsidRPr="009A41DA" w:rsidRDefault="00455CD6" w:rsidP="00A75BD9">
      <w:pPr>
        <w:keepNext/>
        <w:keepLines/>
        <w:spacing w:line="600" w:lineRule="exact"/>
        <w:ind w:firstLine="1080"/>
      </w:pPr>
      <w:r w:rsidRPr="009A41DA">
        <w:lastRenderedPageBreak/>
        <w:t>1</w:t>
      </w:r>
      <w:r w:rsidR="00EF24F2" w:rsidRPr="009A41DA">
        <w:t xml:space="preserve">. </w:t>
      </w:r>
      <w:r w:rsidR="009166EE" w:rsidRPr="009A41DA">
        <w:rPr>
          <w:u w:val="single"/>
        </w:rPr>
        <w:t>Section 18600</w:t>
      </w:r>
    </w:p>
    <w:p w14:paraId="4F686BDF" w14:textId="4EFCF106" w:rsidR="00455CD6" w:rsidRPr="009A41DA" w:rsidRDefault="009166EE" w:rsidP="00A75BD9">
      <w:pPr>
        <w:keepNext/>
        <w:keepLines/>
        <w:spacing w:line="600" w:lineRule="exact"/>
        <w:ind w:firstLine="720"/>
        <w:rPr>
          <w:szCs w:val="26"/>
        </w:rPr>
      </w:pPr>
      <w:r w:rsidRPr="009A41DA">
        <w:rPr>
          <w:szCs w:val="26"/>
        </w:rPr>
        <w:t xml:space="preserve">Real Parties </w:t>
      </w:r>
      <w:r w:rsidR="00D3291E" w:rsidRPr="009A41DA">
        <w:rPr>
          <w:szCs w:val="26"/>
        </w:rPr>
        <w:t>contend</w:t>
      </w:r>
      <w:r w:rsidRPr="009A41DA">
        <w:rPr>
          <w:szCs w:val="26"/>
        </w:rPr>
        <w:t xml:space="preserve"> the trial court erred in concluding the Initiative was invalid under section 18600, subdivision (b)</w:t>
      </w:r>
      <w:r w:rsidR="00455CD6" w:rsidRPr="009A41DA">
        <w:rPr>
          <w:szCs w:val="26"/>
        </w:rPr>
        <w:t>, based on the Initiative alleg</w:t>
      </w:r>
      <w:r w:rsidR="007C559A">
        <w:rPr>
          <w:szCs w:val="26"/>
        </w:rPr>
        <w:t>ing</w:t>
      </w:r>
      <w:r w:rsidR="00455CD6" w:rsidRPr="009A41DA">
        <w:rPr>
          <w:szCs w:val="26"/>
        </w:rPr>
        <w:t xml:space="preserve"> false and misleading statements</w:t>
      </w:r>
      <w:r w:rsidR="007C559A">
        <w:rPr>
          <w:szCs w:val="26"/>
        </w:rPr>
        <w:t xml:space="preserve"> that</w:t>
      </w:r>
      <w:r w:rsidR="00455CD6" w:rsidRPr="009A41DA">
        <w:rPr>
          <w:szCs w:val="26"/>
        </w:rPr>
        <w:t xml:space="preserve"> the special tax violated Proposition 218</w:t>
      </w:r>
      <w:r w:rsidRPr="009A41DA">
        <w:rPr>
          <w:szCs w:val="26"/>
        </w:rPr>
        <w:t>.</w:t>
      </w:r>
    </w:p>
    <w:p w14:paraId="718FE058" w14:textId="6ADA6062" w:rsidR="009166EE" w:rsidRPr="009A41DA" w:rsidRDefault="00455CD6" w:rsidP="00DC0C27">
      <w:pPr>
        <w:spacing w:line="600" w:lineRule="exact"/>
        <w:ind w:firstLine="720"/>
      </w:pPr>
      <w:r w:rsidRPr="009A41DA">
        <w:rPr>
          <w:szCs w:val="26"/>
        </w:rPr>
        <w:t>Section 18600</w:t>
      </w:r>
      <w:r w:rsidR="009166EE" w:rsidRPr="009A41DA">
        <w:rPr>
          <w:szCs w:val="26"/>
        </w:rPr>
        <w:t xml:space="preserve"> provides</w:t>
      </w:r>
      <w:r w:rsidR="00270314" w:rsidRPr="009A41DA">
        <w:rPr>
          <w:szCs w:val="26"/>
        </w:rPr>
        <w:t xml:space="preserve"> in relevant part</w:t>
      </w:r>
      <w:r w:rsidR="009166EE" w:rsidRPr="009A41DA">
        <w:rPr>
          <w:szCs w:val="26"/>
        </w:rPr>
        <w:t>:</w:t>
      </w:r>
      <w:r w:rsidR="00A52ACF">
        <w:rPr>
          <w:szCs w:val="26"/>
        </w:rPr>
        <w:t xml:space="preserve"> </w:t>
      </w:r>
      <w:r w:rsidR="009166EE" w:rsidRPr="009A41DA">
        <w:rPr>
          <w:szCs w:val="26"/>
        </w:rPr>
        <w:t xml:space="preserve"> “</w:t>
      </w:r>
      <w:r w:rsidR="009166EE" w:rsidRPr="009A41DA">
        <w:t xml:space="preserve">Every person is </w:t>
      </w:r>
      <w:r w:rsidR="009166EE" w:rsidRPr="009A41DA">
        <w:rPr>
          <w:i/>
          <w:iCs/>
        </w:rPr>
        <w:t>guilty of a misdemeanor</w:t>
      </w:r>
      <w:r w:rsidR="009166EE" w:rsidRPr="009A41DA">
        <w:t xml:space="preserve"> who: </w:t>
      </w:r>
      <w:r w:rsidR="00A52ACF">
        <w:t xml:space="preserve"> </w:t>
      </w:r>
      <w:r w:rsidR="009166EE" w:rsidRPr="009A41DA">
        <w:rPr>
          <w:szCs w:val="26"/>
        </w:rPr>
        <w:t>[¶]</w:t>
      </w:r>
      <w:r w:rsidR="00A52ACF">
        <w:rPr>
          <w:szCs w:val="26"/>
        </w:rPr>
        <w:t xml:space="preserve"> </w:t>
      </w:r>
      <w:r w:rsidR="00AC0103" w:rsidRPr="009A41DA">
        <w:rPr>
          <w:szCs w:val="26"/>
        </w:rPr>
        <w:t xml:space="preserve"> . . .</w:t>
      </w:r>
      <w:r w:rsidR="009166EE" w:rsidRPr="009A41DA">
        <w:rPr>
          <w:szCs w:val="26"/>
        </w:rPr>
        <w:t xml:space="preserve"> </w:t>
      </w:r>
      <w:r w:rsidR="00A52ACF">
        <w:rPr>
          <w:szCs w:val="26"/>
        </w:rPr>
        <w:t xml:space="preserve"> </w:t>
      </w:r>
      <w:r w:rsidR="009166EE" w:rsidRPr="009A41DA">
        <w:rPr>
          <w:szCs w:val="26"/>
        </w:rPr>
        <w:t>[¶]</w:t>
      </w:r>
      <w:r w:rsidR="00A52ACF">
        <w:rPr>
          <w:szCs w:val="26"/>
        </w:rPr>
        <w:t xml:space="preserve"> </w:t>
      </w:r>
      <w:r w:rsidR="009166EE" w:rsidRPr="009A41DA">
        <w:rPr>
          <w:szCs w:val="26"/>
        </w:rPr>
        <w:t xml:space="preserve"> </w:t>
      </w:r>
      <w:r w:rsidR="009166EE" w:rsidRPr="009A41DA">
        <w:t xml:space="preserve">(b) </w:t>
      </w:r>
      <w:r w:rsidR="009166EE" w:rsidRPr="009A41DA">
        <w:rPr>
          <w:i/>
          <w:iCs/>
        </w:rPr>
        <w:t>Willfully and knowingly</w:t>
      </w:r>
      <w:r w:rsidR="009166EE" w:rsidRPr="009A41DA">
        <w:t xml:space="preserve"> circulates, publishes, or exhibits any false statement or misrepresentation concerning the contents, purport or effect of any state or local initiative, referendum, or recall petition</w:t>
      </w:r>
      <w:r w:rsidR="00270314" w:rsidRPr="009A41DA">
        <w:t xml:space="preserve"> . . . </w:t>
      </w:r>
      <w:r w:rsidR="009166EE" w:rsidRPr="009A41DA">
        <w:t>, for the purpose of obtaining any signature to, or persuading or influencing any person to sign, that petition.”</w:t>
      </w:r>
      <w:r w:rsidR="009166EE" w:rsidRPr="009A41DA">
        <w:rPr>
          <w:szCs w:val="26"/>
        </w:rPr>
        <w:t xml:space="preserve"> </w:t>
      </w:r>
      <w:r w:rsidR="00136D23" w:rsidRPr="009A41DA">
        <w:rPr>
          <w:szCs w:val="26"/>
        </w:rPr>
        <w:t xml:space="preserve"> (Italics added.)</w:t>
      </w:r>
    </w:p>
    <w:p w14:paraId="46A6BD00" w14:textId="4EB7A183" w:rsidR="00A40910" w:rsidRPr="009A41DA" w:rsidRDefault="009166EE" w:rsidP="00DC0C27">
      <w:pPr>
        <w:spacing w:line="600" w:lineRule="exact"/>
        <w:ind w:firstLine="720"/>
        <w:rPr>
          <w:szCs w:val="26"/>
        </w:rPr>
      </w:pPr>
      <w:r w:rsidRPr="009A41DA">
        <w:rPr>
          <w:szCs w:val="26"/>
        </w:rPr>
        <w:t xml:space="preserve">Real Parties argue </w:t>
      </w:r>
      <w:r w:rsidR="00D3291E" w:rsidRPr="009A41DA">
        <w:rPr>
          <w:szCs w:val="26"/>
        </w:rPr>
        <w:t xml:space="preserve">the District failed to </w:t>
      </w:r>
      <w:r w:rsidR="005C2149" w:rsidRPr="009A41DA">
        <w:rPr>
          <w:szCs w:val="26"/>
        </w:rPr>
        <w:t>establish</w:t>
      </w:r>
      <w:r w:rsidR="00D3291E" w:rsidRPr="009A41DA">
        <w:rPr>
          <w:szCs w:val="26"/>
        </w:rPr>
        <w:t xml:space="preserve"> a violation of section 18600 because there was no evidence of the requisite element of intent.</w:t>
      </w:r>
      <w:r w:rsidR="00AC0103" w:rsidRPr="009A41DA">
        <w:rPr>
          <w:szCs w:val="26"/>
        </w:rPr>
        <w:t xml:space="preserve">  We conclude</w:t>
      </w:r>
      <w:r w:rsidR="00D3291E" w:rsidRPr="009A41DA">
        <w:rPr>
          <w:szCs w:val="26"/>
        </w:rPr>
        <w:t xml:space="preserve"> to the contrary</w:t>
      </w:r>
      <w:r w:rsidR="00AC0103" w:rsidRPr="009A41DA">
        <w:rPr>
          <w:szCs w:val="26"/>
        </w:rPr>
        <w:t>, as did the trial court, that there was no requirement in this case of proof of intent under section 18600.</w:t>
      </w:r>
    </w:p>
    <w:p w14:paraId="05D39A9C" w14:textId="52FC53E6" w:rsidR="00A31AEB" w:rsidRPr="009A41DA" w:rsidRDefault="00416A33" w:rsidP="00DC0C27">
      <w:pPr>
        <w:spacing w:line="600" w:lineRule="exact"/>
        <w:ind w:firstLine="720"/>
        <w:rPr>
          <w:szCs w:val="26"/>
        </w:rPr>
      </w:pPr>
      <w:r w:rsidRPr="009A41DA">
        <w:rPr>
          <w:szCs w:val="26"/>
        </w:rPr>
        <w:t>First, w</w:t>
      </w:r>
      <w:r w:rsidR="00AC0103" w:rsidRPr="009A41DA">
        <w:rPr>
          <w:szCs w:val="26"/>
        </w:rPr>
        <w:t xml:space="preserve">e note that the trial court’s order does not state it found the Initiative was invalid based on </w:t>
      </w:r>
      <w:r w:rsidR="00A621CF" w:rsidRPr="009A41DA">
        <w:rPr>
          <w:szCs w:val="26"/>
        </w:rPr>
        <w:t xml:space="preserve">it </w:t>
      </w:r>
      <w:r w:rsidR="00AC0103" w:rsidRPr="009A41DA">
        <w:rPr>
          <w:szCs w:val="26"/>
        </w:rPr>
        <w:t>violat</w:t>
      </w:r>
      <w:r w:rsidR="00A621CF" w:rsidRPr="009A41DA">
        <w:rPr>
          <w:szCs w:val="26"/>
        </w:rPr>
        <w:t>ing</w:t>
      </w:r>
      <w:r w:rsidR="00AC0103" w:rsidRPr="009A41DA">
        <w:rPr>
          <w:szCs w:val="26"/>
        </w:rPr>
        <w:t xml:space="preserve"> section 18600.  </w:t>
      </w:r>
      <w:r w:rsidRPr="009A41DA">
        <w:rPr>
          <w:szCs w:val="26"/>
        </w:rPr>
        <w:t xml:space="preserve">Second, section 18600 is not controlling.  As the trial court correctly noted during the </w:t>
      </w:r>
      <w:r w:rsidR="00F7357E" w:rsidRPr="009A41DA">
        <w:rPr>
          <w:szCs w:val="26"/>
        </w:rPr>
        <w:t>W</w:t>
      </w:r>
      <w:r w:rsidRPr="009A41DA">
        <w:rPr>
          <w:szCs w:val="26"/>
        </w:rPr>
        <w:t xml:space="preserve">rit </w:t>
      </w:r>
      <w:r w:rsidR="00F7357E" w:rsidRPr="009A41DA">
        <w:rPr>
          <w:szCs w:val="26"/>
        </w:rPr>
        <w:t>P</w:t>
      </w:r>
      <w:r w:rsidRPr="009A41DA">
        <w:rPr>
          <w:szCs w:val="26"/>
        </w:rPr>
        <w:t>etition hearing, Real Parties</w:t>
      </w:r>
      <w:r w:rsidR="00B72C3B" w:rsidRPr="009A41DA">
        <w:rPr>
          <w:szCs w:val="26"/>
        </w:rPr>
        <w:t xml:space="preserve"> </w:t>
      </w:r>
      <w:r w:rsidRPr="009A41DA">
        <w:rPr>
          <w:szCs w:val="26"/>
        </w:rPr>
        <w:t>assum</w:t>
      </w:r>
      <w:r w:rsidR="00F7357E" w:rsidRPr="009A41DA">
        <w:rPr>
          <w:szCs w:val="26"/>
        </w:rPr>
        <w:t>ed</w:t>
      </w:r>
      <w:r w:rsidRPr="009A41DA">
        <w:rPr>
          <w:szCs w:val="26"/>
        </w:rPr>
        <w:t xml:space="preserve"> section 18600 was “</w:t>
      </w:r>
      <w:bookmarkStart w:id="12" w:name="_Hlk147137139"/>
      <w:r w:rsidR="002E4868" w:rsidRPr="009A41DA">
        <w:rPr>
          <w:szCs w:val="26"/>
        </w:rPr>
        <w:t>the controlling statute</w:t>
      </w:r>
      <w:r w:rsidRPr="009A41DA">
        <w:rPr>
          <w:szCs w:val="26"/>
        </w:rPr>
        <w:t>,</w:t>
      </w:r>
      <w:r w:rsidR="002E4868" w:rsidRPr="009A41DA">
        <w:rPr>
          <w:szCs w:val="26"/>
        </w:rPr>
        <w:t xml:space="preserve"> when in fact this is a statute that makes certain conduct a misdemeanor.”</w:t>
      </w:r>
      <w:bookmarkEnd w:id="12"/>
    </w:p>
    <w:p w14:paraId="74C31C92" w14:textId="5F7FEED2" w:rsidR="002E4868" w:rsidRPr="009A41DA" w:rsidRDefault="002E4868" w:rsidP="00DC0C27">
      <w:pPr>
        <w:spacing w:line="600" w:lineRule="exact"/>
        <w:ind w:firstLine="720"/>
        <w:rPr>
          <w:szCs w:val="26"/>
        </w:rPr>
      </w:pPr>
      <w:r w:rsidRPr="009A41DA">
        <w:rPr>
          <w:szCs w:val="26"/>
        </w:rPr>
        <w:t xml:space="preserve">When the trial court asked </w:t>
      </w:r>
      <w:r w:rsidR="00A40910" w:rsidRPr="009A41DA">
        <w:rPr>
          <w:szCs w:val="26"/>
        </w:rPr>
        <w:t>for</w:t>
      </w:r>
      <w:r w:rsidRPr="009A41DA">
        <w:rPr>
          <w:szCs w:val="26"/>
        </w:rPr>
        <w:t xml:space="preserve"> authority supporting the proposition that establishing intent was required, </w:t>
      </w:r>
      <w:r w:rsidR="00F7357E" w:rsidRPr="009A41DA">
        <w:rPr>
          <w:szCs w:val="26"/>
        </w:rPr>
        <w:t>Real Parties’ attorney</w:t>
      </w:r>
      <w:r w:rsidRPr="009A41DA">
        <w:rPr>
          <w:szCs w:val="26"/>
        </w:rPr>
        <w:t xml:space="preserve"> acknowledged there was only one </w:t>
      </w:r>
      <w:r w:rsidR="00A40910" w:rsidRPr="009A41DA">
        <w:rPr>
          <w:szCs w:val="26"/>
        </w:rPr>
        <w:lastRenderedPageBreak/>
        <w:t xml:space="preserve">published </w:t>
      </w:r>
      <w:r w:rsidRPr="009A41DA">
        <w:rPr>
          <w:szCs w:val="26"/>
        </w:rPr>
        <w:t xml:space="preserve">case on point, </w:t>
      </w:r>
      <w:r w:rsidR="0029775B" w:rsidRPr="009A41DA">
        <w:rPr>
          <w:i/>
          <w:iCs/>
        </w:rPr>
        <w:t>Nishioka</w:t>
      </w:r>
      <w:r w:rsidR="0029775B" w:rsidRPr="009A41DA">
        <w:t xml:space="preserve">, </w:t>
      </w:r>
      <w:r w:rsidR="0029775B" w:rsidRPr="009A41DA">
        <w:rPr>
          <w:i/>
          <w:iCs/>
        </w:rPr>
        <w:t>supra</w:t>
      </w:r>
      <w:r w:rsidR="0029775B" w:rsidRPr="009A41DA">
        <w:t>, 75 Cal.App.4</w:t>
      </w:r>
      <w:r w:rsidR="00A52ACF">
        <w:t>th</w:t>
      </w:r>
      <w:r w:rsidR="0029775B" w:rsidRPr="009A41DA">
        <w:t xml:space="preserve"> 637</w:t>
      </w:r>
      <w:r w:rsidRPr="009A41DA">
        <w:rPr>
          <w:szCs w:val="26"/>
        </w:rPr>
        <w:t xml:space="preserve">, and it </w:t>
      </w:r>
      <w:r w:rsidR="00A40910" w:rsidRPr="009A41DA">
        <w:rPr>
          <w:szCs w:val="26"/>
        </w:rPr>
        <w:t xml:space="preserve">was silent on whether a showing of intent is required.  Real Parties’ attorney </w:t>
      </w:r>
      <w:r w:rsidR="00F91BB1" w:rsidRPr="009A41DA">
        <w:rPr>
          <w:szCs w:val="26"/>
        </w:rPr>
        <w:t xml:space="preserve">merely </w:t>
      </w:r>
      <w:r w:rsidR="008104A8" w:rsidRPr="009A41DA">
        <w:rPr>
          <w:szCs w:val="26"/>
        </w:rPr>
        <w:t>argued</w:t>
      </w:r>
      <w:r w:rsidR="00A40910" w:rsidRPr="009A41DA">
        <w:rPr>
          <w:szCs w:val="26"/>
        </w:rPr>
        <w:t xml:space="preserve"> that section 18600 requires intent, </w:t>
      </w:r>
      <w:r w:rsidR="00785532" w:rsidRPr="009A41DA">
        <w:rPr>
          <w:szCs w:val="26"/>
        </w:rPr>
        <w:t xml:space="preserve">and therefore </w:t>
      </w:r>
      <w:r w:rsidR="008104A8" w:rsidRPr="009A41DA">
        <w:rPr>
          <w:szCs w:val="26"/>
        </w:rPr>
        <w:t xml:space="preserve">the </w:t>
      </w:r>
      <w:r w:rsidR="00F91BB1" w:rsidRPr="009A41DA">
        <w:rPr>
          <w:szCs w:val="26"/>
        </w:rPr>
        <w:t xml:space="preserve">trial court erred in finding the </w:t>
      </w:r>
      <w:r w:rsidR="008104A8" w:rsidRPr="009A41DA">
        <w:rPr>
          <w:szCs w:val="26"/>
        </w:rPr>
        <w:t xml:space="preserve">Initiative </w:t>
      </w:r>
      <w:r w:rsidR="00F91BB1" w:rsidRPr="009A41DA">
        <w:rPr>
          <w:szCs w:val="26"/>
        </w:rPr>
        <w:t>in</w:t>
      </w:r>
      <w:r w:rsidR="008104A8" w:rsidRPr="009A41DA">
        <w:rPr>
          <w:szCs w:val="26"/>
        </w:rPr>
        <w:t>valid</w:t>
      </w:r>
      <w:r w:rsidR="000C3341" w:rsidRPr="009A41DA">
        <w:rPr>
          <w:szCs w:val="26"/>
        </w:rPr>
        <w:t xml:space="preserve"> because there was no evidence Real Parties had the requisite</w:t>
      </w:r>
      <w:r w:rsidR="008104A8" w:rsidRPr="009A41DA">
        <w:rPr>
          <w:szCs w:val="26"/>
        </w:rPr>
        <w:t xml:space="preserve"> in</w:t>
      </w:r>
      <w:r w:rsidR="000C3341" w:rsidRPr="009A41DA">
        <w:rPr>
          <w:szCs w:val="26"/>
        </w:rPr>
        <w:t>tent</w:t>
      </w:r>
      <w:r w:rsidR="008104A8" w:rsidRPr="009A41DA">
        <w:rPr>
          <w:szCs w:val="26"/>
        </w:rPr>
        <w:t xml:space="preserve"> to </w:t>
      </w:r>
      <w:r w:rsidR="00785532" w:rsidRPr="009A41DA">
        <w:rPr>
          <w:szCs w:val="26"/>
        </w:rPr>
        <w:t xml:space="preserve">circulate the Initiative, knowing it </w:t>
      </w:r>
      <w:r w:rsidR="008104A8" w:rsidRPr="009A41DA">
        <w:rPr>
          <w:szCs w:val="26"/>
        </w:rPr>
        <w:t>include</w:t>
      </w:r>
      <w:r w:rsidR="00785532" w:rsidRPr="009A41DA">
        <w:rPr>
          <w:szCs w:val="26"/>
        </w:rPr>
        <w:t>d</w:t>
      </w:r>
      <w:r w:rsidR="008104A8" w:rsidRPr="009A41DA">
        <w:rPr>
          <w:szCs w:val="26"/>
        </w:rPr>
        <w:t xml:space="preserve"> false </w:t>
      </w:r>
      <w:r w:rsidR="00785532" w:rsidRPr="009A41DA">
        <w:rPr>
          <w:szCs w:val="26"/>
        </w:rPr>
        <w:t>and</w:t>
      </w:r>
      <w:r w:rsidR="008104A8" w:rsidRPr="009A41DA">
        <w:rPr>
          <w:szCs w:val="26"/>
        </w:rPr>
        <w:t xml:space="preserve"> misleading statements.</w:t>
      </w:r>
      <w:r w:rsidR="00A40910" w:rsidRPr="009A41DA">
        <w:rPr>
          <w:szCs w:val="26"/>
        </w:rPr>
        <w:t xml:space="preserve"> </w:t>
      </w:r>
      <w:r w:rsidR="00136D23" w:rsidRPr="009A41DA">
        <w:rPr>
          <w:szCs w:val="26"/>
        </w:rPr>
        <w:t xml:space="preserve"> </w:t>
      </w:r>
      <w:r w:rsidR="00A31AEB" w:rsidRPr="009A41DA">
        <w:rPr>
          <w:szCs w:val="26"/>
        </w:rPr>
        <w:t>When ruling that the Initiative was invalid, the trial court stated</w:t>
      </w:r>
      <w:r w:rsidR="000C3341" w:rsidRPr="009A41DA">
        <w:t>:</w:t>
      </w:r>
      <w:r w:rsidR="00A52ACF">
        <w:t xml:space="preserve"> </w:t>
      </w:r>
      <w:r w:rsidR="000C3341" w:rsidRPr="009A41DA">
        <w:t xml:space="preserve"> “I don’t think intent is required here.  The question is whether this language is false or misleading.”  </w:t>
      </w:r>
      <w:r w:rsidR="00A31AEB" w:rsidRPr="009A41DA">
        <w:rPr>
          <w:szCs w:val="26"/>
        </w:rPr>
        <w:t>We agree.</w:t>
      </w:r>
    </w:p>
    <w:p w14:paraId="23B06A94" w14:textId="5FF7917F" w:rsidR="009166EE" w:rsidRPr="009A41DA" w:rsidRDefault="00AC0103" w:rsidP="00DC0C27">
      <w:pPr>
        <w:spacing w:line="600" w:lineRule="exact"/>
        <w:ind w:firstLine="720"/>
        <w:rPr>
          <w:szCs w:val="26"/>
        </w:rPr>
      </w:pPr>
      <w:r w:rsidRPr="009A41DA">
        <w:rPr>
          <w:szCs w:val="26"/>
        </w:rPr>
        <w:t xml:space="preserve">A </w:t>
      </w:r>
      <w:r w:rsidR="000C3341" w:rsidRPr="009A41DA">
        <w:rPr>
          <w:szCs w:val="26"/>
        </w:rPr>
        <w:t xml:space="preserve">finding that there was a </w:t>
      </w:r>
      <w:r w:rsidRPr="009A41DA">
        <w:rPr>
          <w:szCs w:val="26"/>
        </w:rPr>
        <w:t xml:space="preserve">violation of section </w:t>
      </w:r>
      <w:r w:rsidR="00270314" w:rsidRPr="009A41DA">
        <w:rPr>
          <w:szCs w:val="26"/>
        </w:rPr>
        <w:t xml:space="preserve">18600 </w:t>
      </w:r>
      <w:r w:rsidRPr="009A41DA">
        <w:rPr>
          <w:szCs w:val="26"/>
        </w:rPr>
        <w:t>was not required</w:t>
      </w:r>
      <w:r w:rsidR="000C3341" w:rsidRPr="009A41DA">
        <w:rPr>
          <w:szCs w:val="26"/>
        </w:rPr>
        <w:t xml:space="preserve"> here</w:t>
      </w:r>
      <w:r w:rsidR="00AF3DA0" w:rsidRPr="009A41DA">
        <w:rPr>
          <w:szCs w:val="26"/>
        </w:rPr>
        <w:t xml:space="preserve"> </w:t>
      </w:r>
      <w:r w:rsidR="00322DE6" w:rsidRPr="009A41DA">
        <w:rPr>
          <w:szCs w:val="26"/>
        </w:rPr>
        <w:t>because this case does not allege that Real Parties committed a misdemeanor in violation of section 18600.  T</w:t>
      </w:r>
      <w:r w:rsidR="00AF3DA0" w:rsidRPr="009A41DA">
        <w:rPr>
          <w:szCs w:val="26"/>
        </w:rPr>
        <w:t xml:space="preserve">herefore a finding of intent under section 18600 </w:t>
      </w:r>
      <w:r w:rsidR="004849A3" w:rsidRPr="009A41DA">
        <w:rPr>
          <w:szCs w:val="26"/>
        </w:rPr>
        <w:t>is</w:t>
      </w:r>
      <w:r w:rsidR="00AF3DA0" w:rsidRPr="009A41DA">
        <w:rPr>
          <w:szCs w:val="26"/>
        </w:rPr>
        <w:t xml:space="preserve"> not required</w:t>
      </w:r>
      <w:r w:rsidR="00A31AEB" w:rsidRPr="009A41DA">
        <w:rPr>
          <w:szCs w:val="26"/>
        </w:rPr>
        <w:t>.</w:t>
      </w:r>
      <w:r w:rsidR="00270314" w:rsidRPr="009A41DA">
        <w:rPr>
          <w:szCs w:val="26"/>
        </w:rPr>
        <w:t xml:space="preserve"> </w:t>
      </w:r>
      <w:bookmarkStart w:id="13" w:name="_Hlk146624341"/>
      <w:r w:rsidR="00AF3DA0" w:rsidRPr="009A41DA">
        <w:rPr>
          <w:szCs w:val="26"/>
        </w:rPr>
        <w:t xml:space="preserve"> </w:t>
      </w:r>
      <w:r w:rsidR="000C3341" w:rsidRPr="009A41DA">
        <w:rPr>
          <w:szCs w:val="26"/>
        </w:rPr>
        <w:t>As the trial court</w:t>
      </w:r>
      <w:r w:rsidR="004849A3" w:rsidRPr="009A41DA">
        <w:rPr>
          <w:szCs w:val="26"/>
        </w:rPr>
        <w:t xml:space="preserve"> correctly</w:t>
      </w:r>
      <w:r w:rsidR="000C3341" w:rsidRPr="009A41DA">
        <w:rPr>
          <w:szCs w:val="26"/>
        </w:rPr>
        <w:t xml:space="preserve"> noted, t</w:t>
      </w:r>
      <w:r w:rsidR="00230578" w:rsidRPr="009A41DA">
        <w:rPr>
          <w:szCs w:val="26"/>
        </w:rPr>
        <w:t>he issue</w:t>
      </w:r>
      <w:r w:rsidR="00AF3DA0" w:rsidRPr="009A41DA">
        <w:rPr>
          <w:szCs w:val="26"/>
        </w:rPr>
        <w:t xml:space="preserve"> here</w:t>
      </w:r>
      <w:r w:rsidR="00230578" w:rsidRPr="009A41DA">
        <w:rPr>
          <w:szCs w:val="26"/>
        </w:rPr>
        <w:t xml:space="preserve"> is whether the Initiative is invalid because it contains </w:t>
      </w:r>
      <w:r w:rsidR="00AF3DA0" w:rsidRPr="009A41DA">
        <w:rPr>
          <w:szCs w:val="26"/>
        </w:rPr>
        <w:t>false or</w:t>
      </w:r>
      <w:r w:rsidR="00230578" w:rsidRPr="009A41DA">
        <w:rPr>
          <w:szCs w:val="26"/>
        </w:rPr>
        <w:t xml:space="preserve"> misleading information.</w:t>
      </w:r>
      <w:r w:rsidR="00852C0A" w:rsidRPr="009A41DA">
        <w:rPr>
          <w:szCs w:val="26"/>
        </w:rPr>
        <w:t xml:space="preserve">  </w:t>
      </w:r>
      <w:r w:rsidR="00136D23" w:rsidRPr="009A41DA">
        <w:rPr>
          <w:szCs w:val="26"/>
        </w:rPr>
        <w:t>The Election</w:t>
      </w:r>
      <w:r w:rsidR="00677A2A" w:rsidRPr="009A41DA">
        <w:rPr>
          <w:szCs w:val="26"/>
        </w:rPr>
        <w:t>s</w:t>
      </w:r>
      <w:r w:rsidR="00136D23" w:rsidRPr="009A41DA">
        <w:rPr>
          <w:szCs w:val="26"/>
        </w:rPr>
        <w:t xml:space="preserve"> Code and case law support the trial court’s determination that an initiative </w:t>
      </w:r>
      <w:r w:rsidR="005735B8" w:rsidRPr="009A41DA">
        <w:rPr>
          <w:szCs w:val="26"/>
        </w:rPr>
        <w:t>may be found invalid if it contains language that is false or misleading, even in the absence of evidence of intent</w:t>
      </w:r>
      <w:r w:rsidR="00777690" w:rsidRPr="009A41DA">
        <w:rPr>
          <w:szCs w:val="26"/>
        </w:rPr>
        <w:t xml:space="preserve"> or </w:t>
      </w:r>
      <w:r w:rsidR="004849A3" w:rsidRPr="009A41DA">
        <w:rPr>
          <w:szCs w:val="26"/>
        </w:rPr>
        <w:t xml:space="preserve">of </w:t>
      </w:r>
      <w:r w:rsidR="00777690" w:rsidRPr="009A41DA">
        <w:rPr>
          <w:szCs w:val="26"/>
        </w:rPr>
        <w:t>a violation of section</w:t>
      </w:r>
      <w:r w:rsidR="00483FC4" w:rsidRPr="009A41DA">
        <w:rPr>
          <w:szCs w:val="26"/>
        </w:rPr>
        <w:t xml:space="preserve"> 18600</w:t>
      </w:r>
      <w:r w:rsidR="005735B8" w:rsidRPr="009A41DA">
        <w:rPr>
          <w:szCs w:val="26"/>
        </w:rPr>
        <w:t>.</w:t>
      </w:r>
    </w:p>
    <w:p w14:paraId="14750E41" w14:textId="5E4AEDD7" w:rsidR="001170E4" w:rsidRPr="009A41DA" w:rsidRDefault="0042378D" w:rsidP="00DC0C27">
      <w:pPr>
        <w:spacing w:line="600" w:lineRule="exact"/>
        <w:ind w:firstLine="720"/>
      </w:pPr>
      <w:r w:rsidRPr="009A41DA">
        <w:t xml:space="preserve">In </w:t>
      </w:r>
      <w:r w:rsidR="0029775B" w:rsidRPr="009A41DA">
        <w:rPr>
          <w:i/>
          <w:iCs/>
        </w:rPr>
        <w:t>Nishioka</w:t>
      </w:r>
      <w:r w:rsidR="0029775B" w:rsidRPr="009A41DA">
        <w:t xml:space="preserve">, </w:t>
      </w:r>
      <w:r w:rsidR="005735B8" w:rsidRPr="009A41DA">
        <w:t xml:space="preserve">the San Francisco Forty-Niners, a professional football team, filed </w:t>
      </w:r>
      <w:r w:rsidR="001170E4" w:rsidRPr="009A41DA">
        <w:t xml:space="preserve">a petition for writ of mandate in the trial court, </w:t>
      </w:r>
      <w:r w:rsidRPr="009A41DA">
        <w:t>s</w:t>
      </w:r>
      <w:r w:rsidR="001170E4" w:rsidRPr="009A41DA">
        <w:t>eeking</w:t>
      </w:r>
      <w:r w:rsidRPr="009A41DA">
        <w:t xml:space="preserve"> to</w:t>
      </w:r>
      <w:r w:rsidR="001170E4" w:rsidRPr="009A41DA">
        <w:t xml:space="preserve"> </w:t>
      </w:r>
      <w:r w:rsidR="00831673" w:rsidRPr="009A41DA">
        <w:t>invalidate</w:t>
      </w:r>
      <w:r w:rsidRPr="009A41DA">
        <w:t xml:space="preserve"> </w:t>
      </w:r>
      <w:r w:rsidR="001170E4" w:rsidRPr="009A41DA">
        <w:t>an initiative petition</w:t>
      </w:r>
      <w:r w:rsidR="00831673" w:rsidRPr="009A41DA">
        <w:t xml:space="preserve"> to</w:t>
      </w:r>
      <w:r w:rsidR="001170E4" w:rsidRPr="009A41DA">
        <w:t xml:space="preserve"> </w:t>
      </w:r>
      <w:r w:rsidRPr="009A41DA">
        <w:t>repeal</w:t>
      </w:r>
      <w:r w:rsidR="00831673" w:rsidRPr="009A41DA">
        <w:t xml:space="preserve"> </w:t>
      </w:r>
      <w:r w:rsidR="00785532" w:rsidRPr="009A41DA">
        <w:t xml:space="preserve">initiative </w:t>
      </w:r>
      <w:r w:rsidRPr="009A41DA">
        <w:t xml:space="preserve">measures for construction of a new football stadium. </w:t>
      </w:r>
      <w:r w:rsidR="001170E4" w:rsidRPr="009A41DA">
        <w:t xml:space="preserve"> The Forty-Niners </w:t>
      </w:r>
      <w:r w:rsidR="0029775B" w:rsidRPr="009A41DA">
        <w:t xml:space="preserve">argued the initiative petition </w:t>
      </w:r>
      <w:r w:rsidR="000546F1" w:rsidRPr="009A41DA">
        <w:t xml:space="preserve">contained false and misleading information, in violation of </w:t>
      </w:r>
      <w:r w:rsidR="00B72C3B" w:rsidRPr="009A41DA">
        <w:t xml:space="preserve">numerous provisions of </w:t>
      </w:r>
      <w:r w:rsidR="000546F1" w:rsidRPr="009A41DA">
        <w:t>the Elections Code.  (</w:t>
      </w:r>
      <w:r w:rsidR="0029775B" w:rsidRPr="009A41DA">
        <w:rPr>
          <w:i/>
          <w:iCs/>
        </w:rPr>
        <w:t>Nishioka</w:t>
      </w:r>
      <w:r w:rsidR="0029775B" w:rsidRPr="009A41DA">
        <w:t xml:space="preserve">, </w:t>
      </w:r>
      <w:r w:rsidR="0029775B" w:rsidRPr="009A41DA">
        <w:rPr>
          <w:i/>
          <w:iCs/>
        </w:rPr>
        <w:t>supra</w:t>
      </w:r>
      <w:r w:rsidR="0029775B" w:rsidRPr="009A41DA">
        <w:t>, 75 Cal.App.4</w:t>
      </w:r>
      <w:r w:rsidR="00A52ACF">
        <w:t>th</w:t>
      </w:r>
      <w:r w:rsidR="0029775B" w:rsidRPr="009A41DA">
        <w:t xml:space="preserve"> </w:t>
      </w:r>
      <w:r w:rsidR="0021108B" w:rsidRPr="009A41DA">
        <w:t xml:space="preserve">at </w:t>
      </w:r>
      <w:r w:rsidR="000546F1" w:rsidRPr="009A41DA">
        <w:t>p. 642.)  The trial court agreed and th</w:t>
      </w:r>
      <w:r w:rsidR="0021108B" w:rsidRPr="009A41DA">
        <w:t>erefore ruled</w:t>
      </w:r>
      <w:r w:rsidR="0029775B" w:rsidRPr="009A41DA">
        <w:t xml:space="preserve"> it wa</w:t>
      </w:r>
      <w:r w:rsidR="008C3309" w:rsidRPr="009A41DA">
        <w:t xml:space="preserve">s </w:t>
      </w:r>
      <w:r w:rsidR="000546F1" w:rsidRPr="009A41DA">
        <w:t>illegal and void.  (</w:t>
      </w:r>
      <w:r w:rsidR="0021108B" w:rsidRPr="009A41DA">
        <w:rPr>
          <w:i/>
          <w:iCs/>
        </w:rPr>
        <w:t>Id</w:t>
      </w:r>
      <w:r w:rsidR="0021108B" w:rsidRPr="00A52ACF">
        <w:t xml:space="preserve">. </w:t>
      </w:r>
      <w:r w:rsidR="0021108B" w:rsidRPr="009A41DA">
        <w:t xml:space="preserve">at </w:t>
      </w:r>
      <w:r w:rsidR="000546F1" w:rsidRPr="009A41DA">
        <w:t>p</w:t>
      </w:r>
      <w:r w:rsidR="008C3309" w:rsidRPr="009A41DA">
        <w:t>p</w:t>
      </w:r>
      <w:r w:rsidR="000546F1" w:rsidRPr="009A41DA">
        <w:t xml:space="preserve">. </w:t>
      </w:r>
      <w:r w:rsidR="008C3309" w:rsidRPr="009A41DA">
        <w:t xml:space="preserve">639, </w:t>
      </w:r>
      <w:r w:rsidR="000546F1" w:rsidRPr="009A41DA">
        <w:t xml:space="preserve">643.)  </w:t>
      </w:r>
      <w:r w:rsidR="000546F1" w:rsidRPr="009A41DA">
        <w:lastRenderedPageBreak/>
        <w:t xml:space="preserve">The proponents of the initiative petition </w:t>
      </w:r>
      <w:r w:rsidR="004A0937" w:rsidRPr="009A41DA">
        <w:t>appealed the trial court’s writ petition order prohibiting the initiative fr</w:t>
      </w:r>
      <w:r w:rsidR="00831673" w:rsidRPr="009A41DA">
        <w:t>om being placed on</w:t>
      </w:r>
      <w:r w:rsidR="004A0937" w:rsidRPr="009A41DA">
        <w:t xml:space="preserve"> the ballot</w:t>
      </w:r>
      <w:r w:rsidR="00831673" w:rsidRPr="009A41DA">
        <w:t>.  (</w:t>
      </w:r>
      <w:r w:rsidR="0021108B" w:rsidRPr="009A41DA">
        <w:rPr>
          <w:i/>
          <w:iCs/>
        </w:rPr>
        <w:t>Id</w:t>
      </w:r>
      <w:r w:rsidR="0021108B" w:rsidRPr="00A52ACF">
        <w:t xml:space="preserve">. </w:t>
      </w:r>
      <w:r w:rsidR="0021108B" w:rsidRPr="009A41DA">
        <w:t xml:space="preserve">at </w:t>
      </w:r>
      <w:r w:rsidR="00831673" w:rsidRPr="009A41DA">
        <w:t>p. 639.)</w:t>
      </w:r>
    </w:p>
    <w:p w14:paraId="6C2D6D39" w14:textId="6E6B23B7" w:rsidR="0042378D" w:rsidRPr="009A41DA" w:rsidRDefault="0042378D" w:rsidP="00DC0C27">
      <w:pPr>
        <w:spacing w:line="600" w:lineRule="exact"/>
        <w:ind w:firstLine="720"/>
      </w:pPr>
      <w:bookmarkStart w:id="14" w:name="_Hlk146719868"/>
      <w:r w:rsidRPr="009A41DA">
        <w:t xml:space="preserve">The </w:t>
      </w:r>
      <w:r w:rsidRPr="009A41DA">
        <w:rPr>
          <w:i/>
          <w:iCs/>
        </w:rPr>
        <w:t xml:space="preserve">Nishioka </w:t>
      </w:r>
      <w:r w:rsidRPr="009A41DA">
        <w:t xml:space="preserve">court </w:t>
      </w:r>
      <w:r w:rsidR="00785532" w:rsidRPr="009A41DA">
        <w:t xml:space="preserve">held </w:t>
      </w:r>
      <w:r w:rsidRPr="009A41DA">
        <w:t>the initiative</w:t>
      </w:r>
      <w:r w:rsidR="00785532" w:rsidRPr="009A41DA">
        <w:t xml:space="preserve"> petition</w:t>
      </w:r>
      <w:r w:rsidRPr="009A41DA">
        <w:t xml:space="preserve"> contained undisputed, objective mistruths intended to mislead the voters and induce them into signing the petition, in violation of the Elections Code.  The</w:t>
      </w:r>
      <w:r w:rsidR="00502EE0" w:rsidRPr="009A41DA">
        <w:t>refore the</w:t>
      </w:r>
      <w:r w:rsidRPr="009A41DA">
        <w:t xml:space="preserve"> initiative petition was invalid and </w:t>
      </w:r>
      <w:r w:rsidR="00785532" w:rsidRPr="009A41DA">
        <w:t xml:space="preserve">the Initiative </w:t>
      </w:r>
      <w:r w:rsidRPr="009A41DA">
        <w:t xml:space="preserve">could not be placed </w:t>
      </w:r>
      <w:r w:rsidR="008C3309" w:rsidRPr="009A41DA">
        <w:t>on the ballot</w:t>
      </w:r>
      <w:r w:rsidRPr="009A41DA">
        <w:t xml:space="preserve">. </w:t>
      </w:r>
      <w:r w:rsidR="00A52ACF">
        <w:t xml:space="preserve"> </w:t>
      </w:r>
      <w:r w:rsidR="004744F8" w:rsidRPr="009A41DA">
        <w:t>(</w:t>
      </w:r>
      <w:r w:rsidR="00502EE0" w:rsidRPr="009A41DA">
        <w:rPr>
          <w:i/>
          <w:iCs/>
        </w:rPr>
        <w:t>Nishioka</w:t>
      </w:r>
      <w:r w:rsidR="00502EE0" w:rsidRPr="009A41DA">
        <w:t xml:space="preserve">, </w:t>
      </w:r>
      <w:r w:rsidR="00502EE0" w:rsidRPr="009A41DA">
        <w:rPr>
          <w:i/>
          <w:iCs/>
        </w:rPr>
        <w:t>supra</w:t>
      </w:r>
      <w:r w:rsidR="00502EE0" w:rsidRPr="009A41DA">
        <w:t>, 75 Cal.App.4</w:t>
      </w:r>
      <w:r w:rsidR="00A52ACF">
        <w:t>th</w:t>
      </w:r>
      <w:r w:rsidR="00502EE0" w:rsidRPr="009A41DA">
        <w:t xml:space="preserve"> at </w:t>
      </w:r>
      <w:r w:rsidR="004744F8" w:rsidRPr="009A41DA">
        <w:t>p. 650.)</w:t>
      </w:r>
      <w:r w:rsidR="007117BA" w:rsidRPr="009A41DA">
        <w:t xml:space="preserve">  </w:t>
      </w:r>
      <w:r w:rsidRPr="009A41DA">
        <w:t xml:space="preserve">The </w:t>
      </w:r>
      <w:r w:rsidRPr="009A41DA">
        <w:rPr>
          <w:i/>
          <w:iCs/>
        </w:rPr>
        <w:t xml:space="preserve">Nishioka </w:t>
      </w:r>
      <w:r w:rsidRPr="009A41DA">
        <w:t xml:space="preserve">court stated that </w:t>
      </w:r>
      <w:r w:rsidR="007117BA" w:rsidRPr="009A41DA">
        <w:t>“</w:t>
      </w:r>
      <w:r w:rsidRPr="009A41DA">
        <w:t>an initiative petition which contains objectively inaccurate information and calculated untruths that substantially mislead and misinform a reasonable voter is unlawful under the Elections Code.</w:t>
      </w:r>
      <w:r w:rsidR="007117BA" w:rsidRPr="009A41DA">
        <w:t>”  (</w:t>
      </w:r>
      <w:r w:rsidR="003D2A0B" w:rsidRPr="009A41DA">
        <w:rPr>
          <w:i/>
          <w:iCs/>
        </w:rPr>
        <w:t>Id</w:t>
      </w:r>
      <w:r w:rsidR="003D2A0B" w:rsidRPr="00A52ACF">
        <w:t xml:space="preserve">. </w:t>
      </w:r>
      <w:r w:rsidR="003D2A0B" w:rsidRPr="009A41DA">
        <w:t xml:space="preserve">at </w:t>
      </w:r>
      <w:r w:rsidR="007117BA" w:rsidRPr="009A41DA">
        <w:t>p. 639.)</w:t>
      </w:r>
      <w:r w:rsidRPr="009A41DA">
        <w:t xml:space="preserve">  A writ may issue to prevent circulation of </w:t>
      </w:r>
      <w:r w:rsidR="008D73F6" w:rsidRPr="009A41DA">
        <w:t xml:space="preserve">such an initiative petition containing </w:t>
      </w:r>
      <w:r w:rsidRPr="009A41DA">
        <w:t>undisputed falsehoods</w:t>
      </w:r>
      <w:r w:rsidR="008D73F6" w:rsidRPr="009A41DA">
        <w:t>, but not as</w:t>
      </w:r>
      <w:r w:rsidRPr="009A41DA">
        <w:t xml:space="preserve"> to expressions of opinion, nor to factual matters which are subject to question or dispute. </w:t>
      </w:r>
      <w:r w:rsidR="00A52ACF">
        <w:t xml:space="preserve"> </w:t>
      </w:r>
      <w:r w:rsidR="004744F8" w:rsidRPr="009A41DA">
        <w:t>(</w:t>
      </w:r>
      <w:r w:rsidR="003D2A0B" w:rsidRPr="009A41DA">
        <w:rPr>
          <w:i/>
          <w:iCs/>
        </w:rPr>
        <w:t>Id</w:t>
      </w:r>
      <w:r w:rsidR="003D2A0B" w:rsidRPr="00A52ACF">
        <w:t xml:space="preserve">. </w:t>
      </w:r>
      <w:r w:rsidR="003D2A0B" w:rsidRPr="009A41DA">
        <w:t xml:space="preserve">at </w:t>
      </w:r>
      <w:r w:rsidR="00A52ACF">
        <w:t>p</w:t>
      </w:r>
      <w:r w:rsidR="004744F8" w:rsidRPr="009A41DA">
        <w:t>p. 649</w:t>
      </w:r>
      <w:r w:rsidR="0022615E" w:rsidRPr="009A41DA">
        <w:t>-650</w:t>
      </w:r>
      <w:r w:rsidR="004744F8" w:rsidRPr="009A41DA">
        <w:t>.)</w:t>
      </w:r>
    </w:p>
    <w:p w14:paraId="70CF2611" w14:textId="4E60C0B9" w:rsidR="004744F8" w:rsidRPr="009A41DA" w:rsidRDefault="0042378D" w:rsidP="00DC0C27">
      <w:pPr>
        <w:spacing w:line="600" w:lineRule="exact"/>
        <w:ind w:firstLine="720"/>
      </w:pPr>
      <w:r w:rsidRPr="009A41DA">
        <w:t>The</w:t>
      </w:r>
      <w:r w:rsidR="00322DE6" w:rsidRPr="009A41DA">
        <w:t xml:space="preserve"> </w:t>
      </w:r>
      <w:r w:rsidR="00322DE6" w:rsidRPr="009A41DA">
        <w:rPr>
          <w:i/>
          <w:iCs/>
        </w:rPr>
        <w:t>Nishioka</w:t>
      </w:r>
      <w:r w:rsidR="00322DE6" w:rsidRPr="009A41DA">
        <w:t xml:space="preserve"> court </w:t>
      </w:r>
      <w:r w:rsidR="00485AD6" w:rsidRPr="009A41DA">
        <w:t xml:space="preserve">clarified </w:t>
      </w:r>
      <w:r w:rsidR="00322DE6" w:rsidRPr="009A41DA">
        <w:t>that proponents of an initiative petition d</w:t>
      </w:r>
      <w:r w:rsidR="008C3309" w:rsidRPr="009A41DA">
        <w:t>o</w:t>
      </w:r>
      <w:r w:rsidR="00322DE6" w:rsidRPr="009A41DA">
        <w:t xml:space="preserve"> not have First Amendment rights to include false and misleading information in their petition. </w:t>
      </w:r>
      <w:r w:rsidR="004744F8" w:rsidRPr="009A41DA">
        <w:t xml:space="preserve"> (</w:t>
      </w:r>
      <w:r w:rsidR="00485AD6" w:rsidRPr="009A41DA">
        <w:rPr>
          <w:i/>
          <w:iCs/>
        </w:rPr>
        <w:t>Nishioka</w:t>
      </w:r>
      <w:r w:rsidR="00485AD6" w:rsidRPr="009A41DA">
        <w:t xml:space="preserve">, </w:t>
      </w:r>
      <w:r w:rsidR="00485AD6" w:rsidRPr="009A41DA">
        <w:rPr>
          <w:i/>
          <w:iCs/>
        </w:rPr>
        <w:t>supra</w:t>
      </w:r>
      <w:r w:rsidR="00485AD6" w:rsidRPr="009A41DA">
        <w:t>, 75 Cal.App.4</w:t>
      </w:r>
      <w:r w:rsidR="00A52ACF">
        <w:t>th</w:t>
      </w:r>
      <w:r w:rsidR="00485AD6" w:rsidRPr="009A41DA">
        <w:t xml:space="preserve"> at </w:t>
      </w:r>
      <w:r w:rsidR="004744F8" w:rsidRPr="009A41DA">
        <w:t xml:space="preserve">p. 648.) </w:t>
      </w:r>
      <w:r w:rsidR="00322DE6" w:rsidRPr="009A41DA">
        <w:t xml:space="preserve"> The</w:t>
      </w:r>
      <w:r w:rsidR="008C3309" w:rsidRPr="009A41DA">
        <w:t>refore,</w:t>
      </w:r>
      <w:r w:rsidR="00322DE6" w:rsidRPr="009A41DA">
        <w:t xml:space="preserve"> issuance of a writ of mandate preventing the initiative petition from being qualified for </w:t>
      </w:r>
      <w:r w:rsidR="008C3309" w:rsidRPr="009A41DA">
        <w:t xml:space="preserve">a </w:t>
      </w:r>
      <w:r w:rsidR="00322DE6" w:rsidRPr="009A41DA">
        <w:t>ballot or placed before the voters d</w:t>
      </w:r>
      <w:r w:rsidR="008C3309" w:rsidRPr="009A41DA">
        <w:t>oes</w:t>
      </w:r>
      <w:r w:rsidR="00322DE6" w:rsidRPr="009A41DA">
        <w:t xml:space="preserve"> not constitute an impermissible prior restraint on speech</w:t>
      </w:r>
      <w:r w:rsidR="00785532" w:rsidRPr="009A41DA">
        <w:t>,</w:t>
      </w:r>
      <w:r w:rsidR="00322DE6" w:rsidRPr="009A41DA">
        <w:t xml:space="preserve"> in violation of </w:t>
      </w:r>
      <w:r w:rsidR="008C3309" w:rsidRPr="009A41DA">
        <w:t xml:space="preserve">the initiative </w:t>
      </w:r>
      <w:r w:rsidR="00322DE6" w:rsidRPr="009A41DA">
        <w:t>petitioners’ First Amendment rights.</w:t>
      </w:r>
      <w:r w:rsidR="004744F8" w:rsidRPr="009A41DA">
        <w:t xml:space="preserve"> </w:t>
      </w:r>
      <w:r w:rsidR="00485AD6" w:rsidRPr="009A41DA">
        <w:t xml:space="preserve"> </w:t>
      </w:r>
      <w:r w:rsidR="004744F8" w:rsidRPr="009A41DA">
        <w:t>(</w:t>
      </w:r>
      <w:r w:rsidR="00485AD6" w:rsidRPr="009A41DA">
        <w:rPr>
          <w:i/>
          <w:iCs/>
        </w:rPr>
        <w:t>Id</w:t>
      </w:r>
      <w:r w:rsidR="00485AD6" w:rsidRPr="00A52ACF">
        <w:t xml:space="preserve">. </w:t>
      </w:r>
      <w:r w:rsidR="00485AD6" w:rsidRPr="009A41DA">
        <w:t xml:space="preserve">at </w:t>
      </w:r>
      <w:r w:rsidR="004744F8" w:rsidRPr="009A41DA">
        <w:t>p. 647.)</w:t>
      </w:r>
      <w:r w:rsidR="00485AD6" w:rsidRPr="009A41DA">
        <w:t xml:space="preserve">  </w:t>
      </w:r>
      <w:bookmarkEnd w:id="13"/>
      <w:bookmarkEnd w:id="14"/>
      <w:r w:rsidR="008F6B46" w:rsidRPr="009A41DA">
        <w:t xml:space="preserve">As noted in </w:t>
      </w:r>
      <w:r w:rsidR="008F6B46" w:rsidRPr="009A41DA">
        <w:rPr>
          <w:i/>
          <w:iCs/>
        </w:rPr>
        <w:t>Nishioka</w:t>
      </w:r>
      <w:r w:rsidR="008F6B46" w:rsidRPr="009A41DA">
        <w:t xml:space="preserve">, </w:t>
      </w:r>
      <w:r w:rsidR="00CD7F0C" w:rsidRPr="009A41DA">
        <w:t>“[a]</w:t>
      </w:r>
      <w:r w:rsidR="00CD7F0C" w:rsidRPr="009A41DA">
        <w:rPr>
          <w:szCs w:val="26"/>
        </w:rPr>
        <w:t xml:space="preserve">n initiative petition fits the definition of expressive activity in a nonpublic forum, not the traditional public forum of unregulated political speech. </w:t>
      </w:r>
      <w:r w:rsidR="00A52ACF">
        <w:rPr>
          <w:szCs w:val="26"/>
        </w:rPr>
        <w:t xml:space="preserve"> </w:t>
      </w:r>
      <w:r w:rsidR="00CD7F0C" w:rsidRPr="009A41DA">
        <w:rPr>
          <w:szCs w:val="26"/>
        </w:rPr>
        <w:t xml:space="preserve">The initiative petition with its notice of intention is not a </w:t>
      </w:r>
      <w:r w:rsidR="00CD7F0C" w:rsidRPr="009A41DA">
        <w:rPr>
          <w:szCs w:val="26"/>
          <w:bdr w:val="none" w:sz="0" w:space="0" w:color="auto" w:frame="1"/>
          <w:shd w:val="clear" w:color="auto" w:fill="FFFFFF"/>
        </w:rPr>
        <w:t>handbill</w:t>
      </w:r>
      <w:r w:rsidR="00CD7F0C" w:rsidRPr="009A41DA">
        <w:rPr>
          <w:szCs w:val="26"/>
        </w:rPr>
        <w:t xml:space="preserve"> or campaign flyer—it is an official election </w:t>
      </w:r>
      <w:r w:rsidR="00CD7F0C" w:rsidRPr="009A41DA">
        <w:rPr>
          <w:szCs w:val="26"/>
        </w:rPr>
        <w:lastRenderedPageBreak/>
        <w:t xml:space="preserve">document subject to various restrictions by the Elections Code, including reasonable content requirements of truth.”  </w:t>
      </w:r>
      <w:r w:rsidR="008F6B46" w:rsidRPr="009A41DA">
        <w:t>(</w:t>
      </w:r>
      <w:r w:rsidR="00485AD6" w:rsidRPr="009A41DA">
        <w:rPr>
          <w:i/>
          <w:iCs/>
        </w:rPr>
        <w:t>Id</w:t>
      </w:r>
      <w:r w:rsidR="00485AD6" w:rsidRPr="00A52ACF">
        <w:t xml:space="preserve">. </w:t>
      </w:r>
      <w:r w:rsidR="00485AD6" w:rsidRPr="009A41DA">
        <w:t xml:space="preserve">at </w:t>
      </w:r>
      <w:r w:rsidR="004744F8" w:rsidRPr="009A41DA">
        <w:t>p. 648.)</w:t>
      </w:r>
    </w:p>
    <w:p w14:paraId="4573E4F7" w14:textId="57A2D424" w:rsidR="00CD7F0C" w:rsidRPr="009A41DA" w:rsidRDefault="00CD7F0C" w:rsidP="00DC0C27">
      <w:pPr>
        <w:spacing w:line="600" w:lineRule="exact"/>
        <w:ind w:firstLine="720"/>
      </w:pPr>
      <w:r w:rsidRPr="009A41DA">
        <w:rPr>
          <w:szCs w:val="26"/>
        </w:rPr>
        <w:t xml:space="preserve">The </w:t>
      </w:r>
      <w:r w:rsidRPr="009A41DA">
        <w:rPr>
          <w:i/>
          <w:iCs/>
          <w:szCs w:val="26"/>
        </w:rPr>
        <w:t xml:space="preserve">Nishioka </w:t>
      </w:r>
      <w:r w:rsidRPr="009A41DA">
        <w:rPr>
          <w:szCs w:val="26"/>
        </w:rPr>
        <w:t>cou</w:t>
      </w:r>
      <w:r w:rsidRPr="009A41DA">
        <w:t>rt</w:t>
      </w:r>
      <w:r w:rsidR="00A735D2" w:rsidRPr="009A41DA">
        <w:t xml:space="preserve"> further</w:t>
      </w:r>
      <w:r w:rsidRPr="009A41DA">
        <w:t xml:space="preserve"> </w:t>
      </w:r>
      <w:r w:rsidR="00847B89" w:rsidRPr="009A41DA">
        <w:t>stated</w:t>
      </w:r>
      <w:r w:rsidRPr="009A41DA">
        <w:t xml:space="preserve"> that, “[W]hile the right of free speech is one of the most precious rights to citizens of a free and open society, </w:t>
      </w:r>
      <w:r w:rsidRPr="009A41DA">
        <w:rPr>
          <w:i/>
          <w:iCs/>
        </w:rPr>
        <w:t>it is not without limit</w:t>
      </w:r>
      <w:r w:rsidRPr="009A41DA">
        <w:t xml:space="preserve"> when the state Constitution provides it with a special forum for an initiative process in which voters are asked to sign a petition which ultimately may impact the community.”  (</w:t>
      </w:r>
      <w:r w:rsidRPr="009A41DA">
        <w:rPr>
          <w:i/>
          <w:iCs/>
        </w:rPr>
        <w:t>Nishioka</w:t>
      </w:r>
      <w:r w:rsidR="00B539EA">
        <w:t xml:space="preserve">, </w:t>
      </w:r>
      <w:r w:rsidR="00B539EA" w:rsidRPr="00B539EA">
        <w:rPr>
          <w:i/>
          <w:iCs/>
        </w:rPr>
        <w:t>supra</w:t>
      </w:r>
      <w:r w:rsidR="00B539EA">
        <w:t xml:space="preserve">, </w:t>
      </w:r>
      <w:r w:rsidRPr="009A41DA">
        <w:t xml:space="preserve">75 Cal.App.4th </w:t>
      </w:r>
      <w:r w:rsidR="00F31298">
        <w:t xml:space="preserve">at p. </w:t>
      </w:r>
      <w:r w:rsidRPr="009A41DA">
        <w:t>647</w:t>
      </w:r>
      <w:r w:rsidR="00B66A53" w:rsidRPr="009A41DA">
        <w:t xml:space="preserve"> (italics added)</w:t>
      </w:r>
      <w:r w:rsidRPr="009A41DA">
        <w:t xml:space="preserve">; see also </w:t>
      </w:r>
      <w:r w:rsidRPr="009A41DA">
        <w:rPr>
          <w:i/>
          <w:iCs/>
        </w:rPr>
        <w:t>City of Riverside v. Stansbury</w:t>
      </w:r>
      <w:r w:rsidRPr="009A41DA">
        <w:t xml:space="preserve"> (2007) 155 Cal.App.4th 1582, 1592 [rejecting initiative proponent’s contention that he had “an unfettered right to circulate a petition and to present it to the sovereign” because “there is no constitutional right to place an </w:t>
      </w:r>
      <w:r w:rsidRPr="00F31298">
        <w:rPr>
          <w:i/>
          <w:iCs/>
        </w:rPr>
        <w:t>invalid</w:t>
      </w:r>
      <w:r w:rsidRPr="009A41DA">
        <w:t xml:space="preserve"> initiative on the ballot”].</w:t>
      </w:r>
      <w:r w:rsidR="003D4804" w:rsidRPr="009A41DA">
        <w:t>)</w:t>
      </w:r>
    </w:p>
    <w:p w14:paraId="231DCBF6" w14:textId="02A86F6D" w:rsidR="00A735D2" w:rsidRPr="009A41DA" w:rsidRDefault="00A735D2" w:rsidP="00DC0C27">
      <w:pPr>
        <w:spacing w:line="600" w:lineRule="exact"/>
        <w:ind w:firstLine="720"/>
      </w:pPr>
      <w:r w:rsidRPr="009A41DA">
        <w:t xml:space="preserve">The court in </w:t>
      </w:r>
      <w:r w:rsidRPr="009A41DA">
        <w:rPr>
          <w:i/>
          <w:iCs/>
        </w:rPr>
        <w:t xml:space="preserve">Nishioka </w:t>
      </w:r>
      <w:r w:rsidRPr="009A41DA">
        <w:t xml:space="preserve">held that the initiative </w:t>
      </w:r>
      <w:r w:rsidR="00785532" w:rsidRPr="009A41DA">
        <w:t xml:space="preserve">petition </w:t>
      </w:r>
      <w:r w:rsidRPr="009A41DA">
        <w:t xml:space="preserve">violated </w:t>
      </w:r>
      <w:r w:rsidR="00AA7F9E" w:rsidRPr="009A41DA">
        <w:t xml:space="preserve">the “rationale” of </w:t>
      </w:r>
      <w:r w:rsidRPr="009A41DA">
        <w:t>section 18600 by containing deliberately f</w:t>
      </w:r>
      <w:r w:rsidRPr="009A41DA">
        <w:rPr>
          <w:szCs w:val="26"/>
        </w:rPr>
        <w:t>alse and misleading information.  (</w:t>
      </w:r>
      <w:r w:rsidR="00F31298" w:rsidRPr="009A41DA">
        <w:rPr>
          <w:i/>
          <w:iCs/>
        </w:rPr>
        <w:t>Nishioka</w:t>
      </w:r>
      <w:r w:rsidR="00F31298">
        <w:t xml:space="preserve">, </w:t>
      </w:r>
      <w:r w:rsidR="00F31298" w:rsidRPr="00B539EA">
        <w:rPr>
          <w:i/>
          <w:iCs/>
        </w:rPr>
        <w:t>supra</w:t>
      </w:r>
      <w:r w:rsidR="00F31298">
        <w:t xml:space="preserve">, </w:t>
      </w:r>
      <w:r w:rsidR="00F31298" w:rsidRPr="009A41DA">
        <w:t>75 Cal.App</w:t>
      </w:r>
      <w:r w:rsidR="00F31298" w:rsidRPr="00F31298">
        <w:t>.4th at</w:t>
      </w:r>
      <w:r w:rsidR="00F31298" w:rsidRPr="00F31298">
        <w:rPr>
          <w:szCs w:val="26"/>
        </w:rPr>
        <w:t xml:space="preserve"> </w:t>
      </w:r>
      <w:r w:rsidRPr="00F31298">
        <w:rPr>
          <w:szCs w:val="26"/>
        </w:rPr>
        <w:t>p. 647.)  The</w:t>
      </w:r>
      <w:r w:rsidRPr="009A41DA">
        <w:rPr>
          <w:szCs w:val="26"/>
        </w:rPr>
        <w:t xml:space="preserve"> </w:t>
      </w:r>
      <w:r w:rsidRPr="009A41DA">
        <w:rPr>
          <w:i/>
          <w:iCs/>
          <w:szCs w:val="26"/>
        </w:rPr>
        <w:t xml:space="preserve">Nishioka </w:t>
      </w:r>
      <w:r w:rsidRPr="009A41DA">
        <w:rPr>
          <w:szCs w:val="26"/>
        </w:rPr>
        <w:t>court added in a footnote that, “In light of this conclusion, we need not reach the Forty-Niners’ contention that the initiative petition violated other provisions of the Elections Code.”  (</w:t>
      </w:r>
      <w:r w:rsidR="00F31298" w:rsidRPr="00F31298">
        <w:rPr>
          <w:i/>
          <w:iCs/>
          <w:szCs w:val="26"/>
        </w:rPr>
        <w:t>Id</w:t>
      </w:r>
      <w:r w:rsidR="00F31298">
        <w:rPr>
          <w:szCs w:val="26"/>
        </w:rPr>
        <w:t>. a</w:t>
      </w:r>
      <w:r w:rsidR="00AA7F9E" w:rsidRPr="009A41DA">
        <w:t>t p. 64</w:t>
      </w:r>
      <w:r w:rsidRPr="009A41DA">
        <w:rPr>
          <w:szCs w:val="26"/>
        </w:rPr>
        <w:t xml:space="preserve">7, fn. 9.)  There was no discussion in </w:t>
      </w:r>
      <w:r w:rsidRPr="009A41DA">
        <w:rPr>
          <w:i/>
          <w:iCs/>
          <w:szCs w:val="26"/>
        </w:rPr>
        <w:t xml:space="preserve">Nishioka </w:t>
      </w:r>
      <w:r w:rsidRPr="009A41DA">
        <w:rPr>
          <w:szCs w:val="26"/>
        </w:rPr>
        <w:t xml:space="preserve">regarding whether intent to include false or misleading statements in the initiative petition was required.  The </w:t>
      </w:r>
      <w:r w:rsidRPr="009A41DA">
        <w:rPr>
          <w:i/>
          <w:iCs/>
        </w:rPr>
        <w:t xml:space="preserve">Nishioka </w:t>
      </w:r>
      <w:r w:rsidRPr="009A41DA">
        <w:t xml:space="preserve">court merely stated that the trial court made a finding that the appellants violated section 18600 by making deliberately false statements.  The </w:t>
      </w:r>
      <w:r w:rsidRPr="009A41DA">
        <w:rPr>
          <w:i/>
          <w:iCs/>
        </w:rPr>
        <w:t xml:space="preserve">Nishioka </w:t>
      </w:r>
      <w:r w:rsidR="0054354D">
        <w:t xml:space="preserve">court </w:t>
      </w:r>
      <w:r w:rsidRPr="009A41DA">
        <w:t>deferred to the trial court’s finding because it was supported by substantial evidence</w:t>
      </w:r>
      <w:r w:rsidR="00AA7F9E" w:rsidRPr="009A41DA">
        <w:t xml:space="preserve"> and the</w:t>
      </w:r>
      <w:r w:rsidRPr="009A41DA">
        <w:t xml:space="preserve"> appellants conceded</w:t>
      </w:r>
      <w:r w:rsidR="00AA7F9E" w:rsidRPr="009A41DA">
        <w:t xml:space="preserve"> that</w:t>
      </w:r>
      <w:r w:rsidRPr="009A41DA">
        <w:t xml:space="preserve"> their initiative petition contained false statements.  (</w:t>
      </w:r>
      <w:r w:rsidR="00AA7F9E" w:rsidRPr="009A41DA">
        <w:rPr>
          <w:i/>
          <w:iCs/>
        </w:rPr>
        <w:t>Id</w:t>
      </w:r>
      <w:r w:rsidR="00AA7F9E" w:rsidRPr="00A52ACF">
        <w:t xml:space="preserve">. </w:t>
      </w:r>
      <w:r w:rsidR="00AA7F9E" w:rsidRPr="009A41DA">
        <w:t xml:space="preserve">at </w:t>
      </w:r>
      <w:r w:rsidRPr="009A41DA">
        <w:t>p. 645.)</w:t>
      </w:r>
    </w:p>
    <w:p w14:paraId="5F4F26C1" w14:textId="25363C9B" w:rsidR="0064055E" w:rsidRPr="009A41DA" w:rsidRDefault="00D42948" w:rsidP="00DC0C27">
      <w:pPr>
        <w:spacing w:line="600" w:lineRule="exact"/>
        <w:ind w:firstLine="720"/>
        <w:rPr>
          <w:szCs w:val="26"/>
        </w:rPr>
      </w:pPr>
      <w:r w:rsidRPr="009A41DA">
        <w:rPr>
          <w:szCs w:val="26"/>
        </w:rPr>
        <w:lastRenderedPageBreak/>
        <w:t>Here, u</w:t>
      </w:r>
      <w:r w:rsidR="0064055E" w:rsidRPr="009A41DA">
        <w:rPr>
          <w:szCs w:val="26"/>
        </w:rPr>
        <w:t xml:space="preserve">nlike in </w:t>
      </w:r>
      <w:r w:rsidR="0064055E" w:rsidRPr="009A41DA">
        <w:rPr>
          <w:i/>
          <w:iCs/>
          <w:szCs w:val="26"/>
        </w:rPr>
        <w:t>Nishioka</w:t>
      </w:r>
      <w:r w:rsidR="0064055E" w:rsidRPr="009A41DA">
        <w:rPr>
          <w:szCs w:val="26"/>
        </w:rPr>
        <w:t>, the trial court did not make a finding that the Initiative violated section 18600.  The trial court stated in its order that the Initiative was invalid because it contained false and misleading statements and that a finding of intent under section 18600 was not required to invalidate the Initiative.</w:t>
      </w:r>
      <w:r w:rsidR="008436D2" w:rsidRPr="009A41DA">
        <w:rPr>
          <w:szCs w:val="26"/>
        </w:rPr>
        <w:t xml:space="preserve">  </w:t>
      </w:r>
      <w:r w:rsidR="00785532" w:rsidRPr="009A41DA">
        <w:rPr>
          <w:szCs w:val="26"/>
        </w:rPr>
        <w:t>Here, t</w:t>
      </w:r>
      <w:r w:rsidR="0081520C" w:rsidRPr="009A41DA">
        <w:rPr>
          <w:szCs w:val="26"/>
        </w:rPr>
        <w:t>he “rationale” of section 1860</w:t>
      </w:r>
      <w:r w:rsidR="00785532" w:rsidRPr="009A41DA">
        <w:rPr>
          <w:szCs w:val="26"/>
        </w:rPr>
        <w:t>0</w:t>
      </w:r>
      <w:r w:rsidR="0081520C" w:rsidRPr="009A41DA">
        <w:rPr>
          <w:szCs w:val="26"/>
        </w:rPr>
        <w:t xml:space="preserve"> and o</w:t>
      </w:r>
      <w:r w:rsidR="008436D2" w:rsidRPr="009A41DA">
        <w:rPr>
          <w:szCs w:val="26"/>
        </w:rPr>
        <w:t>ther provisions in the Elections Code</w:t>
      </w:r>
      <w:r w:rsidR="0081520C" w:rsidRPr="009A41DA">
        <w:rPr>
          <w:szCs w:val="26"/>
        </w:rPr>
        <w:t xml:space="preserve">, as well as </w:t>
      </w:r>
      <w:r w:rsidR="00785532" w:rsidRPr="009A41DA">
        <w:rPr>
          <w:szCs w:val="26"/>
        </w:rPr>
        <w:t xml:space="preserve">decisional </w:t>
      </w:r>
      <w:r w:rsidR="0081520C" w:rsidRPr="009A41DA">
        <w:rPr>
          <w:szCs w:val="26"/>
        </w:rPr>
        <w:t xml:space="preserve">and statutory law, </w:t>
      </w:r>
      <w:r w:rsidR="008436D2" w:rsidRPr="009A41DA">
        <w:rPr>
          <w:szCs w:val="26"/>
        </w:rPr>
        <w:t xml:space="preserve">support the trial court’s determination that </w:t>
      </w:r>
      <w:r w:rsidR="0081520C" w:rsidRPr="009A41DA">
        <w:rPr>
          <w:szCs w:val="26"/>
        </w:rPr>
        <w:t xml:space="preserve">the Initiative is invalid </w:t>
      </w:r>
      <w:r w:rsidR="00785532" w:rsidRPr="009A41DA">
        <w:rPr>
          <w:szCs w:val="26"/>
        </w:rPr>
        <w:t>because</w:t>
      </w:r>
      <w:r w:rsidR="0081520C" w:rsidRPr="009A41DA">
        <w:rPr>
          <w:szCs w:val="26"/>
        </w:rPr>
        <w:t xml:space="preserve"> it </w:t>
      </w:r>
      <w:r w:rsidR="008436D2" w:rsidRPr="009A41DA">
        <w:rPr>
          <w:szCs w:val="26"/>
        </w:rPr>
        <w:t>contain</w:t>
      </w:r>
      <w:r w:rsidR="00785532" w:rsidRPr="009A41DA">
        <w:rPr>
          <w:szCs w:val="26"/>
        </w:rPr>
        <w:t>s</w:t>
      </w:r>
      <w:r w:rsidR="008436D2" w:rsidRPr="009A41DA">
        <w:rPr>
          <w:szCs w:val="26"/>
        </w:rPr>
        <w:t xml:space="preserve"> </w:t>
      </w:r>
      <w:r w:rsidR="00A52ACF">
        <w:rPr>
          <w:szCs w:val="26"/>
        </w:rPr>
        <w:t>materially</w:t>
      </w:r>
      <w:r w:rsidR="008436D2" w:rsidRPr="009A41DA">
        <w:rPr>
          <w:szCs w:val="26"/>
        </w:rPr>
        <w:t xml:space="preserve"> false and misleading statements</w:t>
      </w:r>
      <w:r w:rsidR="0081520C" w:rsidRPr="009A41DA">
        <w:rPr>
          <w:szCs w:val="26"/>
        </w:rPr>
        <w:t>.  A</w:t>
      </w:r>
      <w:r w:rsidR="008436D2" w:rsidRPr="009A41DA">
        <w:rPr>
          <w:szCs w:val="26"/>
        </w:rPr>
        <w:t xml:space="preserve"> finding of a violation of section 18600</w:t>
      </w:r>
      <w:r w:rsidR="003D4804" w:rsidRPr="009A41DA">
        <w:rPr>
          <w:szCs w:val="26"/>
        </w:rPr>
        <w:t>’s intent requirement</w:t>
      </w:r>
      <w:r w:rsidR="0081520C" w:rsidRPr="009A41DA">
        <w:rPr>
          <w:szCs w:val="26"/>
        </w:rPr>
        <w:t xml:space="preserve"> was not required</w:t>
      </w:r>
      <w:r w:rsidR="008436D2" w:rsidRPr="009A41DA">
        <w:rPr>
          <w:szCs w:val="26"/>
        </w:rPr>
        <w:t xml:space="preserve">.  Because </w:t>
      </w:r>
      <w:r w:rsidR="0081520C" w:rsidRPr="009A41DA">
        <w:rPr>
          <w:szCs w:val="26"/>
        </w:rPr>
        <w:t>section 18600</w:t>
      </w:r>
      <w:r w:rsidR="008436D2" w:rsidRPr="009A41DA">
        <w:rPr>
          <w:szCs w:val="26"/>
        </w:rPr>
        <w:t xml:space="preserve"> provided authority to prosecute a misdemeanor charge</w:t>
      </w:r>
      <w:r w:rsidR="00CD73CA" w:rsidRPr="009A41DA">
        <w:rPr>
          <w:szCs w:val="26"/>
        </w:rPr>
        <w:t xml:space="preserve"> for violating section 18600</w:t>
      </w:r>
      <w:r w:rsidR="008436D2" w:rsidRPr="009A41DA">
        <w:rPr>
          <w:szCs w:val="26"/>
        </w:rPr>
        <w:t xml:space="preserve">, which was not charged in either the instant case or </w:t>
      </w:r>
      <w:r w:rsidR="008436D2" w:rsidRPr="009A41DA">
        <w:rPr>
          <w:i/>
          <w:iCs/>
          <w:szCs w:val="26"/>
        </w:rPr>
        <w:t>Nishioka</w:t>
      </w:r>
      <w:r w:rsidR="008436D2" w:rsidRPr="009A41DA">
        <w:rPr>
          <w:szCs w:val="26"/>
        </w:rPr>
        <w:t xml:space="preserve">, section 18600 merely </w:t>
      </w:r>
      <w:r w:rsidR="00677A2A" w:rsidRPr="009A41DA">
        <w:rPr>
          <w:szCs w:val="26"/>
        </w:rPr>
        <w:t>support</w:t>
      </w:r>
      <w:r w:rsidR="00CD73CA" w:rsidRPr="009A41DA">
        <w:rPr>
          <w:szCs w:val="26"/>
        </w:rPr>
        <w:t>s</w:t>
      </w:r>
      <w:r w:rsidR="00677A2A" w:rsidRPr="009A41DA">
        <w:rPr>
          <w:szCs w:val="26"/>
        </w:rPr>
        <w:t xml:space="preserve"> the </w:t>
      </w:r>
      <w:r w:rsidR="00CD73CA" w:rsidRPr="009A41DA">
        <w:rPr>
          <w:szCs w:val="26"/>
        </w:rPr>
        <w:t>proposition</w:t>
      </w:r>
      <w:r w:rsidR="00677A2A" w:rsidRPr="009A41DA">
        <w:rPr>
          <w:szCs w:val="26"/>
        </w:rPr>
        <w:t xml:space="preserve"> that an initiative containing</w:t>
      </w:r>
      <w:r w:rsidR="00CD73CA" w:rsidRPr="009A41DA">
        <w:rPr>
          <w:szCs w:val="26"/>
        </w:rPr>
        <w:t xml:space="preserve"> material</w:t>
      </w:r>
      <w:r w:rsidR="00677A2A" w:rsidRPr="009A41DA">
        <w:rPr>
          <w:szCs w:val="26"/>
        </w:rPr>
        <w:t xml:space="preserve"> false or misleading information </w:t>
      </w:r>
      <w:r w:rsidR="00CD73CA" w:rsidRPr="009A41DA">
        <w:rPr>
          <w:szCs w:val="26"/>
        </w:rPr>
        <w:t>is</w:t>
      </w:r>
      <w:r w:rsidR="00677A2A" w:rsidRPr="009A41DA">
        <w:rPr>
          <w:szCs w:val="26"/>
        </w:rPr>
        <w:t xml:space="preserve"> improper under the Elections Code, and </w:t>
      </w:r>
      <w:r w:rsidR="00CD73CA" w:rsidRPr="009A41DA">
        <w:rPr>
          <w:szCs w:val="26"/>
        </w:rPr>
        <w:t>is a valid ground for disqualification</w:t>
      </w:r>
      <w:r w:rsidR="00677A2A" w:rsidRPr="009A41DA">
        <w:rPr>
          <w:szCs w:val="26"/>
        </w:rPr>
        <w:t>.</w:t>
      </w:r>
    </w:p>
    <w:p w14:paraId="65E4720A" w14:textId="18CD70EB" w:rsidR="00F16DEE" w:rsidRPr="009A41DA" w:rsidRDefault="00F16DEE" w:rsidP="00DC0C27">
      <w:pPr>
        <w:shd w:val="clear" w:color="auto" w:fill="FFFFFF"/>
        <w:spacing w:line="600" w:lineRule="exact"/>
        <w:ind w:firstLine="720"/>
        <w:rPr>
          <w:szCs w:val="26"/>
        </w:rPr>
      </w:pPr>
      <w:r w:rsidRPr="009A41DA">
        <w:rPr>
          <w:szCs w:val="26"/>
        </w:rPr>
        <w:t xml:space="preserve">In this regard, the </w:t>
      </w:r>
      <w:r w:rsidRPr="009A41DA">
        <w:rPr>
          <w:i/>
          <w:iCs/>
          <w:szCs w:val="26"/>
        </w:rPr>
        <w:t xml:space="preserve">Nishioka </w:t>
      </w:r>
      <w:r w:rsidRPr="009A41DA">
        <w:rPr>
          <w:szCs w:val="26"/>
        </w:rPr>
        <w:t xml:space="preserve">court stated: </w:t>
      </w:r>
      <w:r w:rsidR="00A52ACF">
        <w:rPr>
          <w:szCs w:val="26"/>
        </w:rPr>
        <w:t xml:space="preserve"> </w:t>
      </w:r>
      <w:r w:rsidRPr="009A41DA">
        <w:rPr>
          <w:szCs w:val="26"/>
        </w:rPr>
        <w:t>“Although courts are charged to construe the Elections Code to favor the people’s awesome initiative power, ‘the statutes designed to protect the elector from confusing or misleading information should be enforced so as to guarantee the integrity of the process.</w:t>
      </w:r>
      <w:r w:rsidR="00F71083" w:rsidRPr="009A41DA">
        <w:rPr>
          <w:szCs w:val="26"/>
        </w:rPr>
        <w:t>’</w:t>
      </w:r>
      <w:r w:rsidR="00B42DEE" w:rsidRPr="009A41DA">
        <w:rPr>
          <w:szCs w:val="26"/>
        </w:rPr>
        <w:t xml:space="preserve">” </w:t>
      </w:r>
      <w:r w:rsidR="00F71083" w:rsidRPr="009A41DA">
        <w:rPr>
          <w:szCs w:val="26"/>
        </w:rPr>
        <w:t xml:space="preserve"> (</w:t>
      </w:r>
      <w:r w:rsidR="00F71083" w:rsidRPr="009A41DA">
        <w:rPr>
          <w:i/>
          <w:iCs/>
          <w:szCs w:val="26"/>
        </w:rPr>
        <w:t>Nishioka</w:t>
      </w:r>
      <w:r w:rsidR="00A52ACF">
        <w:rPr>
          <w:szCs w:val="26"/>
        </w:rPr>
        <w:t xml:space="preserve">, </w:t>
      </w:r>
      <w:r w:rsidR="00A52ACF" w:rsidRPr="00A52ACF">
        <w:rPr>
          <w:i/>
          <w:iCs/>
          <w:szCs w:val="26"/>
        </w:rPr>
        <w:t>supra</w:t>
      </w:r>
      <w:r w:rsidR="00A52ACF">
        <w:rPr>
          <w:szCs w:val="26"/>
        </w:rPr>
        <w:t>,</w:t>
      </w:r>
      <w:r w:rsidR="00F71083" w:rsidRPr="009A41DA">
        <w:rPr>
          <w:i/>
          <w:iCs/>
          <w:szCs w:val="26"/>
        </w:rPr>
        <w:t xml:space="preserve"> </w:t>
      </w:r>
      <w:r w:rsidR="00F31298">
        <w:rPr>
          <w:szCs w:val="26"/>
        </w:rPr>
        <w:t xml:space="preserve">75 Cal.App.4th </w:t>
      </w:r>
      <w:r w:rsidR="00F71083" w:rsidRPr="009A41DA">
        <w:rPr>
          <w:szCs w:val="26"/>
        </w:rPr>
        <w:t>at p. 644.)</w:t>
      </w:r>
      <w:r w:rsidR="00B42DEE" w:rsidRPr="009A41DA">
        <w:rPr>
          <w:szCs w:val="26"/>
        </w:rPr>
        <w:t xml:space="preserve"> </w:t>
      </w:r>
      <w:r w:rsidR="00B86EB9" w:rsidRPr="009A41DA">
        <w:rPr>
          <w:szCs w:val="26"/>
        </w:rPr>
        <w:t xml:space="preserve"> </w:t>
      </w:r>
      <w:r w:rsidR="00B42DEE" w:rsidRPr="009A41DA">
        <w:rPr>
          <w:szCs w:val="26"/>
        </w:rPr>
        <w:t>T</w:t>
      </w:r>
      <w:r w:rsidR="00D71BBC" w:rsidRPr="009A41DA">
        <w:rPr>
          <w:szCs w:val="26"/>
        </w:rPr>
        <w:t>he court in</w:t>
      </w:r>
      <w:r w:rsidR="002C7958" w:rsidRPr="009A41DA">
        <w:rPr>
          <w:szCs w:val="26"/>
        </w:rPr>
        <w:t xml:space="preserve"> </w:t>
      </w:r>
      <w:r w:rsidR="00D71BBC" w:rsidRPr="009A41DA">
        <w:rPr>
          <w:i/>
          <w:iCs/>
          <w:szCs w:val="26"/>
        </w:rPr>
        <w:t xml:space="preserve">Nishioka </w:t>
      </w:r>
      <w:r w:rsidR="002E3B44" w:rsidRPr="009A41DA">
        <w:rPr>
          <w:szCs w:val="26"/>
        </w:rPr>
        <w:t>no</w:t>
      </w:r>
      <w:r w:rsidR="00D71BBC" w:rsidRPr="009A41DA">
        <w:rPr>
          <w:szCs w:val="26"/>
        </w:rPr>
        <w:t>ted that</w:t>
      </w:r>
      <w:r w:rsidR="00FE1E9E" w:rsidRPr="009A41DA">
        <w:rPr>
          <w:szCs w:val="26"/>
        </w:rPr>
        <w:t xml:space="preserve"> </w:t>
      </w:r>
      <w:r w:rsidRPr="009A41DA">
        <w:rPr>
          <w:szCs w:val="26"/>
        </w:rPr>
        <w:t>“</w:t>
      </w:r>
      <w:r w:rsidR="00821093" w:rsidRPr="009A41DA">
        <w:rPr>
          <w:szCs w:val="26"/>
        </w:rPr>
        <w:t>o</w:t>
      </w:r>
      <w:r w:rsidRPr="009A41DA">
        <w:rPr>
          <w:szCs w:val="26"/>
        </w:rPr>
        <w:t>ur Supreme Court recognized this principle 65 years ago</w:t>
      </w:r>
      <w:r w:rsidR="00821093" w:rsidRPr="009A41DA">
        <w:rPr>
          <w:szCs w:val="26"/>
        </w:rPr>
        <w:t>”</w:t>
      </w:r>
      <w:r w:rsidR="002E3B44" w:rsidRPr="009A41DA">
        <w:rPr>
          <w:szCs w:val="26"/>
        </w:rPr>
        <w:t xml:space="preserve"> i</w:t>
      </w:r>
      <w:r w:rsidRPr="009A41DA">
        <w:rPr>
          <w:szCs w:val="26"/>
        </w:rPr>
        <w:t xml:space="preserve">n </w:t>
      </w:r>
      <w:r w:rsidRPr="009A41DA">
        <w:rPr>
          <w:i/>
          <w:iCs/>
          <w:szCs w:val="26"/>
          <w:bdr w:val="none" w:sz="0" w:space="0" w:color="auto" w:frame="1"/>
          <w:shd w:val="clear" w:color="auto" w:fill="FFFFFF"/>
        </w:rPr>
        <w:t>Boyd</w:t>
      </w:r>
      <w:r w:rsidRPr="009A41DA">
        <w:rPr>
          <w:i/>
          <w:iCs/>
          <w:szCs w:val="26"/>
          <w:bdr w:val="none" w:sz="0" w:space="0" w:color="auto" w:frame="1"/>
        </w:rPr>
        <w:t xml:space="preserve"> v. Jordan</w:t>
      </w:r>
      <w:r w:rsidRPr="009A41DA">
        <w:rPr>
          <w:szCs w:val="26"/>
        </w:rPr>
        <w:t xml:space="preserve"> (1934) 1 Cal.2d 468,</w:t>
      </w:r>
      <w:r w:rsidR="001C41F4" w:rsidRPr="009A41DA">
        <w:rPr>
          <w:szCs w:val="26"/>
        </w:rPr>
        <w:t xml:space="preserve"> 475,</w:t>
      </w:r>
      <w:r w:rsidR="009A40A6" w:rsidRPr="009A41DA">
        <w:rPr>
          <w:szCs w:val="26"/>
        </w:rPr>
        <w:t xml:space="preserve"> in</w:t>
      </w:r>
      <w:r w:rsidRPr="009A41DA">
        <w:rPr>
          <w:szCs w:val="26"/>
        </w:rPr>
        <w:t xml:space="preserve"> </w:t>
      </w:r>
      <w:r w:rsidR="00F71083" w:rsidRPr="009A41DA">
        <w:rPr>
          <w:szCs w:val="26"/>
        </w:rPr>
        <w:t xml:space="preserve">which </w:t>
      </w:r>
      <w:r w:rsidR="009A40A6" w:rsidRPr="009A41DA">
        <w:rPr>
          <w:szCs w:val="26"/>
        </w:rPr>
        <w:t>t</w:t>
      </w:r>
      <w:r w:rsidRPr="009A41DA">
        <w:rPr>
          <w:szCs w:val="26"/>
        </w:rPr>
        <w:t>he court concluded:</w:t>
      </w:r>
      <w:r w:rsidR="00A52ACF">
        <w:rPr>
          <w:szCs w:val="26"/>
        </w:rPr>
        <w:t xml:space="preserve"> </w:t>
      </w:r>
      <w:r w:rsidRPr="009A41DA">
        <w:rPr>
          <w:szCs w:val="26"/>
        </w:rPr>
        <w:t xml:space="preserve"> “No elector can intelligently exercise his rights under the initiative law without a knowledge of the petition which he is asked to sign, and any legislation which will increase the facilities of the elector to acquire such information is well within the terms of the </w:t>
      </w:r>
      <w:r w:rsidRPr="009A41DA">
        <w:rPr>
          <w:szCs w:val="26"/>
        </w:rPr>
        <w:lastRenderedPageBreak/>
        <w:t>Constitution permitting the enactment of legislation to facilitate [the initiative process].”  (</w:t>
      </w:r>
      <w:r w:rsidR="00B6495A" w:rsidRPr="009A41DA">
        <w:rPr>
          <w:i/>
          <w:iCs/>
          <w:szCs w:val="26"/>
        </w:rPr>
        <w:t>Boyd</w:t>
      </w:r>
      <w:r w:rsidR="00F31298">
        <w:rPr>
          <w:i/>
          <w:iCs/>
          <w:szCs w:val="26"/>
        </w:rPr>
        <w:t xml:space="preserve"> v. Jordan</w:t>
      </w:r>
      <w:r w:rsidR="00A52ACF">
        <w:rPr>
          <w:szCs w:val="26"/>
        </w:rPr>
        <w:t xml:space="preserve">, </w:t>
      </w:r>
      <w:r w:rsidR="00A52ACF" w:rsidRPr="00A52ACF">
        <w:rPr>
          <w:i/>
          <w:iCs/>
          <w:szCs w:val="26"/>
        </w:rPr>
        <w:t>supra</w:t>
      </w:r>
      <w:r w:rsidR="00A52ACF">
        <w:rPr>
          <w:szCs w:val="26"/>
        </w:rPr>
        <w:t>,</w:t>
      </w:r>
      <w:r w:rsidR="00B6495A" w:rsidRPr="009A41DA">
        <w:rPr>
          <w:i/>
          <w:iCs/>
          <w:szCs w:val="26"/>
        </w:rPr>
        <w:t xml:space="preserve"> </w:t>
      </w:r>
      <w:r w:rsidRPr="009A41DA">
        <w:rPr>
          <w:szCs w:val="26"/>
        </w:rPr>
        <w:t>at p. 475</w:t>
      </w:r>
      <w:r w:rsidR="00B6495A" w:rsidRPr="009A41DA">
        <w:rPr>
          <w:szCs w:val="26"/>
        </w:rPr>
        <w:t xml:space="preserve">; accord, </w:t>
      </w:r>
      <w:r w:rsidR="00B6495A" w:rsidRPr="009A41DA">
        <w:rPr>
          <w:i/>
          <w:iCs/>
          <w:szCs w:val="26"/>
        </w:rPr>
        <w:t>Ni</w:t>
      </w:r>
      <w:r w:rsidR="00AD4B9E" w:rsidRPr="009A41DA">
        <w:rPr>
          <w:i/>
          <w:iCs/>
          <w:szCs w:val="26"/>
        </w:rPr>
        <w:t>shioka</w:t>
      </w:r>
      <w:r w:rsidR="00A52ACF">
        <w:rPr>
          <w:szCs w:val="26"/>
        </w:rPr>
        <w:t xml:space="preserve">, </w:t>
      </w:r>
      <w:r w:rsidR="00A52ACF" w:rsidRPr="00A52ACF">
        <w:rPr>
          <w:i/>
          <w:iCs/>
          <w:szCs w:val="26"/>
        </w:rPr>
        <w:t>supra</w:t>
      </w:r>
      <w:r w:rsidR="00A52ACF">
        <w:rPr>
          <w:szCs w:val="26"/>
        </w:rPr>
        <w:t>,</w:t>
      </w:r>
      <w:r w:rsidR="00AD4B9E" w:rsidRPr="009A41DA">
        <w:rPr>
          <w:i/>
          <w:iCs/>
          <w:szCs w:val="26"/>
        </w:rPr>
        <w:t xml:space="preserve"> </w:t>
      </w:r>
      <w:r w:rsidR="00AD4B9E" w:rsidRPr="009A41DA">
        <w:rPr>
          <w:szCs w:val="26"/>
        </w:rPr>
        <w:t>at p. 644.)</w:t>
      </w:r>
    </w:p>
    <w:p w14:paraId="07F7C6EC" w14:textId="3841E18C" w:rsidR="00F16DEE" w:rsidRPr="009A41DA" w:rsidRDefault="00126B01" w:rsidP="00DC0C27">
      <w:pPr>
        <w:shd w:val="clear" w:color="auto" w:fill="FFFFFF"/>
        <w:spacing w:line="600" w:lineRule="exact"/>
        <w:ind w:firstLine="720"/>
        <w:rPr>
          <w:szCs w:val="26"/>
        </w:rPr>
      </w:pPr>
      <w:r w:rsidRPr="009A41DA">
        <w:rPr>
          <w:i/>
          <w:iCs/>
          <w:szCs w:val="26"/>
        </w:rPr>
        <w:t xml:space="preserve">Nishioka </w:t>
      </w:r>
      <w:r w:rsidRPr="009A41DA">
        <w:rPr>
          <w:szCs w:val="26"/>
        </w:rPr>
        <w:t>notes that “[n]u</w:t>
      </w:r>
      <w:r w:rsidR="00F16DEE" w:rsidRPr="009A41DA">
        <w:rPr>
          <w:szCs w:val="26"/>
        </w:rPr>
        <w:t xml:space="preserve">merous decisions have supported the invalidation of initiative measures for Elections Code violations resulting in voter confusion or misinformation.  (See, e.g., </w:t>
      </w:r>
      <w:r w:rsidR="00F16DEE" w:rsidRPr="009A41DA">
        <w:rPr>
          <w:i/>
          <w:iCs/>
          <w:szCs w:val="26"/>
          <w:bdr w:val="none" w:sz="0" w:space="0" w:color="auto" w:frame="1"/>
        </w:rPr>
        <w:t>Clark v. Jordan</w:t>
      </w:r>
      <w:r w:rsidR="00F16DEE" w:rsidRPr="009A41DA">
        <w:rPr>
          <w:szCs w:val="26"/>
        </w:rPr>
        <w:t xml:space="preserve"> (1936) 7 Cal.2d 248 [misleading short title in violation of Political Code]; </w:t>
      </w:r>
      <w:r w:rsidR="00F16DEE" w:rsidRPr="009A41DA">
        <w:rPr>
          <w:i/>
          <w:iCs/>
          <w:szCs w:val="26"/>
          <w:bdr w:val="none" w:sz="0" w:space="0" w:color="auto" w:frame="1"/>
        </w:rPr>
        <w:t>Mervyn</w:t>
      </w:r>
      <w:r w:rsidR="00113F4E" w:rsidRPr="009A41DA">
        <w:rPr>
          <w:i/>
          <w:iCs/>
          <w:szCs w:val="26"/>
          <w:bdr w:val="none" w:sz="0" w:space="0" w:color="auto" w:frame="1"/>
        </w:rPr>
        <w:t>’</w:t>
      </w:r>
      <w:r w:rsidR="00F16DEE" w:rsidRPr="009A41DA">
        <w:rPr>
          <w:i/>
          <w:iCs/>
          <w:szCs w:val="26"/>
          <w:bdr w:val="none" w:sz="0" w:space="0" w:color="auto" w:frame="1"/>
        </w:rPr>
        <w:t>s v. Reyes</w:t>
      </w:r>
      <w:r w:rsidR="00F16DEE" w:rsidRPr="009A41DA">
        <w:rPr>
          <w:szCs w:val="26"/>
        </w:rPr>
        <w:t xml:space="preserve"> (1998) 69 Cal.App.4th 93 [failure to include complete text of the initiative measure]; </w:t>
      </w:r>
      <w:r w:rsidR="00F16DEE" w:rsidRPr="009A41DA">
        <w:rPr>
          <w:i/>
          <w:iCs/>
          <w:szCs w:val="26"/>
          <w:bdr w:val="none" w:sz="0" w:space="0" w:color="auto" w:frame="1"/>
        </w:rPr>
        <w:t>Hebard v. Bybee</w:t>
      </w:r>
      <w:r w:rsidR="00F31298">
        <w:rPr>
          <w:szCs w:val="26"/>
          <w:bdr w:val="none" w:sz="0" w:space="0" w:color="auto" w:frame="1"/>
        </w:rPr>
        <w:t xml:space="preserve"> [(1998)]</w:t>
      </w:r>
      <w:r w:rsidR="00F16DEE" w:rsidRPr="009A41DA">
        <w:rPr>
          <w:szCs w:val="26"/>
        </w:rPr>
        <w:t xml:space="preserve"> 65 Cal.App.4th 1331 [inaccurate and misleading title of referendum measure]; </w:t>
      </w:r>
      <w:r w:rsidR="00F16DEE" w:rsidRPr="009A41DA">
        <w:rPr>
          <w:i/>
          <w:iCs/>
          <w:szCs w:val="26"/>
          <w:bdr w:val="none" w:sz="0" w:space="0" w:color="auto" w:frame="1"/>
        </w:rPr>
        <w:t>Myers v. Patterson</w:t>
      </w:r>
      <w:r w:rsidR="00F31298">
        <w:rPr>
          <w:i/>
          <w:iCs/>
          <w:szCs w:val="26"/>
          <w:bdr w:val="none" w:sz="0" w:space="0" w:color="auto" w:frame="1"/>
        </w:rPr>
        <w:t xml:space="preserve"> </w:t>
      </w:r>
      <w:r w:rsidR="00F31298">
        <w:rPr>
          <w:szCs w:val="26"/>
          <w:bdr w:val="none" w:sz="0" w:space="0" w:color="auto" w:frame="1"/>
        </w:rPr>
        <w:t xml:space="preserve">[(1987)] </w:t>
      </w:r>
      <w:r w:rsidR="00F16DEE" w:rsidRPr="009A41DA">
        <w:rPr>
          <w:szCs w:val="26"/>
        </w:rPr>
        <w:t xml:space="preserve">196 Cal.App.3d 130 [circulating petition without including notice of intention]; </w:t>
      </w:r>
      <w:r w:rsidR="00F16DEE" w:rsidRPr="009A41DA">
        <w:rPr>
          <w:i/>
          <w:iCs/>
          <w:szCs w:val="26"/>
          <w:bdr w:val="none" w:sz="0" w:space="0" w:color="auto" w:frame="1"/>
        </w:rPr>
        <w:t>Chase v. Brooks</w:t>
      </w:r>
      <w:r w:rsidR="00F31298">
        <w:rPr>
          <w:szCs w:val="26"/>
          <w:bdr w:val="none" w:sz="0" w:space="0" w:color="auto" w:frame="1"/>
        </w:rPr>
        <w:t xml:space="preserve"> [(1986)] </w:t>
      </w:r>
      <w:r w:rsidR="00F16DEE" w:rsidRPr="009A41DA">
        <w:rPr>
          <w:szCs w:val="26"/>
        </w:rPr>
        <w:t>187 Cal.App.3d 657 [failure to include complete text of the initiative measure].)”  (</w:t>
      </w:r>
      <w:r w:rsidR="00F16DEE" w:rsidRPr="009A41DA">
        <w:rPr>
          <w:i/>
          <w:iCs/>
          <w:szCs w:val="26"/>
        </w:rPr>
        <w:t>Nishioka</w:t>
      </w:r>
      <w:r w:rsidR="00A52ACF">
        <w:rPr>
          <w:szCs w:val="26"/>
        </w:rPr>
        <w:t xml:space="preserve">, </w:t>
      </w:r>
      <w:r w:rsidR="00A52ACF" w:rsidRPr="00A52ACF">
        <w:rPr>
          <w:i/>
          <w:iCs/>
          <w:szCs w:val="26"/>
        </w:rPr>
        <w:t>supra</w:t>
      </w:r>
      <w:r w:rsidR="00A52ACF">
        <w:rPr>
          <w:szCs w:val="26"/>
        </w:rPr>
        <w:t>,</w:t>
      </w:r>
      <w:r w:rsidR="00F16DEE" w:rsidRPr="009A41DA">
        <w:rPr>
          <w:i/>
          <w:iCs/>
          <w:szCs w:val="26"/>
        </w:rPr>
        <w:t xml:space="preserve"> </w:t>
      </w:r>
      <w:r w:rsidR="00F31298">
        <w:rPr>
          <w:szCs w:val="26"/>
        </w:rPr>
        <w:t xml:space="preserve">75 Cal.App.4th </w:t>
      </w:r>
      <w:r w:rsidR="00F16DEE" w:rsidRPr="009A41DA">
        <w:rPr>
          <w:szCs w:val="26"/>
        </w:rPr>
        <w:t>at pp. 644-645.)</w:t>
      </w:r>
    </w:p>
    <w:p w14:paraId="06DE9D4D" w14:textId="33D6BAE6" w:rsidR="004D311E" w:rsidRPr="009A41DA" w:rsidRDefault="004D311E" w:rsidP="00DC0C27">
      <w:pPr>
        <w:shd w:val="clear" w:color="auto" w:fill="FFFFFF"/>
        <w:spacing w:line="600" w:lineRule="exact"/>
        <w:ind w:firstLine="720"/>
        <w:rPr>
          <w:szCs w:val="26"/>
        </w:rPr>
      </w:pPr>
      <w:r w:rsidRPr="009A41DA">
        <w:rPr>
          <w:szCs w:val="26"/>
        </w:rPr>
        <w:t xml:space="preserve">As the court in </w:t>
      </w:r>
      <w:r w:rsidRPr="009A41DA">
        <w:rPr>
          <w:i/>
          <w:iCs/>
          <w:szCs w:val="26"/>
        </w:rPr>
        <w:t xml:space="preserve">Nishioka </w:t>
      </w:r>
      <w:r w:rsidRPr="009A41DA">
        <w:rPr>
          <w:szCs w:val="26"/>
        </w:rPr>
        <w:t>explains, the people “have a right to rely on the integrity of the initiative process from beginning to end.  Because the initiative process bypasses the normal legislative process, safeguards are necessary to prevent abuses and provide for an informed electorate.  Ordinary citizens with a sense of trust should be able to believe in the accuracy of what they are signing.  Although the truthfulness of ideas may not always be recognizable, verifiable factual untruths are.  When presented in that rare instance with facts which are conclusively and objectively untrue and mislead potential signers, the court fulfills its mandated duty under the Elections Code of safeguarding the integrity of the initiative process by its action.</w:t>
      </w:r>
      <w:r w:rsidR="000A3E78" w:rsidRPr="009A41DA">
        <w:rPr>
          <w:szCs w:val="26"/>
        </w:rPr>
        <w:t>”</w:t>
      </w:r>
      <w:r w:rsidR="005F657C" w:rsidRPr="009A41DA">
        <w:rPr>
          <w:szCs w:val="26"/>
        </w:rPr>
        <w:t xml:space="preserve"> </w:t>
      </w:r>
      <w:r w:rsidR="000A3E78" w:rsidRPr="009A41DA">
        <w:rPr>
          <w:szCs w:val="26"/>
        </w:rPr>
        <w:t xml:space="preserve"> </w:t>
      </w:r>
      <w:r w:rsidR="005F657C" w:rsidRPr="009A41DA">
        <w:rPr>
          <w:szCs w:val="26"/>
        </w:rPr>
        <w:t>(</w:t>
      </w:r>
      <w:r w:rsidR="005F657C" w:rsidRPr="009A41DA">
        <w:rPr>
          <w:i/>
          <w:iCs/>
          <w:szCs w:val="26"/>
        </w:rPr>
        <w:t>Nishioka</w:t>
      </w:r>
      <w:r w:rsidR="00A52ACF">
        <w:rPr>
          <w:szCs w:val="26"/>
        </w:rPr>
        <w:t xml:space="preserve">, </w:t>
      </w:r>
      <w:r w:rsidR="00A52ACF" w:rsidRPr="00A52ACF">
        <w:rPr>
          <w:i/>
          <w:iCs/>
          <w:szCs w:val="26"/>
        </w:rPr>
        <w:t>supra</w:t>
      </w:r>
      <w:r w:rsidR="00A52ACF">
        <w:rPr>
          <w:szCs w:val="26"/>
        </w:rPr>
        <w:t>,</w:t>
      </w:r>
      <w:r w:rsidR="005F657C" w:rsidRPr="009A41DA">
        <w:rPr>
          <w:i/>
          <w:iCs/>
          <w:szCs w:val="26"/>
        </w:rPr>
        <w:t xml:space="preserve"> </w:t>
      </w:r>
      <w:r w:rsidR="00F31298">
        <w:rPr>
          <w:szCs w:val="26"/>
        </w:rPr>
        <w:t xml:space="preserve">75 Cal.App.4th </w:t>
      </w:r>
      <w:r w:rsidR="005F657C" w:rsidRPr="009A41DA">
        <w:rPr>
          <w:szCs w:val="26"/>
        </w:rPr>
        <w:t>at p. 649.)</w:t>
      </w:r>
      <w:r w:rsidR="000A3E78" w:rsidRPr="009A41DA">
        <w:rPr>
          <w:szCs w:val="26"/>
        </w:rPr>
        <w:t xml:space="preserve"> </w:t>
      </w:r>
      <w:r w:rsidR="005F657C" w:rsidRPr="009A41DA">
        <w:rPr>
          <w:szCs w:val="26"/>
        </w:rPr>
        <w:t xml:space="preserve"> </w:t>
      </w:r>
      <w:r w:rsidRPr="009A41DA">
        <w:rPr>
          <w:szCs w:val="26"/>
        </w:rPr>
        <w:t>The court’s action</w:t>
      </w:r>
      <w:r w:rsidR="005F657C" w:rsidRPr="009A41DA">
        <w:rPr>
          <w:szCs w:val="26"/>
        </w:rPr>
        <w:t xml:space="preserve"> of invalidating </w:t>
      </w:r>
      <w:r w:rsidR="00C66D89" w:rsidRPr="009A41DA">
        <w:rPr>
          <w:szCs w:val="26"/>
        </w:rPr>
        <w:t xml:space="preserve">Initiatives containing false and misleading </w:t>
      </w:r>
      <w:r w:rsidR="00C66D89" w:rsidRPr="009A41DA">
        <w:rPr>
          <w:szCs w:val="26"/>
        </w:rPr>
        <w:lastRenderedPageBreak/>
        <w:t>information</w:t>
      </w:r>
      <w:r w:rsidR="00B66E13" w:rsidRPr="009A41DA">
        <w:rPr>
          <w:szCs w:val="26"/>
        </w:rPr>
        <w:t xml:space="preserve"> thus</w:t>
      </w:r>
      <w:r w:rsidRPr="009A41DA">
        <w:rPr>
          <w:szCs w:val="26"/>
        </w:rPr>
        <w:t xml:space="preserve"> </w:t>
      </w:r>
      <w:r w:rsidR="002F2B09" w:rsidRPr="009A41DA">
        <w:rPr>
          <w:szCs w:val="26"/>
        </w:rPr>
        <w:t>“</w:t>
      </w:r>
      <w:r w:rsidRPr="009A41DA">
        <w:rPr>
          <w:szCs w:val="26"/>
        </w:rPr>
        <w:t>enhances the initiative process and promotes the confidence of the voters by preventing fraud on the electorate.”  (</w:t>
      </w:r>
      <w:r w:rsidR="00F31298" w:rsidRPr="00F31298">
        <w:rPr>
          <w:i/>
          <w:iCs/>
          <w:szCs w:val="26"/>
        </w:rPr>
        <w:t>Id</w:t>
      </w:r>
      <w:r w:rsidR="00F31298">
        <w:rPr>
          <w:szCs w:val="26"/>
        </w:rPr>
        <w:t>.</w:t>
      </w:r>
      <w:r w:rsidR="000E0193" w:rsidRPr="009A41DA">
        <w:rPr>
          <w:i/>
          <w:iCs/>
          <w:szCs w:val="26"/>
        </w:rPr>
        <w:t xml:space="preserve"> </w:t>
      </w:r>
      <w:r w:rsidR="000E0193" w:rsidRPr="009A41DA">
        <w:rPr>
          <w:szCs w:val="26"/>
        </w:rPr>
        <w:t xml:space="preserve">at </w:t>
      </w:r>
      <w:r w:rsidRPr="009A41DA">
        <w:rPr>
          <w:szCs w:val="26"/>
        </w:rPr>
        <w:t>p. 649.)</w:t>
      </w:r>
    </w:p>
    <w:p w14:paraId="2C7C40B6" w14:textId="5B20A59E" w:rsidR="00F679FB" w:rsidRPr="009A41DA" w:rsidRDefault="00F679FB" w:rsidP="00DC0C27">
      <w:pPr>
        <w:spacing w:line="600" w:lineRule="exact"/>
        <w:rPr>
          <w:szCs w:val="26"/>
        </w:rPr>
      </w:pPr>
      <w:r w:rsidRPr="009A41DA">
        <w:rPr>
          <w:szCs w:val="26"/>
        </w:rPr>
        <w:tab/>
      </w:r>
      <w:r w:rsidR="008B7D08" w:rsidRPr="009A41DA">
        <w:rPr>
          <w:szCs w:val="26"/>
        </w:rPr>
        <w:t xml:space="preserve">Here, </w:t>
      </w:r>
      <w:r w:rsidRPr="009A41DA">
        <w:rPr>
          <w:szCs w:val="26"/>
        </w:rPr>
        <w:t xml:space="preserve">a violation of </w:t>
      </w:r>
      <w:r w:rsidR="003F272A" w:rsidRPr="009A41DA">
        <w:rPr>
          <w:szCs w:val="26"/>
        </w:rPr>
        <w:t xml:space="preserve">section 18600, which provides the court with authority to </w:t>
      </w:r>
      <w:r w:rsidR="006246CB" w:rsidRPr="009A41DA">
        <w:rPr>
          <w:szCs w:val="26"/>
        </w:rPr>
        <w:t xml:space="preserve">charge </w:t>
      </w:r>
      <w:r w:rsidR="008D01C3" w:rsidRPr="009A41DA">
        <w:rPr>
          <w:szCs w:val="26"/>
        </w:rPr>
        <w:t xml:space="preserve">and prosecute </w:t>
      </w:r>
      <w:r w:rsidR="00D65B2E" w:rsidRPr="009A41DA">
        <w:rPr>
          <w:szCs w:val="26"/>
        </w:rPr>
        <w:t>a misdemeanor offense</w:t>
      </w:r>
      <w:r w:rsidR="008D01C3" w:rsidRPr="009A41DA">
        <w:rPr>
          <w:szCs w:val="26"/>
        </w:rPr>
        <w:t>,</w:t>
      </w:r>
      <w:r w:rsidR="00524286" w:rsidRPr="009A41DA">
        <w:rPr>
          <w:szCs w:val="26"/>
        </w:rPr>
        <w:t xml:space="preserve"> </w:t>
      </w:r>
      <w:r w:rsidR="00CB0945" w:rsidRPr="009A41DA">
        <w:rPr>
          <w:szCs w:val="26"/>
        </w:rPr>
        <w:t>wa</w:t>
      </w:r>
      <w:r w:rsidR="00524286" w:rsidRPr="009A41DA">
        <w:rPr>
          <w:szCs w:val="26"/>
        </w:rPr>
        <w:t xml:space="preserve">s not required </w:t>
      </w:r>
      <w:r w:rsidR="00560BF3" w:rsidRPr="009A41DA">
        <w:rPr>
          <w:szCs w:val="26"/>
        </w:rPr>
        <w:t>for</w:t>
      </w:r>
      <w:r w:rsidR="00B00B5C" w:rsidRPr="009A41DA">
        <w:rPr>
          <w:szCs w:val="26"/>
        </w:rPr>
        <w:t xml:space="preserve"> the trial court to</w:t>
      </w:r>
      <w:r w:rsidR="00560BF3" w:rsidRPr="009A41DA">
        <w:rPr>
          <w:szCs w:val="26"/>
        </w:rPr>
        <w:t xml:space="preserve"> invalidat</w:t>
      </w:r>
      <w:r w:rsidR="00B00B5C" w:rsidRPr="009A41DA">
        <w:rPr>
          <w:szCs w:val="26"/>
        </w:rPr>
        <w:t>e</w:t>
      </w:r>
      <w:r w:rsidR="00560BF3" w:rsidRPr="009A41DA">
        <w:rPr>
          <w:szCs w:val="26"/>
        </w:rPr>
        <w:t xml:space="preserve"> the Initiative.</w:t>
      </w:r>
      <w:r w:rsidR="007A423F" w:rsidRPr="009A41DA">
        <w:rPr>
          <w:szCs w:val="26"/>
        </w:rPr>
        <w:t xml:space="preserve">  The </w:t>
      </w:r>
      <w:r w:rsidR="00D97274" w:rsidRPr="009A41DA">
        <w:rPr>
          <w:szCs w:val="26"/>
        </w:rPr>
        <w:t xml:space="preserve">record shows that </w:t>
      </w:r>
      <w:r w:rsidR="007C559A">
        <w:rPr>
          <w:szCs w:val="26"/>
        </w:rPr>
        <w:t xml:space="preserve">the </w:t>
      </w:r>
      <w:r w:rsidR="007A423F" w:rsidRPr="009A41DA">
        <w:rPr>
          <w:szCs w:val="26"/>
        </w:rPr>
        <w:t>trial court did not make such a finding</w:t>
      </w:r>
      <w:r w:rsidR="00431901" w:rsidRPr="009A41DA">
        <w:rPr>
          <w:szCs w:val="26"/>
        </w:rPr>
        <w:t xml:space="preserve">, and it was not required </w:t>
      </w:r>
      <w:r w:rsidR="00F61A3A" w:rsidRPr="009A41DA">
        <w:rPr>
          <w:szCs w:val="26"/>
        </w:rPr>
        <w:t xml:space="preserve">to </w:t>
      </w:r>
      <w:r w:rsidR="006F47C4" w:rsidRPr="009A41DA">
        <w:rPr>
          <w:szCs w:val="26"/>
        </w:rPr>
        <w:t xml:space="preserve">do so when </w:t>
      </w:r>
      <w:r w:rsidR="00F61A3A" w:rsidRPr="009A41DA">
        <w:rPr>
          <w:szCs w:val="26"/>
        </w:rPr>
        <w:t>order</w:t>
      </w:r>
      <w:r w:rsidR="006F47C4" w:rsidRPr="009A41DA">
        <w:rPr>
          <w:szCs w:val="26"/>
        </w:rPr>
        <w:t>ing</w:t>
      </w:r>
      <w:r w:rsidR="00F61A3A" w:rsidRPr="009A41DA">
        <w:rPr>
          <w:szCs w:val="26"/>
        </w:rPr>
        <w:t xml:space="preserve"> the Initiative invalid, </w:t>
      </w:r>
      <w:r w:rsidR="00431901" w:rsidRPr="009A41DA">
        <w:rPr>
          <w:szCs w:val="26"/>
        </w:rPr>
        <w:t xml:space="preserve">because </w:t>
      </w:r>
      <w:r w:rsidR="00D97274" w:rsidRPr="009A41DA">
        <w:rPr>
          <w:szCs w:val="26"/>
        </w:rPr>
        <w:t>the trial court appropriately</w:t>
      </w:r>
      <w:r w:rsidR="00F61A3A" w:rsidRPr="009A41DA">
        <w:rPr>
          <w:szCs w:val="26"/>
        </w:rPr>
        <w:t xml:space="preserve"> found</w:t>
      </w:r>
      <w:r w:rsidR="00AE7C42" w:rsidRPr="009A41DA">
        <w:rPr>
          <w:szCs w:val="26"/>
        </w:rPr>
        <w:t xml:space="preserve"> that the Initiative contained </w:t>
      </w:r>
      <w:r w:rsidR="005C1BBD" w:rsidRPr="009A41DA">
        <w:rPr>
          <w:szCs w:val="26"/>
        </w:rPr>
        <w:t xml:space="preserve">material </w:t>
      </w:r>
      <w:r w:rsidR="00AE7C42" w:rsidRPr="009A41DA">
        <w:rPr>
          <w:szCs w:val="26"/>
        </w:rPr>
        <w:t>false and misleading statements</w:t>
      </w:r>
      <w:r w:rsidR="00BF2F2A" w:rsidRPr="009A41DA">
        <w:rPr>
          <w:szCs w:val="26"/>
        </w:rPr>
        <w:t>, as explained below</w:t>
      </w:r>
      <w:r w:rsidR="00AE7C42" w:rsidRPr="009A41DA">
        <w:rPr>
          <w:szCs w:val="26"/>
        </w:rPr>
        <w:t>.</w:t>
      </w:r>
    </w:p>
    <w:p w14:paraId="53676E3E" w14:textId="281CCF8B" w:rsidR="00AC1CA5" w:rsidRPr="009A41DA" w:rsidRDefault="00544D0D" w:rsidP="00DC0C27">
      <w:pPr>
        <w:keepNext/>
        <w:keepLines/>
        <w:spacing w:line="600" w:lineRule="exact"/>
        <w:ind w:firstLine="1080"/>
        <w:rPr>
          <w:b/>
          <w:bCs/>
          <w:szCs w:val="26"/>
        </w:rPr>
      </w:pPr>
      <w:r w:rsidRPr="009A41DA">
        <w:rPr>
          <w:szCs w:val="26"/>
        </w:rPr>
        <w:t>2</w:t>
      </w:r>
      <w:r w:rsidR="00EF24F2" w:rsidRPr="009A41DA">
        <w:rPr>
          <w:szCs w:val="26"/>
        </w:rPr>
        <w:t xml:space="preserve">. </w:t>
      </w:r>
      <w:r w:rsidR="008A4470" w:rsidRPr="009A41DA">
        <w:rPr>
          <w:szCs w:val="26"/>
          <w:u w:val="single"/>
        </w:rPr>
        <w:t>False and Misleading Statements</w:t>
      </w:r>
    </w:p>
    <w:p w14:paraId="7DFF3141" w14:textId="273758F9" w:rsidR="00622D87" w:rsidRPr="009A41DA" w:rsidRDefault="00EF24F2" w:rsidP="00DC0C27">
      <w:pPr>
        <w:keepNext/>
        <w:keepLines/>
        <w:spacing w:line="600" w:lineRule="exact"/>
        <w:ind w:firstLine="720"/>
        <w:rPr>
          <w:szCs w:val="26"/>
        </w:rPr>
      </w:pPr>
      <w:r w:rsidRPr="009A41DA">
        <w:rPr>
          <w:szCs w:val="26"/>
        </w:rPr>
        <w:t xml:space="preserve">Real Parties contend the trial court erred in invalidating the Initiative because it does not contain any express or implied objective false or misleading facts.  </w:t>
      </w:r>
      <w:r w:rsidR="007B36F6" w:rsidRPr="009A41DA">
        <w:rPr>
          <w:szCs w:val="26"/>
        </w:rPr>
        <w:t xml:space="preserve">We disagree.  </w:t>
      </w:r>
      <w:r w:rsidRPr="009A41DA">
        <w:rPr>
          <w:szCs w:val="26"/>
        </w:rPr>
        <w:t xml:space="preserve">The Initiative </w:t>
      </w:r>
      <w:r w:rsidR="00785532" w:rsidRPr="009A41DA">
        <w:rPr>
          <w:szCs w:val="26"/>
        </w:rPr>
        <w:t>states</w:t>
      </w:r>
      <w:r w:rsidR="00B46BC8" w:rsidRPr="009A41DA">
        <w:rPr>
          <w:szCs w:val="26"/>
        </w:rPr>
        <w:t xml:space="preserve"> </w:t>
      </w:r>
      <w:r w:rsidRPr="009A41DA">
        <w:rPr>
          <w:szCs w:val="26"/>
        </w:rPr>
        <w:t>that the District’s FP-5 special tax should be repealed because</w:t>
      </w:r>
      <w:r w:rsidR="00622D87" w:rsidRPr="009A41DA">
        <w:rPr>
          <w:szCs w:val="26"/>
        </w:rPr>
        <w:t xml:space="preserve"> landowners </w:t>
      </w:r>
      <w:r w:rsidR="00C604D6" w:rsidRPr="009A41DA">
        <w:rPr>
          <w:szCs w:val="26"/>
        </w:rPr>
        <w:t xml:space="preserve">of parcels </w:t>
      </w:r>
      <w:r w:rsidR="00622D87" w:rsidRPr="009A41DA">
        <w:rPr>
          <w:szCs w:val="26"/>
        </w:rPr>
        <w:t>in recently annexed territories did not vote for the special tax</w:t>
      </w:r>
      <w:r w:rsidR="00BF0C1F" w:rsidRPr="009A41DA">
        <w:rPr>
          <w:szCs w:val="26"/>
        </w:rPr>
        <w:t>.  The initiative implies that the special tax</w:t>
      </w:r>
      <w:r w:rsidR="00B46BC8" w:rsidRPr="009A41DA">
        <w:rPr>
          <w:szCs w:val="26"/>
        </w:rPr>
        <w:t xml:space="preserve"> therefore</w:t>
      </w:r>
      <w:r w:rsidR="00622D87" w:rsidRPr="009A41DA">
        <w:rPr>
          <w:szCs w:val="26"/>
        </w:rPr>
        <w:t xml:space="preserve"> </w:t>
      </w:r>
      <w:r w:rsidRPr="009A41DA">
        <w:rPr>
          <w:szCs w:val="26"/>
        </w:rPr>
        <w:t>violated Proposition 218, which requires two-thirds voter approval for special taxes.</w:t>
      </w:r>
    </w:p>
    <w:p w14:paraId="013811D1" w14:textId="49F9C940" w:rsidR="002B589D" w:rsidRPr="009A41DA" w:rsidRDefault="002B589D" w:rsidP="00DC0C27">
      <w:pPr>
        <w:spacing w:line="600" w:lineRule="exact"/>
        <w:ind w:firstLine="720"/>
      </w:pPr>
      <w:r w:rsidRPr="009A41DA">
        <w:t>Misleading statements</w:t>
      </w:r>
      <w:r w:rsidR="00BF0C1F" w:rsidRPr="009A41DA">
        <w:t xml:space="preserve"> in the Initiative</w:t>
      </w:r>
      <w:r w:rsidRPr="009A41DA">
        <w:t>, implying unconstitutionality of the special tax, include statements in the Initiative petition’s notice and text.  The Initiative notice</w:t>
      </w:r>
      <w:r w:rsidR="00735597" w:rsidRPr="009A41DA">
        <w:t xml:space="preserve"> of intent</w:t>
      </w:r>
      <w:r w:rsidRPr="009A41DA">
        <w:t xml:space="preserve"> states:</w:t>
      </w:r>
      <w:r w:rsidR="00A52ACF">
        <w:t xml:space="preserve"> </w:t>
      </w:r>
      <w:r w:rsidRPr="009A41DA">
        <w:t xml:space="preserve"> “Vote ‘Yes’ to repeal the special tax associated with FP-5.  The </w:t>
      </w:r>
      <w:bookmarkStart w:id="15" w:name="_Hlk148017902"/>
      <w:r w:rsidRPr="009A41DA">
        <w:t>California Constitution states, ‘</w:t>
      </w:r>
      <w:r w:rsidR="00F31298">
        <w:rPr>
          <w:i/>
          <w:iCs/>
        </w:rPr>
        <w:t>N</w:t>
      </w:r>
      <w:r w:rsidRPr="009A41DA">
        <w:rPr>
          <w:i/>
          <w:iCs/>
        </w:rPr>
        <w:t>o local government may impose, extend, or increase any special tax unless and until that tax is submitted to the electorate and approved by a two-thirds vote.’</w:t>
      </w:r>
      <w:r w:rsidRPr="00F31298">
        <w:t xml:space="preserve">  </w:t>
      </w:r>
      <w:r w:rsidRPr="009A41DA">
        <w:t xml:space="preserve">Despite this clear language, the FP-5 special tax was imposed by elected </w:t>
      </w:r>
      <w:r w:rsidRPr="009A41DA">
        <w:lastRenderedPageBreak/>
        <w:t>representatives on one million county residents without their consent.  A ‘YES’ vote will repeal the tax, leave money in your pocket, and send a message to politicians.  Citizens must follow the law and so must their representatives!!”</w:t>
      </w:r>
      <w:r w:rsidR="007A60AF" w:rsidRPr="009A41DA">
        <w:t xml:space="preserve">  (Italics in original.)</w:t>
      </w:r>
      <w:bookmarkEnd w:id="15"/>
    </w:p>
    <w:p w14:paraId="5F10389E" w14:textId="0EAA89B9" w:rsidR="002B589D" w:rsidRPr="009A41DA" w:rsidRDefault="002B589D" w:rsidP="00DC0C27">
      <w:pPr>
        <w:spacing w:line="600" w:lineRule="exact"/>
        <w:ind w:firstLine="720"/>
      </w:pPr>
      <w:r w:rsidRPr="009A41DA">
        <w:t xml:space="preserve">The Initiative </w:t>
      </w:r>
      <w:r w:rsidR="00BF0C1F" w:rsidRPr="009A41DA">
        <w:t xml:space="preserve">text </w:t>
      </w:r>
      <w:r w:rsidRPr="009A41DA">
        <w:t xml:space="preserve">further states in part: </w:t>
      </w:r>
      <w:r w:rsidR="00A52ACF">
        <w:t xml:space="preserve"> </w:t>
      </w:r>
      <w:r w:rsidRPr="009A41DA">
        <w:t xml:space="preserve">“[T]he County added additional areas to FP-5 expanding the parcel tax burden without a vote of the people living in those add-on areas.  . . . </w:t>
      </w:r>
      <w:r w:rsidR="00A52ACF">
        <w:t xml:space="preserve"> </w:t>
      </w:r>
      <w:r w:rsidRPr="009A41DA">
        <w:rPr>
          <w:szCs w:val="26"/>
        </w:rPr>
        <w:t>[¶]</w:t>
      </w:r>
      <w:r w:rsidR="00F31298">
        <w:rPr>
          <w:szCs w:val="26"/>
        </w:rPr>
        <w:t>  . . . </w:t>
      </w:r>
      <w:r w:rsidRPr="009A41DA">
        <w:rPr>
          <w:szCs w:val="26"/>
        </w:rPr>
        <w:t xml:space="preserve"> </w:t>
      </w:r>
      <w:r w:rsidR="00A52ACF">
        <w:rPr>
          <w:szCs w:val="26"/>
        </w:rPr>
        <w:t xml:space="preserve"> </w:t>
      </w:r>
      <w:r w:rsidRPr="009A41DA">
        <w:rPr>
          <w:szCs w:val="26"/>
        </w:rPr>
        <w:t xml:space="preserve">Even though the Constitution of California prohibits taxation without two-thirds voter approval, in 2020, the Fire District Board of Directors, without voter approval, imposed a tax on every parcel in FP-5 set at $157.26 for the year 2020-2021. </w:t>
      </w:r>
      <w:r w:rsidR="00F31298">
        <w:rPr>
          <w:szCs w:val="26"/>
        </w:rPr>
        <w:t xml:space="preserve"> [¶]</w:t>
      </w:r>
      <w:r w:rsidR="00A91C36">
        <w:rPr>
          <w:szCs w:val="26"/>
        </w:rPr>
        <w:t> . . . </w:t>
      </w:r>
      <w:r w:rsidRPr="009A41DA">
        <w:rPr>
          <w:szCs w:val="26"/>
        </w:rPr>
        <w:t>The County’s sidestep of the provisions of the California Constitution has victimized property owners whose parcels have been annexed and who are now required to pay an ever increasing (up to 3% per year) annual parcel tax they didn’t vote on.”</w:t>
      </w:r>
    </w:p>
    <w:p w14:paraId="7E573D3A" w14:textId="02B358E5" w:rsidR="00003B69" w:rsidRPr="009A41DA" w:rsidRDefault="0051505A" w:rsidP="00DC0C27">
      <w:pPr>
        <w:spacing w:line="600" w:lineRule="exact"/>
        <w:ind w:firstLine="720"/>
        <w:rPr>
          <w:szCs w:val="26"/>
        </w:rPr>
      </w:pPr>
      <w:r w:rsidRPr="009A41DA">
        <w:rPr>
          <w:szCs w:val="26"/>
        </w:rPr>
        <w:t>T</w:t>
      </w:r>
      <w:r w:rsidR="00E51A78" w:rsidRPr="009A41DA">
        <w:rPr>
          <w:szCs w:val="26"/>
        </w:rPr>
        <w:t xml:space="preserve">he Initiative notice and </w:t>
      </w:r>
      <w:r w:rsidR="008823FB" w:rsidRPr="009A41DA">
        <w:rPr>
          <w:szCs w:val="26"/>
        </w:rPr>
        <w:t>text</w:t>
      </w:r>
      <w:r w:rsidR="00E51A78" w:rsidRPr="009A41DA">
        <w:rPr>
          <w:szCs w:val="26"/>
        </w:rPr>
        <w:t xml:space="preserve"> </w:t>
      </w:r>
      <w:r w:rsidR="008823FB" w:rsidRPr="009A41DA">
        <w:rPr>
          <w:szCs w:val="26"/>
        </w:rPr>
        <w:t>contain implie</w:t>
      </w:r>
      <w:r w:rsidR="00D24C9F" w:rsidRPr="009A41DA">
        <w:rPr>
          <w:szCs w:val="26"/>
        </w:rPr>
        <w:t>d</w:t>
      </w:r>
      <w:r w:rsidR="008823FB" w:rsidRPr="009A41DA">
        <w:rPr>
          <w:szCs w:val="26"/>
        </w:rPr>
        <w:t xml:space="preserve"> false and misleading </w:t>
      </w:r>
      <w:r w:rsidR="00E51A78" w:rsidRPr="009A41DA">
        <w:rPr>
          <w:szCs w:val="26"/>
        </w:rPr>
        <w:t xml:space="preserve">statements </w:t>
      </w:r>
      <w:r w:rsidR="008823FB" w:rsidRPr="009A41DA">
        <w:rPr>
          <w:szCs w:val="26"/>
        </w:rPr>
        <w:t xml:space="preserve">that (1) </w:t>
      </w:r>
      <w:r w:rsidR="00E51A78" w:rsidRPr="009A41DA">
        <w:rPr>
          <w:szCs w:val="26"/>
        </w:rPr>
        <w:t>Proposition 218</w:t>
      </w:r>
      <w:r w:rsidR="008823FB" w:rsidRPr="009A41DA">
        <w:rPr>
          <w:szCs w:val="26"/>
        </w:rPr>
        <w:t xml:space="preserve"> applies</w:t>
      </w:r>
      <w:r w:rsidR="00290686" w:rsidRPr="009A41DA">
        <w:rPr>
          <w:szCs w:val="26"/>
        </w:rPr>
        <w:t xml:space="preserve"> to the </w:t>
      </w:r>
      <w:r w:rsidR="00913A90" w:rsidRPr="009A41DA">
        <w:rPr>
          <w:szCs w:val="26"/>
        </w:rPr>
        <w:t xml:space="preserve">FP-5 </w:t>
      </w:r>
      <w:r w:rsidR="00290686" w:rsidRPr="009A41DA">
        <w:rPr>
          <w:szCs w:val="26"/>
        </w:rPr>
        <w:t>special tax</w:t>
      </w:r>
      <w:r w:rsidR="008823FB" w:rsidRPr="009A41DA">
        <w:rPr>
          <w:szCs w:val="26"/>
        </w:rPr>
        <w:t xml:space="preserve"> and </w:t>
      </w:r>
      <w:r w:rsidR="00E51A78" w:rsidRPr="009A41DA">
        <w:rPr>
          <w:szCs w:val="26"/>
        </w:rPr>
        <w:t>requir</w:t>
      </w:r>
      <w:r w:rsidR="008823FB" w:rsidRPr="009A41DA">
        <w:rPr>
          <w:szCs w:val="26"/>
        </w:rPr>
        <w:t>es</w:t>
      </w:r>
      <w:r w:rsidR="00E51A78" w:rsidRPr="009A41DA">
        <w:rPr>
          <w:szCs w:val="26"/>
        </w:rPr>
        <w:t xml:space="preserve"> a two-thirds vote of approval and </w:t>
      </w:r>
      <w:r w:rsidR="008823FB" w:rsidRPr="009A41DA">
        <w:rPr>
          <w:szCs w:val="26"/>
        </w:rPr>
        <w:t xml:space="preserve">(2) </w:t>
      </w:r>
      <w:r w:rsidR="009D157C" w:rsidRPr="009A41DA">
        <w:rPr>
          <w:szCs w:val="26"/>
        </w:rPr>
        <w:t xml:space="preserve">the special tax is illegal and unconstitutional under Proposition 218 because </w:t>
      </w:r>
      <w:r w:rsidR="00E51A78" w:rsidRPr="009A41DA">
        <w:rPr>
          <w:szCs w:val="26"/>
        </w:rPr>
        <w:t xml:space="preserve">the annexed property owners did </w:t>
      </w:r>
      <w:r w:rsidR="008823FB" w:rsidRPr="009A41DA">
        <w:rPr>
          <w:szCs w:val="26"/>
        </w:rPr>
        <w:t xml:space="preserve">not </w:t>
      </w:r>
      <w:r w:rsidR="00E51A78" w:rsidRPr="009A41DA">
        <w:rPr>
          <w:szCs w:val="26"/>
        </w:rPr>
        <w:t>have the opportunity to vote on the</w:t>
      </w:r>
      <w:r w:rsidR="008823FB" w:rsidRPr="009A41DA">
        <w:rPr>
          <w:szCs w:val="26"/>
        </w:rPr>
        <w:t xml:space="preserve"> special</w:t>
      </w:r>
      <w:r w:rsidR="00E51A78" w:rsidRPr="009A41DA">
        <w:rPr>
          <w:szCs w:val="26"/>
        </w:rPr>
        <w:t xml:space="preserve"> tax.  </w:t>
      </w:r>
      <w:bookmarkStart w:id="16" w:name="_Hlk147222640"/>
      <w:r w:rsidR="009126C4" w:rsidRPr="009A41DA">
        <w:rPr>
          <w:szCs w:val="26"/>
        </w:rPr>
        <w:t xml:space="preserve">The </w:t>
      </w:r>
      <w:r w:rsidR="00AE5639" w:rsidRPr="009A41DA">
        <w:rPr>
          <w:szCs w:val="26"/>
        </w:rPr>
        <w:t>Ini</w:t>
      </w:r>
      <w:r w:rsidR="009703E4" w:rsidRPr="009A41DA">
        <w:rPr>
          <w:szCs w:val="26"/>
        </w:rPr>
        <w:t>ti</w:t>
      </w:r>
      <w:r w:rsidR="00AE5639" w:rsidRPr="009A41DA">
        <w:rPr>
          <w:szCs w:val="26"/>
        </w:rPr>
        <w:t>ative</w:t>
      </w:r>
      <w:r w:rsidR="009126C4" w:rsidRPr="009A41DA">
        <w:rPr>
          <w:szCs w:val="26"/>
        </w:rPr>
        <w:t xml:space="preserve"> </w:t>
      </w:r>
      <w:r w:rsidR="00687632" w:rsidRPr="009A41DA">
        <w:rPr>
          <w:szCs w:val="26"/>
        </w:rPr>
        <w:t>implies these facts</w:t>
      </w:r>
      <w:r w:rsidR="009126C4" w:rsidRPr="009A41DA">
        <w:rPr>
          <w:szCs w:val="26"/>
        </w:rPr>
        <w:t xml:space="preserve"> a</w:t>
      </w:r>
      <w:r w:rsidR="00BF0C1F" w:rsidRPr="009A41DA">
        <w:rPr>
          <w:szCs w:val="26"/>
        </w:rPr>
        <w:t>re</w:t>
      </w:r>
      <w:r w:rsidR="009126C4" w:rsidRPr="009A41DA">
        <w:rPr>
          <w:szCs w:val="26"/>
        </w:rPr>
        <w:t xml:space="preserve"> irrefutabl</w:t>
      </w:r>
      <w:r w:rsidR="003802FC" w:rsidRPr="009A41DA">
        <w:rPr>
          <w:szCs w:val="26"/>
        </w:rPr>
        <w:t>e</w:t>
      </w:r>
      <w:r w:rsidR="009126C4" w:rsidRPr="009A41DA">
        <w:rPr>
          <w:szCs w:val="26"/>
        </w:rPr>
        <w:t xml:space="preserve">, </w:t>
      </w:r>
      <w:r w:rsidR="00687632" w:rsidRPr="009A41DA">
        <w:rPr>
          <w:szCs w:val="26"/>
        </w:rPr>
        <w:t xml:space="preserve">when, in fact, they </w:t>
      </w:r>
      <w:r w:rsidR="00913A90" w:rsidRPr="009A41DA">
        <w:rPr>
          <w:szCs w:val="26"/>
        </w:rPr>
        <w:t>a</w:t>
      </w:r>
      <w:r w:rsidR="00AE5639" w:rsidRPr="009A41DA">
        <w:rPr>
          <w:szCs w:val="26"/>
        </w:rPr>
        <w:t>re</w:t>
      </w:r>
      <w:r w:rsidR="009126C4" w:rsidRPr="009A41DA">
        <w:rPr>
          <w:szCs w:val="26"/>
        </w:rPr>
        <w:t xml:space="preserve"> </w:t>
      </w:r>
      <w:r w:rsidR="00AE5639" w:rsidRPr="009A41DA">
        <w:rPr>
          <w:szCs w:val="26"/>
        </w:rPr>
        <w:t xml:space="preserve">objectively </w:t>
      </w:r>
      <w:r w:rsidR="009126C4" w:rsidRPr="009A41DA">
        <w:rPr>
          <w:szCs w:val="26"/>
        </w:rPr>
        <w:t>verifi</w:t>
      </w:r>
      <w:r w:rsidR="00AE5639" w:rsidRPr="009A41DA">
        <w:rPr>
          <w:szCs w:val="26"/>
        </w:rPr>
        <w:t>able</w:t>
      </w:r>
      <w:r w:rsidR="009126C4" w:rsidRPr="009A41DA">
        <w:rPr>
          <w:szCs w:val="26"/>
        </w:rPr>
        <w:t xml:space="preserve"> as incorrect based on well-founded</w:t>
      </w:r>
      <w:bookmarkStart w:id="17" w:name="_Hlk147156200"/>
      <w:r w:rsidR="00E03122" w:rsidRPr="009A41DA">
        <w:rPr>
          <w:szCs w:val="26"/>
        </w:rPr>
        <w:t xml:space="preserve"> </w:t>
      </w:r>
      <w:r w:rsidR="001F49B0" w:rsidRPr="009A41DA">
        <w:rPr>
          <w:szCs w:val="26"/>
        </w:rPr>
        <w:t>legal authority.</w:t>
      </w:r>
      <w:bookmarkEnd w:id="17"/>
      <w:r w:rsidR="00372901" w:rsidRPr="009A41DA">
        <w:rPr>
          <w:szCs w:val="26"/>
        </w:rPr>
        <w:t xml:space="preserve">  T</w:t>
      </w:r>
      <w:r w:rsidR="00E963FA" w:rsidRPr="009A41DA">
        <w:rPr>
          <w:szCs w:val="26"/>
        </w:rPr>
        <w:t>he</w:t>
      </w:r>
      <w:r w:rsidR="003802FC" w:rsidRPr="009A41DA">
        <w:rPr>
          <w:szCs w:val="26"/>
        </w:rPr>
        <w:t xml:space="preserve">re is well-established </w:t>
      </w:r>
      <w:r w:rsidR="00E963FA" w:rsidRPr="009A41DA">
        <w:rPr>
          <w:szCs w:val="26"/>
        </w:rPr>
        <w:t>law that Proposition 218 d</w:t>
      </w:r>
      <w:r w:rsidR="00913A90" w:rsidRPr="009A41DA">
        <w:rPr>
          <w:szCs w:val="26"/>
        </w:rPr>
        <w:t>oes</w:t>
      </w:r>
      <w:r w:rsidR="00E963FA" w:rsidRPr="009A41DA">
        <w:rPr>
          <w:szCs w:val="26"/>
        </w:rPr>
        <w:t xml:space="preserve"> not apply to the </w:t>
      </w:r>
      <w:r w:rsidR="00BF0C1F" w:rsidRPr="009A41DA">
        <w:rPr>
          <w:szCs w:val="26"/>
        </w:rPr>
        <w:t xml:space="preserve">FP-5 </w:t>
      </w:r>
      <w:r w:rsidR="00E963FA" w:rsidRPr="009A41DA">
        <w:rPr>
          <w:szCs w:val="26"/>
        </w:rPr>
        <w:t>special tax</w:t>
      </w:r>
      <w:r w:rsidR="003802FC" w:rsidRPr="009A41DA">
        <w:rPr>
          <w:szCs w:val="26"/>
        </w:rPr>
        <w:t xml:space="preserve"> and </w:t>
      </w:r>
      <w:r w:rsidR="00BF0C1F" w:rsidRPr="009A41DA">
        <w:rPr>
          <w:szCs w:val="26"/>
        </w:rPr>
        <w:t>it</w:t>
      </w:r>
      <w:r w:rsidR="003802FC" w:rsidRPr="009A41DA">
        <w:rPr>
          <w:szCs w:val="26"/>
        </w:rPr>
        <w:t xml:space="preserve"> </w:t>
      </w:r>
      <w:r w:rsidR="00913A90" w:rsidRPr="009A41DA">
        <w:rPr>
          <w:szCs w:val="26"/>
        </w:rPr>
        <w:t>i</w:t>
      </w:r>
      <w:r w:rsidR="003802FC" w:rsidRPr="009A41DA">
        <w:rPr>
          <w:szCs w:val="26"/>
        </w:rPr>
        <w:t>s constitutional</w:t>
      </w:r>
      <w:r w:rsidR="00E963FA" w:rsidRPr="009A41DA">
        <w:rPr>
          <w:szCs w:val="26"/>
        </w:rPr>
        <w:t xml:space="preserve"> </w:t>
      </w:r>
      <w:r w:rsidR="003802FC" w:rsidRPr="009A41DA">
        <w:rPr>
          <w:szCs w:val="26"/>
        </w:rPr>
        <w:t>under</w:t>
      </w:r>
      <w:r w:rsidR="00E963FA" w:rsidRPr="009A41DA">
        <w:rPr>
          <w:szCs w:val="26"/>
        </w:rPr>
        <w:t xml:space="preserve"> </w:t>
      </w:r>
      <w:r w:rsidR="00E963FA" w:rsidRPr="009A41DA">
        <w:rPr>
          <w:i/>
          <w:iCs/>
        </w:rPr>
        <w:t>Nishioka</w:t>
      </w:r>
      <w:r w:rsidR="00E963FA" w:rsidRPr="009A41DA">
        <w:t xml:space="preserve">, </w:t>
      </w:r>
      <w:r w:rsidR="00567C17" w:rsidRPr="009A41DA">
        <w:rPr>
          <w:i/>
          <w:iCs/>
        </w:rPr>
        <w:t>Sunset Beach</w:t>
      </w:r>
      <w:r w:rsidR="00567C17" w:rsidRPr="009A41DA">
        <w:t xml:space="preserve">, </w:t>
      </w:r>
      <w:r w:rsidR="00567C17" w:rsidRPr="009A41DA">
        <w:rPr>
          <w:i/>
          <w:iCs/>
        </w:rPr>
        <w:t>supra</w:t>
      </w:r>
      <w:r w:rsidR="00567C17" w:rsidRPr="009A41DA">
        <w:t>, 209 Cal.App.4</w:t>
      </w:r>
      <w:r w:rsidR="003A5774">
        <w:t>th</w:t>
      </w:r>
      <w:r w:rsidR="00567C17" w:rsidRPr="009A41DA">
        <w:t xml:space="preserve"> 1195</w:t>
      </w:r>
      <w:r w:rsidR="00E963FA" w:rsidRPr="009A41DA">
        <w:t>,</w:t>
      </w:r>
      <w:r w:rsidR="008E6ECC" w:rsidRPr="009A41DA">
        <w:t xml:space="preserve"> </w:t>
      </w:r>
      <w:r w:rsidR="008E6ECC" w:rsidRPr="009A41DA">
        <w:rPr>
          <w:i/>
          <w:iCs/>
          <w:szCs w:val="26"/>
          <w:bdr w:val="none" w:sz="0" w:space="0" w:color="auto" w:frame="1"/>
        </w:rPr>
        <w:t xml:space="preserve">Metropolitan Water District v. </w:t>
      </w:r>
      <w:r w:rsidR="008E6ECC" w:rsidRPr="009A41DA">
        <w:rPr>
          <w:i/>
          <w:iCs/>
          <w:szCs w:val="26"/>
          <w:bdr w:val="none" w:sz="0" w:space="0" w:color="auto" w:frame="1"/>
          <w:shd w:val="clear" w:color="auto" w:fill="FFFFFF"/>
        </w:rPr>
        <w:t>Dorff</w:t>
      </w:r>
      <w:r w:rsidR="008E6ECC" w:rsidRPr="009A41DA">
        <w:rPr>
          <w:szCs w:val="26"/>
        </w:rPr>
        <w:t xml:space="preserve"> (1979) 98 Cal.App.3d 109 (</w:t>
      </w:r>
      <w:r w:rsidR="008E6ECC" w:rsidRPr="009A41DA">
        <w:rPr>
          <w:i/>
          <w:iCs/>
          <w:szCs w:val="26"/>
          <w:bdr w:val="none" w:sz="0" w:space="0" w:color="auto" w:frame="1"/>
          <w:shd w:val="clear" w:color="auto" w:fill="FFFFFF"/>
        </w:rPr>
        <w:t>Dorff</w:t>
      </w:r>
      <w:r w:rsidR="008E6ECC" w:rsidRPr="009A41DA">
        <w:rPr>
          <w:szCs w:val="26"/>
        </w:rPr>
        <w:t xml:space="preserve"> )</w:t>
      </w:r>
      <w:r w:rsidR="00E963FA" w:rsidRPr="009A41DA">
        <w:t xml:space="preserve">, Government Code section 57330, and </w:t>
      </w:r>
      <w:r w:rsidR="00E963FA" w:rsidRPr="009A41DA">
        <w:lastRenderedPageBreak/>
        <w:t>Elections Code sections 18600 and 9092.</w:t>
      </w:r>
      <w:r w:rsidR="00BF0C1F" w:rsidRPr="003A5774">
        <w:rPr>
          <w:rStyle w:val="FootnoteReference"/>
          <w:sz w:val="26"/>
          <w:szCs w:val="26"/>
          <w:vertAlign w:val="superscript"/>
        </w:rPr>
        <w:footnoteReference w:id="4"/>
      </w:r>
      <w:r w:rsidR="00E963FA" w:rsidRPr="009A41DA">
        <w:rPr>
          <w:szCs w:val="26"/>
        </w:rPr>
        <w:t xml:space="preserve">  </w:t>
      </w:r>
      <w:bookmarkStart w:id="18" w:name="_Hlk147222969"/>
      <w:r w:rsidR="00003B69" w:rsidRPr="009A41DA">
        <w:rPr>
          <w:szCs w:val="26"/>
        </w:rPr>
        <w:t>This legal authority was accessible to the Real Parties, either through conducting legal research or through representation by their attorneys.</w:t>
      </w:r>
    </w:p>
    <w:p w14:paraId="7B930819" w14:textId="3F724025" w:rsidR="00464261" w:rsidRPr="009A41DA" w:rsidRDefault="00464261" w:rsidP="00DC0C27">
      <w:pPr>
        <w:shd w:val="clear" w:color="auto" w:fill="FFFFFF"/>
        <w:spacing w:line="600" w:lineRule="exact"/>
        <w:ind w:firstLine="720"/>
      </w:pPr>
      <w:r w:rsidRPr="009A41DA">
        <w:rPr>
          <w:szCs w:val="26"/>
        </w:rPr>
        <w:t xml:space="preserve">As the court in </w:t>
      </w:r>
      <w:r w:rsidRPr="009A41DA">
        <w:rPr>
          <w:i/>
          <w:iCs/>
          <w:szCs w:val="26"/>
        </w:rPr>
        <w:t xml:space="preserve">Sunset Beach </w:t>
      </w:r>
      <w:r w:rsidRPr="009A41DA">
        <w:rPr>
          <w:szCs w:val="26"/>
        </w:rPr>
        <w:t>stated, any doubt about the constitutionality of a special tax levied on property owners by annexation, “is removed by examination of the history behind Proposition 218.  Its proponents simply never intended it to apply to annexations.”  (</w:t>
      </w:r>
      <w:r w:rsidRPr="009A41DA">
        <w:rPr>
          <w:i/>
          <w:iCs/>
        </w:rPr>
        <w:t>Sunset Beach</w:t>
      </w:r>
      <w:r w:rsidRPr="009A41DA">
        <w:t xml:space="preserve">, </w:t>
      </w:r>
      <w:r w:rsidRPr="009A41DA">
        <w:rPr>
          <w:i/>
          <w:iCs/>
        </w:rPr>
        <w:t>supra</w:t>
      </w:r>
      <w:r w:rsidRPr="009A41DA">
        <w:t>, 209 Cal.App.4th at p. 1195.)  If the annexation is valid, the tax is valid.  (</w:t>
      </w:r>
      <w:r w:rsidRPr="009A41DA">
        <w:rPr>
          <w:i/>
          <w:iCs/>
        </w:rPr>
        <w:t>Sunset Beach</w:t>
      </w:r>
      <w:r w:rsidR="006B0898">
        <w:t xml:space="preserve">, </w:t>
      </w:r>
      <w:r w:rsidR="006B0898" w:rsidRPr="006B0898">
        <w:rPr>
          <w:i/>
          <w:iCs/>
        </w:rPr>
        <w:t>supra</w:t>
      </w:r>
      <w:r w:rsidR="006B0898">
        <w:t>,</w:t>
      </w:r>
      <w:r w:rsidRPr="009A41DA">
        <w:rPr>
          <w:i/>
          <w:iCs/>
        </w:rPr>
        <w:t xml:space="preserve"> </w:t>
      </w:r>
      <w:r w:rsidRPr="009A41DA">
        <w:t>at pp. 1195, 1197.)</w:t>
      </w:r>
      <w:r w:rsidR="00571EFD" w:rsidRPr="006B0898">
        <w:rPr>
          <w:rStyle w:val="FootnoteReference"/>
          <w:sz w:val="26"/>
          <w:szCs w:val="26"/>
          <w:vertAlign w:val="superscript"/>
        </w:rPr>
        <w:footnoteReference w:id="5"/>
      </w:r>
    </w:p>
    <w:p w14:paraId="52AAA470" w14:textId="34D9E325" w:rsidR="00464261" w:rsidRPr="009A41DA" w:rsidRDefault="00464261" w:rsidP="00DC0C27">
      <w:pPr>
        <w:shd w:val="clear" w:color="auto" w:fill="FFFFFF"/>
        <w:spacing w:line="600" w:lineRule="exact"/>
        <w:rPr>
          <w:szCs w:val="26"/>
        </w:rPr>
      </w:pPr>
      <w:r w:rsidRPr="009A41DA">
        <w:tab/>
        <w:t xml:space="preserve">In support of this proposition, the </w:t>
      </w:r>
      <w:r w:rsidRPr="009A41DA">
        <w:rPr>
          <w:i/>
          <w:iCs/>
        </w:rPr>
        <w:t xml:space="preserve">Sunset Beach </w:t>
      </w:r>
      <w:r w:rsidRPr="009A41DA">
        <w:t xml:space="preserve">court cited </w:t>
      </w:r>
      <w:r w:rsidRPr="009A41DA">
        <w:rPr>
          <w:i/>
          <w:iCs/>
          <w:szCs w:val="26"/>
          <w:bdr w:val="none" w:sz="0" w:space="0" w:color="auto" w:frame="1"/>
          <w:shd w:val="clear" w:color="auto" w:fill="FFFFFF"/>
        </w:rPr>
        <w:t>Dorff</w:t>
      </w:r>
      <w:r w:rsidR="00A91C36">
        <w:rPr>
          <w:szCs w:val="26"/>
          <w:bdr w:val="none" w:sz="0" w:space="0" w:color="auto" w:frame="1"/>
          <w:shd w:val="clear" w:color="auto" w:fill="FFFFFF"/>
        </w:rPr>
        <w:t xml:space="preserve">, </w:t>
      </w:r>
      <w:r w:rsidR="00A91C36" w:rsidRPr="00A91C36">
        <w:rPr>
          <w:i/>
          <w:iCs/>
          <w:szCs w:val="26"/>
          <w:bdr w:val="none" w:sz="0" w:space="0" w:color="auto" w:frame="1"/>
          <w:shd w:val="clear" w:color="auto" w:fill="FFFFFF"/>
        </w:rPr>
        <w:t>supra</w:t>
      </w:r>
      <w:r w:rsidR="00A91C36">
        <w:rPr>
          <w:szCs w:val="26"/>
          <w:bdr w:val="none" w:sz="0" w:space="0" w:color="auto" w:frame="1"/>
          <w:shd w:val="clear" w:color="auto" w:fill="FFFFFF"/>
        </w:rPr>
        <w:t xml:space="preserve">, </w:t>
      </w:r>
      <w:r w:rsidRPr="009A41DA">
        <w:rPr>
          <w:szCs w:val="26"/>
        </w:rPr>
        <w:t>98 Cal.App.3d 109,</w:t>
      </w:r>
      <w:r w:rsidRPr="009A41DA">
        <w:rPr>
          <w:i/>
          <w:iCs/>
        </w:rPr>
        <w:t xml:space="preserve"> </w:t>
      </w:r>
      <w:r w:rsidRPr="009A41DA">
        <w:t xml:space="preserve">explaining: </w:t>
      </w:r>
      <w:r w:rsidR="006B0898">
        <w:t xml:space="preserve"> </w:t>
      </w:r>
      <w:r w:rsidRPr="009A41DA">
        <w:t>“[T]</w:t>
      </w:r>
      <w:r w:rsidRPr="009A41DA">
        <w:rPr>
          <w:szCs w:val="26"/>
        </w:rPr>
        <w:t xml:space="preserve">he existence of the </w:t>
      </w:r>
      <w:r w:rsidRPr="009A41DA">
        <w:rPr>
          <w:i/>
          <w:iCs/>
          <w:szCs w:val="26"/>
          <w:bdr w:val="none" w:sz="0" w:space="0" w:color="auto" w:frame="1"/>
          <w:shd w:val="clear" w:color="auto" w:fill="FFFFFF"/>
        </w:rPr>
        <w:t>Dorff</w:t>
      </w:r>
      <w:r w:rsidRPr="009A41DA">
        <w:rPr>
          <w:szCs w:val="26"/>
        </w:rPr>
        <w:t xml:space="preserve"> case, decided in 1979, shows plainly that Proposition 218 was not intended to apply to the tax effects of annexations.  More than a decade and a half </w:t>
      </w:r>
      <w:r w:rsidRPr="009A41DA">
        <w:rPr>
          <w:i/>
          <w:iCs/>
          <w:szCs w:val="26"/>
          <w:bdr w:val="none" w:sz="0" w:space="0" w:color="auto" w:frame="1"/>
        </w:rPr>
        <w:t>prior</w:t>
      </w:r>
      <w:r w:rsidRPr="009A41DA">
        <w:rPr>
          <w:szCs w:val="26"/>
        </w:rPr>
        <w:t xml:space="preserve"> to Proposition 218, </w:t>
      </w:r>
      <w:r w:rsidRPr="009A41DA">
        <w:rPr>
          <w:i/>
          <w:iCs/>
          <w:szCs w:val="26"/>
          <w:bdr w:val="none" w:sz="0" w:space="0" w:color="auto" w:frame="1"/>
          <w:shd w:val="clear" w:color="auto" w:fill="FFFFFF"/>
        </w:rPr>
        <w:t>Dorff</w:t>
      </w:r>
      <w:r w:rsidRPr="009A41DA">
        <w:rPr>
          <w:szCs w:val="26"/>
        </w:rPr>
        <w:t xml:space="preserve"> directly held that Proposition 13 did not preclude the application of a preexisting property tax to land previously not part of an annexing water district to pay for that water district’s outstanding obligations.  [¶]</w:t>
      </w:r>
      <w:r w:rsidR="006B0898">
        <w:rPr>
          <w:szCs w:val="26"/>
        </w:rPr>
        <w:t xml:space="preserve"> </w:t>
      </w:r>
      <w:r w:rsidRPr="009A41DA">
        <w:rPr>
          <w:szCs w:val="26"/>
        </w:rPr>
        <w:t xml:space="preserve"> . . . </w:t>
      </w:r>
      <w:r w:rsidR="006B0898">
        <w:rPr>
          <w:szCs w:val="26"/>
        </w:rPr>
        <w:t xml:space="preserve"> </w:t>
      </w:r>
      <w:r w:rsidRPr="009A41DA">
        <w:rPr>
          <w:szCs w:val="26"/>
        </w:rPr>
        <w:t xml:space="preserve">[I]n </w:t>
      </w:r>
      <w:r w:rsidRPr="009A41DA">
        <w:rPr>
          <w:i/>
          <w:iCs/>
          <w:szCs w:val="26"/>
          <w:bdr w:val="none" w:sz="0" w:space="0" w:color="auto" w:frame="1"/>
          <w:shd w:val="clear" w:color="auto" w:fill="FFFFFF"/>
        </w:rPr>
        <w:t>Dorff</w:t>
      </w:r>
      <w:r w:rsidRPr="009A41DA">
        <w:rPr>
          <w:szCs w:val="26"/>
        </w:rPr>
        <w:t xml:space="preserve"> the </w:t>
      </w:r>
      <w:r w:rsidRPr="009A41DA">
        <w:rPr>
          <w:i/>
          <w:iCs/>
          <w:szCs w:val="26"/>
          <w:bdr w:val="none" w:sz="0" w:space="0" w:color="auto" w:frame="1"/>
        </w:rPr>
        <w:t>effect</w:t>
      </w:r>
      <w:r w:rsidRPr="009A41DA">
        <w:rPr>
          <w:szCs w:val="26"/>
        </w:rPr>
        <w:t xml:space="preserve"> of the annexation was to apply a preexisting tax to property previously free of that tax.”  (</w:t>
      </w:r>
      <w:r w:rsidRPr="009A41DA">
        <w:rPr>
          <w:i/>
          <w:iCs/>
        </w:rPr>
        <w:t>Sunset Beach</w:t>
      </w:r>
      <w:r w:rsidRPr="009A41DA">
        <w:t xml:space="preserve">, </w:t>
      </w:r>
      <w:r w:rsidRPr="009A41DA">
        <w:rPr>
          <w:i/>
          <w:iCs/>
        </w:rPr>
        <w:t>supra</w:t>
      </w:r>
      <w:r w:rsidRPr="009A41DA">
        <w:t xml:space="preserve">, 209 Cal.App.4th at p. 1197, citing </w:t>
      </w:r>
      <w:r w:rsidRPr="009A41DA">
        <w:rPr>
          <w:i/>
          <w:iCs/>
          <w:szCs w:val="26"/>
        </w:rPr>
        <w:t>Dorff</w:t>
      </w:r>
      <w:r w:rsidR="006B0898">
        <w:rPr>
          <w:szCs w:val="26"/>
        </w:rPr>
        <w:t xml:space="preserve">, </w:t>
      </w:r>
      <w:r w:rsidR="006B0898" w:rsidRPr="006B0898">
        <w:rPr>
          <w:i/>
          <w:iCs/>
          <w:szCs w:val="26"/>
        </w:rPr>
        <w:t>supra</w:t>
      </w:r>
      <w:r w:rsidR="006B0898">
        <w:rPr>
          <w:szCs w:val="26"/>
        </w:rPr>
        <w:t>,</w:t>
      </w:r>
      <w:r w:rsidRPr="009A41DA">
        <w:rPr>
          <w:szCs w:val="26"/>
        </w:rPr>
        <w:t xml:space="preserve"> at p. 115.)</w:t>
      </w:r>
    </w:p>
    <w:p w14:paraId="0B0BF29C" w14:textId="46C8D5EA" w:rsidR="00464261" w:rsidRPr="009A41DA" w:rsidRDefault="00464261" w:rsidP="00DC0C27">
      <w:pPr>
        <w:spacing w:line="600" w:lineRule="exact"/>
        <w:ind w:firstLine="720"/>
        <w:rPr>
          <w:szCs w:val="26"/>
        </w:rPr>
      </w:pPr>
      <w:r w:rsidRPr="009A41DA">
        <w:rPr>
          <w:szCs w:val="26"/>
        </w:rPr>
        <w:lastRenderedPageBreak/>
        <w:t xml:space="preserve">The court in </w:t>
      </w:r>
      <w:r w:rsidRPr="009A41DA">
        <w:rPr>
          <w:i/>
          <w:iCs/>
          <w:szCs w:val="26"/>
        </w:rPr>
        <w:t xml:space="preserve">Sunset Beach </w:t>
      </w:r>
      <w:r w:rsidRPr="009A41DA">
        <w:rPr>
          <w:szCs w:val="26"/>
        </w:rPr>
        <w:t>stated that “</w:t>
      </w:r>
      <w:r w:rsidRPr="009A41DA">
        <w:rPr>
          <w:i/>
          <w:iCs/>
          <w:szCs w:val="26"/>
          <w:bdr w:val="none" w:sz="0" w:space="0" w:color="auto" w:frame="1"/>
          <w:shd w:val="clear" w:color="auto" w:fill="FFFFFF"/>
        </w:rPr>
        <w:t>Dorff</w:t>
      </w:r>
      <w:r w:rsidRPr="009A41DA">
        <w:rPr>
          <w:szCs w:val="26"/>
        </w:rPr>
        <w:t xml:space="preserve"> recognized that annexations could have possible adverse tax effects on property being annexed, and these adverse tax effects </w:t>
      </w:r>
      <w:r w:rsidRPr="009A41DA">
        <w:rPr>
          <w:i/>
          <w:iCs/>
          <w:szCs w:val="26"/>
          <w:bdr w:val="none" w:sz="0" w:space="0" w:color="auto" w:frame="1"/>
        </w:rPr>
        <w:t>were known as early as 1979,</w:t>
      </w:r>
      <w:r w:rsidRPr="009A41DA">
        <w:rPr>
          <w:szCs w:val="26"/>
        </w:rPr>
        <w:t xml:space="preserve"> and courts had held them not to offend Proposition 13.  Had Proposition 218 been intended to satisfy or avoid the effects of </w:t>
      </w:r>
      <w:r w:rsidRPr="009A41DA">
        <w:rPr>
          <w:i/>
          <w:iCs/>
          <w:szCs w:val="26"/>
          <w:bdr w:val="none" w:sz="0" w:space="0" w:color="auto" w:frame="1"/>
          <w:shd w:val="clear" w:color="auto" w:fill="FFFFFF"/>
        </w:rPr>
        <w:t>Dorff</w:t>
      </w:r>
      <w:r w:rsidRPr="009A41DA">
        <w:rPr>
          <w:i/>
          <w:iCs/>
          <w:szCs w:val="26"/>
          <w:bdr w:val="none" w:sz="0" w:space="0" w:color="auto" w:frame="1"/>
        </w:rPr>
        <w:t>,</w:t>
      </w:r>
      <w:r w:rsidRPr="009A41DA">
        <w:rPr>
          <w:szCs w:val="26"/>
        </w:rPr>
        <w:t xml:space="preserve"> we would have expected </w:t>
      </w:r>
      <w:r w:rsidRPr="009A41DA">
        <w:rPr>
          <w:i/>
          <w:iCs/>
          <w:szCs w:val="26"/>
          <w:bdr w:val="none" w:sz="0" w:space="0" w:color="auto" w:frame="1"/>
        </w:rPr>
        <w:t>some</w:t>
      </w:r>
      <w:r w:rsidRPr="009A41DA">
        <w:rPr>
          <w:szCs w:val="26"/>
        </w:rPr>
        <w:t xml:space="preserve"> attempt somewhere in Proposition 218 to address the issue.  We have found none.”  (</w:t>
      </w:r>
      <w:r w:rsidRPr="009A41DA">
        <w:rPr>
          <w:i/>
          <w:iCs/>
        </w:rPr>
        <w:t>Sunset Beach</w:t>
      </w:r>
      <w:r w:rsidRPr="009A41DA">
        <w:t xml:space="preserve">, </w:t>
      </w:r>
      <w:r w:rsidRPr="009A41DA">
        <w:rPr>
          <w:i/>
          <w:iCs/>
        </w:rPr>
        <w:t>supra</w:t>
      </w:r>
      <w:r w:rsidRPr="009A41DA">
        <w:t xml:space="preserve">, 209 Cal.App.4th at pp. 1197-1198, citing </w:t>
      </w:r>
      <w:r w:rsidRPr="009A41DA">
        <w:rPr>
          <w:i/>
          <w:iCs/>
          <w:szCs w:val="26"/>
        </w:rPr>
        <w:t>Dorff</w:t>
      </w:r>
      <w:r w:rsidRPr="009A41DA">
        <w:rPr>
          <w:i/>
          <w:iCs/>
          <w:szCs w:val="26"/>
          <w:bdr w:val="none" w:sz="0" w:space="0" w:color="auto" w:frame="1"/>
        </w:rPr>
        <w:t>, supra</w:t>
      </w:r>
      <w:r w:rsidRPr="006B0898">
        <w:rPr>
          <w:szCs w:val="26"/>
          <w:bdr w:val="none" w:sz="0" w:space="0" w:color="auto" w:frame="1"/>
        </w:rPr>
        <w:t>,</w:t>
      </w:r>
      <w:r w:rsidRPr="006B0898">
        <w:rPr>
          <w:szCs w:val="26"/>
        </w:rPr>
        <w:t xml:space="preserve"> </w:t>
      </w:r>
      <w:r w:rsidRPr="009A41DA">
        <w:rPr>
          <w:szCs w:val="26"/>
        </w:rPr>
        <w:t xml:space="preserve">98 Cal.App.3d 109.)  </w:t>
      </w:r>
      <w:r w:rsidRPr="009A41DA">
        <w:t>It is also unlikely that the Legislature would have enacted Government Code section 57330 in 1993, which states that “</w:t>
      </w:r>
      <w:r w:rsidR="00A91C36">
        <w:t>[</w:t>
      </w:r>
      <w:r w:rsidRPr="009A41DA">
        <w:t>a</w:t>
      </w:r>
      <w:r w:rsidR="00A91C36">
        <w:t>]</w:t>
      </w:r>
      <w:r w:rsidRPr="009A41DA">
        <w:t>ny territory annexed to a city or district shall be subject to the levying or fixing and collection of any previously authorized taxes, benefit assessments, fees, or charges of the city or district.”  (Gov. C</w:t>
      </w:r>
      <w:r w:rsidR="00A91C36">
        <w:t>ode</w:t>
      </w:r>
      <w:r w:rsidRPr="009A41DA">
        <w:t xml:space="preserve">, </w:t>
      </w:r>
      <w:r w:rsidRPr="009A41DA">
        <w:rPr>
          <w:szCs w:val="26"/>
        </w:rPr>
        <w:t>§</w:t>
      </w:r>
      <w:r w:rsidR="006B0898">
        <w:rPr>
          <w:szCs w:val="26"/>
        </w:rPr>
        <w:t> </w:t>
      </w:r>
      <w:r w:rsidRPr="009A41DA">
        <w:rPr>
          <w:szCs w:val="26"/>
        </w:rPr>
        <w:t>57330.)</w:t>
      </w:r>
    </w:p>
    <w:p w14:paraId="7E870929" w14:textId="5A5BF10B" w:rsidR="00464261" w:rsidRPr="009A41DA" w:rsidRDefault="00464261" w:rsidP="00DC0C27">
      <w:pPr>
        <w:spacing w:line="600" w:lineRule="exact"/>
        <w:ind w:firstLine="720"/>
        <w:rPr>
          <w:szCs w:val="26"/>
        </w:rPr>
      </w:pPr>
      <w:r w:rsidRPr="009A41DA">
        <w:rPr>
          <w:szCs w:val="26"/>
        </w:rPr>
        <w:t>The Initiative statements convey the misleading and false implied fact that Proposition 218 applies to the special tax</w:t>
      </w:r>
      <w:r w:rsidR="00571EFD">
        <w:rPr>
          <w:szCs w:val="26"/>
        </w:rPr>
        <w:t>,</w:t>
      </w:r>
      <w:r w:rsidRPr="009A41DA">
        <w:rPr>
          <w:szCs w:val="26"/>
        </w:rPr>
        <w:t xml:space="preserve"> and the tax is therefore unconstitutional because the owners of FP-5 annexed property did not vote on the special tax and approve it by a two-thirds vote.  Real Parties argue that, “[b]ecause what may be constitutional today may be unconstitutional tomorrow,” the facts stated in the Initiative are not objectively verifiable facts which subject the Initiative to disqualification.  We are not persuaded by this argument.  At the time the Initiative was submitted and circulated, the weight of legal authority established that Proposition 218 did not apply to a special tax on annexed property and, therefore, the special tax was constitutional.  Nevertheless, the </w:t>
      </w:r>
      <w:r w:rsidRPr="009A41DA">
        <w:rPr>
          <w:szCs w:val="26"/>
        </w:rPr>
        <w:lastRenderedPageBreak/>
        <w:t>Initiative falsely implied that it was undisputed the special tax was unconstitutional under Proposition 218 because the annexed property owners did not vote on the special tax.</w:t>
      </w:r>
    </w:p>
    <w:p w14:paraId="1D7759EA" w14:textId="3635EE44" w:rsidR="00464261" w:rsidRPr="009A41DA" w:rsidRDefault="00464261" w:rsidP="00DC0C27">
      <w:pPr>
        <w:shd w:val="clear" w:color="auto" w:fill="FFFFFF"/>
        <w:spacing w:line="600" w:lineRule="exact"/>
        <w:ind w:firstLine="720"/>
        <w:rPr>
          <w:szCs w:val="26"/>
        </w:rPr>
      </w:pPr>
      <w:r w:rsidRPr="009A41DA">
        <w:rPr>
          <w:szCs w:val="26"/>
        </w:rPr>
        <w:t xml:space="preserve">Citing </w:t>
      </w:r>
      <w:r w:rsidRPr="009A41DA">
        <w:rPr>
          <w:i/>
          <w:iCs/>
          <w:szCs w:val="26"/>
        </w:rPr>
        <w:t>Gregory v. McDonnell Douglas Corp.</w:t>
      </w:r>
      <w:r w:rsidRPr="009A41DA">
        <w:rPr>
          <w:szCs w:val="26"/>
        </w:rPr>
        <w:t xml:space="preserve"> (1976) 17 Cal.3d 596, Real Parties argue the Initiative statements regarding the unconstitutionality of the special tax do not state objective, verifiable false or misleading facts because they merely state legal opinion.  We disagree.  In </w:t>
      </w:r>
      <w:r w:rsidRPr="009A41DA">
        <w:rPr>
          <w:i/>
          <w:iCs/>
          <w:szCs w:val="26"/>
        </w:rPr>
        <w:t>Gregory</w:t>
      </w:r>
      <w:r w:rsidRPr="009A41DA">
        <w:rPr>
          <w:szCs w:val="26"/>
        </w:rPr>
        <w:t>, the court held that statements of opinion, as opposed to statements of fact, are not actionable in defamation cases.  (</w:t>
      </w:r>
      <w:r w:rsidRPr="009A41DA">
        <w:rPr>
          <w:i/>
          <w:iCs/>
          <w:szCs w:val="26"/>
        </w:rPr>
        <w:t>Id</w:t>
      </w:r>
      <w:r w:rsidRPr="006B0898">
        <w:rPr>
          <w:szCs w:val="26"/>
        </w:rPr>
        <w:t xml:space="preserve">. </w:t>
      </w:r>
      <w:r w:rsidRPr="009A41DA">
        <w:rPr>
          <w:szCs w:val="26"/>
        </w:rPr>
        <w:t xml:space="preserve">at pp. 603-604.)  </w:t>
      </w:r>
      <w:r w:rsidRPr="009A41DA">
        <w:rPr>
          <w:i/>
          <w:iCs/>
          <w:szCs w:val="26"/>
        </w:rPr>
        <w:t xml:space="preserve">Gregory </w:t>
      </w:r>
      <w:r w:rsidRPr="009A41DA">
        <w:rPr>
          <w:szCs w:val="26"/>
        </w:rPr>
        <w:t>is not on point.  It is a defamation action, in which “[t]he gist of the statements . . . is that the plaintiffs, union officers, were apparently willing to sacrifice the interests of the members of their union to further their own political aspirations and personal ambitions.  The language of both statements is cautiously phrased in terms of apparency.  More importantly, the charges are of the kind typically generated in the ‘economic give-and-take’ of a spirited labor dispute in which the judgment, loyalties and subjective motives of rivals are reciprocally attacked and defended, frequently with considerable heat.”  (</w:t>
      </w:r>
      <w:r w:rsidR="00A91C36" w:rsidRPr="00A91C36">
        <w:rPr>
          <w:i/>
          <w:iCs/>
          <w:szCs w:val="26"/>
        </w:rPr>
        <w:t>Id</w:t>
      </w:r>
      <w:r w:rsidR="00A91C36">
        <w:rPr>
          <w:szCs w:val="26"/>
        </w:rPr>
        <w:t>. a</w:t>
      </w:r>
      <w:r w:rsidRPr="009A41DA">
        <w:rPr>
          <w:szCs w:val="26"/>
        </w:rPr>
        <w:t>t p. 603.)</w:t>
      </w:r>
    </w:p>
    <w:p w14:paraId="06C12EC4" w14:textId="14836BE2" w:rsidR="00464261" w:rsidRPr="009A41DA" w:rsidRDefault="00464261" w:rsidP="00DC0C27">
      <w:pPr>
        <w:spacing w:line="600" w:lineRule="exact"/>
        <w:ind w:firstLine="720"/>
        <w:rPr>
          <w:szCs w:val="26"/>
        </w:rPr>
      </w:pPr>
      <w:r w:rsidRPr="009A41DA">
        <w:rPr>
          <w:szCs w:val="26"/>
        </w:rPr>
        <w:t xml:space="preserve">Although it is true the court may change its view as to how a statute, case, or the constitution is construed, this does not preclude well-established law from constituting objectively verifiable fact.  Otherwise, an initiative could freely misstate law and mislead voters into approving an initiative based on unsupported, misleading misstatements of the law without any adverse repercussions.  The electorate would have no recourse or protection from false, misleading statements of law, and voters would not be able to rely </w:t>
      </w:r>
      <w:r w:rsidRPr="009A41DA">
        <w:rPr>
          <w:szCs w:val="26"/>
        </w:rPr>
        <w:lastRenderedPageBreak/>
        <w:t xml:space="preserve">on the veracity of statements of law made in </w:t>
      </w:r>
      <w:r w:rsidR="00571EFD">
        <w:rPr>
          <w:szCs w:val="26"/>
        </w:rPr>
        <w:t>i</w:t>
      </w:r>
      <w:r w:rsidRPr="009A41DA">
        <w:rPr>
          <w:szCs w:val="26"/>
        </w:rPr>
        <w:t>nitiatives.  This would result in interference with the State’s “compelling regulatory interest in preserving the integrity of the initiative process from intentional falsehoods designed to mislead voters into qualifying a measure for the ballot. . . . [V]oters have a right to rely on the integrity of the initiative process and the accuracy of the petition which they properly believe complies with Elections Code requirements.”  (</w:t>
      </w:r>
      <w:r w:rsidRPr="009A41DA">
        <w:rPr>
          <w:i/>
          <w:iCs/>
        </w:rPr>
        <w:t>Nishioka</w:t>
      </w:r>
      <w:r w:rsidRPr="009A41DA">
        <w:t xml:space="preserve">, </w:t>
      </w:r>
      <w:r w:rsidRPr="009A41DA">
        <w:rPr>
          <w:i/>
          <w:iCs/>
        </w:rPr>
        <w:t>supra</w:t>
      </w:r>
      <w:r w:rsidRPr="009A41DA">
        <w:t>, 75 Cal.App.4</w:t>
      </w:r>
      <w:r w:rsidR="00B45381">
        <w:t>th</w:t>
      </w:r>
      <w:r w:rsidRPr="009A41DA">
        <w:t xml:space="preserve"> at p. 648</w:t>
      </w:r>
      <w:r w:rsidRPr="009A41DA">
        <w:rPr>
          <w:szCs w:val="26"/>
        </w:rPr>
        <w:t>.)</w:t>
      </w:r>
    </w:p>
    <w:p w14:paraId="3C2BD6FE" w14:textId="2EEAA864" w:rsidR="00464261" w:rsidRPr="009A41DA" w:rsidRDefault="00464261" w:rsidP="00DC0C27">
      <w:pPr>
        <w:shd w:val="clear" w:color="auto" w:fill="FFFFFF"/>
        <w:spacing w:line="600" w:lineRule="exact"/>
        <w:ind w:firstLine="720"/>
        <w:rPr>
          <w:szCs w:val="26"/>
        </w:rPr>
      </w:pPr>
      <w:r w:rsidRPr="009A41DA">
        <w:rPr>
          <w:szCs w:val="26"/>
        </w:rPr>
        <w:t xml:space="preserve">In determining whether statements are false or misleading, “courts look to whether the challenged statement is subject to verifiability, as distinct from ‘typical hyperbole and opinionated comments common to political debate.’  (See </w:t>
      </w:r>
      <w:r w:rsidR="00A91C36">
        <w:rPr>
          <w:szCs w:val="26"/>
        </w:rPr>
        <w:t>[</w:t>
      </w:r>
      <w:r w:rsidRPr="009A41DA">
        <w:rPr>
          <w:i/>
          <w:iCs/>
          <w:szCs w:val="26"/>
          <w:bdr w:val="none" w:sz="0" w:space="0" w:color="auto" w:frame="1"/>
        </w:rPr>
        <w:t>Nishioka</w:t>
      </w:r>
      <w:r w:rsidR="00A91C36">
        <w:rPr>
          <w:szCs w:val="26"/>
          <w:bdr w:val="none" w:sz="0" w:space="0" w:color="auto" w:frame="1"/>
        </w:rPr>
        <w:t>]</w:t>
      </w:r>
      <w:r w:rsidRPr="00B45381">
        <w:rPr>
          <w:szCs w:val="26"/>
          <w:bdr w:val="none" w:sz="0" w:space="0" w:color="auto" w:frame="1"/>
        </w:rPr>
        <w:t xml:space="preserve">, </w:t>
      </w:r>
      <w:r w:rsidRPr="009A41DA">
        <w:rPr>
          <w:i/>
          <w:iCs/>
          <w:szCs w:val="26"/>
          <w:bdr w:val="none" w:sz="0" w:space="0" w:color="auto" w:frame="1"/>
        </w:rPr>
        <w:t>supra</w:t>
      </w:r>
      <w:r w:rsidRPr="00B45381">
        <w:rPr>
          <w:szCs w:val="26"/>
          <w:bdr w:val="none" w:sz="0" w:space="0" w:color="auto" w:frame="1"/>
        </w:rPr>
        <w:t>,</w:t>
      </w:r>
      <w:r w:rsidRPr="00B45381">
        <w:rPr>
          <w:szCs w:val="26"/>
        </w:rPr>
        <w:t xml:space="preserve"> </w:t>
      </w:r>
      <w:r w:rsidRPr="009A41DA">
        <w:rPr>
          <w:szCs w:val="26"/>
        </w:rPr>
        <w:t xml:space="preserve">75 Cal.App.4th at p. 649.)  An ‘outright falsehood’ or a statement that is ‘objectively untrue’ may be stricken.  </w:t>
      </w:r>
      <w:r w:rsidR="00A91C36">
        <w:rPr>
          <w:szCs w:val="26"/>
        </w:rPr>
        <w:t>[Citation.]</w:t>
      </w:r>
      <w:r w:rsidRPr="009A41DA">
        <w:rPr>
          <w:szCs w:val="26"/>
        </w:rPr>
        <w:t xml:space="preserve">  We need only add that context may show that a statement that, in one sense, can be said to be literally true can still be materially misleading; hence, the Legislature did not indulge in redundancy when it used both words.  On the other hand, the standard, as defined by the Legislature, is necessarily a high one:</w:t>
      </w:r>
      <w:r w:rsidR="00B45381">
        <w:rPr>
          <w:szCs w:val="26"/>
        </w:rPr>
        <w:t xml:space="preserve"> </w:t>
      </w:r>
      <w:r w:rsidRPr="009A41DA">
        <w:rPr>
          <w:szCs w:val="26"/>
        </w:rPr>
        <w:t xml:space="preserve"> Courts may intervene </w:t>
      </w:r>
      <w:r w:rsidRPr="009A41DA">
        <w:rPr>
          <w:i/>
          <w:iCs/>
          <w:szCs w:val="26"/>
          <w:bdr w:val="none" w:sz="0" w:space="0" w:color="auto" w:frame="1"/>
        </w:rPr>
        <w:t>only</w:t>
      </w:r>
      <w:r w:rsidRPr="009A41DA">
        <w:rPr>
          <w:szCs w:val="26"/>
        </w:rPr>
        <w:t xml:space="preserve"> if clear and convincing evidence shows the statement to be false or misleading.”  (</w:t>
      </w:r>
      <w:r w:rsidRPr="009A41DA">
        <w:rPr>
          <w:i/>
          <w:iCs/>
          <w:szCs w:val="26"/>
        </w:rPr>
        <w:t>Huntington Beach City Council v. Superior Court</w:t>
      </w:r>
      <w:r w:rsidRPr="009A41DA">
        <w:rPr>
          <w:szCs w:val="26"/>
        </w:rPr>
        <w:t xml:space="preserve"> (2002) 94 Cal.App.4th 1417, 1432.)</w:t>
      </w:r>
    </w:p>
    <w:p w14:paraId="4CB7AB64" w14:textId="143B2BEF" w:rsidR="00407A11" w:rsidRPr="009A41DA" w:rsidRDefault="00407A11" w:rsidP="00DC0C27">
      <w:pPr>
        <w:spacing w:line="600" w:lineRule="exact"/>
        <w:ind w:firstLine="720"/>
        <w:rPr>
          <w:szCs w:val="26"/>
        </w:rPr>
      </w:pPr>
      <w:r w:rsidRPr="009A41DA">
        <w:rPr>
          <w:szCs w:val="26"/>
        </w:rPr>
        <w:t xml:space="preserve">We disagree with Real Parties that </w:t>
      </w:r>
      <w:r w:rsidRPr="009A41DA">
        <w:rPr>
          <w:i/>
          <w:iCs/>
          <w:szCs w:val="26"/>
        </w:rPr>
        <w:t xml:space="preserve">Chavez v. Citizens for Fair Farm Labor Law </w:t>
      </w:r>
      <w:r w:rsidRPr="009A41DA">
        <w:rPr>
          <w:szCs w:val="26"/>
        </w:rPr>
        <w:t xml:space="preserve">(1978) 84 Cal.App.3d 77, is on all fours here on the holding that the misleading statements were opinion, not fact. </w:t>
      </w:r>
      <w:r w:rsidR="00A91C36">
        <w:rPr>
          <w:szCs w:val="26"/>
        </w:rPr>
        <w:t xml:space="preserve"> </w:t>
      </w:r>
      <w:r w:rsidRPr="009A41DA">
        <w:rPr>
          <w:i/>
          <w:iCs/>
          <w:szCs w:val="26"/>
        </w:rPr>
        <w:t>Chavez</w:t>
      </w:r>
      <w:r w:rsidRPr="009A41DA">
        <w:rPr>
          <w:szCs w:val="26"/>
        </w:rPr>
        <w:t xml:space="preserve"> is distinguishable because, here, </w:t>
      </w:r>
      <w:r w:rsidR="00BF0C1F" w:rsidRPr="009A41DA">
        <w:rPr>
          <w:szCs w:val="26"/>
        </w:rPr>
        <w:t xml:space="preserve">unlike in </w:t>
      </w:r>
      <w:r w:rsidR="00BF0C1F" w:rsidRPr="009A41DA">
        <w:rPr>
          <w:i/>
          <w:iCs/>
          <w:szCs w:val="26"/>
        </w:rPr>
        <w:t>Chavez</w:t>
      </w:r>
      <w:r w:rsidR="00BF0C1F" w:rsidRPr="009A41DA">
        <w:rPr>
          <w:szCs w:val="26"/>
        </w:rPr>
        <w:t xml:space="preserve">, </w:t>
      </w:r>
      <w:r w:rsidRPr="009A41DA">
        <w:rPr>
          <w:szCs w:val="26"/>
        </w:rPr>
        <w:t xml:space="preserve">there is no </w:t>
      </w:r>
      <w:r w:rsidR="00BF0C1F" w:rsidRPr="009A41DA">
        <w:rPr>
          <w:szCs w:val="26"/>
        </w:rPr>
        <w:t>conflicting decisional or statutory</w:t>
      </w:r>
      <w:r w:rsidRPr="009A41DA">
        <w:rPr>
          <w:szCs w:val="26"/>
        </w:rPr>
        <w:t xml:space="preserve"> law </w:t>
      </w:r>
      <w:r w:rsidR="00BF0C1F" w:rsidRPr="009A41DA">
        <w:rPr>
          <w:szCs w:val="26"/>
        </w:rPr>
        <w:t xml:space="preserve">on the constitutionality of a </w:t>
      </w:r>
      <w:r w:rsidR="00BF0C1F" w:rsidRPr="009A41DA">
        <w:rPr>
          <w:szCs w:val="26"/>
        </w:rPr>
        <w:lastRenderedPageBreak/>
        <w:t xml:space="preserve">special tax on annexed property.  </w:t>
      </w:r>
      <w:r w:rsidRPr="009A41DA">
        <w:rPr>
          <w:szCs w:val="26"/>
        </w:rPr>
        <w:t>The legal issue, thus, is not open to several reasonable interpretations under decisional law.  (</w:t>
      </w:r>
      <w:r w:rsidRPr="009A41DA">
        <w:rPr>
          <w:i/>
          <w:iCs/>
          <w:szCs w:val="26"/>
        </w:rPr>
        <w:t>Id</w:t>
      </w:r>
      <w:r w:rsidRPr="00B45381">
        <w:rPr>
          <w:szCs w:val="26"/>
        </w:rPr>
        <w:t xml:space="preserve">. </w:t>
      </w:r>
      <w:r w:rsidRPr="009A41DA">
        <w:rPr>
          <w:szCs w:val="26"/>
        </w:rPr>
        <w:t>at p. 82.)</w:t>
      </w:r>
    </w:p>
    <w:bookmarkEnd w:id="16"/>
    <w:bookmarkEnd w:id="18"/>
    <w:p w14:paraId="4D75C0F1" w14:textId="019E7DDE" w:rsidR="00EF3D7D" w:rsidRPr="009A41DA" w:rsidRDefault="00FF27B8" w:rsidP="00DC0C27">
      <w:pPr>
        <w:spacing w:line="600" w:lineRule="exact"/>
        <w:ind w:firstLine="720"/>
        <w:rPr>
          <w:szCs w:val="26"/>
        </w:rPr>
      </w:pPr>
      <w:r w:rsidRPr="009A41DA">
        <w:rPr>
          <w:szCs w:val="26"/>
        </w:rPr>
        <w:t>Even if the unconstitutionality</w:t>
      </w:r>
      <w:r w:rsidR="00C6245B" w:rsidRPr="009A41DA">
        <w:rPr>
          <w:szCs w:val="26"/>
        </w:rPr>
        <w:t xml:space="preserve"> of the FP-5 special tax</w:t>
      </w:r>
      <w:r w:rsidRPr="009A41DA">
        <w:rPr>
          <w:szCs w:val="26"/>
        </w:rPr>
        <w:t xml:space="preserve"> is subject to question or dispute, the Initiative is misleading because it implies the special tax is unconstitutional as a matter of undisputed law</w:t>
      </w:r>
      <w:r w:rsidR="00C17BAE" w:rsidRPr="009A41DA">
        <w:rPr>
          <w:szCs w:val="26"/>
        </w:rPr>
        <w:t>, when there was strong legal authority to the contrary.</w:t>
      </w:r>
      <w:r w:rsidRPr="009A41DA">
        <w:rPr>
          <w:szCs w:val="26"/>
        </w:rPr>
        <w:t xml:space="preserve">  There is no disclosure that there was any case law or statutory law</w:t>
      </w:r>
      <w:r w:rsidRPr="009A41DA">
        <w:t xml:space="preserve"> establishing that the special tax is </w:t>
      </w:r>
      <w:r w:rsidR="00913A90" w:rsidRPr="009A41DA">
        <w:t xml:space="preserve">actually </w:t>
      </w:r>
      <w:r w:rsidRPr="009A41DA">
        <w:t xml:space="preserve">lawful and </w:t>
      </w:r>
      <w:r w:rsidRPr="009A41DA">
        <w:rPr>
          <w:szCs w:val="26"/>
        </w:rPr>
        <w:t xml:space="preserve">constitutional.  </w:t>
      </w:r>
      <w:bookmarkStart w:id="19" w:name="_Hlk147223712"/>
      <w:r w:rsidR="002009EE" w:rsidRPr="009A41DA">
        <w:rPr>
          <w:szCs w:val="26"/>
        </w:rPr>
        <w:t>In effect, the</w:t>
      </w:r>
      <w:r w:rsidR="00E963FA" w:rsidRPr="009A41DA">
        <w:rPr>
          <w:szCs w:val="26"/>
        </w:rPr>
        <w:t xml:space="preserve"> Initiative left </w:t>
      </w:r>
      <w:r w:rsidR="00BD75EB" w:rsidRPr="009A41DA">
        <w:rPr>
          <w:szCs w:val="26"/>
        </w:rPr>
        <w:t xml:space="preserve">the electorate in the dark </w:t>
      </w:r>
      <w:r w:rsidR="00E963FA" w:rsidRPr="009A41DA">
        <w:rPr>
          <w:szCs w:val="26"/>
        </w:rPr>
        <w:t xml:space="preserve">in this significant regard by not disclosing that </w:t>
      </w:r>
      <w:r w:rsidR="00BD75EB" w:rsidRPr="009A41DA">
        <w:rPr>
          <w:szCs w:val="26"/>
        </w:rPr>
        <w:t>the weight of the law establish</w:t>
      </w:r>
      <w:r w:rsidR="00E963FA" w:rsidRPr="009A41DA">
        <w:rPr>
          <w:szCs w:val="26"/>
        </w:rPr>
        <w:t>ed</w:t>
      </w:r>
      <w:r w:rsidR="00BD75EB" w:rsidRPr="009A41DA">
        <w:rPr>
          <w:szCs w:val="26"/>
        </w:rPr>
        <w:t xml:space="preserve"> that the special tax </w:t>
      </w:r>
      <w:r w:rsidR="00913A90" w:rsidRPr="009A41DA">
        <w:rPr>
          <w:szCs w:val="26"/>
        </w:rPr>
        <w:t>i</w:t>
      </w:r>
      <w:r w:rsidR="00E963FA" w:rsidRPr="009A41DA">
        <w:rPr>
          <w:szCs w:val="26"/>
        </w:rPr>
        <w:t>s</w:t>
      </w:r>
      <w:r w:rsidR="00BD75EB" w:rsidRPr="009A41DA">
        <w:rPr>
          <w:szCs w:val="26"/>
        </w:rPr>
        <w:t xml:space="preserve"> constitutional</w:t>
      </w:r>
      <w:r w:rsidR="00E963FA" w:rsidRPr="009A41DA">
        <w:rPr>
          <w:szCs w:val="26"/>
        </w:rPr>
        <w:t>.  The Initiative, instead</w:t>
      </w:r>
      <w:r w:rsidR="00097D4A" w:rsidRPr="009A41DA">
        <w:rPr>
          <w:szCs w:val="26"/>
        </w:rPr>
        <w:t>,</w:t>
      </w:r>
      <w:r w:rsidR="00BD75EB" w:rsidRPr="009A41DA">
        <w:rPr>
          <w:szCs w:val="26"/>
        </w:rPr>
        <w:t xml:space="preserve"> </w:t>
      </w:r>
      <w:r w:rsidR="00E963FA" w:rsidRPr="009A41DA">
        <w:rPr>
          <w:szCs w:val="26"/>
        </w:rPr>
        <w:t xml:space="preserve">mislead the electorate by </w:t>
      </w:r>
      <w:r w:rsidR="004F402A" w:rsidRPr="009A41DA">
        <w:rPr>
          <w:szCs w:val="26"/>
        </w:rPr>
        <w:t>stating implied</w:t>
      </w:r>
      <w:bookmarkEnd w:id="19"/>
      <w:r w:rsidR="004F402A" w:rsidRPr="009A41DA">
        <w:rPr>
          <w:b/>
          <w:bCs/>
          <w:szCs w:val="26"/>
        </w:rPr>
        <w:t xml:space="preserve"> </w:t>
      </w:r>
      <w:r w:rsidR="004F402A" w:rsidRPr="009A41DA">
        <w:rPr>
          <w:szCs w:val="26"/>
        </w:rPr>
        <w:t xml:space="preserve">“misleading untruths masquerading as facts.” </w:t>
      </w:r>
      <w:r w:rsidR="00913A90" w:rsidRPr="009A41DA">
        <w:rPr>
          <w:szCs w:val="26"/>
        </w:rPr>
        <w:t xml:space="preserve"> </w:t>
      </w:r>
      <w:r w:rsidR="004F402A" w:rsidRPr="009A41DA">
        <w:rPr>
          <w:szCs w:val="26"/>
        </w:rPr>
        <w:t>(</w:t>
      </w:r>
      <w:r w:rsidR="00913A90" w:rsidRPr="009A41DA">
        <w:rPr>
          <w:i/>
          <w:iCs/>
        </w:rPr>
        <w:t>Nishioka</w:t>
      </w:r>
      <w:r w:rsidR="00913A90" w:rsidRPr="009A41DA">
        <w:t xml:space="preserve">, </w:t>
      </w:r>
      <w:r w:rsidR="00913A90" w:rsidRPr="009A41DA">
        <w:rPr>
          <w:i/>
          <w:iCs/>
        </w:rPr>
        <w:t>supra</w:t>
      </w:r>
      <w:r w:rsidR="00913A90" w:rsidRPr="009A41DA">
        <w:t>, 75 Cal.App.4</w:t>
      </w:r>
      <w:r w:rsidR="00B45381">
        <w:t>th</w:t>
      </w:r>
      <w:r w:rsidR="00913A90" w:rsidRPr="009A41DA">
        <w:t xml:space="preserve"> </w:t>
      </w:r>
      <w:r w:rsidR="004F402A" w:rsidRPr="009A41DA">
        <w:rPr>
          <w:szCs w:val="26"/>
        </w:rPr>
        <w:t>at p. 649.)</w:t>
      </w:r>
      <w:bookmarkStart w:id="20" w:name="_Hlk146795443"/>
      <w:bookmarkStart w:id="21" w:name="_Hlk147224058"/>
    </w:p>
    <w:p w14:paraId="3977AA21" w14:textId="77DB2BBC" w:rsidR="00EF3D7D" w:rsidRPr="009A41DA" w:rsidRDefault="00C6245B" w:rsidP="00DC0C27">
      <w:pPr>
        <w:shd w:val="clear" w:color="auto" w:fill="FFFFFF"/>
        <w:spacing w:line="600" w:lineRule="exact"/>
        <w:ind w:firstLine="720"/>
        <w:rPr>
          <w:szCs w:val="26"/>
        </w:rPr>
      </w:pPr>
      <w:bookmarkStart w:id="22" w:name="_Hlk147224302"/>
      <w:bookmarkEnd w:id="20"/>
      <w:bookmarkEnd w:id="21"/>
      <w:r w:rsidRPr="009A41DA">
        <w:rPr>
          <w:szCs w:val="26"/>
        </w:rPr>
        <w:t>We thus conclude t</w:t>
      </w:r>
      <w:r w:rsidR="00EF3D7D" w:rsidRPr="009A41DA">
        <w:rPr>
          <w:szCs w:val="26"/>
        </w:rPr>
        <w:t xml:space="preserve">he trial court’s order </w:t>
      </w:r>
      <w:r w:rsidR="00EF3D7D" w:rsidRPr="009A41DA">
        <w:t>granting the District’s Writ Petition and invalidating the Initiative was</w:t>
      </w:r>
      <w:r w:rsidR="007041C4" w:rsidRPr="009A41DA">
        <w:t xml:space="preserve"> </w:t>
      </w:r>
      <w:r w:rsidR="00EF3D7D" w:rsidRPr="009A41DA">
        <w:t xml:space="preserve">proper because the Initiative </w:t>
      </w:r>
      <w:r w:rsidR="00913A90" w:rsidRPr="009A41DA">
        <w:t>stated</w:t>
      </w:r>
      <w:r w:rsidR="00EF3D7D" w:rsidRPr="009A41DA">
        <w:t xml:space="preserve"> material, objectively false and misleading </w:t>
      </w:r>
      <w:r w:rsidR="00913A90" w:rsidRPr="009A41DA">
        <w:t>facts</w:t>
      </w:r>
      <w:r w:rsidR="00EF3D7D" w:rsidRPr="009A41DA">
        <w:t>.  By invalidating the Initiative, t</w:t>
      </w:r>
      <w:r w:rsidR="00EF3D7D" w:rsidRPr="009A41DA">
        <w:rPr>
          <w:szCs w:val="26"/>
        </w:rPr>
        <w:t>he trial court’s order “enhances the initiative process and promotes the confidence of the voters by preventing fraud on the electorate.”  (</w:t>
      </w:r>
      <w:r w:rsidR="00913A90" w:rsidRPr="009A41DA">
        <w:rPr>
          <w:i/>
          <w:iCs/>
        </w:rPr>
        <w:t>Nishioka</w:t>
      </w:r>
      <w:r w:rsidR="00913A90" w:rsidRPr="009A41DA">
        <w:t xml:space="preserve">, </w:t>
      </w:r>
      <w:r w:rsidR="00913A90" w:rsidRPr="009A41DA">
        <w:rPr>
          <w:i/>
          <w:iCs/>
        </w:rPr>
        <w:t>supra</w:t>
      </w:r>
      <w:r w:rsidR="00913A90" w:rsidRPr="009A41DA">
        <w:t>, 75 Cal.App.4</w:t>
      </w:r>
      <w:r w:rsidR="00DC0C27">
        <w:t>th</w:t>
      </w:r>
      <w:r w:rsidR="00913A90" w:rsidRPr="009A41DA">
        <w:t xml:space="preserve"> </w:t>
      </w:r>
      <w:r w:rsidR="00EF3D7D" w:rsidRPr="009A41DA">
        <w:rPr>
          <w:szCs w:val="26"/>
        </w:rPr>
        <w:t>at p. 649.)</w:t>
      </w:r>
    </w:p>
    <w:bookmarkEnd w:id="22"/>
    <w:p w14:paraId="53C7EABF" w14:textId="5C1CBB75" w:rsidR="00464261" w:rsidRPr="009A41DA" w:rsidRDefault="00464261" w:rsidP="00DC0C27">
      <w:pPr>
        <w:spacing w:line="600" w:lineRule="exact"/>
        <w:ind w:firstLine="1080"/>
        <w:rPr>
          <w:u w:val="single"/>
        </w:rPr>
      </w:pPr>
      <w:r w:rsidRPr="009A41DA">
        <w:t xml:space="preserve">3. </w:t>
      </w:r>
      <w:r w:rsidRPr="009A41DA">
        <w:rPr>
          <w:i/>
          <w:iCs/>
          <w:u w:val="single"/>
        </w:rPr>
        <w:t xml:space="preserve">The Red Brennan Group </w:t>
      </w:r>
      <w:r w:rsidRPr="009A41DA">
        <w:rPr>
          <w:u w:val="single"/>
        </w:rPr>
        <w:t>Lawsuit Demurrer Ruling</w:t>
      </w:r>
    </w:p>
    <w:p w14:paraId="06319F2D" w14:textId="1D139F4A" w:rsidR="00276356" w:rsidRPr="009A41DA" w:rsidRDefault="00651291" w:rsidP="00DC0C27">
      <w:pPr>
        <w:spacing w:line="600" w:lineRule="exact"/>
        <w:ind w:firstLine="720"/>
      </w:pPr>
      <w:r w:rsidRPr="009A41DA">
        <w:t xml:space="preserve">The trial court cited </w:t>
      </w:r>
      <w:r w:rsidR="00F43EB5" w:rsidRPr="009A41DA">
        <w:rPr>
          <w:i/>
          <w:iCs/>
        </w:rPr>
        <w:t>The</w:t>
      </w:r>
      <w:r w:rsidRPr="009A41DA">
        <w:rPr>
          <w:i/>
          <w:iCs/>
        </w:rPr>
        <w:t xml:space="preserve"> Red Brennan Group </w:t>
      </w:r>
      <w:r w:rsidRPr="009A41DA">
        <w:t>case in support of its ruling granting the District’s Writ Petition invalidating the Initiative.  In doing so, the trial court noted that “[t]</w:t>
      </w:r>
      <w:r w:rsidR="009B7265">
        <w:t>he</w:t>
      </w:r>
      <w:r w:rsidRPr="009A41DA">
        <w:t xml:space="preserve"> court has already determined in a previous case [(</w:t>
      </w:r>
      <w:r w:rsidRPr="009A41DA">
        <w:rPr>
          <w:i/>
          <w:iCs/>
        </w:rPr>
        <w:t xml:space="preserve">The Red Brennan Group </w:t>
      </w:r>
      <w:r w:rsidRPr="009A41DA">
        <w:lastRenderedPageBreak/>
        <w:t>case)] that the annexation argument advanced as a ground for constitutional invalidity of the tax is incorrect.”</w:t>
      </w:r>
    </w:p>
    <w:p w14:paraId="2DED3FDF" w14:textId="532EA5C9" w:rsidR="00276356" w:rsidRPr="009A41DA" w:rsidRDefault="00276356" w:rsidP="00DC0C27">
      <w:pPr>
        <w:spacing w:line="600" w:lineRule="exact"/>
        <w:ind w:firstLine="720"/>
      </w:pPr>
      <w:r w:rsidRPr="009A41DA">
        <w:t>Prior to circulating the Initiative in 2021 and 2022, t</w:t>
      </w:r>
      <w:r w:rsidRPr="009A41DA">
        <w:rPr>
          <w:szCs w:val="26"/>
        </w:rPr>
        <w:t xml:space="preserve">he trial court in </w:t>
      </w:r>
      <w:r w:rsidRPr="009A41DA">
        <w:rPr>
          <w:i/>
          <w:iCs/>
        </w:rPr>
        <w:t>The Red Brennan Group</w:t>
      </w:r>
      <w:r w:rsidRPr="009A41DA">
        <w:t xml:space="preserve"> lawsuit</w:t>
      </w:r>
      <w:r w:rsidRPr="009A41DA">
        <w:rPr>
          <w:szCs w:val="26"/>
        </w:rPr>
        <w:t xml:space="preserve"> rejected the plaintiffs’ constitutional challenge to the FP-5 special tax as unfounded under </w:t>
      </w:r>
      <w:r w:rsidRPr="009A41DA">
        <w:rPr>
          <w:i/>
          <w:iCs/>
        </w:rPr>
        <w:t>Sunset Beach</w:t>
      </w:r>
      <w:r w:rsidRPr="009A41DA">
        <w:t xml:space="preserve">, </w:t>
      </w:r>
      <w:r w:rsidRPr="009A41DA">
        <w:rPr>
          <w:i/>
          <w:iCs/>
        </w:rPr>
        <w:t>supra</w:t>
      </w:r>
      <w:r w:rsidRPr="009A41DA">
        <w:t xml:space="preserve">, 209 Cal.App.4th </w:t>
      </w:r>
      <w:r w:rsidR="009B7265">
        <w:t xml:space="preserve">at pages </w:t>
      </w:r>
      <w:r w:rsidRPr="009A41DA">
        <w:t xml:space="preserve">1194-1195.  The </w:t>
      </w:r>
      <w:r w:rsidR="009C4248">
        <w:t xml:space="preserve">trial </w:t>
      </w:r>
      <w:r w:rsidRPr="009A41DA">
        <w:t xml:space="preserve">court stated in its detailed written </w:t>
      </w:r>
      <w:r w:rsidR="009C4248">
        <w:t xml:space="preserve">demurrer </w:t>
      </w:r>
      <w:r w:rsidRPr="009A41DA">
        <w:t xml:space="preserve">ruling that “in the current litigation, Plaintiffs’ claims are essentially a challenge to the imposition of the special tax through the operation of Government Code section 57330.  However, as held in </w:t>
      </w:r>
      <w:r w:rsidRPr="009A41DA">
        <w:rPr>
          <w:i/>
          <w:iCs/>
        </w:rPr>
        <w:t>Sunset Beach</w:t>
      </w:r>
      <w:r w:rsidRPr="009A41DA">
        <w:t xml:space="preserve">, taxes ‘incident to annexations’ are not subject to the constitutional requirement of voter approval before said taxes are imposed. . . . </w:t>
      </w:r>
      <w:r w:rsidR="00DC0C27">
        <w:t xml:space="preserve"> </w:t>
      </w:r>
      <w:r w:rsidRPr="009A41DA">
        <w:t xml:space="preserve">[T]he sweeping pronouncement of </w:t>
      </w:r>
      <w:r w:rsidRPr="009A41DA">
        <w:rPr>
          <w:i/>
          <w:iCs/>
        </w:rPr>
        <w:t xml:space="preserve">Sunset Beach </w:t>
      </w:r>
      <w:r w:rsidRPr="009A41DA">
        <w:t xml:space="preserve">appears to be </w:t>
      </w:r>
      <w:r w:rsidR="00DC0C27">
        <w:t>all inclusive</w:t>
      </w:r>
      <w:r w:rsidRPr="009A41DA">
        <w:t xml:space="preserve">: </w:t>
      </w:r>
      <w:r w:rsidR="00DC0C27">
        <w:t xml:space="preserve"> </w:t>
      </w:r>
      <w:r w:rsidRPr="009A41DA">
        <w:t xml:space="preserve">Proposition 218 simply does not apply to annexations.  Therefore, if the annexation is valid, perforce the tax is valid.”  In a footnote in the </w:t>
      </w:r>
      <w:r w:rsidR="009C4248">
        <w:t xml:space="preserve">demurrer </w:t>
      </w:r>
      <w:r w:rsidRPr="009A41DA">
        <w:t>ruling, the trial court noted that “Government Code section 57330 also addresses the issue with respect to districts:</w:t>
      </w:r>
      <w:r w:rsidR="00DC0C27">
        <w:t xml:space="preserve"> </w:t>
      </w:r>
      <w:r w:rsidRPr="009A41DA">
        <w:t xml:space="preserve"> ‘Any territory annexed to a city or district shall be subject to the levying or fixing and collection of any previously authorized taxes, benefit assessments, fees, or charges of the city or district.’”</w:t>
      </w:r>
    </w:p>
    <w:p w14:paraId="67308D87" w14:textId="06D674B8" w:rsidR="00651291" w:rsidRPr="009A41DA" w:rsidRDefault="00C6245B" w:rsidP="00DC0C27">
      <w:pPr>
        <w:spacing w:line="600" w:lineRule="exact"/>
        <w:ind w:firstLine="720"/>
      </w:pPr>
      <w:r w:rsidRPr="009A41DA">
        <w:t xml:space="preserve">As Real Parties argue, </w:t>
      </w:r>
      <w:r w:rsidR="0051505A" w:rsidRPr="009A41DA">
        <w:t xml:space="preserve">the ruling on the demurrer in </w:t>
      </w:r>
      <w:r w:rsidR="00287619" w:rsidRPr="009A41DA">
        <w:rPr>
          <w:i/>
          <w:iCs/>
        </w:rPr>
        <w:t>The</w:t>
      </w:r>
      <w:r w:rsidRPr="009A41DA">
        <w:rPr>
          <w:i/>
          <w:iCs/>
        </w:rPr>
        <w:t xml:space="preserve"> Red Brennan Group</w:t>
      </w:r>
      <w:r w:rsidRPr="009A41DA">
        <w:t xml:space="preserve"> lawsuit does not provide binding authority in this case because Real Parties were not parties in the case and the demurrer ruling was not appealed</w:t>
      </w:r>
      <w:r w:rsidR="0051505A" w:rsidRPr="009A41DA">
        <w:t xml:space="preserve"> or a published decision</w:t>
      </w:r>
      <w:r w:rsidRPr="009A41DA">
        <w:t>.</w:t>
      </w:r>
    </w:p>
    <w:p w14:paraId="441F6DB3" w14:textId="3F9AE8F6" w:rsidR="008C059D" w:rsidRPr="009A41DA" w:rsidRDefault="00C6245B" w:rsidP="00DC0C27">
      <w:pPr>
        <w:shd w:val="clear" w:color="auto" w:fill="FFFFFF"/>
        <w:spacing w:line="600" w:lineRule="exact"/>
        <w:ind w:firstLine="720"/>
      </w:pPr>
      <w:r w:rsidRPr="009A41DA">
        <w:t xml:space="preserve">However, </w:t>
      </w:r>
      <w:r w:rsidR="0051505A" w:rsidRPr="009A41DA">
        <w:t xml:space="preserve">based on the record in the instant appeal, </w:t>
      </w:r>
      <w:r w:rsidRPr="009A41DA">
        <w:t xml:space="preserve">it can be reasonably inferred that Real Parties and their attorneys were aware of </w:t>
      </w:r>
      <w:r w:rsidRPr="009A41DA">
        <w:rPr>
          <w:i/>
          <w:iCs/>
        </w:rPr>
        <w:t>The Red Brennan Group</w:t>
      </w:r>
      <w:r w:rsidRPr="009A41DA">
        <w:t xml:space="preserve"> lawsuit</w:t>
      </w:r>
      <w:r w:rsidR="009C4248">
        <w:t xml:space="preserve"> and </w:t>
      </w:r>
      <w:r w:rsidR="009C4248">
        <w:lastRenderedPageBreak/>
        <w:t>demurrer decision</w:t>
      </w:r>
      <w:r w:rsidRPr="009A41DA">
        <w:t xml:space="preserve">.  </w:t>
      </w:r>
      <w:r w:rsidR="00E64802" w:rsidRPr="009A41DA">
        <w:t xml:space="preserve">Real Party Ruth Musser-Lopez acknowledged in her declaration that she was aware of </w:t>
      </w:r>
      <w:r w:rsidR="00E64802" w:rsidRPr="009A41DA">
        <w:rPr>
          <w:i/>
          <w:iCs/>
        </w:rPr>
        <w:t>The Red Brennan Group</w:t>
      </w:r>
      <w:r w:rsidR="00E64802" w:rsidRPr="009A41DA">
        <w:t xml:space="preserve"> lawsuit, attended one hearing in the case, and was aware of the outcome of the case</w:t>
      </w:r>
      <w:r w:rsidR="008F65CA" w:rsidRPr="009A41DA">
        <w:t xml:space="preserve">, </w:t>
      </w:r>
      <w:r w:rsidR="0051505A" w:rsidRPr="009A41DA">
        <w:t>although she</w:t>
      </w:r>
      <w:r w:rsidR="008F65CA" w:rsidRPr="009A41DA">
        <w:t xml:space="preserve"> claims</w:t>
      </w:r>
      <w:r w:rsidR="00E64802" w:rsidRPr="009A41DA">
        <w:t xml:space="preserve"> she did not have any knowledge or understanding of the demurrer ruling resulting in dismissal of the case</w:t>
      </w:r>
      <w:r w:rsidR="008F65CA" w:rsidRPr="009A41DA">
        <w:t xml:space="preserve">.  </w:t>
      </w:r>
      <w:r w:rsidR="0051505A" w:rsidRPr="009A41DA">
        <w:t xml:space="preserve">The record also contains </w:t>
      </w:r>
      <w:r w:rsidR="000217E6" w:rsidRPr="009A41DA">
        <w:t>materials showing Red Brennan Group’s involvement in initiative efforts to repeal the FP-5 special tax</w:t>
      </w:r>
      <w:r w:rsidR="00276356" w:rsidRPr="009A41DA">
        <w:t xml:space="preserve"> and was a</w:t>
      </w:r>
      <w:r w:rsidR="000217E6" w:rsidRPr="009A41DA">
        <w:t xml:space="preserve"> </w:t>
      </w:r>
      <w:r w:rsidR="00581744" w:rsidRPr="009A41DA">
        <w:t>major moving force behind the Initiative</w:t>
      </w:r>
      <w:r w:rsidR="008F65CA" w:rsidRPr="009A41DA">
        <w:t xml:space="preserve">.  </w:t>
      </w:r>
      <w:r w:rsidR="00C80095" w:rsidRPr="009A41DA">
        <w:t xml:space="preserve">Because The Red Brennan Group was instrumental in backing the Initiative, it can be reasonably inferred that Real Parties or their attorneys knew about the demurrer ruling, </w:t>
      </w:r>
      <w:r w:rsidR="00581744" w:rsidRPr="009A41DA">
        <w:t xml:space="preserve">in which the trial court concluded the </w:t>
      </w:r>
      <w:r w:rsidR="00D4191A" w:rsidRPr="009A41DA">
        <w:rPr>
          <w:szCs w:val="26"/>
        </w:rPr>
        <w:t xml:space="preserve">FP-5 special tax was constitutional under </w:t>
      </w:r>
      <w:r w:rsidR="00D4191A" w:rsidRPr="009A41DA">
        <w:rPr>
          <w:i/>
          <w:iCs/>
        </w:rPr>
        <w:t>Sunset Beach</w:t>
      </w:r>
      <w:r w:rsidR="00D4191A" w:rsidRPr="009A41DA">
        <w:t xml:space="preserve">, </w:t>
      </w:r>
      <w:r w:rsidR="00D4191A" w:rsidRPr="009A41DA">
        <w:rPr>
          <w:i/>
          <w:iCs/>
        </w:rPr>
        <w:t>supra</w:t>
      </w:r>
      <w:r w:rsidR="00D4191A" w:rsidRPr="009A41DA">
        <w:t>, 209 Cal.App.4th 1182, and Government Code section 57330.</w:t>
      </w:r>
    </w:p>
    <w:p w14:paraId="230502AD" w14:textId="0A68ECAA" w:rsidR="00BE384B" w:rsidRPr="009A41DA" w:rsidRDefault="009C4248" w:rsidP="00DC0C27">
      <w:pPr>
        <w:shd w:val="clear" w:color="auto" w:fill="FFFFFF"/>
        <w:spacing w:line="600" w:lineRule="exact"/>
        <w:ind w:firstLine="720"/>
      </w:pPr>
      <w:r>
        <w:t>But</w:t>
      </w:r>
      <w:r w:rsidR="00F65B59" w:rsidRPr="009A41DA">
        <w:t xml:space="preserve"> r</w:t>
      </w:r>
      <w:r w:rsidR="007351F6" w:rsidRPr="009A41DA">
        <w:t>egardless of whether Real Parties were aware of</w:t>
      </w:r>
      <w:r w:rsidR="00B84096" w:rsidRPr="009A41DA">
        <w:t xml:space="preserve"> the demurrer ruling in</w:t>
      </w:r>
      <w:r w:rsidR="007351F6" w:rsidRPr="009A41DA">
        <w:t xml:space="preserve"> </w:t>
      </w:r>
      <w:r w:rsidR="007351F6" w:rsidRPr="009A41DA">
        <w:rPr>
          <w:i/>
          <w:iCs/>
        </w:rPr>
        <w:t>The Red Brennan Group</w:t>
      </w:r>
      <w:r w:rsidR="00B84096" w:rsidRPr="009A41DA">
        <w:rPr>
          <w:i/>
          <w:iCs/>
        </w:rPr>
        <w:t xml:space="preserve"> </w:t>
      </w:r>
      <w:r w:rsidR="00B84096" w:rsidRPr="009A41DA">
        <w:t>lawsuit</w:t>
      </w:r>
      <w:r w:rsidR="007351F6" w:rsidRPr="009A41DA">
        <w:t xml:space="preserve">, the demurrer ruling demonstrates that the state of the law when the Initiative was drafted and circulated, strongly, if not definitively, established that the </w:t>
      </w:r>
      <w:r w:rsidR="00B84096" w:rsidRPr="009A41DA">
        <w:t xml:space="preserve">FP-5 </w:t>
      </w:r>
      <w:r w:rsidR="007351F6" w:rsidRPr="009A41DA">
        <w:t xml:space="preserve">special tax was constitutional.  </w:t>
      </w:r>
      <w:r w:rsidR="00BE384B" w:rsidRPr="009A41DA">
        <w:t xml:space="preserve">Real Parties have not cited any persuasive </w:t>
      </w:r>
      <w:r w:rsidR="006C3EB5" w:rsidRPr="009A41DA">
        <w:t>decisional</w:t>
      </w:r>
      <w:r w:rsidR="00BE384B" w:rsidRPr="009A41DA">
        <w:t xml:space="preserve"> or statutory law </w:t>
      </w:r>
      <w:r w:rsidR="00F65B59" w:rsidRPr="009A41DA">
        <w:t>to the contrary</w:t>
      </w:r>
      <w:r w:rsidR="00BE384B" w:rsidRPr="009A41DA">
        <w:t>.</w:t>
      </w:r>
    </w:p>
    <w:p w14:paraId="521F9594" w14:textId="2AA67E23" w:rsidR="006C3EB5" w:rsidRPr="009A41DA" w:rsidRDefault="006C3EB5" w:rsidP="00DC0C27">
      <w:pPr>
        <w:shd w:val="clear" w:color="auto" w:fill="FFFFFF"/>
        <w:spacing w:line="600" w:lineRule="exact"/>
        <w:ind w:firstLine="720"/>
      </w:pPr>
      <w:r w:rsidRPr="009A41DA">
        <w:t xml:space="preserve">Because we conclude the trial court properly invalidated the Initiative as invalid on the ground it contains </w:t>
      </w:r>
      <w:r w:rsidR="009C4248">
        <w:t xml:space="preserve">objectively </w:t>
      </w:r>
      <w:r w:rsidRPr="009A41DA">
        <w:t>false and misleading statements, the District’s cross-appeal, raising an additional ground for disqualifying the Initiative, is moot.</w:t>
      </w:r>
    </w:p>
    <w:p w14:paraId="6F66B76E" w14:textId="5297DDB0" w:rsidR="004832AB" w:rsidRDefault="00C47215" w:rsidP="00A75BD9">
      <w:pPr>
        <w:keepNext/>
        <w:keepLines/>
        <w:shd w:val="clear" w:color="auto" w:fill="FFFFFF"/>
        <w:spacing w:line="600" w:lineRule="exact"/>
        <w:jc w:val="center"/>
        <w:rPr>
          <w:szCs w:val="26"/>
        </w:rPr>
      </w:pPr>
      <w:bookmarkStart w:id="23" w:name="_Hlk148216575"/>
      <w:r w:rsidRPr="009A41DA">
        <w:rPr>
          <w:szCs w:val="26"/>
        </w:rPr>
        <w:lastRenderedPageBreak/>
        <w:t>IV.</w:t>
      </w:r>
      <w:bookmarkEnd w:id="23"/>
    </w:p>
    <w:p w14:paraId="2E387D8A" w14:textId="7AE2F1E4" w:rsidR="00C47215" w:rsidRPr="009A41DA" w:rsidRDefault="00C47215" w:rsidP="00A75BD9">
      <w:pPr>
        <w:keepNext/>
        <w:keepLines/>
        <w:shd w:val="clear" w:color="auto" w:fill="FFFFFF"/>
        <w:spacing w:line="600" w:lineRule="exact"/>
        <w:jc w:val="center"/>
        <w:rPr>
          <w:szCs w:val="26"/>
        </w:rPr>
      </w:pPr>
      <w:r w:rsidRPr="009A41DA">
        <w:rPr>
          <w:szCs w:val="26"/>
        </w:rPr>
        <w:t>DISPOSITION</w:t>
      </w:r>
      <w:r w:rsidR="00DE368E" w:rsidRPr="004832AB">
        <w:rPr>
          <w:rStyle w:val="FootnoteReference"/>
          <w:sz w:val="26"/>
          <w:szCs w:val="26"/>
          <w:vertAlign w:val="superscript"/>
        </w:rPr>
        <w:footnoteReference w:id="6"/>
      </w:r>
    </w:p>
    <w:p w14:paraId="2DF3333A" w14:textId="0934C893" w:rsidR="00256A8C" w:rsidRPr="009A41DA" w:rsidRDefault="005B319F" w:rsidP="00DC0C27">
      <w:pPr>
        <w:spacing w:line="600" w:lineRule="exact"/>
      </w:pPr>
      <w:r w:rsidRPr="009A41DA">
        <w:tab/>
        <w:t>The trial court order finding the Initiative invalid and granting the District’s Writ Petition, is affirmed.</w:t>
      </w:r>
    </w:p>
    <w:p w14:paraId="33D79328" w14:textId="3D60AD6A" w:rsidR="005B319F" w:rsidRPr="009A41DA" w:rsidRDefault="005F4DED" w:rsidP="00DC0C27">
      <w:pPr>
        <w:spacing w:line="600" w:lineRule="exact"/>
        <w:ind w:firstLine="720"/>
      </w:pPr>
      <w:r w:rsidRPr="009A41DA">
        <w:t>We t</w:t>
      </w:r>
      <w:r w:rsidR="005B319F" w:rsidRPr="009A41DA">
        <w:t>he</w:t>
      </w:r>
      <w:r w:rsidRPr="009A41DA">
        <w:t xml:space="preserve">refore deem as moot </w:t>
      </w:r>
      <w:r w:rsidR="00F50606" w:rsidRPr="009A41DA">
        <w:t xml:space="preserve">and dismiss </w:t>
      </w:r>
      <w:r w:rsidRPr="009A41DA">
        <w:t>the</w:t>
      </w:r>
      <w:r w:rsidR="005B319F" w:rsidRPr="009A41DA">
        <w:t xml:space="preserve"> District’s cross-appeal,</w:t>
      </w:r>
      <w:r w:rsidRPr="009A41DA">
        <w:t xml:space="preserve"> because it</w:t>
      </w:r>
      <w:r w:rsidR="00256A8C" w:rsidRPr="009A41DA">
        <w:t xml:space="preserve"> solely</w:t>
      </w:r>
      <w:r w:rsidRPr="009A41DA">
        <w:t xml:space="preserve"> </w:t>
      </w:r>
      <w:r w:rsidR="005B319F" w:rsidRPr="009A41DA">
        <w:t>rais</w:t>
      </w:r>
      <w:r w:rsidRPr="009A41DA">
        <w:t>es</w:t>
      </w:r>
      <w:r w:rsidR="005B319F" w:rsidRPr="009A41DA">
        <w:t xml:space="preserve"> </w:t>
      </w:r>
      <w:r w:rsidR="00256A8C" w:rsidRPr="009A41DA">
        <w:t xml:space="preserve">an alternative ground (the full-text doctrine) </w:t>
      </w:r>
      <w:r w:rsidR="005B319F" w:rsidRPr="009A41DA">
        <w:t>for disqualifying the Initiative</w:t>
      </w:r>
      <w:r w:rsidR="00B84096" w:rsidRPr="009A41DA">
        <w:t>, and t</w:t>
      </w:r>
      <w:r w:rsidR="00256A8C" w:rsidRPr="009A41DA">
        <w:t>here is no need to address this alternative ground.</w:t>
      </w:r>
    </w:p>
    <w:p w14:paraId="46B678E1" w14:textId="57E31999" w:rsidR="004D311E" w:rsidRDefault="00256A8C" w:rsidP="00DC0C27">
      <w:pPr>
        <w:spacing w:line="600" w:lineRule="exact"/>
        <w:ind w:firstLine="720"/>
      </w:pPr>
      <w:r w:rsidRPr="009A41DA">
        <w:t>The District is awarded its costs on the appeal and cross-appeal.</w:t>
      </w:r>
    </w:p>
    <w:p w14:paraId="133C3027" w14:textId="4A2B7A58" w:rsidR="00EC0039" w:rsidRDefault="00DC0C27" w:rsidP="00A75BD9">
      <w:pPr>
        <w:spacing w:line="600" w:lineRule="exact"/>
      </w:pPr>
      <w:r>
        <w:tab/>
      </w:r>
      <w:r w:rsidR="00EC0039" w:rsidRPr="00EC0039">
        <w:rPr>
          <w:bCs/>
        </w:rPr>
        <w:t>CERTIFIED FOR PUBLICATION</w:t>
      </w:r>
    </w:p>
    <w:p w14:paraId="070FFB0C" w14:textId="77777777" w:rsidR="00EC0039" w:rsidRPr="00A75BD9" w:rsidRDefault="00EC0039" w:rsidP="00C00AB8">
      <w:pPr>
        <w:pStyle w:val="BodyText"/>
        <w:rPr>
          <w:color w:val="auto"/>
        </w:rPr>
      </w:pPr>
    </w:p>
    <w:p w14:paraId="0B1EBBA7" w14:textId="77777777" w:rsidR="00EC0039" w:rsidRDefault="00EC0039" w:rsidP="00C00AB8">
      <w:pPr>
        <w:pStyle w:val="SigPage1"/>
        <w:jc w:val="right"/>
        <w:rPr>
          <w:rFonts w:ascii="Times New Roman" w:hAnsi="Times New Roman"/>
          <w:sz w:val="26"/>
        </w:rPr>
      </w:pPr>
      <w:r>
        <w:rPr>
          <w:rFonts w:ascii="Times New Roman" w:hAnsi="Times New Roman"/>
          <w:sz w:val="26"/>
          <w:u w:val="single"/>
        </w:rPr>
        <w:t>CODRINGTON</w:t>
      </w:r>
      <w:r>
        <w:rPr>
          <w:rFonts w:ascii="Times New Roman" w:hAnsi="Times New Roman"/>
          <w:sz w:val="26"/>
          <w:u w:val="single"/>
        </w:rPr>
        <w:tab/>
      </w:r>
    </w:p>
    <w:p w14:paraId="3511A34D" w14:textId="77777777" w:rsidR="00EC0039" w:rsidRDefault="00EC0039" w:rsidP="00C00AB8">
      <w:pPr>
        <w:pStyle w:val="SigPage1"/>
        <w:jc w:val="right"/>
        <w:rPr>
          <w:rFonts w:ascii="Times New Roman" w:hAnsi="Times New Roman"/>
          <w:sz w:val="26"/>
        </w:rPr>
      </w:pPr>
      <w:r>
        <w:rPr>
          <w:rFonts w:ascii="Times New Roman" w:hAnsi="Times New Roman"/>
          <w:sz w:val="26"/>
        </w:rPr>
        <w:tab/>
        <w:t>J.</w:t>
      </w:r>
    </w:p>
    <w:p w14:paraId="00B28C34" w14:textId="77777777" w:rsidR="00EC0039" w:rsidRDefault="00EC0039" w:rsidP="00C00AB8">
      <w:pPr>
        <w:pStyle w:val="SigPage2"/>
        <w:rPr>
          <w:rFonts w:ascii="Times New Roman" w:hAnsi="Times New Roman"/>
          <w:sz w:val="26"/>
        </w:rPr>
      </w:pPr>
    </w:p>
    <w:p w14:paraId="5CB96874" w14:textId="77777777" w:rsidR="00EC0039" w:rsidRDefault="00EC0039" w:rsidP="00C00AB8">
      <w:pPr>
        <w:pStyle w:val="SigPage2"/>
        <w:rPr>
          <w:rFonts w:ascii="Times New Roman" w:hAnsi="Times New Roman"/>
          <w:sz w:val="26"/>
        </w:rPr>
      </w:pPr>
      <w:r>
        <w:rPr>
          <w:rFonts w:ascii="Times New Roman" w:hAnsi="Times New Roman"/>
          <w:sz w:val="26"/>
        </w:rPr>
        <w:t>We concur:</w:t>
      </w:r>
    </w:p>
    <w:p w14:paraId="4FE90182" w14:textId="77777777" w:rsidR="00EC0039" w:rsidRDefault="00EC0039" w:rsidP="00C00AB8">
      <w:pPr>
        <w:pStyle w:val="SigPage2"/>
        <w:rPr>
          <w:rFonts w:ascii="Times New Roman" w:hAnsi="Times New Roman"/>
          <w:sz w:val="26"/>
        </w:rPr>
      </w:pPr>
    </w:p>
    <w:p w14:paraId="38EBB597" w14:textId="77777777" w:rsidR="00EC0039" w:rsidRDefault="00EC0039" w:rsidP="00C00AB8">
      <w:pPr>
        <w:pStyle w:val="SigPage2"/>
        <w:rPr>
          <w:rFonts w:ascii="Times New Roman" w:hAnsi="Times New Roman"/>
          <w:sz w:val="26"/>
        </w:rPr>
      </w:pPr>
    </w:p>
    <w:p w14:paraId="45A221C5" w14:textId="77777777" w:rsidR="00EC0039" w:rsidRDefault="00EC0039" w:rsidP="00C00AB8">
      <w:pPr>
        <w:pStyle w:val="SigPage2"/>
        <w:rPr>
          <w:rFonts w:ascii="Times New Roman" w:hAnsi="Times New Roman"/>
          <w:sz w:val="26"/>
        </w:rPr>
      </w:pPr>
      <w:r>
        <w:rPr>
          <w:rFonts w:ascii="Times New Roman" w:hAnsi="Times New Roman"/>
          <w:sz w:val="26"/>
          <w:u w:val="single"/>
        </w:rPr>
        <w:t>RAMIREZ</w:t>
      </w:r>
      <w:r>
        <w:rPr>
          <w:rFonts w:ascii="Times New Roman" w:hAnsi="Times New Roman"/>
          <w:sz w:val="26"/>
          <w:u w:val="single"/>
        </w:rPr>
        <w:tab/>
      </w:r>
    </w:p>
    <w:p w14:paraId="77F65A14" w14:textId="77777777" w:rsidR="00EC0039" w:rsidRDefault="00EC0039" w:rsidP="00C00AB8">
      <w:pPr>
        <w:pStyle w:val="SigPage2"/>
        <w:rPr>
          <w:rFonts w:ascii="Times New Roman" w:hAnsi="Times New Roman"/>
          <w:sz w:val="26"/>
        </w:rPr>
      </w:pPr>
      <w:r>
        <w:rPr>
          <w:rFonts w:ascii="Times New Roman" w:hAnsi="Times New Roman"/>
          <w:sz w:val="26"/>
        </w:rPr>
        <w:tab/>
        <w:t>P. J.</w:t>
      </w:r>
    </w:p>
    <w:p w14:paraId="40EAB776" w14:textId="77777777" w:rsidR="00EC0039" w:rsidRDefault="00EC0039" w:rsidP="00C00AB8">
      <w:pPr>
        <w:pStyle w:val="SigPage2"/>
        <w:rPr>
          <w:rFonts w:ascii="Times New Roman" w:hAnsi="Times New Roman"/>
          <w:sz w:val="26"/>
          <w:u w:val="single"/>
        </w:rPr>
      </w:pPr>
    </w:p>
    <w:p w14:paraId="078D1000" w14:textId="77777777" w:rsidR="00EC0039" w:rsidRDefault="00EC0039" w:rsidP="00C00AB8">
      <w:pPr>
        <w:pStyle w:val="SigPage2"/>
        <w:rPr>
          <w:rFonts w:ascii="Times New Roman" w:hAnsi="Times New Roman"/>
          <w:sz w:val="26"/>
          <w:u w:val="single"/>
        </w:rPr>
      </w:pPr>
    </w:p>
    <w:p w14:paraId="49AB7337" w14:textId="6DB85348" w:rsidR="00EC0039" w:rsidRDefault="00EC0039" w:rsidP="00C00AB8">
      <w:pPr>
        <w:pStyle w:val="SigPage2"/>
        <w:rPr>
          <w:rFonts w:ascii="Times New Roman" w:hAnsi="Times New Roman"/>
          <w:sz w:val="26"/>
        </w:rPr>
      </w:pPr>
      <w:r>
        <w:rPr>
          <w:rFonts w:ascii="Times New Roman" w:hAnsi="Times New Roman"/>
          <w:sz w:val="26"/>
          <w:u w:val="single"/>
        </w:rPr>
        <w:t>McKINSTER</w:t>
      </w:r>
      <w:r>
        <w:rPr>
          <w:rFonts w:ascii="Times New Roman" w:hAnsi="Times New Roman"/>
          <w:sz w:val="26"/>
          <w:u w:val="single"/>
        </w:rPr>
        <w:tab/>
      </w:r>
    </w:p>
    <w:p w14:paraId="51FB0660" w14:textId="535FE7EB" w:rsidR="00EC0039" w:rsidRPr="00EC0039" w:rsidRDefault="00EC0039" w:rsidP="00EC0039">
      <w:pPr>
        <w:pStyle w:val="SigPage2"/>
        <w:rPr>
          <w:rFonts w:ascii="Times New Roman" w:hAnsi="Times New Roman"/>
          <w:sz w:val="26"/>
        </w:rPr>
      </w:pPr>
      <w:r>
        <w:rPr>
          <w:rFonts w:ascii="Times New Roman" w:hAnsi="Times New Roman"/>
          <w:sz w:val="26"/>
        </w:rPr>
        <w:tab/>
        <w:t>J.</w:t>
      </w:r>
    </w:p>
    <w:sectPr w:rsidR="00EC0039" w:rsidRPr="00EC0039" w:rsidSect="004832A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A4325" w14:textId="77777777" w:rsidR="00B813C5" w:rsidRDefault="00B813C5" w:rsidP="00111ADF">
      <w:r>
        <w:separator/>
      </w:r>
    </w:p>
  </w:endnote>
  <w:endnote w:type="continuationSeparator" w:id="0">
    <w:p w14:paraId="2EB1D967" w14:textId="77777777" w:rsidR="00B813C5" w:rsidRDefault="00B813C5" w:rsidP="00111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4655" w14:textId="348DB092" w:rsidR="003B59BC" w:rsidRDefault="003B59BC" w:rsidP="0027660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66E91">
      <w:rPr>
        <w:rStyle w:val="PageNumber"/>
        <w:noProof/>
      </w:rPr>
      <w:t>1</w:t>
    </w:r>
    <w:r>
      <w:rPr>
        <w:rStyle w:val="PageNumber"/>
      </w:rPr>
      <w:fldChar w:fldCharType="end"/>
    </w:r>
  </w:p>
  <w:p w14:paraId="7A1353E3" w14:textId="77777777" w:rsidR="003B59BC" w:rsidRDefault="003B59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414395"/>
      <w:docPartObj>
        <w:docPartGallery w:val="Page Numbers (Bottom of Page)"/>
        <w:docPartUnique/>
      </w:docPartObj>
    </w:sdtPr>
    <w:sdtEndPr>
      <w:rPr>
        <w:noProof/>
      </w:rPr>
    </w:sdtEndPr>
    <w:sdtContent>
      <w:p w14:paraId="62B738DC" w14:textId="6D7384DF" w:rsidR="00DE086E" w:rsidRPr="00666E91" w:rsidRDefault="00666E91" w:rsidP="00666E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5C3DA" w14:textId="1F277969" w:rsidR="004832AB" w:rsidRDefault="004832AB" w:rsidP="004832AB">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56216" w14:textId="77777777" w:rsidR="00B813C5" w:rsidRDefault="00B813C5" w:rsidP="00111ADF">
      <w:r>
        <w:separator/>
      </w:r>
    </w:p>
  </w:footnote>
  <w:footnote w:type="continuationSeparator" w:id="0">
    <w:p w14:paraId="0DAECA03" w14:textId="70484AE7" w:rsidR="00B813C5" w:rsidRDefault="00B813C5" w:rsidP="00111ADF">
      <w:r>
        <w:continuationSeparator/>
      </w:r>
    </w:p>
    <w:p w14:paraId="206E83DE" w14:textId="4AC5B08B" w:rsidR="003B59BC" w:rsidRPr="003B59BC" w:rsidRDefault="003B59BC" w:rsidP="00111ADF">
      <w:pPr>
        <w:rPr>
          <w:i/>
          <w:sz w:val="20"/>
        </w:rPr>
      </w:pPr>
      <w:r>
        <w:rPr>
          <w:i/>
          <w:sz w:val="20"/>
        </w:rPr>
        <w:t>[footnote continued from previous page]</w:t>
      </w:r>
    </w:p>
    <w:p w14:paraId="7B67C33A" w14:textId="56B9776A" w:rsidR="003B59BC" w:rsidRPr="003B59BC" w:rsidRDefault="003B59BC" w:rsidP="00111ADF">
      <w:pPr>
        <w:rPr>
          <w:i/>
          <w:sz w:val="20"/>
        </w:rPr>
      </w:pPr>
      <w:r>
        <w:rPr>
          <w:i/>
          <w:sz w:val="20"/>
        </w:rPr>
        <w:t>[footnote continued from previous page]</w:t>
      </w:r>
    </w:p>
  </w:footnote>
  <w:footnote w:type="continuationNotice" w:id="1">
    <w:p w14:paraId="382C1F34" w14:textId="1C7C86B3" w:rsidR="003B59BC" w:rsidRPr="003B59BC" w:rsidRDefault="003B59BC" w:rsidP="003B59BC">
      <w:pPr>
        <w:pStyle w:val="Footer"/>
        <w:jc w:val="right"/>
        <w:rPr>
          <w:i/>
          <w:sz w:val="20"/>
        </w:rPr>
      </w:pPr>
      <w:r>
        <w:rPr>
          <w:i/>
          <w:sz w:val="20"/>
        </w:rPr>
        <w:t>[footnote continued on next page]</w:t>
      </w:r>
    </w:p>
  </w:footnote>
  <w:footnote w:id="2">
    <w:p w14:paraId="3C4416FE" w14:textId="410FECAF" w:rsidR="00D75A63" w:rsidRPr="004832AB" w:rsidRDefault="00D75A63" w:rsidP="004832AB">
      <w:pPr>
        <w:pStyle w:val="FootnoteText"/>
        <w:ind w:firstLine="720"/>
        <w:rPr>
          <w:szCs w:val="26"/>
        </w:rPr>
      </w:pPr>
      <w:r w:rsidRPr="004832AB">
        <w:rPr>
          <w:rStyle w:val="FootnoteReference"/>
          <w:sz w:val="26"/>
          <w:szCs w:val="26"/>
          <w:vertAlign w:val="superscript"/>
        </w:rPr>
        <w:footnoteRef/>
      </w:r>
      <w:r w:rsidRPr="004832AB">
        <w:rPr>
          <w:szCs w:val="26"/>
        </w:rPr>
        <w:t xml:space="preserve"> </w:t>
      </w:r>
      <w:r w:rsidR="004832AB" w:rsidRPr="004832AB">
        <w:rPr>
          <w:szCs w:val="26"/>
        </w:rPr>
        <w:t xml:space="preserve"> </w:t>
      </w:r>
      <w:r w:rsidR="0006746A" w:rsidRPr="004832AB">
        <w:rPr>
          <w:szCs w:val="26"/>
        </w:rPr>
        <w:t xml:space="preserve">Real Parties are </w:t>
      </w:r>
      <w:r w:rsidRPr="004832AB">
        <w:rPr>
          <w:szCs w:val="26"/>
        </w:rPr>
        <w:t>Robert Cable, Charles Pruitt, David Jarvi, Ruth Musser-Lopez, and Albert Vogler</w:t>
      </w:r>
      <w:r w:rsidR="0006746A" w:rsidRPr="004832AB">
        <w:rPr>
          <w:szCs w:val="26"/>
        </w:rPr>
        <w:t>.</w:t>
      </w:r>
    </w:p>
    <w:p w14:paraId="1AF7DC01" w14:textId="77777777" w:rsidR="004832AB" w:rsidRPr="004832AB" w:rsidRDefault="004832AB" w:rsidP="004832AB">
      <w:pPr>
        <w:pStyle w:val="FootnoteText"/>
        <w:ind w:firstLine="720"/>
        <w:rPr>
          <w:szCs w:val="26"/>
        </w:rPr>
      </w:pPr>
    </w:p>
  </w:footnote>
  <w:footnote w:id="3">
    <w:p w14:paraId="648B1911" w14:textId="2C6F334D" w:rsidR="00C525EE" w:rsidRPr="004832AB" w:rsidRDefault="00C525EE" w:rsidP="004832AB">
      <w:pPr>
        <w:ind w:firstLine="720"/>
        <w:rPr>
          <w:szCs w:val="26"/>
        </w:rPr>
      </w:pPr>
      <w:r w:rsidRPr="004832AB">
        <w:rPr>
          <w:rStyle w:val="FootnoteReference"/>
          <w:sz w:val="26"/>
          <w:szCs w:val="26"/>
          <w:vertAlign w:val="superscript"/>
        </w:rPr>
        <w:footnoteRef/>
      </w:r>
      <w:r w:rsidRPr="004832AB">
        <w:rPr>
          <w:szCs w:val="26"/>
        </w:rPr>
        <w:t xml:space="preserve"> </w:t>
      </w:r>
      <w:r w:rsidR="004832AB" w:rsidRPr="004832AB">
        <w:rPr>
          <w:szCs w:val="26"/>
        </w:rPr>
        <w:t xml:space="preserve"> </w:t>
      </w:r>
      <w:r w:rsidRPr="004832AB">
        <w:rPr>
          <w:szCs w:val="26"/>
        </w:rPr>
        <w:t>Unless otherwise noted, all statutory references are to the Elections Code.</w:t>
      </w:r>
    </w:p>
  </w:footnote>
  <w:footnote w:id="4">
    <w:p w14:paraId="1DFF60A5" w14:textId="6DBBA616" w:rsidR="00BF0C1F" w:rsidRDefault="00BF0C1F" w:rsidP="006B0898">
      <w:pPr>
        <w:ind w:firstLine="720"/>
        <w:contextualSpacing/>
        <w:rPr>
          <w:color w:val="000000"/>
          <w:szCs w:val="26"/>
        </w:rPr>
      </w:pPr>
      <w:r w:rsidRPr="006B0898">
        <w:rPr>
          <w:rStyle w:val="FootnoteReference"/>
          <w:sz w:val="26"/>
          <w:szCs w:val="26"/>
          <w:vertAlign w:val="superscript"/>
        </w:rPr>
        <w:footnoteRef/>
      </w:r>
      <w:r w:rsidRPr="006B0898">
        <w:rPr>
          <w:szCs w:val="26"/>
        </w:rPr>
        <w:t xml:space="preserve"> </w:t>
      </w:r>
      <w:r w:rsidR="006B0898">
        <w:rPr>
          <w:szCs w:val="26"/>
        </w:rPr>
        <w:t xml:space="preserve"> </w:t>
      </w:r>
      <w:r w:rsidRPr="006B0898">
        <w:rPr>
          <w:szCs w:val="26"/>
        </w:rPr>
        <w:t>Section 9092 states that a</w:t>
      </w:r>
      <w:r w:rsidRPr="006B0898">
        <w:rPr>
          <w:color w:val="000000"/>
          <w:szCs w:val="26"/>
        </w:rPr>
        <w:t xml:space="preserve">ny elector may seek a writ of mandate requiring false or misleading statements to be amended or deleted from the </w:t>
      </w:r>
      <w:r w:rsidRPr="006B0898">
        <w:rPr>
          <w:color w:val="3D3D3D"/>
          <w:szCs w:val="26"/>
          <w:bdr w:val="none" w:sz="0" w:space="0" w:color="auto" w:frame="1"/>
          <w:shd w:val="clear" w:color="auto" w:fill="FFFFFF"/>
        </w:rPr>
        <w:t>state voter information guide</w:t>
      </w:r>
      <w:r w:rsidRPr="006B0898">
        <w:rPr>
          <w:color w:val="000000"/>
          <w:szCs w:val="26"/>
        </w:rPr>
        <w:t>.</w:t>
      </w:r>
    </w:p>
    <w:p w14:paraId="5669A5CF" w14:textId="77777777" w:rsidR="00A75BD9" w:rsidRPr="006B0898" w:rsidRDefault="00A75BD9" w:rsidP="006B0898">
      <w:pPr>
        <w:ind w:firstLine="720"/>
        <w:contextualSpacing/>
        <w:rPr>
          <w:szCs w:val="26"/>
        </w:rPr>
      </w:pPr>
    </w:p>
  </w:footnote>
  <w:footnote w:id="5">
    <w:p w14:paraId="147212E0" w14:textId="3BF83817" w:rsidR="00571EFD" w:rsidRDefault="00571EFD" w:rsidP="006B0898">
      <w:pPr>
        <w:pStyle w:val="FootnoteText"/>
        <w:ind w:firstLine="720"/>
      </w:pPr>
      <w:r w:rsidRPr="006B0898">
        <w:rPr>
          <w:rStyle w:val="FootnoteReference"/>
          <w:sz w:val="26"/>
          <w:szCs w:val="26"/>
          <w:vertAlign w:val="superscript"/>
        </w:rPr>
        <w:footnoteRef/>
      </w:r>
      <w:r>
        <w:t xml:space="preserve"> </w:t>
      </w:r>
      <w:r w:rsidR="006B0898">
        <w:t xml:space="preserve"> </w:t>
      </w:r>
      <w:r>
        <w:t>Real Parties do not contest the validity of the FTP-5 annexation.</w:t>
      </w:r>
    </w:p>
  </w:footnote>
  <w:footnote w:id="6">
    <w:p w14:paraId="13D108A6" w14:textId="0F7D6046" w:rsidR="00DE368E" w:rsidRPr="00F2004F" w:rsidRDefault="00DE368E" w:rsidP="004832AB">
      <w:pPr>
        <w:pStyle w:val="FootnoteText"/>
        <w:ind w:firstLine="720"/>
        <w:rPr>
          <w:szCs w:val="26"/>
        </w:rPr>
      </w:pPr>
      <w:r w:rsidRPr="004832AB">
        <w:rPr>
          <w:rStyle w:val="FootnoteReference"/>
          <w:sz w:val="26"/>
          <w:szCs w:val="26"/>
          <w:vertAlign w:val="superscript"/>
        </w:rPr>
        <w:footnoteRef/>
      </w:r>
      <w:r>
        <w:t xml:space="preserve"> </w:t>
      </w:r>
      <w:r w:rsidR="004832AB">
        <w:t xml:space="preserve"> </w:t>
      </w:r>
      <w:r>
        <w:t xml:space="preserve">Real Parties’ unopposed request for judicial notice, filed on October 5, 2022, is granted.  (Evid. Code, </w:t>
      </w:r>
      <w:bookmarkStart w:id="24" w:name="_Hlk146883289"/>
      <w:r w:rsidRPr="00B967E1">
        <w:rPr>
          <w:szCs w:val="26"/>
        </w:rPr>
        <w:t>§</w:t>
      </w:r>
      <w:bookmarkEnd w:id="24"/>
      <w:r w:rsidRPr="00B967E1">
        <w:rPr>
          <w:szCs w:val="26"/>
        </w:rPr>
        <w:t>§</w:t>
      </w:r>
      <w:r>
        <w:rPr>
          <w:szCs w:val="26"/>
        </w:rPr>
        <w:t xml:space="preserve"> 452, subds. </w:t>
      </w:r>
      <w:r w:rsidR="00F2004F">
        <w:rPr>
          <w:szCs w:val="26"/>
        </w:rPr>
        <w:t xml:space="preserve">(a), </w:t>
      </w:r>
      <w:r>
        <w:rPr>
          <w:szCs w:val="26"/>
        </w:rPr>
        <w:t>(c)</w:t>
      </w:r>
      <w:r w:rsidR="00DC0C27">
        <w:rPr>
          <w:szCs w:val="26"/>
        </w:rPr>
        <w:t>,</w:t>
      </w:r>
      <w:r>
        <w:rPr>
          <w:szCs w:val="26"/>
        </w:rPr>
        <w:t xml:space="preserve"> (h); 459, subd.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BAAB2" w14:textId="77777777" w:rsidR="00603C32" w:rsidRDefault="00603C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72BF" w14:textId="77777777" w:rsidR="00603C32" w:rsidRDefault="00603C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B558" w14:textId="77777777" w:rsidR="00603C32" w:rsidRDefault="00603C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B74"/>
    <w:rsid w:val="00003B69"/>
    <w:rsid w:val="000217E6"/>
    <w:rsid w:val="00032747"/>
    <w:rsid w:val="000465D9"/>
    <w:rsid w:val="0005136F"/>
    <w:rsid w:val="000546F1"/>
    <w:rsid w:val="000642A0"/>
    <w:rsid w:val="0006746A"/>
    <w:rsid w:val="00071416"/>
    <w:rsid w:val="000756A5"/>
    <w:rsid w:val="00077C64"/>
    <w:rsid w:val="000949A4"/>
    <w:rsid w:val="00097D4A"/>
    <w:rsid w:val="000A2F6C"/>
    <w:rsid w:val="000A3E78"/>
    <w:rsid w:val="000B0DD7"/>
    <w:rsid w:val="000B705B"/>
    <w:rsid w:val="000C28ED"/>
    <w:rsid w:val="000C3341"/>
    <w:rsid w:val="000C620E"/>
    <w:rsid w:val="000E0193"/>
    <w:rsid w:val="00102A3F"/>
    <w:rsid w:val="00111ADF"/>
    <w:rsid w:val="00113F4E"/>
    <w:rsid w:val="0011431A"/>
    <w:rsid w:val="001170E4"/>
    <w:rsid w:val="00121BB5"/>
    <w:rsid w:val="00124DD7"/>
    <w:rsid w:val="00126B01"/>
    <w:rsid w:val="00134691"/>
    <w:rsid w:val="00136D23"/>
    <w:rsid w:val="00141446"/>
    <w:rsid w:val="001416BA"/>
    <w:rsid w:val="00145700"/>
    <w:rsid w:val="001464CF"/>
    <w:rsid w:val="00150620"/>
    <w:rsid w:val="00155AF5"/>
    <w:rsid w:val="0016200B"/>
    <w:rsid w:val="0016209E"/>
    <w:rsid w:val="00163F10"/>
    <w:rsid w:val="001646CE"/>
    <w:rsid w:val="0017035E"/>
    <w:rsid w:val="00173318"/>
    <w:rsid w:val="0017542A"/>
    <w:rsid w:val="00176B74"/>
    <w:rsid w:val="00184F2E"/>
    <w:rsid w:val="001900A7"/>
    <w:rsid w:val="00192312"/>
    <w:rsid w:val="001A5ADD"/>
    <w:rsid w:val="001A641A"/>
    <w:rsid w:val="001A7B07"/>
    <w:rsid w:val="001C1477"/>
    <w:rsid w:val="001C41F4"/>
    <w:rsid w:val="001D1315"/>
    <w:rsid w:val="001D36AB"/>
    <w:rsid w:val="001E04D9"/>
    <w:rsid w:val="001F03A7"/>
    <w:rsid w:val="001F49B0"/>
    <w:rsid w:val="00200642"/>
    <w:rsid w:val="002009EE"/>
    <w:rsid w:val="00200C91"/>
    <w:rsid w:val="0020305F"/>
    <w:rsid w:val="0021108B"/>
    <w:rsid w:val="002225BF"/>
    <w:rsid w:val="0022615E"/>
    <w:rsid w:val="00230578"/>
    <w:rsid w:val="002331EE"/>
    <w:rsid w:val="00240A5A"/>
    <w:rsid w:val="00245436"/>
    <w:rsid w:val="002477D4"/>
    <w:rsid w:val="00255C4A"/>
    <w:rsid w:val="00256A8C"/>
    <w:rsid w:val="002609E5"/>
    <w:rsid w:val="00262746"/>
    <w:rsid w:val="00262C6F"/>
    <w:rsid w:val="0026355F"/>
    <w:rsid w:val="0026558A"/>
    <w:rsid w:val="00270314"/>
    <w:rsid w:val="00270744"/>
    <w:rsid w:val="0027284C"/>
    <w:rsid w:val="002753D3"/>
    <w:rsid w:val="00276356"/>
    <w:rsid w:val="00277CFD"/>
    <w:rsid w:val="00280613"/>
    <w:rsid w:val="00287619"/>
    <w:rsid w:val="00290686"/>
    <w:rsid w:val="00293A81"/>
    <w:rsid w:val="00294AFC"/>
    <w:rsid w:val="00294CF7"/>
    <w:rsid w:val="0029775B"/>
    <w:rsid w:val="002A0E46"/>
    <w:rsid w:val="002B589D"/>
    <w:rsid w:val="002C5A7D"/>
    <w:rsid w:val="002C7958"/>
    <w:rsid w:val="002C7BF1"/>
    <w:rsid w:val="002D3DC9"/>
    <w:rsid w:val="002D53DE"/>
    <w:rsid w:val="002E3B44"/>
    <w:rsid w:val="002E4868"/>
    <w:rsid w:val="002E7AB7"/>
    <w:rsid w:val="002F2B09"/>
    <w:rsid w:val="002F36DA"/>
    <w:rsid w:val="002F6007"/>
    <w:rsid w:val="002F6EF8"/>
    <w:rsid w:val="00301047"/>
    <w:rsid w:val="0030160C"/>
    <w:rsid w:val="0030364F"/>
    <w:rsid w:val="0030746D"/>
    <w:rsid w:val="003079FF"/>
    <w:rsid w:val="003158EC"/>
    <w:rsid w:val="003216C5"/>
    <w:rsid w:val="00322DE6"/>
    <w:rsid w:val="00326704"/>
    <w:rsid w:val="003278B0"/>
    <w:rsid w:val="0033027D"/>
    <w:rsid w:val="003321A9"/>
    <w:rsid w:val="00336089"/>
    <w:rsid w:val="003361BD"/>
    <w:rsid w:val="003449B0"/>
    <w:rsid w:val="003473F7"/>
    <w:rsid w:val="00350A77"/>
    <w:rsid w:val="0036529C"/>
    <w:rsid w:val="00370B70"/>
    <w:rsid w:val="00371336"/>
    <w:rsid w:val="00372901"/>
    <w:rsid w:val="003802FC"/>
    <w:rsid w:val="0038060B"/>
    <w:rsid w:val="00395031"/>
    <w:rsid w:val="003A1712"/>
    <w:rsid w:val="003A5774"/>
    <w:rsid w:val="003B59BC"/>
    <w:rsid w:val="003B6099"/>
    <w:rsid w:val="003C38A2"/>
    <w:rsid w:val="003C665D"/>
    <w:rsid w:val="003D2A0B"/>
    <w:rsid w:val="003D4804"/>
    <w:rsid w:val="003D73FA"/>
    <w:rsid w:val="003E0118"/>
    <w:rsid w:val="003F233E"/>
    <w:rsid w:val="003F272A"/>
    <w:rsid w:val="003F5FC9"/>
    <w:rsid w:val="004051E9"/>
    <w:rsid w:val="00407A11"/>
    <w:rsid w:val="00412007"/>
    <w:rsid w:val="00416A33"/>
    <w:rsid w:val="00420CE6"/>
    <w:rsid w:val="00423037"/>
    <w:rsid w:val="0042378D"/>
    <w:rsid w:val="00431901"/>
    <w:rsid w:val="00431A8F"/>
    <w:rsid w:val="00433CCC"/>
    <w:rsid w:val="00434315"/>
    <w:rsid w:val="00442802"/>
    <w:rsid w:val="00442DB1"/>
    <w:rsid w:val="00455CD6"/>
    <w:rsid w:val="00457727"/>
    <w:rsid w:val="004602E5"/>
    <w:rsid w:val="00462586"/>
    <w:rsid w:val="00464261"/>
    <w:rsid w:val="00466AA1"/>
    <w:rsid w:val="00472633"/>
    <w:rsid w:val="004744F8"/>
    <w:rsid w:val="00481C73"/>
    <w:rsid w:val="004832AB"/>
    <w:rsid w:val="00483BF7"/>
    <w:rsid w:val="00483FC4"/>
    <w:rsid w:val="004849A3"/>
    <w:rsid w:val="00485427"/>
    <w:rsid w:val="00485AD6"/>
    <w:rsid w:val="0049259B"/>
    <w:rsid w:val="004A0937"/>
    <w:rsid w:val="004A1263"/>
    <w:rsid w:val="004D1AF0"/>
    <w:rsid w:val="004D311E"/>
    <w:rsid w:val="004D7496"/>
    <w:rsid w:val="004E01D4"/>
    <w:rsid w:val="004E0C86"/>
    <w:rsid w:val="004E4C3F"/>
    <w:rsid w:val="004F299D"/>
    <w:rsid w:val="004F402A"/>
    <w:rsid w:val="00502EE0"/>
    <w:rsid w:val="0051437C"/>
    <w:rsid w:val="0051505A"/>
    <w:rsid w:val="00524286"/>
    <w:rsid w:val="00531CFE"/>
    <w:rsid w:val="0054354D"/>
    <w:rsid w:val="00544D0D"/>
    <w:rsid w:val="005455E8"/>
    <w:rsid w:val="00554046"/>
    <w:rsid w:val="005601BA"/>
    <w:rsid w:val="00560BF3"/>
    <w:rsid w:val="00565BCF"/>
    <w:rsid w:val="00567C17"/>
    <w:rsid w:val="00571EFD"/>
    <w:rsid w:val="005735B8"/>
    <w:rsid w:val="00580D7A"/>
    <w:rsid w:val="00581744"/>
    <w:rsid w:val="005877C1"/>
    <w:rsid w:val="005913F4"/>
    <w:rsid w:val="00592050"/>
    <w:rsid w:val="005A36AC"/>
    <w:rsid w:val="005B319F"/>
    <w:rsid w:val="005B6450"/>
    <w:rsid w:val="005B765A"/>
    <w:rsid w:val="005C1BBD"/>
    <w:rsid w:val="005C2149"/>
    <w:rsid w:val="005C5756"/>
    <w:rsid w:val="005D5C40"/>
    <w:rsid w:val="005E3916"/>
    <w:rsid w:val="005F0929"/>
    <w:rsid w:val="005F4DED"/>
    <w:rsid w:val="005F657C"/>
    <w:rsid w:val="0060384B"/>
    <w:rsid w:val="00603C32"/>
    <w:rsid w:val="006165DD"/>
    <w:rsid w:val="00620A30"/>
    <w:rsid w:val="00622D87"/>
    <w:rsid w:val="006246CB"/>
    <w:rsid w:val="00636FE6"/>
    <w:rsid w:val="0064055E"/>
    <w:rsid w:val="00645756"/>
    <w:rsid w:val="00646D24"/>
    <w:rsid w:val="00651291"/>
    <w:rsid w:val="00651E66"/>
    <w:rsid w:val="00660728"/>
    <w:rsid w:val="0066388F"/>
    <w:rsid w:val="00666E91"/>
    <w:rsid w:val="00677A2A"/>
    <w:rsid w:val="00687632"/>
    <w:rsid w:val="006A4BC6"/>
    <w:rsid w:val="006B0898"/>
    <w:rsid w:val="006B24E9"/>
    <w:rsid w:val="006C0297"/>
    <w:rsid w:val="006C0D6F"/>
    <w:rsid w:val="006C3EB5"/>
    <w:rsid w:val="006C5114"/>
    <w:rsid w:val="006D317C"/>
    <w:rsid w:val="006D57C8"/>
    <w:rsid w:val="006D6EBE"/>
    <w:rsid w:val="006E3861"/>
    <w:rsid w:val="006E3FEC"/>
    <w:rsid w:val="006F3DEC"/>
    <w:rsid w:val="006F47C4"/>
    <w:rsid w:val="007041C4"/>
    <w:rsid w:val="00705D43"/>
    <w:rsid w:val="007117BA"/>
    <w:rsid w:val="00712972"/>
    <w:rsid w:val="00714A1F"/>
    <w:rsid w:val="0073347F"/>
    <w:rsid w:val="007351F6"/>
    <w:rsid w:val="00735597"/>
    <w:rsid w:val="00741AA7"/>
    <w:rsid w:val="00745E86"/>
    <w:rsid w:val="00753D33"/>
    <w:rsid w:val="00756515"/>
    <w:rsid w:val="0076318C"/>
    <w:rsid w:val="0077329A"/>
    <w:rsid w:val="00777690"/>
    <w:rsid w:val="00781DE0"/>
    <w:rsid w:val="00785532"/>
    <w:rsid w:val="0079154D"/>
    <w:rsid w:val="007A22E4"/>
    <w:rsid w:val="007A423F"/>
    <w:rsid w:val="007A60AF"/>
    <w:rsid w:val="007B36F6"/>
    <w:rsid w:val="007B373D"/>
    <w:rsid w:val="007C559A"/>
    <w:rsid w:val="007E2E02"/>
    <w:rsid w:val="007E7AB6"/>
    <w:rsid w:val="007F7FD6"/>
    <w:rsid w:val="008000EA"/>
    <w:rsid w:val="00806D79"/>
    <w:rsid w:val="008104A8"/>
    <w:rsid w:val="00812B25"/>
    <w:rsid w:val="00814564"/>
    <w:rsid w:val="0081520C"/>
    <w:rsid w:val="0082068B"/>
    <w:rsid w:val="00821093"/>
    <w:rsid w:val="008231A8"/>
    <w:rsid w:val="00823F0A"/>
    <w:rsid w:val="00824D08"/>
    <w:rsid w:val="008264AD"/>
    <w:rsid w:val="00830F1F"/>
    <w:rsid w:val="00831673"/>
    <w:rsid w:val="00836C93"/>
    <w:rsid w:val="008428FD"/>
    <w:rsid w:val="008436D2"/>
    <w:rsid w:val="00847B89"/>
    <w:rsid w:val="00852C0A"/>
    <w:rsid w:val="00860B3A"/>
    <w:rsid w:val="00863C91"/>
    <w:rsid w:val="00863E00"/>
    <w:rsid w:val="008808DB"/>
    <w:rsid w:val="008823FB"/>
    <w:rsid w:val="008872D6"/>
    <w:rsid w:val="008A0493"/>
    <w:rsid w:val="008A214A"/>
    <w:rsid w:val="008A4470"/>
    <w:rsid w:val="008A5362"/>
    <w:rsid w:val="008B7D08"/>
    <w:rsid w:val="008C059D"/>
    <w:rsid w:val="008C3309"/>
    <w:rsid w:val="008D01C3"/>
    <w:rsid w:val="008D2931"/>
    <w:rsid w:val="008D3B81"/>
    <w:rsid w:val="008D5EC8"/>
    <w:rsid w:val="008D73F6"/>
    <w:rsid w:val="008E069C"/>
    <w:rsid w:val="008E2F01"/>
    <w:rsid w:val="008E6ECC"/>
    <w:rsid w:val="008F2476"/>
    <w:rsid w:val="008F65CA"/>
    <w:rsid w:val="008F66DF"/>
    <w:rsid w:val="008F6B46"/>
    <w:rsid w:val="00902100"/>
    <w:rsid w:val="009031A7"/>
    <w:rsid w:val="009126C4"/>
    <w:rsid w:val="00913A90"/>
    <w:rsid w:val="009166EE"/>
    <w:rsid w:val="00916DD3"/>
    <w:rsid w:val="00946D6A"/>
    <w:rsid w:val="00951061"/>
    <w:rsid w:val="009551F1"/>
    <w:rsid w:val="009573ED"/>
    <w:rsid w:val="00963A15"/>
    <w:rsid w:val="00967759"/>
    <w:rsid w:val="009703E4"/>
    <w:rsid w:val="00974486"/>
    <w:rsid w:val="00975543"/>
    <w:rsid w:val="009761C0"/>
    <w:rsid w:val="0098213D"/>
    <w:rsid w:val="00987810"/>
    <w:rsid w:val="00992B6A"/>
    <w:rsid w:val="00995010"/>
    <w:rsid w:val="009A1BAE"/>
    <w:rsid w:val="009A40A6"/>
    <w:rsid w:val="009A41DA"/>
    <w:rsid w:val="009A4A66"/>
    <w:rsid w:val="009B6A83"/>
    <w:rsid w:val="009B7265"/>
    <w:rsid w:val="009C3FF4"/>
    <w:rsid w:val="009C4248"/>
    <w:rsid w:val="009C4797"/>
    <w:rsid w:val="009C539D"/>
    <w:rsid w:val="009C7B65"/>
    <w:rsid w:val="009D157C"/>
    <w:rsid w:val="00A00B60"/>
    <w:rsid w:val="00A021EA"/>
    <w:rsid w:val="00A0326A"/>
    <w:rsid w:val="00A04535"/>
    <w:rsid w:val="00A04825"/>
    <w:rsid w:val="00A103AE"/>
    <w:rsid w:val="00A1568F"/>
    <w:rsid w:val="00A17E0A"/>
    <w:rsid w:val="00A251F1"/>
    <w:rsid w:val="00A25546"/>
    <w:rsid w:val="00A266B6"/>
    <w:rsid w:val="00A30ACE"/>
    <w:rsid w:val="00A31AEB"/>
    <w:rsid w:val="00A322B7"/>
    <w:rsid w:val="00A40910"/>
    <w:rsid w:val="00A422F8"/>
    <w:rsid w:val="00A52ACF"/>
    <w:rsid w:val="00A533F1"/>
    <w:rsid w:val="00A535C2"/>
    <w:rsid w:val="00A61B53"/>
    <w:rsid w:val="00A621CF"/>
    <w:rsid w:val="00A73326"/>
    <w:rsid w:val="00A735D2"/>
    <w:rsid w:val="00A747DA"/>
    <w:rsid w:val="00A75BD9"/>
    <w:rsid w:val="00A76BDE"/>
    <w:rsid w:val="00A86FFD"/>
    <w:rsid w:val="00A903E9"/>
    <w:rsid w:val="00A91C36"/>
    <w:rsid w:val="00A96484"/>
    <w:rsid w:val="00AA6155"/>
    <w:rsid w:val="00AA74B8"/>
    <w:rsid w:val="00AA7F9E"/>
    <w:rsid w:val="00AC0103"/>
    <w:rsid w:val="00AC1CA5"/>
    <w:rsid w:val="00AC2987"/>
    <w:rsid w:val="00AC6070"/>
    <w:rsid w:val="00AD4B9E"/>
    <w:rsid w:val="00AE5639"/>
    <w:rsid w:val="00AE7C42"/>
    <w:rsid w:val="00AF3DA0"/>
    <w:rsid w:val="00AF4448"/>
    <w:rsid w:val="00B00B5C"/>
    <w:rsid w:val="00B10DE3"/>
    <w:rsid w:val="00B13AA0"/>
    <w:rsid w:val="00B42DEE"/>
    <w:rsid w:val="00B45381"/>
    <w:rsid w:val="00B46BC8"/>
    <w:rsid w:val="00B539EA"/>
    <w:rsid w:val="00B562CB"/>
    <w:rsid w:val="00B6193A"/>
    <w:rsid w:val="00B6495A"/>
    <w:rsid w:val="00B66A53"/>
    <w:rsid w:val="00B66E13"/>
    <w:rsid w:val="00B71F56"/>
    <w:rsid w:val="00B72C3B"/>
    <w:rsid w:val="00B75E9C"/>
    <w:rsid w:val="00B81292"/>
    <w:rsid w:val="00B813C5"/>
    <w:rsid w:val="00B84096"/>
    <w:rsid w:val="00B86EB9"/>
    <w:rsid w:val="00B92ABB"/>
    <w:rsid w:val="00BA4511"/>
    <w:rsid w:val="00BC2B61"/>
    <w:rsid w:val="00BD1104"/>
    <w:rsid w:val="00BD35DF"/>
    <w:rsid w:val="00BD6BCF"/>
    <w:rsid w:val="00BD733E"/>
    <w:rsid w:val="00BD75EB"/>
    <w:rsid w:val="00BE384B"/>
    <w:rsid w:val="00BE3E40"/>
    <w:rsid w:val="00BE73E8"/>
    <w:rsid w:val="00BF0C1F"/>
    <w:rsid w:val="00BF2F2A"/>
    <w:rsid w:val="00BF72B1"/>
    <w:rsid w:val="00C050B7"/>
    <w:rsid w:val="00C17BAE"/>
    <w:rsid w:val="00C24DA0"/>
    <w:rsid w:val="00C26139"/>
    <w:rsid w:val="00C31BCB"/>
    <w:rsid w:val="00C31E9B"/>
    <w:rsid w:val="00C456BB"/>
    <w:rsid w:val="00C47215"/>
    <w:rsid w:val="00C525EE"/>
    <w:rsid w:val="00C52A23"/>
    <w:rsid w:val="00C5347E"/>
    <w:rsid w:val="00C5583F"/>
    <w:rsid w:val="00C571A6"/>
    <w:rsid w:val="00C604D6"/>
    <w:rsid w:val="00C6064B"/>
    <w:rsid w:val="00C6108E"/>
    <w:rsid w:val="00C6245B"/>
    <w:rsid w:val="00C66D89"/>
    <w:rsid w:val="00C73A4A"/>
    <w:rsid w:val="00C80095"/>
    <w:rsid w:val="00C84A10"/>
    <w:rsid w:val="00C904C1"/>
    <w:rsid w:val="00CA10AB"/>
    <w:rsid w:val="00CA64BF"/>
    <w:rsid w:val="00CA67E4"/>
    <w:rsid w:val="00CA6A26"/>
    <w:rsid w:val="00CB0945"/>
    <w:rsid w:val="00CB4C4A"/>
    <w:rsid w:val="00CC4246"/>
    <w:rsid w:val="00CD55ED"/>
    <w:rsid w:val="00CD73CA"/>
    <w:rsid w:val="00CD7F0C"/>
    <w:rsid w:val="00CE223E"/>
    <w:rsid w:val="00CE4F3A"/>
    <w:rsid w:val="00CE5F48"/>
    <w:rsid w:val="00CE7358"/>
    <w:rsid w:val="00CF07F7"/>
    <w:rsid w:val="00CF0B88"/>
    <w:rsid w:val="00CF6FCF"/>
    <w:rsid w:val="00D00463"/>
    <w:rsid w:val="00D00C2A"/>
    <w:rsid w:val="00D060BA"/>
    <w:rsid w:val="00D06B4B"/>
    <w:rsid w:val="00D0767D"/>
    <w:rsid w:val="00D15738"/>
    <w:rsid w:val="00D24C9F"/>
    <w:rsid w:val="00D255E2"/>
    <w:rsid w:val="00D31520"/>
    <w:rsid w:val="00D32656"/>
    <w:rsid w:val="00D3291E"/>
    <w:rsid w:val="00D36180"/>
    <w:rsid w:val="00D4191A"/>
    <w:rsid w:val="00D42948"/>
    <w:rsid w:val="00D4440D"/>
    <w:rsid w:val="00D5413E"/>
    <w:rsid w:val="00D65B2E"/>
    <w:rsid w:val="00D660AD"/>
    <w:rsid w:val="00D71BBC"/>
    <w:rsid w:val="00D71DDC"/>
    <w:rsid w:val="00D75A63"/>
    <w:rsid w:val="00D768E6"/>
    <w:rsid w:val="00D85BD3"/>
    <w:rsid w:val="00D86ADC"/>
    <w:rsid w:val="00D95A9D"/>
    <w:rsid w:val="00D97274"/>
    <w:rsid w:val="00DA2284"/>
    <w:rsid w:val="00DB16DB"/>
    <w:rsid w:val="00DB2BCC"/>
    <w:rsid w:val="00DB39BD"/>
    <w:rsid w:val="00DB5D39"/>
    <w:rsid w:val="00DB691B"/>
    <w:rsid w:val="00DC0C27"/>
    <w:rsid w:val="00DC2024"/>
    <w:rsid w:val="00DC3C22"/>
    <w:rsid w:val="00DD0525"/>
    <w:rsid w:val="00DD2B4C"/>
    <w:rsid w:val="00DD33BC"/>
    <w:rsid w:val="00DE086E"/>
    <w:rsid w:val="00DE368E"/>
    <w:rsid w:val="00E03122"/>
    <w:rsid w:val="00E213A9"/>
    <w:rsid w:val="00E22983"/>
    <w:rsid w:val="00E31240"/>
    <w:rsid w:val="00E31907"/>
    <w:rsid w:val="00E335B5"/>
    <w:rsid w:val="00E33CF5"/>
    <w:rsid w:val="00E35D14"/>
    <w:rsid w:val="00E375AC"/>
    <w:rsid w:val="00E4092B"/>
    <w:rsid w:val="00E43812"/>
    <w:rsid w:val="00E50753"/>
    <w:rsid w:val="00E50F6B"/>
    <w:rsid w:val="00E51A78"/>
    <w:rsid w:val="00E5380F"/>
    <w:rsid w:val="00E60BE9"/>
    <w:rsid w:val="00E638B3"/>
    <w:rsid w:val="00E64802"/>
    <w:rsid w:val="00E64BCA"/>
    <w:rsid w:val="00E71BD1"/>
    <w:rsid w:val="00E71FCD"/>
    <w:rsid w:val="00E72847"/>
    <w:rsid w:val="00E77B50"/>
    <w:rsid w:val="00E8202E"/>
    <w:rsid w:val="00E86D38"/>
    <w:rsid w:val="00E92963"/>
    <w:rsid w:val="00E92A1E"/>
    <w:rsid w:val="00E94A37"/>
    <w:rsid w:val="00E963FA"/>
    <w:rsid w:val="00E978DF"/>
    <w:rsid w:val="00EA0CBD"/>
    <w:rsid w:val="00EA0DB6"/>
    <w:rsid w:val="00EA1062"/>
    <w:rsid w:val="00EA75FD"/>
    <w:rsid w:val="00EB1931"/>
    <w:rsid w:val="00EB3E6F"/>
    <w:rsid w:val="00EC0039"/>
    <w:rsid w:val="00EC23CA"/>
    <w:rsid w:val="00EC5C8F"/>
    <w:rsid w:val="00ED13A4"/>
    <w:rsid w:val="00EE06FB"/>
    <w:rsid w:val="00EE3815"/>
    <w:rsid w:val="00EF03BF"/>
    <w:rsid w:val="00EF24F2"/>
    <w:rsid w:val="00EF3D7D"/>
    <w:rsid w:val="00F02B21"/>
    <w:rsid w:val="00F1422E"/>
    <w:rsid w:val="00F16DEE"/>
    <w:rsid w:val="00F2004F"/>
    <w:rsid w:val="00F22952"/>
    <w:rsid w:val="00F26E19"/>
    <w:rsid w:val="00F31298"/>
    <w:rsid w:val="00F32785"/>
    <w:rsid w:val="00F358A0"/>
    <w:rsid w:val="00F40884"/>
    <w:rsid w:val="00F43EB5"/>
    <w:rsid w:val="00F47225"/>
    <w:rsid w:val="00F50606"/>
    <w:rsid w:val="00F54797"/>
    <w:rsid w:val="00F55FEC"/>
    <w:rsid w:val="00F605B7"/>
    <w:rsid w:val="00F61A3A"/>
    <w:rsid w:val="00F64D92"/>
    <w:rsid w:val="00F65B59"/>
    <w:rsid w:val="00F665BA"/>
    <w:rsid w:val="00F66FCC"/>
    <w:rsid w:val="00F679FB"/>
    <w:rsid w:val="00F70D58"/>
    <w:rsid w:val="00F71083"/>
    <w:rsid w:val="00F7357E"/>
    <w:rsid w:val="00F838E3"/>
    <w:rsid w:val="00F91BB1"/>
    <w:rsid w:val="00FA1D1A"/>
    <w:rsid w:val="00FA2D74"/>
    <w:rsid w:val="00FA5A2F"/>
    <w:rsid w:val="00FB7203"/>
    <w:rsid w:val="00FC1E4C"/>
    <w:rsid w:val="00FC3ED5"/>
    <w:rsid w:val="00FC5608"/>
    <w:rsid w:val="00FC7C86"/>
    <w:rsid w:val="00FC7D03"/>
    <w:rsid w:val="00FD44AD"/>
    <w:rsid w:val="00FE1E9E"/>
    <w:rsid w:val="00FF1F36"/>
    <w:rsid w:val="00FF2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B72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4315"/>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0pt">
    <w:name w:val="Style 10 pt"/>
    <w:basedOn w:val="DefaultParagraphFont"/>
    <w:rsid w:val="00E5380F"/>
    <w:rPr>
      <w:sz w:val="22"/>
    </w:rPr>
  </w:style>
  <w:style w:type="character" w:customStyle="1" w:styleId="StyleArial10pt">
    <w:name w:val="Style Arial 10 pt"/>
    <w:basedOn w:val="DefaultParagraphFont"/>
    <w:rsid w:val="00E5380F"/>
    <w:rPr>
      <w:rFonts w:ascii="Arial" w:hAnsi="Arial"/>
      <w:sz w:val="22"/>
    </w:rPr>
  </w:style>
  <w:style w:type="character" w:customStyle="1" w:styleId="StyleArial10pt1">
    <w:name w:val="Style Arial 10 pt1"/>
    <w:basedOn w:val="DefaultParagraphFont"/>
    <w:rsid w:val="00173318"/>
    <w:rPr>
      <w:rFonts w:ascii="Arial" w:hAnsi="Arial"/>
      <w:sz w:val="22"/>
    </w:rPr>
  </w:style>
  <w:style w:type="paragraph" w:styleId="Header">
    <w:name w:val="header"/>
    <w:basedOn w:val="Normal"/>
    <w:link w:val="HeaderChar"/>
    <w:uiPriority w:val="99"/>
    <w:rsid w:val="00111ADF"/>
    <w:pPr>
      <w:tabs>
        <w:tab w:val="center" w:pos="4680"/>
        <w:tab w:val="right" w:pos="9360"/>
      </w:tabs>
    </w:pPr>
  </w:style>
  <w:style w:type="character" w:customStyle="1" w:styleId="HeaderChar">
    <w:name w:val="Header Char"/>
    <w:basedOn w:val="DefaultParagraphFont"/>
    <w:link w:val="Header"/>
    <w:uiPriority w:val="99"/>
    <w:rsid w:val="00111ADF"/>
    <w:rPr>
      <w:sz w:val="26"/>
      <w:szCs w:val="24"/>
    </w:rPr>
  </w:style>
  <w:style w:type="paragraph" w:styleId="Footer">
    <w:name w:val="footer"/>
    <w:basedOn w:val="Normal"/>
    <w:link w:val="FooterChar"/>
    <w:uiPriority w:val="99"/>
    <w:rsid w:val="00111ADF"/>
    <w:pPr>
      <w:tabs>
        <w:tab w:val="center" w:pos="4680"/>
        <w:tab w:val="right" w:pos="9360"/>
      </w:tabs>
    </w:pPr>
  </w:style>
  <w:style w:type="character" w:customStyle="1" w:styleId="FooterChar">
    <w:name w:val="Footer Char"/>
    <w:basedOn w:val="DefaultParagraphFont"/>
    <w:link w:val="Footer"/>
    <w:uiPriority w:val="99"/>
    <w:rsid w:val="00111ADF"/>
    <w:rPr>
      <w:sz w:val="26"/>
      <w:szCs w:val="24"/>
    </w:rPr>
  </w:style>
  <w:style w:type="paragraph" w:styleId="FootnoteText">
    <w:name w:val="footnote text"/>
    <w:basedOn w:val="Normal"/>
    <w:link w:val="FootnoteTextChar"/>
    <w:rsid w:val="00D75A63"/>
    <w:rPr>
      <w:szCs w:val="20"/>
    </w:rPr>
  </w:style>
  <w:style w:type="character" w:customStyle="1" w:styleId="FootnoteTextChar">
    <w:name w:val="Footnote Text Char"/>
    <w:basedOn w:val="DefaultParagraphFont"/>
    <w:link w:val="FootnoteText"/>
    <w:rsid w:val="00D75A63"/>
    <w:rPr>
      <w:sz w:val="26"/>
    </w:rPr>
  </w:style>
  <w:style w:type="character" w:styleId="FootnoteReference">
    <w:name w:val="footnote reference"/>
    <w:basedOn w:val="DefaultParagraphFont"/>
    <w:rsid w:val="00D75A63"/>
    <w:rPr>
      <w:b/>
      <w:position w:val="8"/>
      <w:sz w:val="20"/>
      <w:vertAlign w:val="baseline"/>
    </w:rPr>
  </w:style>
  <w:style w:type="paragraph" w:styleId="Revision">
    <w:name w:val="Revision"/>
    <w:hidden/>
    <w:uiPriority w:val="99"/>
    <w:semiHidden/>
    <w:rsid w:val="0006746A"/>
    <w:rPr>
      <w:sz w:val="26"/>
      <w:szCs w:val="24"/>
    </w:rPr>
  </w:style>
  <w:style w:type="character" w:styleId="CommentReference">
    <w:name w:val="annotation reference"/>
    <w:basedOn w:val="DefaultParagraphFont"/>
    <w:rsid w:val="00A61B53"/>
    <w:rPr>
      <w:sz w:val="16"/>
      <w:szCs w:val="16"/>
    </w:rPr>
  </w:style>
  <w:style w:type="paragraph" w:styleId="CommentText">
    <w:name w:val="annotation text"/>
    <w:basedOn w:val="Normal"/>
    <w:link w:val="CommentTextChar"/>
    <w:rsid w:val="00A61B53"/>
    <w:rPr>
      <w:sz w:val="20"/>
      <w:szCs w:val="20"/>
    </w:rPr>
  </w:style>
  <w:style w:type="character" w:customStyle="1" w:styleId="CommentTextChar">
    <w:name w:val="Comment Text Char"/>
    <w:basedOn w:val="DefaultParagraphFont"/>
    <w:link w:val="CommentText"/>
    <w:rsid w:val="00A61B53"/>
  </w:style>
  <w:style w:type="paragraph" w:styleId="CommentSubject">
    <w:name w:val="annotation subject"/>
    <w:basedOn w:val="CommentText"/>
    <w:next w:val="CommentText"/>
    <w:link w:val="CommentSubjectChar"/>
    <w:rsid w:val="00A61B53"/>
    <w:rPr>
      <w:b/>
      <w:bCs/>
    </w:rPr>
  </w:style>
  <w:style w:type="character" w:customStyle="1" w:styleId="CommentSubjectChar">
    <w:name w:val="Comment Subject Char"/>
    <w:basedOn w:val="CommentTextChar"/>
    <w:link w:val="CommentSubject"/>
    <w:rsid w:val="00A61B53"/>
    <w:rPr>
      <w:b/>
      <w:bCs/>
    </w:rPr>
  </w:style>
  <w:style w:type="character" w:styleId="PageNumber">
    <w:name w:val="page number"/>
    <w:basedOn w:val="DefaultParagraphFont"/>
    <w:rsid w:val="003B59BC"/>
  </w:style>
  <w:style w:type="table" w:styleId="TableGrid">
    <w:name w:val="Table Grid"/>
    <w:basedOn w:val="TableNormal"/>
    <w:rsid w:val="003B5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C0039"/>
    <w:pPr>
      <w:overflowPunct w:val="0"/>
      <w:autoSpaceDE w:val="0"/>
      <w:autoSpaceDN w:val="0"/>
      <w:adjustRightInd w:val="0"/>
      <w:spacing w:line="480" w:lineRule="auto"/>
      <w:textAlignment w:val="baseline"/>
    </w:pPr>
    <w:rPr>
      <w:color w:val="000080"/>
      <w:szCs w:val="20"/>
    </w:rPr>
  </w:style>
  <w:style w:type="character" w:customStyle="1" w:styleId="BodyTextChar">
    <w:name w:val="Body Text Char"/>
    <w:basedOn w:val="DefaultParagraphFont"/>
    <w:link w:val="BodyText"/>
    <w:rsid w:val="00EC0039"/>
    <w:rPr>
      <w:color w:val="000080"/>
      <w:sz w:val="26"/>
    </w:rPr>
  </w:style>
  <w:style w:type="paragraph" w:customStyle="1" w:styleId="SigPage1">
    <w:name w:val="Sig.Page.1"/>
    <w:basedOn w:val="Normal"/>
    <w:rsid w:val="00EC0039"/>
    <w:pPr>
      <w:tabs>
        <w:tab w:val="left" w:pos="2880"/>
      </w:tabs>
      <w:suppressAutoHyphens/>
      <w:overflowPunct w:val="0"/>
      <w:autoSpaceDE w:val="0"/>
      <w:autoSpaceDN w:val="0"/>
      <w:adjustRightInd w:val="0"/>
      <w:textAlignment w:val="baseline"/>
    </w:pPr>
    <w:rPr>
      <w:rFonts w:ascii="Courier" w:hAnsi="Courier"/>
      <w:sz w:val="24"/>
      <w:szCs w:val="20"/>
    </w:rPr>
  </w:style>
  <w:style w:type="paragraph" w:customStyle="1" w:styleId="SigPage2">
    <w:name w:val="Sig.Page.2"/>
    <w:basedOn w:val="SigPage1"/>
    <w:rsid w:val="00EC0039"/>
    <w:pPr>
      <w:tabs>
        <w:tab w:val="right" w:pos="288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27644">
      <w:bodyDiv w:val="1"/>
      <w:marLeft w:val="0"/>
      <w:marRight w:val="0"/>
      <w:marTop w:val="0"/>
      <w:marBottom w:val="0"/>
      <w:divBdr>
        <w:top w:val="none" w:sz="0" w:space="0" w:color="auto"/>
        <w:left w:val="none" w:sz="0" w:space="0" w:color="auto"/>
        <w:bottom w:val="none" w:sz="0" w:space="0" w:color="auto"/>
        <w:right w:val="none" w:sz="0" w:space="0" w:color="auto"/>
      </w:divBdr>
      <w:divsChild>
        <w:div w:id="175458710">
          <w:marLeft w:val="0"/>
          <w:marRight w:val="0"/>
          <w:marTop w:val="0"/>
          <w:marBottom w:val="0"/>
          <w:divBdr>
            <w:top w:val="none" w:sz="0" w:space="0" w:color="3D3D3D"/>
            <w:left w:val="none" w:sz="0" w:space="0" w:color="3D3D3D"/>
            <w:bottom w:val="none" w:sz="0" w:space="0" w:color="3D3D3D"/>
            <w:right w:val="none" w:sz="0" w:space="0" w:color="3D3D3D"/>
          </w:divBdr>
          <w:divsChild>
            <w:div w:id="1313678652">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 w:id="1486555961">
      <w:bodyDiv w:val="1"/>
      <w:marLeft w:val="0"/>
      <w:marRight w:val="0"/>
      <w:marTop w:val="0"/>
      <w:marBottom w:val="0"/>
      <w:divBdr>
        <w:top w:val="none" w:sz="0" w:space="0" w:color="auto"/>
        <w:left w:val="none" w:sz="0" w:space="0" w:color="auto"/>
        <w:bottom w:val="none" w:sz="0" w:space="0" w:color="auto"/>
        <w:right w:val="none" w:sz="0" w:space="0" w:color="auto"/>
      </w:divBdr>
      <w:divsChild>
        <w:div w:id="388960583">
          <w:marLeft w:val="0"/>
          <w:marRight w:val="0"/>
          <w:marTop w:val="0"/>
          <w:marBottom w:val="0"/>
          <w:divBdr>
            <w:top w:val="none" w:sz="0" w:space="0" w:color="3D3D3D"/>
            <w:left w:val="none" w:sz="0" w:space="0" w:color="3D3D3D"/>
            <w:bottom w:val="none" w:sz="0" w:space="0" w:color="3D3D3D"/>
            <w:right w:val="none" w:sz="0" w:space="0" w:color="3D3D3D"/>
          </w:divBdr>
          <w:divsChild>
            <w:div w:id="1803693517">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7333</Words>
  <Characters>39578</Characters>
  <Application>Microsoft Office Word</Application>
  <DocSecurity>0</DocSecurity>
  <Lines>632</Lines>
  <Paragraphs>125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47053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2024-02-14T22:27:00Z</cp:lastPrinted>
  <dcterms:created xsi:type="dcterms:W3CDTF">2024-02-14T22:30:00Z</dcterms:created>
  <dcterms:modified xsi:type="dcterms:W3CDTF">2024-02-14T22:30:00Z</dcterms:modified>
  <cp:category/>
</cp:coreProperties>
</file>