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F9D28F" w14:textId="77777777" w:rsidR="006462AB" w:rsidRPr="00D35E69" w:rsidRDefault="006462AB" w:rsidP="006462AB">
      <w:pPr>
        <w:spacing w:line="240" w:lineRule="auto"/>
        <w:rPr>
          <w:rFonts w:cs="Times New Roman"/>
          <w:bCs/>
          <w:sz w:val="20"/>
          <w:szCs w:val="26"/>
        </w:rPr>
      </w:pPr>
      <w:r w:rsidRPr="00D35E69">
        <w:rPr>
          <w:rFonts w:cs="Times New Roman"/>
          <w:bCs/>
          <w:sz w:val="20"/>
          <w:szCs w:val="26"/>
        </w:rPr>
        <w:t>Filed 4/24/24</w:t>
      </w:r>
    </w:p>
    <w:p w14:paraId="6164CF94" w14:textId="4963A691" w:rsidR="00856501" w:rsidRDefault="00856501" w:rsidP="006212E9">
      <w:pPr>
        <w:spacing w:line="240" w:lineRule="auto"/>
        <w:jc w:val="center"/>
        <w:rPr>
          <w:rFonts w:cs="Times New Roman"/>
          <w:b/>
          <w:szCs w:val="26"/>
        </w:rPr>
      </w:pPr>
      <w:r>
        <w:rPr>
          <w:rFonts w:cs="Times New Roman"/>
          <w:b/>
          <w:szCs w:val="26"/>
        </w:rPr>
        <w:t>CERTIFIED FOR PUBLICATION</w:t>
      </w:r>
    </w:p>
    <w:p w14:paraId="526D4B04" w14:textId="77777777" w:rsidR="00856501" w:rsidRDefault="00856501" w:rsidP="006212E9">
      <w:pPr>
        <w:spacing w:line="240" w:lineRule="auto"/>
        <w:jc w:val="center"/>
        <w:rPr>
          <w:rFonts w:cs="Times New Roman"/>
          <w:b/>
          <w:szCs w:val="26"/>
        </w:rPr>
      </w:pPr>
    </w:p>
    <w:p w14:paraId="49250F20" w14:textId="09EF41E1" w:rsidR="006212E9" w:rsidRDefault="006212E9" w:rsidP="006212E9">
      <w:pPr>
        <w:spacing w:line="240" w:lineRule="auto"/>
        <w:jc w:val="center"/>
        <w:rPr>
          <w:rFonts w:cs="Times New Roman"/>
          <w:b/>
          <w:szCs w:val="26"/>
        </w:rPr>
      </w:pPr>
      <w:r>
        <w:rPr>
          <w:rFonts w:cs="Times New Roman"/>
          <w:b/>
          <w:szCs w:val="26"/>
        </w:rPr>
        <w:t>IN THE COURT OF APPEAL OF THE STATE OF CALIFORNIA</w:t>
      </w:r>
    </w:p>
    <w:p w14:paraId="3ABF19D3" w14:textId="504E7943" w:rsidR="006212E9" w:rsidRDefault="006212E9" w:rsidP="006212E9">
      <w:pPr>
        <w:spacing w:line="240" w:lineRule="auto"/>
        <w:jc w:val="center"/>
        <w:rPr>
          <w:rFonts w:cs="Times New Roman"/>
          <w:b/>
          <w:szCs w:val="26"/>
        </w:rPr>
      </w:pPr>
    </w:p>
    <w:p w14:paraId="6D8ECF5C" w14:textId="529DD863" w:rsidR="006212E9" w:rsidRDefault="006212E9" w:rsidP="006212E9">
      <w:pPr>
        <w:spacing w:line="240" w:lineRule="auto"/>
        <w:jc w:val="center"/>
        <w:rPr>
          <w:rFonts w:cs="Times New Roman"/>
          <w:b/>
          <w:szCs w:val="26"/>
        </w:rPr>
      </w:pPr>
      <w:r>
        <w:rPr>
          <w:rFonts w:cs="Times New Roman"/>
          <w:b/>
          <w:szCs w:val="26"/>
        </w:rPr>
        <w:t>FOURTH APPELLATE DISTRICT</w:t>
      </w:r>
    </w:p>
    <w:p w14:paraId="0C833ECF" w14:textId="220D53CF" w:rsidR="006212E9" w:rsidRDefault="006212E9" w:rsidP="006212E9">
      <w:pPr>
        <w:spacing w:line="240" w:lineRule="auto"/>
        <w:jc w:val="center"/>
        <w:rPr>
          <w:rFonts w:cs="Times New Roman"/>
          <w:b/>
          <w:szCs w:val="26"/>
        </w:rPr>
      </w:pPr>
    </w:p>
    <w:p w14:paraId="72AC32F0" w14:textId="77777777" w:rsidR="006212E9" w:rsidRDefault="006212E9" w:rsidP="006212E9">
      <w:pPr>
        <w:spacing w:line="240" w:lineRule="auto"/>
        <w:jc w:val="center"/>
        <w:rPr>
          <w:rFonts w:cs="Times New Roman"/>
          <w:b/>
          <w:szCs w:val="26"/>
        </w:rPr>
      </w:pPr>
      <w:r>
        <w:rPr>
          <w:rFonts w:cs="Times New Roman"/>
          <w:b/>
          <w:szCs w:val="26"/>
        </w:rPr>
        <w:t>DIVISION TWO</w:t>
      </w:r>
    </w:p>
    <w:p w14:paraId="7454E00C" w14:textId="532B048B" w:rsidR="006212E9" w:rsidRDefault="006212E9" w:rsidP="006212E9">
      <w:pPr>
        <w:spacing w:line="240" w:lineRule="auto"/>
        <w:jc w:val="center"/>
        <w:rPr>
          <w:rFonts w:cs="Times New Roman"/>
          <w:szCs w:val="26"/>
        </w:rPr>
      </w:pPr>
    </w:p>
    <w:p w14:paraId="345A1CF1" w14:textId="0015183B" w:rsidR="006212E9" w:rsidRDefault="006212E9" w:rsidP="006212E9">
      <w:pPr>
        <w:spacing w:line="240" w:lineRule="auto"/>
        <w:jc w:val="center"/>
        <w:rPr>
          <w:rFonts w:cs="Times New Roman"/>
          <w:szCs w:val="26"/>
        </w:rPr>
      </w:pPr>
    </w:p>
    <w:p w14:paraId="444F3845" w14:textId="2E2E88AF" w:rsidR="006212E9" w:rsidRDefault="006212E9" w:rsidP="006212E9">
      <w:pPr>
        <w:spacing w:line="240" w:lineRule="auto"/>
        <w:jc w:val="center"/>
        <w:rPr>
          <w:rFonts w:cs="Times New Roman"/>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212E9" w14:paraId="2416FD81" w14:textId="77777777" w:rsidTr="006212E9">
        <w:tc>
          <w:tcPr>
            <w:tcW w:w="4675" w:type="dxa"/>
            <w:tcBorders>
              <w:bottom w:val="single" w:sz="4" w:space="0" w:color="auto"/>
              <w:right w:val="single" w:sz="4" w:space="0" w:color="auto"/>
            </w:tcBorders>
            <w:shd w:val="clear" w:color="auto" w:fill="auto"/>
          </w:tcPr>
          <w:p w14:paraId="5167ADE7" w14:textId="77777777" w:rsidR="006212E9" w:rsidRDefault="006212E9" w:rsidP="006212E9">
            <w:pPr>
              <w:rPr>
                <w:rFonts w:cs="Times New Roman"/>
                <w:szCs w:val="26"/>
              </w:rPr>
            </w:pPr>
            <w:r>
              <w:rPr>
                <w:rFonts w:cs="Times New Roman"/>
                <w:szCs w:val="26"/>
              </w:rPr>
              <w:t>CHRISTINE MATLOCK DOUGHERTY,</w:t>
            </w:r>
          </w:p>
          <w:p w14:paraId="0F2394CC" w14:textId="77777777" w:rsidR="006212E9" w:rsidRDefault="006212E9" w:rsidP="006212E9">
            <w:pPr>
              <w:rPr>
                <w:rFonts w:cs="Times New Roman"/>
                <w:szCs w:val="26"/>
              </w:rPr>
            </w:pPr>
          </w:p>
          <w:p w14:paraId="6967163C" w14:textId="77777777" w:rsidR="006212E9" w:rsidRDefault="006212E9" w:rsidP="006212E9">
            <w:pPr>
              <w:rPr>
                <w:rFonts w:cs="Times New Roman"/>
                <w:szCs w:val="26"/>
              </w:rPr>
            </w:pPr>
            <w:r>
              <w:rPr>
                <w:rFonts w:cs="Times New Roman"/>
                <w:szCs w:val="26"/>
              </w:rPr>
              <w:tab/>
              <w:t>Plaintiff and Respondent,</w:t>
            </w:r>
          </w:p>
          <w:p w14:paraId="790F8A28" w14:textId="77777777" w:rsidR="006212E9" w:rsidRDefault="006212E9" w:rsidP="006212E9">
            <w:pPr>
              <w:rPr>
                <w:rFonts w:cs="Times New Roman"/>
                <w:szCs w:val="26"/>
              </w:rPr>
            </w:pPr>
          </w:p>
          <w:p w14:paraId="2AF383A3" w14:textId="77777777" w:rsidR="006212E9" w:rsidRDefault="006212E9" w:rsidP="006212E9">
            <w:pPr>
              <w:rPr>
                <w:rFonts w:cs="Times New Roman"/>
                <w:szCs w:val="26"/>
              </w:rPr>
            </w:pPr>
            <w:r>
              <w:rPr>
                <w:rFonts w:cs="Times New Roman"/>
                <w:szCs w:val="26"/>
              </w:rPr>
              <w:t>v.</w:t>
            </w:r>
          </w:p>
          <w:p w14:paraId="3A01BF51" w14:textId="77777777" w:rsidR="006212E9" w:rsidRDefault="006212E9" w:rsidP="006212E9">
            <w:pPr>
              <w:rPr>
                <w:rFonts w:cs="Times New Roman"/>
                <w:szCs w:val="26"/>
              </w:rPr>
            </w:pPr>
          </w:p>
          <w:p w14:paraId="518F5D4A" w14:textId="77777777" w:rsidR="006212E9" w:rsidRDefault="006212E9" w:rsidP="006212E9">
            <w:pPr>
              <w:rPr>
                <w:rFonts w:cs="Times New Roman"/>
                <w:szCs w:val="26"/>
              </w:rPr>
            </w:pPr>
            <w:r>
              <w:rPr>
                <w:rFonts w:cs="Times New Roman"/>
                <w:szCs w:val="26"/>
              </w:rPr>
              <w:t>U.S. BEHAVIORAL HEALTH PLAN,</w:t>
            </w:r>
          </w:p>
          <w:p w14:paraId="44B3BFE1" w14:textId="77777777" w:rsidR="006212E9" w:rsidRDefault="006212E9" w:rsidP="006212E9">
            <w:pPr>
              <w:rPr>
                <w:rFonts w:cs="Times New Roman"/>
                <w:szCs w:val="26"/>
              </w:rPr>
            </w:pPr>
          </w:p>
          <w:p w14:paraId="619BC146" w14:textId="77777777" w:rsidR="006212E9" w:rsidRDefault="006212E9" w:rsidP="006212E9">
            <w:pPr>
              <w:rPr>
                <w:rFonts w:cs="Times New Roman"/>
                <w:szCs w:val="26"/>
              </w:rPr>
            </w:pPr>
            <w:r>
              <w:rPr>
                <w:rFonts w:cs="Times New Roman"/>
                <w:szCs w:val="26"/>
              </w:rPr>
              <w:tab/>
              <w:t>Defendant and Appellant.</w:t>
            </w:r>
          </w:p>
          <w:p w14:paraId="0188DCF2" w14:textId="2C5F5DBC" w:rsidR="006212E9" w:rsidRDefault="006212E9" w:rsidP="006212E9">
            <w:pPr>
              <w:rPr>
                <w:rFonts w:cs="Times New Roman"/>
                <w:szCs w:val="26"/>
              </w:rPr>
            </w:pPr>
          </w:p>
        </w:tc>
        <w:tc>
          <w:tcPr>
            <w:tcW w:w="4675" w:type="dxa"/>
            <w:tcBorders>
              <w:left w:val="single" w:sz="4" w:space="0" w:color="auto"/>
            </w:tcBorders>
            <w:shd w:val="clear" w:color="auto" w:fill="auto"/>
          </w:tcPr>
          <w:p w14:paraId="0A518096" w14:textId="77777777" w:rsidR="006212E9" w:rsidRDefault="006212E9" w:rsidP="006212E9">
            <w:pPr>
              <w:rPr>
                <w:rFonts w:cs="Times New Roman"/>
                <w:szCs w:val="26"/>
              </w:rPr>
            </w:pPr>
          </w:p>
          <w:p w14:paraId="7483DC01" w14:textId="77777777" w:rsidR="006212E9" w:rsidRDefault="006212E9" w:rsidP="006212E9">
            <w:pPr>
              <w:rPr>
                <w:rFonts w:cs="Times New Roman"/>
                <w:szCs w:val="26"/>
              </w:rPr>
            </w:pPr>
          </w:p>
          <w:p w14:paraId="3B5FB528" w14:textId="77777777" w:rsidR="006212E9" w:rsidRDefault="006212E9" w:rsidP="006212E9">
            <w:pPr>
              <w:rPr>
                <w:rFonts w:cs="Times New Roman"/>
                <w:szCs w:val="26"/>
              </w:rPr>
            </w:pPr>
            <w:r>
              <w:rPr>
                <w:rFonts w:cs="Times New Roman"/>
                <w:szCs w:val="26"/>
              </w:rPr>
              <w:tab/>
              <w:t>E079741</w:t>
            </w:r>
          </w:p>
          <w:p w14:paraId="0E5F47F9" w14:textId="77777777" w:rsidR="006212E9" w:rsidRDefault="006212E9" w:rsidP="006212E9">
            <w:pPr>
              <w:rPr>
                <w:rFonts w:cs="Times New Roman"/>
                <w:szCs w:val="26"/>
              </w:rPr>
            </w:pPr>
          </w:p>
          <w:p w14:paraId="446C9DAE" w14:textId="2B1007C0" w:rsidR="006212E9" w:rsidRDefault="006212E9" w:rsidP="006212E9">
            <w:pPr>
              <w:rPr>
                <w:rFonts w:cs="Times New Roman"/>
                <w:szCs w:val="26"/>
              </w:rPr>
            </w:pPr>
            <w:r>
              <w:rPr>
                <w:rFonts w:cs="Times New Roman"/>
                <w:szCs w:val="26"/>
              </w:rPr>
              <w:tab/>
              <w:t>(Super.</w:t>
            </w:r>
            <w:r w:rsidR="00C54B23">
              <w:rPr>
                <w:rFonts w:cs="Times New Roman"/>
                <w:szCs w:val="26"/>
              </w:rPr>
              <w:t xml:space="preserve"> </w:t>
            </w:r>
            <w:r>
              <w:rPr>
                <w:rFonts w:cs="Times New Roman"/>
                <w:szCs w:val="26"/>
              </w:rPr>
              <w:t>Ct.</w:t>
            </w:r>
            <w:r w:rsidR="00C54B23">
              <w:rPr>
                <w:rFonts w:cs="Times New Roman"/>
                <w:szCs w:val="26"/>
              </w:rPr>
              <w:t xml:space="preserve"> </w:t>
            </w:r>
            <w:r>
              <w:rPr>
                <w:rFonts w:cs="Times New Roman"/>
                <w:szCs w:val="26"/>
              </w:rPr>
              <w:t>No. CIVSB2209642)</w:t>
            </w:r>
          </w:p>
          <w:p w14:paraId="49CDEDB4" w14:textId="77777777" w:rsidR="006212E9" w:rsidRDefault="006212E9" w:rsidP="006212E9">
            <w:pPr>
              <w:rPr>
                <w:rFonts w:cs="Times New Roman"/>
                <w:szCs w:val="26"/>
              </w:rPr>
            </w:pPr>
          </w:p>
          <w:p w14:paraId="0A5583C8" w14:textId="5BAF4594" w:rsidR="006212E9" w:rsidRDefault="006212E9" w:rsidP="006212E9">
            <w:pPr>
              <w:rPr>
                <w:rFonts w:cs="Times New Roman"/>
                <w:szCs w:val="26"/>
              </w:rPr>
            </w:pPr>
            <w:r>
              <w:rPr>
                <w:rFonts w:cs="Times New Roman"/>
                <w:szCs w:val="26"/>
              </w:rPr>
              <w:tab/>
            </w:r>
            <w:r w:rsidR="00E11441">
              <w:rPr>
                <w:rFonts w:cs="Times New Roman"/>
                <w:szCs w:val="26"/>
              </w:rPr>
              <w:t>OPINION</w:t>
            </w:r>
          </w:p>
          <w:p w14:paraId="7A90E7BB" w14:textId="2D53FE74" w:rsidR="006212E9" w:rsidRDefault="006212E9" w:rsidP="006212E9">
            <w:pPr>
              <w:rPr>
                <w:rFonts w:cs="Times New Roman"/>
                <w:szCs w:val="26"/>
              </w:rPr>
            </w:pPr>
          </w:p>
        </w:tc>
      </w:tr>
    </w:tbl>
    <w:p w14:paraId="38614DB5" w14:textId="7FCA555F" w:rsidR="006212E9" w:rsidRDefault="006212E9" w:rsidP="009F3CEE">
      <w:pPr>
        <w:rPr>
          <w:rFonts w:cs="Times New Roman"/>
          <w:szCs w:val="26"/>
        </w:rPr>
      </w:pPr>
      <w:r>
        <w:rPr>
          <w:rFonts w:cs="Times New Roman"/>
          <w:szCs w:val="26"/>
        </w:rPr>
        <w:tab/>
        <w:t xml:space="preserve">APPEAL from the Superior Court of San Bernardino County.  </w:t>
      </w:r>
      <w:r w:rsidR="00C54B23">
        <w:rPr>
          <w:rFonts w:cs="Times New Roman"/>
          <w:szCs w:val="26"/>
        </w:rPr>
        <w:t>Michael A. Sachs, Judge.  Reversed.</w:t>
      </w:r>
    </w:p>
    <w:p w14:paraId="103A2BE1" w14:textId="74B74807" w:rsidR="00C54B23" w:rsidRDefault="00C54B23" w:rsidP="009F3CEE">
      <w:pPr>
        <w:rPr>
          <w:rFonts w:cs="Times New Roman"/>
          <w:szCs w:val="26"/>
        </w:rPr>
      </w:pPr>
      <w:r>
        <w:rPr>
          <w:rFonts w:cs="Times New Roman"/>
          <w:szCs w:val="26"/>
        </w:rPr>
        <w:tab/>
        <w:t xml:space="preserve">Gibson, Dunn &amp; Crutcher, Kahn A. Scolnick, Thomas Cochrane, Heather Richardson, Isabella Sayyah, Michael J. Holecek, </w:t>
      </w:r>
      <w:r w:rsidR="00241128">
        <w:rPr>
          <w:rFonts w:cs="Times New Roman"/>
          <w:szCs w:val="26"/>
        </w:rPr>
        <w:t xml:space="preserve">and Matt A. Getz, </w:t>
      </w:r>
      <w:r>
        <w:rPr>
          <w:rFonts w:cs="Times New Roman"/>
          <w:szCs w:val="26"/>
        </w:rPr>
        <w:t>for Defendant and Appellant.</w:t>
      </w:r>
    </w:p>
    <w:p w14:paraId="52AF5CDC" w14:textId="12C585A9" w:rsidR="00C54B23" w:rsidRDefault="00C54B23" w:rsidP="009F3CEE">
      <w:pPr>
        <w:rPr>
          <w:rFonts w:cs="Times New Roman"/>
          <w:szCs w:val="26"/>
        </w:rPr>
      </w:pPr>
      <w:r>
        <w:rPr>
          <w:rFonts w:cs="Times New Roman"/>
          <w:szCs w:val="26"/>
        </w:rPr>
        <w:tab/>
        <w:t xml:space="preserve">Shernoff Bidart Echeverria, William M. Shernoff, Travis M. Corby, and Cooper </w:t>
      </w:r>
      <w:r w:rsidR="00D008DD">
        <w:rPr>
          <w:rFonts w:cs="Times New Roman"/>
          <w:szCs w:val="26"/>
        </w:rPr>
        <w:t xml:space="preserve">F. </w:t>
      </w:r>
      <w:r>
        <w:rPr>
          <w:rFonts w:cs="Times New Roman"/>
          <w:szCs w:val="26"/>
        </w:rPr>
        <w:t xml:space="preserve">Johnson, for Plaintiff </w:t>
      </w:r>
      <w:r w:rsidR="00D008DD">
        <w:rPr>
          <w:rFonts w:cs="Times New Roman"/>
          <w:szCs w:val="26"/>
        </w:rPr>
        <w:t>and Respondent.</w:t>
      </w:r>
    </w:p>
    <w:p w14:paraId="79330F5F" w14:textId="4BB56FE4" w:rsidR="00E03B3E" w:rsidRDefault="00553535" w:rsidP="00955149">
      <w:pPr>
        <w:keepNext/>
        <w:keepLines/>
        <w:jc w:val="center"/>
        <w:rPr>
          <w:rFonts w:cs="Times New Roman"/>
          <w:szCs w:val="26"/>
        </w:rPr>
      </w:pPr>
      <w:r>
        <w:rPr>
          <w:rFonts w:cs="Times New Roman"/>
          <w:szCs w:val="26"/>
        </w:rPr>
        <w:lastRenderedPageBreak/>
        <w:t>I.</w:t>
      </w:r>
    </w:p>
    <w:p w14:paraId="0A926070" w14:textId="5492E87D" w:rsidR="00553535" w:rsidRDefault="00553535" w:rsidP="00955149">
      <w:pPr>
        <w:keepNext/>
        <w:keepLines/>
        <w:jc w:val="center"/>
        <w:rPr>
          <w:rFonts w:cs="Times New Roman"/>
          <w:szCs w:val="26"/>
        </w:rPr>
      </w:pPr>
      <w:r>
        <w:rPr>
          <w:rFonts w:cs="Times New Roman"/>
          <w:szCs w:val="26"/>
        </w:rPr>
        <w:t>INTRODUCTION</w:t>
      </w:r>
    </w:p>
    <w:p w14:paraId="22EDEA4A" w14:textId="36DC3813" w:rsidR="00553535" w:rsidRDefault="00553535" w:rsidP="00955149">
      <w:pPr>
        <w:keepNext/>
        <w:keepLines/>
        <w:rPr>
          <w:szCs w:val="26"/>
        </w:rPr>
      </w:pPr>
      <w:r>
        <w:rPr>
          <w:rFonts w:cs="Times New Roman"/>
          <w:szCs w:val="26"/>
        </w:rPr>
        <w:tab/>
      </w:r>
      <w:r w:rsidR="00C54B23">
        <w:rPr>
          <w:rFonts w:cs="Times New Roman"/>
          <w:szCs w:val="26"/>
        </w:rPr>
        <w:t xml:space="preserve">Plaintiff and respondent, </w:t>
      </w:r>
      <w:r w:rsidR="00035AB5">
        <w:rPr>
          <w:rFonts w:cs="Times New Roman"/>
          <w:szCs w:val="26"/>
        </w:rPr>
        <w:t xml:space="preserve">Christine Matlock Dougherty sued </w:t>
      </w:r>
      <w:r w:rsidR="00C54B23">
        <w:rPr>
          <w:rFonts w:cs="Times New Roman"/>
          <w:szCs w:val="26"/>
        </w:rPr>
        <w:t xml:space="preserve">defendant and appellant, </w:t>
      </w:r>
      <w:r w:rsidR="00035AB5">
        <w:rPr>
          <w:rFonts w:cs="Times New Roman"/>
          <w:szCs w:val="26"/>
        </w:rPr>
        <w:t>U.S. Behavioral Health Plan</w:t>
      </w:r>
      <w:r w:rsidR="00C842DA">
        <w:rPr>
          <w:rFonts w:cs="Times New Roman"/>
          <w:szCs w:val="26"/>
        </w:rPr>
        <w:t xml:space="preserve">, California </w:t>
      </w:r>
      <w:r w:rsidR="00035AB5">
        <w:rPr>
          <w:rFonts w:cs="Times New Roman"/>
          <w:szCs w:val="26"/>
        </w:rPr>
        <w:t>(USB)</w:t>
      </w:r>
      <w:r w:rsidR="00A0138B">
        <w:rPr>
          <w:rFonts w:cs="Times New Roman"/>
          <w:szCs w:val="26"/>
        </w:rPr>
        <w:t xml:space="preserve">, for claims associated with her son’s healthcare.  USB </w:t>
      </w:r>
      <w:r w:rsidR="007414A8">
        <w:rPr>
          <w:rFonts w:cs="Times New Roman"/>
          <w:szCs w:val="26"/>
        </w:rPr>
        <w:t>petitioned</w:t>
      </w:r>
      <w:r w:rsidR="0018218A">
        <w:rPr>
          <w:rFonts w:cs="Times New Roman"/>
          <w:szCs w:val="26"/>
        </w:rPr>
        <w:t xml:space="preserve"> </w:t>
      </w:r>
      <w:r w:rsidR="006B3C94">
        <w:rPr>
          <w:rFonts w:cs="Times New Roman"/>
          <w:szCs w:val="26"/>
        </w:rPr>
        <w:t xml:space="preserve">to </w:t>
      </w:r>
      <w:r w:rsidR="0018218A">
        <w:rPr>
          <w:rFonts w:cs="Times New Roman"/>
          <w:szCs w:val="26"/>
        </w:rPr>
        <w:t xml:space="preserve">compel arbitration of her claims, but the trial court denied the </w:t>
      </w:r>
      <w:r w:rsidR="007414A8">
        <w:rPr>
          <w:rFonts w:cs="Times New Roman"/>
          <w:szCs w:val="26"/>
        </w:rPr>
        <w:t>petition</w:t>
      </w:r>
      <w:r w:rsidR="0018218A">
        <w:rPr>
          <w:rFonts w:cs="Times New Roman"/>
          <w:szCs w:val="26"/>
        </w:rPr>
        <w:t xml:space="preserve"> on the ground that USB’s arbitration agreement </w:t>
      </w:r>
      <w:r w:rsidR="004800A4">
        <w:rPr>
          <w:rFonts w:cs="Times New Roman"/>
          <w:szCs w:val="26"/>
        </w:rPr>
        <w:t xml:space="preserve">was not enforceable because it </w:t>
      </w:r>
      <w:r w:rsidR="0018218A">
        <w:rPr>
          <w:rFonts w:cs="Times New Roman"/>
          <w:szCs w:val="26"/>
        </w:rPr>
        <w:t xml:space="preserve">did not comply with </w:t>
      </w:r>
      <w:r w:rsidR="00E35D21">
        <w:rPr>
          <w:rFonts w:cs="Times New Roman"/>
          <w:szCs w:val="26"/>
        </w:rPr>
        <w:t xml:space="preserve">the </w:t>
      </w:r>
      <w:r w:rsidR="00565A5C">
        <w:rPr>
          <w:rFonts w:cs="Times New Roman"/>
          <w:szCs w:val="26"/>
        </w:rPr>
        <w:t xml:space="preserve">disclosure requirements imposed by </w:t>
      </w:r>
      <w:r w:rsidR="009C1978">
        <w:rPr>
          <w:szCs w:val="26"/>
        </w:rPr>
        <w:t>Health &amp; Safety Code section 1363.1 (section 1363.1)</w:t>
      </w:r>
      <w:r w:rsidR="00565A5C">
        <w:rPr>
          <w:szCs w:val="26"/>
        </w:rPr>
        <w:t>.</w:t>
      </w:r>
    </w:p>
    <w:p w14:paraId="71268F65" w14:textId="0D6E0FCA" w:rsidR="0041763F" w:rsidRDefault="0041763F" w:rsidP="009F3CEE">
      <w:pPr>
        <w:rPr>
          <w:szCs w:val="26"/>
        </w:rPr>
      </w:pPr>
      <w:r>
        <w:rPr>
          <w:szCs w:val="26"/>
        </w:rPr>
        <w:tab/>
        <w:t>USB a</w:t>
      </w:r>
      <w:r w:rsidR="00E35D21">
        <w:rPr>
          <w:szCs w:val="26"/>
        </w:rPr>
        <w:t xml:space="preserve">rgues the trial court’s </w:t>
      </w:r>
      <w:r w:rsidR="006756EE">
        <w:rPr>
          <w:szCs w:val="26"/>
        </w:rPr>
        <w:t>order should be reversed for three reasons:</w:t>
      </w:r>
      <w:r w:rsidR="007A0661">
        <w:rPr>
          <w:szCs w:val="26"/>
        </w:rPr>
        <w:t xml:space="preserve"> </w:t>
      </w:r>
      <w:r w:rsidR="006756EE">
        <w:rPr>
          <w:szCs w:val="26"/>
        </w:rPr>
        <w:t xml:space="preserve"> (1) the parties’ arbitration agreement delegated the issue of whether the agreement is </w:t>
      </w:r>
      <w:r w:rsidR="008F7FA1">
        <w:rPr>
          <w:szCs w:val="26"/>
        </w:rPr>
        <w:t xml:space="preserve">enforceable to the arbitrator, (2) </w:t>
      </w:r>
      <w:r w:rsidR="00EC6093">
        <w:rPr>
          <w:szCs w:val="26"/>
        </w:rPr>
        <w:t>the arbitration agreement between Dougherty and USB’s affiliate</w:t>
      </w:r>
      <w:r w:rsidR="000C24A1">
        <w:rPr>
          <w:szCs w:val="26"/>
        </w:rPr>
        <w:t xml:space="preserve"> complied with section 136</w:t>
      </w:r>
      <w:r w:rsidR="00042EAE">
        <w:rPr>
          <w:szCs w:val="26"/>
        </w:rPr>
        <w:t>3</w:t>
      </w:r>
      <w:r w:rsidR="000C24A1">
        <w:rPr>
          <w:szCs w:val="26"/>
        </w:rPr>
        <w:t>.1 and covers</w:t>
      </w:r>
      <w:r w:rsidR="003C698D">
        <w:rPr>
          <w:szCs w:val="26"/>
        </w:rPr>
        <w:t xml:space="preserve"> her claims, and (3) the Federal Arbitration Act (9 U.S.C. </w:t>
      </w:r>
      <w:r w:rsidR="003C698D">
        <w:rPr>
          <w:rFonts w:cs="Times New Roman"/>
          <w:szCs w:val="26"/>
        </w:rPr>
        <w:t>§</w:t>
      </w:r>
      <w:r w:rsidR="003C698D">
        <w:rPr>
          <w:szCs w:val="26"/>
        </w:rPr>
        <w:t xml:space="preserve"> 1 et seq.) preempts section 136</w:t>
      </w:r>
      <w:r w:rsidR="00042EAE">
        <w:rPr>
          <w:szCs w:val="26"/>
        </w:rPr>
        <w:t>3</w:t>
      </w:r>
      <w:r w:rsidR="003C698D">
        <w:rPr>
          <w:szCs w:val="26"/>
        </w:rPr>
        <w:t>.1</w:t>
      </w:r>
      <w:r w:rsidR="00EF6BA1">
        <w:rPr>
          <w:szCs w:val="26"/>
        </w:rPr>
        <w:t>.</w:t>
      </w:r>
    </w:p>
    <w:p w14:paraId="3DB69852" w14:textId="027B285E" w:rsidR="00CF1FCC" w:rsidRDefault="00CF1FCC" w:rsidP="009F3CEE">
      <w:pPr>
        <w:rPr>
          <w:szCs w:val="26"/>
        </w:rPr>
      </w:pPr>
      <w:r>
        <w:rPr>
          <w:szCs w:val="26"/>
        </w:rPr>
        <w:tab/>
      </w:r>
      <w:r w:rsidR="001B395F">
        <w:rPr>
          <w:szCs w:val="26"/>
        </w:rPr>
        <w:t>We conclude USB forfeited its delegation-clause argument</w:t>
      </w:r>
      <w:r w:rsidR="00EF7499">
        <w:rPr>
          <w:szCs w:val="26"/>
        </w:rPr>
        <w:t>,</w:t>
      </w:r>
      <w:r w:rsidR="001B395F">
        <w:rPr>
          <w:szCs w:val="26"/>
        </w:rPr>
        <w:t xml:space="preserve"> but </w:t>
      </w:r>
      <w:r w:rsidR="00EF7499">
        <w:rPr>
          <w:szCs w:val="26"/>
        </w:rPr>
        <w:t xml:space="preserve">we agree </w:t>
      </w:r>
      <w:r w:rsidR="00EF6BA1">
        <w:rPr>
          <w:szCs w:val="26"/>
        </w:rPr>
        <w:t>with USB that the trial court erroneously denied USB’s petition</w:t>
      </w:r>
      <w:r w:rsidR="00EF7499">
        <w:rPr>
          <w:szCs w:val="26"/>
        </w:rPr>
        <w:t xml:space="preserve"> because USB complied with section 1363.1</w:t>
      </w:r>
      <w:r w:rsidR="00EF6BA1">
        <w:rPr>
          <w:szCs w:val="26"/>
        </w:rPr>
        <w:t>.  We therefore reverse and need not address</w:t>
      </w:r>
      <w:r w:rsidR="00CF26EE">
        <w:rPr>
          <w:szCs w:val="26"/>
        </w:rPr>
        <w:t xml:space="preserve"> USB’s preemption argument.</w:t>
      </w:r>
    </w:p>
    <w:p w14:paraId="214D40D1" w14:textId="175BBA7D" w:rsidR="00F82094" w:rsidRDefault="00F82094" w:rsidP="009F3CEE">
      <w:pPr>
        <w:jc w:val="center"/>
        <w:rPr>
          <w:szCs w:val="26"/>
        </w:rPr>
      </w:pPr>
      <w:r>
        <w:rPr>
          <w:szCs w:val="26"/>
        </w:rPr>
        <w:t>II.</w:t>
      </w:r>
    </w:p>
    <w:p w14:paraId="350E005D" w14:textId="534024C8" w:rsidR="00F82094" w:rsidRDefault="00F82094" w:rsidP="009F3CEE">
      <w:pPr>
        <w:jc w:val="center"/>
        <w:rPr>
          <w:szCs w:val="26"/>
        </w:rPr>
      </w:pPr>
      <w:r>
        <w:rPr>
          <w:szCs w:val="26"/>
        </w:rPr>
        <w:t>FACTUAL AND PROCEDURAL BACKGROUND</w:t>
      </w:r>
    </w:p>
    <w:p w14:paraId="06129F55" w14:textId="341969AA" w:rsidR="00074FD9" w:rsidRDefault="000138A5" w:rsidP="009F3CEE">
      <w:pPr>
        <w:rPr>
          <w:szCs w:val="26"/>
        </w:rPr>
      </w:pPr>
      <w:r>
        <w:rPr>
          <w:szCs w:val="26"/>
        </w:rPr>
        <w:tab/>
      </w:r>
      <w:r w:rsidR="00E845EA">
        <w:rPr>
          <w:szCs w:val="26"/>
        </w:rPr>
        <w:t>Dougherty enrolled herself and her son, Ryan</w:t>
      </w:r>
      <w:r w:rsidR="007726DE">
        <w:rPr>
          <w:szCs w:val="26"/>
        </w:rPr>
        <w:t>, in a UnitedHealthcare HMO health plan</w:t>
      </w:r>
      <w:r w:rsidR="00A177E7">
        <w:rPr>
          <w:szCs w:val="26"/>
        </w:rPr>
        <w:t xml:space="preserve"> (the plan)</w:t>
      </w:r>
      <w:r w:rsidR="00E06CB5">
        <w:rPr>
          <w:szCs w:val="26"/>
        </w:rPr>
        <w:t>.</w:t>
      </w:r>
      <w:r w:rsidR="00331CD0">
        <w:rPr>
          <w:szCs w:val="26"/>
        </w:rPr>
        <w:t xml:space="preserve">  </w:t>
      </w:r>
      <w:r w:rsidR="00074FD9">
        <w:rPr>
          <w:szCs w:val="26"/>
        </w:rPr>
        <w:t>Dougherty was offered</w:t>
      </w:r>
      <w:r w:rsidR="00A177E7">
        <w:rPr>
          <w:szCs w:val="26"/>
        </w:rPr>
        <w:t xml:space="preserve"> the plan through her employer</w:t>
      </w:r>
      <w:r w:rsidR="0099478E">
        <w:rPr>
          <w:szCs w:val="26"/>
        </w:rPr>
        <w:t xml:space="preserve"> via the California Schools Voluntary Employee Benefit Association</w:t>
      </w:r>
      <w:r w:rsidR="000C32CB">
        <w:rPr>
          <w:szCs w:val="26"/>
        </w:rPr>
        <w:t xml:space="preserve"> (</w:t>
      </w:r>
      <w:r w:rsidR="00C666E9">
        <w:rPr>
          <w:szCs w:val="26"/>
        </w:rPr>
        <w:t>CSVEBA</w:t>
      </w:r>
      <w:r w:rsidR="000C32CB">
        <w:rPr>
          <w:szCs w:val="26"/>
        </w:rPr>
        <w:t>)</w:t>
      </w:r>
      <w:r w:rsidR="00116B4C">
        <w:rPr>
          <w:szCs w:val="26"/>
        </w:rPr>
        <w:t>.</w:t>
      </w:r>
      <w:r w:rsidR="0099478E">
        <w:rPr>
          <w:szCs w:val="26"/>
        </w:rPr>
        <w:t xml:space="preserve">  </w:t>
      </w:r>
      <w:r w:rsidR="00116B4C">
        <w:rPr>
          <w:szCs w:val="26"/>
        </w:rPr>
        <w:t xml:space="preserve">That association and </w:t>
      </w:r>
      <w:r w:rsidR="00AF0B3A">
        <w:rPr>
          <w:szCs w:val="26"/>
        </w:rPr>
        <w:lastRenderedPageBreak/>
        <w:t>United Healthcare of California</w:t>
      </w:r>
      <w:r w:rsidR="00A177E7">
        <w:rPr>
          <w:szCs w:val="26"/>
        </w:rPr>
        <w:t xml:space="preserve"> </w:t>
      </w:r>
      <w:r w:rsidR="00116B4C">
        <w:rPr>
          <w:szCs w:val="26"/>
        </w:rPr>
        <w:t xml:space="preserve">entered into a </w:t>
      </w:r>
      <w:r w:rsidR="006960EF">
        <w:rPr>
          <w:szCs w:val="26"/>
        </w:rPr>
        <w:t>Group Subscriber Agreement (GSA)</w:t>
      </w:r>
      <w:r w:rsidR="00E53CF8">
        <w:rPr>
          <w:szCs w:val="26"/>
        </w:rPr>
        <w:t xml:space="preserve">, which outlines the terms under which UnitedHealthcare health plans are offered to </w:t>
      </w:r>
      <w:r w:rsidR="009533F8">
        <w:rPr>
          <w:szCs w:val="26"/>
        </w:rPr>
        <w:t xml:space="preserve">the association’s members.  </w:t>
      </w:r>
      <w:r w:rsidR="00595F8F">
        <w:rPr>
          <w:szCs w:val="26"/>
        </w:rPr>
        <w:t>One of t</w:t>
      </w:r>
      <w:r w:rsidR="00E80C22">
        <w:rPr>
          <w:szCs w:val="26"/>
        </w:rPr>
        <w:t>he terms is an arbitration provision that states “[a]ll disputes between</w:t>
      </w:r>
      <w:r w:rsidR="000C32CB">
        <w:rPr>
          <w:szCs w:val="26"/>
        </w:rPr>
        <w:t xml:space="preserve"> [CSVE</w:t>
      </w:r>
      <w:r w:rsidR="004F317E">
        <w:rPr>
          <w:szCs w:val="26"/>
        </w:rPr>
        <w:t>B</w:t>
      </w:r>
      <w:r w:rsidR="000C32CB">
        <w:rPr>
          <w:szCs w:val="26"/>
        </w:rPr>
        <w:t>A</w:t>
      </w:r>
      <w:r w:rsidR="000225E8">
        <w:rPr>
          <w:szCs w:val="26"/>
        </w:rPr>
        <w:t>]</w:t>
      </w:r>
      <w:r w:rsidR="00E80C22">
        <w:rPr>
          <w:szCs w:val="26"/>
        </w:rPr>
        <w:t xml:space="preserve"> </w:t>
      </w:r>
      <w:r w:rsidR="000225E8">
        <w:rPr>
          <w:szCs w:val="26"/>
        </w:rPr>
        <w:t>and UnitedHealthcare shall be resolved by binding arbitration.”</w:t>
      </w:r>
      <w:r w:rsidR="00914483">
        <w:rPr>
          <w:szCs w:val="26"/>
        </w:rPr>
        <w:t xml:space="preserve">  </w:t>
      </w:r>
      <w:r w:rsidR="00164820">
        <w:rPr>
          <w:szCs w:val="26"/>
        </w:rPr>
        <w:t>The next</w:t>
      </w:r>
      <w:r w:rsidR="005970A8">
        <w:rPr>
          <w:szCs w:val="26"/>
        </w:rPr>
        <w:t xml:space="preserve"> term provides that all disputes between “Member</w:t>
      </w:r>
      <w:r w:rsidR="00A138A9">
        <w:rPr>
          <w:szCs w:val="26"/>
        </w:rPr>
        <w:t xml:space="preserve"> </w:t>
      </w:r>
      <w:r w:rsidR="003A4D07">
        <w:rPr>
          <w:szCs w:val="26"/>
        </w:rPr>
        <w:t>. . .</w:t>
      </w:r>
      <w:r w:rsidR="00A138A9">
        <w:rPr>
          <w:szCs w:val="26"/>
        </w:rPr>
        <w:t xml:space="preserve"> UnitedHealthcare</w:t>
      </w:r>
      <w:r w:rsidR="005970A8">
        <w:rPr>
          <w:szCs w:val="26"/>
        </w:rPr>
        <w:t xml:space="preserve"> </w:t>
      </w:r>
      <w:r w:rsidR="003A4D07">
        <w:rPr>
          <w:szCs w:val="26"/>
        </w:rPr>
        <w:t>. . . shall be submitted to binding arbitration.”</w:t>
      </w:r>
      <w:r w:rsidR="000225E8">
        <w:rPr>
          <w:szCs w:val="26"/>
        </w:rPr>
        <w:t xml:space="preserve">  </w:t>
      </w:r>
      <w:r w:rsidR="00F176BF">
        <w:rPr>
          <w:szCs w:val="26"/>
        </w:rPr>
        <w:t xml:space="preserve">The </w:t>
      </w:r>
      <w:r w:rsidR="006960EF">
        <w:rPr>
          <w:szCs w:val="26"/>
        </w:rPr>
        <w:t>GSA</w:t>
      </w:r>
      <w:r w:rsidR="00ED696D">
        <w:rPr>
          <w:szCs w:val="26"/>
        </w:rPr>
        <w:t xml:space="preserve"> also</w:t>
      </w:r>
      <w:r w:rsidR="00F176BF">
        <w:rPr>
          <w:szCs w:val="26"/>
        </w:rPr>
        <w:t xml:space="preserve"> </w:t>
      </w:r>
      <w:r w:rsidR="0058590B">
        <w:rPr>
          <w:szCs w:val="26"/>
        </w:rPr>
        <w:t>contains various attachments, which “</w:t>
      </w:r>
      <w:r w:rsidR="00FD21BA">
        <w:rPr>
          <w:szCs w:val="26"/>
        </w:rPr>
        <w:t>is</w:t>
      </w:r>
      <w:r w:rsidR="0058590B">
        <w:rPr>
          <w:szCs w:val="26"/>
        </w:rPr>
        <w:t xml:space="preserve"> an integral part of th[e] Agreement.”</w:t>
      </w:r>
    </w:p>
    <w:p w14:paraId="1A53D92A" w14:textId="7281816D" w:rsidR="00BB2EA0" w:rsidRDefault="00BB2EA0" w:rsidP="009F3CEE">
      <w:pPr>
        <w:rPr>
          <w:szCs w:val="26"/>
        </w:rPr>
      </w:pPr>
      <w:r>
        <w:rPr>
          <w:szCs w:val="26"/>
        </w:rPr>
        <w:tab/>
      </w:r>
      <w:r w:rsidR="00565DA4">
        <w:rPr>
          <w:szCs w:val="26"/>
        </w:rPr>
        <w:t xml:space="preserve">Dougherty </w:t>
      </w:r>
      <w:r w:rsidR="00D9693A">
        <w:rPr>
          <w:szCs w:val="26"/>
        </w:rPr>
        <w:t>enrolled in the plan for herself and Ryan by completing and signing an enrollment form</w:t>
      </w:r>
      <w:r w:rsidR="00A31DF0">
        <w:rPr>
          <w:szCs w:val="26"/>
        </w:rPr>
        <w:t xml:space="preserve"> in November 2012</w:t>
      </w:r>
      <w:r w:rsidR="00D9693A">
        <w:rPr>
          <w:szCs w:val="26"/>
        </w:rPr>
        <w:t>.</w:t>
      </w:r>
      <w:r w:rsidR="007A32E0">
        <w:rPr>
          <w:szCs w:val="26"/>
        </w:rPr>
        <w:t xml:space="preserve">  </w:t>
      </w:r>
      <w:r w:rsidR="002918BF">
        <w:rPr>
          <w:szCs w:val="26"/>
        </w:rPr>
        <w:t xml:space="preserve">In doing so, </w:t>
      </w:r>
      <w:r w:rsidR="00EE3923">
        <w:rPr>
          <w:szCs w:val="26"/>
        </w:rPr>
        <w:t>Dougherty</w:t>
      </w:r>
      <w:r w:rsidR="002918BF">
        <w:rPr>
          <w:szCs w:val="26"/>
        </w:rPr>
        <w:t xml:space="preserve"> </w:t>
      </w:r>
      <w:r w:rsidR="003F5AD7">
        <w:rPr>
          <w:szCs w:val="26"/>
        </w:rPr>
        <w:t>signed and agreed to a “UnitedHealthcare Plan Members Binding Arbitration Agreement”</w:t>
      </w:r>
      <w:r w:rsidR="00193706">
        <w:rPr>
          <w:szCs w:val="26"/>
        </w:rPr>
        <w:t xml:space="preserve"> (the plan’s arbitration agreement).</w:t>
      </w:r>
      <w:r w:rsidR="003F5AD7">
        <w:rPr>
          <w:szCs w:val="26"/>
        </w:rPr>
        <w:t xml:space="preserve">  </w:t>
      </w:r>
      <w:r w:rsidR="00193706">
        <w:rPr>
          <w:szCs w:val="26"/>
        </w:rPr>
        <w:t>That agreement states in relevant part:</w:t>
      </w:r>
      <w:r w:rsidR="007A0661">
        <w:rPr>
          <w:szCs w:val="26"/>
        </w:rPr>
        <w:t xml:space="preserve"> </w:t>
      </w:r>
      <w:r w:rsidR="00193706">
        <w:rPr>
          <w:szCs w:val="26"/>
        </w:rPr>
        <w:t xml:space="preserve"> “I AGREE AND UNDERSTAND THAT ANY AND ALL DISPUTES, INCLUDING CLAIMS RELATED</w:t>
      </w:r>
      <w:r w:rsidR="005762E9">
        <w:rPr>
          <w:szCs w:val="26"/>
        </w:rPr>
        <w:t xml:space="preserve"> TO THE DELIVERY OF SERVICES UNDER THE PLAN AND CLAIMS OF MEDICAL MALPRACTICE . . . </w:t>
      </w:r>
      <w:r w:rsidR="005762E9" w:rsidRPr="00E219B8">
        <w:rPr>
          <w:i/>
          <w:iCs/>
          <w:szCs w:val="26"/>
        </w:rPr>
        <w:t>BETWEEN MYSELF AND MY DEPENDENTS ENROLLED IN THE PLAN</w:t>
      </w:r>
      <w:r w:rsidR="00015912" w:rsidRPr="00E219B8">
        <w:rPr>
          <w:i/>
          <w:iCs/>
          <w:szCs w:val="26"/>
        </w:rPr>
        <w:t xml:space="preserve"> . . . AND UNITEDHEALTHCARE OF CALIFORNIA, UNITEDHEALTHCARE</w:t>
      </w:r>
      <w:r w:rsidR="00015912">
        <w:rPr>
          <w:szCs w:val="26"/>
        </w:rPr>
        <w:t xml:space="preserve"> </w:t>
      </w:r>
      <w:r w:rsidR="00015912" w:rsidRPr="00015912">
        <w:rPr>
          <w:i/>
          <w:iCs/>
          <w:szCs w:val="26"/>
        </w:rPr>
        <w:t>OR ANY OF ITS PARENTS, SUBSIDIARIES OR AFFILIATES</w:t>
      </w:r>
      <w:r w:rsidR="00015912">
        <w:rPr>
          <w:szCs w:val="26"/>
        </w:rPr>
        <w:t>, SHALL BE DETER</w:t>
      </w:r>
      <w:r w:rsidR="00ED5050">
        <w:rPr>
          <w:szCs w:val="26"/>
        </w:rPr>
        <w:t>MINED BY BINDING ARBITRATION</w:t>
      </w:r>
      <w:r w:rsidR="002F35C3">
        <w:rPr>
          <w:szCs w:val="26"/>
        </w:rPr>
        <w:t xml:space="preserve"> . . . .”  (Italics added.)</w:t>
      </w:r>
      <w:r w:rsidR="00EC1A38">
        <w:rPr>
          <w:szCs w:val="26"/>
        </w:rPr>
        <w:t xml:space="preserve">  </w:t>
      </w:r>
      <w:r w:rsidR="00AD1E88" w:rsidRPr="007A0661">
        <w:rPr>
          <w:szCs w:val="26"/>
        </w:rPr>
        <w:t xml:space="preserve">Immediately above </w:t>
      </w:r>
      <w:r w:rsidR="00DE64E5" w:rsidRPr="007A0661">
        <w:rPr>
          <w:szCs w:val="26"/>
        </w:rPr>
        <w:t>the signature line, the agreement states:</w:t>
      </w:r>
      <w:r w:rsidR="007A0661">
        <w:rPr>
          <w:szCs w:val="26"/>
        </w:rPr>
        <w:t xml:space="preserve"> </w:t>
      </w:r>
      <w:r w:rsidR="00DE64E5" w:rsidRPr="007A0661">
        <w:rPr>
          <w:szCs w:val="26"/>
        </w:rPr>
        <w:t xml:space="preserve"> “My signature below indicates that I have carefully read the above ‘Binding Arbitration</w:t>
      </w:r>
      <w:r w:rsidR="00FD21BA">
        <w:rPr>
          <w:szCs w:val="26"/>
        </w:rPr>
        <w:t>’</w:t>
      </w:r>
      <w:r w:rsidR="00DE64E5">
        <w:rPr>
          <w:szCs w:val="26"/>
        </w:rPr>
        <w:t xml:space="preserve"> language and agree to its terms.”</w:t>
      </w:r>
    </w:p>
    <w:p w14:paraId="1B3465FC" w14:textId="299C814C" w:rsidR="004360C0" w:rsidRDefault="004360C0" w:rsidP="009F3CEE">
      <w:pPr>
        <w:rPr>
          <w:szCs w:val="26"/>
        </w:rPr>
      </w:pPr>
      <w:r>
        <w:rPr>
          <w:szCs w:val="26"/>
        </w:rPr>
        <w:lastRenderedPageBreak/>
        <w:tab/>
      </w:r>
      <w:r w:rsidR="00180BCB">
        <w:rPr>
          <w:szCs w:val="26"/>
        </w:rPr>
        <w:t>The section immediately after the signature line</w:t>
      </w:r>
      <w:r w:rsidR="000C6CC0">
        <w:rPr>
          <w:szCs w:val="26"/>
        </w:rPr>
        <w:t>, titled “UNITEDHEALTHCARE PLAN,” contained a “Legal Entities Disclaimer.”  The disclaimer explained that various companies would provide different services.  As relevant here, USB (or another entity) would provide “[b]ehavioral health products.”</w:t>
      </w:r>
    </w:p>
    <w:p w14:paraId="273C5C9D" w14:textId="61D465AF" w:rsidR="00E807DE" w:rsidRDefault="00A3018B" w:rsidP="009F3CEE">
      <w:pPr>
        <w:rPr>
          <w:szCs w:val="26"/>
        </w:rPr>
      </w:pPr>
      <w:r>
        <w:rPr>
          <w:szCs w:val="26"/>
        </w:rPr>
        <w:tab/>
      </w:r>
      <w:r w:rsidR="00F124DB">
        <w:rPr>
          <w:szCs w:val="26"/>
        </w:rPr>
        <w:t xml:space="preserve">Enrollees in the plan are provided with a </w:t>
      </w:r>
      <w:r w:rsidR="006C4B1A">
        <w:rPr>
          <w:szCs w:val="26"/>
        </w:rPr>
        <w:t>lengthy “Evidence of Coverage”</w:t>
      </w:r>
      <w:r w:rsidR="00795094">
        <w:rPr>
          <w:szCs w:val="26"/>
        </w:rPr>
        <w:t xml:space="preserve"> (EOC)</w:t>
      </w:r>
      <w:r w:rsidR="006C4B1A">
        <w:rPr>
          <w:szCs w:val="26"/>
        </w:rPr>
        <w:t xml:space="preserve"> booklet that outlines the plan’s benefits.  </w:t>
      </w:r>
      <w:r w:rsidR="0077250F">
        <w:rPr>
          <w:szCs w:val="26"/>
        </w:rPr>
        <w:t xml:space="preserve">Along with detailing </w:t>
      </w:r>
      <w:r w:rsidR="00B576AE">
        <w:rPr>
          <w:szCs w:val="26"/>
        </w:rPr>
        <w:t>plan members’ coverage, the EOC</w:t>
      </w:r>
      <w:r w:rsidR="002E2D7E">
        <w:rPr>
          <w:szCs w:val="26"/>
        </w:rPr>
        <w:t xml:space="preserve"> also</w:t>
      </w:r>
      <w:r w:rsidR="00B576AE">
        <w:rPr>
          <w:szCs w:val="26"/>
        </w:rPr>
        <w:t xml:space="preserve"> outlines</w:t>
      </w:r>
      <w:r w:rsidR="00DA6745">
        <w:rPr>
          <w:szCs w:val="26"/>
        </w:rPr>
        <w:t xml:space="preserve"> </w:t>
      </w:r>
      <w:r w:rsidR="00321671">
        <w:rPr>
          <w:szCs w:val="26"/>
        </w:rPr>
        <w:t>the full terms of the</w:t>
      </w:r>
      <w:r w:rsidR="002E2D7E">
        <w:rPr>
          <w:szCs w:val="26"/>
        </w:rPr>
        <w:t xml:space="preserve"> plan’s arbitration agreement. </w:t>
      </w:r>
      <w:r w:rsidR="00AD1766">
        <w:rPr>
          <w:szCs w:val="26"/>
        </w:rPr>
        <w:t xml:space="preserve"> </w:t>
      </w:r>
      <w:r w:rsidR="00B32547">
        <w:rPr>
          <w:szCs w:val="26"/>
        </w:rPr>
        <w:t>Those terms state in relevant part:</w:t>
      </w:r>
      <w:r w:rsidR="000536A3">
        <w:rPr>
          <w:szCs w:val="26"/>
        </w:rPr>
        <w:t xml:space="preserve"> </w:t>
      </w:r>
      <w:r w:rsidR="00B32547">
        <w:rPr>
          <w:szCs w:val="26"/>
        </w:rPr>
        <w:t xml:space="preserve"> “All disputes of any kind, including, but not limited to, claims relating to the delivery of services under the plan and claims for medical malpractice between [Dougherty] . . . and UnitedHealthcare . . . will be submitted to Binding Arbitration</w:t>
      </w:r>
      <w:r w:rsidR="00822890">
        <w:rPr>
          <w:szCs w:val="26"/>
        </w:rPr>
        <w:t xml:space="preserve">. . . . </w:t>
      </w:r>
      <w:r w:rsidR="000536A3">
        <w:rPr>
          <w:szCs w:val="26"/>
        </w:rPr>
        <w:t xml:space="preserve"> </w:t>
      </w:r>
      <w:r w:rsidR="00822890">
        <w:rPr>
          <w:szCs w:val="26"/>
        </w:rPr>
        <w:t>Any disputes about the scope of arbitration, about the arbitration itself or whether an issue falls under this arbitration</w:t>
      </w:r>
      <w:r w:rsidR="00060B56">
        <w:rPr>
          <w:szCs w:val="26"/>
        </w:rPr>
        <w:t xml:space="preserve"> provision will be resolved by the arbitrator . . . .  </w:t>
      </w:r>
      <w:r w:rsidR="00FD21BA">
        <w:rPr>
          <w:szCs w:val="26"/>
        </w:rPr>
        <w:t>[</w:t>
      </w:r>
      <w:r w:rsidR="00FD21BA">
        <w:rPr>
          <w:rFonts w:cs="Times New Roman"/>
          <w:szCs w:val="26"/>
        </w:rPr>
        <w:t>¶</w:t>
      </w:r>
      <w:r w:rsidR="00FD21BA">
        <w:rPr>
          <w:szCs w:val="26"/>
        </w:rPr>
        <w:t xml:space="preserve">]  </w:t>
      </w:r>
      <w:r w:rsidR="00060B56">
        <w:rPr>
          <w:szCs w:val="26"/>
        </w:rPr>
        <w:t xml:space="preserve">The arbitration will be performed by JAMS or another arbitration service . </w:t>
      </w:r>
      <w:r w:rsidR="00C00A8C">
        <w:rPr>
          <w:szCs w:val="26"/>
        </w:rPr>
        <w:t>. . [and] will be conducted under the JAMS Comprehensive Arbitration Rules and Procedures.</w:t>
      </w:r>
      <w:r w:rsidR="00060B56">
        <w:rPr>
          <w:szCs w:val="26"/>
        </w:rPr>
        <w:t>”</w:t>
      </w:r>
    </w:p>
    <w:p w14:paraId="77B6A7FF" w14:textId="2C4DD4E6" w:rsidR="002F35C3" w:rsidRDefault="00E807DE" w:rsidP="009F3CEE">
      <w:pPr>
        <w:ind w:firstLine="720"/>
        <w:rPr>
          <w:szCs w:val="26"/>
        </w:rPr>
      </w:pPr>
      <w:r>
        <w:rPr>
          <w:szCs w:val="26"/>
        </w:rPr>
        <w:t>A</w:t>
      </w:r>
      <w:r w:rsidR="00A22B99">
        <w:rPr>
          <w:szCs w:val="26"/>
        </w:rPr>
        <w:t>lthough t</w:t>
      </w:r>
      <w:r w:rsidR="004F2268">
        <w:rPr>
          <w:szCs w:val="26"/>
        </w:rPr>
        <w:t xml:space="preserve">he </w:t>
      </w:r>
      <w:r w:rsidR="006960EF">
        <w:rPr>
          <w:szCs w:val="26"/>
        </w:rPr>
        <w:t>GSA</w:t>
      </w:r>
      <w:r w:rsidR="004F2268">
        <w:rPr>
          <w:szCs w:val="26"/>
        </w:rPr>
        <w:t xml:space="preserve"> states that the EOC </w:t>
      </w:r>
      <w:r w:rsidR="00C83402">
        <w:rPr>
          <w:szCs w:val="26"/>
        </w:rPr>
        <w:t xml:space="preserve">is </w:t>
      </w:r>
      <w:r w:rsidR="00C00A8C">
        <w:rPr>
          <w:szCs w:val="26"/>
        </w:rPr>
        <w:t xml:space="preserve">an </w:t>
      </w:r>
      <w:r w:rsidR="00C83402">
        <w:rPr>
          <w:szCs w:val="26"/>
        </w:rPr>
        <w:t>“integral part” of</w:t>
      </w:r>
      <w:r w:rsidR="004F2268">
        <w:rPr>
          <w:szCs w:val="26"/>
        </w:rPr>
        <w:t xml:space="preserve"> the agreement</w:t>
      </w:r>
      <w:r>
        <w:rPr>
          <w:szCs w:val="26"/>
        </w:rPr>
        <w:t>, the EOC does not require enrollees to sign anything</w:t>
      </w:r>
      <w:r w:rsidR="00C666E9">
        <w:rPr>
          <w:szCs w:val="26"/>
        </w:rPr>
        <w:t>.</w:t>
      </w:r>
    </w:p>
    <w:p w14:paraId="231E8F5D" w14:textId="7A51646A" w:rsidR="00E106A4" w:rsidRDefault="00A852F0" w:rsidP="009F3CEE">
      <w:pPr>
        <w:ind w:firstLine="720"/>
        <w:rPr>
          <w:szCs w:val="26"/>
        </w:rPr>
      </w:pPr>
      <w:r>
        <w:rPr>
          <w:szCs w:val="26"/>
        </w:rPr>
        <w:t xml:space="preserve">Plan enrollees, including Dougherty, are also provided </w:t>
      </w:r>
      <w:r w:rsidR="00345858">
        <w:rPr>
          <w:szCs w:val="26"/>
        </w:rPr>
        <w:t>a “Behavioral Health Supplement</w:t>
      </w:r>
      <w:r w:rsidR="00B7313C">
        <w:rPr>
          <w:szCs w:val="26"/>
        </w:rPr>
        <w:t>” (the supplement).</w:t>
      </w:r>
      <w:r w:rsidR="00795094">
        <w:rPr>
          <w:szCs w:val="26"/>
        </w:rPr>
        <w:t xml:space="preserve">  </w:t>
      </w:r>
      <w:r w:rsidR="00B7313C">
        <w:rPr>
          <w:szCs w:val="26"/>
        </w:rPr>
        <w:t>The supplement explains that it is “a supplement to the [EOC</w:t>
      </w:r>
      <w:r w:rsidR="001C4A11">
        <w:rPr>
          <w:szCs w:val="26"/>
        </w:rPr>
        <w:t xml:space="preserve">],” and </w:t>
      </w:r>
      <w:r w:rsidR="00D919C2">
        <w:rPr>
          <w:szCs w:val="26"/>
        </w:rPr>
        <w:t>pl</w:t>
      </w:r>
      <w:r w:rsidR="00C93CAF">
        <w:rPr>
          <w:szCs w:val="26"/>
        </w:rPr>
        <w:t>an members’ mental healthcare</w:t>
      </w:r>
      <w:r w:rsidR="006D55DF">
        <w:rPr>
          <w:szCs w:val="26"/>
        </w:rPr>
        <w:t xml:space="preserve">, including care for substance abuse, </w:t>
      </w:r>
      <w:r w:rsidR="000E41E6">
        <w:rPr>
          <w:szCs w:val="26"/>
        </w:rPr>
        <w:t>is provided by USB</w:t>
      </w:r>
      <w:r w:rsidR="00AF154E">
        <w:rPr>
          <w:szCs w:val="26"/>
        </w:rPr>
        <w:t>.  The Supplement</w:t>
      </w:r>
      <w:r w:rsidR="001F0F27">
        <w:rPr>
          <w:szCs w:val="26"/>
        </w:rPr>
        <w:t xml:space="preserve"> goes on:</w:t>
      </w:r>
      <w:r w:rsidR="000536A3">
        <w:rPr>
          <w:szCs w:val="26"/>
        </w:rPr>
        <w:t xml:space="preserve"> </w:t>
      </w:r>
      <w:r w:rsidR="001F0F27">
        <w:rPr>
          <w:szCs w:val="26"/>
        </w:rPr>
        <w:t xml:space="preserve"> “This [supplement] will help you become more familiar with your Behavioral Health Care benefits.  This [</w:t>
      </w:r>
      <w:r w:rsidR="00C579A3">
        <w:rPr>
          <w:szCs w:val="26"/>
        </w:rPr>
        <w:t xml:space="preserve">supplement] should be </w:t>
      </w:r>
      <w:r w:rsidR="00C579A3">
        <w:rPr>
          <w:szCs w:val="26"/>
        </w:rPr>
        <w:lastRenderedPageBreak/>
        <w:t>used in conjunction with your [EOC].  It is a legal document that explains your Behavioral Health Plan and should answer many important questions about your benefits.”</w:t>
      </w:r>
      <w:r w:rsidR="00F176BF">
        <w:rPr>
          <w:szCs w:val="26"/>
        </w:rPr>
        <w:t xml:space="preserve">  </w:t>
      </w:r>
      <w:r w:rsidR="00AA0896">
        <w:rPr>
          <w:szCs w:val="26"/>
        </w:rPr>
        <w:t xml:space="preserve">Like the EOC, the supplement is </w:t>
      </w:r>
      <w:r w:rsidR="004E70A6">
        <w:rPr>
          <w:szCs w:val="26"/>
        </w:rPr>
        <w:t xml:space="preserve">an </w:t>
      </w:r>
      <w:r w:rsidR="00AA0896">
        <w:rPr>
          <w:szCs w:val="26"/>
        </w:rPr>
        <w:t xml:space="preserve">“integral part” of </w:t>
      </w:r>
      <w:r w:rsidR="00360AED">
        <w:rPr>
          <w:szCs w:val="26"/>
        </w:rPr>
        <w:t xml:space="preserve">the </w:t>
      </w:r>
      <w:r w:rsidR="006960EF">
        <w:rPr>
          <w:szCs w:val="26"/>
        </w:rPr>
        <w:t>GSA</w:t>
      </w:r>
      <w:r w:rsidR="00AA0896">
        <w:rPr>
          <w:szCs w:val="26"/>
        </w:rPr>
        <w:t>, although it did not require Dougherty to sign anything.</w:t>
      </w:r>
    </w:p>
    <w:p w14:paraId="40A2E9F3" w14:textId="77E878B9" w:rsidR="0096677D" w:rsidRDefault="00CC0EEB" w:rsidP="009F3CEE">
      <w:pPr>
        <w:rPr>
          <w:szCs w:val="26"/>
        </w:rPr>
      </w:pPr>
      <w:r>
        <w:rPr>
          <w:szCs w:val="26"/>
        </w:rPr>
        <w:tab/>
      </w:r>
      <w:r w:rsidR="000A550D">
        <w:rPr>
          <w:szCs w:val="26"/>
        </w:rPr>
        <w:t>And, like the plan,</w:t>
      </w:r>
      <w:r w:rsidR="009F36D1">
        <w:rPr>
          <w:szCs w:val="26"/>
        </w:rPr>
        <w:t xml:space="preserve"> the supplement contains an arbitration agreement.  </w:t>
      </w:r>
      <w:r w:rsidR="00DA74BB">
        <w:rPr>
          <w:szCs w:val="26"/>
        </w:rPr>
        <w:t xml:space="preserve">It states in relevant part: </w:t>
      </w:r>
      <w:r w:rsidR="00DF7E1B">
        <w:rPr>
          <w:szCs w:val="26"/>
        </w:rPr>
        <w:t xml:space="preserve"> </w:t>
      </w:r>
      <w:r w:rsidR="00DA74BB">
        <w:rPr>
          <w:szCs w:val="26"/>
        </w:rPr>
        <w:t>“</w:t>
      </w:r>
      <w:r w:rsidR="004E6A75">
        <w:rPr>
          <w:szCs w:val="26"/>
        </w:rPr>
        <w:t>Any and all disputes of any kind whatsoever, including, but not limited to, claims for medical malpractice</w:t>
      </w:r>
      <w:r w:rsidR="007D75E2">
        <w:rPr>
          <w:szCs w:val="26"/>
        </w:rPr>
        <w:t xml:space="preserve"> . . . between [Dougherty] . . . and [USB] . . . shall be submitted to Binding Arbitration</w:t>
      </w:r>
      <w:r w:rsidR="00B33979">
        <w:rPr>
          <w:szCs w:val="26"/>
        </w:rPr>
        <w:t xml:space="preserve">. . . . </w:t>
      </w:r>
      <w:r w:rsidR="00DF7E1B">
        <w:rPr>
          <w:szCs w:val="26"/>
        </w:rPr>
        <w:t xml:space="preserve"> </w:t>
      </w:r>
      <w:r w:rsidR="00B33979">
        <w:rPr>
          <w:szCs w:val="26"/>
        </w:rPr>
        <w:t>[Dougherty] and [USB] further specifically agree that any disputes about the scope of any arbitration or about the arbitration or about the arbitrability of any dispute shall be determined by the arbitrator.</w:t>
      </w:r>
      <w:r w:rsidR="00737D18">
        <w:rPr>
          <w:szCs w:val="26"/>
        </w:rPr>
        <w:t xml:space="preserve">  [Dougherty] and [USB] are . . . accepting the use of Binding Arbitration by a single arbitrator in accordance with the Comprehensive Rules of JAMS in effect at the time of the arbitration . . . .”</w:t>
      </w:r>
    </w:p>
    <w:p w14:paraId="622712CA" w14:textId="58D8782F" w:rsidR="00701FEF" w:rsidRDefault="00292DEC" w:rsidP="009F3CEE">
      <w:pPr>
        <w:rPr>
          <w:szCs w:val="26"/>
        </w:rPr>
      </w:pPr>
      <w:r>
        <w:rPr>
          <w:szCs w:val="26"/>
        </w:rPr>
        <w:tab/>
      </w:r>
      <w:r w:rsidR="00824AE3">
        <w:rPr>
          <w:szCs w:val="26"/>
        </w:rPr>
        <w:t>While</w:t>
      </w:r>
      <w:r w:rsidR="005C4A3C">
        <w:rPr>
          <w:szCs w:val="26"/>
        </w:rPr>
        <w:t xml:space="preserve"> </w:t>
      </w:r>
      <w:r w:rsidR="00A80D8C">
        <w:rPr>
          <w:szCs w:val="26"/>
        </w:rPr>
        <w:t>Ryan was enrolled in the plan, he</w:t>
      </w:r>
      <w:r w:rsidR="00544276">
        <w:rPr>
          <w:szCs w:val="26"/>
        </w:rPr>
        <w:t xml:space="preserve"> </w:t>
      </w:r>
      <w:r w:rsidR="004A2C14">
        <w:rPr>
          <w:szCs w:val="26"/>
        </w:rPr>
        <w:t>admitted himself into a</w:t>
      </w:r>
      <w:r w:rsidR="00B5417F">
        <w:rPr>
          <w:szCs w:val="26"/>
        </w:rPr>
        <w:t xml:space="preserve"> residential treatment facility to treat his</w:t>
      </w:r>
      <w:r w:rsidR="00B7728D">
        <w:rPr>
          <w:szCs w:val="26"/>
        </w:rPr>
        <w:t xml:space="preserve"> severe drug addiction</w:t>
      </w:r>
      <w:r w:rsidR="00D533E5">
        <w:rPr>
          <w:szCs w:val="26"/>
        </w:rPr>
        <w:t xml:space="preserve">  </w:t>
      </w:r>
      <w:r w:rsidR="00A80D8C">
        <w:rPr>
          <w:szCs w:val="26"/>
        </w:rPr>
        <w:t xml:space="preserve">USB initially agreed to cover his stay, but </w:t>
      </w:r>
      <w:r w:rsidR="00F43F0A">
        <w:rPr>
          <w:szCs w:val="26"/>
        </w:rPr>
        <w:t xml:space="preserve">USB denied coverage </w:t>
      </w:r>
      <w:r w:rsidR="00A80D8C">
        <w:rPr>
          <w:szCs w:val="26"/>
        </w:rPr>
        <w:t xml:space="preserve">three days later </w:t>
      </w:r>
      <w:r w:rsidR="00F43F0A">
        <w:rPr>
          <w:szCs w:val="26"/>
        </w:rPr>
        <w:t>on the ground that Ryan could be treated at home</w:t>
      </w:r>
      <w:r w:rsidR="003E2D09">
        <w:rPr>
          <w:szCs w:val="26"/>
        </w:rPr>
        <w:t>.  Shortly after his discharge from the facility, Ryan fatally overdosed</w:t>
      </w:r>
      <w:r w:rsidR="00274EBF">
        <w:rPr>
          <w:szCs w:val="26"/>
        </w:rPr>
        <w:t>.  Dougherty then sued U</w:t>
      </w:r>
      <w:r w:rsidR="00327D22">
        <w:rPr>
          <w:szCs w:val="26"/>
        </w:rPr>
        <w:t>SB</w:t>
      </w:r>
      <w:r w:rsidR="00AE49AD">
        <w:rPr>
          <w:szCs w:val="26"/>
        </w:rPr>
        <w:t xml:space="preserve"> in the superior court</w:t>
      </w:r>
      <w:r w:rsidR="004A7AAB">
        <w:rPr>
          <w:szCs w:val="26"/>
        </w:rPr>
        <w:t xml:space="preserve">, </w:t>
      </w:r>
      <w:r w:rsidR="00274EBF">
        <w:rPr>
          <w:szCs w:val="26"/>
        </w:rPr>
        <w:t>claiming that its wrongful</w:t>
      </w:r>
      <w:r w:rsidR="00DD0FEA">
        <w:rPr>
          <w:szCs w:val="26"/>
        </w:rPr>
        <w:t xml:space="preserve">ly denying coverage for </w:t>
      </w:r>
      <w:r w:rsidR="00363562">
        <w:rPr>
          <w:szCs w:val="26"/>
        </w:rPr>
        <w:t>Ryan’s treatment at the facility caused his death.</w:t>
      </w:r>
    </w:p>
    <w:p w14:paraId="5CC69962" w14:textId="7396A95E" w:rsidR="00327D22" w:rsidRDefault="00DD0FEA" w:rsidP="009F3CEE">
      <w:pPr>
        <w:rPr>
          <w:szCs w:val="26"/>
        </w:rPr>
      </w:pPr>
      <w:r>
        <w:rPr>
          <w:szCs w:val="26"/>
        </w:rPr>
        <w:tab/>
      </w:r>
      <w:r w:rsidR="00CA4E6A">
        <w:rPr>
          <w:szCs w:val="26"/>
        </w:rPr>
        <w:t>In response, USB petitioned to compel arbitration of Dougherty’s claims.</w:t>
      </w:r>
      <w:r w:rsidR="00372531">
        <w:rPr>
          <w:szCs w:val="26"/>
        </w:rPr>
        <w:t xml:space="preserve">  </w:t>
      </w:r>
      <w:r w:rsidR="00530A86">
        <w:rPr>
          <w:szCs w:val="26"/>
        </w:rPr>
        <w:t xml:space="preserve">In its moving papers, USB </w:t>
      </w:r>
      <w:r w:rsidR="007561A8">
        <w:rPr>
          <w:szCs w:val="26"/>
        </w:rPr>
        <w:t>argued the supplement</w:t>
      </w:r>
      <w:r w:rsidR="0063456B">
        <w:rPr>
          <w:szCs w:val="26"/>
        </w:rPr>
        <w:t xml:space="preserve"> </w:t>
      </w:r>
      <w:r w:rsidR="009C7C56">
        <w:rPr>
          <w:szCs w:val="26"/>
        </w:rPr>
        <w:t>“govern[ed] the relationship” between Dougher</w:t>
      </w:r>
      <w:r w:rsidR="00B653FE">
        <w:rPr>
          <w:szCs w:val="26"/>
        </w:rPr>
        <w:t>t</w:t>
      </w:r>
      <w:r w:rsidR="009C7C56">
        <w:rPr>
          <w:szCs w:val="26"/>
        </w:rPr>
        <w:t>y</w:t>
      </w:r>
      <w:r w:rsidR="000439CD">
        <w:rPr>
          <w:szCs w:val="26"/>
        </w:rPr>
        <w:t xml:space="preserve"> and USB and </w:t>
      </w:r>
      <w:r w:rsidR="0063456B">
        <w:rPr>
          <w:szCs w:val="26"/>
        </w:rPr>
        <w:t xml:space="preserve">was the “health plan contract with [USB] that form[ed] the </w:t>
      </w:r>
      <w:r w:rsidR="0063456B">
        <w:rPr>
          <w:szCs w:val="26"/>
        </w:rPr>
        <w:lastRenderedPageBreak/>
        <w:t>basis” of Dougherty’s claims</w:t>
      </w:r>
      <w:r w:rsidR="00A26092">
        <w:rPr>
          <w:szCs w:val="26"/>
        </w:rPr>
        <w:t xml:space="preserve">, </w:t>
      </w:r>
      <w:r w:rsidR="005F5142">
        <w:rPr>
          <w:szCs w:val="26"/>
        </w:rPr>
        <w:t>while the EOC was “the contract between [her] and [UnitedHealthcare]</w:t>
      </w:r>
      <w:r w:rsidR="000439CD">
        <w:rPr>
          <w:szCs w:val="26"/>
        </w:rPr>
        <w:t>.</w:t>
      </w:r>
      <w:r w:rsidR="005F5142">
        <w:rPr>
          <w:szCs w:val="26"/>
        </w:rPr>
        <w:t>”</w:t>
      </w:r>
      <w:r w:rsidR="009C7C56">
        <w:rPr>
          <w:szCs w:val="26"/>
        </w:rPr>
        <w:t xml:space="preserve"> </w:t>
      </w:r>
      <w:r w:rsidR="000439CD">
        <w:rPr>
          <w:szCs w:val="26"/>
        </w:rPr>
        <w:t xml:space="preserve"> </w:t>
      </w:r>
      <w:r w:rsidR="00D608B7">
        <w:rPr>
          <w:szCs w:val="26"/>
        </w:rPr>
        <w:t xml:space="preserve">USB </w:t>
      </w:r>
      <w:r w:rsidR="001A49EB">
        <w:rPr>
          <w:szCs w:val="26"/>
        </w:rPr>
        <w:t>thus argued</w:t>
      </w:r>
      <w:r w:rsidR="00EB57C5">
        <w:rPr>
          <w:szCs w:val="26"/>
        </w:rPr>
        <w:t xml:space="preserve"> the supplement applied to “disputes about behavioral health services.”</w:t>
      </w:r>
      <w:r w:rsidR="000439CD">
        <w:rPr>
          <w:szCs w:val="26"/>
        </w:rPr>
        <w:t xml:space="preserve"> </w:t>
      </w:r>
      <w:r w:rsidR="008A36D9">
        <w:rPr>
          <w:szCs w:val="26"/>
        </w:rPr>
        <w:t xml:space="preserve"> USB also argued</w:t>
      </w:r>
      <w:r w:rsidR="00A26092">
        <w:rPr>
          <w:szCs w:val="26"/>
        </w:rPr>
        <w:t>, however, that</w:t>
      </w:r>
      <w:r w:rsidR="008A36D9">
        <w:rPr>
          <w:szCs w:val="26"/>
        </w:rPr>
        <w:t xml:space="preserve"> </w:t>
      </w:r>
      <w:r w:rsidR="00DD339B">
        <w:rPr>
          <w:szCs w:val="26"/>
        </w:rPr>
        <w:t>Dougherty had to arbitrate her claims given her signature on the plan enrollment form agreeing to the plan’s arbitration agreement</w:t>
      </w:r>
      <w:r w:rsidR="005938EA">
        <w:rPr>
          <w:szCs w:val="26"/>
        </w:rPr>
        <w:t xml:space="preserve">, as outlined in the </w:t>
      </w:r>
      <w:r w:rsidR="005713CD">
        <w:rPr>
          <w:szCs w:val="26"/>
        </w:rPr>
        <w:t>EOC</w:t>
      </w:r>
      <w:r w:rsidR="00DD339B">
        <w:rPr>
          <w:szCs w:val="26"/>
        </w:rPr>
        <w:t>.</w:t>
      </w:r>
    </w:p>
    <w:p w14:paraId="7227CF53" w14:textId="0C78BB1E" w:rsidR="009B5A39" w:rsidRDefault="009B5A39" w:rsidP="009F3CEE">
      <w:pPr>
        <w:rPr>
          <w:szCs w:val="26"/>
        </w:rPr>
      </w:pPr>
      <w:r>
        <w:rPr>
          <w:szCs w:val="26"/>
        </w:rPr>
        <w:tab/>
        <w:t>Anticipating</w:t>
      </w:r>
      <w:r w:rsidR="00DF6CF2">
        <w:rPr>
          <w:szCs w:val="26"/>
        </w:rPr>
        <w:t xml:space="preserve"> Dougherty’s argument in opposition, USB argued that both arbitration provisions and the enrollment form complied with section 1363.1’s disclosure requirements.</w:t>
      </w:r>
      <w:r w:rsidR="00F04F53">
        <w:rPr>
          <w:szCs w:val="26"/>
        </w:rPr>
        <w:t xml:space="preserve">  Because </w:t>
      </w:r>
      <w:r w:rsidR="00754631">
        <w:rPr>
          <w:szCs w:val="26"/>
        </w:rPr>
        <w:t>“[a] valid arbitration agreement exists,” USB urged the trial court to sen</w:t>
      </w:r>
      <w:r w:rsidR="00095702">
        <w:rPr>
          <w:szCs w:val="26"/>
        </w:rPr>
        <w:t>d</w:t>
      </w:r>
      <w:r w:rsidR="00754631">
        <w:rPr>
          <w:szCs w:val="26"/>
        </w:rPr>
        <w:t xml:space="preserve"> Dougherty’s claims to arbitration.</w:t>
      </w:r>
    </w:p>
    <w:p w14:paraId="0B8C84F9" w14:textId="7D2817E8" w:rsidR="001147C3" w:rsidRDefault="00754631" w:rsidP="009F3CEE">
      <w:pPr>
        <w:rPr>
          <w:szCs w:val="26"/>
        </w:rPr>
      </w:pPr>
      <w:r>
        <w:rPr>
          <w:szCs w:val="26"/>
        </w:rPr>
        <w:tab/>
      </w:r>
      <w:r w:rsidR="00095702">
        <w:rPr>
          <w:szCs w:val="26"/>
        </w:rPr>
        <w:t xml:space="preserve">USB </w:t>
      </w:r>
      <w:r w:rsidR="00B83643">
        <w:rPr>
          <w:szCs w:val="26"/>
        </w:rPr>
        <w:t>went on to argue that the trial court “need not go much further than resolving</w:t>
      </w:r>
      <w:r w:rsidR="00DB1D8C">
        <w:rPr>
          <w:szCs w:val="26"/>
        </w:rPr>
        <w:t xml:space="preserve"> th[e] first gateway question” of whether a valid arbitration agreement exists</w:t>
      </w:r>
      <w:r w:rsidR="00F71F6B">
        <w:rPr>
          <w:szCs w:val="26"/>
        </w:rPr>
        <w:t>,</w:t>
      </w:r>
      <w:r w:rsidR="00DB1D8C">
        <w:rPr>
          <w:szCs w:val="26"/>
        </w:rPr>
        <w:t xml:space="preserve"> because the next question, “whether the arbitration provisions encompass [Dougherty’s] claims,” was delegated to the arbitrator.</w:t>
      </w:r>
      <w:r w:rsidR="00034CC2">
        <w:rPr>
          <w:szCs w:val="26"/>
        </w:rPr>
        <w:t xml:space="preserve">  In USB’s view, “</w:t>
      </w:r>
      <w:r w:rsidR="00034CC2" w:rsidRPr="00034CC2">
        <w:rPr>
          <w:szCs w:val="26"/>
        </w:rPr>
        <w:t xml:space="preserve">there can </w:t>
      </w:r>
      <w:r w:rsidR="00F71F6B">
        <w:rPr>
          <w:szCs w:val="26"/>
        </w:rPr>
        <w:t xml:space="preserve">be </w:t>
      </w:r>
      <w:r w:rsidR="00034CC2" w:rsidRPr="00034CC2">
        <w:rPr>
          <w:szCs w:val="26"/>
        </w:rPr>
        <w:t>no dispute that the</w:t>
      </w:r>
      <w:r w:rsidR="00F71F6B">
        <w:rPr>
          <w:szCs w:val="26"/>
        </w:rPr>
        <w:t xml:space="preserve"> </w:t>
      </w:r>
      <w:r w:rsidR="00034CC2" w:rsidRPr="00034CC2">
        <w:rPr>
          <w:szCs w:val="26"/>
        </w:rPr>
        <w:t>parties delegated questions regarding the scope of the arbitration—</w:t>
      </w:r>
      <w:r w:rsidR="00034CC2" w:rsidRPr="00034CC2">
        <w:rPr>
          <w:i/>
          <w:iCs/>
          <w:szCs w:val="26"/>
        </w:rPr>
        <w:t>i.e.</w:t>
      </w:r>
      <w:r w:rsidR="00034CC2" w:rsidRPr="00034CC2">
        <w:rPr>
          <w:szCs w:val="26"/>
        </w:rPr>
        <w:t>, questio</w:t>
      </w:r>
      <w:r w:rsidR="00034CC2">
        <w:rPr>
          <w:szCs w:val="26"/>
        </w:rPr>
        <w:t>n</w:t>
      </w:r>
      <w:r w:rsidR="00034CC2" w:rsidRPr="00034CC2">
        <w:rPr>
          <w:szCs w:val="26"/>
        </w:rPr>
        <w:t>s about whether the</w:t>
      </w:r>
      <w:r w:rsidR="00034CC2">
        <w:rPr>
          <w:szCs w:val="26"/>
        </w:rPr>
        <w:t xml:space="preserve"> </w:t>
      </w:r>
      <w:r w:rsidR="00034CC2" w:rsidRPr="00034CC2">
        <w:rPr>
          <w:szCs w:val="26"/>
        </w:rPr>
        <w:t>claims alleged here are subject to arbitration—to the arbitrator.</w:t>
      </w:r>
      <w:r w:rsidR="00034CC2">
        <w:rPr>
          <w:szCs w:val="26"/>
        </w:rPr>
        <w:t>”</w:t>
      </w:r>
      <w:r w:rsidR="001147C3">
        <w:rPr>
          <w:szCs w:val="26"/>
        </w:rPr>
        <w:t xml:space="preserve">  USB thus asked the trial court </w:t>
      </w:r>
      <w:r w:rsidR="00566BAE">
        <w:rPr>
          <w:szCs w:val="26"/>
        </w:rPr>
        <w:t>to order Dougherty to arbitrate her claims and stay the case pending the</w:t>
      </w:r>
      <w:r w:rsidR="009E49B9">
        <w:rPr>
          <w:szCs w:val="26"/>
        </w:rPr>
        <w:t xml:space="preserve"> resolution of the arbitration.</w:t>
      </w:r>
    </w:p>
    <w:p w14:paraId="2B689E2C" w14:textId="5661978F" w:rsidR="0002526D" w:rsidRDefault="0002526D" w:rsidP="009F3CEE">
      <w:pPr>
        <w:rPr>
          <w:iCs/>
          <w:szCs w:val="26"/>
        </w:rPr>
      </w:pPr>
      <w:r>
        <w:rPr>
          <w:szCs w:val="26"/>
        </w:rPr>
        <w:tab/>
      </w:r>
      <w:r w:rsidR="00866C13">
        <w:rPr>
          <w:szCs w:val="26"/>
        </w:rPr>
        <w:t xml:space="preserve">Dougherty opposed USB’s petition on the ground that </w:t>
      </w:r>
      <w:r w:rsidR="00F94B3C">
        <w:rPr>
          <w:szCs w:val="26"/>
        </w:rPr>
        <w:t xml:space="preserve">her </w:t>
      </w:r>
      <w:r w:rsidR="00F437F1">
        <w:rPr>
          <w:szCs w:val="26"/>
        </w:rPr>
        <w:t xml:space="preserve">only </w:t>
      </w:r>
      <w:r w:rsidR="00F94B3C">
        <w:rPr>
          <w:szCs w:val="26"/>
        </w:rPr>
        <w:t>arbitration agreement with USB—</w:t>
      </w:r>
      <w:r w:rsidR="00F8784A">
        <w:rPr>
          <w:szCs w:val="26"/>
        </w:rPr>
        <w:t xml:space="preserve">the one contained in the supplement—did not comply with section </w:t>
      </w:r>
      <w:r w:rsidR="00F8784A">
        <w:rPr>
          <w:szCs w:val="26"/>
        </w:rPr>
        <w:lastRenderedPageBreak/>
        <w:t>1363.1, subdivision (d)</w:t>
      </w:r>
      <w:r w:rsidR="001C3E0D">
        <w:rPr>
          <w:szCs w:val="26"/>
        </w:rPr>
        <w:t>, and thus it was unenforceable</w:t>
      </w:r>
      <w:r w:rsidR="00F8784A">
        <w:rPr>
          <w:szCs w:val="26"/>
        </w:rPr>
        <w:t>.</w:t>
      </w:r>
      <w:r w:rsidR="00F8784A" w:rsidRPr="00955149">
        <w:rPr>
          <w:rStyle w:val="FootnoteReference"/>
          <w:sz w:val="26"/>
          <w:szCs w:val="26"/>
          <w:vertAlign w:val="superscript"/>
        </w:rPr>
        <w:footnoteReference w:id="2"/>
      </w:r>
      <w:r w:rsidR="00354B15">
        <w:rPr>
          <w:szCs w:val="26"/>
        </w:rPr>
        <w:t xml:space="preserve">  Although Dougherty agreed that the </w:t>
      </w:r>
      <w:r w:rsidR="00242ABF">
        <w:rPr>
          <w:i/>
          <w:szCs w:val="26"/>
        </w:rPr>
        <w:t>plan’s</w:t>
      </w:r>
      <w:r w:rsidR="00573C0E">
        <w:rPr>
          <w:i/>
          <w:szCs w:val="26"/>
        </w:rPr>
        <w:t xml:space="preserve"> </w:t>
      </w:r>
      <w:r w:rsidR="00E55E36">
        <w:rPr>
          <w:iCs/>
          <w:szCs w:val="26"/>
        </w:rPr>
        <w:t>arbitration agreement</w:t>
      </w:r>
      <w:r w:rsidR="00DA0A60">
        <w:rPr>
          <w:iCs/>
          <w:szCs w:val="26"/>
        </w:rPr>
        <w:t>, as stated in the EOC,</w:t>
      </w:r>
      <w:r w:rsidR="00E55E36">
        <w:rPr>
          <w:iCs/>
          <w:szCs w:val="26"/>
        </w:rPr>
        <w:t xml:space="preserve"> complied with the statute</w:t>
      </w:r>
      <w:r w:rsidR="00242ABF">
        <w:rPr>
          <w:iCs/>
          <w:szCs w:val="26"/>
        </w:rPr>
        <w:t xml:space="preserve"> given the disclosure on the enrollment form that she signed</w:t>
      </w:r>
      <w:r w:rsidR="00E55E36">
        <w:rPr>
          <w:iCs/>
          <w:szCs w:val="26"/>
        </w:rPr>
        <w:t>, that agreement was between Dougherty and UnitedHealthcare</w:t>
      </w:r>
      <w:r w:rsidR="001C3E0D">
        <w:rPr>
          <w:iCs/>
          <w:szCs w:val="26"/>
        </w:rPr>
        <w:t>.</w:t>
      </w:r>
      <w:r w:rsidR="00CE5A4E">
        <w:rPr>
          <w:iCs/>
          <w:szCs w:val="26"/>
        </w:rPr>
        <w:t xml:space="preserve">  </w:t>
      </w:r>
      <w:r w:rsidR="00011CC0">
        <w:rPr>
          <w:iCs/>
          <w:szCs w:val="26"/>
        </w:rPr>
        <w:t>Dougherty thus argued that because</w:t>
      </w:r>
      <w:r w:rsidR="00B10EE7">
        <w:rPr>
          <w:iCs/>
          <w:szCs w:val="26"/>
        </w:rPr>
        <w:t xml:space="preserve"> the plan and the supplement are separate contracts</w:t>
      </w:r>
      <w:r w:rsidR="00011CC0">
        <w:rPr>
          <w:iCs/>
          <w:szCs w:val="26"/>
        </w:rPr>
        <w:t xml:space="preserve"> be</w:t>
      </w:r>
      <w:r w:rsidR="00E22000">
        <w:rPr>
          <w:iCs/>
          <w:szCs w:val="26"/>
        </w:rPr>
        <w:t>tween her and separate entities, USB could not “pass off [U</w:t>
      </w:r>
      <w:r w:rsidR="00231DB0">
        <w:rPr>
          <w:iCs/>
          <w:szCs w:val="26"/>
        </w:rPr>
        <w:t>nitedHealthcare’s] enrollment-form disclosure as its own.”</w:t>
      </w:r>
      <w:r w:rsidR="00BA676F">
        <w:rPr>
          <w:iCs/>
          <w:szCs w:val="26"/>
        </w:rPr>
        <w:t xml:space="preserve">  Dougherty </w:t>
      </w:r>
      <w:r w:rsidR="009663C3">
        <w:rPr>
          <w:iCs/>
          <w:szCs w:val="26"/>
        </w:rPr>
        <w:t xml:space="preserve">then </w:t>
      </w:r>
      <w:r w:rsidR="00BA676F">
        <w:rPr>
          <w:iCs/>
          <w:szCs w:val="26"/>
        </w:rPr>
        <w:t>acknowledged that</w:t>
      </w:r>
      <w:r w:rsidR="000B20F0">
        <w:rPr>
          <w:iCs/>
          <w:szCs w:val="26"/>
        </w:rPr>
        <w:t xml:space="preserve"> the enrollment form disclosure state</w:t>
      </w:r>
      <w:r w:rsidR="00E606A4">
        <w:rPr>
          <w:iCs/>
          <w:szCs w:val="26"/>
        </w:rPr>
        <w:t>s</w:t>
      </w:r>
      <w:r w:rsidR="000B20F0">
        <w:rPr>
          <w:iCs/>
          <w:szCs w:val="26"/>
        </w:rPr>
        <w:t xml:space="preserve"> she </w:t>
      </w:r>
      <w:r w:rsidR="00E606A4">
        <w:rPr>
          <w:iCs/>
          <w:szCs w:val="26"/>
        </w:rPr>
        <w:t xml:space="preserve">must </w:t>
      </w:r>
      <w:r w:rsidR="000B20F0">
        <w:rPr>
          <w:iCs/>
          <w:szCs w:val="26"/>
        </w:rPr>
        <w:t xml:space="preserve">arbitrate </w:t>
      </w:r>
      <w:r w:rsidR="00AF43AB">
        <w:rPr>
          <w:iCs/>
          <w:szCs w:val="26"/>
        </w:rPr>
        <w:t>any claims she ha</w:t>
      </w:r>
      <w:r w:rsidR="00E606A4">
        <w:rPr>
          <w:iCs/>
          <w:szCs w:val="26"/>
        </w:rPr>
        <w:t>s</w:t>
      </w:r>
      <w:r w:rsidR="00AF43AB">
        <w:rPr>
          <w:iCs/>
          <w:szCs w:val="26"/>
        </w:rPr>
        <w:t xml:space="preserve"> against</w:t>
      </w:r>
      <w:r w:rsidR="00A77CB4">
        <w:rPr>
          <w:iCs/>
          <w:szCs w:val="26"/>
        </w:rPr>
        <w:t xml:space="preserve"> UnitedHealthcare’s </w:t>
      </w:r>
      <w:r w:rsidR="00FD21BA">
        <w:rPr>
          <w:iCs/>
          <w:szCs w:val="26"/>
        </w:rPr>
        <w:t>“‘</w:t>
      </w:r>
      <w:r w:rsidR="00A77CB4">
        <w:rPr>
          <w:iCs/>
          <w:szCs w:val="26"/>
        </w:rPr>
        <w:t>subsidiaries or affiliates,</w:t>
      </w:r>
      <w:r w:rsidR="00FD21BA">
        <w:rPr>
          <w:iCs/>
          <w:szCs w:val="26"/>
        </w:rPr>
        <w:t>’</w:t>
      </w:r>
      <w:r w:rsidR="00A77CB4">
        <w:rPr>
          <w:iCs/>
          <w:szCs w:val="26"/>
        </w:rPr>
        <w:t>” but USB did not argue that it was a subsidiary or affiliate of UnitedHealthcare.</w:t>
      </w:r>
    </w:p>
    <w:p w14:paraId="35226C02" w14:textId="06CD15B1" w:rsidR="00D855E6" w:rsidRDefault="00D855E6" w:rsidP="009F3CEE">
      <w:pPr>
        <w:rPr>
          <w:iCs/>
          <w:szCs w:val="26"/>
        </w:rPr>
      </w:pPr>
      <w:r>
        <w:rPr>
          <w:iCs/>
          <w:szCs w:val="26"/>
        </w:rPr>
        <w:tab/>
        <w:t xml:space="preserve">In its reply, USB argued </w:t>
      </w:r>
      <w:r w:rsidR="007007FD">
        <w:rPr>
          <w:iCs/>
          <w:szCs w:val="26"/>
        </w:rPr>
        <w:t xml:space="preserve">at length </w:t>
      </w:r>
      <w:r>
        <w:rPr>
          <w:iCs/>
          <w:szCs w:val="26"/>
        </w:rPr>
        <w:t xml:space="preserve">that it is an </w:t>
      </w:r>
      <w:r w:rsidR="00FD21BA">
        <w:rPr>
          <w:iCs/>
          <w:szCs w:val="26"/>
        </w:rPr>
        <w:t>“‘</w:t>
      </w:r>
      <w:r>
        <w:rPr>
          <w:iCs/>
          <w:szCs w:val="26"/>
        </w:rPr>
        <w:t>affiliate</w:t>
      </w:r>
      <w:r w:rsidR="00FD21BA">
        <w:rPr>
          <w:iCs/>
          <w:szCs w:val="26"/>
        </w:rPr>
        <w:t>’</w:t>
      </w:r>
      <w:r>
        <w:rPr>
          <w:iCs/>
          <w:szCs w:val="26"/>
        </w:rPr>
        <w:t xml:space="preserve">” of UnitedHealthcare </w:t>
      </w:r>
      <w:r w:rsidR="009172FE">
        <w:rPr>
          <w:iCs/>
          <w:szCs w:val="26"/>
        </w:rPr>
        <w:t xml:space="preserve">because both are subsidiaries of the same parent corporation.  </w:t>
      </w:r>
      <w:r w:rsidR="00570DCE">
        <w:rPr>
          <w:iCs/>
          <w:szCs w:val="26"/>
        </w:rPr>
        <w:t>USB supported the argument with a declaration submitted along with its reply</w:t>
      </w:r>
      <w:r w:rsidR="00196AF3">
        <w:rPr>
          <w:iCs/>
          <w:szCs w:val="26"/>
        </w:rPr>
        <w:t xml:space="preserve"> (the Nguyen declaration).</w:t>
      </w:r>
      <w:r w:rsidR="00D316C6">
        <w:rPr>
          <w:iCs/>
          <w:szCs w:val="26"/>
        </w:rPr>
        <w:t xml:space="preserve">  </w:t>
      </w:r>
      <w:r w:rsidR="006C0DA4">
        <w:rPr>
          <w:iCs/>
          <w:szCs w:val="26"/>
        </w:rPr>
        <w:t xml:space="preserve">USB also argued that </w:t>
      </w:r>
      <w:r w:rsidR="004F7324">
        <w:rPr>
          <w:iCs/>
          <w:szCs w:val="26"/>
        </w:rPr>
        <w:t xml:space="preserve">no violation of section 1363.1, subdivision (d) occurred because the statute </w:t>
      </w:r>
      <w:r w:rsidR="005535EB">
        <w:rPr>
          <w:iCs/>
          <w:szCs w:val="26"/>
        </w:rPr>
        <w:t>directs</w:t>
      </w:r>
      <w:r w:rsidR="006731D9">
        <w:rPr>
          <w:iCs/>
          <w:szCs w:val="26"/>
        </w:rPr>
        <w:t xml:space="preserve"> only a “health care service plan” </w:t>
      </w:r>
      <w:r w:rsidR="004B2BFD">
        <w:rPr>
          <w:iCs/>
          <w:szCs w:val="26"/>
        </w:rPr>
        <w:t xml:space="preserve">to </w:t>
      </w:r>
      <w:r w:rsidR="00D43343">
        <w:rPr>
          <w:iCs/>
          <w:szCs w:val="26"/>
        </w:rPr>
        <w:t xml:space="preserve">make the </w:t>
      </w:r>
      <w:r w:rsidR="005535EB">
        <w:rPr>
          <w:iCs/>
          <w:szCs w:val="26"/>
        </w:rPr>
        <w:t>required disclosures</w:t>
      </w:r>
      <w:r w:rsidR="002228D3">
        <w:rPr>
          <w:iCs/>
          <w:szCs w:val="26"/>
        </w:rPr>
        <w:t>—as</w:t>
      </w:r>
      <w:r w:rsidR="00783E00">
        <w:rPr>
          <w:iCs/>
          <w:szCs w:val="26"/>
        </w:rPr>
        <w:t xml:space="preserve"> UnitedHealthcare did</w:t>
      </w:r>
      <w:r w:rsidR="006B4EB3">
        <w:rPr>
          <w:iCs/>
          <w:szCs w:val="26"/>
        </w:rPr>
        <w:t xml:space="preserve"> on the enrollment form</w:t>
      </w:r>
      <w:r w:rsidR="002228D3">
        <w:rPr>
          <w:iCs/>
          <w:szCs w:val="26"/>
        </w:rPr>
        <w:t>—</w:t>
      </w:r>
      <w:r w:rsidR="007C1E53">
        <w:rPr>
          <w:iCs/>
          <w:szCs w:val="26"/>
        </w:rPr>
        <w:t xml:space="preserve">and does not mandate </w:t>
      </w:r>
      <w:r w:rsidR="00A96C89">
        <w:rPr>
          <w:iCs/>
          <w:szCs w:val="26"/>
        </w:rPr>
        <w:t xml:space="preserve">that </w:t>
      </w:r>
      <w:r w:rsidR="00D43343">
        <w:rPr>
          <w:iCs/>
          <w:szCs w:val="26"/>
        </w:rPr>
        <w:t>the disclosure</w:t>
      </w:r>
      <w:r w:rsidR="002228D3">
        <w:rPr>
          <w:iCs/>
          <w:szCs w:val="26"/>
        </w:rPr>
        <w:t>s</w:t>
      </w:r>
      <w:r w:rsidR="00A96C89">
        <w:rPr>
          <w:iCs/>
          <w:szCs w:val="26"/>
        </w:rPr>
        <w:t xml:space="preserve"> </w:t>
      </w:r>
      <w:r w:rsidR="00D43343">
        <w:rPr>
          <w:iCs/>
          <w:szCs w:val="26"/>
        </w:rPr>
        <w:t>“</w:t>
      </w:r>
      <w:r w:rsidR="00A96C89">
        <w:rPr>
          <w:iCs/>
          <w:szCs w:val="26"/>
        </w:rPr>
        <w:t xml:space="preserve">list every </w:t>
      </w:r>
      <w:r w:rsidR="00256AE2">
        <w:rPr>
          <w:iCs/>
          <w:szCs w:val="26"/>
        </w:rPr>
        <w:t>corporate entity to which they apply.”</w:t>
      </w:r>
    </w:p>
    <w:p w14:paraId="076E2D63" w14:textId="0A49CF9B" w:rsidR="00E2776E" w:rsidRDefault="0011068B" w:rsidP="009F3CEE">
      <w:pPr>
        <w:rPr>
          <w:iCs/>
          <w:szCs w:val="26"/>
        </w:rPr>
      </w:pPr>
      <w:r>
        <w:rPr>
          <w:iCs/>
          <w:szCs w:val="26"/>
        </w:rPr>
        <w:lastRenderedPageBreak/>
        <w:tab/>
      </w:r>
      <w:r w:rsidR="00404E68">
        <w:rPr>
          <w:iCs/>
          <w:szCs w:val="26"/>
        </w:rPr>
        <w:t xml:space="preserve">The trial court began </w:t>
      </w:r>
      <w:r w:rsidR="00F604F5">
        <w:rPr>
          <w:iCs/>
          <w:szCs w:val="26"/>
        </w:rPr>
        <w:t>the hearing on USB’s petition by asking USB why there w</w:t>
      </w:r>
      <w:r w:rsidR="0095488E">
        <w:rPr>
          <w:iCs/>
          <w:szCs w:val="26"/>
        </w:rPr>
        <w:t>as an arbitration agreement for USB</w:t>
      </w:r>
      <w:r w:rsidR="007C453C">
        <w:rPr>
          <w:iCs/>
          <w:szCs w:val="26"/>
        </w:rPr>
        <w:t xml:space="preserve"> (the plan/EOC)</w:t>
      </w:r>
      <w:r w:rsidR="0095488E">
        <w:rPr>
          <w:iCs/>
          <w:szCs w:val="26"/>
        </w:rPr>
        <w:t xml:space="preserve"> and another for UnitedHealthcare</w:t>
      </w:r>
      <w:r w:rsidR="007C453C">
        <w:rPr>
          <w:iCs/>
          <w:szCs w:val="26"/>
        </w:rPr>
        <w:t xml:space="preserve"> (the supplement)</w:t>
      </w:r>
      <w:r w:rsidR="0095488E">
        <w:rPr>
          <w:iCs/>
          <w:szCs w:val="26"/>
        </w:rPr>
        <w:t>.  USB</w:t>
      </w:r>
      <w:r w:rsidR="0054655C">
        <w:rPr>
          <w:iCs/>
          <w:szCs w:val="26"/>
        </w:rPr>
        <w:t xml:space="preserve"> noted there was no evidence in the record on the issue, but surmised that the supplement </w:t>
      </w:r>
      <w:r w:rsidR="000F6AFF">
        <w:rPr>
          <w:iCs/>
          <w:szCs w:val="26"/>
        </w:rPr>
        <w:t>was necessary to make it “absolutely clear that claims under both pieces of the health plan would be arbitrated.”  The court</w:t>
      </w:r>
      <w:r w:rsidR="00E86178">
        <w:rPr>
          <w:iCs/>
          <w:szCs w:val="26"/>
        </w:rPr>
        <w:t xml:space="preserve"> replied</w:t>
      </w:r>
      <w:r w:rsidR="000F6AFF">
        <w:rPr>
          <w:iCs/>
          <w:szCs w:val="26"/>
        </w:rPr>
        <w:t xml:space="preserve"> that it was a “legal problem” that </w:t>
      </w:r>
      <w:r w:rsidR="00F7524E">
        <w:rPr>
          <w:iCs/>
          <w:szCs w:val="26"/>
        </w:rPr>
        <w:t>the supplement did</w:t>
      </w:r>
      <w:r w:rsidR="00E86178">
        <w:rPr>
          <w:iCs/>
          <w:szCs w:val="26"/>
        </w:rPr>
        <w:t xml:space="preserve"> not compl</w:t>
      </w:r>
      <w:r w:rsidR="00F7524E">
        <w:rPr>
          <w:iCs/>
          <w:szCs w:val="26"/>
        </w:rPr>
        <w:t>y</w:t>
      </w:r>
      <w:r w:rsidR="00E86178">
        <w:rPr>
          <w:iCs/>
          <w:szCs w:val="26"/>
        </w:rPr>
        <w:t xml:space="preserve"> with section 1363.1’s disclosure requirements.</w:t>
      </w:r>
    </w:p>
    <w:p w14:paraId="28014B7A" w14:textId="1D823210" w:rsidR="00FE1CC4" w:rsidRDefault="00E86178" w:rsidP="009F3CEE">
      <w:pPr>
        <w:rPr>
          <w:iCs/>
          <w:szCs w:val="26"/>
        </w:rPr>
      </w:pPr>
      <w:r>
        <w:rPr>
          <w:iCs/>
          <w:szCs w:val="26"/>
        </w:rPr>
        <w:tab/>
        <w:t>Dougherty began her argument by objecting to the Nguyen declaration that USB submitted in support of its reply.</w:t>
      </w:r>
      <w:r w:rsidR="00BC647C">
        <w:rPr>
          <w:iCs/>
          <w:szCs w:val="26"/>
        </w:rPr>
        <w:t xml:space="preserve">  Dougherty objected only on the ground that the declaration was “new evidence</w:t>
      </w:r>
      <w:r w:rsidR="006F6D72">
        <w:rPr>
          <w:iCs/>
          <w:szCs w:val="26"/>
        </w:rPr>
        <w:t xml:space="preserve"> . . . submitted with the reply.”  </w:t>
      </w:r>
      <w:r w:rsidR="0093130A">
        <w:rPr>
          <w:iCs/>
          <w:szCs w:val="26"/>
        </w:rPr>
        <w:t xml:space="preserve">When </w:t>
      </w:r>
      <w:r w:rsidR="00FE1CC4">
        <w:rPr>
          <w:iCs/>
          <w:szCs w:val="26"/>
        </w:rPr>
        <w:t xml:space="preserve">the court asked </w:t>
      </w:r>
      <w:r w:rsidR="00AF2466">
        <w:rPr>
          <w:iCs/>
          <w:szCs w:val="26"/>
        </w:rPr>
        <w:t>Dougherty</w:t>
      </w:r>
      <w:r w:rsidR="00FE1CC4">
        <w:rPr>
          <w:iCs/>
          <w:szCs w:val="26"/>
        </w:rPr>
        <w:t xml:space="preserve"> about USB’s argument that it is an “affiliate” of UnitedHealthcare, Dougherty argued that </w:t>
      </w:r>
      <w:r w:rsidR="006A13B5">
        <w:rPr>
          <w:iCs/>
          <w:szCs w:val="26"/>
        </w:rPr>
        <w:t>none of the documents referred to USB as UnitedHealthcare’s affiliate</w:t>
      </w:r>
      <w:r w:rsidR="00E57D2E">
        <w:rPr>
          <w:iCs/>
          <w:szCs w:val="26"/>
        </w:rPr>
        <w:t xml:space="preserve"> </w:t>
      </w:r>
      <w:r w:rsidR="001339E6">
        <w:rPr>
          <w:iCs/>
          <w:szCs w:val="26"/>
        </w:rPr>
        <w:t>beyond “some very ambiguous terms [that] affiliates could apply</w:t>
      </w:r>
      <w:r w:rsidR="00602ACF">
        <w:rPr>
          <w:iCs/>
          <w:szCs w:val="26"/>
        </w:rPr>
        <w:t>.</w:t>
      </w:r>
      <w:r w:rsidR="001339E6">
        <w:rPr>
          <w:iCs/>
          <w:szCs w:val="26"/>
        </w:rPr>
        <w:t>”</w:t>
      </w:r>
    </w:p>
    <w:p w14:paraId="6DFA2F0D" w14:textId="092602CF" w:rsidR="001339E6" w:rsidRDefault="001339E6" w:rsidP="009F3CEE">
      <w:pPr>
        <w:rPr>
          <w:iCs/>
          <w:szCs w:val="26"/>
        </w:rPr>
      </w:pPr>
      <w:r>
        <w:rPr>
          <w:iCs/>
          <w:szCs w:val="26"/>
        </w:rPr>
        <w:tab/>
      </w:r>
      <w:r w:rsidR="00C14248">
        <w:rPr>
          <w:iCs/>
          <w:szCs w:val="26"/>
        </w:rPr>
        <w:t>USB then responded to the court’s statement that there are “two separate contracts</w:t>
      </w:r>
      <w:r w:rsidR="00D95BF1">
        <w:rPr>
          <w:iCs/>
          <w:szCs w:val="26"/>
        </w:rPr>
        <w:t>.”  USB argued that</w:t>
      </w:r>
      <w:r w:rsidR="007422FC">
        <w:rPr>
          <w:iCs/>
          <w:szCs w:val="26"/>
        </w:rPr>
        <w:t xml:space="preserve"> the plan, as detailed in the EOC, is the “main health plan” </w:t>
      </w:r>
      <w:r w:rsidR="00E222B8">
        <w:rPr>
          <w:iCs/>
          <w:szCs w:val="26"/>
        </w:rPr>
        <w:t>and the supplement</w:t>
      </w:r>
      <w:r w:rsidR="00D95BF1">
        <w:rPr>
          <w:iCs/>
          <w:szCs w:val="26"/>
        </w:rPr>
        <w:t>, which is incorporated into the</w:t>
      </w:r>
      <w:r w:rsidR="00AC124E">
        <w:rPr>
          <w:iCs/>
          <w:szCs w:val="26"/>
        </w:rPr>
        <w:t xml:space="preserve"> plan, governs </w:t>
      </w:r>
      <w:r w:rsidR="004E4ADB">
        <w:rPr>
          <w:iCs/>
          <w:szCs w:val="26"/>
        </w:rPr>
        <w:t xml:space="preserve">the mental healthcare coverage of the plan.  </w:t>
      </w:r>
      <w:r w:rsidR="003A5338">
        <w:rPr>
          <w:iCs/>
          <w:szCs w:val="26"/>
        </w:rPr>
        <w:t xml:space="preserve">Thus, according to USB, </w:t>
      </w:r>
      <w:r w:rsidR="004031EE">
        <w:rPr>
          <w:iCs/>
          <w:szCs w:val="26"/>
        </w:rPr>
        <w:t>the supplement is “part of the same contract,</w:t>
      </w:r>
      <w:r w:rsidR="00181264">
        <w:rPr>
          <w:iCs/>
          <w:szCs w:val="26"/>
        </w:rPr>
        <w:t xml:space="preserve"> [the]</w:t>
      </w:r>
      <w:r w:rsidR="004031EE">
        <w:rPr>
          <w:iCs/>
          <w:szCs w:val="26"/>
        </w:rPr>
        <w:t xml:space="preserve"> same </w:t>
      </w:r>
      <w:r w:rsidR="00181264">
        <w:rPr>
          <w:iCs/>
          <w:szCs w:val="26"/>
        </w:rPr>
        <w:t>health plan.”</w:t>
      </w:r>
    </w:p>
    <w:p w14:paraId="47151B4D" w14:textId="53212CCC" w:rsidR="00873477" w:rsidRDefault="005B26AB" w:rsidP="009F3CEE">
      <w:pPr>
        <w:rPr>
          <w:iCs/>
          <w:szCs w:val="26"/>
        </w:rPr>
      </w:pPr>
      <w:r>
        <w:rPr>
          <w:iCs/>
          <w:szCs w:val="26"/>
        </w:rPr>
        <w:tab/>
        <w:t xml:space="preserve">The trial court </w:t>
      </w:r>
      <w:r w:rsidR="00873477">
        <w:rPr>
          <w:iCs/>
          <w:szCs w:val="26"/>
        </w:rPr>
        <w:t xml:space="preserve">then denied USB’s petition.  The court reasoned that there </w:t>
      </w:r>
      <w:r w:rsidR="00270949">
        <w:rPr>
          <w:iCs/>
          <w:szCs w:val="26"/>
        </w:rPr>
        <w:t xml:space="preserve">were </w:t>
      </w:r>
      <w:r w:rsidR="00AC1620">
        <w:rPr>
          <w:iCs/>
          <w:szCs w:val="26"/>
        </w:rPr>
        <w:t>“</w:t>
      </w:r>
      <w:r w:rsidR="00270949">
        <w:rPr>
          <w:iCs/>
          <w:szCs w:val="26"/>
        </w:rPr>
        <w:t>two documents</w:t>
      </w:r>
      <w:r w:rsidR="00AC1620">
        <w:rPr>
          <w:iCs/>
          <w:szCs w:val="26"/>
        </w:rPr>
        <w:t>”</w:t>
      </w:r>
      <w:r w:rsidR="006D1638">
        <w:rPr>
          <w:iCs/>
          <w:szCs w:val="26"/>
        </w:rPr>
        <w:t xml:space="preserve">—the </w:t>
      </w:r>
      <w:r w:rsidR="003A70B6">
        <w:rPr>
          <w:iCs/>
          <w:szCs w:val="26"/>
        </w:rPr>
        <w:t>plan enrollment form and the supplement—</w:t>
      </w:r>
      <w:r w:rsidR="00270949">
        <w:rPr>
          <w:iCs/>
          <w:szCs w:val="26"/>
        </w:rPr>
        <w:t xml:space="preserve">and USB’s argument that the supplement “was necessary just to cover all bases, seems to suggest . . . there was </w:t>
      </w:r>
      <w:r w:rsidR="00270949">
        <w:rPr>
          <w:iCs/>
          <w:szCs w:val="26"/>
        </w:rPr>
        <w:lastRenderedPageBreak/>
        <w:t>some doubt that the first agreement</w:t>
      </w:r>
      <w:r w:rsidR="00932BF2">
        <w:rPr>
          <w:iCs/>
          <w:szCs w:val="26"/>
        </w:rPr>
        <w:t xml:space="preserve"> would, in fact, cover [USB].  And so, in </w:t>
      </w:r>
      <w:r w:rsidR="00932BF2" w:rsidRPr="00892D1F">
        <w:rPr>
          <w:iCs/>
          <w:szCs w:val="26"/>
        </w:rPr>
        <w:t>order to cover their bases, they added that second document</w:t>
      </w:r>
      <w:r w:rsidR="00E815FC" w:rsidRPr="00892D1F">
        <w:rPr>
          <w:iCs/>
          <w:szCs w:val="26"/>
        </w:rPr>
        <w:t xml:space="preserve">.”  But because the supplement did </w:t>
      </w:r>
      <w:r w:rsidR="007805FD" w:rsidRPr="00892D1F">
        <w:rPr>
          <w:iCs/>
          <w:szCs w:val="26"/>
        </w:rPr>
        <w:t xml:space="preserve">not </w:t>
      </w:r>
      <w:r w:rsidR="001226DA" w:rsidRPr="00892D1F">
        <w:rPr>
          <w:iCs/>
          <w:szCs w:val="26"/>
        </w:rPr>
        <w:t>provide the disclosures required by section 1361.3,</w:t>
      </w:r>
      <w:r w:rsidR="008C1E10" w:rsidRPr="00892D1F">
        <w:rPr>
          <w:iCs/>
          <w:szCs w:val="26"/>
        </w:rPr>
        <w:t xml:space="preserve"> even though </w:t>
      </w:r>
      <w:r w:rsidR="00840D08" w:rsidRPr="00892D1F">
        <w:rPr>
          <w:iCs/>
          <w:szCs w:val="26"/>
        </w:rPr>
        <w:t>they “easily could have been” provided,</w:t>
      </w:r>
      <w:r w:rsidR="001226DA" w:rsidRPr="00892D1F">
        <w:rPr>
          <w:iCs/>
          <w:szCs w:val="26"/>
        </w:rPr>
        <w:t xml:space="preserve"> the court</w:t>
      </w:r>
      <w:r w:rsidR="001226DA">
        <w:rPr>
          <w:iCs/>
          <w:szCs w:val="26"/>
        </w:rPr>
        <w:t xml:space="preserve"> </w:t>
      </w:r>
      <w:r w:rsidR="00154A10">
        <w:rPr>
          <w:iCs/>
          <w:szCs w:val="26"/>
        </w:rPr>
        <w:t>denied USB’s petition</w:t>
      </w:r>
      <w:r w:rsidR="00D4527A">
        <w:rPr>
          <w:iCs/>
          <w:szCs w:val="26"/>
        </w:rPr>
        <w:t xml:space="preserve"> and declined to stay the case</w:t>
      </w:r>
      <w:r w:rsidR="00154A10">
        <w:rPr>
          <w:iCs/>
          <w:szCs w:val="26"/>
        </w:rPr>
        <w:t>.</w:t>
      </w:r>
    </w:p>
    <w:p w14:paraId="246837A2" w14:textId="3AC07EF4" w:rsidR="00D4527A" w:rsidRDefault="00D4527A" w:rsidP="009F3CEE">
      <w:pPr>
        <w:rPr>
          <w:iCs/>
          <w:szCs w:val="26"/>
        </w:rPr>
      </w:pPr>
      <w:r>
        <w:rPr>
          <w:iCs/>
          <w:szCs w:val="26"/>
        </w:rPr>
        <w:tab/>
        <w:t>USB timely appealed.</w:t>
      </w:r>
    </w:p>
    <w:p w14:paraId="3EC58EEC" w14:textId="7F2417B6" w:rsidR="0014165B" w:rsidRDefault="0014165B" w:rsidP="009F3CEE">
      <w:pPr>
        <w:jc w:val="center"/>
        <w:rPr>
          <w:iCs/>
          <w:szCs w:val="26"/>
        </w:rPr>
      </w:pPr>
      <w:r>
        <w:rPr>
          <w:iCs/>
          <w:szCs w:val="26"/>
        </w:rPr>
        <w:t>III.</w:t>
      </w:r>
    </w:p>
    <w:p w14:paraId="26AEA52C" w14:textId="18B0E803" w:rsidR="0014165B" w:rsidRDefault="0014165B" w:rsidP="009F3CEE">
      <w:pPr>
        <w:jc w:val="center"/>
        <w:rPr>
          <w:iCs/>
          <w:szCs w:val="26"/>
        </w:rPr>
      </w:pPr>
      <w:r>
        <w:rPr>
          <w:iCs/>
          <w:szCs w:val="26"/>
        </w:rPr>
        <w:t>DISCUSSION</w:t>
      </w:r>
    </w:p>
    <w:p w14:paraId="4D810573" w14:textId="05D31F40" w:rsidR="00D474AB" w:rsidRDefault="0014165B" w:rsidP="009F3CEE">
      <w:pPr>
        <w:rPr>
          <w:szCs w:val="26"/>
        </w:rPr>
      </w:pPr>
      <w:r>
        <w:rPr>
          <w:iCs/>
          <w:szCs w:val="26"/>
        </w:rPr>
        <w:tab/>
      </w:r>
      <w:r w:rsidR="001F3E9E">
        <w:rPr>
          <w:iCs/>
          <w:szCs w:val="26"/>
        </w:rPr>
        <w:t>USB contends the trial court erre</w:t>
      </w:r>
      <w:r w:rsidR="00623CE4">
        <w:rPr>
          <w:iCs/>
          <w:szCs w:val="26"/>
        </w:rPr>
        <w:t>d for three reasons:</w:t>
      </w:r>
      <w:r w:rsidR="00955149">
        <w:rPr>
          <w:iCs/>
          <w:szCs w:val="26"/>
        </w:rPr>
        <w:t xml:space="preserve"> </w:t>
      </w:r>
      <w:r w:rsidR="00623CE4">
        <w:rPr>
          <w:iCs/>
          <w:szCs w:val="26"/>
        </w:rPr>
        <w:t xml:space="preserve"> (1) </w:t>
      </w:r>
      <w:r w:rsidR="0004134B">
        <w:rPr>
          <w:iCs/>
          <w:szCs w:val="26"/>
        </w:rPr>
        <w:t>the issue of “</w:t>
      </w:r>
      <w:r w:rsidR="0004134B">
        <w:rPr>
          <w:szCs w:val="26"/>
        </w:rPr>
        <w:t xml:space="preserve">whether [USB’s] arbitration agreement was valid under the disclosure requirements of section 1363.1” was delegated to the arbitrator, (2) </w:t>
      </w:r>
      <w:r w:rsidR="00D524E4">
        <w:rPr>
          <w:szCs w:val="26"/>
        </w:rPr>
        <w:t xml:space="preserve">section 1363.1 did not require USB, as UnitedHealthcare’s “affiliate,” to </w:t>
      </w:r>
      <w:r w:rsidR="00D474AB">
        <w:rPr>
          <w:szCs w:val="26"/>
        </w:rPr>
        <w:t>make a separate “section 1363.1 disclaimer,” and (3) the FAA preempts section 1363.1.  We conclude USB forfeited its first argument</w:t>
      </w:r>
      <w:r w:rsidR="00483867">
        <w:rPr>
          <w:szCs w:val="26"/>
        </w:rPr>
        <w:t xml:space="preserve">, agree with </w:t>
      </w:r>
      <w:r w:rsidR="003E0F41">
        <w:rPr>
          <w:szCs w:val="26"/>
        </w:rPr>
        <w:t>its second</w:t>
      </w:r>
      <w:r w:rsidR="00196315">
        <w:rPr>
          <w:szCs w:val="26"/>
        </w:rPr>
        <w:t xml:space="preserve"> argument</w:t>
      </w:r>
      <w:r w:rsidR="003E0F41">
        <w:rPr>
          <w:szCs w:val="26"/>
        </w:rPr>
        <w:t xml:space="preserve">, and need not address its </w:t>
      </w:r>
      <w:r w:rsidR="00196315">
        <w:rPr>
          <w:szCs w:val="26"/>
        </w:rPr>
        <w:t>third argument.</w:t>
      </w:r>
    </w:p>
    <w:p w14:paraId="403F1462" w14:textId="70BE8480" w:rsidR="0096304D" w:rsidRPr="004854F9" w:rsidRDefault="000A08ED" w:rsidP="00FD21BA">
      <w:pPr>
        <w:pStyle w:val="ListParagraph"/>
        <w:ind w:left="1080" w:hanging="360"/>
        <w:contextualSpacing w:val="0"/>
        <w:rPr>
          <w:szCs w:val="26"/>
        </w:rPr>
      </w:pPr>
      <w:r w:rsidRPr="00FD21BA">
        <w:rPr>
          <w:szCs w:val="26"/>
        </w:rPr>
        <w:t>A.</w:t>
      </w:r>
      <w:r>
        <w:rPr>
          <w:i/>
          <w:iCs/>
          <w:szCs w:val="26"/>
        </w:rPr>
        <w:t xml:space="preserve"> </w:t>
      </w:r>
      <w:r w:rsidR="004854F9">
        <w:rPr>
          <w:i/>
          <w:iCs/>
          <w:szCs w:val="26"/>
        </w:rPr>
        <w:t>Delegation Clause</w:t>
      </w:r>
    </w:p>
    <w:p w14:paraId="4A2CE7D4" w14:textId="33FE375E" w:rsidR="004854F9" w:rsidRDefault="00113306" w:rsidP="009F3CEE">
      <w:pPr>
        <w:ind w:firstLine="720"/>
        <w:rPr>
          <w:szCs w:val="26"/>
        </w:rPr>
      </w:pPr>
      <w:r>
        <w:rPr>
          <w:szCs w:val="26"/>
        </w:rPr>
        <w:t>The arbitration agreement</w:t>
      </w:r>
      <w:r w:rsidR="004E35DD">
        <w:rPr>
          <w:szCs w:val="26"/>
        </w:rPr>
        <w:t xml:space="preserve"> in the supplement states</w:t>
      </w:r>
      <w:r w:rsidR="009244C3">
        <w:rPr>
          <w:szCs w:val="26"/>
        </w:rPr>
        <w:t xml:space="preserve"> “</w:t>
      </w:r>
      <w:r w:rsidR="009244C3" w:rsidRPr="009244C3">
        <w:rPr>
          <w:szCs w:val="26"/>
        </w:rPr>
        <w:t>any disputes about the scope of any arbitration or about the arbitration or about the arbitrability of any</w:t>
      </w:r>
      <w:r w:rsidR="009244C3">
        <w:rPr>
          <w:szCs w:val="26"/>
        </w:rPr>
        <w:t xml:space="preserve"> d</w:t>
      </w:r>
      <w:r w:rsidR="009244C3" w:rsidRPr="009244C3">
        <w:rPr>
          <w:szCs w:val="26"/>
        </w:rPr>
        <w:t>ispute shall be</w:t>
      </w:r>
      <w:r w:rsidR="007805FD">
        <w:rPr>
          <w:szCs w:val="26"/>
        </w:rPr>
        <w:t xml:space="preserve"> </w:t>
      </w:r>
      <w:r w:rsidR="009244C3" w:rsidRPr="009244C3">
        <w:rPr>
          <w:szCs w:val="26"/>
        </w:rPr>
        <w:t>determined by the arbitrator</w:t>
      </w:r>
      <w:r w:rsidR="009244C3">
        <w:rPr>
          <w:szCs w:val="26"/>
        </w:rPr>
        <w:t>.”</w:t>
      </w:r>
      <w:r w:rsidR="008D4380">
        <w:rPr>
          <w:szCs w:val="26"/>
        </w:rPr>
        <w:t xml:space="preserve">  It then explains that </w:t>
      </w:r>
      <w:r w:rsidR="00223A83">
        <w:rPr>
          <w:szCs w:val="26"/>
        </w:rPr>
        <w:t>any arbitration between the parties will be conducted according to JAMS rules.  Based on these provisions, USB contends</w:t>
      </w:r>
      <w:r w:rsidR="007A772F">
        <w:rPr>
          <w:szCs w:val="26"/>
        </w:rPr>
        <w:t xml:space="preserve"> the issue of whether </w:t>
      </w:r>
      <w:r w:rsidR="00712272">
        <w:rPr>
          <w:szCs w:val="26"/>
        </w:rPr>
        <w:t xml:space="preserve">the supplement’s </w:t>
      </w:r>
      <w:r w:rsidR="002A7167">
        <w:rPr>
          <w:szCs w:val="26"/>
        </w:rPr>
        <w:t xml:space="preserve">arbitration agreement with Dougherty was invalid </w:t>
      </w:r>
      <w:r w:rsidR="002A7167">
        <w:rPr>
          <w:szCs w:val="26"/>
        </w:rPr>
        <w:lastRenderedPageBreak/>
        <w:t>for failing to comply with section 1363.1’s disclosure requirements was delegated to the arbitrator</w:t>
      </w:r>
      <w:r w:rsidR="009152BC">
        <w:rPr>
          <w:szCs w:val="26"/>
        </w:rPr>
        <w:t xml:space="preserve"> to decide, not the trial court.</w:t>
      </w:r>
      <w:r w:rsidR="008361D7" w:rsidRPr="00955149">
        <w:rPr>
          <w:rStyle w:val="FootnoteReference"/>
          <w:sz w:val="26"/>
          <w:szCs w:val="26"/>
          <w:vertAlign w:val="superscript"/>
        </w:rPr>
        <w:footnoteReference w:id="3"/>
      </w:r>
    </w:p>
    <w:p w14:paraId="0A0B11EE" w14:textId="3A9EE13F" w:rsidR="00517497" w:rsidRDefault="009152BC" w:rsidP="009F3CEE">
      <w:pPr>
        <w:rPr>
          <w:rFonts w:cs="Times New Roman"/>
          <w:szCs w:val="26"/>
        </w:rPr>
      </w:pPr>
      <w:r>
        <w:rPr>
          <w:szCs w:val="26"/>
        </w:rPr>
        <w:tab/>
        <w:t>We conclude USB forfeited the argument by failing to raise it in the trial court.</w:t>
      </w:r>
      <w:r w:rsidR="00517497">
        <w:rPr>
          <w:szCs w:val="26"/>
        </w:rPr>
        <w:t xml:space="preserve">  </w:t>
      </w:r>
      <w:r w:rsidR="004776D4">
        <w:rPr>
          <w:rFonts w:cs="Times New Roman"/>
          <w:szCs w:val="26"/>
        </w:rPr>
        <w:t xml:space="preserve">Although USB </w:t>
      </w:r>
      <w:r w:rsidR="00270260">
        <w:rPr>
          <w:rFonts w:cs="Times New Roman"/>
          <w:szCs w:val="26"/>
        </w:rPr>
        <w:t>referenced the delegation clause</w:t>
      </w:r>
      <w:r w:rsidR="00FE48A8">
        <w:rPr>
          <w:rFonts w:cs="Times New Roman"/>
          <w:szCs w:val="26"/>
        </w:rPr>
        <w:t xml:space="preserve"> and </w:t>
      </w:r>
      <w:r w:rsidR="00270260">
        <w:rPr>
          <w:rFonts w:cs="Times New Roman"/>
          <w:szCs w:val="26"/>
        </w:rPr>
        <w:t>JAMS rules below</w:t>
      </w:r>
      <w:r w:rsidR="00423BF9">
        <w:rPr>
          <w:rFonts w:cs="Times New Roman"/>
          <w:szCs w:val="26"/>
        </w:rPr>
        <w:t>,</w:t>
      </w:r>
      <w:r w:rsidR="004776D4">
        <w:rPr>
          <w:rFonts w:cs="Times New Roman"/>
          <w:szCs w:val="26"/>
        </w:rPr>
        <w:t xml:space="preserve"> </w:t>
      </w:r>
      <w:r w:rsidR="00F31708">
        <w:rPr>
          <w:rFonts w:cs="Times New Roman"/>
          <w:szCs w:val="26"/>
        </w:rPr>
        <w:t>USB did not argue in its petition, reply, or at the hearing that the arbitrator</w:t>
      </w:r>
      <w:r w:rsidR="004F3893">
        <w:rPr>
          <w:rFonts w:cs="Times New Roman"/>
          <w:szCs w:val="26"/>
        </w:rPr>
        <w:t>, not the trial court,</w:t>
      </w:r>
      <w:r w:rsidR="00F31708">
        <w:rPr>
          <w:rFonts w:cs="Times New Roman"/>
          <w:szCs w:val="26"/>
        </w:rPr>
        <w:t xml:space="preserve"> should decide whether</w:t>
      </w:r>
      <w:r w:rsidR="00712272">
        <w:rPr>
          <w:rFonts w:cs="Times New Roman"/>
          <w:szCs w:val="26"/>
        </w:rPr>
        <w:t xml:space="preserve"> the</w:t>
      </w:r>
      <w:r w:rsidR="00110D74">
        <w:rPr>
          <w:rFonts w:cs="Times New Roman"/>
          <w:szCs w:val="26"/>
        </w:rPr>
        <w:t xml:space="preserve"> arbitration agreement was unenforceable.  Instead, USB repeatedly asked the trial court to enforce the agreement and order</w:t>
      </w:r>
      <w:r w:rsidR="005358D9">
        <w:rPr>
          <w:rFonts w:cs="Times New Roman"/>
          <w:szCs w:val="26"/>
        </w:rPr>
        <w:t xml:space="preserve"> Dougherty to arbitrate her claims.</w:t>
      </w:r>
      <w:r w:rsidR="004F3893">
        <w:rPr>
          <w:rFonts w:cs="Times New Roman"/>
          <w:szCs w:val="26"/>
        </w:rPr>
        <w:t xml:space="preserve">  USB </w:t>
      </w:r>
      <w:r w:rsidR="004E18C6">
        <w:rPr>
          <w:rFonts w:cs="Times New Roman"/>
          <w:szCs w:val="26"/>
        </w:rPr>
        <w:t xml:space="preserve">thus </w:t>
      </w:r>
      <w:r w:rsidR="004F3893">
        <w:rPr>
          <w:rFonts w:cs="Times New Roman"/>
          <w:szCs w:val="26"/>
        </w:rPr>
        <w:t xml:space="preserve">forfeited </w:t>
      </w:r>
      <w:r w:rsidR="004E18C6">
        <w:rPr>
          <w:rFonts w:cs="Times New Roman"/>
          <w:szCs w:val="26"/>
        </w:rPr>
        <w:t xml:space="preserve">its delegation-clause </w:t>
      </w:r>
      <w:r w:rsidR="004F3893">
        <w:rPr>
          <w:rFonts w:cs="Times New Roman"/>
          <w:szCs w:val="26"/>
        </w:rPr>
        <w:t xml:space="preserve">argument on appeal.  </w:t>
      </w:r>
      <w:r w:rsidR="004F3893">
        <w:rPr>
          <w:szCs w:val="26"/>
        </w:rPr>
        <w:t>(</w:t>
      </w:r>
      <w:r w:rsidR="004F3893" w:rsidRPr="00517497">
        <w:rPr>
          <w:rFonts w:cs="Times New Roman"/>
          <w:i/>
          <w:iCs/>
          <w:szCs w:val="26"/>
        </w:rPr>
        <w:t>Mendoza v. Trans Valley Trans</w:t>
      </w:r>
      <w:r w:rsidR="004F3893">
        <w:rPr>
          <w:rFonts w:cs="Times New Roman"/>
          <w:i/>
          <w:iCs/>
          <w:szCs w:val="26"/>
        </w:rPr>
        <w:t xml:space="preserve">portation </w:t>
      </w:r>
      <w:r w:rsidR="004F3893">
        <w:rPr>
          <w:rFonts w:cs="Times New Roman"/>
          <w:szCs w:val="26"/>
        </w:rPr>
        <w:t xml:space="preserve">(2022) </w:t>
      </w:r>
      <w:r w:rsidR="004F3893" w:rsidRPr="00BF6597">
        <w:rPr>
          <w:rFonts w:cs="Times New Roman"/>
          <w:szCs w:val="26"/>
        </w:rPr>
        <w:t>75 Cal.App.5th 748, 77</w:t>
      </w:r>
      <w:r w:rsidR="004F3893">
        <w:rPr>
          <w:rFonts w:cs="Times New Roman"/>
          <w:szCs w:val="26"/>
        </w:rPr>
        <w:t xml:space="preserve">0-771; </w:t>
      </w:r>
      <w:r w:rsidR="004F3893">
        <w:rPr>
          <w:rFonts w:cs="Times New Roman"/>
          <w:i/>
          <w:iCs/>
          <w:szCs w:val="26"/>
        </w:rPr>
        <w:t xml:space="preserve">Williams v. West Coast Hospitals, Inc. </w:t>
      </w:r>
      <w:r w:rsidR="004F3893">
        <w:rPr>
          <w:rFonts w:cs="Times New Roman"/>
          <w:szCs w:val="26"/>
        </w:rPr>
        <w:t xml:space="preserve">(2022) 86 Cal.App.5th 1054, 1071.)  </w:t>
      </w:r>
      <w:r w:rsidR="004C6FA0">
        <w:rPr>
          <w:rFonts w:cs="Times New Roman"/>
          <w:szCs w:val="26"/>
        </w:rPr>
        <w:t>We therefore decline to address it.</w:t>
      </w:r>
    </w:p>
    <w:p w14:paraId="7231D286" w14:textId="017B2E05" w:rsidR="004C6FA0" w:rsidRPr="00130303" w:rsidRDefault="00130303" w:rsidP="00FD21BA">
      <w:pPr>
        <w:pStyle w:val="ListParagraph"/>
        <w:numPr>
          <w:ilvl w:val="0"/>
          <w:numId w:val="2"/>
        </w:numPr>
        <w:ind w:left="1080"/>
        <w:contextualSpacing w:val="0"/>
        <w:rPr>
          <w:rFonts w:cs="Times New Roman"/>
          <w:szCs w:val="26"/>
        </w:rPr>
      </w:pPr>
      <w:r>
        <w:rPr>
          <w:rFonts w:cs="Times New Roman"/>
          <w:i/>
          <w:iCs/>
          <w:szCs w:val="26"/>
        </w:rPr>
        <w:t>Section 1363.1</w:t>
      </w:r>
    </w:p>
    <w:p w14:paraId="6F8A03A1" w14:textId="3CC6B546" w:rsidR="000254E0" w:rsidRDefault="000254E0" w:rsidP="009F3CEE">
      <w:pPr>
        <w:ind w:firstLine="720"/>
        <w:rPr>
          <w:rFonts w:cs="Times New Roman"/>
          <w:szCs w:val="26"/>
        </w:rPr>
      </w:pPr>
      <w:r>
        <w:rPr>
          <w:rFonts w:cs="Times New Roman"/>
          <w:szCs w:val="26"/>
        </w:rPr>
        <w:t xml:space="preserve">USB contends the trial court erroneously denied its petition to compel arbitration on the ground </w:t>
      </w:r>
      <w:r w:rsidR="00B04810">
        <w:rPr>
          <w:rFonts w:cs="Times New Roman"/>
          <w:szCs w:val="26"/>
        </w:rPr>
        <w:t>that the supplement</w:t>
      </w:r>
      <w:r w:rsidR="0049272A">
        <w:rPr>
          <w:rFonts w:cs="Times New Roman"/>
          <w:szCs w:val="26"/>
        </w:rPr>
        <w:t xml:space="preserve"> did not comply with section 1363.1.  On this undisputed record, we review </w:t>
      </w:r>
      <w:r w:rsidR="006D2652">
        <w:rPr>
          <w:rFonts w:cs="Times New Roman"/>
          <w:szCs w:val="26"/>
        </w:rPr>
        <w:t>the issue de novo</w:t>
      </w:r>
      <w:r w:rsidR="0049272A">
        <w:rPr>
          <w:rFonts w:cs="Times New Roman"/>
          <w:szCs w:val="26"/>
        </w:rPr>
        <w:t>.  (</w:t>
      </w:r>
      <w:r w:rsidR="0049272A">
        <w:rPr>
          <w:i/>
          <w:iCs/>
          <w:szCs w:val="26"/>
        </w:rPr>
        <w:t xml:space="preserve">Avery v. Integrated Healthcare Holdings, Inc. </w:t>
      </w:r>
      <w:r w:rsidR="0049272A">
        <w:rPr>
          <w:szCs w:val="26"/>
        </w:rPr>
        <w:t>(2013) 218 Cal.App.4th 50, 60.)</w:t>
      </w:r>
    </w:p>
    <w:p w14:paraId="4F00E96C" w14:textId="3066B04E" w:rsidR="006757C8" w:rsidRDefault="009B643A" w:rsidP="009F3CEE">
      <w:pPr>
        <w:ind w:firstLine="720"/>
        <w:rPr>
          <w:rFonts w:cs="Times New Roman"/>
          <w:szCs w:val="26"/>
        </w:rPr>
      </w:pPr>
      <w:r>
        <w:rPr>
          <w:rFonts w:cs="Times New Roman"/>
          <w:szCs w:val="26"/>
        </w:rPr>
        <w:t xml:space="preserve">Section 1363.1 </w:t>
      </w:r>
      <w:r w:rsidR="006757C8">
        <w:rPr>
          <w:rFonts w:cs="Times New Roman"/>
          <w:szCs w:val="26"/>
        </w:rPr>
        <w:t xml:space="preserve">provides that </w:t>
      </w:r>
      <w:r w:rsidR="00772D95">
        <w:rPr>
          <w:rFonts w:cs="Times New Roman"/>
          <w:szCs w:val="26"/>
        </w:rPr>
        <w:t>“</w:t>
      </w:r>
      <w:r w:rsidR="006757C8">
        <w:rPr>
          <w:rFonts w:cs="Times New Roman"/>
          <w:i/>
          <w:iCs/>
          <w:szCs w:val="26"/>
        </w:rPr>
        <w:t>[a]</w:t>
      </w:r>
      <w:r w:rsidR="00772D95" w:rsidRPr="00340C58">
        <w:rPr>
          <w:rFonts w:cs="Times New Roman"/>
          <w:i/>
          <w:iCs/>
          <w:szCs w:val="26"/>
        </w:rPr>
        <w:t>ny health care service plan</w:t>
      </w:r>
      <w:r w:rsidR="00772D95" w:rsidRPr="00772D95">
        <w:rPr>
          <w:rFonts w:cs="Times New Roman"/>
          <w:szCs w:val="26"/>
        </w:rPr>
        <w:t xml:space="preserve"> that includes terms that require binding arbitration to settle disputes and that restrict, or provide for a waiver of, the right to a jury trial shall include, in clear and understandable language, a disclosure that meets</w:t>
      </w:r>
      <w:r w:rsidR="006757C8">
        <w:rPr>
          <w:rFonts w:cs="Times New Roman"/>
          <w:szCs w:val="26"/>
        </w:rPr>
        <w:t>” four enumerated conditions.  Those conditions are:</w:t>
      </w:r>
    </w:p>
    <w:p w14:paraId="10BB8362" w14:textId="77777777" w:rsidR="00B946A7" w:rsidRPr="00B946A7" w:rsidRDefault="00B946A7" w:rsidP="009F3CEE">
      <w:pPr>
        <w:ind w:firstLine="720"/>
        <w:rPr>
          <w:rFonts w:cs="Times New Roman"/>
          <w:szCs w:val="26"/>
        </w:rPr>
      </w:pPr>
      <w:r>
        <w:rPr>
          <w:rFonts w:cs="Times New Roman"/>
          <w:szCs w:val="26"/>
        </w:rPr>
        <w:lastRenderedPageBreak/>
        <w:t>“</w:t>
      </w:r>
      <w:r w:rsidRPr="00B946A7">
        <w:rPr>
          <w:rFonts w:cs="Times New Roman"/>
          <w:szCs w:val="26"/>
        </w:rPr>
        <w:t>(a) The disclosure shall clearly state whether the plan uses binding arbitration to settle disputes, including specifically whether the plan uses binding arbitration to settle claims of medical malpractice.</w:t>
      </w:r>
    </w:p>
    <w:p w14:paraId="04ABF3CA" w14:textId="1E8B9434" w:rsidR="00B946A7" w:rsidRPr="00B946A7" w:rsidRDefault="00153BDF" w:rsidP="009F3CEE">
      <w:pPr>
        <w:ind w:firstLine="720"/>
        <w:rPr>
          <w:rFonts w:cs="Times New Roman"/>
          <w:szCs w:val="26"/>
        </w:rPr>
      </w:pPr>
      <w:r>
        <w:rPr>
          <w:rFonts w:cs="Times New Roman"/>
          <w:szCs w:val="26"/>
        </w:rPr>
        <w:t>“</w:t>
      </w:r>
      <w:r w:rsidR="00B946A7" w:rsidRPr="00B946A7">
        <w:rPr>
          <w:rFonts w:cs="Times New Roman"/>
          <w:szCs w:val="26"/>
        </w:rPr>
        <w:t>(b) The disclosure shall appear as a separate article in the agreement issued to the employer group or individual subscriber and shall be prominently displayed on the enrollment form signed by each subscriber or enrollee.</w:t>
      </w:r>
    </w:p>
    <w:p w14:paraId="06D84D2B" w14:textId="3BAC81F5" w:rsidR="006757C8" w:rsidRDefault="00153BDF" w:rsidP="009F3CEE">
      <w:pPr>
        <w:ind w:firstLine="720"/>
        <w:rPr>
          <w:rFonts w:cs="Times New Roman"/>
          <w:szCs w:val="26"/>
        </w:rPr>
      </w:pPr>
      <w:r>
        <w:rPr>
          <w:rFonts w:cs="Times New Roman"/>
          <w:szCs w:val="26"/>
        </w:rPr>
        <w:t>“</w:t>
      </w:r>
      <w:r w:rsidR="00B946A7" w:rsidRPr="00B946A7">
        <w:rPr>
          <w:rFonts w:cs="Times New Roman"/>
          <w:szCs w:val="26"/>
        </w:rPr>
        <w:t xml:space="preserve">(c) The disclosure shall clearly state whether the subscriber or enrollee is waiving his or her right to a jury trial for medical malpractice, other disputes relating to the delivery of service under the plan, or both, and shall be substantially expressed in the wording provided in subdivision (a) of </w:t>
      </w:r>
      <w:r w:rsidR="00FD21BA">
        <w:rPr>
          <w:rFonts w:cs="Times New Roman"/>
          <w:szCs w:val="26"/>
        </w:rPr>
        <w:t>[s]</w:t>
      </w:r>
      <w:r w:rsidR="00B946A7" w:rsidRPr="00B946A7">
        <w:rPr>
          <w:rFonts w:cs="Times New Roman"/>
          <w:szCs w:val="26"/>
        </w:rPr>
        <w:t>ection 1295 of the Code of Civil Procedure.</w:t>
      </w:r>
    </w:p>
    <w:p w14:paraId="4337251A" w14:textId="5B154826" w:rsidR="00466FFD" w:rsidRDefault="00153BDF" w:rsidP="009F3CEE">
      <w:pPr>
        <w:ind w:firstLine="720"/>
        <w:rPr>
          <w:rFonts w:cs="Times New Roman"/>
          <w:szCs w:val="26"/>
        </w:rPr>
      </w:pPr>
      <w:r>
        <w:rPr>
          <w:rFonts w:cs="Times New Roman"/>
          <w:szCs w:val="26"/>
        </w:rPr>
        <w:t>“</w:t>
      </w:r>
      <w:r w:rsidR="00772D95">
        <w:rPr>
          <w:rFonts w:cs="Times New Roman"/>
          <w:szCs w:val="26"/>
        </w:rPr>
        <w:t xml:space="preserve">(d) </w:t>
      </w:r>
      <w:r w:rsidR="00772D95" w:rsidRPr="00772D95">
        <w:rPr>
          <w:rFonts w:cs="Times New Roman"/>
          <w:szCs w:val="26"/>
        </w:rPr>
        <w:t xml:space="preserve">In any contract or enrollment agreement for a </w:t>
      </w:r>
      <w:r w:rsidR="00772D95" w:rsidRPr="00B946A7">
        <w:rPr>
          <w:rFonts w:cs="Times New Roman"/>
          <w:szCs w:val="26"/>
        </w:rPr>
        <w:t>health care service plan</w:t>
      </w:r>
      <w:r w:rsidR="00772D95" w:rsidRPr="00772D95">
        <w:rPr>
          <w:rFonts w:cs="Times New Roman"/>
          <w:szCs w:val="26"/>
        </w:rPr>
        <w:t>, the disclosure required by this section shall be displayed immediately before the signature line provided for the representative of the group contracting with a health care service plan and immediately before the signature line provided for the individual enrolling in the health care service plan</w:t>
      </w:r>
      <w:r w:rsidR="00772D95">
        <w:rPr>
          <w:rFonts w:cs="Times New Roman"/>
          <w:szCs w:val="26"/>
        </w:rPr>
        <w:t>.”</w:t>
      </w:r>
    </w:p>
    <w:p w14:paraId="1A2F7BE8" w14:textId="2513743A" w:rsidR="0049272A" w:rsidRDefault="009B643A" w:rsidP="009F3CEE">
      <w:pPr>
        <w:ind w:firstLine="720"/>
        <w:rPr>
          <w:rFonts w:cs="Times New Roman"/>
          <w:szCs w:val="26"/>
        </w:rPr>
      </w:pPr>
      <w:r>
        <w:rPr>
          <w:rFonts w:cs="Times New Roman"/>
          <w:szCs w:val="26"/>
        </w:rPr>
        <w:t xml:space="preserve">Dougherty contends the trial court correctly denied USB’s petition because USB violated section 1363.1, subdivision (d).  </w:t>
      </w:r>
      <w:r w:rsidR="00C749A0">
        <w:rPr>
          <w:rFonts w:cs="Times New Roman"/>
          <w:szCs w:val="26"/>
        </w:rPr>
        <w:t>Dougherty argue</w:t>
      </w:r>
      <w:r w:rsidR="000530BB">
        <w:rPr>
          <w:rFonts w:cs="Times New Roman"/>
          <w:szCs w:val="26"/>
        </w:rPr>
        <w:t>d below and argues on appeal that</w:t>
      </w:r>
      <w:r w:rsidR="00C749A0">
        <w:rPr>
          <w:rFonts w:cs="Times New Roman"/>
          <w:szCs w:val="26"/>
        </w:rPr>
        <w:t xml:space="preserve"> </w:t>
      </w:r>
      <w:r w:rsidR="008D53A7">
        <w:rPr>
          <w:rFonts w:cs="Times New Roman"/>
          <w:szCs w:val="26"/>
        </w:rPr>
        <w:t>USB violated this provision because</w:t>
      </w:r>
      <w:r w:rsidR="000E5AE3">
        <w:rPr>
          <w:rFonts w:cs="Times New Roman"/>
          <w:szCs w:val="26"/>
        </w:rPr>
        <w:t xml:space="preserve"> </w:t>
      </w:r>
      <w:r w:rsidR="00F204AE">
        <w:rPr>
          <w:rFonts w:cs="Times New Roman"/>
          <w:szCs w:val="26"/>
        </w:rPr>
        <w:t>the supplement co</w:t>
      </w:r>
      <w:r w:rsidR="002858C7">
        <w:rPr>
          <w:rFonts w:cs="Times New Roman"/>
          <w:szCs w:val="26"/>
        </w:rPr>
        <w:t xml:space="preserve">ntrols her claims against USB and </w:t>
      </w:r>
      <w:r w:rsidR="00673357">
        <w:rPr>
          <w:rFonts w:cs="Times New Roman"/>
          <w:szCs w:val="26"/>
        </w:rPr>
        <w:t xml:space="preserve">USB </w:t>
      </w:r>
      <w:r w:rsidR="00060DA9">
        <w:rPr>
          <w:rFonts w:cs="Times New Roman"/>
          <w:szCs w:val="26"/>
        </w:rPr>
        <w:t>did not</w:t>
      </w:r>
      <w:r w:rsidR="002858C7">
        <w:rPr>
          <w:rFonts w:cs="Times New Roman"/>
          <w:szCs w:val="26"/>
        </w:rPr>
        <w:t xml:space="preserve"> </w:t>
      </w:r>
      <w:r w:rsidR="008D53A7">
        <w:rPr>
          <w:rFonts w:cs="Times New Roman"/>
          <w:szCs w:val="26"/>
        </w:rPr>
        <w:t xml:space="preserve">provide a </w:t>
      </w:r>
      <w:r w:rsidR="00C94BCD">
        <w:rPr>
          <w:rFonts w:cs="Times New Roman"/>
          <w:szCs w:val="26"/>
        </w:rPr>
        <w:t>compliant disclosure on an</w:t>
      </w:r>
      <w:r w:rsidR="008D53A7">
        <w:rPr>
          <w:rFonts w:cs="Times New Roman"/>
          <w:szCs w:val="26"/>
        </w:rPr>
        <w:t xml:space="preserve"> enrollment form</w:t>
      </w:r>
      <w:r w:rsidR="00673357">
        <w:rPr>
          <w:rFonts w:cs="Times New Roman"/>
          <w:szCs w:val="26"/>
        </w:rPr>
        <w:t>, as section 1363.1, subdivision (d) requires</w:t>
      </w:r>
      <w:r w:rsidR="008D53A7">
        <w:rPr>
          <w:rFonts w:cs="Times New Roman"/>
          <w:szCs w:val="26"/>
        </w:rPr>
        <w:t>.</w:t>
      </w:r>
      <w:r w:rsidR="00D03267">
        <w:rPr>
          <w:rFonts w:cs="Times New Roman"/>
          <w:szCs w:val="26"/>
        </w:rPr>
        <w:t xml:space="preserve">  </w:t>
      </w:r>
      <w:r w:rsidR="00060DA9">
        <w:rPr>
          <w:rFonts w:cs="Times New Roman"/>
          <w:szCs w:val="26"/>
        </w:rPr>
        <w:t xml:space="preserve">Thus, Dougherty </w:t>
      </w:r>
      <w:r w:rsidR="00D26A79">
        <w:rPr>
          <w:rFonts w:cs="Times New Roman"/>
          <w:szCs w:val="26"/>
        </w:rPr>
        <w:t>contends</w:t>
      </w:r>
      <w:r w:rsidR="00060DA9">
        <w:rPr>
          <w:rFonts w:cs="Times New Roman"/>
          <w:szCs w:val="26"/>
        </w:rPr>
        <w:t xml:space="preserve"> she cannot be compelled to arbitration.  (</w:t>
      </w:r>
      <w:r w:rsidR="00595792">
        <w:rPr>
          <w:rFonts w:cs="Times New Roman"/>
          <w:i/>
          <w:iCs/>
          <w:szCs w:val="26"/>
        </w:rPr>
        <w:t>Imbler</w:t>
      </w:r>
      <w:r w:rsidR="00FD21BA">
        <w:rPr>
          <w:rFonts w:cs="Times New Roman"/>
          <w:i/>
          <w:iCs/>
          <w:szCs w:val="26"/>
        </w:rPr>
        <w:t xml:space="preserve"> v. PacifiCare of Cal., Inc. </w:t>
      </w:r>
      <w:r w:rsidR="00FD21BA">
        <w:rPr>
          <w:rFonts w:cs="Times New Roman"/>
          <w:szCs w:val="26"/>
        </w:rPr>
        <w:t>(2002)</w:t>
      </w:r>
      <w:r w:rsidR="00595792">
        <w:rPr>
          <w:rFonts w:cs="Times New Roman"/>
          <w:szCs w:val="26"/>
        </w:rPr>
        <w:t xml:space="preserve"> </w:t>
      </w:r>
      <w:r w:rsidR="00004AB5">
        <w:rPr>
          <w:rFonts w:cs="Times New Roman"/>
          <w:szCs w:val="26"/>
        </w:rPr>
        <w:t>103 Cal.App.4th 567.)</w:t>
      </w:r>
      <w:r w:rsidR="00986FFA">
        <w:rPr>
          <w:rFonts w:cs="Times New Roman"/>
          <w:szCs w:val="26"/>
        </w:rPr>
        <w:t xml:space="preserve"> </w:t>
      </w:r>
      <w:r w:rsidR="00466FFD">
        <w:rPr>
          <w:rFonts w:cs="Times New Roman"/>
          <w:szCs w:val="26"/>
        </w:rPr>
        <w:t xml:space="preserve"> </w:t>
      </w:r>
      <w:r w:rsidR="00130B2C">
        <w:rPr>
          <w:rFonts w:cs="Times New Roman"/>
          <w:szCs w:val="26"/>
        </w:rPr>
        <w:t xml:space="preserve">The trial </w:t>
      </w:r>
      <w:r w:rsidR="00130B2C">
        <w:rPr>
          <w:rFonts w:cs="Times New Roman"/>
          <w:szCs w:val="26"/>
        </w:rPr>
        <w:lastRenderedPageBreak/>
        <w:t>court ag</w:t>
      </w:r>
      <w:r w:rsidR="00466FFD">
        <w:rPr>
          <w:rFonts w:cs="Times New Roman"/>
          <w:szCs w:val="26"/>
        </w:rPr>
        <w:t>reed</w:t>
      </w:r>
      <w:r w:rsidR="00CC2DD7">
        <w:rPr>
          <w:rFonts w:cs="Times New Roman"/>
          <w:szCs w:val="26"/>
        </w:rPr>
        <w:t xml:space="preserve"> because </w:t>
      </w:r>
      <w:r w:rsidR="003A70B6">
        <w:rPr>
          <w:rFonts w:cs="Times New Roman"/>
          <w:szCs w:val="26"/>
        </w:rPr>
        <w:t xml:space="preserve">the supplement, the second of the </w:t>
      </w:r>
      <w:r w:rsidR="00355A5D">
        <w:rPr>
          <w:rFonts w:cs="Times New Roman"/>
          <w:szCs w:val="26"/>
        </w:rPr>
        <w:t>“two documents” relevant to the trial court’s analysis, did not contain a disclosure that complied with section 1363.1.</w:t>
      </w:r>
    </w:p>
    <w:p w14:paraId="30D85229" w14:textId="464E3C1E" w:rsidR="002918A9" w:rsidRDefault="002223B8" w:rsidP="009F3CEE">
      <w:pPr>
        <w:ind w:firstLine="720"/>
        <w:rPr>
          <w:rFonts w:cs="Times New Roman"/>
          <w:szCs w:val="26"/>
        </w:rPr>
      </w:pPr>
      <w:r>
        <w:rPr>
          <w:rFonts w:cs="Times New Roman"/>
          <w:szCs w:val="26"/>
        </w:rPr>
        <w:t>USB argues this finding was mistaken</w:t>
      </w:r>
      <w:r w:rsidR="00486325">
        <w:rPr>
          <w:rFonts w:cs="Times New Roman"/>
          <w:szCs w:val="26"/>
        </w:rPr>
        <w:t xml:space="preserve"> for several reasons.</w:t>
      </w:r>
      <w:r>
        <w:rPr>
          <w:rFonts w:cs="Times New Roman"/>
          <w:szCs w:val="26"/>
        </w:rPr>
        <w:t xml:space="preserve"> </w:t>
      </w:r>
      <w:r w:rsidR="00EE3795">
        <w:rPr>
          <w:rFonts w:cs="Times New Roman"/>
          <w:szCs w:val="26"/>
        </w:rPr>
        <w:t xml:space="preserve"> USB </w:t>
      </w:r>
      <w:r w:rsidR="00827036">
        <w:rPr>
          <w:rFonts w:cs="Times New Roman"/>
          <w:szCs w:val="26"/>
        </w:rPr>
        <w:t xml:space="preserve">first </w:t>
      </w:r>
      <w:r w:rsidR="00EE3795">
        <w:rPr>
          <w:rFonts w:cs="Times New Roman"/>
          <w:szCs w:val="26"/>
        </w:rPr>
        <w:t xml:space="preserve">contends the trial court erroneously based its decision on the plan’s EOC and the supplement.  According to USB, the only relevant documents for the purposes of section 1363.1 are the </w:t>
      </w:r>
      <w:r w:rsidR="006960EF">
        <w:rPr>
          <w:rFonts w:cs="Times New Roman"/>
          <w:szCs w:val="26"/>
        </w:rPr>
        <w:t>GSA</w:t>
      </w:r>
      <w:r w:rsidR="00EE3795">
        <w:rPr>
          <w:rFonts w:cs="Times New Roman"/>
          <w:szCs w:val="26"/>
        </w:rPr>
        <w:t xml:space="preserve"> and the enrollment form</w:t>
      </w:r>
      <w:r w:rsidR="00336D37">
        <w:rPr>
          <w:rFonts w:cs="Times New Roman"/>
          <w:szCs w:val="26"/>
        </w:rPr>
        <w:t>.  USB argues this is so</w:t>
      </w:r>
      <w:r w:rsidR="008E3C07">
        <w:rPr>
          <w:rFonts w:cs="Times New Roman"/>
          <w:szCs w:val="26"/>
        </w:rPr>
        <w:t xml:space="preserve"> because </w:t>
      </w:r>
      <w:r w:rsidR="003F22D8">
        <w:rPr>
          <w:rFonts w:cs="Times New Roman"/>
          <w:szCs w:val="26"/>
        </w:rPr>
        <w:t xml:space="preserve">the GSA outlines the terms under which </w:t>
      </w:r>
      <w:r w:rsidR="004C78E8">
        <w:rPr>
          <w:rFonts w:cs="Times New Roman"/>
          <w:szCs w:val="26"/>
        </w:rPr>
        <w:t>UnitedHealthcare health plans, such as Dougherty’s, are offered and administered to</w:t>
      </w:r>
      <w:r w:rsidR="00AC15F3" w:rsidRPr="00AC15F3">
        <w:rPr>
          <w:szCs w:val="26"/>
        </w:rPr>
        <w:t xml:space="preserve"> </w:t>
      </w:r>
      <w:r w:rsidR="00AC15F3">
        <w:rPr>
          <w:szCs w:val="26"/>
        </w:rPr>
        <w:t>CSVE</w:t>
      </w:r>
      <w:r w:rsidR="004F317E">
        <w:rPr>
          <w:szCs w:val="26"/>
        </w:rPr>
        <w:t>B</w:t>
      </w:r>
      <w:r w:rsidR="00AC15F3">
        <w:rPr>
          <w:szCs w:val="26"/>
        </w:rPr>
        <w:t>A</w:t>
      </w:r>
      <w:r w:rsidR="00336D37">
        <w:rPr>
          <w:szCs w:val="26"/>
        </w:rPr>
        <w:t xml:space="preserve"> members</w:t>
      </w:r>
      <w:r w:rsidR="00EF5EA5">
        <w:rPr>
          <w:szCs w:val="26"/>
        </w:rPr>
        <w:t xml:space="preserve"> like</w:t>
      </w:r>
      <w:r w:rsidR="00336D37">
        <w:rPr>
          <w:szCs w:val="26"/>
        </w:rPr>
        <w:t xml:space="preserve"> Dougherty</w:t>
      </w:r>
      <w:r w:rsidR="00EE3795">
        <w:rPr>
          <w:rFonts w:cs="Times New Roman"/>
          <w:szCs w:val="26"/>
        </w:rPr>
        <w:t>.</w:t>
      </w:r>
      <w:r w:rsidR="001A3DF1">
        <w:rPr>
          <w:rFonts w:cs="Times New Roman"/>
          <w:szCs w:val="26"/>
        </w:rPr>
        <w:t xml:space="preserve">  </w:t>
      </w:r>
      <w:r w:rsidR="0058462D">
        <w:rPr>
          <w:rFonts w:cs="Times New Roman"/>
          <w:szCs w:val="26"/>
        </w:rPr>
        <w:t xml:space="preserve">USB </w:t>
      </w:r>
      <w:r w:rsidR="007F443F">
        <w:rPr>
          <w:rFonts w:cs="Times New Roman"/>
          <w:szCs w:val="26"/>
        </w:rPr>
        <w:t xml:space="preserve">in turn argues that </w:t>
      </w:r>
      <w:r w:rsidR="00BC1D21">
        <w:rPr>
          <w:rFonts w:cs="Times New Roman"/>
          <w:szCs w:val="26"/>
        </w:rPr>
        <w:t>Dougherty’s health care service plan is a single</w:t>
      </w:r>
      <w:r w:rsidR="0000037A">
        <w:rPr>
          <w:rFonts w:cs="Times New Roman"/>
          <w:szCs w:val="26"/>
        </w:rPr>
        <w:t xml:space="preserve"> plan with services by UnitedHealthcare and USB “packaged and sold together</w:t>
      </w:r>
      <w:r w:rsidR="00B00ED6">
        <w:rPr>
          <w:rFonts w:cs="Times New Roman"/>
          <w:szCs w:val="26"/>
        </w:rPr>
        <w:t>,” she “enrolled in them together” by completing the enrollment form</w:t>
      </w:r>
      <w:r w:rsidR="00771347">
        <w:rPr>
          <w:rFonts w:cs="Times New Roman"/>
          <w:szCs w:val="26"/>
        </w:rPr>
        <w:t>,</w:t>
      </w:r>
      <w:r w:rsidR="00FB6DD9">
        <w:rPr>
          <w:rFonts w:cs="Times New Roman"/>
          <w:szCs w:val="26"/>
        </w:rPr>
        <w:t xml:space="preserve"> and so she “enrolled in a Plan that included services administered by, among others, </w:t>
      </w:r>
      <w:r w:rsidR="00FB6DD9">
        <w:rPr>
          <w:rFonts w:cs="Times New Roman"/>
          <w:i/>
          <w:iCs/>
          <w:szCs w:val="26"/>
        </w:rPr>
        <w:t>both</w:t>
      </w:r>
      <w:r w:rsidR="00FB6DD9">
        <w:rPr>
          <w:rFonts w:cs="Times New Roman"/>
          <w:szCs w:val="26"/>
        </w:rPr>
        <w:t xml:space="preserve"> [UnitedHealthcare] and [USB]</w:t>
      </w:r>
      <w:r w:rsidR="003C1910">
        <w:rPr>
          <w:rFonts w:cs="Times New Roman"/>
          <w:szCs w:val="26"/>
        </w:rPr>
        <w:t>.</w:t>
      </w:r>
      <w:r w:rsidR="00FB6DD9">
        <w:rPr>
          <w:rFonts w:cs="Times New Roman"/>
          <w:szCs w:val="26"/>
        </w:rPr>
        <w:t>”</w:t>
      </w:r>
      <w:r w:rsidR="003C1910">
        <w:rPr>
          <w:rFonts w:cs="Times New Roman"/>
          <w:szCs w:val="26"/>
        </w:rPr>
        <w:t xml:space="preserve">  Thus, in USB’s view, </w:t>
      </w:r>
      <w:r w:rsidR="00B024A2">
        <w:rPr>
          <w:rFonts w:cs="Times New Roman"/>
          <w:szCs w:val="26"/>
        </w:rPr>
        <w:t xml:space="preserve">the enrollment form’s compliance with section 1363.1 </w:t>
      </w:r>
      <w:r w:rsidR="00F905BF">
        <w:rPr>
          <w:rFonts w:cs="Times New Roman"/>
          <w:szCs w:val="26"/>
        </w:rPr>
        <w:t>was sufficient</w:t>
      </w:r>
      <w:r w:rsidR="00916321">
        <w:rPr>
          <w:rFonts w:cs="Times New Roman"/>
          <w:szCs w:val="26"/>
        </w:rPr>
        <w:t xml:space="preserve">, and there was no need for the supplement to </w:t>
      </w:r>
      <w:r w:rsidR="00EE3923">
        <w:rPr>
          <w:rFonts w:cs="Times New Roman"/>
          <w:szCs w:val="26"/>
        </w:rPr>
        <w:t xml:space="preserve">separately </w:t>
      </w:r>
      <w:r w:rsidR="00916321">
        <w:rPr>
          <w:rFonts w:cs="Times New Roman"/>
          <w:szCs w:val="26"/>
        </w:rPr>
        <w:t>comply with the statute.</w:t>
      </w:r>
      <w:r w:rsidR="002918A9">
        <w:rPr>
          <w:rFonts w:cs="Times New Roman"/>
          <w:szCs w:val="26"/>
        </w:rPr>
        <w:t xml:space="preserve">  </w:t>
      </w:r>
      <w:r w:rsidR="00916321">
        <w:rPr>
          <w:rFonts w:cs="Times New Roman"/>
          <w:szCs w:val="26"/>
        </w:rPr>
        <w:t>We agree.</w:t>
      </w:r>
    </w:p>
    <w:p w14:paraId="2CF09B8C" w14:textId="32FB48FB" w:rsidR="000F631A" w:rsidRDefault="005A0238" w:rsidP="009F3CEE">
      <w:pPr>
        <w:ind w:firstLine="720"/>
        <w:rPr>
          <w:rFonts w:cs="Times New Roman"/>
          <w:szCs w:val="26"/>
        </w:rPr>
      </w:pPr>
      <w:r>
        <w:rPr>
          <w:rFonts w:cs="Times New Roman"/>
          <w:szCs w:val="26"/>
        </w:rPr>
        <w:t>Section 1363.1 provides that “[a]ny health care service plan” that requires arbitration must comply with the disclosure require</w:t>
      </w:r>
      <w:r w:rsidR="00EE3923">
        <w:rPr>
          <w:rFonts w:cs="Times New Roman"/>
          <w:szCs w:val="26"/>
        </w:rPr>
        <w:t>ment</w:t>
      </w:r>
      <w:r>
        <w:rPr>
          <w:rFonts w:cs="Times New Roman"/>
          <w:szCs w:val="26"/>
        </w:rPr>
        <w:t>s outlined in subdivisions (a) through (d).</w:t>
      </w:r>
      <w:r w:rsidR="00F93EF1">
        <w:rPr>
          <w:rFonts w:cs="Times New Roman"/>
          <w:szCs w:val="26"/>
        </w:rPr>
        <w:t xml:space="preserve">  </w:t>
      </w:r>
      <w:r w:rsidR="00982B70">
        <w:rPr>
          <w:rFonts w:cs="Times New Roman"/>
          <w:szCs w:val="26"/>
        </w:rPr>
        <w:t>Thus, by its plain terms,</w:t>
      </w:r>
      <w:r w:rsidR="008E515E">
        <w:rPr>
          <w:rFonts w:cs="Times New Roman"/>
          <w:szCs w:val="26"/>
        </w:rPr>
        <w:t xml:space="preserve"> </w:t>
      </w:r>
      <w:r w:rsidR="003A3A48">
        <w:rPr>
          <w:rFonts w:cs="Times New Roman"/>
          <w:szCs w:val="26"/>
        </w:rPr>
        <w:t>the statute’s</w:t>
      </w:r>
      <w:r w:rsidR="008E515E">
        <w:rPr>
          <w:rFonts w:cs="Times New Roman"/>
          <w:szCs w:val="26"/>
        </w:rPr>
        <w:t xml:space="preserve"> disclosure requirement</w:t>
      </w:r>
      <w:r w:rsidR="003A3A48">
        <w:rPr>
          <w:rFonts w:cs="Times New Roman"/>
          <w:szCs w:val="26"/>
        </w:rPr>
        <w:t>s</w:t>
      </w:r>
      <w:r w:rsidR="008E515E">
        <w:rPr>
          <w:rFonts w:cs="Times New Roman"/>
          <w:szCs w:val="26"/>
        </w:rPr>
        <w:t xml:space="preserve"> appl</w:t>
      </w:r>
      <w:r w:rsidR="003A3A48">
        <w:rPr>
          <w:rFonts w:cs="Times New Roman"/>
          <w:szCs w:val="26"/>
        </w:rPr>
        <w:t>y</w:t>
      </w:r>
      <w:r w:rsidR="00982B70">
        <w:rPr>
          <w:rFonts w:cs="Times New Roman"/>
          <w:szCs w:val="26"/>
        </w:rPr>
        <w:t xml:space="preserve"> only to a “health care service plan.”</w:t>
      </w:r>
    </w:p>
    <w:p w14:paraId="6B02559E" w14:textId="7DDE3BD3" w:rsidR="00916321" w:rsidRDefault="008D7A2C" w:rsidP="009F3CEE">
      <w:pPr>
        <w:ind w:firstLine="720"/>
        <w:rPr>
          <w:rFonts w:cs="Times New Roman"/>
          <w:szCs w:val="26"/>
        </w:rPr>
      </w:pPr>
      <w:r>
        <w:rPr>
          <w:rFonts w:cs="Times New Roman"/>
          <w:szCs w:val="26"/>
        </w:rPr>
        <w:t>Health and Safety Code section 1345</w:t>
      </w:r>
      <w:r w:rsidR="00586DF1">
        <w:rPr>
          <w:rFonts w:cs="Times New Roman"/>
          <w:szCs w:val="26"/>
        </w:rPr>
        <w:t xml:space="preserve"> in turn</w:t>
      </w:r>
      <w:r>
        <w:rPr>
          <w:rFonts w:cs="Times New Roman"/>
          <w:szCs w:val="26"/>
        </w:rPr>
        <w:t xml:space="preserve"> defines “health care service plan” </w:t>
      </w:r>
      <w:r w:rsidR="00FF63DA">
        <w:rPr>
          <w:rFonts w:cs="Times New Roman"/>
          <w:szCs w:val="26"/>
        </w:rPr>
        <w:t xml:space="preserve">in relevant part </w:t>
      </w:r>
      <w:r w:rsidR="000F631A">
        <w:rPr>
          <w:rFonts w:cs="Times New Roman"/>
          <w:szCs w:val="26"/>
        </w:rPr>
        <w:t xml:space="preserve">as “[a]ny person who undertakes to arrange for the provision of health care services </w:t>
      </w:r>
      <w:r w:rsidR="000F631A" w:rsidRPr="004D75EF">
        <w:rPr>
          <w:rFonts w:cs="Times New Roman"/>
          <w:i/>
          <w:iCs/>
          <w:szCs w:val="26"/>
        </w:rPr>
        <w:t>to sub</w:t>
      </w:r>
      <w:r w:rsidR="00B9336F" w:rsidRPr="004D75EF">
        <w:rPr>
          <w:rFonts w:cs="Times New Roman"/>
          <w:i/>
          <w:iCs/>
          <w:szCs w:val="26"/>
        </w:rPr>
        <w:t>scribers or enrolle</w:t>
      </w:r>
      <w:r w:rsidR="00760852" w:rsidRPr="004D75EF">
        <w:rPr>
          <w:rFonts w:cs="Times New Roman"/>
          <w:i/>
          <w:iCs/>
          <w:szCs w:val="26"/>
        </w:rPr>
        <w:t>es</w:t>
      </w:r>
      <w:r w:rsidR="00760852">
        <w:rPr>
          <w:rFonts w:cs="Times New Roman"/>
          <w:szCs w:val="26"/>
        </w:rPr>
        <w:t xml:space="preserve">, or to pay for or to reimburse any part of the cost for </w:t>
      </w:r>
      <w:r w:rsidR="00760852">
        <w:rPr>
          <w:rFonts w:cs="Times New Roman"/>
          <w:szCs w:val="26"/>
        </w:rPr>
        <w:lastRenderedPageBreak/>
        <w:t xml:space="preserve">those services, </w:t>
      </w:r>
      <w:r w:rsidR="00760852" w:rsidRPr="004D75EF">
        <w:rPr>
          <w:rFonts w:cs="Times New Roman"/>
          <w:i/>
          <w:iCs/>
          <w:szCs w:val="26"/>
        </w:rPr>
        <w:t xml:space="preserve">in return </w:t>
      </w:r>
      <w:r w:rsidR="004D75EF" w:rsidRPr="004D75EF">
        <w:rPr>
          <w:rFonts w:cs="Times New Roman"/>
          <w:i/>
          <w:iCs/>
          <w:szCs w:val="26"/>
        </w:rPr>
        <w:t>for</w:t>
      </w:r>
      <w:r w:rsidR="00760852">
        <w:rPr>
          <w:rFonts w:cs="Times New Roman"/>
          <w:szCs w:val="26"/>
        </w:rPr>
        <w:t xml:space="preserve"> a prepaid or periodic charge paid by or </w:t>
      </w:r>
      <w:r w:rsidR="00760852" w:rsidRPr="004D75EF">
        <w:rPr>
          <w:rFonts w:cs="Times New Roman"/>
          <w:i/>
          <w:iCs/>
          <w:szCs w:val="26"/>
        </w:rPr>
        <w:t>on behalf of the subscribers or enrolle</w:t>
      </w:r>
      <w:r w:rsidR="00E633AF" w:rsidRPr="004D75EF">
        <w:rPr>
          <w:rFonts w:cs="Times New Roman"/>
          <w:i/>
          <w:iCs/>
          <w:szCs w:val="26"/>
        </w:rPr>
        <w:t>e</w:t>
      </w:r>
      <w:r w:rsidR="00760852" w:rsidRPr="004D75EF">
        <w:rPr>
          <w:rFonts w:cs="Times New Roman"/>
          <w:i/>
          <w:iCs/>
          <w:szCs w:val="26"/>
        </w:rPr>
        <w:t>s</w:t>
      </w:r>
      <w:r w:rsidR="00760852">
        <w:rPr>
          <w:rFonts w:cs="Times New Roman"/>
          <w:szCs w:val="26"/>
        </w:rPr>
        <w:t>.”  (Health &amp; Saf. Code, § 1345, subd. (f)(1)</w:t>
      </w:r>
      <w:r w:rsidR="004D75EF">
        <w:rPr>
          <w:rFonts w:cs="Times New Roman"/>
          <w:szCs w:val="26"/>
        </w:rPr>
        <w:t>, italics added</w:t>
      </w:r>
      <w:r w:rsidR="00760852">
        <w:rPr>
          <w:rFonts w:cs="Times New Roman"/>
          <w:szCs w:val="26"/>
        </w:rPr>
        <w:t>.)</w:t>
      </w:r>
      <w:r w:rsidR="00760852" w:rsidRPr="00955149">
        <w:rPr>
          <w:rStyle w:val="FootnoteReference"/>
          <w:rFonts w:cs="Times New Roman"/>
          <w:sz w:val="26"/>
          <w:szCs w:val="26"/>
          <w:vertAlign w:val="superscript"/>
        </w:rPr>
        <w:footnoteReference w:id="4"/>
      </w:r>
    </w:p>
    <w:p w14:paraId="3587EFF6" w14:textId="3548E996" w:rsidR="00B427C4" w:rsidRDefault="001D7D7C" w:rsidP="00B427C4">
      <w:pPr>
        <w:ind w:firstLine="720"/>
        <w:rPr>
          <w:rFonts w:cs="Times New Roman"/>
          <w:szCs w:val="26"/>
        </w:rPr>
      </w:pPr>
      <w:r>
        <w:rPr>
          <w:rFonts w:cs="Times New Roman"/>
          <w:szCs w:val="26"/>
        </w:rPr>
        <w:t xml:space="preserve">On this record, this definition could apply only to UnitedHealthcare.  </w:t>
      </w:r>
      <w:r w:rsidR="007B34FC">
        <w:rPr>
          <w:rFonts w:cs="Times New Roman"/>
          <w:szCs w:val="26"/>
        </w:rPr>
        <w:t xml:space="preserve">As USB argued below, the only healthcare plan </w:t>
      </w:r>
      <w:r>
        <w:rPr>
          <w:rFonts w:cs="Times New Roman"/>
          <w:szCs w:val="26"/>
        </w:rPr>
        <w:t xml:space="preserve">Dougherty enrolled in </w:t>
      </w:r>
      <w:r w:rsidR="007B34FC">
        <w:rPr>
          <w:rFonts w:cs="Times New Roman"/>
          <w:szCs w:val="26"/>
        </w:rPr>
        <w:t>was her plan with UnitedHealthcare</w:t>
      </w:r>
      <w:r w:rsidR="00C73C28">
        <w:rPr>
          <w:rFonts w:cs="Times New Roman"/>
          <w:szCs w:val="26"/>
        </w:rPr>
        <w:t xml:space="preserve">, which included mental health </w:t>
      </w:r>
      <w:r w:rsidR="00431C8E">
        <w:rPr>
          <w:rFonts w:cs="Times New Roman"/>
          <w:szCs w:val="26"/>
        </w:rPr>
        <w:t>benefits (as outlined in the supplement)</w:t>
      </w:r>
      <w:r w:rsidR="00FD5857">
        <w:rPr>
          <w:rFonts w:cs="Times New Roman"/>
          <w:szCs w:val="26"/>
        </w:rPr>
        <w:t xml:space="preserve"> and other services (as outlined in the EOC)</w:t>
      </w:r>
      <w:r w:rsidR="007B34FC">
        <w:rPr>
          <w:rFonts w:cs="Times New Roman"/>
          <w:szCs w:val="26"/>
        </w:rPr>
        <w:t xml:space="preserve">.  </w:t>
      </w:r>
      <w:r w:rsidR="00F41302">
        <w:rPr>
          <w:rFonts w:cs="Times New Roman"/>
          <w:szCs w:val="26"/>
        </w:rPr>
        <w:t>Dougherty chose to enroll in the plan instead of a different one offered to her.</w:t>
      </w:r>
      <w:r w:rsidR="00904011">
        <w:rPr>
          <w:rFonts w:cs="Times New Roman"/>
          <w:szCs w:val="26"/>
        </w:rPr>
        <w:t xml:space="preserve">  </w:t>
      </w:r>
      <w:r w:rsidR="0064377C">
        <w:rPr>
          <w:rFonts w:cs="Times New Roman"/>
          <w:szCs w:val="26"/>
        </w:rPr>
        <w:t>Th</w:t>
      </w:r>
      <w:r w:rsidR="004C48D6">
        <w:rPr>
          <w:rFonts w:cs="Times New Roman"/>
          <w:szCs w:val="26"/>
        </w:rPr>
        <w:t>e</w:t>
      </w:r>
      <w:r w:rsidR="00F95EE6">
        <w:rPr>
          <w:rFonts w:cs="Times New Roman"/>
          <w:szCs w:val="26"/>
        </w:rPr>
        <w:t xml:space="preserve"> plan was negotiated with CSV</w:t>
      </w:r>
      <w:r w:rsidR="004F317E">
        <w:rPr>
          <w:rFonts w:cs="Times New Roman"/>
          <w:szCs w:val="26"/>
        </w:rPr>
        <w:t>EBA</w:t>
      </w:r>
      <w:r w:rsidR="00F95EE6">
        <w:rPr>
          <w:rFonts w:cs="Times New Roman"/>
          <w:szCs w:val="26"/>
        </w:rPr>
        <w:t xml:space="preserve"> and offered to Dougherty as an employment benefit</w:t>
      </w:r>
      <w:r w:rsidR="00AB65C1">
        <w:rPr>
          <w:rFonts w:cs="Times New Roman"/>
          <w:szCs w:val="26"/>
        </w:rPr>
        <w:t>.</w:t>
      </w:r>
      <w:r w:rsidR="00D52A22">
        <w:rPr>
          <w:rFonts w:cs="Times New Roman"/>
          <w:szCs w:val="26"/>
        </w:rPr>
        <w:t xml:space="preserve"> </w:t>
      </w:r>
      <w:r w:rsidR="00AB65C1">
        <w:rPr>
          <w:rFonts w:cs="Times New Roman"/>
          <w:szCs w:val="26"/>
        </w:rPr>
        <w:t xml:space="preserve"> Under the plan, CSV</w:t>
      </w:r>
      <w:r w:rsidR="004F317E">
        <w:rPr>
          <w:rFonts w:cs="Times New Roman"/>
          <w:szCs w:val="26"/>
        </w:rPr>
        <w:t>EBA</w:t>
      </w:r>
      <w:r w:rsidR="00AB65C1">
        <w:rPr>
          <w:rFonts w:cs="Times New Roman"/>
          <w:szCs w:val="26"/>
        </w:rPr>
        <w:t xml:space="preserve"> </w:t>
      </w:r>
      <w:r w:rsidR="007A36B0">
        <w:rPr>
          <w:rFonts w:cs="Times New Roman"/>
          <w:szCs w:val="26"/>
        </w:rPr>
        <w:t xml:space="preserve">(the subscriber) </w:t>
      </w:r>
      <w:r w:rsidR="00AB65C1">
        <w:rPr>
          <w:rFonts w:cs="Times New Roman"/>
          <w:szCs w:val="26"/>
        </w:rPr>
        <w:t xml:space="preserve">and/or Dougherty </w:t>
      </w:r>
      <w:r w:rsidR="007A36B0">
        <w:rPr>
          <w:rFonts w:cs="Times New Roman"/>
          <w:szCs w:val="26"/>
        </w:rPr>
        <w:t xml:space="preserve">(the enrollee) </w:t>
      </w:r>
      <w:r w:rsidR="00AB65C1">
        <w:rPr>
          <w:rFonts w:cs="Times New Roman"/>
          <w:szCs w:val="26"/>
        </w:rPr>
        <w:t xml:space="preserve">paid UnitedHealthcare to </w:t>
      </w:r>
      <w:r w:rsidR="003B1A88">
        <w:rPr>
          <w:rFonts w:cs="Times New Roman"/>
          <w:szCs w:val="26"/>
        </w:rPr>
        <w:t>arrange, reimburse, or pay for health care services provided to CSV</w:t>
      </w:r>
      <w:r w:rsidR="004F317E">
        <w:rPr>
          <w:rFonts w:cs="Times New Roman"/>
          <w:szCs w:val="26"/>
        </w:rPr>
        <w:t>EBA</w:t>
      </w:r>
      <w:r w:rsidR="003B1A88">
        <w:rPr>
          <w:rFonts w:cs="Times New Roman"/>
          <w:szCs w:val="26"/>
        </w:rPr>
        <w:t xml:space="preserve"> and/or Dougherty.</w:t>
      </w:r>
      <w:r w:rsidR="00856501">
        <w:rPr>
          <w:rFonts w:cs="Times New Roman"/>
          <w:szCs w:val="26"/>
        </w:rPr>
        <w:t xml:space="preserve">  </w:t>
      </w:r>
    </w:p>
    <w:p w14:paraId="0365A774" w14:textId="79A32304" w:rsidR="002E05BA" w:rsidRPr="00B427C4" w:rsidRDefault="00B427C4" w:rsidP="00B427C4">
      <w:pPr>
        <w:ind w:firstLine="720"/>
        <w:rPr>
          <w:rFonts w:cs="Times New Roman"/>
          <w:szCs w:val="26"/>
        </w:rPr>
      </w:pPr>
      <w:r>
        <w:rPr>
          <w:rFonts w:cs="Times New Roman"/>
          <w:szCs w:val="26"/>
        </w:rPr>
        <w:t xml:space="preserve">In other words, the record shows that Dougherty was an “enrollee” in UnitedHealthcare’s plan, which “arrange[d] for the provision of health care services” to her “in return for a prepaid or periodic charge paid by or on behalf of” Dougherty.  </w:t>
      </w:r>
      <w:r w:rsidR="00856501">
        <w:rPr>
          <w:rFonts w:cs="Times New Roman"/>
          <w:szCs w:val="26"/>
        </w:rPr>
        <w:t>On the other hand, there is no evidence that Dougherty was an “enrollee or subscriber” of USB</w:t>
      </w:r>
      <w:r>
        <w:rPr>
          <w:rFonts w:cs="Times New Roman"/>
          <w:szCs w:val="26"/>
        </w:rPr>
        <w:t>, or that USB “arrange[d] for the provision of health care services” for Dougherty “</w:t>
      </w:r>
      <w:r>
        <w:rPr>
          <w:rFonts w:cs="Times New Roman"/>
          <w:i/>
          <w:iCs/>
          <w:szCs w:val="26"/>
        </w:rPr>
        <w:t xml:space="preserve">in return for </w:t>
      </w:r>
      <w:r>
        <w:rPr>
          <w:rFonts w:cs="Times New Roman"/>
          <w:szCs w:val="26"/>
        </w:rPr>
        <w:t>a prepaid or periodic charge paid</w:t>
      </w:r>
      <w:r w:rsidR="003A1E09">
        <w:rPr>
          <w:rFonts w:cs="Times New Roman"/>
          <w:szCs w:val="26"/>
        </w:rPr>
        <w:t xml:space="preserve"> by or on [her] behalf.”</w:t>
      </w:r>
    </w:p>
    <w:p w14:paraId="24459003" w14:textId="77777777" w:rsidR="00856501" w:rsidRDefault="00182FFB" w:rsidP="009F3CEE">
      <w:pPr>
        <w:ind w:firstLine="720"/>
        <w:rPr>
          <w:rFonts w:cs="Times New Roman"/>
          <w:szCs w:val="26"/>
        </w:rPr>
      </w:pPr>
      <w:r>
        <w:rPr>
          <w:rFonts w:cs="Times New Roman"/>
          <w:szCs w:val="26"/>
        </w:rPr>
        <w:t>Thus, under section 1363.1, the only “health care service plan” at issue</w:t>
      </w:r>
      <w:r w:rsidR="002A6FAD">
        <w:rPr>
          <w:rFonts w:cs="Times New Roman"/>
          <w:szCs w:val="26"/>
        </w:rPr>
        <w:t xml:space="preserve"> that “includes terms that require binding arbitration”</w:t>
      </w:r>
      <w:r>
        <w:rPr>
          <w:rFonts w:cs="Times New Roman"/>
          <w:szCs w:val="26"/>
        </w:rPr>
        <w:t xml:space="preserve"> is Dougherty’s plan</w:t>
      </w:r>
      <w:r w:rsidR="00C36900">
        <w:rPr>
          <w:rFonts w:cs="Times New Roman"/>
          <w:szCs w:val="26"/>
        </w:rPr>
        <w:t xml:space="preserve"> with UnitedHealthcare</w:t>
      </w:r>
      <w:r w:rsidR="00890077">
        <w:rPr>
          <w:rFonts w:cs="Times New Roman"/>
          <w:szCs w:val="26"/>
        </w:rPr>
        <w:t xml:space="preserve">, </w:t>
      </w:r>
      <w:r w:rsidR="002A6FAD">
        <w:rPr>
          <w:rFonts w:cs="Times New Roman"/>
          <w:szCs w:val="26"/>
        </w:rPr>
        <w:t>which includes both the EOC and the supplement</w:t>
      </w:r>
      <w:r w:rsidR="002C1758">
        <w:rPr>
          <w:rFonts w:cs="Times New Roman"/>
          <w:szCs w:val="26"/>
        </w:rPr>
        <w:t xml:space="preserve"> as </w:t>
      </w:r>
      <w:r w:rsidR="00436FBC">
        <w:rPr>
          <w:rFonts w:cs="Times New Roman"/>
          <w:szCs w:val="26"/>
        </w:rPr>
        <w:t xml:space="preserve">components of </w:t>
      </w:r>
      <w:r w:rsidR="00436FBC">
        <w:rPr>
          <w:rFonts w:cs="Times New Roman"/>
          <w:szCs w:val="26"/>
        </w:rPr>
        <w:lastRenderedPageBreak/>
        <w:t>the plan</w:t>
      </w:r>
      <w:r w:rsidR="00C36900">
        <w:rPr>
          <w:rFonts w:cs="Times New Roman"/>
          <w:szCs w:val="26"/>
        </w:rPr>
        <w:t xml:space="preserve">.  </w:t>
      </w:r>
      <w:r w:rsidR="00137075">
        <w:rPr>
          <w:rFonts w:cs="Times New Roman"/>
          <w:szCs w:val="26"/>
        </w:rPr>
        <w:t>Dougherty</w:t>
      </w:r>
      <w:r w:rsidR="00D42505">
        <w:rPr>
          <w:rFonts w:cs="Times New Roman"/>
          <w:szCs w:val="26"/>
        </w:rPr>
        <w:t xml:space="preserve"> agreed to the plan by signing the enrollment form, which is an </w:t>
      </w:r>
      <w:r w:rsidR="0011247E">
        <w:rPr>
          <w:rFonts w:cs="Times New Roman"/>
          <w:szCs w:val="26"/>
        </w:rPr>
        <w:t>“</w:t>
      </w:r>
      <w:r w:rsidR="00D42505">
        <w:rPr>
          <w:rFonts w:cs="Times New Roman"/>
          <w:szCs w:val="26"/>
        </w:rPr>
        <w:t>enrollment agreement for a health care service plan</w:t>
      </w:r>
      <w:r w:rsidR="00545E6A">
        <w:rPr>
          <w:rFonts w:cs="Times New Roman"/>
          <w:szCs w:val="26"/>
        </w:rPr>
        <w:t>.</w:t>
      </w:r>
      <w:r w:rsidR="00A67EA8">
        <w:rPr>
          <w:rFonts w:cs="Times New Roman"/>
          <w:szCs w:val="26"/>
        </w:rPr>
        <w:t>”  (§ 1363.1, subd. (d).)</w:t>
      </w:r>
      <w:r w:rsidR="00856501">
        <w:rPr>
          <w:rFonts w:cs="Times New Roman"/>
          <w:szCs w:val="26"/>
        </w:rPr>
        <w:t xml:space="preserve">  </w:t>
      </w:r>
    </w:p>
    <w:p w14:paraId="47A95919" w14:textId="0BDCF981" w:rsidR="002476CD" w:rsidRDefault="00856501" w:rsidP="009F3CEE">
      <w:pPr>
        <w:ind w:firstLine="720"/>
        <w:rPr>
          <w:rFonts w:cs="Times New Roman"/>
          <w:szCs w:val="26"/>
        </w:rPr>
      </w:pPr>
      <w:r>
        <w:rPr>
          <w:rFonts w:cs="Times New Roman"/>
          <w:szCs w:val="26"/>
        </w:rPr>
        <w:t xml:space="preserve">In our view, this is dispositive.  Section 1363.1 applies only to “health care service plans,” and Dougherty’s plan with UnitedHealthcare is the only “health care service plan.”  </w:t>
      </w:r>
      <w:r w:rsidR="003A1E09">
        <w:rPr>
          <w:rFonts w:cs="Times New Roman"/>
          <w:szCs w:val="26"/>
        </w:rPr>
        <w:t>Section 1363.1, subdivision (d) thus applied only to UnitedHealthcare’s “contract or enrollment agreement</w:t>
      </w:r>
      <w:r w:rsidR="000227C0">
        <w:rPr>
          <w:rFonts w:cs="Times New Roman"/>
          <w:szCs w:val="26"/>
        </w:rPr>
        <w:t>.</w:t>
      </w:r>
    </w:p>
    <w:p w14:paraId="632D11DC" w14:textId="4935F2D0" w:rsidR="00E838F7" w:rsidRDefault="00E838F7" w:rsidP="009F3CEE">
      <w:pPr>
        <w:ind w:firstLine="720"/>
        <w:rPr>
          <w:rFonts w:cs="Times New Roman"/>
          <w:szCs w:val="26"/>
        </w:rPr>
      </w:pPr>
      <w:r>
        <w:rPr>
          <w:rFonts w:cs="Times New Roman"/>
          <w:szCs w:val="26"/>
        </w:rPr>
        <w:t xml:space="preserve">Dougherty argues at length </w:t>
      </w:r>
      <w:r w:rsidR="00EE3923">
        <w:rPr>
          <w:rFonts w:cs="Times New Roman"/>
          <w:szCs w:val="26"/>
        </w:rPr>
        <w:t xml:space="preserve">as to </w:t>
      </w:r>
      <w:r>
        <w:rPr>
          <w:rFonts w:cs="Times New Roman"/>
          <w:szCs w:val="26"/>
        </w:rPr>
        <w:t>why the enrollment form</w:t>
      </w:r>
      <w:r w:rsidR="003822DA">
        <w:rPr>
          <w:rFonts w:cs="Times New Roman"/>
          <w:szCs w:val="26"/>
        </w:rPr>
        <w:t xml:space="preserve">’s substance violated section 1363.1.  In particular, Dougherty </w:t>
      </w:r>
      <w:r w:rsidR="00A113C8">
        <w:rPr>
          <w:rFonts w:cs="Times New Roman"/>
          <w:szCs w:val="26"/>
        </w:rPr>
        <w:t xml:space="preserve">contends the form is vague as to whether </w:t>
      </w:r>
      <w:r w:rsidR="003F75C0">
        <w:rPr>
          <w:rFonts w:cs="Times New Roman"/>
          <w:szCs w:val="26"/>
        </w:rPr>
        <w:t xml:space="preserve">and which </w:t>
      </w:r>
      <w:r w:rsidR="00331F57">
        <w:rPr>
          <w:rFonts w:cs="Times New Roman"/>
          <w:szCs w:val="26"/>
        </w:rPr>
        <w:t xml:space="preserve">claims against USB </w:t>
      </w:r>
      <w:r w:rsidR="003F75C0">
        <w:rPr>
          <w:rFonts w:cs="Times New Roman"/>
          <w:szCs w:val="26"/>
        </w:rPr>
        <w:t>would be covered by the arbitration agreement.</w:t>
      </w:r>
    </w:p>
    <w:p w14:paraId="7C048BFE" w14:textId="35B0EECE" w:rsidR="00F10A84" w:rsidRDefault="009D320A" w:rsidP="009F3CEE">
      <w:pPr>
        <w:ind w:firstLine="720"/>
        <w:rPr>
          <w:rFonts w:cs="Times New Roman"/>
          <w:szCs w:val="26"/>
        </w:rPr>
      </w:pPr>
      <w:r>
        <w:rPr>
          <w:rFonts w:cs="Times New Roman"/>
          <w:szCs w:val="26"/>
        </w:rPr>
        <w:t>However, i</w:t>
      </w:r>
      <w:r w:rsidR="00533D2B">
        <w:rPr>
          <w:rFonts w:cs="Times New Roman"/>
          <w:szCs w:val="26"/>
        </w:rPr>
        <w:t>n the trial court and on appeal, Dougherty identified subdivision (d) of section 1363.1 as the only provision of</w:t>
      </w:r>
      <w:r w:rsidR="002F47F7">
        <w:rPr>
          <w:rFonts w:cs="Times New Roman"/>
          <w:szCs w:val="26"/>
        </w:rPr>
        <w:t xml:space="preserve"> the statute that USB allegedly violated.  </w:t>
      </w:r>
      <w:r>
        <w:rPr>
          <w:rFonts w:cs="Times New Roman"/>
          <w:szCs w:val="26"/>
        </w:rPr>
        <w:t xml:space="preserve">That provision relates only to </w:t>
      </w:r>
      <w:r w:rsidRPr="001C4691">
        <w:rPr>
          <w:rFonts w:cs="Times New Roman"/>
          <w:i/>
          <w:iCs/>
          <w:szCs w:val="26"/>
        </w:rPr>
        <w:t>where</w:t>
      </w:r>
      <w:r>
        <w:rPr>
          <w:rFonts w:cs="Times New Roman"/>
          <w:szCs w:val="26"/>
        </w:rPr>
        <w:t xml:space="preserve"> </w:t>
      </w:r>
      <w:r w:rsidR="001C4691">
        <w:rPr>
          <w:rFonts w:cs="Times New Roman"/>
          <w:szCs w:val="26"/>
        </w:rPr>
        <w:t>the “disclosure required by</w:t>
      </w:r>
      <w:r w:rsidR="00267B0D">
        <w:rPr>
          <w:rFonts w:cs="Times New Roman"/>
          <w:szCs w:val="26"/>
        </w:rPr>
        <w:t>”</w:t>
      </w:r>
      <w:r w:rsidR="001C4691">
        <w:rPr>
          <w:rFonts w:cs="Times New Roman"/>
          <w:szCs w:val="26"/>
        </w:rPr>
        <w:t xml:space="preserve"> section 1363.1</w:t>
      </w:r>
      <w:r w:rsidR="00267B0D">
        <w:rPr>
          <w:rFonts w:cs="Times New Roman"/>
          <w:szCs w:val="26"/>
        </w:rPr>
        <w:t xml:space="preserve">, subdivisions (a) through (c) </w:t>
      </w:r>
      <w:r w:rsidR="001C4691">
        <w:rPr>
          <w:rFonts w:cs="Times New Roman"/>
          <w:szCs w:val="26"/>
        </w:rPr>
        <w:t>must be displayed</w:t>
      </w:r>
      <w:r w:rsidR="00F10A84">
        <w:rPr>
          <w:rFonts w:cs="Times New Roman"/>
          <w:szCs w:val="26"/>
        </w:rPr>
        <w:t>—“</w:t>
      </w:r>
      <w:r w:rsidR="00F10A84" w:rsidRPr="00F10A84">
        <w:rPr>
          <w:rFonts w:cs="Times New Roman"/>
          <w:szCs w:val="26"/>
        </w:rPr>
        <w:t>immediately before the signature line provided for the individual enrolling in the health care service plan</w:t>
      </w:r>
      <w:r w:rsidR="00F10A84">
        <w:rPr>
          <w:rFonts w:cs="Times New Roman"/>
          <w:szCs w:val="26"/>
        </w:rPr>
        <w:t>.”  There is no dispute the enrollment form complied with this directive.</w:t>
      </w:r>
      <w:r w:rsidR="00E556B3">
        <w:rPr>
          <w:rFonts w:cs="Times New Roman"/>
          <w:szCs w:val="26"/>
        </w:rPr>
        <w:t xml:space="preserve">  </w:t>
      </w:r>
      <w:r w:rsidR="00762CAB">
        <w:rPr>
          <w:rFonts w:cs="Times New Roman"/>
          <w:szCs w:val="26"/>
        </w:rPr>
        <w:t xml:space="preserve">And </w:t>
      </w:r>
      <w:r w:rsidR="00816CA8">
        <w:rPr>
          <w:rFonts w:cs="Times New Roman"/>
          <w:szCs w:val="26"/>
        </w:rPr>
        <w:t xml:space="preserve">Dougherty </w:t>
      </w:r>
      <w:r w:rsidR="00E556B3">
        <w:rPr>
          <w:rFonts w:cs="Times New Roman"/>
          <w:szCs w:val="26"/>
        </w:rPr>
        <w:t>makes no attempt</w:t>
      </w:r>
      <w:r w:rsidR="00816CA8">
        <w:rPr>
          <w:rFonts w:cs="Times New Roman"/>
          <w:szCs w:val="26"/>
        </w:rPr>
        <w:t xml:space="preserve"> </w:t>
      </w:r>
      <w:r w:rsidR="006212E9">
        <w:rPr>
          <w:rFonts w:cs="Times New Roman"/>
          <w:szCs w:val="26"/>
        </w:rPr>
        <w:t xml:space="preserve">to </w:t>
      </w:r>
      <w:r w:rsidR="000D6F98">
        <w:rPr>
          <w:rFonts w:cs="Times New Roman"/>
          <w:szCs w:val="26"/>
        </w:rPr>
        <w:t>show that the enrollment form</w:t>
      </w:r>
      <w:r w:rsidR="0020299D">
        <w:rPr>
          <w:rFonts w:cs="Times New Roman"/>
          <w:szCs w:val="26"/>
        </w:rPr>
        <w:t xml:space="preserve">’s disclosures </w:t>
      </w:r>
      <w:r w:rsidR="00C41C56">
        <w:rPr>
          <w:rFonts w:cs="Times New Roman"/>
          <w:szCs w:val="26"/>
        </w:rPr>
        <w:t xml:space="preserve">somehow </w:t>
      </w:r>
      <w:r w:rsidR="000D6F98">
        <w:rPr>
          <w:rFonts w:cs="Times New Roman"/>
          <w:szCs w:val="26"/>
        </w:rPr>
        <w:t>violated section 1363.1, subdivision (a), (b), or (c)</w:t>
      </w:r>
      <w:r w:rsidR="0020299D">
        <w:rPr>
          <w:rFonts w:cs="Times New Roman"/>
          <w:szCs w:val="26"/>
        </w:rPr>
        <w:t>.</w:t>
      </w:r>
    </w:p>
    <w:p w14:paraId="227A739B" w14:textId="3A6A5757" w:rsidR="00661D6A" w:rsidRDefault="00B26AF9" w:rsidP="009F3CEE">
      <w:pPr>
        <w:ind w:firstLine="720"/>
        <w:rPr>
          <w:rFonts w:cs="Times New Roman"/>
          <w:szCs w:val="26"/>
        </w:rPr>
      </w:pPr>
      <w:r>
        <w:rPr>
          <w:rFonts w:cs="Times New Roman"/>
          <w:szCs w:val="26"/>
        </w:rPr>
        <w:t>As a result,</w:t>
      </w:r>
      <w:r w:rsidR="00A405A6">
        <w:rPr>
          <w:rFonts w:cs="Times New Roman"/>
          <w:szCs w:val="26"/>
        </w:rPr>
        <w:t xml:space="preserve"> we conclude</w:t>
      </w:r>
      <w:r>
        <w:rPr>
          <w:rFonts w:cs="Times New Roman"/>
          <w:szCs w:val="26"/>
        </w:rPr>
        <w:t xml:space="preserve"> there was no section 1363.1 violation.  The trial court </w:t>
      </w:r>
      <w:r w:rsidR="00661D6A">
        <w:rPr>
          <w:rFonts w:cs="Times New Roman"/>
          <w:szCs w:val="26"/>
        </w:rPr>
        <w:t>erred in finding otherwise and denying USB’s petition to compel arbitration on that basis.  We therefore reverse its order denying the petition</w:t>
      </w:r>
      <w:r w:rsidR="00F2117F">
        <w:rPr>
          <w:rFonts w:cs="Times New Roman"/>
          <w:szCs w:val="26"/>
        </w:rPr>
        <w:t xml:space="preserve"> and need not decide whether the FAA preempts section 1363.1</w:t>
      </w:r>
      <w:r w:rsidR="00600504">
        <w:rPr>
          <w:rFonts w:cs="Times New Roman"/>
          <w:szCs w:val="26"/>
        </w:rPr>
        <w:t>, as USB contends</w:t>
      </w:r>
      <w:r w:rsidR="00661D6A">
        <w:rPr>
          <w:rFonts w:cs="Times New Roman"/>
          <w:szCs w:val="26"/>
        </w:rPr>
        <w:t>.</w:t>
      </w:r>
    </w:p>
    <w:p w14:paraId="5B99CC73" w14:textId="5159304D" w:rsidR="00182FFB" w:rsidRDefault="00661D6A" w:rsidP="009F3CEE">
      <w:pPr>
        <w:keepNext/>
        <w:keepLines/>
        <w:jc w:val="center"/>
        <w:rPr>
          <w:rFonts w:cs="Times New Roman"/>
          <w:szCs w:val="26"/>
        </w:rPr>
      </w:pPr>
      <w:r>
        <w:rPr>
          <w:rFonts w:cs="Times New Roman"/>
          <w:szCs w:val="26"/>
        </w:rPr>
        <w:lastRenderedPageBreak/>
        <w:t>IV.</w:t>
      </w:r>
    </w:p>
    <w:p w14:paraId="659EDA67" w14:textId="1A42A237" w:rsidR="00661D6A" w:rsidRDefault="00661D6A" w:rsidP="009F3CEE">
      <w:pPr>
        <w:keepNext/>
        <w:keepLines/>
        <w:jc w:val="center"/>
        <w:rPr>
          <w:rFonts w:cs="Times New Roman"/>
          <w:szCs w:val="26"/>
        </w:rPr>
      </w:pPr>
      <w:r>
        <w:rPr>
          <w:rFonts w:cs="Times New Roman"/>
          <w:szCs w:val="26"/>
        </w:rPr>
        <w:t>DISPOSITION</w:t>
      </w:r>
    </w:p>
    <w:p w14:paraId="0955C996" w14:textId="54B5DF2D" w:rsidR="00661D6A" w:rsidRDefault="00661D6A" w:rsidP="009F3CEE">
      <w:pPr>
        <w:keepNext/>
        <w:keepLines/>
        <w:rPr>
          <w:rFonts w:cs="Times New Roman"/>
          <w:szCs w:val="26"/>
        </w:rPr>
      </w:pPr>
      <w:r>
        <w:rPr>
          <w:rFonts w:cs="Times New Roman"/>
          <w:szCs w:val="26"/>
        </w:rPr>
        <w:tab/>
        <w:t>The trial court’s order denying USB’s petition to compel arbitration is reversed.  USB may recover its costs on appeal.</w:t>
      </w:r>
    </w:p>
    <w:p w14:paraId="44EEF18B" w14:textId="6E0D2CE8" w:rsidR="006212E9" w:rsidRDefault="006212E9" w:rsidP="009F3CEE">
      <w:r>
        <w:tab/>
      </w:r>
      <w:r w:rsidR="00856501">
        <w:t>CERTIFIED FOR PUBLICATION</w:t>
      </w:r>
    </w:p>
    <w:p w14:paraId="05B0C9A3" w14:textId="66FD4D65" w:rsidR="00E11441" w:rsidRDefault="00E11441" w:rsidP="00E11441">
      <w:pPr>
        <w:spacing w:line="480" w:lineRule="auto"/>
      </w:pPr>
    </w:p>
    <w:p w14:paraId="6A34155B" w14:textId="77777777" w:rsidR="00E11441" w:rsidRDefault="00E11441" w:rsidP="00C00AB8">
      <w:pPr>
        <w:pStyle w:val="SigPage1"/>
        <w:jc w:val="right"/>
        <w:rPr>
          <w:rFonts w:ascii="Times New Roman" w:hAnsi="Times New Roman"/>
          <w:sz w:val="26"/>
        </w:rPr>
      </w:pPr>
      <w:r>
        <w:rPr>
          <w:rFonts w:ascii="Times New Roman" w:hAnsi="Times New Roman"/>
          <w:sz w:val="26"/>
          <w:u w:val="single"/>
        </w:rPr>
        <w:t>CODRINGTON</w:t>
      </w:r>
      <w:r>
        <w:rPr>
          <w:rFonts w:ascii="Times New Roman" w:hAnsi="Times New Roman"/>
          <w:sz w:val="26"/>
          <w:u w:val="single"/>
        </w:rPr>
        <w:tab/>
      </w:r>
    </w:p>
    <w:p w14:paraId="6B24252A" w14:textId="77777777" w:rsidR="00E11441" w:rsidRDefault="00E11441" w:rsidP="00C00AB8">
      <w:pPr>
        <w:pStyle w:val="SigPage1"/>
        <w:jc w:val="right"/>
        <w:rPr>
          <w:rFonts w:ascii="Times New Roman" w:hAnsi="Times New Roman"/>
          <w:sz w:val="26"/>
        </w:rPr>
      </w:pPr>
      <w:r>
        <w:rPr>
          <w:rFonts w:ascii="Times New Roman" w:hAnsi="Times New Roman"/>
          <w:sz w:val="26"/>
        </w:rPr>
        <w:tab/>
        <w:t>J.</w:t>
      </w:r>
    </w:p>
    <w:p w14:paraId="64B2A5AE" w14:textId="77777777" w:rsidR="00E11441" w:rsidRDefault="00E11441" w:rsidP="00C00AB8">
      <w:pPr>
        <w:pStyle w:val="SigPage2"/>
        <w:rPr>
          <w:rFonts w:ascii="Times New Roman" w:hAnsi="Times New Roman"/>
          <w:sz w:val="26"/>
        </w:rPr>
      </w:pPr>
    </w:p>
    <w:p w14:paraId="348AF3EE" w14:textId="77777777" w:rsidR="00E11441" w:rsidRDefault="00E11441" w:rsidP="00C00AB8">
      <w:pPr>
        <w:pStyle w:val="SigPage2"/>
        <w:rPr>
          <w:rFonts w:ascii="Times New Roman" w:hAnsi="Times New Roman"/>
          <w:sz w:val="26"/>
        </w:rPr>
      </w:pPr>
      <w:r>
        <w:rPr>
          <w:rFonts w:ascii="Times New Roman" w:hAnsi="Times New Roman"/>
          <w:sz w:val="26"/>
        </w:rPr>
        <w:t>We concur:</w:t>
      </w:r>
    </w:p>
    <w:p w14:paraId="51BCC4A1" w14:textId="77777777" w:rsidR="00E11441" w:rsidRDefault="00E11441" w:rsidP="00C00AB8">
      <w:pPr>
        <w:pStyle w:val="SigPage2"/>
        <w:rPr>
          <w:rFonts w:ascii="Times New Roman" w:hAnsi="Times New Roman"/>
          <w:sz w:val="26"/>
        </w:rPr>
      </w:pPr>
    </w:p>
    <w:p w14:paraId="51D04627" w14:textId="77777777" w:rsidR="00E11441" w:rsidRDefault="00E11441" w:rsidP="00C00AB8">
      <w:pPr>
        <w:pStyle w:val="SigPage2"/>
        <w:rPr>
          <w:rFonts w:ascii="Times New Roman" w:hAnsi="Times New Roman"/>
          <w:sz w:val="26"/>
        </w:rPr>
      </w:pPr>
    </w:p>
    <w:p w14:paraId="3E203510" w14:textId="1199A080" w:rsidR="00E11441" w:rsidRDefault="00E11441" w:rsidP="00C00AB8">
      <w:pPr>
        <w:pStyle w:val="SigPage2"/>
        <w:rPr>
          <w:rFonts w:ascii="Times New Roman" w:hAnsi="Times New Roman"/>
          <w:sz w:val="26"/>
        </w:rPr>
      </w:pPr>
      <w:r>
        <w:rPr>
          <w:rFonts w:ascii="Times New Roman" w:hAnsi="Times New Roman"/>
          <w:sz w:val="26"/>
          <w:u w:val="single"/>
        </w:rPr>
        <w:t>MILLER</w:t>
      </w:r>
      <w:r>
        <w:rPr>
          <w:rFonts w:ascii="Times New Roman" w:hAnsi="Times New Roman"/>
          <w:sz w:val="26"/>
          <w:u w:val="single"/>
        </w:rPr>
        <w:tab/>
      </w:r>
    </w:p>
    <w:p w14:paraId="74A07A0E" w14:textId="6D1BCBC2" w:rsidR="00E11441" w:rsidRDefault="00E11441" w:rsidP="00C00AB8">
      <w:pPr>
        <w:pStyle w:val="SigPage2"/>
        <w:rPr>
          <w:rFonts w:ascii="Times New Roman" w:hAnsi="Times New Roman"/>
          <w:sz w:val="26"/>
        </w:rPr>
      </w:pPr>
      <w:r>
        <w:rPr>
          <w:rFonts w:ascii="Times New Roman" w:hAnsi="Times New Roman"/>
          <w:sz w:val="26"/>
        </w:rPr>
        <w:tab/>
        <w:t>Acting P. J.</w:t>
      </w:r>
    </w:p>
    <w:p w14:paraId="4B7763B8" w14:textId="77777777" w:rsidR="00E11441" w:rsidRDefault="00E11441" w:rsidP="00C00AB8">
      <w:pPr>
        <w:pStyle w:val="SigPage2"/>
        <w:rPr>
          <w:rFonts w:ascii="Times New Roman" w:hAnsi="Times New Roman"/>
          <w:sz w:val="26"/>
          <w:u w:val="single"/>
        </w:rPr>
      </w:pPr>
    </w:p>
    <w:p w14:paraId="3E3974C4" w14:textId="77777777" w:rsidR="00E11441" w:rsidRDefault="00E11441" w:rsidP="00C00AB8">
      <w:pPr>
        <w:pStyle w:val="SigPage2"/>
        <w:rPr>
          <w:rFonts w:ascii="Times New Roman" w:hAnsi="Times New Roman"/>
          <w:sz w:val="26"/>
          <w:u w:val="single"/>
        </w:rPr>
      </w:pPr>
    </w:p>
    <w:p w14:paraId="3D4164C3" w14:textId="586E7697" w:rsidR="00E11441" w:rsidRDefault="00E11441" w:rsidP="00C00AB8">
      <w:pPr>
        <w:pStyle w:val="SigPage2"/>
        <w:rPr>
          <w:rFonts w:ascii="Times New Roman" w:hAnsi="Times New Roman"/>
          <w:sz w:val="26"/>
        </w:rPr>
      </w:pPr>
      <w:r>
        <w:rPr>
          <w:rFonts w:ascii="Times New Roman" w:hAnsi="Times New Roman"/>
          <w:sz w:val="26"/>
          <w:u w:val="single"/>
        </w:rPr>
        <w:t>FIELDS</w:t>
      </w:r>
      <w:r>
        <w:rPr>
          <w:rFonts w:ascii="Times New Roman" w:hAnsi="Times New Roman"/>
          <w:sz w:val="26"/>
          <w:u w:val="single"/>
        </w:rPr>
        <w:tab/>
      </w:r>
    </w:p>
    <w:p w14:paraId="08766605" w14:textId="20C86669" w:rsidR="00E11441" w:rsidRDefault="00E11441" w:rsidP="00E11441">
      <w:pPr>
        <w:pStyle w:val="SigPage2"/>
      </w:pPr>
      <w:r>
        <w:rPr>
          <w:rFonts w:ascii="Times New Roman" w:hAnsi="Times New Roman"/>
          <w:sz w:val="26"/>
        </w:rPr>
        <w:tab/>
        <w:t>J.</w:t>
      </w:r>
    </w:p>
    <w:sectPr w:rsidR="00E11441" w:rsidSect="006453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625D7A" w14:textId="77777777" w:rsidR="00D705BB" w:rsidRDefault="00D705BB" w:rsidP="00363562">
      <w:pPr>
        <w:spacing w:line="240" w:lineRule="auto"/>
      </w:pPr>
      <w:r>
        <w:separator/>
      </w:r>
    </w:p>
  </w:endnote>
  <w:endnote w:type="continuationSeparator" w:id="0">
    <w:p w14:paraId="21FB3FE6" w14:textId="77777777" w:rsidR="00D705BB" w:rsidRDefault="00D705BB" w:rsidP="003635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EFAFB" w14:textId="53CBE579" w:rsidR="006212E9" w:rsidRDefault="006212E9" w:rsidP="009005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54B23">
      <w:rPr>
        <w:rStyle w:val="PageNumber"/>
        <w:noProof/>
      </w:rPr>
      <w:t>1</w:t>
    </w:r>
    <w:r>
      <w:rPr>
        <w:rStyle w:val="PageNumber"/>
      </w:rPr>
      <w:fldChar w:fldCharType="end"/>
    </w:r>
  </w:p>
  <w:p w14:paraId="46DCA424" w14:textId="77777777" w:rsidR="006212E9" w:rsidRDefault="00621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2513531"/>
      <w:docPartObj>
        <w:docPartGallery w:val="Page Numbers (Bottom of Page)"/>
        <w:docPartUnique/>
      </w:docPartObj>
    </w:sdtPr>
    <w:sdtEndPr>
      <w:rPr>
        <w:noProof/>
      </w:rPr>
    </w:sdtEndPr>
    <w:sdtContent>
      <w:p w14:paraId="5061F3D5" w14:textId="3D8234ED" w:rsidR="00D8231C" w:rsidRPr="00C54B23" w:rsidRDefault="00C54B23" w:rsidP="00C54B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F2D35" w14:textId="7C560A2A" w:rsidR="00841360" w:rsidRDefault="00841360" w:rsidP="00841360">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7F9597" w14:textId="77777777" w:rsidR="00D705BB" w:rsidRDefault="00D705BB" w:rsidP="00363562">
      <w:pPr>
        <w:spacing w:line="240" w:lineRule="auto"/>
      </w:pPr>
      <w:r>
        <w:separator/>
      </w:r>
    </w:p>
  </w:footnote>
  <w:footnote w:type="continuationSeparator" w:id="0">
    <w:p w14:paraId="24A95B7E" w14:textId="77777777" w:rsidR="00D705BB" w:rsidRDefault="00D705BB" w:rsidP="00363562">
      <w:pPr>
        <w:spacing w:line="240" w:lineRule="auto"/>
      </w:pPr>
      <w:r>
        <w:continuationSeparator/>
      </w:r>
    </w:p>
    <w:p w14:paraId="1027BF4D" w14:textId="77777777" w:rsidR="00D705BB" w:rsidRPr="006212E9" w:rsidRDefault="00D705BB" w:rsidP="00363562">
      <w:pPr>
        <w:spacing w:line="240" w:lineRule="auto"/>
        <w:rPr>
          <w:rFonts w:cs="Times New Roman"/>
          <w:i/>
          <w:sz w:val="20"/>
        </w:rPr>
      </w:pPr>
      <w:r>
        <w:rPr>
          <w:rFonts w:cs="Times New Roman"/>
          <w:i/>
          <w:sz w:val="20"/>
        </w:rPr>
        <w:t>[footnote continued from previous page]</w:t>
      </w:r>
    </w:p>
    <w:p w14:paraId="5FE2AE3C" w14:textId="77777777" w:rsidR="00D705BB" w:rsidRPr="006212E9" w:rsidRDefault="00D705BB" w:rsidP="00363562">
      <w:pPr>
        <w:spacing w:line="240" w:lineRule="auto"/>
        <w:rPr>
          <w:rFonts w:cs="Times New Roman"/>
          <w:i/>
          <w:sz w:val="20"/>
        </w:rPr>
      </w:pPr>
      <w:r>
        <w:rPr>
          <w:rFonts w:cs="Times New Roman"/>
          <w:i/>
          <w:sz w:val="20"/>
        </w:rPr>
        <w:t>[footnote continued from previous page]</w:t>
      </w:r>
    </w:p>
  </w:footnote>
  <w:footnote w:type="continuationNotice" w:id="1">
    <w:p w14:paraId="26A28A0D" w14:textId="77777777" w:rsidR="00D705BB" w:rsidRPr="006212E9" w:rsidRDefault="00D705BB" w:rsidP="006212E9">
      <w:pPr>
        <w:pStyle w:val="Footer"/>
        <w:jc w:val="right"/>
        <w:rPr>
          <w:rFonts w:cs="Times New Roman"/>
          <w:i/>
          <w:sz w:val="20"/>
        </w:rPr>
      </w:pPr>
      <w:r>
        <w:rPr>
          <w:rFonts w:cs="Times New Roman"/>
          <w:i/>
          <w:sz w:val="20"/>
        </w:rPr>
        <w:t>[footnote continued on next page]</w:t>
      </w:r>
    </w:p>
  </w:footnote>
  <w:footnote w:id="2">
    <w:p w14:paraId="2E86A0C2" w14:textId="7BF3F614" w:rsidR="00F8784A" w:rsidRPr="00FC6DE5" w:rsidRDefault="00F8784A" w:rsidP="00890D00">
      <w:pPr>
        <w:pStyle w:val="FootnoteText"/>
        <w:ind w:firstLine="720"/>
        <w:rPr>
          <w:szCs w:val="26"/>
        </w:rPr>
      </w:pPr>
      <w:r w:rsidRPr="00955149">
        <w:rPr>
          <w:rStyle w:val="FootnoteReference"/>
          <w:sz w:val="26"/>
          <w:szCs w:val="26"/>
          <w:vertAlign w:val="superscript"/>
        </w:rPr>
        <w:footnoteRef/>
      </w:r>
      <w:r w:rsidRPr="00FC6DE5">
        <w:rPr>
          <w:szCs w:val="26"/>
        </w:rPr>
        <w:t xml:space="preserve"> </w:t>
      </w:r>
      <w:r w:rsidR="00C309D7">
        <w:rPr>
          <w:szCs w:val="26"/>
        </w:rPr>
        <w:t xml:space="preserve"> </w:t>
      </w:r>
      <w:r w:rsidR="001251B0" w:rsidRPr="00FC6DE5">
        <w:rPr>
          <w:szCs w:val="26"/>
        </w:rPr>
        <w:t xml:space="preserve">Section 1363.1, subdivision (d) </w:t>
      </w:r>
      <w:r w:rsidR="00044054" w:rsidRPr="00FC6DE5">
        <w:rPr>
          <w:szCs w:val="26"/>
        </w:rPr>
        <w:t xml:space="preserve">states that </w:t>
      </w:r>
      <w:r w:rsidR="00A0462B" w:rsidRPr="00FC6DE5">
        <w:rPr>
          <w:szCs w:val="26"/>
        </w:rPr>
        <w:t>“[a]</w:t>
      </w:r>
      <w:r w:rsidR="00044054" w:rsidRPr="00FC6DE5">
        <w:rPr>
          <w:szCs w:val="26"/>
        </w:rPr>
        <w:t xml:space="preserve">ny health care service plan that includes terms that require binding arbitration to settle disputes and that restrict, or provide for a waiver of, the right to a jury trial shall </w:t>
      </w:r>
      <w:r w:rsidR="00760DBB" w:rsidRPr="00FC6DE5">
        <w:rPr>
          <w:szCs w:val="26"/>
        </w:rPr>
        <w:t>[display]</w:t>
      </w:r>
      <w:r w:rsidR="00044054" w:rsidRPr="00FC6DE5">
        <w:rPr>
          <w:szCs w:val="26"/>
        </w:rPr>
        <w:t>, in clear and understandable language,</w:t>
      </w:r>
      <w:r w:rsidR="00B67F21" w:rsidRPr="00FC6DE5">
        <w:rPr>
          <w:szCs w:val="26"/>
        </w:rPr>
        <w:t xml:space="preserve">” </w:t>
      </w:r>
      <w:r w:rsidR="00330133" w:rsidRPr="00FC6DE5">
        <w:rPr>
          <w:szCs w:val="26"/>
        </w:rPr>
        <w:t>in a disclosure with three conditions enumerated</w:t>
      </w:r>
      <w:r w:rsidR="00B67F21" w:rsidRPr="00FC6DE5">
        <w:rPr>
          <w:szCs w:val="26"/>
        </w:rPr>
        <w:t xml:space="preserve"> (a) through (c)</w:t>
      </w:r>
      <w:r w:rsidR="004F004F" w:rsidRPr="00FC6DE5">
        <w:rPr>
          <w:szCs w:val="26"/>
        </w:rPr>
        <w:t>,</w:t>
      </w:r>
      <w:r w:rsidR="00756BF4" w:rsidRPr="00FC6DE5">
        <w:rPr>
          <w:szCs w:val="26"/>
        </w:rPr>
        <w:t xml:space="preserve"> “immediately before the signature line</w:t>
      </w:r>
      <w:r w:rsidR="00890D00" w:rsidRPr="00FC6DE5">
        <w:rPr>
          <w:szCs w:val="26"/>
        </w:rPr>
        <w:t xml:space="preserve"> provided for the individual enrolling in the health care service plan.”</w:t>
      </w:r>
    </w:p>
  </w:footnote>
  <w:footnote w:id="3">
    <w:p w14:paraId="34A92EA0" w14:textId="5C691309" w:rsidR="008361D7" w:rsidRPr="00FC6DE5" w:rsidRDefault="008361D7" w:rsidP="008361D7">
      <w:pPr>
        <w:pStyle w:val="FootnoteText"/>
        <w:ind w:firstLine="720"/>
        <w:rPr>
          <w:szCs w:val="26"/>
        </w:rPr>
      </w:pPr>
      <w:r w:rsidRPr="00955149">
        <w:rPr>
          <w:rStyle w:val="FootnoteReference"/>
          <w:sz w:val="26"/>
          <w:szCs w:val="26"/>
          <w:vertAlign w:val="superscript"/>
        </w:rPr>
        <w:footnoteRef/>
      </w:r>
      <w:r w:rsidRPr="00FC6DE5">
        <w:rPr>
          <w:szCs w:val="26"/>
        </w:rPr>
        <w:t xml:space="preserve"> </w:t>
      </w:r>
      <w:r w:rsidR="00423BF9">
        <w:rPr>
          <w:szCs w:val="26"/>
        </w:rPr>
        <w:t xml:space="preserve"> </w:t>
      </w:r>
      <w:r w:rsidRPr="00FC6DE5">
        <w:rPr>
          <w:szCs w:val="26"/>
        </w:rPr>
        <w:t xml:space="preserve">Although the plan contains a delegation clause that is materially identical to the one in the supplement, USB does not </w:t>
      </w:r>
      <w:r w:rsidR="00FA3255" w:rsidRPr="00FC6DE5">
        <w:rPr>
          <w:szCs w:val="26"/>
        </w:rPr>
        <w:t xml:space="preserve">rely on it </w:t>
      </w:r>
      <w:r w:rsidR="00215310" w:rsidRPr="00FC6DE5">
        <w:rPr>
          <w:szCs w:val="26"/>
        </w:rPr>
        <w:t>to support</w:t>
      </w:r>
      <w:r w:rsidR="00FA3255" w:rsidRPr="00FC6DE5">
        <w:rPr>
          <w:szCs w:val="26"/>
        </w:rPr>
        <w:t xml:space="preserve"> this argument.</w:t>
      </w:r>
    </w:p>
  </w:footnote>
  <w:footnote w:id="4">
    <w:p w14:paraId="43C2F5FF" w14:textId="2288F5A0" w:rsidR="00760852" w:rsidRPr="00423BF9" w:rsidRDefault="00760852" w:rsidP="009E49DE">
      <w:pPr>
        <w:pStyle w:val="FootnoteText"/>
        <w:ind w:firstLine="720"/>
        <w:rPr>
          <w:szCs w:val="26"/>
        </w:rPr>
      </w:pPr>
      <w:r w:rsidRPr="00955149">
        <w:rPr>
          <w:rStyle w:val="FootnoteReference"/>
          <w:sz w:val="26"/>
          <w:szCs w:val="26"/>
          <w:vertAlign w:val="superscript"/>
        </w:rPr>
        <w:footnoteRef/>
      </w:r>
      <w:r w:rsidRPr="00423BF9">
        <w:rPr>
          <w:szCs w:val="26"/>
        </w:rPr>
        <w:t xml:space="preserve"> </w:t>
      </w:r>
      <w:r w:rsidR="00423BF9">
        <w:rPr>
          <w:szCs w:val="26"/>
        </w:rPr>
        <w:t xml:space="preserve"> </w:t>
      </w:r>
      <w:r w:rsidR="00FF63DA" w:rsidRPr="00423BF9">
        <w:rPr>
          <w:szCs w:val="26"/>
        </w:rPr>
        <w:t xml:space="preserve">Health and Safety Code section 1345, subdivision (f)(2), provides a definition not applicable here </w:t>
      </w:r>
      <w:r w:rsidR="005C2AB4" w:rsidRPr="00423BF9">
        <w:rPr>
          <w:szCs w:val="26"/>
        </w:rPr>
        <w:t>concerning health care service providers in foreign countries.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B7611" w14:textId="77777777" w:rsidR="00152DBE" w:rsidRDefault="00152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3C9E8E" w14:textId="77777777" w:rsidR="00152DBE" w:rsidRDefault="00152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E8E68" w14:textId="77777777" w:rsidR="00152DBE" w:rsidRDefault="00152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716972"/>
    <w:multiLevelType w:val="hybridMultilevel"/>
    <w:tmpl w:val="5FBAE310"/>
    <w:lvl w:ilvl="0" w:tplc="834EDFCA">
      <w:start w:val="2"/>
      <w:numFmt w:val="upperLetter"/>
      <w:lvlText w:val="%1."/>
      <w:lvlJc w:val="left"/>
      <w:pPr>
        <w:ind w:left="1710" w:hanging="360"/>
      </w:pPr>
      <w:rPr>
        <w:rFonts w:hint="default"/>
        <w:i w:val="0"/>
        <w:i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264A2165"/>
    <w:multiLevelType w:val="hybridMultilevel"/>
    <w:tmpl w:val="F1A6F8C8"/>
    <w:lvl w:ilvl="0" w:tplc="4CEEB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1400154">
    <w:abstractNumId w:val="1"/>
  </w:num>
  <w:num w:numId="2" w16cid:durableId="1251963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removePersonalInformation/>
  <w:removeDateAndTim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3A"/>
    <w:rsid w:val="0000037A"/>
    <w:rsid w:val="00004AB5"/>
    <w:rsid w:val="00006C99"/>
    <w:rsid w:val="00010B2B"/>
    <w:rsid w:val="00010D4C"/>
    <w:rsid w:val="00011CC0"/>
    <w:rsid w:val="000138A5"/>
    <w:rsid w:val="00015912"/>
    <w:rsid w:val="00017911"/>
    <w:rsid w:val="00022126"/>
    <w:rsid w:val="000225E8"/>
    <w:rsid w:val="000227C0"/>
    <w:rsid w:val="0002495F"/>
    <w:rsid w:val="0002526D"/>
    <w:rsid w:val="000254E0"/>
    <w:rsid w:val="000265DD"/>
    <w:rsid w:val="000314F5"/>
    <w:rsid w:val="00033503"/>
    <w:rsid w:val="00034CC2"/>
    <w:rsid w:val="00035AB5"/>
    <w:rsid w:val="00037CAA"/>
    <w:rsid w:val="0004024D"/>
    <w:rsid w:val="0004134B"/>
    <w:rsid w:val="00042EAE"/>
    <w:rsid w:val="000439CD"/>
    <w:rsid w:val="00044054"/>
    <w:rsid w:val="000509DA"/>
    <w:rsid w:val="00052AF5"/>
    <w:rsid w:val="000530BB"/>
    <w:rsid w:val="000536A3"/>
    <w:rsid w:val="000568DD"/>
    <w:rsid w:val="00060B56"/>
    <w:rsid w:val="00060DA9"/>
    <w:rsid w:val="00062C4E"/>
    <w:rsid w:val="000646F9"/>
    <w:rsid w:val="00067E36"/>
    <w:rsid w:val="000700C8"/>
    <w:rsid w:val="00074FD9"/>
    <w:rsid w:val="00082650"/>
    <w:rsid w:val="00094DBA"/>
    <w:rsid w:val="000956BA"/>
    <w:rsid w:val="00095702"/>
    <w:rsid w:val="000957CE"/>
    <w:rsid w:val="000A08C6"/>
    <w:rsid w:val="000A08ED"/>
    <w:rsid w:val="000A550D"/>
    <w:rsid w:val="000B20F0"/>
    <w:rsid w:val="000B56ED"/>
    <w:rsid w:val="000C24A1"/>
    <w:rsid w:val="000C32CB"/>
    <w:rsid w:val="000C6CC0"/>
    <w:rsid w:val="000D0D2E"/>
    <w:rsid w:val="000D4D52"/>
    <w:rsid w:val="000D6F98"/>
    <w:rsid w:val="000D7DAC"/>
    <w:rsid w:val="000E261E"/>
    <w:rsid w:val="000E3843"/>
    <w:rsid w:val="000E41E6"/>
    <w:rsid w:val="000E5AE3"/>
    <w:rsid w:val="000E5E72"/>
    <w:rsid w:val="000E7E48"/>
    <w:rsid w:val="000F0512"/>
    <w:rsid w:val="000F354F"/>
    <w:rsid w:val="000F366A"/>
    <w:rsid w:val="000F631A"/>
    <w:rsid w:val="000F6AFF"/>
    <w:rsid w:val="00100098"/>
    <w:rsid w:val="00100643"/>
    <w:rsid w:val="001050B5"/>
    <w:rsid w:val="0010654C"/>
    <w:rsid w:val="0010736F"/>
    <w:rsid w:val="0011068B"/>
    <w:rsid w:val="001107CD"/>
    <w:rsid w:val="00110D74"/>
    <w:rsid w:val="0011247E"/>
    <w:rsid w:val="001127AF"/>
    <w:rsid w:val="00113306"/>
    <w:rsid w:val="001147C3"/>
    <w:rsid w:val="00115706"/>
    <w:rsid w:val="00115BAB"/>
    <w:rsid w:val="00115EC4"/>
    <w:rsid w:val="00116B4C"/>
    <w:rsid w:val="0011723F"/>
    <w:rsid w:val="001226DA"/>
    <w:rsid w:val="001251B0"/>
    <w:rsid w:val="00130303"/>
    <w:rsid w:val="00130B2C"/>
    <w:rsid w:val="001339E6"/>
    <w:rsid w:val="00135FB2"/>
    <w:rsid w:val="00136455"/>
    <w:rsid w:val="00137075"/>
    <w:rsid w:val="0014165B"/>
    <w:rsid w:val="00143061"/>
    <w:rsid w:val="001439C1"/>
    <w:rsid w:val="001449CC"/>
    <w:rsid w:val="00152530"/>
    <w:rsid w:val="00152DBE"/>
    <w:rsid w:val="00153BDF"/>
    <w:rsid w:val="00154A10"/>
    <w:rsid w:val="0015792E"/>
    <w:rsid w:val="00164820"/>
    <w:rsid w:val="001660D2"/>
    <w:rsid w:val="0016707C"/>
    <w:rsid w:val="00171799"/>
    <w:rsid w:val="00172E80"/>
    <w:rsid w:val="00173283"/>
    <w:rsid w:val="00174434"/>
    <w:rsid w:val="00175630"/>
    <w:rsid w:val="00180028"/>
    <w:rsid w:val="00180BCB"/>
    <w:rsid w:val="00180CF5"/>
    <w:rsid w:val="00181264"/>
    <w:rsid w:val="0018218A"/>
    <w:rsid w:val="0018294D"/>
    <w:rsid w:val="00182FFB"/>
    <w:rsid w:val="00187027"/>
    <w:rsid w:val="0019213E"/>
    <w:rsid w:val="00193706"/>
    <w:rsid w:val="00196315"/>
    <w:rsid w:val="00196AF3"/>
    <w:rsid w:val="001A1BF6"/>
    <w:rsid w:val="001A2BA8"/>
    <w:rsid w:val="001A3DF1"/>
    <w:rsid w:val="001A49EB"/>
    <w:rsid w:val="001A562C"/>
    <w:rsid w:val="001B395F"/>
    <w:rsid w:val="001C0331"/>
    <w:rsid w:val="001C3087"/>
    <w:rsid w:val="001C3E0D"/>
    <w:rsid w:val="001C4691"/>
    <w:rsid w:val="001C4A11"/>
    <w:rsid w:val="001C6394"/>
    <w:rsid w:val="001D63EA"/>
    <w:rsid w:val="001D6B36"/>
    <w:rsid w:val="001D7D7C"/>
    <w:rsid w:val="001E2F85"/>
    <w:rsid w:val="001E45DA"/>
    <w:rsid w:val="001E4A6D"/>
    <w:rsid w:val="001E5337"/>
    <w:rsid w:val="001E7EDF"/>
    <w:rsid w:val="001F0F27"/>
    <w:rsid w:val="001F2932"/>
    <w:rsid w:val="001F3E9E"/>
    <w:rsid w:val="001F4F11"/>
    <w:rsid w:val="001F61E8"/>
    <w:rsid w:val="001F6D7D"/>
    <w:rsid w:val="001F7329"/>
    <w:rsid w:val="0020299D"/>
    <w:rsid w:val="002045DC"/>
    <w:rsid w:val="0021124E"/>
    <w:rsid w:val="00211428"/>
    <w:rsid w:val="0021252B"/>
    <w:rsid w:val="00212FD3"/>
    <w:rsid w:val="00215310"/>
    <w:rsid w:val="00220C67"/>
    <w:rsid w:val="002223B8"/>
    <w:rsid w:val="002228D3"/>
    <w:rsid w:val="00222CFD"/>
    <w:rsid w:val="00222FFE"/>
    <w:rsid w:val="00223A83"/>
    <w:rsid w:val="00226814"/>
    <w:rsid w:val="002318A8"/>
    <w:rsid w:val="00231A01"/>
    <w:rsid w:val="00231DB0"/>
    <w:rsid w:val="002327DF"/>
    <w:rsid w:val="0023743A"/>
    <w:rsid w:val="00241128"/>
    <w:rsid w:val="00242218"/>
    <w:rsid w:val="00242ABF"/>
    <w:rsid w:val="002476CD"/>
    <w:rsid w:val="002528D7"/>
    <w:rsid w:val="002561FB"/>
    <w:rsid w:val="00256AE2"/>
    <w:rsid w:val="00257DCB"/>
    <w:rsid w:val="00264E2C"/>
    <w:rsid w:val="00265C4A"/>
    <w:rsid w:val="00267B0D"/>
    <w:rsid w:val="00270260"/>
    <w:rsid w:val="00270949"/>
    <w:rsid w:val="00271CCA"/>
    <w:rsid w:val="00274EBF"/>
    <w:rsid w:val="00275A5C"/>
    <w:rsid w:val="00275AB1"/>
    <w:rsid w:val="00277968"/>
    <w:rsid w:val="00285333"/>
    <w:rsid w:val="002857D2"/>
    <w:rsid w:val="002858C7"/>
    <w:rsid w:val="00285F96"/>
    <w:rsid w:val="002918A9"/>
    <w:rsid w:val="002918BF"/>
    <w:rsid w:val="002923E8"/>
    <w:rsid w:val="00292DEC"/>
    <w:rsid w:val="002952B0"/>
    <w:rsid w:val="002956E8"/>
    <w:rsid w:val="002A6DE3"/>
    <w:rsid w:val="002A6FAD"/>
    <w:rsid w:val="002A7167"/>
    <w:rsid w:val="002B0BCB"/>
    <w:rsid w:val="002C12FC"/>
    <w:rsid w:val="002C1758"/>
    <w:rsid w:val="002C65EA"/>
    <w:rsid w:val="002D2450"/>
    <w:rsid w:val="002D34BF"/>
    <w:rsid w:val="002D36D1"/>
    <w:rsid w:val="002D4781"/>
    <w:rsid w:val="002D6701"/>
    <w:rsid w:val="002E05BA"/>
    <w:rsid w:val="002E1526"/>
    <w:rsid w:val="002E2D7E"/>
    <w:rsid w:val="002E37A3"/>
    <w:rsid w:val="002F35C3"/>
    <w:rsid w:val="002F47F7"/>
    <w:rsid w:val="002F5663"/>
    <w:rsid w:val="0030376E"/>
    <w:rsid w:val="00305DA7"/>
    <w:rsid w:val="00311A70"/>
    <w:rsid w:val="00314A3C"/>
    <w:rsid w:val="00320BCA"/>
    <w:rsid w:val="00321671"/>
    <w:rsid w:val="0032394C"/>
    <w:rsid w:val="0032426D"/>
    <w:rsid w:val="00327098"/>
    <w:rsid w:val="0032768E"/>
    <w:rsid w:val="00327D22"/>
    <w:rsid w:val="00330133"/>
    <w:rsid w:val="00330276"/>
    <w:rsid w:val="00331CD0"/>
    <w:rsid w:val="00331F57"/>
    <w:rsid w:val="00334EFC"/>
    <w:rsid w:val="003356E8"/>
    <w:rsid w:val="00336D37"/>
    <w:rsid w:val="00340C58"/>
    <w:rsid w:val="00345858"/>
    <w:rsid w:val="0034773F"/>
    <w:rsid w:val="003509BA"/>
    <w:rsid w:val="00352CC6"/>
    <w:rsid w:val="00354B15"/>
    <w:rsid w:val="00355A5D"/>
    <w:rsid w:val="00360AED"/>
    <w:rsid w:val="00363562"/>
    <w:rsid w:val="00367DE1"/>
    <w:rsid w:val="003722C1"/>
    <w:rsid w:val="00372531"/>
    <w:rsid w:val="00373E20"/>
    <w:rsid w:val="00374FFD"/>
    <w:rsid w:val="003750EA"/>
    <w:rsid w:val="00375AF4"/>
    <w:rsid w:val="0037693A"/>
    <w:rsid w:val="003822DA"/>
    <w:rsid w:val="00386D37"/>
    <w:rsid w:val="00392208"/>
    <w:rsid w:val="00392703"/>
    <w:rsid w:val="003948ED"/>
    <w:rsid w:val="00396D45"/>
    <w:rsid w:val="003A1E09"/>
    <w:rsid w:val="003A1EE8"/>
    <w:rsid w:val="003A3A48"/>
    <w:rsid w:val="003A4D07"/>
    <w:rsid w:val="003A4DBC"/>
    <w:rsid w:val="003A5338"/>
    <w:rsid w:val="003A70B6"/>
    <w:rsid w:val="003A745D"/>
    <w:rsid w:val="003B1661"/>
    <w:rsid w:val="003B1A88"/>
    <w:rsid w:val="003B1E2B"/>
    <w:rsid w:val="003C1910"/>
    <w:rsid w:val="003C4C8B"/>
    <w:rsid w:val="003C5CFB"/>
    <w:rsid w:val="003C656D"/>
    <w:rsid w:val="003C698D"/>
    <w:rsid w:val="003D4EC5"/>
    <w:rsid w:val="003E08B9"/>
    <w:rsid w:val="003E0F41"/>
    <w:rsid w:val="003E16F3"/>
    <w:rsid w:val="003E2D09"/>
    <w:rsid w:val="003E31F6"/>
    <w:rsid w:val="003E5449"/>
    <w:rsid w:val="003E56FB"/>
    <w:rsid w:val="003E6BD4"/>
    <w:rsid w:val="003F22D8"/>
    <w:rsid w:val="003F2CAF"/>
    <w:rsid w:val="003F497C"/>
    <w:rsid w:val="003F5AD7"/>
    <w:rsid w:val="003F686F"/>
    <w:rsid w:val="003F707D"/>
    <w:rsid w:val="003F75C0"/>
    <w:rsid w:val="0040151A"/>
    <w:rsid w:val="00402C9E"/>
    <w:rsid w:val="004031EE"/>
    <w:rsid w:val="00404E68"/>
    <w:rsid w:val="004072E1"/>
    <w:rsid w:val="00411D00"/>
    <w:rsid w:val="0041763F"/>
    <w:rsid w:val="0042305D"/>
    <w:rsid w:val="00423BF9"/>
    <w:rsid w:val="00426B00"/>
    <w:rsid w:val="004274FD"/>
    <w:rsid w:val="00431C8E"/>
    <w:rsid w:val="00433B05"/>
    <w:rsid w:val="004360C0"/>
    <w:rsid w:val="00436FBC"/>
    <w:rsid w:val="004415CD"/>
    <w:rsid w:val="00447A3A"/>
    <w:rsid w:val="00450053"/>
    <w:rsid w:val="0046109C"/>
    <w:rsid w:val="00465A45"/>
    <w:rsid w:val="00465B87"/>
    <w:rsid w:val="00465D53"/>
    <w:rsid w:val="004663AE"/>
    <w:rsid w:val="00466FFD"/>
    <w:rsid w:val="00470638"/>
    <w:rsid w:val="004719F5"/>
    <w:rsid w:val="004767BD"/>
    <w:rsid w:val="004776D4"/>
    <w:rsid w:val="004800A4"/>
    <w:rsid w:val="004827E8"/>
    <w:rsid w:val="004828A9"/>
    <w:rsid w:val="00483867"/>
    <w:rsid w:val="004854F9"/>
    <w:rsid w:val="00486325"/>
    <w:rsid w:val="004872F3"/>
    <w:rsid w:val="0049272A"/>
    <w:rsid w:val="004A07A1"/>
    <w:rsid w:val="004A2C14"/>
    <w:rsid w:val="004A3698"/>
    <w:rsid w:val="004A60CE"/>
    <w:rsid w:val="004A6CEF"/>
    <w:rsid w:val="004A7AAB"/>
    <w:rsid w:val="004B18FD"/>
    <w:rsid w:val="004B2BFD"/>
    <w:rsid w:val="004B3257"/>
    <w:rsid w:val="004B7252"/>
    <w:rsid w:val="004C17CC"/>
    <w:rsid w:val="004C3A9B"/>
    <w:rsid w:val="004C48D6"/>
    <w:rsid w:val="004C6FA0"/>
    <w:rsid w:val="004C78E8"/>
    <w:rsid w:val="004D212B"/>
    <w:rsid w:val="004D69EE"/>
    <w:rsid w:val="004D75EF"/>
    <w:rsid w:val="004E18C6"/>
    <w:rsid w:val="004E35DD"/>
    <w:rsid w:val="004E4ADB"/>
    <w:rsid w:val="004E4CBE"/>
    <w:rsid w:val="004E6A75"/>
    <w:rsid w:val="004E70A6"/>
    <w:rsid w:val="004F004F"/>
    <w:rsid w:val="004F10C9"/>
    <w:rsid w:val="004F2268"/>
    <w:rsid w:val="004F2442"/>
    <w:rsid w:val="004F2942"/>
    <w:rsid w:val="004F317E"/>
    <w:rsid w:val="004F3893"/>
    <w:rsid w:val="004F3CEE"/>
    <w:rsid w:val="004F5E58"/>
    <w:rsid w:val="004F7324"/>
    <w:rsid w:val="005027A2"/>
    <w:rsid w:val="005050C7"/>
    <w:rsid w:val="005104B4"/>
    <w:rsid w:val="005115A2"/>
    <w:rsid w:val="00517497"/>
    <w:rsid w:val="005217B2"/>
    <w:rsid w:val="00523D0E"/>
    <w:rsid w:val="00530A86"/>
    <w:rsid w:val="00533386"/>
    <w:rsid w:val="00533556"/>
    <w:rsid w:val="00533D2B"/>
    <w:rsid w:val="005358D9"/>
    <w:rsid w:val="005419E1"/>
    <w:rsid w:val="0054252F"/>
    <w:rsid w:val="00544276"/>
    <w:rsid w:val="00544D4C"/>
    <w:rsid w:val="00545E6A"/>
    <w:rsid w:val="0054655C"/>
    <w:rsid w:val="00551135"/>
    <w:rsid w:val="00553535"/>
    <w:rsid w:val="005535EB"/>
    <w:rsid w:val="00553C53"/>
    <w:rsid w:val="0055782A"/>
    <w:rsid w:val="00557D8D"/>
    <w:rsid w:val="00564D50"/>
    <w:rsid w:val="00565A5C"/>
    <w:rsid w:val="00565DA4"/>
    <w:rsid w:val="00565ED9"/>
    <w:rsid w:val="00566BAE"/>
    <w:rsid w:val="00570DCE"/>
    <w:rsid w:val="005713CD"/>
    <w:rsid w:val="00572285"/>
    <w:rsid w:val="00573C0E"/>
    <w:rsid w:val="005762E9"/>
    <w:rsid w:val="0057639A"/>
    <w:rsid w:val="00581640"/>
    <w:rsid w:val="005822E1"/>
    <w:rsid w:val="0058462D"/>
    <w:rsid w:val="0058590B"/>
    <w:rsid w:val="00586DF1"/>
    <w:rsid w:val="00586E12"/>
    <w:rsid w:val="00590D32"/>
    <w:rsid w:val="005938EA"/>
    <w:rsid w:val="00594147"/>
    <w:rsid w:val="00595792"/>
    <w:rsid w:val="00595F8F"/>
    <w:rsid w:val="00596A7A"/>
    <w:rsid w:val="005970A8"/>
    <w:rsid w:val="00597703"/>
    <w:rsid w:val="005A0238"/>
    <w:rsid w:val="005A4D09"/>
    <w:rsid w:val="005B08BC"/>
    <w:rsid w:val="005B26AB"/>
    <w:rsid w:val="005C0EFD"/>
    <w:rsid w:val="005C2AB4"/>
    <w:rsid w:val="005C4A3C"/>
    <w:rsid w:val="005C55E5"/>
    <w:rsid w:val="005C73DF"/>
    <w:rsid w:val="005E3CFB"/>
    <w:rsid w:val="005E6B92"/>
    <w:rsid w:val="005E7EFB"/>
    <w:rsid w:val="005F5142"/>
    <w:rsid w:val="005F6643"/>
    <w:rsid w:val="00600504"/>
    <w:rsid w:val="00602ACF"/>
    <w:rsid w:val="00604FA7"/>
    <w:rsid w:val="0060567C"/>
    <w:rsid w:val="00606A19"/>
    <w:rsid w:val="00612761"/>
    <w:rsid w:val="00614B40"/>
    <w:rsid w:val="00617C2E"/>
    <w:rsid w:val="006212E9"/>
    <w:rsid w:val="006213E3"/>
    <w:rsid w:val="00621C4B"/>
    <w:rsid w:val="00623CE4"/>
    <w:rsid w:val="00624860"/>
    <w:rsid w:val="006317F9"/>
    <w:rsid w:val="00632168"/>
    <w:rsid w:val="0063456B"/>
    <w:rsid w:val="00634C7F"/>
    <w:rsid w:val="00634CA7"/>
    <w:rsid w:val="006369B4"/>
    <w:rsid w:val="006372A7"/>
    <w:rsid w:val="0064171F"/>
    <w:rsid w:val="0064377C"/>
    <w:rsid w:val="006443AA"/>
    <w:rsid w:val="006453D7"/>
    <w:rsid w:val="00646167"/>
    <w:rsid w:val="006462AB"/>
    <w:rsid w:val="006523CF"/>
    <w:rsid w:val="00653826"/>
    <w:rsid w:val="00657B37"/>
    <w:rsid w:val="00661CB1"/>
    <w:rsid w:val="00661D6A"/>
    <w:rsid w:val="006622F5"/>
    <w:rsid w:val="00666049"/>
    <w:rsid w:val="0066638B"/>
    <w:rsid w:val="00666B3A"/>
    <w:rsid w:val="00667B83"/>
    <w:rsid w:val="006731D9"/>
    <w:rsid w:val="00673357"/>
    <w:rsid w:val="006756EE"/>
    <w:rsid w:val="006757C8"/>
    <w:rsid w:val="0067667E"/>
    <w:rsid w:val="006876B7"/>
    <w:rsid w:val="00690A05"/>
    <w:rsid w:val="006960EF"/>
    <w:rsid w:val="0069774E"/>
    <w:rsid w:val="006A13B5"/>
    <w:rsid w:val="006B32CA"/>
    <w:rsid w:val="006B3C94"/>
    <w:rsid w:val="006B43C9"/>
    <w:rsid w:val="006B4814"/>
    <w:rsid w:val="006B4EB3"/>
    <w:rsid w:val="006C0DA4"/>
    <w:rsid w:val="006C4038"/>
    <w:rsid w:val="006C4AE3"/>
    <w:rsid w:val="006C4B1A"/>
    <w:rsid w:val="006D1638"/>
    <w:rsid w:val="006D193F"/>
    <w:rsid w:val="006D2652"/>
    <w:rsid w:val="006D55DF"/>
    <w:rsid w:val="006D7083"/>
    <w:rsid w:val="006E7AFB"/>
    <w:rsid w:val="006F16A7"/>
    <w:rsid w:val="006F1A0E"/>
    <w:rsid w:val="006F3B8C"/>
    <w:rsid w:val="006F6D72"/>
    <w:rsid w:val="006F7E47"/>
    <w:rsid w:val="007007FD"/>
    <w:rsid w:val="00701FEF"/>
    <w:rsid w:val="00703DFD"/>
    <w:rsid w:val="00707C3A"/>
    <w:rsid w:val="00707DA3"/>
    <w:rsid w:val="00712272"/>
    <w:rsid w:val="00722352"/>
    <w:rsid w:val="00722DF4"/>
    <w:rsid w:val="007263CC"/>
    <w:rsid w:val="00726405"/>
    <w:rsid w:val="007327D4"/>
    <w:rsid w:val="00733CEF"/>
    <w:rsid w:val="00735DA1"/>
    <w:rsid w:val="00736030"/>
    <w:rsid w:val="00737D18"/>
    <w:rsid w:val="00740182"/>
    <w:rsid w:val="007414A8"/>
    <w:rsid w:val="007422FC"/>
    <w:rsid w:val="00744429"/>
    <w:rsid w:val="007508E3"/>
    <w:rsid w:val="00754451"/>
    <w:rsid w:val="00754631"/>
    <w:rsid w:val="007561A8"/>
    <w:rsid w:val="00756BF4"/>
    <w:rsid w:val="00757828"/>
    <w:rsid w:val="00760852"/>
    <w:rsid w:val="00760DBB"/>
    <w:rsid w:val="00762CAB"/>
    <w:rsid w:val="00767B44"/>
    <w:rsid w:val="00771347"/>
    <w:rsid w:val="0077250F"/>
    <w:rsid w:val="007726DE"/>
    <w:rsid w:val="00772D95"/>
    <w:rsid w:val="00775A94"/>
    <w:rsid w:val="007805FD"/>
    <w:rsid w:val="00782064"/>
    <w:rsid w:val="00783E00"/>
    <w:rsid w:val="007842E3"/>
    <w:rsid w:val="00786D3C"/>
    <w:rsid w:val="00791D7D"/>
    <w:rsid w:val="007921D9"/>
    <w:rsid w:val="00795094"/>
    <w:rsid w:val="007953E3"/>
    <w:rsid w:val="007957EE"/>
    <w:rsid w:val="007A0661"/>
    <w:rsid w:val="007A0C71"/>
    <w:rsid w:val="007A32E0"/>
    <w:rsid w:val="007A36B0"/>
    <w:rsid w:val="007A580A"/>
    <w:rsid w:val="007A5A86"/>
    <w:rsid w:val="007A6ADC"/>
    <w:rsid w:val="007A772F"/>
    <w:rsid w:val="007A7C1A"/>
    <w:rsid w:val="007B30C0"/>
    <w:rsid w:val="007B34FC"/>
    <w:rsid w:val="007B3A6C"/>
    <w:rsid w:val="007C1E53"/>
    <w:rsid w:val="007C453C"/>
    <w:rsid w:val="007C5411"/>
    <w:rsid w:val="007C6A60"/>
    <w:rsid w:val="007D75E2"/>
    <w:rsid w:val="007E4013"/>
    <w:rsid w:val="007F443F"/>
    <w:rsid w:val="007F6477"/>
    <w:rsid w:val="0080081A"/>
    <w:rsid w:val="00800F23"/>
    <w:rsid w:val="00802CBD"/>
    <w:rsid w:val="00803828"/>
    <w:rsid w:val="00803C66"/>
    <w:rsid w:val="008143BA"/>
    <w:rsid w:val="00816CA8"/>
    <w:rsid w:val="008215CB"/>
    <w:rsid w:val="00822890"/>
    <w:rsid w:val="00824AE3"/>
    <w:rsid w:val="008262CF"/>
    <w:rsid w:val="00827036"/>
    <w:rsid w:val="008321BE"/>
    <w:rsid w:val="008361D7"/>
    <w:rsid w:val="00836C1D"/>
    <w:rsid w:val="00840B0A"/>
    <w:rsid w:val="00840D08"/>
    <w:rsid w:val="00841360"/>
    <w:rsid w:val="008415FD"/>
    <w:rsid w:val="008436D5"/>
    <w:rsid w:val="0084553C"/>
    <w:rsid w:val="008467A3"/>
    <w:rsid w:val="00846C8F"/>
    <w:rsid w:val="00853BE4"/>
    <w:rsid w:val="00856036"/>
    <w:rsid w:val="00856501"/>
    <w:rsid w:val="00862708"/>
    <w:rsid w:val="00863FE4"/>
    <w:rsid w:val="00864DC4"/>
    <w:rsid w:val="00865280"/>
    <w:rsid w:val="00866C13"/>
    <w:rsid w:val="00873477"/>
    <w:rsid w:val="0088282C"/>
    <w:rsid w:val="00886060"/>
    <w:rsid w:val="0088788C"/>
    <w:rsid w:val="00890077"/>
    <w:rsid w:val="00890D00"/>
    <w:rsid w:val="00892D1F"/>
    <w:rsid w:val="00893664"/>
    <w:rsid w:val="00894DAE"/>
    <w:rsid w:val="0089654B"/>
    <w:rsid w:val="008A31F9"/>
    <w:rsid w:val="008A36D9"/>
    <w:rsid w:val="008A6165"/>
    <w:rsid w:val="008B4E03"/>
    <w:rsid w:val="008B71BC"/>
    <w:rsid w:val="008C1E10"/>
    <w:rsid w:val="008C3127"/>
    <w:rsid w:val="008C7CE7"/>
    <w:rsid w:val="008D4380"/>
    <w:rsid w:val="008D53A7"/>
    <w:rsid w:val="008D7A2C"/>
    <w:rsid w:val="008E3C07"/>
    <w:rsid w:val="008E515E"/>
    <w:rsid w:val="008F32D7"/>
    <w:rsid w:val="008F7FA1"/>
    <w:rsid w:val="00900C80"/>
    <w:rsid w:val="00903175"/>
    <w:rsid w:val="00904011"/>
    <w:rsid w:val="00904D9E"/>
    <w:rsid w:val="00911B63"/>
    <w:rsid w:val="009121BF"/>
    <w:rsid w:val="00912BAF"/>
    <w:rsid w:val="00913E42"/>
    <w:rsid w:val="00914483"/>
    <w:rsid w:val="009152BC"/>
    <w:rsid w:val="009157D8"/>
    <w:rsid w:val="00916321"/>
    <w:rsid w:val="009172FE"/>
    <w:rsid w:val="009213D4"/>
    <w:rsid w:val="009244C3"/>
    <w:rsid w:val="0093112B"/>
    <w:rsid w:val="0093130A"/>
    <w:rsid w:val="00931431"/>
    <w:rsid w:val="00932BF2"/>
    <w:rsid w:val="00932D7B"/>
    <w:rsid w:val="00935A6E"/>
    <w:rsid w:val="00936B4D"/>
    <w:rsid w:val="00941F32"/>
    <w:rsid w:val="00944AC9"/>
    <w:rsid w:val="00950C66"/>
    <w:rsid w:val="009533F8"/>
    <w:rsid w:val="009542EC"/>
    <w:rsid w:val="0095488E"/>
    <w:rsid w:val="00955149"/>
    <w:rsid w:val="0096304D"/>
    <w:rsid w:val="009663C3"/>
    <w:rsid w:val="0096677D"/>
    <w:rsid w:val="00977574"/>
    <w:rsid w:val="00981AC5"/>
    <w:rsid w:val="00982B70"/>
    <w:rsid w:val="00985322"/>
    <w:rsid w:val="00985538"/>
    <w:rsid w:val="00986FFA"/>
    <w:rsid w:val="00991C99"/>
    <w:rsid w:val="0099390E"/>
    <w:rsid w:val="0099478E"/>
    <w:rsid w:val="00994B98"/>
    <w:rsid w:val="009A01E8"/>
    <w:rsid w:val="009A47D4"/>
    <w:rsid w:val="009A5D92"/>
    <w:rsid w:val="009A6468"/>
    <w:rsid w:val="009B07EB"/>
    <w:rsid w:val="009B1F9D"/>
    <w:rsid w:val="009B2D30"/>
    <w:rsid w:val="009B333C"/>
    <w:rsid w:val="009B5A39"/>
    <w:rsid w:val="009B643A"/>
    <w:rsid w:val="009C1978"/>
    <w:rsid w:val="009C7C56"/>
    <w:rsid w:val="009D320A"/>
    <w:rsid w:val="009D4F28"/>
    <w:rsid w:val="009E14F1"/>
    <w:rsid w:val="009E3120"/>
    <w:rsid w:val="009E45F4"/>
    <w:rsid w:val="009E49B9"/>
    <w:rsid w:val="009E49DE"/>
    <w:rsid w:val="009E572C"/>
    <w:rsid w:val="009F36D1"/>
    <w:rsid w:val="009F3CEE"/>
    <w:rsid w:val="00A0138B"/>
    <w:rsid w:val="00A0462B"/>
    <w:rsid w:val="00A05335"/>
    <w:rsid w:val="00A113C8"/>
    <w:rsid w:val="00A11C6A"/>
    <w:rsid w:val="00A12BCF"/>
    <w:rsid w:val="00A138A9"/>
    <w:rsid w:val="00A13B3F"/>
    <w:rsid w:val="00A177E7"/>
    <w:rsid w:val="00A20360"/>
    <w:rsid w:val="00A21980"/>
    <w:rsid w:val="00A2288C"/>
    <w:rsid w:val="00A22B99"/>
    <w:rsid w:val="00A2429C"/>
    <w:rsid w:val="00A24955"/>
    <w:rsid w:val="00A24E71"/>
    <w:rsid w:val="00A26092"/>
    <w:rsid w:val="00A3018B"/>
    <w:rsid w:val="00A31DF0"/>
    <w:rsid w:val="00A31F40"/>
    <w:rsid w:val="00A405A6"/>
    <w:rsid w:val="00A405EA"/>
    <w:rsid w:val="00A576CB"/>
    <w:rsid w:val="00A579A5"/>
    <w:rsid w:val="00A64ECA"/>
    <w:rsid w:val="00A66873"/>
    <w:rsid w:val="00A66881"/>
    <w:rsid w:val="00A67EA8"/>
    <w:rsid w:val="00A75B93"/>
    <w:rsid w:val="00A77632"/>
    <w:rsid w:val="00A77CB4"/>
    <w:rsid w:val="00A80D8C"/>
    <w:rsid w:val="00A852D0"/>
    <w:rsid w:val="00A852F0"/>
    <w:rsid w:val="00A85805"/>
    <w:rsid w:val="00A861FD"/>
    <w:rsid w:val="00A96C89"/>
    <w:rsid w:val="00AA0896"/>
    <w:rsid w:val="00AA1821"/>
    <w:rsid w:val="00AA332B"/>
    <w:rsid w:val="00AA44A8"/>
    <w:rsid w:val="00AA5B40"/>
    <w:rsid w:val="00AA7E0B"/>
    <w:rsid w:val="00AB65C1"/>
    <w:rsid w:val="00AB6DA1"/>
    <w:rsid w:val="00AC124E"/>
    <w:rsid w:val="00AC15F3"/>
    <w:rsid w:val="00AC1620"/>
    <w:rsid w:val="00AD1766"/>
    <w:rsid w:val="00AD1E88"/>
    <w:rsid w:val="00AD5063"/>
    <w:rsid w:val="00AD54D0"/>
    <w:rsid w:val="00AE1630"/>
    <w:rsid w:val="00AE3290"/>
    <w:rsid w:val="00AE3A24"/>
    <w:rsid w:val="00AE3CDB"/>
    <w:rsid w:val="00AE4992"/>
    <w:rsid w:val="00AE49AD"/>
    <w:rsid w:val="00AF0B3A"/>
    <w:rsid w:val="00AF154E"/>
    <w:rsid w:val="00AF216A"/>
    <w:rsid w:val="00AF2466"/>
    <w:rsid w:val="00AF43AB"/>
    <w:rsid w:val="00B00ED6"/>
    <w:rsid w:val="00B024A2"/>
    <w:rsid w:val="00B036F7"/>
    <w:rsid w:val="00B03C33"/>
    <w:rsid w:val="00B04810"/>
    <w:rsid w:val="00B053D7"/>
    <w:rsid w:val="00B10EE7"/>
    <w:rsid w:val="00B11C18"/>
    <w:rsid w:val="00B11C1A"/>
    <w:rsid w:val="00B138D9"/>
    <w:rsid w:val="00B13E65"/>
    <w:rsid w:val="00B16A8A"/>
    <w:rsid w:val="00B24F07"/>
    <w:rsid w:val="00B265C8"/>
    <w:rsid w:val="00B26AF9"/>
    <w:rsid w:val="00B30CB0"/>
    <w:rsid w:val="00B3205A"/>
    <w:rsid w:val="00B32210"/>
    <w:rsid w:val="00B32547"/>
    <w:rsid w:val="00B33979"/>
    <w:rsid w:val="00B34052"/>
    <w:rsid w:val="00B379E7"/>
    <w:rsid w:val="00B40989"/>
    <w:rsid w:val="00B42673"/>
    <w:rsid w:val="00B427C4"/>
    <w:rsid w:val="00B44A1C"/>
    <w:rsid w:val="00B50C7F"/>
    <w:rsid w:val="00B51C0F"/>
    <w:rsid w:val="00B5417F"/>
    <w:rsid w:val="00B55547"/>
    <w:rsid w:val="00B55889"/>
    <w:rsid w:val="00B565DD"/>
    <w:rsid w:val="00B572E4"/>
    <w:rsid w:val="00B576AE"/>
    <w:rsid w:val="00B57D42"/>
    <w:rsid w:val="00B653FE"/>
    <w:rsid w:val="00B67F21"/>
    <w:rsid w:val="00B67F5A"/>
    <w:rsid w:val="00B7313C"/>
    <w:rsid w:val="00B76A20"/>
    <w:rsid w:val="00B7728D"/>
    <w:rsid w:val="00B803B6"/>
    <w:rsid w:val="00B822EB"/>
    <w:rsid w:val="00B823AB"/>
    <w:rsid w:val="00B83643"/>
    <w:rsid w:val="00B86079"/>
    <w:rsid w:val="00B87E11"/>
    <w:rsid w:val="00B9220B"/>
    <w:rsid w:val="00B932C2"/>
    <w:rsid w:val="00B9336F"/>
    <w:rsid w:val="00B94113"/>
    <w:rsid w:val="00B94167"/>
    <w:rsid w:val="00B946A7"/>
    <w:rsid w:val="00BA2A88"/>
    <w:rsid w:val="00BA60EC"/>
    <w:rsid w:val="00BA676F"/>
    <w:rsid w:val="00BB1732"/>
    <w:rsid w:val="00BB2EA0"/>
    <w:rsid w:val="00BB6825"/>
    <w:rsid w:val="00BB79C2"/>
    <w:rsid w:val="00BC1D21"/>
    <w:rsid w:val="00BC647C"/>
    <w:rsid w:val="00BC65CA"/>
    <w:rsid w:val="00BD1B6A"/>
    <w:rsid w:val="00BD6A25"/>
    <w:rsid w:val="00BE4749"/>
    <w:rsid w:val="00BF0409"/>
    <w:rsid w:val="00BF3EFD"/>
    <w:rsid w:val="00BF41E4"/>
    <w:rsid w:val="00BF56B1"/>
    <w:rsid w:val="00BF6597"/>
    <w:rsid w:val="00BF7C51"/>
    <w:rsid w:val="00C004F4"/>
    <w:rsid w:val="00C00A8C"/>
    <w:rsid w:val="00C03D2C"/>
    <w:rsid w:val="00C0604F"/>
    <w:rsid w:val="00C10121"/>
    <w:rsid w:val="00C10DFD"/>
    <w:rsid w:val="00C14248"/>
    <w:rsid w:val="00C16739"/>
    <w:rsid w:val="00C23343"/>
    <w:rsid w:val="00C25D3E"/>
    <w:rsid w:val="00C2696D"/>
    <w:rsid w:val="00C309D7"/>
    <w:rsid w:val="00C32B12"/>
    <w:rsid w:val="00C344F0"/>
    <w:rsid w:val="00C36900"/>
    <w:rsid w:val="00C41C56"/>
    <w:rsid w:val="00C43474"/>
    <w:rsid w:val="00C442B6"/>
    <w:rsid w:val="00C457AF"/>
    <w:rsid w:val="00C4648E"/>
    <w:rsid w:val="00C54B23"/>
    <w:rsid w:val="00C579A3"/>
    <w:rsid w:val="00C625E6"/>
    <w:rsid w:val="00C666E9"/>
    <w:rsid w:val="00C667B1"/>
    <w:rsid w:val="00C703D0"/>
    <w:rsid w:val="00C739D9"/>
    <w:rsid w:val="00C73C28"/>
    <w:rsid w:val="00C749A0"/>
    <w:rsid w:val="00C76B83"/>
    <w:rsid w:val="00C83402"/>
    <w:rsid w:val="00C842DA"/>
    <w:rsid w:val="00C90B0B"/>
    <w:rsid w:val="00C93CAF"/>
    <w:rsid w:val="00C94BCD"/>
    <w:rsid w:val="00C966F3"/>
    <w:rsid w:val="00CA023A"/>
    <w:rsid w:val="00CA087C"/>
    <w:rsid w:val="00CA0D7A"/>
    <w:rsid w:val="00CA1419"/>
    <w:rsid w:val="00CA32BB"/>
    <w:rsid w:val="00CA4E6A"/>
    <w:rsid w:val="00CA7A92"/>
    <w:rsid w:val="00CC0EEB"/>
    <w:rsid w:val="00CC1642"/>
    <w:rsid w:val="00CC229C"/>
    <w:rsid w:val="00CC2DD7"/>
    <w:rsid w:val="00CC7ABA"/>
    <w:rsid w:val="00CD0F05"/>
    <w:rsid w:val="00CD2EC9"/>
    <w:rsid w:val="00CD3DB3"/>
    <w:rsid w:val="00CD4034"/>
    <w:rsid w:val="00CE348E"/>
    <w:rsid w:val="00CE3BB4"/>
    <w:rsid w:val="00CE5A4E"/>
    <w:rsid w:val="00CF1D9D"/>
    <w:rsid w:val="00CF1FCC"/>
    <w:rsid w:val="00CF26EE"/>
    <w:rsid w:val="00D008DD"/>
    <w:rsid w:val="00D011B3"/>
    <w:rsid w:val="00D0181A"/>
    <w:rsid w:val="00D02CBA"/>
    <w:rsid w:val="00D03267"/>
    <w:rsid w:val="00D15295"/>
    <w:rsid w:val="00D23001"/>
    <w:rsid w:val="00D266E8"/>
    <w:rsid w:val="00D26A79"/>
    <w:rsid w:val="00D316C6"/>
    <w:rsid w:val="00D34068"/>
    <w:rsid w:val="00D34372"/>
    <w:rsid w:val="00D35E69"/>
    <w:rsid w:val="00D42505"/>
    <w:rsid w:val="00D43343"/>
    <w:rsid w:val="00D43AB8"/>
    <w:rsid w:val="00D4527A"/>
    <w:rsid w:val="00D474AB"/>
    <w:rsid w:val="00D524E4"/>
    <w:rsid w:val="00D52A22"/>
    <w:rsid w:val="00D533E5"/>
    <w:rsid w:val="00D54AC3"/>
    <w:rsid w:val="00D54E59"/>
    <w:rsid w:val="00D608B7"/>
    <w:rsid w:val="00D61DF7"/>
    <w:rsid w:val="00D705BB"/>
    <w:rsid w:val="00D70ACE"/>
    <w:rsid w:val="00D71F2C"/>
    <w:rsid w:val="00D72454"/>
    <w:rsid w:val="00D72B7D"/>
    <w:rsid w:val="00D737D2"/>
    <w:rsid w:val="00D8231C"/>
    <w:rsid w:val="00D830A9"/>
    <w:rsid w:val="00D855E6"/>
    <w:rsid w:val="00D91193"/>
    <w:rsid w:val="00D91854"/>
    <w:rsid w:val="00D91860"/>
    <w:rsid w:val="00D919AE"/>
    <w:rsid w:val="00D919C2"/>
    <w:rsid w:val="00D95BF1"/>
    <w:rsid w:val="00D9693A"/>
    <w:rsid w:val="00DA0A60"/>
    <w:rsid w:val="00DA45D1"/>
    <w:rsid w:val="00DA4C30"/>
    <w:rsid w:val="00DA4FA9"/>
    <w:rsid w:val="00DA587F"/>
    <w:rsid w:val="00DA6745"/>
    <w:rsid w:val="00DA74BB"/>
    <w:rsid w:val="00DB1D8C"/>
    <w:rsid w:val="00DC376D"/>
    <w:rsid w:val="00DC390D"/>
    <w:rsid w:val="00DC7854"/>
    <w:rsid w:val="00DD0FEA"/>
    <w:rsid w:val="00DD339B"/>
    <w:rsid w:val="00DD4FD6"/>
    <w:rsid w:val="00DE4E54"/>
    <w:rsid w:val="00DE64E5"/>
    <w:rsid w:val="00DE656E"/>
    <w:rsid w:val="00DF6CF2"/>
    <w:rsid w:val="00DF7E1B"/>
    <w:rsid w:val="00E021EC"/>
    <w:rsid w:val="00E03B3E"/>
    <w:rsid w:val="00E05D25"/>
    <w:rsid w:val="00E06CB5"/>
    <w:rsid w:val="00E106A4"/>
    <w:rsid w:val="00E10A99"/>
    <w:rsid w:val="00E11441"/>
    <w:rsid w:val="00E12E17"/>
    <w:rsid w:val="00E204F5"/>
    <w:rsid w:val="00E20615"/>
    <w:rsid w:val="00E206CB"/>
    <w:rsid w:val="00E219B8"/>
    <w:rsid w:val="00E22000"/>
    <w:rsid w:val="00E222B8"/>
    <w:rsid w:val="00E2633E"/>
    <w:rsid w:val="00E2776E"/>
    <w:rsid w:val="00E3249D"/>
    <w:rsid w:val="00E332C1"/>
    <w:rsid w:val="00E35B70"/>
    <w:rsid w:val="00E35D21"/>
    <w:rsid w:val="00E3640F"/>
    <w:rsid w:val="00E53CF8"/>
    <w:rsid w:val="00E53F95"/>
    <w:rsid w:val="00E556B3"/>
    <w:rsid w:val="00E55B3E"/>
    <w:rsid w:val="00E55E36"/>
    <w:rsid w:val="00E57D2E"/>
    <w:rsid w:val="00E606A4"/>
    <w:rsid w:val="00E6297D"/>
    <w:rsid w:val="00E633AF"/>
    <w:rsid w:val="00E63DB3"/>
    <w:rsid w:val="00E66352"/>
    <w:rsid w:val="00E664FC"/>
    <w:rsid w:val="00E71ACC"/>
    <w:rsid w:val="00E807DE"/>
    <w:rsid w:val="00E80C22"/>
    <w:rsid w:val="00E815FC"/>
    <w:rsid w:val="00E81E21"/>
    <w:rsid w:val="00E83839"/>
    <w:rsid w:val="00E838F7"/>
    <w:rsid w:val="00E845EA"/>
    <w:rsid w:val="00E84B91"/>
    <w:rsid w:val="00E86178"/>
    <w:rsid w:val="00E87C5E"/>
    <w:rsid w:val="00E90337"/>
    <w:rsid w:val="00E9168F"/>
    <w:rsid w:val="00E932C7"/>
    <w:rsid w:val="00E96C91"/>
    <w:rsid w:val="00EA1691"/>
    <w:rsid w:val="00EA5033"/>
    <w:rsid w:val="00EB57C5"/>
    <w:rsid w:val="00EC1609"/>
    <w:rsid w:val="00EC1A38"/>
    <w:rsid w:val="00EC6093"/>
    <w:rsid w:val="00ED0E65"/>
    <w:rsid w:val="00ED3165"/>
    <w:rsid w:val="00ED4834"/>
    <w:rsid w:val="00ED5050"/>
    <w:rsid w:val="00ED53B1"/>
    <w:rsid w:val="00ED5534"/>
    <w:rsid w:val="00ED65CE"/>
    <w:rsid w:val="00ED696D"/>
    <w:rsid w:val="00ED7396"/>
    <w:rsid w:val="00EE1ADF"/>
    <w:rsid w:val="00EE3795"/>
    <w:rsid w:val="00EE3923"/>
    <w:rsid w:val="00EF232B"/>
    <w:rsid w:val="00EF4A82"/>
    <w:rsid w:val="00EF5EA5"/>
    <w:rsid w:val="00EF6BA1"/>
    <w:rsid w:val="00EF7499"/>
    <w:rsid w:val="00F04F53"/>
    <w:rsid w:val="00F05243"/>
    <w:rsid w:val="00F07733"/>
    <w:rsid w:val="00F10A84"/>
    <w:rsid w:val="00F1136B"/>
    <w:rsid w:val="00F11447"/>
    <w:rsid w:val="00F11808"/>
    <w:rsid w:val="00F124DB"/>
    <w:rsid w:val="00F13B56"/>
    <w:rsid w:val="00F16C1E"/>
    <w:rsid w:val="00F175F7"/>
    <w:rsid w:val="00F176BF"/>
    <w:rsid w:val="00F204AE"/>
    <w:rsid w:val="00F2117F"/>
    <w:rsid w:val="00F21B0E"/>
    <w:rsid w:val="00F26F81"/>
    <w:rsid w:val="00F30CCF"/>
    <w:rsid w:val="00F31708"/>
    <w:rsid w:val="00F37000"/>
    <w:rsid w:val="00F41302"/>
    <w:rsid w:val="00F437F1"/>
    <w:rsid w:val="00F43EBF"/>
    <w:rsid w:val="00F43F0A"/>
    <w:rsid w:val="00F50410"/>
    <w:rsid w:val="00F52A89"/>
    <w:rsid w:val="00F55DE4"/>
    <w:rsid w:val="00F5656B"/>
    <w:rsid w:val="00F56712"/>
    <w:rsid w:val="00F56E3D"/>
    <w:rsid w:val="00F6030F"/>
    <w:rsid w:val="00F604F5"/>
    <w:rsid w:val="00F6053C"/>
    <w:rsid w:val="00F61043"/>
    <w:rsid w:val="00F645C2"/>
    <w:rsid w:val="00F64A17"/>
    <w:rsid w:val="00F71F6B"/>
    <w:rsid w:val="00F7236B"/>
    <w:rsid w:val="00F741FF"/>
    <w:rsid w:val="00F7524E"/>
    <w:rsid w:val="00F756A9"/>
    <w:rsid w:val="00F82094"/>
    <w:rsid w:val="00F8784A"/>
    <w:rsid w:val="00F87ADF"/>
    <w:rsid w:val="00F905BF"/>
    <w:rsid w:val="00F90D47"/>
    <w:rsid w:val="00F93EF1"/>
    <w:rsid w:val="00F94B3C"/>
    <w:rsid w:val="00F95EE6"/>
    <w:rsid w:val="00F977EE"/>
    <w:rsid w:val="00FA169C"/>
    <w:rsid w:val="00FA3255"/>
    <w:rsid w:val="00FB22AB"/>
    <w:rsid w:val="00FB283D"/>
    <w:rsid w:val="00FB4A25"/>
    <w:rsid w:val="00FB5F1E"/>
    <w:rsid w:val="00FB6DD9"/>
    <w:rsid w:val="00FC0AB5"/>
    <w:rsid w:val="00FC6DE5"/>
    <w:rsid w:val="00FD21BA"/>
    <w:rsid w:val="00FD3F77"/>
    <w:rsid w:val="00FD54C8"/>
    <w:rsid w:val="00FD5857"/>
    <w:rsid w:val="00FE1CC4"/>
    <w:rsid w:val="00FE48A8"/>
    <w:rsid w:val="00FE5C81"/>
    <w:rsid w:val="00FF5846"/>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55B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6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CAA"/>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3562"/>
    <w:pPr>
      <w:spacing w:line="240" w:lineRule="auto"/>
    </w:pPr>
    <w:rPr>
      <w:rFonts w:cs="Times New Roman"/>
      <w:szCs w:val="20"/>
    </w:rPr>
  </w:style>
  <w:style w:type="character" w:customStyle="1" w:styleId="FootnoteTextChar">
    <w:name w:val="Footnote Text Char"/>
    <w:basedOn w:val="DefaultParagraphFont"/>
    <w:link w:val="FootnoteText"/>
    <w:uiPriority w:val="99"/>
    <w:semiHidden/>
    <w:rsid w:val="00363562"/>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363562"/>
    <w:rPr>
      <w:b/>
      <w:position w:val="8"/>
      <w:sz w:val="20"/>
      <w:vertAlign w:val="baseline"/>
    </w:rPr>
  </w:style>
  <w:style w:type="paragraph" w:styleId="Header">
    <w:name w:val="header"/>
    <w:basedOn w:val="Normal"/>
    <w:link w:val="HeaderChar"/>
    <w:uiPriority w:val="99"/>
    <w:unhideWhenUsed/>
    <w:rsid w:val="00D8231C"/>
    <w:pPr>
      <w:tabs>
        <w:tab w:val="center" w:pos="4680"/>
        <w:tab w:val="right" w:pos="9360"/>
      </w:tabs>
      <w:spacing w:line="240" w:lineRule="auto"/>
    </w:pPr>
  </w:style>
  <w:style w:type="character" w:customStyle="1" w:styleId="HeaderChar">
    <w:name w:val="Header Char"/>
    <w:basedOn w:val="DefaultParagraphFont"/>
    <w:link w:val="Header"/>
    <w:uiPriority w:val="99"/>
    <w:rsid w:val="00D8231C"/>
    <w:rPr>
      <w:rFonts w:ascii="Times New Roman" w:hAnsi="Times New Roman"/>
      <w:sz w:val="26"/>
    </w:rPr>
  </w:style>
  <w:style w:type="paragraph" w:styleId="Footer">
    <w:name w:val="footer"/>
    <w:basedOn w:val="Normal"/>
    <w:link w:val="FooterChar"/>
    <w:uiPriority w:val="99"/>
    <w:unhideWhenUsed/>
    <w:rsid w:val="00D8231C"/>
    <w:pPr>
      <w:tabs>
        <w:tab w:val="center" w:pos="4680"/>
        <w:tab w:val="right" w:pos="9360"/>
      </w:tabs>
      <w:spacing w:line="240" w:lineRule="auto"/>
    </w:pPr>
  </w:style>
  <w:style w:type="character" w:customStyle="1" w:styleId="FooterChar">
    <w:name w:val="Footer Char"/>
    <w:basedOn w:val="DefaultParagraphFont"/>
    <w:link w:val="Footer"/>
    <w:uiPriority w:val="99"/>
    <w:rsid w:val="00D8231C"/>
    <w:rPr>
      <w:rFonts w:ascii="Times New Roman" w:hAnsi="Times New Roman"/>
      <w:sz w:val="26"/>
    </w:rPr>
  </w:style>
  <w:style w:type="paragraph" w:styleId="ListParagraph">
    <w:name w:val="List Paragraph"/>
    <w:basedOn w:val="Normal"/>
    <w:uiPriority w:val="34"/>
    <w:qFormat/>
    <w:rsid w:val="004854F9"/>
    <w:pPr>
      <w:ind w:left="720"/>
      <w:contextualSpacing/>
    </w:pPr>
  </w:style>
  <w:style w:type="paragraph" w:styleId="Revision">
    <w:name w:val="Revision"/>
    <w:hidden/>
    <w:uiPriority w:val="99"/>
    <w:semiHidden/>
    <w:rsid w:val="006B3C94"/>
    <w:pPr>
      <w:spacing w:line="240" w:lineRule="auto"/>
    </w:pPr>
    <w:rPr>
      <w:rFonts w:ascii="Times New Roman" w:hAnsi="Times New Roman"/>
      <w:sz w:val="26"/>
    </w:rPr>
  </w:style>
  <w:style w:type="character" w:styleId="CommentReference">
    <w:name w:val="annotation reference"/>
    <w:basedOn w:val="DefaultParagraphFont"/>
    <w:uiPriority w:val="99"/>
    <w:semiHidden/>
    <w:unhideWhenUsed/>
    <w:rsid w:val="00ED0E65"/>
    <w:rPr>
      <w:sz w:val="16"/>
      <w:szCs w:val="16"/>
    </w:rPr>
  </w:style>
  <w:style w:type="paragraph" w:styleId="CommentText">
    <w:name w:val="annotation text"/>
    <w:basedOn w:val="Normal"/>
    <w:link w:val="CommentTextChar"/>
    <w:uiPriority w:val="99"/>
    <w:unhideWhenUsed/>
    <w:rsid w:val="00ED0E65"/>
    <w:pPr>
      <w:spacing w:line="240" w:lineRule="auto"/>
    </w:pPr>
    <w:rPr>
      <w:sz w:val="20"/>
      <w:szCs w:val="20"/>
    </w:rPr>
  </w:style>
  <w:style w:type="character" w:customStyle="1" w:styleId="CommentTextChar">
    <w:name w:val="Comment Text Char"/>
    <w:basedOn w:val="DefaultParagraphFont"/>
    <w:link w:val="CommentText"/>
    <w:uiPriority w:val="99"/>
    <w:rsid w:val="00ED0E6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D0E65"/>
    <w:rPr>
      <w:b/>
      <w:bCs/>
    </w:rPr>
  </w:style>
  <w:style w:type="character" w:customStyle="1" w:styleId="CommentSubjectChar">
    <w:name w:val="Comment Subject Char"/>
    <w:basedOn w:val="CommentTextChar"/>
    <w:link w:val="CommentSubject"/>
    <w:uiPriority w:val="99"/>
    <w:semiHidden/>
    <w:rsid w:val="00ED0E65"/>
    <w:rPr>
      <w:rFonts w:ascii="Times New Roman" w:hAnsi="Times New Roman"/>
      <w:b/>
      <w:bCs/>
      <w:sz w:val="20"/>
      <w:szCs w:val="20"/>
    </w:rPr>
  </w:style>
  <w:style w:type="character" w:styleId="PageNumber">
    <w:name w:val="page number"/>
    <w:basedOn w:val="DefaultParagraphFont"/>
    <w:uiPriority w:val="99"/>
    <w:semiHidden/>
    <w:unhideWhenUsed/>
    <w:rsid w:val="006212E9"/>
  </w:style>
  <w:style w:type="table" w:styleId="TableGrid">
    <w:name w:val="Table Grid"/>
    <w:basedOn w:val="TableNormal"/>
    <w:uiPriority w:val="39"/>
    <w:rsid w:val="006212E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11441"/>
    <w:pPr>
      <w:overflowPunct w:val="0"/>
      <w:autoSpaceDE w:val="0"/>
      <w:autoSpaceDN w:val="0"/>
      <w:adjustRightInd w:val="0"/>
      <w:spacing w:line="480" w:lineRule="auto"/>
      <w:textAlignment w:val="baseline"/>
    </w:pPr>
    <w:rPr>
      <w:rFonts w:eastAsia="Times New Roman" w:cs="Times New Roman"/>
      <w:color w:val="000080"/>
      <w:szCs w:val="20"/>
    </w:rPr>
  </w:style>
  <w:style w:type="character" w:customStyle="1" w:styleId="BodyTextChar">
    <w:name w:val="Body Text Char"/>
    <w:basedOn w:val="DefaultParagraphFont"/>
    <w:link w:val="BodyText"/>
    <w:rsid w:val="00E11441"/>
    <w:rPr>
      <w:rFonts w:ascii="Times New Roman" w:eastAsia="Times New Roman" w:hAnsi="Times New Roman" w:cs="Times New Roman"/>
      <w:color w:val="000080"/>
      <w:sz w:val="26"/>
      <w:szCs w:val="20"/>
    </w:rPr>
  </w:style>
  <w:style w:type="paragraph" w:customStyle="1" w:styleId="SigPage1">
    <w:name w:val="Sig.Page.1"/>
    <w:basedOn w:val="Normal"/>
    <w:rsid w:val="00E11441"/>
    <w:pPr>
      <w:tabs>
        <w:tab w:val="left" w:pos="2880"/>
      </w:tabs>
      <w:suppressAutoHyphens/>
      <w:overflowPunct w:val="0"/>
      <w:autoSpaceDE w:val="0"/>
      <w:autoSpaceDN w:val="0"/>
      <w:adjustRightInd w:val="0"/>
      <w:spacing w:line="240" w:lineRule="auto"/>
      <w:textAlignment w:val="baseline"/>
    </w:pPr>
    <w:rPr>
      <w:rFonts w:ascii="Courier" w:eastAsia="Times New Roman" w:hAnsi="Courier" w:cs="Times New Roman"/>
      <w:sz w:val="24"/>
      <w:szCs w:val="20"/>
    </w:rPr>
  </w:style>
  <w:style w:type="paragraph" w:customStyle="1" w:styleId="SigPage2">
    <w:name w:val="Sig.Page.2"/>
    <w:basedOn w:val="SigPage1"/>
    <w:rsid w:val="00E11441"/>
    <w:pPr>
      <w:tabs>
        <w:tab w:val="right"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096855">
      <w:bodyDiv w:val="1"/>
      <w:marLeft w:val="0"/>
      <w:marRight w:val="0"/>
      <w:marTop w:val="0"/>
      <w:marBottom w:val="0"/>
      <w:divBdr>
        <w:top w:val="none" w:sz="0" w:space="0" w:color="auto"/>
        <w:left w:val="none" w:sz="0" w:space="0" w:color="auto"/>
        <w:bottom w:val="none" w:sz="0" w:space="0" w:color="auto"/>
        <w:right w:val="none" w:sz="0" w:space="0" w:color="auto"/>
      </w:divBdr>
      <w:divsChild>
        <w:div w:id="866912394">
          <w:marLeft w:val="0"/>
          <w:marRight w:val="0"/>
          <w:marTop w:val="0"/>
          <w:marBottom w:val="0"/>
          <w:divBdr>
            <w:top w:val="none" w:sz="0" w:space="0" w:color="3D3D3D"/>
            <w:left w:val="none" w:sz="0" w:space="0" w:color="3D3D3D"/>
            <w:bottom w:val="none" w:sz="0" w:space="0" w:color="3D3D3D"/>
            <w:right w:val="none" w:sz="0" w:space="0" w:color="3D3D3D"/>
          </w:divBdr>
          <w:divsChild>
            <w:div w:id="154224623">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408312664">
      <w:bodyDiv w:val="1"/>
      <w:marLeft w:val="0"/>
      <w:marRight w:val="0"/>
      <w:marTop w:val="0"/>
      <w:marBottom w:val="0"/>
      <w:divBdr>
        <w:top w:val="none" w:sz="0" w:space="0" w:color="auto"/>
        <w:left w:val="none" w:sz="0" w:space="0" w:color="auto"/>
        <w:bottom w:val="none" w:sz="0" w:space="0" w:color="auto"/>
        <w:right w:val="none" w:sz="0" w:space="0" w:color="auto"/>
      </w:divBdr>
      <w:divsChild>
        <w:div w:id="1876692096">
          <w:marLeft w:val="0"/>
          <w:marRight w:val="0"/>
          <w:marTop w:val="0"/>
          <w:marBottom w:val="0"/>
          <w:divBdr>
            <w:top w:val="none" w:sz="0" w:space="0" w:color="3D3D3D"/>
            <w:left w:val="none" w:sz="0" w:space="0" w:color="3D3D3D"/>
            <w:bottom w:val="none" w:sz="0" w:space="0" w:color="3D3D3D"/>
            <w:right w:val="none" w:sz="0" w:space="0" w:color="3D3D3D"/>
          </w:divBdr>
          <w:divsChild>
            <w:div w:id="2037348630">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642658188">
      <w:bodyDiv w:val="1"/>
      <w:marLeft w:val="0"/>
      <w:marRight w:val="0"/>
      <w:marTop w:val="0"/>
      <w:marBottom w:val="0"/>
      <w:divBdr>
        <w:top w:val="none" w:sz="0" w:space="0" w:color="auto"/>
        <w:left w:val="none" w:sz="0" w:space="0" w:color="auto"/>
        <w:bottom w:val="none" w:sz="0" w:space="0" w:color="auto"/>
        <w:right w:val="none" w:sz="0" w:space="0" w:color="auto"/>
      </w:divBdr>
      <w:divsChild>
        <w:div w:id="859464939">
          <w:marLeft w:val="0"/>
          <w:marRight w:val="0"/>
          <w:marTop w:val="0"/>
          <w:marBottom w:val="0"/>
          <w:divBdr>
            <w:top w:val="none" w:sz="0" w:space="0" w:color="auto"/>
            <w:left w:val="none" w:sz="0" w:space="0" w:color="auto"/>
            <w:bottom w:val="none" w:sz="0" w:space="0" w:color="auto"/>
            <w:right w:val="none" w:sz="0" w:space="0" w:color="auto"/>
          </w:divBdr>
          <w:divsChild>
            <w:div w:id="1015107334">
              <w:marLeft w:val="0"/>
              <w:marRight w:val="0"/>
              <w:marTop w:val="0"/>
              <w:marBottom w:val="0"/>
              <w:divBdr>
                <w:top w:val="none" w:sz="0" w:space="0" w:color="auto"/>
                <w:left w:val="none" w:sz="0" w:space="0" w:color="auto"/>
                <w:bottom w:val="none" w:sz="0" w:space="0" w:color="auto"/>
                <w:right w:val="none" w:sz="0" w:space="0" w:color="auto"/>
              </w:divBdr>
              <w:divsChild>
                <w:div w:id="6201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8907">
          <w:marLeft w:val="0"/>
          <w:marRight w:val="0"/>
          <w:marTop w:val="0"/>
          <w:marBottom w:val="0"/>
          <w:divBdr>
            <w:top w:val="none" w:sz="0" w:space="0" w:color="auto"/>
            <w:left w:val="none" w:sz="0" w:space="0" w:color="auto"/>
            <w:bottom w:val="none" w:sz="0" w:space="0" w:color="auto"/>
            <w:right w:val="none" w:sz="0" w:space="0" w:color="auto"/>
          </w:divBdr>
          <w:divsChild>
            <w:div w:id="1328946322">
              <w:marLeft w:val="0"/>
              <w:marRight w:val="0"/>
              <w:marTop w:val="0"/>
              <w:marBottom w:val="0"/>
              <w:divBdr>
                <w:top w:val="none" w:sz="0" w:space="0" w:color="auto"/>
                <w:left w:val="none" w:sz="0" w:space="0" w:color="auto"/>
                <w:bottom w:val="none" w:sz="0" w:space="0" w:color="auto"/>
                <w:right w:val="none" w:sz="0" w:space="0" w:color="auto"/>
              </w:divBdr>
              <w:divsChild>
                <w:div w:id="575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0290">
          <w:marLeft w:val="0"/>
          <w:marRight w:val="0"/>
          <w:marTop w:val="0"/>
          <w:marBottom w:val="0"/>
          <w:divBdr>
            <w:top w:val="none" w:sz="0" w:space="0" w:color="auto"/>
            <w:left w:val="none" w:sz="0" w:space="0" w:color="auto"/>
            <w:bottom w:val="none" w:sz="0" w:space="0" w:color="auto"/>
            <w:right w:val="none" w:sz="0" w:space="0" w:color="auto"/>
          </w:divBdr>
          <w:divsChild>
            <w:div w:id="2121950586">
              <w:marLeft w:val="0"/>
              <w:marRight w:val="0"/>
              <w:marTop w:val="0"/>
              <w:marBottom w:val="0"/>
              <w:divBdr>
                <w:top w:val="none" w:sz="0" w:space="0" w:color="auto"/>
                <w:left w:val="none" w:sz="0" w:space="0" w:color="auto"/>
                <w:bottom w:val="none" w:sz="0" w:space="0" w:color="auto"/>
                <w:right w:val="none" w:sz="0" w:space="0" w:color="auto"/>
              </w:divBdr>
              <w:divsChild>
                <w:div w:id="5640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046">
      <w:bodyDiv w:val="1"/>
      <w:marLeft w:val="0"/>
      <w:marRight w:val="0"/>
      <w:marTop w:val="0"/>
      <w:marBottom w:val="0"/>
      <w:divBdr>
        <w:top w:val="none" w:sz="0" w:space="0" w:color="auto"/>
        <w:left w:val="none" w:sz="0" w:space="0" w:color="auto"/>
        <w:bottom w:val="none" w:sz="0" w:space="0" w:color="auto"/>
        <w:right w:val="none" w:sz="0" w:space="0" w:color="auto"/>
      </w:divBdr>
      <w:divsChild>
        <w:div w:id="87312452">
          <w:marLeft w:val="0"/>
          <w:marRight w:val="0"/>
          <w:marTop w:val="0"/>
          <w:marBottom w:val="0"/>
          <w:divBdr>
            <w:top w:val="none" w:sz="0" w:space="0" w:color="auto"/>
            <w:left w:val="none" w:sz="0" w:space="0" w:color="auto"/>
            <w:bottom w:val="none" w:sz="0" w:space="0" w:color="auto"/>
            <w:right w:val="none" w:sz="0" w:space="0" w:color="auto"/>
          </w:divBdr>
          <w:divsChild>
            <w:div w:id="1240944676">
              <w:marLeft w:val="0"/>
              <w:marRight w:val="0"/>
              <w:marTop w:val="0"/>
              <w:marBottom w:val="0"/>
              <w:divBdr>
                <w:top w:val="none" w:sz="0" w:space="0" w:color="auto"/>
                <w:left w:val="none" w:sz="0" w:space="0" w:color="auto"/>
                <w:bottom w:val="none" w:sz="0" w:space="0" w:color="auto"/>
                <w:right w:val="none" w:sz="0" w:space="0" w:color="auto"/>
              </w:divBdr>
            </w:div>
          </w:divsChild>
        </w:div>
        <w:div w:id="1283263450">
          <w:marLeft w:val="0"/>
          <w:marRight w:val="0"/>
          <w:marTop w:val="0"/>
          <w:marBottom w:val="0"/>
          <w:divBdr>
            <w:top w:val="none" w:sz="0" w:space="0" w:color="auto"/>
            <w:left w:val="none" w:sz="0" w:space="0" w:color="auto"/>
            <w:bottom w:val="none" w:sz="0" w:space="0" w:color="auto"/>
            <w:right w:val="none" w:sz="0" w:space="0" w:color="auto"/>
          </w:divBdr>
          <w:divsChild>
            <w:div w:id="2007828923">
              <w:marLeft w:val="0"/>
              <w:marRight w:val="0"/>
              <w:marTop w:val="0"/>
              <w:marBottom w:val="0"/>
              <w:divBdr>
                <w:top w:val="none" w:sz="0" w:space="0" w:color="auto"/>
                <w:left w:val="none" w:sz="0" w:space="0" w:color="auto"/>
                <w:bottom w:val="none" w:sz="0" w:space="0" w:color="auto"/>
                <w:right w:val="none" w:sz="0" w:space="0" w:color="auto"/>
              </w:divBdr>
              <w:divsChild>
                <w:div w:id="18243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17846">
      <w:bodyDiv w:val="1"/>
      <w:marLeft w:val="0"/>
      <w:marRight w:val="0"/>
      <w:marTop w:val="0"/>
      <w:marBottom w:val="0"/>
      <w:divBdr>
        <w:top w:val="none" w:sz="0" w:space="0" w:color="auto"/>
        <w:left w:val="none" w:sz="0" w:space="0" w:color="auto"/>
        <w:bottom w:val="none" w:sz="0" w:space="0" w:color="auto"/>
        <w:right w:val="none" w:sz="0" w:space="0" w:color="auto"/>
      </w:divBdr>
      <w:divsChild>
        <w:div w:id="1897399596">
          <w:marLeft w:val="0"/>
          <w:marRight w:val="0"/>
          <w:marTop w:val="0"/>
          <w:marBottom w:val="0"/>
          <w:divBdr>
            <w:top w:val="none" w:sz="0" w:space="0" w:color="3D3D3D"/>
            <w:left w:val="none" w:sz="0" w:space="0" w:color="3D3D3D"/>
            <w:bottom w:val="none" w:sz="0" w:space="0" w:color="3D3D3D"/>
            <w:right w:val="none" w:sz="0" w:space="0" w:color="3D3D3D"/>
          </w:divBdr>
          <w:divsChild>
            <w:div w:id="1806850274">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3224</Words>
  <Characters>17602</Characters>
  <Application>Microsoft Office Word</Application>
  <DocSecurity>0</DocSecurity>
  <Lines>313</Lines>
  <Paragraphs>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2024-04-24T18:41:00Z</cp:lastPrinted>
  <dcterms:created xsi:type="dcterms:W3CDTF">2024-04-24T18:43:00Z</dcterms:created>
  <dcterms:modified xsi:type="dcterms:W3CDTF">2024-04-24T18:43:00Z</dcterms:modified>
  <cp:category/>
</cp:coreProperties>
</file>