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B145" w14:textId="59D13635" w:rsidR="004760D3" w:rsidRPr="00306510" w:rsidRDefault="0038463E" w:rsidP="0058659F">
      <w:pPr>
        <w:spacing w:line="240" w:lineRule="auto"/>
        <w:rPr>
          <w:sz w:val="20"/>
        </w:rPr>
      </w:pPr>
      <w:r>
        <w:rPr>
          <w:sz w:val="20"/>
        </w:rPr>
        <w:t>Filed 12/</w:t>
      </w:r>
      <w:r w:rsidRPr="00306510">
        <w:rPr>
          <w:sz w:val="20"/>
        </w:rPr>
        <w:t>29/23</w:t>
      </w:r>
      <w:r w:rsidR="00D61135" w:rsidRPr="00306510">
        <w:rPr>
          <w:sz w:val="20"/>
        </w:rPr>
        <w:t xml:space="preserve">; </w:t>
      </w:r>
      <w:r w:rsidR="00306510" w:rsidRPr="00306510">
        <w:rPr>
          <w:sz w:val="20"/>
        </w:rPr>
        <w:t xml:space="preserve">Modified and Certified for </w:t>
      </w:r>
      <w:r w:rsidR="00306510">
        <w:rPr>
          <w:sz w:val="20"/>
        </w:rPr>
        <w:t xml:space="preserve">Partial </w:t>
      </w:r>
      <w:r w:rsidR="00306510" w:rsidRPr="00306510">
        <w:rPr>
          <w:sz w:val="20"/>
        </w:rPr>
        <w:t>Pub. 1/</w:t>
      </w:r>
      <w:r w:rsidR="00306510">
        <w:rPr>
          <w:sz w:val="20"/>
        </w:rPr>
        <w:t>24</w:t>
      </w:r>
      <w:r w:rsidR="00306510" w:rsidRPr="00306510">
        <w:rPr>
          <w:sz w:val="20"/>
        </w:rPr>
        <w:t>/</w:t>
      </w:r>
      <w:r w:rsidR="00306510">
        <w:rPr>
          <w:sz w:val="20"/>
        </w:rPr>
        <w:t>24</w:t>
      </w:r>
      <w:r w:rsidR="00306510" w:rsidRPr="00306510">
        <w:rPr>
          <w:sz w:val="20"/>
        </w:rPr>
        <w:t xml:space="preserve"> (order attached)</w:t>
      </w:r>
    </w:p>
    <w:p w14:paraId="3AD4911D" w14:textId="77777777" w:rsidR="0058659F" w:rsidRPr="0058659F" w:rsidRDefault="0058659F" w:rsidP="004760D3">
      <w:pPr>
        <w:spacing w:line="240" w:lineRule="auto"/>
        <w:rPr>
          <w:sz w:val="20"/>
        </w:rPr>
      </w:pPr>
    </w:p>
    <w:p w14:paraId="01F032B4" w14:textId="76D5CBD9" w:rsidR="004760D3" w:rsidRDefault="004760D3" w:rsidP="004760D3">
      <w:pPr>
        <w:spacing w:line="20" w:lineRule="exact"/>
        <w:jc w:val="center"/>
        <w:rPr>
          <w:b/>
        </w:rPr>
      </w:pPr>
    </w:p>
    <w:p w14:paraId="10102C35" w14:textId="77777777" w:rsidR="00306510" w:rsidRDefault="00306510" w:rsidP="004760D3">
      <w:pPr>
        <w:spacing w:line="20" w:lineRule="exact"/>
        <w:jc w:val="center"/>
        <w:rPr>
          <w:b/>
        </w:rPr>
      </w:pPr>
    </w:p>
    <w:p w14:paraId="62B63D09" w14:textId="77777777" w:rsidR="00306510" w:rsidRDefault="00306510" w:rsidP="004760D3">
      <w:pPr>
        <w:spacing w:line="20" w:lineRule="exact"/>
        <w:jc w:val="center"/>
        <w:rPr>
          <w:b/>
        </w:rPr>
      </w:pPr>
    </w:p>
    <w:p w14:paraId="1CCA4EBD" w14:textId="77777777" w:rsidR="00306510" w:rsidRDefault="00306510" w:rsidP="004760D3">
      <w:pPr>
        <w:spacing w:line="20" w:lineRule="exact"/>
        <w:jc w:val="center"/>
      </w:pPr>
    </w:p>
    <w:p w14:paraId="02FA4756" w14:textId="568F7041" w:rsidR="004760D3" w:rsidRDefault="004760D3" w:rsidP="004760D3">
      <w:pPr>
        <w:spacing w:line="240" w:lineRule="auto"/>
        <w:jc w:val="center"/>
      </w:pPr>
    </w:p>
    <w:p w14:paraId="3B191C0E" w14:textId="77777777" w:rsidR="00306510" w:rsidRDefault="00306510" w:rsidP="004760D3">
      <w:pPr>
        <w:spacing w:line="240" w:lineRule="auto"/>
        <w:jc w:val="center"/>
        <w:rPr>
          <w:b/>
        </w:rPr>
      </w:pPr>
    </w:p>
    <w:p w14:paraId="7CB0B2F9" w14:textId="77777777" w:rsidR="00306510" w:rsidRDefault="00306510" w:rsidP="004760D3">
      <w:pPr>
        <w:spacing w:line="240" w:lineRule="auto"/>
        <w:jc w:val="center"/>
        <w:rPr>
          <w:b/>
        </w:rPr>
      </w:pPr>
    </w:p>
    <w:p w14:paraId="57D2486D" w14:textId="4D562405" w:rsidR="004760D3" w:rsidRDefault="0038463E" w:rsidP="004760D3">
      <w:pPr>
        <w:spacing w:line="240" w:lineRule="auto"/>
        <w:jc w:val="center"/>
        <w:rPr>
          <w:b/>
        </w:rPr>
      </w:pPr>
      <w:r>
        <w:rPr>
          <w:b/>
        </w:rPr>
        <w:t>IN THE COURT OF APPEAL OF THE STATE OF CALIFORNIA</w:t>
      </w:r>
    </w:p>
    <w:p w14:paraId="13084FF0" w14:textId="40EF6E73" w:rsidR="004760D3" w:rsidRDefault="004760D3" w:rsidP="004760D3">
      <w:pPr>
        <w:spacing w:line="240" w:lineRule="auto"/>
        <w:jc w:val="center"/>
        <w:rPr>
          <w:b/>
        </w:rPr>
      </w:pPr>
    </w:p>
    <w:p w14:paraId="3C6CF776" w14:textId="29EB0D58" w:rsidR="004760D3" w:rsidRDefault="0038463E" w:rsidP="004760D3">
      <w:pPr>
        <w:spacing w:line="240" w:lineRule="auto"/>
        <w:jc w:val="center"/>
        <w:rPr>
          <w:b/>
        </w:rPr>
      </w:pPr>
      <w:r>
        <w:rPr>
          <w:b/>
        </w:rPr>
        <w:t>FOURTH APPELLATE DISTRICT</w:t>
      </w:r>
    </w:p>
    <w:p w14:paraId="396B9F25" w14:textId="70C50E6D" w:rsidR="004760D3" w:rsidRDefault="004760D3" w:rsidP="004760D3">
      <w:pPr>
        <w:spacing w:line="240" w:lineRule="auto"/>
        <w:jc w:val="center"/>
        <w:rPr>
          <w:b/>
        </w:rPr>
      </w:pPr>
    </w:p>
    <w:p w14:paraId="71035510" w14:textId="77777777" w:rsidR="004760D3" w:rsidRDefault="0038463E" w:rsidP="004760D3">
      <w:pPr>
        <w:spacing w:line="240" w:lineRule="auto"/>
        <w:jc w:val="center"/>
        <w:rPr>
          <w:b/>
        </w:rPr>
      </w:pPr>
      <w:r>
        <w:rPr>
          <w:b/>
        </w:rPr>
        <w:t>DIVISION TWO</w:t>
      </w:r>
    </w:p>
    <w:p w14:paraId="52C77072" w14:textId="27E34525" w:rsidR="004760D3" w:rsidRDefault="004760D3" w:rsidP="004760D3">
      <w:pPr>
        <w:spacing w:line="240" w:lineRule="auto"/>
        <w:jc w:val="center"/>
      </w:pPr>
    </w:p>
    <w:p w14:paraId="54E05982" w14:textId="3DD6AB7D" w:rsidR="004760D3" w:rsidRDefault="004760D3" w:rsidP="004760D3">
      <w:pPr>
        <w:spacing w:line="240" w:lineRule="auto"/>
        <w:jc w:val="center"/>
      </w:pPr>
    </w:p>
    <w:p w14:paraId="6F7DBD63" w14:textId="45D77D25" w:rsidR="004760D3" w:rsidRDefault="004760D3" w:rsidP="004760D3">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A35895" w14:paraId="75F0BFAD" w14:textId="77777777" w:rsidTr="004760D3">
        <w:tc>
          <w:tcPr>
            <w:tcW w:w="4788" w:type="dxa"/>
            <w:tcBorders>
              <w:bottom w:val="single" w:sz="4" w:space="0" w:color="auto"/>
              <w:right w:val="single" w:sz="4" w:space="0" w:color="auto"/>
            </w:tcBorders>
            <w:shd w:val="clear" w:color="auto" w:fill="auto"/>
          </w:tcPr>
          <w:p w14:paraId="53EFC404" w14:textId="7F280A83" w:rsidR="004760D3" w:rsidRDefault="0038463E" w:rsidP="004760D3">
            <w:r>
              <w:t>ALISHA KINNEY,</w:t>
            </w:r>
          </w:p>
          <w:p w14:paraId="14AB7DCD" w14:textId="77777777" w:rsidR="004760D3" w:rsidRDefault="004760D3" w:rsidP="004760D3"/>
          <w:p w14:paraId="70A1D2DB" w14:textId="15F11FE6" w:rsidR="004760D3" w:rsidRDefault="0038463E" w:rsidP="004760D3">
            <w:r>
              <w:tab/>
            </w:r>
            <w:r w:rsidR="00AB16F5">
              <w:t>Plaintiff and Respondent</w:t>
            </w:r>
            <w:r>
              <w:t>,</w:t>
            </w:r>
          </w:p>
          <w:p w14:paraId="5B7FC9EF" w14:textId="77777777" w:rsidR="004760D3" w:rsidRDefault="004760D3" w:rsidP="004760D3"/>
          <w:p w14:paraId="303E9609" w14:textId="77777777" w:rsidR="004760D3" w:rsidRDefault="0038463E" w:rsidP="004760D3">
            <w:r>
              <w:t>v.</w:t>
            </w:r>
          </w:p>
          <w:p w14:paraId="09D2DAAD" w14:textId="77777777" w:rsidR="004760D3" w:rsidRDefault="004760D3" w:rsidP="004760D3"/>
          <w:p w14:paraId="5C5A8AE9" w14:textId="2FD6B23D" w:rsidR="004760D3" w:rsidRDefault="0038463E" w:rsidP="004760D3">
            <w:r>
              <w:t xml:space="preserve">CITY OF CORONA, </w:t>
            </w:r>
          </w:p>
          <w:p w14:paraId="5A809198" w14:textId="77777777" w:rsidR="00AB16F5" w:rsidRDefault="00AB16F5" w:rsidP="004760D3"/>
          <w:p w14:paraId="5E4E117F" w14:textId="243A5E6A" w:rsidR="004760D3" w:rsidRDefault="0038463E" w:rsidP="004760D3">
            <w:r>
              <w:tab/>
            </w:r>
            <w:r w:rsidR="00AB16F5">
              <w:t>Defendant and Appellant</w:t>
            </w:r>
            <w:r>
              <w:t>.</w:t>
            </w:r>
          </w:p>
          <w:p w14:paraId="295C7695" w14:textId="5FEB3B48" w:rsidR="004760D3" w:rsidRDefault="004760D3" w:rsidP="004760D3"/>
        </w:tc>
        <w:tc>
          <w:tcPr>
            <w:tcW w:w="4788" w:type="dxa"/>
            <w:tcBorders>
              <w:left w:val="single" w:sz="4" w:space="0" w:color="auto"/>
            </w:tcBorders>
            <w:shd w:val="clear" w:color="auto" w:fill="auto"/>
          </w:tcPr>
          <w:p w14:paraId="0EE87447" w14:textId="77777777" w:rsidR="004760D3" w:rsidRDefault="004760D3" w:rsidP="004760D3"/>
          <w:p w14:paraId="4A88765F" w14:textId="77777777" w:rsidR="004760D3" w:rsidRDefault="004760D3" w:rsidP="004760D3"/>
          <w:p w14:paraId="2E1BC262" w14:textId="77777777" w:rsidR="004760D3" w:rsidRDefault="0038463E" w:rsidP="004760D3">
            <w:r>
              <w:tab/>
              <w:t>E079840</w:t>
            </w:r>
          </w:p>
          <w:p w14:paraId="772F9D9D" w14:textId="77777777" w:rsidR="004760D3" w:rsidRDefault="004760D3" w:rsidP="004760D3"/>
          <w:p w14:paraId="1B195FAD" w14:textId="77777777" w:rsidR="004760D3" w:rsidRDefault="0038463E" w:rsidP="004760D3">
            <w:r>
              <w:tab/>
              <w:t>(Super.Ct.No. RIC2000404)</w:t>
            </w:r>
          </w:p>
          <w:p w14:paraId="177CD27D" w14:textId="77777777" w:rsidR="004760D3" w:rsidRDefault="004760D3" w:rsidP="004760D3"/>
          <w:p w14:paraId="6048C38A" w14:textId="6CDAD15A" w:rsidR="004760D3" w:rsidRDefault="0038463E" w:rsidP="004760D3">
            <w:r>
              <w:tab/>
              <w:t>OPINION</w:t>
            </w:r>
          </w:p>
          <w:p w14:paraId="5B3E091F" w14:textId="6A231E28" w:rsidR="004760D3" w:rsidRDefault="004760D3" w:rsidP="004760D3"/>
        </w:tc>
      </w:tr>
    </w:tbl>
    <w:p w14:paraId="76E8C9C8" w14:textId="62826B42" w:rsidR="004760D3" w:rsidRPr="00D3700A" w:rsidRDefault="004760D3" w:rsidP="004760D3">
      <w:pPr>
        <w:spacing w:line="480" w:lineRule="auto"/>
      </w:pPr>
    </w:p>
    <w:p w14:paraId="719B8AEE" w14:textId="21255AB5" w:rsidR="004760D3" w:rsidRDefault="0038463E" w:rsidP="00D3700A">
      <w:pPr>
        <w:spacing w:line="480" w:lineRule="auto"/>
      </w:pPr>
      <w:r w:rsidRPr="00D3700A">
        <w:tab/>
        <w:t>APPEAL from the Superior Court of Riverside County.</w:t>
      </w:r>
      <w:r w:rsidR="00D936F6" w:rsidRPr="00D3700A">
        <w:t xml:space="preserve">  Harold W. Hopp, Judge.  </w:t>
      </w:r>
      <w:r w:rsidR="00B06C3C">
        <w:t>Reversed with directions.</w:t>
      </w:r>
    </w:p>
    <w:p w14:paraId="3115A167" w14:textId="308868A4" w:rsidR="008214DB" w:rsidRDefault="0038463E" w:rsidP="00D3700A">
      <w:pPr>
        <w:spacing w:line="480" w:lineRule="auto"/>
      </w:pPr>
      <w:r>
        <w:tab/>
      </w:r>
      <w:r w:rsidR="00046049">
        <w:t>Dean Derleth, City Attorney, John D. Higginbotham and Neil D. Okazaki, Deputy City Attorneys, for Defendant and Appellant.</w:t>
      </w:r>
    </w:p>
    <w:p w14:paraId="7C233913" w14:textId="0C10FDB0" w:rsidR="00046049" w:rsidRDefault="0038463E" w:rsidP="00D3700A">
      <w:pPr>
        <w:spacing w:line="480" w:lineRule="auto"/>
      </w:pPr>
      <w:r>
        <w:tab/>
      </w:r>
      <w:r w:rsidR="008E6D9B">
        <w:t xml:space="preserve">Law Office of </w:t>
      </w:r>
      <w:r w:rsidR="005C406C">
        <w:t xml:space="preserve">Brent </w:t>
      </w:r>
      <w:r w:rsidR="00AF3D56">
        <w:t xml:space="preserve">J. </w:t>
      </w:r>
      <w:r w:rsidR="005C406C">
        <w:t>Borchert</w:t>
      </w:r>
      <w:r w:rsidR="008E6D9B">
        <w:t xml:space="preserve"> and Brent J. Borchert</w:t>
      </w:r>
      <w:r w:rsidR="005C406C">
        <w:t>, for Plaintiff and Respondent.</w:t>
      </w:r>
    </w:p>
    <w:p w14:paraId="069D3964" w14:textId="62491D0D" w:rsidR="004B0FCD" w:rsidRDefault="004B0FCD" w:rsidP="00D3700A">
      <w:pPr>
        <w:spacing w:line="480" w:lineRule="auto"/>
      </w:pPr>
    </w:p>
    <w:p w14:paraId="2F3773CA" w14:textId="04649143" w:rsidR="004760D3" w:rsidRPr="00D3700A" w:rsidRDefault="0038463E" w:rsidP="008E6D9B">
      <w:pPr>
        <w:keepNext/>
        <w:keepLines/>
        <w:spacing w:line="480" w:lineRule="auto"/>
        <w:jc w:val="center"/>
      </w:pPr>
      <w:r>
        <w:lastRenderedPageBreak/>
        <w:t>I.  INTRODUCTION</w:t>
      </w:r>
    </w:p>
    <w:p w14:paraId="29CFA273" w14:textId="49718289" w:rsidR="0007501B" w:rsidRDefault="0038463E" w:rsidP="008E6D9B">
      <w:pPr>
        <w:keepNext/>
        <w:keepLines/>
        <w:spacing w:line="480" w:lineRule="auto"/>
      </w:pPr>
      <w:r>
        <w:tab/>
      </w:r>
      <w:r w:rsidR="00B1108B">
        <w:t xml:space="preserve">On </w:t>
      </w:r>
      <w:r w:rsidR="006246A7">
        <w:t xml:space="preserve">December 23, 2019, </w:t>
      </w:r>
      <w:r w:rsidR="00946F3A">
        <w:t>p</w:t>
      </w:r>
      <w:r w:rsidR="003B0C8C">
        <w:t>laintiff and respondent</w:t>
      </w:r>
      <w:r w:rsidR="00820D91">
        <w:t xml:space="preserve">, </w:t>
      </w:r>
      <w:r w:rsidR="003B0C8C">
        <w:t xml:space="preserve">Alisha </w:t>
      </w:r>
      <w:r w:rsidR="003B4397">
        <w:t>Kinney</w:t>
      </w:r>
      <w:r w:rsidR="00820D91">
        <w:t xml:space="preserve">, </w:t>
      </w:r>
      <w:r w:rsidR="00C97FD6">
        <w:t xml:space="preserve">sent </w:t>
      </w:r>
      <w:r w:rsidR="006854FD">
        <w:t xml:space="preserve">an </w:t>
      </w:r>
      <w:r w:rsidR="000B3170">
        <w:t>e-mail</w:t>
      </w:r>
      <w:r w:rsidR="006854FD">
        <w:t xml:space="preserve"> request </w:t>
      </w:r>
      <w:r w:rsidR="000E2BDD">
        <w:t xml:space="preserve">to </w:t>
      </w:r>
      <w:r w:rsidR="003B0C8C">
        <w:t xml:space="preserve">defendant and appellant, </w:t>
      </w:r>
      <w:r w:rsidR="002C7E38">
        <w:t>City of Corona</w:t>
      </w:r>
      <w:r w:rsidR="003B0C8C">
        <w:t xml:space="preserve"> (City), </w:t>
      </w:r>
      <w:r w:rsidR="000E2BDD">
        <w:t xml:space="preserve">asking City </w:t>
      </w:r>
      <w:r w:rsidR="003B0C8C">
        <w:t>to</w:t>
      </w:r>
      <w:r w:rsidR="000E2BDD">
        <w:t xml:space="preserve"> </w:t>
      </w:r>
      <w:r w:rsidR="0061257A">
        <w:t xml:space="preserve">make a public record available to Kinney: </w:t>
      </w:r>
      <w:r w:rsidR="0050677D">
        <w:t xml:space="preserve"> </w:t>
      </w:r>
      <w:r w:rsidR="003B0C8C">
        <w:t xml:space="preserve">the name </w:t>
      </w:r>
      <w:r w:rsidR="00A042B4">
        <w:t xml:space="preserve">of the owner of a vehicle </w:t>
      </w:r>
      <w:r w:rsidR="008B610E">
        <w:t>reported stolen</w:t>
      </w:r>
      <w:r w:rsidR="003D3554">
        <w:t xml:space="preserve"> </w:t>
      </w:r>
      <w:r w:rsidR="00811D08">
        <w:t xml:space="preserve">in City </w:t>
      </w:r>
      <w:r w:rsidR="00A14D18">
        <w:t xml:space="preserve">on </w:t>
      </w:r>
      <w:r w:rsidR="003D3554">
        <w:t xml:space="preserve">May </w:t>
      </w:r>
      <w:r w:rsidR="00A14D18">
        <w:t xml:space="preserve">23, </w:t>
      </w:r>
      <w:r w:rsidR="003D3554">
        <w:t>2019</w:t>
      </w:r>
      <w:r w:rsidR="00844571">
        <w:t>, according to an online news article</w:t>
      </w:r>
      <w:r w:rsidR="0055592A">
        <w:t>.</w:t>
      </w:r>
      <w:r w:rsidR="00D3700A">
        <w:t xml:space="preserve">  </w:t>
      </w:r>
      <w:r w:rsidR="00F31A5E">
        <w:t xml:space="preserve">(Gov. Code, </w:t>
      </w:r>
      <w:r w:rsidR="00B60DD1">
        <w:t xml:space="preserve">former </w:t>
      </w:r>
      <w:r w:rsidR="00F31A5E">
        <w:t>§</w:t>
      </w:r>
      <w:r w:rsidR="00B60DD1">
        <w:t> </w:t>
      </w:r>
      <w:r w:rsidR="00F31A5E">
        <w:t>6254, subd. (f)(2)(A).</w:t>
      </w:r>
      <w:r w:rsidR="00151881">
        <w:t xml:space="preserve">)  </w:t>
      </w:r>
      <w:r>
        <w:t xml:space="preserve">Kinney’s request is governed by the California Public Records Act (the CRPA), codified at </w:t>
      </w:r>
      <w:r w:rsidR="00D71ABC">
        <w:t xml:space="preserve">Government Code </w:t>
      </w:r>
      <w:r w:rsidR="00B60DD1">
        <w:t xml:space="preserve">former </w:t>
      </w:r>
      <w:r>
        <w:t>section 6250 et. seq.</w:t>
      </w:r>
      <w:r>
        <w:rPr>
          <w:rStyle w:val="FootnoteReference"/>
        </w:rPr>
        <w:footnoteReference w:id="2"/>
      </w:r>
    </w:p>
    <w:p w14:paraId="526AA218" w14:textId="6E45E1B1" w:rsidR="00CA224E" w:rsidRPr="00912C5F" w:rsidRDefault="0038463E" w:rsidP="007603A9">
      <w:pPr>
        <w:spacing w:line="480" w:lineRule="auto"/>
      </w:pPr>
      <w:r>
        <w:tab/>
      </w:r>
      <w:r w:rsidR="00573FB5">
        <w:t xml:space="preserve">On January 6, 2020, </w:t>
      </w:r>
      <w:r w:rsidR="00586EC2">
        <w:t xml:space="preserve">City </w:t>
      </w:r>
      <w:r w:rsidR="001E154A">
        <w:t>denied Kinney’s request</w:t>
      </w:r>
      <w:r w:rsidR="00821837">
        <w:t xml:space="preserve"> on the ground </w:t>
      </w:r>
      <w:r w:rsidR="001E154A">
        <w:t xml:space="preserve">the </w:t>
      </w:r>
      <w:r w:rsidR="00821837">
        <w:t xml:space="preserve">stolen </w:t>
      </w:r>
      <w:r w:rsidR="00D815A0">
        <w:t xml:space="preserve">vehicle </w:t>
      </w:r>
      <w:r w:rsidR="00C417D0">
        <w:t>owner</w:t>
      </w:r>
      <w:r w:rsidR="008829AA">
        <w:t xml:space="preserve">’s name </w:t>
      </w:r>
      <w:r w:rsidR="001C3E39">
        <w:t xml:space="preserve">was </w:t>
      </w:r>
      <w:r w:rsidR="001E154A">
        <w:t xml:space="preserve">“confidential.”  </w:t>
      </w:r>
      <w:r w:rsidR="00586EC2">
        <w:t>(</w:t>
      </w:r>
      <w:r w:rsidR="00D71ABC">
        <w:t xml:space="preserve">Gov. Code, </w:t>
      </w:r>
      <w:r w:rsidR="0021567D">
        <w:t xml:space="preserve">former </w:t>
      </w:r>
      <w:r w:rsidR="00586EC2">
        <w:t xml:space="preserve">§ 6259, subd. (a).)  </w:t>
      </w:r>
      <w:r w:rsidR="00573FB5">
        <w:t xml:space="preserve">On January 28, </w:t>
      </w:r>
      <w:r w:rsidR="006D616E">
        <w:t>Kinney</w:t>
      </w:r>
      <w:r w:rsidR="003763E9">
        <w:t xml:space="preserve"> </w:t>
      </w:r>
      <w:r w:rsidR="006D616E">
        <w:t xml:space="preserve">petitioned the </w:t>
      </w:r>
      <w:r w:rsidR="00061F80">
        <w:t xml:space="preserve">superior </w:t>
      </w:r>
      <w:r w:rsidR="006D616E">
        <w:t xml:space="preserve">court </w:t>
      </w:r>
      <w:r w:rsidR="006E3568">
        <w:t xml:space="preserve">for declaratory relief </w:t>
      </w:r>
      <w:r w:rsidR="004C7014">
        <w:t xml:space="preserve">and </w:t>
      </w:r>
      <w:r w:rsidR="006E3568">
        <w:t xml:space="preserve">a writ of mandate ordering </w:t>
      </w:r>
      <w:r w:rsidR="006D616E">
        <w:t xml:space="preserve">City to </w:t>
      </w:r>
      <w:r w:rsidR="00F31A5E">
        <w:t xml:space="preserve">disclose </w:t>
      </w:r>
      <w:r w:rsidR="006D616E">
        <w:t xml:space="preserve">the </w:t>
      </w:r>
      <w:r w:rsidR="00D815A0">
        <w:t>name</w:t>
      </w:r>
      <w:r w:rsidR="006E3568">
        <w:t xml:space="preserve">.  </w:t>
      </w:r>
      <w:r w:rsidR="00C447B7">
        <w:t xml:space="preserve">On </w:t>
      </w:r>
      <w:r w:rsidR="00C90FF0">
        <w:t xml:space="preserve">May </w:t>
      </w:r>
      <w:r w:rsidR="00022F00">
        <w:t>3</w:t>
      </w:r>
      <w:r w:rsidR="001E6A28">
        <w:t>,</w:t>
      </w:r>
      <w:r w:rsidR="00C90FF0">
        <w:t xml:space="preserve"> 2021</w:t>
      </w:r>
      <w:r w:rsidR="006F1D10">
        <w:t xml:space="preserve">, </w:t>
      </w:r>
      <w:r w:rsidR="00C447B7">
        <w:t xml:space="preserve">following </w:t>
      </w:r>
      <w:r w:rsidR="0050677D">
        <w:t xml:space="preserve">a </w:t>
      </w:r>
      <w:r w:rsidR="00C447B7">
        <w:t xml:space="preserve">trial on </w:t>
      </w:r>
      <w:r w:rsidR="004C7014">
        <w:t xml:space="preserve">the </w:t>
      </w:r>
      <w:r w:rsidR="00C447B7">
        <w:t xml:space="preserve">petition, </w:t>
      </w:r>
      <w:r w:rsidR="00C90FF0">
        <w:t xml:space="preserve">the court ordered </w:t>
      </w:r>
      <w:r w:rsidR="00FF144B">
        <w:t>C</w:t>
      </w:r>
      <w:r w:rsidR="00C90FF0">
        <w:t xml:space="preserve">ity to </w:t>
      </w:r>
      <w:r w:rsidR="00F31A5E">
        <w:t xml:space="preserve">disclose </w:t>
      </w:r>
      <w:r w:rsidR="00C90FF0">
        <w:t>the name to Kinney.</w:t>
      </w:r>
      <w:r w:rsidR="0047790A">
        <w:t xml:space="preserve"> </w:t>
      </w:r>
      <w:r w:rsidR="007C7509">
        <w:t>(</w:t>
      </w:r>
      <w:r w:rsidR="00D71ABC">
        <w:t>Gov. Code</w:t>
      </w:r>
      <w:r w:rsidR="0021567D">
        <w:t>, former</w:t>
      </w:r>
      <w:r w:rsidR="00D71ABC">
        <w:t xml:space="preserve"> </w:t>
      </w:r>
      <w:r w:rsidR="004B41A7">
        <w:t>§</w:t>
      </w:r>
      <w:r w:rsidR="008B2BBA">
        <w:t xml:space="preserve"> </w:t>
      </w:r>
      <w:r w:rsidR="007C7509">
        <w:t xml:space="preserve">6254, subd. (f).)  </w:t>
      </w:r>
      <w:r w:rsidR="001A6D5C">
        <w:t xml:space="preserve">On July 1, 2021, this </w:t>
      </w:r>
      <w:r w:rsidR="003912CB">
        <w:t xml:space="preserve">court denied </w:t>
      </w:r>
      <w:r w:rsidR="0047790A">
        <w:t>C</w:t>
      </w:r>
      <w:r w:rsidR="002957C9">
        <w:t xml:space="preserve">ity’s </w:t>
      </w:r>
      <w:r w:rsidR="008D74F7">
        <w:t xml:space="preserve">petition </w:t>
      </w:r>
      <w:r w:rsidR="006F1D10">
        <w:t xml:space="preserve">to this court </w:t>
      </w:r>
      <w:r w:rsidR="004C7014">
        <w:t xml:space="preserve">for an extraordinary writ </w:t>
      </w:r>
      <w:r w:rsidR="00F31A5E">
        <w:t xml:space="preserve">directing the </w:t>
      </w:r>
      <w:r w:rsidR="006F1D10">
        <w:t xml:space="preserve">superior </w:t>
      </w:r>
      <w:r w:rsidR="00F31A5E">
        <w:t xml:space="preserve">court to </w:t>
      </w:r>
      <w:r w:rsidR="001F1D51">
        <w:t xml:space="preserve">set aside </w:t>
      </w:r>
      <w:r w:rsidR="00886572">
        <w:t xml:space="preserve">the </w:t>
      </w:r>
      <w:r w:rsidR="00EC33FE">
        <w:t xml:space="preserve">May 3, 2021 </w:t>
      </w:r>
      <w:r w:rsidR="005514C7">
        <w:t>o</w:t>
      </w:r>
      <w:r w:rsidR="003912CB">
        <w:t>rder.</w:t>
      </w:r>
      <w:r w:rsidR="00403D11">
        <w:t xml:space="preserve">  </w:t>
      </w:r>
      <w:r w:rsidR="00F708EF">
        <w:t>(</w:t>
      </w:r>
      <w:r w:rsidR="00D71ABC">
        <w:t>Gov. Code</w:t>
      </w:r>
      <w:r w:rsidR="0021567D">
        <w:t xml:space="preserve">, former </w:t>
      </w:r>
      <w:r w:rsidR="00F708EF">
        <w:t>§</w:t>
      </w:r>
      <w:r w:rsidR="002650A9">
        <w:t> </w:t>
      </w:r>
      <w:r w:rsidR="00F708EF">
        <w:t xml:space="preserve">6259, subd. (c).)  </w:t>
      </w:r>
      <w:r w:rsidR="00651C00" w:rsidRPr="00912C5F">
        <w:t>Kinney later filed a motion for attorney fees</w:t>
      </w:r>
      <w:r w:rsidR="00C0029E" w:rsidRPr="00912C5F">
        <w:t>, and</w:t>
      </w:r>
      <w:r w:rsidR="005E1036">
        <w:t xml:space="preserve">, </w:t>
      </w:r>
      <w:r w:rsidR="00C0029E" w:rsidRPr="00912C5F">
        <w:t xml:space="preserve">on </w:t>
      </w:r>
      <w:r w:rsidR="00D01D32" w:rsidRPr="00912C5F">
        <w:t>August 2, 2022</w:t>
      </w:r>
      <w:r w:rsidR="005E1036">
        <w:t xml:space="preserve">, </w:t>
      </w:r>
      <w:r w:rsidR="00F151FD" w:rsidRPr="00912C5F">
        <w:t>the</w:t>
      </w:r>
      <w:r w:rsidR="005E1036">
        <w:t xml:space="preserve"> trial </w:t>
      </w:r>
      <w:r w:rsidR="00F151FD" w:rsidRPr="00912C5F">
        <w:t xml:space="preserve">court entered </w:t>
      </w:r>
      <w:r w:rsidR="00447E94" w:rsidRPr="00912C5F">
        <w:t xml:space="preserve">judgment awarding Kinney </w:t>
      </w:r>
      <w:r w:rsidR="003E73BA" w:rsidRPr="00912C5F">
        <w:t>$43,</w:t>
      </w:r>
      <w:r w:rsidR="00B8269B" w:rsidRPr="00912C5F">
        <w:t>3</w:t>
      </w:r>
      <w:r w:rsidR="003E73BA" w:rsidRPr="00912C5F">
        <w:t>00 in attorney fees.</w:t>
      </w:r>
      <w:r w:rsidR="00BB750D" w:rsidRPr="00912C5F">
        <w:t xml:space="preserve"> </w:t>
      </w:r>
      <w:r w:rsidR="003E73BA" w:rsidRPr="00912C5F">
        <w:t xml:space="preserve"> </w:t>
      </w:r>
      <w:r w:rsidR="00C05301" w:rsidRPr="00912C5F">
        <w:t>(Gov. Code, former § 6259, subd. (d).)</w:t>
      </w:r>
    </w:p>
    <w:p w14:paraId="1EBD4089" w14:textId="02235D7F" w:rsidR="00361871" w:rsidRDefault="0038463E" w:rsidP="007603A9">
      <w:pPr>
        <w:spacing w:line="480" w:lineRule="auto"/>
      </w:pPr>
      <w:r>
        <w:lastRenderedPageBreak/>
        <w:tab/>
      </w:r>
      <w:r w:rsidR="00496682">
        <w:t>City appeal</w:t>
      </w:r>
      <w:r w:rsidR="003E2BC7">
        <w:t>s</w:t>
      </w:r>
      <w:r w:rsidR="00496682">
        <w:t xml:space="preserve"> </w:t>
      </w:r>
      <w:r w:rsidR="003E2BC7">
        <w:t xml:space="preserve">from </w:t>
      </w:r>
      <w:r w:rsidR="00496682">
        <w:t xml:space="preserve">the judgment </w:t>
      </w:r>
      <w:r w:rsidR="00087F68">
        <w:t xml:space="preserve">awarding Kinney $43,300 in attorney fees.  </w:t>
      </w:r>
      <w:r w:rsidR="000C0C62">
        <w:t xml:space="preserve">City claims Kinney </w:t>
      </w:r>
      <w:r w:rsidR="004C7014">
        <w:t xml:space="preserve">is </w:t>
      </w:r>
      <w:r w:rsidR="000C0C62">
        <w:t xml:space="preserve">not entitled to </w:t>
      </w:r>
      <w:r w:rsidR="00537DE4">
        <w:t xml:space="preserve">recover </w:t>
      </w:r>
      <w:r w:rsidR="000C0C62">
        <w:t xml:space="preserve">any </w:t>
      </w:r>
      <w:r w:rsidR="00537DE4">
        <w:t xml:space="preserve">of her </w:t>
      </w:r>
      <w:r w:rsidR="004C7014">
        <w:t xml:space="preserve">attorney </w:t>
      </w:r>
      <w:r w:rsidR="000C0C62">
        <w:t xml:space="preserve">fees because </w:t>
      </w:r>
      <w:r w:rsidR="00537DE4">
        <w:t xml:space="preserve">she </w:t>
      </w:r>
      <w:r w:rsidR="000C0C62">
        <w:t>was not the prevailing party on her CPRA petition</w:t>
      </w:r>
      <w:r w:rsidR="004C7014">
        <w:t xml:space="preserve">, given that </w:t>
      </w:r>
      <w:r w:rsidR="002011B2">
        <w:t xml:space="preserve">her </w:t>
      </w:r>
      <w:r w:rsidR="004C7014">
        <w:t xml:space="preserve">petition was </w:t>
      </w:r>
      <w:r w:rsidR="000C0C62">
        <w:t>not the “catalyst” that caused City to disclose the crime victim’s name</w:t>
      </w:r>
      <w:r w:rsidR="002011B2">
        <w:t xml:space="preserve"> to a member of the public</w:t>
      </w:r>
      <w:r w:rsidR="004C7014">
        <w:t xml:space="preserve">.  </w:t>
      </w:r>
      <w:r w:rsidR="002D172C">
        <w:t>(Gov. Code, f</w:t>
      </w:r>
      <w:r w:rsidR="00A60E5B">
        <w:t xml:space="preserve">ormer </w:t>
      </w:r>
      <w:r w:rsidR="002D172C">
        <w:t xml:space="preserve">§ 6259, subd. (d).)  </w:t>
      </w:r>
      <w:r w:rsidR="004C7014">
        <w:t xml:space="preserve">Rather, </w:t>
      </w:r>
      <w:r w:rsidR="005E5B0E">
        <w:t xml:space="preserve">on February </w:t>
      </w:r>
      <w:r w:rsidR="001D07B7">
        <w:t>2</w:t>
      </w:r>
      <w:r w:rsidR="005E5B0E">
        <w:t>0, 20</w:t>
      </w:r>
      <w:r w:rsidR="002B5285">
        <w:t>20</w:t>
      </w:r>
      <w:r w:rsidR="005E5B0E">
        <w:t xml:space="preserve">, </w:t>
      </w:r>
      <w:r w:rsidR="004C7014">
        <w:t xml:space="preserve">before City disclosed the name to Kinney, </w:t>
      </w:r>
      <w:r w:rsidR="000C0C62">
        <w:t>City disclosed the name to Ronald Austin</w:t>
      </w:r>
      <w:r w:rsidR="005E5B0E">
        <w:t xml:space="preserve"> </w:t>
      </w:r>
      <w:r w:rsidR="004C7014">
        <w:t xml:space="preserve">pursuant to Austin’s CPRA request for the name.  Austin was </w:t>
      </w:r>
      <w:r w:rsidR="000C0C62">
        <w:t>a client of attorney</w:t>
      </w:r>
      <w:r w:rsidR="004C7014">
        <w:t xml:space="preserve"> </w:t>
      </w:r>
      <w:r w:rsidR="000C0C62">
        <w:t>Brent Borchert</w:t>
      </w:r>
      <w:r w:rsidR="00F02F5F">
        <w:t>, and</w:t>
      </w:r>
      <w:r w:rsidR="00842992">
        <w:t xml:space="preserve">, on May 20, 2020, </w:t>
      </w:r>
      <w:r w:rsidR="00D86B4D">
        <w:t xml:space="preserve">Borchert </w:t>
      </w:r>
      <w:r w:rsidR="000C0C62">
        <w:t xml:space="preserve">became Kinney’s attorney of record </w:t>
      </w:r>
      <w:r w:rsidR="004C7014">
        <w:t>on Kinney’s CPRA petition against City.</w:t>
      </w:r>
      <w:r w:rsidR="00344B26">
        <w:tab/>
      </w:r>
      <w:r w:rsidR="000C0C62">
        <w:t>City claims Austin’s knowledge of the name was imputed to Kinney through Borchert</w:t>
      </w:r>
      <w:r w:rsidR="00776F60">
        <w:t xml:space="preserve">, </w:t>
      </w:r>
      <w:r w:rsidR="00E0503D">
        <w:t xml:space="preserve">as soon as </w:t>
      </w:r>
      <w:r w:rsidR="00231186">
        <w:t xml:space="preserve">Borchert became </w:t>
      </w:r>
      <w:r w:rsidR="00842992">
        <w:t xml:space="preserve">Kinney’s attorney of record in this </w:t>
      </w:r>
      <w:r w:rsidR="00776F60">
        <w:t>case</w:t>
      </w:r>
      <w:r w:rsidR="00842992">
        <w:t xml:space="preserve">.  </w:t>
      </w:r>
      <w:r w:rsidR="000C0C62">
        <w:t>(Civ. Code, §</w:t>
      </w:r>
      <w:r w:rsidR="004B326D">
        <w:t> </w:t>
      </w:r>
      <w:r w:rsidR="000C0C62">
        <w:t>2332</w:t>
      </w:r>
      <w:r w:rsidR="00842992">
        <w:t>.</w:t>
      </w:r>
      <w:r w:rsidR="000C0C62">
        <w:t>)</w:t>
      </w:r>
      <w:r w:rsidR="00842992">
        <w:t xml:space="preserve">  Thus, </w:t>
      </w:r>
      <w:r w:rsidR="002011B2">
        <w:t xml:space="preserve">City argues </w:t>
      </w:r>
      <w:r w:rsidR="00653375">
        <w:t xml:space="preserve">Kinney’s petition </w:t>
      </w:r>
      <w:r w:rsidR="002011B2">
        <w:t xml:space="preserve">became </w:t>
      </w:r>
      <w:r w:rsidR="00653375">
        <w:t xml:space="preserve">moot </w:t>
      </w:r>
      <w:r w:rsidR="00E0503D">
        <w:t xml:space="preserve">following </w:t>
      </w:r>
      <w:r w:rsidR="00653375">
        <w:t xml:space="preserve">City’s disclosure </w:t>
      </w:r>
      <w:r w:rsidR="004C7014">
        <w:t xml:space="preserve">of the name </w:t>
      </w:r>
      <w:r w:rsidR="00653375">
        <w:t>to Austi</w:t>
      </w:r>
      <w:r w:rsidR="002011B2">
        <w:t>n</w:t>
      </w:r>
      <w:r w:rsidR="002D172C">
        <w:t xml:space="preserve">, </w:t>
      </w:r>
      <w:r w:rsidR="00D3113E">
        <w:t xml:space="preserve">and </w:t>
      </w:r>
      <w:r w:rsidR="002D172C">
        <w:t>Kinney</w:t>
      </w:r>
      <w:r w:rsidR="00D3113E">
        <w:t xml:space="preserve">, therefore, is not </w:t>
      </w:r>
      <w:r w:rsidR="002D172C">
        <w:t xml:space="preserve">the prevailing party on her </w:t>
      </w:r>
      <w:r w:rsidR="00520F10">
        <w:t xml:space="preserve">CPRA </w:t>
      </w:r>
      <w:r w:rsidR="002D172C">
        <w:t>petition</w:t>
      </w:r>
      <w:r w:rsidR="00520F10">
        <w:t xml:space="preserve"> against City to disclose the name.</w:t>
      </w:r>
    </w:p>
    <w:p w14:paraId="33729E52" w14:textId="3BE25D25" w:rsidR="00D13B04" w:rsidRDefault="0038463E" w:rsidP="007603A9">
      <w:pPr>
        <w:spacing w:line="480" w:lineRule="auto"/>
      </w:pPr>
      <w:r>
        <w:tab/>
      </w:r>
      <w:r w:rsidR="002D3080">
        <w:t xml:space="preserve">City </w:t>
      </w:r>
      <w:r w:rsidR="00F2592C">
        <w:t xml:space="preserve">also </w:t>
      </w:r>
      <w:r w:rsidR="002D3080">
        <w:t>claims</w:t>
      </w:r>
      <w:r w:rsidR="002011B2">
        <w:t xml:space="preserve">, and principally argues, that </w:t>
      </w:r>
      <w:r w:rsidR="00034EF4">
        <w:t xml:space="preserve">the </w:t>
      </w:r>
      <w:r w:rsidR="002011B2">
        <w:t xml:space="preserve">trial </w:t>
      </w:r>
      <w:r w:rsidR="00034EF4">
        <w:t>court</w:t>
      </w:r>
      <w:r w:rsidR="003C440D">
        <w:t xml:space="preserve"> </w:t>
      </w:r>
      <w:r w:rsidR="00034EF4">
        <w:t>erroneou</w:t>
      </w:r>
      <w:r w:rsidR="00652252">
        <w:t>s</w:t>
      </w:r>
      <w:r w:rsidR="00034EF4">
        <w:t xml:space="preserve">ly refused to </w:t>
      </w:r>
      <w:r w:rsidR="00EC26DE">
        <w:t>enforce City’s Code of Civil Procedure section 998</w:t>
      </w:r>
      <w:r>
        <w:rPr>
          <w:rStyle w:val="FootnoteReference"/>
        </w:rPr>
        <w:footnoteReference w:id="3"/>
      </w:r>
      <w:r w:rsidR="00EC26DE">
        <w:t xml:space="preserve"> offer</w:t>
      </w:r>
      <w:r w:rsidR="002011B2">
        <w:t xml:space="preserve"> to Kinney</w:t>
      </w:r>
      <w:r w:rsidR="008E3467">
        <w:t>, served on February 14, 2020</w:t>
      </w:r>
      <w:r w:rsidR="00A22FBD">
        <w:t>,</w:t>
      </w:r>
      <w:r w:rsidR="00F2592C">
        <w:t xml:space="preserve"> </w:t>
      </w:r>
      <w:r w:rsidR="0090435F">
        <w:t>offer</w:t>
      </w:r>
      <w:r w:rsidR="00A22FBD">
        <w:t xml:space="preserve">ing </w:t>
      </w:r>
      <w:r w:rsidR="00954DD7">
        <w:t xml:space="preserve">to </w:t>
      </w:r>
      <w:r w:rsidR="00C1175E">
        <w:t xml:space="preserve">disclose </w:t>
      </w:r>
      <w:r w:rsidR="00702F10">
        <w:t xml:space="preserve">the </w:t>
      </w:r>
      <w:r w:rsidR="0063295D">
        <w:t xml:space="preserve">vehicle owner’s </w:t>
      </w:r>
      <w:r w:rsidR="00702F10">
        <w:t xml:space="preserve">name and </w:t>
      </w:r>
      <w:r w:rsidR="002011B2">
        <w:t xml:space="preserve">to </w:t>
      </w:r>
      <w:r w:rsidR="00702F10">
        <w:t xml:space="preserve">pay Kinney $2,500 in </w:t>
      </w:r>
      <w:r w:rsidR="008E3467">
        <w:t xml:space="preserve">costs and </w:t>
      </w:r>
      <w:r w:rsidR="00702F10">
        <w:t>attorney fees</w:t>
      </w:r>
      <w:r w:rsidR="00297B45">
        <w:t>.</w:t>
      </w:r>
      <w:r w:rsidR="008E3467">
        <w:t xml:space="preserve">  </w:t>
      </w:r>
      <w:r w:rsidR="00297B45">
        <w:t xml:space="preserve">City claims the court </w:t>
      </w:r>
      <w:r w:rsidR="00F2592C">
        <w:t xml:space="preserve">erroneously concluded </w:t>
      </w:r>
      <w:r>
        <w:t xml:space="preserve">that </w:t>
      </w:r>
      <w:r w:rsidR="008F089B">
        <w:t xml:space="preserve">the offer was </w:t>
      </w:r>
      <w:r w:rsidR="002011B2">
        <w:t xml:space="preserve">invalid because it was </w:t>
      </w:r>
      <w:r w:rsidR="008F089B">
        <w:t>ambiguous</w:t>
      </w:r>
      <w:r w:rsidR="008E3467">
        <w:t xml:space="preserve"> on the question of </w:t>
      </w:r>
      <w:r w:rsidR="007E56BC" w:rsidRPr="007E56BC">
        <w:rPr>
          <w:i/>
          <w:iCs/>
        </w:rPr>
        <w:t>to whom</w:t>
      </w:r>
      <w:r w:rsidR="007E56BC">
        <w:t xml:space="preserve"> City </w:t>
      </w:r>
      <w:r w:rsidR="00297B45">
        <w:t xml:space="preserve">was offering to </w:t>
      </w:r>
      <w:r w:rsidR="007E56BC">
        <w:t xml:space="preserve">disclose the </w:t>
      </w:r>
      <w:r w:rsidR="00F97FD0">
        <w:t>crime victim’s name</w:t>
      </w:r>
      <w:r w:rsidR="00297B45">
        <w:t>—to Kinney</w:t>
      </w:r>
      <w:r w:rsidR="00F97FD0">
        <w:t xml:space="preserve"> or a third </w:t>
      </w:r>
      <w:r w:rsidR="00E672D0">
        <w:t xml:space="preserve">party </w:t>
      </w:r>
      <w:r w:rsidR="00F97FD0">
        <w:t>such as Austin.</w:t>
      </w:r>
      <w:r w:rsidR="002011B2">
        <w:t xml:space="preserve">  City claims the offer was </w:t>
      </w:r>
      <w:r w:rsidR="00D41EFC">
        <w:t xml:space="preserve">unambiguous, and therefore </w:t>
      </w:r>
      <w:r w:rsidR="002011B2">
        <w:t>valid</w:t>
      </w:r>
      <w:r w:rsidR="00D41EFC">
        <w:t xml:space="preserve">, </w:t>
      </w:r>
      <w:r w:rsidR="002011B2">
        <w:t xml:space="preserve">because no extrinsic evidence shows </w:t>
      </w:r>
      <w:r w:rsidR="002011B2">
        <w:lastRenderedPageBreak/>
        <w:t xml:space="preserve">that, at the time the offer was made, Kinney had any reason to believe </w:t>
      </w:r>
      <w:r w:rsidR="00412F38">
        <w:t xml:space="preserve">the offer was </w:t>
      </w:r>
      <w:r w:rsidR="002011B2">
        <w:t>to</w:t>
      </w:r>
      <w:r w:rsidR="00412F38">
        <w:t xml:space="preserve"> </w:t>
      </w:r>
      <w:r w:rsidR="002011B2">
        <w:t>disclose the name to a third party, such as Austin, rather than to Kinney.</w:t>
      </w:r>
    </w:p>
    <w:p w14:paraId="2C260270" w14:textId="3FF8DE2F" w:rsidR="00792864" w:rsidRDefault="0038463E" w:rsidP="007603A9">
      <w:pPr>
        <w:spacing w:line="480" w:lineRule="auto"/>
      </w:pPr>
      <w:r>
        <w:tab/>
      </w:r>
      <w:r w:rsidR="00884391">
        <w:t xml:space="preserve">We </w:t>
      </w:r>
      <w:r w:rsidR="0096263B">
        <w:t xml:space="preserve">conclude </w:t>
      </w:r>
      <w:r w:rsidR="00DD4BCD">
        <w:t xml:space="preserve">substantial evidence supports the </w:t>
      </w:r>
      <w:r w:rsidR="00826AAB">
        <w:t xml:space="preserve">court’s </w:t>
      </w:r>
      <w:r w:rsidR="00DD4BCD">
        <w:t>implied finding</w:t>
      </w:r>
      <w:r w:rsidR="0015294C">
        <w:t xml:space="preserve"> </w:t>
      </w:r>
      <w:r w:rsidR="00DD4BCD">
        <w:t xml:space="preserve">that </w:t>
      </w:r>
      <w:r w:rsidR="0096263B">
        <w:t>Kinney was the prevailing party on her CPRA petition.  (Gov</w:t>
      </w:r>
      <w:r w:rsidR="00DD4BCD">
        <w:t xml:space="preserve">. Code, </w:t>
      </w:r>
      <w:r w:rsidR="00BA7694">
        <w:t xml:space="preserve">former </w:t>
      </w:r>
      <w:r w:rsidR="00DD4BCD">
        <w:t xml:space="preserve">§ 6259, subd. (d).)  </w:t>
      </w:r>
      <w:r w:rsidR="0096263B">
        <w:t xml:space="preserve">As </w:t>
      </w:r>
      <w:r w:rsidR="00591B4F">
        <w:t>the prevailing party</w:t>
      </w:r>
      <w:r w:rsidR="00FB157E">
        <w:t xml:space="preserve">, </w:t>
      </w:r>
      <w:r w:rsidR="00DD4BCD">
        <w:t xml:space="preserve">Kinney </w:t>
      </w:r>
      <w:r w:rsidR="00E672D0">
        <w:t xml:space="preserve">is </w:t>
      </w:r>
      <w:r w:rsidR="00DD4BCD">
        <w:t>entitled to recover her costs and reasonable attorney fees from City.  (</w:t>
      </w:r>
      <w:r w:rsidR="00DD4BCD" w:rsidRPr="00DD4BCD">
        <w:rPr>
          <w:i/>
          <w:iCs/>
        </w:rPr>
        <w:t>Ibid</w:t>
      </w:r>
      <w:r w:rsidR="00DD4BCD">
        <w:t>.)</w:t>
      </w:r>
      <w:r w:rsidR="00591B4F">
        <w:t xml:space="preserve">  </w:t>
      </w:r>
      <w:r w:rsidR="00DD4BCD">
        <w:t xml:space="preserve">But City’s </w:t>
      </w:r>
      <w:r w:rsidR="00891D53">
        <w:t xml:space="preserve">February 14, </w:t>
      </w:r>
      <w:r w:rsidR="00C20DBE">
        <w:t xml:space="preserve">2020 </w:t>
      </w:r>
      <w:r w:rsidR="00DD4BCD">
        <w:t xml:space="preserve">section 998 </w:t>
      </w:r>
      <w:r w:rsidR="0015294C">
        <w:t xml:space="preserve">offer </w:t>
      </w:r>
      <w:r w:rsidR="00891D53">
        <w:t xml:space="preserve">to Kinney </w:t>
      </w:r>
      <w:r w:rsidR="0015294C">
        <w:t xml:space="preserve">was </w:t>
      </w:r>
      <w:r w:rsidR="008F6624">
        <w:t>un</w:t>
      </w:r>
      <w:r w:rsidR="0015294C">
        <w:t>ambiguous</w:t>
      </w:r>
      <w:r w:rsidR="00292A7E">
        <w:t xml:space="preserve">, valid and enforceable.  </w:t>
      </w:r>
      <w:r w:rsidR="008F6624">
        <w:t xml:space="preserve">No </w:t>
      </w:r>
      <w:r w:rsidR="00526566">
        <w:t>extrinsic shows that, when the offer was made</w:t>
      </w:r>
      <w:r w:rsidR="008F6624">
        <w:t>,</w:t>
      </w:r>
      <w:r w:rsidR="00526566">
        <w:t xml:space="preserve"> Kinney had any reason to believe the offer was to disclose the name to a third party, such as Austin, </w:t>
      </w:r>
      <w:r w:rsidR="00C575DC">
        <w:t xml:space="preserve">rather than to </w:t>
      </w:r>
      <w:r w:rsidR="00526566">
        <w:t xml:space="preserve">Kinney.  </w:t>
      </w:r>
      <w:r w:rsidR="00292A7E">
        <w:t>Furthe</w:t>
      </w:r>
      <w:r w:rsidR="00B559D6">
        <w:t>r</w:t>
      </w:r>
      <w:r w:rsidR="00292A7E">
        <w:t xml:space="preserve">, </w:t>
      </w:r>
      <w:r w:rsidR="0029091E">
        <w:t xml:space="preserve">Kinney did not obtain a more favorable result on her CPRA petition.  </w:t>
      </w:r>
      <w:r w:rsidR="00292A7E">
        <w:t>Thus, t</w:t>
      </w:r>
      <w:r w:rsidR="00891D53">
        <w:t xml:space="preserve">he offer </w:t>
      </w:r>
      <w:r w:rsidR="0029091E">
        <w:t xml:space="preserve">cut off </w:t>
      </w:r>
      <w:r w:rsidR="0015294C">
        <w:t>Kinney’s</w:t>
      </w:r>
      <w:r w:rsidR="00072569">
        <w:t xml:space="preserve"> </w:t>
      </w:r>
      <w:r w:rsidR="0029091E">
        <w:t xml:space="preserve">right </w:t>
      </w:r>
      <w:r w:rsidR="00072569">
        <w:t>to</w:t>
      </w:r>
      <w:r w:rsidR="0029091E">
        <w:t xml:space="preserve"> recover </w:t>
      </w:r>
      <w:r w:rsidR="00434A3B">
        <w:t xml:space="preserve">her </w:t>
      </w:r>
      <w:r w:rsidR="00613950" w:rsidRPr="00072569">
        <w:rPr>
          <w:i/>
          <w:iCs/>
        </w:rPr>
        <w:t>p</w:t>
      </w:r>
      <w:r w:rsidR="0029091E">
        <w:rPr>
          <w:i/>
          <w:iCs/>
        </w:rPr>
        <w:t xml:space="preserve">ostoffer </w:t>
      </w:r>
      <w:r w:rsidR="00613950">
        <w:t>costs and attorney fees</w:t>
      </w:r>
      <w:r w:rsidR="0015294C">
        <w:t xml:space="preserve">.  </w:t>
      </w:r>
      <w:r w:rsidR="00171934">
        <w:t xml:space="preserve">(§ 998, subd. (c)(1).)  </w:t>
      </w:r>
      <w:r w:rsidR="002A7617" w:rsidRPr="00912C5F">
        <w:t>In Kinney’s motion for attorney fees, which resulted in the judgment awarding Kinney $43,</w:t>
      </w:r>
      <w:r w:rsidR="002A7617">
        <w:t>3</w:t>
      </w:r>
      <w:r w:rsidR="002A7617" w:rsidRPr="00912C5F">
        <w:t>00 in attorney fees, Kinney sought $2,475 in attorney fees through February 14, 20</w:t>
      </w:r>
      <w:r w:rsidR="00642060">
        <w:t>20</w:t>
      </w:r>
      <w:r w:rsidR="007F14BA">
        <w:t xml:space="preserve">, the date </w:t>
      </w:r>
      <w:r w:rsidR="00BD456D">
        <w:t>C</w:t>
      </w:r>
      <w:r w:rsidR="007F14BA">
        <w:t>ity made its section 998 offer</w:t>
      </w:r>
      <w:r w:rsidR="002A7617" w:rsidRPr="00912C5F">
        <w:t xml:space="preserve">.  </w:t>
      </w:r>
      <w:r w:rsidR="002A7617">
        <w:t>Thus, we reverse the judgment and remand the matter to the trial court with directions to enter a judgment awarding Kinney $2,475 in attorney fees.</w:t>
      </w:r>
    </w:p>
    <w:p w14:paraId="5078708A" w14:textId="4691DAEF" w:rsidR="009A457D" w:rsidRDefault="0038463E" w:rsidP="000D5168">
      <w:pPr>
        <w:spacing w:line="480" w:lineRule="auto"/>
        <w:jc w:val="center"/>
      </w:pPr>
      <w:r>
        <w:t xml:space="preserve">II.  </w:t>
      </w:r>
      <w:r w:rsidR="00471225">
        <w:t xml:space="preserve">ADDITIONAL </w:t>
      </w:r>
      <w:r w:rsidR="00C662B8">
        <w:t>BACKGROUND</w:t>
      </w:r>
      <w:r w:rsidR="000D5168">
        <w:t xml:space="preserve"> </w:t>
      </w:r>
    </w:p>
    <w:p w14:paraId="4FF6D6BF" w14:textId="2D3ADB9E" w:rsidR="009A457D" w:rsidRDefault="0038463E" w:rsidP="009A457D">
      <w:pPr>
        <w:spacing w:line="480" w:lineRule="auto"/>
      </w:pPr>
      <w:r>
        <w:t xml:space="preserve">A.  </w:t>
      </w:r>
      <w:r w:rsidRPr="00082FA6">
        <w:rPr>
          <w:i/>
          <w:iCs/>
        </w:rPr>
        <w:t>Applicable CPRA Provisions</w:t>
      </w:r>
      <w:r>
        <w:t xml:space="preserve"> </w:t>
      </w:r>
    </w:p>
    <w:p w14:paraId="46080D2C" w14:textId="0B290768" w:rsidR="00471225" w:rsidRPr="00870D9C" w:rsidRDefault="0038463E" w:rsidP="002F1343">
      <w:pPr>
        <w:spacing w:line="480" w:lineRule="auto"/>
      </w:pPr>
      <w:r>
        <w:tab/>
      </w:r>
      <w:r w:rsidR="00B042C7" w:rsidRPr="00870D9C">
        <w:rPr>
          <w:color w:val="212121"/>
          <w:szCs w:val="27"/>
          <w:shd w:val="clear" w:color="auto" w:fill="FFFFFF"/>
        </w:rPr>
        <w:t>The </w:t>
      </w:r>
      <w:r w:rsidR="00870D9C">
        <w:rPr>
          <w:color w:val="212121"/>
          <w:szCs w:val="27"/>
          <w:shd w:val="clear" w:color="auto" w:fill="FFFFFF"/>
        </w:rPr>
        <w:t xml:space="preserve">CPRA </w:t>
      </w:r>
      <w:r w:rsidR="00B042C7" w:rsidRPr="00870D9C">
        <w:rPr>
          <w:color w:val="212121"/>
          <w:szCs w:val="27"/>
          <w:shd w:val="clear" w:color="auto" w:fill="FFFFFF"/>
        </w:rPr>
        <w:t>establishes a right of public access to government records. </w:t>
      </w:r>
      <w:r w:rsidR="00870D9C">
        <w:rPr>
          <w:color w:val="212121"/>
          <w:szCs w:val="27"/>
          <w:shd w:val="clear" w:color="auto" w:fill="FFFFFF"/>
        </w:rPr>
        <w:t xml:space="preserve"> (</w:t>
      </w:r>
      <w:r w:rsidR="00870D9C" w:rsidRPr="00A41CA3">
        <w:rPr>
          <w:i/>
          <w:iCs/>
          <w:color w:val="212121"/>
          <w:szCs w:val="27"/>
          <w:shd w:val="clear" w:color="auto" w:fill="FFFFFF"/>
        </w:rPr>
        <w:t>National Lawyers Guild v. City of Hayward</w:t>
      </w:r>
      <w:r w:rsidR="00870D9C">
        <w:rPr>
          <w:color w:val="212121"/>
          <w:szCs w:val="27"/>
          <w:shd w:val="clear" w:color="auto" w:fill="FFFFFF"/>
        </w:rPr>
        <w:t xml:space="preserve"> (2020) 9 Cal.5</w:t>
      </w:r>
      <w:r w:rsidR="00A41CA3">
        <w:rPr>
          <w:color w:val="212121"/>
          <w:szCs w:val="27"/>
          <w:shd w:val="clear" w:color="auto" w:fill="FFFFFF"/>
        </w:rPr>
        <w:t>th 488, 492.)  “</w:t>
      </w:r>
      <w:r w:rsidR="00B042C7" w:rsidRPr="00870D9C">
        <w:rPr>
          <w:rStyle w:val="ssrfcsection"/>
          <w:color w:val="212121"/>
          <w:szCs w:val="27"/>
          <w:bdr w:val="none" w:sz="0" w:space="0" w:color="auto" w:frame="1"/>
          <w:shd w:val="clear" w:color="auto" w:fill="FFFFFF"/>
        </w:rPr>
        <w:t>Modeled after the federal Freedom of Information Act (</w:t>
      </w:r>
      <w:r w:rsidR="008B0927">
        <w:rPr>
          <w:rStyle w:val="ssrfcsection"/>
          <w:color w:val="212121"/>
          <w:szCs w:val="27"/>
          <w:bdr w:val="none" w:sz="0" w:space="0" w:color="auto" w:frame="1"/>
          <w:shd w:val="clear" w:color="auto" w:fill="FFFFFF"/>
        </w:rPr>
        <w:t>5 U.S.C. § 552 et seq.)</w:t>
      </w:r>
      <w:r w:rsidR="00B042C7" w:rsidRPr="00870D9C">
        <w:rPr>
          <w:rStyle w:val="ssrfcsection"/>
          <w:color w:val="212121"/>
          <w:szCs w:val="27"/>
          <w:bdr w:val="none" w:sz="0" w:space="0" w:color="auto" w:frame="1"/>
          <w:shd w:val="clear" w:color="auto" w:fill="FFFFFF"/>
        </w:rPr>
        <w:t>, the </w:t>
      </w:r>
      <w:r w:rsidR="00E8672F">
        <w:rPr>
          <w:rStyle w:val="ssrfcsection"/>
          <w:color w:val="212121"/>
          <w:szCs w:val="27"/>
          <w:bdr w:val="none" w:sz="0" w:space="0" w:color="auto" w:frame="1"/>
          <w:shd w:val="clear" w:color="auto" w:fill="FFFFFF"/>
        </w:rPr>
        <w:t xml:space="preserve">[CPRA] </w:t>
      </w:r>
      <w:r w:rsidR="00B042C7" w:rsidRPr="00870D9C">
        <w:rPr>
          <w:rStyle w:val="ssrfcsection"/>
          <w:color w:val="212121"/>
          <w:szCs w:val="27"/>
          <w:bdr w:val="none" w:sz="0" w:space="0" w:color="auto" w:frame="1"/>
          <w:shd w:val="clear" w:color="auto" w:fill="FFFFFF"/>
        </w:rPr>
        <w:t xml:space="preserve">was enacted for the purpose of increasing freedom of information by giving members of the public access to records in the possession of state and local agencies.” </w:t>
      </w:r>
      <w:r w:rsidR="00E8672F">
        <w:rPr>
          <w:rStyle w:val="ssrfcsection"/>
          <w:color w:val="212121"/>
          <w:szCs w:val="27"/>
          <w:bdr w:val="none" w:sz="0" w:space="0" w:color="auto" w:frame="1"/>
          <w:shd w:val="clear" w:color="auto" w:fill="FFFFFF"/>
        </w:rPr>
        <w:t xml:space="preserve"> </w:t>
      </w:r>
      <w:r w:rsidR="00B042C7" w:rsidRPr="00870D9C">
        <w:rPr>
          <w:rStyle w:val="ssrfcsection"/>
          <w:color w:val="212121"/>
          <w:szCs w:val="27"/>
          <w:bdr w:val="none" w:sz="0" w:space="0" w:color="auto" w:frame="1"/>
          <w:shd w:val="clear" w:color="auto" w:fill="FFFFFF"/>
        </w:rPr>
        <w:t>(</w:t>
      </w:r>
      <w:r w:rsidR="00E8672F" w:rsidRPr="00E8672F">
        <w:rPr>
          <w:rStyle w:val="ssrfcsection"/>
          <w:i/>
          <w:iCs/>
          <w:color w:val="212121"/>
          <w:szCs w:val="27"/>
          <w:bdr w:val="none" w:sz="0" w:space="0" w:color="auto" w:frame="1"/>
          <w:shd w:val="clear" w:color="auto" w:fill="FFFFFF"/>
        </w:rPr>
        <w:t xml:space="preserve">Los Angeles County Bd. of </w:t>
      </w:r>
      <w:r w:rsidR="00E8672F" w:rsidRPr="00E8672F">
        <w:rPr>
          <w:rStyle w:val="ssrfcsection"/>
          <w:i/>
          <w:iCs/>
          <w:color w:val="212121"/>
          <w:szCs w:val="27"/>
          <w:bdr w:val="none" w:sz="0" w:space="0" w:color="auto" w:frame="1"/>
          <w:shd w:val="clear" w:color="auto" w:fill="FFFFFF"/>
        </w:rPr>
        <w:lastRenderedPageBreak/>
        <w:t>Supervisors v. Superior Court</w:t>
      </w:r>
      <w:r w:rsidR="00E8672F">
        <w:rPr>
          <w:rStyle w:val="ssrfcsection"/>
          <w:color w:val="212121"/>
          <w:szCs w:val="27"/>
          <w:bdr w:val="none" w:sz="0" w:space="0" w:color="auto" w:frame="1"/>
          <w:shd w:val="clear" w:color="auto" w:fill="FFFFFF"/>
        </w:rPr>
        <w:t xml:space="preserve"> (2016) 2 Cal.5th 282, 290.)  </w:t>
      </w:r>
      <w:r w:rsidR="00A551E6">
        <w:rPr>
          <w:rStyle w:val="ssrfcsection"/>
          <w:color w:val="212121"/>
          <w:szCs w:val="27"/>
          <w:bdr w:val="none" w:sz="0" w:space="0" w:color="auto" w:frame="1"/>
          <w:shd w:val="clear" w:color="auto" w:fill="FFFFFF"/>
        </w:rPr>
        <w:t xml:space="preserve">In enacting the CPRA in 1968, the Legislature declared </w:t>
      </w:r>
      <w:r w:rsidR="000D5A2A">
        <w:rPr>
          <w:rStyle w:val="ssrfcsection"/>
          <w:color w:val="212121"/>
          <w:szCs w:val="27"/>
          <w:bdr w:val="none" w:sz="0" w:space="0" w:color="auto" w:frame="1"/>
          <w:shd w:val="clear" w:color="auto" w:fill="FFFFFF"/>
        </w:rPr>
        <w:t xml:space="preserve">this right of access to be </w:t>
      </w:r>
      <w:r w:rsidR="00F44C16">
        <w:rPr>
          <w:rStyle w:val="ssrfcsection"/>
          <w:color w:val="212121"/>
          <w:szCs w:val="27"/>
          <w:bdr w:val="none" w:sz="0" w:space="0" w:color="auto" w:frame="1"/>
          <w:shd w:val="clear" w:color="auto" w:fill="FFFFFF"/>
        </w:rPr>
        <w:t>“</w:t>
      </w:r>
      <w:r w:rsidR="000D5A2A">
        <w:rPr>
          <w:rStyle w:val="ssrfcsection"/>
          <w:color w:val="212121"/>
          <w:szCs w:val="27"/>
          <w:bdr w:val="none" w:sz="0" w:space="0" w:color="auto" w:frame="1"/>
          <w:shd w:val="clear" w:color="auto" w:fill="FFFFFF"/>
        </w:rPr>
        <w:t xml:space="preserve">a fundamental and necessary right of every person in this state.”  (Gov. Code, </w:t>
      </w:r>
      <w:r w:rsidR="00BA7694">
        <w:rPr>
          <w:rStyle w:val="ssrfcsection"/>
          <w:color w:val="212121"/>
          <w:szCs w:val="27"/>
          <w:bdr w:val="none" w:sz="0" w:space="0" w:color="auto" w:frame="1"/>
          <w:shd w:val="clear" w:color="auto" w:fill="FFFFFF"/>
        </w:rPr>
        <w:t xml:space="preserve">former </w:t>
      </w:r>
      <w:r w:rsidR="000D5A2A">
        <w:rPr>
          <w:rStyle w:val="ssrfcsection"/>
          <w:color w:val="212121"/>
          <w:szCs w:val="27"/>
          <w:bdr w:val="none" w:sz="0" w:space="0" w:color="auto" w:frame="1"/>
          <w:shd w:val="clear" w:color="auto" w:fill="FFFFFF"/>
        </w:rPr>
        <w:t xml:space="preserve">§ </w:t>
      </w:r>
      <w:r w:rsidR="0081321A">
        <w:rPr>
          <w:rStyle w:val="ssrfcsection"/>
          <w:color w:val="212121"/>
          <w:szCs w:val="27"/>
          <w:bdr w:val="none" w:sz="0" w:space="0" w:color="auto" w:frame="1"/>
          <w:shd w:val="clear" w:color="auto" w:fill="FFFFFF"/>
        </w:rPr>
        <w:t>6250</w:t>
      </w:r>
      <w:r w:rsidR="008F112E">
        <w:rPr>
          <w:rStyle w:val="ssrfcsection"/>
          <w:color w:val="212121"/>
          <w:szCs w:val="27"/>
          <w:bdr w:val="none" w:sz="0" w:space="0" w:color="auto" w:frame="1"/>
          <w:shd w:val="clear" w:color="auto" w:fill="FFFFFF"/>
        </w:rPr>
        <w:t xml:space="preserve"> [now Gov. Code, §</w:t>
      </w:r>
      <w:r w:rsidR="00BA7694">
        <w:rPr>
          <w:rStyle w:val="ssrfcsection"/>
          <w:color w:val="212121"/>
          <w:szCs w:val="27"/>
          <w:bdr w:val="none" w:sz="0" w:space="0" w:color="auto" w:frame="1"/>
          <w:shd w:val="clear" w:color="auto" w:fill="FFFFFF"/>
        </w:rPr>
        <w:t xml:space="preserve"> </w:t>
      </w:r>
      <w:r w:rsidR="008F112E">
        <w:t>7921.000</w:t>
      </w:r>
      <w:r w:rsidR="00035C23">
        <w:t xml:space="preserve">]; </w:t>
      </w:r>
      <w:r w:rsidR="004827C0" w:rsidRPr="004827C0">
        <w:rPr>
          <w:rStyle w:val="ssrfcsection"/>
          <w:i/>
          <w:iCs/>
          <w:color w:val="212121"/>
          <w:szCs w:val="27"/>
          <w:bdr w:val="none" w:sz="0" w:space="0" w:color="auto" w:frame="1"/>
          <w:shd w:val="clear" w:color="auto" w:fill="FFFFFF"/>
        </w:rPr>
        <w:t xml:space="preserve">National </w:t>
      </w:r>
      <w:r w:rsidR="0081321A" w:rsidRPr="004827C0">
        <w:rPr>
          <w:rStyle w:val="ssrfcsection"/>
          <w:i/>
          <w:iCs/>
          <w:color w:val="212121"/>
          <w:szCs w:val="27"/>
          <w:bdr w:val="none" w:sz="0" w:space="0" w:color="auto" w:frame="1"/>
          <w:shd w:val="clear" w:color="auto" w:fill="FFFFFF"/>
        </w:rPr>
        <w:t>Lawyers Guild</w:t>
      </w:r>
      <w:r w:rsidR="0081321A">
        <w:rPr>
          <w:rStyle w:val="ssrfcsection"/>
          <w:color w:val="212121"/>
          <w:szCs w:val="27"/>
          <w:bdr w:val="none" w:sz="0" w:space="0" w:color="auto" w:frame="1"/>
          <w:shd w:val="clear" w:color="auto" w:fill="FFFFFF"/>
        </w:rPr>
        <w:t xml:space="preserve">, at p. 492.)  In </w:t>
      </w:r>
      <w:r w:rsidR="003739C7">
        <w:rPr>
          <w:rStyle w:val="ssrfcsection"/>
          <w:color w:val="212121"/>
          <w:szCs w:val="27"/>
          <w:bdr w:val="none" w:sz="0" w:space="0" w:color="auto" w:frame="1"/>
          <w:shd w:val="clear" w:color="auto" w:fill="FFFFFF"/>
        </w:rPr>
        <w:t xml:space="preserve">2004, </w:t>
      </w:r>
      <w:r w:rsidR="00156B65">
        <w:rPr>
          <w:rStyle w:val="ssrfcsection"/>
          <w:color w:val="212121"/>
          <w:szCs w:val="27"/>
          <w:bdr w:val="none" w:sz="0" w:space="0" w:color="auto" w:frame="1"/>
          <w:shd w:val="clear" w:color="auto" w:fill="FFFFFF"/>
        </w:rPr>
        <w:t xml:space="preserve">the </w:t>
      </w:r>
      <w:r w:rsidR="0081321A">
        <w:rPr>
          <w:rStyle w:val="ssrfcsection"/>
          <w:color w:val="212121"/>
          <w:szCs w:val="27"/>
          <w:bdr w:val="none" w:sz="0" w:space="0" w:color="auto" w:frame="1"/>
          <w:shd w:val="clear" w:color="auto" w:fill="FFFFFF"/>
        </w:rPr>
        <w:t>voters ratified this decl</w:t>
      </w:r>
      <w:r w:rsidR="004827C0">
        <w:rPr>
          <w:rStyle w:val="ssrfcsection"/>
          <w:color w:val="212121"/>
          <w:szCs w:val="27"/>
          <w:bdr w:val="none" w:sz="0" w:space="0" w:color="auto" w:frame="1"/>
          <w:shd w:val="clear" w:color="auto" w:fill="FFFFFF"/>
        </w:rPr>
        <w:t>a</w:t>
      </w:r>
      <w:r w:rsidR="0081321A">
        <w:rPr>
          <w:rStyle w:val="ssrfcsection"/>
          <w:color w:val="212121"/>
          <w:szCs w:val="27"/>
          <w:bdr w:val="none" w:sz="0" w:space="0" w:color="auto" w:frame="1"/>
          <w:shd w:val="clear" w:color="auto" w:fill="FFFFFF"/>
        </w:rPr>
        <w:t xml:space="preserve">ration by </w:t>
      </w:r>
      <w:r w:rsidR="00046CAF">
        <w:rPr>
          <w:rStyle w:val="ssrfcsection"/>
          <w:color w:val="212121"/>
          <w:szCs w:val="27"/>
          <w:bdr w:val="none" w:sz="0" w:space="0" w:color="auto" w:frame="1"/>
          <w:shd w:val="clear" w:color="auto" w:fill="FFFFFF"/>
        </w:rPr>
        <w:t xml:space="preserve">amending the </w:t>
      </w:r>
      <w:r w:rsidR="004827C0">
        <w:rPr>
          <w:rStyle w:val="ssrfcsection"/>
          <w:color w:val="212121"/>
          <w:szCs w:val="27"/>
          <w:bdr w:val="none" w:sz="0" w:space="0" w:color="auto" w:frame="1"/>
          <w:shd w:val="clear" w:color="auto" w:fill="FFFFFF"/>
        </w:rPr>
        <w:t xml:space="preserve">California </w:t>
      </w:r>
      <w:r w:rsidR="00046CAF">
        <w:rPr>
          <w:rStyle w:val="ssrfcsection"/>
          <w:color w:val="212121"/>
          <w:szCs w:val="27"/>
          <w:bdr w:val="none" w:sz="0" w:space="0" w:color="auto" w:frame="1"/>
          <w:shd w:val="clear" w:color="auto" w:fill="FFFFFF"/>
        </w:rPr>
        <w:t>Constitu</w:t>
      </w:r>
      <w:r w:rsidR="004827C0">
        <w:rPr>
          <w:rStyle w:val="ssrfcsection"/>
          <w:color w:val="212121"/>
          <w:szCs w:val="27"/>
          <w:bdr w:val="none" w:sz="0" w:space="0" w:color="auto" w:frame="1"/>
          <w:shd w:val="clear" w:color="auto" w:fill="FFFFFF"/>
        </w:rPr>
        <w:t>t</w:t>
      </w:r>
      <w:r w:rsidR="00046CAF">
        <w:rPr>
          <w:rStyle w:val="ssrfcsection"/>
          <w:color w:val="212121"/>
          <w:szCs w:val="27"/>
          <w:bdr w:val="none" w:sz="0" w:space="0" w:color="auto" w:frame="1"/>
          <w:shd w:val="clear" w:color="auto" w:fill="FFFFFF"/>
        </w:rPr>
        <w:t>ion to secure a “</w:t>
      </w:r>
      <w:r w:rsidR="001379C4">
        <w:rPr>
          <w:rStyle w:val="ssrfcsection"/>
          <w:color w:val="212121"/>
          <w:szCs w:val="27"/>
          <w:bdr w:val="none" w:sz="0" w:space="0" w:color="auto" w:frame="1"/>
          <w:shd w:val="clear" w:color="auto" w:fill="FFFFFF"/>
        </w:rPr>
        <w:t>right of acces</w:t>
      </w:r>
      <w:r w:rsidR="007A2A92">
        <w:rPr>
          <w:rStyle w:val="ssrfcsection"/>
          <w:color w:val="212121"/>
          <w:szCs w:val="27"/>
          <w:bdr w:val="none" w:sz="0" w:space="0" w:color="auto" w:frame="1"/>
          <w:shd w:val="clear" w:color="auto" w:fill="FFFFFF"/>
        </w:rPr>
        <w:t>s</w:t>
      </w:r>
      <w:r w:rsidR="001379C4">
        <w:rPr>
          <w:rStyle w:val="ssrfcsection"/>
          <w:color w:val="212121"/>
          <w:szCs w:val="27"/>
          <w:bdr w:val="none" w:sz="0" w:space="0" w:color="auto" w:frame="1"/>
          <w:shd w:val="clear" w:color="auto" w:fill="FFFFFF"/>
        </w:rPr>
        <w:t xml:space="preserve"> </w:t>
      </w:r>
      <w:r w:rsidR="000756A9">
        <w:rPr>
          <w:rStyle w:val="ssrfcsection"/>
          <w:color w:val="212121"/>
          <w:szCs w:val="27"/>
          <w:bdr w:val="none" w:sz="0" w:space="0" w:color="auto" w:frame="1"/>
          <w:shd w:val="clear" w:color="auto" w:fill="FFFFFF"/>
        </w:rPr>
        <w:t xml:space="preserve">to </w:t>
      </w:r>
      <w:r w:rsidR="00046CAF">
        <w:rPr>
          <w:rStyle w:val="ssrfcsection"/>
          <w:color w:val="212121"/>
          <w:szCs w:val="27"/>
          <w:bdr w:val="none" w:sz="0" w:space="0" w:color="auto" w:frame="1"/>
          <w:shd w:val="clear" w:color="auto" w:fill="FFFFFF"/>
        </w:rPr>
        <w:t>information concerning the conduc</w:t>
      </w:r>
      <w:r w:rsidR="00035C23">
        <w:rPr>
          <w:rStyle w:val="ssrfcsection"/>
          <w:color w:val="212121"/>
          <w:szCs w:val="27"/>
          <w:bdr w:val="none" w:sz="0" w:space="0" w:color="auto" w:frame="1"/>
          <w:shd w:val="clear" w:color="auto" w:fill="FFFFFF"/>
        </w:rPr>
        <w:t>t</w:t>
      </w:r>
      <w:r w:rsidR="00046CAF">
        <w:rPr>
          <w:rStyle w:val="ssrfcsection"/>
          <w:color w:val="212121"/>
          <w:szCs w:val="27"/>
          <w:bdr w:val="none" w:sz="0" w:space="0" w:color="auto" w:frame="1"/>
          <w:shd w:val="clear" w:color="auto" w:fill="FFFFFF"/>
        </w:rPr>
        <w:t xml:space="preserve"> of the people’s business</w:t>
      </w:r>
      <w:r w:rsidR="00156B65">
        <w:rPr>
          <w:rStyle w:val="ssrfcsection"/>
          <w:color w:val="212121"/>
          <w:szCs w:val="27"/>
          <w:bdr w:val="none" w:sz="0" w:space="0" w:color="auto" w:frame="1"/>
          <w:shd w:val="clear" w:color="auto" w:fill="FFFFFF"/>
        </w:rPr>
        <w:t>.</w:t>
      </w:r>
      <w:r w:rsidR="00046CAF">
        <w:rPr>
          <w:rStyle w:val="ssrfcsection"/>
          <w:color w:val="212121"/>
          <w:szCs w:val="27"/>
          <w:bdr w:val="none" w:sz="0" w:space="0" w:color="auto" w:frame="1"/>
          <w:shd w:val="clear" w:color="auto" w:fill="FFFFFF"/>
        </w:rPr>
        <w:t xml:space="preserve">”  </w:t>
      </w:r>
      <w:r w:rsidR="00305F9A">
        <w:rPr>
          <w:rStyle w:val="ssrfcsection"/>
          <w:color w:val="212121"/>
          <w:szCs w:val="27"/>
          <w:bdr w:val="none" w:sz="0" w:space="0" w:color="auto" w:frame="1"/>
          <w:shd w:val="clear" w:color="auto" w:fill="FFFFFF"/>
        </w:rPr>
        <w:t>(</w:t>
      </w:r>
      <w:r w:rsidR="002F1343">
        <w:rPr>
          <w:rStyle w:val="ssrfcsection"/>
          <w:color w:val="212121"/>
          <w:szCs w:val="27"/>
          <w:bdr w:val="none" w:sz="0" w:space="0" w:color="auto" w:frame="1"/>
          <w:shd w:val="clear" w:color="auto" w:fill="FFFFFF"/>
        </w:rPr>
        <w:t>Cal. Const</w:t>
      </w:r>
      <w:r w:rsidR="00F44C16">
        <w:rPr>
          <w:rStyle w:val="ssrfcsection"/>
          <w:color w:val="212121"/>
          <w:szCs w:val="27"/>
          <w:bdr w:val="none" w:sz="0" w:space="0" w:color="auto" w:frame="1"/>
          <w:shd w:val="clear" w:color="auto" w:fill="FFFFFF"/>
        </w:rPr>
        <w:t>.</w:t>
      </w:r>
      <w:r w:rsidR="002F1343">
        <w:rPr>
          <w:rStyle w:val="ssrfcsection"/>
          <w:color w:val="212121"/>
          <w:szCs w:val="27"/>
          <w:bdr w:val="none" w:sz="0" w:space="0" w:color="auto" w:frame="1"/>
          <w:shd w:val="clear" w:color="auto" w:fill="FFFFFF"/>
        </w:rPr>
        <w:t>, art. I, § 3</w:t>
      </w:r>
      <w:r w:rsidR="000E7117">
        <w:rPr>
          <w:rStyle w:val="ssrfcsection"/>
          <w:color w:val="212121"/>
          <w:szCs w:val="27"/>
          <w:bdr w:val="none" w:sz="0" w:space="0" w:color="auto" w:frame="1"/>
          <w:shd w:val="clear" w:color="auto" w:fill="FFFFFF"/>
        </w:rPr>
        <w:t>,</w:t>
      </w:r>
      <w:r w:rsidR="002F1343">
        <w:rPr>
          <w:rStyle w:val="ssrfcsection"/>
          <w:color w:val="212121"/>
          <w:szCs w:val="27"/>
          <w:bdr w:val="none" w:sz="0" w:space="0" w:color="auto" w:frame="1"/>
          <w:shd w:val="clear" w:color="auto" w:fill="FFFFFF"/>
        </w:rPr>
        <w:t xml:space="preserve"> added by Prop. 5</w:t>
      </w:r>
      <w:r w:rsidR="000E7117">
        <w:rPr>
          <w:rStyle w:val="ssrfcsection"/>
          <w:color w:val="212121"/>
          <w:szCs w:val="27"/>
          <w:bdr w:val="none" w:sz="0" w:space="0" w:color="auto" w:frame="1"/>
          <w:shd w:val="clear" w:color="auto" w:fill="FFFFFF"/>
        </w:rPr>
        <w:t>9</w:t>
      </w:r>
      <w:r w:rsidR="002F1343">
        <w:rPr>
          <w:rStyle w:val="ssrfcsection"/>
          <w:color w:val="212121"/>
          <w:szCs w:val="27"/>
          <w:bdr w:val="none" w:sz="0" w:space="0" w:color="auto" w:frame="1"/>
          <w:shd w:val="clear" w:color="auto" w:fill="FFFFFF"/>
        </w:rPr>
        <w:t>, Gen. Elec. (Nov. 2, 2004)</w:t>
      </w:r>
      <w:r w:rsidR="003739C7">
        <w:rPr>
          <w:rStyle w:val="ssrfcsection"/>
          <w:color w:val="212121"/>
          <w:szCs w:val="27"/>
          <w:bdr w:val="none" w:sz="0" w:space="0" w:color="auto" w:frame="1"/>
          <w:shd w:val="clear" w:color="auto" w:fill="FFFFFF"/>
        </w:rPr>
        <w:t xml:space="preserve">; </w:t>
      </w:r>
      <w:r w:rsidR="007F51DE" w:rsidRPr="007F51DE">
        <w:rPr>
          <w:rStyle w:val="ssrfcsection"/>
          <w:i/>
          <w:iCs/>
          <w:color w:val="212121"/>
          <w:szCs w:val="27"/>
          <w:bdr w:val="none" w:sz="0" w:space="0" w:color="auto" w:frame="1"/>
          <w:shd w:val="clear" w:color="auto" w:fill="FFFFFF"/>
        </w:rPr>
        <w:t>National Lawyers Guild</w:t>
      </w:r>
      <w:r w:rsidR="007F51DE">
        <w:rPr>
          <w:rStyle w:val="ssrfcsection"/>
          <w:color w:val="212121"/>
          <w:szCs w:val="27"/>
          <w:bdr w:val="none" w:sz="0" w:space="0" w:color="auto" w:frame="1"/>
          <w:shd w:val="clear" w:color="auto" w:fill="FFFFFF"/>
        </w:rPr>
        <w:t>, at p. 492.)</w:t>
      </w:r>
    </w:p>
    <w:p w14:paraId="2C4AB9A6" w14:textId="10CF01AE" w:rsidR="005C37A1" w:rsidRPr="003E0FBD" w:rsidRDefault="0038463E" w:rsidP="009A457D">
      <w:pPr>
        <w:spacing w:line="480" w:lineRule="auto"/>
      </w:pPr>
      <w:r>
        <w:tab/>
      </w:r>
      <w:r w:rsidR="009A457D">
        <w:t xml:space="preserve">The CPRA requires the superior court to order </w:t>
      </w:r>
      <w:r w:rsidR="00E1791F">
        <w:t xml:space="preserve">the disclosure of </w:t>
      </w:r>
      <w:r w:rsidR="009A457D">
        <w:t>public records</w:t>
      </w:r>
      <w:r w:rsidR="008F5350">
        <w:t xml:space="preserve">, </w:t>
      </w:r>
      <w:r w:rsidR="009A457D">
        <w:t xml:space="preserve">or show cause why the records should not be disclosed, if “it is made to appear” by </w:t>
      </w:r>
      <w:r w:rsidR="0050677D">
        <w:t xml:space="preserve">a </w:t>
      </w:r>
      <w:r w:rsidR="009A457D">
        <w:t>verified petition that the records “are being improperly withheld from a member of the public.”  (</w:t>
      </w:r>
      <w:r w:rsidR="008E58DB">
        <w:t>Gov. Code</w:t>
      </w:r>
      <w:r w:rsidR="00BA7694">
        <w:t>, former</w:t>
      </w:r>
      <w:r w:rsidR="008E58DB">
        <w:t xml:space="preserve"> </w:t>
      </w:r>
      <w:r w:rsidR="009A457D">
        <w:t>§</w:t>
      </w:r>
      <w:r w:rsidR="008E58DB">
        <w:t>§ 62</w:t>
      </w:r>
      <w:r w:rsidR="008F5350">
        <w:t>5</w:t>
      </w:r>
      <w:r w:rsidR="008E58DB">
        <w:t xml:space="preserve">8, </w:t>
      </w:r>
      <w:r w:rsidR="009A457D">
        <w:t xml:space="preserve">6259, subd. (a).)  The court “shall order the public official to make the record public” if the court finds the official’s refusal to disclose the record is not justified under </w:t>
      </w:r>
      <w:r w:rsidR="00C61DFB">
        <w:t xml:space="preserve">Government Code former </w:t>
      </w:r>
      <w:r w:rsidR="009A457D">
        <w:t>section</w:t>
      </w:r>
      <w:r w:rsidR="00B071F2">
        <w:t>s</w:t>
      </w:r>
      <w:r w:rsidR="009A457D">
        <w:t xml:space="preserve"> 6254 or 6255.  (</w:t>
      </w:r>
      <w:r w:rsidR="006B72A0">
        <w:t xml:space="preserve">Gov. Code, </w:t>
      </w:r>
      <w:r w:rsidR="00BA7694">
        <w:t xml:space="preserve">former </w:t>
      </w:r>
      <w:r w:rsidR="009A457D">
        <w:t xml:space="preserve">§ 6259, subd. (b).)  </w:t>
      </w:r>
      <w:r w:rsidR="003E0FBD">
        <w:t xml:space="preserve">The petitioner may also seek declaratory relief under the CPRA.  (Gov. Code, </w:t>
      </w:r>
      <w:r w:rsidR="00BA7694">
        <w:t xml:space="preserve">former </w:t>
      </w:r>
      <w:r w:rsidR="003E0FBD">
        <w:t>§</w:t>
      </w:r>
      <w:r w:rsidR="00BA7694">
        <w:t xml:space="preserve"> </w:t>
      </w:r>
      <w:r w:rsidR="003E0FBD">
        <w:t>6258.)</w:t>
      </w:r>
    </w:p>
    <w:p w14:paraId="2326BA3F" w14:textId="5A695293" w:rsidR="009A457D" w:rsidRDefault="0038463E" w:rsidP="009A457D">
      <w:pPr>
        <w:spacing w:line="480" w:lineRule="auto"/>
      </w:pPr>
      <w:r>
        <w:tab/>
        <w:t xml:space="preserve">If the </w:t>
      </w:r>
      <w:r w:rsidR="00041FE3">
        <w:t xml:space="preserve">petitioner </w:t>
      </w:r>
      <w:r w:rsidRPr="00FF5F7F">
        <w:t>prevail</w:t>
      </w:r>
      <w:r>
        <w:t>s</w:t>
      </w:r>
      <w:r w:rsidRPr="00FF5F7F">
        <w:t xml:space="preserve"> in litigation </w:t>
      </w:r>
      <w:r>
        <w:t xml:space="preserve">under </w:t>
      </w:r>
      <w:r w:rsidR="00041FE3">
        <w:t xml:space="preserve">the CPRA, the petitioner </w:t>
      </w:r>
      <w:r>
        <w:t xml:space="preserve">is entitled to recover </w:t>
      </w:r>
      <w:r w:rsidR="00041FE3">
        <w:t xml:space="preserve">its </w:t>
      </w:r>
      <w:r>
        <w:t>costs and reasonable attorney fees from the public agency.  (</w:t>
      </w:r>
      <w:r w:rsidR="006B72A0">
        <w:t xml:space="preserve">Gov. Code, </w:t>
      </w:r>
      <w:r w:rsidR="00BA7694">
        <w:t xml:space="preserve">former </w:t>
      </w:r>
      <w:r>
        <w:t xml:space="preserve">§ 6259, subd. (d); </w:t>
      </w:r>
      <w:r w:rsidRPr="00A368C4">
        <w:rPr>
          <w:i/>
          <w:iCs/>
        </w:rPr>
        <w:t>Motorola</w:t>
      </w:r>
      <w:r w:rsidR="00C5017E">
        <w:rPr>
          <w:i/>
          <w:iCs/>
        </w:rPr>
        <w:t xml:space="preserve"> Communications &amp; Electronics</w:t>
      </w:r>
      <w:r w:rsidR="00C5017E" w:rsidRPr="0050677D">
        <w:t>,</w:t>
      </w:r>
      <w:r w:rsidR="00C5017E">
        <w:rPr>
          <w:i/>
          <w:iCs/>
        </w:rPr>
        <w:t xml:space="preserve"> Inc. v. Departme</w:t>
      </w:r>
      <w:r w:rsidR="0050677D">
        <w:rPr>
          <w:i/>
          <w:iCs/>
        </w:rPr>
        <w:t>nt</w:t>
      </w:r>
      <w:r w:rsidR="00C5017E">
        <w:rPr>
          <w:i/>
          <w:iCs/>
        </w:rPr>
        <w:t xml:space="preserve"> of General Services</w:t>
      </w:r>
      <w:r w:rsidR="00C5017E">
        <w:t xml:space="preserve"> (1997) </w:t>
      </w:r>
      <w:r>
        <w:t>55 Cal.App.</w:t>
      </w:r>
      <w:r w:rsidR="00F44C16">
        <w:t>4</w:t>
      </w:r>
      <w:r>
        <w:t xml:space="preserve">th </w:t>
      </w:r>
      <w:r w:rsidR="00C5017E">
        <w:t xml:space="preserve">1340, </w:t>
      </w:r>
      <w:r>
        <w:t>1344</w:t>
      </w:r>
      <w:r w:rsidR="00FA0CF3">
        <w:t xml:space="preserve"> (</w:t>
      </w:r>
      <w:r w:rsidR="00FA0CF3" w:rsidRPr="00FA0CF3">
        <w:rPr>
          <w:i/>
          <w:iCs/>
        </w:rPr>
        <w:t>Motorola</w:t>
      </w:r>
      <w:r w:rsidR="00FA0CF3">
        <w:t>).</w:t>
      </w:r>
      <w:r w:rsidR="00922A8A">
        <w:t>)</w:t>
      </w:r>
      <w:r w:rsidR="00FA0CF3">
        <w:t xml:space="preserve">  The </w:t>
      </w:r>
      <w:r w:rsidR="00565EC5">
        <w:t xml:space="preserve">petitioner prevails in litigation under the CPRA if the </w:t>
      </w:r>
      <w:r w:rsidR="00F47444">
        <w:t>litigation motivated the defendant to release the requested documents</w:t>
      </w:r>
      <w:r w:rsidR="00C117C2">
        <w:t xml:space="preserve"> </w:t>
      </w:r>
      <w:r w:rsidR="00F47444">
        <w:t xml:space="preserve">or was the </w:t>
      </w:r>
      <w:r w:rsidR="00AD52DB">
        <w:t>“</w:t>
      </w:r>
      <w:r w:rsidR="00F47444">
        <w:t>catalyst</w:t>
      </w:r>
      <w:r w:rsidR="00AD52DB">
        <w:t>”</w:t>
      </w:r>
      <w:r w:rsidR="00F47444">
        <w:t xml:space="preserve"> for the </w:t>
      </w:r>
      <w:r w:rsidR="00B215C5">
        <w:t xml:space="preserve">release. </w:t>
      </w:r>
      <w:r w:rsidR="00F47444">
        <w:t xml:space="preserve"> </w:t>
      </w:r>
      <w:r w:rsidR="00AF6918">
        <w:t>(</w:t>
      </w:r>
      <w:r w:rsidR="00AF6918" w:rsidRPr="00AF6918">
        <w:rPr>
          <w:i/>
          <w:iCs/>
        </w:rPr>
        <w:t>Motorola</w:t>
      </w:r>
      <w:r w:rsidR="00AF6918" w:rsidRPr="006E118E">
        <w:t xml:space="preserve">, </w:t>
      </w:r>
      <w:r w:rsidR="00AF6918">
        <w:t xml:space="preserve">at p. 1344; </w:t>
      </w:r>
      <w:r w:rsidRPr="00A368C4">
        <w:rPr>
          <w:i/>
          <w:iCs/>
        </w:rPr>
        <w:t>Be</w:t>
      </w:r>
      <w:r>
        <w:rPr>
          <w:i/>
          <w:iCs/>
        </w:rPr>
        <w:t>l</w:t>
      </w:r>
      <w:r w:rsidRPr="00A368C4">
        <w:rPr>
          <w:i/>
          <w:iCs/>
        </w:rPr>
        <w:t>th</w:t>
      </w:r>
      <w:r>
        <w:rPr>
          <w:i/>
          <w:iCs/>
        </w:rPr>
        <w:t xml:space="preserve"> </w:t>
      </w:r>
      <w:r w:rsidRPr="00A368C4">
        <w:rPr>
          <w:i/>
          <w:iCs/>
        </w:rPr>
        <w:t>v. Garamendi</w:t>
      </w:r>
      <w:r>
        <w:t xml:space="preserve"> (1991) 232 Cal.App,3d 896, 90</w:t>
      </w:r>
      <w:r w:rsidR="00AF6918">
        <w:t xml:space="preserve">1-902 </w:t>
      </w:r>
      <w:r w:rsidR="006B72A0">
        <w:t>(</w:t>
      </w:r>
      <w:r w:rsidR="006B72A0" w:rsidRPr="006B72A0">
        <w:rPr>
          <w:i/>
          <w:iCs/>
        </w:rPr>
        <w:t>Belth</w:t>
      </w:r>
      <w:r w:rsidR="006B72A0">
        <w:t>)</w:t>
      </w:r>
      <w:r>
        <w:t>.)</w:t>
      </w:r>
    </w:p>
    <w:p w14:paraId="0514FF82" w14:textId="7A9F400B" w:rsidR="00E029C3" w:rsidRDefault="0038463E" w:rsidP="006808A6">
      <w:pPr>
        <w:spacing w:line="480" w:lineRule="auto"/>
        <w:rPr>
          <w:rStyle w:val="ssrfcsection"/>
          <w:color w:val="212121"/>
          <w:szCs w:val="27"/>
          <w:bdr w:val="none" w:sz="0" w:space="0" w:color="auto" w:frame="1"/>
        </w:rPr>
      </w:pPr>
      <w:r>
        <w:lastRenderedPageBreak/>
        <w:tab/>
      </w:r>
      <w:bookmarkStart w:id="0" w:name="PAGE_7051"/>
      <w:r w:rsidR="00AE0CB7">
        <w:t>“ ‘The right of access to public records under the CPRA is not absolute.’</w:t>
      </w:r>
      <w:r w:rsidR="00F44C16">
        <w:t xml:space="preserve"> </w:t>
      </w:r>
      <w:r w:rsidR="00AE0CB7">
        <w:t xml:space="preserve">”  </w:t>
      </w:r>
      <w:r w:rsidR="00853B3E" w:rsidRPr="002270F4">
        <w:rPr>
          <w:rStyle w:val="ssrfcpassagedeactivated"/>
          <w:color w:val="212121"/>
          <w:szCs w:val="27"/>
          <w:bdr w:val="none" w:sz="0" w:space="0" w:color="auto" w:frame="1"/>
        </w:rPr>
        <w:t>(</w:t>
      </w:r>
      <w:r w:rsidR="00853B3E" w:rsidRPr="002270F4">
        <w:rPr>
          <w:rStyle w:val="ssrfcpassagedeactivated"/>
          <w:i/>
          <w:iCs/>
          <w:color w:val="212121"/>
          <w:szCs w:val="27"/>
          <w:bdr w:val="none" w:sz="0" w:space="0" w:color="auto" w:frame="1"/>
        </w:rPr>
        <w:t>County of Santa Clara v. Superior Court</w:t>
      </w:r>
      <w:r w:rsidR="00853B3E" w:rsidRPr="002270F4">
        <w:rPr>
          <w:rStyle w:val="ssrfcpassagedeactivated"/>
          <w:color w:val="212121"/>
          <w:szCs w:val="27"/>
          <w:bdr w:val="none" w:sz="0" w:space="0" w:color="auto" w:frame="1"/>
        </w:rPr>
        <w:t xml:space="preserve"> </w:t>
      </w:r>
      <w:r w:rsidR="00853B3E">
        <w:rPr>
          <w:rStyle w:val="ssrfcpassagedeactivated"/>
          <w:color w:val="212121"/>
          <w:szCs w:val="27"/>
          <w:bdr w:val="none" w:sz="0" w:space="0" w:color="auto" w:frame="1"/>
        </w:rPr>
        <w:t xml:space="preserve">(2009) </w:t>
      </w:r>
      <w:r w:rsidR="00853B3E" w:rsidRPr="002270F4">
        <w:rPr>
          <w:rStyle w:val="ssrfcpassagedeactivated"/>
          <w:color w:val="212121"/>
          <w:szCs w:val="27"/>
          <w:bdr w:val="none" w:sz="0" w:space="0" w:color="auto" w:frame="1"/>
        </w:rPr>
        <w:t xml:space="preserve">170 Cal.App.4th </w:t>
      </w:r>
      <w:r w:rsidR="00853B3E">
        <w:rPr>
          <w:rStyle w:val="ssrfcpassagedeactivated"/>
          <w:color w:val="212121"/>
          <w:szCs w:val="27"/>
          <w:bdr w:val="none" w:sz="0" w:space="0" w:color="auto" w:frame="1"/>
        </w:rPr>
        <w:t xml:space="preserve">1301, </w:t>
      </w:r>
      <w:r w:rsidR="00CD1282">
        <w:rPr>
          <w:rStyle w:val="ssrfcpassagedeactivated"/>
          <w:color w:val="212121"/>
          <w:szCs w:val="27"/>
          <w:bdr w:val="none" w:sz="0" w:space="0" w:color="auto" w:frame="1"/>
        </w:rPr>
        <w:t xml:space="preserve">1320, </w:t>
      </w:r>
      <w:r w:rsidR="00853B3E" w:rsidRPr="002270F4">
        <w:rPr>
          <w:rStyle w:val="ssrfcpassagedeactivated"/>
          <w:color w:val="212121"/>
          <w:szCs w:val="27"/>
          <w:bdr w:val="none" w:sz="0" w:space="0" w:color="auto" w:frame="1"/>
        </w:rPr>
        <w:t>132</w:t>
      </w:r>
      <w:r w:rsidR="00CD1282">
        <w:rPr>
          <w:rStyle w:val="ssrfcpassagedeactivated"/>
          <w:color w:val="212121"/>
          <w:szCs w:val="27"/>
          <w:bdr w:val="none" w:sz="0" w:space="0" w:color="auto" w:frame="1"/>
        </w:rPr>
        <w:t>2</w:t>
      </w:r>
      <w:r w:rsidR="00306E4F">
        <w:rPr>
          <w:rStyle w:val="ssrfcpassagedeactivated"/>
          <w:color w:val="212121"/>
          <w:szCs w:val="27"/>
          <w:bdr w:val="none" w:sz="0" w:space="0" w:color="auto" w:frame="1"/>
        </w:rPr>
        <w:t xml:space="preserve"> (</w:t>
      </w:r>
      <w:r w:rsidR="00306E4F" w:rsidRPr="00306E4F">
        <w:rPr>
          <w:rStyle w:val="ssrfcpassagedeactivated"/>
          <w:i/>
          <w:iCs/>
          <w:color w:val="212121"/>
          <w:szCs w:val="27"/>
          <w:bdr w:val="none" w:sz="0" w:space="0" w:color="auto" w:frame="1"/>
        </w:rPr>
        <w:t>County of Santa Clara</w:t>
      </w:r>
      <w:r w:rsidR="00306E4F">
        <w:rPr>
          <w:rStyle w:val="ssrfcpassagedeactivated"/>
          <w:color w:val="212121"/>
          <w:szCs w:val="27"/>
          <w:bdr w:val="none" w:sz="0" w:space="0" w:color="auto" w:frame="1"/>
        </w:rPr>
        <w:t>)</w:t>
      </w:r>
      <w:r w:rsidR="00853B3E" w:rsidRPr="002270F4">
        <w:rPr>
          <w:rStyle w:val="ssrfcpassagedeactivated"/>
          <w:color w:val="212121"/>
          <w:szCs w:val="27"/>
          <w:bdr w:val="none" w:sz="0" w:space="0" w:color="auto" w:frame="1"/>
        </w:rPr>
        <w:t>.)</w:t>
      </w:r>
      <w:r w:rsidR="00853B3E" w:rsidRPr="001636C0">
        <w:rPr>
          <w:rStyle w:val="ssrfcpassagedeactivated"/>
          <w:b/>
          <w:bCs/>
          <w:color w:val="212121"/>
          <w:szCs w:val="27"/>
          <w:bdr w:val="none" w:sz="0" w:space="0" w:color="auto" w:frame="1"/>
        </w:rPr>
        <w:t xml:space="preserve"> </w:t>
      </w:r>
      <w:r w:rsidR="00853B3E">
        <w:rPr>
          <w:b/>
          <w:bCs/>
        </w:rPr>
        <w:t xml:space="preserve"> </w:t>
      </w:r>
      <w:bookmarkEnd w:id="0"/>
      <w:r w:rsidR="00D54711">
        <w:rPr>
          <w:rStyle w:val="ssrfcpassagedeactivated"/>
          <w:color w:val="212121"/>
          <w:szCs w:val="27"/>
          <w:bdr w:val="none" w:sz="0" w:space="0" w:color="auto" w:frame="1"/>
        </w:rPr>
        <w:t xml:space="preserve">Government Code </w:t>
      </w:r>
      <w:r w:rsidR="006E118E">
        <w:rPr>
          <w:rStyle w:val="ssrfcpassagedeactivated"/>
          <w:color w:val="212121"/>
          <w:szCs w:val="27"/>
          <w:bdr w:val="none" w:sz="0" w:space="0" w:color="auto" w:frame="1"/>
        </w:rPr>
        <w:t xml:space="preserve">former </w:t>
      </w:r>
      <w:r w:rsidR="00D54711">
        <w:rPr>
          <w:rStyle w:val="ssrfcpassagedeactivated"/>
          <w:color w:val="212121"/>
          <w:szCs w:val="27"/>
          <w:bdr w:val="none" w:sz="0" w:space="0" w:color="auto" w:frame="1"/>
        </w:rPr>
        <w:t xml:space="preserve">section 6254 provided for </w:t>
      </w:r>
      <w:r w:rsidR="00AE0CB7">
        <w:rPr>
          <w:rStyle w:val="ssrfcpassagedeactivated"/>
          <w:color w:val="212121"/>
          <w:szCs w:val="27"/>
          <w:bdr w:val="none" w:sz="0" w:space="0" w:color="auto" w:frame="1"/>
        </w:rPr>
        <w:t>“</w:t>
      </w:r>
      <w:r w:rsidR="000D3D29">
        <w:rPr>
          <w:rStyle w:val="ssrfcpassagedeactivated"/>
          <w:color w:val="212121"/>
          <w:szCs w:val="27"/>
          <w:bdr w:val="none" w:sz="0" w:space="0" w:color="auto" w:frame="1"/>
        </w:rPr>
        <w:t xml:space="preserve"> ‘</w:t>
      </w:r>
      <w:r w:rsidR="00AE0CB7">
        <w:rPr>
          <w:rStyle w:val="ssrfcpassagedeactivated"/>
          <w:color w:val="212121"/>
          <w:szCs w:val="27"/>
          <w:bdr w:val="none" w:sz="0" w:space="0" w:color="auto" w:frame="1"/>
        </w:rPr>
        <w:t>a diverse collecti</w:t>
      </w:r>
      <w:r w:rsidR="000D3D29">
        <w:rPr>
          <w:rStyle w:val="ssrfcpassagedeactivated"/>
          <w:color w:val="212121"/>
          <w:szCs w:val="27"/>
          <w:bdr w:val="none" w:sz="0" w:space="0" w:color="auto" w:frame="1"/>
        </w:rPr>
        <w:t>o</w:t>
      </w:r>
      <w:r w:rsidR="00AE0CB7">
        <w:rPr>
          <w:rStyle w:val="ssrfcpassagedeactivated"/>
          <w:color w:val="212121"/>
          <w:szCs w:val="27"/>
          <w:bdr w:val="none" w:sz="0" w:space="0" w:color="auto" w:frame="1"/>
        </w:rPr>
        <w:t>n of exemptions from disclosure</w:t>
      </w:r>
      <w:r w:rsidR="00CD1282">
        <w:rPr>
          <w:rStyle w:val="ssrfcpassagedeactivated"/>
          <w:color w:val="212121"/>
          <w:szCs w:val="27"/>
          <w:bdr w:val="none" w:sz="0" w:space="0" w:color="auto" w:frame="1"/>
        </w:rPr>
        <w:t xml:space="preserve"> . . . .</w:t>
      </w:r>
      <w:r w:rsidR="006E118E">
        <w:rPr>
          <w:rStyle w:val="ssrfcpassagedeactivated"/>
          <w:color w:val="212121"/>
          <w:szCs w:val="27"/>
          <w:bdr w:val="none" w:sz="0" w:space="0" w:color="auto" w:frame="1"/>
        </w:rPr>
        <w:t xml:space="preserve">’ </w:t>
      </w:r>
      <w:r w:rsidR="000D3D29">
        <w:rPr>
          <w:rStyle w:val="ssrfcpassagedeactivated"/>
          <w:color w:val="212121"/>
          <w:szCs w:val="27"/>
          <w:bdr w:val="none" w:sz="0" w:space="0" w:color="auto" w:frame="1"/>
        </w:rPr>
        <w:t>”</w:t>
      </w:r>
      <w:r w:rsidR="00AE0CB7">
        <w:rPr>
          <w:rStyle w:val="ssrfcpassagedeactivated"/>
          <w:color w:val="212121"/>
          <w:szCs w:val="27"/>
          <w:bdr w:val="none" w:sz="0" w:space="0" w:color="auto" w:frame="1"/>
        </w:rPr>
        <w:t xml:space="preserve"> </w:t>
      </w:r>
      <w:r w:rsidR="003D0A74">
        <w:rPr>
          <w:rStyle w:val="ssrfcpassagedeactivated"/>
          <w:color w:val="212121"/>
          <w:szCs w:val="27"/>
          <w:bdr w:val="none" w:sz="0" w:space="0" w:color="auto" w:frame="1"/>
        </w:rPr>
        <w:t xml:space="preserve"> </w:t>
      </w:r>
      <w:r w:rsidR="00E90505">
        <w:rPr>
          <w:rStyle w:val="ssrfcpassagedeactivated"/>
          <w:color w:val="212121"/>
          <w:szCs w:val="27"/>
          <w:bdr w:val="none" w:sz="0" w:space="0" w:color="auto" w:frame="1"/>
        </w:rPr>
        <w:t>(</w:t>
      </w:r>
      <w:r w:rsidR="00CD1282">
        <w:rPr>
          <w:rStyle w:val="ssrfcpassagedeactivated"/>
          <w:i/>
          <w:iCs/>
          <w:color w:val="212121"/>
          <w:szCs w:val="27"/>
          <w:bdr w:val="none" w:sz="0" w:space="0" w:color="auto" w:frame="1"/>
        </w:rPr>
        <w:t>County of Santa Clara</w:t>
      </w:r>
      <w:r w:rsidR="00CD1282" w:rsidRPr="00CD1282">
        <w:rPr>
          <w:rStyle w:val="ssrfcpassagedeactivated"/>
          <w:color w:val="212121"/>
          <w:szCs w:val="27"/>
          <w:bdr w:val="none" w:sz="0" w:space="0" w:color="auto" w:frame="1"/>
        </w:rPr>
        <w:t>, at p</w:t>
      </w:r>
      <w:r w:rsidR="00CD1282">
        <w:rPr>
          <w:rStyle w:val="ssrfcpassagedeactivated"/>
          <w:i/>
          <w:iCs/>
          <w:color w:val="212121"/>
          <w:szCs w:val="27"/>
          <w:bdr w:val="none" w:sz="0" w:space="0" w:color="auto" w:frame="1"/>
        </w:rPr>
        <w:t>. </w:t>
      </w:r>
      <w:r w:rsidR="00CD1282" w:rsidRPr="00CD1282">
        <w:rPr>
          <w:rStyle w:val="ssrfcpassagedeactivated"/>
          <w:color w:val="212121"/>
          <w:szCs w:val="27"/>
          <w:bdr w:val="none" w:sz="0" w:space="0" w:color="auto" w:frame="1"/>
        </w:rPr>
        <w:t>1320</w:t>
      </w:r>
      <w:r w:rsidR="00E90505">
        <w:rPr>
          <w:rStyle w:val="ssrfcpassagedeactivated"/>
          <w:color w:val="212121"/>
          <w:szCs w:val="27"/>
          <w:bdr w:val="none" w:sz="0" w:space="0" w:color="auto" w:frame="1"/>
        </w:rPr>
        <w:t xml:space="preserve">.)  </w:t>
      </w:r>
      <w:r w:rsidR="001A3B35">
        <w:rPr>
          <w:rStyle w:val="ssrfcpassagedeactivated"/>
          <w:color w:val="212121"/>
          <w:szCs w:val="27"/>
          <w:bdr w:val="none" w:sz="0" w:space="0" w:color="auto" w:frame="1"/>
        </w:rPr>
        <w:t xml:space="preserve">As relevant here, </w:t>
      </w:r>
      <w:r w:rsidR="00DC2BB2">
        <w:rPr>
          <w:rStyle w:val="ssrfcpassagedeactivated"/>
          <w:color w:val="212121"/>
          <w:szCs w:val="27"/>
          <w:bdr w:val="none" w:sz="0" w:space="0" w:color="auto" w:frame="1"/>
        </w:rPr>
        <w:t xml:space="preserve">the statute required </w:t>
      </w:r>
      <w:r w:rsidR="00EC1C2C">
        <w:rPr>
          <w:rStyle w:val="ssrfcpassagedeactivated"/>
          <w:color w:val="212121"/>
          <w:szCs w:val="27"/>
          <w:bdr w:val="none" w:sz="0" w:space="0" w:color="auto" w:frame="1"/>
        </w:rPr>
        <w:t xml:space="preserve">a public agency to disclose the name and </w:t>
      </w:r>
      <w:r w:rsidR="00DC2BB2">
        <w:rPr>
          <w:rStyle w:val="ssrfcpassagedeactivated"/>
          <w:color w:val="212121"/>
          <w:szCs w:val="27"/>
          <w:bdr w:val="none" w:sz="0" w:space="0" w:color="auto" w:frame="1"/>
        </w:rPr>
        <w:t xml:space="preserve">age </w:t>
      </w:r>
      <w:r w:rsidR="00EC1C2C">
        <w:rPr>
          <w:rStyle w:val="ssrfcpassagedeactivated"/>
          <w:color w:val="212121"/>
          <w:szCs w:val="27"/>
          <w:bdr w:val="none" w:sz="0" w:space="0" w:color="auto" w:frame="1"/>
        </w:rPr>
        <w:t xml:space="preserve">of a crime victim (subject to exceptions </w:t>
      </w:r>
      <w:r w:rsidR="00116B2D">
        <w:rPr>
          <w:rStyle w:val="ssrfcpassagedeactivated"/>
          <w:color w:val="212121"/>
          <w:szCs w:val="27"/>
          <w:bdr w:val="none" w:sz="0" w:space="0" w:color="auto" w:frame="1"/>
        </w:rPr>
        <w:t xml:space="preserve">not applicable here), unless </w:t>
      </w:r>
      <w:r w:rsidR="00117BB6">
        <w:rPr>
          <w:rStyle w:val="ssrfcpassagedeactivated"/>
          <w:color w:val="212121"/>
          <w:szCs w:val="27"/>
          <w:bdr w:val="none" w:sz="0" w:space="0" w:color="auto" w:frame="1"/>
        </w:rPr>
        <w:t xml:space="preserve">the </w:t>
      </w:r>
      <w:r w:rsidR="00116B2D">
        <w:rPr>
          <w:rStyle w:val="ssrfcpassagedeactivated"/>
          <w:color w:val="212121"/>
          <w:szCs w:val="27"/>
          <w:bdr w:val="none" w:sz="0" w:space="0" w:color="auto" w:frame="1"/>
        </w:rPr>
        <w:t xml:space="preserve">disclosure would endanger </w:t>
      </w:r>
      <w:r w:rsidR="00117BB6">
        <w:rPr>
          <w:rStyle w:val="ssrfcpassagedeactivated"/>
          <w:color w:val="212121"/>
          <w:szCs w:val="27"/>
          <w:bdr w:val="none" w:sz="0" w:space="0" w:color="auto" w:frame="1"/>
        </w:rPr>
        <w:t>the safety of an individual involved in the investigation</w:t>
      </w:r>
      <w:r w:rsidR="004460DF">
        <w:rPr>
          <w:rStyle w:val="ssrfcpassagedeactivated"/>
          <w:color w:val="212121"/>
          <w:szCs w:val="27"/>
          <w:bdr w:val="none" w:sz="0" w:space="0" w:color="auto" w:frame="1"/>
        </w:rPr>
        <w:t xml:space="preserve">.  </w:t>
      </w:r>
      <w:r w:rsidR="002D49FE">
        <w:rPr>
          <w:rStyle w:val="ssrfcpassagedeactivated"/>
          <w:color w:val="212121"/>
          <w:szCs w:val="27"/>
          <w:bdr w:val="none" w:sz="0" w:space="0" w:color="auto" w:frame="1"/>
        </w:rPr>
        <w:t xml:space="preserve">(See </w:t>
      </w:r>
      <w:r w:rsidR="002D49FE" w:rsidRPr="00F06B8C">
        <w:rPr>
          <w:rStyle w:val="ssrfcpassagedeactivated"/>
          <w:i/>
          <w:iCs/>
          <w:color w:val="212121"/>
          <w:szCs w:val="27"/>
          <w:bdr w:val="none" w:sz="0" w:space="0" w:color="auto" w:frame="1"/>
        </w:rPr>
        <w:t>Fredericks v. Superior Court</w:t>
      </w:r>
      <w:r w:rsidR="002D49FE">
        <w:rPr>
          <w:rStyle w:val="ssrfcpassagedeactivated"/>
          <w:color w:val="212121"/>
          <w:szCs w:val="27"/>
          <w:bdr w:val="none" w:sz="0" w:space="0" w:color="auto" w:frame="1"/>
        </w:rPr>
        <w:t xml:space="preserve"> (2015) 233 Cal.app.4th 209, </w:t>
      </w:r>
      <w:r w:rsidR="00F06B8C">
        <w:rPr>
          <w:rStyle w:val="ssrfcpassagedeactivated"/>
          <w:color w:val="212121"/>
          <w:szCs w:val="27"/>
          <w:bdr w:val="none" w:sz="0" w:space="0" w:color="auto" w:frame="1"/>
        </w:rPr>
        <w:t>226.)</w:t>
      </w:r>
      <w:r>
        <w:rPr>
          <w:rStyle w:val="FootnoteReference"/>
          <w:color w:val="212121"/>
          <w:szCs w:val="27"/>
          <w:bdr w:val="none" w:sz="0" w:space="0" w:color="auto" w:frame="1"/>
        </w:rPr>
        <w:footnoteReference w:id="4"/>
      </w:r>
      <w:r w:rsidR="00F06B8C">
        <w:rPr>
          <w:rStyle w:val="ssrfcpassagedeactivated"/>
          <w:color w:val="212121"/>
          <w:szCs w:val="27"/>
          <w:bdr w:val="none" w:sz="0" w:space="0" w:color="auto" w:frame="1"/>
        </w:rPr>
        <w:t xml:space="preserve"> </w:t>
      </w:r>
      <w:r w:rsidR="00FA7CEE">
        <w:rPr>
          <w:rStyle w:val="ssrfcpassagedeactivated"/>
          <w:color w:val="212121"/>
          <w:szCs w:val="27"/>
          <w:bdr w:val="none" w:sz="0" w:space="0" w:color="auto" w:frame="1"/>
        </w:rPr>
        <w:t xml:space="preserve"> D</w:t>
      </w:r>
      <w:r w:rsidR="008841E0">
        <w:rPr>
          <w:rStyle w:val="ssrfcpassagedeactivated"/>
          <w:color w:val="212121"/>
          <w:szCs w:val="27"/>
          <w:bdr w:val="none" w:sz="0" w:space="0" w:color="auto" w:frame="1"/>
        </w:rPr>
        <w:t>i</w:t>
      </w:r>
      <w:r w:rsidR="005E36A2">
        <w:rPr>
          <w:rStyle w:val="ssrfcpassagedeactivated"/>
          <w:color w:val="212121"/>
          <w:szCs w:val="27"/>
          <w:bdr w:val="none" w:sz="0" w:space="0" w:color="auto" w:frame="1"/>
        </w:rPr>
        <w:t xml:space="preserve">sclosure is </w:t>
      </w:r>
      <w:r w:rsidR="005803E3">
        <w:rPr>
          <w:rStyle w:val="ssrfcpassagedeactivated"/>
          <w:color w:val="212121"/>
          <w:szCs w:val="27"/>
          <w:bdr w:val="none" w:sz="0" w:space="0" w:color="auto" w:frame="1"/>
        </w:rPr>
        <w:t xml:space="preserve">strongly </w:t>
      </w:r>
      <w:r w:rsidR="005E36A2">
        <w:rPr>
          <w:rStyle w:val="ssrfcpassagedeactivated"/>
          <w:color w:val="212121"/>
          <w:szCs w:val="27"/>
          <w:bdr w:val="none" w:sz="0" w:space="0" w:color="auto" w:frame="1"/>
        </w:rPr>
        <w:t>favored</w:t>
      </w:r>
      <w:r w:rsidR="002C0105">
        <w:rPr>
          <w:rStyle w:val="ssrfcpassagedeactivated"/>
          <w:color w:val="212121"/>
          <w:szCs w:val="27"/>
          <w:bdr w:val="none" w:sz="0" w:space="0" w:color="auto" w:frame="1"/>
        </w:rPr>
        <w:t xml:space="preserve">; thus, </w:t>
      </w:r>
      <w:r w:rsidR="00032BBF">
        <w:rPr>
          <w:rStyle w:val="ssrfcpassagedeactivated"/>
          <w:color w:val="212121"/>
          <w:szCs w:val="27"/>
          <w:bdr w:val="none" w:sz="0" w:space="0" w:color="auto" w:frame="1"/>
        </w:rPr>
        <w:t xml:space="preserve">all </w:t>
      </w:r>
      <w:r w:rsidR="00CB0900">
        <w:rPr>
          <w:rStyle w:val="ssrfcpassagedeactivated"/>
          <w:color w:val="212121"/>
          <w:szCs w:val="27"/>
          <w:bdr w:val="none" w:sz="0" w:space="0" w:color="auto" w:frame="1"/>
        </w:rPr>
        <w:t>exemptions are narrowly construed</w:t>
      </w:r>
      <w:r w:rsidR="00251F8B">
        <w:rPr>
          <w:rStyle w:val="ssrfcpassagedeactivated"/>
          <w:color w:val="212121"/>
          <w:szCs w:val="27"/>
          <w:bdr w:val="none" w:sz="0" w:space="0" w:color="auto" w:frame="1"/>
        </w:rPr>
        <w:t xml:space="preserve">, and the agency </w:t>
      </w:r>
      <w:r w:rsidR="0091735B" w:rsidRPr="00541776">
        <w:rPr>
          <w:rStyle w:val="ssrfcpassagedeactivated"/>
          <w:color w:val="212121"/>
          <w:szCs w:val="27"/>
          <w:bdr w:val="none" w:sz="0" w:space="0" w:color="auto" w:frame="1"/>
        </w:rPr>
        <w:t xml:space="preserve">opposing disclosure bears the </w:t>
      </w:r>
      <w:r w:rsidR="00251F8B">
        <w:rPr>
          <w:rStyle w:val="ssrfcpassagedeactivated"/>
          <w:color w:val="212121"/>
          <w:szCs w:val="27"/>
          <w:bdr w:val="none" w:sz="0" w:space="0" w:color="auto" w:frame="1"/>
        </w:rPr>
        <w:t>b</w:t>
      </w:r>
      <w:r w:rsidR="0091735B" w:rsidRPr="00541776">
        <w:rPr>
          <w:rStyle w:val="ssrfcpassagedeactivated"/>
          <w:color w:val="212121"/>
          <w:szCs w:val="27"/>
          <w:bdr w:val="none" w:sz="0" w:space="0" w:color="auto" w:frame="1"/>
        </w:rPr>
        <w:t>urden of proving that an exemption</w:t>
      </w:r>
      <w:r w:rsidR="0091735B" w:rsidRPr="001636C0">
        <w:rPr>
          <w:rStyle w:val="ssrfcpassagedeactivated"/>
          <w:b/>
          <w:bCs/>
          <w:color w:val="212121"/>
          <w:szCs w:val="27"/>
          <w:bdr w:val="none" w:sz="0" w:space="0" w:color="auto" w:frame="1"/>
        </w:rPr>
        <w:t xml:space="preserve"> </w:t>
      </w:r>
      <w:r w:rsidR="0091735B" w:rsidRPr="00C22ED8">
        <w:rPr>
          <w:rStyle w:val="ssrfcpassagedeactivated"/>
          <w:color w:val="212121"/>
          <w:szCs w:val="27"/>
          <w:bdr w:val="none" w:sz="0" w:space="0" w:color="auto" w:frame="1"/>
        </w:rPr>
        <w:t>applies.</w:t>
      </w:r>
      <w:r w:rsidR="0091735B" w:rsidRPr="001636C0">
        <w:rPr>
          <w:rStyle w:val="ssrfcpassagedeactivated"/>
          <w:b/>
          <w:bCs/>
          <w:color w:val="212121"/>
          <w:szCs w:val="27"/>
          <w:bdr w:val="none" w:sz="0" w:space="0" w:color="auto" w:frame="1"/>
        </w:rPr>
        <w:t xml:space="preserve"> </w:t>
      </w:r>
      <w:r w:rsidR="00251F8B">
        <w:rPr>
          <w:rStyle w:val="ssrfcpassagedeactivated"/>
          <w:b/>
          <w:bCs/>
          <w:color w:val="212121"/>
          <w:szCs w:val="27"/>
          <w:bdr w:val="none" w:sz="0" w:space="0" w:color="auto" w:frame="1"/>
        </w:rPr>
        <w:t xml:space="preserve"> </w:t>
      </w:r>
      <w:r w:rsidR="008841E0" w:rsidRPr="00BE3259">
        <w:rPr>
          <w:rStyle w:val="ssrfcpassagedeactivated"/>
          <w:color w:val="212121"/>
          <w:szCs w:val="27"/>
          <w:bdr w:val="none" w:sz="0" w:space="0" w:color="auto" w:frame="1"/>
        </w:rPr>
        <w:t>(</w:t>
      </w:r>
      <w:r w:rsidR="008841E0" w:rsidRPr="00F02F34">
        <w:rPr>
          <w:rStyle w:val="ssrfcpassagedeactivated"/>
          <w:i/>
          <w:iCs/>
          <w:color w:val="212121"/>
          <w:szCs w:val="27"/>
          <w:bdr w:val="none" w:sz="0" w:space="0" w:color="auto" w:frame="1"/>
        </w:rPr>
        <w:t xml:space="preserve">County of Santa </w:t>
      </w:r>
      <w:r w:rsidR="008841E0" w:rsidRPr="00306E4F">
        <w:rPr>
          <w:rStyle w:val="ssrfcpassagedeactivated"/>
          <w:i/>
          <w:iCs/>
          <w:color w:val="212121"/>
          <w:szCs w:val="27"/>
          <w:bdr w:val="none" w:sz="0" w:space="0" w:color="auto" w:frame="1"/>
        </w:rPr>
        <w:t>Clara</w:t>
      </w:r>
      <w:r w:rsidR="008841E0" w:rsidRPr="006E118E">
        <w:rPr>
          <w:rStyle w:val="ssrfcpassagedeactivated"/>
          <w:color w:val="212121"/>
          <w:szCs w:val="27"/>
          <w:bdr w:val="none" w:sz="0" w:space="0" w:color="auto" w:frame="1"/>
        </w:rPr>
        <w:t>,</w:t>
      </w:r>
      <w:r w:rsidR="008841E0" w:rsidRPr="00306E4F">
        <w:rPr>
          <w:rStyle w:val="ssrfcpassagedeactivated"/>
          <w:i/>
          <w:iCs/>
          <w:color w:val="212121"/>
          <w:szCs w:val="27"/>
          <w:bdr w:val="none" w:sz="0" w:space="0" w:color="auto" w:frame="1"/>
        </w:rPr>
        <w:t xml:space="preserve"> </w:t>
      </w:r>
      <w:r w:rsidR="00F02F34" w:rsidRPr="00306E4F">
        <w:rPr>
          <w:rStyle w:val="ssrfcpassagedeactivated"/>
          <w:i/>
          <w:iCs/>
          <w:color w:val="212121"/>
          <w:szCs w:val="27"/>
          <w:bdr w:val="none" w:sz="0" w:space="0" w:color="auto" w:frame="1"/>
        </w:rPr>
        <w:t>supra</w:t>
      </w:r>
      <w:r w:rsidR="00F02F34" w:rsidRPr="006E118E">
        <w:rPr>
          <w:rStyle w:val="ssrfcpassagedeactivated"/>
          <w:color w:val="212121"/>
          <w:szCs w:val="27"/>
          <w:bdr w:val="none" w:sz="0" w:space="0" w:color="auto" w:frame="1"/>
        </w:rPr>
        <w:t>,</w:t>
      </w:r>
      <w:r w:rsidR="00F02F34">
        <w:rPr>
          <w:rStyle w:val="ssrfcpassagedeactivated"/>
          <w:color w:val="212121"/>
          <w:szCs w:val="27"/>
          <w:bdr w:val="none" w:sz="0" w:space="0" w:color="auto" w:frame="1"/>
        </w:rPr>
        <w:t xml:space="preserve"> </w:t>
      </w:r>
      <w:r w:rsidR="00306E4F">
        <w:rPr>
          <w:rStyle w:val="ssrfcpassagedeactivated"/>
          <w:color w:val="212121"/>
          <w:szCs w:val="27"/>
          <w:bdr w:val="none" w:sz="0" w:space="0" w:color="auto" w:frame="1"/>
        </w:rPr>
        <w:t>170</w:t>
      </w:r>
      <w:r w:rsidR="00CD1282">
        <w:rPr>
          <w:rStyle w:val="ssrfcpassagedeactivated"/>
          <w:color w:val="212121"/>
          <w:szCs w:val="27"/>
          <w:bdr w:val="none" w:sz="0" w:space="0" w:color="auto" w:frame="1"/>
        </w:rPr>
        <w:t> </w:t>
      </w:r>
      <w:r w:rsidR="00306E4F">
        <w:rPr>
          <w:rStyle w:val="ssrfcpassagedeactivated"/>
          <w:color w:val="212121"/>
          <w:szCs w:val="27"/>
          <w:bdr w:val="none" w:sz="0" w:space="0" w:color="auto" w:frame="1"/>
        </w:rPr>
        <w:t xml:space="preserve">Cal.App.4th </w:t>
      </w:r>
      <w:r w:rsidR="008841E0" w:rsidRPr="00BE3259">
        <w:rPr>
          <w:rStyle w:val="ssrfcpassagedeactivated"/>
          <w:color w:val="212121"/>
          <w:szCs w:val="27"/>
          <w:bdr w:val="none" w:sz="0" w:space="0" w:color="auto" w:frame="1"/>
        </w:rPr>
        <w:t>at p. 1321.)</w:t>
      </w:r>
      <w:r w:rsidR="00D07010">
        <w:rPr>
          <w:rStyle w:val="ssrfcpassagedeactivated"/>
          <w:b/>
          <w:bCs/>
          <w:color w:val="212121"/>
          <w:szCs w:val="27"/>
          <w:bdr w:val="none" w:sz="0" w:space="0" w:color="auto" w:frame="1"/>
        </w:rPr>
        <w:t xml:space="preserve">  </w:t>
      </w:r>
      <w:r w:rsidR="00D07010" w:rsidRPr="00D07010">
        <w:rPr>
          <w:rStyle w:val="ssrfcpassagedeactivated"/>
          <w:color w:val="212121"/>
          <w:szCs w:val="27"/>
          <w:bdr w:val="none" w:sz="0" w:space="0" w:color="auto" w:frame="1"/>
        </w:rPr>
        <w:t>“ ‘</w:t>
      </w:r>
      <w:r w:rsidR="00CD1282">
        <w:rPr>
          <w:rStyle w:val="ssrfcpassagedeactivated"/>
          <w:color w:val="212121"/>
          <w:szCs w:val="27"/>
          <w:bdr w:val="none" w:sz="0" w:space="0" w:color="auto" w:frame="1"/>
        </w:rPr>
        <w:t>[</w:t>
      </w:r>
      <w:r>
        <w:rPr>
          <w:rStyle w:val="ssrfcsection"/>
          <w:color w:val="212121"/>
          <w:szCs w:val="27"/>
          <w:bdr w:val="none" w:sz="0" w:space="0" w:color="auto" w:frame="1"/>
        </w:rPr>
        <w:t>U]</w:t>
      </w:r>
      <w:r w:rsidRPr="00266995">
        <w:rPr>
          <w:rStyle w:val="ssrfcsection"/>
          <w:color w:val="212121"/>
          <w:szCs w:val="27"/>
          <w:bdr w:val="none" w:sz="0" w:space="0" w:color="auto" w:frame="1"/>
        </w:rPr>
        <w:t>nless exempted, all public records may be examined by any member of the public</w:t>
      </w:r>
      <w:r w:rsidR="00CD1282">
        <w:rPr>
          <w:rStyle w:val="ssrfcsection"/>
          <w:color w:val="212121"/>
          <w:szCs w:val="27"/>
          <w:bdr w:val="none" w:sz="0" w:space="0" w:color="auto" w:frame="1"/>
        </w:rPr>
        <w:t>,</w:t>
      </w:r>
      <w:r w:rsidR="00921F63">
        <w:rPr>
          <w:rStyle w:val="ssrfcsection"/>
          <w:color w:val="212121"/>
          <w:szCs w:val="27"/>
          <w:bdr w:val="none" w:sz="0" w:space="0" w:color="auto" w:frame="1"/>
        </w:rPr>
        <w:t xml:space="preserve"> . . . </w:t>
      </w:r>
      <w:r w:rsidRPr="00266995">
        <w:rPr>
          <w:rStyle w:val="ssrfcsection"/>
          <w:color w:val="212121"/>
          <w:szCs w:val="27"/>
          <w:bdr w:val="none" w:sz="0" w:space="0" w:color="auto" w:frame="1"/>
        </w:rPr>
        <w:t>conceivably any person with no greater interest than idle curiosity.</w:t>
      </w:r>
      <w:r w:rsidR="00CA2559">
        <w:rPr>
          <w:rStyle w:val="ssrfcsection"/>
          <w:color w:val="212121"/>
          <w:szCs w:val="27"/>
          <w:bdr w:val="none" w:sz="0" w:space="0" w:color="auto" w:frame="1"/>
        </w:rPr>
        <w:t xml:space="preserve">’ </w:t>
      </w:r>
      <w:r>
        <w:rPr>
          <w:rStyle w:val="ssrfcsection"/>
          <w:color w:val="212121"/>
          <w:szCs w:val="27"/>
          <w:bdr w:val="none" w:sz="0" w:space="0" w:color="auto" w:frame="1"/>
        </w:rPr>
        <w:t>”</w:t>
      </w:r>
      <w:r w:rsidR="000B3170">
        <w:rPr>
          <w:rStyle w:val="ssrfcsection"/>
          <w:color w:val="212121"/>
          <w:szCs w:val="27"/>
          <w:bdr w:val="none" w:sz="0" w:space="0" w:color="auto" w:frame="1"/>
        </w:rPr>
        <w:t xml:space="preserve"> </w:t>
      </w:r>
      <w:r>
        <w:rPr>
          <w:rStyle w:val="ssrfcsection"/>
          <w:color w:val="212121"/>
          <w:szCs w:val="27"/>
          <w:bdr w:val="none" w:sz="0" w:space="0" w:color="auto" w:frame="1"/>
        </w:rPr>
        <w:t xml:space="preserve"> </w:t>
      </w:r>
      <w:r w:rsidRPr="00266995">
        <w:rPr>
          <w:rStyle w:val="ssrfcsection"/>
          <w:color w:val="212121"/>
          <w:szCs w:val="27"/>
          <w:bdr w:val="none" w:sz="0" w:space="0" w:color="auto" w:frame="1"/>
        </w:rPr>
        <w:t>(</w:t>
      </w:r>
      <w:r w:rsidR="00F02F34" w:rsidRPr="00CA2559">
        <w:rPr>
          <w:rStyle w:val="ssrfcsection"/>
          <w:i/>
          <w:iCs/>
          <w:color w:val="212121"/>
          <w:szCs w:val="27"/>
          <w:bdr w:val="none" w:sz="0" w:space="0" w:color="auto" w:frame="1"/>
        </w:rPr>
        <w:t>San Loren</w:t>
      </w:r>
      <w:r w:rsidR="002C0105" w:rsidRPr="00CA2559">
        <w:rPr>
          <w:rStyle w:val="ssrfcsection"/>
          <w:i/>
          <w:iCs/>
          <w:color w:val="212121"/>
          <w:szCs w:val="27"/>
          <w:bdr w:val="none" w:sz="0" w:space="0" w:color="auto" w:frame="1"/>
        </w:rPr>
        <w:t>zo Valley</w:t>
      </w:r>
      <w:r w:rsidR="002C0105" w:rsidRPr="006E118E">
        <w:rPr>
          <w:rStyle w:val="ssrfcsection"/>
          <w:color w:val="212121"/>
          <w:szCs w:val="27"/>
          <w:bdr w:val="none" w:sz="0" w:space="0" w:color="auto" w:frame="1"/>
        </w:rPr>
        <w:t>,</w:t>
      </w:r>
      <w:r w:rsidR="002C0105" w:rsidRPr="00CA2559">
        <w:rPr>
          <w:rStyle w:val="ssrfcsection"/>
          <w:i/>
          <w:iCs/>
          <w:color w:val="212121"/>
          <w:szCs w:val="27"/>
          <w:bdr w:val="none" w:sz="0" w:space="0" w:color="auto" w:frame="1"/>
        </w:rPr>
        <w:t xml:space="preserve"> supra</w:t>
      </w:r>
      <w:r w:rsidR="002C0105" w:rsidRPr="006E118E">
        <w:rPr>
          <w:rStyle w:val="ssrfcsection"/>
          <w:color w:val="212121"/>
          <w:szCs w:val="27"/>
          <w:bdr w:val="none" w:sz="0" w:space="0" w:color="auto" w:frame="1"/>
        </w:rPr>
        <w:t xml:space="preserve">, </w:t>
      </w:r>
      <w:r w:rsidR="002C0105">
        <w:rPr>
          <w:rStyle w:val="ssrfcsection"/>
          <w:color w:val="212121"/>
          <w:szCs w:val="27"/>
          <w:bdr w:val="none" w:sz="0" w:space="0" w:color="auto" w:frame="1"/>
        </w:rPr>
        <w:t xml:space="preserve">139 Cal.App.4th at p. </w:t>
      </w:r>
      <w:r w:rsidR="00CA2559">
        <w:rPr>
          <w:rStyle w:val="ssrfcsection"/>
          <w:color w:val="212121"/>
          <w:szCs w:val="27"/>
          <w:bdr w:val="none" w:sz="0" w:space="0" w:color="auto" w:frame="1"/>
        </w:rPr>
        <w:t>1408.)</w:t>
      </w:r>
    </w:p>
    <w:p w14:paraId="17C732DC" w14:textId="2BC5E8E3" w:rsidR="009A457D" w:rsidRDefault="0038463E" w:rsidP="00543607">
      <w:pPr>
        <w:spacing w:line="480" w:lineRule="auto"/>
      </w:pPr>
      <w:r>
        <w:rPr>
          <w:rStyle w:val="ssrfcsection"/>
          <w:color w:val="212121"/>
          <w:szCs w:val="27"/>
          <w:bdr w:val="none" w:sz="0" w:space="0" w:color="auto" w:frame="1"/>
        </w:rPr>
        <w:tab/>
      </w:r>
      <w:r>
        <w:t>The CPRA “does not allow limitations on access to a public record based upon the purpose for which the record is being requested, if the record is otherwise subject to disclosure.”  (</w:t>
      </w:r>
      <w:r w:rsidR="00380D7B">
        <w:t>Gov. Code,</w:t>
      </w:r>
      <w:r w:rsidR="006E118E">
        <w:t xml:space="preserve"> former</w:t>
      </w:r>
      <w:r w:rsidR="00380D7B">
        <w:t xml:space="preserve"> </w:t>
      </w:r>
      <w:r>
        <w:t>§</w:t>
      </w:r>
      <w:r w:rsidR="00380D7B">
        <w:t xml:space="preserve"> </w:t>
      </w:r>
      <w:r>
        <w:t xml:space="preserve">6257.5.)  </w:t>
      </w:r>
      <w:r w:rsidR="001A58EE">
        <w:rPr>
          <w:rStyle w:val="ssrfcsection"/>
          <w:color w:val="212121"/>
          <w:szCs w:val="27"/>
          <w:bdr w:val="none" w:sz="0" w:space="0" w:color="auto" w:frame="1"/>
        </w:rPr>
        <w:t xml:space="preserve">Thus, a public </w:t>
      </w:r>
      <w:r w:rsidR="001A58EE">
        <w:t xml:space="preserve">agency may not demand to know </w:t>
      </w:r>
      <w:r w:rsidR="002D1ACD">
        <w:t xml:space="preserve">a </w:t>
      </w:r>
      <w:r w:rsidR="001A58EE">
        <w:t xml:space="preserve">requestor’s purpose in requesting </w:t>
      </w:r>
      <w:r w:rsidR="002D1ACD">
        <w:t xml:space="preserve">a </w:t>
      </w:r>
      <w:r w:rsidR="001A58EE">
        <w:t>public record</w:t>
      </w:r>
      <w:r w:rsidR="00D8745E">
        <w:t>; the requestor’s purpose in seeking the record is irrelevant to whether the record is subject to disclosure</w:t>
      </w:r>
      <w:r w:rsidR="00736CF0">
        <w:t xml:space="preserve">.  </w:t>
      </w:r>
      <w:r w:rsidR="004C0A43">
        <w:t>(</w:t>
      </w:r>
      <w:r w:rsidR="00C748B8">
        <w:t>See</w:t>
      </w:r>
      <w:r w:rsidR="00D8745E">
        <w:t xml:space="preserve"> </w:t>
      </w:r>
      <w:r w:rsidR="003653B9" w:rsidRPr="00EA7BB6">
        <w:rPr>
          <w:i/>
          <w:iCs/>
        </w:rPr>
        <w:t xml:space="preserve">Riskin </w:t>
      </w:r>
      <w:r w:rsidR="003653B9" w:rsidRPr="00EA7BB6">
        <w:rPr>
          <w:i/>
          <w:iCs/>
        </w:rPr>
        <w:lastRenderedPageBreak/>
        <w:t>v. Hollywood Media Dist. Proper Owner Ass</w:t>
      </w:r>
      <w:r w:rsidR="000B4457">
        <w:rPr>
          <w:i/>
          <w:iCs/>
        </w:rPr>
        <w:t>’</w:t>
      </w:r>
      <w:r w:rsidR="003653B9" w:rsidRPr="00EA7BB6">
        <w:rPr>
          <w:i/>
          <w:iCs/>
        </w:rPr>
        <w:t>n.</w:t>
      </w:r>
      <w:r w:rsidR="003653B9">
        <w:t xml:space="preserve"> </w:t>
      </w:r>
      <w:r w:rsidR="001D2A21">
        <w:t>(Super. Ct. Los Angeles County, 2018, No. BS166075</w:t>
      </w:r>
      <w:r w:rsidR="003653B9">
        <w:t xml:space="preserve"> [“</w:t>
      </w:r>
      <w:r w:rsidR="00765868">
        <w:t>[T]</w:t>
      </w:r>
      <w:r w:rsidR="003653B9">
        <w:t>he requestor’s purpose in seeking the records is</w:t>
      </w:r>
      <w:r w:rsidR="00765868">
        <w:t xml:space="preserve"> </w:t>
      </w:r>
      <w:r w:rsidR="003653B9">
        <w:t>irrele</w:t>
      </w:r>
      <w:r w:rsidR="00765868">
        <w:t>v</w:t>
      </w:r>
      <w:r w:rsidR="003653B9">
        <w:t>ant</w:t>
      </w:r>
      <w:r w:rsidR="002978BC">
        <w:t>.</w:t>
      </w:r>
      <w:r w:rsidR="00765868">
        <w:t>”].</w:t>
      </w:r>
      <w:r w:rsidR="003653B9">
        <w:t xml:space="preserve">)  </w:t>
      </w:r>
      <w:r w:rsidR="00736CF0">
        <w:t xml:space="preserve">Additionally, </w:t>
      </w:r>
      <w:r w:rsidR="00A36BC7">
        <w:t xml:space="preserve">if </w:t>
      </w:r>
      <w:r>
        <w:t xml:space="preserve">a </w:t>
      </w:r>
      <w:r w:rsidR="00FA2598">
        <w:t xml:space="preserve">public </w:t>
      </w:r>
      <w:r>
        <w:t xml:space="preserve">record </w:t>
      </w:r>
      <w:r w:rsidR="00A36BC7">
        <w:t xml:space="preserve">is exempt </w:t>
      </w:r>
      <w:r>
        <w:t>from disclosure</w:t>
      </w:r>
      <w:r w:rsidR="0018233A">
        <w:t xml:space="preserve">, </w:t>
      </w:r>
      <w:r w:rsidR="006808A6">
        <w:t xml:space="preserve">the </w:t>
      </w:r>
      <w:r>
        <w:t xml:space="preserve">agency waives </w:t>
      </w:r>
      <w:r w:rsidR="006808A6">
        <w:t xml:space="preserve">the </w:t>
      </w:r>
      <w:r>
        <w:t xml:space="preserve">exemption </w:t>
      </w:r>
      <w:r w:rsidR="00D80F36">
        <w:t xml:space="preserve">if </w:t>
      </w:r>
      <w:r w:rsidR="00EC1922">
        <w:t xml:space="preserve">it </w:t>
      </w:r>
      <w:r w:rsidR="008B7A5A">
        <w:t>voluntar</w:t>
      </w:r>
      <w:r w:rsidR="00EC1922">
        <w:t xml:space="preserve">ily </w:t>
      </w:r>
      <w:r w:rsidR="008B7A5A">
        <w:t>and knowing</w:t>
      </w:r>
      <w:r w:rsidR="00EC1922">
        <w:t>ly discloses</w:t>
      </w:r>
      <w:r w:rsidR="00B071F2">
        <w:t xml:space="preserve"> the</w:t>
      </w:r>
      <w:r w:rsidR="00EC1922">
        <w:t xml:space="preserve"> </w:t>
      </w:r>
      <w:r w:rsidR="008B7A5A">
        <w:t>record to one member of the public but not</w:t>
      </w:r>
      <w:r w:rsidR="00736CF0">
        <w:t xml:space="preserve"> </w:t>
      </w:r>
      <w:r w:rsidR="008B7A5A">
        <w:t>other</w:t>
      </w:r>
      <w:r w:rsidR="00765868">
        <w:t xml:space="preserve"> members</w:t>
      </w:r>
      <w:r w:rsidR="008B7A5A">
        <w:t xml:space="preserve">.  </w:t>
      </w:r>
      <w:r w:rsidR="004700DF">
        <w:t>(</w:t>
      </w:r>
      <w:r w:rsidR="00AC139B">
        <w:t xml:space="preserve">Gov. Code, </w:t>
      </w:r>
      <w:r w:rsidR="006E118E">
        <w:t xml:space="preserve">former </w:t>
      </w:r>
      <w:r w:rsidR="00AC139B">
        <w:t>§</w:t>
      </w:r>
      <w:r w:rsidR="006E118E">
        <w:t xml:space="preserve"> </w:t>
      </w:r>
      <w:r w:rsidR="00AC139B">
        <w:t xml:space="preserve">6254.5; </w:t>
      </w:r>
      <w:r w:rsidR="00692B51" w:rsidRPr="0018233A">
        <w:rPr>
          <w:i/>
          <w:iCs/>
        </w:rPr>
        <w:t>Ardon v. City of Los Angeles</w:t>
      </w:r>
      <w:r w:rsidR="00692B51">
        <w:t xml:space="preserve"> (2016) 62 Cal.4th 1176, 1189</w:t>
      </w:r>
      <w:r w:rsidR="00DC045E">
        <w:t xml:space="preserve">.)  </w:t>
      </w:r>
      <w:r w:rsidR="00654E69">
        <w:t xml:space="preserve">Disclosure to one member of the public </w:t>
      </w:r>
      <w:r w:rsidR="00FA2598">
        <w:t xml:space="preserve">waives </w:t>
      </w:r>
      <w:r w:rsidR="00654E69">
        <w:t>the exemption</w:t>
      </w:r>
      <w:r w:rsidR="00AB4B37">
        <w:t xml:space="preserve">, </w:t>
      </w:r>
      <w:r w:rsidR="004D5420">
        <w:t>“ ‘</w:t>
      </w:r>
      <w:r w:rsidR="00AB4B37">
        <w:t>requiring disclosure to any other person who requests a copy.</w:t>
      </w:r>
      <w:r w:rsidR="00CB5D02">
        <w:t xml:space="preserve">’ </w:t>
      </w:r>
      <w:r w:rsidR="00AB4B37">
        <w:t>”  (</w:t>
      </w:r>
      <w:r w:rsidR="00DC045E" w:rsidRPr="00DC045E">
        <w:rPr>
          <w:i/>
          <w:iCs/>
        </w:rPr>
        <w:t xml:space="preserve">County of </w:t>
      </w:r>
      <w:r w:rsidR="00522A44" w:rsidRPr="00DC045E">
        <w:rPr>
          <w:i/>
          <w:iCs/>
        </w:rPr>
        <w:t>Santa Clara</w:t>
      </w:r>
      <w:r w:rsidR="00522A44" w:rsidRPr="000B3170">
        <w:t>,</w:t>
      </w:r>
      <w:r w:rsidR="00522A44" w:rsidRPr="00DC045E">
        <w:rPr>
          <w:i/>
          <w:iCs/>
        </w:rPr>
        <w:t xml:space="preserve"> supra</w:t>
      </w:r>
      <w:r w:rsidR="00522A44" w:rsidRPr="000B3170">
        <w:t>,</w:t>
      </w:r>
      <w:r w:rsidR="00522A44">
        <w:t xml:space="preserve"> 170 Cal.App.4th at p</w:t>
      </w:r>
      <w:r w:rsidR="00A40415">
        <w:t>p.</w:t>
      </w:r>
      <w:r w:rsidR="00CB5D02">
        <w:t> </w:t>
      </w:r>
      <w:r w:rsidR="00A40415">
        <w:t>1321-1322.)</w:t>
      </w:r>
    </w:p>
    <w:p w14:paraId="1CBF78A8" w14:textId="06E3CBA4" w:rsidR="009F1507" w:rsidRDefault="0038463E" w:rsidP="009F1507">
      <w:pPr>
        <w:spacing w:line="480" w:lineRule="auto"/>
        <w:jc w:val="both"/>
      </w:pPr>
      <w:r>
        <w:t xml:space="preserve">B.  </w:t>
      </w:r>
      <w:r w:rsidR="00775977" w:rsidRPr="00775977">
        <w:rPr>
          <w:i/>
          <w:iCs/>
        </w:rPr>
        <w:t>Facts and Procedural</w:t>
      </w:r>
      <w:r w:rsidR="00775977">
        <w:t xml:space="preserve"> </w:t>
      </w:r>
      <w:r w:rsidRPr="009F1507">
        <w:rPr>
          <w:i/>
          <w:iCs/>
        </w:rPr>
        <w:t>Background</w:t>
      </w:r>
    </w:p>
    <w:p w14:paraId="5B4CC8F5" w14:textId="0F6658CA" w:rsidR="00F33401" w:rsidRDefault="0038463E" w:rsidP="009F1507">
      <w:pPr>
        <w:spacing w:line="480" w:lineRule="auto"/>
        <w:jc w:val="both"/>
      </w:pPr>
      <w:r>
        <w:tab/>
        <w:t xml:space="preserve">1.  </w:t>
      </w:r>
      <w:r w:rsidRPr="00F33401">
        <w:rPr>
          <w:u w:val="single"/>
        </w:rPr>
        <w:t xml:space="preserve">Kinney’s CPRA Request </w:t>
      </w:r>
      <w:r w:rsidR="00ED1DAD">
        <w:rPr>
          <w:u w:val="single"/>
        </w:rPr>
        <w:t>and</w:t>
      </w:r>
      <w:r w:rsidR="00514CCC">
        <w:rPr>
          <w:u w:val="single"/>
        </w:rPr>
        <w:t xml:space="preserve"> </w:t>
      </w:r>
      <w:r w:rsidRPr="00F33401">
        <w:rPr>
          <w:u w:val="single"/>
        </w:rPr>
        <w:t>Petition</w:t>
      </w:r>
      <w:r>
        <w:t xml:space="preserve"> </w:t>
      </w:r>
    </w:p>
    <w:p w14:paraId="076E7909" w14:textId="21C6734E" w:rsidR="008E3546" w:rsidRDefault="0038463E" w:rsidP="00290650">
      <w:pPr>
        <w:spacing w:line="480" w:lineRule="auto"/>
      </w:pPr>
      <w:r>
        <w:tab/>
      </w:r>
      <w:r w:rsidR="006B0275">
        <w:t>On December 2</w:t>
      </w:r>
      <w:r w:rsidR="005F6CE4">
        <w:t>3</w:t>
      </w:r>
      <w:r w:rsidR="006B0275">
        <w:t xml:space="preserve">, 2019, Kinney </w:t>
      </w:r>
      <w:r w:rsidR="000B3170">
        <w:t>e-mail</w:t>
      </w:r>
      <w:r w:rsidR="006B0275">
        <w:t>ed a public recor</w:t>
      </w:r>
      <w:r w:rsidR="00EF3E18">
        <w:t>d</w:t>
      </w:r>
      <w:r w:rsidR="006B0275">
        <w:t>s</w:t>
      </w:r>
      <w:r w:rsidR="00E6458E">
        <w:t xml:space="preserve"> </w:t>
      </w:r>
      <w:r w:rsidR="006B0275">
        <w:t>request</w:t>
      </w:r>
      <w:r w:rsidR="00E6458E">
        <w:t xml:space="preserve"> </w:t>
      </w:r>
      <w:r w:rsidR="006B0275">
        <w:t xml:space="preserve">to </w:t>
      </w:r>
      <w:r w:rsidR="00EF3E18">
        <w:t>City</w:t>
      </w:r>
      <w:r w:rsidR="00160005">
        <w:t xml:space="preserve">, </w:t>
      </w:r>
      <w:r w:rsidR="00E6458E">
        <w:t xml:space="preserve">asking City to disclose </w:t>
      </w:r>
      <w:r w:rsidR="00EF3E18">
        <w:t xml:space="preserve">the name of </w:t>
      </w:r>
      <w:r w:rsidR="00160005">
        <w:t xml:space="preserve">a crime victim, specifically, </w:t>
      </w:r>
      <w:r w:rsidR="00986DD0">
        <w:t xml:space="preserve">the </w:t>
      </w:r>
      <w:r w:rsidR="00160005">
        <w:t>owner of a vehicle report</w:t>
      </w:r>
      <w:r w:rsidR="00557297">
        <w:t>e</w:t>
      </w:r>
      <w:r w:rsidR="00160005">
        <w:t xml:space="preserve">d stolen on </w:t>
      </w:r>
      <w:r w:rsidR="005F6CE4">
        <w:t>May 23</w:t>
      </w:r>
      <w:r w:rsidR="00695FF5">
        <w:t>.</w:t>
      </w:r>
      <w:r w:rsidR="00AA0434">
        <w:t xml:space="preserve">  </w:t>
      </w:r>
      <w:r w:rsidR="00AE395B">
        <w:t xml:space="preserve">Kinney’s </w:t>
      </w:r>
      <w:r w:rsidR="00E0695B">
        <w:t xml:space="preserve">request </w:t>
      </w:r>
      <w:r w:rsidR="00AE395B">
        <w:t xml:space="preserve">indicated that </w:t>
      </w:r>
      <w:r w:rsidR="00557297">
        <w:t>Kinney had read about the vehicle theft onlin</w:t>
      </w:r>
      <w:r w:rsidR="008C25B9">
        <w:t>e</w:t>
      </w:r>
      <w:r w:rsidR="00AE395B">
        <w:t xml:space="preserve">, </w:t>
      </w:r>
      <w:r w:rsidR="00F7276F">
        <w:t xml:space="preserve">and </w:t>
      </w:r>
      <w:r w:rsidR="00E0695B">
        <w:t xml:space="preserve">included </w:t>
      </w:r>
      <w:r w:rsidR="008A214C">
        <w:t xml:space="preserve">the name of the person </w:t>
      </w:r>
      <w:r w:rsidR="006F5763">
        <w:t xml:space="preserve">who was </w:t>
      </w:r>
      <w:r w:rsidR="008A214C">
        <w:t>arrested for the theft</w:t>
      </w:r>
      <w:r w:rsidR="00B071F2">
        <w:t xml:space="preserve">, </w:t>
      </w:r>
      <w:r w:rsidR="00982FF2">
        <w:t xml:space="preserve">along with the internet </w:t>
      </w:r>
      <w:r w:rsidR="008A214C">
        <w:t xml:space="preserve">address </w:t>
      </w:r>
      <w:r w:rsidR="00982FF2">
        <w:t xml:space="preserve">of </w:t>
      </w:r>
      <w:r w:rsidR="008A214C">
        <w:t xml:space="preserve">a news article reporting </w:t>
      </w:r>
      <w:r w:rsidR="00E00A2E">
        <w:t xml:space="preserve">the arrest </w:t>
      </w:r>
      <w:r w:rsidR="00982FF2">
        <w:t xml:space="preserve">following </w:t>
      </w:r>
      <w:r w:rsidR="00E00A2E">
        <w:t xml:space="preserve">a </w:t>
      </w:r>
      <w:r w:rsidR="008A214C">
        <w:t xml:space="preserve">crash involving the vehicle.  </w:t>
      </w:r>
      <w:r w:rsidR="00222577">
        <w:t>Kinney</w:t>
      </w:r>
      <w:r w:rsidR="005F6CE4">
        <w:t>’s</w:t>
      </w:r>
      <w:r w:rsidR="00222577">
        <w:t xml:space="preserve"> petition </w:t>
      </w:r>
      <w:r w:rsidR="00666DEE">
        <w:t xml:space="preserve">sought </w:t>
      </w:r>
      <w:r w:rsidR="003A214C">
        <w:t xml:space="preserve">a </w:t>
      </w:r>
      <w:r w:rsidR="00D63801">
        <w:t xml:space="preserve">writ of mandate directing </w:t>
      </w:r>
      <w:r w:rsidR="00BA7561">
        <w:t>City to “com</w:t>
      </w:r>
      <w:r w:rsidR="00666DEE">
        <w:t>p</w:t>
      </w:r>
      <w:r w:rsidR="00BA7561">
        <w:t xml:space="preserve">ly with the CPRA by making all requested information </w:t>
      </w:r>
      <w:r w:rsidR="00D63801">
        <w:t>[</w:t>
      </w:r>
      <w:r w:rsidR="00B071F2">
        <w:t>(</w:t>
      </w:r>
      <w:r w:rsidR="00D63801">
        <w:t>the crime victim’s name</w:t>
      </w:r>
      <w:r w:rsidR="00B071F2">
        <w:t>)</w:t>
      </w:r>
      <w:r w:rsidR="00D63801">
        <w:t xml:space="preserve">] </w:t>
      </w:r>
      <w:r w:rsidR="00BA7561">
        <w:t>a</w:t>
      </w:r>
      <w:r w:rsidR="00666DEE">
        <w:t xml:space="preserve">vailable </w:t>
      </w:r>
      <w:r w:rsidR="00BA7561">
        <w:t>to Petit</w:t>
      </w:r>
      <w:r w:rsidR="00666DEE">
        <w:t>io</w:t>
      </w:r>
      <w:r w:rsidR="00BA7561">
        <w:t>ner</w:t>
      </w:r>
      <w:r w:rsidR="00666DEE">
        <w:t xml:space="preserve"> . . . .</w:t>
      </w:r>
      <w:r w:rsidR="00CB5D02">
        <w:t>”</w:t>
      </w:r>
    </w:p>
    <w:p w14:paraId="5D55F2CF" w14:textId="732E290D" w:rsidR="00975079" w:rsidRDefault="0038463E" w:rsidP="00290650">
      <w:pPr>
        <w:spacing w:line="480" w:lineRule="auto"/>
      </w:pPr>
      <w:r>
        <w:tab/>
      </w:r>
      <w:r w:rsidR="003778C6">
        <w:t xml:space="preserve">On January 6, </w:t>
      </w:r>
      <w:r w:rsidR="00E82393">
        <w:t xml:space="preserve">2020, </w:t>
      </w:r>
      <w:r w:rsidR="003778C6">
        <w:t>City</w:t>
      </w:r>
      <w:r w:rsidR="00085EAB">
        <w:t xml:space="preserve"> </w:t>
      </w:r>
      <w:r w:rsidR="006D6FFC">
        <w:t xml:space="preserve">sent an </w:t>
      </w:r>
      <w:r w:rsidR="000B3170">
        <w:t>e-mail</w:t>
      </w:r>
      <w:r w:rsidR="006D6FFC">
        <w:t xml:space="preserve"> to </w:t>
      </w:r>
      <w:r w:rsidR="003778C6">
        <w:t>K</w:t>
      </w:r>
      <w:r w:rsidR="004F69AD">
        <w:t>inn</w:t>
      </w:r>
      <w:r w:rsidR="006352A8">
        <w:t>e</w:t>
      </w:r>
      <w:r w:rsidR="003778C6">
        <w:t xml:space="preserve">y, denying </w:t>
      </w:r>
      <w:r w:rsidR="006D6FFC">
        <w:t xml:space="preserve">Kinney’s </w:t>
      </w:r>
      <w:r w:rsidR="00E00A2E">
        <w:t xml:space="preserve">request </w:t>
      </w:r>
      <w:r w:rsidR="00614ADA">
        <w:t xml:space="preserve">on the ground </w:t>
      </w:r>
      <w:r w:rsidR="003778C6">
        <w:t xml:space="preserve">the </w:t>
      </w:r>
      <w:r w:rsidR="006D6FFC">
        <w:t xml:space="preserve">crime victim’s </w:t>
      </w:r>
      <w:r w:rsidR="003778C6">
        <w:t>name was “confidential</w:t>
      </w:r>
      <w:r w:rsidR="00C87264">
        <w:t>.</w:t>
      </w:r>
      <w:r w:rsidR="003778C6">
        <w:t xml:space="preserve">”  </w:t>
      </w:r>
      <w:r w:rsidR="00614ADA">
        <w:t xml:space="preserve">On </w:t>
      </w:r>
      <w:r w:rsidR="007B56D8">
        <w:t>January</w:t>
      </w:r>
      <w:r w:rsidR="00CB5D02">
        <w:t> </w:t>
      </w:r>
      <w:r w:rsidR="007B56D8">
        <w:t>28,</w:t>
      </w:r>
      <w:r w:rsidR="00CB5D02">
        <w:t> </w:t>
      </w:r>
      <w:r w:rsidR="007B56D8">
        <w:t>Kinney</w:t>
      </w:r>
      <w:r w:rsidR="00631AD3">
        <w:t xml:space="preserve"> file</w:t>
      </w:r>
      <w:r w:rsidR="005F6CE4">
        <w:t>d</w:t>
      </w:r>
      <w:r w:rsidR="00631AD3">
        <w:t xml:space="preserve"> a petition in the </w:t>
      </w:r>
      <w:r w:rsidR="008A214C">
        <w:t>superior court</w:t>
      </w:r>
      <w:r w:rsidR="000A20A3">
        <w:t xml:space="preserve">, alleging causes of action for </w:t>
      </w:r>
      <w:r w:rsidR="007B56D8">
        <w:t>declaratory relief</w:t>
      </w:r>
      <w:r w:rsidR="008A214C">
        <w:t xml:space="preserve"> and </w:t>
      </w:r>
      <w:r w:rsidR="000A20A3">
        <w:t xml:space="preserve">a </w:t>
      </w:r>
      <w:r w:rsidR="008A214C">
        <w:t>writ of mandate,</w:t>
      </w:r>
      <w:r w:rsidR="00B250C5">
        <w:t xml:space="preserve"> </w:t>
      </w:r>
      <w:r w:rsidR="00857620">
        <w:t>ask</w:t>
      </w:r>
      <w:r w:rsidR="00B250C5">
        <w:t xml:space="preserve">ing </w:t>
      </w:r>
      <w:r w:rsidR="00631AD3">
        <w:t xml:space="preserve">the court to </w:t>
      </w:r>
      <w:r w:rsidR="00CB5D02">
        <w:t>(</w:t>
      </w:r>
      <w:r w:rsidR="00C87264">
        <w:t>1) determin</w:t>
      </w:r>
      <w:r w:rsidR="00631AD3">
        <w:t xml:space="preserve">e </w:t>
      </w:r>
      <w:r w:rsidR="008A214C">
        <w:t xml:space="preserve">City had a duty to </w:t>
      </w:r>
      <w:r w:rsidR="005B7D6B">
        <w:t xml:space="preserve">timely </w:t>
      </w:r>
      <w:r w:rsidR="008A214C">
        <w:t xml:space="preserve">disclose the </w:t>
      </w:r>
      <w:r w:rsidR="00803FB7">
        <w:t xml:space="preserve">vehicle </w:t>
      </w:r>
      <w:r w:rsidR="00803FB7">
        <w:lastRenderedPageBreak/>
        <w:t xml:space="preserve">owner’s </w:t>
      </w:r>
      <w:r w:rsidR="008A214C">
        <w:t>name</w:t>
      </w:r>
      <w:r w:rsidR="00C87264">
        <w:t xml:space="preserve"> to Kinney</w:t>
      </w:r>
      <w:r w:rsidR="00E00A2E">
        <w:t xml:space="preserve">, and </w:t>
      </w:r>
      <w:r w:rsidR="00CB5D02">
        <w:t>(</w:t>
      </w:r>
      <w:r w:rsidR="00E00A2E">
        <w:t xml:space="preserve">2) </w:t>
      </w:r>
      <w:r w:rsidR="00C87264">
        <w:t xml:space="preserve">order </w:t>
      </w:r>
      <w:r w:rsidR="00857620">
        <w:t>City to disclose the name</w:t>
      </w:r>
      <w:r w:rsidR="008A214C">
        <w:t xml:space="preserve"> to Kinney</w:t>
      </w:r>
      <w:r w:rsidR="00BD024F">
        <w:t>.</w:t>
      </w:r>
      <w:r w:rsidR="00857620">
        <w:t xml:space="preserve">  </w:t>
      </w:r>
      <w:r w:rsidR="005B7D6B">
        <w:t xml:space="preserve">On January 29, </w:t>
      </w:r>
      <w:r w:rsidR="004C17A8">
        <w:t xml:space="preserve">City </w:t>
      </w:r>
      <w:r w:rsidR="008A214C">
        <w:t xml:space="preserve">became </w:t>
      </w:r>
      <w:r w:rsidR="004C17A8">
        <w:t xml:space="preserve">aware </w:t>
      </w:r>
      <w:r w:rsidR="00857620">
        <w:t xml:space="preserve">of Kinney’s </w:t>
      </w:r>
      <w:r w:rsidR="00DE63DB">
        <w:t>petition</w:t>
      </w:r>
      <w:r w:rsidR="005B7D6B">
        <w:t xml:space="preserve"> and</w:t>
      </w:r>
      <w:r w:rsidR="00290650">
        <w:t xml:space="preserve"> </w:t>
      </w:r>
      <w:r w:rsidR="005B7D6B">
        <w:t xml:space="preserve">discovered </w:t>
      </w:r>
      <w:r w:rsidR="00EE79E5">
        <w:t xml:space="preserve">that </w:t>
      </w:r>
      <w:r w:rsidR="005B7D6B">
        <w:t xml:space="preserve">Kinney and </w:t>
      </w:r>
      <w:r w:rsidR="000E0C02">
        <w:t xml:space="preserve">Kinney’s </w:t>
      </w:r>
      <w:r w:rsidR="005B7D6B">
        <w:t>attorney of record</w:t>
      </w:r>
      <w:r w:rsidR="000E0C02">
        <w:t xml:space="preserve"> at the time, </w:t>
      </w:r>
      <w:r w:rsidR="005B7D6B">
        <w:t xml:space="preserve">Bridgette Toraason, had filed </w:t>
      </w:r>
      <w:r w:rsidR="006D2B13">
        <w:t xml:space="preserve">“more than a dozen” </w:t>
      </w:r>
      <w:r w:rsidR="00685B7B">
        <w:t xml:space="preserve">CPRA </w:t>
      </w:r>
      <w:r w:rsidR="005B7D6B">
        <w:t>petitions against public entities</w:t>
      </w:r>
      <w:r w:rsidR="000E0C02">
        <w:t xml:space="preserve"> in </w:t>
      </w:r>
      <w:r w:rsidR="005B7D6B">
        <w:t>California</w:t>
      </w:r>
      <w:r w:rsidR="004C17A8">
        <w:t>.</w:t>
      </w:r>
    </w:p>
    <w:p w14:paraId="31C1C76E" w14:textId="3E479C4C" w:rsidR="00084408" w:rsidRDefault="0038463E" w:rsidP="00685B7B">
      <w:pPr>
        <w:spacing w:line="480" w:lineRule="auto"/>
      </w:pPr>
      <w:r>
        <w:tab/>
      </w:r>
      <w:r w:rsidR="006D6FFC">
        <w:t xml:space="preserve">City’s attorney, </w:t>
      </w:r>
      <w:r w:rsidR="006D2B13">
        <w:t xml:space="preserve">John Higginbotham, </w:t>
      </w:r>
      <w:r w:rsidR="00B47DF2">
        <w:t xml:space="preserve">later claimed </w:t>
      </w:r>
      <w:r w:rsidR="006E1E41">
        <w:t xml:space="preserve">that </w:t>
      </w:r>
      <w:r w:rsidR="009C37D9">
        <w:t>Kinney and Tora</w:t>
      </w:r>
      <w:r w:rsidR="008E21C3">
        <w:t>as</w:t>
      </w:r>
      <w:r w:rsidR="009C37D9">
        <w:t>on were engaged in a “</w:t>
      </w:r>
      <w:r w:rsidR="008148EB">
        <w:t xml:space="preserve">shakedown </w:t>
      </w:r>
      <w:r w:rsidR="009C37D9">
        <w:t xml:space="preserve">scheme” to collect thousands of dollars in attorney fees from </w:t>
      </w:r>
      <w:r w:rsidR="00812B50">
        <w:t xml:space="preserve">numerous California </w:t>
      </w:r>
      <w:r w:rsidR="009C37D9">
        <w:t xml:space="preserve">public agencies based on </w:t>
      </w:r>
      <w:r w:rsidR="00290650">
        <w:t xml:space="preserve">denied </w:t>
      </w:r>
      <w:r w:rsidR="00ED1CDD">
        <w:t xml:space="preserve">requests for </w:t>
      </w:r>
      <w:r w:rsidR="00AC6571">
        <w:t>public records</w:t>
      </w:r>
      <w:r w:rsidR="009C37D9">
        <w:t>.</w:t>
      </w:r>
      <w:r w:rsidR="00CB5D02">
        <w:t xml:space="preserve"> </w:t>
      </w:r>
      <w:r w:rsidR="009C37D9">
        <w:t xml:space="preserve"> </w:t>
      </w:r>
      <w:r w:rsidR="00927926" w:rsidRPr="002746C0">
        <w:t>According to City, t</w:t>
      </w:r>
      <w:r w:rsidR="00B47DF2" w:rsidRPr="002746C0">
        <w:t xml:space="preserve">he </w:t>
      </w:r>
      <w:r w:rsidR="00927926" w:rsidRPr="002746C0">
        <w:t xml:space="preserve">alleged </w:t>
      </w:r>
      <w:r w:rsidR="009C37D9">
        <w:t>“scheme</w:t>
      </w:r>
      <w:r w:rsidR="00290650">
        <w:t>” worked like this:  A petitioner like Kinney would find an internet news article reporting a crime</w:t>
      </w:r>
      <w:r w:rsidR="008E21C3">
        <w:t xml:space="preserve">; the petitioner would </w:t>
      </w:r>
      <w:r w:rsidR="00290650">
        <w:t xml:space="preserve">send an </w:t>
      </w:r>
      <w:r w:rsidR="000B3170">
        <w:t>e-mail</w:t>
      </w:r>
      <w:r w:rsidR="00290650">
        <w:t xml:space="preserve"> to the </w:t>
      </w:r>
      <w:r w:rsidR="008148EB">
        <w:t xml:space="preserve">public </w:t>
      </w:r>
      <w:r w:rsidR="00290650">
        <w:t xml:space="preserve">agency referenced </w:t>
      </w:r>
      <w:r w:rsidR="00B071F2">
        <w:t xml:space="preserve">in </w:t>
      </w:r>
      <w:r w:rsidR="00290650">
        <w:t>the article, requesting the name of the crime victim</w:t>
      </w:r>
      <w:r w:rsidR="008E21C3">
        <w:t xml:space="preserve">; when </w:t>
      </w:r>
      <w:r w:rsidR="00290650">
        <w:t xml:space="preserve">the agency </w:t>
      </w:r>
      <w:r w:rsidR="008E21C3">
        <w:t xml:space="preserve">denied </w:t>
      </w:r>
      <w:r w:rsidR="00290650">
        <w:t xml:space="preserve">the </w:t>
      </w:r>
      <w:r w:rsidR="008E21C3">
        <w:t xml:space="preserve">CPRA </w:t>
      </w:r>
      <w:r w:rsidR="00290650">
        <w:t xml:space="preserve">request </w:t>
      </w:r>
      <w:r w:rsidR="008E21C3">
        <w:t xml:space="preserve">“on the grounds </w:t>
      </w:r>
      <w:r w:rsidR="00D9201D">
        <w:t xml:space="preserve">that </w:t>
      </w:r>
      <w:r w:rsidR="008E21C3">
        <w:t>the information is privileged, confidential, exempt, or otherwise non-disclosable,</w:t>
      </w:r>
      <w:r w:rsidR="008148EB">
        <w:t>”</w:t>
      </w:r>
      <w:r w:rsidR="008E21C3">
        <w:t xml:space="preserve"> the petitioner</w:t>
      </w:r>
      <w:r w:rsidR="00B31B51">
        <w:t xml:space="preserve"> </w:t>
      </w:r>
      <w:r w:rsidR="008E21C3">
        <w:t>would “immediately file” a “cookie-cutter</w:t>
      </w:r>
      <w:r w:rsidR="00D9201D">
        <w:t>”</w:t>
      </w:r>
      <w:r w:rsidR="008E21C3">
        <w:t xml:space="preserve"> petition </w:t>
      </w:r>
      <w:r w:rsidR="00D9297C">
        <w:t xml:space="preserve">“accompanied by a request for a </w:t>
      </w:r>
      <w:r w:rsidR="006F41B0">
        <w:t xml:space="preserve">[filing] </w:t>
      </w:r>
      <w:r w:rsidR="00D9297C">
        <w:t>fee waiver”</w:t>
      </w:r>
      <w:r w:rsidR="008148EB">
        <w:t xml:space="preserve"> and </w:t>
      </w:r>
      <w:r w:rsidR="004B3422">
        <w:t xml:space="preserve">asking the court to order </w:t>
      </w:r>
      <w:r w:rsidR="006F41B0">
        <w:t xml:space="preserve">the agency to pay the petitioner’s </w:t>
      </w:r>
      <w:r w:rsidR="008148EB">
        <w:t>attorney fees.</w:t>
      </w:r>
    </w:p>
    <w:p w14:paraId="78670023" w14:textId="7D6F9667" w:rsidR="008148EB" w:rsidRDefault="0038463E" w:rsidP="00685B7B">
      <w:pPr>
        <w:spacing w:line="480" w:lineRule="auto"/>
      </w:pPr>
      <w:r>
        <w:tab/>
      </w:r>
      <w:r w:rsidR="006B13C3">
        <w:t xml:space="preserve">In a </w:t>
      </w:r>
      <w:r w:rsidR="006D2B13">
        <w:t>February 4, 2020</w:t>
      </w:r>
      <w:r w:rsidR="006B13C3">
        <w:t xml:space="preserve"> phone conversation, </w:t>
      </w:r>
      <w:r w:rsidR="006D2B13">
        <w:t>Higginbotham told Tora</w:t>
      </w:r>
      <w:r>
        <w:t>a</w:t>
      </w:r>
      <w:r w:rsidR="006D2B13">
        <w:t>son</w:t>
      </w:r>
      <w:r w:rsidR="006B13C3">
        <w:t xml:space="preserve"> </w:t>
      </w:r>
      <w:r>
        <w:t xml:space="preserve">he </w:t>
      </w:r>
      <w:r w:rsidR="006D2B13">
        <w:t xml:space="preserve">was </w:t>
      </w:r>
      <w:r w:rsidR="006B13C3">
        <w:t xml:space="preserve">“not </w:t>
      </w:r>
      <w:r w:rsidR="006D2B13">
        <w:t>impressed with</w:t>
      </w:r>
      <w:r>
        <w:t xml:space="preserve">” Kinney’s </w:t>
      </w:r>
      <w:r w:rsidR="006D2B13">
        <w:t>petition</w:t>
      </w:r>
      <w:r>
        <w:t xml:space="preserve"> </w:t>
      </w:r>
      <w:r w:rsidR="006D2B13">
        <w:t xml:space="preserve">and was </w:t>
      </w:r>
      <w:r>
        <w:t>“</w:t>
      </w:r>
      <w:r w:rsidR="00290650">
        <w:t>n</w:t>
      </w:r>
      <w:r w:rsidR="006D2B13">
        <w:t>ot i</w:t>
      </w:r>
      <w:r w:rsidR="00290650">
        <w:t xml:space="preserve">nclined </w:t>
      </w:r>
      <w:r w:rsidR="006D2B13">
        <w:t>to pay the ‘ransom</w:t>
      </w:r>
      <w:r>
        <w:t>.</w:t>
      </w:r>
      <w:r w:rsidR="006D2B13">
        <w:t>’</w:t>
      </w:r>
      <w:r w:rsidR="00CB5D02">
        <w:t xml:space="preserve"> </w:t>
      </w:r>
      <w:r w:rsidR="006B13C3">
        <w:t>”</w:t>
      </w:r>
      <w:r>
        <w:rPr>
          <w:rStyle w:val="FootnoteReference"/>
        </w:rPr>
        <w:footnoteReference w:id="5"/>
      </w:r>
      <w:r w:rsidR="006B13C3">
        <w:t xml:space="preserve">  On February 10, Higginbotham urged Tora</w:t>
      </w:r>
      <w:r w:rsidR="00B63ED9">
        <w:t>a</w:t>
      </w:r>
      <w:r w:rsidR="006B13C3">
        <w:t>son</w:t>
      </w:r>
      <w:r w:rsidR="005C041E">
        <w:t xml:space="preserve"> </w:t>
      </w:r>
      <w:r w:rsidR="006B13C3">
        <w:t xml:space="preserve">to dismiss the petition. </w:t>
      </w:r>
      <w:r w:rsidR="00CB5D02">
        <w:t xml:space="preserve"> </w:t>
      </w:r>
      <w:r w:rsidR="00F33401">
        <w:t xml:space="preserve">Later </w:t>
      </w:r>
      <w:r w:rsidR="00F94BDD">
        <w:t xml:space="preserve">on February </w:t>
      </w:r>
      <w:r w:rsidR="00F94BDD">
        <w:lastRenderedPageBreak/>
        <w:t xml:space="preserve">10, </w:t>
      </w:r>
      <w:r w:rsidR="006B13C3">
        <w:t xml:space="preserve">City received </w:t>
      </w:r>
      <w:r w:rsidR="005C041E">
        <w:t xml:space="preserve">an </w:t>
      </w:r>
      <w:r w:rsidR="000B3170">
        <w:t>e-mail</w:t>
      </w:r>
      <w:r w:rsidR="006B13C3">
        <w:t xml:space="preserve"> </w:t>
      </w:r>
      <w:r w:rsidR="00B31B51">
        <w:t xml:space="preserve">request </w:t>
      </w:r>
      <w:r w:rsidR="006B13C3">
        <w:t>from Ronald Austin “requesting the same crime victim’s name</w:t>
      </w:r>
      <w:r w:rsidR="00B63ED9">
        <w:t xml:space="preserve">” </w:t>
      </w:r>
      <w:r w:rsidR="00266598">
        <w:t xml:space="preserve">that </w:t>
      </w:r>
      <w:r w:rsidR="006B13C3">
        <w:t xml:space="preserve">Kinney requested </w:t>
      </w:r>
      <w:r w:rsidR="0060423C">
        <w:t xml:space="preserve">on December </w:t>
      </w:r>
      <w:r w:rsidR="00933B2E">
        <w:t>23</w:t>
      </w:r>
      <w:r w:rsidR="0060423C">
        <w:t>, 2019</w:t>
      </w:r>
      <w:r w:rsidR="006B13C3">
        <w:t>.</w:t>
      </w:r>
    </w:p>
    <w:p w14:paraId="7B522313" w14:textId="50446912" w:rsidR="00F33401" w:rsidRDefault="0038463E" w:rsidP="00685B7B">
      <w:pPr>
        <w:spacing w:line="480" w:lineRule="auto"/>
      </w:pPr>
      <w:r>
        <w:tab/>
        <w:t xml:space="preserve">2.  </w:t>
      </w:r>
      <w:r w:rsidRPr="00F33401">
        <w:rPr>
          <w:u w:val="single"/>
        </w:rPr>
        <w:t>City’s Section 998 Offer</w:t>
      </w:r>
      <w:r w:rsidR="00185DF7">
        <w:rPr>
          <w:u w:val="single"/>
        </w:rPr>
        <w:t xml:space="preserve"> to Kinney</w:t>
      </w:r>
    </w:p>
    <w:p w14:paraId="2716FAAB" w14:textId="34C5B0B6" w:rsidR="0015577A" w:rsidRDefault="0038463E" w:rsidP="00290650">
      <w:pPr>
        <w:spacing w:line="480" w:lineRule="auto"/>
      </w:pPr>
      <w:r>
        <w:tab/>
      </w:r>
      <w:r w:rsidR="0082197E">
        <w:t>On Febr</w:t>
      </w:r>
      <w:r w:rsidR="000570B3">
        <w:t xml:space="preserve">uary </w:t>
      </w:r>
      <w:r w:rsidR="0082197E">
        <w:t>14, 2020</w:t>
      </w:r>
      <w:r w:rsidR="00F45A4D">
        <w:t xml:space="preserve">, </w:t>
      </w:r>
      <w:r w:rsidR="0082197E">
        <w:t xml:space="preserve">City </w:t>
      </w:r>
      <w:r w:rsidR="00C00C76">
        <w:t>served</w:t>
      </w:r>
      <w:r w:rsidR="00A10D39">
        <w:t xml:space="preserve"> </w:t>
      </w:r>
      <w:r w:rsidR="00FC50CE">
        <w:t xml:space="preserve">a </w:t>
      </w:r>
      <w:r w:rsidR="000570B3">
        <w:t xml:space="preserve">section 998 offer </w:t>
      </w:r>
      <w:r w:rsidR="00C00C76">
        <w:t xml:space="preserve">proposing </w:t>
      </w:r>
      <w:r w:rsidR="00FC50CE">
        <w:t xml:space="preserve">“to fully resolve” Kinney’s petition by </w:t>
      </w:r>
      <w:r w:rsidR="00CB5D02">
        <w:t>(</w:t>
      </w:r>
      <w:r w:rsidR="00803FB7">
        <w:t xml:space="preserve">1) </w:t>
      </w:r>
      <w:r w:rsidR="00FC50CE">
        <w:t>having judgment entered</w:t>
      </w:r>
      <w:r w:rsidR="003628D6">
        <w:t xml:space="preserve"> in </w:t>
      </w:r>
      <w:r w:rsidR="00FC50CE">
        <w:t>favor of Kinney and again</w:t>
      </w:r>
      <w:r w:rsidR="003628D6">
        <w:t>s</w:t>
      </w:r>
      <w:r w:rsidR="00FC50CE">
        <w:t>t City</w:t>
      </w:r>
      <w:r w:rsidR="00803FB7">
        <w:t xml:space="preserve"> on </w:t>
      </w:r>
      <w:r w:rsidR="00860CB8">
        <w:t xml:space="preserve">Kinney’s </w:t>
      </w:r>
      <w:r w:rsidR="00803FB7">
        <w:t>petition</w:t>
      </w:r>
      <w:r w:rsidR="003628D6">
        <w:t xml:space="preserve">, </w:t>
      </w:r>
      <w:r w:rsidR="00CB5D02">
        <w:t>(</w:t>
      </w:r>
      <w:r w:rsidR="00803FB7">
        <w:t xml:space="preserve">2) </w:t>
      </w:r>
      <w:r w:rsidR="003628D6">
        <w:t xml:space="preserve">“ordering the City to disclose </w:t>
      </w:r>
      <w:r w:rsidR="00FB376D">
        <w:t xml:space="preserve">the information requested in Kinney’s </w:t>
      </w:r>
      <w:r w:rsidR="0022453E">
        <w:t>December 23, 2019 Public Recor</w:t>
      </w:r>
      <w:r w:rsidR="00A271E3">
        <w:t>d</w:t>
      </w:r>
      <w:r w:rsidR="0022453E">
        <w:t>s Act request,</w:t>
      </w:r>
      <w:r w:rsidR="00803FB7">
        <w:t>”</w:t>
      </w:r>
      <w:r w:rsidR="0022453E">
        <w:t xml:space="preserve"> and </w:t>
      </w:r>
      <w:r w:rsidR="00CB5D02">
        <w:t>(</w:t>
      </w:r>
      <w:r w:rsidR="00803FB7">
        <w:t xml:space="preserve">3) </w:t>
      </w:r>
      <w:r w:rsidR="0022453E">
        <w:t>pay</w:t>
      </w:r>
      <w:r w:rsidR="00803FB7">
        <w:t xml:space="preserve">ing </w:t>
      </w:r>
      <w:r w:rsidR="00372F8F">
        <w:t xml:space="preserve">Kinney </w:t>
      </w:r>
      <w:r w:rsidR="0022453E">
        <w:t>$2,500 for attorney fees and costs of suit</w:t>
      </w:r>
      <w:r w:rsidR="00B63376">
        <w:t>.</w:t>
      </w:r>
      <w:r w:rsidR="00FB376D">
        <w:t xml:space="preserve">  </w:t>
      </w:r>
      <w:r w:rsidR="00624069">
        <w:t>T</w:t>
      </w:r>
      <w:r w:rsidR="00A271E3">
        <w:t xml:space="preserve">he offer </w:t>
      </w:r>
      <w:r w:rsidR="00624069">
        <w:t>s</w:t>
      </w:r>
      <w:r w:rsidR="00A271E3">
        <w:t xml:space="preserve">tated it would </w:t>
      </w:r>
      <w:r w:rsidR="00624069">
        <w:t>be deemed withdraw</w:t>
      </w:r>
      <w:r w:rsidR="00ED5BBD">
        <w:t>n</w:t>
      </w:r>
      <w:r w:rsidR="00624069">
        <w:t xml:space="preserve"> if </w:t>
      </w:r>
      <w:r w:rsidR="00C00C76">
        <w:t xml:space="preserve">it was </w:t>
      </w:r>
      <w:r w:rsidR="00624069">
        <w:t xml:space="preserve">not accepted </w:t>
      </w:r>
      <w:r w:rsidR="006D2B13">
        <w:t xml:space="preserve">before </w:t>
      </w:r>
      <w:r w:rsidR="00C00C76">
        <w:t xml:space="preserve">the earlier of </w:t>
      </w:r>
      <w:r w:rsidR="00372F8F">
        <w:t>trial</w:t>
      </w:r>
      <w:r w:rsidR="002E08F8">
        <w:t xml:space="preserve"> </w:t>
      </w:r>
      <w:r w:rsidR="00624069">
        <w:t xml:space="preserve">or within 30 days after </w:t>
      </w:r>
      <w:r w:rsidR="00B63376">
        <w:t xml:space="preserve">it </w:t>
      </w:r>
      <w:r w:rsidR="00624069">
        <w:t xml:space="preserve">was </w:t>
      </w:r>
      <w:r w:rsidR="008D0DD3">
        <w:t>“</w:t>
      </w:r>
      <w:r w:rsidR="00624069">
        <w:t>made</w:t>
      </w:r>
      <w:r w:rsidR="008D0DD3">
        <w:t>”</w:t>
      </w:r>
      <w:r w:rsidR="001B2E81">
        <w:t xml:space="preserve"> (or served).</w:t>
      </w:r>
      <w:r w:rsidR="00624069">
        <w:t xml:space="preserve"> </w:t>
      </w:r>
      <w:r w:rsidR="00CB5D02">
        <w:t xml:space="preserve"> </w:t>
      </w:r>
      <w:r w:rsidR="00ED5BBD">
        <w:t>(§ 998</w:t>
      </w:r>
      <w:r w:rsidR="00ED5BBD" w:rsidRPr="002E08F8">
        <w:t>, subd. (</w:t>
      </w:r>
      <w:r w:rsidR="002E08F8" w:rsidRPr="002E08F8">
        <w:t>b)(2</w:t>
      </w:r>
      <w:r w:rsidR="00ED5BBD" w:rsidRPr="002E08F8">
        <w:t>).)</w:t>
      </w:r>
      <w:r w:rsidR="00ED5BBD">
        <w:t xml:space="preserve">  </w:t>
      </w:r>
      <w:r w:rsidR="00CA4A13">
        <w:t xml:space="preserve">Kinney </w:t>
      </w:r>
      <w:r w:rsidR="00CE6801">
        <w:t xml:space="preserve">did not accept </w:t>
      </w:r>
      <w:r w:rsidR="002E08F8">
        <w:t xml:space="preserve">the </w:t>
      </w:r>
      <w:r w:rsidR="00CA4A13">
        <w:t>offer.</w:t>
      </w:r>
    </w:p>
    <w:p w14:paraId="50D7A67E" w14:textId="30C892BA" w:rsidR="0015577A" w:rsidRDefault="0038463E" w:rsidP="00290650">
      <w:pPr>
        <w:spacing w:line="480" w:lineRule="auto"/>
      </w:pPr>
      <w:r>
        <w:tab/>
      </w:r>
      <w:r w:rsidR="00A271E3">
        <w:t>O</w:t>
      </w:r>
      <w:r w:rsidR="00EA16CF">
        <w:t>n February 20, 2020</w:t>
      </w:r>
      <w:r w:rsidR="006B13C3">
        <w:t xml:space="preserve">, </w:t>
      </w:r>
      <w:r w:rsidR="00EA16CF">
        <w:t>City disclosed the</w:t>
      </w:r>
      <w:r w:rsidR="00ED5BBD">
        <w:t xml:space="preserve"> </w:t>
      </w:r>
      <w:r w:rsidR="00CD7414">
        <w:t xml:space="preserve">crime victim’s </w:t>
      </w:r>
      <w:r w:rsidR="00CE6801">
        <w:t xml:space="preserve">name </w:t>
      </w:r>
      <w:r w:rsidR="00EA16CF">
        <w:t>to Austin</w:t>
      </w:r>
      <w:r w:rsidR="008846CB">
        <w:t xml:space="preserve">, </w:t>
      </w:r>
      <w:r w:rsidR="00EF5048">
        <w:t xml:space="preserve">pursuant to </w:t>
      </w:r>
      <w:r w:rsidR="008D4053">
        <w:t xml:space="preserve">Austin’s </w:t>
      </w:r>
      <w:r w:rsidR="002C4C2C">
        <w:t>CPRA request</w:t>
      </w:r>
      <w:r w:rsidR="00266598">
        <w:t xml:space="preserve">, </w:t>
      </w:r>
      <w:r w:rsidR="00962237">
        <w:t xml:space="preserve">which City received by </w:t>
      </w:r>
      <w:r w:rsidR="000B3170">
        <w:t>e-mail</w:t>
      </w:r>
      <w:r w:rsidR="00962237">
        <w:t xml:space="preserve"> on February 10</w:t>
      </w:r>
      <w:r w:rsidR="002C4C2C">
        <w:t>.</w:t>
      </w:r>
      <w:r w:rsidR="00F60193">
        <w:t xml:space="preserve">  </w:t>
      </w:r>
      <w:r w:rsidR="006B13C3">
        <w:t>Higginbotham</w:t>
      </w:r>
      <w:r>
        <w:t xml:space="preserve"> </w:t>
      </w:r>
      <w:r w:rsidR="00E8191B">
        <w:t xml:space="preserve">later averred he </w:t>
      </w:r>
      <w:r w:rsidR="006B13C3">
        <w:t xml:space="preserve">made the </w:t>
      </w:r>
      <w:r w:rsidR="000E784A">
        <w:t xml:space="preserve">decision </w:t>
      </w:r>
      <w:r w:rsidR="00962237">
        <w:t xml:space="preserve">on behalf of City </w:t>
      </w:r>
      <w:r w:rsidR="006B13C3">
        <w:t>to disclose the name to Austin</w:t>
      </w:r>
      <w:r w:rsidR="0032688B">
        <w:t>;</w:t>
      </w:r>
      <w:r w:rsidR="00F664F4">
        <w:t xml:space="preserve"> but</w:t>
      </w:r>
      <w:r w:rsidR="0032688B">
        <w:t>,</w:t>
      </w:r>
      <w:r w:rsidR="00F664F4">
        <w:t xml:space="preserve"> </w:t>
      </w:r>
      <w:r w:rsidR="00BC77B2">
        <w:t xml:space="preserve">at the time </w:t>
      </w:r>
      <w:r w:rsidR="00F664F4">
        <w:t xml:space="preserve">he </w:t>
      </w:r>
      <w:r w:rsidR="00F777F4">
        <w:t>made the decision</w:t>
      </w:r>
      <w:r w:rsidR="0032688B">
        <w:t>, he</w:t>
      </w:r>
      <w:r w:rsidR="00F777F4">
        <w:t xml:space="preserve"> </w:t>
      </w:r>
      <w:r w:rsidR="006B13C3">
        <w:t>was “unaware of any connection between Tora</w:t>
      </w:r>
      <w:r w:rsidR="008148EB">
        <w:t>a</w:t>
      </w:r>
      <w:r w:rsidR="006B13C3">
        <w:t>son and Austin</w:t>
      </w:r>
      <w:r w:rsidR="008148EB">
        <w:t xml:space="preserve">.”  </w:t>
      </w:r>
      <w:r w:rsidR="006B48D5">
        <w:t xml:space="preserve">He </w:t>
      </w:r>
      <w:r w:rsidR="008148EB">
        <w:t>was “suspicious</w:t>
      </w:r>
      <w:r w:rsidR="00A949CB">
        <w:t>,</w:t>
      </w:r>
      <w:r w:rsidR="008148EB">
        <w:t xml:space="preserve">” </w:t>
      </w:r>
      <w:r w:rsidR="00A949CB">
        <w:t xml:space="preserve">however, </w:t>
      </w:r>
      <w:r w:rsidR="008148EB">
        <w:t xml:space="preserve">and </w:t>
      </w:r>
      <w:r w:rsidR="00A949CB">
        <w:t xml:space="preserve">he </w:t>
      </w:r>
      <w:r w:rsidR="008148EB">
        <w:t>“raised the subject of Austin’s request with attorney Toraason” in a February 14</w:t>
      </w:r>
      <w:r w:rsidR="00933B2E">
        <w:t xml:space="preserve"> </w:t>
      </w:r>
      <w:r w:rsidR="00265451">
        <w:t xml:space="preserve">phone conversation with </w:t>
      </w:r>
      <w:r w:rsidR="00A949CB">
        <w:t xml:space="preserve">Toraason. </w:t>
      </w:r>
      <w:r w:rsidR="00635574">
        <w:t xml:space="preserve"> </w:t>
      </w:r>
      <w:r w:rsidR="00923ACD">
        <w:t xml:space="preserve">At that time, </w:t>
      </w:r>
      <w:r w:rsidR="008148EB">
        <w:t xml:space="preserve">Toraason denied </w:t>
      </w:r>
      <w:r w:rsidR="00261ECB">
        <w:t xml:space="preserve">any </w:t>
      </w:r>
      <w:r w:rsidR="00B31B51">
        <w:t xml:space="preserve">knowledge of </w:t>
      </w:r>
      <w:r w:rsidR="008148EB">
        <w:t>Austin</w:t>
      </w:r>
      <w:r w:rsidR="00261ECB">
        <w:t xml:space="preserve"> or Austin’s </w:t>
      </w:r>
      <w:r w:rsidR="008148EB">
        <w:t>request.  Toraason told Higginbotham, “</w:t>
      </w:r>
      <w:r w:rsidR="00933B2E">
        <w:t xml:space="preserve"> ‘</w:t>
      </w:r>
      <w:r w:rsidR="008148EB">
        <w:t>I literally have no idea what you are talking about.  I don’t know a . . . Ron Austin.</w:t>
      </w:r>
      <w:r w:rsidR="00933B2E">
        <w:t>’ </w:t>
      </w:r>
      <w:r w:rsidR="008148EB">
        <w:t>”</w:t>
      </w:r>
    </w:p>
    <w:p w14:paraId="18525A59" w14:textId="658B5BA7" w:rsidR="00E03F26" w:rsidRDefault="0038463E" w:rsidP="00C51D29">
      <w:pPr>
        <w:keepNext/>
        <w:keepLines/>
        <w:spacing w:line="480" w:lineRule="auto"/>
      </w:pPr>
      <w:r>
        <w:tab/>
        <w:t xml:space="preserve">3.  </w:t>
      </w:r>
      <w:r w:rsidRPr="00E03F26">
        <w:rPr>
          <w:u w:val="single"/>
        </w:rPr>
        <w:t>Borchert</w:t>
      </w:r>
      <w:r w:rsidR="005746CE">
        <w:rPr>
          <w:u w:val="single"/>
        </w:rPr>
        <w:t xml:space="preserve">’s </w:t>
      </w:r>
      <w:r w:rsidRPr="00E03F26">
        <w:rPr>
          <w:u w:val="single"/>
        </w:rPr>
        <w:t xml:space="preserve">Substitution </w:t>
      </w:r>
      <w:r w:rsidR="000C411E">
        <w:rPr>
          <w:u w:val="single"/>
        </w:rPr>
        <w:t>a</w:t>
      </w:r>
      <w:r w:rsidRPr="00E03F26">
        <w:rPr>
          <w:u w:val="single"/>
        </w:rPr>
        <w:t xml:space="preserve">s Kinney’s </w:t>
      </w:r>
      <w:r w:rsidR="00363A32">
        <w:rPr>
          <w:u w:val="single"/>
        </w:rPr>
        <w:t>Attorney of Record</w:t>
      </w:r>
    </w:p>
    <w:p w14:paraId="5FD42AEF" w14:textId="717E3ECD" w:rsidR="00E737EF" w:rsidRDefault="0038463E" w:rsidP="000C4742">
      <w:pPr>
        <w:spacing w:line="480" w:lineRule="auto"/>
      </w:pPr>
      <w:r>
        <w:tab/>
      </w:r>
      <w:r w:rsidR="00B31B51">
        <w:t xml:space="preserve">On May 20, 2020, Borchert </w:t>
      </w:r>
      <w:r w:rsidR="006D6FFC">
        <w:t xml:space="preserve">sent an </w:t>
      </w:r>
      <w:r w:rsidR="000B3170">
        <w:t>e-mail</w:t>
      </w:r>
      <w:r w:rsidR="006D6FFC">
        <w:t xml:space="preserve"> to </w:t>
      </w:r>
      <w:r w:rsidR="000E784A">
        <w:t xml:space="preserve">Higginbotham, advising </w:t>
      </w:r>
      <w:r w:rsidR="00476AA0">
        <w:t xml:space="preserve">that, on </w:t>
      </w:r>
      <w:r w:rsidR="00690E79">
        <w:t>May 20</w:t>
      </w:r>
      <w:r w:rsidR="00476AA0">
        <w:t xml:space="preserve">, </w:t>
      </w:r>
      <w:r w:rsidR="000E784A">
        <w:t xml:space="preserve">Borchert was </w:t>
      </w:r>
      <w:r w:rsidR="00B31B51">
        <w:t>substitut</w:t>
      </w:r>
      <w:r w:rsidR="000E784A">
        <w:t>ing in</w:t>
      </w:r>
      <w:r w:rsidR="00476AA0">
        <w:t xml:space="preserve">to the case </w:t>
      </w:r>
      <w:r w:rsidR="00B31B51">
        <w:t xml:space="preserve">as </w:t>
      </w:r>
      <w:r w:rsidR="000B7B4D">
        <w:t xml:space="preserve">Kinney’s </w:t>
      </w:r>
      <w:r w:rsidR="00B31B51">
        <w:t xml:space="preserve">attorney of record in place of </w:t>
      </w:r>
      <w:r w:rsidR="00B31B51">
        <w:lastRenderedPageBreak/>
        <w:t xml:space="preserve">Toraason.  </w:t>
      </w:r>
      <w:r w:rsidR="000E784A">
        <w:t>Before May 20, Higginbotham had never heard of Borchert and “had no knowledge” of Borchert’s “involvement in the shakedown scheme, much less</w:t>
      </w:r>
      <w:r w:rsidR="00E4634F">
        <w:t>”</w:t>
      </w:r>
      <w:r w:rsidR="000E784A">
        <w:t xml:space="preserve"> that Borchert</w:t>
      </w:r>
      <w:r w:rsidR="00E4634F">
        <w:t xml:space="preserve"> “</w:t>
      </w:r>
      <w:r w:rsidR="000E784A">
        <w:t>now appear[ed] to be the architect” of the scheme.</w:t>
      </w:r>
      <w:r w:rsidR="000B7B4D">
        <w:t xml:space="preserve">  </w:t>
      </w:r>
      <w:r w:rsidR="00C40D25">
        <w:t xml:space="preserve">As </w:t>
      </w:r>
      <w:r w:rsidR="00782D30">
        <w:t xml:space="preserve">of </w:t>
      </w:r>
      <w:r w:rsidR="007D1BB8">
        <w:t>May 20,</w:t>
      </w:r>
      <w:r w:rsidR="002E08F8">
        <w:t xml:space="preserve"> </w:t>
      </w:r>
      <w:r w:rsidR="007D1BB8">
        <w:t>H</w:t>
      </w:r>
      <w:r w:rsidR="00E4634F">
        <w:t>igginbotham believed Tora</w:t>
      </w:r>
      <w:r w:rsidR="007D1BB8">
        <w:t>a</w:t>
      </w:r>
      <w:r w:rsidR="00E4634F">
        <w:t>son, Borchert,</w:t>
      </w:r>
      <w:r w:rsidR="00635574">
        <w:t xml:space="preserve"> and</w:t>
      </w:r>
      <w:r w:rsidR="00E4634F">
        <w:t xml:space="preserve"> Austin </w:t>
      </w:r>
      <w:r w:rsidR="007D1BB8">
        <w:t xml:space="preserve">had been </w:t>
      </w:r>
      <w:r w:rsidR="00E4634F">
        <w:t>“working in concert since at least Feb</w:t>
      </w:r>
      <w:r w:rsidR="007D1BB8">
        <w:t xml:space="preserve">ruary </w:t>
      </w:r>
      <w:r w:rsidR="00E4634F">
        <w:t>of 2020</w:t>
      </w:r>
      <w:r w:rsidR="007D1BB8">
        <w:t xml:space="preserve">.”  </w:t>
      </w:r>
      <w:r w:rsidR="000B7B4D">
        <w:t xml:space="preserve">Higginbotham noted that, on </w:t>
      </w:r>
      <w:r w:rsidR="00E4634F">
        <w:t>April 8</w:t>
      </w:r>
      <w:r w:rsidR="007D1BB8">
        <w:t>, Toraason served City with a request</w:t>
      </w:r>
      <w:r w:rsidR="00FD2D0A">
        <w:t xml:space="preserve"> </w:t>
      </w:r>
      <w:r w:rsidR="007D1BB8">
        <w:t>for admission</w:t>
      </w:r>
      <w:r w:rsidR="00FD2D0A">
        <w:t xml:space="preserve">, asking </w:t>
      </w:r>
      <w:r w:rsidR="007D1BB8">
        <w:t xml:space="preserve">City </w:t>
      </w:r>
      <w:r w:rsidR="00FD2D0A">
        <w:t xml:space="preserve">to </w:t>
      </w:r>
      <w:r w:rsidR="007D1BB8">
        <w:t xml:space="preserve">admit City “disclosed the requested information to another member of the public.” </w:t>
      </w:r>
      <w:r w:rsidR="006A616C">
        <w:t xml:space="preserve"> </w:t>
      </w:r>
      <w:r w:rsidR="000B7B4D">
        <w:t xml:space="preserve">This indicated </w:t>
      </w:r>
      <w:r w:rsidR="00AC12E9">
        <w:t xml:space="preserve">to Higginbotham that </w:t>
      </w:r>
      <w:r w:rsidR="000B7B4D">
        <w:t xml:space="preserve">Toraason </w:t>
      </w:r>
      <w:r w:rsidR="002E08F8">
        <w:t>knew</w:t>
      </w:r>
      <w:r w:rsidR="00EA67D1">
        <w:t xml:space="preserve">, no later than April 8, </w:t>
      </w:r>
      <w:r w:rsidR="002E08F8">
        <w:t>about City’s February 20 disclosure</w:t>
      </w:r>
      <w:r w:rsidR="00EA67D1">
        <w:t xml:space="preserve"> </w:t>
      </w:r>
      <w:r w:rsidR="009F5908">
        <w:t xml:space="preserve">of the vehicle owner’s name </w:t>
      </w:r>
      <w:r w:rsidR="002E08F8">
        <w:t>to Austin.</w:t>
      </w:r>
    </w:p>
    <w:p w14:paraId="6C5EC010" w14:textId="126D20AF" w:rsidR="00B566CB" w:rsidRDefault="0038463E" w:rsidP="000C4742">
      <w:pPr>
        <w:spacing w:line="480" w:lineRule="auto"/>
      </w:pPr>
      <w:r>
        <w:tab/>
      </w:r>
      <w:r w:rsidR="00826338">
        <w:t xml:space="preserve">On May 20, </w:t>
      </w:r>
      <w:r>
        <w:t xml:space="preserve">2020, </w:t>
      </w:r>
      <w:r w:rsidR="00782D30">
        <w:t xml:space="preserve">Borchert served </w:t>
      </w:r>
      <w:r w:rsidR="00826338">
        <w:t xml:space="preserve">City with </w:t>
      </w:r>
      <w:r w:rsidR="00782D30">
        <w:t xml:space="preserve">a </w:t>
      </w:r>
      <w:r w:rsidR="001F06FC">
        <w:t xml:space="preserve">more specific </w:t>
      </w:r>
      <w:r w:rsidR="00782D30">
        <w:t>request for admission</w:t>
      </w:r>
      <w:r w:rsidR="00826338">
        <w:t>, asking City to admit that Higginbotham “personally provided the information sought by [Kinney</w:t>
      </w:r>
      <w:r w:rsidR="00E03731">
        <w:t xml:space="preserve">] </w:t>
      </w:r>
      <w:r w:rsidR="00826338">
        <w:t>to another member of the public, Ronald Austin, on February 20, 2020.</w:t>
      </w:r>
      <w:r w:rsidR="00AC60C2">
        <w:t>”</w:t>
      </w:r>
      <w:r w:rsidR="00826338">
        <w:t xml:space="preserve">  </w:t>
      </w:r>
      <w:r w:rsidR="00E56E09">
        <w:t xml:space="preserve">Soon </w:t>
      </w:r>
      <w:r>
        <w:t xml:space="preserve">after May 20, Higginbotham discovered </w:t>
      </w:r>
      <w:r w:rsidR="004C0ECB">
        <w:t xml:space="preserve">that </w:t>
      </w:r>
      <w:r>
        <w:t xml:space="preserve">Borchert had filed </w:t>
      </w:r>
      <w:r w:rsidR="001C45C9">
        <w:t>“</w:t>
      </w:r>
      <w:r>
        <w:t>nearly</w:t>
      </w:r>
      <w:r w:rsidR="001C45C9">
        <w:t xml:space="preserve"> </w:t>
      </w:r>
      <w:r>
        <w:t>100</w:t>
      </w:r>
      <w:r w:rsidR="001C45C9">
        <w:t>”</w:t>
      </w:r>
      <w:r>
        <w:t xml:space="preserve"> CPRA lawsuits</w:t>
      </w:r>
      <w:r w:rsidR="009E4E66">
        <w:t xml:space="preserve"> during the previous year</w:t>
      </w:r>
      <w:r>
        <w:t xml:space="preserve">, mostly on behalf of Austin.  </w:t>
      </w:r>
      <w:r w:rsidR="00AC60C2">
        <w:t>At that point</w:t>
      </w:r>
      <w:r w:rsidR="0032688B">
        <w:t xml:space="preserve">, </w:t>
      </w:r>
      <w:r w:rsidR="008D058E">
        <w:t>Higginbotham believed Borchert, Toraason, Austin, and Kinney “were all complicit in a vast, statewide shakedown scheme, using the same cook</w:t>
      </w:r>
      <w:r w:rsidR="00AF425F">
        <w:t>ie</w:t>
      </w:r>
      <w:r w:rsidR="008D058E">
        <w:t>-cutter petition template, and substantially identical tactics.”</w:t>
      </w:r>
      <w:r>
        <w:rPr>
          <w:rStyle w:val="FootnoteReference"/>
        </w:rPr>
        <w:footnoteReference w:id="6"/>
      </w:r>
    </w:p>
    <w:p w14:paraId="3DA699B5" w14:textId="54B970BC" w:rsidR="00073139" w:rsidRDefault="0038463E" w:rsidP="002650A9">
      <w:pPr>
        <w:keepNext/>
        <w:keepLines/>
        <w:spacing w:line="480" w:lineRule="auto"/>
      </w:pPr>
      <w:r>
        <w:lastRenderedPageBreak/>
        <w:tab/>
      </w:r>
      <w:r w:rsidR="00363A32">
        <w:t>4</w:t>
      </w:r>
      <w:r>
        <w:t xml:space="preserve">.  </w:t>
      </w:r>
      <w:r w:rsidRPr="00073139">
        <w:rPr>
          <w:u w:val="single"/>
        </w:rPr>
        <w:t>City’s Summary Judgment Motion</w:t>
      </w:r>
    </w:p>
    <w:p w14:paraId="023D5DA9" w14:textId="144FEF85" w:rsidR="00636D0E" w:rsidRDefault="0038463E" w:rsidP="000C4742">
      <w:pPr>
        <w:spacing w:line="480" w:lineRule="auto"/>
      </w:pPr>
      <w:r>
        <w:tab/>
      </w:r>
      <w:r w:rsidR="00AC12E9">
        <w:t xml:space="preserve">On July 28, 2020, City </w:t>
      </w:r>
      <w:r w:rsidR="006707AC">
        <w:t xml:space="preserve">moved </w:t>
      </w:r>
      <w:r w:rsidR="00AC12E9">
        <w:t xml:space="preserve">for summary judgment on Kinney’s petition, and the </w:t>
      </w:r>
      <w:r w:rsidR="00C32A35">
        <w:t xml:space="preserve">motion was </w:t>
      </w:r>
      <w:r>
        <w:t>denied</w:t>
      </w:r>
      <w:r w:rsidR="00AC12E9">
        <w:t>.</w:t>
      </w:r>
      <w:r>
        <w:t xml:space="preserve">  </w:t>
      </w:r>
      <w:r w:rsidR="00A630E4">
        <w:t>City claimed Kinney’s petition was “moot” because City disclosed the crime vi</w:t>
      </w:r>
      <w:r>
        <w:t>c</w:t>
      </w:r>
      <w:r w:rsidR="00A630E4">
        <w:t>tim’s name to Austin</w:t>
      </w:r>
      <w:r w:rsidR="00EA01B6">
        <w:t xml:space="preserve"> </w:t>
      </w:r>
      <w:r w:rsidR="00A630E4">
        <w:t>and</w:t>
      </w:r>
      <w:r w:rsidR="00EA01B6">
        <w:t>,</w:t>
      </w:r>
      <w:r w:rsidR="00A630E4">
        <w:t xml:space="preserve"> </w:t>
      </w:r>
      <w:r w:rsidR="00FA095F">
        <w:t xml:space="preserve">because </w:t>
      </w:r>
      <w:r>
        <w:t>Borchert</w:t>
      </w:r>
      <w:r w:rsidR="00BA0F6B">
        <w:t xml:space="preserve"> </w:t>
      </w:r>
      <w:r>
        <w:t>represent</w:t>
      </w:r>
      <w:r w:rsidR="0044218B">
        <w:t xml:space="preserve">ed both </w:t>
      </w:r>
      <w:r w:rsidR="00FA095F">
        <w:t>Austin and Kinney</w:t>
      </w:r>
      <w:r w:rsidR="0044218B">
        <w:t xml:space="preserve"> in CPRA-related matters</w:t>
      </w:r>
      <w:r w:rsidR="000F77EE">
        <w:t xml:space="preserve">, </w:t>
      </w:r>
      <w:r>
        <w:t>Austin’s knowledge of the name was “imputed” to Kinney</w:t>
      </w:r>
      <w:r w:rsidR="000F77EE">
        <w:t xml:space="preserve"> through Borchert</w:t>
      </w:r>
      <w:r>
        <w:t>.</w:t>
      </w:r>
      <w:r w:rsidR="000F77EE">
        <w:t xml:space="preserve">  City </w:t>
      </w:r>
      <w:r w:rsidR="0083308E">
        <w:t xml:space="preserve">also </w:t>
      </w:r>
      <w:r w:rsidR="000F77EE">
        <w:t xml:space="preserve">argued </w:t>
      </w:r>
      <w:r w:rsidR="007428C2">
        <w:t xml:space="preserve">that </w:t>
      </w:r>
      <w:r w:rsidR="000F77EE">
        <w:t xml:space="preserve">Kinney was not entitled to </w:t>
      </w:r>
      <w:r w:rsidR="0083308E">
        <w:t xml:space="preserve">recover </w:t>
      </w:r>
      <w:r w:rsidR="000F77EE">
        <w:t>any attorney fees because Kinney’s lawsuit was not the “catalyst” for Kinney</w:t>
      </w:r>
      <w:r w:rsidR="00EA01B6">
        <w:t>’s</w:t>
      </w:r>
      <w:r w:rsidR="000F77EE">
        <w:t xml:space="preserve"> obtaining the crime victim’s name; rather, Kinney obtained the name from Borchert through Austin.  City </w:t>
      </w:r>
      <w:r w:rsidR="000C3054">
        <w:t xml:space="preserve">stated </w:t>
      </w:r>
      <w:r w:rsidR="0031328B">
        <w:t xml:space="preserve">that </w:t>
      </w:r>
      <w:r w:rsidR="000F77EE">
        <w:t xml:space="preserve">Kinney’s </w:t>
      </w:r>
      <w:r w:rsidR="001D19AF">
        <w:t>“sha</w:t>
      </w:r>
      <w:r w:rsidR="00413CBF">
        <w:t>ked</w:t>
      </w:r>
      <w:r w:rsidR="001D19AF">
        <w:t>own</w:t>
      </w:r>
      <w:r w:rsidR="00413CBF">
        <w:t>”</w:t>
      </w:r>
      <w:r w:rsidR="001D19AF">
        <w:t xml:space="preserve"> </w:t>
      </w:r>
      <w:r w:rsidR="000F77EE">
        <w:t xml:space="preserve">lawsuit </w:t>
      </w:r>
      <w:r w:rsidR="0031328B">
        <w:t xml:space="preserve">“motivated </w:t>
      </w:r>
      <w:r w:rsidR="00AF425F">
        <w:t xml:space="preserve">the </w:t>
      </w:r>
      <w:r w:rsidR="000F77EE">
        <w:t xml:space="preserve">City </w:t>
      </w:r>
      <w:r w:rsidR="000F77EE" w:rsidRPr="000F77EE">
        <w:rPr>
          <w:i/>
          <w:iCs/>
        </w:rPr>
        <w:t>not</w:t>
      </w:r>
      <w:r w:rsidR="000F77EE">
        <w:t xml:space="preserve"> to provide the name to Kinney”</w:t>
      </w:r>
      <w:r w:rsidR="001D19AF">
        <w:t xml:space="preserve"> </w:t>
      </w:r>
      <w:r w:rsidR="004C7627">
        <w:t xml:space="preserve">and </w:t>
      </w:r>
      <w:r w:rsidR="000C3054">
        <w:t xml:space="preserve">that </w:t>
      </w:r>
      <w:r w:rsidR="001E265E">
        <w:t>City would “</w:t>
      </w:r>
      <w:r w:rsidR="000F77EE" w:rsidRPr="000F77EE">
        <w:rPr>
          <w:i/>
          <w:iCs/>
        </w:rPr>
        <w:t>never</w:t>
      </w:r>
      <w:r w:rsidR="000F77EE">
        <w:t xml:space="preserve"> voluntarily provide the name to Kinney</w:t>
      </w:r>
      <w:r w:rsidR="004C7627">
        <w:t>.</w:t>
      </w:r>
      <w:r w:rsidR="000F77EE">
        <w:t>”  In denying</w:t>
      </w:r>
      <w:r w:rsidR="007478DD">
        <w:t xml:space="preserve"> City’s </w:t>
      </w:r>
      <w:r w:rsidR="000F77EE">
        <w:t xml:space="preserve">motion, the court </w:t>
      </w:r>
      <w:r w:rsidR="0022109A">
        <w:t xml:space="preserve">ruled City did not meet its initial burden because </w:t>
      </w:r>
      <w:r w:rsidR="007478DD">
        <w:t xml:space="preserve">(1) City </w:t>
      </w:r>
      <w:r w:rsidR="000F77EE">
        <w:t xml:space="preserve">cited no authority </w:t>
      </w:r>
      <w:r w:rsidR="00F60AD2">
        <w:t xml:space="preserve">supporting its claim </w:t>
      </w:r>
      <w:r w:rsidR="00A81A6F">
        <w:t xml:space="preserve">that </w:t>
      </w:r>
      <w:r w:rsidR="001E265E">
        <w:t xml:space="preserve">its </w:t>
      </w:r>
      <w:r w:rsidR="00A81A6F">
        <w:t xml:space="preserve">disclosure to Austin satisfied </w:t>
      </w:r>
      <w:r w:rsidR="0022109A">
        <w:t xml:space="preserve">its </w:t>
      </w:r>
      <w:r w:rsidR="005E60DD">
        <w:t xml:space="preserve">duty </w:t>
      </w:r>
      <w:r w:rsidR="0022109A">
        <w:t xml:space="preserve">(if any) </w:t>
      </w:r>
      <w:r w:rsidR="00A81A6F">
        <w:t>to disclose the name to Kinney</w:t>
      </w:r>
      <w:r w:rsidR="003D2012">
        <w:t xml:space="preserve">, and </w:t>
      </w:r>
      <w:r w:rsidR="00635574">
        <w:t>(</w:t>
      </w:r>
      <w:r w:rsidR="003D2012">
        <w:t xml:space="preserve">2) </w:t>
      </w:r>
      <w:r w:rsidR="00A81A6F">
        <w:t xml:space="preserve">City </w:t>
      </w:r>
      <w:r w:rsidR="00760884">
        <w:t xml:space="preserve">made no attempt to show </w:t>
      </w:r>
      <w:r w:rsidR="00A81A6F">
        <w:t>th</w:t>
      </w:r>
      <w:r w:rsidR="00E13CD7">
        <w:t>e</w:t>
      </w:r>
      <w:r w:rsidR="00A81A6F">
        <w:t xml:space="preserve"> name was exempt from disclosure.</w:t>
      </w:r>
    </w:p>
    <w:p w14:paraId="4566BF83" w14:textId="19592100" w:rsidR="00073139" w:rsidRPr="00195B9C" w:rsidRDefault="0038463E" w:rsidP="00C51D29">
      <w:pPr>
        <w:keepNext/>
        <w:keepLines/>
        <w:spacing w:line="480" w:lineRule="auto"/>
      </w:pPr>
      <w:r>
        <w:tab/>
      </w:r>
      <w:r w:rsidR="00EA01B6">
        <w:t>5</w:t>
      </w:r>
      <w:r>
        <w:t xml:space="preserve">.  </w:t>
      </w:r>
      <w:r w:rsidRPr="00191F9D">
        <w:rPr>
          <w:u w:val="single"/>
        </w:rPr>
        <w:t xml:space="preserve">The </w:t>
      </w:r>
      <w:r w:rsidR="00C27609">
        <w:rPr>
          <w:u w:val="single"/>
        </w:rPr>
        <w:t xml:space="preserve">May 3, 2021 </w:t>
      </w:r>
      <w:r w:rsidRPr="00191F9D">
        <w:rPr>
          <w:u w:val="single"/>
        </w:rPr>
        <w:t xml:space="preserve">Order </w:t>
      </w:r>
      <w:r w:rsidR="00C27609">
        <w:rPr>
          <w:u w:val="single"/>
        </w:rPr>
        <w:t xml:space="preserve">to </w:t>
      </w:r>
      <w:r w:rsidR="00191F9D" w:rsidRPr="00191F9D">
        <w:rPr>
          <w:u w:val="single"/>
        </w:rPr>
        <w:t xml:space="preserve">City to Disclose the Name to </w:t>
      </w:r>
      <w:r w:rsidRPr="00191F9D">
        <w:rPr>
          <w:u w:val="single"/>
        </w:rPr>
        <w:t>Kinney</w:t>
      </w:r>
      <w:r>
        <w:t xml:space="preserve"> </w:t>
      </w:r>
    </w:p>
    <w:p w14:paraId="6C3DED35" w14:textId="1837DDDB" w:rsidR="00351FA4" w:rsidRDefault="0038463E" w:rsidP="006F4B71">
      <w:pPr>
        <w:spacing w:line="480" w:lineRule="auto"/>
      </w:pPr>
      <w:r>
        <w:tab/>
      </w:r>
      <w:r w:rsidR="00782D30" w:rsidRPr="00CC56DC">
        <w:t xml:space="preserve">On </w:t>
      </w:r>
      <w:r w:rsidR="000C4742" w:rsidRPr="00CC56DC">
        <w:t xml:space="preserve">May 3, 2021, the court granted the writ portion of Kinney’s </w:t>
      </w:r>
      <w:r w:rsidR="00DA69B6">
        <w:t xml:space="preserve">CPRA </w:t>
      </w:r>
      <w:r w:rsidR="000C4742" w:rsidRPr="00CC56DC">
        <w:t>petition</w:t>
      </w:r>
      <w:r w:rsidR="006A2BD9">
        <w:t xml:space="preserve">, </w:t>
      </w:r>
      <w:r w:rsidR="00655018">
        <w:t xml:space="preserve">without ruling on </w:t>
      </w:r>
      <w:r w:rsidR="006A2BD9">
        <w:t xml:space="preserve">Kinney’s </w:t>
      </w:r>
      <w:r w:rsidR="00655018">
        <w:t>cause of action for declaratory relief</w:t>
      </w:r>
      <w:r w:rsidR="006A2BD9">
        <w:t xml:space="preserve">, </w:t>
      </w:r>
      <w:r w:rsidR="000C4742" w:rsidRPr="00CC56DC">
        <w:t xml:space="preserve">and ordered City to disclose the </w:t>
      </w:r>
      <w:r w:rsidR="00CC56DC" w:rsidRPr="00CC56DC">
        <w:t xml:space="preserve">crime </w:t>
      </w:r>
      <w:r w:rsidR="000C4742" w:rsidRPr="00CC56DC">
        <w:t xml:space="preserve">victim’s name to Kinney.  </w:t>
      </w:r>
      <w:r w:rsidR="00CD46E3">
        <w:t>In a six-page ruling, t</w:t>
      </w:r>
      <w:r w:rsidR="000C4742" w:rsidRPr="00CC56DC">
        <w:t xml:space="preserve">he court </w:t>
      </w:r>
      <w:r w:rsidR="00CD46E3">
        <w:t xml:space="preserve">reasoned </w:t>
      </w:r>
      <w:r w:rsidR="00E71B0C">
        <w:t xml:space="preserve">that </w:t>
      </w:r>
      <w:r w:rsidR="005D2FF6">
        <w:t xml:space="preserve">(1) </w:t>
      </w:r>
      <w:r w:rsidR="006A2BD9">
        <w:t xml:space="preserve">the </w:t>
      </w:r>
      <w:r w:rsidR="000A0F2B">
        <w:t xml:space="preserve">name was </w:t>
      </w:r>
      <w:r w:rsidR="005758D1">
        <w:t xml:space="preserve">a public record, </w:t>
      </w:r>
      <w:r w:rsidR="000A0F2B">
        <w:t>subject to disclosure</w:t>
      </w:r>
      <w:r w:rsidR="00DF2B23">
        <w:t xml:space="preserve"> (</w:t>
      </w:r>
      <w:r w:rsidR="00177575">
        <w:t>Gov. Code,</w:t>
      </w:r>
      <w:r w:rsidR="00794671">
        <w:t xml:space="preserve"> former</w:t>
      </w:r>
      <w:r w:rsidR="00177575">
        <w:t xml:space="preserve"> </w:t>
      </w:r>
      <w:r w:rsidR="00950587">
        <w:t xml:space="preserve">§ </w:t>
      </w:r>
      <w:r w:rsidR="00DF2B23">
        <w:t>6</w:t>
      </w:r>
      <w:r w:rsidR="00E24B37">
        <w:t>254, subd</w:t>
      </w:r>
      <w:r w:rsidR="000E4D2B">
        <w:t>.</w:t>
      </w:r>
      <w:r w:rsidR="006C4137">
        <w:t xml:space="preserve"> </w:t>
      </w:r>
      <w:r w:rsidR="00E24B37">
        <w:t>(f</w:t>
      </w:r>
      <w:r w:rsidR="000E4D2B">
        <w:t>)</w:t>
      </w:r>
      <w:r w:rsidR="00E24B37">
        <w:t>(A)(2)</w:t>
      </w:r>
      <w:r w:rsidR="000E4D2B">
        <w:t>)</w:t>
      </w:r>
      <w:r w:rsidR="00130593">
        <w:t xml:space="preserve">; </w:t>
      </w:r>
      <w:r w:rsidR="005D2FF6">
        <w:t xml:space="preserve">(2) </w:t>
      </w:r>
      <w:r w:rsidR="000A0F2B">
        <w:t xml:space="preserve">City did not show </w:t>
      </w:r>
      <w:r w:rsidR="005C2385">
        <w:t xml:space="preserve">that the “safety exemption” </w:t>
      </w:r>
      <w:r w:rsidR="00DE6AD2">
        <w:t>(</w:t>
      </w:r>
      <w:r w:rsidR="00DE6AD2" w:rsidRPr="00DE6AD2">
        <w:rPr>
          <w:i/>
          <w:iCs/>
        </w:rPr>
        <w:t>ibid</w:t>
      </w:r>
      <w:r w:rsidR="00794671">
        <w:rPr>
          <w:i/>
          <w:iCs/>
        </w:rPr>
        <w:t>.</w:t>
      </w:r>
      <w:r w:rsidR="00DE6AD2">
        <w:t xml:space="preserve">) </w:t>
      </w:r>
      <w:r w:rsidR="00AB05D3">
        <w:t xml:space="preserve">to disclosure </w:t>
      </w:r>
      <w:r w:rsidR="000A0F2B">
        <w:t>applied</w:t>
      </w:r>
      <w:r w:rsidR="001C0667">
        <w:t xml:space="preserve">; </w:t>
      </w:r>
      <w:r w:rsidR="00574865">
        <w:t>and</w:t>
      </w:r>
      <w:r w:rsidR="005D2FF6">
        <w:t xml:space="preserve"> (3), </w:t>
      </w:r>
      <w:r w:rsidR="00DE6AD2">
        <w:t xml:space="preserve">in any event, </w:t>
      </w:r>
      <w:r w:rsidR="001C0667">
        <w:t xml:space="preserve">City’s disclosure of the name </w:t>
      </w:r>
      <w:r w:rsidR="00DA3481">
        <w:t xml:space="preserve">to Austin </w:t>
      </w:r>
      <w:r w:rsidR="001C0667">
        <w:t xml:space="preserve">waived City’s claims that </w:t>
      </w:r>
      <w:r w:rsidR="00E666BC">
        <w:t xml:space="preserve">the safety </w:t>
      </w:r>
      <w:r w:rsidR="001C0667">
        <w:t>exemption applied</w:t>
      </w:r>
      <w:r w:rsidR="00794671">
        <w:t xml:space="preserve"> </w:t>
      </w:r>
      <w:r w:rsidR="009562C6">
        <w:t>(</w:t>
      </w:r>
      <w:r w:rsidR="00C40B0C">
        <w:t xml:space="preserve">Gov. Code, </w:t>
      </w:r>
      <w:r w:rsidR="00794671">
        <w:t xml:space="preserve">former </w:t>
      </w:r>
      <w:r w:rsidR="009562C6">
        <w:t>§ 6254.5)</w:t>
      </w:r>
      <w:r w:rsidR="00794671">
        <w:t>.</w:t>
      </w:r>
    </w:p>
    <w:p w14:paraId="6ABC80E8" w14:textId="63ED4353" w:rsidR="00B068B5" w:rsidRDefault="0038463E" w:rsidP="006F4B71">
      <w:pPr>
        <w:spacing w:line="480" w:lineRule="auto"/>
      </w:pPr>
      <w:r>
        <w:lastRenderedPageBreak/>
        <w:tab/>
      </w:r>
      <w:r w:rsidR="00205930">
        <w:t xml:space="preserve">The court also rejected </w:t>
      </w:r>
      <w:r w:rsidR="00E666BC">
        <w:t>City</w:t>
      </w:r>
      <w:r w:rsidR="00802CDB">
        <w:t xml:space="preserve">’s </w:t>
      </w:r>
      <w:r w:rsidR="00E666BC">
        <w:t>claim</w:t>
      </w:r>
      <w:r w:rsidR="00205930">
        <w:t xml:space="preserve"> </w:t>
      </w:r>
      <w:r w:rsidR="00DE6AD2">
        <w:t xml:space="preserve">that </w:t>
      </w:r>
      <w:r w:rsidR="00E666BC">
        <w:t>the name was exe</w:t>
      </w:r>
      <w:r w:rsidR="00444E44">
        <w:t xml:space="preserve">mpt </w:t>
      </w:r>
      <w:r w:rsidR="00E666BC">
        <w:t xml:space="preserve">from </w:t>
      </w:r>
      <w:r w:rsidR="00ED4207">
        <w:t xml:space="preserve">disclosure </w:t>
      </w:r>
      <w:r w:rsidR="00571B5F">
        <w:t>based on Kinney’s participation in</w:t>
      </w:r>
      <w:r w:rsidR="007E1638">
        <w:t xml:space="preserve"> the alleged “</w:t>
      </w:r>
      <w:r w:rsidR="00AF425F">
        <w:t xml:space="preserve"> ‘</w:t>
      </w:r>
      <w:r w:rsidR="00571B5F">
        <w:t xml:space="preserve">shakedown </w:t>
      </w:r>
      <w:r w:rsidR="007E1638">
        <w:t>scheme.</w:t>
      </w:r>
      <w:r w:rsidR="00AF425F">
        <w:t xml:space="preserve">’ </w:t>
      </w:r>
      <w:r w:rsidR="007E1638">
        <w:t xml:space="preserve">”  </w:t>
      </w:r>
      <w:r>
        <w:t xml:space="preserve">The </w:t>
      </w:r>
      <w:r w:rsidR="00A81683">
        <w:t xml:space="preserve">court </w:t>
      </w:r>
      <w:r>
        <w:t xml:space="preserve">reasoned </w:t>
      </w:r>
      <w:r w:rsidR="00A81683">
        <w:t>that a</w:t>
      </w:r>
      <w:r w:rsidR="00005FD5">
        <w:t xml:space="preserve"> public </w:t>
      </w:r>
      <w:r w:rsidR="00630573">
        <w:t xml:space="preserve">record </w:t>
      </w:r>
      <w:r w:rsidR="00005FD5">
        <w:t xml:space="preserve">is </w:t>
      </w:r>
      <w:r w:rsidR="00630573">
        <w:t xml:space="preserve">exempt </w:t>
      </w:r>
      <w:r w:rsidR="00005FD5">
        <w:t>from disclos</w:t>
      </w:r>
      <w:r w:rsidR="00890A56">
        <w:t>ur</w:t>
      </w:r>
      <w:r w:rsidR="00005FD5">
        <w:t xml:space="preserve">e </w:t>
      </w:r>
      <w:r w:rsidR="003F6E88">
        <w:t xml:space="preserve">under the catchall provision of Government Code </w:t>
      </w:r>
      <w:r w:rsidR="005D2FF6">
        <w:t xml:space="preserve">former </w:t>
      </w:r>
      <w:r w:rsidR="003F6E88">
        <w:t>section 625</w:t>
      </w:r>
      <w:r w:rsidR="00796E10">
        <w:t xml:space="preserve">5 if, </w:t>
      </w:r>
      <w:r w:rsidR="00F56900">
        <w:t xml:space="preserve">“ ‘ </w:t>
      </w:r>
      <w:r w:rsidR="00AF425F">
        <w:t>“</w:t>
      </w:r>
      <w:r w:rsidR="005D2FF6">
        <w:t>[</w:t>
      </w:r>
      <w:r w:rsidR="00732E3D">
        <w:t>o</w:t>
      </w:r>
      <w:r w:rsidR="005D2FF6">
        <w:t>]</w:t>
      </w:r>
      <w:r w:rsidR="00732E3D">
        <w:t xml:space="preserve">n the facts of </w:t>
      </w:r>
      <w:r w:rsidR="00AF425F">
        <w:t>a</w:t>
      </w:r>
      <w:r w:rsidR="00732E3D">
        <w:t xml:space="preserve"> particular</w:t>
      </w:r>
      <w:r w:rsidR="00F56900">
        <w:t xml:space="preserve"> </w:t>
      </w:r>
      <w:r w:rsidR="00732E3D">
        <w:t>case</w:t>
      </w:r>
      <w:r w:rsidR="005D2FF6">
        <w:t>,</w:t>
      </w:r>
      <w:r w:rsidR="00732E3D">
        <w:t xml:space="preserve"> the public interest served by not making the record public </w:t>
      </w:r>
      <w:r w:rsidR="00732E3D" w:rsidRPr="00F56900">
        <w:rPr>
          <w:i/>
          <w:iCs/>
        </w:rPr>
        <w:t>clearly outweighs</w:t>
      </w:r>
      <w:r w:rsidR="00732E3D">
        <w:t xml:space="preserve"> the publi</w:t>
      </w:r>
      <w:r w:rsidR="00F56900">
        <w:t>c</w:t>
      </w:r>
      <w:r w:rsidR="00732E3D">
        <w:t xml:space="preserve"> interest served by disclosure </w:t>
      </w:r>
      <w:r w:rsidR="00F56900">
        <w:t>of the record.</w:t>
      </w:r>
      <w:r w:rsidR="00AF425F">
        <w:t xml:space="preserve">” </w:t>
      </w:r>
      <w:r w:rsidR="00F56900">
        <w:t>’</w:t>
      </w:r>
      <w:r w:rsidR="00794671">
        <w:t xml:space="preserve"> </w:t>
      </w:r>
      <w:r w:rsidR="00F56900">
        <w:t xml:space="preserve">”  </w:t>
      </w:r>
      <w:r w:rsidR="00032A34">
        <w:t>(</w:t>
      </w:r>
      <w:r w:rsidR="00032A34" w:rsidRPr="00B24B22">
        <w:rPr>
          <w:i/>
          <w:iCs/>
        </w:rPr>
        <w:t>New York Times Co. v Superior Court</w:t>
      </w:r>
      <w:r w:rsidR="00032A34">
        <w:t xml:space="preserve"> (1990) </w:t>
      </w:r>
      <w:r w:rsidR="00B24B22">
        <w:t>218</w:t>
      </w:r>
      <w:r w:rsidR="00794671">
        <w:t> </w:t>
      </w:r>
      <w:r w:rsidR="00B24B22">
        <w:t xml:space="preserve">Cal.App.3d 1579, 1585.)  </w:t>
      </w:r>
      <w:r w:rsidR="006F4B71">
        <w:t xml:space="preserve">The court </w:t>
      </w:r>
      <w:r w:rsidR="003F6E88">
        <w:t xml:space="preserve">ruled that </w:t>
      </w:r>
      <w:r w:rsidR="000C4742" w:rsidRPr="008B6B7E">
        <w:t>“City’s outrage</w:t>
      </w:r>
      <w:r w:rsidR="0062760E">
        <w:t xml:space="preserve">” </w:t>
      </w:r>
      <w:r w:rsidR="000C4742" w:rsidRPr="008B6B7E">
        <w:t>at Kinney’s</w:t>
      </w:r>
      <w:r w:rsidR="0062760E">
        <w:t xml:space="preserve"> “</w:t>
      </w:r>
      <w:r w:rsidR="000C4742" w:rsidRPr="008B6B7E">
        <w:t xml:space="preserve">perceived </w:t>
      </w:r>
      <w:r w:rsidR="00DB0D6E">
        <w:t xml:space="preserve">misuse </w:t>
      </w:r>
      <w:r w:rsidR="000C4742" w:rsidRPr="008B6B7E">
        <w:t>of the CPRA</w:t>
      </w:r>
      <w:r w:rsidR="00BA5326">
        <w:t xml:space="preserve"> does </w:t>
      </w:r>
      <w:r w:rsidR="0016482B">
        <w:t xml:space="preserve">not </w:t>
      </w:r>
      <w:r w:rsidR="000C4742" w:rsidRPr="008B6B7E">
        <w:t>establish facts</w:t>
      </w:r>
      <w:r>
        <w:t xml:space="preserve">” </w:t>
      </w:r>
      <w:r w:rsidR="00890A56">
        <w:t xml:space="preserve">outweighing </w:t>
      </w:r>
      <w:r>
        <w:t xml:space="preserve">the public interest </w:t>
      </w:r>
      <w:r w:rsidR="00DF349B">
        <w:t xml:space="preserve">in </w:t>
      </w:r>
      <w:r w:rsidR="005D01A8">
        <w:t xml:space="preserve">the </w:t>
      </w:r>
      <w:r>
        <w:t>disclosure</w:t>
      </w:r>
      <w:r w:rsidR="005D01A8">
        <w:t xml:space="preserve"> of the crime victim’s name to Kinney</w:t>
      </w:r>
      <w:r>
        <w:t>.</w:t>
      </w:r>
    </w:p>
    <w:p w14:paraId="61899B7B" w14:textId="3488CA8C" w:rsidR="00950587" w:rsidRPr="00BC1E10" w:rsidRDefault="0038463E" w:rsidP="006F4B71">
      <w:pPr>
        <w:spacing w:line="480" w:lineRule="auto"/>
      </w:pPr>
      <w:r>
        <w:tab/>
      </w:r>
      <w:r w:rsidR="00712384">
        <w:t xml:space="preserve">Lastly, </w:t>
      </w:r>
      <w:r w:rsidR="00082212">
        <w:t>City</w:t>
      </w:r>
      <w:r w:rsidR="00712384">
        <w:t xml:space="preserve"> </w:t>
      </w:r>
      <w:r w:rsidR="00082212">
        <w:t xml:space="preserve">claimed </w:t>
      </w:r>
      <w:r w:rsidR="00E23120">
        <w:t xml:space="preserve">Kinney’s </w:t>
      </w:r>
      <w:r w:rsidR="00BA5326">
        <w:t xml:space="preserve">CPRA </w:t>
      </w:r>
      <w:r w:rsidR="00082212">
        <w:t xml:space="preserve">petition was moot because City </w:t>
      </w:r>
      <w:r w:rsidR="00B04240">
        <w:t xml:space="preserve">disclosed the </w:t>
      </w:r>
      <w:r w:rsidR="00195F2B">
        <w:t xml:space="preserve">crime victim’s </w:t>
      </w:r>
      <w:r w:rsidR="00B04240">
        <w:t>name to Austin</w:t>
      </w:r>
      <w:r w:rsidR="006C1C77">
        <w:t xml:space="preserve">, and Austin’s knowledge of the name was imputed to Kinney through their </w:t>
      </w:r>
      <w:r w:rsidR="00BA5326">
        <w:t xml:space="preserve">common </w:t>
      </w:r>
      <w:r w:rsidR="006C1C77">
        <w:t>attorney</w:t>
      </w:r>
      <w:r w:rsidR="004E5643">
        <w:t xml:space="preserve">, </w:t>
      </w:r>
      <w:r w:rsidR="006C1C77">
        <w:t>Borchert</w:t>
      </w:r>
      <w:r w:rsidR="00B51F69">
        <w:t xml:space="preserve">.  The court ruled </w:t>
      </w:r>
      <w:r w:rsidR="00BA5326">
        <w:t xml:space="preserve">that </w:t>
      </w:r>
      <w:r w:rsidR="00B51F69">
        <w:t xml:space="preserve">the petition was not moot; </w:t>
      </w:r>
      <w:r w:rsidR="00F6476C">
        <w:t xml:space="preserve">City cited no authority </w:t>
      </w:r>
      <w:r w:rsidR="00600194">
        <w:t xml:space="preserve">to </w:t>
      </w:r>
      <w:r w:rsidR="00805040">
        <w:t>support</w:t>
      </w:r>
      <w:r w:rsidR="00600194">
        <w:t xml:space="preserve"> </w:t>
      </w:r>
      <w:r w:rsidR="00D90C59">
        <w:t>its mootness theory</w:t>
      </w:r>
      <w:r w:rsidR="00F25983">
        <w:t xml:space="preserve">; </w:t>
      </w:r>
      <w:r w:rsidR="00F6476C">
        <w:t>and</w:t>
      </w:r>
      <w:r w:rsidR="00600194">
        <w:t xml:space="preserve"> “the gravamen” of </w:t>
      </w:r>
      <w:r w:rsidR="00975290">
        <w:t xml:space="preserve">Kinney’s </w:t>
      </w:r>
      <w:r w:rsidR="00D17B88">
        <w:t xml:space="preserve">petition </w:t>
      </w:r>
      <w:r w:rsidR="00A413CB">
        <w:t xml:space="preserve">was City’s refusal </w:t>
      </w:r>
      <w:r w:rsidR="0073533D">
        <w:t>“</w:t>
      </w:r>
      <w:r w:rsidR="00A413CB">
        <w:t>to discharge its duty under the CPRA</w:t>
      </w:r>
      <w:r w:rsidR="0073533D">
        <w:t>”</w:t>
      </w:r>
      <w:r w:rsidR="00F25983">
        <w:t xml:space="preserve"> to disclose the name to Kinney.</w:t>
      </w:r>
      <w:r w:rsidR="00ED573F">
        <w:t xml:space="preserve">  </w:t>
      </w:r>
      <w:r w:rsidR="006E459F">
        <w:t xml:space="preserve">Thus, the court </w:t>
      </w:r>
      <w:r w:rsidR="00254F44">
        <w:t xml:space="preserve">ruled </w:t>
      </w:r>
      <w:r w:rsidR="002916D2">
        <w:t>that</w:t>
      </w:r>
      <w:r w:rsidR="002D2552">
        <w:t xml:space="preserve">, </w:t>
      </w:r>
      <w:r w:rsidR="007A0C87">
        <w:t>“</w:t>
      </w:r>
      <w:r w:rsidR="00ED573F">
        <w:t xml:space="preserve">even </w:t>
      </w:r>
      <w:r w:rsidR="007A0C87">
        <w:t xml:space="preserve">if” </w:t>
      </w:r>
      <w:r w:rsidR="00ED573F">
        <w:t xml:space="preserve">Kinney </w:t>
      </w:r>
      <w:r w:rsidR="007A0C87">
        <w:t>receive</w:t>
      </w:r>
      <w:r w:rsidR="002916D2">
        <w:t>d</w:t>
      </w:r>
      <w:r w:rsidR="007A0C87">
        <w:t xml:space="preserve"> </w:t>
      </w:r>
      <w:r w:rsidR="00ED573F">
        <w:t xml:space="preserve">the </w:t>
      </w:r>
      <w:r w:rsidR="002916D2">
        <w:t>name “</w:t>
      </w:r>
      <w:r w:rsidR="00ED573F">
        <w:t xml:space="preserve">from </w:t>
      </w:r>
      <w:r w:rsidR="007A0C87">
        <w:t>another source</w:t>
      </w:r>
      <w:r w:rsidR="005D68EA">
        <w:t xml:space="preserve">, </w:t>
      </w:r>
      <w:r w:rsidR="00ED573F">
        <w:t>that</w:t>
      </w:r>
      <w:r w:rsidR="00FE3244">
        <w:t xml:space="preserve"> </w:t>
      </w:r>
      <w:r w:rsidR="00ED573F">
        <w:t>would not render her petition for writ of mandate or request for declaratory relief moot</w:t>
      </w:r>
      <w:r w:rsidR="007A0C87">
        <w:t>”</w:t>
      </w:r>
      <w:r w:rsidR="006E459F">
        <w:t xml:space="preserve"> because </w:t>
      </w:r>
      <w:r w:rsidR="00BE4B61">
        <w:t>“</w:t>
      </w:r>
      <w:r w:rsidR="000C4742" w:rsidRPr="008B6B7E">
        <w:t>the law requires [City] to comply with [Kinney’s] request, all presumptions weigh in favor of disclosure, and [City’s] allegation</w:t>
      </w:r>
      <w:r w:rsidR="00535FEE">
        <w:t>[s]</w:t>
      </w:r>
      <w:r w:rsidR="000C4742" w:rsidRPr="008B6B7E">
        <w:t xml:space="preserve"> of a ‘shakedown scheme’ do not create an exemption.</w:t>
      </w:r>
      <w:r w:rsidR="000C4742">
        <w:t>”</w:t>
      </w:r>
      <w:r>
        <w:rPr>
          <w:rStyle w:val="FootnoteReference"/>
        </w:rPr>
        <w:footnoteReference w:id="7"/>
      </w:r>
    </w:p>
    <w:p w14:paraId="3AA1E22D" w14:textId="1FB98C3A" w:rsidR="00BC1E10" w:rsidRPr="00BC1E10" w:rsidRDefault="0038463E" w:rsidP="002D2552">
      <w:pPr>
        <w:keepNext/>
        <w:keepLines/>
        <w:spacing w:line="480" w:lineRule="auto"/>
        <w:rPr>
          <w:i/>
          <w:iCs/>
        </w:rPr>
      </w:pPr>
      <w:r>
        <w:lastRenderedPageBreak/>
        <w:tab/>
      </w:r>
      <w:r w:rsidR="002D2552">
        <w:t>6</w:t>
      </w:r>
      <w:r>
        <w:t xml:space="preserve">.  </w:t>
      </w:r>
      <w:r w:rsidRPr="00073139">
        <w:rPr>
          <w:u w:val="single"/>
        </w:rPr>
        <w:t xml:space="preserve">Kinney’s </w:t>
      </w:r>
      <w:r w:rsidR="00D23A35">
        <w:rPr>
          <w:u w:val="single"/>
        </w:rPr>
        <w:t xml:space="preserve">Operative </w:t>
      </w:r>
      <w:r w:rsidRPr="00073139">
        <w:rPr>
          <w:u w:val="single"/>
        </w:rPr>
        <w:t>Attorney Fee Motion</w:t>
      </w:r>
    </w:p>
    <w:p w14:paraId="755C6871" w14:textId="4DAA3F9A" w:rsidR="008C19A0" w:rsidRDefault="0038463E" w:rsidP="00BC7E65">
      <w:pPr>
        <w:spacing w:line="480" w:lineRule="auto"/>
      </w:pPr>
      <w:r>
        <w:rPr>
          <w:b/>
          <w:bCs/>
        </w:rPr>
        <w:tab/>
      </w:r>
      <w:r w:rsidR="00166DF1" w:rsidRPr="00166DF1">
        <w:t>On February 22, 2022, Kinney</w:t>
      </w:r>
      <w:r w:rsidR="00166DF1">
        <w:rPr>
          <w:b/>
          <w:bCs/>
        </w:rPr>
        <w:t xml:space="preserve"> </w:t>
      </w:r>
      <w:r w:rsidR="00166DF1" w:rsidRPr="00D74B3C">
        <w:t xml:space="preserve">filed </w:t>
      </w:r>
      <w:r w:rsidR="00D74B3C" w:rsidRPr="00D74B3C">
        <w:t xml:space="preserve">her </w:t>
      </w:r>
      <w:r w:rsidR="00752F28">
        <w:t xml:space="preserve">operative </w:t>
      </w:r>
      <w:r w:rsidR="00166DF1" w:rsidRPr="00D74B3C">
        <w:t>motion for attorney fees</w:t>
      </w:r>
      <w:r w:rsidR="00696647" w:rsidRPr="00D74B3C">
        <w:t>.</w:t>
      </w:r>
      <w:r>
        <w:rPr>
          <w:rStyle w:val="FootnoteReference"/>
        </w:rPr>
        <w:footnoteReference w:id="8"/>
      </w:r>
      <w:r w:rsidR="00696647" w:rsidRPr="00D74B3C">
        <w:t xml:space="preserve">  </w:t>
      </w:r>
      <w:r w:rsidR="008F5615">
        <w:t xml:space="preserve">Kinney claimed </w:t>
      </w:r>
      <w:r w:rsidR="004640F7">
        <w:t>she was the prevailing party</w:t>
      </w:r>
      <w:r w:rsidR="007C4AED">
        <w:t xml:space="preserve"> </w:t>
      </w:r>
      <w:r w:rsidR="00E62230">
        <w:t xml:space="preserve">on </w:t>
      </w:r>
      <w:r w:rsidR="00D23A35">
        <w:t xml:space="preserve">the </w:t>
      </w:r>
      <w:r w:rsidR="006C591E">
        <w:t>writ</w:t>
      </w:r>
      <w:r w:rsidR="008906A9">
        <w:t xml:space="preserve"> </w:t>
      </w:r>
      <w:r w:rsidR="00D23A35">
        <w:t xml:space="preserve">portion of her CPRA </w:t>
      </w:r>
      <w:r w:rsidR="00B60E7F">
        <w:t>petition</w:t>
      </w:r>
      <w:r w:rsidR="000B6251">
        <w:t xml:space="preserve">, and </w:t>
      </w:r>
      <w:r w:rsidR="006C591E">
        <w:t>her lawsuit was “a catalyst</w:t>
      </w:r>
      <w:r w:rsidR="00ED3604">
        <w:t xml:space="preserve">” </w:t>
      </w:r>
      <w:r w:rsidR="006C591E">
        <w:t xml:space="preserve">in making the </w:t>
      </w:r>
      <w:r w:rsidR="00ED3604">
        <w:t>crime victim’s name public</w:t>
      </w:r>
      <w:r w:rsidR="008906A9">
        <w:t>.</w:t>
      </w:r>
      <w:r w:rsidR="009726C8">
        <w:t xml:space="preserve"> </w:t>
      </w:r>
      <w:r w:rsidR="006C591E">
        <w:t xml:space="preserve"> </w:t>
      </w:r>
      <w:r w:rsidR="007C4AED">
        <w:t>(</w:t>
      </w:r>
      <w:r w:rsidR="00447B3B">
        <w:t xml:space="preserve">Gov. Code, </w:t>
      </w:r>
      <w:r w:rsidR="009726C8">
        <w:t xml:space="preserve">former </w:t>
      </w:r>
      <w:r w:rsidR="007C4AED">
        <w:t>§ 6259, subd. (d)</w:t>
      </w:r>
      <w:r w:rsidR="008906A9">
        <w:t>.</w:t>
      </w:r>
      <w:r w:rsidR="007C4AED">
        <w:t>)</w:t>
      </w:r>
      <w:r w:rsidR="008906A9">
        <w:t xml:space="preserve">  Kinney </w:t>
      </w:r>
      <w:r w:rsidR="00447B3B">
        <w:t xml:space="preserve">specifically </w:t>
      </w:r>
      <w:r w:rsidR="008906A9">
        <w:t xml:space="preserve">claimed </w:t>
      </w:r>
      <w:r w:rsidR="00051FFB">
        <w:t>City</w:t>
      </w:r>
      <w:r w:rsidR="001204C2">
        <w:t>’s defense to her CP</w:t>
      </w:r>
      <w:r w:rsidR="00447B3B">
        <w:t>R</w:t>
      </w:r>
      <w:r w:rsidR="001204C2">
        <w:t xml:space="preserve">A request was </w:t>
      </w:r>
      <w:r w:rsidR="004C0FD3">
        <w:t>“knowingly frivolous</w:t>
      </w:r>
      <w:r w:rsidR="001204C2">
        <w:t>”</w:t>
      </w:r>
      <w:r w:rsidR="006A670C">
        <w:t xml:space="preserve"> </w:t>
      </w:r>
      <w:r w:rsidR="001204C2">
        <w:t xml:space="preserve">because </w:t>
      </w:r>
      <w:r w:rsidR="00447B3B">
        <w:t xml:space="preserve">the defense </w:t>
      </w:r>
      <w:r w:rsidR="001204C2">
        <w:t xml:space="preserve">was </w:t>
      </w:r>
      <w:r w:rsidR="00DE0624">
        <w:t xml:space="preserve">based on </w:t>
      </w:r>
      <w:r w:rsidR="00273DC6">
        <w:t xml:space="preserve">City’s </w:t>
      </w:r>
      <w:r w:rsidR="009E367D">
        <w:t>“unsupported</w:t>
      </w:r>
      <w:r w:rsidR="00520E89">
        <w:t>”</w:t>
      </w:r>
      <w:r w:rsidR="009E367D">
        <w:t xml:space="preserve"> </w:t>
      </w:r>
      <w:r w:rsidR="00DE0624">
        <w:t>claim</w:t>
      </w:r>
      <w:r w:rsidR="009E367D">
        <w:t xml:space="preserve"> </w:t>
      </w:r>
      <w:r w:rsidR="00B60E7F">
        <w:t xml:space="preserve">that </w:t>
      </w:r>
      <w:r w:rsidR="00AF5E4F">
        <w:t xml:space="preserve">Kinney </w:t>
      </w:r>
      <w:r w:rsidR="00310A2C">
        <w:t>was part of a “</w:t>
      </w:r>
      <w:r w:rsidR="00520E89">
        <w:t xml:space="preserve"> ‘</w:t>
      </w:r>
      <w:r w:rsidR="00310A2C">
        <w:t>shakedown scheme</w:t>
      </w:r>
      <w:r w:rsidR="00C504DC">
        <w:t>.</w:t>
      </w:r>
      <w:r w:rsidR="00520E89">
        <w:t>’ </w:t>
      </w:r>
      <w:r w:rsidR="00642255">
        <w:t>”</w:t>
      </w:r>
      <w:r w:rsidR="00310A2C">
        <w:t xml:space="preserve"> </w:t>
      </w:r>
      <w:r w:rsidR="009726C8">
        <w:t xml:space="preserve"> </w:t>
      </w:r>
      <w:r w:rsidR="00477F16">
        <w:t xml:space="preserve">Kinney argued “much” of her fees were incurred due to City’s </w:t>
      </w:r>
      <w:r w:rsidR="006D62BA">
        <w:t>continu</w:t>
      </w:r>
      <w:r w:rsidR="00AF7AEB">
        <w:t xml:space="preserve">ed </w:t>
      </w:r>
      <w:r w:rsidR="00477F16">
        <w:t xml:space="preserve">refusal to disclose the name directly to Kinney pursuant to </w:t>
      </w:r>
      <w:r w:rsidR="00342F8C">
        <w:t>Kinney</w:t>
      </w:r>
      <w:r w:rsidR="00612E6F">
        <w:t xml:space="preserve">’s </w:t>
      </w:r>
      <w:r w:rsidR="00477F16">
        <w:t xml:space="preserve">CPRA request.  </w:t>
      </w:r>
      <w:r w:rsidR="00D37895">
        <w:t>Kinney sought $7</w:t>
      </w:r>
      <w:r w:rsidR="0038783A">
        <w:t>1,9</w:t>
      </w:r>
      <w:r w:rsidR="0069405D">
        <w:t>55</w:t>
      </w:r>
      <w:r w:rsidR="00540F27">
        <w:t xml:space="preserve">.50 in </w:t>
      </w:r>
      <w:r w:rsidR="0069405D">
        <w:t xml:space="preserve">costs and </w:t>
      </w:r>
      <w:r w:rsidR="0038783A">
        <w:t>attorney fee</w:t>
      </w:r>
      <w:r w:rsidR="00540F27">
        <w:t>s</w:t>
      </w:r>
      <w:r w:rsidR="00B7784E">
        <w:t>.</w:t>
      </w:r>
    </w:p>
    <w:p w14:paraId="58E93A1C" w14:textId="016A1C24" w:rsidR="00016A67" w:rsidRDefault="0038463E" w:rsidP="00BC7E65">
      <w:pPr>
        <w:spacing w:line="480" w:lineRule="auto"/>
      </w:pPr>
      <w:r>
        <w:lastRenderedPageBreak/>
        <w:tab/>
      </w:r>
      <w:r w:rsidR="00AF1437">
        <w:t xml:space="preserve">City opposed </w:t>
      </w:r>
      <w:r w:rsidR="00964C92">
        <w:t xml:space="preserve">the </w:t>
      </w:r>
      <w:r w:rsidR="00AF1437">
        <w:t>motion</w:t>
      </w:r>
      <w:r w:rsidR="00800A24">
        <w:t xml:space="preserve"> </w:t>
      </w:r>
      <w:r w:rsidR="007751A9">
        <w:t xml:space="preserve">on </w:t>
      </w:r>
      <w:r w:rsidR="00BA4706">
        <w:t xml:space="preserve">several </w:t>
      </w:r>
      <w:r w:rsidR="007751A9">
        <w:t>grounds</w:t>
      </w:r>
      <w:r w:rsidR="00BA4706">
        <w:t>.</w:t>
      </w:r>
      <w:r w:rsidR="008E6B4F">
        <w:t xml:space="preserve">  </w:t>
      </w:r>
      <w:r w:rsidR="00BA4706">
        <w:t xml:space="preserve">First, City argued </w:t>
      </w:r>
      <w:r w:rsidR="00AF1437">
        <w:t xml:space="preserve">Kinney </w:t>
      </w:r>
      <w:r w:rsidR="00BA4706">
        <w:t xml:space="preserve">was entitled to </w:t>
      </w:r>
      <w:r w:rsidR="005F4515">
        <w:t xml:space="preserve">no </w:t>
      </w:r>
      <w:r w:rsidR="00BA4706">
        <w:t>more than $2,4</w:t>
      </w:r>
      <w:r w:rsidR="003327BD">
        <w:t>7</w:t>
      </w:r>
      <w:r w:rsidR="00BA4706">
        <w:t xml:space="preserve">5 in </w:t>
      </w:r>
      <w:r>
        <w:t xml:space="preserve">attorney </w:t>
      </w:r>
      <w:r w:rsidR="00BA4706">
        <w:t xml:space="preserve">fees, the amount </w:t>
      </w:r>
      <w:r w:rsidR="003327BD">
        <w:t xml:space="preserve">Kinney </w:t>
      </w:r>
      <w:r w:rsidR="00BA4706">
        <w:t xml:space="preserve">incurred </w:t>
      </w:r>
      <w:r w:rsidR="00BA4706" w:rsidRPr="00E35491">
        <w:rPr>
          <w:i/>
          <w:iCs/>
        </w:rPr>
        <w:t>before</w:t>
      </w:r>
      <w:r w:rsidR="00BA4706">
        <w:t xml:space="preserve"> City</w:t>
      </w:r>
      <w:r w:rsidR="000438B2">
        <w:t xml:space="preserve"> </w:t>
      </w:r>
      <w:r w:rsidR="00BA4706">
        <w:t xml:space="preserve">made </w:t>
      </w:r>
      <w:r w:rsidR="000438B2">
        <w:t xml:space="preserve">its </w:t>
      </w:r>
      <w:r w:rsidR="00724F27">
        <w:t xml:space="preserve">February 14, 2020 </w:t>
      </w:r>
      <w:r w:rsidR="007E16BE">
        <w:t xml:space="preserve">section </w:t>
      </w:r>
      <w:r w:rsidR="00964C92">
        <w:t>998 offer</w:t>
      </w:r>
      <w:r w:rsidR="003327BD">
        <w:t xml:space="preserve"> </w:t>
      </w:r>
      <w:r w:rsidR="00724F27">
        <w:t>to Kinney</w:t>
      </w:r>
      <w:r>
        <w:t xml:space="preserve">, </w:t>
      </w:r>
      <w:r w:rsidR="00CA39E1">
        <w:t>according to Tora</w:t>
      </w:r>
      <w:r w:rsidR="00514D41">
        <w:t>a</w:t>
      </w:r>
      <w:r w:rsidR="00CA39E1">
        <w:t xml:space="preserve">son’s time </w:t>
      </w:r>
      <w:r w:rsidR="00564A14">
        <w:t>records</w:t>
      </w:r>
      <w:r w:rsidR="008935F3">
        <w:t xml:space="preserve"> submitted in support of the </w:t>
      </w:r>
      <w:r w:rsidR="003E340A">
        <w:t xml:space="preserve">fee </w:t>
      </w:r>
      <w:r w:rsidR="008935F3">
        <w:t>motion</w:t>
      </w:r>
      <w:r w:rsidR="00657511">
        <w:t xml:space="preserve">.  </w:t>
      </w:r>
      <w:r w:rsidR="00EA71CD">
        <w:t xml:space="preserve">City argued </w:t>
      </w:r>
      <w:r w:rsidR="00B93AC2">
        <w:t xml:space="preserve">Kinney did not </w:t>
      </w:r>
      <w:r w:rsidR="005B184A">
        <w:t xml:space="preserve">obtain a more favorable </w:t>
      </w:r>
      <w:r w:rsidR="00593EDF">
        <w:t>result on her CPRA petition</w:t>
      </w:r>
      <w:r w:rsidR="00120D7A">
        <w:t xml:space="preserve"> </w:t>
      </w:r>
      <w:r w:rsidR="005B184A">
        <w:t>tha</w:t>
      </w:r>
      <w:r w:rsidR="005E2CDB">
        <w:t xml:space="preserve">n </w:t>
      </w:r>
      <w:r w:rsidR="00B93AC2">
        <w:t xml:space="preserve">City’s </w:t>
      </w:r>
      <w:r w:rsidR="003F601D">
        <w:t xml:space="preserve">section 998 </w:t>
      </w:r>
      <w:r w:rsidR="005E2CDB">
        <w:t>offer</w:t>
      </w:r>
      <w:r w:rsidR="002E24C1">
        <w:t xml:space="preserve"> proposed</w:t>
      </w:r>
      <w:r w:rsidR="00B93AC2">
        <w:t xml:space="preserve">, namely, </w:t>
      </w:r>
      <w:r w:rsidR="00120D7A">
        <w:t xml:space="preserve">City’s </w:t>
      </w:r>
      <w:r w:rsidR="004F3B66">
        <w:t xml:space="preserve">disclosure of the crime </w:t>
      </w:r>
      <w:r w:rsidR="000B39EF">
        <w:t xml:space="preserve">victim’s </w:t>
      </w:r>
      <w:r w:rsidR="004F3B66">
        <w:t xml:space="preserve">name </w:t>
      </w:r>
      <w:r w:rsidR="004F3B66" w:rsidRPr="00B93AC2">
        <w:rPr>
          <w:i/>
          <w:iCs/>
        </w:rPr>
        <w:t>to Kinney</w:t>
      </w:r>
      <w:r w:rsidR="00964C92">
        <w:t>.</w:t>
      </w:r>
    </w:p>
    <w:p w14:paraId="0FEB6696" w14:textId="4ECEFF37" w:rsidR="003B43A9" w:rsidRDefault="0038463E" w:rsidP="00BC7E65">
      <w:pPr>
        <w:spacing w:line="480" w:lineRule="auto"/>
      </w:pPr>
      <w:r>
        <w:tab/>
      </w:r>
      <w:r w:rsidR="007751A9">
        <w:t xml:space="preserve">Second, </w:t>
      </w:r>
      <w:r w:rsidR="00800A24">
        <w:t xml:space="preserve">City </w:t>
      </w:r>
      <w:r w:rsidR="00A571AA">
        <w:t xml:space="preserve">argued Kinney </w:t>
      </w:r>
      <w:r w:rsidR="00AC2CE8">
        <w:t xml:space="preserve">was not entitled to </w:t>
      </w:r>
      <w:r w:rsidR="00AC2CE8" w:rsidRPr="00016A67">
        <w:rPr>
          <w:i/>
          <w:iCs/>
        </w:rPr>
        <w:t>any</w:t>
      </w:r>
      <w:r w:rsidR="00AC2CE8">
        <w:t xml:space="preserve"> </w:t>
      </w:r>
      <w:r w:rsidR="00350ADB">
        <w:t xml:space="preserve">attorney </w:t>
      </w:r>
      <w:r w:rsidR="00AC2CE8">
        <w:t xml:space="preserve">fees because </w:t>
      </w:r>
      <w:r w:rsidR="009A030E">
        <w:t>she was not the prevailing party</w:t>
      </w:r>
      <w:r w:rsidR="00DB4ABE">
        <w:t xml:space="preserve"> on her CPRA petition, that is, </w:t>
      </w:r>
      <w:r w:rsidR="00AF7AEB">
        <w:t xml:space="preserve">the </w:t>
      </w:r>
      <w:r w:rsidR="002E24C1">
        <w:t xml:space="preserve">CPRA petition </w:t>
      </w:r>
      <w:r w:rsidR="00AC2CE8">
        <w:t xml:space="preserve">was not the </w:t>
      </w:r>
      <w:r w:rsidR="00DB4ABE">
        <w:t>“</w:t>
      </w:r>
      <w:r w:rsidR="00AC2CE8">
        <w:t>catalyst</w:t>
      </w:r>
      <w:r w:rsidR="00DB4ABE">
        <w:t>”</w:t>
      </w:r>
      <w:r w:rsidR="00AC2CE8">
        <w:t xml:space="preserve"> </w:t>
      </w:r>
      <w:r w:rsidR="005D1311">
        <w:t xml:space="preserve">of City’s disclosure of the </w:t>
      </w:r>
      <w:r w:rsidR="00D02464">
        <w:t xml:space="preserve">crime victim’s </w:t>
      </w:r>
      <w:r w:rsidR="00C6011E">
        <w:t xml:space="preserve">name; </w:t>
      </w:r>
      <w:r w:rsidR="00E9104A">
        <w:t xml:space="preserve">rather, </w:t>
      </w:r>
      <w:r w:rsidR="00C6011E">
        <w:t xml:space="preserve">Austin’s </w:t>
      </w:r>
      <w:r w:rsidR="002E24C1">
        <w:t xml:space="preserve">CPRA </w:t>
      </w:r>
      <w:r w:rsidR="00C6011E">
        <w:t>request was the catalyst</w:t>
      </w:r>
      <w:r w:rsidR="009A030E">
        <w:t xml:space="preserve">, and </w:t>
      </w:r>
      <w:r w:rsidR="00C6011E">
        <w:t xml:space="preserve">Kinney obtained the name through </w:t>
      </w:r>
      <w:r w:rsidR="00E9104A">
        <w:t>Borchert</w:t>
      </w:r>
      <w:r w:rsidR="00E87600">
        <w:t xml:space="preserve"> and Austin</w:t>
      </w:r>
      <w:r w:rsidR="00C6011E">
        <w:t xml:space="preserve">. </w:t>
      </w:r>
      <w:r w:rsidR="009726C8">
        <w:t xml:space="preserve"> </w:t>
      </w:r>
      <w:r w:rsidR="00E87600">
        <w:t xml:space="preserve">As support for this theory, </w:t>
      </w:r>
      <w:r w:rsidR="00DE2E7D">
        <w:t>City</w:t>
      </w:r>
      <w:r w:rsidR="00F73CB6">
        <w:t xml:space="preserve"> </w:t>
      </w:r>
      <w:r w:rsidR="002715BE">
        <w:t xml:space="preserve">relied on </w:t>
      </w:r>
      <w:r w:rsidR="0041266D">
        <w:t>Civil Code section 2332</w:t>
      </w:r>
      <w:r w:rsidR="007D20AF">
        <w:t>, which provides:</w:t>
      </w:r>
      <w:r w:rsidR="009726C8">
        <w:t xml:space="preserve"> </w:t>
      </w:r>
      <w:r w:rsidR="007D20AF">
        <w:t xml:space="preserve"> </w:t>
      </w:r>
      <w:r w:rsidR="006A300E">
        <w:t>“</w:t>
      </w:r>
      <w:r w:rsidR="007D20AF">
        <w:t>As against a princip</w:t>
      </w:r>
      <w:r w:rsidR="006A300E">
        <w:t>al</w:t>
      </w:r>
      <w:r w:rsidR="007D20AF">
        <w:t>, both principal and</w:t>
      </w:r>
      <w:r w:rsidR="006A300E">
        <w:t xml:space="preserve"> </w:t>
      </w:r>
      <w:r w:rsidR="007D20AF">
        <w:t>agent are deem</w:t>
      </w:r>
      <w:r w:rsidR="006A300E">
        <w:t>e</w:t>
      </w:r>
      <w:r w:rsidR="007D20AF">
        <w:t>d</w:t>
      </w:r>
      <w:r w:rsidR="006A300E">
        <w:t xml:space="preserve"> </w:t>
      </w:r>
      <w:r w:rsidR="007D20AF">
        <w:t>to have notice</w:t>
      </w:r>
      <w:r w:rsidR="006A300E">
        <w:t xml:space="preserve"> </w:t>
      </w:r>
      <w:r w:rsidR="007D20AF">
        <w:t xml:space="preserve">of whatever </w:t>
      </w:r>
      <w:r w:rsidR="00837F56">
        <w:t>either has notice of, and ought, in good faith and the exercise of ordinary care and diligence, to communicate to the other</w:t>
      </w:r>
      <w:r>
        <w:t xml:space="preserve">.”  City argued </w:t>
      </w:r>
      <w:r w:rsidR="00554D7B">
        <w:t xml:space="preserve">that </w:t>
      </w:r>
      <w:r w:rsidR="002715BE">
        <w:t xml:space="preserve">this </w:t>
      </w:r>
      <w:r w:rsidR="0010426A">
        <w:t xml:space="preserve">deemed </w:t>
      </w:r>
      <w:r w:rsidR="0049582C">
        <w:t xml:space="preserve">notice rule </w:t>
      </w:r>
      <w:r>
        <w:t>“ordinarily applies</w:t>
      </w:r>
      <w:r w:rsidR="004A7F41">
        <w:t xml:space="preserve">” to attorney-client relationships, citing </w:t>
      </w:r>
      <w:r w:rsidRPr="004A7F41">
        <w:rPr>
          <w:i/>
          <w:iCs/>
        </w:rPr>
        <w:t>Chapman College v. Wagener</w:t>
      </w:r>
      <w:r w:rsidR="004A7F41">
        <w:rPr>
          <w:i/>
          <w:iCs/>
        </w:rPr>
        <w:t xml:space="preserve"> </w:t>
      </w:r>
      <w:r w:rsidR="004A7F41">
        <w:t xml:space="preserve">(1955) </w:t>
      </w:r>
      <w:r w:rsidR="00D82EA5">
        <w:t xml:space="preserve">45 Cal.2d 796, 802.  </w:t>
      </w:r>
      <w:r w:rsidR="006346B1">
        <w:t xml:space="preserve">City </w:t>
      </w:r>
      <w:r w:rsidR="00554D7B">
        <w:t xml:space="preserve">argued </w:t>
      </w:r>
      <w:r w:rsidR="006B2C93">
        <w:t>Kinney</w:t>
      </w:r>
      <w:r w:rsidR="004F504F">
        <w:t xml:space="preserve"> had known the </w:t>
      </w:r>
      <w:r w:rsidR="00A079C4">
        <w:t xml:space="preserve">crime victim’s </w:t>
      </w:r>
      <w:r w:rsidR="004F504F">
        <w:t xml:space="preserve">name </w:t>
      </w:r>
      <w:r w:rsidR="006346B1">
        <w:t xml:space="preserve">since City disclosed </w:t>
      </w:r>
      <w:r w:rsidR="00A079C4">
        <w:t xml:space="preserve">the name </w:t>
      </w:r>
      <w:r w:rsidR="006346B1">
        <w:t xml:space="preserve">to Austin on February 20, 2020, and </w:t>
      </w:r>
      <w:r w:rsidR="005474BC">
        <w:t xml:space="preserve">claimed </w:t>
      </w:r>
      <w:r w:rsidR="006346B1">
        <w:t>Kinney h</w:t>
      </w:r>
      <w:r w:rsidR="00E21E63">
        <w:t>a</w:t>
      </w:r>
      <w:r w:rsidR="006346B1">
        <w:t xml:space="preserve">d been “using” </w:t>
      </w:r>
      <w:r w:rsidR="00B546D4">
        <w:t xml:space="preserve">City’s </w:t>
      </w:r>
      <w:r w:rsidR="00A079C4">
        <w:t xml:space="preserve">disclosure to </w:t>
      </w:r>
      <w:r w:rsidR="00957458">
        <w:t xml:space="preserve">Austin </w:t>
      </w:r>
      <w:r w:rsidR="00E21E63">
        <w:t xml:space="preserve">to </w:t>
      </w:r>
      <w:r w:rsidR="00663953">
        <w:t xml:space="preserve">her </w:t>
      </w:r>
      <w:r w:rsidR="00E21E63">
        <w:t xml:space="preserve">advantage </w:t>
      </w:r>
      <w:r w:rsidR="00957458">
        <w:t xml:space="preserve">by </w:t>
      </w:r>
      <w:r w:rsidR="00E21E63">
        <w:t xml:space="preserve">arguing City waived its claim that the name was exempt from disclosure </w:t>
      </w:r>
      <w:r w:rsidR="00663953">
        <w:t>based on City’s disclosure to Austin</w:t>
      </w:r>
      <w:r w:rsidR="00957458">
        <w:t>.</w:t>
      </w:r>
      <w:r w:rsidR="00A56254">
        <w:t xml:space="preserve">  </w:t>
      </w:r>
      <w:r w:rsidR="007F69F4">
        <w:t xml:space="preserve">Thus, </w:t>
      </w:r>
      <w:r w:rsidR="00C54132">
        <w:t xml:space="preserve">City argued Kinney’s </w:t>
      </w:r>
      <w:r w:rsidR="007F69F4">
        <w:t>CP</w:t>
      </w:r>
      <w:r w:rsidR="0069757C">
        <w:t>R</w:t>
      </w:r>
      <w:r w:rsidR="007F69F4">
        <w:t xml:space="preserve">A petition </w:t>
      </w:r>
      <w:r w:rsidR="00C54132">
        <w:t xml:space="preserve">was not </w:t>
      </w:r>
      <w:r w:rsidR="008D10FA">
        <w:t>“</w:t>
      </w:r>
      <w:r w:rsidR="00C54132">
        <w:t>the catalyst</w:t>
      </w:r>
      <w:r w:rsidR="008D10FA">
        <w:t>”</w:t>
      </w:r>
      <w:r w:rsidR="00C54132">
        <w:t xml:space="preserve"> for City’s disclosure</w:t>
      </w:r>
      <w:r w:rsidR="00847DB6">
        <w:t xml:space="preserve"> of the name</w:t>
      </w:r>
      <w:r w:rsidR="00AA16FF">
        <w:t xml:space="preserve"> to a member of the public</w:t>
      </w:r>
      <w:r w:rsidR="003C4B2C">
        <w:t xml:space="preserve">; </w:t>
      </w:r>
      <w:r w:rsidR="00A74584">
        <w:t xml:space="preserve">Austin’s CPRA request was that catalyst; </w:t>
      </w:r>
      <w:r w:rsidR="003C4B2C">
        <w:t xml:space="preserve">thus Kinney was not the </w:t>
      </w:r>
      <w:r w:rsidR="003C4B2C">
        <w:lastRenderedPageBreak/>
        <w:t>prevailing part</w:t>
      </w:r>
      <w:r w:rsidR="00EB4332">
        <w:t>y</w:t>
      </w:r>
      <w:r w:rsidR="00AA16FF">
        <w:t xml:space="preserve"> on her CPRA petition, </w:t>
      </w:r>
      <w:r w:rsidR="003C4B2C">
        <w:t xml:space="preserve">and </w:t>
      </w:r>
      <w:r w:rsidR="00AA16FF">
        <w:t xml:space="preserve">as such Kinney </w:t>
      </w:r>
      <w:r w:rsidR="00DD3635">
        <w:t xml:space="preserve">was </w:t>
      </w:r>
      <w:r w:rsidR="007F69F4">
        <w:t xml:space="preserve">not </w:t>
      </w:r>
      <w:r w:rsidR="00DD3635">
        <w:t xml:space="preserve">entitled to </w:t>
      </w:r>
      <w:r w:rsidR="00D21890">
        <w:t xml:space="preserve">recover </w:t>
      </w:r>
      <w:r w:rsidR="007F69F4">
        <w:t xml:space="preserve">any of </w:t>
      </w:r>
      <w:r w:rsidR="00D21890">
        <w:t xml:space="preserve">her </w:t>
      </w:r>
      <w:r w:rsidR="00DD3635">
        <w:t>attorney fees</w:t>
      </w:r>
      <w:r w:rsidR="00C54132">
        <w:t>.</w:t>
      </w:r>
    </w:p>
    <w:p w14:paraId="6B2C23B4" w14:textId="2D6F5E50" w:rsidR="00791535" w:rsidRDefault="0038463E" w:rsidP="00BC7E65">
      <w:pPr>
        <w:spacing w:line="480" w:lineRule="auto"/>
      </w:pPr>
      <w:r>
        <w:tab/>
      </w:r>
      <w:r w:rsidR="00075B2A">
        <w:t>Third</w:t>
      </w:r>
      <w:r w:rsidR="00DA289E">
        <w:t xml:space="preserve">, </w:t>
      </w:r>
      <w:r w:rsidR="00A475F6">
        <w:t xml:space="preserve">City argued </w:t>
      </w:r>
      <w:r w:rsidR="007803AD">
        <w:t xml:space="preserve">Kinney’s fee motion should be denied in the interests of justice because </w:t>
      </w:r>
      <w:r w:rsidR="00A86378">
        <w:t>Kinney’s CPRA request was not “legitimate</w:t>
      </w:r>
      <w:r w:rsidR="00D21890">
        <w:t>,</w:t>
      </w:r>
      <w:r w:rsidR="00A86378">
        <w:t xml:space="preserve">” </w:t>
      </w:r>
      <w:r w:rsidR="0023454C">
        <w:t xml:space="preserve">and </w:t>
      </w:r>
      <w:r w:rsidR="0003036E">
        <w:t xml:space="preserve">the </w:t>
      </w:r>
      <w:r w:rsidR="00C25129">
        <w:t xml:space="preserve">“true </w:t>
      </w:r>
      <w:r w:rsidR="0003036E">
        <w:t>purpose</w:t>
      </w:r>
      <w:r w:rsidR="00C25129">
        <w:t>”</w:t>
      </w:r>
      <w:r w:rsidR="0003036E">
        <w:t xml:space="preserve"> of </w:t>
      </w:r>
      <w:r w:rsidR="007803AD">
        <w:t xml:space="preserve">Kinney’s CPRA </w:t>
      </w:r>
      <w:r w:rsidR="0003036E">
        <w:t>petition was</w:t>
      </w:r>
      <w:r w:rsidR="0069757C">
        <w:t xml:space="preserve"> to</w:t>
      </w:r>
      <w:r w:rsidR="0003036E">
        <w:t xml:space="preserve"> “perpetuate a vast shakedown scheme” </w:t>
      </w:r>
      <w:r w:rsidR="0023454C">
        <w:t xml:space="preserve">to collect attorney fees from </w:t>
      </w:r>
      <w:r w:rsidR="0003036E">
        <w:t>public agencies</w:t>
      </w:r>
      <w:r w:rsidR="007803AD">
        <w:t xml:space="preserve">.  City </w:t>
      </w:r>
      <w:r w:rsidR="00C25129">
        <w:t xml:space="preserve">argued that </w:t>
      </w:r>
      <w:r w:rsidR="00DA289E">
        <w:t xml:space="preserve">courts should not allow the CPRA </w:t>
      </w:r>
      <w:r w:rsidR="006A6CDD">
        <w:t xml:space="preserve">“to be misused </w:t>
      </w:r>
      <w:r w:rsidR="00614815">
        <w:t>or</w:t>
      </w:r>
      <w:r w:rsidR="006A6CDD">
        <w:t xml:space="preserve"> manipulated</w:t>
      </w:r>
      <w:r w:rsidR="00CA5B29">
        <w:t>”</w:t>
      </w:r>
      <w:r w:rsidR="004E1C7E">
        <w:t xml:space="preserve"> in this way, </w:t>
      </w:r>
      <w:r w:rsidR="005576C2">
        <w:t xml:space="preserve">and </w:t>
      </w:r>
      <w:r w:rsidR="0069757C">
        <w:t xml:space="preserve">that </w:t>
      </w:r>
      <w:r w:rsidR="005D1B73">
        <w:t xml:space="preserve">Kinney pursued </w:t>
      </w:r>
      <w:r w:rsidR="009B2111">
        <w:t xml:space="preserve">her CPRA petition </w:t>
      </w:r>
      <w:r w:rsidR="009A024A">
        <w:t xml:space="preserve">with </w:t>
      </w:r>
      <w:r>
        <w:t>“</w:t>
      </w:r>
      <w:r w:rsidR="009A024A">
        <w:t xml:space="preserve">unclean hands” </w:t>
      </w:r>
      <w:r w:rsidR="008D7C5E">
        <w:t xml:space="preserve">after </w:t>
      </w:r>
      <w:r w:rsidR="00EA3C77">
        <w:t xml:space="preserve">she </w:t>
      </w:r>
      <w:r w:rsidR="008D7C5E">
        <w:t xml:space="preserve">obtained the </w:t>
      </w:r>
      <w:r w:rsidR="00EA3C77">
        <w:t xml:space="preserve">crime victim’s </w:t>
      </w:r>
      <w:r w:rsidR="008D7C5E">
        <w:t xml:space="preserve">name through </w:t>
      </w:r>
      <w:r w:rsidR="00CA5B29">
        <w:t xml:space="preserve">Borchert and </w:t>
      </w:r>
      <w:r w:rsidR="008D7C5E">
        <w:t>Austin</w:t>
      </w:r>
      <w:r w:rsidR="005576C2">
        <w:t>.</w:t>
      </w:r>
      <w:r w:rsidR="009726C8">
        <w:t xml:space="preserve">  </w:t>
      </w:r>
      <w:r>
        <w:t xml:space="preserve">Fourth, City argued </w:t>
      </w:r>
      <w:r w:rsidR="00036F16">
        <w:t xml:space="preserve">Kinney’s </w:t>
      </w:r>
      <w:r>
        <w:t>attorney fees were “unreasonably inflated</w:t>
      </w:r>
      <w:r w:rsidR="00D84AD9">
        <w:t>.</w:t>
      </w:r>
      <w:r w:rsidR="002705D7">
        <w:t>”</w:t>
      </w:r>
    </w:p>
    <w:p w14:paraId="3B72CAEF" w14:textId="39686989" w:rsidR="00D20B23" w:rsidRDefault="0038463E" w:rsidP="00CF4B2A">
      <w:pPr>
        <w:spacing w:line="480" w:lineRule="auto"/>
      </w:pPr>
      <w:r>
        <w:tab/>
        <w:t xml:space="preserve">In reply, Kinney argued </w:t>
      </w:r>
      <w:r w:rsidR="00D84AD9">
        <w:t xml:space="preserve">City’s section </w:t>
      </w:r>
      <w:r w:rsidR="00CF4B2A">
        <w:t xml:space="preserve">998 offer was </w:t>
      </w:r>
      <w:r w:rsidR="00614815">
        <w:t xml:space="preserve">not </w:t>
      </w:r>
      <w:r w:rsidR="00DC2AD8">
        <w:t xml:space="preserve">“sufficiently specific” and </w:t>
      </w:r>
      <w:r w:rsidR="003773DE">
        <w:t xml:space="preserve">therefore </w:t>
      </w:r>
      <w:r w:rsidR="00F860E0">
        <w:t>“ineffective</w:t>
      </w:r>
      <w:r w:rsidR="006E2080">
        <w:t xml:space="preserve"> because it was silent on to whom the [crime victim’s name] would be disclose[d].”  </w:t>
      </w:r>
      <w:r w:rsidR="00D37B45">
        <w:t xml:space="preserve">Kinney </w:t>
      </w:r>
      <w:r w:rsidR="00036F16">
        <w:t xml:space="preserve">claimed </w:t>
      </w:r>
      <w:r w:rsidR="0030580E">
        <w:t xml:space="preserve">the offer </w:t>
      </w:r>
      <w:r w:rsidR="00D37B45">
        <w:t>was “</w:t>
      </w:r>
      <w:r w:rsidR="00614815">
        <w:t xml:space="preserve"> ‘</w:t>
      </w:r>
      <w:r w:rsidR="00D37B45">
        <w:t>just vag</w:t>
      </w:r>
      <w:r w:rsidR="0030580E">
        <w:t>u</w:t>
      </w:r>
      <w:r w:rsidR="00D37B45">
        <w:t>e enough</w:t>
      </w:r>
      <w:r w:rsidR="00614815">
        <w:t>’</w:t>
      </w:r>
      <w:r w:rsidR="00D37B45">
        <w:t xml:space="preserve"> to deprive” Kinney of </w:t>
      </w:r>
      <w:r w:rsidR="0030580E">
        <w:t xml:space="preserve">the opportunity to meaningfully evaluate the offer and make a reasoned decision whether to accept it.  </w:t>
      </w:r>
      <w:r w:rsidR="002E270D">
        <w:t>Kinney</w:t>
      </w:r>
      <w:r w:rsidR="00E92C4A">
        <w:t xml:space="preserve"> </w:t>
      </w:r>
      <w:r w:rsidR="00AF3F9F">
        <w:t xml:space="preserve">pointed out that </w:t>
      </w:r>
      <w:r w:rsidR="00E92C4A">
        <w:t xml:space="preserve">City </w:t>
      </w:r>
      <w:r w:rsidR="00E8122C">
        <w:t xml:space="preserve">was still </w:t>
      </w:r>
      <w:r w:rsidR="00E92C4A">
        <w:t>refus</w:t>
      </w:r>
      <w:r w:rsidR="00E8122C">
        <w:t xml:space="preserve">ing </w:t>
      </w:r>
      <w:r w:rsidR="00E92C4A">
        <w:t>to disclose the name “directly to” Kinney</w:t>
      </w:r>
      <w:r w:rsidR="006F1875">
        <w:t>,</w:t>
      </w:r>
      <w:r w:rsidR="00F87DE3">
        <w:t xml:space="preserve"> </w:t>
      </w:r>
      <w:r w:rsidR="000C3289">
        <w:t xml:space="preserve">even </w:t>
      </w:r>
      <w:r w:rsidR="00E8122C">
        <w:t xml:space="preserve">after the court </w:t>
      </w:r>
      <w:r w:rsidR="006F1875">
        <w:t xml:space="preserve">rejected City’s claim that </w:t>
      </w:r>
      <w:r w:rsidR="00EA0AB3">
        <w:t xml:space="preserve">City’s </w:t>
      </w:r>
      <w:r w:rsidR="006F1875">
        <w:t xml:space="preserve">disclosure </w:t>
      </w:r>
      <w:r w:rsidR="00EA0AB3">
        <w:t xml:space="preserve">of the name </w:t>
      </w:r>
      <w:r w:rsidR="006F1875">
        <w:t xml:space="preserve">to Austin discharged </w:t>
      </w:r>
      <w:r w:rsidR="00EA0AB3">
        <w:t xml:space="preserve">City’s </w:t>
      </w:r>
      <w:r w:rsidR="006F1875">
        <w:t>duty to disclose the name to Kinney</w:t>
      </w:r>
      <w:r w:rsidR="007F310A">
        <w:t xml:space="preserve">, </w:t>
      </w:r>
      <w:r w:rsidR="006F1875" w:rsidRPr="007F310A">
        <w:t xml:space="preserve">and </w:t>
      </w:r>
      <w:r w:rsidR="00E8122C" w:rsidRPr="007F310A">
        <w:t xml:space="preserve">ordered City to </w:t>
      </w:r>
      <w:r w:rsidR="006F1875" w:rsidRPr="007F310A">
        <w:t>disclose the name to Kinney</w:t>
      </w:r>
      <w:r w:rsidR="007F310A">
        <w:t xml:space="preserve">, </w:t>
      </w:r>
      <w:r w:rsidR="00B96A89" w:rsidRPr="007F310A">
        <w:t xml:space="preserve">on </w:t>
      </w:r>
      <w:r w:rsidR="00E8122C" w:rsidRPr="007F310A">
        <w:t>May 3, 2021</w:t>
      </w:r>
      <w:r w:rsidR="00A67572">
        <w:t xml:space="preserve">.  </w:t>
      </w:r>
      <w:r w:rsidR="001F0304">
        <w:t xml:space="preserve">Kinney </w:t>
      </w:r>
      <w:r w:rsidR="00D92F13">
        <w:t xml:space="preserve">argued </w:t>
      </w:r>
      <w:r w:rsidR="00550505">
        <w:t xml:space="preserve">that </w:t>
      </w:r>
      <w:r w:rsidR="001F0304">
        <w:t xml:space="preserve">“City’s continued obstinate refusal to disclose the [name] to Kinney </w:t>
      </w:r>
      <w:r w:rsidR="00D24355">
        <w:t>in the fac</w:t>
      </w:r>
      <w:r>
        <w:t>e</w:t>
      </w:r>
      <w:r w:rsidR="00D24355">
        <w:t xml:space="preserve"> of a court order demonstrates that the 998 offer was </w:t>
      </w:r>
      <w:r w:rsidR="00D24355">
        <w:rPr>
          <w:i/>
          <w:iCs/>
        </w:rPr>
        <w:t xml:space="preserve">not </w:t>
      </w:r>
      <w:r w:rsidR="00D24355">
        <w:t xml:space="preserve">actually </w:t>
      </w:r>
      <w:r w:rsidR="00133D6F">
        <w:t>an offer to disclose the information to Kinney.</w:t>
      </w:r>
      <w:r w:rsidR="005D124A">
        <w:t xml:space="preserve">”  </w:t>
      </w:r>
      <w:r w:rsidR="00E358D4">
        <w:t xml:space="preserve">Rather, </w:t>
      </w:r>
      <w:r w:rsidR="00312DF8">
        <w:t xml:space="preserve">City’s </w:t>
      </w:r>
      <w:r w:rsidR="00305483">
        <w:t xml:space="preserve">claim </w:t>
      </w:r>
      <w:r w:rsidR="0029527E">
        <w:t xml:space="preserve">that </w:t>
      </w:r>
      <w:r w:rsidR="0025697D">
        <w:t xml:space="preserve">its </w:t>
      </w:r>
      <w:r w:rsidR="00312DF8">
        <w:t xml:space="preserve">disclosure </w:t>
      </w:r>
      <w:r w:rsidR="00D92F13">
        <w:t xml:space="preserve">of the name </w:t>
      </w:r>
      <w:r w:rsidR="00312DF8">
        <w:t xml:space="preserve">to Austin </w:t>
      </w:r>
      <w:r w:rsidR="00D77BFE">
        <w:t xml:space="preserve">satisfied </w:t>
      </w:r>
      <w:r w:rsidR="00D92F13">
        <w:t xml:space="preserve">City’s </w:t>
      </w:r>
      <w:r w:rsidR="00D77BFE">
        <w:t xml:space="preserve">duty to disclose the name </w:t>
      </w:r>
      <w:r w:rsidR="00305483">
        <w:t xml:space="preserve">to </w:t>
      </w:r>
      <w:r w:rsidR="0029527E">
        <w:t>Kinney</w:t>
      </w:r>
      <w:r w:rsidR="00305483">
        <w:t xml:space="preserve"> </w:t>
      </w:r>
      <w:r w:rsidR="0029527E">
        <w:t xml:space="preserve">showed City has </w:t>
      </w:r>
      <w:r w:rsidR="00550505">
        <w:t>“</w:t>
      </w:r>
      <w:r w:rsidR="0029527E">
        <w:t>never in</w:t>
      </w:r>
      <w:r w:rsidR="000C3289">
        <w:t>t</w:t>
      </w:r>
      <w:r w:rsidR="0029527E">
        <w:t xml:space="preserve">ended to disclose to </w:t>
      </w:r>
      <w:r w:rsidR="0029527E">
        <w:lastRenderedPageBreak/>
        <w:t>Kinney</w:t>
      </w:r>
      <w:r w:rsidR="008035D4">
        <w:t>,</w:t>
      </w:r>
      <w:r w:rsidR="000C3289">
        <w:t>”</w:t>
      </w:r>
      <w:r w:rsidR="00C5022F">
        <w:t xml:space="preserve"> </w:t>
      </w:r>
      <w:r w:rsidR="008035D4">
        <w:t xml:space="preserve">and </w:t>
      </w:r>
      <w:r w:rsidR="00511003">
        <w:t>City’s “post</w:t>
      </w:r>
      <w:r w:rsidR="004855D4">
        <w:t>-</w:t>
      </w:r>
      <w:r w:rsidR="00511003">
        <w:t xml:space="preserve">offer conduct” </w:t>
      </w:r>
      <w:r w:rsidR="00044792">
        <w:t xml:space="preserve">demonstrated </w:t>
      </w:r>
      <w:r w:rsidR="00511003">
        <w:t xml:space="preserve">“the significance of the offer’s </w:t>
      </w:r>
      <w:r w:rsidR="00951183">
        <w:t>lack of specificity.”</w:t>
      </w:r>
    </w:p>
    <w:p w14:paraId="69C097AD" w14:textId="16F564E2" w:rsidR="00D3210C" w:rsidRDefault="0038463E" w:rsidP="00CF4B2A">
      <w:pPr>
        <w:spacing w:line="480" w:lineRule="auto"/>
      </w:pPr>
      <w:r>
        <w:tab/>
        <w:t>Kinn</w:t>
      </w:r>
      <w:r w:rsidR="009F644E">
        <w:t>e</w:t>
      </w:r>
      <w:r>
        <w:t>y</w:t>
      </w:r>
      <w:r w:rsidR="009F644E">
        <w:t xml:space="preserve"> </w:t>
      </w:r>
      <w:r w:rsidR="00F73A3A">
        <w:t xml:space="preserve">further </w:t>
      </w:r>
      <w:r w:rsidR="009F644E">
        <w:t xml:space="preserve">argued </w:t>
      </w:r>
      <w:r w:rsidR="00F73A3A">
        <w:t xml:space="preserve">that </w:t>
      </w:r>
      <w:r w:rsidR="009F644E">
        <w:t xml:space="preserve">she </w:t>
      </w:r>
      <w:r w:rsidR="00F67799">
        <w:t>obtained a more favorable result than City</w:t>
      </w:r>
      <w:r w:rsidR="001837B7">
        <w:t xml:space="preserve">’s </w:t>
      </w:r>
      <w:r w:rsidR="00913B72">
        <w:t xml:space="preserve">section </w:t>
      </w:r>
      <w:r w:rsidR="00F67799">
        <w:t>998 offer</w:t>
      </w:r>
      <w:r w:rsidR="006160DE">
        <w:t xml:space="preserve">.  </w:t>
      </w:r>
      <w:r w:rsidR="00D02D62">
        <w:t xml:space="preserve">Specifically, </w:t>
      </w:r>
      <w:r w:rsidR="00F73A3A">
        <w:t xml:space="preserve">she </w:t>
      </w:r>
      <w:r w:rsidR="006160DE">
        <w:t>argued her costs and attorney fees exceeded $2,500 when the offer was made on February 14, 2020</w:t>
      </w:r>
      <w:r w:rsidR="00F73A3A">
        <w:t xml:space="preserve">, </w:t>
      </w:r>
      <w:r w:rsidR="00F4510C">
        <w:t xml:space="preserve">but </w:t>
      </w:r>
      <w:r w:rsidR="00F73A3A">
        <w:t xml:space="preserve">that </w:t>
      </w:r>
      <w:r w:rsidR="00F4510C">
        <w:t>Tora</w:t>
      </w:r>
      <w:r w:rsidR="00BE3370">
        <w:t>a</w:t>
      </w:r>
      <w:r w:rsidR="00F4510C">
        <w:t xml:space="preserve">son </w:t>
      </w:r>
      <w:r w:rsidR="00F73A3A">
        <w:t xml:space="preserve">had </w:t>
      </w:r>
      <w:r w:rsidR="00F4510C">
        <w:t>“discounted her f</w:t>
      </w:r>
      <w:r w:rsidR="00F74DB9">
        <w:t>i</w:t>
      </w:r>
      <w:r w:rsidR="00F4510C">
        <w:t>nal invoice</w:t>
      </w:r>
      <w:r w:rsidR="00F74DB9">
        <w:t>.</w:t>
      </w:r>
      <w:r w:rsidR="00244381">
        <w:t>”</w:t>
      </w:r>
      <w:r w:rsidR="00F74DB9">
        <w:t xml:space="preserve">  </w:t>
      </w:r>
      <w:r w:rsidR="00C7504E">
        <w:t xml:space="preserve">Third, Kinney </w:t>
      </w:r>
      <w:r w:rsidR="007270F8">
        <w:t xml:space="preserve">argued her </w:t>
      </w:r>
      <w:r w:rsidR="00BC34C0">
        <w:t xml:space="preserve">CPRA petition </w:t>
      </w:r>
      <w:r w:rsidR="007270F8">
        <w:t xml:space="preserve">was </w:t>
      </w:r>
      <w:r w:rsidR="00AC25E9">
        <w:t xml:space="preserve">indeed a </w:t>
      </w:r>
      <w:r w:rsidR="00175A33">
        <w:t xml:space="preserve">catalyst </w:t>
      </w:r>
      <w:r w:rsidR="00BB15E2">
        <w:t xml:space="preserve">for </w:t>
      </w:r>
      <w:r w:rsidR="00175A33">
        <w:t xml:space="preserve">City’s disclosure </w:t>
      </w:r>
      <w:r w:rsidR="00A71979">
        <w:t xml:space="preserve">of the crime victim’s name </w:t>
      </w:r>
      <w:r w:rsidR="00175A33">
        <w:t>to Austin</w:t>
      </w:r>
      <w:r w:rsidR="0003593A">
        <w:t xml:space="preserve">.  Fourth, Kinney argued </w:t>
      </w:r>
      <w:r w:rsidR="00A75860">
        <w:t>her reque</w:t>
      </w:r>
      <w:r w:rsidR="00A71979">
        <w:t>s</w:t>
      </w:r>
      <w:r w:rsidR="00A75860">
        <w:t xml:space="preserve">ted </w:t>
      </w:r>
      <w:r w:rsidR="00AC25E9">
        <w:t xml:space="preserve">attorney </w:t>
      </w:r>
      <w:r w:rsidR="00A75860">
        <w:t>fees were reasonable</w:t>
      </w:r>
      <w:r w:rsidR="00796925">
        <w:t>.</w:t>
      </w:r>
    </w:p>
    <w:p w14:paraId="3F221586" w14:textId="32554D77" w:rsidR="00192486" w:rsidRDefault="0038463E" w:rsidP="00CF4B2A">
      <w:pPr>
        <w:spacing w:line="480" w:lineRule="auto"/>
      </w:pPr>
      <w:r>
        <w:tab/>
      </w:r>
      <w:r w:rsidR="00E52DAC">
        <w:t xml:space="preserve">The </w:t>
      </w:r>
      <w:r w:rsidR="00BC242F">
        <w:t>court issued a tentative ruling</w:t>
      </w:r>
      <w:r w:rsidR="009F1765">
        <w:t xml:space="preserve"> granting </w:t>
      </w:r>
      <w:r w:rsidR="00DA7FD2">
        <w:t>Kinney</w:t>
      </w:r>
      <w:r w:rsidR="009F1765">
        <w:t xml:space="preserve"> $43,300 in </w:t>
      </w:r>
      <w:r w:rsidR="00AC25E9">
        <w:t xml:space="preserve">attorney </w:t>
      </w:r>
      <w:r w:rsidR="009F1765">
        <w:t>fees</w:t>
      </w:r>
      <w:r w:rsidR="00F870A6">
        <w:t xml:space="preserve">, </w:t>
      </w:r>
      <w:r w:rsidR="0042480C">
        <w:t xml:space="preserve">and </w:t>
      </w:r>
      <w:r w:rsidR="000466EC">
        <w:t xml:space="preserve">the court </w:t>
      </w:r>
      <w:r w:rsidR="0042480C">
        <w:t xml:space="preserve">later adopted </w:t>
      </w:r>
      <w:r w:rsidR="000466EC">
        <w:t xml:space="preserve">its </w:t>
      </w:r>
      <w:r w:rsidR="0042480C">
        <w:t xml:space="preserve">tentative </w:t>
      </w:r>
      <w:r w:rsidR="00AC25E9">
        <w:t xml:space="preserve">ruling </w:t>
      </w:r>
      <w:r w:rsidR="0042480C">
        <w:t xml:space="preserve">as </w:t>
      </w:r>
      <w:r w:rsidR="000466EC">
        <w:t xml:space="preserve">its </w:t>
      </w:r>
      <w:r w:rsidR="0038028F">
        <w:t>ruling</w:t>
      </w:r>
      <w:r w:rsidR="000466EC">
        <w:t xml:space="preserve"> on </w:t>
      </w:r>
      <w:r w:rsidR="00271F9D">
        <w:t xml:space="preserve">the </w:t>
      </w:r>
      <w:r w:rsidR="000466EC">
        <w:t>fee motion</w:t>
      </w:r>
      <w:r w:rsidR="0038028F">
        <w:t xml:space="preserve">. </w:t>
      </w:r>
      <w:r w:rsidR="00796925">
        <w:t xml:space="preserve"> </w:t>
      </w:r>
      <w:r w:rsidR="00BF02BF">
        <w:t xml:space="preserve">The tentative </w:t>
      </w:r>
      <w:r w:rsidR="0038028F">
        <w:t>ruling</w:t>
      </w:r>
      <w:r w:rsidR="00BF02BF">
        <w:t xml:space="preserve"> </w:t>
      </w:r>
      <w:r w:rsidR="0038028F">
        <w:t>stated</w:t>
      </w:r>
      <w:r w:rsidR="004F213B">
        <w:t>:</w:t>
      </w:r>
      <w:r w:rsidR="00796925">
        <w:t xml:space="preserve"> </w:t>
      </w:r>
      <w:r w:rsidR="009D58A5">
        <w:t xml:space="preserve"> “City spends much o</w:t>
      </w:r>
      <w:r w:rsidR="00DA6E62">
        <w:t xml:space="preserve">f </w:t>
      </w:r>
      <w:r w:rsidR="009D58A5">
        <w:t xml:space="preserve">its opposition rearguing the merits of the case it lost a year ago.  This is unpersuasive—and tends to support </w:t>
      </w:r>
      <w:r w:rsidR="004F213B">
        <w:t xml:space="preserve">petitioner’s </w:t>
      </w:r>
      <w:r w:rsidR="009D58A5">
        <w:t xml:space="preserve">argument </w:t>
      </w:r>
      <w:r w:rsidR="00913B72">
        <w:t>that the City—or its attorney</w:t>
      </w:r>
      <w:r w:rsidR="00282350">
        <w:t xml:space="preserve">—intended </w:t>
      </w:r>
      <w:r w:rsidR="00913B72">
        <w:t xml:space="preserve">to force petitioner to incur unnecessary attorney fees.  Nor is the City’s argument based on its section 998 offer </w:t>
      </w:r>
      <w:r w:rsidR="00282350">
        <w:t>persuasive—it could have, as eventually order</w:t>
      </w:r>
      <w:r w:rsidR="00176236">
        <w:t>e</w:t>
      </w:r>
      <w:r w:rsidR="00282350">
        <w:t>d by this Court—simply turned over the information requested by petitioner and left the a</w:t>
      </w:r>
      <w:r w:rsidR="00B97568">
        <w:t>m</w:t>
      </w:r>
      <w:r w:rsidR="00282350">
        <w:t xml:space="preserve">ount of attorney’s fees to be determined by a motion.  Those fees would have been </w:t>
      </w:r>
      <w:r w:rsidR="004855D4">
        <w:t>far</w:t>
      </w:r>
      <w:r w:rsidR="000466EC">
        <w:t xml:space="preserve"> </w:t>
      </w:r>
      <w:r w:rsidR="00282350">
        <w:t>less than those incurred by petitioner as set forth in the moving papers</w:t>
      </w:r>
      <w:r w:rsidR="00B97568">
        <w:t xml:space="preserve">.  As argued by petitioner in her reply, the </w:t>
      </w:r>
      <w:r w:rsidR="00521A59">
        <w:t>section 998 offer is ambiguous</w:t>
      </w:r>
      <w:r w:rsidR="001A312C">
        <w:t xml:space="preserve"> about to whom disclosure of the requested information would be made</w:t>
      </w:r>
      <w:r w:rsidR="00CB4E09">
        <w:t>—had the offer been accepted, the City might have made the argument that the Court found unpersuasive a year ago (and which it repeats in its opposition papers) that</w:t>
      </w:r>
      <w:r w:rsidR="004E1E86">
        <w:t xml:space="preserve"> it had complied with its CPRA obligations by disclosing the requested information not to petitioner but to </w:t>
      </w:r>
      <w:r w:rsidR="004E1E86">
        <w:lastRenderedPageBreak/>
        <w:t xml:space="preserve">someone else.  </w:t>
      </w:r>
      <w:r w:rsidR="00D05F28">
        <w:t>Accordingly</w:t>
      </w:r>
      <w:r w:rsidR="005F2F80">
        <w:t>,</w:t>
      </w:r>
      <w:r w:rsidR="00D05F28">
        <w:t xml:space="preserve"> the Court is not persuaded that petitioner failed to obtain a more favorable judgment than what the City offered in its section 998 </w:t>
      </w:r>
      <w:r>
        <w:t>offer.</w:t>
      </w:r>
      <w:r w:rsidR="0014341A">
        <w:t>”</w:t>
      </w:r>
    </w:p>
    <w:p w14:paraId="3E07F8F7" w14:textId="723B8C27" w:rsidR="00E52DAC" w:rsidRDefault="0038463E" w:rsidP="00CF4B2A">
      <w:pPr>
        <w:spacing w:line="480" w:lineRule="auto"/>
      </w:pPr>
      <w:r>
        <w:tab/>
      </w:r>
      <w:r w:rsidR="001837B7">
        <w:t xml:space="preserve">In a </w:t>
      </w:r>
      <w:r w:rsidR="002B69EF">
        <w:t>supplemental opposition</w:t>
      </w:r>
      <w:r w:rsidR="001837B7">
        <w:t>,</w:t>
      </w:r>
      <w:r w:rsidR="009B7920">
        <w:t xml:space="preserve"> </w:t>
      </w:r>
      <w:r w:rsidR="00EF52B2">
        <w:t>C</w:t>
      </w:r>
      <w:r w:rsidR="00490F01">
        <w:t xml:space="preserve">ity </w:t>
      </w:r>
      <w:r w:rsidR="005F0AFD">
        <w:t xml:space="preserve">argued </w:t>
      </w:r>
      <w:r w:rsidR="00490F01">
        <w:t xml:space="preserve">its </w:t>
      </w:r>
      <w:r w:rsidR="00D005D7">
        <w:t xml:space="preserve">section 998 </w:t>
      </w:r>
      <w:r w:rsidR="00490F01">
        <w:t xml:space="preserve">offer was </w:t>
      </w:r>
      <w:r w:rsidR="00D005D7" w:rsidRPr="003C3546">
        <w:rPr>
          <w:i/>
          <w:iCs/>
        </w:rPr>
        <w:t>un</w:t>
      </w:r>
      <w:r w:rsidR="00490F01" w:rsidRPr="003C3546">
        <w:rPr>
          <w:i/>
          <w:iCs/>
        </w:rPr>
        <w:t>ambiguous</w:t>
      </w:r>
      <w:r w:rsidR="00C83D94">
        <w:t xml:space="preserve">; </w:t>
      </w:r>
      <w:r w:rsidR="009B7920">
        <w:t xml:space="preserve">the offer </w:t>
      </w:r>
      <w:r w:rsidR="00AB3FF0">
        <w:t xml:space="preserve">was to </w:t>
      </w:r>
      <w:r w:rsidR="00490F01">
        <w:t xml:space="preserve">disclose the </w:t>
      </w:r>
      <w:r w:rsidR="007E4C75">
        <w:t xml:space="preserve">crime victim’s </w:t>
      </w:r>
      <w:r w:rsidR="00490F01">
        <w:t xml:space="preserve">name </w:t>
      </w:r>
      <w:r w:rsidR="00490F01" w:rsidRPr="003C3546">
        <w:rPr>
          <w:i/>
          <w:iCs/>
        </w:rPr>
        <w:t>to Kinney</w:t>
      </w:r>
      <w:r w:rsidR="00490F01">
        <w:t xml:space="preserve">, not </w:t>
      </w:r>
      <w:r w:rsidR="003C3546">
        <w:t xml:space="preserve">to </w:t>
      </w:r>
      <w:r w:rsidR="00490F01">
        <w:t>someone else</w:t>
      </w:r>
      <w:r w:rsidR="00EB76C7">
        <w:t xml:space="preserve">; </w:t>
      </w:r>
      <w:r w:rsidR="000837B1">
        <w:t xml:space="preserve">the </w:t>
      </w:r>
      <w:r w:rsidR="005F7192">
        <w:t xml:space="preserve">enforceability of the </w:t>
      </w:r>
      <w:r w:rsidR="000837B1">
        <w:t xml:space="preserve">offer had to be determined based on </w:t>
      </w:r>
      <w:r w:rsidR="005F7192">
        <w:t xml:space="preserve">the </w:t>
      </w:r>
      <w:r w:rsidR="000837B1">
        <w:t>circum</w:t>
      </w:r>
      <w:r w:rsidR="005F7192">
        <w:t>s</w:t>
      </w:r>
      <w:r w:rsidR="000837B1">
        <w:t xml:space="preserve">tances </w:t>
      </w:r>
      <w:r w:rsidR="007E4C75">
        <w:t xml:space="preserve">existing at the time the offer was served </w:t>
      </w:r>
      <w:r w:rsidR="00BC0F73">
        <w:t>on February 14, 2020</w:t>
      </w:r>
      <w:r w:rsidR="007E4C75">
        <w:t>, not subsequent events</w:t>
      </w:r>
      <w:r w:rsidR="00BC0F73">
        <w:t xml:space="preserve">; City </w:t>
      </w:r>
      <w:r w:rsidR="00B2082A">
        <w:t>did not disclose the name to Austin until February 20</w:t>
      </w:r>
      <w:r w:rsidR="00D206AE">
        <w:t xml:space="preserve">; and </w:t>
      </w:r>
      <w:r w:rsidR="003A1B6A">
        <w:t xml:space="preserve">Kinney presented no evidence that </w:t>
      </w:r>
      <w:r w:rsidR="00996085">
        <w:t xml:space="preserve">Kinney </w:t>
      </w:r>
      <w:r w:rsidR="003A1B6A">
        <w:t xml:space="preserve">rejected </w:t>
      </w:r>
      <w:r w:rsidR="004433CA">
        <w:t xml:space="preserve">the </w:t>
      </w:r>
      <w:r w:rsidR="003A1B6A">
        <w:t xml:space="preserve">offer because </w:t>
      </w:r>
      <w:r w:rsidR="006C2B88">
        <w:t xml:space="preserve">the offer </w:t>
      </w:r>
      <w:r w:rsidR="003A1B6A">
        <w:t>was ambiguous</w:t>
      </w:r>
      <w:r w:rsidR="0024449A">
        <w:t xml:space="preserve">.  </w:t>
      </w:r>
      <w:r w:rsidR="00AB3FF0">
        <w:t xml:space="preserve">City </w:t>
      </w:r>
      <w:r w:rsidR="00A747B6">
        <w:t xml:space="preserve">also </w:t>
      </w:r>
      <w:r w:rsidR="00710CD2">
        <w:t xml:space="preserve">claimed </w:t>
      </w:r>
      <w:r w:rsidR="006C2B88">
        <w:t xml:space="preserve">it </w:t>
      </w:r>
      <w:r w:rsidR="00710CD2">
        <w:t xml:space="preserve">never argued </w:t>
      </w:r>
      <w:r w:rsidR="004B7987">
        <w:t xml:space="preserve">that </w:t>
      </w:r>
      <w:r w:rsidR="006C2B88">
        <w:t xml:space="preserve">it </w:t>
      </w:r>
      <w:r w:rsidR="00D206AE">
        <w:t xml:space="preserve">discharged its </w:t>
      </w:r>
      <w:r w:rsidR="0075146B">
        <w:t xml:space="preserve">CPRA </w:t>
      </w:r>
      <w:r w:rsidR="00D206AE">
        <w:t xml:space="preserve">duties </w:t>
      </w:r>
      <w:r w:rsidR="0075146B">
        <w:t>to Kinney by</w:t>
      </w:r>
      <w:r w:rsidR="00D206AE">
        <w:t xml:space="preserve"> </w:t>
      </w:r>
      <w:r w:rsidR="0075146B">
        <w:t xml:space="preserve">disclosing the name to Austin; </w:t>
      </w:r>
      <w:r w:rsidR="00710CD2">
        <w:t xml:space="preserve">instead </w:t>
      </w:r>
      <w:r w:rsidR="00340988">
        <w:t xml:space="preserve">it </w:t>
      </w:r>
      <w:r w:rsidR="00304457">
        <w:t xml:space="preserve">argued </w:t>
      </w:r>
      <w:r w:rsidR="0075146B">
        <w:t xml:space="preserve">Kinney’s </w:t>
      </w:r>
      <w:r w:rsidR="00966A1F">
        <w:t xml:space="preserve">CPRA </w:t>
      </w:r>
      <w:r w:rsidR="0075146B">
        <w:t xml:space="preserve">petition was </w:t>
      </w:r>
      <w:r w:rsidR="004B7987">
        <w:t xml:space="preserve">moot </w:t>
      </w:r>
      <w:r w:rsidR="0075146B">
        <w:t xml:space="preserve">because </w:t>
      </w:r>
      <w:r w:rsidR="00B8786E">
        <w:t xml:space="preserve">Austin’s knowledge </w:t>
      </w:r>
      <w:r w:rsidR="00340B89">
        <w:t xml:space="preserve">of the name </w:t>
      </w:r>
      <w:r w:rsidR="00B8786E">
        <w:t>was imputed to Kinney through Borchert</w:t>
      </w:r>
      <w:r w:rsidR="00262F88">
        <w:t xml:space="preserve"> </w:t>
      </w:r>
      <w:r w:rsidR="00E255C2">
        <w:t>simply because Borchert represented Kinney and Austin in separate CPRA-related matters against public agencies</w:t>
      </w:r>
      <w:r w:rsidR="00340988">
        <w:t>.</w:t>
      </w:r>
    </w:p>
    <w:p w14:paraId="1CC2A363" w14:textId="55603204" w:rsidR="007A23EF" w:rsidRDefault="0038463E" w:rsidP="00CF4B2A">
      <w:pPr>
        <w:spacing w:line="480" w:lineRule="auto"/>
      </w:pPr>
      <w:r>
        <w:tab/>
      </w:r>
      <w:r w:rsidR="00340B89">
        <w:t>C</w:t>
      </w:r>
      <w:r w:rsidR="00F90A47">
        <w:t xml:space="preserve">ity </w:t>
      </w:r>
      <w:r w:rsidR="00E30E0F">
        <w:t xml:space="preserve">also pointed out that </w:t>
      </w:r>
      <w:r w:rsidR="002E0F4E">
        <w:t xml:space="preserve">it </w:t>
      </w:r>
      <w:r w:rsidR="00F90A47">
        <w:t xml:space="preserve">disclosed the name </w:t>
      </w:r>
      <w:r w:rsidR="00A01B01">
        <w:t xml:space="preserve">“directly to” </w:t>
      </w:r>
      <w:r w:rsidR="00F90A47">
        <w:t>Kinney “five times</w:t>
      </w:r>
      <w:r w:rsidR="00783416">
        <w:t xml:space="preserve">” during the litigation, </w:t>
      </w:r>
      <w:r w:rsidR="00F75B05">
        <w:t xml:space="preserve">the </w:t>
      </w:r>
      <w:r w:rsidR="00783416">
        <w:t xml:space="preserve">first </w:t>
      </w:r>
      <w:r w:rsidR="005E380A">
        <w:t xml:space="preserve">when City filed </w:t>
      </w:r>
      <w:r w:rsidR="002E77AD">
        <w:t xml:space="preserve">City’s </w:t>
      </w:r>
      <w:r w:rsidR="005E380A">
        <w:t>motion for summary judgment on July 28, 2022</w:t>
      </w:r>
      <w:r w:rsidR="002131C7">
        <w:t xml:space="preserve">, which included a copy of City’s </w:t>
      </w:r>
      <w:r w:rsidR="000B3170">
        <w:t>e-mail</w:t>
      </w:r>
      <w:r w:rsidR="005E380A">
        <w:t xml:space="preserve"> disclosure </w:t>
      </w:r>
      <w:r w:rsidR="002E0F4E">
        <w:t xml:space="preserve">of the name </w:t>
      </w:r>
      <w:r w:rsidR="005E380A">
        <w:t xml:space="preserve">to Austin.  </w:t>
      </w:r>
      <w:r w:rsidR="002131C7" w:rsidRPr="00195B9C">
        <w:t xml:space="preserve">City </w:t>
      </w:r>
      <w:r w:rsidR="00D81C7D">
        <w:t xml:space="preserve">claimed it </w:t>
      </w:r>
      <w:r w:rsidR="002131C7" w:rsidRPr="00195B9C">
        <w:t xml:space="preserve">disclosed the name to Kinney </w:t>
      </w:r>
      <w:r w:rsidR="009F078F">
        <w:t xml:space="preserve">four more times: </w:t>
      </w:r>
      <w:r w:rsidR="00F75B05">
        <w:t xml:space="preserve"> </w:t>
      </w:r>
      <w:r w:rsidR="0089563A">
        <w:t xml:space="preserve">in </w:t>
      </w:r>
      <w:r w:rsidR="002131C7" w:rsidRPr="00195B9C">
        <w:t xml:space="preserve">City’s March 1, 2021 </w:t>
      </w:r>
      <w:r w:rsidR="009D0493">
        <w:t xml:space="preserve">trial </w:t>
      </w:r>
      <w:r w:rsidR="002131C7" w:rsidRPr="00195B9C">
        <w:t>briefing on Kinney’s CPRA petition</w:t>
      </w:r>
      <w:r w:rsidR="00F75B05">
        <w:t xml:space="preserve">; </w:t>
      </w:r>
      <w:r w:rsidR="009D0493">
        <w:t xml:space="preserve">in City’s </w:t>
      </w:r>
      <w:r w:rsidR="002131C7" w:rsidRPr="00195B9C">
        <w:t xml:space="preserve">May 18, 2021 </w:t>
      </w:r>
      <w:r w:rsidR="009D0493">
        <w:t xml:space="preserve">writ </w:t>
      </w:r>
      <w:r w:rsidR="002131C7" w:rsidRPr="00195B9C">
        <w:t xml:space="preserve">petition </w:t>
      </w:r>
      <w:r w:rsidR="009D0493">
        <w:t>to th</w:t>
      </w:r>
      <w:r w:rsidR="003D4D81">
        <w:t xml:space="preserve">is </w:t>
      </w:r>
      <w:r w:rsidR="009D0493">
        <w:t>court</w:t>
      </w:r>
      <w:r w:rsidR="00F75B05">
        <w:t>;</w:t>
      </w:r>
      <w:r w:rsidR="002131C7" w:rsidRPr="00195B9C">
        <w:t xml:space="preserve"> </w:t>
      </w:r>
      <w:r w:rsidR="009D0493">
        <w:t xml:space="preserve">City’s </w:t>
      </w:r>
      <w:r w:rsidR="002131C7" w:rsidRPr="00195B9C">
        <w:t xml:space="preserve">August 31, 2021 opposition to Kinney’s </w:t>
      </w:r>
      <w:r w:rsidR="00B54CF7">
        <w:t xml:space="preserve">earlier and withdrawn fee </w:t>
      </w:r>
      <w:r w:rsidR="002131C7" w:rsidRPr="00195B9C">
        <w:t>motion</w:t>
      </w:r>
      <w:r w:rsidR="00F75B05">
        <w:t>;</w:t>
      </w:r>
      <w:r w:rsidR="002131C7" w:rsidRPr="00195B9C">
        <w:t xml:space="preserve"> and </w:t>
      </w:r>
      <w:r w:rsidR="00B54CF7">
        <w:t xml:space="preserve">in City’s </w:t>
      </w:r>
      <w:r w:rsidR="002131C7" w:rsidRPr="00195B9C">
        <w:t xml:space="preserve">April 7, 2022 opposition to Kinney’s second </w:t>
      </w:r>
      <w:r w:rsidR="00B54CF7">
        <w:t xml:space="preserve">and operative </w:t>
      </w:r>
      <w:r w:rsidR="00FB7716">
        <w:t xml:space="preserve">fee </w:t>
      </w:r>
      <w:r w:rsidR="002131C7" w:rsidRPr="00195B9C">
        <w:t>motion.</w:t>
      </w:r>
    </w:p>
    <w:p w14:paraId="389AF7BE" w14:textId="4D5AEB6E" w:rsidR="009145C4" w:rsidRDefault="0038463E" w:rsidP="00CF4B2A">
      <w:pPr>
        <w:spacing w:line="480" w:lineRule="auto"/>
      </w:pPr>
      <w:r>
        <w:tab/>
      </w:r>
      <w:r w:rsidR="007834B4">
        <w:t xml:space="preserve">Thus, City argued </w:t>
      </w:r>
      <w:r w:rsidR="00805805">
        <w:t>that</w:t>
      </w:r>
      <w:r w:rsidR="002D6959">
        <w:t xml:space="preserve">, </w:t>
      </w:r>
      <w:r w:rsidR="00D76A9D">
        <w:t xml:space="preserve">when the court ordered </w:t>
      </w:r>
      <w:r w:rsidR="004266D7">
        <w:t xml:space="preserve">City </w:t>
      </w:r>
      <w:r w:rsidR="00C04B33">
        <w:t xml:space="preserve">to disclose the name to Kinney on </w:t>
      </w:r>
      <w:r w:rsidR="007834B4">
        <w:t>May 3, 202</w:t>
      </w:r>
      <w:r w:rsidR="00F75B05">
        <w:t xml:space="preserve">1, </w:t>
      </w:r>
      <w:r w:rsidR="00C04B33">
        <w:t xml:space="preserve">the court was </w:t>
      </w:r>
      <w:r w:rsidR="004266D7">
        <w:t xml:space="preserve">ordering </w:t>
      </w:r>
      <w:r w:rsidR="00C04B33">
        <w:t>City</w:t>
      </w:r>
      <w:r w:rsidR="004266D7">
        <w:t xml:space="preserve"> </w:t>
      </w:r>
      <w:r w:rsidR="00C04B33">
        <w:t xml:space="preserve">“not only to give </w:t>
      </w:r>
      <w:r w:rsidR="004266D7">
        <w:t xml:space="preserve">[Kinney] </w:t>
      </w:r>
      <w:r w:rsidR="00C04B33">
        <w:t xml:space="preserve">information she indisputably already had, but also </w:t>
      </w:r>
      <w:r w:rsidR="004266D7">
        <w:t>t</w:t>
      </w:r>
      <w:r w:rsidR="00C04B33">
        <w:t xml:space="preserve">o do something </w:t>
      </w:r>
      <w:r w:rsidR="00CA7CB4">
        <w:t xml:space="preserve">that </w:t>
      </w:r>
      <w:r w:rsidR="00C04B33">
        <w:t xml:space="preserve">the City </w:t>
      </w:r>
      <w:r w:rsidR="00C04B33">
        <w:lastRenderedPageBreak/>
        <w:t xml:space="preserve">indisputably </w:t>
      </w:r>
      <w:r w:rsidR="00C04B33" w:rsidRPr="00CA7CB4">
        <w:rPr>
          <w:i/>
          <w:iCs/>
        </w:rPr>
        <w:t>had already done</w:t>
      </w:r>
      <w:r w:rsidR="00C04B33">
        <w:t>.</w:t>
      </w:r>
      <w:r w:rsidR="0046184A">
        <w:t>”</w:t>
      </w:r>
      <w:r w:rsidR="00C04B33">
        <w:t xml:space="preserve">  This</w:t>
      </w:r>
      <w:r w:rsidR="002D6959">
        <w:t xml:space="preserve">, City argued, </w:t>
      </w:r>
      <w:r w:rsidR="0046184A">
        <w:t>“</w:t>
      </w:r>
      <w:r w:rsidR="00C04B33">
        <w:t>wa</w:t>
      </w:r>
      <w:r w:rsidR="004266D7">
        <w:t xml:space="preserve">s objectively </w:t>
      </w:r>
      <w:r w:rsidR="004266D7" w:rsidRPr="004266D7">
        <w:rPr>
          <w:i/>
          <w:iCs/>
        </w:rPr>
        <w:t>not</w:t>
      </w:r>
      <w:r w:rsidR="004266D7">
        <w:t xml:space="preserve"> a more favorable result </w:t>
      </w:r>
      <w:r w:rsidR="00C04B33">
        <w:t xml:space="preserve">than </w:t>
      </w:r>
      <w:r w:rsidR="00CA7CB4">
        <w:t xml:space="preserve">the </w:t>
      </w:r>
      <w:r w:rsidR="00C04B33">
        <w:t>City proposed</w:t>
      </w:r>
      <w:r w:rsidR="004266D7">
        <w:t>”</w:t>
      </w:r>
      <w:r w:rsidR="00C04B33">
        <w:t xml:space="preserve"> in </w:t>
      </w:r>
      <w:r w:rsidR="004266D7">
        <w:t xml:space="preserve">City’s </w:t>
      </w:r>
      <w:r w:rsidR="00E622A6">
        <w:t>section 998 offer</w:t>
      </w:r>
      <w:r w:rsidR="0025676E">
        <w:t xml:space="preserve">, given that Kinney did not have the requested information </w:t>
      </w:r>
      <w:r w:rsidR="000B437B">
        <w:t xml:space="preserve">(the crime victim’s name) </w:t>
      </w:r>
      <w:r w:rsidR="0025676E">
        <w:t xml:space="preserve">when the section 998 offer was </w:t>
      </w:r>
      <w:r>
        <w:t xml:space="preserve">served </w:t>
      </w:r>
      <w:r w:rsidR="0025676E">
        <w:t>on Feb</w:t>
      </w:r>
      <w:r w:rsidR="005D0E6A">
        <w:t>r</w:t>
      </w:r>
      <w:r w:rsidR="0025676E">
        <w:t>uary 14, 2020</w:t>
      </w:r>
      <w:r w:rsidR="00E622A6">
        <w:t>.</w:t>
      </w:r>
      <w:r w:rsidR="0025676E">
        <w:t xml:space="preserve">  </w:t>
      </w:r>
      <w:r w:rsidR="005D0E6A">
        <w:t xml:space="preserve">City </w:t>
      </w:r>
      <w:r>
        <w:t xml:space="preserve">also </w:t>
      </w:r>
      <w:r w:rsidR="005D0E6A">
        <w:t xml:space="preserve">argued that the CPRA did not require </w:t>
      </w:r>
      <w:r>
        <w:t xml:space="preserve">public records </w:t>
      </w:r>
      <w:r w:rsidR="005D0E6A">
        <w:t xml:space="preserve">to be made available </w:t>
      </w:r>
      <w:r w:rsidR="003A1528">
        <w:t>to</w:t>
      </w:r>
      <w:r w:rsidR="005D0E6A">
        <w:t xml:space="preserve"> </w:t>
      </w:r>
      <w:r w:rsidR="00F30961">
        <w:t xml:space="preserve">a </w:t>
      </w:r>
      <w:r w:rsidR="004B59E0">
        <w:t xml:space="preserve">requestor </w:t>
      </w:r>
      <w:r w:rsidR="00F30961">
        <w:t>“</w:t>
      </w:r>
      <w:r w:rsidR="004B59E0">
        <w:t xml:space="preserve">in any particular way” and did not specify to whom </w:t>
      </w:r>
      <w:r w:rsidR="00A9417B">
        <w:t>the agency must “make the information available.”</w:t>
      </w:r>
    </w:p>
    <w:p w14:paraId="4E9D24EC" w14:textId="7BFB952A" w:rsidR="005C714B" w:rsidRDefault="0038463E" w:rsidP="00CF4B2A">
      <w:pPr>
        <w:spacing w:line="480" w:lineRule="auto"/>
      </w:pPr>
      <w:r>
        <w:tab/>
      </w:r>
      <w:r w:rsidR="00597043">
        <w:t xml:space="preserve">On </w:t>
      </w:r>
      <w:r w:rsidR="008D1B6C">
        <w:t>May 4, 2022, t</w:t>
      </w:r>
      <w:r w:rsidR="00151CC4">
        <w:t xml:space="preserve">he court </w:t>
      </w:r>
      <w:r w:rsidR="00FE755E">
        <w:t xml:space="preserve">adopted </w:t>
      </w:r>
      <w:r w:rsidR="00695045">
        <w:t xml:space="preserve">the court’s </w:t>
      </w:r>
      <w:r w:rsidR="00FE755E">
        <w:t xml:space="preserve">tentative ruling as </w:t>
      </w:r>
      <w:r w:rsidR="00695045">
        <w:t xml:space="preserve">the court’s </w:t>
      </w:r>
      <w:r w:rsidR="00FE755E">
        <w:t xml:space="preserve">final ruling.  </w:t>
      </w:r>
      <w:r w:rsidR="00EA039A">
        <w:t>Neither party reques</w:t>
      </w:r>
      <w:r w:rsidR="00597043">
        <w:t>t</w:t>
      </w:r>
      <w:r w:rsidR="00EA039A">
        <w:t>ed oral argument.</w:t>
      </w:r>
      <w:r w:rsidR="00151CC4">
        <w:t xml:space="preserve">  </w:t>
      </w:r>
      <w:r w:rsidR="002D510C">
        <w:t>In its ruling, t</w:t>
      </w:r>
      <w:r w:rsidR="0038203B">
        <w:t xml:space="preserve">he court found that the hourly rates </w:t>
      </w:r>
      <w:r w:rsidR="00451461">
        <w:t xml:space="preserve">for Kinney’s attorneys </w:t>
      </w:r>
      <w:r w:rsidR="0038203B">
        <w:t xml:space="preserve">were </w:t>
      </w:r>
      <w:r>
        <w:t>un</w:t>
      </w:r>
      <w:r w:rsidR="0038203B">
        <w:t>reasonabl</w:t>
      </w:r>
      <w:r w:rsidR="00C0657E">
        <w:t xml:space="preserve">y high </w:t>
      </w:r>
      <w:r w:rsidR="0038203B">
        <w:t xml:space="preserve">but </w:t>
      </w:r>
      <w:r w:rsidR="002D510C">
        <w:t xml:space="preserve">that </w:t>
      </w:r>
      <w:r w:rsidR="0038203B">
        <w:t xml:space="preserve">the number of hours </w:t>
      </w:r>
      <w:r w:rsidR="002D510C">
        <w:t xml:space="preserve">requested </w:t>
      </w:r>
      <w:r w:rsidR="0038203B">
        <w:t>was reasonable, “particularly given the intransigence of the City’s attorney.</w:t>
      </w:r>
      <w:r w:rsidR="00A67147">
        <w:t>”</w:t>
      </w:r>
      <w:r w:rsidR="0038203B">
        <w:t xml:space="preserve">  </w:t>
      </w:r>
      <w:r w:rsidR="000F3C49">
        <w:t xml:space="preserve">The court </w:t>
      </w:r>
      <w:r w:rsidR="0038203B">
        <w:t>reduc</w:t>
      </w:r>
      <w:r w:rsidR="000F3C49">
        <w:t xml:space="preserve">ed </w:t>
      </w:r>
      <w:r w:rsidR="00F57B2C">
        <w:t xml:space="preserve">Borchert’s and Toraason’s requested hourly </w:t>
      </w:r>
      <w:r w:rsidR="00AE1403">
        <w:t xml:space="preserve">rates </w:t>
      </w:r>
      <w:r w:rsidR="00D66237">
        <w:t xml:space="preserve">of </w:t>
      </w:r>
      <w:r w:rsidR="00F71317">
        <w:t>$55</w:t>
      </w:r>
      <w:r w:rsidR="00BF5D89">
        <w:t>0</w:t>
      </w:r>
      <w:r w:rsidR="00F71317">
        <w:t xml:space="preserve"> </w:t>
      </w:r>
      <w:r w:rsidR="004C1664">
        <w:t>and $495</w:t>
      </w:r>
      <w:r w:rsidR="00AE1403">
        <w:t xml:space="preserve">, respectively, </w:t>
      </w:r>
      <w:r w:rsidR="004C1664">
        <w:t xml:space="preserve">to </w:t>
      </w:r>
      <w:r w:rsidR="00F71317">
        <w:t>$</w:t>
      </w:r>
      <w:r w:rsidR="000F3C49">
        <w:t>4</w:t>
      </w:r>
      <w:r w:rsidR="00F71317">
        <w:t>0</w:t>
      </w:r>
      <w:r w:rsidR="004C1664">
        <w:t>0 and $300</w:t>
      </w:r>
      <w:r w:rsidR="00F85926">
        <w:t>,</w:t>
      </w:r>
      <w:r w:rsidR="00F57B2C">
        <w:t xml:space="preserve"> </w:t>
      </w:r>
      <w:r w:rsidR="00D47C3B">
        <w:t>and awarded Kinney a total of $43,300 in attorn</w:t>
      </w:r>
      <w:r w:rsidR="00D66237">
        <w:t>e</w:t>
      </w:r>
      <w:r w:rsidR="00D47C3B">
        <w:t>y fees.</w:t>
      </w:r>
      <w:r w:rsidR="000F3C49">
        <w:t xml:space="preserve">  </w:t>
      </w:r>
      <w:r w:rsidR="0038203B">
        <w:t>The court granted City’s motion to tax Kinney’s only requested cost item, an $85 courier fee that the court found was unnecessary and merely convenient to Kinney.</w:t>
      </w:r>
    </w:p>
    <w:p w14:paraId="0E5A03BE" w14:textId="1E9F3B56" w:rsidR="0038203B" w:rsidRDefault="0038463E" w:rsidP="00CF4B2A">
      <w:pPr>
        <w:spacing w:line="480" w:lineRule="auto"/>
      </w:pPr>
      <w:r>
        <w:tab/>
      </w:r>
      <w:r w:rsidR="0061377E">
        <w:t xml:space="preserve">For </w:t>
      </w:r>
      <w:r w:rsidR="00F57B2C">
        <w:t>Tora</w:t>
      </w:r>
      <w:r w:rsidR="009E45F4">
        <w:t>a</w:t>
      </w:r>
      <w:r w:rsidR="00F57B2C">
        <w:t>son</w:t>
      </w:r>
      <w:r w:rsidR="0061377E">
        <w:t>, Kinney requested total attorney fees of $6,</w:t>
      </w:r>
      <w:r w:rsidR="002F53BC">
        <w:t>1</w:t>
      </w:r>
      <w:r w:rsidR="0061377E">
        <w:t>87.50, for 12.5 hours at $495 per hour</w:t>
      </w:r>
      <w:r w:rsidR="009E45F4">
        <w:t>, for work performed between January 25</w:t>
      </w:r>
      <w:r w:rsidR="00F85926">
        <w:t xml:space="preserve"> </w:t>
      </w:r>
      <w:r w:rsidR="009E45F4">
        <w:t>and May 1</w:t>
      </w:r>
      <w:r w:rsidR="00CA7CB4">
        <w:t>9</w:t>
      </w:r>
      <w:r w:rsidR="009E45F4">
        <w:t xml:space="preserve">, 2020.  </w:t>
      </w:r>
      <w:r w:rsidR="00D642D5">
        <w:t>Tora</w:t>
      </w:r>
      <w:r w:rsidR="008313F2">
        <w:t>a</w:t>
      </w:r>
      <w:r w:rsidR="00D642D5">
        <w:t>son’s time records show Torasson incurred $2,475 in attorney fees through February 13, 2020</w:t>
      </w:r>
      <w:r w:rsidR="00A722E7">
        <w:t xml:space="preserve"> at her requested and unreduced hourly rate of $495</w:t>
      </w:r>
      <w:r w:rsidR="00D642D5">
        <w:t>.  Toraason’s next time entry is dated February 15, 2020, the day after City</w:t>
      </w:r>
      <w:r w:rsidR="005D42F4">
        <w:t xml:space="preserve">’s </w:t>
      </w:r>
      <w:r w:rsidR="00D642D5">
        <w:t xml:space="preserve">section 998 offer was served.  </w:t>
      </w:r>
      <w:r w:rsidR="008313F2">
        <w:t xml:space="preserve">Borchert’s </w:t>
      </w:r>
      <w:r w:rsidR="00415AFC">
        <w:t xml:space="preserve">first time entry </w:t>
      </w:r>
      <w:r w:rsidR="00875835">
        <w:t xml:space="preserve">is </w:t>
      </w:r>
      <w:r w:rsidR="00415AFC">
        <w:t xml:space="preserve">dated May </w:t>
      </w:r>
      <w:r w:rsidR="008313F2">
        <w:t>28</w:t>
      </w:r>
      <w:r w:rsidR="00A85BD3">
        <w:t xml:space="preserve">, </w:t>
      </w:r>
      <w:r w:rsidR="008313F2">
        <w:t>202</w:t>
      </w:r>
      <w:r w:rsidR="00415AFC">
        <w:t>0</w:t>
      </w:r>
      <w:r w:rsidR="00875835">
        <w:t xml:space="preserve">, </w:t>
      </w:r>
      <w:r w:rsidR="00A85BD3">
        <w:t xml:space="preserve">and is </w:t>
      </w:r>
      <w:r w:rsidR="00875835">
        <w:t>for preparing and filing the substitution of attorney.</w:t>
      </w:r>
    </w:p>
    <w:p w14:paraId="6625B371" w14:textId="6701FADF" w:rsidR="00CA4C54" w:rsidRDefault="0038463E" w:rsidP="00F85926">
      <w:pPr>
        <w:keepNext/>
        <w:keepLines/>
        <w:spacing w:line="480" w:lineRule="auto"/>
      </w:pPr>
      <w:r>
        <w:lastRenderedPageBreak/>
        <w:tab/>
      </w:r>
      <w:r w:rsidR="000C0458">
        <w:t>7</w:t>
      </w:r>
      <w:r>
        <w:t xml:space="preserve">.  </w:t>
      </w:r>
      <w:r w:rsidRPr="00CA4C54">
        <w:rPr>
          <w:u w:val="single"/>
        </w:rPr>
        <w:t>The Attorney Fee Award and Judgment</w:t>
      </w:r>
    </w:p>
    <w:p w14:paraId="60C63AD9" w14:textId="263E8783" w:rsidR="00E678F3" w:rsidRDefault="0038463E" w:rsidP="00E678F3">
      <w:pPr>
        <w:spacing w:line="480" w:lineRule="auto"/>
      </w:pPr>
      <w:r>
        <w:tab/>
      </w:r>
      <w:r w:rsidR="00C858EB">
        <w:t xml:space="preserve">On May 27, </w:t>
      </w:r>
      <w:r>
        <w:t xml:space="preserve">2022, </w:t>
      </w:r>
      <w:r w:rsidR="002E0D32">
        <w:t xml:space="preserve">the court </w:t>
      </w:r>
      <w:r w:rsidR="00624342">
        <w:t xml:space="preserve">issued </w:t>
      </w:r>
      <w:r w:rsidR="002E0D32">
        <w:t>a</w:t>
      </w:r>
      <w:r w:rsidR="008A44E9">
        <w:t xml:space="preserve"> written </w:t>
      </w:r>
      <w:r w:rsidR="002E0D32">
        <w:t>order awarding Kinney $43,3</w:t>
      </w:r>
      <w:r w:rsidR="00CF1C38">
        <w:t>0</w:t>
      </w:r>
      <w:r w:rsidR="002E0D32">
        <w:t>0 in attorney fees.</w:t>
      </w:r>
      <w:r w:rsidR="00236F5D">
        <w:t xml:space="preserve">  On August 4, 2020, the court entered judgment </w:t>
      </w:r>
      <w:r w:rsidR="00A333E3">
        <w:t xml:space="preserve">in favor of Kinney on the fee award.  </w:t>
      </w:r>
      <w:r w:rsidR="00AD68FF">
        <w:t xml:space="preserve">City </w:t>
      </w:r>
      <w:r w:rsidR="00105161">
        <w:t xml:space="preserve">filed a </w:t>
      </w:r>
      <w:r w:rsidR="00910573">
        <w:t xml:space="preserve">timely </w:t>
      </w:r>
      <w:r w:rsidR="00AD68FF">
        <w:t>appeal</w:t>
      </w:r>
      <w:r w:rsidR="00105161">
        <w:t xml:space="preserve"> </w:t>
      </w:r>
      <w:r w:rsidR="00AD68FF">
        <w:t>from the judgment.</w:t>
      </w:r>
      <w:r>
        <w:rPr>
          <w:rStyle w:val="FootnoteReference"/>
        </w:rPr>
        <w:footnoteReference w:id="9"/>
      </w:r>
    </w:p>
    <w:p w14:paraId="4ACCFD1F" w14:textId="35AD9F54" w:rsidR="00BA0DC5" w:rsidRDefault="0038463E" w:rsidP="00CA7CB4">
      <w:pPr>
        <w:keepNext/>
        <w:keepLines/>
        <w:spacing w:line="480" w:lineRule="auto"/>
        <w:jc w:val="center"/>
      </w:pPr>
      <w:r>
        <w:t>III.  DISCUSSION</w:t>
      </w:r>
    </w:p>
    <w:p w14:paraId="18F74310" w14:textId="6D2B8ED6" w:rsidR="00EE1FCF" w:rsidRPr="00EE1FCF" w:rsidRDefault="0038463E" w:rsidP="00CA7CB4">
      <w:pPr>
        <w:keepNext/>
        <w:keepLines/>
        <w:spacing w:line="480" w:lineRule="auto"/>
        <w:rPr>
          <w:i/>
          <w:iCs/>
          <w:color w:val="212121"/>
          <w:szCs w:val="27"/>
          <w:shd w:val="clear" w:color="auto" w:fill="FFFFFF"/>
        </w:rPr>
      </w:pPr>
      <w:r>
        <w:t>A</w:t>
      </w:r>
      <w:r w:rsidRPr="007172CE">
        <w:t>.</w:t>
      </w:r>
      <w:r w:rsidR="006B2FA3">
        <w:t xml:space="preserve">  </w:t>
      </w:r>
      <w:r w:rsidRPr="00EE1FCF">
        <w:rPr>
          <w:i/>
          <w:iCs/>
        </w:rPr>
        <w:t xml:space="preserve">Kinney </w:t>
      </w:r>
      <w:r w:rsidR="00A64DB0">
        <w:rPr>
          <w:i/>
          <w:iCs/>
        </w:rPr>
        <w:t>Prevail</w:t>
      </w:r>
      <w:r w:rsidR="006B2FA3">
        <w:rPr>
          <w:i/>
          <w:iCs/>
        </w:rPr>
        <w:t xml:space="preserve">ed </w:t>
      </w:r>
      <w:r w:rsidR="00BF7769">
        <w:rPr>
          <w:i/>
          <w:iCs/>
        </w:rPr>
        <w:t>O</w:t>
      </w:r>
      <w:r w:rsidR="006B2FA3">
        <w:rPr>
          <w:i/>
          <w:iCs/>
        </w:rPr>
        <w:t xml:space="preserve">n Her </w:t>
      </w:r>
      <w:r w:rsidRPr="00EE1FCF">
        <w:rPr>
          <w:i/>
          <w:iCs/>
          <w:color w:val="212121"/>
          <w:szCs w:val="27"/>
          <w:shd w:val="clear" w:color="auto" w:fill="FFFFFF"/>
        </w:rPr>
        <w:t>CPRA Petition</w:t>
      </w:r>
      <w:r w:rsidR="00A64DB0">
        <w:rPr>
          <w:i/>
          <w:iCs/>
          <w:color w:val="212121"/>
          <w:szCs w:val="27"/>
          <w:shd w:val="clear" w:color="auto" w:fill="FFFFFF"/>
        </w:rPr>
        <w:t xml:space="preserve"> </w:t>
      </w:r>
    </w:p>
    <w:p w14:paraId="6492025C" w14:textId="42BDAA24" w:rsidR="009F40E5" w:rsidRDefault="0038463E" w:rsidP="00EE1FCF">
      <w:pPr>
        <w:spacing w:line="480" w:lineRule="auto"/>
        <w:rPr>
          <w:color w:val="212121"/>
          <w:szCs w:val="27"/>
          <w:shd w:val="clear" w:color="auto" w:fill="FFFFFF"/>
        </w:rPr>
      </w:pPr>
      <w:r>
        <w:rPr>
          <w:color w:val="212121"/>
          <w:szCs w:val="27"/>
          <w:shd w:val="clear" w:color="auto" w:fill="FFFFFF"/>
        </w:rPr>
        <w:tab/>
      </w:r>
      <w:r w:rsidR="00E426D6">
        <w:rPr>
          <w:color w:val="212121"/>
          <w:szCs w:val="27"/>
          <w:shd w:val="clear" w:color="auto" w:fill="FFFFFF"/>
        </w:rPr>
        <w:t xml:space="preserve">We </w:t>
      </w:r>
      <w:r w:rsidR="00A4628C">
        <w:rPr>
          <w:color w:val="212121"/>
          <w:szCs w:val="27"/>
          <w:shd w:val="clear" w:color="auto" w:fill="FFFFFF"/>
        </w:rPr>
        <w:t xml:space="preserve">first </w:t>
      </w:r>
      <w:r w:rsidR="00E426D6">
        <w:rPr>
          <w:color w:val="212121"/>
          <w:szCs w:val="27"/>
          <w:shd w:val="clear" w:color="auto" w:fill="FFFFFF"/>
        </w:rPr>
        <w:t xml:space="preserve">address </w:t>
      </w:r>
      <w:r>
        <w:rPr>
          <w:color w:val="212121"/>
          <w:szCs w:val="27"/>
          <w:shd w:val="clear" w:color="auto" w:fill="FFFFFF"/>
        </w:rPr>
        <w:t>City</w:t>
      </w:r>
      <w:r w:rsidR="00A4628C">
        <w:rPr>
          <w:color w:val="212121"/>
          <w:szCs w:val="27"/>
          <w:shd w:val="clear" w:color="auto" w:fill="FFFFFF"/>
        </w:rPr>
        <w:t xml:space="preserve">’s </w:t>
      </w:r>
      <w:r>
        <w:rPr>
          <w:color w:val="212121"/>
          <w:szCs w:val="27"/>
          <w:shd w:val="clear" w:color="auto" w:fill="FFFFFF"/>
        </w:rPr>
        <w:t>claim</w:t>
      </w:r>
      <w:r w:rsidR="00E426D6">
        <w:rPr>
          <w:color w:val="212121"/>
          <w:szCs w:val="27"/>
          <w:shd w:val="clear" w:color="auto" w:fill="FFFFFF"/>
        </w:rPr>
        <w:t xml:space="preserve"> </w:t>
      </w:r>
      <w:r>
        <w:rPr>
          <w:color w:val="212121"/>
          <w:szCs w:val="27"/>
          <w:shd w:val="clear" w:color="auto" w:fill="FFFFFF"/>
        </w:rPr>
        <w:t xml:space="preserve">that Kinney is not entitled to recover any of her attorney fees </w:t>
      </w:r>
      <w:r w:rsidR="00E426D6">
        <w:rPr>
          <w:color w:val="212121"/>
          <w:szCs w:val="27"/>
          <w:shd w:val="clear" w:color="auto" w:fill="FFFFFF"/>
        </w:rPr>
        <w:t xml:space="preserve">from City </w:t>
      </w:r>
      <w:r>
        <w:rPr>
          <w:color w:val="212121"/>
          <w:szCs w:val="27"/>
          <w:shd w:val="clear" w:color="auto" w:fill="FFFFFF"/>
        </w:rPr>
        <w:t xml:space="preserve">(including </w:t>
      </w:r>
      <w:r w:rsidR="00A4628C">
        <w:rPr>
          <w:color w:val="212121"/>
          <w:szCs w:val="27"/>
          <w:shd w:val="clear" w:color="auto" w:fill="FFFFFF"/>
        </w:rPr>
        <w:t xml:space="preserve">her </w:t>
      </w:r>
      <w:r>
        <w:rPr>
          <w:color w:val="212121"/>
          <w:szCs w:val="27"/>
          <w:shd w:val="clear" w:color="auto" w:fill="FFFFFF"/>
        </w:rPr>
        <w:t>pre</w:t>
      </w:r>
      <w:r w:rsidR="0086061A">
        <w:rPr>
          <w:color w:val="212121"/>
          <w:szCs w:val="27"/>
          <w:shd w:val="clear" w:color="auto" w:fill="FFFFFF"/>
        </w:rPr>
        <w:t>-</w:t>
      </w:r>
      <w:r w:rsidR="00A4628C">
        <w:rPr>
          <w:color w:val="212121"/>
          <w:szCs w:val="27"/>
          <w:shd w:val="clear" w:color="auto" w:fill="FFFFFF"/>
        </w:rPr>
        <w:t xml:space="preserve">section 998 </w:t>
      </w:r>
      <w:r>
        <w:rPr>
          <w:color w:val="212121"/>
          <w:szCs w:val="27"/>
          <w:shd w:val="clear" w:color="auto" w:fill="FFFFFF"/>
        </w:rPr>
        <w:t>offer fees)</w:t>
      </w:r>
      <w:r w:rsidR="00A4628C">
        <w:rPr>
          <w:color w:val="212121"/>
          <w:szCs w:val="27"/>
          <w:shd w:val="clear" w:color="auto" w:fill="FFFFFF"/>
        </w:rPr>
        <w:t xml:space="preserve"> </w:t>
      </w:r>
      <w:r>
        <w:rPr>
          <w:color w:val="212121"/>
          <w:szCs w:val="27"/>
          <w:shd w:val="clear" w:color="auto" w:fill="FFFFFF"/>
        </w:rPr>
        <w:t>because Kinney was not the prevailing party</w:t>
      </w:r>
      <w:r w:rsidR="009A2F40">
        <w:rPr>
          <w:color w:val="212121"/>
          <w:szCs w:val="27"/>
          <w:shd w:val="clear" w:color="auto" w:fill="FFFFFF"/>
        </w:rPr>
        <w:t xml:space="preserve"> on her CPRA petition</w:t>
      </w:r>
      <w:r w:rsidR="00A4628C">
        <w:rPr>
          <w:color w:val="212121"/>
          <w:szCs w:val="27"/>
          <w:shd w:val="clear" w:color="auto" w:fill="FFFFFF"/>
        </w:rPr>
        <w:t xml:space="preserve">.  </w:t>
      </w:r>
      <w:r w:rsidR="007511E6">
        <w:rPr>
          <w:color w:val="212121"/>
          <w:szCs w:val="27"/>
          <w:shd w:val="clear" w:color="auto" w:fill="FFFFFF"/>
        </w:rPr>
        <w:t xml:space="preserve">(Gov. Code, </w:t>
      </w:r>
      <w:r w:rsidR="003646FE">
        <w:rPr>
          <w:color w:val="212121"/>
          <w:szCs w:val="27"/>
          <w:shd w:val="clear" w:color="auto" w:fill="FFFFFF"/>
        </w:rPr>
        <w:t xml:space="preserve">former </w:t>
      </w:r>
      <w:r w:rsidR="007511E6">
        <w:rPr>
          <w:color w:val="212121"/>
          <w:szCs w:val="27"/>
          <w:shd w:val="clear" w:color="auto" w:fill="FFFFFF"/>
        </w:rPr>
        <w:t xml:space="preserve">§ 6259, subd. (d).)  </w:t>
      </w:r>
      <w:r w:rsidR="00890E3C">
        <w:rPr>
          <w:color w:val="212121"/>
          <w:szCs w:val="27"/>
          <w:shd w:val="clear" w:color="auto" w:fill="FFFFFF"/>
        </w:rPr>
        <w:t xml:space="preserve">More specifically, City </w:t>
      </w:r>
      <w:r w:rsidR="00A4628C">
        <w:rPr>
          <w:color w:val="212121"/>
          <w:szCs w:val="27"/>
          <w:shd w:val="clear" w:color="auto" w:fill="FFFFFF"/>
        </w:rPr>
        <w:t xml:space="preserve">argues </w:t>
      </w:r>
      <w:r w:rsidR="00692662">
        <w:rPr>
          <w:color w:val="212121"/>
          <w:szCs w:val="27"/>
          <w:shd w:val="clear" w:color="auto" w:fill="FFFFFF"/>
        </w:rPr>
        <w:t>Kinney</w:t>
      </w:r>
      <w:r w:rsidR="00A4628C">
        <w:rPr>
          <w:color w:val="212121"/>
          <w:szCs w:val="27"/>
          <w:shd w:val="clear" w:color="auto" w:fill="FFFFFF"/>
        </w:rPr>
        <w:t xml:space="preserve"> was not the prevailing party because her CP</w:t>
      </w:r>
      <w:r w:rsidR="00BF7769">
        <w:rPr>
          <w:color w:val="212121"/>
          <w:szCs w:val="27"/>
          <w:shd w:val="clear" w:color="auto" w:fill="FFFFFF"/>
        </w:rPr>
        <w:t>R</w:t>
      </w:r>
      <w:r w:rsidR="00A4628C">
        <w:rPr>
          <w:color w:val="212121"/>
          <w:szCs w:val="27"/>
          <w:shd w:val="clear" w:color="auto" w:fill="FFFFFF"/>
        </w:rPr>
        <w:t xml:space="preserve">A </w:t>
      </w:r>
      <w:r>
        <w:rPr>
          <w:color w:val="212121"/>
          <w:szCs w:val="27"/>
          <w:shd w:val="clear" w:color="auto" w:fill="FFFFFF"/>
        </w:rPr>
        <w:t xml:space="preserve">petition was not the “catalyst” for City’s </w:t>
      </w:r>
      <w:r w:rsidR="0086061A">
        <w:rPr>
          <w:color w:val="212121"/>
          <w:szCs w:val="27"/>
          <w:shd w:val="clear" w:color="auto" w:fill="FFFFFF"/>
        </w:rPr>
        <w:t xml:space="preserve">public </w:t>
      </w:r>
      <w:r>
        <w:rPr>
          <w:color w:val="212121"/>
          <w:szCs w:val="27"/>
          <w:shd w:val="clear" w:color="auto" w:fill="FFFFFF"/>
        </w:rPr>
        <w:t xml:space="preserve">disclosure of the </w:t>
      </w:r>
      <w:r w:rsidR="00EC2882">
        <w:rPr>
          <w:color w:val="212121"/>
          <w:szCs w:val="27"/>
          <w:shd w:val="clear" w:color="auto" w:fill="FFFFFF"/>
        </w:rPr>
        <w:t xml:space="preserve">information Kinney sought in her CPRA request—the crime </w:t>
      </w:r>
      <w:r>
        <w:rPr>
          <w:color w:val="212121"/>
          <w:szCs w:val="27"/>
          <w:shd w:val="clear" w:color="auto" w:fill="FFFFFF"/>
        </w:rPr>
        <w:t xml:space="preserve">victim’s name.  </w:t>
      </w:r>
      <w:r w:rsidR="00692662">
        <w:rPr>
          <w:color w:val="212121"/>
          <w:szCs w:val="27"/>
          <w:shd w:val="clear" w:color="auto" w:fill="FFFFFF"/>
        </w:rPr>
        <w:t xml:space="preserve">We </w:t>
      </w:r>
      <w:r w:rsidR="0086061A">
        <w:rPr>
          <w:color w:val="212121"/>
          <w:szCs w:val="27"/>
          <w:shd w:val="clear" w:color="auto" w:fill="FFFFFF"/>
        </w:rPr>
        <w:t xml:space="preserve">conclude substantial evidence supports the court’s implied finding that Kinney was the prevailing party on her CPRA petition. </w:t>
      </w:r>
    </w:p>
    <w:p w14:paraId="451E7A3B" w14:textId="7B724470" w:rsidR="00DF11F4" w:rsidRDefault="0038463E" w:rsidP="00EE1FCF">
      <w:pPr>
        <w:spacing w:line="480" w:lineRule="auto"/>
        <w:rPr>
          <w:color w:val="212121"/>
          <w:szCs w:val="27"/>
          <w:shd w:val="clear" w:color="auto" w:fill="FFFFFF"/>
        </w:rPr>
      </w:pPr>
      <w:r>
        <w:rPr>
          <w:color w:val="212121"/>
          <w:szCs w:val="27"/>
          <w:shd w:val="clear" w:color="auto" w:fill="FFFFFF"/>
        </w:rPr>
        <w:tab/>
        <w:t xml:space="preserve">1.  </w:t>
      </w:r>
      <w:r w:rsidRPr="00DF11F4">
        <w:rPr>
          <w:color w:val="212121"/>
          <w:szCs w:val="27"/>
          <w:u w:val="single"/>
          <w:shd w:val="clear" w:color="auto" w:fill="FFFFFF"/>
        </w:rPr>
        <w:t>Legal Principles</w:t>
      </w:r>
    </w:p>
    <w:p w14:paraId="5C4F1565" w14:textId="5F6CA26E" w:rsidR="00EE1FCF" w:rsidRDefault="0038463E" w:rsidP="00EE1FCF">
      <w:pPr>
        <w:spacing w:line="480" w:lineRule="auto"/>
        <w:rPr>
          <w:color w:val="212121"/>
          <w:szCs w:val="27"/>
          <w:shd w:val="clear" w:color="auto" w:fill="FFFFFF"/>
        </w:rPr>
      </w:pPr>
      <w:r>
        <w:rPr>
          <w:color w:val="212121"/>
          <w:szCs w:val="27"/>
          <w:shd w:val="clear" w:color="auto" w:fill="FFFFFF"/>
        </w:rPr>
        <w:tab/>
      </w:r>
      <w:r w:rsidR="009F40E5">
        <w:rPr>
          <w:color w:val="212121"/>
          <w:szCs w:val="27"/>
          <w:shd w:val="clear" w:color="auto" w:fill="FFFFFF"/>
        </w:rPr>
        <w:t xml:space="preserve">Government Code </w:t>
      </w:r>
      <w:r w:rsidR="00525F67">
        <w:rPr>
          <w:color w:val="212121"/>
          <w:szCs w:val="27"/>
          <w:shd w:val="clear" w:color="auto" w:fill="FFFFFF"/>
        </w:rPr>
        <w:t xml:space="preserve">former </w:t>
      </w:r>
      <w:r>
        <w:rPr>
          <w:color w:val="212121"/>
          <w:szCs w:val="27"/>
          <w:shd w:val="clear" w:color="auto" w:fill="FFFFFF"/>
        </w:rPr>
        <w:t>section 6259, subdivision (d)</w:t>
      </w:r>
      <w:r w:rsidR="00525F67">
        <w:rPr>
          <w:color w:val="212121"/>
          <w:szCs w:val="27"/>
          <w:shd w:val="clear" w:color="auto" w:fill="FFFFFF"/>
        </w:rPr>
        <w:t>,</w:t>
      </w:r>
      <w:r>
        <w:rPr>
          <w:color w:val="212121"/>
          <w:szCs w:val="27"/>
          <w:shd w:val="clear" w:color="auto" w:fill="FFFFFF"/>
        </w:rPr>
        <w:t xml:space="preserve"> mandate</w:t>
      </w:r>
      <w:r w:rsidR="00A12AE4">
        <w:rPr>
          <w:color w:val="212121"/>
          <w:szCs w:val="27"/>
          <w:shd w:val="clear" w:color="auto" w:fill="FFFFFF"/>
        </w:rPr>
        <w:t>d</w:t>
      </w:r>
      <w:r>
        <w:rPr>
          <w:color w:val="212121"/>
          <w:szCs w:val="27"/>
          <w:shd w:val="clear" w:color="auto" w:fill="FFFFFF"/>
        </w:rPr>
        <w:t xml:space="preserve"> an award of reasonable attorney fees and costs to a requestor who prevail</w:t>
      </w:r>
      <w:r w:rsidR="00FF1140">
        <w:rPr>
          <w:color w:val="212121"/>
          <w:szCs w:val="27"/>
          <w:shd w:val="clear" w:color="auto" w:fill="FFFFFF"/>
        </w:rPr>
        <w:t xml:space="preserve">s </w:t>
      </w:r>
      <w:r>
        <w:rPr>
          <w:color w:val="212121"/>
          <w:szCs w:val="27"/>
          <w:shd w:val="clear" w:color="auto" w:fill="FFFFFF"/>
        </w:rPr>
        <w:t xml:space="preserve">in litigation filed pursuant to </w:t>
      </w:r>
      <w:r w:rsidR="00810973">
        <w:rPr>
          <w:color w:val="212121"/>
          <w:szCs w:val="27"/>
          <w:shd w:val="clear" w:color="auto" w:fill="FFFFFF"/>
        </w:rPr>
        <w:t>the CPRA</w:t>
      </w:r>
      <w:r>
        <w:rPr>
          <w:color w:val="212121"/>
          <w:szCs w:val="27"/>
          <w:shd w:val="clear" w:color="auto" w:fill="FFFFFF"/>
        </w:rPr>
        <w:t>.  (</w:t>
      </w:r>
      <w:r w:rsidRPr="001E27B2">
        <w:rPr>
          <w:i/>
          <w:iCs/>
          <w:color w:val="212121"/>
          <w:szCs w:val="27"/>
          <w:shd w:val="clear" w:color="auto" w:fill="FFFFFF"/>
        </w:rPr>
        <w:t>Belth</w:t>
      </w:r>
      <w:r w:rsidR="00A12AE4" w:rsidRPr="00525F67">
        <w:rPr>
          <w:color w:val="212121"/>
          <w:szCs w:val="27"/>
          <w:shd w:val="clear" w:color="auto" w:fill="FFFFFF"/>
        </w:rPr>
        <w:t>,</w:t>
      </w:r>
      <w:r w:rsidR="00A12AE4">
        <w:rPr>
          <w:i/>
          <w:iCs/>
          <w:color w:val="212121"/>
          <w:szCs w:val="27"/>
          <w:shd w:val="clear" w:color="auto" w:fill="FFFFFF"/>
        </w:rPr>
        <w:t xml:space="preserve"> supra</w:t>
      </w:r>
      <w:r w:rsidR="00A12AE4" w:rsidRPr="00525F67">
        <w:rPr>
          <w:color w:val="212121"/>
          <w:szCs w:val="27"/>
          <w:shd w:val="clear" w:color="auto" w:fill="FFFFFF"/>
        </w:rPr>
        <w:t>,</w:t>
      </w:r>
      <w:r w:rsidR="00A12AE4">
        <w:rPr>
          <w:i/>
          <w:iCs/>
          <w:color w:val="212121"/>
          <w:szCs w:val="27"/>
          <w:shd w:val="clear" w:color="auto" w:fill="FFFFFF"/>
        </w:rPr>
        <w:t xml:space="preserve"> </w:t>
      </w:r>
      <w:r>
        <w:rPr>
          <w:color w:val="212121"/>
          <w:szCs w:val="27"/>
          <w:shd w:val="clear" w:color="auto" w:fill="FFFFFF"/>
        </w:rPr>
        <w:t xml:space="preserve">232 Cal.App.3d </w:t>
      </w:r>
      <w:r w:rsidR="00A12AE4">
        <w:rPr>
          <w:color w:val="212121"/>
          <w:szCs w:val="27"/>
          <w:shd w:val="clear" w:color="auto" w:fill="FFFFFF"/>
        </w:rPr>
        <w:t xml:space="preserve">at pp. </w:t>
      </w:r>
      <w:r>
        <w:rPr>
          <w:color w:val="212121"/>
          <w:szCs w:val="27"/>
          <w:shd w:val="clear" w:color="auto" w:fill="FFFFFF"/>
        </w:rPr>
        <w:t xml:space="preserve">898-900.)  A plaintiff prevails within </w:t>
      </w:r>
      <w:r>
        <w:rPr>
          <w:color w:val="212121"/>
          <w:szCs w:val="27"/>
          <w:shd w:val="clear" w:color="auto" w:fill="FFFFFF"/>
        </w:rPr>
        <w:lastRenderedPageBreak/>
        <w:t>the meaning of the statute if the plaintiff “</w:t>
      </w:r>
      <w:r w:rsidR="003646FE">
        <w:rPr>
          <w:color w:val="212121"/>
          <w:szCs w:val="27"/>
          <w:shd w:val="clear" w:color="auto" w:fill="FFFFFF"/>
        </w:rPr>
        <w:t xml:space="preserve"> ‘ “</w:t>
      </w:r>
      <w:r>
        <w:rPr>
          <w:color w:val="212121"/>
          <w:szCs w:val="27"/>
          <w:shd w:val="clear" w:color="auto" w:fill="FFFFFF"/>
        </w:rPr>
        <w:t>files an action which results in defendant releasing a copy of a previously withheld document</w:t>
      </w:r>
      <w:r w:rsidR="003646FE">
        <w:rPr>
          <w:color w:val="212121"/>
          <w:szCs w:val="27"/>
          <w:shd w:val="clear" w:color="auto" w:fill="FFFFFF"/>
        </w:rPr>
        <w:t xml:space="preserve">” ’ </w:t>
      </w:r>
      <w:r>
        <w:rPr>
          <w:color w:val="212121"/>
          <w:szCs w:val="27"/>
          <w:shd w:val="clear" w:color="auto" w:fill="FFFFFF"/>
        </w:rPr>
        <w:t xml:space="preserve">”—that is, if the action </w:t>
      </w:r>
      <w:r w:rsidR="003646FE">
        <w:rPr>
          <w:color w:val="212121"/>
          <w:szCs w:val="27"/>
          <w:shd w:val="clear" w:color="auto" w:fill="FFFFFF"/>
        </w:rPr>
        <w:t>“ ‘ </w:t>
      </w:r>
      <w:r w:rsidRPr="002308C9">
        <w:rPr>
          <w:color w:val="212121"/>
          <w:szCs w:val="27"/>
          <w:shd w:val="clear" w:color="auto" w:fill="FFFFFF"/>
        </w:rPr>
        <w:t>“motivated</w:t>
      </w:r>
      <w:r w:rsidR="003646FE">
        <w:rPr>
          <w:color w:val="212121"/>
          <w:szCs w:val="27"/>
          <w:shd w:val="clear" w:color="auto" w:fill="FFFFFF"/>
        </w:rPr>
        <w:t xml:space="preserve">” ’ </w:t>
      </w:r>
      <w:r>
        <w:rPr>
          <w:color w:val="212121"/>
          <w:szCs w:val="27"/>
          <w:shd w:val="clear" w:color="auto" w:fill="FFFFFF"/>
        </w:rPr>
        <w:t>” the defendant to produce the document.  (</w:t>
      </w:r>
      <w:r w:rsidRPr="00D17EAD">
        <w:rPr>
          <w:i/>
          <w:iCs/>
          <w:color w:val="212121"/>
          <w:szCs w:val="27"/>
          <w:shd w:val="clear" w:color="auto" w:fill="FFFFFF"/>
        </w:rPr>
        <w:t>Riskin v. Downtown Los Angeles Property Owners Assn.</w:t>
      </w:r>
      <w:r>
        <w:rPr>
          <w:color w:val="212121"/>
          <w:szCs w:val="27"/>
          <w:shd w:val="clear" w:color="auto" w:fill="FFFFFF"/>
        </w:rPr>
        <w:t xml:space="preserve"> (2022) 76 Cal.App.5th 438, 445 (</w:t>
      </w:r>
      <w:r w:rsidRPr="00E9599F">
        <w:rPr>
          <w:i/>
          <w:iCs/>
          <w:color w:val="212121"/>
          <w:szCs w:val="27"/>
          <w:shd w:val="clear" w:color="auto" w:fill="FFFFFF"/>
        </w:rPr>
        <w:t>Riskin</w:t>
      </w:r>
      <w:r>
        <w:rPr>
          <w:color w:val="212121"/>
          <w:szCs w:val="27"/>
          <w:shd w:val="clear" w:color="auto" w:fill="FFFFFF"/>
        </w:rPr>
        <w:t xml:space="preserve">); </w:t>
      </w:r>
      <w:r w:rsidRPr="0055085F">
        <w:rPr>
          <w:i/>
          <w:iCs/>
          <w:color w:val="212121"/>
          <w:szCs w:val="27"/>
          <w:shd w:val="clear" w:color="auto" w:fill="FFFFFF"/>
        </w:rPr>
        <w:t>L</w:t>
      </w:r>
      <w:r w:rsidR="003646FE">
        <w:rPr>
          <w:i/>
          <w:iCs/>
          <w:color w:val="212121"/>
          <w:szCs w:val="27"/>
          <w:shd w:val="clear" w:color="auto" w:fill="FFFFFF"/>
        </w:rPr>
        <w:t>.A.</w:t>
      </w:r>
      <w:r w:rsidRPr="0055085F">
        <w:rPr>
          <w:i/>
          <w:iCs/>
          <w:color w:val="212121"/>
          <w:szCs w:val="27"/>
          <w:shd w:val="clear" w:color="auto" w:fill="FFFFFF"/>
        </w:rPr>
        <w:t xml:space="preserve"> Times v. Alameda Corridor Transp</w:t>
      </w:r>
      <w:r w:rsidR="003646FE">
        <w:rPr>
          <w:i/>
          <w:iCs/>
          <w:color w:val="212121"/>
          <w:szCs w:val="27"/>
          <w:shd w:val="clear" w:color="auto" w:fill="FFFFFF"/>
        </w:rPr>
        <w:t>.</w:t>
      </w:r>
      <w:r w:rsidRPr="0055085F">
        <w:rPr>
          <w:i/>
          <w:iCs/>
          <w:color w:val="212121"/>
          <w:szCs w:val="27"/>
          <w:shd w:val="clear" w:color="auto" w:fill="FFFFFF"/>
        </w:rPr>
        <w:t xml:space="preserve"> Auth</w:t>
      </w:r>
      <w:r w:rsidR="003646FE">
        <w:rPr>
          <w:i/>
          <w:iCs/>
          <w:color w:val="212121"/>
          <w:szCs w:val="27"/>
          <w:shd w:val="clear" w:color="auto" w:fill="FFFFFF"/>
        </w:rPr>
        <w:t>.</w:t>
      </w:r>
      <w:r>
        <w:rPr>
          <w:color w:val="212121"/>
          <w:szCs w:val="27"/>
          <w:shd w:val="clear" w:color="auto" w:fill="FFFFFF"/>
        </w:rPr>
        <w:t xml:space="preserve"> (2001) 88 Cal.App.4th 1381, 1391.)  “The key is whether there is a substantial causal relationship between the lawsuit and the delivery of the information.”  (</w:t>
      </w:r>
      <w:r w:rsidRPr="00920020">
        <w:rPr>
          <w:i/>
          <w:iCs/>
          <w:color w:val="212121"/>
          <w:szCs w:val="27"/>
          <w:shd w:val="clear" w:color="auto" w:fill="FFFFFF"/>
        </w:rPr>
        <w:t>Sukumar v. City of San Diego</w:t>
      </w:r>
      <w:r>
        <w:rPr>
          <w:color w:val="212121"/>
          <w:szCs w:val="27"/>
          <w:shd w:val="clear" w:color="auto" w:fill="FFFFFF"/>
        </w:rPr>
        <w:t xml:space="preserve"> (2017) 14 Cal.App.5th 451, 464 (</w:t>
      </w:r>
      <w:r w:rsidRPr="00093402">
        <w:rPr>
          <w:i/>
          <w:iCs/>
          <w:color w:val="212121"/>
          <w:szCs w:val="27"/>
          <w:shd w:val="clear" w:color="auto" w:fill="FFFFFF"/>
        </w:rPr>
        <w:t>Sukumar</w:t>
      </w:r>
      <w:r>
        <w:rPr>
          <w:color w:val="212121"/>
          <w:szCs w:val="27"/>
          <w:shd w:val="clear" w:color="auto" w:fill="FFFFFF"/>
        </w:rPr>
        <w:t>).  This is sometimes referred to as the “catalyst theory.”  (</w:t>
      </w:r>
      <w:r w:rsidRPr="00093402">
        <w:rPr>
          <w:i/>
          <w:iCs/>
          <w:color w:val="212121"/>
          <w:szCs w:val="27"/>
          <w:shd w:val="clear" w:color="auto" w:fill="FFFFFF"/>
        </w:rPr>
        <w:t>Riskin</w:t>
      </w:r>
      <w:r w:rsidR="00093402">
        <w:rPr>
          <w:color w:val="212121"/>
          <w:szCs w:val="27"/>
          <w:shd w:val="clear" w:color="auto" w:fill="FFFFFF"/>
        </w:rPr>
        <w:t xml:space="preserve">, </w:t>
      </w:r>
      <w:r>
        <w:rPr>
          <w:color w:val="212121"/>
          <w:szCs w:val="27"/>
          <w:shd w:val="clear" w:color="auto" w:fill="FFFFFF"/>
        </w:rPr>
        <w:t>at p. 445.)</w:t>
      </w:r>
    </w:p>
    <w:p w14:paraId="60F4A672" w14:textId="0BF67F30" w:rsidR="00EE1FCF" w:rsidRDefault="0038463E" w:rsidP="00EE1FCF">
      <w:pPr>
        <w:spacing w:line="480" w:lineRule="auto"/>
        <w:rPr>
          <w:color w:val="212121"/>
          <w:szCs w:val="27"/>
          <w:shd w:val="clear" w:color="auto" w:fill="FFFFFF"/>
        </w:rPr>
      </w:pPr>
      <w:r>
        <w:rPr>
          <w:color w:val="212121"/>
          <w:szCs w:val="27"/>
          <w:shd w:val="clear" w:color="auto" w:fill="FFFFFF"/>
        </w:rPr>
        <w:tab/>
        <w:t xml:space="preserve">The catalyst theory was explained in </w:t>
      </w:r>
      <w:r w:rsidRPr="00CD32B5">
        <w:rPr>
          <w:i/>
          <w:iCs/>
          <w:color w:val="212121"/>
          <w:szCs w:val="27"/>
          <w:shd w:val="clear" w:color="auto" w:fill="FFFFFF"/>
        </w:rPr>
        <w:t>Belth</w:t>
      </w:r>
      <w:r>
        <w:rPr>
          <w:color w:val="212121"/>
          <w:szCs w:val="27"/>
          <w:shd w:val="clear" w:color="auto" w:fill="FFFFFF"/>
        </w:rPr>
        <w:t xml:space="preserve"> and </w:t>
      </w:r>
      <w:r w:rsidRPr="00CD32B5">
        <w:rPr>
          <w:i/>
          <w:iCs/>
          <w:color w:val="212121"/>
          <w:szCs w:val="27"/>
          <w:shd w:val="clear" w:color="auto" w:fill="FFFFFF"/>
        </w:rPr>
        <w:t>Sukumar</w:t>
      </w:r>
      <w:r>
        <w:rPr>
          <w:color w:val="212121"/>
          <w:szCs w:val="27"/>
          <w:shd w:val="clear" w:color="auto" w:fill="FFFFFF"/>
        </w:rPr>
        <w:t xml:space="preserve">: </w:t>
      </w:r>
      <w:r w:rsidR="00525F67">
        <w:rPr>
          <w:color w:val="212121"/>
          <w:szCs w:val="27"/>
          <w:shd w:val="clear" w:color="auto" w:fill="FFFFFF"/>
        </w:rPr>
        <w:t xml:space="preserve"> </w:t>
      </w:r>
      <w:r w:rsidRPr="00F57636">
        <w:rPr>
          <w:rStyle w:val="ssrfcpassagedeactivated"/>
          <w:color w:val="212121"/>
          <w:szCs w:val="27"/>
          <w:bdr w:val="none" w:sz="0" w:space="0" w:color="auto" w:frame="1"/>
          <w:shd w:val="clear" w:color="auto" w:fill="FFFFFF"/>
        </w:rPr>
        <w:t>“ ‘</w:t>
      </w:r>
      <w:r>
        <w:rPr>
          <w:rStyle w:val="ssrfcpassagedeactivated"/>
          <w:color w:val="212121"/>
          <w:szCs w:val="27"/>
          <w:bdr w:val="none" w:sz="0" w:space="0" w:color="auto" w:frame="1"/>
          <w:shd w:val="clear" w:color="auto" w:fill="FFFFFF"/>
        </w:rPr>
        <w:t xml:space="preserve"> “ </w:t>
      </w:r>
      <w:r w:rsidRPr="00F57636">
        <w:rPr>
          <w:rStyle w:val="ssrfcpassagedeactivated"/>
          <w:color w:val="212121"/>
          <w:szCs w:val="27"/>
          <w:bdr w:val="none" w:sz="0" w:space="0" w:color="auto" w:frame="1"/>
          <w:shd w:val="clear" w:color="auto" w:fill="FFFFFF"/>
        </w:rPr>
        <w:t>Case law takes a pragmatic approach in defining [a prevailing party].</w:t>
      </w:r>
      <w:r>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[Citation.]</w:t>
      </w:r>
      <w:r w:rsidR="00525F67">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 </w:t>
      </w:r>
      <w:r>
        <w:rPr>
          <w:rStyle w:val="ssrfcpassagedeactivated"/>
          <w:color w:val="212121"/>
          <w:szCs w:val="27"/>
          <w:bdr w:val="none" w:sz="0" w:space="0" w:color="auto" w:frame="1"/>
          <w:shd w:val="clear" w:color="auto" w:fill="FFFFFF"/>
        </w:rPr>
        <w:t>“</w:t>
      </w:r>
      <w:r w:rsidRPr="00F57636">
        <w:rPr>
          <w:color w:val="212121"/>
          <w:szCs w:val="27"/>
          <w:shd w:val="clear" w:color="auto" w:fill="FFFFFF"/>
        </w:rPr>
        <w:t>In order to justify a fee award, there must be a causal connection between the lawsuit and the relief obtained.</w:t>
      </w:r>
      <w:r>
        <w:rPr>
          <w:color w:val="212121"/>
          <w:szCs w:val="27"/>
          <w:shd w:val="clear" w:color="auto" w:fill="FFFFFF"/>
        </w:rPr>
        <w:t>”</w:t>
      </w:r>
      <w:r w:rsidRPr="00F57636">
        <w:rPr>
          <w:color w:val="212121"/>
          <w:szCs w:val="27"/>
          <w:shd w:val="clear" w:color="auto" w:fill="FFFFFF"/>
        </w:rPr>
        <w:t xml:space="preserve"> </w:t>
      </w:r>
      <w:r w:rsidR="00AA36A1">
        <w:rPr>
          <w:color w:val="212121"/>
          <w:szCs w:val="27"/>
          <w:shd w:val="clear" w:color="auto" w:fill="FFFFFF"/>
        </w:rPr>
        <w:t xml:space="preserve"> </w:t>
      </w:r>
      <w:r w:rsidRPr="00F57636">
        <w:rPr>
          <w:color w:val="212121"/>
          <w:szCs w:val="27"/>
          <w:shd w:val="clear" w:color="auto" w:fill="FFFFFF"/>
        </w:rPr>
        <w:t>[Citation.] </w:t>
      </w:r>
      <w:r>
        <w:rPr>
          <w:color w:val="212121"/>
          <w:szCs w:val="27"/>
          <w:shd w:val="clear" w:color="auto" w:fill="FFFFFF"/>
        </w:rPr>
        <w:t xml:space="preserve"> </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However, a plaintiff need not achieve a favorable final judgment in order to be a successful party. </w:t>
      </w:r>
      <w:r>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A defendant</w:t>
      </w:r>
      <w:r w:rsidR="00BF7769">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s voluntary action induced by plaintiff</w:t>
      </w:r>
      <w:r w:rsidR="00BF7769">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s lawsuit will still support an attorneys’ fee award </w:t>
      </w:r>
      <w:r w:rsidRPr="008B306B">
        <w:rPr>
          <w:rStyle w:val="ssrfcpassagedeactivated"/>
          <w:color w:val="212121"/>
          <w:szCs w:val="27"/>
          <w:bdr w:val="none" w:sz="0" w:space="0" w:color="auto" w:frame="1"/>
          <w:shd w:val="clear" w:color="auto" w:fill="FFFFFF"/>
        </w:rPr>
        <w:t xml:space="preserve">on the rationale that </w:t>
      </w:r>
      <w:r w:rsidRPr="008B306B">
        <w:rPr>
          <w:rStyle w:val="ssrfcpassagedeactivated"/>
          <w:i/>
          <w:iCs/>
          <w:color w:val="212121"/>
          <w:szCs w:val="27"/>
          <w:bdr w:val="none" w:sz="0" w:space="0" w:color="auto" w:frame="1"/>
          <w:shd w:val="clear" w:color="auto" w:fill="FFFFFF"/>
        </w:rPr>
        <w:t>the lawsuit</w:t>
      </w:r>
      <w:r w:rsidRPr="00C95663">
        <w:rPr>
          <w:rStyle w:val="ssrfcpassagedeactivated"/>
          <w:i/>
          <w:iCs/>
          <w:color w:val="212121"/>
          <w:szCs w:val="27"/>
          <w:bdr w:val="none" w:sz="0" w:space="0" w:color="auto" w:frame="1"/>
          <w:shd w:val="clear" w:color="auto" w:fill="FFFFFF"/>
        </w:rPr>
        <w:t xml:space="preserve"> </w:t>
      </w:r>
      <w:r w:rsidRPr="008B306B">
        <w:rPr>
          <w:rStyle w:val="ssrfcpassagedeactivated"/>
          <w:color w:val="212121"/>
          <w:szCs w:val="27"/>
          <w:bdr w:val="none" w:sz="0" w:space="0" w:color="auto" w:frame="1"/>
          <w:shd w:val="clear" w:color="auto" w:fill="FFFFFF"/>
        </w:rPr>
        <w:t>spurred defendant to act or</w:t>
      </w:r>
      <w:r w:rsidRPr="00C95663">
        <w:rPr>
          <w:rStyle w:val="ssrfcpassagedeactivated"/>
          <w:i/>
          <w:iCs/>
          <w:color w:val="212121"/>
          <w:szCs w:val="27"/>
          <w:bdr w:val="none" w:sz="0" w:space="0" w:color="auto" w:frame="1"/>
          <w:shd w:val="clear" w:color="auto" w:fill="FFFFFF"/>
        </w:rPr>
        <w:t xml:space="preserve"> was a catalyst </w:t>
      </w:r>
      <w:r w:rsidRPr="008B306B">
        <w:rPr>
          <w:rStyle w:val="ssrfcpassagedeactivated"/>
          <w:color w:val="212121"/>
          <w:szCs w:val="27"/>
          <w:bdr w:val="none" w:sz="0" w:space="0" w:color="auto" w:frame="1"/>
          <w:shd w:val="clear" w:color="auto" w:fill="FFFFFF"/>
        </w:rPr>
        <w:t>speeding defendant</w:t>
      </w:r>
      <w:r w:rsidR="003D2CB1">
        <w:rPr>
          <w:rStyle w:val="ssrfcpassagedeactivated"/>
          <w:color w:val="212121"/>
          <w:szCs w:val="27"/>
          <w:bdr w:val="none" w:sz="0" w:space="0" w:color="auto" w:frame="1"/>
          <w:shd w:val="clear" w:color="auto" w:fill="FFFFFF"/>
        </w:rPr>
        <w:t>’</w:t>
      </w:r>
      <w:r w:rsidRPr="008B306B">
        <w:rPr>
          <w:rStyle w:val="ssrfcpassagedeactivated"/>
          <w:color w:val="212121"/>
          <w:szCs w:val="27"/>
          <w:bdr w:val="none" w:sz="0" w:space="0" w:color="auto" w:frame="1"/>
          <w:shd w:val="clear" w:color="auto" w:fill="FFFFFF"/>
        </w:rPr>
        <w:t>s response</w:t>
      </w:r>
      <w:r w:rsidRPr="00F57636">
        <w:rPr>
          <w:rStyle w:val="ssrfcpassagedeactivated"/>
          <w:color w:val="212121"/>
          <w:szCs w:val="27"/>
          <w:bdr w:val="none" w:sz="0" w:space="0" w:color="auto" w:frame="1"/>
          <w:shd w:val="clear" w:color="auto" w:fill="FFFFFF"/>
        </w:rPr>
        <w:t>.</w:t>
      </w:r>
      <w:r>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[Citation.]</w:t>
      </w:r>
      <w:r w:rsidR="00525F67">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 xml:space="preserve">. . . </w:t>
      </w:r>
      <w:r w:rsidR="00525F67">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If plaintiff</w:t>
      </w:r>
      <w:r w:rsidR="00525F67">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s lawsuit </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induced</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 defendant</w:t>
      </w:r>
      <w:r>
        <w:rPr>
          <w:rStyle w:val="ssrfcpassagedeactivated"/>
          <w:color w:val="212121"/>
          <w:szCs w:val="27"/>
          <w:bdr w:val="none" w:sz="0" w:space="0" w:color="auto" w:frame="1"/>
          <w:shd w:val="clear" w:color="auto" w:fill="FFFFFF"/>
        </w:rPr>
        <w:t xml:space="preserve">’s </w:t>
      </w:r>
      <w:r w:rsidRPr="00F57636">
        <w:rPr>
          <w:rStyle w:val="ssrfcpassagedeactivated"/>
          <w:color w:val="212121"/>
          <w:szCs w:val="27"/>
          <w:bdr w:val="none" w:sz="0" w:space="0" w:color="auto" w:frame="1"/>
          <w:shd w:val="clear" w:color="auto" w:fill="FFFFFF"/>
        </w:rPr>
        <w:t xml:space="preserve">response or was </w:t>
      </w:r>
      <w:r w:rsidR="003D2CB1">
        <w:rPr>
          <w:rStyle w:val="ssrfcpassagedeactivated"/>
          <w:color w:val="212121"/>
          <w:szCs w:val="27"/>
          <w:bdr w:val="none" w:sz="0" w:space="0" w:color="auto" w:frame="1"/>
          <w:shd w:val="clear" w:color="auto" w:fill="FFFFFF"/>
        </w:rPr>
        <w:t xml:space="preserve">a </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material factor</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 or </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contributed in a significant way</w:t>
      </w:r>
      <w:r>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 to the result achieved</w:t>
      </w:r>
      <w:r w:rsidR="003D2CB1">
        <w:rPr>
          <w:rStyle w:val="ssrfcpassagedeactivated"/>
          <w:color w:val="212121"/>
          <w:szCs w:val="27"/>
          <w:bdr w:val="none" w:sz="0" w:space="0" w:color="auto" w:frame="1"/>
          <w:shd w:val="clear" w:color="auto" w:fill="FFFFFF"/>
        </w:rPr>
        <w:t>,</w:t>
      </w:r>
      <w:r w:rsidRPr="00F57636">
        <w:rPr>
          <w:rStyle w:val="ssrfcpassagedeactivated"/>
          <w:color w:val="212121"/>
          <w:szCs w:val="27"/>
          <w:bdr w:val="none" w:sz="0" w:space="0" w:color="auto" w:frame="1"/>
          <w:shd w:val="clear" w:color="auto" w:fill="FFFFFF"/>
        </w:rPr>
        <w:t xml:space="preserve"> then plaintiff has shown the necessary causal connection.</w:t>
      </w:r>
      <w:r w:rsidR="00741F4E">
        <w:rPr>
          <w:rStyle w:val="ssrfcpassagedeactivated"/>
          <w:color w:val="212121"/>
          <w:szCs w:val="27"/>
          <w:bdr w:val="none" w:sz="0" w:space="0" w:color="auto" w:frame="1"/>
          <w:shd w:val="clear" w:color="auto" w:fill="FFFFFF"/>
        </w:rPr>
        <w:t>”</w:t>
      </w:r>
      <w:r w:rsidR="00525F67">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 xml:space="preserve"> [Citation.] </w:t>
      </w:r>
      <w:r>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A plaintiff is considered the prevailing party if his lawsuit motivated defendants to provide the primary relief sought or activated them to modify their behavior [citation], or if the litigation substantially contributed to or was demonstrably influential in setting in motion the process which eventually achieved the desired result</w:t>
      </w:r>
      <w:r w:rsidR="00741F4E">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 xml:space="preserve"> </w:t>
      </w:r>
      <w:r w:rsidRPr="00F57636">
        <w:rPr>
          <w:rStyle w:val="ssrfcpassagedeactivated"/>
          <w:color w:val="212121"/>
          <w:szCs w:val="27"/>
          <w:bdr w:val="none" w:sz="0" w:space="0" w:color="auto" w:frame="1"/>
          <w:shd w:val="clear" w:color="auto" w:fill="FFFFFF"/>
        </w:rPr>
        <w:t>(</w:t>
      </w:r>
      <w:r w:rsidRPr="00352A81">
        <w:rPr>
          <w:rStyle w:val="ssrfcpassagedeactivated"/>
          <w:i/>
          <w:iCs/>
          <w:color w:val="212121"/>
          <w:szCs w:val="27"/>
          <w:bdr w:val="none" w:sz="0" w:space="0" w:color="auto" w:frame="1"/>
          <w:shd w:val="clear" w:color="auto" w:fill="FFFFFF"/>
        </w:rPr>
        <w:t>S</w:t>
      </w:r>
      <w:r w:rsidR="00352A81" w:rsidRPr="00352A81">
        <w:rPr>
          <w:rStyle w:val="ssrfcpassagedeactivated"/>
          <w:i/>
          <w:iCs/>
          <w:color w:val="212121"/>
          <w:szCs w:val="27"/>
          <w:bdr w:val="none" w:sz="0" w:space="0" w:color="auto" w:frame="1"/>
          <w:shd w:val="clear" w:color="auto" w:fill="FFFFFF"/>
        </w:rPr>
        <w:t>u</w:t>
      </w:r>
      <w:r w:rsidRPr="00352A81">
        <w:rPr>
          <w:rStyle w:val="ssrfcpassagedeactivated"/>
          <w:i/>
          <w:iCs/>
          <w:color w:val="212121"/>
          <w:szCs w:val="27"/>
          <w:bdr w:val="none" w:sz="0" w:space="0" w:color="auto" w:frame="1"/>
          <w:shd w:val="clear" w:color="auto" w:fill="FFFFFF"/>
        </w:rPr>
        <w:t>kumar</w:t>
      </w:r>
      <w:r w:rsidRPr="00525F67">
        <w:rPr>
          <w:rStyle w:val="ssrfcpassagedeactivated"/>
          <w:color w:val="212121"/>
          <w:szCs w:val="27"/>
          <w:bdr w:val="none" w:sz="0" w:space="0" w:color="auto" w:frame="1"/>
          <w:shd w:val="clear" w:color="auto" w:fill="FFFFFF"/>
        </w:rPr>
        <w:t>,</w:t>
      </w:r>
      <w:r w:rsidRPr="00352A81">
        <w:rPr>
          <w:rStyle w:val="ssrfcpassagedeactivated"/>
          <w:i/>
          <w:iCs/>
          <w:color w:val="212121"/>
          <w:szCs w:val="27"/>
          <w:bdr w:val="none" w:sz="0" w:space="0" w:color="auto" w:frame="1"/>
          <w:shd w:val="clear" w:color="auto" w:fill="FFFFFF"/>
        </w:rPr>
        <w:t xml:space="preserve"> supra</w:t>
      </w:r>
      <w:r w:rsidRPr="00525F67">
        <w:rPr>
          <w:rStyle w:val="ssrfcpassagedeactivated"/>
          <w:color w:val="212121"/>
          <w:szCs w:val="27"/>
          <w:bdr w:val="none" w:sz="0" w:space="0" w:color="auto" w:frame="1"/>
          <w:shd w:val="clear" w:color="auto" w:fill="FFFFFF"/>
        </w:rPr>
        <w:t>,</w:t>
      </w:r>
      <w:r>
        <w:rPr>
          <w:rStyle w:val="ssrfcpassagedeactivated"/>
          <w:color w:val="212121"/>
          <w:szCs w:val="27"/>
          <w:bdr w:val="none" w:sz="0" w:space="0" w:color="auto" w:frame="1"/>
          <w:shd w:val="clear" w:color="auto" w:fill="FFFFFF"/>
        </w:rPr>
        <w:t xml:space="preserve"> 14 Cal.App.5th at p. 463, </w:t>
      </w:r>
      <w:r w:rsidR="004435AC">
        <w:rPr>
          <w:rStyle w:val="ssrfcpassagedeactivated"/>
          <w:color w:val="212121"/>
          <w:szCs w:val="27"/>
          <w:bdr w:val="none" w:sz="0" w:space="0" w:color="auto" w:frame="1"/>
          <w:shd w:val="clear" w:color="auto" w:fill="FFFFFF"/>
        </w:rPr>
        <w:t>italics</w:t>
      </w:r>
      <w:r w:rsidR="00525F67" w:rsidRPr="00525F67">
        <w:rPr>
          <w:rStyle w:val="ssrfcpassagedeactivated"/>
          <w:color w:val="212121"/>
          <w:szCs w:val="27"/>
          <w:bdr w:val="none" w:sz="0" w:space="0" w:color="auto" w:frame="1"/>
          <w:shd w:val="clear" w:color="auto" w:fill="FFFFFF"/>
        </w:rPr>
        <w:t xml:space="preserve"> </w:t>
      </w:r>
      <w:r w:rsidR="00525F67">
        <w:rPr>
          <w:rStyle w:val="ssrfcpassagedeactivated"/>
          <w:color w:val="212121"/>
          <w:szCs w:val="27"/>
          <w:bdr w:val="none" w:sz="0" w:space="0" w:color="auto" w:frame="1"/>
          <w:shd w:val="clear" w:color="auto" w:fill="FFFFFF"/>
        </w:rPr>
        <w:t>added</w:t>
      </w:r>
      <w:r w:rsidR="004435AC">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 xml:space="preserve">quoting </w:t>
      </w:r>
      <w:r w:rsidRPr="00734ADC">
        <w:rPr>
          <w:rStyle w:val="ssrfcpassagedeactivated"/>
          <w:i/>
          <w:iCs/>
          <w:color w:val="212121"/>
          <w:szCs w:val="27"/>
          <w:bdr w:val="none" w:sz="0" w:space="0" w:color="auto" w:frame="1"/>
          <w:shd w:val="clear" w:color="auto" w:fill="FFFFFF"/>
        </w:rPr>
        <w:t>Belth</w:t>
      </w:r>
      <w:r w:rsidRPr="00525F67">
        <w:rPr>
          <w:rStyle w:val="ssrfcpassagedeactivated"/>
          <w:color w:val="212121"/>
          <w:szCs w:val="27"/>
          <w:bdr w:val="none" w:sz="0" w:space="0" w:color="auto" w:frame="1"/>
          <w:shd w:val="clear" w:color="auto" w:fill="FFFFFF"/>
        </w:rPr>
        <w:t>,</w:t>
      </w:r>
      <w:r w:rsidRPr="00734ADC">
        <w:rPr>
          <w:rStyle w:val="ssrfcpassagedeactivated"/>
          <w:i/>
          <w:iCs/>
          <w:color w:val="212121"/>
          <w:szCs w:val="27"/>
          <w:bdr w:val="none" w:sz="0" w:space="0" w:color="auto" w:frame="1"/>
          <w:shd w:val="clear" w:color="auto" w:fill="FFFFFF"/>
        </w:rPr>
        <w:t xml:space="preserve"> </w:t>
      </w:r>
      <w:r w:rsidRPr="00734ADC">
        <w:rPr>
          <w:rStyle w:val="ssrfcpassagedeactivated"/>
          <w:i/>
          <w:iCs/>
          <w:color w:val="212121"/>
          <w:szCs w:val="27"/>
          <w:bdr w:val="none" w:sz="0" w:space="0" w:color="auto" w:frame="1"/>
          <w:shd w:val="clear" w:color="auto" w:fill="FFFFFF"/>
        </w:rPr>
        <w:lastRenderedPageBreak/>
        <w:t>supra</w:t>
      </w:r>
      <w:r w:rsidRPr="00525F67">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232 Cal.App.3d at pp. 901-902</w:t>
      </w:r>
      <w:r w:rsidR="004435AC">
        <w:rPr>
          <w:rStyle w:val="ssrfcpassagedeactivated"/>
          <w:color w:val="212121"/>
          <w:szCs w:val="27"/>
          <w:bdr w:val="none" w:sz="0" w:space="0" w:color="auto" w:frame="1"/>
          <w:shd w:val="clear" w:color="auto" w:fill="FFFFFF"/>
        </w:rPr>
        <w:t>.</w:t>
      </w:r>
      <w:r>
        <w:rPr>
          <w:rStyle w:val="ssrfcpassagedeactivated"/>
          <w:color w:val="212121"/>
          <w:szCs w:val="27"/>
          <w:bdr w:val="none" w:sz="0" w:space="0" w:color="auto" w:frame="1"/>
          <w:shd w:val="clear" w:color="auto" w:fill="FFFFFF"/>
        </w:rPr>
        <w:t xml:space="preserve">)  </w:t>
      </w:r>
      <w:r>
        <w:rPr>
          <w:color w:val="212121"/>
          <w:szCs w:val="27"/>
          <w:shd w:val="clear" w:color="auto" w:fill="FFFFFF"/>
        </w:rPr>
        <w:t>“</w:t>
      </w:r>
      <w:r w:rsidR="00232FA8">
        <w:rPr>
          <w:color w:val="212121"/>
          <w:szCs w:val="27"/>
          <w:shd w:val="clear" w:color="auto" w:fill="FFFFFF"/>
        </w:rPr>
        <w:t>T</w:t>
      </w:r>
      <w:r w:rsidRPr="00C377E3">
        <w:rPr>
          <w:color w:val="212121"/>
          <w:szCs w:val="27"/>
          <w:shd w:val="clear" w:color="auto" w:fill="FFFFFF"/>
        </w:rPr>
        <w:t>he catalyst theory applies, and a plaintiff may prevail even where a court did not enter judgment in its favor, so long as the litigation caused the disclosure.</w:t>
      </w:r>
      <w:r>
        <w:rPr>
          <w:color w:val="212121"/>
          <w:szCs w:val="27"/>
          <w:shd w:val="clear" w:color="auto" w:fill="FFFFFF"/>
        </w:rPr>
        <w:t>”</w:t>
      </w:r>
      <w:r w:rsidRPr="00C377E3">
        <w:rPr>
          <w:color w:val="212121"/>
          <w:szCs w:val="27"/>
          <w:shd w:val="clear" w:color="auto" w:fill="FFFFFF"/>
        </w:rPr>
        <w:t xml:space="preserve"> </w:t>
      </w:r>
      <w:r>
        <w:rPr>
          <w:color w:val="212121"/>
          <w:szCs w:val="27"/>
          <w:shd w:val="clear" w:color="auto" w:fill="FFFFFF"/>
        </w:rPr>
        <w:t xml:space="preserve"> </w:t>
      </w:r>
      <w:r w:rsidRPr="00C377E3">
        <w:rPr>
          <w:color w:val="212121"/>
          <w:szCs w:val="27"/>
          <w:shd w:val="clear" w:color="auto" w:fill="FFFFFF"/>
        </w:rPr>
        <w:t>(</w:t>
      </w:r>
      <w:r w:rsidRPr="00E9599F">
        <w:rPr>
          <w:i/>
          <w:iCs/>
          <w:color w:val="212121"/>
          <w:szCs w:val="27"/>
          <w:shd w:val="clear" w:color="auto" w:fill="FFFFFF"/>
        </w:rPr>
        <w:t>Riskin</w:t>
      </w:r>
      <w:r>
        <w:rPr>
          <w:color w:val="212121"/>
          <w:szCs w:val="27"/>
          <w:shd w:val="clear" w:color="auto" w:fill="FFFFFF"/>
        </w:rPr>
        <w:t xml:space="preserve">, </w:t>
      </w:r>
      <w:r w:rsidR="003D2CB1" w:rsidRPr="003D2CB1">
        <w:rPr>
          <w:i/>
          <w:iCs/>
          <w:color w:val="212121"/>
          <w:szCs w:val="27"/>
          <w:shd w:val="clear" w:color="auto" w:fill="FFFFFF"/>
        </w:rPr>
        <w:t>supra</w:t>
      </w:r>
      <w:r w:rsidR="003D2CB1">
        <w:rPr>
          <w:color w:val="212121"/>
          <w:szCs w:val="27"/>
          <w:shd w:val="clear" w:color="auto" w:fill="FFFFFF"/>
        </w:rPr>
        <w:t xml:space="preserve">, 76 Cal.App.5th </w:t>
      </w:r>
      <w:r>
        <w:rPr>
          <w:color w:val="212121"/>
          <w:szCs w:val="27"/>
          <w:shd w:val="clear" w:color="auto" w:fill="FFFFFF"/>
        </w:rPr>
        <w:t>at p. 445.)</w:t>
      </w:r>
    </w:p>
    <w:p w14:paraId="25FADE90" w14:textId="61A346CE" w:rsidR="00EE6E9B" w:rsidRDefault="0038463E" w:rsidP="00AA36A1">
      <w:pPr>
        <w:keepNext/>
        <w:keepLines/>
        <w:spacing w:line="480" w:lineRule="auto"/>
        <w:rPr>
          <w:color w:val="212121"/>
          <w:szCs w:val="27"/>
          <w:shd w:val="clear" w:color="auto" w:fill="FFFFFF"/>
        </w:rPr>
      </w:pPr>
      <w:r>
        <w:rPr>
          <w:color w:val="212121"/>
          <w:szCs w:val="27"/>
          <w:shd w:val="clear" w:color="auto" w:fill="FFFFFF"/>
        </w:rPr>
        <w:tab/>
        <w:t xml:space="preserve">2.  </w:t>
      </w:r>
      <w:r w:rsidRPr="00EE6E9B">
        <w:rPr>
          <w:color w:val="212121"/>
          <w:szCs w:val="27"/>
          <w:u w:val="single"/>
          <w:shd w:val="clear" w:color="auto" w:fill="FFFFFF"/>
        </w:rPr>
        <w:t>Analysis</w:t>
      </w:r>
    </w:p>
    <w:p w14:paraId="0D1AE893" w14:textId="47E17160" w:rsidR="00331473" w:rsidRDefault="0038463E" w:rsidP="00EE6E9B">
      <w:pPr>
        <w:spacing w:line="480" w:lineRule="auto"/>
        <w:rPr>
          <w:color w:val="212121"/>
          <w:szCs w:val="27"/>
          <w:shd w:val="clear" w:color="auto" w:fill="FFFFFF"/>
        </w:rPr>
      </w:pPr>
      <w:r>
        <w:rPr>
          <w:color w:val="212121"/>
          <w:szCs w:val="27"/>
          <w:shd w:val="clear" w:color="auto" w:fill="FFFFFF"/>
        </w:rPr>
        <w:tab/>
        <w:t>City argues the court</w:t>
      </w:r>
      <w:r w:rsidR="004B4BEB">
        <w:rPr>
          <w:color w:val="212121"/>
          <w:szCs w:val="27"/>
          <w:shd w:val="clear" w:color="auto" w:fill="FFFFFF"/>
        </w:rPr>
        <w:t xml:space="preserve">’s </w:t>
      </w:r>
      <w:r w:rsidR="00E94E81">
        <w:rPr>
          <w:color w:val="212121"/>
          <w:szCs w:val="27"/>
          <w:shd w:val="clear" w:color="auto" w:fill="FFFFFF"/>
        </w:rPr>
        <w:t xml:space="preserve">attorney fee order </w:t>
      </w:r>
      <w:r>
        <w:rPr>
          <w:color w:val="212121"/>
          <w:szCs w:val="27"/>
          <w:shd w:val="clear" w:color="auto" w:fill="FFFFFF"/>
        </w:rPr>
        <w:t>“conspicuously fail</w:t>
      </w:r>
      <w:r w:rsidR="004B4BEB">
        <w:rPr>
          <w:color w:val="212121"/>
          <w:szCs w:val="27"/>
          <w:shd w:val="clear" w:color="auto" w:fill="FFFFFF"/>
        </w:rPr>
        <w:t xml:space="preserve">s to include a finding  </w:t>
      </w:r>
      <w:r>
        <w:rPr>
          <w:color w:val="212121"/>
          <w:szCs w:val="27"/>
          <w:shd w:val="clear" w:color="auto" w:fill="FFFFFF"/>
        </w:rPr>
        <w:t>that Kinney was the prevailing party</w:t>
      </w:r>
      <w:r w:rsidR="003D2CB1">
        <w:rPr>
          <w:color w:val="212121"/>
          <w:szCs w:val="27"/>
          <w:shd w:val="clear" w:color="auto" w:fill="FFFFFF"/>
        </w:rPr>
        <w:t xml:space="preserve"> </w:t>
      </w:r>
      <w:r>
        <w:rPr>
          <w:color w:val="212121"/>
          <w:szCs w:val="27"/>
          <w:shd w:val="clear" w:color="auto" w:fill="FFFFFF"/>
        </w:rPr>
        <w:t>or</w:t>
      </w:r>
      <w:r w:rsidR="00397738">
        <w:rPr>
          <w:color w:val="212121"/>
          <w:szCs w:val="27"/>
          <w:shd w:val="clear" w:color="auto" w:fill="FFFFFF"/>
        </w:rPr>
        <w:t xml:space="preserve">, </w:t>
      </w:r>
      <w:r>
        <w:rPr>
          <w:color w:val="212121"/>
          <w:szCs w:val="27"/>
          <w:shd w:val="clear" w:color="auto" w:fill="FFFFFF"/>
        </w:rPr>
        <w:t xml:space="preserve">more specifically, that Kinney’s lawsuit was the </w:t>
      </w:r>
      <w:r w:rsidR="00397738">
        <w:rPr>
          <w:color w:val="212121"/>
          <w:szCs w:val="27"/>
          <w:shd w:val="clear" w:color="auto" w:fill="FFFFFF"/>
        </w:rPr>
        <w:t>‘</w:t>
      </w:r>
      <w:r>
        <w:rPr>
          <w:color w:val="212121"/>
          <w:szCs w:val="27"/>
          <w:shd w:val="clear" w:color="auto" w:fill="FFFFFF"/>
        </w:rPr>
        <w:t>catalyst</w:t>
      </w:r>
      <w:r w:rsidR="00397738">
        <w:rPr>
          <w:color w:val="212121"/>
          <w:szCs w:val="27"/>
          <w:shd w:val="clear" w:color="auto" w:fill="FFFFFF"/>
        </w:rPr>
        <w:t>’</w:t>
      </w:r>
      <w:r>
        <w:rPr>
          <w:color w:val="212121"/>
          <w:szCs w:val="27"/>
          <w:shd w:val="clear" w:color="auto" w:fill="FFFFFF"/>
        </w:rPr>
        <w:t xml:space="preserve"> for her obtaining the requested information</w:t>
      </w:r>
      <w:r w:rsidR="00397738">
        <w:rPr>
          <w:color w:val="212121"/>
          <w:szCs w:val="27"/>
          <w:shd w:val="clear" w:color="auto" w:fill="FFFFFF"/>
        </w:rPr>
        <w:t xml:space="preserve"> [</w:t>
      </w:r>
      <w:r w:rsidR="003D2CB1">
        <w:rPr>
          <w:color w:val="212121"/>
          <w:szCs w:val="27"/>
          <w:shd w:val="clear" w:color="auto" w:fill="FFFFFF"/>
        </w:rPr>
        <w:t>(</w:t>
      </w:r>
      <w:r w:rsidR="00E94E81">
        <w:rPr>
          <w:color w:val="212121"/>
          <w:szCs w:val="27"/>
          <w:shd w:val="clear" w:color="auto" w:fill="FFFFFF"/>
        </w:rPr>
        <w:t xml:space="preserve">the </w:t>
      </w:r>
      <w:r w:rsidR="00397738">
        <w:rPr>
          <w:color w:val="212121"/>
          <w:szCs w:val="27"/>
          <w:shd w:val="clear" w:color="auto" w:fill="FFFFFF"/>
        </w:rPr>
        <w:t>crime vic</w:t>
      </w:r>
      <w:r w:rsidR="00E94E81">
        <w:rPr>
          <w:color w:val="212121"/>
          <w:szCs w:val="27"/>
          <w:shd w:val="clear" w:color="auto" w:fill="FFFFFF"/>
        </w:rPr>
        <w:t>tim</w:t>
      </w:r>
      <w:r w:rsidR="00397738">
        <w:rPr>
          <w:color w:val="212121"/>
          <w:szCs w:val="27"/>
          <w:shd w:val="clear" w:color="auto" w:fill="FFFFFF"/>
        </w:rPr>
        <w:t>’s</w:t>
      </w:r>
      <w:r w:rsidR="00E94E81">
        <w:rPr>
          <w:color w:val="212121"/>
          <w:szCs w:val="27"/>
          <w:shd w:val="clear" w:color="auto" w:fill="FFFFFF"/>
        </w:rPr>
        <w:t xml:space="preserve"> </w:t>
      </w:r>
      <w:r w:rsidR="00397738">
        <w:rPr>
          <w:color w:val="212121"/>
          <w:szCs w:val="27"/>
          <w:shd w:val="clear" w:color="auto" w:fill="FFFFFF"/>
        </w:rPr>
        <w:t>name</w:t>
      </w:r>
      <w:r w:rsidR="003D2CB1">
        <w:rPr>
          <w:color w:val="212121"/>
          <w:szCs w:val="27"/>
          <w:shd w:val="clear" w:color="auto" w:fill="FFFFFF"/>
        </w:rPr>
        <w:t>)</w:t>
      </w:r>
      <w:r w:rsidR="00397738">
        <w:rPr>
          <w:color w:val="212121"/>
          <w:szCs w:val="27"/>
          <w:shd w:val="clear" w:color="auto" w:fill="FFFFFF"/>
        </w:rPr>
        <w:t>]</w:t>
      </w:r>
      <w:r>
        <w:rPr>
          <w:color w:val="212121"/>
          <w:szCs w:val="27"/>
          <w:shd w:val="clear" w:color="auto" w:fill="FFFFFF"/>
        </w:rPr>
        <w:t>.”  The court implicitly found, however, that Kinney was the prevailing party, and that Kinney’s lawsuit was the catalyst for City’s disclosure of the crime victim’s name, when the court issued its order awarding Kinney $43,300 in attorney fees.</w:t>
      </w:r>
    </w:p>
    <w:p w14:paraId="736E3C4D" w14:textId="2647C6F3" w:rsidR="0041390D" w:rsidRDefault="0038463E" w:rsidP="00EE6E9B">
      <w:pPr>
        <w:spacing w:line="480" w:lineRule="auto"/>
        <w:rPr>
          <w:color w:val="212121"/>
          <w:szCs w:val="27"/>
          <w:shd w:val="clear" w:color="auto" w:fill="FFFFFF"/>
        </w:rPr>
      </w:pPr>
      <w:r>
        <w:rPr>
          <w:color w:val="212121"/>
          <w:szCs w:val="27"/>
          <w:shd w:val="clear" w:color="auto" w:fill="FFFFFF"/>
        </w:rPr>
        <w:tab/>
      </w:r>
      <w:r w:rsidR="00EE6E9B">
        <w:rPr>
          <w:color w:val="212121"/>
          <w:szCs w:val="27"/>
          <w:shd w:val="clear" w:color="auto" w:fill="FFFFFF"/>
        </w:rPr>
        <w:t xml:space="preserve">We review a court’s determination of whether a litigant is </w:t>
      </w:r>
      <w:r w:rsidR="003D2CB1">
        <w:rPr>
          <w:color w:val="212121"/>
          <w:szCs w:val="27"/>
          <w:shd w:val="clear" w:color="auto" w:fill="FFFFFF"/>
        </w:rPr>
        <w:t xml:space="preserve">the </w:t>
      </w:r>
      <w:r w:rsidR="00EE6E9B">
        <w:rPr>
          <w:color w:val="212121"/>
          <w:szCs w:val="27"/>
          <w:shd w:val="clear" w:color="auto" w:fill="FFFFFF"/>
        </w:rPr>
        <w:t>prevailing party under the CPRA for abuse of discretion.  (</w:t>
      </w:r>
      <w:r w:rsidR="00EE6E9B" w:rsidRPr="009050E3">
        <w:rPr>
          <w:i/>
          <w:iCs/>
          <w:color w:val="212121"/>
          <w:szCs w:val="27"/>
          <w:shd w:val="clear" w:color="auto" w:fill="FFFFFF"/>
        </w:rPr>
        <w:t>Sukumar</w:t>
      </w:r>
      <w:r w:rsidR="00EE6E9B" w:rsidRPr="00525F67">
        <w:rPr>
          <w:color w:val="212121"/>
          <w:szCs w:val="27"/>
          <w:shd w:val="clear" w:color="auto" w:fill="FFFFFF"/>
        </w:rPr>
        <w:t>,</w:t>
      </w:r>
      <w:r w:rsidR="00EE6E9B" w:rsidRPr="009050E3">
        <w:rPr>
          <w:i/>
          <w:iCs/>
          <w:color w:val="212121"/>
          <w:szCs w:val="27"/>
          <w:shd w:val="clear" w:color="auto" w:fill="FFFFFF"/>
        </w:rPr>
        <w:t xml:space="preserve"> supra</w:t>
      </w:r>
      <w:r w:rsidR="00EE6E9B" w:rsidRPr="00525F67">
        <w:rPr>
          <w:color w:val="212121"/>
          <w:szCs w:val="27"/>
          <w:shd w:val="clear" w:color="auto" w:fill="FFFFFF"/>
        </w:rPr>
        <w:t>,</w:t>
      </w:r>
      <w:r w:rsidR="00EE6E9B" w:rsidRPr="009050E3">
        <w:rPr>
          <w:i/>
          <w:iCs/>
          <w:color w:val="212121"/>
          <w:szCs w:val="27"/>
          <w:shd w:val="clear" w:color="auto" w:fill="FFFFFF"/>
        </w:rPr>
        <w:t xml:space="preserve"> </w:t>
      </w:r>
      <w:r w:rsidR="00EE6E9B">
        <w:rPr>
          <w:color w:val="212121"/>
          <w:szCs w:val="27"/>
          <w:shd w:val="clear" w:color="auto" w:fill="FFFFFF"/>
        </w:rPr>
        <w:t xml:space="preserve">14 Cal.App.5th at p. 464.)  Here, the court did not abuse its discretion in </w:t>
      </w:r>
      <w:r w:rsidR="00DE33F9">
        <w:rPr>
          <w:color w:val="212121"/>
          <w:szCs w:val="27"/>
          <w:shd w:val="clear" w:color="auto" w:fill="FFFFFF"/>
        </w:rPr>
        <w:t xml:space="preserve">implicitly </w:t>
      </w:r>
      <w:r w:rsidR="00EE6E9B">
        <w:rPr>
          <w:color w:val="212121"/>
          <w:szCs w:val="27"/>
          <w:shd w:val="clear" w:color="auto" w:fill="FFFFFF"/>
        </w:rPr>
        <w:t>concluding Kinney</w:t>
      </w:r>
      <w:r w:rsidR="00102D1B">
        <w:rPr>
          <w:color w:val="212121"/>
          <w:szCs w:val="27"/>
          <w:shd w:val="clear" w:color="auto" w:fill="FFFFFF"/>
        </w:rPr>
        <w:t xml:space="preserve"> prevailed on her CPRA petition</w:t>
      </w:r>
      <w:r w:rsidR="003526FC">
        <w:rPr>
          <w:color w:val="212121"/>
          <w:szCs w:val="27"/>
          <w:shd w:val="clear" w:color="auto" w:fill="FFFFFF"/>
        </w:rPr>
        <w:t>.</w:t>
      </w:r>
      <w:r w:rsidR="004C6406">
        <w:rPr>
          <w:color w:val="212121"/>
          <w:szCs w:val="27"/>
          <w:shd w:val="clear" w:color="auto" w:fill="FFFFFF"/>
        </w:rPr>
        <w:t xml:space="preserve">  The record shows that Kinney’s </w:t>
      </w:r>
      <w:r w:rsidR="00EE6E9B">
        <w:rPr>
          <w:color w:val="212121"/>
          <w:szCs w:val="27"/>
          <w:shd w:val="clear" w:color="auto" w:fill="FFFFFF"/>
        </w:rPr>
        <w:t>lawsuit was the catalyst</w:t>
      </w:r>
      <w:r w:rsidR="00102D1B">
        <w:rPr>
          <w:color w:val="212121"/>
          <w:szCs w:val="27"/>
          <w:shd w:val="clear" w:color="auto" w:fill="FFFFFF"/>
        </w:rPr>
        <w:t xml:space="preserve">—the </w:t>
      </w:r>
      <w:r w:rsidR="00EE6E9B">
        <w:rPr>
          <w:color w:val="212121"/>
          <w:szCs w:val="27"/>
          <w:shd w:val="clear" w:color="auto" w:fill="FFFFFF"/>
        </w:rPr>
        <w:t>motivating factor</w:t>
      </w:r>
      <w:r w:rsidR="00102D1B">
        <w:rPr>
          <w:color w:val="212121"/>
          <w:szCs w:val="27"/>
          <w:shd w:val="clear" w:color="auto" w:fill="FFFFFF"/>
        </w:rPr>
        <w:t>—</w:t>
      </w:r>
      <w:r w:rsidR="004C6406">
        <w:rPr>
          <w:color w:val="212121"/>
          <w:szCs w:val="27"/>
          <w:shd w:val="clear" w:color="auto" w:fill="FFFFFF"/>
        </w:rPr>
        <w:t xml:space="preserve">for </w:t>
      </w:r>
      <w:r w:rsidR="00EE6E9B">
        <w:rPr>
          <w:color w:val="212121"/>
          <w:szCs w:val="27"/>
          <w:shd w:val="clear" w:color="auto" w:fill="FFFFFF"/>
        </w:rPr>
        <w:t xml:space="preserve">City’s disclosure of the crime victim’s name </w:t>
      </w:r>
      <w:r w:rsidR="00EE6E9B" w:rsidRPr="006B2FA3">
        <w:rPr>
          <w:i/>
          <w:iCs/>
          <w:color w:val="212121"/>
          <w:szCs w:val="27"/>
          <w:shd w:val="clear" w:color="auto" w:fill="FFFFFF"/>
        </w:rPr>
        <w:t>to Kinney</w:t>
      </w:r>
      <w:r w:rsidR="00EE6E9B">
        <w:rPr>
          <w:color w:val="212121"/>
          <w:szCs w:val="27"/>
          <w:shd w:val="clear" w:color="auto" w:fill="FFFFFF"/>
        </w:rPr>
        <w:t>—the relief Kinney sought in her CPRA petition</w:t>
      </w:r>
      <w:r w:rsidR="004C6406">
        <w:rPr>
          <w:color w:val="212121"/>
          <w:szCs w:val="27"/>
          <w:shd w:val="clear" w:color="auto" w:fill="FFFFFF"/>
        </w:rPr>
        <w:t xml:space="preserve">.  </w:t>
      </w:r>
      <w:r w:rsidR="00256C11">
        <w:rPr>
          <w:color w:val="212121"/>
          <w:szCs w:val="27"/>
          <w:shd w:val="clear" w:color="auto" w:fill="FFFFFF"/>
        </w:rPr>
        <w:t xml:space="preserve">Throughout the litigation, </w:t>
      </w:r>
      <w:r w:rsidR="00EE6E9B">
        <w:rPr>
          <w:color w:val="212121"/>
          <w:szCs w:val="27"/>
          <w:shd w:val="clear" w:color="auto" w:fill="FFFFFF"/>
        </w:rPr>
        <w:t xml:space="preserve">City consistently </w:t>
      </w:r>
      <w:r w:rsidR="00256C11">
        <w:rPr>
          <w:color w:val="212121"/>
          <w:szCs w:val="27"/>
          <w:shd w:val="clear" w:color="auto" w:fill="FFFFFF"/>
        </w:rPr>
        <w:t xml:space="preserve">refused to </w:t>
      </w:r>
      <w:r>
        <w:rPr>
          <w:color w:val="212121"/>
          <w:szCs w:val="27"/>
          <w:shd w:val="clear" w:color="auto" w:fill="FFFFFF"/>
        </w:rPr>
        <w:t xml:space="preserve">disclose the crime victim’s name </w:t>
      </w:r>
      <w:r w:rsidR="00EE6E9B" w:rsidRPr="00280261">
        <w:rPr>
          <w:i/>
          <w:iCs/>
          <w:color w:val="212121"/>
          <w:szCs w:val="27"/>
          <w:shd w:val="clear" w:color="auto" w:fill="FFFFFF"/>
        </w:rPr>
        <w:t>directly</w:t>
      </w:r>
      <w:r w:rsidR="00EE6E9B">
        <w:rPr>
          <w:color w:val="212121"/>
          <w:szCs w:val="27"/>
          <w:shd w:val="clear" w:color="auto" w:fill="FFFFFF"/>
        </w:rPr>
        <w:t xml:space="preserve"> to Kinney</w:t>
      </w:r>
      <w:r>
        <w:rPr>
          <w:color w:val="212121"/>
          <w:szCs w:val="27"/>
          <w:shd w:val="clear" w:color="auto" w:fill="FFFFFF"/>
        </w:rPr>
        <w:t xml:space="preserve">.  City insisted, </w:t>
      </w:r>
      <w:r w:rsidR="00EE6E9B">
        <w:rPr>
          <w:color w:val="212121"/>
          <w:szCs w:val="27"/>
          <w:shd w:val="clear" w:color="auto" w:fill="FFFFFF"/>
        </w:rPr>
        <w:t xml:space="preserve">not that City had no obligation to disclose the name to Kinney, but that Kinney’s CPRA petition was moot after Kinney obtained the </w:t>
      </w:r>
      <w:r>
        <w:rPr>
          <w:color w:val="212121"/>
          <w:szCs w:val="27"/>
          <w:shd w:val="clear" w:color="auto" w:fill="FFFFFF"/>
        </w:rPr>
        <w:t xml:space="preserve">crime victim’s </w:t>
      </w:r>
      <w:r w:rsidR="00EE6E9B">
        <w:rPr>
          <w:color w:val="212121"/>
          <w:szCs w:val="27"/>
          <w:shd w:val="clear" w:color="auto" w:fill="FFFFFF"/>
        </w:rPr>
        <w:t>name through Austin and Borchert.</w:t>
      </w:r>
    </w:p>
    <w:p w14:paraId="7A0C7350" w14:textId="2EC73FFA" w:rsidR="00DE5893" w:rsidRDefault="0038463E" w:rsidP="00EE6E9B">
      <w:pPr>
        <w:spacing w:line="480" w:lineRule="auto"/>
        <w:rPr>
          <w:color w:val="212121"/>
          <w:szCs w:val="27"/>
          <w:shd w:val="clear" w:color="auto" w:fill="FFFFFF"/>
        </w:rPr>
      </w:pPr>
      <w:r>
        <w:rPr>
          <w:color w:val="212121"/>
          <w:szCs w:val="27"/>
          <w:shd w:val="clear" w:color="auto" w:fill="FFFFFF"/>
        </w:rPr>
        <w:tab/>
      </w:r>
      <w:r w:rsidR="00EE6E9B">
        <w:rPr>
          <w:color w:val="212121"/>
          <w:szCs w:val="27"/>
          <w:shd w:val="clear" w:color="auto" w:fill="FFFFFF"/>
        </w:rPr>
        <w:t xml:space="preserve">But as the court found in ordering City to disclose the name </w:t>
      </w:r>
      <w:r w:rsidRPr="0041390D">
        <w:rPr>
          <w:i/>
          <w:iCs/>
          <w:color w:val="212121"/>
          <w:szCs w:val="27"/>
          <w:shd w:val="clear" w:color="auto" w:fill="FFFFFF"/>
        </w:rPr>
        <w:t xml:space="preserve">directly </w:t>
      </w:r>
      <w:r w:rsidR="00EE6E9B" w:rsidRPr="0041390D">
        <w:rPr>
          <w:i/>
          <w:iCs/>
          <w:color w:val="212121"/>
          <w:szCs w:val="27"/>
          <w:shd w:val="clear" w:color="auto" w:fill="FFFFFF"/>
        </w:rPr>
        <w:t>to</w:t>
      </w:r>
      <w:r w:rsidR="00EE6E9B">
        <w:rPr>
          <w:color w:val="212121"/>
          <w:szCs w:val="27"/>
          <w:shd w:val="clear" w:color="auto" w:fill="FFFFFF"/>
        </w:rPr>
        <w:t xml:space="preserve"> Kinney on May, 3, 2021, the </w:t>
      </w:r>
      <w:r w:rsidR="00215461">
        <w:rPr>
          <w:color w:val="212121"/>
          <w:szCs w:val="27"/>
          <w:shd w:val="clear" w:color="auto" w:fill="FFFFFF"/>
        </w:rPr>
        <w:t>“</w:t>
      </w:r>
      <w:r w:rsidR="00EE6E9B">
        <w:rPr>
          <w:color w:val="212121"/>
          <w:szCs w:val="27"/>
          <w:shd w:val="clear" w:color="auto" w:fill="FFFFFF"/>
        </w:rPr>
        <w:t>gravamen</w:t>
      </w:r>
      <w:r w:rsidR="00215461">
        <w:rPr>
          <w:color w:val="212121"/>
          <w:szCs w:val="27"/>
          <w:shd w:val="clear" w:color="auto" w:fill="FFFFFF"/>
        </w:rPr>
        <w:t>”</w:t>
      </w:r>
      <w:r w:rsidR="00EE6E9B">
        <w:rPr>
          <w:color w:val="212121"/>
          <w:szCs w:val="27"/>
          <w:shd w:val="clear" w:color="auto" w:fill="FFFFFF"/>
        </w:rPr>
        <w:t xml:space="preserve"> of Kinney’s CPRA petition was City’s refusal to discharge </w:t>
      </w:r>
      <w:r w:rsidR="00215461">
        <w:rPr>
          <w:color w:val="212121"/>
          <w:szCs w:val="27"/>
          <w:shd w:val="clear" w:color="auto" w:fill="FFFFFF"/>
        </w:rPr>
        <w:t xml:space="preserve">City’s </w:t>
      </w:r>
      <w:r w:rsidR="00EE6E9B">
        <w:rPr>
          <w:color w:val="212121"/>
          <w:szCs w:val="27"/>
          <w:shd w:val="clear" w:color="auto" w:fill="FFFFFF"/>
        </w:rPr>
        <w:t xml:space="preserve">duty under the CPRA to disclose the name to Kinney.  </w:t>
      </w:r>
      <w:r w:rsidR="00215461">
        <w:rPr>
          <w:color w:val="212121"/>
          <w:szCs w:val="27"/>
          <w:shd w:val="clear" w:color="auto" w:fill="FFFFFF"/>
        </w:rPr>
        <w:t xml:space="preserve">In awarding Kinney </w:t>
      </w:r>
      <w:r w:rsidR="00215461">
        <w:rPr>
          <w:color w:val="212121"/>
          <w:szCs w:val="27"/>
          <w:shd w:val="clear" w:color="auto" w:fill="FFFFFF"/>
        </w:rPr>
        <w:lastRenderedPageBreak/>
        <w:t xml:space="preserve">attorney fees, </w:t>
      </w:r>
      <w:r w:rsidR="00EE6E9B">
        <w:rPr>
          <w:color w:val="212121"/>
          <w:szCs w:val="27"/>
          <w:shd w:val="clear" w:color="auto" w:fill="FFFFFF"/>
        </w:rPr>
        <w:t>the court could have reasonably concluded</w:t>
      </w:r>
      <w:r w:rsidR="00215461">
        <w:rPr>
          <w:color w:val="212121"/>
          <w:szCs w:val="27"/>
          <w:shd w:val="clear" w:color="auto" w:fill="FFFFFF"/>
        </w:rPr>
        <w:t xml:space="preserve">—because the entire record showed—that </w:t>
      </w:r>
      <w:r w:rsidR="00EE6E9B">
        <w:rPr>
          <w:color w:val="212121"/>
          <w:szCs w:val="27"/>
          <w:shd w:val="clear" w:color="auto" w:fill="FFFFFF"/>
        </w:rPr>
        <w:t xml:space="preserve">City </w:t>
      </w:r>
      <w:r w:rsidR="00EE6E9B" w:rsidRPr="004C09C2">
        <w:rPr>
          <w:color w:val="212121"/>
          <w:szCs w:val="27"/>
          <w:shd w:val="clear" w:color="auto" w:fill="FFFFFF"/>
        </w:rPr>
        <w:t>would never</w:t>
      </w:r>
      <w:r w:rsidR="00EE6E9B">
        <w:rPr>
          <w:color w:val="212121"/>
          <w:szCs w:val="27"/>
          <w:shd w:val="clear" w:color="auto" w:fill="FFFFFF"/>
        </w:rPr>
        <w:t xml:space="preserve"> have disclosed the name directly to Kinney had Kinney not filed her CPRA petition seeking writ and declaratory relief on City’s obligation to disclose the name </w:t>
      </w:r>
      <w:r w:rsidR="00EE6E9B" w:rsidRPr="00215461">
        <w:rPr>
          <w:i/>
          <w:iCs/>
          <w:color w:val="212121"/>
          <w:szCs w:val="27"/>
          <w:shd w:val="clear" w:color="auto" w:fill="FFFFFF"/>
        </w:rPr>
        <w:t>to Kinney</w:t>
      </w:r>
      <w:r w:rsidR="00EE6E9B">
        <w:rPr>
          <w:color w:val="212121"/>
          <w:szCs w:val="27"/>
          <w:shd w:val="clear" w:color="auto" w:fill="FFFFFF"/>
        </w:rPr>
        <w:t xml:space="preserve">.  </w:t>
      </w:r>
      <w:r w:rsidR="00215461">
        <w:rPr>
          <w:color w:val="212121"/>
          <w:szCs w:val="27"/>
          <w:shd w:val="clear" w:color="auto" w:fill="FFFFFF"/>
        </w:rPr>
        <w:t xml:space="preserve">Throughout the litigation, </w:t>
      </w:r>
      <w:r w:rsidR="00EE6E9B">
        <w:rPr>
          <w:color w:val="212121"/>
          <w:szCs w:val="27"/>
          <w:shd w:val="clear" w:color="auto" w:fill="FFFFFF"/>
        </w:rPr>
        <w:t>City’s attorney</w:t>
      </w:r>
      <w:r w:rsidR="005168D1">
        <w:rPr>
          <w:color w:val="212121"/>
          <w:szCs w:val="27"/>
          <w:shd w:val="clear" w:color="auto" w:fill="FFFFFF"/>
        </w:rPr>
        <w:t>,</w:t>
      </w:r>
      <w:r w:rsidR="00EE6E9B">
        <w:rPr>
          <w:color w:val="212121"/>
          <w:szCs w:val="27"/>
          <w:shd w:val="clear" w:color="auto" w:fill="FFFFFF"/>
        </w:rPr>
        <w:t xml:space="preserve"> Higginbotham</w:t>
      </w:r>
      <w:r w:rsidR="005168D1">
        <w:rPr>
          <w:color w:val="212121"/>
          <w:szCs w:val="27"/>
          <w:shd w:val="clear" w:color="auto" w:fill="FFFFFF"/>
        </w:rPr>
        <w:t>,</w:t>
      </w:r>
      <w:r w:rsidR="00EE6E9B">
        <w:rPr>
          <w:color w:val="212121"/>
          <w:szCs w:val="27"/>
          <w:shd w:val="clear" w:color="auto" w:fill="FFFFFF"/>
        </w:rPr>
        <w:t xml:space="preserve"> consistently </w:t>
      </w:r>
      <w:r w:rsidR="002D0CB0">
        <w:rPr>
          <w:color w:val="212121"/>
          <w:szCs w:val="27"/>
          <w:shd w:val="clear" w:color="auto" w:fill="FFFFFF"/>
        </w:rPr>
        <w:t xml:space="preserve">declared that </w:t>
      </w:r>
      <w:r w:rsidR="00EE6E9B">
        <w:rPr>
          <w:color w:val="212121"/>
          <w:szCs w:val="27"/>
          <w:shd w:val="clear" w:color="auto" w:fill="FFFFFF"/>
        </w:rPr>
        <w:t>City would not disclose the name to Kinney.</w:t>
      </w:r>
      <w:r w:rsidR="004C34BF">
        <w:rPr>
          <w:color w:val="212121"/>
          <w:szCs w:val="27"/>
          <w:shd w:val="clear" w:color="auto" w:fill="FFFFFF"/>
        </w:rPr>
        <w:t xml:space="preserve">  </w:t>
      </w:r>
      <w:r w:rsidR="00EE6E9B">
        <w:rPr>
          <w:color w:val="212121"/>
          <w:szCs w:val="27"/>
          <w:shd w:val="clear" w:color="auto" w:fill="FFFFFF"/>
        </w:rPr>
        <w:t>Thus, Kinney’s CPRA petition “</w:t>
      </w:r>
      <w:r w:rsidR="00741F4E">
        <w:rPr>
          <w:color w:val="212121"/>
          <w:szCs w:val="27"/>
          <w:shd w:val="clear" w:color="auto" w:fill="FFFFFF"/>
        </w:rPr>
        <w:t xml:space="preserve"> ‘</w:t>
      </w:r>
      <w:r w:rsidR="00EE6E9B">
        <w:rPr>
          <w:color w:val="212121"/>
          <w:szCs w:val="27"/>
          <w:shd w:val="clear" w:color="auto" w:fill="FFFFFF"/>
        </w:rPr>
        <w:t>substantially contributed to or was demonstrably influential in setting in motion the process which eventually achieved the desired result</w:t>
      </w:r>
      <w:r w:rsidR="00741F4E">
        <w:rPr>
          <w:color w:val="212121"/>
          <w:szCs w:val="27"/>
          <w:shd w:val="clear" w:color="auto" w:fill="FFFFFF"/>
        </w:rPr>
        <w:t xml:space="preserve">’ </w:t>
      </w:r>
      <w:r w:rsidR="00EE6E9B">
        <w:rPr>
          <w:color w:val="212121"/>
          <w:szCs w:val="27"/>
          <w:shd w:val="clear" w:color="auto" w:fill="FFFFFF"/>
        </w:rPr>
        <w:t>”—disclosure of the name to Kinney.  (</w:t>
      </w:r>
      <w:r w:rsidR="00EE6E9B" w:rsidRPr="0058035E">
        <w:rPr>
          <w:i/>
          <w:iCs/>
          <w:color w:val="212121"/>
          <w:szCs w:val="27"/>
          <w:shd w:val="clear" w:color="auto" w:fill="FFFFFF"/>
        </w:rPr>
        <w:t>Sukumar</w:t>
      </w:r>
      <w:r w:rsidR="00EE6E9B" w:rsidRPr="003526FC">
        <w:rPr>
          <w:color w:val="212121"/>
          <w:szCs w:val="27"/>
          <w:shd w:val="clear" w:color="auto" w:fill="FFFFFF"/>
        </w:rPr>
        <w:t>,</w:t>
      </w:r>
      <w:r w:rsidR="00EE6E9B" w:rsidRPr="0058035E">
        <w:rPr>
          <w:i/>
          <w:iCs/>
          <w:color w:val="212121"/>
          <w:szCs w:val="27"/>
          <w:shd w:val="clear" w:color="auto" w:fill="FFFFFF"/>
        </w:rPr>
        <w:t xml:space="preserve"> supra</w:t>
      </w:r>
      <w:r w:rsidR="00EE6E9B" w:rsidRPr="003526FC">
        <w:rPr>
          <w:color w:val="212121"/>
          <w:szCs w:val="27"/>
          <w:shd w:val="clear" w:color="auto" w:fill="FFFFFF"/>
        </w:rPr>
        <w:t xml:space="preserve">, </w:t>
      </w:r>
      <w:r w:rsidR="00EE6E9B">
        <w:rPr>
          <w:color w:val="212121"/>
          <w:szCs w:val="27"/>
          <w:shd w:val="clear" w:color="auto" w:fill="FFFFFF"/>
        </w:rPr>
        <w:t>14 Cal.App.5th at p. 463.)</w:t>
      </w:r>
    </w:p>
    <w:p w14:paraId="0BF6B62F" w14:textId="1ABCE9D1" w:rsidR="00BE1BD2" w:rsidRDefault="0038463E" w:rsidP="00BE1BD2">
      <w:pPr>
        <w:spacing w:line="480" w:lineRule="auto"/>
        <w:rPr>
          <w:color w:val="212121"/>
          <w:szCs w:val="27"/>
          <w:shd w:val="clear" w:color="auto" w:fill="FFFFFF"/>
        </w:rPr>
      </w:pPr>
      <w:r>
        <w:rPr>
          <w:color w:val="212121"/>
          <w:szCs w:val="27"/>
          <w:shd w:val="clear" w:color="auto" w:fill="FFFFFF"/>
        </w:rPr>
        <w:tab/>
      </w:r>
      <w:r w:rsidR="00EE1FCF">
        <w:rPr>
          <w:color w:val="212121"/>
          <w:szCs w:val="27"/>
          <w:shd w:val="clear" w:color="auto" w:fill="FFFFFF"/>
        </w:rPr>
        <w:t xml:space="preserve">City </w:t>
      </w:r>
      <w:r w:rsidR="002444B0">
        <w:rPr>
          <w:color w:val="212121"/>
          <w:szCs w:val="27"/>
          <w:shd w:val="clear" w:color="auto" w:fill="FFFFFF"/>
        </w:rPr>
        <w:t xml:space="preserve">claims </w:t>
      </w:r>
      <w:r w:rsidR="00EE1FCF">
        <w:rPr>
          <w:color w:val="212121"/>
          <w:szCs w:val="27"/>
          <w:shd w:val="clear" w:color="auto" w:fill="FFFFFF"/>
        </w:rPr>
        <w:t xml:space="preserve">Kinney’s CPRA request was not the catalyst </w:t>
      </w:r>
      <w:r w:rsidR="00417690">
        <w:rPr>
          <w:color w:val="212121"/>
          <w:szCs w:val="27"/>
          <w:shd w:val="clear" w:color="auto" w:fill="FFFFFF"/>
        </w:rPr>
        <w:t xml:space="preserve">for </w:t>
      </w:r>
      <w:r w:rsidR="00EE1FCF">
        <w:rPr>
          <w:color w:val="212121"/>
          <w:szCs w:val="27"/>
          <w:shd w:val="clear" w:color="auto" w:fill="FFFFFF"/>
        </w:rPr>
        <w:t>City’s disclos</w:t>
      </w:r>
      <w:r w:rsidR="002444B0">
        <w:rPr>
          <w:color w:val="212121"/>
          <w:szCs w:val="27"/>
          <w:shd w:val="clear" w:color="auto" w:fill="FFFFFF"/>
        </w:rPr>
        <w:t xml:space="preserve">ure </w:t>
      </w:r>
      <w:r w:rsidR="005168D1">
        <w:rPr>
          <w:color w:val="212121"/>
          <w:szCs w:val="27"/>
          <w:shd w:val="clear" w:color="auto" w:fill="FFFFFF"/>
        </w:rPr>
        <w:t xml:space="preserve">of </w:t>
      </w:r>
      <w:r w:rsidR="00EE1FCF">
        <w:rPr>
          <w:color w:val="212121"/>
          <w:szCs w:val="27"/>
          <w:shd w:val="clear" w:color="auto" w:fill="FFFFFF"/>
        </w:rPr>
        <w:t xml:space="preserve">the </w:t>
      </w:r>
      <w:r w:rsidR="002167F4">
        <w:rPr>
          <w:color w:val="212121"/>
          <w:szCs w:val="27"/>
          <w:shd w:val="clear" w:color="auto" w:fill="FFFFFF"/>
        </w:rPr>
        <w:t xml:space="preserve">crime victim’s </w:t>
      </w:r>
      <w:r w:rsidR="00EE1FCF">
        <w:rPr>
          <w:color w:val="212121"/>
          <w:szCs w:val="27"/>
          <w:shd w:val="clear" w:color="auto" w:fill="FFFFFF"/>
        </w:rPr>
        <w:t>name</w:t>
      </w:r>
      <w:r w:rsidR="002167F4">
        <w:rPr>
          <w:color w:val="212121"/>
          <w:szCs w:val="27"/>
          <w:shd w:val="clear" w:color="auto" w:fill="FFFFFF"/>
        </w:rPr>
        <w:t xml:space="preserve"> </w:t>
      </w:r>
      <w:r w:rsidR="00C8365D">
        <w:rPr>
          <w:color w:val="212121"/>
          <w:szCs w:val="27"/>
          <w:shd w:val="clear" w:color="auto" w:fill="FFFFFF"/>
        </w:rPr>
        <w:t>because Kinney “und</w:t>
      </w:r>
      <w:r w:rsidR="00BB023E">
        <w:rPr>
          <w:color w:val="212121"/>
          <w:szCs w:val="27"/>
          <w:shd w:val="clear" w:color="auto" w:fill="FFFFFF"/>
        </w:rPr>
        <w:t>isputedly obtained the [name] through another avenue [</w:t>
      </w:r>
      <w:r w:rsidR="00741F4E">
        <w:rPr>
          <w:color w:val="212121"/>
          <w:szCs w:val="27"/>
          <w:shd w:val="clear" w:color="auto" w:fill="FFFFFF"/>
        </w:rPr>
        <w:t>(</w:t>
      </w:r>
      <w:r w:rsidR="00BB023E">
        <w:rPr>
          <w:color w:val="212121"/>
          <w:szCs w:val="27"/>
          <w:shd w:val="clear" w:color="auto" w:fill="FFFFFF"/>
        </w:rPr>
        <w:t>Austin and Borchert</w:t>
      </w:r>
      <w:r w:rsidR="00741F4E">
        <w:rPr>
          <w:color w:val="212121"/>
          <w:szCs w:val="27"/>
          <w:shd w:val="clear" w:color="auto" w:fill="FFFFFF"/>
        </w:rPr>
        <w:t>)</w:t>
      </w:r>
      <w:r w:rsidR="001F16BC">
        <w:rPr>
          <w:color w:val="212121"/>
          <w:szCs w:val="27"/>
          <w:shd w:val="clear" w:color="auto" w:fill="FFFFFF"/>
        </w:rPr>
        <w:t xml:space="preserve">] </w:t>
      </w:r>
      <w:r w:rsidR="00BB023E">
        <w:rPr>
          <w:color w:val="212121"/>
          <w:szCs w:val="27"/>
          <w:shd w:val="clear" w:color="auto" w:fill="FFFFFF"/>
        </w:rPr>
        <w:t xml:space="preserve">entirely unrelated to her lawsuit several months </w:t>
      </w:r>
      <w:r w:rsidR="00BB023E" w:rsidRPr="000A4BC0">
        <w:rPr>
          <w:i/>
          <w:iCs/>
          <w:color w:val="212121"/>
          <w:szCs w:val="27"/>
          <w:shd w:val="clear" w:color="auto" w:fill="FFFFFF"/>
        </w:rPr>
        <w:t>before again</w:t>
      </w:r>
      <w:r w:rsidR="00BB023E">
        <w:rPr>
          <w:color w:val="212121"/>
          <w:szCs w:val="27"/>
          <w:shd w:val="clear" w:color="auto" w:fill="FFFFFF"/>
        </w:rPr>
        <w:t xml:space="preserve"> obtaining </w:t>
      </w:r>
      <w:r w:rsidR="001A5E40">
        <w:rPr>
          <w:color w:val="212121"/>
          <w:szCs w:val="27"/>
          <w:shd w:val="clear" w:color="auto" w:fill="FFFFFF"/>
        </w:rPr>
        <w:t xml:space="preserve">[the name] </w:t>
      </w:r>
      <w:r w:rsidR="00BB023E">
        <w:rPr>
          <w:color w:val="212121"/>
          <w:szCs w:val="27"/>
          <w:shd w:val="clear" w:color="auto" w:fill="FFFFFF"/>
        </w:rPr>
        <w:t>through this lawsuit</w:t>
      </w:r>
      <w:r w:rsidR="00EE1FCF">
        <w:rPr>
          <w:color w:val="212121"/>
          <w:szCs w:val="27"/>
          <w:shd w:val="clear" w:color="auto" w:fill="FFFFFF"/>
        </w:rPr>
        <w:t>.</w:t>
      </w:r>
      <w:r w:rsidR="001F16BC">
        <w:rPr>
          <w:color w:val="212121"/>
          <w:szCs w:val="27"/>
          <w:shd w:val="clear" w:color="auto" w:fill="FFFFFF"/>
        </w:rPr>
        <w:t>”</w:t>
      </w:r>
      <w:r w:rsidR="00451179">
        <w:rPr>
          <w:color w:val="212121"/>
          <w:szCs w:val="27"/>
          <w:shd w:val="clear" w:color="auto" w:fill="FFFFFF"/>
        </w:rPr>
        <w:t xml:space="preserve">  </w:t>
      </w:r>
      <w:r w:rsidR="00EE1FCF">
        <w:rPr>
          <w:color w:val="212121"/>
          <w:szCs w:val="27"/>
          <w:shd w:val="clear" w:color="auto" w:fill="FFFFFF"/>
        </w:rPr>
        <w:t>City</w:t>
      </w:r>
      <w:r w:rsidR="006C324F">
        <w:rPr>
          <w:color w:val="212121"/>
          <w:szCs w:val="27"/>
          <w:shd w:val="clear" w:color="auto" w:fill="FFFFFF"/>
        </w:rPr>
        <w:t xml:space="preserve"> </w:t>
      </w:r>
      <w:r w:rsidR="00EE1FCF">
        <w:rPr>
          <w:color w:val="212121"/>
          <w:szCs w:val="27"/>
          <w:shd w:val="clear" w:color="auto" w:fill="FFFFFF"/>
        </w:rPr>
        <w:t>argues</w:t>
      </w:r>
      <w:r w:rsidR="009C0D15">
        <w:rPr>
          <w:color w:val="212121"/>
          <w:szCs w:val="27"/>
          <w:shd w:val="clear" w:color="auto" w:fill="FFFFFF"/>
        </w:rPr>
        <w:t xml:space="preserve"> </w:t>
      </w:r>
      <w:r w:rsidR="0041114B">
        <w:rPr>
          <w:color w:val="212121"/>
          <w:szCs w:val="27"/>
          <w:shd w:val="clear" w:color="auto" w:fill="FFFFFF"/>
        </w:rPr>
        <w:t>thes</w:t>
      </w:r>
      <w:r w:rsidR="00803B21">
        <w:rPr>
          <w:color w:val="212121"/>
          <w:szCs w:val="27"/>
          <w:shd w:val="clear" w:color="auto" w:fill="FFFFFF"/>
        </w:rPr>
        <w:t>e</w:t>
      </w:r>
      <w:r w:rsidR="0041114B">
        <w:rPr>
          <w:color w:val="212121"/>
          <w:szCs w:val="27"/>
          <w:shd w:val="clear" w:color="auto" w:fill="FFFFFF"/>
        </w:rPr>
        <w:t xml:space="preserve"> two facto</w:t>
      </w:r>
      <w:r w:rsidR="00803B21">
        <w:rPr>
          <w:color w:val="212121"/>
          <w:szCs w:val="27"/>
          <w:shd w:val="clear" w:color="auto" w:fill="FFFFFF"/>
        </w:rPr>
        <w:t>rs preclude a</w:t>
      </w:r>
      <w:r w:rsidR="00741F4E">
        <w:rPr>
          <w:color w:val="212121"/>
          <w:szCs w:val="27"/>
          <w:shd w:val="clear" w:color="auto" w:fill="FFFFFF"/>
        </w:rPr>
        <w:t>n</w:t>
      </w:r>
      <w:r w:rsidR="00803B21">
        <w:rPr>
          <w:color w:val="212121"/>
          <w:szCs w:val="27"/>
          <w:shd w:val="clear" w:color="auto" w:fill="FFFFFF"/>
        </w:rPr>
        <w:t xml:space="preserve"> attorney </w:t>
      </w:r>
      <w:r w:rsidR="00EF4C59">
        <w:rPr>
          <w:color w:val="212121"/>
          <w:szCs w:val="27"/>
          <w:shd w:val="clear" w:color="auto" w:fill="FFFFFF"/>
        </w:rPr>
        <w:t xml:space="preserve">fee award. </w:t>
      </w:r>
      <w:r w:rsidR="003526FC">
        <w:rPr>
          <w:color w:val="212121"/>
          <w:szCs w:val="27"/>
          <w:shd w:val="clear" w:color="auto" w:fill="FFFFFF"/>
        </w:rPr>
        <w:t xml:space="preserve"> </w:t>
      </w:r>
      <w:r w:rsidR="00803B21">
        <w:rPr>
          <w:color w:val="212121"/>
          <w:szCs w:val="27"/>
          <w:shd w:val="clear" w:color="auto" w:fill="FFFFFF"/>
        </w:rPr>
        <w:t xml:space="preserve">City’s first point echoes </w:t>
      </w:r>
      <w:r w:rsidR="00412958">
        <w:rPr>
          <w:color w:val="212121"/>
          <w:szCs w:val="27"/>
          <w:shd w:val="clear" w:color="auto" w:fill="FFFFFF"/>
        </w:rPr>
        <w:t xml:space="preserve">City’s </w:t>
      </w:r>
      <w:r w:rsidR="00D92BB5">
        <w:rPr>
          <w:color w:val="212121"/>
          <w:szCs w:val="27"/>
          <w:shd w:val="clear" w:color="auto" w:fill="FFFFFF"/>
        </w:rPr>
        <w:t>earlier mootness claim</w:t>
      </w:r>
      <w:r w:rsidR="00803B21">
        <w:rPr>
          <w:color w:val="212121"/>
          <w:szCs w:val="27"/>
          <w:shd w:val="clear" w:color="auto" w:fill="FFFFFF"/>
        </w:rPr>
        <w:t>.</w:t>
      </w:r>
      <w:r>
        <w:rPr>
          <w:color w:val="212121"/>
          <w:szCs w:val="27"/>
          <w:shd w:val="clear" w:color="auto" w:fill="FFFFFF"/>
        </w:rPr>
        <w:t xml:space="preserve">  </w:t>
      </w:r>
      <w:r w:rsidR="00E7783A">
        <w:rPr>
          <w:color w:val="212121"/>
          <w:szCs w:val="27"/>
          <w:shd w:val="clear" w:color="auto" w:fill="FFFFFF"/>
        </w:rPr>
        <w:t xml:space="preserve">City argues </w:t>
      </w:r>
      <w:r w:rsidR="005F7172">
        <w:rPr>
          <w:color w:val="212121"/>
          <w:szCs w:val="27"/>
          <w:shd w:val="clear" w:color="auto" w:fill="FFFFFF"/>
        </w:rPr>
        <w:t xml:space="preserve">that </w:t>
      </w:r>
      <w:r w:rsidR="00D92BB5">
        <w:rPr>
          <w:color w:val="212121"/>
          <w:szCs w:val="27"/>
          <w:shd w:val="clear" w:color="auto" w:fill="FFFFFF"/>
        </w:rPr>
        <w:t xml:space="preserve">its </w:t>
      </w:r>
      <w:r w:rsidR="005C516F">
        <w:rPr>
          <w:color w:val="212121"/>
          <w:szCs w:val="27"/>
          <w:shd w:val="clear" w:color="auto" w:fill="FFFFFF"/>
        </w:rPr>
        <w:t>February 20</w:t>
      </w:r>
      <w:r w:rsidR="005F4D3E">
        <w:rPr>
          <w:color w:val="212121"/>
          <w:szCs w:val="27"/>
          <w:shd w:val="clear" w:color="auto" w:fill="FFFFFF"/>
        </w:rPr>
        <w:t xml:space="preserve">, </w:t>
      </w:r>
      <w:r w:rsidR="005C516F">
        <w:rPr>
          <w:color w:val="212121"/>
          <w:szCs w:val="27"/>
          <w:shd w:val="clear" w:color="auto" w:fill="FFFFFF"/>
        </w:rPr>
        <w:t xml:space="preserve">2020 </w:t>
      </w:r>
      <w:r w:rsidR="00D92BB5">
        <w:rPr>
          <w:color w:val="212121"/>
          <w:szCs w:val="27"/>
          <w:shd w:val="clear" w:color="auto" w:fill="FFFFFF"/>
        </w:rPr>
        <w:t xml:space="preserve">disclosure of the </w:t>
      </w:r>
      <w:r w:rsidR="00803B21">
        <w:rPr>
          <w:color w:val="212121"/>
          <w:szCs w:val="27"/>
          <w:shd w:val="clear" w:color="auto" w:fill="FFFFFF"/>
        </w:rPr>
        <w:t xml:space="preserve">crime victim’s </w:t>
      </w:r>
      <w:r w:rsidR="00D92BB5">
        <w:rPr>
          <w:color w:val="212121"/>
          <w:szCs w:val="27"/>
          <w:shd w:val="clear" w:color="auto" w:fill="FFFFFF"/>
        </w:rPr>
        <w:t xml:space="preserve">name to Austin </w:t>
      </w:r>
      <w:r w:rsidR="00EE1FCF" w:rsidRPr="00412958">
        <w:rPr>
          <w:i/>
          <w:iCs/>
          <w:color w:val="212121"/>
          <w:szCs w:val="27"/>
          <w:shd w:val="clear" w:color="auto" w:fill="FFFFFF"/>
        </w:rPr>
        <w:t>was</w:t>
      </w:r>
      <w:r w:rsidR="005F4D3E" w:rsidRPr="00412958">
        <w:rPr>
          <w:i/>
          <w:iCs/>
          <w:color w:val="212121"/>
          <w:szCs w:val="27"/>
          <w:shd w:val="clear" w:color="auto" w:fill="FFFFFF"/>
        </w:rPr>
        <w:t xml:space="preserve"> </w:t>
      </w:r>
      <w:r w:rsidR="00EE1FCF" w:rsidRPr="00412958">
        <w:rPr>
          <w:i/>
          <w:iCs/>
          <w:color w:val="212121"/>
          <w:szCs w:val="27"/>
          <w:shd w:val="clear" w:color="auto" w:fill="FFFFFF"/>
        </w:rPr>
        <w:t>imputed</w:t>
      </w:r>
      <w:r w:rsidR="00EE1FCF">
        <w:rPr>
          <w:color w:val="212121"/>
          <w:szCs w:val="27"/>
          <w:shd w:val="clear" w:color="auto" w:fill="FFFFFF"/>
        </w:rPr>
        <w:t xml:space="preserve"> to Kinney through Borchert</w:t>
      </w:r>
      <w:r w:rsidR="00803B21">
        <w:rPr>
          <w:color w:val="212121"/>
          <w:szCs w:val="27"/>
          <w:shd w:val="clear" w:color="auto" w:fill="FFFFFF"/>
        </w:rPr>
        <w:t xml:space="preserve"> </w:t>
      </w:r>
      <w:r w:rsidR="008C2746">
        <w:rPr>
          <w:color w:val="212121"/>
          <w:szCs w:val="27"/>
          <w:shd w:val="clear" w:color="auto" w:fill="FFFFFF"/>
        </w:rPr>
        <w:t xml:space="preserve">no later than </w:t>
      </w:r>
      <w:r w:rsidR="00EE1FCF">
        <w:rPr>
          <w:color w:val="212121"/>
          <w:szCs w:val="27"/>
          <w:shd w:val="clear" w:color="auto" w:fill="FFFFFF"/>
        </w:rPr>
        <w:t xml:space="preserve">May 20, 2020, when Borchert </w:t>
      </w:r>
      <w:r w:rsidR="008C2746">
        <w:rPr>
          <w:color w:val="212121"/>
          <w:szCs w:val="27"/>
          <w:shd w:val="clear" w:color="auto" w:fill="FFFFFF"/>
        </w:rPr>
        <w:t>became K</w:t>
      </w:r>
      <w:r w:rsidR="009C0D15">
        <w:rPr>
          <w:color w:val="212121"/>
          <w:szCs w:val="27"/>
          <w:shd w:val="clear" w:color="auto" w:fill="FFFFFF"/>
        </w:rPr>
        <w:t>i</w:t>
      </w:r>
      <w:r w:rsidR="008C2746">
        <w:rPr>
          <w:color w:val="212121"/>
          <w:szCs w:val="27"/>
          <w:shd w:val="clear" w:color="auto" w:fill="FFFFFF"/>
        </w:rPr>
        <w:t xml:space="preserve">nney’s </w:t>
      </w:r>
      <w:r w:rsidR="00EE1FCF">
        <w:rPr>
          <w:color w:val="212121"/>
          <w:szCs w:val="27"/>
          <w:shd w:val="clear" w:color="auto" w:fill="FFFFFF"/>
        </w:rPr>
        <w:t xml:space="preserve">attorney of record </w:t>
      </w:r>
      <w:r w:rsidR="006D48EF">
        <w:rPr>
          <w:color w:val="212121"/>
          <w:szCs w:val="27"/>
          <w:shd w:val="clear" w:color="auto" w:fill="FFFFFF"/>
        </w:rPr>
        <w:t xml:space="preserve">in </w:t>
      </w:r>
      <w:r w:rsidR="005F4D3E">
        <w:rPr>
          <w:color w:val="212121"/>
          <w:szCs w:val="27"/>
          <w:shd w:val="clear" w:color="auto" w:fill="FFFFFF"/>
        </w:rPr>
        <w:t xml:space="preserve">her </w:t>
      </w:r>
      <w:r w:rsidR="00A21D61">
        <w:rPr>
          <w:color w:val="212121"/>
          <w:szCs w:val="27"/>
          <w:shd w:val="clear" w:color="auto" w:fill="FFFFFF"/>
        </w:rPr>
        <w:t>CPRA petition against City</w:t>
      </w:r>
      <w:r w:rsidR="00EE398F">
        <w:rPr>
          <w:color w:val="212121"/>
          <w:szCs w:val="27"/>
          <w:shd w:val="clear" w:color="auto" w:fill="FFFFFF"/>
        </w:rPr>
        <w:t>.</w:t>
      </w:r>
      <w:r w:rsidR="00E326FF">
        <w:rPr>
          <w:color w:val="212121"/>
          <w:szCs w:val="27"/>
          <w:shd w:val="clear" w:color="auto" w:fill="FFFFFF"/>
        </w:rPr>
        <w:t xml:space="preserve">  </w:t>
      </w:r>
      <w:r w:rsidR="006A67AE">
        <w:rPr>
          <w:color w:val="212121"/>
          <w:szCs w:val="27"/>
          <w:shd w:val="clear" w:color="auto" w:fill="FFFFFF"/>
        </w:rPr>
        <w:t xml:space="preserve">Thus, City argues </w:t>
      </w:r>
      <w:r w:rsidR="00E8169C">
        <w:rPr>
          <w:color w:val="212121"/>
          <w:szCs w:val="27"/>
          <w:shd w:val="clear" w:color="auto" w:fill="FFFFFF"/>
        </w:rPr>
        <w:t xml:space="preserve">that </w:t>
      </w:r>
      <w:r w:rsidR="006F3005">
        <w:rPr>
          <w:color w:val="212121"/>
          <w:szCs w:val="27"/>
          <w:shd w:val="clear" w:color="auto" w:fill="FFFFFF"/>
        </w:rPr>
        <w:t xml:space="preserve">City’s </w:t>
      </w:r>
      <w:r w:rsidR="006A67AE">
        <w:rPr>
          <w:color w:val="212121"/>
          <w:szCs w:val="27"/>
          <w:shd w:val="clear" w:color="auto" w:fill="FFFFFF"/>
        </w:rPr>
        <w:t xml:space="preserve">disclosure to Austin, not Kinney’s unrelated lawsuit, was the catalyst for City’s </w:t>
      </w:r>
      <w:r w:rsidR="00891565" w:rsidRPr="00891565">
        <w:rPr>
          <w:i/>
          <w:iCs/>
          <w:color w:val="212121"/>
          <w:szCs w:val="27"/>
          <w:shd w:val="clear" w:color="auto" w:fill="FFFFFF"/>
        </w:rPr>
        <w:t>effective</w:t>
      </w:r>
      <w:r w:rsidR="00891565">
        <w:rPr>
          <w:color w:val="212121"/>
          <w:szCs w:val="27"/>
          <w:shd w:val="clear" w:color="auto" w:fill="FFFFFF"/>
        </w:rPr>
        <w:t xml:space="preserve"> </w:t>
      </w:r>
      <w:r w:rsidR="006A67AE">
        <w:rPr>
          <w:color w:val="212121"/>
          <w:szCs w:val="27"/>
          <w:shd w:val="clear" w:color="auto" w:fill="FFFFFF"/>
        </w:rPr>
        <w:t>disclosure</w:t>
      </w:r>
      <w:r w:rsidR="00891565">
        <w:rPr>
          <w:color w:val="212121"/>
          <w:szCs w:val="27"/>
          <w:shd w:val="clear" w:color="auto" w:fill="FFFFFF"/>
        </w:rPr>
        <w:t xml:space="preserve"> of the name to Kinney.</w:t>
      </w:r>
    </w:p>
    <w:p w14:paraId="307A2033" w14:textId="53719D96" w:rsidR="002D0496" w:rsidRDefault="0038463E" w:rsidP="00BE1BD2">
      <w:pPr>
        <w:spacing w:line="480" w:lineRule="auto"/>
        <w:ind w:firstLine="720"/>
        <w:rPr>
          <w:color w:val="212121"/>
          <w:szCs w:val="27"/>
          <w:shd w:val="clear" w:color="auto" w:fill="FFFFFF"/>
        </w:rPr>
      </w:pPr>
      <w:r>
        <w:rPr>
          <w:color w:val="212121"/>
          <w:szCs w:val="27"/>
          <w:shd w:val="clear" w:color="auto" w:fill="FFFFFF"/>
        </w:rPr>
        <w:t xml:space="preserve">Again, </w:t>
      </w:r>
      <w:r w:rsidR="006D48EF">
        <w:rPr>
          <w:color w:val="212121"/>
          <w:szCs w:val="27"/>
          <w:shd w:val="clear" w:color="auto" w:fill="FFFFFF"/>
        </w:rPr>
        <w:t xml:space="preserve">City </w:t>
      </w:r>
      <w:r w:rsidR="00EE1FCF">
        <w:rPr>
          <w:color w:val="212121"/>
          <w:szCs w:val="27"/>
          <w:shd w:val="clear" w:color="auto" w:fill="FFFFFF"/>
        </w:rPr>
        <w:t>relies on Civil Code section 2332</w:t>
      </w:r>
      <w:r w:rsidR="00C32B2F">
        <w:rPr>
          <w:color w:val="212121"/>
          <w:szCs w:val="27"/>
          <w:shd w:val="clear" w:color="auto" w:fill="FFFFFF"/>
        </w:rPr>
        <w:t>, which provides</w:t>
      </w:r>
      <w:r w:rsidR="00EE1FCF">
        <w:rPr>
          <w:color w:val="212121"/>
          <w:szCs w:val="27"/>
          <w:shd w:val="clear" w:color="auto" w:fill="FFFFFF"/>
        </w:rPr>
        <w:t xml:space="preserve">: </w:t>
      </w:r>
      <w:r w:rsidR="003526FC">
        <w:rPr>
          <w:color w:val="212121"/>
          <w:szCs w:val="27"/>
          <w:shd w:val="clear" w:color="auto" w:fill="FFFFFF"/>
        </w:rPr>
        <w:t xml:space="preserve"> </w:t>
      </w:r>
      <w:r w:rsidR="00EE1FCF">
        <w:rPr>
          <w:color w:val="212121"/>
          <w:szCs w:val="27"/>
          <w:shd w:val="clear" w:color="auto" w:fill="FFFFFF"/>
        </w:rPr>
        <w:t xml:space="preserve">“As against a principal, both principal and agent are deemed to have notice of whatever either has notice of, and ought, in good faith and the exercise of ordinary care and diligence, to communicate to the other.” </w:t>
      </w:r>
      <w:r w:rsidR="009C4DD0">
        <w:rPr>
          <w:color w:val="212121"/>
          <w:szCs w:val="27"/>
          <w:shd w:val="clear" w:color="auto" w:fill="FFFFFF"/>
        </w:rPr>
        <w:t xml:space="preserve"> A</w:t>
      </w:r>
      <w:r w:rsidR="00EE1FCF">
        <w:rPr>
          <w:color w:val="212121"/>
          <w:szCs w:val="27"/>
          <w:shd w:val="clear" w:color="auto" w:fill="FFFFFF"/>
        </w:rPr>
        <w:t>lthoug</w:t>
      </w:r>
      <w:r w:rsidR="00C32B2F">
        <w:rPr>
          <w:color w:val="212121"/>
          <w:szCs w:val="27"/>
          <w:shd w:val="clear" w:color="auto" w:fill="FFFFFF"/>
        </w:rPr>
        <w:t xml:space="preserve">h </w:t>
      </w:r>
      <w:r w:rsidR="0012690E">
        <w:rPr>
          <w:color w:val="212121"/>
          <w:szCs w:val="27"/>
          <w:shd w:val="clear" w:color="auto" w:fill="FFFFFF"/>
        </w:rPr>
        <w:t xml:space="preserve">this </w:t>
      </w:r>
      <w:r w:rsidR="00122AC3">
        <w:rPr>
          <w:color w:val="212121"/>
          <w:szCs w:val="27"/>
          <w:shd w:val="clear" w:color="auto" w:fill="FFFFFF"/>
        </w:rPr>
        <w:t xml:space="preserve">imputed </w:t>
      </w:r>
      <w:r w:rsidR="00C70DA1">
        <w:rPr>
          <w:color w:val="212121"/>
          <w:szCs w:val="27"/>
          <w:shd w:val="clear" w:color="auto" w:fill="FFFFFF"/>
        </w:rPr>
        <w:t xml:space="preserve">notice </w:t>
      </w:r>
      <w:r w:rsidR="00C32B2F">
        <w:rPr>
          <w:color w:val="212121"/>
          <w:szCs w:val="27"/>
          <w:shd w:val="clear" w:color="auto" w:fill="FFFFFF"/>
        </w:rPr>
        <w:t xml:space="preserve">rule </w:t>
      </w:r>
      <w:r w:rsidR="00EE1FCF">
        <w:rPr>
          <w:color w:val="212121"/>
          <w:szCs w:val="27"/>
          <w:shd w:val="clear" w:color="auto" w:fill="FFFFFF"/>
        </w:rPr>
        <w:t xml:space="preserve">generally applies between </w:t>
      </w:r>
      <w:r w:rsidR="00EE1FCF">
        <w:rPr>
          <w:color w:val="212121"/>
          <w:szCs w:val="27"/>
          <w:shd w:val="clear" w:color="auto" w:fill="FFFFFF"/>
        </w:rPr>
        <w:lastRenderedPageBreak/>
        <w:t>an attorney and client (</w:t>
      </w:r>
      <w:r w:rsidR="00EE1FCF" w:rsidRPr="00A941AA">
        <w:rPr>
          <w:i/>
          <w:iCs/>
          <w:color w:val="212121"/>
          <w:szCs w:val="27"/>
          <w:shd w:val="clear" w:color="auto" w:fill="FFFFFF"/>
        </w:rPr>
        <w:t>Chapman College v. Wag</w:t>
      </w:r>
      <w:r w:rsidR="00737344">
        <w:rPr>
          <w:i/>
          <w:iCs/>
          <w:color w:val="212121"/>
          <w:szCs w:val="27"/>
          <w:shd w:val="clear" w:color="auto" w:fill="FFFFFF"/>
        </w:rPr>
        <w:t>e</w:t>
      </w:r>
      <w:r w:rsidR="00EE1FCF" w:rsidRPr="00A941AA">
        <w:rPr>
          <w:i/>
          <w:iCs/>
          <w:color w:val="212121"/>
          <w:szCs w:val="27"/>
          <w:shd w:val="clear" w:color="auto" w:fill="FFFFFF"/>
        </w:rPr>
        <w:t>ner</w:t>
      </w:r>
      <w:r w:rsidR="00EE1FCF" w:rsidRPr="003526FC">
        <w:rPr>
          <w:color w:val="212121"/>
          <w:szCs w:val="27"/>
          <w:shd w:val="clear" w:color="auto" w:fill="FFFFFF"/>
        </w:rPr>
        <w:t>,</w:t>
      </w:r>
      <w:r w:rsidR="00EE1FCF" w:rsidRPr="00A941AA">
        <w:rPr>
          <w:i/>
          <w:iCs/>
          <w:color w:val="212121"/>
          <w:szCs w:val="27"/>
          <w:shd w:val="clear" w:color="auto" w:fill="FFFFFF"/>
        </w:rPr>
        <w:t xml:space="preserve"> supra</w:t>
      </w:r>
      <w:r w:rsidR="00EE1FCF" w:rsidRPr="003526FC">
        <w:rPr>
          <w:color w:val="212121"/>
          <w:szCs w:val="27"/>
          <w:shd w:val="clear" w:color="auto" w:fill="FFFFFF"/>
        </w:rPr>
        <w:t>,</w:t>
      </w:r>
      <w:r w:rsidR="00EE1FCF">
        <w:rPr>
          <w:color w:val="212121"/>
          <w:szCs w:val="27"/>
          <w:shd w:val="clear" w:color="auto" w:fill="FFFFFF"/>
        </w:rPr>
        <w:t xml:space="preserve"> 45 C</w:t>
      </w:r>
      <w:r w:rsidR="00737344">
        <w:rPr>
          <w:color w:val="212121"/>
          <w:szCs w:val="27"/>
          <w:shd w:val="clear" w:color="auto" w:fill="FFFFFF"/>
        </w:rPr>
        <w:t>a</w:t>
      </w:r>
      <w:r w:rsidR="00EE1FCF">
        <w:rPr>
          <w:color w:val="212121"/>
          <w:szCs w:val="27"/>
          <w:shd w:val="clear" w:color="auto" w:fill="FFFFFF"/>
        </w:rPr>
        <w:t>l.2d at p.</w:t>
      </w:r>
      <w:r w:rsidR="00737344">
        <w:rPr>
          <w:color w:val="212121"/>
          <w:szCs w:val="27"/>
          <w:shd w:val="clear" w:color="auto" w:fill="FFFFFF"/>
        </w:rPr>
        <w:t> </w:t>
      </w:r>
      <w:r w:rsidR="00EE1FCF">
        <w:rPr>
          <w:color w:val="212121"/>
          <w:szCs w:val="27"/>
          <w:shd w:val="clear" w:color="auto" w:fill="FFFFFF"/>
        </w:rPr>
        <w:t xml:space="preserve">802), City cites no authority for extending the rule to </w:t>
      </w:r>
      <w:r w:rsidR="00EE1FCF" w:rsidRPr="007462FA">
        <w:rPr>
          <w:i/>
          <w:iCs/>
          <w:color w:val="212121"/>
          <w:szCs w:val="27"/>
          <w:shd w:val="clear" w:color="auto" w:fill="FFFFFF"/>
        </w:rPr>
        <w:t>different clients</w:t>
      </w:r>
      <w:r w:rsidR="00EE1FCF">
        <w:rPr>
          <w:color w:val="212121"/>
          <w:szCs w:val="27"/>
          <w:shd w:val="clear" w:color="auto" w:fill="FFFFFF"/>
        </w:rPr>
        <w:t xml:space="preserve"> of the same attorney, </w:t>
      </w:r>
      <w:r w:rsidR="0007011A">
        <w:rPr>
          <w:color w:val="212121"/>
          <w:szCs w:val="27"/>
          <w:shd w:val="clear" w:color="auto" w:fill="FFFFFF"/>
        </w:rPr>
        <w:t xml:space="preserve">particularly when </w:t>
      </w:r>
      <w:r w:rsidR="00EE1FCF">
        <w:rPr>
          <w:color w:val="212121"/>
          <w:szCs w:val="27"/>
          <w:shd w:val="clear" w:color="auto" w:fill="FFFFFF"/>
        </w:rPr>
        <w:t xml:space="preserve">there is no evidence </w:t>
      </w:r>
      <w:r w:rsidR="0007011A">
        <w:rPr>
          <w:color w:val="212121"/>
          <w:szCs w:val="27"/>
          <w:shd w:val="clear" w:color="auto" w:fill="FFFFFF"/>
        </w:rPr>
        <w:t xml:space="preserve">the clients </w:t>
      </w:r>
      <w:r w:rsidR="00D525F7">
        <w:rPr>
          <w:color w:val="212121"/>
          <w:szCs w:val="27"/>
          <w:shd w:val="clear" w:color="auto" w:fill="FFFFFF"/>
        </w:rPr>
        <w:t>have a principal-agency relationship</w:t>
      </w:r>
      <w:r w:rsidR="004E2804">
        <w:rPr>
          <w:color w:val="212121"/>
          <w:szCs w:val="27"/>
          <w:shd w:val="clear" w:color="auto" w:fill="FFFFFF"/>
        </w:rPr>
        <w:t xml:space="preserve"> involv</w:t>
      </w:r>
      <w:r w:rsidR="00E136FD">
        <w:rPr>
          <w:color w:val="212121"/>
          <w:szCs w:val="27"/>
          <w:shd w:val="clear" w:color="auto" w:fill="FFFFFF"/>
        </w:rPr>
        <w:t xml:space="preserve">ing </w:t>
      </w:r>
      <w:r w:rsidR="000A64D1">
        <w:rPr>
          <w:color w:val="212121"/>
          <w:szCs w:val="27"/>
          <w:shd w:val="clear" w:color="auto" w:fill="FFFFFF"/>
        </w:rPr>
        <w:t>their common attorney</w:t>
      </w:r>
      <w:r w:rsidR="00EE1FCF">
        <w:rPr>
          <w:color w:val="212121"/>
          <w:szCs w:val="27"/>
          <w:shd w:val="clear" w:color="auto" w:fill="FFFFFF"/>
        </w:rPr>
        <w:t>.</w:t>
      </w:r>
    </w:p>
    <w:p w14:paraId="1FBECE1B" w14:textId="0A7A1B9F" w:rsidR="008F4F3F" w:rsidRDefault="0038463E" w:rsidP="00FD2976">
      <w:pPr>
        <w:spacing w:line="480" w:lineRule="auto"/>
        <w:rPr>
          <w:color w:val="212121"/>
          <w:szCs w:val="27"/>
          <w:shd w:val="clear" w:color="auto" w:fill="FFFFFF"/>
        </w:rPr>
      </w:pPr>
      <w:r>
        <w:rPr>
          <w:color w:val="212121"/>
          <w:szCs w:val="27"/>
          <w:shd w:val="clear" w:color="auto" w:fill="FFFFFF"/>
        </w:rPr>
        <w:tab/>
      </w:r>
      <w:r w:rsidR="00FD2976">
        <w:rPr>
          <w:color w:val="212121"/>
          <w:szCs w:val="27"/>
          <w:shd w:val="clear" w:color="auto" w:fill="FFFFFF"/>
        </w:rPr>
        <w:t xml:space="preserve">City’s </w:t>
      </w:r>
      <w:r w:rsidR="000A64D1">
        <w:rPr>
          <w:color w:val="212121"/>
          <w:szCs w:val="27"/>
          <w:shd w:val="clear" w:color="auto" w:fill="FFFFFF"/>
        </w:rPr>
        <w:t xml:space="preserve">imputed notice </w:t>
      </w:r>
      <w:r w:rsidR="003140C9">
        <w:rPr>
          <w:color w:val="212121"/>
          <w:szCs w:val="27"/>
          <w:shd w:val="clear" w:color="auto" w:fill="FFFFFF"/>
        </w:rPr>
        <w:t xml:space="preserve">argument </w:t>
      </w:r>
      <w:r w:rsidR="00FD2976">
        <w:rPr>
          <w:color w:val="212121"/>
          <w:szCs w:val="27"/>
          <w:shd w:val="clear" w:color="auto" w:fill="FFFFFF"/>
        </w:rPr>
        <w:t xml:space="preserve">is </w:t>
      </w:r>
      <w:r>
        <w:rPr>
          <w:color w:val="212121"/>
          <w:szCs w:val="27"/>
          <w:shd w:val="clear" w:color="auto" w:fill="FFFFFF"/>
        </w:rPr>
        <w:t xml:space="preserve">based </w:t>
      </w:r>
      <w:r w:rsidR="00BE1BD2">
        <w:rPr>
          <w:color w:val="212121"/>
          <w:szCs w:val="27"/>
          <w:shd w:val="clear" w:color="auto" w:fill="FFFFFF"/>
        </w:rPr>
        <w:t xml:space="preserve">on </w:t>
      </w:r>
      <w:r>
        <w:rPr>
          <w:color w:val="212121"/>
          <w:szCs w:val="27"/>
          <w:shd w:val="clear" w:color="auto" w:fill="FFFFFF"/>
        </w:rPr>
        <w:t xml:space="preserve">the </w:t>
      </w:r>
      <w:r w:rsidR="00E47F7F">
        <w:rPr>
          <w:color w:val="212121"/>
          <w:szCs w:val="27"/>
          <w:shd w:val="clear" w:color="auto" w:fill="FFFFFF"/>
        </w:rPr>
        <w:t xml:space="preserve">unsupported </w:t>
      </w:r>
      <w:r>
        <w:rPr>
          <w:color w:val="212121"/>
          <w:szCs w:val="27"/>
          <w:shd w:val="clear" w:color="auto" w:fill="FFFFFF"/>
        </w:rPr>
        <w:t>assumption that Borchert had a duty to disclose the crime victim’s name to Kinney</w:t>
      </w:r>
      <w:r w:rsidR="000A64D1">
        <w:rPr>
          <w:color w:val="212121"/>
          <w:szCs w:val="27"/>
          <w:shd w:val="clear" w:color="auto" w:fill="FFFFFF"/>
        </w:rPr>
        <w:t xml:space="preserve">, </w:t>
      </w:r>
      <w:r w:rsidR="00F90FC5">
        <w:rPr>
          <w:color w:val="212121"/>
          <w:szCs w:val="27"/>
          <w:shd w:val="clear" w:color="auto" w:fill="FFFFFF"/>
        </w:rPr>
        <w:t>a</w:t>
      </w:r>
      <w:r w:rsidR="00991DA1">
        <w:rPr>
          <w:color w:val="212121"/>
          <w:szCs w:val="27"/>
          <w:shd w:val="clear" w:color="auto" w:fill="FFFFFF"/>
        </w:rPr>
        <w:t xml:space="preserve">fter City disclosed the name to Austin, </w:t>
      </w:r>
      <w:r w:rsidR="00E47F7F">
        <w:rPr>
          <w:color w:val="212121"/>
          <w:szCs w:val="27"/>
          <w:shd w:val="clear" w:color="auto" w:fill="FFFFFF"/>
        </w:rPr>
        <w:t xml:space="preserve">simply </w:t>
      </w:r>
      <w:r>
        <w:rPr>
          <w:color w:val="212121"/>
          <w:szCs w:val="27"/>
          <w:shd w:val="clear" w:color="auto" w:fill="FFFFFF"/>
        </w:rPr>
        <w:t xml:space="preserve">because Borchert </w:t>
      </w:r>
      <w:r w:rsidR="00086883">
        <w:rPr>
          <w:color w:val="212121"/>
          <w:szCs w:val="27"/>
          <w:shd w:val="clear" w:color="auto" w:fill="FFFFFF"/>
        </w:rPr>
        <w:t xml:space="preserve">was acting as </w:t>
      </w:r>
      <w:r>
        <w:rPr>
          <w:color w:val="212121"/>
          <w:szCs w:val="27"/>
          <w:shd w:val="clear" w:color="auto" w:fill="FFFFFF"/>
        </w:rPr>
        <w:t xml:space="preserve">attorney </w:t>
      </w:r>
      <w:r w:rsidR="00A6228A">
        <w:rPr>
          <w:color w:val="212121"/>
          <w:szCs w:val="27"/>
          <w:shd w:val="clear" w:color="auto" w:fill="FFFFFF"/>
        </w:rPr>
        <w:t xml:space="preserve">of record </w:t>
      </w:r>
      <w:r>
        <w:rPr>
          <w:color w:val="212121"/>
          <w:szCs w:val="27"/>
          <w:shd w:val="clear" w:color="auto" w:fill="FFFFFF"/>
        </w:rPr>
        <w:t>for Kinney and Austin</w:t>
      </w:r>
      <w:r w:rsidR="00E47F7F">
        <w:rPr>
          <w:color w:val="212121"/>
          <w:szCs w:val="27"/>
          <w:shd w:val="clear" w:color="auto" w:fill="FFFFFF"/>
        </w:rPr>
        <w:t xml:space="preserve"> </w:t>
      </w:r>
      <w:r>
        <w:rPr>
          <w:color w:val="212121"/>
          <w:szCs w:val="27"/>
          <w:shd w:val="clear" w:color="auto" w:fill="FFFFFF"/>
        </w:rPr>
        <w:t>in separate CPRA-related matters</w:t>
      </w:r>
      <w:r w:rsidR="00991DA1">
        <w:rPr>
          <w:color w:val="212121"/>
          <w:szCs w:val="27"/>
          <w:shd w:val="clear" w:color="auto" w:fill="FFFFFF"/>
        </w:rPr>
        <w:t xml:space="preserve"> on and </w:t>
      </w:r>
      <w:r w:rsidR="00B41916">
        <w:rPr>
          <w:color w:val="212121"/>
          <w:szCs w:val="27"/>
          <w:shd w:val="clear" w:color="auto" w:fill="FFFFFF"/>
        </w:rPr>
        <w:t xml:space="preserve">after </w:t>
      </w:r>
      <w:r>
        <w:rPr>
          <w:color w:val="212121"/>
          <w:szCs w:val="27"/>
          <w:shd w:val="clear" w:color="auto" w:fill="FFFFFF"/>
        </w:rPr>
        <w:t xml:space="preserve">May 20, 2020. </w:t>
      </w:r>
      <w:r w:rsidR="00B41916">
        <w:rPr>
          <w:color w:val="212121"/>
          <w:szCs w:val="27"/>
          <w:shd w:val="clear" w:color="auto" w:fill="FFFFFF"/>
        </w:rPr>
        <w:t xml:space="preserve"> </w:t>
      </w:r>
      <w:r w:rsidR="00193E20">
        <w:rPr>
          <w:color w:val="212121"/>
          <w:szCs w:val="27"/>
          <w:shd w:val="clear" w:color="auto" w:fill="FFFFFF"/>
        </w:rPr>
        <w:t xml:space="preserve">But </w:t>
      </w:r>
      <w:r>
        <w:rPr>
          <w:color w:val="212121"/>
          <w:szCs w:val="27"/>
          <w:shd w:val="clear" w:color="auto" w:fill="FFFFFF"/>
        </w:rPr>
        <w:t>City</w:t>
      </w:r>
      <w:r w:rsidR="00193E20">
        <w:rPr>
          <w:color w:val="212121"/>
          <w:szCs w:val="27"/>
          <w:shd w:val="clear" w:color="auto" w:fill="FFFFFF"/>
        </w:rPr>
        <w:t xml:space="preserve"> </w:t>
      </w:r>
      <w:r w:rsidR="00056CA5">
        <w:rPr>
          <w:color w:val="212121"/>
          <w:szCs w:val="27"/>
          <w:shd w:val="clear" w:color="auto" w:fill="FFFFFF"/>
        </w:rPr>
        <w:t xml:space="preserve">adduced </w:t>
      </w:r>
      <w:r w:rsidR="001E0780">
        <w:rPr>
          <w:color w:val="212121"/>
          <w:szCs w:val="27"/>
          <w:shd w:val="clear" w:color="auto" w:fill="FFFFFF"/>
        </w:rPr>
        <w:t xml:space="preserve">no </w:t>
      </w:r>
      <w:r>
        <w:rPr>
          <w:color w:val="212121"/>
          <w:szCs w:val="27"/>
          <w:shd w:val="clear" w:color="auto" w:fill="FFFFFF"/>
        </w:rPr>
        <w:t xml:space="preserve">evidence that Austin </w:t>
      </w:r>
      <w:r w:rsidR="00042033">
        <w:rPr>
          <w:color w:val="212121"/>
          <w:szCs w:val="27"/>
          <w:shd w:val="clear" w:color="auto" w:fill="FFFFFF"/>
        </w:rPr>
        <w:t xml:space="preserve">and </w:t>
      </w:r>
      <w:r>
        <w:rPr>
          <w:color w:val="212121"/>
          <w:szCs w:val="27"/>
          <w:shd w:val="clear" w:color="auto" w:fill="FFFFFF"/>
        </w:rPr>
        <w:t xml:space="preserve">Kinney </w:t>
      </w:r>
      <w:r w:rsidR="006B4476">
        <w:rPr>
          <w:color w:val="212121"/>
          <w:szCs w:val="27"/>
          <w:shd w:val="clear" w:color="auto" w:fill="FFFFFF"/>
        </w:rPr>
        <w:t xml:space="preserve">had a principal-agency </w:t>
      </w:r>
      <w:r w:rsidR="001E0780">
        <w:rPr>
          <w:color w:val="212121"/>
          <w:szCs w:val="27"/>
          <w:shd w:val="clear" w:color="auto" w:fill="FFFFFF"/>
        </w:rPr>
        <w:t>relationship</w:t>
      </w:r>
      <w:r w:rsidR="00E136FD">
        <w:rPr>
          <w:color w:val="212121"/>
          <w:szCs w:val="27"/>
          <w:shd w:val="clear" w:color="auto" w:fill="FFFFFF"/>
        </w:rPr>
        <w:t xml:space="preserve"> involving </w:t>
      </w:r>
      <w:r w:rsidR="00621EBC">
        <w:rPr>
          <w:color w:val="212121"/>
          <w:szCs w:val="27"/>
          <w:shd w:val="clear" w:color="auto" w:fill="FFFFFF"/>
        </w:rPr>
        <w:t xml:space="preserve">Borchert, </w:t>
      </w:r>
      <w:r w:rsidR="008F6C4A">
        <w:rPr>
          <w:color w:val="212121"/>
          <w:szCs w:val="27"/>
          <w:shd w:val="clear" w:color="auto" w:fill="FFFFFF"/>
        </w:rPr>
        <w:t xml:space="preserve">such that notice of </w:t>
      </w:r>
      <w:r w:rsidR="00167B22">
        <w:rPr>
          <w:color w:val="212121"/>
          <w:szCs w:val="27"/>
          <w:shd w:val="clear" w:color="auto" w:fill="FFFFFF"/>
        </w:rPr>
        <w:t xml:space="preserve">City’s </w:t>
      </w:r>
      <w:r w:rsidR="00621EBC">
        <w:rPr>
          <w:color w:val="212121"/>
          <w:szCs w:val="27"/>
          <w:shd w:val="clear" w:color="auto" w:fill="FFFFFF"/>
        </w:rPr>
        <w:t>disclos</w:t>
      </w:r>
      <w:r w:rsidR="00167B22">
        <w:rPr>
          <w:color w:val="212121"/>
          <w:szCs w:val="27"/>
          <w:shd w:val="clear" w:color="auto" w:fill="FFFFFF"/>
        </w:rPr>
        <w:t xml:space="preserve">ure of the </w:t>
      </w:r>
      <w:r>
        <w:rPr>
          <w:color w:val="212121"/>
          <w:szCs w:val="27"/>
          <w:shd w:val="clear" w:color="auto" w:fill="FFFFFF"/>
        </w:rPr>
        <w:t xml:space="preserve">name to Austin </w:t>
      </w:r>
      <w:r w:rsidR="00F90FC5">
        <w:rPr>
          <w:color w:val="212121"/>
          <w:szCs w:val="27"/>
          <w:shd w:val="clear" w:color="auto" w:fill="FFFFFF"/>
        </w:rPr>
        <w:t>“</w:t>
      </w:r>
      <w:r w:rsidR="00B41916">
        <w:rPr>
          <w:color w:val="212121"/>
          <w:szCs w:val="27"/>
          <w:shd w:val="clear" w:color="auto" w:fill="FFFFFF"/>
        </w:rPr>
        <w:t>ought</w:t>
      </w:r>
      <w:r w:rsidR="00F90FC5">
        <w:rPr>
          <w:color w:val="212121"/>
          <w:szCs w:val="27"/>
          <w:shd w:val="clear" w:color="auto" w:fill="FFFFFF"/>
        </w:rPr>
        <w:t>”</w:t>
      </w:r>
      <w:r w:rsidR="00B41916">
        <w:rPr>
          <w:color w:val="212121"/>
          <w:szCs w:val="27"/>
          <w:shd w:val="clear" w:color="auto" w:fill="FFFFFF"/>
        </w:rPr>
        <w:t xml:space="preserve"> to have been imputed to Kinney</w:t>
      </w:r>
      <w:r w:rsidR="00192E97">
        <w:rPr>
          <w:color w:val="212121"/>
          <w:szCs w:val="27"/>
          <w:shd w:val="clear" w:color="auto" w:fill="FFFFFF"/>
        </w:rPr>
        <w:t xml:space="preserve"> </w:t>
      </w:r>
      <w:r w:rsidR="00167B22">
        <w:rPr>
          <w:color w:val="212121"/>
          <w:szCs w:val="27"/>
          <w:shd w:val="clear" w:color="auto" w:fill="FFFFFF"/>
        </w:rPr>
        <w:t xml:space="preserve">through Borchert </w:t>
      </w:r>
      <w:r w:rsidR="00192E97">
        <w:rPr>
          <w:color w:val="212121"/>
          <w:szCs w:val="27"/>
          <w:shd w:val="clear" w:color="auto" w:fill="FFFFFF"/>
        </w:rPr>
        <w:t xml:space="preserve">at </w:t>
      </w:r>
      <w:r>
        <w:rPr>
          <w:color w:val="212121"/>
          <w:szCs w:val="27"/>
          <w:shd w:val="clear" w:color="auto" w:fill="FFFFFF"/>
        </w:rPr>
        <w:t xml:space="preserve">any </w:t>
      </w:r>
      <w:r w:rsidR="00192E97">
        <w:rPr>
          <w:color w:val="212121"/>
          <w:szCs w:val="27"/>
          <w:shd w:val="clear" w:color="auto" w:fill="FFFFFF"/>
        </w:rPr>
        <w:t>time</w:t>
      </w:r>
      <w:r w:rsidR="007D6FD5">
        <w:rPr>
          <w:color w:val="212121"/>
          <w:szCs w:val="27"/>
          <w:shd w:val="clear" w:color="auto" w:fill="FFFFFF"/>
        </w:rPr>
        <w:t xml:space="preserve">. </w:t>
      </w:r>
      <w:r w:rsidR="00192E97">
        <w:rPr>
          <w:color w:val="212121"/>
          <w:szCs w:val="27"/>
          <w:shd w:val="clear" w:color="auto" w:fill="FFFFFF"/>
        </w:rPr>
        <w:t xml:space="preserve"> </w:t>
      </w:r>
      <w:r w:rsidR="00B41916">
        <w:rPr>
          <w:color w:val="212121"/>
          <w:szCs w:val="27"/>
          <w:shd w:val="clear" w:color="auto" w:fill="FFFFFF"/>
        </w:rPr>
        <w:t>(Civ. Code</w:t>
      </w:r>
      <w:r w:rsidR="003526FC">
        <w:rPr>
          <w:color w:val="212121"/>
          <w:szCs w:val="27"/>
          <w:shd w:val="clear" w:color="auto" w:fill="FFFFFF"/>
        </w:rPr>
        <w:t>,</w:t>
      </w:r>
      <w:r w:rsidR="00B41916">
        <w:rPr>
          <w:color w:val="212121"/>
          <w:szCs w:val="27"/>
          <w:shd w:val="clear" w:color="auto" w:fill="FFFFFF"/>
        </w:rPr>
        <w:t xml:space="preserve"> § 2332.)</w:t>
      </w:r>
    </w:p>
    <w:p w14:paraId="70982912" w14:textId="6B694ED8" w:rsidR="00E92BE9" w:rsidRDefault="0038463E" w:rsidP="00FD2976">
      <w:pPr>
        <w:spacing w:line="480" w:lineRule="auto"/>
        <w:rPr>
          <w:color w:val="212121"/>
          <w:szCs w:val="27"/>
          <w:shd w:val="clear" w:color="auto" w:fill="FFFFFF"/>
        </w:rPr>
      </w:pPr>
      <w:r>
        <w:rPr>
          <w:color w:val="212121"/>
          <w:szCs w:val="27"/>
          <w:shd w:val="clear" w:color="auto" w:fill="FFFFFF"/>
        </w:rPr>
        <w:tab/>
        <w:t xml:space="preserve">We also </w:t>
      </w:r>
      <w:r w:rsidR="00ED77E5">
        <w:rPr>
          <w:color w:val="212121"/>
          <w:szCs w:val="27"/>
          <w:shd w:val="clear" w:color="auto" w:fill="FFFFFF"/>
        </w:rPr>
        <w:t xml:space="preserve">disagree that City’s indirect disclosure of the name to Kinney through </w:t>
      </w:r>
      <w:r w:rsidR="0008286F">
        <w:rPr>
          <w:color w:val="212121"/>
          <w:szCs w:val="27"/>
          <w:shd w:val="clear" w:color="auto" w:fill="FFFFFF"/>
        </w:rPr>
        <w:t xml:space="preserve">City’s motions and other pleadings </w:t>
      </w:r>
      <w:r w:rsidR="00ED77E5">
        <w:rPr>
          <w:color w:val="212121"/>
          <w:szCs w:val="27"/>
          <w:shd w:val="clear" w:color="auto" w:fill="FFFFFF"/>
        </w:rPr>
        <w:t>in this lawsuit</w:t>
      </w:r>
      <w:r w:rsidR="0008286F">
        <w:rPr>
          <w:color w:val="212121"/>
          <w:szCs w:val="27"/>
          <w:shd w:val="clear" w:color="auto" w:fill="FFFFFF"/>
        </w:rPr>
        <w:t xml:space="preserve">, </w:t>
      </w:r>
      <w:r w:rsidR="00ED77E5">
        <w:rPr>
          <w:color w:val="212121"/>
          <w:szCs w:val="27"/>
          <w:shd w:val="clear" w:color="auto" w:fill="FFFFFF"/>
        </w:rPr>
        <w:t>beginning with City’s July</w:t>
      </w:r>
      <w:r w:rsidR="003526FC">
        <w:rPr>
          <w:color w:val="212121"/>
          <w:szCs w:val="27"/>
          <w:shd w:val="clear" w:color="auto" w:fill="FFFFFF"/>
        </w:rPr>
        <w:t> </w:t>
      </w:r>
      <w:r w:rsidR="00ED77E5">
        <w:rPr>
          <w:color w:val="212121"/>
          <w:szCs w:val="27"/>
          <w:shd w:val="clear" w:color="auto" w:fill="FFFFFF"/>
        </w:rPr>
        <w:t>28,</w:t>
      </w:r>
      <w:r w:rsidR="003526FC">
        <w:rPr>
          <w:color w:val="212121"/>
          <w:szCs w:val="27"/>
          <w:shd w:val="clear" w:color="auto" w:fill="FFFFFF"/>
        </w:rPr>
        <w:t> </w:t>
      </w:r>
      <w:r w:rsidR="00ED77E5">
        <w:rPr>
          <w:color w:val="212121"/>
          <w:szCs w:val="27"/>
          <w:shd w:val="clear" w:color="auto" w:fill="FFFFFF"/>
        </w:rPr>
        <w:t>2020 summary judgment motion</w:t>
      </w:r>
      <w:r w:rsidR="0008286F">
        <w:rPr>
          <w:color w:val="212121"/>
          <w:szCs w:val="27"/>
          <w:shd w:val="clear" w:color="auto" w:fill="FFFFFF"/>
        </w:rPr>
        <w:t xml:space="preserve">, </w:t>
      </w:r>
      <w:r w:rsidR="00ED77E5">
        <w:rPr>
          <w:color w:val="212121"/>
          <w:szCs w:val="27"/>
          <w:shd w:val="clear" w:color="auto" w:fill="FFFFFF"/>
        </w:rPr>
        <w:t xml:space="preserve">satisfied City’s obligation to disclose the name to Kinney.  Kinney’s </w:t>
      </w:r>
      <w:r w:rsidR="00676947">
        <w:rPr>
          <w:color w:val="212121"/>
          <w:szCs w:val="27"/>
          <w:shd w:val="clear" w:color="auto" w:fill="FFFFFF"/>
        </w:rPr>
        <w:t xml:space="preserve">CPRA petition </w:t>
      </w:r>
      <w:r w:rsidR="001F5CC7">
        <w:rPr>
          <w:color w:val="212121"/>
          <w:szCs w:val="27"/>
          <w:shd w:val="clear" w:color="auto" w:fill="FFFFFF"/>
        </w:rPr>
        <w:t xml:space="preserve">sought an order directing </w:t>
      </w:r>
      <w:r w:rsidR="00676947">
        <w:rPr>
          <w:color w:val="212121"/>
          <w:szCs w:val="27"/>
          <w:shd w:val="clear" w:color="auto" w:fill="FFFFFF"/>
        </w:rPr>
        <w:t>C</w:t>
      </w:r>
      <w:r w:rsidR="00ED77E5">
        <w:rPr>
          <w:color w:val="212121"/>
          <w:szCs w:val="27"/>
          <w:shd w:val="clear" w:color="auto" w:fill="FFFFFF"/>
        </w:rPr>
        <w:t>ity</w:t>
      </w:r>
      <w:r w:rsidR="006A0045">
        <w:rPr>
          <w:color w:val="212121"/>
          <w:szCs w:val="27"/>
          <w:shd w:val="clear" w:color="auto" w:fill="FFFFFF"/>
        </w:rPr>
        <w:t xml:space="preserve"> </w:t>
      </w:r>
      <w:r w:rsidR="001F5CC7">
        <w:rPr>
          <w:color w:val="212121"/>
          <w:szCs w:val="27"/>
          <w:shd w:val="clear" w:color="auto" w:fill="FFFFFF"/>
        </w:rPr>
        <w:t xml:space="preserve">to comply with its </w:t>
      </w:r>
      <w:r w:rsidR="00975859">
        <w:rPr>
          <w:color w:val="212121"/>
          <w:szCs w:val="27"/>
          <w:shd w:val="clear" w:color="auto" w:fill="FFFFFF"/>
        </w:rPr>
        <w:t xml:space="preserve">obligation under the CPRA to disclose the name </w:t>
      </w:r>
      <w:r w:rsidR="00975859" w:rsidRPr="00B21E69">
        <w:rPr>
          <w:i/>
          <w:iCs/>
          <w:color w:val="212121"/>
          <w:szCs w:val="27"/>
          <w:shd w:val="clear" w:color="auto" w:fill="FFFFFF"/>
        </w:rPr>
        <w:t>to Kinney</w:t>
      </w:r>
      <w:r w:rsidR="00975859">
        <w:rPr>
          <w:color w:val="212121"/>
          <w:szCs w:val="27"/>
          <w:shd w:val="clear" w:color="auto" w:fill="FFFFFF"/>
        </w:rPr>
        <w:t xml:space="preserve">.  The entire record shows City never would have disclosed the name to Kinney had Kinney not filed her </w:t>
      </w:r>
      <w:r w:rsidR="00D93E0C">
        <w:rPr>
          <w:color w:val="212121"/>
          <w:szCs w:val="27"/>
          <w:shd w:val="clear" w:color="auto" w:fill="FFFFFF"/>
        </w:rPr>
        <w:t>CPRA petition.</w:t>
      </w:r>
    </w:p>
    <w:p w14:paraId="55E14077" w14:textId="259C518E" w:rsidR="00B562A9" w:rsidRDefault="0038463E" w:rsidP="00FD2976">
      <w:pPr>
        <w:spacing w:line="480" w:lineRule="auto"/>
        <w:rPr>
          <w:color w:val="212121"/>
          <w:szCs w:val="27"/>
          <w:shd w:val="clear" w:color="auto" w:fill="FFFFFF"/>
        </w:rPr>
      </w:pPr>
      <w:r>
        <w:rPr>
          <w:color w:val="212121"/>
          <w:szCs w:val="27"/>
          <w:shd w:val="clear" w:color="auto" w:fill="FFFFFF"/>
        </w:rPr>
        <w:tab/>
        <w:t xml:space="preserve">Additionally, </w:t>
      </w:r>
      <w:r w:rsidRPr="007429E8">
        <w:rPr>
          <w:color w:val="212121"/>
          <w:szCs w:val="27"/>
          <w:shd w:val="clear" w:color="auto" w:fill="FFFFFF"/>
        </w:rPr>
        <w:t>if a plaintiff obtains only partial relief, the plaintiff is entitled to attorney fees unless the plaintiff obtains results “ ‘that are so minimal or insignificant as to justify a finding that the plaintiff did not [in fact] prevail.’ ”  (</w:t>
      </w:r>
      <w:r w:rsidR="00165342">
        <w:rPr>
          <w:i/>
          <w:iCs/>
          <w:color w:val="212121"/>
          <w:szCs w:val="27"/>
          <w:shd w:val="clear" w:color="auto" w:fill="FFFFFF"/>
        </w:rPr>
        <w:t>Sukumar</w:t>
      </w:r>
      <w:r w:rsidR="00165342" w:rsidRPr="00165342">
        <w:rPr>
          <w:color w:val="212121"/>
          <w:szCs w:val="27"/>
          <w:shd w:val="clear" w:color="auto" w:fill="FFFFFF"/>
        </w:rPr>
        <w:t>,</w:t>
      </w:r>
      <w:r w:rsidR="00165342">
        <w:rPr>
          <w:i/>
          <w:iCs/>
          <w:color w:val="212121"/>
          <w:szCs w:val="27"/>
          <w:shd w:val="clear" w:color="auto" w:fill="FFFFFF"/>
        </w:rPr>
        <w:t xml:space="preserve"> supra</w:t>
      </w:r>
      <w:r w:rsidR="00165342" w:rsidRPr="00165342">
        <w:rPr>
          <w:color w:val="212121"/>
          <w:szCs w:val="27"/>
          <w:shd w:val="clear" w:color="auto" w:fill="FFFFFF"/>
        </w:rPr>
        <w:t>,</w:t>
      </w:r>
      <w:r w:rsidRPr="007429E8">
        <w:rPr>
          <w:color w:val="212121"/>
          <w:szCs w:val="27"/>
          <w:shd w:val="clear" w:color="auto" w:fill="FFFFFF"/>
        </w:rPr>
        <w:t xml:space="preserve"> </w:t>
      </w:r>
      <w:r w:rsidR="00165342">
        <w:rPr>
          <w:color w:val="212121"/>
          <w:szCs w:val="27"/>
          <w:shd w:val="clear" w:color="auto" w:fill="FFFFFF"/>
        </w:rPr>
        <w:t xml:space="preserve">14 Cal.App.5th </w:t>
      </w:r>
      <w:r w:rsidRPr="007429E8">
        <w:rPr>
          <w:color w:val="212121"/>
          <w:szCs w:val="27"/>
          <w:shd w:val="clear" w:color="auto" w:fill="FFFFFF"/>
        </w:rPr>
        <w:t xml:space="preserve">at </w:t>
      </w:r>
      <w:r w:rsidR="00165342">
        <w:rPr>
          <w:color w:val="212121"/>
          <w:szCs w:val="27"/>
          <w:shd w:val="clear" w:color="auto" w:fill="FFFFFF"/>
        </w:rPr>
        <w:t xml:space="preserve">p. </w:t>
      </w:r>
      <w:r w:rsidRPr="007429E8">
        <w:rPr>
          <w:color w:val="212121"/>
          <w:szCs w:val="27"/>
          <w:shd w:val="clear" w:color="auto" w:fill="FFFFFF"/>
        </w:rPr>
        <w:t>464.)</w:t>
      </w:r>
      <w:r>
        <w:rPr>
          <w:color w:val="212121"/>
          <w:szCs w:val="27"/>
          <w:shd w:val="clear" w:color="auto" w:fill="FFFFFF"/>
        </w:rPr>
        <w:t xml:space="preserve">  The results Kinney obtained—the May 3, 2021 order directing City to disclose the name to Kinney—was not minimal or insignificant.  The order </w:t>
      </w:r>
      <w:r>
        <w:rPr>
          <w:color w:val="212121"/>
          <w:szCs w:val="27"/>
          <w:shd w:val="clear" w:color="auto" w:fill="FFFFFF"/>
        </w:rPr>
        <w:lastRenderedPageBreak/>
        <w:t>vindicated Kinney’s right</w:t>
      </w:r>
      <w:r w:rsidR="00435C5F">
        <w:rPr>
          <w:color w:val="212121"/>
          <w:szCs w:val="27"/>
          <w:shd w:val="clear" w:color="auto" w:fill="FFFFFF"/>
        </w:rPr>
        <w:t xml:space="preserve"> </w:t>
      </w:r>
      <w:r>
        <w:rPr>
          <w:color w:val="212121"/>
          <w:szCs w:val="27"/>
          <w:shd w:val="clear" w:color="auto" w:fill="FFFFFF"/>
        </w:rPr>
        <w:t xml:space="preserve">to the disclosure of the information sought in </w:t>
      </w:r>
      <w:r w:rsidR="000F7CA7">
        <w:rPr>
          <w:color w:val="212121"/>
          <w:szCs w:val="27"/>
          <w:shd w:val="clear" w:color="auto" w:fill="FFFFFF"/>
        </w:rPr>
        <w:t xml:space="preserve">Kinney’s </w:t>
      </w:r>
      <w:r>
        <w:rPr>
          <w:color w:val="212121"/>
          <w:szCs w:val="27"/>
          <w:shd w:val="clear" w:color="auto" w:fill="FFFFFF"/>
        </w:rPr>
        <w:t>CPRA request.</w:t>
      </w:r>
      <w:r w:rsidR="00D757C7">
        <w:rPr>
          <w:color w:val="212121"/>
          <w:szCs w:val="27"/>
          <w:shd w:val="clear" w:color="auto" w:fill="FFFFFF"/>
        </w:rPr>
        <w:t xml:space="preserve">  </w:t>
      </w:r>
      <w:r w:rsidR="00E505FD">
        <w:rPr>
          <w:color w:val="212121"/>
          <w:szCs w:val="27"/>
          <w:shd w:val="clear" w:color="auto" w:fill="FFFFFF"/>
        </w:rPr>
        <w:t xml:space="preserve">Thus, </w:t>
      </w:r>
      <w:r w:rsidR="0054167A" w:rsidRPr="00EC48F5">
        <w:rPr>
          <w:szCs w:val="27"/>
          <w:shd w:val="clear" w:color="auto" w:fill="FFFFFF"/>
        </w:rPr>
        <w:t>it</w:t>
      </w:r>
      <w:r w:rsidR="0054167A">
        <w:rPr>
          <w:color w:val="FF0000"/>
          <w:szCs w:val="27"/>
          <w:shd w:val="clear" w:color="auto" w:fill="FFFFFF"/>
        </w:rPr>
        <w:t xml:space="preserve"> </w:t>
      </w:r>
      <w:r w:rsidR="00E505FD">
        <w:rPr>
          <w:color w:val="212121"/>
          <w:szCs w:val="27"/>
          <w:shd w:val="clear" w:color="auto" w:fill="FFFFFF"/>
        </w:rPr>
        <w:t>is insignificant that Kinney’s declaratory relief claim was ruled moot</w:t>
      </w:r>
      <w:r w:rsidR="00284C65">
        <w:rPr>
          <w:color w:val="212121"/>
          <w:szCs w:val="27"/>
          <w:shd w:val="clear" w:color="auto" w:fill="FFFFFF"/>
        </w:rPr>
        <w:t xml:space="preserve">, and judgment on that claim was entered in favor of City, </w:t>
      </w:r>
      <w:r w:rsidR="00E505FD">
        <w:rPr>
          <w:color w:val="212121"/>
          <w:szCs w:val="27"/>
          <w:shd w:val="clear" w:color="auto" w:fill="FFFFFF"/>
        </w:rPr>
        <w:t>after the court granted the writ portion of Kinney’s CP</w:t>
      </w:r>
      <w:r w:rsidR="00EC48F5">
        <w:rPr>
          <w:color w:val="212121"/>
          <w:szCs w:val="27"/>
          <w:shd w:val="clear" w:color="auto" w:fill="FFFFFF"/>
        </w:rPr>
        <w:t>R</w:t>
      </w:r>
      <w:r w:rsidR="00E505FD">
        <w:rPr>
          <w:color w:val="212121"/>
          <w:szCs w:val="27"/>
          <w:shd w:val="clear" w:color="auto" w:fill="FFFFFF"/>
        </w:rPr>
        <w:t>A petition</w:t>
      </w:r>
      <w:r w:rsidR="00284C65">
        <w:rPr>
          <w:color w:val="212121"/>
          <w:szCs w:val="27"/>
          <w:shd w:val="clear" w:color="auto" w:fill="FFFFFF"/>
        </w:rPr>
        <w:t xml:space="preserve">.  </w:t>
      </w:r>
      <w:r w:rsidR="0079455E">
        <w:rPr>
          <w:color w:val="212121"/>
          <w:szCs w:val="27"/>
          <w:shd w:val="clear" w:color="auto" w:fill="FFFFFF"/>
        </w:rPr>
        <w:t xml:space="preserve">Kinney’s </w:t>
      </w:r>
      <w:r w:rsidR="00284C65">
        <w:rPr>
          <w:color w:val="212121"/>
          <w:szCs w:val="27"/>
          <w:shd w:val="clear" w:color="auto" w:fill="FFFFFF"/>
        </w:rPr>
        <w:t xml:space="preserve">declaratory relief claim was moot only because the </w:t>
      </w:r>
      <w:r w:rsidR="00303BB2">
        <w:rPr>
          <w:color w:val="212121"/>
          <w:szCs w:val="27"/>
          <w:shd w:val="clear" w:color="auto" w:fill="FFFFFF"/>
        </w:rPr>
        <w:t xml:space="preserve">May 3, 2021 </w:t>
      </w:r>
      <w:r w:rsidR="00284C65">
        <w:rPr>
          <w:color w:val="212121"/>
          <w:szCs w:val="27"/>
          <w:shd w:val="clear" w:color="auto" w:fill="FFFFFF"/>
        </w:rPr>
        <w:t xml:space="preserve">order directing City to disclose the name to Kinney left nothing </w:t>
      </w:r>
      <w:r w:rsidR="00A63E52">
        <w:rPr>
          <w:color w:val="212121"/>
          <w:szCs w:val="27"/>
          <w:shd w:val="clear" w:color="auto" w:fill="FFFFFF"/>
        </w:rPr>
        <w:t xml:space="preserve">further </w:t>
      </w:r>
      <w:r w:rsidR="00284C65">
        <w:rPr>
          <w:color w:val="212121"/>
          <w:szCs w:val="27"/>
          <w:shd w:val="clear" w:color="auto" w:fill="FFFFFF"/>
        </w:rPr>
        <w:t xml:space="preserve">for the court to </w:t>
      </w:r>
      <w:r w:rsidR="00FA6797">
        <w:rPr>
          <w:color w:val="212121"/>
          <w:szCs w:val="27"/>
          <w:shd w:val="clear" w:color="auto" w:fill="FFFFFF"/>
        </w:rPr>
        <w:t xml:space="preserve">declare or </w:t>
      </w:r>
      <w:r w:rsidR="00A63E52">
        <w:rPr>
          <w:color w:val="212121"/>
          <w:szCs w:val="27"/>
          <w:shd w:val="clear" w:color="auto" w:fill="FFFFFF"/>
        </w:rPr>
        <w:t xml:space="preserve">determine </w:t>
      </w:r>
      <w:r w:rsidR="00284C65">
        <w:rPr>
          <w:color w:val="212121"/>
          <w:szCs w:val="27"/>
          <w:shd w:val="clear" w:color="auto" w:fill="FFFFFF"/>
        </w:rPr>
        <w:t>regarding City</w:t>
      </w:r>
      <w:r w:rsidR="0079455E">
        <w:rPr>
          <w:color w:val="212121"/>
          <w:szCs w:val="27"/>
          <w:shd w:val="clear" w:color="auto" w:fill="FFFFFF"/>
        </w:rPr>
        <w:t>’s duty</w:t>
      </w:r>
      <w:r w:rsidR="00FA6797">
        <w:rPr>
          <w:color w:val="212121"/>
          <w:szCs w:val="27"/>
          <w:shd w:val="clear" w:color="auto" w:fill="FFFFFF"/>
        </w:rPr>
        <w:t xml:space="preserve">, </w:t>
      </w:r>
      <w:r w:rsidR="0079455E">
        <w:rPr>
          <w:color w:val="212121"/>
          <w:szCs w:val="27"/>
          <w:shd w:val="clear" w:color="auto" w:fill="FFFFFF"/>
        </w:rPr>
        <w:t>under the CPRA</w:t>
      </w:r>
      <w:r w:rsidR="00FA6797">
        <w:rPr>
          <w:color w:val="212121"/>
          <w:szCs w:val="27"/>
          <w:shd w:val="clear" w:color="auto" w:fill="FFFFFF"/>
        </w:rPr>
        <w:t xml:space="preserve">, </w:t>
      </w:r>
      <w:r w:rsidR="0079455E">
        <w:rPr>
          <w:color w:val="212121"/>
          <w:szCs w:val="27"/>
          <w:shd w:val="clear" w:color="auto" w:fill="FFFFFF"/>
        </w:rPr>
        <w:t>to disclose the name to Kinney.</w:t>
      </w:r>
    </w:p>
    <w:p w14:paraId="0AEFB771" w14:textId="2C3C7A92" w:rsidR="0081238F" w:rsidRPr="00D279AC" w:rsidRDefault="0038463E" w:rsidP="005F48DB">
      <w:pPr>
        <w:spacing w:line="480" w:lineRule="auto"/>
        <w:rPr>
          <w:i/>
          <w:iCs/>
          <w:color w:val="212121"/>
          <w:szCs w:val="27"/>
          <w:shd w:val="clear" w:color="auto" w:fill="FFFFFF"/>
        </w:rPr>
      </w:pPr>
      <w:r>
        <w:rPr>
          <w:color w:val="212121"/>
          <w:szCs w:val="27"/>
          <w:shd w:val="clear" w:color="auto" w:fill="FFFFFF"/>
        </w:rPr>
        <w:t>B</w:t>
      </w:r>
      <w:r w:rsidRPr="001405AA">
        <w:rPr>
          <w:color w:val="212121"/>
          <w:szCs w:val="27"/>
          <w:shd w:val="clear" w:color="auto" w:fill="FFFFFF"/>
        </w:rPr>
        <w:t xml:space="preserve">.  </w:t>
      </w:r>
      <w:r w:rsidR="00112745" w:rsidRPr="007969AD">
        <w:rPr>
          <w:i/>
          <w:iCs/>
          <w:color w:val="212121"/>
          <w:szCs w:val="27"/>
          <w:shd w:val="clear" w:color="auto" w:fill="FFFFFF"/>
        </w:rPr>
        <w:t>City</w:t>
      </w:r>
      <w:r w:rsidR="00112745" w:rsidRPr="003526FC">
        <w:rPr>
          <w:color w:val="212121"/>
          <w:szCs w:val="27"/>
          <w:shd w:val="clear" w:color="auto" w:fill="FFFFFF"/>
        </w:rPr>
        <w:t>’</w:t>
      </w:r>
      <w:r w:rsidR="00112745" w:rsidRPr="007969AD">
        <w:rPr>
          <w:i/>
          <w:iCs/>
          <w:color w:val="212121"/>
          <w:szCs w:val="27"/>
          <w:shd w:val="clear" w:color="auto" w:fill="FFFFFF"/>
        </w:rPr>
        <w:t>s</w:t>
      </w:r>
      <w:r w:rsidR="00112745">
        <w:rPr>
          <w:color w:val="212121"/>
          <w:szCs w:val="27"/>
          <w:shd w:val="clear" w:color="auto" w:fill="FFFFFF"/>
        </w:rPr>
        <w:t xml:space="preserve"> </w:t>
      </w:r>
      <w:r w:rsidR="00C01E46">
        <w:rPr>
          <w:i/>
          <w:iCs/>
          <w:color w:val="212121"/>
          <w:szCs w:val="27"/>
          <w:shd w:val="clear" w:color="auto" w:fill="FFFFFF"/>
        </w:rPr>
        <w:t>Section</w:t>
      </w:r>
      <w:r w:rsidR="006A0045">
        <w:rPr>
          <w:i/>
          <w:iCs/>
          <w:color w:val="212121"/>
          <w:szCs w:val="27"/>
          <w:shd w:val="clear" w:color="auto" w:fill="FFFFFF"/>
        </w:rPr>
        <w:t xml:space="preserve"> 998</w:t>
      </w:r>
      <w:r w:rsidR="00C01E46">
        <w:rPr>
          <w:i/>
          <w:iCs/>
          <w:color w:val="212121"/>
          <w:szCs w:val="27"/>
          <w:shd w:val="clear" w:color="auto" w:fill="FFFFFF"/>
        </w:rPr>
        <w:t xml:space="preserve"> </w:t>
      </w:r>
      <w:r w:rsidRPr="00D279AC">
        <w:rPr>
          <w:i/>
          <w:iCs/>
          <w:color w:val="212121"/>
          <w:szCs w:val="27"/>
          <w:shd w:val="clear" w:color="auto" w:fill="FFFFFF"/>
        </w:rPr>
        <w:t xml:space="preserve">Offer Was </w:t>
      </w:r>
      <w:r w:rsidR="00D279AC" w:rsidRPr="00D279AC">
        <w:rPr>
          <w:i/>
          <w:iCs/>
          <w:color w:val="212121"/>
          <w:szCs w:val="27"/>
          <w:shd w:val="clear" w:color="auto" w:fill="FFFFFF"/>
        </w:rPr>
        <w:t>Una</w:t>
      </w:r>
      <w:r w:rsidRPr="00D279AC">
        <w:rPr>
          <w:i/>
          <w:iCs/>
          <w:color w:val="212121"/>
          <w:szCs w:val="27"/>
          <w:shd w:val="clear" w:color="auto" w:fill="FFFFFF"/>
        </w:rPr>
        <w:t xml:space="preserve">mbiguous </w:t>
      </w:r>
      <w:r w:rsidR="004B4970" w:rsidRPr="00D279AC">
        <w:rPr>
          <w:i/>
          <w:iCs/>
          <w:color w:val="212121"/>
          <w:szCs w:val="27"/>
          <w:shd w:val="clear" w:color="auto" w:fill="FFFFFF"/>
        </w:rPr>
        <w:t xml:space="preserve">and </w:t>
      </w:r>
      <w:r w:rsidR="00D279AC" w:rsidRPr="00D279AC">
        <w:rPr>
          <w:i/>
          <w:iCs/>
          <w:color w:val="212121"/>
          <w:szCs w:val="27"/>
          <w:shd w:val="clear" w:color="auto" w:fill="FFFFFF"/>
        </w:rPr>
        <w:t xml:space="preserve">Therefore </w:t>
      </w:r>
      <w:r w:rsidR="004B4970" w:rsidRPr="00D279AC">
        <w:rPr>
          <w:i/>
          <w:iCs/>
          <w:color w:val="212121"/>
          <w:szCs w:val="27"/>
          <w:shd w:val="clear" w:color="auto" w:fill="FFFFFF"/>
        </w:rPr>
        <w:t>Enforce</w:t>
      </w:r>
      <w:r w:rsidR="00D279AC" w:rsidRPr="00D279AC">
        <w:rPr>
          <w:i/>
          <w:iCs/>
          <w:color w:val="212121"/>
          <w:szCs w:val="27"/>
          <w:shd w:val="clear" w:color="auto" w:fill="FFFFFF"/>
        </w:rPr>
        <w:t>able</w:t>
      </w:r>
    </w:p>
    <w:p w14:paraId="30C71273" w14:textId="48B75709" w:rsidR="00E95A3F" w:rsidRPr="0071269E" w:rsidRDefault="0038463E" w:rsidP="00C94A22">
      <w:pPr>
        <w:spacing w:line="480" w:lineRule="auto"/>
        <w:rPr>
          <w:b/>
          <w:bCs/>
        </w:rPr>
      </w:pPr>
      <w:r>
        <w:rPr>
          <w:i/>
          <w:iCs/>
          <w:color w:val="212121"/>
          <w:szCs w:val="27"/>
          <w:shd w:val="clear" w:color="auto" w:fill="FFFFFF"/>
        </w:rPr>
        <w:tab/>
      </w:r>
      <w:r w:rsidRPr="008D60AA">
        <w:t xml:space="preserve">City </w:t>
      </w:r>
      <w:r w:rsidR="00961DAC">
        <w:t xml:space="preserve">principally </w:t>
      </w:r>
      <w:r w:rsidRPr="008D60AA">
        <w:t>claims</w:t>
      </w:r>
      <w:r>
        <w:t xml:space="preserve"> the </w:t>
      </w:r>
      <w:r w:rsidR="00ED7607">
        <w:t xml:space="preserve">trial </w:t>
      </w:r>
      <w:r>
        <w:t xml:space="preserve">court </w:t>
      </w:r>
      <w:r w:rsidRPr="008D60AA">
        <w:t xml:space="preserve">erroneously </w:t>
      </w:r>
      <w:r w:rsidR="00B80BE1">
        <w:t xml:space="preserve">concluded </w:t>
      </w:r>
      <w:r w:rsidR="00961DAC">
        <w:t xml:space="preserve">that </w:t>
      </w:r>
      <w:r w:rsidR="00B80BE1">
        <w:t xml:space="preserve">City’s </w:t>
      </w:r>
      <w:r w:rsidR="00961DAC">
        <w:t>February</w:t>
      </w:r>
      <w:r w:rsidR="00AA36A1">
        <w:t> </w:t>
      </w:r>
      <w:r w:rsidR="00961DAC">
        <w:t xml:space="preserve">14, 2020 </w:t>
      </w:r>
      <w:r w:rsidR="00ED7607">
        <w:t xml:space="preserve">section </w:t>
      </w:r>
      <w:r w:rsidR="00B80BE1">
        <w:t xml:space="preserve">998 offer </w:t>
      </w:r>
      <w:r w:rsidR="0052635A">
        <w:t xml:space="preserve">was </w:t>
      </w:r>
      <w:r w:rsidR="00A8769F">
        <w:t xml:space="preserve">invalid and </w:t>
      </w:r>
      <w:r w:rsidR="00951B0C">
        <w:t>un</w:t>
      </w:r>
      <w:r w:rsidR="0052635A">
        <w:t>enforceable</w:t>
      </w:r>
      <w:r w:rsidR="006A0045">
        <w:t xml:space="preserve"> </w:t>
      </w:r>
      <w:r w:rsidR="0052635A">
        <w:t xml:space="preserve">because </w:t>
      </w:r>
      <w:r w:rsidR="00511B7D">
        <w:t xml:space="preserve">it </w:t>
      </w:r>
      <w:r w:rsidR="0052635A">
        <w:t xml:space="preserve">was </w:t>
      </w:r>
      <w:r w:rsidR="00961DAC">
        <w:t xml:space="preserve">ambiguous, or </w:t>
      </w:r>
      <w:r w:rsidR="007B4BD1">
        <w:t xml:space="preserve">insufficiently </w:t>
      </w:r>
      <w:r w:rsidR="005205B3">
        <w:t>specific</w:t>
      </w:r>
      <w:r w:rsidR="00961DAC">
        <w:t xml:space="preserve">, </w:t>
      </w:r>
      <w:r w:rsidR="00A37C21">
        <w:t xml:space="preserve">as to </w:t>
      </w:r>
      <w:r w:rsidR="004F0FB4" w:rsidRPr="005205B3">
        <w:rPr>
          <w:i/>
          <w:iCs/>
        </w:rPr>
        <w:t xml:space="preserve">whom </w:t>
      </w:r>
      <w:r w:rsidR="004F0FB4">
        <w:t xml:space="preserve">City </w:t>
      </w:r>
      <w:r w:rsidR="00D35036">
        <w:t xml:space="preserve">was proposing to </w:t>
      </w:r>
      <w:r w:rsidR="004F0FB4">
        <w:t>disclose the crime victim</w:t>
      </w:r>
      <w:r w:rsidR="004B4970">
        <w:t>’s name</w:t>
      </w:r>
      <w:r w:rsidR="00961DAC">
        <w:t>—Kinney or a third party, such as Austin</w:t>
      </w:r>
      <w:r w:rsidR="004F0FB4">
        <w:t>.</w:t>
      </w:r>
      <w:r w:rsidR="009379D0">
        <w:t xml:space="preserve">  </w:t>
      </w:r>
      <w:r w:rsidR="00B974C8">
        <w:t xml:space="preserve">Thus, </w:t>
      </w:r>
      <w:r w:rsidR="004F0FB4">
        <w:t xml:space="preserve">City </w:t>
      </w:r>
      <w:r w:rsidR="00D4101F">
        <w:t xml:space="preserve">claims </w:t>
      </w:r>
      <w:r w:rsidR="004F0FB4">
        <w:t xml:space="preserve">the court </w:t>
      </w:r>
      <w:r w:rsidR="00A37C21">
        <w:t xml:space="preserve">erroneously </w:t>
      </w:r>
      <w:r>
        <w:t>award</w:t>
      </w:r>
      <w:r w:rsidR="00A37C21">
        <w:t xml:space="preserve">ed </w:t>
      </w:r>
      <w:r>
        <w:t xml:space="preserve">Kinney </w:t>
      </w:r>
      <w:r w:rsidR="00A37C21">
        <w:t xml:space="preserve">any </w:t>
      </w:r>
      <w:r w:rsidRPr="00F86B97">
        <w:rPr>
          <w:i/>
          <w:iCs/>
        </w:rPr>
        <w:t>postoffer</w:t>
      </w:r>
      <w:r>
        <w:t xml:space="preserve"> </w:t>
      </w:r>
      <w:r w:rsidR="00A37C21">
        <w:t xml:space="preserve">attorney </w:t>
      </w:r>
      <w:r>
        <w:t>fees</w:t>
      </w:r>
      <w:r w:rsidR="00D07ECC">
        <w:t xml:space="preserve"> </w:t>
      </w:r>
      <w:r w:rsidR="00951B0C">
        <w:t>(§ 998, subd. (c)(1))</w:t>
      </w:r>
      <w:r w:rsidR="00D369E4">
        <w:t xml:space="preserve">, or fees incurred after the offer was made on February 14, 2020.  </w:t>
      </w:r>
      <w:r w:rsidR="00363D91">
        <w:t xml:space="preserve">City claims </w:t>
      </w:r>
      <w:r w:rsidR="00736E91">
        <w:t>Kinney’s fees must be limited to $2,4</w:t>
      </w:r>
      <w:r w:rsidR="006820B7">
        <w:t>75,</w:t>
      </w:r>
      <w:r w:rsidR="00736E91">
        <w:t xml:space="preserve"> the amount </w:t>
      </w:r>
      <w:r w:rsidR="00363D91">
        <w:t xml:space="preserve">Kinney </w:t>
      </w:r>
      <w:r w:rsidR="00E25CDE">
        <w:t xml:space="preserve">incurred </w:t>
      </w:r>
      <w:r w:rsidR="0079712B">
        <w:t>with Tora</w:t>
      </w:r>
      <w:r w:rsidR="002C7432">
        <w:t>a</w:t>
      </w:r>
      <w:r w:rsidR="0079712B">
        <w:t>son</w:t>
      </w:r>
      <w:r w:rsidR="00D369E4">
        <w:t xml:space="preserve">, at Torasson’s requested </w:t>
      </w:r>
      <w:r w:rsidR="00DB1779">
        <w:t xml:space="preserve">and unreduced </w:t>
      </w:r>
      <w:r w:rsidR="00D369E4">
        <w:t xml:space="preserve">hourly rate of $495, </w:t>
      </w:r>
      <w:r w:rsidR="0079712B">
        <w:t xml:space="preserve">through </w:t>
      </w:r>
      <w:r w:rsidR="00E25CDE">
        <w:t>February 14, 20</w:t>
      </w:r>
      <w:r w:rsidR="005F41D7">
        <w:t>20</w:t>
      </w:r>
      <w:r w:rsidR="00994480">
        <w:t xml:space="preserve">.  </w:t>
      </w:r>
      <w:r w:rsidR="00C94A22">
        <w:t>We agree.</w:t>
      </w:r>
    </w:p>
    <w:p w14:paraId="21EB9DB5" w14:textId="6791CB1B" w:rsidR="00DF5B7A" w:rsidRDefault="0038463E" w:rsidP="005F3E50">
      <w:pPr>
        <w:spacing w:line="480" w:lineRule="auto"/>
      </w:pPr>
      <w:r>
        <w:tab/>
        <w:t>1</w:t>
      </w:r>
      <w:r w:rsidR="00D76C36">
        <w:t xml:space="preserve">.  </w:t>
      </w:r>
      <w:r w:rsidRPr="00DF5B7A">
        <w:rPr>
          <w:u w:val="single"/>
        </w:rPr>
        <w:t>Section 998</w:t>
      </w:r>
    </w:p>
    <w:p w14:paraId="4E479341" w14:textId="1BFC60D0" w:rsidR="00E43332" w:rsidRDefault="0038463E" w:rsidP="00B36D32">
      <w:pPr>
        <w:spacing w:line="480" w:lineRule="auto"/>
      </w:pPr>
      <w:r>
        <w:tab/>
      </w:r>
      <w:r w:rsidR="009A0AF2">
        <w:t xml:space="preserve">As a general rule, a prevailing party in civil litigation is entitled to recover </w:t>
      </w:r>
      <w:r w:rsidR="002B4BEC">
        <w:t xml:space="preserve">the party’s </w:t>
      </w:r>
      <w:r w:rsidR="00CE619F">
        <w:t>“</w:t>
      </w:r>
      <w:r w:rsidR="009A0AF2">
        <w:t>costs</w:t>
      </w:r>
      <w:r w:rsidR="00CE619F">
        <w:t>”</w:t>
      </w:r>
      <w:r w:rsidR="009A0AF2">
        <w:t xml:space="preserve"> </w:t>
      </w:r>
      <w:r w:rsidR="00941272">
        <w:t xml:space="preserve">in the </w:t>
      </w:r>
      <w:r w:rsidR="00AD781B">
        <w:t>litigation</w:t>
      </w:r>
      <w:r w:rsidR="004D0210">
        <w:t xml:space="preserve">.  </w:t>
      </w:r>
      <w:r w:rsidR="009A0AF2">
        <w:t>(§ 1032</w:t>
      </w:r>
      <w:r w:rsidR="00941272">
        <w:t>.</w:t>
      </w:r>
      <w:r w:rsidR="009A0AF2">
        <w:t>)</w:t>
      </w:r>
      <w:r w:rsidR="00941272">
        <w:t xml:space="preserve"> </w:t>
      </w:r>
      <w:r w:rsidR="00015486">
        <w:t xml:space="preserve"> </w:t>
      </w:r>
      <w:r w:rsidR="004D0210">
        <w:t xml:space="preserve">Recoverable </w:t>
      </w:r>
      <w:r w:rsidR="00015486">
        <w:t>c</w:t>
      </w:r>
      <w:r w:rsidR="00941272">
        <w:t xml:space="preserve">osts </w:t>
      </w:r>
      <w:r w:rsidR="00CE619F">
        <w:t>include attorney fees</w:t>
      </w:r>
      <w:r w:rsidR="00941272">
        <w:t xml:space="preserve"> </w:t>
      </w:r>
      <w:r w:rsidR="00CE619F">
        <w:t>when authorized by statute.  (§ 1033.5</w:t>
      </w:r>
      <w:r w:rsidR="000E3209">
        <w:t>, subd. (a)(10)(B)</w:t>
      </w:r>
      <w:r w:rsidR="00CE619F">
        <w:t xml:space="preserve">.)  </w:t>
      </w:r>
      <w:r w:rsidR="00CA6B76">
        <w:t xml:space="preserve">Section </w:t>
      </w:r>
      <w:r w:rsidR="00231EB9">
        <w:t>998</w:t>
      </w:r>
      <w:r w:rsidR="003B2E76">
        <w:t xml:space="preserve"> </w:t>
      </w:r>
      <w:r w:rsidR="009B0412">
        <w:t>“</w:t>
      </w:r>
      <w:r w:rsidR="000447DB">
        <w:t xml:space="preserve"> ‘</w:t>
      </w:r>
      <w:r w:rsidR="009B0412">
        <w:t>establish</w:t>
      </w:r>
      <w:r w:rsidR="004D20ED">
        <w:t xml:space="preserve">es </w:t>
      </w:r>
      <w:r w:rsidR="00596F13">
        <w:t>a procedure to shift costs if a party fails to accept a reasonable settlement offer before trial</w:t>
      </w:r>
      <w:r w:rsidR="003557BA">
        <w:t>.’</w:t>
      </w:r>
      <w:r w:rsidR="00B84EED">
        <w:t> </w:t>
      </w:r>
      <w:r w:rsidR="003557BA">
        <w:t xml:space="preserve">”  </w:t>
      </w:r>
      <w:r w:rsidR="00B32CF4">
        <w:t>(</w:t>
      </w:r>
      <w:r w:rsidR="00B32CF4" w:rsidRPr="0078383D">
        <w:rPr>
          <w:i/>
          <w:iCs/>
        </w:rPr>
        <w:t>Oakes v. Progressive Transp. Servs.</w:t>
      </w:r>
      <w:r w:rsidR="00B32CF4" w:rsidRPr="00B84EED">
        <w:t>,</w:t>
      </w:r>
      <w:r w:rsidR="00B32CF4" w:rsidRPr="0078383D">
        <w:rPr>
          <w:i/>
          <w:iCs/>
        </w:rPr>
        <w:t xml:space="preserve"> Inc.</w:t>
      </w:r>
      <w:r w:rsidR="00B32CF4">
        <w:t xml:space="preserve"> (2021) 71 Cal.App.5th 486, 497</w:t>
      </w:r>
      <w:r w:rsidR="006A073B">
        <w:t xml:space="preserve">.)  </w:t>
      </w:r>
      <w:r w:rsidR="0013537D">
        <w:t xml:space="preserve">The </w:t>
      </w:r>
      <w:r w:rsidR="002C2D01">
        <w:lastRenderedPageBreak/>
        <w:t xml:space="preserve">statute </w:t>
      </w:r>
      <w:r w:rsidR="00F355DE">
        <w:t>provides</w:t>
      </w:r>
      <w:r w:rsidR="00E0611E">
        <w:t xml:space="preserve">: </w:t>
      </w:r>
      <w:r w:rsidR="00055EB2">
        <w:t xml:space="preserve"> </w:t>
      </w:r>
      <w:r w:rsidR="00F20B6E">
        <w:t>“</w:t>
      </w:r>
      <w:r w:rsidR="00165342">
        <w:t>[</w:t>
      </w:r>
      <w:r w:rsidR="00E27175">
        <w:t>i</w:t>
      </w:r>
      <w:r w:rsidR="00070FFE">
        <w:t>]</w:t>
      </w:r>
      <w:r w:rsidR="00E27175">
        <w:t xml:space="preserve">f </w:t>
      </w:r>
      <w:r w:rsidR="00F20B6E">
        <w:t xml:space="preserve">an offer made </w:t>
      </w:r>
      <w:r w:rsidR="00CD33D0">
        <w:t>b</w:t>
      </w:r>
      <w:r w:rsidR="00F20B6E">
        <w:t>y a defen</w:t>
      </w:r>
      <w:r w:rsidR="00CD33D0">
        <w:t xml:space="preserve">dant is not accepted and the plaintiff fails </w:t>
      </w:r>
      <w:r w:rsidR="004F6D82">
        <w:t xml:space="preserve">to obtain a more favorable judgment or award, the plaintiff </w:t>
      </w:r>
      <w:r w:rsidR="008615D6">
        <w:t xml:space="preserve">shall not recover his or her postoffer costs . . . .”  </w:t>
      </w:r>
      <w:r w:rsidR="00F355DE">
        <w:t>(§ 998, subd. (c)(1)</w:t>
      </w:r>
      <w:r w:rsidR="009110D0">
        <w:t>.)</w:t>
      </w:r>
      <w:r w:rsidR="002F7978">
        <w:t xml:space="preserve"> </w:t>
      </w:r>
      <w:r w:rsidR="00470486">
        <w:t xml:space="preserve"> </w:t>
      </w:r>
      <w:r w:rsidR="00B27DF2">
        <w:t xml:space="preserve">A </w:t>
      </w:r>
      <w:r w:rsidR="00CA6B76">
        <w:t xml:space="preserve">section </w:t>
      </w:r>
      <w:r w:rsidR="00B27DF2">
        <w:t>998 offer must be in writing</w:t>
      </w:r>
      <w:r w:rsidR="008935DF">
        <w:t xml:space="preserve">, </w:t>
      </w:r>
      <w:r w:rsidR="00F63E8C">
        <w:t xml:space="preserve">must </w:t>
      </w:r>
      <w:r w:rsidR="00CA4F72">
        <w:t xml:space="preserve">be </w:t>
      </w:r>
      <w:r w:rsidR="008935DF">
        <w:t xml:space="preserve">served on the </w:t>
      </w:r>
      <w:r w:rsidR="00014EEC">
        <w:t xml:space="preserve">offeree, </w:t>
      </w:r>
      <w:r w:rsidR="00B27DF2">
        <w:t xml:space="preserve">and </w:t>
      </w:r>
      <w:r w:rsidR="00F63E8C">
        <w:t xml:space="preserve">must </w:t>
      </w:r>
      <w:r w:rsidR="00B27DF2">
        <w:t>allow judgme</w:t>
      </w:r>
      <w:r w:rsidR="00255E69">
        <w:t xml:space="preserve">nt </w:t>
      </w:r>
      <w:r w:rsidR="00B27DF2">
        <w:t xml:space="preserve">to be taken </w:t>
      </w:r>
      <w:r w:rsidR="0089415B">
        <w:t xml:space="preserve">or an award to be entered in </w:t>
      </w:r>
      <w:r w:rsidR="00B27DF2">
        <w:t xml:space="preserve">accordance with </w:t>
      </w:r>
      <w:r w:rsidR="00255E69">
        <w:t>the terms and conditions</w:t>
      </w:r>
      <w:r w:rsidR="0089415B">
        <w:t xml:space="preserve"> stated in the offer</w:t>
      </w:r>
      <w:r w:rsidR="00255E69">
        <w:t>.  (§ 998, subd. (</w:t>
      </w:r>
      <w:r w:rsidR="0089415B">
        <w:t>b</w:t>
      </w:r>
      <w:r w:rsidR="00255E69">
        <w:t>).)</w:t>
      </w:r>
    </w:p>
    <w:p w14:paraId="264C0A3E" w14:textId="031C8AF8" w:rsidR="00B36D32" w:rsidRDefault="0038463E" w:rsidP="00B36D32">
      <w:pPr>
        <w:spacing w:line="480" w:lineRule="auto"/>
        <w:rPr>
          <w:rStyle w:val="ssrfcpassagedeactivated"/>
          <w:color w:val="212121"/>
          <w:szCs w:val="27"/>
          <w:bdr w:val="none" w:sz="0" w:space="0" w:color="auto" w:frame="1"/>
          <w:shd w:val="clear" w:color="auto" w:fill="FFFFFF"/>
        </w:rPr>
      </w:pPr>
      <w:r>
        <w:tab/>
      </w:r>
      <w:r w:rsidR="00C57CF1">
        <w:rPr>
          <w:rStyle w:val="ssrfcpassagedeactivated"/>
          <w:color w:val="212121"/>
          <w:szCs w:val="27"/>
          <w:bdr w:val="none" w:sz="0" w:space="0" w:color="auto" w:frame="1"/>
          <w:shd w:val="clear" w:color="auto" w:fill="FFFFFF"/>
        </w:rPr>
        <w:t xml:space="preserve">A </w:t>
      </w:r>
      <w:r w:rsidR="006C3719">
        <w:rPr>
          <w:rStyle w:val="ssrfcpassagedeactivated"/>
          <w:color w:val="212121"/>
          <w:szCs w:val="27"/>
          <w:bdr w:val="none" w:sz="0" w:space="0" w:color="auto" w:frame="1"/>
          <w:shd w:val="clear" w:color="auto" w:fill="FFFFFF"/>
        </w:rPr>
        <w:t xml:space="preserve">section 998 offer </w:t>
      </w:r>
      <w:r w:rsidR="002F741E">
        <w:rPr>
          <w:rStyle w:val="ssrfcpassagedeactivated"/>
          <w:color w:val="212121"/>
          <w:szCs w:val="27"/>
          <w:bdr w:val="none" w:sz="0" w:space="0" w:color="auto" w:frame="1"/>
          <w:shd w:val="clear" w:color="auto" w:fill="FFFFFF"/>
        </w:rPr>
        <w:t xml:space="preserve">must also </w:t>
      </w:r>
      <w:r w:rsidR="00F95BE3">
        <w:t>“</w:t>
      </w:r>
      <w:r w:rsidR="00424FD5">
        <w:t>be sufficiently specific to all</w:t>
      </w:r>
      <w:r w:rsidR="00003A20">
        <w:t>ow</w:t>
      </w:r>
      <w:r w:rsidR="00424FD5">
        <w:t xml:space="preserve"> the recipient to evaluate the worth of the offer and make a reasoned decision whether to accept the offer.</w:t>
      </w:r>
      <w:r w:rsidR="00341CC9">
        <w:t xml:space="preserve">  </w:t>
      </w:r>
      <w:r w:rsidR="00070FFE">
        <w:t xml:space="preserve">[Citation.]  </w:t>
      </w:r>
      <w:r w:rsidR="00424FD5">
        <w:t xml:space="preserve">Any nonmonetary terms </w:t>
      </w:r>
      <w:r w:rsidR="00DA1314">
        <w:t xml:space="preserve">or </w:t>
      </w:r>
      <w:r w:rsidR="00424FD5">
        <w:t xml:space="preserve">conditions must be sufficiently certain </w:t>
      </w:r>
      <w:r w:rsidR="00DA1314">
        <w:t>and capable of valuation to allow the court to determine whether the judgment is more favorable than the offer.</w:t>
      </w:r>
      <w:r w:rsidR="00F95BE3">
        <w:t xml:space="preserve">” </w:t>
      </w:r>
      <w:r w:rsidR="0017731C">
        <w:t xml:space="preserve"> </w:t>
      </w:r>
      <w:r w:rsidR="001F0485">
        <w:t>(</w:t>
      </w:r>
      <w:r w:rsidR="001F0485" w:rsidRPr="008D5BCA">
        <w:rPr>
          <w:i/>
          <w:iCs/>
        </w:rPr>
        <w:t>Fassberg  Construction Co.</w:t>
      </w:r>
      <w:r w:rsidR="001F0485" w:rsidRPr="00C8440B">
        <w:t>,</w:t>
      </w:r>
      <w:r w:rsidR="001F0485" w:rsidRPr="008D5BCA">
        <w:rPr>
          <w:i/>
          <w:iCs/>
        </w:rPr>
        <w:t xml:space="preserve"> v. Housing Authority of City of Los Angeles</w:t>
      </w:r>
      <w:r w:rsidR="001F0485">
        <w:t xml:space="preserve"> (2007) 152 Cal.App.4th 7</w:t>
      </w:r>
      <w:r w:rsidR="00070FFE">
        <w:t>2</w:t>
      </w:r>
      <w:r w:rsidR="001F0485">
        <w:t>0, 764</w:t>
      </w:r>
      <w:r w:rsidR="00070FFE">
        <w:t xml:space="preserve"> (</w:t>
      </w:r>
      <w:r w:rsidR="00070FFE" w:rsidRPr="00070FFE">
        <w:rPr>
          <w:i/>
          <w:iCs/>
        </w:rPr>
        <w:t>Fassberg</w:t>
      </w:r>
      <w:r w:rsidR="00070FFE">
        <w:t>)</w:t>
      </w:r>
      <w:r w:rsidR="009B07B0">
        <w:t xml:space="preserve">; </w:t>
      </w:r>
      <w:r w:rsidR="009B07B0" w:rsidRPr="005276DF">
        <w:rPr>
          <w:i/>
          <w:iCs/>
        </w:rPr>
        <w:t>Glassman v</w:t>
      </w:r>
      <w:r w:rsidR="008D6556">
        <w:rPr>
          <w:i/>
          <w:iCs/>
        </w:rPr>
        <w:t>.</w:t>
      </w:r>
      <w:r w:rsidR="009B07B0" w:rsidRPr="005276DF">
        <w:rPr>
          <w:i/>
          <w:iCs/>
        </w:rPr>
        <w:t xml:space="preserve"> Safeco Inc. Co. of Americ</w:t>
      </w:r>
      <w:r w:rsidR="009B07B0">
        <w:t>a (2023) 90 Cal.App.5th 12</w:t>
      </w:r>
      <w:r w:rsidR="00070FFE">
        <w:t>8</w:t>
      </w:r>
      <w:r w:rsidR="009B07B0">
        <w:t>1, 1313</w:t>
      </w:r>
      <w:r w:rsidR="00C93AB8">
        <w:t xml:space="preserve">.) </w:t>
      </w:r>
      <w:r w:rsidR="008053CF">
        <w:t xml:space="preserve"> </w:t>
      </w:r>
      <w:r>
        <w:t xml:space="preserve">Although “ </w:t>
      </w:r>
      <w:r w:rsidR="00070FFE">
        <w:t>[</w:t>
      </w:r>
      <w:r>
        <w:t>no</w:t>
      </w:r>
      <w:r w:rsidR="00070FFE">
        <w:t>]</w:t>
      </w:r>
      <w:r>
        <w:t xml:space="preserve"> </w:t>
      </w:r>
      <w:r w:rsidR="00070FFE">
        <w:t>‘</w:t>
      </w:r>
      <w:r>
        <w:t>particular language’ is required for a section 998 offer” (</w:t>
      </w:r>
      <w:r w:rsidRPr="00F14352">
        <w:rPr>
          <w:i/>
          <w:iCs/>
        </w:rPr>
        <w:t>Rojas v. HSB</w:t>
      </w:r>
      <w:r w:rsidR="00204020">
        <w:rPr>
          <w:i/>
          <w:iCs/>
        </w:rPr>
        <w:t>C</w:t>
      </w:r>
      <w:r w:rsidRPr="00F14352">
        <w:rPr>
          <w:i/>
          <w:iCs/>
        </w:rPr>
        <w:t xml:space="preserve"> Card Services Inc.</w:t>
      </w:r>
      <w:r>
        <w:t xml:space="preserve"> (2023) 93</w:t>
      </w:r>
      <w:r w:rsidR="00204020">
        <w:t> </w:t>
      </w:r>
      <w:r>
        <w:t>Cal.App.</w:t>
      </w:r>
      <w:r w:rsidR="00070FFE">
        <w:t>5</w:t>
      </w:r>
      <w:r>
        <w:t>th 860, 896), “</w:t>
      </w:r>
      <w:r w:rsidR="00204020">
        <w:t>[</w:t>
      </w:r>
      <w:r>
        <w:t>t</w:t>
      </w:r>
      <w:r w:rsidR="00204020">
        <w:t>]</w:t>
      </w:r>
      <w:r>
        <w:t>he party extending the statutory offer of compromise bears the burden of assuring the offer is drafted with sufficient precision to satisfy the requirements of section 998</w:t>
      </w:r>
      <w:r w:rsidR="00204020">
        <w:t>.</w:t>
      </w:r>
      <w:r>
        <w:t xml:space="preserve">  [Citation.]  To that end, a section 998 offer is construed strictly in favor of the party sought to be subjected to its operation.”  (</w:t>
      </w:r>
      <w:r w:rsidRPr="00024F60">
        <w:rPr>
          <w:i/>
          <w:iCs/>
        </w:rPr>
        <w:t>Berg v. Darden</w:t>
      </w:r>
      <w:r>
        <w:t xml:space="preserve"> (2004) 120 Cal.App.4</w:t>
      </w:r>
      <w:r w:rsidR="00204020">
        <w:t>t</w:t>
      </w:r>
      <w:r>
        <w:t>h 721, 727,</w:t>
      </w:r>
      <w:r w:rsidRPr="00D57B6E">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 xml:space="preserve">superseded by statute as stated in </w:t>
      </w:r>
      <w:r w:rsidRPr="00FA7AF9">
        <w:rPr>
          <w:rStyle w:val="ssrfcpassagedeactivated"/>
          <w:i/>
          <w:iCs/>
          <w:color w:val="212121"/>
          <w:szCs w:val="27"/>
          <w:bdr w:val="none" w:sz="0" w:space="0" w:color="auto" w:frame="1"/>
          <w:shd w:val="clear" w:color="auto" w:fill="FFFFFF"/>
        </w:rPr>
        <w:t>Finlan v. Chase</w:t>
      </w:r>
      <w:r>
        <w:rPr>
          <w:rStyle w:val="ssrfcpassagedeactivated"/>
          <w:color w:val="212121"/>
          <w:szCs w:val="27"/>
          <w:bdr w:val="none" w:sz="0" w:space="0" w:color="auto" w:frame="1"/>
          <w:shd w:val="clear" w:color="auto" w:fill="FFFFFF"/>
        </w:rPr>
        <w:t xml:space="preserve"> (2021) 68 Cal.App.5th 934, 942, fn. 7; </w:t>
      </w:r>
      <w:r w:rsidR="00187C0B" w:rsidRPr="00187C0B">
        <w:rPr>
          <w:rStyle w:val="ssrfcpassagedeactivated"/>
          <w:i/>
          <w:iCs/>
          <w:color w:val="212121"/>
          <w:szCs w:val="27"/>
          <w:bdr w:val="none" w:sz="0" w:space="0" w:color="auto" w:frame="1"/>
          <w:shd w:val="clear" w:color="auto" w:fill="FFFFFF"/>
        </w:rPr>
        <w:t>Ignacio v. Caracciola</w:t>
      </w:r>
      <w:r w:rsidR="0077413B">
        <w:rPr>
          <w:rStyle w:val="ssrfcpassagedeactivated"/>
          <w:color w:val="212121"/>
          <w:szCs w:val="27"/>
          <w:bdr w:val="none" w:sz="0" w:space="0" w:color="auto" w:frame="1"/>
          <w:shd w:val="clear" w:color="auto" w:fill="FFFFFF"/>
        </w:rPr>
        <w:t xml:space="preserve"> (2016) 2 Cal.App.5th 81, 86 [“The offer must be strictly construed in favor of the party </w:t>
      </w:r>
      <w:r w:rsidR="00187C0B">
        <w:rPr>
          <w:rStyle w:val="ssrfcpassagedeactivated"/>
          <w:color w:val="212121"/>
          <w:szCs w:val="27"/>
          <w:bdr w:val="none" w:sz="0" w:space="0" w:color="auto" w:frame="1"/>
          <w:shd w:val="clear" w:color="auto" w:fill="FFFFFF"/>
        </w:rPr>
        <w:t>sought to be bound by it</w:t>
      </w:r>
      <w:r w:rsidR="00C8440B">
        <w:rPr>
          <w:rStyle w:val="ssrfcpassagedeactivated"/>
          <w:color w:val="212121"/>
          <w:szCs w:val="27"/>
          <w:bdr w:val="none" w:sz="0" w:space="0" w:color="auto" w:frame="1"/>
          <w:shd w:val="clear" w:color="auto" w:fill="FFFFFF"/>
        </w:rPr>
        <w:t>.</w:t>
      </w:r>
      <w:r w:rsidR="00187C0B">
        <w:rPr>
          <w:rStyle w:val="ssrfcpassagedeactivated"/>
          <w:color w:val="212121"/>
          <w:szCs w:val="27"/>
          <w:bdr w:val="none" w:sz="0" w:space="0" w:color="auto" w:frame="1"/>
          <w:shd w:val="clear" w:color="auto" w:fill="FFFFFF"/>
        </w:rPr>
        <w:t>”]</w:t>
      </w:r>
      <w:r w:rsidR="0062671A">
        <w:rPr>
          <w:rStyle w:val="ssrfcpassagedeactivated"/>
          <w:color w:val="212121"/>
          <w:szCs w:val="27"/>
          <w:bdr w:val="none" w:sz="0" w:space="0" w:color="auto" w:frame="1"/>
          <w:shd w:val="clear" w:color="auto" w:fill="FFFFFF"/>
        </w:rPr>
        <w:t xml:space="preserve">; accord, </w:t>
      </w:r>
      <w:r w:rsidRPr="00F350CF">
        <w:rPr>
          <w:rStyle w:val="ssrfcpassagedeactivated"/>
          <w:i/>
          <w:iCs/>
          <w:color w:val="212121"/>
          <w:szCs w:val="27"/>
          <w:bdr w:val="none" w:sz="0" w:space="0" w:color="auto" w:frame="1"/>
          <w:shd w:val="clear" w:color="auto" w:fill="FFFFFF"/>
        </w:rPr>
        <w:t>Covert v. FCA USA, LLC</w:t>
      </w:r>
      <w:r>
        <w:rPr>
          <w:rStyle w:val="ssrfcpassagedeactivated"/>
          <w:color w:val="212121"/>
          <w:szCs w:val="27"/>
          <w:bdr w:val="none" w:sz="0" w:space="0" w:color="auto" w:frame="1"/>
          <w:shd w:val="clear" w:color="auto" w:fill="FFFFFF"/>
        </w:rPr>
        <w:t xml:space="preserve"> (2022) 73 Cal.App.5th 821, 832.)  </w:t>
      </w:r>
      <w:r w:rsidR="00F553CF">
        <w:rPr>
          <w:rStyle w:val="ssrfcpassagedeactivated"/>
          <w:color w:val="212121"/>
          <w:szCs w:val="27"/>
          <w:bdr w:val="none" w:sz="0" w:space="0" w:color="auto" w:frame="1"/>
          <w:shd w:val="clear" w:color="auto" w:fill="FFFFFF"/>
        </w:rPr>
        <w:t xml:space="preserve">Any </w:t>
      </w:r>
      <w:r w:rsidR="00CF306F">
        <w:rPr>
          <w:rStyle w:val="ssrfcpassagedeactivated"/>
          <w:color w:val="212121"/>
          <w:szCs w:val="27"/>
          <w:bdr w:val="none" w:sz="0" w:space="0" w:color="auto" w:frame="1"/>
          <w:shd w:val="clear" w:color="auto" w:fill="FFFFFF"/>
        </w:rPr>
        <w:t xml:space="preserve">ambiguity </w:t>
      </w:r>
      <w:r w:rsidR="00D909D6">
        <w:t xml:space="preserve">in a </w:t>
      </w:r>
      <w:r w:rsidR="00D909D6">
        <w:lastRenderedPageBreak/>
        <w:t xml:space="preserve">section 998 offer </w:t>
      </w:r>
      <w:r w:rsidR="00CF306F">
        <w:t xml:space="preserve">is </w:t>
      </w:r>
      <w:r w:rsidR="00154FBF">
        <w:t xml:space="preserve">also </w:t>
      </w:r>
      <w:r w:rsidR="00CF306F">
        <w:t xml:space="preserve">strictly </w:t>
      </w:r>
      <w:r w:rsidR="00493246">
        <w:t xml:space="preserve">construed against </w:t>
      </w:r>
      <w:r w:rsidR="00E91ADA">
        <w:t xml:space="preserve">the </w:t>
      </w:r>
      <w:r w:rsidR="00D909D6">
        <w:t>proponent</w:t>
      </w:r>
      <w:r w:rsidR="00CF306F">
        <w:t xml:space="preserve">.  </w:t>
      </w:r>
      <w:r w:rsidR="00D909D6">
        <w:t>(</w:t>
      </w:r>
      <w:r w:rsidR="00874059" w:rsidRPr="00CF306F">
        <w:rPr>
          <w:rStyle w:val="ssrfcpassagedeactivated"/>
          <w:i/>
          <w:iCs/>
          <w:color w:val="212121"/>
          <w:szCs w:val="27"/>
          <w:bdr w:val="none" w:sz="0" w:space="0" w:color="auto" w:frame="1"/>
          <w:shd w:val="clear" w:color="auto" w:fill="FFFFFF"/>
        </w:rPr>
        <w:t>Prince v</w:t>
      </w:r>
      <w:r w:rsidR="004E24E0">
        <w:rPr>
          <w:rStyle w:val="ssrfcpassagedeactivated"/>
          <w:i/>
          <w:iCs/>
          <w:color w:val="212121"/>
          <w:szCs w:val="27"/>
          <w:bdr w:val="none" w:sz="0" w:space="0" w:color="auto" w:frame="1"/>
          <w:shd w:val="clear" w:color="auto" w:fill="FFFFFF"/>
        </w:rPr>
        <w:t>.</w:t>
      </w:r>
      <w:r w:rsidR="00874059" w:rsidRPr="00CF306F">
        <w:rPr>
          <w:rStyle w:val="ssrfcpassagedeactivated"/>
          <w:i/>
          <w:iCs/>
          <w:color w:val="212121"/>
          <w:szCs w:val="27"/>
          <w:bdr w:val="none" w:sz="0" w:space="0" w:color="auto" w:frame="1"/>
          <w:shd w:val="clear" w:color="auto" w:fill="FFFFFF"/>
        </w:rPr>
        <w:t xml:space="preserve"> Invensure Ins</w:t>
      </w:r>
      <w:r w:rsidR="00983246" w:rsidRPr="00CF306F">
        <w:rPr>
          <w:rStyle w:val="ssrfcpassagedeactivated"/>
          <w:i/>
          <w:iCs/>
          <w:color w:val="212121"/>
          <w:szCs w:val="27"/>
          <w:bdr w:val="none" w:sz="0" w:space="0" w:color="auto" w:frame="1"/>
          <w:shd w:val="clear" w:color="auto" w:fill="FFFFFF"/>
        </w:rPr>
        <w:t>.</w:t>
      </w:r>
      <w:r w:rsidR="00874059" w:rsidRPr="00CF306F">
        <w:rPr>
          <w:rStyle w:val="ssrfcpassagedeactivated"/>
          <w:i/>
          <w:iCs/>
          <w:color w:val="212121"/>
          <w:szCs w:val="27"/>
          <w:bdr w:val="none" w:sz="0" w:space="0" w:color="auto" w:frame="1"/>
          <w:shd w:val="clear" w:color="auto" w:fill="FFFFFF"/>
        </w:rPr>
        <w:t xml:space="preserve"> Brokers</w:t>
      </w:r>
      <w:r w:rsidR="00874059" w:rsidRPr="00C8440B">
        <w:rPr>
          <w:rStyle w:val="ssrfcpassagedeactivated"/>
          <w:color w:val="212121"/>
          <w:szCs w:val="27"/>
          <w:bdr w:val="none" w:sz="0" w:space="0" w:color="auto" w:frame="1"/>
          <w:shd w:val="clear" w:color="auto" w:fill="FFFFFF"/>
        </w:rPr>
        <w:t>,</w:t>
      </w:r>
      <w:r w:rsidR="00874059" w:rsidRPr="00CF306F">
        <w:rPr>
          <w:rStyle w:val="ssrfcpassagedeactivated"/>
          <w:i/>
          <w:iCs/>
          <w:color w:val="212121"/>
          <w:szCs w:val="27"/>
          <w:bdr w:val="none" w:sz="0" w:space="0" w:color="auto" w:frame="1"/>
          <w:shd w:val="clear" w:color="auto" w:fill="FFFFFF"/>
        </w:rPr>
        <w:t xml:space="preserve"> Inc. </w:t>
      </w:r>
      <w:r w:rsidR="00874059">
        <w:rPr>
          <w:rStyle w:val="ssrfcpassagedeactivated"/>
          <w:color w:val="212121"/>
          <w:szCs w:val="27"/>
          <w:bdr w:val="none" w:sz="0" w:space="0" w:color="auto" w:frame="1"/>
          <w:shd w:val="clear" w:color="auto" w:fill="FFFFFF"/>
        </w:rPr>
        <w:t>(2018) 23 Cal.App.5th</w:t>
      </w:r>
      <w:r w:rsidR="00CF306F">
        <w:rPr>
          <w:rStyle w:val="ssrfcpassagedeactivated"/>
          <w:color w:val="212121"/>
          <w:szCs w:val="27"/>
          <w:bdr w:val="none" w:sz="0" w:space="0" w:color="auto" w:frame="1"/>
          <w:shd w:val="clear" w:color="auto" w:fill="FFFFFF"/>
        </w:rPr>
        <w:t xml:space="preserve"> </w:t>
      </w:r>
      <w:r w:rsidR="00FC0B1E">
        <w:rPr>
          <w:rStyle w:val="ssrfcpassagedeactivated"/>
          <w:color w:val="212121"/>
          <w:szCs w:val="27"/>
          <w:bdr w:val="none" w:sz="0" w:space="0" w:color="auto" w:frame="1"/>
          <w:shd w:val="clear" w:color="auto" w:fill="FFFFFF"/>
        </w:rPr>
        <w:t>614. 622</w:t>
      </w:r>
      <w:r w:rsidR="00983246">
        <w:rPr>
          <w:rStyle w:val="ssrfcpassagedeactivated"/>
          <w:color w:val="212121"/>
          <w:szCs w:val="27"/>
          <w:bdr w:val="none" w:sz="0" w:space="0" w:color="auto" w:frame="1"/>
          <w:shd w:val="clear" w:color="auto" w:fill="FFFFFF"/>
        </w:rPr>
        <w:t>.)</w:t>
      </w:r>
    </w:p>
    <w:p w14:paraId="23280B02" w14:textId="34884DC2" w:rsidR="004E5557" w:rsidRDefault="0038463E" w:rsidP="004E5557">
      <w:pPr>
        <w:spacing w:line="480" w:lineRule="auto"/>
      </w:pPr>
      <w:r>
        <w:tab/>
      </w:r>
      <w:r w:rsidR="00C34916">
        <w:t>Sect</w:t>
      </w:r>
      <w:r w:rsidR="00314581">
        <w:t xml:space="preserve">ion </w:t>
      </w:r>
      <w:r w:rsidR="004B10D0">
        <w:t>998 is intended to encourage pretrial settlements.  (</w:t>
      </w:r>
      <w:r w:rsidR="004B10D0" w:rsidRPr="00AA59BC">
        <w:rPr>
          <w:i/>
          <w:iCs/>
        </w:rPr>
        <w:t>Poster v. Southern Cal. Rapid Transit Dist.</w:t>
      </w:r>
      <w:r w:rsidR="004B10D0">
        <w:t xml:space="preserve"> (1990) 52 Cal.3d 266, 270.) </w:t>
      </w:r>
      <w:r w:rsidR="00C8440B">
        <w:t xml:space="preserve"> </w:t>
      </w:r>
      <w:r w:rsidR="004B10D0">
        <w:t>To further th</w:t>
      </w:r>
      <w:r w:rsidR="00FA1D5B">
        <w:t xml:space="preserve">is </w:t>
      </w:r>
      <w:r w:rsidR="004B10D0">
        <w:t>purpose</w:t>
      </w:r>
      <w:r w:rsidR="000D4D55">
        <w:t xml:space="preserve">, </w:t>
      </w:r>
      <w:r w:rsidR="004B10D0">
        <w:t>court</w:t>
      </w:r>
      <w:r w:rsidR="000D61B9">
        <w:t>s</w:t>
      </w:r>
      <w:r w:rsidR="004B10D0">
        <w:t xml:space="preserve"> must consider the validity of a section 998 offer as of the date the offer </w:t>
      </w:r>
      <w:r w:rsidR="008D24AA">
        <w:t xml:space="preserve">is </w:t>
      </w:r>
      <w:r w:rsidR="004B10D0">
        <w:t>served</w:t>
      </w:r>
      <w:r w:rsidR="002426B4">
        <w:t>, without the benefit of hindsight or in light of subsequent events</w:t>
      </w:r>
      <w:r w:rsidR="004B10D0">
        <w:t>.  (</w:t>
      </w:r>
      <w:r w:rsidR="004B10D0" w:rsidRPr="004E6194">
        <w:rPr>
          <w:rStyle w:val="ssrfcpassagedeactivated"/>
          <w:i/>
          <w:iCs/>
          <w:color w:val="212121"/>
          <w:szCs w:val="27"/>
          <w:bdr w:val="none" w:sz="0" w:space="0" w:color="auto" w:frame="1"/>
          <w:shd w:val="clear" w:color="auto" w:fill="FFFFFF"/>
        </w:rPr>
        <w:t>Khosravan v. Chevron Corp.</w:t>
      </w:r>
      <w:r w:rsidR="004B10D0">
        <w:rPr>
          <w:rStyle w:val="ssrfcpassagedeactivated"/>
          <w:color w:val="212121"/>
          <w:szCs w:val="27"/>
          <w:bdr w:val="none" w:sz="0" w:space="0" w:color="auto" w:frame="1"/>
          <w:shd w:val="clear" w:color="auto" w:fill="FFFFFF"/>
        </w:rPr>
        <w:t xml:space="preserve"> (2021) 66 Cal.App.5th 288, 295 (</w:t>
      </w:r>
      <w:r w:rsidR="004B10D0" w:rsidRPr="004E6194">
        <w:rPr>
          <w:rStyle w:val="ssrfcpassagedeactivated"/>
          <w:i/>
          <w:iCs/>
          <w:color w:val="212121"/>
          <w:szCs w:val="27"/>
          <w:bdr w:val="none" w:sz="0" w:space="0" w:color="auto" w:frame="1"/>
          <w:shd w:val="clear" w:color="auto" w:fill="FFFFFF"/>
        </w:rPr>
        <w:t>Khosravan</w:t>
      </w:r>
      <w:r w:rsidR="004B10D0" w:rsidRPr="0015193A">
        <w:rPr>
          <w:rStyle w:val="ssrfcpassagedeactivated"/>
          <w:color w:val="212121"/>
          <w:szCs w:val="27"/>
          <w:bdr w:val="none" w:sz="0" w:space="0" w:color="auto" w:frame="1"/>
          <w:shd w:val="clear" w:color="auto" w:fill="FFFFFF"/>
        </w:rPr>
        <w:t>)</w:t>
      </w:r>
      <w:r w:rsidR="005C6F74">
        <w:rPr>
          <w:rStyle w:val="ssrfcpassagedeactivated"/>
          <w:color w:val="212121"/>
          <w:szCs w:val="27"/>
          <w:bdr w:val="none" w:sz="0" w:space="0" w:color="auto" w:frame="1"/>
          <w:shd w:val="clear" w:color="auto" w:fill="FFFFFF"/>
        </w:rPr>
        <w:t xml:space="preserve">; see </w:t>
      </w:r>
      <w:r w:rsidR="005C6F74" w:rsidRPr="002B6255">
        <w:rPr>
          <w:rStyle w:val="ssrfcpassagedeactivated"/>
          <w:i/>
          <w:iCs/>
          <w:color w:val="212121"/>
          <w:szCs w:val="27"/>
          <w:bdr w:val="none" w:sz="0" w:space="0" w:color="auto" w:frame="1"/>
          <w:shd w:val="clear" w:color="auto" w:fill="FFFFFF"/>
        </w:rPr>
        <w:t>Adams v. Ford Motor Co</w:t>
      </w:r>
      <w:r w:rsidR="005C6F74">
        <w:rPr>
          <w:rStyle w:val="ssrfcpassagedeactivated"/>
          <w:color w:val="212121"/>
          <w:szCs w:val="27"/>
          <w:bdr w:val="none" w:sz="0" w:space="0" w:color="auto" w:frame="1"/>
          <w:shd w:val="clear" w:color="auto" w:fill="FFFFFF"/>
        </w:rPr>
        <w:t>. (2011) 199</w:t>
      </w:r>
      <w:r w:rsidR="00AA36A1">
        <w:rPr>
          <w:rStyle w:val="ssrfcpassagedeactivated"/>
          <w:color w:val="212121"/>
          <w:szCs w:val="27"/>
          <w:bdr w:val="none" w:sz="0" w:space="0" w:color="auto" w:frame="1"/>
          <w:shd w:val="clear" w:color="auto" w:fill="FFFFFF"/>
        </w:rPr>
        <w:t> </w:t>
      </w:r>
      <w:r w:rsidR="005C6F74">
        <w:rPr>
          <w:rStyle w:val="ssrfcpassagedeactivated"/>
          <w:color w:val="212121"/>
          <w:szCs w:val="27"/>
          <w:bdr w:val="none" w:sz="0" w:space="0" w:color="auto" w:frame="1"/>
          <w:shd w:val="clear" w:color="auto" w:fill="FFFFFF"/>
        </w:rPr>
        <w:t>Cal.App.4th 1475, 1485 [“</w:t>
      </w:r>
      <w:r w:rsidR="005C6F74">
        <w:t>The reasonableness of a defendant’s section 998 settlement offer is evaluated in light of ‘what the offeree knows or does not know at the time the offer is made,’ along with what the offeror knew or should have known about facts bearing on the offer’s reasonableness</w:t>
      </w:r>
      <w:r w:rsidR="00C8440B">
        <w:t>.</w:t>
      </w:r>
      <w:r w:rsidR="00045DD9">
        <w:t>”</w:t>
      </w:r>
      <w:r w:rsidR="005C6F74">
        <w:t>]</w:t>
      </w:r>
      <w:r w:rsidR="005C6F74">
        <w:rPr>
          <w:rStyle w:val="ssrfcpassagedeactivated"/>
          <w:color w:val="212121"/>
          <w:szCs w:val="27"/>
          <w:bdr w:val="none" w:sz="0" w:space="0" w:color="auto" w:frame="1"/>
          <w:shd w:val="clear" w:color="auto" w:fill="FFFFFF"/>
        </w:rPr>
        <w:t>.)</w:t>
      </w:r>
    </w:p>
    <w:p w14:paraId="49A39842" w14:textId="5A6D9C4B" w:rsidR="001E0379" w:rsidRDefault="0038463E" w:rsidP="006D53DB">
      <w:pPr>
        <w:spacing w:line="480" w:lineRule="auto"/>
        <w:rPr>
          <w:rStyle w:val="ssrfcpassagedeactivated"/>
          <w:color w:val="212121"/>
          <w:szCs w:val="27"/>
          <w:bdr w:val="none" w:sz="0" w:space="0" w:color="auto" w:frame="1"/>
          <w:shd w:val="clear" w:color="auto" w:fill="FFFFFF"/>
        </w:rPr>
      </w:pPr>
      <w:r>
        <w:rPr>
          <w:rStyle w:val="ssrfcpassagedeactivated"/>
          <w:color w:val="212121"/>
          <w:szCs w:val="27"/>
          <w:bdr w:val="none" w:sz="0" w:space="0" w:color="auto" w:frame="1"/>
          <w:shd w:val="clear" w:color="auto" w:fill="FFFFFF"/>
        </w:rPr>
        <w:tab/>
        <w:t xml:space="preserve">2.  </w:t>
      </w:r>
      <w:r w:rsidR="00237B1A" w:rsidRPr="0078544C">
        <w:rPr>
          <w:rStyle w:val="ssrfcpassagedeactivated"/>
          <w:color w:val="212121"/>
          <w:szCs w:val="27"/>
          <w:u w:val="single"/>
          <w:bdr w:val="none" w:sz="0" w:space="0" w:color="auto" w:frame="1"/>
          <w:shd w:val="clear" w:color="auto" w:fill="FFFFFF"/>
        </w:rPr>
        <w:t xml:space="preserve">City’s Section 998 Offer Was </w:t>
      </w:r>
      <w:r w:rsidR="00D71229">
        <w:rPr>
          <w:rStyle w:val="ssrfcpassagedeactivated"/>
          <w:color w:val="212121"/>
          <w:szCs w:val="27"/>
          <w:u w:val="single"/>
          <w:bdr w:val="none" w:sz="0" w:space="0" w:color="auto" w:frame="1"/>
          <w:shd w:val="clear" w:color="auto" w:fill="FFFFFF"/>
        </w:rPr>
        <w:t xml:space="preserve">Sufficiently Specific and </w:t>
      </w:r>
      <w:r w:rsidR="00237B1A" w:rsidRPr="0078544C">
        <w:rPr>
          <w:rStyle w:val="ssrfcpassagedeactivated"/>
          <w:color w:val="212121"/>
          <w:szCs w:val="27"/>
          <w:u w:val="single"/>
          <w:bdr w:val="none" w:sz="0" w:space="0" w:color="auto" w:frame="1"/>
          <w:shd w:val="clear" w:color="auto" w:fill="FFFFFF"/>
        </w:rPr>
        <w:t>Unambig</w:t>
      </w:r>
      <w:r w:rsidR="0078544C" w:rsidRPr="0078544C">
        <w:rPr>
          <w:rStyle w:val="ssrfcpassagedeactivated"/>
          <w:color w:val="212121"/>
          <w:szCs w:val="27"/>
          <w:u w:val="single"/>
          <w:bdr w:val="none" w:sz="0" w:space="0" w:color="auto" w:frame="1"/>
          <w:shd w:val="clear" w:color="auto" w:fill="FFFFFF"/>
        </w:rPr>
        <w:t>u</w:t>
      </w:r>
      <w:r w:rsidR="00237B1A" w:rsidRPr="0078544C">
        <w:rPr>
          <w:rStyle w:val="ssrfcpassagedeactivated"/>
          <w:color w:val="212121"/>
          <w:szCs w:val="27"/>
          <w:u w:val="single"/>
          <w:bdr w:val="none" w:sz="0" w:space="0" w:color="auto" w:frame="1"/>
          <w:shd w:val="clear" w:color="auto" w:fill="FFFFFF"/>
        </w:rPr>
        <w:t>ous</w:t>
      </w:r>
      <w:r w:rsidR="00237B1A">
        <w:rPr>
          <w:rStyle w:val="ssrfcpassagedeactivated"/>
          <w:color w:val="212121"/>
          <w:szCs w:val="27"/>
          <w:bdr w:val="none" w:sz="0" w:space="0" w:color="auto" w:frame="1"/>
          <w:shd w:val="clear" w:color="auto" w:fill="FFFFFF"/>
        </w:rPr>
        <w:t xml:space="preserve"> </w:t>
      </w:r>
    </w:p>
    <w:p w14:paraId="3045C808" w14:textId="1B3C8288" w:rsidR="00DA7875" w:rsidRDefault="0038463E" w:rsidP="00DA7875">
      <w:pPr>
        <w:spacing w:line="480" w:lineRule="auto"/>
      </w:pPr>
      <w:r>
        <w:rPr>
          <w:rStyle w:val="ssrfcpassagedeactivated"/>
          <w:color w:val="212121"/>
          <w:szCs w:val="27"/>
          <w:bdr w:val="none" w:sz="0" w:space="0" w:color="auto" w:frame="1"/>
          <w:shd w:val="clear" w:color="auto" w:fill="FFFFFF"/>
        </w:rPr>
        <w:tab/>
      </w:r>
      <w:r w:rsidR="001F11C4">
        <w:rPr>
          <w:rStyle w:val="ssrfcpassagedeactivated"/>
          <w:color w:val="212121"/>
          <w:szCs w:val="27"/>
          <w:bdr w:val="none" w:sz="0" w:space="0" w:color="auto" w:frame="1"/>
          <w:shd w:val="clear" w:color="auto" w:fill="FFFFFF"/>
        </w:rPr>
        <w:t>The issue of w</w:t>
      </w:r>
      <w:r w:rsidR="00764362">
        <w:rPr>
          <w:rStyle w:val="ssrfcpassagedeactivated"/>
          <w:color w:val="212121"/>
          <w:szCs w:val="27"/>
          <w:bdr w:val="none" w:sz="0" w:space="0" w:color="auto" w:frame="1"/>
          <w:shd w:val="clear" w:color="auto" w:fill="FFFFFF"/>
        </w:rPr>
        <w:t>hether</w:t>
      </w:r>
      <w:r w:rsidR="001F11C4">
        <w:rPr>
          <w:rStyle w:val="ssrfcpassagedeactivated"/>
          <w:color w:val="212121"/>
          <w:szCs w:val="27"/>
          <w:bdr w:val="none" w:sz="0" w:space="0" w:color="auto" w:frame="1"/>
          <w:shd w:val="clear" w:color="auto" w:fill="FFFFFF"/>
        </w:rPr>
        <w:t xml:space="preserve"> </w:t>
      </w:r>
      <w:r>
        <w:rPr>
          <w:rStyle w:val="ssrfcpassagedeactivated"/>
          <w:color w:val="212121"/>
          <w:szCs w:val="27"/>
          <w:bdr w:val="none" w:sz="0" w:space="0" w:color="auto" w:frame="1"/>
          <w:shd w:val="clear" w:color="auto" w:fill="FFFFFF"/>
        </w:rPr>
        <w:t xml:space="preserve">City’s section 998 offer was </w:t>
      </w:r>
      <w:r w:rsidR="00764362">
        <w:rPr>
          <w:rStyle w:val="ssrfcpassagedeactivated"/>
          <w:color w:val="212121"/>
          <w:szCs w:val="27"/>
          <w:bdr w:val="none" w:sz="0" w:space="0" w:color="auto" w:frame="1"/>
          <w:shd w:val="clear" w:color="auto" w:fill="FFFFFF"/>
        </w:rPr>
        <w:t>sufficiently specific</w:t>
      </w:r>
      <w:r w:rsidR="00BE1CBE">
        <w:rPr>
          <w:rStyle w:val="ssrfcpassagedeactivated"/>
          <w:color w:val="212121"/>
          <w:szCs w:val="27"/>
          <w:bdr w:val="none" w:sz="0" w:space="0" w:color="auto" w:frame="1"/>
          <w:shd w:val="clear" w:color="auto" w:fill="FFFFFF"/>
        </w:rPr>
        <w:t xml:space="preserve">, definite, and unambiguous </w:t>
      </w:r>
      <w:r w:rsidR="00BE1CBE" w:rsidRPr="004C1A82">
        <w:rPr>
          <w:rStyle w:val="ssrfcpassagedeactivated"/>
          <w:i/>
          <w:iCs/>
          <w:color w:val="212121"/>
          <w:szCs w:val="27"/>
          <w:bdr w:val="none" w:sz="0" w:space="0" w:color="auto" w:frame="1"/>
          <w:shd w:val="clear" w:color="auto" w:fill="FFFFFF"/>
        </w:rPr>
        <w:t xml:space="preserve">in identifying the person </w:t>
      </w:r>
      <w:r w:rsidR="009879A1" w:rsidRPr="004C1A82">
        <w:rPr>
          <w:rStyle w:val="ssrfcpassagedeactivated"/>
          <w:i/>
          <w:iCs/>
          <w:color w:val="212121"/>
          <w:szCs w:val="27"/>
          <w:bdr w:val="none" w:sz="0" w:space="0" w:color="auto" w:frame="1"/>
          <w:shd w:val="clear" w:color="auto" w:fill="FFFFFF"/>
        </w:rPr>
        <w:t xml:space="preserve">to whom City </w:t>
      </w:r>
      <w:r w:rsidR="004C1A82">
        <w:rPr>
          <w:rStyle w:val="ssrfcpassagedeactivated"/>
          <w:i/>
          <w:iCs/>
          <w:color w:val="212121"/>
          <w:szCs w:val="27"/>
          <w:bdr w:val="none" w:sz="0" w:space="0" w:color="auto" w:frame="1"/>
          <w:shd w:val="clear" w:color="auto" w:fill="FFFFFF"/>
        </w:rPr>
        <w:t xml:space="preserve">was proposing </w:t>
      </w:r>
      <w:r w:rsidR="009E25EA" w:rsidRPr="004C1A82">
        <w:rPr>
          <w:rStyle w:val="ssrfcpassagedeactivated"/>
          <w:i/>
          <w:iCs/>
          <w:color w:val="212121"/>
          <w:szCs w:val="27"/>
          <w:bdr w:val="none" w:sz="0" w:space="0" w:color="auto" w:frame="1"/>
          <w:shd w:val="clear" w:color="auto" w:fill="FFFFFF"/>
        </w:rPr>
        <w:t>to disclose the crime victim’s name</w:t>
      </w:r>
      <w:r w:rsidR="009E25EA">
        <w:rPr>
          <w:rStyle w:val="ssrfcpassagedeactivated"/>
          <w:color w:val="212121"/>
          <w:szCs w:val="27"/>
          <w:bdr w:val="none" w:sz="0" w:space="0" w:color="auto" w:frame="1"/>
          <w:shd w:val="clear" w:color="auto" w:fill="FFFFFF"/>
        </w:rPr>
        <w:t xml:space="preserve"> </w:t>
      </w:r>
      <w:r w:rsidR="004E7A5B">
        <w:rPr>
          <w:rStyle w:val="ssrfcpassagedeactivated"/>
          <w:color w:val="212121"/>
          <w:szCs w:val="27"/>
          <w:bdr w:val="none" w:sz="0" w:space="0" w:color="auto" w:frame="1"/>
          <w:shd w:val="clear" w:color="auto" w:fill="FFFFFF"/>
        </w:rPr>
        <w:t xml:space="preserve">is </w:t>
      </w:r>
      <w:r w:rsidR="002D3F55">
        <w:rPr>
          <w:rStyle w:val="ssrfcpassagedeactivated"/>
          <w:color w:val="212121"/>
          <w:szCs w:val="27"/>
          <w:bdr w:val="none" w:sz="0" w:space="0" w:color="auto" w:frame="1"/>
          <w:shd w:val="clear" w:color="auto" w:fill="FFFFFF"/>
        </w:rPr>
        <w:t>a question of law subje</w:t>
      </w:r>
      <w:r w:rsidR="009E25EA">
        <w:rPr>
          <w:rStyle w:val="ssrfcpassagedeactivated"/>
          <w:color w:val="212121"/>
          <w:szCs w:val="27"/>
          <w:bdr w:val="none" w:sz="0" w:space="0" w:color="auto" w:frame="1"/>
          <w:shd w:val="clear" w:color="auto" w:fill="FFFFFF"/>
        </w:rPr>
        <w:t>c</w:t>
      </w:r>
      <w:r w:rsidR="002D3F55">
        <w:rPr>
          <w:rStyle w:val="ssrfcpassagedeactivated"/>
          <w:color w:val="212121"/>
          <w:szCs w:val="27"/>
          <w:bdr w:val="none" w:sz="0" w:space="0" w:color="auto" w:frame="1"/>
          <w:shd w:val="clear" w:color="auto" w:fill="FFFFFF"/>
        </w:rPr>
        <w:t xml:space="preserve">t to de novo review.  </w:t>
      </w:r>
      <w:r w:rsidR="000600D4">
        <w:t>“Ascertaining the terms of an offer, including the determination whether the offer is sufficiently specific and certain for purposes of section 998, is a question involving the interpretation of a writing.  We independently interpret a writing if the interpretation does not turn o</w:t>
      </w:r>
      <w:r w:rsidR="004E24E0">
        <w:t>n</w:t>
      </w:r>
      <w:r>
        <w:t xml:space="preserve"> </w:t>
      </w:r>
      <w:r w:rsidR="000600D4">
        <w:t>the credibility of extrinsic evidence.”  (</w:t>
      </w:r>
      <w:r w:rsidR="000600D4" w:rsidRPr="00D970EA">
        <w:rPr>
          <w:i/>
          <w:iCs/>
        </w:rPr>
        <w:t>Fassberg</w:t>
      </w:r>
      <w:r w:rsidR="000600D4" w:rsidRPr="003D2B41">
        <w:t>,</w:t>
      </w:r>
      <w:r w:rsidR="000600D4">
        <w:rPr>
          <w:i/>
          <w:iCs/>
        </w:rPr>
        <w:t xml:space="preserve"> supra</w:t>
      </w:r>
      <w:r w:rsidR="000600D4" w:rsidRPr="003D2B41">
        <w:t>,</w:t>
      </w:r>
      <w:r w:rsidR="000600D4">
        <w:rPr>
          <w:i/>
          <w:iCs/>
        </w:rPr>
        <w:t xml:space="preserve"> </w:t>
      </w:r>
      <w:r w:rsidR="000600D4">
        <w:t>152 Cal.App.4th at p. 765</w:t>
      </w:r>
      <w:r w:rsidR="003D4E56">
        <w:t>.)</w:t>
      </w:r>
      <w:r>
        <w:rPr>
          <w:rStyle w:val="FootnoteReference"/>
        </w:rPr>
        <w:footnoteReference w:id="10"/>
      </w:r>
    </w:p>
    <w:p w14:paraId="4663F7E5" w14:textId="6F24FD8D" w:rsidR="008126DC" w:rsidRDefault="0038463E" w:rsidP="00153E0E">
      <w:pPr>
        <w:spacing w:line="480" w:lineRule="auto"/>
      </w:pPr>
      <w:r>
        <w:lastRenderedPageBreak/>
        <w:tab/>
      </w:r>
      <w:r w:rsidR="00691402">
        <w:t>Critically here, t</w:t>
      </w:r>
      <w:r w:rsidR="00726311">
        <w:t xml:space="preserve">he </w:t>
      </w:r>
      <w:r>
        <w:t>interpre</w:t>
      </w:r>
      <w:r w:rsidR="005116F6">
        <w:t xml:space="preserve">tation of </w:t>
      </w:r>
      <w:r>
        <w:t>City’s section 998 offer does not turn on the credibility of any</w:t>
      </w:r>
      <w:r w:rsidR="004E7A5B">
        <w:t xml:space="preserve"> </w:t>
      </w:r>
      <w:r w:rsidR="008268B4">
        <w:t xml:space="preserve">proffered </w:t>
      </w:r>
      <w:r>
        <w:t>extrinsic evidence</w:t>
      </w:r>
      <w:r w:rsidR="006C5C27">
        <w:t xml:space="preserve">.  </w:t>
      </w:r>
      <w:r w:rsidR="002728E5" w:rsidRPr="00652341">
        <w:t>“</w:t>
      </w:r>
      <w:r w:rsidR="002728E5">
        <w:t>T</w:t>
      </w:r>
      <w:r w:rsidR="002728E5" w:rsidRPr="00652341">
        <w:rPr>
          <w:color w:val="212121"/>
          <w:szCs w:val="27"/>
          <w:shd w:val="clear" w:color="auto" w:fill="FFFFFF"/>
        </w:rPr>
        <w:t xml:space="preserve">he test of whether parol evidence is admissible to construe an ambiguity is not whether the language appears to the court to be unambiguous, but whether the evidence presented is relevant to prove a meaning to which the language is </w:t>
      </w:r>
      <w:r w:rsidR="002728E5">
        <w:rPr>
          <w:color w:val="212121"/>
          <w:szCs w:val="27"/>
          <w:shd w:val="clear" w:color="auto" w:fill="FFFFFF"/>
        </w:rPr>
        <w:t>‘</w:t>
      </w:r>
      <w:r w:rsidR="002728E5" w:rsidRPr="00652341">
        <w:rPr>
          <w:color w:val="212121"/>
          <w:szCs w:val="27"/>
          <w:shd w:val="clear" w:color="auto" w:fill="FFFFFF"/>
        </w:rPr>
        <w:t xml:space="preserve">reasonably </w:t>
      </w:r>
      <w:r w:rsidR="002728E5">
        <w:rPr>
          <w:color w:val="212121"/>
          <w:szCs w:val="27"/>
          <w:shd w:val="clear" w:color="auto" w:fill="FFFFFF"/>
        </w:rPr>
        <w:t>s</w:t>
      </w:r>
      <w:r w:rsidR="002728E5" w:rsidRPr="00652341">
        <w:rPr>
          <w:color w:val="212121"/>
          <w:szCs w:val="27"/>
          <w:shd w:val="clear" w:color="auto" w:fill="FFFFFF"/>
        </w:rPr>
        <w:t>usceptible</w:t>
      </w:r>
      <w:r w:rsidR="002728E5">
        <w:rPr>
          <w:color w:val="212121"/>
          <w:szCs w:val="27"/>
          <w:shd w:val="clear" w:color="auto" w:fill="FFFFFF"/>
        </w:rPr>
        <w:t xml:space="preserve">.’ </w:t>
      </w:r>
      <w:r w:rsidR="002728E5" w:rsidRPr="00652341">
        <w:rPr>
          <w:color w:val="212121"/>
          <w:szCs w:val="27"/>
          <w:shd w:val="clear" w:color="auto" w:fill="FFFFFF"/>
        </w:rPr>
        <w:t>”</w:t>
      </w:r>
      <w:r w:rsidR="002728E5">
        <w:rPr>
          <w:color w:val="212121"/>
          <w:szCs w:val="27"/>
          <w:shd w:val="clear" w:color="auto" w:fill="FFFFFF"/>
        </w:rPr>
        <w:t xml:space="preserve">  (</w:t>
      </w:r>
      <w:r w:rsidR="002728E5" w:rsidRPr="007E1CC8">
        <w:rPr>
          <w:i/>
          <w:iCs/>
        </w:rPr>
        <w:t>Winet v</w:t>
      </w:r>
      <w:r w:rsidR="00C8440B">
        <w:rPr>
          <w:i/>
          <w:iCs/>
        </w:rPr>
        <w:t>.</w:t>
      </w:r>
      <w:r w:rsidR="002728E5" w:rsidRPr="007E1CC8">
        <w:rPr>
          <w:i/>
          <w:iCs/>
        </w:rPr>
        <w:t xml:space="preserve"> Price</w:t>
      </w:r>
      <w:r w:rsidR="002728E5">
        <w:t xml:space="preserve"> (1992) 4 Cal.App.4th 1159, 1165</w:t>
      </w:r>
      <w:r w:rsidR="002728E5" w:rsidRPr="00652341">
        <w:rPr>
          <w:color w:val="212121"/>
          <w:szCs w:val="27"/>
          <w:shd w:val="clear" w:color="auto" w:fill="FFFFFF"/>
        </w:rPr>
        <w:t>.</w:t>
      </w:r>
      <w:r w:rsidR="002728E5" w:rsidRPr="00652341">
        <w:t>)</w:t>
      </w:r>
      <w:r w:rsidR="002728E5">
        <w:t xml:space="preserve">  “ ‘ </w:t>
      </w:r>
      <w:r w:rsidR="004E24E0">
        <w:t>[</w:t>
      </w:r>
      <w:r w:rsidR="002728E5">
        <w:t>W</w:t>
      </w:r>
      <w:r w:rsidR="004E24E0">
        <w:t>]</w:t>
      </w:r>
      <w:r w:rsidR="002728E5">
        <w:t>hen two equally plausible interpretations of the language of a contract may be made . . . parol evidence is admissible to aid in interpreting the agreement . . . .’ ”  (</w:t>
      </w:r>
      <w:r w:rsidR="002728E5" w:rsidRPr="007B5951">
        <w:rPr>
          <w:i/>
          <w:iCs/>
        </w:rPr>
        <w:t>WYDA Associates</w:t>
      </w:r>
      <w:r w:rsidR="00DC3901">
        <w:rPr>
          <w:i/>
          <w:iCs/>
        </w:rPr>
        <w:t xml:space="preserve"> v. Merner</w:t>
      </w:r>
      <w:r w:rsidR="002728E5">
        <w:rPr>
          <w:i/>
          <w:iCs/>
        </w:rPr>
        <w:t xml:space="preserve"> </w:t>
      </w:r>
      <w:r w:rsidR="00DC3901">
        <w:t xml:space="preserve">(1996) </w:t>
      </w:r>
      <w:r w:rsidR="00561FE9" w:rsidRPr="00DC3901">
        <w:t xml:space="preserve">42 Cal.App.4th </w:t>
      </w:r>
      <w:r w:rsidR="00DC3901" w:rsidRPr="00DC3901">
        <w:t>1702,</w:t>
      </w:r>
      <w:r w:rsidR="00DC3901">
        <w:rPr>
          <w:i/>
          <w:iCs/>
        </w:rPr>
        <w:t xml:space="preserve"> </w:t>
      </w:r>
      <w:r w:rsidR="002728E5">
        <w:t>1710.)</w:t>
      </w:r>
    </w:p>
    <w:p w14:paraId="1219F90B" w14:textId="49F498E7" w:rsidR="00C1528F" w:rsidRDefault="0038463E" w:rsidP="005723F3">
      <w:pPr>
        <w:spacing w:line="480" w:lineRule="auto"/>
        <w:rPr>
          <w:rStyle w:val="ssrfcpassagedeactivated"/>
          <w:color w:val="212121"/>
          <w:szCs w:val="27"/>
          <w:bdr w:val="none" w:sz="0" w:space="0" w:color="auto" w:frame="1"/>
        </w:rPr>
      </w:pPr>
      <w:r>
        <w:tab/>
        <w:t xml:space="preserve">As </w:t>
      </w:r>
      <w:r w:rsidR="00AB14D6" w:rsidRPr="00FB1720">
        <w:rPr>
          <w:i/>
          <w:iCs/>
        </w:rPr>
        <w:t>Winet</w:t>
      </w:r>
      <w:r>
        <w:t xml:space="preserve"> explained, “[t]</w:t>
      </w:r>
      <w:r w:rsidRPr="00B75CD7">
        <w:rPr>
          <w:color w:val="212121"/>
          <w:szCs w:val="27"/>
        </w:rPr>
        <w:t>he decision whether to admit parol evidence involves a two-step process. </w:t>
      </w:r>
      <w:r>
        <w:rPr>
          <w:color w:val="212121"/>
          <w:szCs w:val="27"/>
        </w:rPr>
        <w:t xml:space="preserve"> </w:t>
      </w:r>
      <w:r w:rsidRPr="00B75CD7">
        <w:rPr>
          <w:rStyle w:val="ssrfcpassagedeactivated"/>
          <w:color w:val="212121"/>
          <w:szCs w:val="27"/>
          <w:bdr w:val="none" w:sz="0" w:space="0" w:color="auto" w:frame="1"/>
        </w:rPr>
        <w:t>First, the court provisionally receives (without actually admitting) all credible evidence concerning the parties</w:t>
      </w:r>
      <w:r>
        <w:rPr>
          <w:rStyle w:val="ssrfcpassagedeactivated"/>
          <w:color w:val="212121"/>
          <w:szCs w:val="27"/>
          <w:bdr w:val="none" w:sz="0" w:space="0" w:color="auto" w:frame="1"/>
        </w:rPr>
        <w:t xml:space="preserve">’ </w:t>
      </w:r>
      <w:r w:rsidRPr="00B75CD7">
        <w:rPr>
          <w:rStyle w:val="ssrfcpassagedeactivated"/>
          <w:color w:val="212121"/>
          <w:szCs w:val="27"/>
          <w:bdr w:val="none" w:sz="0" w:space="0" w:color="auto" w:frame="1"/>
        </w:rPr>
        <w:t xml:space="preserve">intentions to determine </w:t>
      </w:r>
      <w:r>
        <w:rPr>
          <w:rStyle w:val="ssrfcpassagedeactivated"/>
          <w:color w:val="212121"/>
          <w:szCs w:val="27"/>
          <w:bdr w:val="none" w:sz="0" w:space="0" w:color="auto" w:frame="1"/>
        </w:rPr>
        <w:t>‘</w:t>
      </w:r>
      <w:r w:rsidRPr="00B75CD7">
        <w:rPr>
          <w:rStyle w:val="ssrfcpassagedeactivated"/>
          <w:color w:val="212121"/>
          <w:szCs w:val="27"/>
          <w:bdr w:val="none" w:sz="0" w:space="0" w:color="auto" w:frame="1"/>
        </w:rPr>
        <w:t>ambiguity,</w:t>
      </w:r>
      <w:r>
        <w:rPr>
          <w:rStyle w:val="ssrfcpassagedeactivated"/>
          <w:color w:val="212121"/>
          <w:szCs w:val="27"/>
          <w:bdr w:val="none" w:sz="0" w:space="0" w:color="auto" w:frame="1"/>
        </w:rPr>
        <w:t>’</w:t>
      </w:r>
      <w:r w:rsidRPr="00B75CD7">
        <w:rPr>
          <w:rStyle w:val="ssrfcpassagedeactivated"/>
          <w:color w:val="212121"/>
          <w:szCs w:val="27"/>
          <w:bdr w:val="none" w:sz="0" w:space="0" w:color="auto" w:frame="1"/>
        </w:rPr>
        <w:t xml:space="preserve"> i.e., whether the language is </w:t>
      </w:r>
      <w:r>
        <w:rPr>
          <w:rStyle w:val="ssrfcpassagedeactivated"/>
          <w:color w:val="212121"/>
          <w:szCs w:val="27"/>
          <w:bdr w:val="none" w:sz="0" w:space="0" w:color="auto" w:frame="1"/>
        </w:rPr>
        <w:t>‘</w:t>
      </w:r>
      <w:r w:rsidRPr="00B75CD7">
        <w:rPr>
          <w:rStyle w:val="ssrfcpassagedeactivated"/>
          <w:color w:val="212121"/>
          <w:szCs w:val="27"/>
          <w:bdr w:val="none" w:sz="0" w:space="0" w:color="auto" w:frame="1"/>
        </w:rPr>
        <w:t>reasonably susceptible</w:t>
      </w:r>
      <w:r>
        <w:rPr>
          <w:rStyle w:val="ssrfcpassagedeactivated"/>
          <w:color w:val="212121"/>
          <w:szCs w:val="27"/>
          <w:bdr w:val="none" w:sz="0" w:space="0" w:color="auto" w:frame="1"/>
        </w:rPr>
        <w:t>’</w:t>
      </w:r>
      <w:r w:rsidRPr="00B75CD7">
        <w:rPr>
          <w:rStyle w:val="ssrfcpassagedeactivated"/>
          <w:color w:val="212121"/>
          <w:szCs w:val="27"/>
          <w:bdr w:val="none" w:sz="0" w:space="0" w:color="auto" w:frame="1"/>
        </w:rPr>
        <w:t xml:space="preserve"> to the interpretation urged by a party. </w:t>
      </w:r>
      <w:r>
        <w:rPr>
          <w:rStyle w:val="ssrfcpassagedeactivated"/>
          <w:color w:val="212121"/>
          <w:szCs w:val="27"/>
          <w:bdr w:val="none" w:sz="0" w:space="0" w:color="auto" w:frame="1"/>
        </w:rPr>
        <w:t xml:space="preserve"> </w:t>
      </w:r>
      <w:r w:rsidRPr="00B75CD7">
        <w:rPr>
          <w:rStyle w:val="ssrfcpassagedeactivated"/>
          <w:color w:val="212121"/>
          <w:szCs w:val="27"/>
          <w:bdr w:val="none" w:sz="0" w:space="0" w:color="auto" w:frame="1"/>
        </w:rPr>
        <w:t xml:space="preserve">If in light of the extrinsic evidence the court decides the language is </w:t>
      </w:r>
      <w:r>
        <w:rPr>
          <w:rStyle w:val="ssrfcpassagedeactivated"/>
          <w:color w:val="212121"/>
          <w:szCs w:val="27"/>
          <w:bdr w:val="none" w:sz="0" w:space="0" w:color="auto" w:frame="1"/>
        </w:rPr>
        <w:t>‘</w:t>
      </w:r>
      <w:r w:rsidRPr="00B75CD7">
        <w:rPr>
          <w:rStyle w:val="ssrfcpassagedeactivated"/>
          <w:color w:val="212121"/>
          <w:szCs w:val="27"/>
          <w:bdr w:val="none" w:sz="0" w:space="0" w:color="auto" w:frame="1"/>
        </w:rPr>
        <w:t>reasonably susceptibl</w:t>
      </w:r>
      <w:r>
        <w:rPr>
          <w:rStyle w:val="ssrfcpassagedeactivated"/>
          <w:color w:val="212121"/>
          <w:szCs w:val="27"/>
          <w:bdr w:val="none" w:sz="0" w:space="0" w:color="auto" w:frame="1"/>
        </w:rPr>
        <w:t>e’</w:t>
      </w:r>
      <w:r w:rsidRPr="00B75CD7">
        <w:rPr>
          <w:rStyle w:val="ssrfcpassagedeactivated"/>
          <w:color w:val="212121"/>
          <w:szCs w:val="27"/>
          <w:bdr w:val="none" w:sz="0" w:space="0" w:color="auto" w:frame="1"/>
        </w:rPr>
        <w:t xml:space="preserve"> to the interpretation urged, the extrinsic evidence is then admitted to aid in the second step</w:t>
      </w:r>
      <w:r w:rsidR="004E24E0">
        <w:rPr>
          <w:rStyle w:val="ssrfcpassagedeactivated"/>
          <w:color w:val="212121"/>
          <w:szCs w:val="27"/>
          <w:bdr w:val="none" w:sz="0" w:space="0" w:color="auto" w:frame="1"/>
        </w:rPr>
        <w:t>—</w:t>
      </w:r>
      <w:r w:rsidRPr="00B75CD7">
        <w:rPr>
          <w:rStyle w:val="ssrfcpassagedeactivated"/>
          <w:color w:val="212121"/>
          <w:szCs w:val="27"/>
          <w:bdr w:val="none" w:sz="0" w:space="0" w:color="auto" w:frame="1"/>
        </w:rPr>
        <w:t xml:space="preserve">interpreting the contract. </w:t>
      </w:r>
      <w:r w:rsidR="00520762">
        <w:rPr>
          <w:rStyle w:val="ssrfcpassagedeactivated"/>
          <w:color w:val="212121"/>
          <w:szCs w:val="27"/>
          <w:bdr w:val="none" w:sz="0" w:space="0" w:color="auto" w:frame="1"/>
        </w:rPr>
        <w:t xml:space="preserve"> </w:t>
      </w:r>
      <w:r>
        <w:rPr>
          <w:rStyle w:val="ssrfcpassagedeactivated"/>
          <w:color w:val="212121"/>
          <w:szCs w:val="27"/>
          <w:bdr w:val="none" w:sz="0" w:space="0" w:color="auto" w:frame="1"/>
        </w:rPr>
        <w:t xml:space="preserve">[Citation.]  [¶]  </w:t>
      </w:r>
      <w:r w:rsidRPr="00B75CD7">
        <w:rPr>
          <w:rStyle w:val="ssrfcpassagedeactivated"/>
          <w:color w:val="212121"/>
          <w:szCs w:val="27"/>
          <w:bdr w:val="none" w:sz="0" w:space="0" w:color="auto" w:frame="1"/>
        </w:rPr>
        <w:t>Different standards of appellate review may be applicable to each of these two steps, depending upon the context in which an issue arises. </w:t>
      </w:r>
      <w:r w:rsidRPr="00B75CD7">
        <w:rPr>
          <w:rStyle w:val="ssrfcsection"/>
          <w:color w:val="212121"/>
          <w:szCs w:val="27"/>
          <w:bdr w:val="none" w:sz="0" w:space="0" w:color="auto" w:frame="1"/>
        </w:rPr>
        <w:t xml:space="preserve"> The trial court</w:t>
      </w:r>
      <w:r w:rsidR="004E24E0">
        <w:rPr>
          <w:rStyle w:val="ssrfcsection"/>
          <w:color w:val="212121"/>
          <w:szCs w:val="27"/>
          <w:bdr w:val="none" w:sz="0" w:space="0" w:color="auto" w:frame="1"/>
        </w:rPr>
        <w:t>’</w:t>
      </w:r>
      <w:r w:rsidRPr="00B75CD7">
        <w:rPr>
          <w:rStyle w:val="ssrfcsection"/>
          <w:color w:val="212121"/>
          <w:szCs w:val="27"/>
          <w:bdr w:val="none" w:sz="0" w:space="0" w:color="auto" w:frame="1"/>
        </w:rPr>
        <w:t xml:space="preserve">s ruling on the threshold determination </w:t>
      </w:r>
      <w:r w:rsidRPr="00B75CD7">
        <w:rPr>
          <w:rStyle w:val="ssrfcsection"/>
          <w:color w:val="212121"/>
          <w:szCs w:val="27"/>
          <w:bdr w:val="none" w:sz="0" w:space="0" w:color="auto" w:frame="1"/>
        </w:rPr>
        <w:lastRenderedPageBreak/>
        <w:t xml:space="preserve">of </w:t>
      </w:r>
      <w:r w:rsidR="004E24E0">
        <w:rPr>
          <w:rStyle w:val="ssrfcsection"/>
          <w:color w:val="212121"/>
          <w:szCs w:val="27"/>
          <w:bdr w:val="none" w:sz="0" w:space="0" w:color="auto" w:frame="1"/>
        </w:rPr>
        <w:t>‘</w:t>
      </w:r>
      <w:r w:rsidRPr="00B75CD7">
        <w:rPr>
          <w:rStyle w:val="ssrfcsection"/>
          <w:color w:val="212121"/>
          <w:szCs w:val="27"/>
          <w:bdr w:val="none" w:sz="0" w:space="0" w:color="auto" w:frame="1"/>
        </w:rPr>
        <w:t>ambiguity</w:t>
      </w:r>
      <w:r w:rsidR="004E24E0">
        <w:rPr>
          <w:rStyle w:val="ssrfcsection"/>
          <w:color w:val="212121"/>
          <w:szCs w:val="27"/>
          <w:bdr w:val="none" w:sz="0" w:space="0" w:color="auto" w:frame="1"/>
        </w:rPr>
        <w:t>’</w:t>
      </w:r>
      <w:r w:rsidRPr="00B75CD7">
        <w:rPr>
          <w:rStyle w:val="ssrfcsection"/>
          <w:color w:val="212121"/>
          <w:szCs w:val="27"/>
          <w:bdr w:val="none" w:sz="0" w:space="0" w:color="auto" w:frame="1"/>
        </w:rPr>
        <w:t xml:space="preserve"> (i.e., whether the proffered evidence is relevant to prove a meaning</w:t>
      </w:r>
      <w:r>
        <w:rPr>
          <w:rStyle w:val="ssrfcsection"/>
          <w:color w:val="212121"/>
          <w:szCs w:val="27"/>
          <w:bdr w:val="none" w:sz="0" w:space="0" w:color="auto" w:frame="1"/>
        </w:rPr>
        <w:t xml:space="preserve"> </w:t>
      </w:r>
      <w:r w:rsidRPr="00B75CD7">
        <w:rPr>
          <w:rStyle w:val="ssrfcsection"/>
          <w:color w:val="212121"/>
          <w:szCs w:val="27"/>
          <w:bdr w:val="none" w:sz="0" w:space="0" w:color="auto" w:frame="1"/>
        </w:rPr>
        <w:t xml:space="preserve">to which the language is reasonably susceptible) is a question of law, not of fact. </w:t>
      </w:r>
      <w:r>
        <w:rPr>
          <w:rStyle w:val="ssrfcsection"/>
          <w:color w:val="212121"/>
          <w:szCs w:val="27"/>
          <w:bdr w:val="none" w:sz="0" w:space="0" w:color="auto" w:frame="1"/>
        </w:rPr>
        <w:t xml:space="preserve"> [Citation.]  </w:t>
      </w:r>
      <w:r w:rsidRPr="00B75CD7">
        <w:rPr>
          <w:rStyle w:val="ssrfcsection"/>
          <w:color w:val="212121"/>
          <w:szCs w:val="27"/>
          <w:bdr w:val="none" w:sz="0" w:space="0" w:color="auto" w:frame="1"/>
        </w:rPr>
        <w:t>Thus the threshold determination of ambiguity is subject to independent review. </w:t>
      </w:r>
      <w:r>
        <w:rPr>
          <w:rStyle w:val="ssrfcsection"/>
          <w:color w:val="212121"/>
          <w:szCs w:val="27"/>
          <w:bdr w:val="none" w:sz="0" w:space="0" w:color="auto" w:frame="1"/>
        </w:rPr>
        <w:t xml:space="preserve"> [Citation.]  [¶]  </w:t>
      </w:r>
      <w:r w:rsidRPr="00B75CD7">
        <w:rPr>
          <w:rStyle w:val="ssrfcpassagedeactivated"/>
          <w:color w:val="212121"/>
          <w:szCs w:val="27"/>
          <w:bdr w:val="none" w:sz="0" w:space="0" w:color="auto" w:frame="1"/>
        </w:rPr>
        <w:t>The second step</w:t>
      </w:r>
      <w:r w:rsidR="00520762">
        <w:rPr>
          <w:rStyle w:val="ssrfcpassagedeactivated"/>
          <w:color w:val="212121"/>
          <w:szCs w:val="27"/>
          <w:bdr w:val="none" w:sz="0" w:space="0" w:color="auto" w:frame="1"/>
        </w:rPr>
        <w:t>—</w:t>
      </w:r>
      <w:r w:rsidRPr="00B75CD7">
        <w:rPr>
          <w:rStyle w:val="ssrfcpassagedeactivated"/>
          <w:color w:val="212121"/>
          <w:szCs w:val="27"/>
          <w:bdr w:val="none" w:sz="0" w:space="0" w:color="auto" w:frame="1"/>
        </w:rPr>
        <w:t>the ultimate construction placed upon the ambiguous language</w:t>
      </w:r>
      <w:r w:rsidR="004E24E0">
        <w:rPr>
          <w:rStyle w:val="ssrfcpassagedeactivated"/>
          <w:color w:val="212121"/>
          <w:szCs w:val="27"/>
          <w:bdr w:val="none" w:sz="0" w:space="0" w:color="auto" w:frame="1"/>
        </w:rPr>
        <w:t>—</w:t>
      </w:r>
      <w:r w:rsidRPr="00B75CD7">
        <w:rPr>
          <w:rStyle w:val="ssrfcpassagedeactivated"/>
          <w:color w:val="212121"/>
          <w:szCs w:val="27"/>
          <w:bdr w:val="none" w:sz="0" w:space="0" w:color="auto" w:frame="1"/>
        </w:rPr>
        <w:t xml:space="preserve">may call for differing standards of review, depending upon the parol evidence used to construe the contract. </w:t>
      </w:r>
      <w:r>
        <w:rPr>
          <w:rStyle w:val="ssrfcpassagedeactivated"/>
          <w:color w:val="212121"/>
          <w:szCs w:val="27"/>
          <w:bdr w:val="none" w:sz="0" w:space="0" w:color="auto" w:frame="1"/>
        </w:rPr>
        <w:t xml:space="preserve"> </w:t>
      </w:r>
      <w:r w:rsidRPr="00B75CD7">
        <w:rPr>
          <w:rStyle w:val="ssrfcpassagedeactivated"/>
          <w:color w:val="212121"/>
          <w:szCs w:val="27"/>
          <w:bdr w:val="none" w:sz="0" w:space="0" w:color="auto" w:frame="1"/>
        </w:rPr>
        <w:t>When the competent parol evidence is in conflict, and thus requires resolution of credibility issues, any reasonable construction will be upheld as long as it is supported by substantial</w:t>
      </w:r>
      <w:r>
        <w:rPr>
          <w:rStyle w:val="ssrfcpassagedeactivated"/>
          <w:color w:val="212121"/>
          <w:szCs w:val="27"/>
          <w:bdr w:val="none" w:sz="0" w:space="0" w:color="auto" w:frame="1"/>
        </w:rPr>
        <w:t xml:space="preserve"> e</w:t>
      </w:r>
      <w:r w:rsidRPr="00B75CD7">
        <w:rPr>
          <w:rStyle w:val="ssrfcpassagedeactivated"/>
          <w:color w:val="212121"/>
          <w:szCs w:val="27"/>
          <w:bdr w:val="none" w:sz="0" w:space="0" w:color="auto" w:frame="1"/>
        </w:rPr>
        <w:t>vidence. </w:t>
      </w:r>
      <w:r>
        <w:rPr>
          <w:rStyle w:val="ssrfcpassagedeactivated"/>
          <w:color w:val="212121"/>
          <w:szCs w:val="27"/>
          <w:bdr w:val="none" w:sz="0" w:space="0" w:color="auto" w:frame="1"/>
        </w:rPr>
        <w:t xml:space="preserve"> [Citation.]  </w:t>
      </w:r>
      <w:r w:rsidRPr="00B75CD7">
        <w:rPr>
          <w:rStyle w:val="ssrfcpassagedeactivated"/>
          <w:color w:val="212121"/>
          <w:szCs w:val="27"/>
          <w:bdr w:val="none" w:sz="0" w:space="0" w:color="auto" w:frame="1"/>
        </w:rPr>
        <w:t>However, when no parol evidence is introduced (requiring construction of the instrument solely based on its own language) or when the competen</w:t>
      </w:r>
      <w:r w:rsidRPr="009F3CF0">
        <w:rPr>
          <w:rStyle w:val="ssrfcpassagedeactivated"/>
          <w:color w:val="212121"/>
          <w:szCs w:val="27"/>
          <w:bdr w:val="none" w:sz="0" w:space="0" w:color="auto" w:frame="1"/>
        </w:rPr>
        <w:t>t parol evidence is not conflicting, construction of the instrument is a question of law, and the appellate court will independently construe the writing.</w:t>
      </w:r>
      <w:r w:rsidR="00520762">
        <w:rPr>
          <w:rStyle w:val="ssrfcpassagedeactivated"/>
          <w:color w:val="212121"/>
          <w:szCs w:val="27"/>
          <w:bdr w:val="none" w:sz="0" w:space="0" w:color="auto" w:frame="1"/>
        </w:rPr>
        <w:t>”</w:t>
      </w:r>
      <w:r w:rsidRPr="009F3CF0">
        <w:rPr>
          <w:rStyle w:val="ssrfcpassagedeactivated"/>
          <w:color w:val="212121"/>
          <w:szCs w:val="27"/>
          <w:bdr w:val="none" w:sz="0" w:space="0" w:color="auto" w:frame="1"/>
        </w:rPr>
        <w:t xml:space="preserve">  (</w:t>
      </w:r>
      <w:r w:rsidRPr="009F3CF0">
        <w:rPr>
          <w:rStyle w:val="ssrfcpassagedeactivated"/>
          <w:i/>
          <w:iCs/>
          <w:color w:val="212121"/>
          <w:szCs w:val="27"/>
          <w:bdr w:val="none" w:sz="0" w:space="0" w:color="auto" w:frame="1"/>
        </w:rPr>
        <w:t>Winet</w:t>
      </w:r>
      <w:r w:rsidRPr="00520762">
        <w:rPr>
          <w:rStyle w:val="ssrfcpassagedeactivated"/>
          <w:color w:val="212121"/>
          <w:szCs w:val="27"/>
          <w:bdr w:val="none" w:sz="0" w:space="0" w:color="auto" w:frame="1"/>
        </w:rPr>
        <w:t>,</w:t>
      </w:r>
      <w:r w:rsidRPr="0059508C">
        <w:rPr>
          <w:rStyle w:val="ssrfcpassagedeactivated"/>
          <w:i/>
          <w:iCs/>
          <w:color w:val="212121"/>
          <w:szCs w:val="27"/>
          <w:bdr w:val="none" w:sz="0" w:space="0" w:color="auto" w:frame="1"/>
        </w:rPr>
        <w:t xml:space="preserve"> supra</w:t>
      </w:r>
      <w:r w:rsidRPr="00520762">
        <w:rPr>
          <w:rStyle w:val="ssrfcpassagedeactivated"/>
          <w:color w:val="212121"/>
          <w:szCs w:val="27"/>
          <w:bdr w:val="none" w:sz="0" w:space="0" w:color="auto" w:frame="1"/>
        </w:rPr>
        <w:t xml:space="preserve">, </w:t>
      </w:r>
      <w:r>
        <w:rPr>
          <w:rStyle w:val="ssrfcpassagedeactivated"/>
          <w:color w:val="212121"/>
          <w:szCs w:val="27"/>
          <w:bdr w:val="none" w:sz="0" w:space="0" w:color="auto" w:frame="1"/>
        </w:rPr>
        <w:t xml:space="preserve">4 Cal.App.4th </w:t>
      </w:r>
      <w:r w:rsidRPr="009F3CF0">
        <w:rPr>
          <w:rStyle w:val="ssrfcpassagedeactivated"/>
          <w:color w:val="212121"/>
          <w:szCs w:val="27"/>
          <w:bdr w:val="none" w:sz="0" w:space="0" w:color="auto" w:frame="1"/>
        </w:rPr>
        <w:t>at pp. 1165-1166</w:t>
      </w:r>
      <w:r>
        <w:rPr>
          <w:rStyle w:val="ssrfcpassagedeactivated"/>
          <w:color w:val="212121"/>
          <w:szCs w:val="27"/>
          <w:bdr w:val="none" w:sz="0" w:space="0" w:color="auto" w:frame="1"/>
        </w:rPr>
        <w:t>.)</w:t>
      </w:r>
    </w:p>
    <w:p w14:paraId="0339F014" w14:textId="3C92E26A" w:rsidR="004248E3" w:rsidRDefault="0038463E" w:rsidP="00C773DE">
      <w:pPr>
        <w:spacing w:line="480" w:lineRule="auto"/>
      </w:pPr>
      <w:r>
        <w:rPr>
          <w:rStyle w:val="ssrfcpassagedeactivated"/>
          <w:color w:val="212121"/>
          <w:szCs w:val="27"/>
          <w:bdr w:val="none" w:sz="0" w:space="0" w:color="auto" w:frame="1"/>
        </w:rPr>
        <w:tab/>
      </w:r>
      <w:r w:rsidR="00E252C2">
        <w:t xml:space="preserve">Here, </w:t>
      </w:r>
      <w:r w:rsidR="001056E9">
        <w:t xml:space="preserve">no </w:t>
      </w:r>
      <w:r w:rsidR="00E252C2">
        <w:t xml:space="preserve">parol </w:t>
      </w:r>
      <w:r w:rsidR="007A2D4C">
        <w:t xml:space="preserve">or extrinsic </w:t>
      </w:r>
      <w:r w:rsidR="00E252C2">
        <w:t>evidence</w:t>
      </w:r>
      <w:r w:rsidR="003B5F85">
        <w:t xml:space="preserve"> indicates </w:t>
      </w:r>
      <w:r w:rsidR="007A2D4C">
        <w:t xml:space="preserve">that City’s </w:t>
      </w:r>
      <w:r w:rsidR="005437E9">
        <w:t xml:space="preserve">section 998 </w:t>
      </w:r>
      <w:r w:rsidR="00E252C2">
        <w:t>offer</w:t>
      </w:r>
      <w:r w:rsidR="00C722D6">
        <w:t xml:space="preserve"> </w:t>
      </w:r>
      <w:r w:rsidR="00993BB0">
        <w:t xml:space="preserve">was </w:t>
      </w:r>
      <w:r w:rsidR="00E252C2">
        <w:t>reasonably susceptible</w:t>
      </w:r>
      <w:r w:rsidR="00137861">
        <w:t xml:space="preserve"> </w:t>
      </w:r>
      <w:r w:rsidR="00617031">
        <w:t>to the construction Kinney</w:t>
      </w:r>
      <w:r w:rsidR="005437E9">
        <w:t xml:space="preserve"> </w:t>
      </w:r>
      <w:r w:rsidR="00C722D6">
        <w:t xml:space="preserve">later </w:t>
      </w:r>
      <w:r w:rsidR="00993BB0">
        <w:t xml:space="preserve">advanced </w:t>
      </w:r>
      <w:r w:rsidR="005437E9">
        <w:t xml:space="preserve">in her reply to </w:t>
      </w:r>
      <w:r w:rsidR="00EA7E4F">
        <w:t>City’s opposition to her fee motion</w:t>
      </w:r>
      <w:r w:rsidR="00617031">
        <w:t xml:space="preserve">: </w:t>
      </w:r>
      <w:r w:rsidR="00520762">
        <w:t xml:space="preserve"> </w:t>
      </w:r>
      <w:r w:rsidR="00D82593">
        <w:t>that the offer</w:t>
      </w:r>
      <w:r w:rsidR="0054782C">
        <w:t xml:space="preserve"> </w:t>
      </w:r>
      <w:r w:rsidR="00D82593">
        <w:t>was ambiguous</w:t>
      </w:r>
      <w:r w:rsidR="00137861">
        <w:t xml:space="preserve"> </w:t>
      </w:r>
      <w:r w:rsidR="00D82593">
        <w:t xml:space="preserve">as </w:t>
      </w:r>
      <w:r w:rsidR="00D82593" w:rsidRPr="00DC2E08">
        <w:rPr>
          <w:i/>
          <w:iCs/>
        </w:rPr>
        <w:t>to whom</w:t>
      </w:r>
      <w:r w:rsidR="00D82593">
        <w:t xml:space="preserve"> City was proposing to disclose the crime victim’s name</w:t>
      </w:r>
      <w:r w:rsidR="0054782C">
        <w:t xml:space="preserve"> at the time the offer was </w:t>
      </w:r>
      <w:r w:rsidR="00EA7E4F">
        <w:t>made</w:t>
      </w:r>
      <w:r w:rsidR="00762860">
        <w:t>.</w:t>
      </w:r>
      <w:r w:rsidR="001E14CC">
        <w:t xml:space="preserve">  </w:t>
      </w:r>
      <w:r w:rsidR="004706A2">
        <w:t xml:space="preserve">To be sure, </w:t>
      </w:r>
      <w:r w:rsidR="003E7218">
        <w:t xml:space="preserve">when </w:t>
      </w:r>
      <w:r w:rsidR="004452DF">
        <w:t xml:space="preserve">the offer was </w:t>
      </w:r>
      <w:r w:rsidR="001E14CC">
        <w:t xml:space="preserve">made </w:t>
      </w:r>
      <w:r w:rsidR="004706A2">
        <w:t>o</w:t>
      </w:r>
      <w:r w:rsidR="00C72321">
        <w:t xml:space="preserve">n </w:t>
      </w:r>
      <w:r w:rsidR="009D5091">
        <w:t xml:space="preserve">February 14, </w:t>
      </w:r>
      <w:r w:rsidR="0054782C">
        <w:t>202</w:t>
      </w:r>
      <w:r w:rsidR="008E5E8F">
        <w:t>0</w:t>
      </w:r>
      <w:r w:rsidR="0054782C">
        <w:t xml:space="preserve">, </w:t>
      </w:r>
      <w:r w:rsidR="009D5091">
        <w:t xml:space="preserve">City had received Austin’s </w:t>
      </w:r>
      <w:r w:rsidR="0054782C">
        <w:t xml:space="preserve">February 10 </w:t>
      </w:r>
      <w:r w:rsidR="000B3170">
        <w:t>e-mail</w:t>
      </w:r>
      <w:r w:rsidR="0054782C">
        <w:t>,</w:t>
      </w:r>
      <w:r w:rsidR="00E94B12">
        <w:t xml:space="preserve"> </w:t>
      </w:r>
      <w:r w:rsidR="00A377C3">
        <w:t xml:space="preserve">asking City to disclose the </w:t>
      </w:r>
      <w:r w:rsidR="004728D1">
        <w:t xml:space="preserve">same </w:t>
      </w:r>
      <w:r w:rsidR="00A377C3">
        <w:t xml:space="preserve">crime victim’s name </w:t>
      </w:r>
      <w:r w:rsidR="000F093D">
        <w:t xml:space="preserve">to </w:t>
      </w:r>
      <w:r w:rsidR="00A377C3">
        <w:t xml:space="preserve">Austin.  </w:t>
      </w:r>
      <w:r w:rsidR="00C01565">
        <w:t xml:space="preserve">On February </w:t>
      </w:r>
      <w:r w:rsidR="00A377C3">
        <w:t>14,</w:t>
      </w:r>
      <w:r w:rsidR="00C759D4">
        <w:t xml:space="preserve"> </w:t>
      </w:r>
      <w:r w:rsidR="00A377C3">
        <w:t>City’s attorney</w:t>
      </w:r>
      <w:r w:rsidR="00D7700B">
        <w:t xml:space="preserve">, </w:t>
      </w:r>
      <w:r w:rsidR="00A377C3">
        <w:t>Higg</w:t>
      </w:r>
      <w:r w:rsidR="001207AC">
        <w:t>i</w:t>
      </w:r>
      <w:r w:rsidR="00A377C3">
        <w:t>nbotham</w:t>
      </w:r>
      <w:r w:rsidR="00D7700B">
        <w:t xml:space="preserve">, </w:t>
      </w:r>
      <w:r w:rsidR="00A377C3">
        <w:t xml:space="preserve">spoke </w:t>
      </w:r>
      <w:r w:rsidR="00413ED1">
        <w:t xml:space="preserve">with Toraason </w:t>
      </w:r>
      <w:r w:rsidR="00D32427">
        <w:t>about Austin’s CPRA request</w:t>
      </w:r>
      <w:r w:rsidR="00B3058F">
        <w:t xml:space="preserve">.  But </w:t>
      </w:r>
      <w:r w:rsidR="00D32427">
        <w:t xml:space="preserve">Toraason denied knowing about Austin’s request </w:t>
      </w:r>
      <w:r w:rsidR="004728D1">
        <w:t xml:space="preserve">and said </w:t>
      </w:r>
      <w:r w:rsidR="00DC51C0">
        <w:t xml:space="preserve">she had never heard of </w:t>
      </w:r>
      <w:r w:rsidR="00D32427">
        <w:t xml:space="preserve">Austin.  </w:t>
      </w:r>
      <w:r w:rsidR="00A8416B">
        <w:t>On February 20, City disclosed the name to Austin.</w:t>
      </w:r>
      <w:r w:rsidR="00B3058F">
        <w:t xml:space="preserve">  </w:t>
      </w:r>
      <w:r w:rsidR="00E13BD4">
        <w:t xml:space="preserve">Although </w:t>
      </w:r>
      <w:r w:rsidR="0022467B">
        <w:t xml:space="preserve">City’s </w:t>
      </w:r>
      <w:r w:rsidR="00E13BD4">
        <w:t xml:space="preserve">section 998 offer stated it would pay Kinney $2,500 in attorney fees and costs, the offer </w:t>
      </w:r>
      <w:r w:rsidR="00207323">
        <w:lastRenderedPageBreak/>
        <w:t xml:space="preserve">did </w:t>
      </w:r>
      <w:r w:rsidR="00E13BD4">
        <w:t>not specify the person to whom City would disclose the crime victim’s name, in “full settlement</w:t>
      </w:r>
      <w:r w:rsidR="00207323">
        <w:t>”</w:t>
      </w:r>
      <w:r w:rsidR="00E13BD4">
        <w:t xml:space="preserve"> of </w:t>
      </w:r>
      <w:r w:rsidR="00207323">
        <w:t xml:space="preserve">Kinney’s CPRA petition.  But </w:t>
      </w:r>
      <w:r w:rsidR="00406372">
        <w:t xml:space="preserve">there is </w:t>
      </w:r>
      <w:r w:rsidR="00D32427">
        <w:t>no evidence</w:t>
      </w:r>
      <w:r w:rsidR="007C1CBE">
        <w:t xml:space="preserve"> </w:t>
      </w:r>
      <w:r w:rsidR="004452DF">
        <w:t xml:space="preserve">that </w:t>
      </w:r>
      <w:r w:rsidR="00C66D13">
        <w:t>Higginbotham</w:t>
      </w:r>
      <w:r w:rsidR="0017225A">
        <w:t xml:space="preserve">, </w:t>
      </w:r>
      <w:r w:rsidR="000F701F">
        <w:t xml:space="preserve">or anyone acting on </w:t>
      </w:r>
      <w:r w:rsidR="00361C9A">
        <w:t xml:space="preserve">City’s </w:t>
      </w:r>
      <w:r w:rsidR="000F701F">
        <w:t>behalf</w:t>
      </w:r>
      <w:r w:rsidR="0017225A">
        <w:t xml:space="preserve">, </w:t>
      </w:r>
      <w:r w:rsidR="003C28AA">
        <w:t xml:space="preserve">in any way </w:t>
      </w:r>
      <w:r w:rsidR="00AD0E74">
        <w:t>indicat</w:t>
      </w:r>
      <w:r w:rsidR="00C92E53">
        <w:t xml:space="preserve">ed </w:t>
      </w:r>
      <w:r w:rsidR="00AD0E74">
        <w:t xml:space="preserve">to </w:t>
      </w:r>
      <w:r w:rsidR="00575F47">
        <w:t>Tora</w:t>
      </w:r>
      <w:r w:rsidR="003B5FC9">
        <w:t>a</w:t>
      </w:r>
      <w:r w:rsidR="00575F47">
        <w:t>son</w:t>
      </w:r>
      <w:r w:rsidR="0059504B">
        <w:t xml:space="preserve"> </w:t>
      </w:r>
      <w:r w:rsidR="00361C9A">
        <w:t>(</w:t>
      </w:r>
      <w:r w:rsidR="0059504B">
        <w:t>or Kinney)</w:t>
      </w:r>
      <w:r w:rsidR="002C794F">
        <w:t xml:space="preserve">, </w:t>
      </w:r>
      <w:r w:rsidR="00533941">
        <w:t xml:space="preserve">that </w:t>
      </w:r>
      <w:r w:rsidR="00EC085E">
        <w:t xml:space="preserve">city’s section 998 </w:t>
      </w:r>
      <w:r w:rsidR="00CF22CD">
        <w:t xml:space="preserve">offer </w:t>
      </w:r>
      <w:r w:rsidR="00AD0E74">
        <w:t>was con</w:t>
      </w:r>
      <w:r w:rsidR="00091D3B">
        <w:t xml:space="preserve">tingent </w:t>
      </w:r>
      <w:r w:rsidR="000F701F">
        <w:t xml:space="preserve">on Kinney accepting City’s disclosure of the </w:t>
      </w:r>
      <w:r w:rsidR="00CF22CD">
        <w:t xml:space="preserve">crime victim’s </w:t>
      </w:r>
      <w:r w:rsidR="000F701F">
        <w:t xml:space="preserve">name </w:t>
      </w:r>
      <w:r w:rsidR="00091D3B">
        <w:t xml:space="preserve">to </w:t>
      </w:r>
      <w:r w:rsidR="0066678E">
        <w:t xml:space="preserve">a third party, such as </w:t>
      </w:r>
      <w:r w:rsidR="00BD4053">
        <w:t xml:space="preserve">Austin, or </w:t>
      </w:r>
      <w:r>
        <w:t xml:space="preserve">to anyone </w:t>
      </w:r>
      <w:r w:rsidR="00B90816">
        <w:t xml:space="preserve">other than </w:t>
      </w:r>
      <w:r w:rsidR="0090334A">
        <w:t>Kinney</w:t>
      </w:r>
      <w:r w:rsidR="00396A98">
        <w:t>.</w:t>
      </w:r>
      <w:r w:rsidR="006C276F">
        <w:t xml:space="preserve"> </w:t>
      </w:r>
      <w:r w:rsidR="00554D8C">
        <w:t xml:space="preserve"> </w:t>
      </w:r>
      <w:r w:rsidR="00EC085E">
        <w:t xml:space="preserve">Most </w:t>
      </w:r>
      <w:r w:rsidR="002B54A2">
        <w:t>critically, t</w:t>
      </w:r>
      <w:r w:rsidR="006C276F">
        <w:t>here is no evidence that Tora</w:t>
      </w:r>
      <w:r w:rsidR="002B54A2">
        <w:t>a</w:t>
      </w:r>
      <w:r w:rsidR="006C276F">
        <w:t xml:space="preserve">son (or Kinney) </w:t>
      </w:r>
      <w:r w:rsidR="002B54A2">
        <w:t xml:space="preserve">actually believed or </w:t>
      </w:r>
      <w:r w:rsidR="006C276F">
        <w:t xml:space="preserve">had </w:t>
      </w:r>
      <w:r w:rsidR="002B54A2">
        <w:t xml:space="preserve">any </w:t>
      </w:r>
      <w:r w:rsidR="006C276F">
        <w:t xml:space="preserve">reason to believe </w:t>
      </w:r>
      <w:r w:rsidR="002B54A2">
        <w:t xml:space="preserve">that </w:t>
      </w:r>
      <w:r w:rsidR="006C276F">
        <w:t xml:space="preserve">City’s section 998 offer was subject to </w:t>
      </w:r>
      <w:r w:rsidR="00200403">
        <w:t xml:space="preserve">this contingency, at any time before the offer expired on March </w:t>
      </w:r>
      <w:r w:rsidR="006F0C53">
        <w:t>16</w:t>
      </w:r>
      <w:r w:rsidR="00E2207F">
        <w:t xml:space="preserve"> (</w:t>
      </w:r>
      <w:r w:rsidR="006F0C53">
        <w:t>30 days after it was made on February 14</w:t>
      </w:r>
      <w:r w:rsidR="00E2207F">
        <w:t>)</w:t>
      </w:r>
      <w:r w:rsidR="006F0C53">
        <w:t>.</w:t>
      </w:r>
    </w:p>
    <w:p w14:paraId="55919E73" w14:textId="531153FF" w:rsidR="002E2800" w:rsidRDefault="0038463E" w:rsidP="00C773DE">
      <w:pPr>
        <w:spacing w:line="480" w:lineRule="auto"/>
      </w:pPr>
      <w:r>
        <w:tab/>
      </w:r>
      <w:r w:rsidR="00D81BF2">
        <w:t xml:space="preserve">To the contrary, </w:t>
      </w:r>
      <w:r>
        <w:t xml:space="preserve">City adduced </w:t>
      </w:r>
      <w:r w:rsidR="00D81BF2">
        <w:t>u</w:t>
      </w:r>
      <w:r w:rsidR="008B4DB7">
        <w:t xml:space="preserve">ncontroverted evidence </w:t>
      </w:r>
      <w:r>
        <w:t xml:space="preserve">that </w:t>
      </w:r>
      <w:r w:rsidR="008B4DB7">
        <w:t>Higginbotham</w:t>
      </w:r>
      <w:r w:rsidR="000F1D1C">
        <w:t xml:space="preserve">, </w:t>
      </w:r>
      <w:r w:rsidR="00114A56">
        <w:t xml:space="preserve">who </w:t>
      </w:r>
      <w:r w:rsidR="000F1D1C">
        <w:t xml:space="preserve">handled City’s defense of Kinney’s CPRA petition, </w:t>
      </w:r>
      <w:r w:rsidR="008B4DB7">
        <w:t xml:space="preserve">did not know </w:t>
      </w:r>
      <w:r w:rsidR="002E6647">
        <w:t xml:space="preserve">of the </w:t>
      </w:r>
      <w:r w:rsidR="00CB72F3">
        <w:t xml:space="preserve">“connection” between Austin and Kinney until after Borchert became Kinney’s attorney of record </w:t>
      </w:r>
      <w:r w:rsidR="002E6647">
        <w:t xml:space="preserve">in this case </w:t>
      </w:r>
      <w:r w:rsidR="00CB72F3">
        <w:t xml:space="preserve">on May 20, 2020.  </w:t>
      </w:r>
      <w:r w:rsidR="003822AF">
        <w:t xml:space="preserve">The </w:t>
      </w:r>
      <w:r w:rsidR="00A01AC5">
        <w:t xml:space="preserve">legal ramifications or </w:t>
      </w:r>
      <w:r w:rsidR="003822AF">
        <w:t xml:space="preserve">import of </w:t>
      </w:r>
      <w:r w:rsidR="00D81BF2">
        <w:t xml:space="preserve">City’s </w:t>
      </w:r>
      <w:r w:rsidR="0021339D">
        <w:t xml:space="preserve">February </w:t>
      </w:r>
      <w:r w:rsidR="008F134F">
        <w:t>20</w:t>
      </w:r>
      <w:r w:rsidR="00351389">
        <w:t xml:space="preserve"> </w:t>
      </w:r>
      <w:r w:rsidR="00DA38AA">
        <w:t xml:space="preserve">disclosure </w:t>
      </w:r>
      <w:r w:rsidR="0021339D">
        <w:t xml:space="preserve">of the </w:t>
      </w:r>
      <w:r w:rsidR="00321C96">
        <w:t xml:space="preserve">crime </w:t>
      </w:r>
      <w:r w:rsidR="0021339D">
        <w:t xml:space="preserve">victim’s name </w:t>
      </w:r>
      <w:r w:rsidR="00DA38AA">
        <w:t xml:space="preserve">to Austin became a </w:t>
      </w:r>
      <w:r w:rsidR="003822AF">
        <w:t xml:space="preserve">point of contention in </w:t>
      </w:r>
      <w:r w:rsidR="0021339D">
        <w:t>the case</w:t>
      </w:r>
      <w:r>
        <w:t xml:space="preserve"> </w:t>
      </w:r>
      <w:r w:rsidR="00DA38AA" w:rsidRPr="003822AF">
        <w:rPr>
          <w:i/>
          <w:iCs/>
        </w:rPr>
        <w:t xml:space="preserve">only after </w:t>
      </w:r>
      <w:r w:rsidR="00DA38AA">
        <w:t>Borchert became Kinney’s attorney of record on May 20.</w:t>
      </w:r>
    </w:p>
    <w:p w14:paraId="3AC3DF3C" w14:textId="56B1253A" w:rsidR="0099059E" w:rsidRDefault="0038463E" w:rsidP="00C773DE">
      <w:pPr>
        <w:spacing w:line="480" w:lineRule="auto"/>
      </w:pPr>
      <w:r>
        <w:tab/>
      </w:r>
      <w:r w:rsidR="00321C96">
        <w:t xml:space="preserve">After May 20, </w:t>
      </w:r>
      <w:r w:rsidR="00B91119">
        <w:t xml:space="preserve">City </w:t>
      </w:r>
      <w:r w:rsidR="008F134F">
        <w:t xml:space="preserve">claimed </w:t>
      </w:r>
      <w:r w:rsidR="0021339D">
        <w:t xml:space="preserve">City’s </w:t>
      </w:r>
      <w:r w:rsidR="008F134F">
        <w:t>February 20</w:t>
      </w:r>
      <w:r w:rsidR="00520762">
        <w:t xml:space="preserve"> </w:t>
      </w:r>
      <w:r w:rsidR="00B91119">
        <w:t xml:space="preserve">disclosure </w:t>
      </w:r>
      <w:r w:rsidR="0021339D">
        <w:t xml:space="preserve">of the </w:t>
      </w:r>
      <w:r w:rsidR="00321C96">
        <w:t xml:space="preserve">crime victim’s </w:t>
      </w:r>
      <w:r w:rsidR="0021339D">
        <w:t xml:space="preserve">name </w:t>
      </w:r>
      <w:r w:rsidR="00B91119">
        <w:t>to Austin mooted Kinney’s CPRA petition</w:t>
      </w:r>
      <w:r w:rsidR="0021339D">
        <w:t xml:space="preserve"> for an order directing City to make the name </w:t>
      </w:r>
      <w:r w:rsidR="00321C96">
        <w:t>“</w:t>
      </w:r>
      <w:r w:rsidR="0021339D">
        <w:t>available</w:t>
      </w:r>
      <w:r w:rsidR="00321C96">
        <w:t>”</w:t>
      </w:r>
      <w:r w:rsidR="0021339D">
        <w:t xml:space="preserve"> to Kinney</w:t>
      </w:r>
      <w:r w:rsidR="00DA38C3">
        <w:t>.</w:t>
      </w:r>
      <w:r w:rsidR="00B91119">
        <w:t xml:space="preserve"> </w:t>
      </w:r>
      <w:r w:rsidR="00180640">
        <w:t xml:space="preserve"> </w:t>
      </w:r>
      <w:r w:rsidR="00B91119">
        <w:t>Kinney</w:t>
      </w:r>
      <w:r w:rsidR="00180640">
        <w:t xml:space="preserve">, for her part, </w:t>
      </w:r>
      <w:r w:rsidR="00B91119">
        <w:t xml:space="preserve">claimed </w:t>
      </w:r>
      <w:r w:rsidR="00180640">
        <w:t xml:space="preserve">that </w:t>
      </w:r>
      <w:r w:rsidR="00916EBF">
        <w:t>City</w:t>
      </w:r>
      <w:r w:rsidR="0021339D">
        <w:t xml:space="preserve">’s disclosure of the name to Austin </w:t>
      </w:r>
      <w:r w:rsidR="00916EBF">
        <w:t xml:space="preserve">waived </w:t>
      </w:r>
      <w:r w:rsidR="0021339D">
        <w:t xml:space="preserve">any claim </w:t>
      </w:r>
      <w:r w:rsidR="009A6D12">
        <w:t xml:space="preserve">that the </w:t>
      </w:r>
      <w:r w:rsidR="0021339D">
        <w:t xml:space="preserve">name was exempt from disclosure.  </w:t>
      </w:r>
      <w:r w:rsidR="009A6D12">
        <w:t xml:space="preserve">(Gov. Code, </w:t>
      </w:r>
      <w:r w:rsidR="00520762">
        <w:t xml:space="preserve">former </w:t>
      </w:r>
      <w:r w:rsidR="009A6D12">
        <w:t>§</w:t>
      </w:r>
      <w:r w:rsidR="00520762">
        <w:t xml:space="preserve"> </w:t>
      </w:r>
      <w:r w:rsidR="009A6D12">
        <w:t>6254.</w:t>
      </w:r>
      <w:r w:rsidR="004B0B8D">
        <w:t>5</w:t>
      </w:r>
      <w:r w:rsidR="009A6D12">
        <w:t xml:space="preserve">.)  </w:t>
      </w:r>
      <w:r w:rsidR="004B0B8D">
        <w:t>But</w:t>
      </w:r>
      <w:r w:rsidR="00180640">
        <w:t xml:space="preserve">, </w:t>
      </w:r>
      <w:r w:rsidR="004B0B8D">
        <w:t>b</w:t>
      </w:r>
      <w:r w:rsidR="00213AF2">
        <w:t xml:space="preserve">ased on </w:t>
      </w:r>
      <w:r w:rsidR="0021339D">
        <w:t xml:space="preserve">the </w:t>
      </w:r>
      <w:r w:rsidR="00213AF2">
        <w:t xml:space="preserve">facts </w:t>
      </w:r>
      <w:r w:rsidR="00180640">
        <w:t xml:space="preserve">the record shows were </w:t>
      </w:r>
      <w:r w:rsidR="0021339D">
        <w:t xml:space="preserve">known </w:t>
      </w:r>
      <w:r w:rsidR="00A90EB7">
        <w:t xml:space="preserve">or reasonably should have been known </w:t>
      </w:r>
      <w:r w:rsidR="0021339D">
        <w:t xml:space="preserve">to </w:t>
      </w:r>
      <w:r w:rsidR="0072483E">
        <w:t>Toraason (</w:t>
      </w:r>
      <w:r w:rsidR="00203564">
        <w:t>and</w:t>
      </w:r>
      <w:r w:rsidR="00A90EB7">
        <w:t xml:space="preserve">, through Toraason, to </w:t>
      </w:r>
      <w:r w:rsidR="00190EA4">
        <w:t>Kinney</w:t>
      </w:r>
      <w:r w:rsidR="0072483E">
        <w:t xml:space="preserve">) </w:t>
      </w:r>
      <w:r w:rsidR="00190EA4">
        <w:t xml:space="preserve">at the time </w:t>
      </w:r>
      <w:r w:rsidR="00F8462E">
        <w:t xml:space="preserve">the </w:t>
      </w:r>
      <w:r w:rsidR="0021339D">
        <w:t xml:space="preserve">offer </w:t>
      </w:r>
      <w:r w:rsidR="00190EA4">
        <w:t xml:space="preserve">was </w:t>
      </w:r>
      <w:r w:rsidR="00A90EB7">
        <w:t>made</w:t>
      </w:r>
      <w:r w:rsidR="0021339D">
        <w:t>, “</w:t>
      </w:r>
      <w:r w:rsidR="00707B45">
        <w:t>[</w:t>
      </w:r>
      <w:r w:rsidR="0021339D">
        <w:t>t</w:t>
      </w:r>
      <w:r w:rsidR="00707B45">
        <w:t>]</w:t>
      </w:r>
      <w:r w:rsidR="0021339D">
        <w:t>he offer left no room for ambiguity.”  (</w:t>
      </w:r>
      <w:r w:rsidR="0021339D" w:rsidRPr="001705BC">
        <w:rPr>
          <w:i/>
          <w:iCs/>
        </w:rPr>
        <w:t>Calvo Fisher &amp; Jacob LLP v. Lujan</w:t>
      </w:r>
      <w:r w:rsidR="0021339D">
        <w:t xml:space="preserve"> (2015) 234 Cal.App.4th 608, 630.)</w:t>
      </w:r>
      <w:r w:rsidR="00A90EB7">
        <w:t xml:space="preserve">  </w:t>
      </w:r>
      <w:r w:rsidR="00F8462E">
        <w:t xml:space="preserve">Indeed, </w:t>
      </w:r>
      <w:r w:rsidR="00A63809">
        <w:t xml:space="preserve">Kinney proffered no </w:t>
      </w:r>
      <w:r w:rsidR="00A63809">
        <w:lastRenderedPageBreak/>
        <w:t xml:space="preserve">evidence that </w:t>
      </w:r>
      <w:r w:rsidR="004B0B8D">
        <w:t xml:space="preserve">she or </w:t>
      </w:r>
      <w:r w:rsidR="00A63809">
        <w:t xml:space="preserve">Toraason actually believed or had reason to believe that City’s section 998 offer was “not actually an offer to disclose the name to Kinney” at the time the offer was </w:t>
      </w:r>
      <w:r w:rsidR="00A90EB7">
        <w:t xml:space="preserve">made </w:t>
      </w:r>
      <w:r w:rsidR="00A63809">
        <w:t>on February</w:t>
      </w:r>
      <w:r w:rsidR="00351389">
        <w:t> </w:t>
      </w:r>
      <w:r w:rsidR="00A63809">
        <w:t>14</w:t>
      </w:r>
      <w:r w:rsidR="00351389">
        <w:t>, 2020</w:t>
      </w:r>
      <w:r w:rsidR="00A63809">
        <w:t xml:space="preserve">.  City’s continuing failure to disclose the crime victim’s name directly to Kinney, </w:t>
      </w:r>
      <w:r w:rsidR="00964556" w:rsidRPr="004F5F07">
        <w:rPr>
          <w:i/>
          <w:iCs/>
        </w:rPr>
        <w:t>after</w:t>
      </w:r>
      <w:r w:rsidR="00964556">
        <w:t xml:space="preserve"> </w:t>
      </w:r>
      <w:r w:rsidR="00A63809">
        <w:t xml:space="preserve">Kinney declined to accept </w:t>
      </w:r>
      <w:r w:rsidR="00AD552A">
        <w:t xml:space="preserve">the </w:t>
      </w:r>
      <w:r w:rsidR="00A63809">
        <w:t xml:space="preserve">offer </w:t>
      </w:r>
      <w:r w:rsidR="00A63809" w:rsidRPr="004B08DE">
        <w:rPr>
          <w:i/>
          <w:iCs/>
        </w:rPr>
        <w:t>and</w:t>
      </w:r>
      <w:r w:rsidR="00A63809">
        <w:t xml:space="preserve"> the offer expired </w:t>
      </w:r>
      <w:r w:rsidR="00AD552A">
        <w:t xml:space="preserve">on May 16 </w:t>
      </w:r>
      <w:r w:rsidR="00A63809">
        <w:t>(§</w:t>
      </w:r>
      <w:r w:rsidR="00520762">
        <w:t> </w:t>
      </w:r>
      <w:r w:rsidR="00A63809">
        <w:t xml:space="preserve">998, subd. (b)), </w:t>
      </w:r>
      <w:r w:rsidR="004F5F07">
        <w:t xml:space="preserve">in no way indicated </w:t>
      </w:r>
      <w:r w:rsidR="00A63809">
        <w:t xml:space="preserve">that the offer was ambiguous </w:t>
      </w:r>
      <w:r w:rsidR="00964556">
        <w:t xml:space="preserve">at the time the offer </w:t>
      </w:r>
      <w:r w:rsidR="00A63809">
        <w:t xml:space="preserve">was </w:t>
      </w:r>
      <w:r w:rsidR="003F343D">
        <w:t xml:space="preserve">made on </w:t>
      </w:r>
      <w:r w:rsidR="00A63809">
        <w:t>February 14.</w:t>
      </w:r>
    </w:p>
    <w:p w14:paraId="0C43F951" w14:textId="1ADFD48F" w:rsidR="00A1335C" w:rsidRDefault="0038463E" w:rsidP="00DB30C9">
      <w:pPr>
        <w:spacing w:line="480" w:lineRule="auto"/>
      </w:pPr>
      <w:r>
        <w:tab/>
      </w:r>
      <w:r w:rsidR="00C029A6">
        <w:t xml:space="preserve">As City </w:t>
      </w:r>
      <w:r w:rsidR="0021339D">
        <w:t>points out</w:t>
      </w:r>
      <w:r w:rsidR="00C029A6">
        <w:t xml:space="preserve">, the </w:t>
      </w:r>
      <w:r w:rsidR="0021339D">
        <w:t xml:space="preserve">trial </w:t>
      </w:r>
      <w:r w:rsidR="00C029A6">
        <w:t xml:space="preserve">court’s conclusion </w:t>
      </w:r>
      <w:r w:rsidR="00F71C61">
        <w:t xml:space="preserve">that City’s </w:t>
      </w:r>
      <w:r w:rsidR="00213AF2">
        <w:t xml:space="preserve">section 998 </w:t>
      </w:r>
      <w:r w:rsidR="00F71C61">
        <w:t xml:space="preserve">offer was ambiguous </w:t>
      </w:r>
      <w:r w:rsidR="0084458C">
        <w:t xml:space="preserve">appears to have been based on </w:t>
      </w:r>
      <w:r w:rsidR="003F343D">
        <w:t xml:space="preserve">the </w:t>
      </w:r>
      <w:r w:rsidR="0084458C">
        <w:t xml:space="preserve">arguments City made </w:t>
      </w:r>
      <w:r w:rsidR="0084458C" w:rsidRPr="00045F05">
        <w:rPr>
          <w:i/>
          <w:iCs/>
        </w:rPr>
        <w:t>after</w:t>
      </w:r>
      <w:r w:rsidR="0084458C">
        <w:t xml:space="preserve"> City’</w:t>
      </w:r>
      <w:r w:rsidR="00981286">
        <w:t>s</w:t>
      </w:r>
      <w:r w:rsidR="00B27039">
        <w:t xml:space="preserve"> </w:t>
      </w:r>
      <w:r w:rsidR="0084458C">
        <w:t xml:space="preserve">section 998 offer was </w:t>
      </w:r>
      <w:r>
        <w:t>made</w:t>
      </w:r>
      <w:r w:rsidR="0084458C">
        <w:t>.</w:t>
      </w:r>
      <w:r w:rsidR="00981286">
        <w:t xml:space="preserve">  </w:t>
      </w:r>
      <w:r w:rsidR="006913CB">
        <w:t xml:space="preserve">The </w:t>
      </w:r>
      <w:r w:rsidR="0021339D">
        <w:t xml:space="preserve">court reasoned: </w:t>
      </w:r>
      <w:r w:rsidR="008B0465">
        <w:t xml:space="preserve"> </w:t>
      </w:r>
      <w:r w:rsidR="0021339D">
        <w:t>“</w:t>
      </w:r>
      <w:r w:rsidR="00CF079E">
        <w:t xml:space="preserve">As </w:t>
      </w:r>
      <w:r w:rsidR="003C677F">
        <w:t xml:space="preserve">argued by </w:t>
      </w:r>
      <w:r w:rsidR="00073C52">
        <w:t xml:space="preserve">[Kinney] </w:t>
      </w:r>
      <w:r w:rsidR="003C677F">
        <w:t xml:space="preserve">in her reply, the section 998 offer is ambiguous </w:t>
      </w:r>
      <w:r w:rsidR="00045F05">
        <w:t xml:space="preserve">about </w:t>
      </w:r>
      <w:r w:rsidR="003C677F">
        <w:t>to whom disclos</w:t>
      </w:r>
      <w:r w:rsidR="00045F05">
        <w:t>u</w:t>
      </w:r>
      <w:r w:rsidR="003C677F">
        <w:t xml:space="preserve">re of the </w:t>
      </w:r>
      <w:r w:rsidR="00A41B5D">
        <w:t xml:space="preserve">requested </w:t>
      </w:r>
      <w:r w:rsidR="00045F05">
        <w:t xml:space="preserve">information </w:t>
      </w:r>
      <w:r w:rsidR="00A41B5D">
        <w:t>would be made—</w:t>
      </w:r>
      <w:r w:rsidR="00A41B5D" w:rsidRPr="0014117A">
        <w:rPr>
          <w:i/>
          <w:iCs/>
        </w:rPr>
        <w:t>had the offer been accepted</w:t>
      </w:r>
      <w:r w:rsidR="00A41B5D" w:rsidRPr="00351389">
        <w:t>,</w:t>
      </w:r>
      <w:r w:rsidR="00A41B5D" w:rsidRPr="0014117A">
        <w:rPr>
          <w:i/>
          <w:iCs/>
        </w:rPr>
        <w:t xml:space="preserve"> the City might have made the argument</w:t>
      </w:r>
      <w:r w:rsidR="003C677F" w:rsidRPr="0014117A">
        <w:rPr>
          <w:i/>
          <w:iCs/>
        </w:rPr>
        <w:t xml:space="preserve"> </w:t>
      </w:r>
      <w:r w:rsidR="00240BA4" w:rsidRPr="0014117A">
        <w:rPr>
          <w:i/>
          <w:iCs/>
        </w:rPr>
        <w:t xml:space="preserve">that the </w:t>
      </w:r>
      <w:r w:rsidR="00707B45">
        <w:rPr>
          <w:i/>
          <w:iCs/>
        </w:rPr>
        <w:t>C</w:t>
      </w:r>
      <w:r w:rsidR="00240BA4" w:rsidRPr="0014117A">
        <w:rPr>
          <w:i/>
          <w:iCs/>
        </w:rPr>
        <w:t xml:space="preserve">ourt found unpersuasive a year ago </w:t>
      </w:r>
      <w:r w:rsidR="00240BA4" w:rsidRPr="00707B45">
        <w:t>(</w:t>
      </w:r>
      <w:r w:rsidR="00240BA4" w:rsidRPr="0014117A">
        <w:rPr>
          <w:i/>
          <w:iCs/>
        </w:rPr>
        <w:t xml:space="preserve">and which </w:t>
      </w:r>
      <w:r w:rsidR="00240BA4" w:rsidRPr="008B0465">
        <w:t>[</w:t>
      </w:r>
      <w:r w:rsidR="00240BA4" w:rsidRPr="0014117A">
        <w:rPr>
          <w:i/>
          <w:iCs/>
        </w:rPr>
        <w:t>City</w:t>
      </w:r>
      <w:r w:rsidR="00240BA4" w:rsidRPr="008B0465">
        <w:t>]</w:t>
      </w:r>
      <w:r w:rsidR="00240BA4" w:rsidRPr="0014117A">
        <w:rPr>
          <w:i/>
          <w:iCs/>
        </w:rPr>
        <w:t xml:space="preserve"> repeats in its</w:t>
      </w:r>
      <w:r w:rsidR="00073C52" w:rsidRPr="0014117A">
        <w:rPr>
          <w:i/>
          <w:iCs/>
        </w:rPr>
        <w:t xml:space="preserve"> </w:t>
      </w:r>
      <w:r w:rsidR="00240BA4" w:rsidRPr="0014117A">
        <w:rPr>
          <w:i/>
          <w:iCs/>
        </w:rPr>
        <w:t>opposition papers</w:t>
      </w:r>
      <w:r w:rsidR="00240BA4" w:rsidRPr="00707B45">
        <w:t>)</w:t>
      </w:r>
      <w:r w:rsidR="00240BA4" w:rsidRPr="0014117A">
        <w:rPr>
          <w:i/>
          <w:iCs/>
        </w:rPr>
        <w:t xml:space="preserve"> that it had complied with its CPRA ob</w:t>
      </w:r>
      <w:r w:rsidR="00073C52" w:rsidRPr="0014117A">
        <w:rPr>
          <w:i/>
          <w:iCs/>
        </w:rPr>
        <w:t>l</w:t>
      </w:r>
      <w:r w:rsidR="00240BA4" w:rsidRPr="0014117A">
        <w:rPr>
          <w:i/>
          <w:iCs/>
        </w:rPr>
        <w:t>igati</w:t>
      </w:r>
      <w:r w:rsidR="00073C52" w:rsidRPr="0014117A">
        <w:rPr>
          <w:i/>
          <w:iCs/>
        </w:rPr>
        <w:t>o</w:t>
      </w:r>
      <w:r w:rsidR="00240BA4" w:rsidRPr="0014117A">
        <w:rPr>
          <w:i/>
          <w:iCs/>
        </w:rPr>
        <w:t>ns</w:t>
      </w:r>
      <w:r w:rsidR="00073C52" w:rsidRPr="0014117A">
        <w:rPr>
          <w:i/>
          <w:iCs/>
        </w:rPr>
        <w:t xml:space="preserve"> </w:t>
      </w:r>
      <w:r w:rsidR="00240BA4" w:rsidRPr="008B0465">
        <w:t>[</w:t>
      </w:r>
      <w:r w:rsidR="00240BA4" w:rsidRPr="0014117A">
        <w:rPr>
          <w:i/>
          <w:iCs/>
        </w:rPr>
        <w:t>to Kinney</w:t>
      </w:r>
      <w:r w:rsidR="00240BA4" w:rsidRPr="008B0465">
        <w:t>]</w:t>
      </w:r>
      <w:r w:rsidR="00240BA4" w:rsidRPr="0014117A">
        <w:rPr>
          <w:i/>
          <w:iCs/>
        </w:rPr>
        <w:t xml:space="preserve"> by disclo</w:t>
      </w:r>
      <w:r w:rsidR="00073C52" w:rsidRPr="0014117A">
        <w:rPr>
          <w:i/>
          <w:iCs/>
        </w:rPr>
        <w:t xml:space="preserve">sing </w:t>
      </w:r>
      <w:r w:rsidR="00240BA4" w:rsidRPr="0014117A">
        <w:rPr>
          <w:i/>
          <w:iCs/>
        </w:rPr>
        <w:t>the requested information</w:t>
      </w:r>
      <w:r w:rsidR="00073C52" w:rsidRPr="0014117A">
        <w:rPr>
          <w:i/>
          <w:iCs/>
        </w:rPr>
        <w:t xml:space="preserve"> not to </w:t>
      </w:r>
      <w:r w:rsidR="00073C52" w:rsidRPr="008B0465">
        <w:t>[</w:t>
      </w:r>
      <w:r w:rsidR="00073C52" w:rsidRPr="0014117A">
        <w:rPr>
          <w:i/>
          <w:iCs/>
        </w:rPr>
        <w:t>Kinney</w:t>
      </w:r>
      <w:r w:rsidR="00073C52" w:rsidRPr="008B0465">
        <w:t>]</w:t>
      </w:r>
      <w:r w:rsidR="00073C52" w:rsidRPr="0014117A">
        <w:rPr>
          <w:i/>
          <w:iCs/>
        </w:rPr>
        <w:t xml:space="preserve"> but to someone else</w:t>
      </w:r>
      <w:r w:rsidR="00073C52">
        <w:t xml:space="preserve">.  Accordingly, the </w:t>
      </w:r>
      <w:r w:rsidR="00707B45">
        <w:t>C</w:t>
      </w:r>
      <w:r w:rsidR="00073C52">
        <w:t>ourt is not persuaded that [Kinney] failed to obtain a more favora</w:t>
      </w:r>
      <w:r w:rsidR="001B3C48">
        <w:t>b</w:t>
      </w:r>
      <w:r w:rsidR="00073C52">
        <w:t>le ju</w:t>
      </w:r>
      <w:r w:rsidR="001B3C48">
        <w:t xml:space="preserve">dgment than </w:t>
      </w:r>
      <w:r w:rsidR="00073C52">
        <w:t xml:space="preserve">what </w:t>
      </w:r>
      <w:r w:rsidR="00707B45">
        <w:t xml:space="preserve">the </w:t>
      </w:r>
      <w:r w:rsidR="00073C52">
        <w:t xml:space="preserve">City offered in its </w:t>
      </w:r>
      <w:r w:rsidR="001B3C48">
        <w:t xml:space="preserve">section </w:t>
      </w:r>
      <w:r w:rsidR="00073C52">
        <w:t>998 offer.</w:t>
      </w:r>
      <w:r w:rsidR="001B3C48">
        <w:t>”</w:t>
      </w:r>
      <w:r w:rsidR="00073C52">
        <w:t xml:space="preserve">  </w:t>
      </w:r>
      <w:r w:rsidR="0014117A">
        <w:t>(</w:t>
      </w:r>
      <w:r w:rsidR="008B0465">
        <w:t>I</w:t>
      </w:r>
      <w:r w:rsidR="0014117A">
        <w:t>talics</w:t>
      </w:r>
      <w:r w:rsidR="008B0465" w:rsidRPr="008B0465">
        <w:t xml:space="preserve"> </w:t>
      </w:r>
      <w:r w:rsidR="008B0465">
        <w:t>added</w:t>
      </w:r>
      <w:r w:rsidR="0014117A">
        <w:t>.)</w:t>
      </w:r>
    </w:p>
    <w:p w14:paraId="3E5AF336" w14:textId="0D2352D7" w:rsidR="00973F99" w:rsidRDefault="0038463E" w:rsidP="00546EBB">
      <w:pPr>
        <w:spacing w:line="480" w:lineRule="auto"/>
      </w:pPr>
      <w:r>
        <w:tab/>
      </w:r>
      <w:r w:rsidR="00AB5A55">
        <w:t xml:space="preserve">In </w:t>
      </w:r>
      <w:r w:rsidR="0057042F">
        <w:t xml:space="preserve">her </w:t>
      </w:r>
      <w:r w:rsidR="00AB5A55">
        <w:t xml:space="preserve">reply to City’s opposition to </w:t>
      </w:r>
      <w:r w:rsidR="0057042F">
        <w:t xml:space="preserve">her </w:t>
      </w:r>
      <w:r w:rsidR="00AB5A55">
        <w:t xml:space="preserve">attorney fee motion, </w:t>
      </w:r>
      <w:r w:rsidR="0006686D">
        <w:t>Kinney</w:t>
      </w:r>
      <w:r w:rsidR="005040D3">
        <w:t xml:space="preserve"> </w:t>
      </w:r>
      <w:r w:rsidR="004F2B61">
        <w:t xml:space="preserve">argued </w:t>
      </w:r>
      <w:r w:rsidR="00D82875">
        <w:t xml:space="preserve">for the first time that City’s offer was ambiguous </w:t>
      </w:r>
      <w:r w:rsidR="00213F7E">
        <w:t>because the offer did not specify to whom City would disclose the crime victim’s name.</w:t>
      </w:r>
      <w:r w:rsidR="00691124">
        <w:t xml:space="preserve">  Kinney argued</w:t>
      </w:r>
      <w:r w:rsidR="007559FA">
        <w:t xml:space="preserve">:  </w:t>
      </w:r>
      <w:r w:rsidR="00691124">
        <w:t>“City’s continued</w:t>
      </w:r>
      <w:r w:rsidR="00F21BE0">
        <w:t xml:space="preserve"> </w:t>
      </w:r>
      <w:r w:rsidR="00691124">
        <w:t>obstinate refusal to di</w:t>
      </w:r>
      <w:r w:rsidR="00F21BE0">
        <w:t>s</w:t>
      </w:r>
      <w:r w:rsidR="00691124">
        <w:t>clo</w:t>
      </w:r>
      <w:r w:rsidR="00F21BE0">
        <w:t>s</w:t>
      </w:r>
      <w:r w:rsidR="00691124">
        <w:t xml:space="preserve">e the </w:t>
      </w:r>
      <w:r w:rsidR="00F21BE0">
        <w:t xml:space="preserve">[name] </w:t>
      </w:r>
      <w:r w:rsidR="00691124">
        <w:t xml:space="preserve">to Kinney in the face of a court order demonstrates that the 998 offer was </w:t>
      </w:r>
      <w:r w:rsidR="00691124" w:rsidRPr="00842343">
        <w:rPr>
          <w:i/>
          <w:iCs/>
        </w:rPr>
        <w:t>not</w:t>
      </w:r>
      <w:r w:rsidR="00691124">
        <w:t xml:space="preserve"> actually an offer to </w:t>
      </w:r>
      <w:r w:rsidR="00F21BE0">
        <w:t>d</w:t>
      </w:r>
      <w:r w:rsidR="00691124">
        <w:t xml:space="preserve">isclose the </w:t>
      </w:r>
      <w:r w:rsidR="00842343">
        <w:t>[</w:t>
      </w:r>
      <w:r w:rsidR="00691124">
        <w:t>name</w:t>
      </w:r>
      <w:r w:rsidR="00842343">
        <w:t>]</w:t>
      </w:r>
      <w:r w:rsidR="00691124">
        <w:t xml:space="preserve"> to Kinney</w:t>
      </w:r>
      <w:r w:rsidR="00E94CF9">
        <w:t xml:space="preserve">.”  </w:t>
      </w:r>
      <w:r w:rsidR="00A7149A">
        <w:t xml:space="preserve">But </w:t>
      </w:r>
      <w:r w:rsidR="0057042F">
        <w:t xml:space="preserve">Kinney’s </w:t>
      </w:r>
      <w:r w:rsidR="00E94CF9">
        <w:lastRenderedPageBreak/>
        <w:t xml:space="preserve">argument was based on </w:t>
      </w:r>
      <w:r w:rsidR="00BA08A6">
        <w:t xml:space="preserve">arguments </w:t>
      </w:r>
      <w:r w:rsidR="00E94CF9">
        <w:t>City</w:t>
      </w:r>
      <w:r w:rsidR="00BA08A6">
        <w:t xml:space="preserve"> made in the litigation </w:t>
      </w:r>
      <w:r w:rsidR="00232624">
        <w:t xml:space="preserve">several months </w:t>
      </w:r>
      <w:r w:rsidR="00E94CF9" w:rsidRPr="006217B2">
        <w:rPr>
          <w:i/>
          <w:iCs/>
        </w:rPr>
        <w:t>after</w:t>
      </w:r>
      <w:r w:rsidR="00E94CF9">
        <w:t xml:space="preserve"> City</w:t>
      </w:r>
      <w:r w:rsidR="00BA08A6">
        <w:t xml:space="preserve">’s </w:t>
      </w:r>
      <w:r w:rsidR="00E94CF9">
        <w:t xml:space="preserve">section 998 offer </w:t>
      </w:r>
      <w:r w:rsidR="00F034B5">
        <w:t xml:space="preserve">expired </w:t>
      </w:r>
      <w:r w:rsidR="00B80C53">
        <w:t xml:space="preserve">on </w:t>
      </w:r>
      <w:r w:rsidR="00232624">
        <w:t>March 16, 2020.</w:t>
      </w:r>
    </w:p>
    <w:p w14:paraId="185E8D20" w14:textId="3A59473F" w:rsidR="000C4742" w:rsidRPr="00A05756" w:rsidRDefault="0038463E" w:rsidP="000C4742">
      <w:pPr>
        <w:spacing w:line="480" w:lineRule="auto"/>
      </w:pPr>
      <w:r w:rsidRPr="002746C0">
        <w:tab/>
        <w:t xml:space="preserve">In sum, </w:t>
      </w:r>
      <w:r w:rsidR="0001266E" w:rsidRPr="002746C0">
        <w:t xml:space="preserve">the entire record shows that </w:t>
      </w:r>
      <w:r w:rsidRPr="002746C0">
        <w:t xml:space="preserve">City’s section 998 offer was not ambiguous at the time it was </w:t>
      </w:r>
      <w:r w:rsidR="008A58FE" w:rsidRPr="002746C0">
        <w:t>made on February 14, 2020</w:t>
      </w:r>
      <w:r w:rsidR="00F034B5" w:rsidRPr="002746C0">
        <w:t xml:space="preserve"> or before it expired </w:t>
      </w:r>
      <w:r w:rsidR="0001266E" w:rsidRPr="002746C0">
        <w:t>on March 16</w:t>
      </w:r>
      <w:r w:rsidR="008A58FE" w:rsidRPr="002746C0">
        <w:t>.</w:t>
      </w:r>
      <w:r w:rsidR="00104815" w:rsidRPr="002746C0">
        <w:t xml:space="preserve"> In fact, at the time City made its section 998 offer, City had not provided the requested information to anyone else.  Nor was City aware of any other person or entity to whom disclosure might be made other than Kinney. </w:t>
      </w:r>
      <w:r w:rsidR="007A2B5F" w:rsidRPr="002746C0">
        <w:t xml:space="preserve"> </w:t>
      </w:r>
      <w:r w:rsidR="008A4CE2" w:rsidRPr="002746C0">
        <w:t>T</w:t>
      </w:r>
      <w:r w:rsidR="008408FC" w:rsidRPr="002746C0">
        <w:t xml:space="preserve">he offer </w:t>
      </w:r>
      <w:r w:rsidR="00B35943" w:rsidRPr="002746C0">
        <w:t xml:space="preserve">was sufficiently specific </w:t>
      </w:r>
      <w:r w:rsidR="0001266E" w:rsidRPr="002746C0">
        <w:t>and</w:t>
      </w:r>
      <w:r w:rsidR="00104815" w:rsidRPr="002746C0">
        <w:t xml:space="preserve"> </w:t>
      </w:r>
      <w:r w:rsidR="0001266E" w:rsidRPr="002746C0">
        <w:t xml:space="preserve">unambiguous </w:t>
      </w:r>
      <w:r w:rsidR="00FB3E6D" w:rsidRPr="002746C0">
        <w:t xml:space="preserve">on the question of </w:t>
      </w:r>
      <w:r w:rsidR="00B35943" w:rsidRPr="002746C0">
        <w:rPr>
          <w:i/>
          <w:iCs/>
        </w:rPr>
        <w:t>to whom</w:t>
      </w:r>
      <w:r w:rsidR="00B35943" w:rsidRPr="002746C0">
        <w:t xml:space="preserve"> City </w:t>
      </w:r>
      <w:r w:rsidR="00FB3E6D" w:rsidRPr="002746C0">
        <w:t xml:space="preserve">would </w:t>
      </w:r>
      <w:r w:rsidR="00B35943" w:rsidRPr="002746C0">
        <w:t>disclose the crime victim’s name</w:t>
      </w:r>
      <w:r w:rsidR="00715314" w:rsidRPr="002746C0">
        <w:t xml:space="preserve"> if the offer </w:t>
      </w:r>
      <w:r w:rsidR="0001266E" w:rsidRPr="002746C0">
        <w:t xml:space="preserve">was </w:t>
      </w:r>
      <w:r w:rsidR="00715314" w:rsidRPr="002746C0">
        <w:t>accepted</w:t>
      </w:r>
      <w:r w:rsidR="00A634A8" w:rsidRPr="002746C0">
        <w:t xml:space="preserve">: </w:t>
      </w:r>
      <w:r w:rsidR="008A58FE" w:rsidRPr="002746C0">
        <w:t xml:space="preserve">City would disclose the name to </w:t>
      </w:r>
      <w:r w:rsidR="00B35943" w:rsidRPr="002746C0">
        <w:t xml:space="preserve">Kinney.  </w:t>
      </w:r>
      <w:r w:rsidR="007A2B5F" w:rsidRPr="002746C0">
        <w:t xml:space="preserve">There was no reason to believe the disclosure would be made to anyone but Kinney.  </w:t>
      </w:r>
      <w:r w:rsidR="005D057A" w:rsidRPr="002746C0">
        <w:t xml:space="preserve">Thus, </w:t>
      </w:r>
      <w:r w:rsidR="005D057A">
        <w:t>t</w:t>
      </w:r>
      <w:r>
        <w:t xml:space="preserve">he offer was </w:t>
      </w:r>
      <w:r w:rsidR="00B35943">
        <w:t xml:space="preserve">valid and </w:t>
      </w:r>
      <w:r>
        <w:t>enforceable</w:t>
      </w:r>
      <w:r w:rsidR="00C916F6">
        <w:t xml:space="preserve">.  Kinney also failed to obtain a more favorable result on her CPRA petition than City </w:t>
      </w:r>
      <w:r w:rsidR="00433B0D">
        <w:t xml:space="preserve">proposed in </w:t>
      </w:r>
      <w:r w:rsidR="00C916F6">
        <w:t xml:space="preserve">its section 998 offer: </w:t>
      </w:r>
      <w:r w:rsidR="008B0465">
        <w:t xml:space="preserve"> </w:t>
      </w:r>
      <w:r w:rsidR="00C916F6">
        <w:t>disclosure of the crime victim’s name to Kinney.  Thus</w:t>
      </w:r>
      <w:r w:rsidR="0075668C">
        <w:t xml:space="preserve">, as the prevailing party on her CPRA petition, Kinney may only </w:t>
      </w:r>
      <w:r w:rsidR="005D057A">
        <w:t>recover</w:t>
      </w:r>
      <w:r w:rsidR="0075668C">
        <w:t xml:space="preserve"> </w:t>
      </w:r>
      <w:r w:rsidR="0098139F">
        <w:t xml:space="preserve">Kinney’s </w:t>
      </w:r>
      <w:r w:rsidR="0075668C" w:rsidRPr="0098139F">
        <w:rPr>
          <w:i/>
          <w:iCs/>
        </w:rPr>
        <w:t>preoffer</w:t>
      </w:r>
      <w:r w:rsidR="0075668C">
        <w:t xml:space="preserve"> </w:t>
      </w:r>
      <w:r w:rsidR="005D057A">
        <w:t>costs and attorney fees</w:t>
      </w:r>
      <w:r>
        <w:t xml:space="preserve">.  </w:t>
      </w:r>
      <w:r w:rsidR="00636D54">
        <w:t>(§</w:t>
      </w:r>
      <w:r w:rsidR="00554D8C">
        <w:t> </w:t>
      </w:r>
      <w:r w:rsidR="00636D54">
        <w:t xml:space="preserve">998, subd. (c)(1).)  </w:t>
      </w:r>
      <w:r w:rsidR="0075668C">
        <w:t xml:space="preserve">As noted, </w:t>
      </w:r>
      <w:r w:rsidR="0004369F">
        <w:t>Tora</w:t>
      </w:r>
      <w:r w:rsidR="00014CDD">
        <w:t>a</w:t>
      </w:r>
      <w:r w:rsidR="0004369F">
        <w:t>son</w:t>
      </w:r>
      <w:r w:rsidR="000F27AC">
        <w:t>’s time records</w:t>
      </w:r>
      <w:r w:rsidR="00715314">
        <w:t xml:space="preserve"> show </w:t>
      </w:r>
      <w:r w:rsidR="00741A07">
        <w:t xml:space="preserve">that </w:t>
      </w:r>
      <w:r w:rsidR="00AD5165">
        <w:t xml:space="preserve">Kinney </w:t>
      </w:r>
      <w:r w:rsidR="0004369F">
        <w:t xml:space="preserve">incurred </w:t>
      </w:r>
      <w:r w:rsidR="00AD5165">
        <w:t xml:space="preserve">$2,475 in attorney fees </w:t>
      </w:r>
      <w:r w:rsidR="00715314">
        <w:t>with Tora</w:t>
      </w:r>
      <w:r w:rsidR="00014CDD">
        <w:t>a</w:t>
      </w:r>
      <w:r w:rsidR="00715314">
        <w:t>son</w:t>
      </w:r>
      <w:r w:rsidR="00741A07">
        <w:t xml:space="preserve"> </w:t>
      </w:r>
      <w:r w:rsidR="00AD5165">
        <w:t>through February 1</w:t>
      </w:r>
      <w:r w:rsidR="00A05756">
        <w:t>3</w:t>
      </w:r>
      <w:r w:rsidR="002B24A5">
        <w:t xml:space="preserve">, </w:t>
      </w:r>
      <w:r w:rsidR="009A4D26">
        <w:t xml:space="preserve">calculated at Toraason’s </w:t>
      </w:r>
      <w:r w:rsidR="009A4D26" w:rsidRPr="00A03A63">
        <w:t>unreduced</w:t>
      </w:r>
      <w:r w:rsidR="009A4D26">
        <w:t xml:space="preserve"> hourly rate of $495</w:t>
      </w:r>
      <w:r w:rsidR="00A05756">
        <w:t xml:space="preserve">.  </w:t>
      </w:r>
      <w:r w:rsidR="004C6F33">
        <w:t>There are no time entries on February 14.</w:t>
      </w:r>
      <w:r w:rsidR="00354369">
        <w:t xml:space="preserve">  </w:t>
      </w:r>
      <w:r w:rsidR="00F7482A">
        <w:t xml:space="preserve">Thus, </w:t>
      </w:r>
      <w:r w:rsidR="00636D54">
        <w:t>Kinney</w:t>
      </w:r>
      <w:r w:rsidR="0015422E">
        <w:t xml:space="preserve">’s </w:t>
      </w:r>
      <w:r w:rsidR="00476B0B">
        <w:t>attorney fee</w:t>
      </w:r>
      <w:r w:rsidR="0098139F">
        <w:t xml:space="preserve"> award against City </w:t>
      </w:r>
      <w:r w:rsidR="00476B0B">
        <w:t xml:space="preserve">must be </w:t>
      </w:r>
      <w:r w:rsidR="005D057A">
        <w:t xml:space="preserve">limited </w:t>
      </w:r>
      <w:r w:rsidR="00636D54">
        <w:t xml:space="preserve">to </w:t>
      </w:r>
      <w:r w:rsidR="00970FF6">
        <w:t>$2,</w:t>
      </w:r>
      <w:r w:rsidR="009322F5">
        <w:t>475</w:t>
      </w:r>
      <w:r w:rsidR="00E1620D">
        <w:t>.</w:t>
      </w:r>
    </w:p>
    <w:p w14:paraId="7E58B879" w14:textId="4CA2729B" w:rsidR="000C4742" w:rsidRDefault="0038463E" w:rsidP="000C4742">
      <w:pPr>
        <w:spacing w:line="480" w:lineRule="auto"/>
        <w:jc w:val="center"/>
        <w:rPr>
          <w:color w:val="212121"/>
          <w:szCs w:val="27"/>
          <w:shd w:val="clear" w:color="auto" w:fill="FFFFFF"/>
        </w:rPr>
      </w:pPr>
      <w:r>
        <w:rPr>
          <w:color w:val="212121"/>
          <w:szCs w:val="27"/>
          <w:shd w:val="clear" w:color="auto" w:fill="FFFFFF"/>
        </w:rPr>
        <w:t>IV.  DISPOSITION</w:t>
      </w:r>
    </w:p>
    <w:p w14:paraId="2CA9EE79" w14:textId="5C8DBA73" w:rsidR="000C4742" w:rsidRDefault="0038463E" w:rsidP="000C4742">
      <w:pPr>
        <w:spacing w:line="480" w:lineRule="auto"/>
        <w:rPr>
          <w:color w:val="212121"/>
          <w:szCs w:val="27"/>
          <w:shd w:val="clear" w:color="auto" w:fill="FFFFFF"/>
        </w:rPr>
      </w:pPr>
      <w:r>
        <w:rPr>
          <w:color w:val="212121"/>
          <w:szCs w:val="27"/>
          <w:shd w:val="clear" w:color="auto" w:fill="FFFFFF"/>
        </w:rPr>
        <w:tab/>
        <w:t xml:space="preserve">The </w:t>
      </w:r>
      <w:r w:rsidR="00E62A48">
        <w:rPr>
          <w:color w:val="212121"/>
          <w:szCs w:val="27"/>
          <w:shd w:val="clear" w:color="auto" w:fill="FFFFFF"/>
        </w:rPr>
        <w:t xml:space="preserve">August 4, 2022 </w:t>
      </w:r>
      <w:r>
        <w:rPr>
          <w:color w:val="212121"/>
          <w:szCs w:val="27"/>
          <w:shd w:val="clear" w:color="auto" w:fill="FFFFFF"/>
        </w:rPr>
        <w:t xml:space="preserve">judgment </w:t>
      </w:r>
      <w:r w:rsidR="00E62A48">
        <w:rPr>
          <w:color w:val="212121"/>
          <w:szCs w:val="27"/>
          <w:shd w:val="clear" w:color="auto" w:fill="FFFFFF"/>
        </w:rPr>
        <w:t xml:space="preserve">awarding Kinney $43,300 </w:t>
      </w:r>
      <w:r w:rsidR="00CB7770">
        <w:rPr>
          <w:color w:val="212121"/>
          <w:szCs w:val="27"/>
          <w:shd w:val="clear" w:color="auto" w:fill="FFFFFF"/>
        </w:rPr>
        <w:t xml:space="preserve">in attorney fees against City </w:t>
      </w:r>
      <w:r w:rsidR="00E62A48">
        <w:rPr>
          <w:color w:val="212121"/>
          <w:szCs w:val="27"/>
          <w:shd w:val="clear" w:color="auto" w:fill="FFFFFF"/>
        </w:rPr>
        <w:t xml:space="preserve">is </w:t>
      </w:r>
      <w:r w:rsidR="00D40149">
        <w:rPr>
          <w:color w:val="212121"/>
          <w:szCs w:val="27"/>
          <w:shd w:val="clear" w:color="auto" w:fill="FFFFFF"/>
        </w:rPr>
        <w:t>reversed</w:t>
      </w:r>
      <w:r>
        <w:rPr>
          <w:color w:val="212121"/>
          <w:szCs w:val="27"/>
          <w:shd w:val="clear" w:color="auto" w:fill="FFFFFF"/>
        </w:rPr>
        <w:t xml:space="preserve">.  </w:t>
      </w:r>
      <w:r w:rsidR="00E62A48">
        <w:rPr>
          <w:color w:val="212121"/>
          <w:szCs w:val="27"/>
          <w:shd w:val="clear" w:color="auto" w:fill="FFFFFF"/>
        </w:rPr>
        <w:t xml:space="preserve">The matter is remanded with directions to the trial court to enter </w:t>
      </w:r>
      <w:r w:rsidR="00D40149">
        <w:rPr>
          <w:color w:val="212121"/>
          <w:szCs w:val="27"/>
          <w:shd w:val="clear" w:color="auto" w:fill="FFFFFF"/>
        </w:rPr>
        <w:t xml:space="preserve">a new </w:t>
      </w:r>
      <w:r w:rsidR="00D40149">
        <w:rPr>
          <w:color w:val="212121"/>
          <w:szCs w:val="27"/>
          <w:shd w:val="clear" w:color="auto" w:fill="FFFFFF"/>
        </w:rPr>
        <w:lastRenderedPageBreak/>
        <w:t>judgment awarding Kinney $2,</w:t>
      </w:r>
      <w:r w:rsidR="00CB7770">
        <w:rPr>
          <w:color w:val="212121"/>
          <w:szCs w:val="27"/>
          <w:shd w:val="clear" w:color="auto" w:fill="FFFFFF"/>
        </w:rPr>
        <w:t xml:space="preserve">475 </w:t>
      </w:r>
      <w:r w:rsidR="00D40149">
        <w:rPr>
          <w:color w:val="212121"/>
          <w:szCs w:val="27"/>
          <w:shd w:val="clear" w:color="auto" w:fill="FFFFFF"/>
        </w:rPr>
        <w:t>in attorney fees</w:t>
      </w:r>
      <w:r w:rsidR="00CB7770">
        <w:rPr>
          <w:color w:val="212121"/>
          <w:szCs w:val="27"/>
          <w:shd w:val="clear" w:color="auto" w:fill="FFFFFF"/>
        </w:rPr>
        <w:t xml:space="preserve"> against City</w:t>
      </w:r>
      <w:r w:rsidR="00D40149">
        <w:rPr>
          <w:color w:val="212121"/>
          <w:szCs w:val="27"/>
          <w:shd w:val="clear" w:color="auto" w:fill="FFFFFF"/>
        </w:rPr>
        <w:t xml:space="preserve">.  </w:t>
      </w:r>
      <w:r w:rsidR="00FF0005">
        <w:rPr>
          <w:color w:val="212121"/>
          <w:szCs w:val="27"/>
          <w:shd w:val="clear" w:color="auto" w:fill="FFFFFF"/>
        </w:rPr>
        <w:t xml:space="preserve">The parties shall bear their respective </w:t>
      </w:r>
      <w:r>
        <w:rPr>
          <w:color w:val="212121"/>
          <w:szCs w:val="27"/>
          <w:shd w:val="clear" w:color="auto" w:fill="FFFFFF"/>
        </w:rPr>
        <w:t>costs on appeal.  (Cal. Rules of Court, rule 8.278.)</w:t>
      </w:r>
    </w:p>
    <w:p w14:paraId="02DA4DA3" w14:textId="5CB8D1A7" w:rsidR="00642219" w:rsidRDefault="00642219" w:rsidP="00842343">
      <w:pPr>
        <w:spacing w:line="480" w:lineRule="auto"/>
        <w:ind w:firstLine="720"/>
      </w:pPr>
    </w:p>
    <w:p w14:paraId="43F05FC7" w14:textId="77777777" w:rsidR="00276E75" w:rsidRPr="005710AB" w:rsidRDefault="0038463E" w:rsidP="00276E75">
      <w:pPr>
        <w:pStyle w:val="SigPage1"/>
        <w:keepNext/>
        <w:keepLines/>
        <w:jc w:val="right"/>
        <w:rPr>
          <w:sz w:val="26"/>
          <w:szCs w:val="26"/>
        </w:rPr>
      </w:pPr>
      <w:r>
        <w:rPr>
          <w:sz w:val="26"/>
          <w:szCs w:val="26"/>
          <w:u w:val="single"/>
        </w:rPr>
        <w:t>FIELDS</w:t>
      </w:r>
      <w:r w:rsidRPr="005710AB">
        <w:rPr>
          <w:sz w:val="26"/>
          <w:szCs w:val="26"/>
          <w:u w:val="single"/>
        </w:rPr>
        <w:tab/>
      </w:r>
    </w:p>
    <w:p w14:paraId="7797374C" w14:textId="66665860" w:rsidR="00276E75" w:rsidRPr="005710AB" w:rsidRDefault="0038463E" w:rsidP="00276E75">
      <w:pPr>
        <w:pStyle w:val="SigPage1"/>
        <w:keepNext/>
        <w:keepLines/>
        <w:jc w:val="right"/>
        <w:rPr>
          <w:sz w:val="26"/>
          <w:szCs w:val="26"/>
        </w:rPr>
      </w:pPr>
      <w:r w:rsidRPr="005710AB">
        <w:rPr>
          <w:sz w:val="26"/>
          <w:szCs w:val="26"/>
        </w:rPr>
        <w:tab/>
      </w:r>
      <w:r>
        <w:rPr>
          <w:sz w:val="26"/>
          <w:szCs w:val="26"/>
        </w:rPr>
        <w:t xml:space="preserve">Acting P. </w:t>
      </w:r>
      <w:r w:rsidRPr="005710AB">
        <w:rPr>
          <w:sz w:val="26"/>
          <w:szCs w:val="26"/>
        </w:rPr>
        <w:t>J.</w:t>
      </w:r>
    </w:p>
    <w:p w14:paraId="7F314EEC" w14:textId="77777777" w:rsidR="00276E75" w:rsidRPr="005710AB" w:rsidRDefault="0038463E" w:rsidP="00276E75">
      <w:pPr>
        <w:pStyle w:val="SigPage2"/>
        <w:keepNext/>
        <w:keepLines/>
        <w:rPr>
          <w:sz w:val="26"/>
          <w:szCs w:val="26"/>
        </w:rPr>
      </w:pPr>
      <w:r w:rsidRPr="005710AB">
        <w:rPr>
          <w:sz w:val="26"/>
          <w:szCs w:val="26"/>
        </w:rPr>
        <w:t>We concur:</w:t>
      </w:r>
    </w:p>
    <w:p w14:paraId="21ADBEBB" w14:textId="77777777" w:rsidR="00276E75" w:rsidRPr="005710AB" w:rsidRDefault="00276E75" w:rsidP="00276E75">
      <w:pPr>
        <w:pStyle w:val="SigPage2"/>
        <w:keepNext/>
        <w:keepLines/>
        <w:rPr>
          <w:sz w:val="26"/>
          <w:szCs w:val="26"/>
        </w:rPr>
      </w:pPr>
    </w:p>
    <w:p w14:paraId="217ABD50" w14:textId="77777777" w:rsidR="00276E75" w:rsidRPr="005710AB" w:rsidRDefault="00276E75" w:rsidP="00276E75">
      <w:pPr>
        <w:pStyle w:val="SigPage2"/>
        <w:keepNext/>
        <w:keepLines/>
        <w:rPr>
          <w:sz w:val="26"/>
          <w:szCs w:val="26"/>
        </w:rPr>
      </w:pPr>
    </w:p>
    <w:p w14:paraId="7CBD746F" w14:textId="15073565" w:rsidR="00276E75" w:rsidRPr="005710AB" w:rsidRDefault="0038463E" w:rsidP="00276E75">
      <w:pPr>
        <w:pStyle w:val="SigPage2"/>
        <w:keepNext/>
        <w:keepLines/>
        <w:rPr>
          <w:sz w:val="26"/>
          <w:szCs w:val="26"/>
        </w:rPr>
      </w:pPr>
      <w:r>
        <w:rPr>
          <w:sz w:val="26"/>
          <w:szCs w:val="26"/>
          <w:u w:val="single"/>
        </w:rPr>
        <w:t>RAPHAEL</w:t>
      </w:r>
      <w:r w:rsidRPr="005710AB">
        <w:rPr>
          <w:sz w:val="26"/>
          <w:szCs w:val="26"/>
          <w:u w:val="single"/>
        </w:rPr>
        <w:tab/>
      </w:r>
    </w:p>
    <w:p w14:paraId="0B28C661" w14:textId="6259EEB5" w:rsidR="00276E75" w:rsidRPr="005710AB" w:rsidRDefault="0038463E" w:rsidP="00276E75">
      <w:pPr>
        <w:pStyle w:val="SigPage2"/>
        <w:keepNext/>
        <w:keepLines/>
        <w:rPr>
          <w:sz w:val="26"/>
          <w:szCs w:val="26"/>
        </w:rPr>
      </w:pPr>
      <w:r w:rsidRPr="005710AB">
        <w:rPr>
          <w:sz w:val="26"/>
          <w:szCs w:val="26"/>
        </w:rPr>
        <w:tab/>
        <w:t>J.</w:t>
      </w:r>
    </w:p>
    <w:p w14:paraId="364F3B0D" w14:textId="77777777" w:rsidR="00276E75" w:rsidRPr="005710AB" w:rsidRDefault="00276E75" w:rsidP="00276E75">
      <w:pPr>
        <w:pStyle w:val="SigPage2"/>
        <w:keepNext/>
        <w:keepLines/>
        <w:rPr>
          <w:sz w:val="26"/>
          <w:szCs w:val="26"/>
          <w:u w:val="single"/>
        </w:rPr>
      </w:pPr>
    </w:p>
    <w:p w14:paraId="189923F6" w14:textId="77777777" w:rsidR="00276E75" w:rsidRPr="005710AB" w:rsidRDefault="00276E75" w:rsidP="00276E75">
      <w:pPr>
        <w:pStyle w:val="SigPage2"/>
        <w:keepNext/>
        <w:keepLines/>
        <w:rPr>
          <w:sz w:val="26"/>
          <w:szCs w:val="26"/>
          <w:u w:val="single"/>
        </w:rPr>
      </w:pPr>
    </w:p>
    <w:p w14:paraId="46055DB9" w14:textId="284C93D9" w:rsidR="00276E75" w:rsidRPr="005710AB" w:rsidRDefault="0038463E" w:rsidP="00276E75">
      <w:pPr>
        <w:pStyle w:val="SigPage2"/>
        <w:keepNext/>
        <w:keepLines/>
        <w:rPr>
          <w:sz w:val="26"/>
          <w:szCs w:val="26"/>
        </w:rPr>
      </w:pPr>
      <w:r>
        <w:rPr>
          <w:sz w:val="26"/>
          <w:szCs w:val="26"/>
          <w:u w:val="single"/>
        </w:rPr>
        <w:t>MENETREZ</w:t>
      </w:r>
      <w:r w:rsidRPr="005710AB">
        <w:rPr>
          <w:sz w:val="26"/>
          <w:szCs w:val="26"/>
          <w:u w:val="single"/>
        </w:rPr>
        <w:tab/>
      </w:r>
    </w:p>
    <w:p w14:paraId="56E95560" w14:textId="77777777" w:rsidR="00276E75" w:rsidRPr="003309B0" w:rsidRDefault="0038463E" w:rsidP="00276E75">
      <w:pPr>
        <w:pStyle w:val="SigPage2"/>
        <w:keepNext/>
        <w:keepLines/>
        <w:rPr>
          <w:szCs w:val="26"/>
        </w:rPr>
      </w:pPr>
      <w:r w:rsidRPr="005710AB">
        <w:rPr>
          <w:sz w:val="26"/>
          <w:szCs w:val="26"/>
        </w:rPr>
        <w:tab/>
        <w:t>J.</w:t>
      </w:r>
    </w:p>
    <w:p w14:paraId="459185A4" w14:textId="77777777" w:rsidR="00306510" w:rsidRDefault="00306510" w:rsidP="00842343">
      <w:pPr>
        <w:spacing w:line="480" w:lineRule="auto"/>
        <w:ind w:firstLine="720"/>
        <w:rPr>
          <w:szCs w:val="26"/>
        </w:rPr>
        <w:sectPr w:rsidR="00306510" w:rsidSect="004760D3">
          <w:footerReference w:type="even" r:id="rId6"/>
          <w:footerReference w:type="default" r:id="rId7"/>
          <w:pgSz w:w="12240" w:h="15840"/>
          <w:pgMar w:top="1440" w:right="1440" w:bottom="1440" w:left="1440" w:header="720" w:footer="720" w:gutter="0"/>
          <w:cols w:space="720"/>
          <w:docGrid w:linePitch="354"/>
        </w:sectPr>
      </w:pPr>
    </w:p>
    <w:p w14:paraId="7AC0B5B9" w14:textId="77777777" w:rsidR="00306510" w:rsidRDefault="00306510" w:rsidP="00306510">
      <w:pPr>
        <w:spacing w:line="240" w:lineRule="auto"/>
        <w:rPr>
          <w:sz w:val="20"/>
        </w:rPr>
      </w:pPr>
      <w:r>
        <w:rPr>
          <w:sz w:val="20"/>
        </w:rPr>
        <w:lastRenderedPageBreak/>
        <w:t>Filed 1/24/24</w:t>
      </w:r>
    </w:p>
    <w:p w14:paraId="4E086F8B" w14:textId="77777777" w:rsidR="00306510" w:rsidRPr="0009038A" w:rsidRDefault="00306510" w:rsidP="00306510">
      <w:pPr>
        <w:spacing w:line="240" w:lineRule="auto"/>
        <w:rPr>
          <w:sz w:val="20"/>
        </w:rPr>
      </w:pPr>
    </w:p>
    <w:p w14:paraId="34AC12B8" w14:textId="77777777" w:rsidR="00306510" w:rsidRDefault="00306510" w:rsidP="00306510">
      <w:pPr>
        <w:spacing w:line="240" w:lineRule="auto"/>
        <w:jc w:val="center"/>
        <w:rPr>
          <w:b/>
        </w:rPr>
      </w:pPr>
      <w:r>
        <w:rPr>
          <w:b/>
        </w:rPr>
        <w:t>CERTIFIED FOR PARTIAL PUBLICATION</w:t>
      </w:r>
    </w:p>
    <w:p w14:paraId="4856F3E9" w14:textId="77777777" w:rsidR="00306510" w:rsidRDefault="00306510" w:rsidP="00306510">
      <w:pPr>
        <w:spacing w:line="240" w:lineRule="auto"/>
        <w:jc w:val="center"/>
        <w:rPr>
          <w:rFonts w:ascii="Arial" w:hAnsi="Arial" w:cs="Arial"/>
          <w:b/>
          <w:sz w:val="16"/>
        </w:rPr>
      </w:pPr>
    </w:p>
    <w:p w14:paraId="4AD80E08" w14:textId="77777777" w:rsidR="00306510" w:rsidRDefault="00306510" w:rsidP="00306510">
      <w:pPr>
        <w:spacing w:line="240" w:lineRule="auto"/>
        <w:jc w:val="center"/>
      </w:pPr>
    </w:p>
    <w:p w14:paraId="5D9F2152" w14:textId="77777777" w:rsidR="00306510" w:rsidRDefault="00306510" w:rsidP="00306510">
      <w:pPr>
        <w:spacing w:line="240" w:lineRule="auto"/>
        <w:jc w:val="center"/>
        <w:rPr>
          <w:b/>
        </w:rPr>
      </w:pPr>
      <w:r>
        <w:rPr>
          <w:b/>
        </w:rPr>
        <w:t>IN THE COURT OF APPEAL OF THE STATE OF CALIFORNIA</w:t>
      </w:r>
    </w:p>
    <w:p w14:paraId="3CCE2D84" w14:textId="77777777" w:rsidR="00306510" w:rsidRDefault="00306510" w:rsidP="00306510">
      <w:pPr>
        <w:spacing w:line="240" w:lineRule="auto"/>
        <w:jc w:val="center"/>
        <w:rPr>
          <w:b/>
        </w:rPr>
      </w:pPr>
    </w:p>
    <w:p w14:paraId="4CB4FBEA" w14:textId="77777777" w:rsidR="00306510" w:rsidRDefault="00306510" w:rsidP="00306510">
      <w:pPr>
        <w:spacing w:line="240" w:lineRule="auto"/>
        <w:jc w:val="center"/>
        <w:rPr>
          <w:b/>
        </w:rPr>
      </w:pPr>
      <w:r>
        <w:rPr>
          <w:b/>
        </w:rPr>
        <w:t>FOURTH APPELLATE DISTRICT</w:t>
      </w:r>
    </w:p>
    <w:p w14:paraId="56312D7A" w14:textId="77777777" w:rsidR="00306510" w:rsidRDefault="00306510" w:rsidP="00306510">
      <w:pPr>
        <w:spacing w:line="240" w:lineRule="auto"/>
        <w:jc w:val="center"/>
        <w:rPr>
          <w:b/>
        </w:rPr>
      </w:pPr>
    </w:p>
    <w:p w14:paraId="37AA899F" w14:textId="77777777" w:rsidR="00306510" w:rsidRDefault="00306510" w:rsidP="00306510">
      <w:pPr>
        <w:spacing w:line="240" w:lineRule="auto"/>
        <w:jc w:val="center"/>
        <w:rPr>
          <w:b/>
        </w:rPr>
      </w:pPr>
      <w:r>
        <w:rPr>
          <w:b/>
        </w:rPr>
        <w:t>DIVISION TWO</w:t>
      </w:r>
    </w:p>
    <w:p w14:paraId="246E6C9C" w14:textId="77777777" w:rsidR="00306510" w:rsidRDefault="00306510" w:rsidP="00306510">
      <w:pPr>
        <w:spacing w:line="240" w:lineRule="auto"/>
        <w:jc w:val="center"/>
      </w:pPr>
    </w:p>
    <w:p w14:paraId="3B4959F7" w14:textId="77777777" w:rsidR="00306510" w:rsidRDefault="00306510" w:rsidP="00306510">
      <w:pPr>
        <w:spacing w:line="240" w:lineRule="auto"/>
        <w:jc w:val="center"/>
      </w:pPr>
    </w:p>
    <w:p w14:paraId="080D228A" w14:textId="77777777" w:rsidR="00306510" w:rsidRDefault="00306510" w:rsidP="00306510">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306510" w14:paraId="29EC3DDA" w14:textId="77777777" w:rsidTr="001A3BE8">
        <w:tc>
          <w:tcPr>
            <w:tcW w:w="4788" w:type="dxa"/>
            <w:tcBorders>
              <w:right w:val="single" w:sz="4" w:space="0" w:color="auto"/>
            </w:tcBorders>
            <w:shd w:val="clear" w:color="auto" w:fill="auto"/>
          </w:tcPr>
          <w:p w14:paraId="7AF2B862" w14:textId="77777777" w:rsidR="00306510" w:rsidRDefault="00306510" w:rsidP="001A3BE8">
            <w:r>
              <w:t>ALISHA KINNEY,</w:t>
            </w:r>
          </w:p>
          <w:p w14:paraId="4C9886E7" w14:textId="77777777" w:rsidR="00306510" w:rsidRDefault="00306510" w:rsidP="001A3BE8"/>
          <w:p w14:paraId="127C3D23" w14:textId="77777777" w:rsidR="00306510" w:rsidRDefault="00306510" w:rsidP="001A3BE8">
            <w:r>
              <w:tab/>
              <w:t>Plaintiff and Respondent,</w:t>
            </w:r>
          </w:p>
          <w:p w14:paraId="43422CCD" w14:textId="77777777" w:rsidR="00306510" w:rsidRDefault="00306510" w:rsidP="001A3BE8"/>
          <w:p w14:paraId="5CBD7A14" w14:textId="77777777" w:rsidR="00306510" w:rsidRDefault="00306510" w:rsidP="001A3BE8">
            <w:r>
              <w:t>v.</w:t>
            </w:r>
          </w:p>
          <w:p w14:paraId="6C0147A6" w14:textId="77777777" w:rsidR="00306510" w:rsidRDefault="00306510" w:rsidP="001A3BE8"/>
          <w:p w14:paraId="0826AB36" w14:textId="77777777" w:rsidR="00306510" w:rsidRDefault="00306510" w:rsidP="001A3BE8">
            <w:r>
              <w:t xml:space="preserve">CITY OF CORONA, </w:t>
            </w:r>
          </w:p>
          <w:p w14:paraId="4E82EC7D" w14:textId="77777777" w:rsidR="00306510" w:rsidRDefault="00306510" w:rsidP="001A3BE8"/>
          <w:p w14:paraId="0FB76841" w14:textId="77777777" w:rsidR="00306510" w:rsidRDefault="00306510" w:rsidP="001A3BE8">
            <w:r>
              <w:tab/>
              <w:t>Defendant and Appellant.</w:t>
            </w:r>
          </w:p>
          <w:p w14:paraId="0A274E39" w14:textId="77777777" w:rsidR="00306510" w:rsidRDefault="00306510" w:rsidP="001A3BE8"/>
        </w:tc>
        <w:tc>
          <w:tcPr>
            <w:tcW w:w="4788" w:type="dxa"/>
            <w:tcBorders>
              <w:left w:val="single" w:sz="4" w:space="0" w:color="auto"/>
            </w:tcBorders>
            <w:shd w:val="clear" w:color="auto" w:fill="auto"/>
          </w:tcPr>
          <w:p w14:paraId="20F0948F" w14:textId="77777777" w:rsidR="00306510" w:rsidRDefault="00306510" w:rsidP="001A3BE8"/>
          <w:p w14:paraId="48800019" w14:textId="77777777" w:rsidR="00306510" w:rsidRDefault="00306510" w:rsidP="001A3BE8"/>
          <w:p w14:paraId="7190AA3A" w14:textId="77777777" w:rsidR="00306510" w:rsidRDefault="00306510" w:rsidP="001A3BE8">
            <w:r>
              <w:tab/>
              <w:t>E079840</w:t>
            </w:r>
          </w:p>
          <w:p w14:paraId="55DF6988" w14:textId="77777777" w:rsidR="00306510" w:rsidRDefault="00306510" w:rsidP="001A3BE8"/>
          <w:p w14:paraId="76E066FC" w14:textId="77777777" w:rsidR="00306510" w:rsidRDefault="00306510" w:rsidP="001A3BE8">
            <w:r>
              <w:tab/>
              <w:t>(Super.Ct.No. RIC2000404)</w:t>
            </w:r>
          </w:p>
          <w:p w14:paraId="19DBD6EC" w14:textId="77777777" w:rsidR="00306510" w:rsidRDefault="00306510" w:rsidP="001A3BE8"/>
          <w:p w14:paraId="21D0DB80" w14:textId="77777777" w:rsidR="00306510" w:rsidRPr="0000724D" w:rsidRDefault="00306510" w:rsidP="001A3BE8">
            <w:r>
              <w:tab/>
            </w:r>
            <w:r w:rsidRPr="0000724D">
              <w:t>ORDER MODIFYING</w:t>
            </w:r>
            <w:r>
              <w:t xml:space="preserve"> AND</w:t>
            </w:r>
          </w:p>
          <w:p w14:paraId="64818714" w14:textId="77777777" w:rsidR="00306510" w:rsidRPr="0000724D" w:rsidRDefault="00306510" w:rsidP="001A3BE8">
            <w:r>
              <w:t xml:space="preserve">           </w:t>
            </w:r>
            <w:r w:rsidRPr="0000724D">
              <w:t xml:space="preserve">CERTIFYING OPINION    </w:t>
            </w:r>
          </w:p>
          <w:p w14:paraId="5827F257" w14:textId="77777777" w:rsidR="00306510" w:rsidRPr="0000724D" w:rsidRDefault="00306510" w:rsidP="001A3BE8">
            <w:r w:rsidRPr="0000724D">
              <w:t xml:space="preserve">           FOR PUBLICATION</w:t>
            </w:r>
          </w:p>
          <w:p w14:paraId="0F88D8E9" w14:textId="77777777" w:rsidR="00306510" w:rsidRDefault="00306510" w:rsidP="001A3BE8"/>
          <w:p w14:paraId="0FF62C4D" w14:textId="77777777" w:rsidR="00306510" w:rsidRDefault="00306510" w:rsidP="001A3BE8">
            <w:r>
              <w:t xml:space="preserve">           [NO CHANGE IN JUDGMENT]</w:t>
            </w:r>
          </w:p>
          <w:p w14:paraId="720E4EA6" w14:textId="77777777" w:rsidR="00306510" w:rsidRDefault="00306510" w:rsidP="001A3BE8"/>
        </w:tc>
      </w:tr>
      <w:tr w:rsidR="00306510" w14:paraId="6902F9E6" w14:textId="77777777" w:rsidTr="001A3BE8">
        <w:tc>
          <w:tcPr>
            <w:tcW w:w="4788" w:type="dxa"/>
            <w:tcBorders>
              <w:bottom w:val="single" w:sz="4" w:space="0" w:color="auto"/>
              <w:right w:val="single" w:sz="4" w:space="0" w:color="auto"/>
            </w:tcBorders>
            <w:shd w:val="clear" w:color="auto" w:fill="auto"/>
          </w:tcPr>
          <w:p w14:paraId="670D9E4C" w14:textId="77777777" w:rsidR="00306510" w:rsidRDefault="00306510" w:rsidP="001A3BE8"/>
        </w:tc>
        <w:tc>
          <w:tcPr>
            <w:tcW w:w="4788" w:type="dxa"/>
            <w:tcBorders>
              <w:left w:val="single" w:sz="4" w:space="0" w:color="auto"/>
            </w:tcBorders>
            <w:shd w:val="clear" w:color="auto" w:fill="auto"/>
          </w:tcPr>
          <w:p w14:paraId="107EBC1A" w14:textId="77777777" w:rsidR="00306510" w:rsidRDefault="00306510" w:rsidP="001A3BE8"/>
        </w:tc>
      </w:tr>
    </w:tbl>
    <w:p w14:paraId="3239DF32" w14:textId="77777777" w:rsidR="00306510" w:rsidRPr="00D3700A" w:rsidRDefault="00306510" w:rsidP="00306510">
      <w:pPr>
        <w:spacing w:line="480" w:lineRule="auto"/>
      </w:pPr>
    </w:p>
    <w:p w14:paraId="7134578E" w14:textId="77777777" w:rsidR="00306510" w:rsidRDefault="00306510" w:rsidP="00306510">
      <w:pPr>
        <w:spacing w:line="480" w:lineRule="auto"/>
      </w:pPr>
      <w:r>
        <w:t>THE COURT</w:t>
      </w:r>
    </w:p>
    <w:p w14:paraId="000FCCFD" w14:textId="77777777" w:rsidR="00306510" w:rsidRDefault="00306510" w:rsidP="00306510">
      <w:pPr>
        <w:spacing w:line="480" w:lineRule="auto"/>
      </w:pPr>
      <w:r>
        <w:tab/>
        <w:t>The opinion filed in this matter on December 29, 2023, is modified as follows:</w:t>
      </w:r>
    </w:p>
    <w:p w14:paraId="7937B6AF" w14:textId="77777777" w:rsidR="00306510" w:rsidRDefault="00306510" w:rsidP="00306510">
      <w:pPr>
        <w:spacing w:line="480" w:lineRule="auto"/>
      </w:pPr>
      <w:r>
        <w:tab/>
        <w:t>On page 2, in the last sentence of the first paragraph, change the parenthetical from “(the CRPA)” to “(the CPRA).”</w:t>
      </w:r>
    </w:p>
    <w:p w14:paraId="6968614B" w14:textId="77777777" w:rsidR="00306510" w:rsidRDefault="00306510" w:rsidP="00306510">
      <w:pPr>
        <w:spacing w:line="480" w:lineRule="auto"/>
      </w:pPr>
      <w:r>
        <w:tab/>
        <w:t xml:space="preserve">On page 7, remove the following sentence in its entirety:  </w:t>
      </w:r>
    </w:p>
    <w:p w14:paraId="64695C53" w14:textId="77777777" w:rsidR="00306510" w:rsidRDefault="00306510" w:rsidP="00306510">
      <w:pPr>
        <w:spacing w:line="480" w:lineRule="auto"/>
        <w:ind w:firstLine="720"/>
      </w:pPr>
      <w:r>
        <w:t>Kinney’s petition sought a writ of mandate directing City to “comply with the CPRA by making all requested information [(the crime victim’s name)] available to Petitioner . . . .”</w:t>
      </w:r>
    </w:p>
    <w:p w14:paraId="3907D370" w14:textId="77777777" w:rsidR="00306510" w:rsidRDefault="00306510" w:rsidP="00306510">
      <w:pPr>
        <w:spacing w:line="480" w:lineRule="auto"/>
        <w:ind w:firstLine="720"/>
      </w:pPr>
      <w:r>
        <w:lastRenderedPageBreak/>
        <w:t>On page 8, following the first sentence at the top of the page, which ends, “(2) order City to disclose the name to Kinney,” and before the second sentence, which begins, “On January 29, City became aware of Kinney’s petition . . . ,” insert the following sentence:</w:t>
      </w:r>
    </w:p>
    <w:p w14:paraId="7C47501E" w14:textId="77777777" w:rsidR="00306510" w:rsidRDefault="00306510" w:rsidP="00306510">
      <w:pPr>
        <w:spacing w:line="480" w:lineRule="auto"/>
        <w:ind w:firstLine="720"/>
      </w:pPr>
      <w:r>
        <w:t>The petition asked the court to order City to “comply with the CPRA by making all requested information available to Petitioner . . . .”</w:t>
      </w:r>
    </w:p>
    <w:p w14:paraId="56D98655" w14:textId="77777777" w:rsidR="00306510" w:rsidRDefault="00306510" w:rsidP="00306510">
      <w:pPr>
        <w:spacing w:line="480" w:lineRule="auto"/>
        <w:ind w:firstLine="720"/>
      </w:pPr>
      <w:r>
        <w:t xml:space="preserve">On page 14, in the second paragraph, which begins, “Second, City argued Kinney was not entitled to </w:t>
      </w:r>
      <w:r w:rsidRPr="00A33844">
        <w:rPr>
          <w:i/>
          <w:iCs/>
        </w:rPr>
        <w:t>any</w:t>
      </w:r>
      <w:r>
        <w:t xml:space="preserve"> attorney fees . . . ,” remove the last sentence of the paragraph in its entirety, which begins, “Thus, City argued Kinney’s CPRA petition was not ‘the catalyst’ for City’s disclosure of the name to a member of the public . . . .”</w:t>
      </w:r>
    </w:p>
    <w:p w14:paraId="72035965" w14:textId="77777777" w:rsidR="00306510" w:rsidRDefault="00306510" w:rsidP="00306510">
      <w:pPr>
        <w:spacing w:line="480" w:lineRule="auto"/>
        <w:ind w:firstLine="720"/>
      </w:pPr>
      <w:r>
        <w:t>On page 15,  remove the last sentence on the bottom of the page, which begins, “Rather, City’s claim that its disclosure of the name to Austin satisfied City’s duty to disclose . . . ,” and replace it with the following:</w:t>
      </w:r>
    </w:p>
    <w:p w14:paraId="058974D3" w14:textId="77777777" w:rsidR="00306510" w:rsidRDefault="00306510" w:rsidP="00306510">
      <w:pPr>
        <w:spacing w:line="480" w:lineRule="auto"/>
        <w:ind w:firstLine="720"/>
      </w:pPr>
      <w:r>
        <w:t>Rather, City’s claim that its disclosure of the name to Austin satisfied City’s duty to disclose the name to Kinney showed City “never intended to disclose [the name] to Kinney,” and City’s “post-offer conduct” demonstrated “the significance of the offer’s lack of specificity.”  Kinney also claimed she obtained a more favorable result than City’s section 998 offer because her costs and attorney fees exceeded $2,500 when the offer was made on February 14, 2020, but Toraason had “discounted her final invoice.”  Lastly, Kinney argued her CPRA petition was a catalyst for City’s disclosure of the crime victim’s name to Austin, and her requested attorney fees were reasonable.</w:t>
      </w:r>
    </w:p>
    <w:p w14:paraId="05538352" w14:textId="77777777" w:rsidR="00306510" w:rsidRDefault="00306510" w:rsidP="00306510">
      <w:pPr>
        <w:spacing w:line="480" w:lineRule="auto"/>
        <w:ind w:firstLine="720"/>
      </w:pPr>
      <w:r>
        <w:lastRenderedPageBreak/>
        <w:t>On page 16, remove the first full paragraph in its entirety, which begins, “Kinney further argued that she obtained a more favorable result than City’s section 998 offer.  Specifically, she argued her costs and attorney fees . . . .”</w:t>
      </w:r>
    </w:p>
    <w:p w14:paraId="6FE18AE5" w14:textId="77777777" w:rsidR="00306510" w:rsidRDefault="00306510" w:rsidP="00306510">
      <w:pPr>
        <w:spacing w:line="480" w:lineRule="auto"/>
        <w:ind w:firstLine="720"/>
      </w:pPr>
      <w:r>
        <w:t>On page 16, in the paragraph that begins, “The court issued a tentative ruling granting Kinney $43,300 in attorney fees,” insert the word “final” before the word “ruling.”  The sentence should read:</w:t>
      </w:r>
    </w:p>
    <w:p w14:paraId="3A9A768B" w14:textId="77777777" w:rsidR="00306510" w:rsidRDefault="00306510" w:rsidP="00306510">
      <w:pPr>
        <w:spacing w:line="480" w:lineRule="auto"/>
        <w:ind w:firstLine="720"/>
      </w:pPr>
      <w:r>
        <w:t>The court issued a tentative ruling granting Kinney $43,300 in attorney fees, and the court later adopted its tentative ruling as its final ruling on the fee motion.</w:t>
      </w:r>
    </w:p>
    <w:p w14:paraId="52C27601" w14:textId="77777777" w:rsidR="00306510" w:rsidRDefault="00306510" w:rsidP="00306510">
      <w:pPr>
        <w:spacing w:line="480" w:lineRule="auto"/>
        <w:ind w:firstLine="720"/>
      </w:pPr>
      <w:r>
        <w:t xml:space="preserve">On page 17, in the paragraph that begins, “City also pointed out that it disclosed the name ‘directly to’ Kinney ‘five times’ during the litigation,” add the word “in” following the semicolon and before the words “City’s </w:t>
      </w:r>
      <w:r w:rsidRPr="00195B9C">
        <w:t>August 31, 2021 opposition</w:t>
      </w:r>
      <w:r>
        <w:t>.”</w:t>
      </w:r>
    </w:p>
    <w:p w14:paraId="0935F775" w14:textId="77777777" w:rsidR="00306510" w:rsidRDefault="00306510" w:rsidP="00306510">
      <w:pPr>
        <w:spacing w:line="480" w:lineRule="auto"/>
        <w:ind w:firstLine="720"/>
      </w:pPr>
      <w:r>
        <w:t>On page 18, remove the paragraph that begins, “On May 4, 2022, the court adopted the court’s tentative ruling as the court’s final ruling.  Neither party requested oral argument.  In its ruling, the court found . . . ,” and replace it with the following paragraph:</w:t>
      </w:r>
    </w:p>
    <w:p w14:paraId="7662F6FA" w14:textId="77777777" w:rsidR="00306510" w:rsidRDefault="00306510" w:rsidP="00306510">
      <w:pPr>
        <w:spacing w:line="480" w:lineRule="auto"/>
        <w:ind w:firstLine="720"/>
      </w:pPr>
      <w:r>
        <w:t>Neither party requested oral argument.  In its final ruling on the motion, the court found that the hourly rates for Kinney’s attorneys were unreasonably high but that the number of hours requested was reasonable, “particularly given the intransigence of the City’s attorney.”  The court reduced Borchert’s and Toraason’s requested hourly rates of $550 and $495, respectively, to $400 and $300, and awarded Kinney $43,300 in attorney fees.  The court granted City’s motion to tax Kinney’s only requested cost item, an $85 courier fee that the court found was unnecessary and merely convenient to Kinney.</w:t>
      </w:r>
    </w:p>
    <w:p w14:paraId="4DA9CCDB" w14:textId="77777777" w:rsidR="00306510" w:rsidRDefault="00306510" w:rsidP="00306510">
      <w:pPr>
        <w:spacing w:line="480" w:lineRule="auto"/>
        <w:ind w:firstLine="720"/>
      </w:pPr>
      <w:r>
        <w:lastRenderedPageBreak/>
        <w:t>On page 19, in the sentence preceding section III, add the words “notice of” before the words “appeal from judgment.”  The sentence should read:</w:t>
      </w:r>
    </w:p>
    <w:p w14:paraId="0624C71A" w14:textId="77777777" w:rsidR="00306510" w:rsidRDefault="00306510" w:rsidP="00306510">
      <w:pPr>
        <w:spacing w:line="480" w:lineRule="auto"/>
        <w:ind w:firstLine="720"/>
      </w:pPr>
      <w:r>
        <w:t>City filed a timely notice of appeal from the judgment.</w:t>
      </w:r>
    </w:p>
    <w:p w14:paraId="4BF6E63E" w14:textId="77777777" w:rsidR="00306510" w:rsidRDefault="00306510" w:rsidP="00306510">
      <w:pPr>
        <w:spacing w:line="480" w:lineRule="auto"/>
        <w:ind w:firstLine="720"/>
      </w:pPr>
      <w:r>
        <w:t>On page 26, in the sentence that begins, “To further this purpose, courts must consider the validity . . . ,” change the word “served” to the word “made.”  The sentence should read:</w:t>
      </w:r>
    </w:p>
    <w:p w14:paraId="59EBC265" w14:textId="77777777" w:rsidR="00306510" w:rsidRDefault="00306510" w:rsidP="00306510">
      <w:pPr>
        <w:spacing w:line="480" w:lineRule="auto"/>
        <w:ind w:firstLine="720"/>
      </w:pPr>
      <w:r>
        <w:t>To further this purpose, courts must consider the validity of a section 998 offer as of the date the offer is made, without the benefit of hindsight or in light of subsequent events.</w:t>
      </w:r>
    </w:p>
    <w:p w14:paraId="448D8FC8" w14:textId="77777777" w:rsidR="00306510" w:rsidRDefault="00306510" w:rsidP="00306510">
      <w:pPr>
        <w:spacing w:line="480" w:lineRule="auto"/>
        <w:ind w:firstLine="720"/>
      </w:pPr>
      <w:r>
        <w:t>On page 29, in the third line from the top of the page, capitalize the “c” in “city’s section 998 offer.”</w:t>
      </w:r>
    </w:p>
    <w:p w14:paraId="05D1C580" w14:textId="77777777" w:rsidR="00306510" w:rsidRDefault="00306510" w:rsidP="00306510">
      <w:pPr>
        <w:spacing w:line="480" w:lineRule="auto"/>
        <w:ind w:firstLine="720"/>
      </w:pPr>
      <w:r>
        <w:t>On page 30, in the fifth line from the top of the page, change “May 16” to “March 16.”</w:t>
      </w:r>
    </w:p>
    <w:p w14:paraId="5B926ACF" w14:textId="77777777" w:rsidR="00306510" w:rsidRDefault="00306510" w:rsidP="00306510">
      <w:pPr>
        <w:spacing w:line="480" w:lineRule="auto"/>
        <w:ind w:firstLine="720"/>
      </w:pPr>
      <w:r>
        <w:t>On page 31, in the first full paragraph that begins, “In sum, the entire record shows . . . ,” and in the second sentence of that paragraph, which begins, “In fact, at the time City made its section 999 offer,” change the word “its” to “the” and add “[the crime victim’s name]” before the words “to anyone else.”  The sentence should read:</w:t>
      </w:r>
    </w:p>
    <w:p w14:paraId="1B186097" w14:textId="77777777" w:rsidR="00306510" w:rsidRDefault="00306510" w:rsidP="00306510">
      <w:pPr>
        <w:spacing w:line="480" w:lineRule="auto"/>
        <w:ind w:firstLine="720"/>
      </w:pPr>
      <w:r w:rsidRPr="002746C0">
        <w:t xml:space="preserve">In fact, at the time City made </w:t>
      </w:r>
      <w:r>
        <w:t xml:space="preserve">the </w:t>
      </w:r>
      <w:r w:rsidRPr="002746C0">
        <w:t xml:space="preserve">section 998 offer, City had not provided the requested information </w:t>
      </w:r>
      <w:r>
        <w:t xml:space="preserve">[the crime victim’s name] </w:t>
      </w:r>
      <w:r w:rsidRPr="002746C0">
        <w:t>to anyone else.</w:t>
      </w:r>
    </w:p>
    <w:p w14:paraId="113E4F15" w14:textId="77777777" w:rsidR="00306510" w:rsidRDefault="00306510" w:rsidP="00306510">
      <w:pPr>
        <w:spacing w:line="480" w:lineRule="auto"/>
        <w:ind w:firstLine="720"/>
      </w:pPr>
      <w:r>
        <w:t>These modifications do not change the judgment.</w:t>
      </w:r>
    </w:p>
    <w:p w14:paraId="1E6CA462" w14:textId="77777777" w:rsidR="00306510" w:rsidRDefault="00306510" w:rsidP="00306510">
      <w:pPr>
        <w:spacing w:line="480" w:lineRule="auto"/>
        <w:ind w:firstLine="720"/>
      </w:pPr>
    </w:p>
    <w:p w14:paraId="48EB0F94" w14:textId="77777777" w:rsidR="00306510" w:rsidRDefault="00306510" w:rsidP="00306510">
      <w:pPr>
        <w:spacing w:line="480" w:lineRule="auto"/>
        <w:ind w:firstLine="720"/>
      </w:pPr>
      <w:r>
        <w:lastRenderedPageBreak/>
        <w:t xml:space="preserve">The requests for publication of the nonpublished opinion filed in the above matter on January 17, 2024, are GRANTED.  The opinion meets the standards for publication as specified in California Rules of Court, rule 8.1105(c)(2). </w:t>
      </w:r>
    </w:p>
    <w:p w14:paraId="7CC181A5" w14:textId="77777777" w:rsidR="00306510" w:rsidRDefault="00306510" w:rsidP="00306510">
      <w:pPr>
        <w:spacing w:line="480" w:lineRule="auto"/>
        <w:ind w:firstLine="720"/>
      </w:pPr>
      <w:r>
        <w:t>IT IS SO ORDERED that said opinion, filed December 29, 2023, be certified for publication, with the exception of part IIIA.</w:t>
      </w:r>
    </w:p>
    <w:p w14:paraId="269791D3" w14:textId="77777777" w:rsidR="00306510" w:rsidRPr="00376159" w:rsidRDefault="00306510" w:rsidP="00306510">
      <w:pPr>
        <w:spacing w:line="480" w:lineRule="auto"/>
        <w:rPr>
          <w:szCs w:val="26"/>
        </w:rPr>
      </w:pPr>
      <w:r>
        <w:rPr>
          <w:szCs w:val="26"/>
        </w:rPr>
        <w:tab/>
        <w:t xml:space="preserve">CERTIFIED </w:t>
      </w:r>
      <w:r w:rsidRPr="00C933B7">
        <w:rPr>
          <w:szCs w:val="26"/>
        </w:rPr>
        <w:t>FOR PARTIAL PUBLICATION</w:t>
      </w:r>
    </w:p>
    <w:p w14:paraId="1FC2214C" w14:textId="77777777" w:rsidR="00306510" w:rsidRDefault="00306510" w:rsidP="00306510">
      <w:pPr>
        <w:spacing w:line="480" w:lineRule="auto"/>
      </w:pPr>
    </w:p>
    <w:p w14:paraId="75842BAF" w14:textId="77777777" w:rsidR="00306510" w:rsidRPr="005710AB" w:rsidRDefault="00306510" w:rsidP="00306510">
      <w:pPr>
        <w:pStyle w:val="SigPage1"/>
        <w:keepNext/>
        <w:keepLines/>
        <w:jc w:val="right"/>
        <w:rPr>
          <w:sz w:val="26"/>
          <w:szCs w:val="26"/>
        </w:rPr>
      </w:pPr>
      <w:r>
        <w:rPr>
          <w:sz w:val="26"/>
          <w:szCs w:val="26"/>
          <w:u w:val="single"/>
        </w:rPr>
        <w:t>FIELDS</w:t>
      </w:r>
      <w:r w:rsidRPr="005710AB">
        <w:rPr>
          <w:sz w:val="26"/>
          <w:szCs w:val="26"/>
          <w:u w:val="single"/>
        </w:rPr>
        <w:tab/>
      </w:r>
    </w:p>
    <w:p w14:paraId="6A8CD8ED" w14:textId="77777777" w:rsidR="00306510" w:rsidRPr="005710AB" w:rsidRDefault="00306510" w:rsidP="00306510">
      <w:pPr>
        <w:pStyle w:val="SigPage1"/>
        <w:keepNext/>
        <w:keepLines/>
        <w:jc w:val="right"/>
        <w:rPr>
          <w:sz w:val="26"/>
          <w:szCs w:val="26"/>
        </w:rPr>
      </w:pPr>
      <w:r w:rsidRPr="005710AB">
        <w:rPr>
          <w:sz w:val="26"/>
          <w:szCs w:val="26"/>
        </w:rPr>
        <w:tab/>
      </w:r>
      <w:r>
        <w:rPr>
          <w:sz w:val="26"/>
          <w:szCs w:val="26"/>
        </w:rPr>
        <w:t xml:space="preserve">Acting P. </w:t>
      </w:r>
      <w:r w:rsidRPr="005710AB">
        <w:rPr>
          <w:sz w:val="26"/>
          <w:szCs w:val="26"/>
        </w:rPr>
        <w:t>J.</w:t>
      </w:r>
    </w:p>
    <w:p w14:paraId="386ADBC8" w14:textId="77777777" w:rsidR="00306510" w:rsidRPr="005710AB" w:rsidRDefault="00306510" w:rsidP="00306510">
      <w:pPr>
        <w:pStyle w:val="SigPage2"/>
        <w:keepNext/>
        <w:keepLines/>
        <w:rPr>
          <w:sz w:val="26"/>
          <w:szCs w:val="26"/>
        </w:rPr>
      </w:pPr>
      <w:r w:rsidRPr="005710AB">
        <w:rPr>
          <w:sz w:val="26"/>
          <w:szCs w:val="26"/>
        </w:rPr>
        <w:t>We concur:</w:t>
      </w:r>
    </w:p>
    <w:p w14:paraId="767E5FC5" w14:textId="77777777" w:rsidR="00306510" w:rsidRPr="005710AB" w:rsidRDefault="00306510" w:rsidP="00306510">
      <w:pPr>
        <w:pStyle w:val="SigPage2"/>
        <w:keepNext/>
        <w:keepLines/>
        <w:rPr>
          <w:sz w:val="26"/>
          <w:szCs w:val="26"/>
        </w:rPr>
      </w:pPr>
    </w:p>
    <w:p w14:paraId="692CF9C8" w14:textId="77777777" w:rsidR="00306510" w:rsidRPr="005710AB" w:rsidRDefault="00306510" w:rsidP="00306510">
      <w:pPr>
        <w:pStyle w:val="SigPage2"/>
        <w:keepNext/>
        <w:keepLines/>
        <w:rPr>
          <w:sz w:val="26"/>
          <w:szCs w:val="26"/>
        </w:rPr>
      </w:pPr>
    </w:p>
    <w:p w14:paraId="7D77592D" w14:textId="77777777" w:rsidR="00306510" w:rsidRPr="005710AB" w:rsidRDefault="00306510" w:rsidP="00306510">
      <w:pPr>
        <w:pStyle w:val="SigPage2"/>
        <w:keepNext/>
        <w:keepLines/>
        <w:rPr>
          <w:sz w:val="26"/>
          <w:szCs w:val="26"/>
        </w:rPr>
      </w:pPr>
      <w:r>
        <w:rPr>
          <w:sz w:val="26"/>
          <w:szCs w:val="26"/>
          <w:u w:val="single"/>
        </w:rPr>
        <w:t>RAPHAEL</w:t>
      </w:r>
      <w:r w:rsidRPr="005710AB">
        <w:rPr>
          <w:sz w:val="26"/>
          <w:szCs w:val="26"/>
          <w:u w:val="single"/>
        </w:rPr>
        <w:tab/>
      </w:r>
    </w:p>
    <w:p w14:paraId="66A50649" w14:textId="77777777" w:rsidR="00306510" w:rsidRPr="005710AB" w:rsidRDefault="00306510" w:rsidP="00306510">
      <w:pPr>
        <w:pStyle w:val="SigPage2"/>
        <w:keepNext/>
        <w:keepLines/>
        <w:rPr>
          <w:sz w:val="26"/>
          <w:szCs w:val="26"/>
        </w:rPr>
      </w:pPr>
      <w:r w:rsidRPr="005710AB">
        <w:rPr>
          <w:sz w:val="26"/>
          <w:szCs w:val="26"/>
        </w:rPr>
        <w:tab/>
        <w:t>J.</w:t>
      </w:r>
    </w:p>
    <w:p w14:paraId="63EF10EF" w14:textId="77777777" w:rsidR="00306510" w:rsidRPr="005710AB" w:rsidRDefault="00306510" w:rsidP="00306510">
      <w:pPr>
        <w:pStyle w:val="SigPage2"/>
        <w:keepNext/>
        <w:keepLines/>
        <w:rPr>
          <w:sz w:val="26"/>
          <w:szCs w:val="26"/>
          <w:u w:val="single"/>
        </w:rPr>
      </w:pPr>
    </w:p>
    <w:p w14:paraId="656988AC" w14:textId="77777777" w:rsidR="00306510" w:rsidRPr="005710AB" w:rsidRDefault="00306510" w:rsidP="00306510">
      <w:pPr>
        <w:pStyle w:val="SigPage2"/>
        <w:keepNext/>
        <w:keepLines/>
        <w:rPr>
          <w:sz w:val="26"/>
          <w:szCs w:val="26"/>
          <w:u w:val="single"/>
        </w:rPr>
      </w:pPr>
    </w:p>
    <w:p w14:paraId="1CAD2540" w14:textId="77777777" w:rsidR="00306510" w:rsidRPr="005710AB" w:rsidRDefault="00306510" w:rsidP="00306510">
      <w:pPr>
        <w:pStyle w:val="SigPage2"/>
        <w:keepNext/>
        <w:keepLines/>
        <w:rPr>
          <w:sz w:val="26"/>
          <w:szCs w:val="26"/>
        </w:rPr>
      </w:pPr>
      <w:r>
        <w:rPr>
          <w:sz w:val="26"/>
          <w:szCs w:val="26"/>
          <w:u w:val="single"/>
        </w:rPr>
        <w:t>MENETREZ</w:t>
      </w:r>
      <w:r w:rsidRPr="005710AB">
        <w:rPr>
          <w:sz w:val="26"/>
          <w:szCs w:val="26"/>
          <w:u w:val="single"/>
        </w:rPr>
        <w:tab/>
      </w:r>
    </w:p>
    <w:p w14:paraId="397AB7E8" w14:textId="77777777" w:rsidR="00306510" w:rsidRPr="003309B0" w:rsidRDefault="00306510" w:rsidP="00306510">
      <w:pPr>
        <w:pStyle w:val="SigPage2"/>
        <w:keepNext/>
        <w:keepLines/>
        <w:rPr>
          <w:szCs w:val="26"/>
        </w:rPr>
      </w:pPr>
      <w:r w:rsidRPr="005710AB">
        <w:rPr>
          <w:sz w:val="26"/>
          <w:szCs w:val="26"/>
        </w:rPr>
        <w:tab/>
        <w:t>J.</w:t>
      </w:r>
    </w:p>
    <w:p w14:paraId="33EE06D7" w14:textId="77777777" w:rsidR="00306510" w:rsidRPr="00842343" w:rsidRDefault="00306510" w:rsidP="00306510">
      <w:pPr>
        <w:spacing w:line="480" w:lineRule="auto"/>
        <w:ind w:firstLine="720"/>
        <w:rPr>
          <w:szCs w:val="26"/>
        </w:rPr>
      </w:pPr>
    </w:p>
    <w:p w14:paraId="0BAAC6E8" w14:textId="77777777" w:rsidR="00276E75" w:rsidRPr="00842343" w:rsidRDefault="00276E75" w:rsidP="00842343">
      <w:pPr>
        <w:spacing w:line="480" w:lineRule="auto"/>
        <w:ind w:firstLine="720"/>
        <w:rPr>
          <w:szCs w:val="26"/>
        </w:rPr>
      </w:pPr>
    </w:p>
    <w:sectPr w:rsidR="00276E75" w:rsidRPr="00842343" w:rsidSect="003065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60D9" w14:textId="77777777" w:rsidR="00CC44FF" w:rsidRDefault="0038463E">
      <w:pPr>
        <w:spacing w:line="240" w:lineRule="auto"/>
      </w:pPr>
      <w:r>
        <w:separator/>
      </w:r>
    </w:p>
  </w:endnote>
  <w:endnote w:type="continuationSeparator" w:id="0">
    <w:p w14:paraId="4FFB5937" w14:textId="77777777" w:rsidR="00CC44FF" w:rsidRDefault="00384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BE8C" w14:textId="6EEAC985" w:rsidR="00452EFD" w:rsidRDefault="0038463E" w:rsidP="005417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6D9B">
      <w:rPr>
        <w:rStyle w:val="PageNumber"/>
        <w:noProof/>
      </w:rPr>
      <w:t>2</w:t>
    </w:r>
    <w:r>
      <w:rPr>
        <w:rStyle w:val="PageNumber"/>
      </w:rPr>
      <w:fldChar w:fldCharType="end"/>
    </w:r>
  </w:p>
  <w:p w14:paraId="52E870B4" w14:textId="77777777" w:rsidR="00452EFD" w:rsidRDefault="00452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264550"/>
      <w:docPartObj>
        <w:docPartGallery w:val="Page Numbers (Bottom of Page)"/>
        <w:docPartUnique/>
      </w:docPartObj>
    </w:sdtPr>
    <w:sdtEndPr>
      <w:rPr>
        <w:noProof/>
      </w:rPr>
    </w:sdtEndPr>
    <w:sdtContent>
      <w:p w14:paraId="27CCA08D" w14:textId="0F4A54A3" w:rsidR="00452EFD" w:rsidRDefault="0038463E" w:rsidP="008E6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01DE" w14:textId="77777777" w:rsidR="00452EFD" w:rsidRDefault="00452EFD" w:rsidP="005417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6D9B">
      <w:rPr>
        <w:rStyle w:val="PageNumber"/>
        <w:noProof/>
      </w:rPr>
      <w:t>2</w:t>
    </w:r>
    <w:r>
      <w:rPr>
        <w:rStyle w:val="PageNumber"/>
      </w:rPr>
      <w:fldChar w:fldCharType="end"/>
    </w:r>
  </w:p>
  <w:p w14:paraId="78DE574B" w14:textId="77777777" w:rsidR="00452EFD" w:rsidRDefault="00452E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28575"/>
      <w:docPartObj>
        <w:docPartGallery w:val="Page Numbers (Bottom of Page)"/>
        <w:docPartUnique/>
      </w:docPartObj>
    </w:sdtPr>
    <w:sdtEndPr>
      <w:rPr>
        <w:noProof/>
      </w:rPr>
    </w:sdtEndPr>
    <w:sdtContent>
      <w:p w14:paraId="021801E8" w14:textId="77777777" w:rsidR="00452EFD" w:rsidRDefault="008E6D9B" w:rsidP="008E6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C84" w14:textId="77777777" w:rsidR="00FB3375" w:rsidRDefault="00FB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64C8" w14:textId="77777777" w:rsidR="00486690" w:rsidRDefault="0038463E" w:rsidP="002C6E61">
      <w:pPr>
        <w:spacing w:line="240" w:lineRule="auto"/>
      </w:pPr>
      <w:r>
        <w:separator/>
      </w:r>
    </w:p>
  </w:footnote>
  <w:footnote w:type="continuationSeparator" w:id="0">
    <w:p w14:paraId="3E8F2854" w14:textId="77777777" w:rsidR="00486690" w:rsidRDefault="0038463E" w:rsidP="002C6E61">
      <w:pPr>
        <w:spacing w:line="240" w:lineRule="auto"/>
      </w:pPr>
      <w:r>
        <w:continuationSeparator/>
      </w:r>
    </w:p>
    <w:p w14:paraId="150AE207" w14:textId="77777777" w:rsidR="00486690" w:rsidRPr="00B92FE4" w:rsidRDefault="00486690" w:rsidP="002C6E61">
      <w:pPr>
        <w:spacing w:line="240" w:lineRule="auto"/>
        <w:rPr>
          <w:sz w:val="20"/>
        </w:rPr>
      </w:pPr>
    </w:p>
    <w:p w14:paraId="5D8DF345" w14:textId="77777777" w:rsidR="00486690" w:rsidRPr="004760D3" w:rsidRDefault="0038463E" w:rsidP="002C6E61">
      <w:pPr>
        <w:spacing w:line="240" w:lineRule="auto"/>
        <w:rPr>
          <w:i/>
          <w:sz w:val="20"/>
        </w:rPr>
      </w:pPr>
      <w:r>
        <w:rPr>
          <w:i/>
          <w:sz w:val="20"/>
        </w:rPr>
        <w:t>[footnote continued from previous page]</w:t>
      </w:r>
    </w:p>
    <w:p w14:paraId="29BA77E8" w14:textId="77777777" w:rsidR="00486690" w:rsidRPr="004760D3" w:rsidRDefault="0038463E" w:rsidP="002C6E61">
      <w:pPr>
        <w:spacing w:line="240" w:lineRule="auto"/>
        <w:rPr>
          <w:i/>
          <w:sz w:val="20"/>
        </w:rPr>
      </w:pPr>
      <w:r>
        <w:rPr>
          <w:i/>
          <w:sz w:val="20"/>
        </w:rPr>
        <w:t>[footnote continued from previous page]</w:t>
      </w:r>
    </w:p>
  </w:footnote>
  <w:footnote w:type="continuationNotice" w:id="1">
    <w:p w14:paraId="41DAFA08" w14:textId="77777777" w:rsidR="00486690" w:rsidRPr="00B92FE4" w:rsidRDefault="0038463E" w:rsidP="00B92FE4">
      <w:pPr>
        <w:pStyle w:val="Footer"/>
        <w:jc w:val="right"/>
        <w:rPr>
          <w:i/>
          <w:sz w:val="20"/>
        </w:rPr>
      </w:pPr>
      <w:r>
        <w:rPr>
          <w:i/>
          <w:sz w:val="20"/>
        </w:rPr>
        <w:t>[footnote continued on next page]</w:t>
      </w:r>
    </w:p>
  </w:footnote>
  <w:footnote w:id="2">
    <w:p w14:paraId="38574C9C" w14:textId="1D14CBA1" w:rsidR="00CA328F" w:rsidRDefault="0038463E" w:rsidP="00CA328F">
      <w:pPr>
        <w:pStyle w:val="FootnoteText"/>
      </w:pPr>
      <w:r>
        <w:tab/>
      </w:r>
      <w:r>
        <w:rPr>
          <w:rStyle w:val="FootnoteReference"/>
        </w:rPr>
        <w:footnoteRef/>
      </w:r>
      <w:r>
        <w:t xml:space="preserve">  Through December 31, 2022, the CPRA was codified at </w:t>
      </w:r>
      <w:r w:rsidR="004C7014">
        <w:t xml:space="preserve">Government Code </w:t>
      </w:r>
      <w:r w:rsidR="0088293C">
        <w:t xml:space="preserve">former </w:t>
      </w:r>
      <w:r>
        <w:t>section 6250 et seq.  (Stats 2021, ch. 614, ¶ 1.)  Ef</w:t>
      </w:r>
      <w:r w:rsidRPr="00FF5F7F">
        <w:t>fective January 1, 2023</w:t>
      </w:r>
      <w:r>
        <w:t xml:space="preserve">, the CPRA was </w:t>
      </w:r>
      <w:r w:rsidRPr="00FF5F7F">
        <w:t>repealed and reenacted</w:t>
      </w:r>
      <w:r>
        <w:t xml:space="preserve">, </w:t>
      </w:r>
      <w:r w:rsidRPr="00FF5F7F">
        <w:t>without substantive change</w:t>
      </w:r>
      <w:r w:rsidR="003D5065">
        <w:t>s</w:t>
      </w:r>
      <w:r>
        <w:t xml:space="preserve">, at section 7920.000 et seq.  </w:t>
      </w:r>
      <w:r w:rsidRPr="00FF5F7F">
        <w:t xml:space="preserve">(Stats. 2021, ch. 614, §§ 1-2; </w:t>
      </w:r>
      <w:r w:rsidRPr="00FF5F7F">
        <w:rPr>
          <w:i/>
          <w:iCs/>
        </w:rPr>
        <w:t>City of Gilroy v. Superior Court</w:t>
      </w:r>
      <w:r w:rsidR="003D5065">
        <w:t xml:space="preserve"> (2023) </w:t>
      </w:r>
      <w:r w:rsidR="006B6E2B">
        <w:t>96</w:t>
      </w:r>
      <w:r w:rsidR="00F42D35">
        <w:t> </w:t>
      </w:r>
      <w:r w:rsidRPr="00FF5F7F">
        <w:t>Cal.App.5th</w:t>
      </w:r>
      <w:r w:rsidR="003D5065">
        <w:t xml:space="preserve"> </w:t>
      </w:r>
      <w:r w:rsidR="006B6E2B">
        <w:t xml:space="preserve">818, 824, </w:t>
      </w:r>
      <w:r w:rsidRPr="00FF5F7F">
        <w:t xml:space="preserve">fn. 2.) </w:t>
      </w:r>
      <w:r>
        <w:t xml:space="preserve"> Our analysis of City’s claims in this appeal is </w:t>
      </w:r>
      <w:r w:rsidR="008810F3">
        <w:t>based on the former CPRA provisions at</w:t>
      </w:r>
      <w:r w:rsidR="00ED4DDB">
        <w:t xml:space="preserve"> </w:t>
      </w:r>
      <w:r>
        <w:t xml:space="preserve">Government Code </w:t>
      </w:r>
      <w:r w:rsidR="006B6E2B">
        <w:t xml:space="preserve">former </w:t>
      </w:r>
      <w:r>
        <w:t>section 6250 et. seq.</w:t>
      </w:r>
    </w:p>
  </w:footnote>
  <w:footnote w:id="3">
    <w:p w14:paraId="68868B78" w14:textId="5BCB844D" w:rsidR="001D6023" w:rsidRDefault="0038463E">
      <w:pPr>
        <w:pStyle w:val="FootnoteText"/>
      </w:pPr>
      <w:r>
        <w:tab/>
      </w:r>
      <w:r>
        <w:rPr>
          <w:rStyle w:val="FootnoteReference"/>
        </w:rPr>
        <w:footnoteRef/>
      </w:r>
      <w:r>
        <w:t xml:space="preserve">  Unspecified statutory references are to the Code of Civil Procedure.</w:t>
      </w:r>
    </w:p>
  </w:footnote>
  <w:footnote w:id="4">
    <w:p w14:paraId="1E3559D1" w14:textId="7A221511" w:rsidR="00306E4F" w:rsidRDefault="0038463E">
      <w:pPr>
        <w:pStyle w:val="FootnoteText"/>
      </w:pPr>
      <w:r>
        <w:tab/>
      </w:r>
      <w:r>
        <w:rPr>
          <w:rStyle w:val="FootnoteReference"/>
        </w:rPr>
        <w:footnoteRef/>
      </w:r>
      <w:r>
        <w:t xml:space="preserve">  </w:t>
      </w:r>
      <w:r>
        <w:rPr>
          <w:rStyle w:val="ssrfcpassagedeactivated"/>
          <w:color w:val="212121"/>
          <w:szCs w:val="27"/>
          <w:bdr w:val="none" w:sz="0" w:space="0" w:color="auto" w:frame="1"/>
        </w:rPr>
        <w:t>In addition, under the “ ‘ catchall exception</w:t>
      </w:r>
      <w:r w:rsidR="00CD1282">
        <w:rPr>
          <w:rStyle w:val="ssrfcpassagedeactivated"/>
          <w:color w:val="212121"/>
          <w:szCs w:val="27"/>
          <w:bdr w:val="none" w:sz="0" w:space="0" w:color="auto" w:frame="1"/>
        </w:rPr>
        <w:t>’</w:t>
      </w:r>
      <w:r>
        <w:rPr>
          <w:rStyle w:val="ssrfcpassagedeactivated"/>
          <w:color w:val="212121"/>
          <w:szCs w:val="27"/>
          <w:bdr w:val="none" w:sz="0" w:space="0" w:color="auto" w:frame="1"/>
        </w:rPr>
        <w:t xml:space="preserve"> of” Government Code</w:t>
      </w:r>
      <w:r w:rsidR="006E118E">
        <w:rPr>
          <w:rStyle w:val="ssrfcpassagedeactivated"/>
          <w:color w:val="212121"/>
          <w:szCs w:val="27"/>
          <w:bdr w:val="none" w:sz="0" w:space="0" w:color="auto" w:frame="1"/>
        </w:rPr>
        <w:t xml:space="preserve"> former</w:t>
      </w:r>
      <w:r>
        <w:rPr>
          <w:rStyle w:val="ssrfcpassagedeactivated"/>
          <w:color w:val="212121"/>
          <w:szCs w:val="27"/>
          <w:bdr w:val="none" w:sz="0" w:space="0" w:color="auto" w:frame="1"/>
        </w:rPr>
        <w:t xml:space="preserve"> section 6255, a public agency could  withhold records if it could show, on the facts of the particular case, that the public interest served by withholding the records clearly outweighed the public interest served by disclosure.  (</w:t>
      </w:r>
      <w:r w:rsidRPr="00E82E59">
        <w:rPr>
          <w:rStyle w:val="ssrfcpassagedeactivated"/>
          <w:i/>
          <w:iCs/>
          <w:color w:val="212121"/>
          <w:szCs w:val="27"/>
          <w:bdr w:val="none" w:sz="0" w:space="0" w:color="auto" w:frame="1"/>
        </w:rPr>
        <w:t>San Lorenzo Valley Community Advocates for Responsible Education v. San Lorenzo Valley Unified School Dist.</w:t>
      </w:r>
      <w:r>
        <w:rPr>
          <w:rStyle w:val="ssrfcpassagedeactivated"/>
          <w:color w:val="212121"/>
          <w:szCs w:val="27"/>
          <w:bdr w:val="none" w:sz="0" w:space="0" w:color="auto" w:frame="1"/>
        </w:rPr>
        <w:t xml:space="preserve"> (2006) 139 Cal.App.4th 1356, 140</w:t>
      </w:r>
      <w:r w:rsidR="00CD1282">
        <w:rPr>
          <w:rStyle w:val="ssrfcpassagedeactivated"/>
          <w:color w:val="212121"/>
          <w:szCs w:val="27"/>
          <w:bdr w:val="none" w:sz="0" w:space="0" w:color="auto" w:frame="1"/>
        </w:rPr>
        <w:t>8</w:t>
      </w:r>
      <w:r>
        <w:rPr>
          <w:rStyle w:val="ssrfcpassagedeactivated"/>
          <w:color w:val="212121"/>
          <w:szCs w:val="27"/>
          <w:bdr w:val="none" w:sz="0" w:space="0" w:color="auto" w:frame="1"/>
        </w:rPr>
        <w:t xml:space="preserve"> (</w:t>
      </w:r>
      <w:r w:rsidRPr="00F02F34">
        <w:rPr>
          <w:rStyle w:val="ssrfcpassagedeactivated"/>
          <w:i/>
          <w:iCs/>
          <w:color w:val="212121"/>
          <w:szCs w:val="27"/>
          <w:bdr w:val="none" w:sz="0" w:space="0" w:color="auto" w:frame="1"/>
        </w:rPr>
        <w:t>San Lorenzo Valley</w:t>
      </w:r>
      <w:r w:rsidR="00E82E59" w:rsidRPr="00E82E59">
        <w:rPr>
          <w:rStyle w:val="ssrfcpassagedeactivated"/>
          <w:color w:val="212121"/>
          <w:szCs w:val="27"/>
          <w:bdr w:val="none" w:sz="0" w:space="0" w:color="auto" w:frame="1"/>
        </w:rPr>
        <w:t>).</w:t>
      </w:r>
      <w:r>
        <w:rPr>
          <w:rStyle w:val="ssrfcpassagedeactivated"/>
          <w:color w:val="212121"/>
          <w:szCs w:val="27"/>
          <w:bdr w:val="none" w:sz="0" w:space="0" w:color="auto" w:frame="1"/>
        </w:rPr>
        <w:t>)</w:t>
      </w:r>
    </w:p>
  </w:footnote>
  <w:footnote w:id="5">
    <w:p w14:paraId="48B8E5F8" w14:textId="1A43C59D" w:rsidR="00452EFD" w:rsidRDefault="0038463E">
      <w:pPr>
        <w:pStyle w:val="FootnoteText"/>
      </w:pPr>
      <w:r>
        <w:tab/>
      </w:r>
      <w:r>
        <w:rPr>
          <w:rStyle w:val="FootnoteReference"/>
        </w:rPr>
        <w:footnoteRef/>
      </w:r>
      <w:r>
        <w:t xml:space="preserve">  It is not clear </w:t>
      </w:r>
      <w:r w:rsidR="00FD1D61">
        <w:t xml:space="preserve">when </w:t>
      </w:r>
      <w:r>
        <w:t xml:space="preserve">Kinney first made a “ransom” </w:t>
      </w:r>
      <w:r w:rsidR="00FD1D61">
        <w:t xml:space="preserve">or </w:t>
      </w:r>
      <w:r>
        <w:t xml:space="preserve">monetary demand of City, but the record includes a February 15, 2020 </w:t>
      </w:r>
      <w:r w:rsidR="000B3170">
        <w:t>e-mail</w:t>
      </w:r>
      <w:r>
        <w:t xml:space="preserve"> from Higginbotham to Toraason, referencing </w:t>
      </w:r>
      <w:r w:rsidR="00FD1D61">
        <w:t xml:space="preserve">a “settlement demand” from </w:t>
      </w:r>
      <w:r>
        <w:t>Kinney</w:t>
      </w:r>
      <w:r w:rsidR="00FD1D61">
        <w:t xml:space="preserve"> </w:t>
      </w:r>
      <w:r>
        <w:t xml:space="preserve">for $6,500.  In the </w:t>
      </w:r>
      <w:r w:rsidR="000B3170">
        <w:t>e-mail</w:t>
      </w:r>
      <w:r w:rsidR="00FD1D61">
        <w:t>,</w:t>
      </w:r>
      <w:r>
        <w:t xml:space="preserve"> Higginbotham said it was “preposterous” that </w:t>
      </w:r>
      <w:r w:rsidR="00B14309">
        <w:t>T</w:t>
      </w:r>
      <w:r>
        <w:t>oraason could have incurred $6,500 in attorney time on the case at that point.</w:t>
      </w:r>
    </w:p>
  </w:footnote>
  <w:footnote w:id="6">
    <w:p w14:paraId="0AAA397D" w14:textId="3500D2DB" w:rsidR="00452EFD" w:rsidRDefault="0038463E">
      <w:pPr>
        <w:pStyle w:val="FootnoteText"/>
      </w:pPr>
      <w:r>
        <w:tab/>
      </w:r>
      <w:r>
        <w:rPr>
          <w:rStyle w:val="FootnoteReference"/>
        </w:rPr>
        <w:footnoteRef/>
      </w:r>
      <w:r>
        <w:t xml:space="preserve"> City claimed it discovered “a new variant on the scheme by which Austin would </w:t>
      </w:r>
      <w:r w:rsidR="000B3170">
        <w:t>e-mail</w:t>
      </w:r>
      <w:r>
        <w:t xml:space="preserve">” CPRA requests from an </w:t>
      </w:r>
      <w:r w:rsidR="000B3170">
        <w:t>e-mail</w:t>
      </w:r>
      <w:r>
        <w:t>-address “plainly calculated to trigger spam blockers . . . and thereby deprive public agencies of the opportunity to respond to the [CPRA] request until after a lawsuit had been filed and the ransom demanded</w:t>
      </w:r>
      <w:r w:rsidR="00794671">
        <w:t>.</w:t>
      </w:r>
      <w:r>
        <w:t>”</w:t>
      </w:r>
    </w:p>
  </w:footnote>
  <w:footnote w:id="7">
    <w:p w14:paraId="3F98F849" w14:textId="67F2EE14" w:rsidR="00452EFD" w:rsidRDefault="0038463E" w:rsidP="00535FEE">
      <w:pPr>
        <w:pStyle w:val="FootnoteText"/>
      </w:pPr>
      <w:r>
        <w:tab/>
      </w:r>
      <w:r>
        <w:rPr>
          <w:rStyle w:val="FootnoteReference"/>
        </w:rPr>
        <w:footnoteRef/>
      </w:r>
      <w:r>
        <w:t xml:space="preserve">  Kinney has moved this court to take judicial notice of </w:t>
      </w:r>
      <w:r w:rsidR="00A55DFE">
        <w:t>(</w:t>
      </w:r>
      <w:r>
        <w:t>1) City’s May 18, 2021 amended petition to this court for an extraordinary writ of mandate setting aside the superior court’s May 3, 2021 order granting Kinney’s CPRA petition, in case No.</w:t>
      </w:r>
      <w:r w:rsidR="00A55DFE">
        <w:t> </w:t>
      </w:r>
      <w:r>
        <w:t xml:space="preserve">E077081, and </w:t>
      </w:r>
      <w:r w:rsidR="00A55DFE">
        <w:t>(2</w:t>
      </w:r>
      <w:r>
        <w:t>) this court’s July 1, 2021 order denying City’s extraordinary writ petition.  We grant the motion</w:t>
      </w:r>
      <w:r w:rsidR="000A265E">
        <w:t xml:space="preserve"> and take judicial notice of these court records</w:t>
      </w:r>
      <w:r>
        <w:t xml:space="preserve">.  (Evid. Code, §§ 452, subd. (d), 459.)  On our own motion, we take judicial notice of Kinney’s June 3, 2021 opposition to City’s extraordinary writ petition.  </w:t>
      </w:r>
      <w:r w:rsidR="00EC066E">
        <w:t>These court record</w:t>
      </w:r>
      <w:r w:rsidR="00531F24" w:rsidRPr="00C70290">
        <w:t>s</w:t>
      </w:r>
      <w:r w:rsidR="00EC066E">
        <w:t xml:space="preserve"> show that the parties litigated City’s mootness claim </w:t>
      </w:r>
      <w:r w:rsidR="00323F39">
        <w:t xml:space="preserve">in connection with </w:t>
      </w:r>
      <w:r w:rsidR="000D771B">
        <w:t xml:space="preserve">the </w:t>
      </w:r>
      <w:r w:rsidR="003D3AF2">
        <w:t xml:space="preserve">trial on Kinney’s </w:t>
      </w:r>
      <w:r w:rsidR="000D771B">
        <w:t xml:space="preserve">CPRA </w:t>
      </w:r>
      <w:r w:rsidR="003D3AF2">
        <w:t>petition an</w:t>
      </w:r>
      <w:r w:rsidR="000D771B">
        <w:t xml:space="preserve">d </w:t>
      </w:r>
      <w:r w:rsidR="00F77C6A">
        <w:t>in the subsequent writ proceeding in this court.</w:t>
      </w:r>
    </w:p>
    <w:p w14:paraId="5F98359D" w14:textId="77777777" w:rsidR="002D2552" w:rsidRDefault="002D2552" w:rsidP="00535FEE">
      <w:pPr>
        <w:pStyle w:val="FootnoteText"/>
      </w:pPr>
    </w:p>
  </w:footnote>
  <w:footnote w:id="8">
    <w:p w14:paraId="28C13F77" w14:textId="3E8E3761" w:rsidR="00452EFD" w:rsidRDefault="0038463E">
      <w:pPr>
        <w:pStyle w:val="FootnoteText"/>
      </w:pPr>
      <w:r>
        <w:tab/>
      </w:r>
      <w:r>
        <w:rPr>
          <w:rStyle w:val="FootnoteReference"/>
        </w:rPr>
        <w:footnoteRef/>
      </w:r>
      <w:r>
        <w:t xml:space="preserve">  Kinney filed an earlier motion for attorney fees on </w:t>
      </w:r>
      <w:r w:rsidRPr="002D2552">
        <w:t>February 6, 2021</w:t>
      </w:r>
      <w:r w:rsidR="00C609F2" w:rsidRPr="002D2552">
        <w:t>,</w:t>
      </w:r>
      <w:r>
        <w:t xml:space="preserve"> which was denied without prejudice on the ground </w:t>
      </w:r>
      <w:r w:rsidR="005C2CD9">
        <w:t xml:space="preserve">Kinney still had a </w:t>
      </w:r>
      <w:r>
        <w:t xml:space="preserve">pending cause of action for declaratory relief. </w:t>
      </w:r>
      <w:r w:rsidR="005C2CD9">
        <w:t xml:space="preserve"> In denying Kinney’s earlier fee motion, the court </w:t>
      </w:r>
      <w:r>
        <w:t xml:space="preserve">noted “the outcome of the declaratory relief cause of action might affect whether petitioner achieved a more favorable result at trial than she would have had if she had accepted” City’s Code of Civil Procedure section 998 offer. </w:t>
      </w:r>
      <w:r w:rsidR="009726C8">
        <w:t xml:space="preserve"> </w:t>
      </w:r>
      <w:r>
        <w:t xml:space="preserve">The court later granted City’s motion for judgment on the pleadings on </w:t>
      </w:r>
      <w:r w:rsidR="00066300">
        <w:t xml:space="preserve">Kinney’s </w:t>
      </w:r>
      <w:r>
        <w:t xml:space="preserve">declaratory relief cause of action, reasoning that </w:t>
      </w:r>
      <w:r w:rsidR="00066300">
        <w:t xml:space="preserve">Kinney’s </w:t>
      </w:r>
      <w:r>
        <w:t xml:space="preserve">petition for a writ of mandate and complaint for declaratory relief concerned the same issue: </w:t>
      </w:r>
      <w:r w:rsidR="009726C8">
        <w:t xml:space="preserve"> </w:t>
      </w:r>
      <w:r>
        <w:t xml:space="preserve">“whether City was required to disclose a particular record requested by a particular person.”  And because </w:t>
      </w:r>
      <w:r w:rsidR="00066300">
        <w:t xml:space="preserve">the court had already granted Kinney’s requested </w:t>
      </w:r>
      <w:r>
        <w:t xml:space="preserve">writ relief, there was nothing left for the court to decide that had not been resolved by the court’s May 3, 2021 </w:t>
      </w:r>
      <w:r w:rsidR="00780739">
        <w:t>order granting the writ portion of the petition</w:t>
      </w:r>
      <w:r>
        <w:t xml:space="preserve">. </w:t>
      </w:r>
      <w:r w:rsidR="009726C8">
        <w:t xml:space="preserve"> </w:t>
      </w:r>
      <w:r>
        <w:t>On February 1, 2022, the court entered judgment in favor of City on the declaratory relief cause of action.  On February 22, 2022, Kinney filed her second and operative motion for attorney fees.</w:t>
      </w:r>
    </w:p>
  </w:footnote>
  <w:footnote w:id="9">
    <w:p w14:paraId="68DF89BE" w14:textId="70EF55FB" w:rsidR="00452EFD" w:rsidRPr="00796925" w:rsidRDefault="0038463E" w:rsidP="00796925">
      <w:pPr>
        <w:spacing w:line="240" w:lineRule="auto"/>
        <w:rPr>
          <w:b/>
          <w:bCs/>
        </w:rPr>
      </w:pPr>
      <w:r>
        <w:tab/>
      </w:r>
      <w:r>
        <w:rPr>
          <w:rStyle w:val="FootnoteReference"/>
        </w:rPr>
        <w:footnoteRef/>
      </w:r>
      <w:r>
        <w:t xml:space="preserve">  </w:t>
      </w:r>
      <w:r w:rsidR="00484E55">
        <w:t xml:space="preserve">We observe that our </w:t>
      </w:r>
      <w:r>
        <w:t xml:space="preserve">review is limited to the August </w:t>
      </w:r>
      <w:r w:rsidR="00BB2925">
        <w:t>4</w:t>
      </w:r>
      <w:r>
        <w:t xml:space="preserve">, 2022 judgment awarding Kinney $43,300 in attorney fees.  The May 3, 2021 order directing City to disclose the crime victim’s name </w:t>
      </w:r>
      <w:r w:rsidR="004478EA">
        <w:t xml:space="preserve">directly </w:t>
      </w:r>
      <w:r>
        <w:t xml:space="preserve">to Kinney is not reviewable in this appeal; </w:t>
      </w:r>
      <w:r w:rsidR="00BB2925">
        <w:t xml:space="preserve">that order </w:t>
      </w:r>
      <w:r>
        <w:t xml:space="preserve">was </w:t>
      </w:r>
      <w:r w:rsidR="004478EA">
        <w:t xml:space="preserve">only </w:t>
      </w:r>
      <w:r>
        <w:t xml:space="preserve">reviewable by extraordinary writ petition, which the City filed </w:t>
      </w:r>
      <w:r w:rsidR="00BB2925">
        <w:t xml:space="preserve">on </w:t>
      </w:r>
      <w:r>
        <w:t xml:space="preserve">May </w:t>
      </w:r>
      <w:r w:rsidR="00BB2925">
        <w:t>18</w:t>
      </w:r>
      <w:r w:rsidR="00F85926">
        <w:t xml:space="preserve">, </w:t>
      </w:r>
      <w:r>
        <w:t xml:space="preserve">2021 and this court </w:t>
      </w:r>
      <w:r w:rsidR="00BB2925">
        <w:t xml:space="preserve">summarily </w:t>
      </w:r>
      <w:r>
        <w:t>denied on July 1, 2021.  (</w:t>
      </w:r>
      <w:r w:rsidR="00BB2925">
        <w:t xml:space="preserve">Gov. Code, </w:t>
      </w:r>
      <w:r w:rsidR="00525F67">
        <w:t xml:space="preserve">former </w:t>
      </w:r>
      <w:r>
        <w:t>§ 6259, subd.</w:t>
      </w:r>
      <w:r w:rsidR="00525F67">
        <w:t> </w:t>
      </w:r>
      <w:r>
        <w:t xml:space="preserve">(c); </w:t>
      </w:r>
      <w:r w:rsidRPr="00F71590">
        <w:rPr>
          <w:i/>
          <w:iCs/>
        </w:rPr>
        <w:t>Crews v. Willows Unified School Dist.</w:t>
      </w:r>
      <w:r>
        <w:t xml:space="preserve"> (2013) 217 Cal.App.4th 1368, 1378 (</w:t>
      </w:r>
      <w:r w:rsidRPr="00A5391F">
        <w:rPr>
          <w:i/>
          <w:iCs/>
        </w:rPr>
        <w:t>Crews</w:t>
      </w:r>
      <w:r>
        <w:t>).)  An order granting attorney fees under the CPRA is reviewable on appeal from a final judgment in the CPRA proceeding.  (</w:t>
      </w:r>
      <w:r w:rsidRPr="003B048F">
        <w:rPr>
          <w:i/>
          <w:iCs/>
        </w:rPr>
        <w:t>Crews</w:t>
      </w:r>
      <w:r>
        <w:t>, at pp</w:t>
      </w:r>
      <w:r w:rsidR="003646FE">
        <w:t>.</w:t>
      </w:r>
      <w:r>
        <w:t xml:space="preserve"> 1378-1379</w:t>
      </w:r>
      <w:r w:rsidR="004478EA">
        <w:t>.)</w:t>
      </w:r>
    </w:p>
  </w:footnote>
  <w:footnote w:id="10">
    <w:p w14:paraId="2EF472C1" w14:textId="28C284E8" w:rsidR="00452EFD" w:rsidRPr="00520762" w:rsidRDefault="0038463E" w:rsidP="00520762">
      <w:pPr>
        <w:pStyle w:val="FootnoteText"/>
      </w:pPr>
      <w:r>
        <w:tab/>
      </w:r>
      <w:r>
        <w:rPr>
          <w:rStyle w:val="FootnoteReference"/>
        </w:rPr>
        <w:footnoteRef/>
      </w:r>
      <w:r>
        <w:t xml:space="preserve">  </w:t>
      </w:r>
      <w:r w:rsidRPr="00B5082E">
        <w:t xml:space="preserve">Kinney argues </w:t>
      </w:r>
      <w:r w:rsidR="008D6556">
        <w:t xml:space="preserve">that </w:t>
      </w:r>
      <w:r>
        <w:t xml:space="preserve">we review the trial </w:t>
      </w:r>
      <w:r w:rsidRPr="00B5082E">
        <w:t>court’s</w:t>
      </w:r>
      <w:r>
        <w:t xml:space="preserve"> </w:t>
      </w:r>
      <w:r w:rsidRPr="00B5082E">
        <w:t xml:space="preserve">ambiguity </w:t>
      </w:r>
      <w:r>
        <w:t xml:space="preserve">determination </w:t>
      </w:r>
      <w:r w:rsidRPr="00B5082E">
        <w:t xml:space="preserve">for an abuse of discretion because it “amounts to a finding” that </w:t>
      </w:r>
      <w:r>
        <w:t xml:space="preserve">City’s CCP </w:t>
      </w:r>
      <w:r w:rsidR="00A211CA">
        <w:t>section</w:t>
      </w:r>
      <w:r>
        <w:t xml:space="preserve"> 998 </w:t>
      </w:r>
      <w:r w:rsidRPr="00B5082E">
        <w:t xml:space="preserve">offer was unreasonable and made in bad faith. </w:t>
      </w:r>
      <w:r w:rsidR="00C8440B">
        <w:t xml:space="preserve"> </w:t>
      </w:r>
      <w:r w:rsidR="00024E98">
        <w:t xml:space="preserve">We disagree.  </w:t>
      </w:r>
      <w:r>
        <w:t xml:space="preserve">No issue </w:t>
      </w:r>
      <w:r w:rsidR="00024E98">
        <w:t xml:space="preserve">was raised below or is raised in this appeal concerning </w:t>
      </w:r>
      <w:r>
        <w:t xml:space="preserve">whether </w:t>
      </w:r>
      <w:r w:rsidRPr="00B5082E">
        <w:t xml:space="preserve">City’s section 998 offer was </w:t>
      </w:r>
      <w:r>
        <w:t>un</w:t>
      </w:r>
      <w:r w:rsidRPr="00B5082E">
        <w:t xml:space="preserve">reasonable or </w:t>
      </w:r>
      <w:r w:rsidR="008F125E">
        <w:t xml:space="preserve">was </w:t>
      </w:r>
      <w:r>
        <w:t xml:space="preserve">not made in </w:t>
      </w:r>
      <w:r w:rsidRPr="00B5082E">
        <w:t>good faith.  (</w:t>
      </w:r>
      <w:r w:rsidRPr="00B5082E">
        <w:rPr>
          <w:i/>
          <w:iCs/>
        </w:rPr>
        <w:t>Barella</w:t>
      </w:r>
      <w:r>
        <w:rPr>
          <w:i/>
          <w:iCs/>
        </w:rPr>
        <w:t xml:space="preserve"> v. Exch. Bank </w:t>
      </w:r>
      <w:r>
        <w:t xml:space="preserve">(2000) </w:t>
      </w:r>
      <w:r w:rsidRPr="00B5082E">
        <w:t>84</w:t>
      </w:r>
      <w:r w:rsidR="00A211CA">
        <w:t> </w:t>
      </w:r>
      <w:r w:rsidRPr="00B5082E">
        <w:t xml:space="preserve">Cal.App.4th </w:t>
      </w:r>
      <w:r>
        <w:t xml:space="preserve">793, </w:t>
      </w:r>
      <w:r w:rsidRPr="00B5082E">
        <w:t xml:space="preserve">797.)  </w:t>
      </w:r>
      <w:r w:rsidR="008F125E">
        <w:t xml:space="preserve">Thus, </w:t>
      </w:r>
      <w:r w:rsidRPr="00B5082E">
        <w:t xml:space="preserve">Kinney mistakenly relies on </w:t>
      </w:r>
      <w:r>
        <w:t xml:space="preserve">cases </w:t>
      </w:r>
      <w:r w:rsidRPr="00B5082E">
        <w:t xml:space="preserve">holding that the abuse of discretion standard applies to a </w:t>
      </w:r>
      <w:r>
        <w:t xml:space="preserve">trial </w:t>
      </w:r>
      <w:r w:rsidRPr="00B5082E">
        <w:t xml:space="preserve">court’s determination of whether </w:t>
      </w:r>
      <w:r>
        <w:t xml:space="preserve">a section </w:t>
      </w:r>
      <w:r w:rsidRPr="00B5082E">
        <w:t xml:space="preserve">998 offer was </w:t>
      </w:r>
      <w:r>
        <w:t>un</w:t>
      </w:r>
      <w:r w:rsidRPr="00B5082E">
        <w:t xml:space="preserve">reasonable or </w:t>
      </w:r>
      <w:r>
        <w:t xml:space="preserve">not made </w:t>
      </w:r>
      <w:r w:rsidRPr="00B5082E">
        <w:t>in good faith.  (</w:t>
      </w:r>
      <w:r w:rsidRPr="00B5082E">
        <w:rPr>
          <w:i/>
          <w:iCs/>
        </w:rPr>
        <w:t>Whatley-Miller v. Cooper</w:t>
      </w:r>
      <w:r w:rsidRPr="00B5082E">
        <w:t xml:space="preserve"> (2013) 212 Cal.App.4th 110</w:t>
      </w:r>
      <w:r w:rsidR="004E24E0">
        <w:t>3</w:t>
      </w:r>
      <w:r w:rsidRPr="00B5082E">
        <w:t>, 1112-1113</w:t>
      </w:r>
      <w:r>
        <w:t xml:space="preserve"> [</w:t>
      </w:r>
      <w:r w:rsidR="00520762">
        <w:t xml:space="preserve">A </w:t>
      </w:r>
      <w:r>
        <w:t>section 998 offer is in good faith if it is realistically reasonable under the circumstances of the case and carries “</w:t>
      </w:r>
      <w:r w:rsidR="004E24E0">
        <w:t xml:space="preserve"> ‘ “</w:t>
      </w:r>
      <w:r>
        <w:t>some reasonable prospect of acceptance</w:t>
      </w:r>
      <w:r w:rsidR="00520762">
        <w:t>.</w:t>
      </w:r>
      <w:r w:rsidR="004E24E0">
        <w:t xml:space="preserve">” ’ </w:t>
      </w:r>
      <w:r>
        <w:t>”].)</w:t>
      </w:r>
      <w:r w:rsidR="00A8117F">
        <w:t xml:space="preserve">  These authorities are not germane to whether the section 998 offer was ambiguous.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F7F9" w14:textId="77777777" w:rsidR="00FB3375" w:rsidRDefault="00FB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3491" w14:textId="77777777" w:rsidR="00FB3375" w:rsidRDefault="00FB3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7D6B" w14:textId="77777777" w:rsidR="00FB3375" w:rsidRDefault="00FB3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D3"/>
    <w:rsid w:val="000000C9"/>
    <w:rsid w:val="0000064A"/>
    <w:rsid w:val="0000075E"/>
    <w:rsid w:val="00000F8E"/>
    <w:rsid w:val="0000175C"/>
    <w:rsid w:val="00002BCE"/>
    <w:rsid w:val="00003485"/>
    <w:rsid w:val="00003A20"/>
    <w:rsid w:val="00003ABA"/>
    <w:rsid w:val="00005B4E"/>
    <w:rsid w:val="00005D6E"/>
    <w:rsid w:val="00005FD5"/>
    <w:rsid w:val="000063CF"/>
    <w:rsid w:val="0000687B"/>
    <w:rsid w:val="00010E11"/>
    <w:rsid w:val="000114FE"/>
    <w:rsid w:val="00011C24"/>
    <w:rsid w:val="00011F26"/>
    <w:rsid w:val="000120C5"/>
    <w:rsid w:val="0001266E"/>
    <w:rsid w:val="00012810"/>
    <w:rsid w:val="000135A3"/>
    <w:rsid w:val="0001421F"/>
    <w:rsid w:val="00014943"/>
    <w:rsid w:val="00014CDD"/>
    <w:rsid w:val="00014EEC"/>
    <w:rsid w:val="00015486"/>
    <w:rsid w:val="00015890"/>
    <w:rsid w:val="00015D45"/>
    <w:rsid w:val="00016A67"/>
    <w:rsid w:val="00017A5D"/>
    <w:rsid w:val="000202BC"/>
    <w:rsid w:val="000224C3"/>
    <w:rsid w:val="00022E8A"/>
    <w:rsid w:val="00022F00"/>
    <w:rsid w:val="00023B6F"/>
    <w:rsid w:val="000249B7"/>
    <w:rsid w:val="00024C2B"/>
    <w:rsid w:val="00024E98"/>
    <w:rsid w:val="00024F60"/>
    <w:rsid w:val="00025666"/>
    <w:rsid w:val="00025B3A"/>
    <w:rsid w:val="000275E9"/>
    <w:rsid w:val="0003036E"/>
    <w:rsid w:val="00031DE3"/>
    <w:rsid w:val="00032A34"/>
    <w:rsid w:val="00032BBF"/>
    <w:rsid w:val="00033FE7"/>
    <w:rsid w:val="00034195"/>
    <w:rsid w:val="00034366"/>
    <w:rsid w:val="00034C50"/>
    <w:rsid w:val="00034EF4"/>
    <w:rsid w:val="0003593A"/>
    <w:rsid w:val="00035C23"/>
    <w:rsid w:val="00036F16"/>
    <w:rsid w:val="000400A4"/>
    <w:rsid w:val="00041412"/>
    <w:rsid w:val="0004167F"/>
    <w:rsid w:val="00041912"/>
    <w:rsid w:val="00041ABA"/>
    <w:rsid w:val="00041B0B"/>
    <w:rsid w:val="00041FE3"/>
    <w:rsid w:val="00042033"/>
    <w:rsid w:val="00042BB7"/>
    <w:rsid w:val="0004369F"/>
    <w:rsid w:val="00043757"/>
    <w:rsid w:val="000438B2"/>
    <w:rsid w:val="00043D7E"/>
    <w:rsid w:val="00044792"/>
    <w:rsid w:val="000447DB"/>
    <w:rsid w:val="00044F42"/>
    <w:rsid w:val="00045DD9"/>
    <w:rsid w:val="00045F05"/>
    <w:rsid w:val="00045FF6"/>
    <w:rsid w:val="00046049"/>
    <w:rsid w:val="000466EC"/>
    <w:rsid w:val="00046CAF"/>
    <w:rsid w:val="000471B4"/>
    <w:rsid w:val="00047586"/>
    <w:rsid w:val="000500DE"/>
    <w:rsid w:val="0005069F"/>
    <w:rsid w:val="00050A64"/>
    <w:rsid w:val="00050F0B"/>
    <w:rsid w:val="00050F2F"/>
    <w:rsid w:val="00051632"/>
    <w:rsid w:val="00051FFB"/>
    <w:rsid w:val="00052A09"/>
    <w:rsid w:val="0005302B"/>
    <w:rsid w:val="000532B4"/>
    <w:rsid w:val="00053465"/>
    <w:rsid w:val="00053A50"/>
    <w:rsid w:val="00053B74"/>
    <w:rsid w:val="00054850"/>
    <w:rsid w:val="00054D78"/>
    <w:rsid w:val="000559A0"/>
    <w:rsid w:val="00055EB2"/>
    <w:rsid w:val="00056CA5"/>
    <w:rsid w:val="000570B3"/>
    <w:rsid w:val="000600D4"/>
    <w:rsid w:val="00060DB2"/>
    <w:rsid w:val="00061F80"/>
    <w:rsid w:val="0006222A"/>
    <w:rsid w:val="000629BE"/>
    <w:rsid w:val="000629C0"/>
    <w:rsid w:val="000635BA"/>
    <w:rsid w:val="0006382E"/>
    <w:rsid w:val="000639E9"/>
    <w:rsid w:val="00063A32"/>
    <w:rsid w:val="000652DA"/>
    <w:rsid w:val="00065774"/>
    <w:rsid w:val="00065BC1"/>
    <w:rsid w:val="000660B7"/>
    <w:rsid w:val="00066300"/>
    <w:rsid w:val="0006645C"/>
    <w:rsid w:val="00066698"/>
    <w:rsid w:val="0006686D"/>
    <w:rsid w:val="00066ACC"/>
    <w:rsid w:val="00067072"/>
    <w:rsid w:val="0007011A"/>
    <w:rsid w:val="00070763"/>
    <w:rsid w:val="00070FFE"/>
    <w:rsid w:val="00072569"/>
    <w:rsid w:val="0007277D"/>
    <w:rsid w:val="00073139"/>
    <w:rsid w:val="00073250"/>
    <w:rsid w:val="0007355F"/>
    <w:rsid w:val="00073C52"/>
    <w:rsid w:val="0007501B"/>
    <w:rsid w:val="000756A9"/>
    <w:rsid w:val="00075B2A"/>
    <w:rsid w:val="00075CC2"/>
    <w:rsid w:val="00076EF3"/>
    <w:rsid w:val="000802D3"/>
    <w:rsid w:val="000808FA"/>
    <w:rsid w:val="000821D3"/>
    <w:rsid w:val="00082212"/>
    <w:rsid w:val="000827C7"/>
    <w:rsid w:val="0008286F"/>
    <w:rsid w:val="00082FA6"/>
    <w:rsid w:val="0008321C"/>
    <w:rsid w:val="00083262"/>
    <w:rsid w:val="0008356E"/>
    <w:rsid w:val="000837B1"/>
    <w:rsid w:val="00084408"/>
    <w:rsid w:val="00084CB3"/>
    <w:rsid w:val="00085EAB"/>
    <w:rsid w:val="00086883"/>
    <w:rsid w:val="00086E66"/>
    <w:rsid w:val="00087F68"/>
    <w:rsid w:val="0009053C"/>
    <w:rsid w:val="0009083F"/>
    <w:rsid w:val="0009085E"/>
    <w:rsid w:val="00091D3B"/>
    <w:rsid w:val="0009268D"/>
    <w:rsid w:val="000926E2"/>
    <w:rsid w:val="00093402"/>
    <w:rsid w:val="00093962"/>
    <w:rsid w:val="00093CED"/>
    <w:rsid w:val="0009510F"/>
    <w:rsid w:val="000956D8"/>
    <w:rsid w:val="000968A4"/>
    <w:rsid w:val="00097257"/>
    <w:rsid w:val="000A0F2B"/>
    <w:rsid w:val="000A1406"/>
    <w:rsid w:val="000A18D4"/>
    <w:rsid w:val="000A20A3"/>
    <w:rsid w:val="000A265E"/>
    <w:rsid w:val="000A2C03"/>
    <w:rsid w:val="000A3001"/>
    <w:rsid w:val="000A30A3"/>
    <w:rsid w:val="000A36E9"/>
    <w:rsid w:val="000A4211"/>
    <w:rsid w:val="000A4430"/>
    <w:rsid w:val="000A4690"/>
    <w:rsid w:val="000A4BC0"/>
    <w:rsid w:val="000A4D10"/>
    <w:rsid w:val="000A64D1"/>
    <w:rsid w:val="000A6B17"/>
    <w:rsid w:val="000A7DC9"/>
    <w:rsid w:val="000A7EED"/>
    <w:rsid w:val="000B05CB"/>
    <w:rsid w:val="000B092A"/>
    <w:rsid w:val="000B0CC0"/>
    <w:rsid w:val="000B14ED"/>
    <w:rsid w:val="000B15E7"/>
    <w:rsid w:val="000B1701"/>
    <w:rsid w:val="000B1EF5"/>
    <w:rsid w:val="000B22AD"/>
    <w:rsid w:val="000B24D7"/>
    <w:rsid w:val="000B3170"/>
    <w:rsid w:val="000B39EF"/>
    <w:rsid w:val="000B3DFA"/>
    <w:rsid w:val="000B437B"/>
    <w:rsid w:val="000B4457"/>
    <w:rsid w:val="000B47A2"/>
    <w:rsid w:val="000B4FD5"/>
    <w:rsid w:val="000B6251"/>
    <w:rsid w:val="000B6AB0"/>
    <w:rsid w:val="000B7B4D"/>
    <w:rsid w:val="000C0458"/>
    <w:rsid w:val="000C0C62"/>
    <w:rsid w:val="000C29EE"/>
    <w:rsid w:val="000C2E8D"/>
    <w:rsid w:val="000C3054"/>
    <w:rsid w:val="000C3289"/>
    <w:rsid w:val="000C411E"/>
    <w:rsid w:val="000C4742"/>
    <w:rsid w:val="000C5F60"/>
    <w:rsid w:val="000C614E"/>
    <w:rsid w:val="000C6CB8"/>
    <w:rsid w:val="000D0819"/>
    <w:rsid w:val="000D0CDF"/>
    <w:rsid w:val="000D3432"/>
    <w:rsid w:val="000D3C33"/>
    <w:rsid w:val="000D3D29"/>
    <w:rsid w:val="000D3F88"/>
    <w:rsid w:val="000D4276"/>
    <w:rsid w:val="000D4AC8"/>
    <w:rsid w:val="000D4D55"/>
    <w:rsid w:val="000D5168"/>
    <w:rsid w:val="000D5A2A"/>
    <w:rsid w:val="000D61B9"/>
    <w:rsid w:val="000D68CB"/>
    <w:rsid w:val="000D771B"/>
    <w:rsid w:val="000D7769"/>
    <w:rsid w:val="000E04B4"/>
    <w:rsid w:val="000E0A05"/>
    <w:rsid w:val="000E0C02"/>
    <w:rsid w:val="000E1769"/>
    <w:rsid w:val="000E1A79"/>
    <w:rsid w:val="000E2BDD"/>
    <w:rsid w:val="000E3209"/>
    <w:rsid w:val="000E3892"/>
    <w:rsid w:val="000E463F"/>
    <w:rsid w:val="000E4D2B"/>
    <w:rsid w:val="000E64C2"/>
    <w:rsid w:val="000E7117"/>
    <w:rsid w:val="000E784A"/>
    <w:rsid w:val="000F093D"/>
    <w:rsid w:val="000F1379"/>
    <w:rsid w:val="000F1879"/>
    <w:rsid w:val="000F1D1C"/>
    <w:rsid w:val="000F2710"/>
    <w:rsid w:val="000F27AC"/>
    <w:rsid w:val="000F2855"/>
    <w:rsid w:val="000F2DCF"/>
    <w:rsid w:val="000F3C49"/>
    <w:rsid w:val="000F405E"/>
    <w:rsid w:val="000F4263"/>
    <w:rsid w:val="000F5684"/>
    <w:rsid w:val="000F6191"/>
    <w:rsid w:val="000F6C42"/>
    <w:rsid w:val="000F701F"/>
    <w:rsid w:val="000F77EE"/>
    <w:rsid w:val="000F7CA7"/>
    <w:rsid w:val="0010120C"/>
    <w:rsid w:val="0010175E"/>
    <w:rsid w:val="0010224B"/>
    <w:rsid w:val="00102D1B"/>
    <w:rsid w:val="001041AF"/>
    <w:rsid w:val="0010426A"/>
    <w:rsid w:val="00104815"/>
    <w:rsid w:val="00104F51"/>
    <w:rsid w:val="00105161"/>
    <w:rsid w:val="001056E9"/>
    <w:rsid w:val="00107785"/>
    <w:rsid w:val="00110206"/>
    <w:rsid w:val="00110E2E"/>
    <w:rsid w:val="001114EF"/>
    <w:rsid w:val="00111A9C"/>
    <w:rsid w:val="00111E8D"/>
    <w:rsid w:val="00112170"/>
    <w:rsid w:val="00112745"/>
    <w:rsid w:val="00112D0E"/>
    <w:rsid w:val="00112EA1"/>
    <w:rsid w:val="00113D5B"/>
    <w:rsid w:val="00114723"/>
    <w:rsid w:val="00114A09"/>
    <w:rsid w:val="00114A56"/>
    <w:rsid w:val="00115C5A"/>
    <w:rsid w:val="00115FFE"/>
    <w:rsid w:val="0011637B"/>
    <w:rsid w:val="00116B2D"/>
    <w:rsid w:val="00117342"/>
    <w:rsid w:val="00117BB6"/>
    <w:rsid w:val="001204C2"/>
    <w:rsid w:val="001207AC"/>
    <w:rsid w:val="00120859"/>
    <w:rsid w:val="00120AF5"/>
    <w:rsid w:val="00120D7A"/>
    <w:rsid w:val="00120E18"/>
    <w:rsid w:val="00120FCF"/>
    <w:rsid w:val="00121176"/>
    <w:rsid w:val="00122083"/>
    <w:rsid w:val="001220FE"/>
    <w:rsid w:val="001222BF"/>
    <w:rsid w:val="001225FE"/>
    <w:rsid w:val="001227A4"/>
    <w:rsid w:val="00122AC3"/>
    <w:rsid w:val="0012327E"/>
    <w:rsid w:val="001243AD"/>
    <w:rsid w:val="001250B2"/>
    <w:rsid w:val="00125287"/>
    <w:rsid w:val="00125301"/>
    <w:rsid w:val="0012690E"/>
    <w:rsid w:val="0012698D"/>
    <w:rsid w:val="00126D50"/>
    <w:rsid w:val="00126EA7"/>
    <w:rsid w:val="00127E89"/>
    <w:rsid w:val="001303B2"/>
    <w:rsid w:val="00130593"/>
    <w:rsid w:val="00130D77"/>
    <w:rsid w:val="001331B3"/>
    <w:rsid w:val="00133419"/>
    <w:rsid w:val="00133D6F"/>
    <w:rsid w:val="00134952"/>
    <w:rsid w:val="0013537D"/>
    <w:rsid w:val="00135667"/>
    <w:rsid w:val="001375AC"/>
    <w:rsid w:val="00137861"/>
    <w:rsid w:val="001378E1"/>
    <w:rsid w:val="001379C4"/>
    <w:rsid w:val="001401E9"/>
    <w:rsid w:val="00140535"/>
    <w:rsid w:val="001405AA"/>
    <w:rsid w:val="001405BC"/>
    <w:rsid w:val="0014117A"/>
    <w:rsid w:val="00141937"/>
    <w:rsid w:val="00141D16"/>
    <w:rsid w:val="001426EA"/>
    <w:rsid w:val="001430C3"/>
    <w:rsid w:val="0014341A"/>
    <w:rsid w:val="00144D21"/>
    <w:rsid w:val="0014569F"/>
    <w:rsid w:val="0014588B"/>
    <w:rsid w:val="00145E00"/>
    <w:rsid w:val="00145FDC"/>
    <w:rsid w:val="001516D3"/>
    <w:rsid w:val="00151881"/>
    <w:rsid w:val="0015193A"/>
    <w:rsid w:val="00151CC4"/>
    <w:rsid w:val="0015294C"/>
    <w:rsid w:val="00152AF5"/>
    <w:rsid w:val="00152EF8"/>
    <w:rsid w:val="00153065"/>
    <w:rsid w:val="00153109"/>
    <w:rsid w:val="00153880"/>
    <w:rsid w:val="00153BE0"/>
    <w:rsid w:val="00153E0E"/>
    <w:rsid w:val="0015422E"/>
    <w:rsid w:val="00154FBF"/>
    <w:rsid w:val="0015577A"/>
    <w:rsid w:val="00155D89"/>
    <w:rsid w:val="00156B65"/>
    <w:rsid w:val="001576E6"/>
    <w:rsid w:val="00157BC5"/>
    <w:rsid w:val="00157EFB"/>
    <w:rsid w:val="00160005"/>
    <w:rsid w:val="001612AB"/>
    <w:rsid w:val="00162299"/>
    <w:rsid w:val="00162BFE"/>
    <w:rsid w:val="00163218"/>
    <w:rsid w:val="001636C0"/>
    <w:rsid w:val="00163971"/>
    <w:rsid w:val="0016482B"/>
    <w:rsid w:val="00164D06"/>
    <w:rsid w:val="00164D0B"/>
    <w:rsid w:val="00165342"/>
    <w:rsid w:val="0016544E"/>
    <w:rsid w:val="00166DF1"/>
    <w:rsid w:val="0016708B"/>
    <w:rsid w:val="00167B22"/>
    <w:rsid w:val="001705BC"/>
    <w:rsid w:val="00170774"/>
    <w:rsid w:val="00170827"/>
    <w:rsid w:val="00171044"/>
    <w:rsid w:val="00171934"/>
    <w:rsid w:val="001721F4"/>
    <w:rsid w:val="0017225A"/>
    <w:rsid w:val="001726CE"/>
    <w:rsid w:val="001737BD"/>
    <w:rsid w:val="00175A33"/>
    <w:rsid w:val="00176236"/>
    <w:rsid w:val="00176489"/>
    <w:rsid w:val="00177165"/>
    <w:rsid w:val="0017719A"/>
    <w:rsid w:val="0017731C"/>
    <w:rsid w:val="00177575"/>
    <w:rsid w:val="0018008E"/>
    <w:rsid w:val="00180640"/>
    <w:rsid w:val="00180730"/>
    <w:rsid w:val="0018233A"/>
    <w:rsid w:val="001837B7"/>
    <w:rsid w:val="00183E67"/>
    <w:rsid w:val="001843D7"/>
    <w:rsid w:val="00184747"/>
    <w:rsid w:val="00184CB9"/>
    <w:rsid w:val="00185DF7"/>
    <w:rsid w:val="00185E1B"/>
    <w:rsid w:val="00186021"/>
    <w:rsid w:val="00186217"/>
    <w:rsid w:val="00187C0B"/>
    <w:rsid w:val="00190B08"/>
    <w:rsid w:val="00190CFD"/>
    <w:rsid w:val="00190EA4"/>
    <w:rsid w:val="00191F9D"/>
    <w:rsid w:val="00192486"/>
    <w:rsid w:val="00192D2F"/>
    <w:rsid w:val="00192E97"/>
    <w:rsid w:val="00193B3B"/>
    <w:rsid w:val="00193E20"/>
    <w:rsid w:val="001948C6"/>
    <w:rsid w:val="00194E9B"/>
    <w:rsid w:val="001950A3"/>
    <w:rsid w:val="00195B9C"/>
    <w:rsid w:val="00195F2B"/>
    <w:rsid w:val="00197785"/>
    <w:rsid w:val="001A003A"/>
    <w:rsid w:val="001A03A9"/>
    <w:rsid w:val="001A0FFB"/>
    <w:rsid w:val="001A1507"/>
    <w:rsid w:val="001A2FB7"/>
    <w:rsid w:val="001A312C"/>
    <w:rsid w:val="001A31D6"/>
    <w:rsid w:val="001A3B35"/>
    <w:rsid w:val="001A3C95"/>
    <w:rsid w:val="001A3DCB"/>
    <w:rsid w:val="001A4563"/>
    <w:rsid w:val="001A58EE"/>
    <w:rsid w:val="001A5E40"/>
    <w:rsid w:val="001A5F9E"/>
    <w:rsid w:val="001A6BE2"/>
    <w:rsid w:val="001A6CDE"/>
    <w:rsid w:val="001A6D5C"/>
    <w:rsid w:val="001A731B"/>
    <w:rsid w:val="001A75D1"/>
    <w:rsid w:val="001B0EA5"/>
    <w:rsid w:val="001B1421"/>
    <w:rsid w:val="001B1D56"/>
    <w:rsid w:val="001B2636"/>
    <w:rsid w:val="001B2E81"/>
    <w:rsid w:val="001B3C48"/>
    <w:rsid w:val="001B424A"/>
    <w:rsid w:val="001B4967"/>
    <w:rsid w:val="001B4B6C"/>
    <w:rsid w:val="001B5DE1"/>
    <w:rsid w:val="001B64BA"/>
    <w:rsid w:val="001B7071"/>
    <w:rsid w:val="001B7840"/>
    <w:rsid w:val="001B7A75"/>
    <w:rsid w:val="001C0667"/>
    <w:rsid w:val="001C253D"/>
    <w:rsid w:val="001C3CFA"/>
    <w:rsid w:val="001C3D35"/>
    <w:rsid w:val="001C3DA4"/>
    <w:rsid w:val="001C3E39"/>
    <w:rsid w:val="001C41DA"/>
    <w:rsid w:val="001C45C9"/>
    <w:rsid w:val="001C4929"/>
    <w:rsid w:val="001C5466"/>
    <w:rsid w:val="001C5E3E"/>
    <w:rsid w:val="001C5EF6"/>
    <w:rsid w:val="001C7CED"/>
    <w:rsid w:val="001D01F1"/>
    <w:rsid w:val="001D07B7"/>
    <w:rsid w:val="001D19AF"/>
    <w:rsid w:val="001D2A21"/>
    <w:rsid w:val="001D3FE4"/>
    <w:rsid w:val="001D402F"/>
    <w:rsid w:val="001D4290"/>
    <w:rsid w:val="001D4A78"/>
    <w:rsid w:val="001D6023"/>
    <w:rsid w:val="001D7A75"/>
    <w:rsid w:val="001E011A"/>
    <w:rsid w:val="001E031B"/>
    <w:rsid w:val="001E0379"/>
    <w:rsid w:val="001E0780"/>
    <w:rsid w:val="001E14CC"/>
    <w:rsid w:val="001E154A"/>
    <w:rsid w:val="001E164E"/>
    <w:rsid w:val="001E2396"/>
    <w:rsid w:val="001E265E"/>
    <w:rsid w:val="001E27B2"/>
    <w:rsid w:val="001E2CF5"/>
    <w:rsid w:val="001E48E1"/>
    <w:rsid w:val="001E499D"/>
    <w:rsid w:val="001E6A28"/>
    <w:rsid w:val="001E6E9E"/>
    <w:rsid w:val="001E7305"/>
    <w:rsid w:val="001E78A5"/>
    <w:rsid w:val="001E7CC3"/>
    <w:rsid w:val="001F0304"/>
    <w:rsid w:val="001F0468"/>
    <w:rsid w:val="001F0485"/>
    <w:rsid w:val="001F06FC"/>
    <w:rsid w:val="001F11C4"/>
    <w:rsid w:val="001F16BC"/>
    <w:rsid w:val="001F1D51"/>
    <w:rsid w:val="001F3B8C"/>
    <w:rsid w:val="001F4397"/>
    <w:rsid w:val="001F48E7"/>
    <w:rsid w:val="001F5CC7"/>
    <w:rsid w:val="001F67D7"/>
    <w:rsid w:val="001F697C"/>
    <w:rsid w:val="001F7705"/>
    <w:rsid w:val="00200403"/>
    <w:rsid w:val="002011B2"/>
    <w:rsid w:val="0020170A"/>
    <w:rsid w:val="00201F69"/>
    <w:rsid w:val="00202576"/>
    <w:rsid w:val="00202FD2"/>
    <w:rsid w:val="00203564"/>
    <w:rsid w:val="00204020"/>
    <w:rsid w:val="00204525"/>
    <w:rsid w:val="002050B2"/>
    <w:rsid w:val="00205930"/>
    <w:rsid w:val="00206C9E"/>
    <w:rsid w:val="00207323"/>
    <w:rsid w:val="00207F4B"/>
    <w:rsid w:val="002100EA"/>
    <w:rsid w:val="002108A9"/>
    <w:rsid w:val="00211B13"/>
    <w:rsid w:val="00212543"/>
    <w:rsid w:val="002129AD"/>
    <w:rsid w:val="002131C7"/>
    <w:rsid w:val="0021339D"/>
    <w:rsid w:val="00213AF2"/>
    <w:rsid w:val="00213D8F"/>
    <w:rsid w:val="00213F7E"/>
    <w:rsid w:val="00215461"/>
    <w:rsid w:val="0021567D"/>
    <w:rsid w:val="002160EF"/>
    <w:rsid w:val="0021669A"/>
    <w:rsid w:val="002167F4"/>
    <w:rsid w:val="00220440"/>
    <w:rsid w:val="0022109A"/>
    <w:rsid w:val="00221C81"/>
    <w:rsid w:val="00222577"/>
    <w:rsid w:val="002234D7"/>
    <w:rsid w:val="0022453E"/>
    <w:rsid w:val="0022467B"/>
    <w:rsid w:val="00225DE5"/>
    <w:rsid w:val="002270F4"/>
    <w:rsid w:val="0023045D"/>
    <w:rsid w:val="002308C9"/>
    <w:rsid w:val="00231186"/>
    <w:rsid w:val="00231C67"/>
    <w:rsid w:val="00231EB9"/>
    <w:rsid w:val="00232624"/>
    <w:rsid w:val="00232E01"/>
    <w:rsid w:val="00232FA8"/>
    <w:rsid w:val="0023454C"/>
    <w:rsid w:val="00234C0B"/>
    <w:rsid w:val="00235E57"/>
    <w:rsid w:val="00236708"/>
    <w:rsid w:val="00236AF7"/>
    <w:rsid w:val="00236BC5"/>
    <w:rsid w:val="00236F5D"/>
    <w:rsid w:val="0023736C"/>
    <w:rsid w:val="00237B1A"/>
    <w:rsid w:val="00240BA4"/>
    <w:rsid w:val="002426B4"/>
    <w:rsid w:val="00242919"/>
    <w:rsid w:val="002429A0"/>
    <w:rsid w:val="00242DC8"/>
    <w:rsid w:val="00242FE1"/>
    <w:rsid w:val="00243C8A"/>
    <w:rsid w:val="00244381"/>
    <w:rsid w:val="0024449A"/>
    <w:rsid w:val="002444B0"/>
    <w:rsid w:val="002456B2"/>
    <w:rsid w:val="00245A9B"/>
    <w:rsid w:val="0024608F"/>
    <w:rsid w:val="002461CE"/>
    <w:rsid w:val="002463F0"/>
    <w:rsid w:val="002468CC"/>
    <w:rsid w:val="00250CD5"/>
    <w:rsid w:val="00251942"/>
    <w:rsid w:val="00251F8B"/>
    <w:rsid w:val="002533CC"/>
    <w:rsid w:val="00253CE7"/>
    <w:rsid w:val="00253EEC"/>
    <w:rsid w:val="00254F44"/>
    <w:rsid w:val="00255E69"/>
    <w:rsid w:val="0025676E"/>
    <w:rsid w:val="0025697D"/>
    <w:rsid w:val="00256C11"/>
    <w:rsid w:val="00260617"/>
    <w:rsid w:val="00260D83"/>
    <w:rsid w:val="00261ECB"/>
    <w:rsid w:val="00262EF3"/>
    <w:rsid w:val="00262F88"/>
    <w:rsid w:val="00263EDC"/>
    <w:rsid w:val="002640C9"/>
    <w:rsid w:val="002646DD"/>
    <w:rsid w:val="0026474B"/>
    <w:rsid w:val="00264C4A"/>
    <w:rsid w:val="00264FE1"/>
    <w:rsid w:val="002650A9"/>
    <w:rsid w:val="00265308"/>
    <w:rsid w:val="00265451"/>
    <w:rsid w:val="002663A3"/>
    <w:rsid w:val="00266598"/>
    <w:rsid w:val="0026674C"/>
    <w:rsid w:val="00266995"/>
    <w:rsid w:val="00270580"/>
    <w:rsid w:val="002705D7"/>
    <w:rsid w:val="00270C88"/>
    <w:rsid w:val="002712F2"/>
    <w:rsid w:val="002715BE"/>
    <w:rsid w:val="00271F9D"/>
    <w:rsid w:val="002725EE"/>
    <w:rsid w:val="002728E5"/>
    <w:rsid w:val="002729E3"/>
    <w:rsid w:val="00273DC6"/>
    <w:rsid w:val="002746C0"/>
    <w:rsid w:val="00276423"/>
    <w:rsid w:val="002767E8"/>
    <w:rsid w:val="00276E75"/>
    <w:rsid w:val="00277B3E"/>
    <w:rsid w:val="00280261"/>
    <w:rsid w:val="00280CB3"/>
    <w:rsid w:val="002814DE"/>
    <w:rsid w:val="0028187B"/>
    <w:rsid w:val="00282350"/>
    <w:rsid w:val="00283273"/>
    <w:rsid w:val="00284C65"/>
    <w:rsid w:val="00285830"/>
    <w:rsid w:val="00285C38"/>
    <w:rsid w:val="00290169"/>
    <w:rsid w:val="00290650"/>
    <w:rsid w:val="0029091E"/>
    <w:rsid w:val="00290B14"/>
    <w:rsid w:val="00290DC5"/>
    <w:rsid w:val="0029143C"/>
    <w:rsid w:val="00291473"/>
    <w:rsid w:val="00291508"/>
    <w:rsid w:val="002915F3"/>
    <w:rsid w:val="002916D2"/>
    <w:rsid w:val="0029175F"/>
    <w:rsid w:val="002919BF"/>
    <w:rsid w:val="00292249"/>
    <w:rsid w:val="0029273C"/>
    <w:rsid w:val="00292893"/>
    <w:rsid w:val="00292A7E"/>
    <w:rsid w:val="002930E9"/>
    <w:rsid w:val="0029340C"/>
    <w:rsid w:val="002936A4"/>
    <w:rsid w:val="00294EB2"/>
    <w:rsid w:val="0029527E"/>
    <w:rsid w:val="002957C9"/>
    <w:rsid w:val="002960DB"/>
    <w:rsid w:val="00296820"/>
    <w:rsid w:val="00296AF5"/>
    <w:rsid w:val="00296CB3"/>
    <w:rsid w:val="00296D4C"/>
    <w:rsid w:val="0029710D"/>
    <w:rsid w:val="002978BC"/>
    <w:rsid w:val="00297AD4"/>
    <w:rsid w:val="00297B45"/>
    <w:rsid w:val="00297F33"/>
    <w:rsid w:val="00297FB0"/>
    <w:rsid w:val="002A05D1"/>
    <w:rsid w:val="002A08D5"/>
    <w:rsid w:val="002A0C7D"/>
    <w:rsid w:val="002A1937"/>
    <w:rsid w:val="002A22A3"/>
    <w:rsid w:val="002A3707"/>
    <w:rsid w:val="002A3711"/>
    <w:rsid w:val="002A3B4A"/>
    <w:rsid w:val="002A4396"/>
    <w:rsid w:val="002A7617"/>
    <w:rsid w:val="002A772A"/>
    <w:rsid w:val="002B24A5"/>
    <w:rsid w:val="002B2AAC"/>
    <w:rsid w:val="002B32CD"/>
    <w:rsid w:val="002B3519"/>
    <w:rsid w:val="002B3887"/>
    <w:rsid w:val="002B418E"/>
    <w:rsid w:val="002B428C"/>
    <w:rsid w:val="002B4492"/>
    <w:rsid w:val="002B4BEC"/>
    <w:rsid w:val="002B511D"/>
    <w:rsid w:val="002B5285"/>
    <w:rsid w:val="002B54A2"/>
    <w:rsid w:val="002B6020"/>
    <w:rsid w:val="002B6255"/>
    <w:rsid w:val="002B67BF"/>
    <w:rsid w:val="002B69EF"/>
    <w:rsid w:val="002B721D"/>
    <w:rsid w:val="002B7808"/>
    <w:rsid w:val="002C00D8"/>
    <w:rsid w:val="002C0105"/>
    <w:rsid w:val="002C204A"/>
    <w:rsid w:val="002C23EC"/>
    <w:rsid w:val="002C2D01"/>
    <w:rsid w:val="002C3028"/>
    <w:rsid w:val="002C4955"/>
    <w:rsid w:val="002C4C2C"/>
    <w:rsid w:val="002C5D84"/>
    <w:rsid w:val="002C5F7A"/>
    <w:rsid w:val="002C6E61"/>
    <w:rsid w:val="002C7432"/>
    <w:rsid w:val="002C794F"/>
    <w:rsid w:val="002C7A15"/>
    <w:rsid w:val="002C7AA7"/>
    <w:rsid w:val="002C7E38"/>
    <w:rsid w:val="002D0016"/>
    <w:rsid w:val="002D0496"/>
    <w:rsid w:val="002D0CB0"/>
    <w:rsid w:val="002D172C"/>
    <w:rsid w:val="002D1ACD"/>
    <w:rsid w:val="002D1B34"/>
    <w:rsid w:val="002D2552"/>
    <w:rsid w:val="002D2B71"/>
    <w:rsid w:val="002D3080"/>
    <w:rsid w:val="002D3A1F"/>
    <w:rsid w:val="002D3F55"/>
    <w:rsid w:val="002D49FE"/>
    <w:rsid w:val="002D510C"/>
    <w:rsid w:val="002D534E"/>
    <w:rsid w:val="002D6959"/>
    <w:rsid w:val="002D75F4"/>
    <w:rsid w:val="002D7A5B"/>
    <w:rsid w:val="002E025E"/>
    <w:rsid w:val="002E08F8"/>
    <w:rsid w:val="002E0D32"/>
    <w:rsid w:val="002E0F4E"/>
    <w:rsid w:val="002E24C1"/>
    <w:rsid w:val="002E270D"/>
    <w:rsid w:val="002E2800"/>
    <w:rsid w:val="002E28D1"/>
    <w:rsid w:val="002E55D8"/>
    <w:rsid w:val="002E575F"/>
    <w:rsid w:val="002E6647"/>
    <w:rsid w:val="002E6857"/>
    <w:rsid w:val="002E71F7"/>
    <w:rsid w:val="002E77AD"/>
    <w:rsid w:val="002E7B8B"/>
    <w:rsid w:val="002E7CDB"/>
    <w:rsid w:val="002E7E8C"/>
    <w:rsid w:val="002F1343"/>
    <w:rsid w:val="002F2275"/>
    <w:rsid w:val="002F2BB0"/>
    <w:rsid w:val="002F3652"/>
    <w:rsid w:val="002F3BFC"/>
    <w:rsid w:val="002F3C34"/>
    <w:rsid w:val="002F3D0C"/>
    <w:rsid w:val="002F3D7E"/>
    <w:rsid w:val="002F457A"/>
    <w:rsid w:val="002F53BC"/>
    <w:rsid w:val="002F6282"/>
    <w:rsid w:val="002F69B9"/>
    <w:rsid w:val="002F6CD4"/>
    <w:rsid w:val="002F741E"/>
    <w:rsid w:val="002F78E7"/>
    <w:rsid w:val="002F7978"/>
    <w:rsid w:val="00301273"/>
    <w:rsid w:val="00302BC9"/>
    <w:rsid w:val="0030323F"/>
    <w:rsid w:val="00303A5E"/>
    <w:rsid w:val="00303BB2"/>
    <w:rsid w:val="0030408B"/>
    <w:rsid w:val="00304114"/>
    <w:rsid w:val="0030427C"/>
    <w:rsid w:val="00304457"/>
    <w:rsid w:val="00305468"/>
    <w:rsid w:val="00305483"/>
    <w:rsid w:val="00305783"/>
    <w:rsid w:val="0030580E"/>
    <w:rsid w:val="00305BD7"/>
    <w:rsid w:val="00305CED"/>
    <w:rsid w:val="00305F9A"/>
    <w:rsid w:val="00306510"/>
    <w:rsid w:val="00306E4F"/>
    <w:rsid w:val="00306F8B"/>
    <w:rsid w:val="00307599"/>
    <w:rsid w:val="00307A63"/>
    <w:rsid w:val="003100B2"/>
    <w:rsid w:val="00310A2C"/>
    <w:rsid w:val="00310B4D"/>
    <w:rsid w:val="00310BCF"/>
    <w:rsid w:val="003129F3"/>
    <w:rsid w:val="00312DF8"/>
    <w:rsid w:val="0031328B"/>
    <w:rsid w:val="003140C9"/>
    <w:rsid w:val="00314581"/>
    <w:rsid w:val="00314A9B"/>
    <w:rsid w:val="003161D8"/>
    <w:rsid w:val="00316DE4"/>
    <w:rsid w:val="003206BC"/>
    <w:rsid w:val="003216BB"/>
    <w:rsid w:val="00321C96"/>
    <w:rsid w:val="00322168"/>
    <w:rsid w:val="003231CF"/>
    <w:rsid w:val="003234AE"/>
    <w:rsid w:val="003234F8"/>
    <w:rsid w:val="0032367B"/>
    <w:rsid w:val="00323F39"/>
    <w:rsid w:val="0032688B"/>
    <w:rsid w:val="00326A09"/>
    <w:rsid w:val="00326FD4"/>
    <w:rsid w:val="00327061"/>
    <w:rsid w:val="0032713C"/>
    <w:rsid w:val="0032724A"/>
    <w:rsid w:val="003309B0"/>
    <w:rsid w:val="00330FCC"/>
    <w:rsid w:val="00331473"/>
    <w:rsid w:val="003327BD"/>
    <w:rsid w:val="00333003"/>
    <w:rsid w:val="0033302C"/>
    <w:rsid w:val="00333601"/>
    <w:rsid w:val="0033387B"/>
    <w:rsid w:val="003339CF"/>
    <w:rsid w:val="00333C37"/>
    <w:rsid w:val="00333FAE"/>
    <w:rsid w:val="003344E4"/>
    <w:rsid w:val="003368DA"/>
    <w:rsid w:val="00336C2B"/>
    <w:rsid w:val="003374D9"/>
    <w:rsid w:val="00337571"/>
    <w:rsid w:val="00337F34"/>
    <w:rsid w:val="00340988"/>
    <w:rsid w:val="00340991"/>
    <w:rsid w:val="00340B89"/>
    <w:rsid w:val="00341B4E"/>
    <w:rsid w:val="00341B5A"/>
    <w:rsid w:val="00341CC9"/>
    <w:rsid w:val="00342F8C"/>
    <w:rsid w:val="003430E6"/>
    <w:rsid w:val="00343B8F"/>
    <w:rsid w:val="00344B26"/>
    <w:rsid w:val="00345421"/>
    <w:rsid w:val="003454CA"/>
    <w:rsid w:val="0034584B"/>
    <w:rsid w:val="00346237"/>
    <w:rsid w:val="00346600"/>
    <w:rsid w:val="00346694"/>
    <w:rsid w:val="00346EB4"/>
    <w:rsid w:val="00347461"/>
    <w:rsid w:val="00347A82"/>
    <w:rsid w:val="00347F84"/>
    <w:rsid w:val="00347F9D"/>
    <w:rsid w:val="00350ADB"/>
    <w:rsid w:val="003510DB"/>
    <w:rsid w:val="00351389"/>
    <w:rsid w:val="00351900"/>
    <w:rsid w:val="00351FA4"/>
    <w:rsid w:val="003524EC"/>
    <w:rsid w:val="003526FC"/>
    <w:rsid w:val="00352979"/>
    <w:rsid w:val="00352A81"/>
    <w:rsid w:val="003532EA"/>
    <w:rsid w:val="003541C6"/>
    <w:rsid w:val="00354369"/>
    <w:rsid w:val="003557BA"/>
    <w:rsid w:val="00355CFA"/>
    <w:rsid w:val="00355E58"/>
    <w:rsid w:val="00356DD9"/>
    <w:rsid w:val="00360833"/>
    <w:rsid w:val="00360FC7"/>
    <w:rsid w:val="00361871"/>
    <w:rsid w:val="00361C9A"/>
    <w:rsid w:val="003628D6"/>
    <w:rsid w:val="003628E9"/>
    <w:rsid w:val="003630E1"/>
    <w:rsid w:val="00363A32"/>
    <w:rsid w:val="00363A9B"/>
    <w:rsid w:val="00363D91"/>
    <w:rsid w:val="00364331"/>
    <w:rsid w:val="003646FE"/>
    <w:rsid w:val="00364D8C"/>
    <w:rsid w:val="00364F95"/>
    <w:rsid w:val="003653B9"/>
    <w:rsid w:val="0036666F"/>
    <w:rsid w:val="00366AAD"/>
    <w:rsid w:val="00366B99"/>
    <w:rsid w:val="00366E2B"/>
    <w:rsid w:val="0037210F"/>
    <w:rsid w:val="00372F8F"/>
    <w:rsid w:val="0037355D"/>
    <w:rsid w:val="003739C7"/>
    <w:rsid w:val="003763E9"/>
    <w:rsid w:val="003764BC"/>
    <w:rsid w:val="003770AF"/>
    <w:rsid w:val="003773DE"/>
    <w:rsid w:val="003778C6"/>
    <w:rsid w:val="00377998"/>
    <w:rsid w:val="00377F58"/>
    <w:rsid w:val="0038028F"/>
    <w:rsid w:val="00380660"/>
    <w:rsid w:val="00380918"/>
    <w:rsid w:val="00380D7B"/>
    <w:rsid w:val="003816A3"/>
    <w:rsid w:val="0038203B"/>
    <w:rsid w:val="0038210C"/>
    <w:rsid w:val="003822AF"/>
    <w:rsid w:val="00382AA2"/>
    <w:rsid w:val="00383158"/>
    <w:rsid w:val="00384019"/>
    <w:rsid w:val="0038463E"/>
    <w:rsid w:val="003852D0"/>
    <w:rsid w:val="00385FE8"/>
    <w:rsid w:val="0038659A"/>
    <w:rsid w:val="003872AA"/>
    <w:rsid w:val="0038783A"/>
    <w:rsid w:val="0039023E"/>
    <w:rsid w:val="00390372"/>
    <w:rsid w:val="003905AD"/>
    <w:rsid w:val="00391133"/>
    <w:rsid w:val="003912C1"/>
    <w:rsid w:val="003912CB"/>
    <w:rsid w:val="003923CF"/>
    <w:rsid w:val="00393F31"/>
    <w:rsid w:val="003947EE"/>
    <w:rsid w:val="0039485A"/>
    <w:rsid w:val="00396A98"/>
    <w:rsid w:val="00397738"/>
    <w:rsid w:val="003A0093"/>
    <w:rsid w:val="003A0C96"/>
    <w:rsid w:val="003A12E6"/>
    <w:rsid w:val="003A1528"/>
    <w:rsid w:val="003A1B6A"/>
    <w:rsid w:val="003A1BE8"/>
    <w:rsid w:val="003A1FF1"/>
    <w:rsid w:val="003A214C"/>
    <w:rsid w:val="003A2454"/>
    <w:rsid w:val="003A3E76"/>
    <w:rsid w:val="003A5D96"/>
    <w:rsid w:val="003A76F6"/>
    <w:rsid w:val="003B048F"/>
    <w:rsid w:val="003B0591"/>
    <w:rsid w:val="003B0C8C"/>
    <w:rsid w:val="003B1B5D"/>
    <w:rsid w:val="003B1E12"/>
    <w:rsid w:val="003B20DD"/>
    <w:rsid w:val="003B2E76"/>
    <w:rsid w:val="003B35B0"/>
    <w:rsid w:val="003B3C6C"/>
    <w:rsid w:val="003B40F2"/>
    <w:rsid w:val="003B4397"/>
    <w:rsid w:val="003B43A9"/>
    <w:rsid w:val="003B46B0"/>
    <w:rsid w:val="003B4D2C"/>
    <w:rsid w:val="003B5F85"/>
    <w:rsid w:val="003B5FC9"/>
    <w:rsid w:val="003B643D"/>
    <w:rsid w:val="003B68E0"/>
    <w:rsid w:val="003B7AC1"/>
    <w:rsid w:val="003C0298"/>
    <w:rsid w:val="003C1ACB"/>
    <w:rsid w:val="003C22D5"/>
    <w:rsid w:val="003C28AA"/>
    <w:rsid w:val="003C2959"/>
    <w:rsid w:val="003C3398"/>
    <w:rsid w:val="003C3546"/>
    <w:rsid w:val="003C401D"/>
    <w:rsid w:val="003C440D"/>
    <w:rsid w:val="003C4B2C"/>
    <w:rsid w:val="003C4CCF"/>
    <w:rsid w:val="003C5A3F"/>
    <w:rsid w:val="003C677F"/>
    <w:rsid w:val="003C6C47"/>
    <w:rsid w:val="003C706D"/>
    <w:rsid w:val="003C71F2"/>
    <w:rsid w:val="003C7339"/>
    <w:rsid w:val="003C7E1D"/>
    <w:rsid w:val="003D04C9"/>
    <w:rsid w:val="003D0A74"/>
    <w:rsid w:val="003D0C59"/>
    <w:rsid w:val="003D2012"/>
    <w:rsid w:val="003D2709"/>
    <w:rsid w:val="003D2B41"/>
    <w:rsid w:val="003D2CB1"/>
    <w:rsid w:val="003D2E70"/>
    <w:rsid w:val="003D3554"/>
    <w:rsid w:val="003D35E3"/>
    <w:rsid w:val="003D3AF2"/>
    <w:rsid w:val="003D4423"/>
    <w:rsid w:val="003D45D4"/>
    <w:rsid w:val="003D4D81"/>
    <w:rsid w:val="003D4E56"/>
    <w:rsid w:val="003D5065"/>
    <w:rsid w:val="003D5B59"/>
    <w:rsid w:val="003D71AB"/>
    <w:rsid w:val="003D7268"/>
    <w:rsid w:val="003D7377"/>
    <w:rsid w:val="003D770C"/>
    <w:rsid w:val="003D7D6C"/>
    <w:rsid w:val="003D7F11"/>
    <w:rsid w:val="003E03DF"/>
    <w:rsid w:val="003E072D"/>
    <w:rsid w:val="003E07AF"/>
    <w:rsid w:val="003E0FBD"/>
    <w:rsid w:val="003E2BC7"/>
    <w:rsid w:val="003E2D24"/>
    <w:rsid w:val="003E321B"/>
    <w:rsid w:val="003E340A"/>
    <w:rsid w:val="003E3C59"/>
    <w:rsid w:val="003E401B"/>
    <w:rsid w:val="003E4E85"/>
    <w:rsid w:val="003E52F6"/>
    <w:rsid w:val="003E5D4C"/>
    <w:rsid w:val="003E70C9"/>
    <w:rsid w:val="003E7218"/>
    <w:rsid w:val="003E73BA"/>
    <w:rsid w:val="003E77FB"/>
    <w:rsid w:val="003E7C6E"/>
    <w:rsid w:val="003F015C"/>
    <w:rsid w:val="003F09EC"/>
    <w:rsid w:val="003F1838"/>
    <w:rsid w:val="003F1D16"/>
    <w:rsid w:val="003F1FC6"/>
    <w:rsid w:val="003F3043"/>
    <w:rsid w:val="003F343D"/>
    <w:rsid w:val="003F3BCA"/>
    <w:rsid w:val="003F48BA"/>
    <w:rsid w:val="003F5871"/>
    <w:rsid w:val="003F601D"/>
    <w:rsid w:val="003F6318"/>
    <w:rsid w:val="003F68A5"/>
    <w:rsid w:val="003F691E"/>
    <w:rsid w:val="003F6A69"/>
    <w:rsid w:val="003F6D7E"/>
    <w:rsid w:val="003F6E88"/>
    <w:rsid w:val="003F79DF"/>
    <w:rsid w:val="0040045D"/>
    <w:rsid w:val="0040241B"/>
    <w:rsid w:val="00402855"/>
    <w:rsid w:val="00402B20"/>
    <w:rsid w:val="00403D11"/>
    <w:rsid w:val="00404617"/>
    <w:rsid w:val="0040495A"/>
    <w:rsid w:val="00404F68"/>
    <w:rsid w:val="004058E9"/>
    <w:rsid w:val="0040628F"/>
    <w:rsid w:val="00406372"/>
    <w:rsid w:val="00410D97"/>
    <w:rsid w:val="0041114B"/>
    <w:rsid w:val="00411958"/>
    <w:rsid w:val="004119D6"/>
    <w:rsid w:val="00412085"/>
    <w:rsid w:val="0041266D"/>
    <w:rsid w:val="00412958"/>
    <w:rsid w:val="00412F38"/>
    <w:rsid w:val="0041390D"/>
    <w:rsid w:val="00413CBF"/>
    <w:rsid w:val="00413ED1"/>
    <w:rsid w:val="004142FE"/>
    <w:rsid w:val="0041484F"/>
    <w:rsid w:val="0041500C"/>
    <w:rsid w:val="00415036"/>
    <w:rsid w:val="00415AFC"/>
    <w:rsid w:val="00415DED"/>
    <w:rsid w:val="00416A09"/>
    <w:rsid w:val="00417138"/>
    <w:rsid w:val="00417690"/>
    <w:rsid w:val="004176E6"/>
    <w:rsid w:val="0041797C"/>
    <w:rsid w:val="00417F8E"/>
    <w:rsid w:val="00420A95"/>
    <w:rsid w:val="004225B9"/>
    <w:rsid w:val="004226FA"/>
    <w:rsid w:val="00423E21"/>
    <w:rsid w:val="0042480C"/>
    <w:rsid w:val="004248E3"/>
    <w:rsid w:val="00424FD5"/>
    <w:rsid w:val="004251D8"/>
    <w:rsid w:val="0042524D"/>
    <w:rsid w:val="00426303"/>
    <w:rsid w:val="004266D7"/>
    <w:rsid w:val="004304F1"/>
    <w:rsid w:val="004311E5"/>
    <w:rsid w:val="00433448"/>
    <w:rsid w:val="004338AC"/>
    <w:rsid w:val="00433B0D"/>
    <w:rsid w:val="00433E17"/>
    <w:rsid w:val="0043452F"/>
    <w:rsid w:val="00434A3B"/>
    <w:rsid w:val="00435C5F"/>
    <w:rsid w:val="00435D55"/>
    <w:rsid w:val="00436686"/>
    <w:rsid w:val="00437A23"/>
    <w:rsid w:val="0044096C"/>
    <w:rsid w:val="0044218B"/>
    <w:rsid w:val="004421D5"/>
    <w:rsid w:val="00442AD0"/>
    <w:rsid w:val="0044318B"/>
    <w:rsid w:val="004433CA"/>
    <w:rsid w:val="004435AC"/>
    <w:rsid w:val="00443AE2"/>
    <w:rsid w:val="004444AF"/>
    <w:rsid w:val="00444E44"/>
    <w:rsid w:val="00444F3C"/>
    <w:rsid w:val="00445064"/>
    <w:rsid w:val="004452DF"/>
    <w:rsid w:val="004460DF"/>
    <w:rsid w:val="00446568"/>
    <w:rsid w:val="004470AE"/>
    <w:rsid w:val="004478EA"/>
    <w:rsid w:val="00447986"/>
    <w:rsid w:val="00447B3B"/>
    <w:rsid w:val="00447E94"/>
    <w:rsid w:val="0045055F"/>
    <w:rsid w:val="00451179"/>
    <w:rsid w:val="004513BA"/>
    <w:rsid w:val="00451461"/>
    <w:rsid w:val="004516B8"/>
    <w:rsid w:val="00452508"/>
    <w:rsid w:val="00452540"/>
    <w:rsid w:val="00452835"/>
    <w:rsid w:val="00452CDB"/>
    <w:rsid w:val="00452EFD"/>
    <w:rsid w:val="00453CAC"/>
    <w:rsid w:val="00453E73"/>
    <w:rsid w:val="004544EA"/>
    <w:rsid w:val="0045497A"/>
    <w:rsid w:val="00454B6B"/>
    <w:rsid w:val="0045563B"/>
    <w:rsid w:val="00455771"/>
    <w:rsid w:val="00455E11"/>
    <w:rsid w:val="0045624F"/>
    <w:rsid w:val="004567BD"/>
    <w:rsid w:val="0045710B"/>
    <w:rsid w:val="004603D0"/>
    <w:rsid w:val="0046077E"/>
    <w:rsid w:val="00460BB1"/>
    <w:rsid w:val="00460C72"/>
    <w:rsid w:val="00460E0A"/>
    <w:rsid w:val="0046184A"/>
    <w:rsid w:val="00462D95"/>
    <w:rsid w:val="00462F10"/>
    <w:rsid w:val="004640F7"/>
    <w:rsid w:val="004643E3"/>
    <w:rsid w:val="004644A1"/>
    <w:rsid w:val="00464FFC"/>
    <w:rsid w:val="00465BB2"/>
    <w:rsid w:val="004664FB"/>
    <w:rsid w:val="00467F67"/>
    <w:rsid w:val="004700DF"/>
    <w:rsid w:val="00470486"/>
    <w:rsid w:val="004706A2"/>
    <w:rsid w:val="00470B7C"/>
    <w:rsid w:val="00471225"/>
    <w:rsid w:val="00471B41"/>
    <w:rsid w:val="004728D1"/>
    <w:rsid w:val="00473652"/>
    <w:rsid w:val="00473CC4"/>
    <w:rsid w:val="004744BF"/>
    <w:rsid w:val="00474A70"/>
    <w:rsid w:val="00474F6A"/>
    <w:rsid w:val="004760D3"/>
    <w:rsid w:val="00476284"/>
    <w:rsid w:val="00476A24"/>
    <w:rsid w:val="00476AA0"/>
    <w:rsid w:val="00476B0B"/>
    <w:rsid w:val="00476D28"/>
    <w:rsid w:val="00477168"/>
    <w:rsid w:val="0047760E"/>
    <w:rsid w:val="0047790A"/>
    <w:rsid w:val="00477F16"/>
    <w:rsid w:val="00482277"/>
    <w:rsid w:val="004827C0"/>
    <w:rsid w:val="004827D2"/>
    <w:rsid w:val="00482ED0"/>
    <w:rsid w:val="00483552"/>
    <w:rsid w:val="00483E87"/>
    <w:rsid w:val="00484E55"/>
    <w:rsid w:val="0048508F"/>
    <w:rsid w:val="00485406"/>
    <w:rsid w:val="004855D4"/>
    <w:rsid w:val="004856F8"/>
    <w:rsid w:val="00485811"/>
    <w:rsid w:val="00486690"/>
    <w:rsid w:val="0048725F"/>
    <w:rsid w:val="00487836"/>
    <w:rsid w:val="00487A63"/>
    <w:rsid w:val="00490DE5"/>
    <w:rsid w:val="00490F01"/>
    <w:rsid w:val="00491917"/>
    <w:rsid w:val="00492D7B"/>
    <w:rsid w:val="00493246"/>
    <w:rsid w:val="00493947"/>
    <w:rsid w:val="0049582C"/>
    <w:rsid w:val="0049599E"/>
    <w:rsid w:val="00495C7E"/>
    <w:rsid w:val="004965F3"/>
    <w:rsid w:val="00496682"/>
    <w:rsid w:val="004976CC"/>
    <w:rsid w:val="00497986"/>
    <w:rsid w:val="004A04BA"/>
    <w:rsid w:val="004A1CAE"/>
    <w:rsid w:val="004A22E4"/>
    <w:rsid w:val="004A4B9D"/>
    <w:rsid w:val="004A7E25"/>
    <w:rsid w:val="004A7F41"/>
    <w:rsid w:val="004B08DE"/>
    <w:rsid w:val="004B0A08"/>
    <w:rsid w:val="004B0ACF"/>
    <w:rsid w:val="004B0B8D"/>
    <w:rsid w:val="004B0FCD"/>
    <w:rsid w:val="004B10D0"/>
    <w:rsid w:val="004B2A12"/>
    <w:rsid w:val="004B2F71"/>
    <w:rsid w:val="004B326D"/>
    <w:rsid w:val="004B3422"/>
    <w:rsid w:val="004B41A7"/>
    <w:rsid w:val="004B4970"/>
    <w:rsid w:val="004B4BEB"/>
    <w:rsid w:val="004B5799"/>
    <w:rsid w:val="004B59E0"/>
    <w:rsid w:val="004B75D1"/>
    <w:rsid w:val="004B7987"/>
    <w:rsid w:val="004C05B7"/>
    <w:rsid w:val="004C07B2"/>
    <w:rsid w:val="004C09C2"/>
    <w:rsid w:val="004C0A43"/>
    <w:rsid w:val="004C0ECB"/>
    <w:rsid w:val="004C0FD3"/>
    <w:rsid w:val="004C1173"/>
    <w:rsid w:val="004C1664"/>
    <w:rsid w:val="004C17A8"/>
    <w:rsid w:val="004C1A30"/>
    <w:rsid w:val="004C1A82"/>
    <w:rsid w:val="004C20FB"/>
    <w:rsid w:val="004C2E9D"/>
    <w:rsid w:val="004C34BF"/>
    <w:rsid w:val="004C3D8A"/>
    <w:rsid w:val="004C4B8D"/>
    <w:rsid w:val="004C53C0"/>
    <w:rsid w:val="004C6406"/>
    <w:rsid w:val="004C6A69"/>
    <w:rsid w:val="004C6F33"/>
    <w:rsid w:val="004C7014"/>
    <w:rsid w:val="004C7627"/>
    <w:rsid w:val="004C773F"/>
    <w:rsid w:val="004C7DDB"/>
    <w:rsid w:val="004D0210"/>
    <w:rsid w:val="004D1251"/>
    <w:rsid w:val="004D1386"/>
    <w:rsid w:val="004D20CD"/>
    <w:rsid w:val="004D20ED"/>
    <w:rsid w:val="004D3007"/>
    <w:rsid w:val="004D3328"/>
    <w:rsid w:val="004D4868"/>
    <w:rsid w:val="004D5420"/>
    <w:rsid w:val="004D67CE"/>
    <w:rsid w:val="004D7754"/>
    <w:rsid w:val="004D7EC5"/>
    <w:rsid w:val="004E02F9"/>
    <w:rsid w:val="004E0673"/>
    <w:rsid w:val="004E1294"/>
    <w:rsid w:val="004E1BB2"/>
    <w:rsid w:val="004E1C7E"/>
    <w:rsid w:val="004E1E86"/>
    <w:rsid w:val="004E20D4"/>
    <w:rsid w:val="004E2127"/>
    <w:rsid w:val="004E221A"/>
    <w:rsid w:val="004E24E0"/>
    <w:rsid w:val="004E2804"/>
    <w:rsid w:val="004E330E"/>
    <w:rsid w:val="004E40DE"/>
    <w:rsid w:val="004E44BB"/>
    <w:rsid w:val="004E4EF8"/>
    <w:rsid w:val="004E5065"/>
    <w:rsid w:val="004E5557"/>
    <w:rsid w:val="004E5643"/>
    <w:rsid w:val="004E56E5"/>
    <w:rsid w:val="004E6110"/>
    <w:rsid w:val="004E6194"/>
    <w:rsid w:val="004E779F"/>
    <w:rsid w:val="004E7A5B"/>
    <w:rsid w:val="004E7C5C"/>
    <w:rsid w:val="004F0FB4"/>
    <w:rsid w:val="004F1716"/>
    <w:rsid w:val="004F1D08"/>
    <w:rsid w:val="004F213B"/>
    <w:rsid w:val="004F2B61"/>
    <w:rsid w:val="004F2C2E"/>
    <w:rsid w:val="004F3483"/>
    <w:rsid w:val="004F3B66"/>
    <w:rsid w:val="004F493B"/>
    <w:rsid w:val="004F4AFB"/>
    <w:rsid w:val="004F504F"/>
    <w:rsid w:val="004F5224"/>
    <w:rsid w:val="004F5F07"/>
    <w:rsid w:val="004F64C5"/>
    <w:rsid w:val="004F69AD"/>
    <w:rsid w:val="004F6CAF"/>
    <w:rsid w:val="004F6D82"/>
    <w:rsid w:val="004F7654"/>
    <w:rsid w:val="00500655"/>
    <w:rsid w:val="00500995"/>
    <w:rsid w:val="0050151A"/>
    <w:rsid w:val="00501708"/>
    <w:rsid w:val="005018F5"/>
    <w:rsid w:val="00502673"/>
    <w:rsid w:val="00503EEF"/>
    <w:rsid w:val="005040D3"/>
    <w:rsid w:val="005046DF"/>
    <w:rsid w:val="005049B8"/>
    <w:rsid w:val="0050677D"/>
    <w:rsid w:val="0050795F"/>
    <w:rsid w:val="00510252"/>
    <w:rsid w:val="00511003"/>
    <w:rsid w:val="005116F6"/>
    <w:rsid w:val="00511B7D"/>
    <w:rsid w:val="00514CCC"/>
    <w:rsid w:val="00514D41"/>
    <w:rsid w:val="005152A8"/>
    <w:rsid w:val="0051567F"/>
    <w:rsid w:val="00515E0A"/>
    <w:rsid w:val="005164EE"/>
    <w:rsid w:val="005168D1"/>
    <w:rsid w:val="00516C56"/>
    <w:rsid w:val="0051714C"/>
    <w:rsid w:val="005205B3"/>
    <w:rsid w:val="00520762"/>
    <w:rsid w:val="00520A0A"/>
    <w:rsid w:val="00520D3F"/>
    <w:rsid w:val="00520E89"/>
    <w:rsid w:val="00520F10"/>
    <w:rsid w:val="005218AE"/>
    <w:rsid w:val="00521A59"/>
    <w:rsid w:val="00521BB5"/>
    <w:rsid w:val="00522980"/>
    <w:rsid w:val="00522A44"/>
    <w:rsid w:val="005252B0"/>
    <w:rsid w:val="00525F67"/>
    <w:rsid w:val="00525FFE"/>
    <w:rsid w:val="00526144"/>
    <w:rsid w:val="0052635A"/>
    <w:rsid w:val="00526566"/>
    <w:rsid w:val="00526A5F"/>
    <w:rsid w:val="005273F1"/>
    <w:rsid w:val="005276DF"/>
    <w:rsid w:val="00527A92"/>
    <w:rsid w:val="00527B9E"/>
    <w:rsid w:val="00530562"/>
    <w:rsid w:val="00530B7D"/>
    <w:rsid w:val="00530F19"/>
    <w:rsid w:val="0053179A"/>
    <w:rsid w:val="00531F24"/>
    <w:rsid w:val="005333E9"/>
    <w:rsid w:val="00533941"/>
    <w:rsid w:val="005342CD"/>
    <w:rsid w:val="005352E3"/>
    <w:rsid w:val="00535FEE"/>
    <w:rsid w:val="00536135"/>
    <w:rsid w:val="005361F7"/>
    <w:rsid w:val="00537366"/>
    <w:rsid w:val="00537DE4"/>
    <w:rsid w:val="00537E03"/>
    <w:rsid w:val="00540C51"/>
    <w:rsid w:val="00540F27"/>
    <w:rsid w:val="005412B9"/>
    <w:rsid w:val="0054167A"/>
    <w:rsid w:val="00541776"/>
    <w:rsid w:val="00543224"/>
    <w:rsid w:val="00543607"/>
    <w:rsid w:val="005437E9"/>
    <w:rsid w:val="00543A3D"/>
    <w:rsid w:val="0054502B"/>
    <w:rsid w:val="00545EA3"/>
    <w:rsid w:val="005460A0"/>
    <w:rsid w:val="00546EBB"/>
    <w:rsid w:val="005474BC"/>
    <w:rsid w:val="0054782C"/>
    <w:rsid w:val="00550505"/>
    <w:rsid w:val="0055085F"/>
    <w:rsid w:val="00550C0E"/>
    <w:rsid w:val="005514C7"/>
    <w:rsid w:val="00552AC7"/>
    <w:rsid w:val="00553034"/>
    <w:rsid w:val="00553982"/>
    <w:rsid w:val="00554263"/>
    <w:rsid w:val="00554CAF"/>
    <w:rsid w:val="00554D7B"/>
    <w:rsid w:val="00554D8C"/>
    <w:rsid w:val="00554FD8"/>
    <w:rsid w:val="0055529C"/>
    <w:rsid w:val="0055592A"/>
    <w:rsid w:val="0055693B"/>
    <w:rsid w:val="00557297"/>
    <w:rsid w:val="005576C2"/>
    <w:rsid w:val="0056079C"/>
    <w:rsid w:val="00560898"/>
    <w:rsid w:val="005611F8"/>
    <w:rsid w:val="00561DE1"/>
    <w:rsid w:val="00561E46"/>
    <w:rsid w:val="00561FE9"/>
    <w:rsid w:val="00562149"/>
    <w:rsid w:val="005629F0"/>
    <w:rsid w:val="00564054"/>
    <w:rsid w:val="005645D6"/>
    <w:rsid w:val="00564714"/>
    <w:rsid w:val="00564A14"/>
    <w:rsid w:val="00565E64"/>
    <w:rsid w:val="00565EC5"/>
    <w:rsid w:val="00566173"/>
    <w:rsid w:val="00566A8F"/>
    <w:rsid w:val="00566F8C"/>
    <w:rsid w:val="00570186"/>
    <w:rsid w:val="0057042F"/>
    <w:rsid w:val="005710AB"/>
    <w:rsid w:val="00571B5F"/>
    <w:rsid w:val="00571C11"/>
    <w:rsid w:val="005723F3"/>
    <w:rsid w:val="005732B9"/>
    <w:rsid w:val="00573F08"/>
    <w:rsid w:val="00573F56"/>
    <w:rsid w:val="00573FB5"/>
    <w:rsid w:val="005746CE"/>
    <w:rsid w:val="00574865"/>
    <w:rsid w:val="00574DFD"/>
    <w:rsid w:val="00575272"/>
    <w:rsid w:val="00575570"/>
    <w:rsid w:val="005758D1"/>
    <w:rsid w:val="00575F47"/>
    <w:rsid w:val="005769CD"/>
    <w:rsid w:val="005775D9"/>
    <w:rsid w:val="0058035E"/>
    <w:rsid w:val="005803E3"/>
    <w:rsid w:val="0058083A"/>
    <w:rsid w:val="00581370"/>
    <w:rsid w:val="00581823"/>
    <w:rsid w:val="00581865"/>
    <w:rsid w:val="00581F1F"/>
    <w:rsid w:val="00582825"/>
    <w:rsid w:val="00582931"/>
    <w:rsid w:val="005842A3"/>
    <w:rsid w:val="00585691"/>
    <w:rsid w:val="0058659F"/>
    <w:rsid w:val="00586EC2"/>
    <w:rsid w:val="00587086"/>
    <w:rsid w:val="005900E4"/>
    <w:rsid w:val="005904D1"/>
    <w:rsid w:val="0059197C"/>
    <w:rsid w:val="00591B4F"/>
    <w:rsid w:val="00592165"/>
    <w:rsid w:val="00593C90"/>
    <w:rsid w:val="00593EDF"/>
    <w:rsid w:val="005948BD"/>
    <w:rsid w:val="0059504B"/>
    <w:rsid w:val="0059508C"/>
    <w:rsid w:val="00595EFE"/>
    <w:rsid w:val="005960D3"/>
    <w:rsid w:val="005962C5"/>
    <w:rsid w:val="00596B37"/>
    <w:rsid w:val="00596F13"/>
    <w:rsid w:val="00597043"/>
    <w:rsid w:val="00597B7F"/>
    <w:rsid w:val="005A0B43"/>
    <w:rsid w:val="005A0F30"/>
    <w:rsid w:val="005A1BED"/>
    <w:rsid w:val="005A2A90"/>
    <w:rsid w:val="005A325E"/>
    <w:rsid w:val="005A5411"/>
    <w:rsid w:val="005A7C7D"/>
    <w:rsid w:val="005B0125"/>
    <w:rsid w:val="005B050C"/>
    <w:rsid w:val="005B068E"/>
    <w:rsid w:val="005B0759"/>
    <w:rsid w:val="005B184A"/>
    <w:rsid w:val="005B1911"/>
    <w:rsid w:val="005B1B08"/>
    <w:rsid w:val="005B2560"/>
    <w:rsid w:val="005B25A5"/>
    <w:rsid w:val="005B49C6"/>
    <w:rsid w:val="005B530D"/>
    <w:rsid w:val="005B64EF"/>
    <w:rsid w:val="005B6557"/>
    <w:rsid w:val="005B65EC"/>
    <w:rsid w:val="005B73CF"/>
    <w:rsid w:val="005B7D6B"/>
    <w:rsid w:val="005C01A4"/>
    <w:rsid w:val="005C041E"/>
    <w:rsid w:val="005C1683"/>
    <w:rsid w:val="005C1C65"/>
    <w:rsid w:val="005C2385"/>
    <w:rsid w:val="005C2CD9"/>
    <w:rsid w:val="005C37A1"/>
    <w:rsid w:val="005C3FD6"/>
    <w:rsid w:val="005C406C"/>
    <w:rsid w:val="005C42D3"/>
    <w:rsid w:val="005C4A3F"/>
    <w:rsid w:val="005C4B50"/>
    <w:rsid w:val="005C5080"/>
    <w:rsid w:val="005C50C7"/>
    <w:rsid w:val="005C516F"/>
    <w:rsid w:val="005C5E2F"/>
    <w:rsid w:val="005C5F89"/>
    <w:rsid w:val="005C676C"/>
    <w:rsid w:val="005C6C44"/>
    <w:rsid w:val="005C6F74"/>
    <w:rsid w:val="005C714B"/>
    <w:rsid w:val="005D00CC"/>
    <w:rsid w:val="005D01A8"/>
    <w:rsid w:val="005D057A"/>
    <w:rsid w:val="005D0E6A"/>
    <w:rsid w:val="005D124A"/>
    <w:rsid w:val="005D1311"/>
    <w:rsid w:val="005D1B73"/>
    <w:rsid w:val="005D28D8"/>
    <w:rsid w:val="005D2FF6"/>
    <w:rsid w:val="005D42F4"/>
    <w:rsid w:val="005D6185"/>
    <w:rsid w:val="005D68EA"/>
    <w:rsid w:val="005D7E47"/>
    <w:rsid w:val="005D7EB1"/>
    <w:rsid w:val="005E05D9"/>
    <w:rsid w:val="005E0855"/>
    <w:rsid w:val="005E1036"/>
    <w:rsid w:val="005E2CDB"/>
    <w:rsid w:val="005E36A2"/>
    <w:rsid w:val="005E380A"/>
    <w:rsid w:val="005E3FDB"/>
    <w:rsid w:val="005E4FA5"/>
    <w:rsid w:val="005E50AD"/>
    <w:rsid w:val="005E5B0E"/>
    <w:rsid w:val="005E60DD"/>
    <w:rsid w:val="005E6784"/>
    <w:rsid w:val="005E6F82"/>
    <w:rsid w:val="005E7728"/>
    <w:rsid w:val="005E7A54"/>
    <w:rsid w:val="005E7DFB"/>
    <w:rsid w:val="005F0AFD"/>
    <w:rsid w:val="005F2F80"/>
    <w:rsid w:val="005F30D1"/>
    <w:rsid w:val="005F3E50"/>
    <w:rsid w:val="005F41D7"/>
    <w:rsid w:val="005F4515"/>
    <w:rsid w:val="005F48DB"/>
    <w:rsid w:val="005F4D3E"/>
    <w:rsid w:val="005F5054"/>
    <w:rsid w:val="005F585D"/>
    <w:rsid w:val="005F5E75"/>
    <w:rsid w:val="005F6019"/>
    <w:rsid w:val="005F6CE4"/>
    <w:rsid w:val="005F7172"/>
    <w:rsid w:val="005F7192"/>
    <w:rsid w:val="005F7480"/>
    <w:rsid w:val="005F7554"/>
    <w:rsid w:val="005F7DFD"/>
    <w:rsid w:val="00600000"/>
    <w:rsid w:val="00600194"/>
    <w:rsid w:val="0060074A"/>
    <w:rsid w:val="0060093B"/>
    <w:rsid w:val="00601CEF"/>
    <w:rsid w:val="006020EF"/>
    <w:rsid w:val="00602777"/>
    <w:rsid w:val="006034E8"/>
    <w:rsid w:val="006034F0"/>
    <w:rsid w:val="00604234"/>
    <w:rsid w:val="0060423C"/>
    <w:rsid w:val="0060454B"/>
    <w:rsid w:val="00604B32"/>
    <w:rsid w:val="006052FF"/>
    <w:rsid w:val="0060641A"/>
    <w:rsid w:val="0060654E"/>
    <w:rsid w:val="006068BB"/>
    <w:rsid w:val="00611BC9"/>
    <w:rsid w:val="0061246B"/>
    <w:rsid w:val="0061257A"/>
    <w:rsid w:val="00612670"/>
    <w:rsid w:val="00612895"/>
    <w:rsid w:val="00612E09"/>
    <w:rsid w:val="00612E6F"/>
    <w:rsid w:val="0061333D"/>
    <w:rsid w:val="0061377E"/>
    <w:rsid w:val="00613950"/>
    <w:rsid w:val="00613EE4"/>
    <w:rsid w:val="006140EA"/>
    <w:rsid w:val="0061457A"/>
    <w:rsid w:val="00614815"/>
    <w:rsid w:val="00614ADA"/>
    <w:rsid w:val="00615DF4"/>
    <w:rsid w:val="006160DE"/>
    <w:rsid w:val="00617031"/>
    <w:rsid w:val="0061750E"/>
    <w:rsid w:val="006217B2"/>
    <w:rsid w:val="00621955"/>
    <w:rsid w:val="00621EBC"/>
    <w:rsid w:val="00623347"/>
    <w:rsid w:val="00623AE3"/>
    <w:rsid w:val="00624069"/>
    <w:rsid w:val="00624176"/>
    <w:rsid w:val="00624342"/>
    <w:rsid w:val="006246A7"/>
    <w:rsid w:val="00625F76"/>
    <w:rsid w:val="0062671A"/>
    <w:rsid w:val="00626988"/>
    <w:rsid w:val="0062760E"/>
    <w:rsid w:val="00627955"/>
    <w:rsid w:val="00630573"/>
    <w:rsid w:val="00631AD3"/>
    <w:rsid w:val="0063295D"/>
    <w:rsid w:val="0063296B"/>
    <w:rsid w:val="00633EA4"/>
    <w:rsid w:val="00634286"/>
    <w:rsid w:val="006346B1"/>
    <w:rsid w:val="00634A44"/>
    <w:rsid w:val="006352A8"/>
    <w:rsid w:val="00635574"/>
    <w:rsid w:val="006359D3"/>
    <w:rsid w:val="00636D0E"/>
    <w:rsid w:val="00636D54"/>
    <w:rsid w:val="00637EA4"/>
    <w:rsid w:val="00640703"/>
    <w:rsid w:val="0064109B"/>
    <w:rsid w:val="00641B31"/>
    <w:rsid w:val="00642060"/>
    <w:rsid w:val="00642219"/>
    <w:rsid w:val="00642255"/>
    <w:rsid w:val="00642461"/>
    <w:rsid w:val="0064264A"/>
    <w:rsid w:val="00642F5B"/>
    <w:rsid w:val="006431A6"/>
    <w:rsid w:val="00643B4A"/>
    <w:rsid w:val="00643CAA"/>
    <w:rsid w:val="00644F90"/>
    <w:rsid w:val="006453A9"/>
    <w:rsid w:val="006460B4"/>
    <w:rsid w:val="00646287"/>
    <w:rsid w:val="00646389"/>
    <w:rsid w:val="00646CA7"/>
    <w:rsid w:val="006472C9"/>
    <w:rsid w:val="00647347"/>
    <w:rsid w:val="00647B8F"/>
    <w:rsid w:val="00650228"/>
    <w:rsid w:val="00650A41"/>
    <w:rsid w:val="00650F78"/>
    <w:rsid w:val="0065148B"/>
    <w:rsid w:val="00651748"/>
    <w:rsid w:val="00651C00"/>
    <w:rsid w:val="00652252"/>
    <w:rsid w:val="00652341"/>
    <w:rsid w:val="006528D6"/>
    <w:rsid w:val="00653375"/>
    <w:rsid w:val="006541BC"/>
    <w:rsid w:val="006546FF"/>
    <w:rsid w:val="00654E69"/>
    <w:rsid w:val="00655018"/>
    <w:rsid w:val="0065722E"/>
    <w:rsid w:val="00657511"/>
    <w:rsid w:val="00661285"/>
    <w:rsid w:val="0066179B"/>
    <w:rsid w:val="006633E2"/>
    <w:rsid w:val="00663953"/>
    <w:rsid w:val="0066482B"/>
    <w:rsid w:val="00664831"/>
    <w:rsid w:val="00664D33"/>
    <w:rsid w:val="0066678E"/>
    <w:rsid w:val="00666AB8"/>
    <w:rsid w:val="00666DEE"/>
    <w:rsid w:val="00667910"/>
    <w:rsid w:val="00667FE5"/>
    <w:rsid w:val="00670205"/>
    <w:rsid w:val="00670552"/>
    <w:rsid w:val="00670756"/>
    <w:rsid w:val="006707AC"/>
    <w:rsid w:val="006711E5"/>
    <w:rsid w:val="006717A8"/>
    <w:rsid w:val="0067244D"/>
    <w:rsid w:val="0067331A"/>
    <w:rsid w:val="0067361D"/>
    <w:rsid w:val="00673885"/>
    <w:rsid w:val="00674324"/>
    <w:rsid w:val="00674926"/>
    <w:rsid w:val="006759B2"/>
    <w:rsid w:val="00676947"/>
    <w:rsid w:val="00677D68"/>
    <w:rsid w:val="00680022"/>
    <w:rsid w:val="006808A6"/>
    <w:rsid w:val="00680A68"/>
    <w:rsid w:val="006820B7"/>
    <w:rsid w:val="006820D5"/>
    <w:rsid w:val="00682167"/>
    <w:rsid w:val="00682D73"/>
    <w:rsid w:val="00682E61"/>
    <w:rsid w:val="00683985"/>
    <w:rsid w:val="00683A22"/>
    <w:rsid w:val="00683A48"/>
    <w:rsid w:val="00684C11"/>
    <w:rsid w:val="00684F9B"/>
    <w:rsid w:val="00684FAD"/>
    <w:rsid w:val="006854FD"/>
    <w:rsid w:val="0068572A"/>
    <w:rsid w:val="00685B7B"/>
    <w:rsid w:val="00685D30"/>
    <w:rsid w:val="00686360"/>
    <w:rsid w:val="00690354"/>
    <w:rsid w:val="006907D4"/>
    <w:rsid w:val="00690E79"/>
    <w:rsid w:val="00691124"/>
    <w:rsid w:val="006913CB"/>
    <w:rsid w:val="00691402"/>
    <w:rsid w:val="00692662"/>
    <w:rsid w:val="00692B51"/>
    <w:rsid w:val="00693326"/>
    <w:rsid w:val="006933A6"/>
    <w:rsid w:val="0069349C"/>
    <w:rsid w:val="006937BE"/>
    <w:rsid w:val="00693A76"/>
    <w:rsid w:val="0069405D"/>
    <w:rsid w:val="00694DF3"/>
    <w:rsid w:val="00694F21"/>
    <w:rsid w:val="00695045"/>
    <w:rsid w:val="00695107"/>
    <w:rsid w:val="00695F75"/>
    <w:rsid w:val="00695FF5"/>
    <w:rsid w:val="006965B1"/>
    <w:rsid w:val="006965B8"/>
    <w:rsid w:val="00696647"/>
    <w:rsid w:val="0069757C"/>
    <w:rsid w:val="00697CC2"/>
    <w:rsid w:val="006A0045"/>
    <w:rsid w:val="006A073B"/>
    <w:rsid w:val="006A0748"/>
    <w:rsid w:val="006A0D0F"/>
    <w:rsid w:val="006A103C"/>
    <w:rsid w:val="006A11FF"/>
    <w:rsid w:val="006A1746"/>
    <w:rsid w:val="006A1E0A"/>
    <w:rsid w:val="006A2637"/>
    <w:rsid w:val="006A2BD9"/>
    <w:rsid w:val="006A300E"/>
    <w:rsid w:val="006A3A5E"/>
    <w:rsid w:val="006A506A"/>
    <w:rsid w:val="006A533B"/>
    <w:rsid w:val="006A616C"/>
    <w:rsid w:val="006A63C3"/>
    <w:rsid w:val="006A670C"/>
    <w:rsid w:val="006A67AE"/>
    <w:rsid w:val="006A6A91"/>
    <w:rsid w:val="006A6CDD"/>
    <w:rsid w:val="006A79D5"/>
    <w:rsid w:val="006A7BD8"/>
    <w:rsid w:val="006A7E8D"/>
    <w:rsid w:val="006B0275"/>
    <w:rsid w:val="006B13C3"/>
    <w:rsid w:val="006B1FD7"/>
    <w:rsid w:val="006B2C93"/>
    <w:rsid w:val="006B2FA3"/>
    <w:rsid w:val="006B4476"/>
    <w:rsid w:val="006B48D5"/>
    <w:rsid w:val="006B4AA0"/>
    <w:rsid w:val="006B4AFC"/>
    <w:rsid w:val="006B5603"/>
    <w:rsid w:val="006B611E"/>
    <w:rsid w:val="006B6463"/>
    <w:rsid w:val="006B6A19"/>
    <w:rsid w:val="006B6E2B"/>
    <w:rsid w:val="006B72A0"/>
    <w:rsid w:val="006B76EF"/>
    <w:rsid w:val="006C118F"/>
    <w:rsid w:val="006C1382"/>
    <w:rsid w:val="006C1C77"/>
    <w:rsid w:val="006C276F"/>
    <w:rsid w:val="006C2B88"/>
    <w:rsid w:val="006C2BAF"/>
    <w:rsid w:val="006C324F"/>
    <w:rsid w:val="006C34A4"/>
    <w:rsid w:val="006C3624"/>
    <w:rsid w:val="006C3719"/>
    <w:rsid w:val="006C3FBD"/>
    <w:rsid w:val="006C4137"/>
    <w:rsid w:val="006C4157"/>
    <w:rsid w:val="006C54F3"/>
    <w:rsid w:val="006C591E"/>
    <w:rsid w:val="006C5C27"/>
    <w:rsid w:val="006C6F70"/>
    <w:rsid w:val="006C6FA5"/>
    <w:rsid w:val="006C7846"/>
    <w:rsid w:val="006D1623"/>
    <w:rsid w:val="006D19A8"/>
    <w:rsid w:val="006D2A45"/>
    <w:rsid w:val="006D2B13"/>
    <w:rsid w:val="006D30B0"/>
    <w:rsid w:val="006D397A"/>
    <w:rsid w:val="006D434D"/>
    <w:rsid w:val="006D48EF"/>
    <w:rsid w:val="006D50F8"/>
    <w:rsid w:val="006D53DB"/>
    <w:rsid w:val="006D5B32"/>
    <w:rsid w:val="006D616E"/>
    <w:rsid w:val="006D62BA"/>
    <w:rsid w:val="006D6508"/>
    <w:rsid w:val="006D68C6"/>
    <w:rsid w:val="006D6FFC"/>
    <w:rsid w:val="006D7078"/>
    <w:rsid w:val="006D7D2E"/>
    <w:rsid w:val="006E0DBD"/>
    <w:rsid w:val="006E118E"/>
    <w:rsid w:val="006E120F"/>
    <w:rsid w:val="006E1E41"/>
    <w:rsid w:val="006E201D"/>
    <w:rsid w:val="006E2080"/>
    <w:rsid w:val="006E2DE1"/>
    <w:rsid w:val="006E3568"/>
    <w:rsid w:val="006E42E8"/>
    <w:rsid w:val="006E459F"/>
    <w:rsid w:val="006E5D72"/>
    <w:rsid w:val="006E66D0"/>
    <w:rsid w:val="006F0349"/>
    <w:rsid w:val="006F0498"/>
    <w:rsid w:val="006F0C53"/>
    <w:rsid w:val="006F1470"/>
    <w:rsid w:val="006F1875"/>
    <w:rsid w:val="006F1D10"/>
    <w:rsid w:val="006F227E"/>
    <w:rsid w:val="006F2284"/>
    <w:rsid w:val="006F3005"/>
    <w:rsid w:val="006F31D6"/>
    <w:rsid w:val="006F3ABB"/>
    <w:rsid w:val="006F3FCF"/>
    <w:rsid w:val="006F41B0"/>
    <w:rsid w:val="006F4B71"/>
    <w:rsid w:val="006F5763"/>
    <w:rsid w:val="006F6146"/>
    <w:rsid w:val="006F61A8"/>
    <w:rsid w:val="006F65B5"/>
    <w:rsid w:val="006F68E5"/>
    <w:rsid w:val="006F78B1"/>
    <w:rsid w:val="006F7BAA"/>
    <w:rsid w:val="006F7C8C"/>
    <w:rsid w:val="006F7CFD"/>
    <w:rsid w:val="007000D8"/>
    <w:rsid w:val="0070101E"/>
    <w:rsid w:val="00701BA5"/>
    <w:rsid w:val="00702F10"/>
    <w:rsid w:val="00703813"/>
    <w:rsid w:val="0070422A"/>
    <w:rsid w:val="00704CAC"/>
    <w:rsid w:val="00704F29"/>
    <w:rsid w:val="0070529E"/>
    <w:rsid w:val="007052C9"/>
    <w:rsid w:val="00705DFD"/>
    <w:rsid w:val="00706698"/>
    <w:rsid w:val="0070773A"/>
    <w:rsid w:val="00707B45"/>
    <w:rsid w:val="00707CF4"/>
    <w:rsid w:val="0071044D"/>
    <w:rsid w:val="00710CD2"/>
    <w:rsid w:val="00711140"/>
    <w:rsid w:val="007111F3"/>
    <w:rsid w:val="007114E9"/>
    <w:rsid w:val="00711780"/>
    <w:rsid w:val="00712384"/>
    <w:rsid w:val="0071269E"/>
    <w:rsid w:val="00713C9B"/>
    <w:rsid w:val="0071487B"/>
    <w:rsid w:val="00714C81"/>
    <w:rsid w:val="007151E4"/>
    <w:rsid w:val="007152BF"/>
    <w:rsid w:val="00715314"/>
    <w:rsid w:val="007166C4"/>
    <w:rsid w:val="00716AE1"/>
    <w:rsid w:val="007172CE"/>
    <w:rsid w:val="00717935"/>
    <w:rsid w:val="007205BB"/>
    <w:rsid w:val="007207B1"/>
    <w:rsid w:val="00720DD1"/>
    <w:rsid w:val="0072269D"/>
    <w:rsid w:val="007227DF"/>
    <w:rsid w:val="007230A2"/>
    <w:rsid w:val="007235B0"/>
    <w:rsid w:val="00724517"/>
    <w:rsid w:val="0072483E"/>
    <w:rsid w:val="00724855"/>
    <w:rsid w:val="00724F27"/>
    <w:rsid w:val="0072510D"/>
    <w:rsid w:val="00725783"/>
    <w:rsid w:val="00726311"/>
    <w:rsid w:val="007270F8"/>
    <w:rsid w:val="0072722C"/>
    <w:rsid w:val="0072746D"/>
    <w:rsid w:val="00727A11"/>
    <w:rsid w:val="00727B4B"/>
    <w:rsid w:val="0073015B"/>
    <w:rsid w:val="0073042D"/>
    <w:rsid w:val="00730DA0"/>
    <w:rsid w:val="00730FAD"/>
    <w:rsid w:val="0073164C"/>
    <w:rsid w:val="00732CD8"/>
    <w:rsid w:val="00732E3D"/>
    <w:rsid w:val="007337D8"/>
    <w:rsid w:val="0073406B"/>
    <w:rsid w:val="007341FE"/>
    <w:rsid w:val="00734ADC"/>
    <w:rsid w:val="0073533D"/>
    <w:rsid w:val="00736072"/>
    <w:rsid w:val="007365BF"/>
    <w:rsid w:val="007367FD"/>
    <w:rsid w:val="00736B23"/>
    <w:rsid w:val="00736CF0"/>
    <w:rsid w:val="00736DF8"/>
    <w:rsid w:val="00736E91"/>
    <w:rsid w:val="0073718A"/>
    <w:rsid w:val="00737344"/>
    <w:rsid w:val="007377BA"/>
    <w:rsid w:val="00740854"/>
    <w:rsid w:val="00740A0F"/>
    <w:rsid w:val="00740D52"/>
    <w:rsid w:val="00740ED1"/>
    <w:rsid w:val="00740F7A"/>
    <w:rsid w:val="00741313"/>
    <w:rsid w:val="0074184B"/>
    <w:rsid w:val="00741A07"/>
    <w:rsid w:val="00741F4E"/>
    <w:rsid w:val="007428C2"/>
    <w:rsid w:val="007429E8"/>
    <w:rsid w:val="00743B3C"/>
    <w:rsid w:val="007443E3"/>
    <w:rsid w:val="00744805"/>
    <w:rsid w:val="00744E8E"/>
    <w:rsid w:val="007462FA"/>
    <w:rsid w:val="0074639B"/>
    <w:rsid w:val="00746451"/>
    <w:rsid w:val="007478DD"/>
    <w:rsid w:val="00747D4B"/>
    <w:rsid w:val="007511E6"/>
    <w:rsid w:val="0075146B"/>
    <w:rsid w:val="007527E4"/>
    <w:rsid w:val="00752F28"/>
    <w:rsid w:val="0075388B"/>
    <w:rsid w:val="00753A2E"/>
    <w:rsid w:val="00754FB5"/>
    <w:rsid w:val="007554F8"/>
    <w:rsid w:val="0075597E"/>
    <w:rsid w:val="007559C4"/>
    <w:rsid w:val="007559FA"/>
    <w:rsid w:val="00755B7A"/>
    <w:rsid w:val="0075668C"/>
    <w:rsid w:val="007571D9"/>
    <w:rsid w:val="0075731D"/>
    <w:rsid w:val="007603A9"/>
    <w:rsid w:val="00760884"/>
    <w:rsid w:val="00761BD8"/>
    <w:rsid w:val="00762860"/>
    <w:rsid w:val="007630BE"/>
    <w:rsid w:val="007630D6"/>
    <w:rsid w:val="00763564"/>
    <w:rsid w:val="00763E20"/>
    <w:rsid w:val="0076433C"/>
    <w:rsid w:val="00764362"/>
    <w:rsid w:val="00765868"/>
    <w:rsid w:val="00765FFE"/>
    <w:rsid w:val="00767297"/>
    <w:rsid w:val="007677A4"/>
    <w:rsid w:val="00770346"/>
    <w:rsid w:val="007710C7"/>
    <w:rsid w:val="00771B39"/>
    <w:rsid w:val="00771C1F"/>
    <w:rsid w:val="00772246"/>
    <w:rsid w:val="00772259"/>
    <w:rsid w:val="0077238A"/>
    <w:rsid w:val="00772B9C"/>
    <w:rsid w:val="007737A5"/>
    <w:rsid w:val="0077413B"/>
    <w:rsid w:val="007751A9"/>
    <w:rsid w:val="00775977"/>
    <w:rsid w:val="00775BA1"/>
    <w:rsid w:val="00775D45"/>
    <w:rsid w:val="00776AF2"/>
    <w:rsid w:val="00776F60"/>
    <w:rsid w:val="007775BD"/>
    <w:rsid w:val="00777C5E"/>
    <w:rsid w:val="007803AD"/>
    <w:rsid w:val="007804EB"/>
    <w:rsid w:val="00780739"/>
    <w:rsid w:val="00781E65"/>
    <w:rsid w:val="007823C3"/>
    <w:rsid w:val="0078279F"/>
    <w:rsid w:val="00782D30"/>
    <w:rsid w:val="00782F8F"/>
    <w:rsid w:val="00783416"/>
    <w:rsid w:val="007834B4"/>
    <w:rsid w:val="0078383D"/>
    <w:rsid w:val="00783CA2"/>
    <w:rsid w:val="00783E4C"/>
    <w:rsid w:val="00783F5F"/>
    <w:rsid w:val="0078544C"/>
    <w:rsid w:val="007902AE"/>
    <w:rsid w:val="0079079F"/>
    <w:rsid w:val="00791535"/>
    <w:rsid w:val="00791AD9"/>
    <w:rsid w:val="007922E5"/>
    <w:rsid w:val="007924BB"/>
    <w:rsid w:val="007924F1"/>
    <w:rsid w:val="00792864"/>
    <w:rsid w:val="007933CD"/>
    <w:rsid w:val="007934D8"/>
    <w:rsid w:val="0079455E"/>
    <w:rsid w:val="00794671"/>
    <w:rsid w:val="00795984"/>
    <w:rsid w:val="00796114"/>
    <w:rsid w:val="00796925"/>
    <w:rsid w:val="007969AD"/>
    <w:rsid w:val="00796E10"/>
    <w:rsid w:val="0079712B"/>
    <w:rsid w:val="00797EEE"/>
    <w:rsid w:val="007A0AA6"/>
    <w:rsid w:val="007A0C87"/>
    <w:rsid w:val="007A0D51"/>
    <w:rsid w:val="007A23EF"/>
    <w:rsid w:val="007A2A92"/>
    <w:rsid w:val="007A2B5F"/>
    <w:rsid w:val="007A2BE8"/>
    <w:rsid w:val="007A2D4C"/>
    <w:rsid w:val="007A5440"/>
    <w:rsid w:val="007B050F"/>
    <w:rsid w:val="007B0AF1"/>
    <w:rsid w:val="007B0F01"/>
    <w:rsid w:val="007B1617"/>
    <w:rsid w:val="007B1653"/>
    <w:rsid w:val="007B1DC9"/>
    <w:rsid w:val="007B20AE"/>
    <w:rsid w:val="007B2B46"/>
    <w:rsid w:val="007B2D65"/>
    <w:rsid w:val="007B2EA0"/>
    <w:rsid w:val="007B30B7"/>
    <w:rsid w:val="007B3CA7"/>
    <w:rsid w:val="007B4388"/>
    <w:rsid w:val="007B4563"/>
    <w:rsid w:val="007B4701"/>
    <w:rsid w:val="007B4BD1"/>
    <w:rsid w:val="007B56D8"/>
    <w:rsid w:val="007B5951"/>
    <w:rsid w:val="007B5DAB"/>
    <w:rsid w:val="007B63F6"/>
    <w:rsid w:val="007B65E6"/>
    <w:rsid w:val="007B66F1"/>
    <w:rsid w:val="007B7000"/>
    <w:rsid w:val="007B7849"/>
    <w:rsid w:val="007B7BCD"/>
    <w:rsid w:val="007C0ECF"/>
    <w:rsid w:val="007C1878"/>
    <w:rsid w:val="007C1BCA"/>
    <w:rsid w:val="007C1CBE"/>
    <w:rsid w:val="007C27A1"/>
    <w:rsid w:val="007C2928"/>
    <w:rsid w:val="007C4ACC"/>
    <w:rsid w:val="007C4AED"/>
    <w:rsid w:val="007C7509"/>
    <w:rsid w:val="007C751B"/>
    <w:rsid w:val="007C7C2F"/>
    <w:rsid w:val="007D0076"/>
    <w:rsid w:val="007D0D8A"/>
    <w:rsid w:val="007D1BB8"/>
    <w:rsid w:val="007D1D9E"/>
    <w:rsid w:val="007D2016"/>
    <w:rsid w:val="007D20AF"/>
    <w:rsid w:val="007D3339"/>
    <w:rsid w:val="007D37F0"/>
    <w:rsid w:val="007D3F95"/>
    <w:rsid w:val="007D43AB"/>
    <w:rsid w:val="007D468B"/>
    <w:rsid w:val="007D50C7"/>
    <w:rsid w:val="007D55AC"/>
    <w:rsid w:val="007D66E9"/>
    <w:rsid w:val="007D6D73"/>
    <w:rsid w:val="007D6FD5"/>
    <w:rsid w:val="007E0BD5"/>
    <w:rsid w:val="007E1638"/>
    <w:rsid w:val="007E16BE"/>
    <w:rsid w:val="007E16D6"/>
    <w:rsid w:val="007E16D7"/>
    <w:rsid w:val="007E1CC8"/>
    <w:rsid w:val="007E2B78"/>
    <w:rsid w:val="007E31B3"/>
    <w:rsid w:val="007E323D"/>
    <w:rsid w:val="007E3349"/>
    <w:rsid w:val="007E4C75"/>
    <w:rsid w:val="007E4C8A"/>
    <w:rsid w:val="007E56BC"/>
    <w:rsid w:val="007E5C8D"/>
    <w:rsid w:val="007E7A12"/>
    <w:rsid w:val="007E7FCC"/>
    <w:rsid w:val="007F0D43"/>
    <w:rsid w:val="007F14BA"/>
    <w:rsid w:val="007F169D"/>
    <w:rsid w:val="007F310A"/>
    <w:rsid w:val="007F39AC"/>
    <w:rsid w:val="007F44C8"/>
    <w:rsid w:val="007F45EB"/>
    <w:rsid w:val="007F4A28"/>
    <w:rsid w:val="007F4BB6"/>
    <w:rsid w:val="007F4BB7"/>
    <w:rsid w:val="007F51DE"/>
    <w:rsid w:val="007F54A5"/>
    <w:rsid w:val="007F581E"/>
    <w:rsid w:val="007F5EA0"/>
    <w:rsid w:val="007F664B"/>
    <w:rsid w:val="007F69F4"/>
    <w:rsid w:val="007F6AC2"/>
    <w:rsid w:val="007F6E63"/>
    <w:rsid w:val="008007E0"/>
    <w:rsid w:val="00800A24"/>
    <w:rsid w:val="00801014"/>
    <w:rsid w:val="00801B41"/>
    <w:rsid w:val="00802CDB"/>
    <w:rsid w:val="008035D4"/>
    <w:rsid w:val="00803970"/>
    <w:rsid w:val="00803A45"/>
    <w:rsid w:val="00803B21"/>
    <w:rsid w:val="00803FB7"/>
    <w:rsid w:val="00805040"/>
    <w:rsid w:val="008053CF"/>
    <w:rsid w:val="008057C4"/>
    <w:rsid w:val="00805805"/>
    <w:rsid w:val="00805E7C"/>
    <w:rsid w:val="008061EA"/>
    <w:rsid w:val="008062F9"/>
    <w:rsid w:val="00806591"/>
    <w:rsid w:val="0080674B"/>
    <w:rsid w:val="00807354"/>
    <w:rsid w:val="00810973"/>
    <w:rsid w:val="0081119C"/>
    <w:rsid w:val="00811B3E"/>
    <w:rsid w:val="00811D08"/>
    <w:rsid w:val="008122D5"/>
    <w:rsid w:val="0081238F"/>
    <w:rsid w:val="008126DC"/>
    <w:rsid w:val="00812B50"/>
    <w:rsid w:val="0081321A"/>
    <w:rsid w:val="00813945"/>
    <w:rsid w:val="008148EB"/>
    <w:rsid w:val="00814AB2"/>
    <w:rsid w:val="00814AC5"/>
    <w:rsid w:val="0081505B"/>
    <w:rsid w:val="008154D4"/>
    <w:rsid w:val="00816508"/>
    <w:rsid w:val="00816F7D"/>
    <w:rsid w:val="0082023F"/>
    <w:rsid w:val="00820D91"/>
    <w:rsid w:val="008214DB"/>
    <w:rsid w:val="00821837"/>
    <w:rsid w:val="0082187C"/>
    <w:rsid w:val="0082197E"/>
    <w:rsid w:val="008227F9"/>
    <w:rsid w:val="008228E3"/>
    <w:rsid w:val="00825486"/>
    <w:rsid w:val="008254EA"/>
    <w:rsid w:val="008258DE"/>
    <w:rsid w:val="008259EB"/>
    <w:rsid w:val="00826187"/>
    <w:rsid w:val="00826338"/>
    <w:rsid w:val="008268B4"/>
    <w:rsid w:val="00826AAB"/>
    <w:rsid w:val="00827658"/>
    <w:rsid w:val="00827EFA"/>
    <w:rsid w:val="008301C2"/>
    <w:rsid w:val="0083021A"/>
    <w:rsid w:val="00831055"/>
    <w:rsid w:val="008313F2"/>
    <w:rsid w:val="00831C0C"/>
    <w:rsid w:val="00831DA2"/>
    <w:rsid w:val="00831FAD"/>
    <w:rsid w:val="008321A4"/>
    <w:rsid w:val="0083308E"/>
    <w:rsid w:val="0083535E"/>
    <w:rsid w:val="00835514"/>
    <w:rsid w:val="00836B28"/>
    <w:rsid w:val="00836F96"/>
    <w:rsid w:val="0083712F"/>
    <w:rsid w:val="00837E86"/>
    <w:rsid w:val="00837F56"/>
    <w:rsid w:val="008404CC"/>
    <w:rsid w:val="008408FC"/>
    <w:rsid w:val="008412B6"/>
    <w:rsid w:val="00842065"/>
    <w:rsid w:val="00842343"/>
    <w:rsid w:val="008424D6"/>
    <w:rsid w:val="00842992"/>
    <w:rsid w:val="00842A63"/>
    <w:rsid w:val="00842C52"/>
    <w:rsid w:val="0084450E"/>
    <w:rsid w:val="00844571"/>
    <w:rsid w:val="0084458C"/>
    <w:rsid w:val="00844804"/>
    <w:rsid w:val="00846227"/>
    <w:rsid w:val="00847DB6"/>
    <w:rsid w:val="00850340"/>
    <w:rsid w:val="00850B79"/>
    <w:rsid w:val="00852F2E"/>
    <w:rsid w:val="00853B3E"/>
    <w:rsid w:val="00853F68"/>
    <w:rsid w:val="00854F34"/>
    <w:rsid w:val="00854F8C"/>
    <w:rsid w:val="008552B0"/>
    <w:rsid w:val="008553FF"/>
    <w:rsid w:val="00855778"/>
    <w:rsid w:val="00855A23"/>
    <w:rsid w:val="00857620"/>
    <w:rsid w:val="0086061A"/>
    <w:rsid w:val="00860CB8"/>
    <w:rsid w:val="008615D6"/>
    <w:rsid w:val="00861906"/>
    <w:rsid w:val="008643EA"/>
    <w:rsid w:val="00864DB8"/>
    <w:rsid w:val="00865086"/>
    <w:rsid w:val="00865C36"/>
    <w:rsid w:val="00865F3F"/>
    <w:rsid w:val="008663EF"/>
    <w:rsid w:val="00870045"/>
    <w:rsid w:val="008708FE"/>
    <w:rsid w:val="00870D9C"/>
    <w:rsid w:val="00871000"/>
    <w:rsid w:val="00872EEC"/>
    <w:rsid w:val="0087365F"/>
    <w:rsid w:val="00873A8F"/>
    <w:rsid w:val="00874059"/>
    <w:rsid w:val="008741CB"/>
    <w:rsid w:val="008746BF"/>
    <w:rsid w:val="00875222"/>
    <w:rsid w:val="00875835"/>
    <w:rsid w:val="00876E22"/>
    <w:rsid w:val="008772B4"/>
    <w:rsid w:val="008775D0"/>
    <w:rsid w:val="00877CC1"/>
    <w:rsid w:val="00877CC3"/>
    <w:rsid w:val="00880312"/>
    <w:rsid w:val="008810F3"/>
    <w:rsid w:val="00881822"/>
    <w:rsid w:val="0088222A"/>
    <w:rsid w:val="0088293C"/>
    <w:rsid w:val="008829AA"/>
    <w:rsid w:val="00882BE7"/>
    <w:rsid w:val="00882F76"/>
    <w:rsid w:val="008841E0"/>
    <w:rsid w:val="00884391"/>
    <w:rsid w:val="008846CB"/>
    <w:rsid w:val="008855C0"/>
    <w:rsid w:val="00885740"/>
    <w:rsid w:val="0088615C"/>
    <w:rsid w:val="00886236"/>
    <w:rsid w:val="00886382"/>
    <w:rsid w:val="00886572"/>
    <w:rsid w:val="00887C7A"/>
    <w:rsid w:val="008906A9"/>
    <w:rsid w:val="00890A56"/>
    <w:rsid w:val="00890E3C"/>
    <w:rsid w:val="00891565"/>
    <w:rsid w:val="00891CF5"/>
    <w:rsid w:val="00891D53"/>
    <w:rsid w:val="00891EBC"/>
    <w:rsid w:val="008935DF"/>
    <w:rsid w:val="008935F3"/>
    <w:rsid w:val="00893FDE"/>
    <w:rsid w:val="0089415B"/>
    <w:rsid w:val="0089563A"/>
    <w:rsid w:val="00895691"/>
    <w:rsid w:val="008964D5"/>
    <w:rsid w:val="008965EA"/>
    <w:rsid w:val="00897C87"/>
    <w:rsid w:val="008A0173"/>
    <w:rsid w:val="008A08B0"/>
    <w:rsid w:val="008A0B72"/>
    <w:rsid w:val="008A214C"/>
    <w:rsid w:val="008A222A"/>
    <w:rsid w:val="008A25C8"/>
    <w:rsid w:val="008A2E76"/>
    <w:rsid w:val="008A3764"/>
    <w:rsid w:val="008A3C49"/>
    <w:rsid w:val="008A3D59"/>
    <w:rsid w:val="008A44E9"/>
    <w:rsid w:val="008A4C25"/>
    <w:rsid w:val="008A4CE2"/>
    <w:rsid w:val="008A512B"/>
    <w:rsid w:val="008A5170"/>
    <w:rsid w:val="008A58FE"/>
    <w:rsid w:val="008A62EF"/>
    <w:rsid w:val="008A6FD0"/>
    <w:rsid w:val="008B0465"/>
    <w:rsid w:val="008B0927"/>
    <w:rsid w:val="008B2166"/>
    <w:rsid w:val="008B2816"/>
    <w:rsid w:val="008B2860"/>
    <w:rsid w:val="008B28BB"/>
    <w:rsid w:val="008B2BBA"/>
    <w:rsid w:val="008B306B"/>
    <w:rsid w:val="008B32B5"/>
    <w:rsid w:val="008B3F97"/>
    <w:rsid w:val="008B4DB7"/>
    <w:rsid w:val="008B610E"/>
    <w:rsid w:val="008B669D"/>
    <w:rsid w:val="008B6749"/>
    <w:rsid w:val="008B68B0"/>
    <w:rsid w:val="008B6B7E"/>
    <w:rsid w:val="008B7A5A"/>
    <w:rsid w:val="008C0521"/>
    <w:rsid w:val="008C0800"/>
    <w:rsid w:val="008C0BC3"/>
    <w:rsid w:val="008C0EC8"/>
    <w:rsid w:val="008C19A0"/>
    <w:rsid w:val="008C25B9"/>
    <w:rsid w:val="008C26BA"/>
    <w:rsid w:val="008C2746"/>
    <w:rsid w:val="008C4CAE"/>
    <w:rsid w:val="008C53A7"/>
    <w:rsid w:val="008C6249"/>
    <w:rsid w:val="008C7417"/>
    <w:rsid w:val="008D04B4"/>
    <w:rsid w:val="008D058E"/>
    <w:rsid w:val="008D06A0"/>
    <w:rsid w:val="008D06AC"/>
    <w:rsid w:val="008D06C4"/>
    <w:rsid w:val="008D0DD3"/>
    <w:rsid w:val="008D10FA"/>
    <w:rsid w:val="008D1B6C"/>
    <w:rsid w:val="008D24AA"/>
    <w:rsid w:val="008D4053"/>
    <w:rsid w:val="008D5177"/>
    <w:rsid w:val="008D5BCA"/>
    <w:rsid w:val="008D60AA"/>
    <w:rsid w:val="008D63E9"/>
    <w:rsid w:val="008D6556"/>
    <w:rsid w:val="008D710A"/>
    <w:rsid w:val="008D731C"/>
    <w:rsid w:val="008D74F7"/>
    <w:rsid w:val="008D7B82"/>
    <w:rsid w:val="008D7C5E"/>
    <w:rsid w:val="008E0C69"/>
    <w:rsid w:val="008E202C"/>
    <w:rsid w:val="008E21C3"/>
    <w:rsid w:val="008E259A"/>
    <w:rsid w:val="008E3467"/>
    <w:rsid w:val="008E3546"/>
    <w:rsid w:val="008E4383"/>
    <w:rsid w:val="008E44AE"/>
    <w:rsid w:val="008E4D91"/>
    <w:rsid w:val="008E549C"/>
    <w:rsid w:val="008E5672"/>
    <w:rsid w:val="008E58DB"/>
    <w:rsid w:val="008E5E8F"/>
    <w:rsid w:val="008E67E2"/>
    <w:rsid w:val="008E6B4F"/>
    <w:rsid w:val="008E6D9B"/>
    <w:rsid w:val="008E753D"/>
    <w:rsid w:val="008E79C9"/>
    <w:rsid w:val="008F089B"/>
    <w:rsid w:val="008F112E"/>
    <w:rsid w:val="008F125E"/>
    <w:rsid w:val="008F134F"/>
    <w:rsid w:val="008F1806"/>
    <w:rsid w:val="008F2410"/>
    <w:rsid w:val="008F42D4"/>
    <w:rsid w:val="008F4351"/>
    <w:rsid w:val="008F4F3F"/>
    <w:rsid w:val="008F5128"/>
    <w:rsid w:val="008F5350"/>
    <w:rsid w:val="008F5615"/>
    <w:rsid w:val="008F56BE"/>
    <w:rsid w:val="008F56E1"/>
    <w:rsid w:val="008F6624"/>
    <w:rsid w:val="008F6C4A"/>
    <w:rsid w:val="008F718F"/>
    <w:rsid w:val="008F7623"/>
    <w:rsid w:val="00900766"/>
    <w:rsid w:val="0090218D"/>
    <w:rsid w:val="009024F8"/>
    <w:rsid w:val="0090298C"/>
    <w:rsid w:val="00902DBF"/>
    <w:rsid w:val="00903192"/>
    <w:rsid w:val="0090334A"/>
    <w:rsid w:val="00904340"/>
    <w:rsid w:val="0090435F"/>
    <w:rsid w:val="00904C0B"/>
    <w:rsid w:val="00904D00"/>
    <w:rsid w:val="00904FC6"/>
    <w:rsid w:val="009050E3"/>
    <w:rsid w:val="00905B7E"/>
    <w:rsid w:val="00905CEC"/>
    <w:rsid w:val="00906514"/>
    <w:rsid w:val="009068B0"/>
    <w:rsid w:val="0090710B"/>
    <w:rsid w:val="0090734D"/>
    <w:rsid w:val="009077E6"/>
    <w:rsid w:val="0090784B"/>
    <w:rsid w:val="00910573"/>
    <w:rsid w:val="009109E4"/>
    <w:rsid w:val="009110D0"/>
    <w:rsid w:val="009118A1"/>
    <w:rsid w:val="00911F23"/>
    <w:rsid w:val="009125B7"/>
    <w:rsid w:val="00912C5F"/>
    <w:rsid w:val="00913629"/>
    <w:rsid w:val="00913B72"/>
    <w:rsid w:val="009145C4"/>
    <w:rsid w:val="009150C3"/>
    <w:rsid w:val="00915110"/>
    <w:rsid w:val="00916043"/>
    <w:rsid w:val="00916EBF"/>
    <w:rsid w:val="0091735B"/>
    <w:rsid w:val="00920020"/>
    <w:rsid w:val="00920E06"/>
    <w:rsid w:val="00921BF0"/>
    <w:rsid w:val="00921F63"/>
    <w:rsid w:val="00922A8A"/>
    <w:rsid w:val="0092382E"/>
    <w:rsid w:val="00923ACD"/>
    <w:rsid w:val="0092488E"/>
    <w:rsid w:val="00927926"/>
    <w:rsid w:val="009279E5"/>
    <w:rsid w:val="009302B6"/>
    <w:rsid w:val="00930791"/>
    <w:rsid w:val="009317C4"/>
    <w:rsid w:val="00931832"/>
    <w:rsid w:val="00931B69"/>
    <w:rsid w:val="00932211"/>
    <w:rsid w:val="009322F5"/>
    <w:rsid w:val="00933B2E"/>
    <w:rsid w:val="009346AB"/>
    <w:rsid w:val="00935F6C"/>
    <w:rsid w:val="009378D8"/>
    <w:rsid w:val="00937991"/>
    <w:rsid w:val="009379D0"/>
    <w:rsid w:val="00937C0B"/>
    <w:rsid w:val="00937FBC"/>
    <w:rsid w:val="00940642"/>
    <w:rsid w:val="00941272"/>
    <w:rsid w:val="00941336"/>
    <w:rsid w:val="0094241F"/>
    <w:rsid w:val="00942BB2"/>
    <w:rsid w:val="0094384D"/>
    <w:rsid w:val="00943D03"/>
    <w:rsid w:val="00944BB9"/>
    <w:rsid w:val="00944ED7"/>
    <w:rsid w:val="00946447"/>
    <w:rsid w:val="00946F3A"/>
    <w:rsid w:val="009475C2"/>
    <w:rsid w:val="00947D29"/>
    <w:rsid w:val="00950587"/>
    <w:rsid w:val="00950699"/>
    <w:rsid w:val="00950ECF"/>
    <w:rsid w:val="00951183"/>
    <w:rsid w:val="00951457"/>
    <w:rsid w:val="00951B0C"/>
    <w:rsid w:val="00952AAA"/>
    <w:rsid w:val="009530C2"/>
    <w:rsid w:val="0095315F"/>
    <w:rsid w:val="009533F0"/>
    <w:rsid w:val="009547DC"/>
    <w:rsid w:val="00954DD7"/>
    <w:rsid w:val="00954ED3"/>
    <w:rsid w:val="0095550B"/>
    <w:rsid w:val="00955C1E"/>
    <w:rsid w:val="0095601C"/>
    <w:rsid w:val="009562C6"/>
    <w:rsid w:val="00956350"/>
    <w:rsid w:val="00957077"/>
    <w:rsid w:val="009573A0"/>
    <w:rsid w:val="00957458"/>
    <w:rsid w:val="009574A4"/>
    <w:rsid w:val="00960476"/>
    <w:rsid w:val="009605E4"/>
    <w:rsid w:val="00960655"/>
    <w:rsid w:val="009606E0"/>
    <w:rsid w:val="00960FD6"/>
    <w:rsid w:val="00961DAC"/>
    <w:rsid w:val="00962237"/>
    <w:rsid w:val="0096263B"/>
    <w:rsid w:val="00962D01"/>
    <w:rsid w:val="00962D88"/>
    <w:rsid w:val="00962F7C"/>
    <w:rsid w:val="00963BDE"/>
    <w:rsid w:val="00963E5C"/>
    <w:rsid w:val="00964023"/>
    <w:rsid w:val="00964556"/>
    <w:rsid w:val="00964937"/>
    <w:rsid w:val="00964C92"/>
    <w:rsid w:val="009658A8"/>
    <w:rsid w:val="009662D7"/>
    <w:rsid w:val="00966A1F"/>
    <w:rsid w:val="009671A2"/>
    <w:rsid w:val="00967E15"/>
    <w:rsid w:val="00970FF6"/>
    <w:rsid w:val="0097138D"/>
    <w:rsid w:val="0097156A"/>
    <w:rsid w:val="00971CA9"/>
    <w:rsid w:val="00972149"/>
    <w:rsid w:val="00972173"/>
    <w:rsid w:val="009726C8"/>
    <w:rsid w:val="009731F6"/>
    <w:rsid w:val="00973F99"/>
    <w:rsid w:val="009748BF"/>
    <w:rsid w:val="00975079"/>
    <w:rsid w:val="00975290"/>
    <w:rsid w:val="00975859"/>
    <w:rsid w:val="00976B9C"/>
    <w:rsid w:val="00977903"/>
    <w:rsid w:val="009810F0"/>
    <w:rsid w:val="00981286"/>
    <w:rsid w:val="0098139F"/>
    <w:rsid w:val="0098198A"/>
    <w:rsid w:val="00981B2A"/>
    <w:rsid w:val="00981FBD"/>
    <w:rsid w:val="00982FF2"/>
    <w:rsid w:val="0098309E"/>
    <w:rsid w:val="00983246"/>
    <w:rsid w:val="00983887"/>
    <w:rsid w:val="00983B71"/>
    <w:rsid w:val="00985282"/>
    <w:rsid w:val="009856CF"/>
    <w:rsid w:val="00985B4A"/>
    <w:rsid w:val="009866EF"/>
    <w:rsid w:val="00986744"/>
    <w:rsid w:val="0098697C"/>
    <w:rsid w:val="00986D5C"/>
    <w:rsid w:val="00986DD0"/>
    <w:rsid w:val="00987076"/>
    <w:rsid w:val="009872B6"/>
    <w:rsid w:val="009879A1"/>
    <w:rsid w:val="00987DB8"/>
    <w:rsid w:val="009902BA"/>
    <w:rsid w:val="0099059E"/>
    <w:rsid w:val="00990CF2"/>
    <w:rsid w:val="0099184E"/>
    <w:rsid w:val="00991DA1"/>
    <w:rsid w:val="00992CD5"/>
    <w:rsid w:val="00993714"/>
    <w:rsid w:val="00993BB0"/>
    <w:rsid w:val="00993EB9"/>
    <w:rsid w:val="00994480"/>
    <w:rsid w:val="00994F2C"/>
    <w:rsid w:val="009955D6"/>
    <w:rsid w:val="00995BA9"/>
    <w:rsid w:val="00995F87"/>
    <w:rsid w:val="00996085"/>
    <w:rsid w:val="009977F6"/>
    <w:rsid w:val="009A024A"/>
    <w:rsid w:val="009A030E"/>
    <w:rsid w:val="009A0394"/>
    <w:rsid w:val="009A0AF2"/>
    <w:rsid w:val="009A16D1"/>
    <w:rsid w:val="009A2170"/>
    <w:rsid w:val="009A2F40"/>
    <w:rsid w:val="009A3358"/>
    <w:rsid w:val="009A366C"/>
    <w:rsid w:val="009A457D"/>
    <w:rsid w:val="009A4A14"/>
    <w:rsid w:val="009A4A75"/>
    <w:rsid w:val="009A4D26"/>
    <w:rsid w:val="009A52AC"/>
    <w:rsid w:val="009A6D12"/>
    <w:rsid w:val="009A7E87"/>
    <w:rsid w:val="009B014E"/>
    <w:rsid w:val="009B0412"/>
    <w:rsid w:val="009B07B0"/>
    <w:rsid w:val="009B0990"/>
    <w:rsid w:val="009B1266"/>
    <w:rsid w:val="009B1C2E"/>
    <w:rsid w:val="009B2111"/>
    <w:rsid w:val="009B27F7"/>
    <w:rsid w:val="009B3104"/>
    <w:rsid w:val="009B4E04"/>
    <w:rsid w:val="009B75D8"/>
    <w:rsid w:val="009B7920"/>
    <w:rsid w:val="009C0D15"/>
    <w:rsid w:val="009C0D51"/>
    <w:rsid w:val="009C1100"/>
    <w:rsid w:val="009C204B"/>
    <w:rsid w:val="009C21E7"/>
    <w:rsid w:val="009C37D9"/>
    <w:rsid w:val="009C3BBF"/>
    <w:rsid w:val="009C3C3E"/>
    <w:rsid w:val="009C4DD0"/>
    <w:rsid w:val="009C53B4"/>
    <w:rsid w:val="009C54C4"/>
    <w:rsid w:val="009C6F63"/>
    <w:rsid w:val="009C6FE2"/>
    <w:rsid w:val="009C7F36"/>
    <w:rsid w:val="009D0493"/>
    <w:rsid w:val="009D2245"/>
    <w:rsid w:val="009D24A5"/>
    <w:rsid w:val="009D3763"/>
    <w:rsid w:val="009D45B3"/>
    <w:rsid w:val="009D4F1C"/>
    <w:rsid w:val="009D5091"/>
    <w:rsid w:val="009D538E"/>
    <w:rsid w:val="009D56C7"/>
    <w:rsid w:val="009D58A5"/>
    <w:rsid w:val="009D6412"/>
    <w:rsid w:val="009E0584"/>
    <w:rsid w:val="009E1BEF"/>
    <w:rsid w:val="009E25D3"/>
    <w:rsid w:val="009E25EA"/>
    <w:rsid w:val="009E2C20"/>
    <w:rsid w:val="009E367D"/>
    <w:rsid w:val="009E45F4"/>
    <w:rsid w:val="009E49FD"/>
    <w:rsid w:val="009E4E66"/>
    <w:rsid w:val="009E78D5"/>
    <w:rsid w:val="009E7E33"/>
    <w:rsid w:val="009F078F"/>
    <w:rsid w:val="009F1021"/>
    <w:rsid w:val="009F1507"/>
    <w:rsid w:val="009F1765"/>
    <w:rsid w:val="009F330D"/>
    <w:rsid w:val="009F3411"/>
    <w:rsid w:val="009F3CF0"/>
    <w:rsid w:val="009F40E5"/>
    <w:rsid w:val="009F4FFF"/>
    <w:rsid w:val="009F53AB"/>
    <w:rsid w:val="009F5529"/>
    <w:rsid w:val="009F5908"/>
    <w:rsid w:val="009F62F0"/>
    <w:rsid w:val="009F644E"/>
    <w:rsid w:val="009F6905"/>
    <w:rsid w:val="009F71EF"/>
    <w:rsid w:val="009F7A7B"/>
    <w:rsid w:val="00A001C9"/>
    <w:rsid w:val="00A015EC"/>
    <w:rsid w:val="00A01AC5"/>
    <w:rsid w:val="00A01B01"/>
    <w:rsid w:val="00A02770"/>
    <w:rsid w:val="00A029F1"/>
    <w:rsid w:val="00A03A63"/>
    <w:rsid w:val="00A042B4"/>
    <w:rsid w:val="00A04B1A"/>
    <w:rsid w:val="00A05756"/>
    <w:rsid w:val="00A06490"/>
    <w:rsid w:val="00A07523"/>
    <w:rsid w:val="00A07525"/>
    <w:rsid w:val="00A079C4"/>
    <w:rsid w:val="00A07BF6"/>
    <w:rsid w:val="00A10D39"/>
    <w:rsid w:val="00A118E4"/>
    <w:rsid w:val="00A11F0A"/>
    <w:rsid w:val="00A12058"/>
    <w:rsid w:val="00A12AE4"/>
    <w:rsid w:val="00A12DA2"/>
    <w:rsid w:val="00A1335C"/>
    <w:rsid w:val="00A13509"/>
    <w:rsid w:val="00A13AEB"/>
    <w:rsid w:val="00A14D18"/>
    <w:rsid w:val="00A1601D"/>
    <w:rsid w:val="00A17231"/>
    <w:rsid w:val="00A17841"/>
    <w:rsid w:val="00A17D5C"/>
    <w:rsid w:val="00A211CA"/>
    <w:rsid w:val="00A21D61"/>
    <w:rsid w:val="00A2260C"/>
    <w:rsid w:val="00A22FBD"/>
    <w:rsid w:val="00A23C49"/>
    <w:rsid w:val="00A247EB"/>
    <w:rsid w:val="00A253E3"/>
    <w:rsid w:val="00A257F6"/>
    <w:rsid w:val="00A25B2D"/>
    <w:rsid w:val="00A271E3"/>
    <w:rsid w:val="00A2784E"/>
    <w:rsid w:val="00A314BB"/>
    <w:rsid w:val="00A32D2E"/>
    <w:rsid w:val="00A333E3"/>
    <w:rsid w:val="00A345C2"/>
    <w:rsid w:val="00A34F6E"/>
    <w:rsid w:val="00A3509B"/>
    <w:rsid w:val="00A35895"/>
    <w:rsid w:val="00A368C4"/>
    <w:rsid w:val="00A36BC7"/>
    <w:rsid w:val="00A377C3"/>
    <w:rsid w:val="00A37C21"/>
    <w:rsid w:val="00A37D86"/>
    <w:rsid w:val="00A40284"/>
    <w:rsid w:val="00A40415"/>
    <w:rsid w:val="00A40D15"/>
    <w:rsid w:val="00A413CB"/>
    <w:rsid w:val="00A41AF2"/>
    <w:rsid w:val="00A41B5D"/>
    <w:rsid w:val="00A41CA3"/>
    <w:rsid w:val="00A422CF"/>
    <w:rsid w:val="00A424AE"/>
    <w:rsid w:val="00A42CB8"/>
    <w:rsid w:val="00A4317A"/>
    <w:rsid w:val="00A43DAC"/>
    <w:rsid w:val="00A43EAB"/>
    <w:rsid w:val="00A44719"/>
    <w:rsid w:val="00A44CEA"/>
    <w:rsid w:val="00A450EB"/>
    <w:rsid w:val="00A4628C"/>
    <w:rsid w:val="00A475F6"/>
    <w:rsid w:val="00A50399"/>
    <w:rsid w:val="00A50ACF"/>
    <w:rsid w:val="00A51F7B"/>
    <w:rsid w:val="00A52065"/>
    <w:rsid w:val="00A52C13"/>
    <w:rsid w:val="00A535CB"/>
    <w:rsid w:val="00A5391F"/>
    <w:rsid w:val="00A551E6"/>
    <w:rsid w:val="00A55DFE"/>
    <w:rsid w:val="00A56254"/>
    <w:rsid w:val="00A562B2"/>
    <w:rsid w:val="00A5664D"/>
    <w:rsid w:val="00A571AA"/>
    <w:rsid w:val="00A57DFF"/>
    <w:rsid w:val="00A6048D"/>
    <w:rsid w:val="00A60863"/>
    <w:rsid w:val="00A60E5B"/>
    <w:rsid w:val="00A61613"/>
    <w:rsid w:val="00A61EA4"/>
    <w:rsid w:val="00A6228A"/>
    <w:rsid w:val="00A62D3C"/>
    <w:rsid w:val="00A62F82"/>
    <w:rsid w:val="00A630E4"/>
    <w:rsid w:val="00A634A8"/>
    <w:rsid w:val="00A63809"/>
    <w:rsid w:val="00A63E52"/>
    <w:rsid w:val="00A64018"/>
    <w:rsid w:val="00A64122"/>
    <w:rsid w:val="00A6469C"/>
    <w:rsid w:val="00A64DB0"/>
    <w:rsid w:val="00A64FC0"/>
    <w:rsid w:val="00A66B79"/>
    <w:rsid w:val="00A67147"/>
    <w:rsid w:val="00A67572"/>
    <w:rsid w:val="00A67748"/>
    <w:rsid w:val="00A67792"/>
    <w:rsid w:val="00A677A6"/>
    <w:rsid w:val="00A70C7B"/>
    <w:rsid w:val="00A70FAA"/>
    <w:rsid w:val="00A7149A"/>
    <w:rsid w:val="00A7154E"/>
    <w:rsid w:val="00A71979"/>
    <w:rsid w:val="00A722E7"/>
    <w:rsid w:val="00A727A7"/>
    <w:rsid w:val="00A728E9"/>
    <w:rsid w:val="00A73178"/>
    <w:rsid w:val="00A7375E"/>
    <w:rsid w:val="00A737FF"/>
    <w:rsid w:val="00A738AD"/>
    <w:rsid w:val="00A73F8E"/>
    <w:rsid w:val="00A743FC"/>
    <w:rsid w:val="00A74584"/>
    <w:rsid w:val="00A747B6"/>
    <w:rsid w:val="00A74977"/>
    <w:rsid w:val="00A74F2C"/>
    <w:rsid w:val="00A7526D"/>
    <w:rsid w:val="00A75860"/>
    <w:rsid w:val="00A77E98"/>
    <w:rsid w:val="00A8094D"/>
    <w:rsid w:val="00A8117F"/>
    <w:rsid w:val="00A81435"/>
    <w:rsid w:val="00A8165F"/>
    <w:rsid w:val="00A81683"/>
    <w:rsid w:val="00A81A6F"/>
    <w:rsid w:val="00A8416B"/>
    <w:rsid w:val="00A8431C"/>
    <w:rsid w:val="00A84A7D"/>
    <w:rsid w:val="00A84B8C"/>
    <w:rsid w:val="00A85BD3"/>
    <w:rsid w:val="00A86013"/>
    <w:rsid w:val="00A86378"/>
    <w:rsid w:val="00A86AED"/>
    <w:rsid w:val="00A8700D"/>
    <w:rsid w:val="00A8769F"/>
    <w:rsid w:val="00A879CF"/>
    <w:rsid w:val="00A879D4"/>
    <w:rsid w:val="00A87F50"/>
    <w:rsid w:val="00A90EB7"/>
    <w:rsid w:val="00A90F7B"/>
    <w:rsid w:val="00A91423"/>
    <w:rsid w:val="00A91DD2"/>
    <w:rsid w:val="00A92031"/>
    <w:rsid w:val="00A92390"/>
    <w:rsid w:val="00A9295E"/>
    <w:rsid w:val="00A92B41"/>
    <w:rsid w:val="00A9417B"/>
    <w:rsid w:val="00A941AA"/>
    <w:rsid w:val="00A949CB"/>
    <w:rsid w:val="00A9634D"/>
    <w:rsid w:val="00A96F67"/>
    <w:rsid w:val="00AA0434"/>
    <w:rsid w:val="00AA06C8"/>
    <w:rsid w:val="00AA0985"/>
    <w:rsid w:val="00AA16FF"/>
    <w:rsid w:val="00AA183C"/>
    <w:rsid w:val="00AA191F"/>
    <w:rsid w:val="00AA36A1"/>
    <w:rsid w:val="00AA3B58"/>
    <w:rsid w:val="00AA3E51"/>
    <w:rsid w:val="00AA410F"/>
    <w:rsid w:val="00AA55FB"/>
    <w:rsid w:val="00AA577F"/>
    <w:rsid w:val="00AA59BC"/>
    <w:rsid w:val="00AA59C8"/>
    <w:rsid w:val="00AA5D24"/>
    <w:rsid w:val="00AA6622"/>
    <w:rsid w:val="00AA7A60"/>
    <w:rsid w:val="00AB05D3"/>
    <w:rsid w:val="00AB14D6"/>
    <w:rsid w:val="00AB16F5"/>
    <w:rsid w:val="00AB31BB"/>
    <w:rsid w:val="00AB3D91"/>
    <w:rsid w:val="00AB3FF0"/>
    <w:rsid w:val="00AB463C"/>
    <w:rsid w:val="00AB49F7"/>
    <w:rsid w:val="00AB4B37"/>
    <w:rsid w:val="00AB4BD4"/>
    <w:rsid w:val="00AB5588"/>
    <w:rsid w:val="00AB5A32"/>
    <w:rsid w:val="00AB5A55"/>
    <w:rsid w:val="00AB6286"/>
    <w:rsid w:val="00AB6814"/>
    <w:rsid w:val="00AC04FF"/>
    <w:rsid w:val="00AC050C"/>
    <w:rsid w:val="00AC1136"/>
    <w:rsid w:val="00AC12E9"/>
    <w:rsid w:val="00AC139B"/>
    <w:rsid w:val="00AC1426"/>
    <w:rsid w:val="00AC21B0"/>
    <w:rsid w:val="00AC25E9"/>
    <w:rsid w:val="00AC2CE8"/>
    <w:rsid w:val="00AC31A8"/>
    <w:rsid w:val="00AC34DC"/>
    <w:rsid w:val="00AC3CC7"/>
    <w:rsid w:val="00AC5064"/>
    <w:rsid w:val="00AC58BB"/>
    <w:rsid w:val="00AC60C2"/>
    <w:rsid w:val="00AC6571"/>
    <w:rsid w:val="00AC70B0"/>
    <w:rsid w:val="00AD07CC"/>
    <w:rsid w:val="00AD08AE"/>
    <w:rsid w:val="00AD0E74"/>
    <w:rsid w:val="00AD2AAE"/>
    <w:rsid w:val="00AD3951"/>
    <w:rsid w:val="00AD4248"/>
    <w:rsid w:val="00AD5165"/>
    <w:rsid w:val="00AD5229"/>
    <w:rsid w:val="00AD52DB"/>
    <w:rsid w:val="00AD552A"/>
    <w:rsid w:val="00AD68FF"/>
    <w:rsid w:val="00AD6A79"/>
    <w:rsid w:val="00AD6E5F"/>
    <w:rsid w:val="00AD74EC"/>
    <w:rsid w:val="00AD781B"/>
    <w:rsid w:val="00AE0108"/>
    <w:rsid w:val="00AE0CB7"/>
    <w:rsid w:val="00AE1403"/>
    <w:rsid w:val="00AE1E87"/>
    <w:rsid w:val="00AE2639"/>
    <w:rsid w:val="00AE2E4F"/>
    <w:rsid w:val="00AE31A6"/>
    <w:rsid w:val="00AE395B"/>
    <w:rsid w:val="00AE5218"/>
    <w:rsid w:val="00AE69C7"/>
    <w:rsid w:val="00AE7CA9"/>
    <w:rsid w:val="00AF0356"/>
    <w:rsid w:val="00AF06D1"/>
    <w:rsid w:val="00AF1437"/>
    <w:rsid w:val="00AF1761"/>
    <w:rsid w:val="00AF2192"/>
    <w:rsid w:val="00AF230B"/>
    <w:rsid w:val="00AF2A86"/>
    <w:rsid w:val="00AF2D33"/>
    <w:rsid w:val="00AF3624"/>
    <w:rsid w:val="00AF3D56"/>
    <w:rsid w:val="00AF3F9F"/>
    <w:rsid w:val="00AF425F"/>
    <w:rsid w:val="00AF43CC"/>
    <w:rsid w:val="00AF469C"/>
    <w:rsid w:val="00AF4F52"/>
    <w:rsid w:val="00AF5E4F"/>
    <w:rsid w:val="00AF6918"/>
    <w:rsid w:val="00AF7945"/>
    <w:rsid w:val="00AF7AEB"/>
    <w:rsid w:val="00B0056F"/>
    <w:rsid w:val="00B00D69"/>
    <w:rsid w:val="00B01174"/>
    <w:rsid w:val="00B01307"/>
    <w:rsid w:val="00B03CE7"/>
    <w:rsid w:val="00B04240"/>
    <w:rsid w:val="00B042C7"/>
    <w:rsid w:val="00B04B78"/>
    <w:rsid w:val="00B068B5"/>
    <w:rsid w:val="00B06959"/>
    <w:rsid w:val="00B069EB"/>
    <w:rsid w:val="00B06C3C"/>
    <w:rsid w:val="00B071F2"/>
    <w:rsid w:val="00B0753F"/>
    <w:rsid w:val="00B1012F"/>
    <w:rsid w:val="00B1108B"/>
    <w:rsid w:val="00B11F4E"/>
    <w:rsid w:val="00B14309"/>
    <w:rsid w:val="00B1588E"/>
    <w:rsid w:val="00B16E31"/>
    <w:rsid w:val="00B16F8E"/>
    <w:rsid w:val="00B17652"/>
    <w:rsid w:val="00B17CE6"/>
    <w:rsid w:val="00B2082A"/>
    <w:rsid w:val="00B21031"/>
    <w:rsid w:val="00B21081"/>
    <w:rsid w:val="00B2142E"/>
    <w:rsid w:val="00B215C5"/>
    <w:rsid w:val="00B21E69"/>
    <w:rsid w:val="00B22FA7"/>
    <w:rsid w:val="00B23079"/>
    <w:rsid w:val="00B236DE"/>
    <w:rsid w:val="00B23E89"/>
    <w:rsid w:val="00B24522"/>
    <w:rsid w:val="00B24661"/>
    <w:rsid w:val="00B24B22"/>
    <w:rsid w:val="00B250C5"/>
    <w:rsid w:val="00B259B8"/>
    <w:rsid w:val="00B26380"/>
    <w:rsid w:val="00B26555"/>
    <w:rsid w:val="00B2670C"/>
    <w:rsid w:val="00B26DE4"/>
    <w:rsid w:val="00B27039"/>
    <w:rsid w:val="00B27DF2"/>
    <w:rsid w:val="00B303BE"/>
    <w:rsid w:val="00B3058F"/>
    <w:rsid w:val="00B30F2C"/>
    <w:rsid w:val="00B31523"/>
    <w:rsid w:val="00B31917"/>
    <w:rsid w:val="00B31A93"/>
    <w:rsid w:val="00B31B51"/>
    <w:rsid w:val="00B32A3C"/>
    <w:rsid w:val="00B32CF4"/>
    <w:rsid w:val="00B3316E"/>
    <w:rsid w:val="00B335E4"/>
    <w:rsid w:val="00B34941"/>
    <w:rsid w:val="00B35943"/>
    <w:rsid w:val="00B35AB2"/>
    <w:rsid w:val="00B35DA2"/>
    <w:rsid w:val="00B3656F"/>
    <w:rsid w:val="00B36D32"/>
    <w:rsid w:val="00B37475"/>
    <w:rsid w:val="00B4088B"/>
    <w:rsid w:val="00B41916"/>
    <w:rsid w:val="00B43C65"/>
    <w:rsid w:val="00B45766"/>
    <w:rsid w:val="00B45EAE"/>
    <w:rsid w:val="00B46078"/>
    <w:rsid w:val="00B4680C"/>
    <w:rsid w:val="00B474E2"/>
    <w:rsid w:val="00B47B43"/>
    <w:rsid w:val="00B47DF2"/>
    <w:rsid w:val="00B50672"/>
    <w:rsid w:val="00B5082E"/>
    <w:rsid w:val="00B50C70"/>
    <w:rsid w:val="00B510CD"/>
    <w:rsid w:val="00B51AB2"/>
    <w:rsid w:val="00B51F69"/>
    <w:rsid w:val="00B53D65"/>
    <w:rsid w:val="00B546D4"/>
    <w:rsid w:val="00B54AD3"/>
    <w:rsid w:val="00B54CF7"/>
    <w:rsid w:val="00B5567B"/>
    <w:rsid w:val="00B559D6"/>
    <w:rsid w:val="00B562A9"/>
    <w:rsid w:val="00B566CB"/>
    <w:rsid w:val="00B5765D"/>
    <w:rsid w:val="00B57E98"/>
    <w:rsid w:val="00B60DD1"/>
    <w:rsid w:val="00B60E7F"/>
    <w:rsid w:val="00B6283A"/>
    <w:rsid w:val="00B62AF8"/>
    <w:rsid w:val="00B63163"/>
    <w:rsid w:val="00B63376"/>
    <w:rsid w:val="00B63ED9"/>
    <w:rsid w:val="00B64082"/>
    <w:rsid w:val="00B642FF"/>
    <w:rsid w:val="00B64507"/>
    <w:rsid w:val="00B64679"/>
    <w:rsid w:val="00B6499B"/>
    <w:rsid w:val="00B65292"/>
    <w:rsid w:val="00B6676A"/>
    <w:rsid w:val="00B66CE8"/>
    <w:rsid w:val="00B67A11"/>
    <w:rsid w:val="00B7097A"/>
    <w:rsid w:val="00B71BA4"/>
    <w:rsid w:val="00B73C1D"/>
    <w:rsid w:val="00B74430"/>
    <w:rsid w:val="00B75CD7"/>
    <w:rsid w:val="00B75F10"/>
    <w:rsid w:val="00B75FF0"/>
    <w:rsid w:val="00B76850"/>
    <w:rsid w:val="00B76AA8"/>
    <w:rsid w:val="00B7784E"/>
    <w:rsid w:val="00B80729"/>
    <w:rsid w:val="00B80BE1"/>
    <w:rsid w:val="00B80C53"/>
    <w:rsid w:val="00B81FE5"/>
    <w:rsid w:val="00B82618"/>
    <w:rsid w:val="00B8269B"/>
    <w:rsid w:val="00B83332"/>
    <w:rsid w:val="00B83F62"/>
    <w:rsid w:val="00B8409F"/>
    <w:rsid w:val="00B843C0"/>
    <w:rsid w:val="00B84D2C"/>
    <w:rsid w:val="00B84EED"/>
    <w:rsid w:val="00B86887"/>
    <w:rsid w:val="00B8786E"/>
    <w:rsid w:val="00B879F4"/>
    <w:rsid w:val="00B87E3B"/>
    <w:rsid w:val="00B901F4"/>
    <w:rsid w:val="00B90658"/>
    <w:rsid w:val="00B90779"/>
    <w:rsid w:val="00B90816"/>
    <w:rsid w:val="00B90CBF"/>
    <w:rsid w:val="00B90E95"/>
    <w:rsid w:val="00B91119"/>
    <w:rsid w:val="00B91927"/>
    <w:rsid w:val="00B92FE4"/>
    <w:rsid w:val="00B93AC2"/>
    <w:rsid w:val="00B94305"/>
    <w:rsid w:val="00B94835"/>
    <w:rsid w:val="00B96A89"/>
    <w:rsid w:val="00B974C8"/>
    <w:rsid w:val="00B9754E"/>
    <w:rsid w:val="00B97568"/>
    <w:rsid w:val="00B97F3B"/>
    <w:rsid w:val="00BA01B3"/>
    <w:rsid w:val="00BA06DE"/>
    <w:rsid w:val="00BA08A6"/>
    <w:rsid w:val="00BA0DC5"/>
    <w:rsid w:val="00BA0F6B"/>
    <w:rsid w:val="00BA0F7C"/>
    <w:rsid w:val="00BA1321"/>
    <w:rsid w:val="00BA3F18"/>
    <w:rsid w:val="00BA461F"/>
    <w:rsid w:val="00BA4706"/>
    <w:rsid w:val="00BA4872"/>
    <w:rsid w:val="00BA5326"/>
    <w:rsid w:val="00BA5CF1"/>
    <w:rsid w:val="00BA6346"/>
    <w:rsid w:val="00BA6F2F"/>
    <w:rsid w:val="00BA7561"/>
    <w:rsid w:val="00BA7694"/>
    <w:rsid w:val="00BB023E"/>
    <w:rsid w:val="00BB15E2"/>
    <w:rsid w:val="00BB1861"/>
    <w:rsid w:val="00BB19BD"/>
    <w:rsid w:val="00BB1F86"/>
    <w:rsid w:val="00BB248A"/>
    <w:rsid w:val="00BB2925"/>
    <w:rsid w:val="00BB2B75"/>
    <w:rsid w:val="00BB2DAC"/>
    <w:rsid w:val="00BB2FAB"/>
    <w:rsid w:val="00BB3DCF"/>
    <w:rsid w:val="00BB498B"/>
    <w:rsid w:val="00BB5642"/>
    <w:rsid w:val="00BB5C27"/>
    <w:rsid w:val="00BB6002"/>
    <w:rsid w:val="00BB6016"/>
    <w:rsid w:val="00BB63DF"/>
    <w:rsid w:val="00BB669D"/>
    <w:rsid w:val="00BB6FCA"/>
    <w:rsid w:val="00BB750D"/>
    <w:rsid w:val="00BB7762"/>
    <w:rsid w:val="00BB7B4C"/>
    <w:rsid w:val="00BC072D"/>
    <w:rsid w:val="00BC0F73"/>
    <w:rsid w:val="00BC1E10"/>
    <w:rsid w:val="00BC242F"/>
    <w:rsid w:val="00BC34C0"/>
    <w:rsid w:val="00BC3862"/>
    <w:rsid w:val="00BC4837"/>
    <w:rsid w:val="00BC4F5A"/>
    <w:rsid w:val="00BC5039"/>
    <w:rsid w:val="00BC5068"/>
    <w:rsid w:val="00BC513A"/>
    <w:rsid w:val="00BC5AFF"/>
    <w:rsid w:val="00BC5B3B"/>
    <w:rsid w:val="00BC5C84"/>
    <w:rsid w:val="00BC6017"/>
    <w:rsid w:val="00BC682E"/>
    <w:rsid w:val="00BC77B2"/>
    <w:rsid w:val="00BC7C42"/>
    <w:rsid w:val="00BC7E65"/>
    <w:rsid w:val="00BD024F"/>
    <w:rsid w:val="00BD1DE5"/>
    <w:rsid w:val="00BD22EC"/>
    <w:rsid w:val="00BD2940"/>
    <w:rsid w:val="00BD3843"/>
    <w:rsid w:val="00BD4053"/>
    <w:rsid w:val="00BD430C"/>
    <w:rsid w:val="00BD4560"/>
    <w:rsid w:val="00BD456D"/>
    <w:rsid w:val="00BD4581"/>
    <w:rsid w:val="00BD4995"/>
    <w:rsid w:val="00BD5005"/>
    <w:rsid w:val="00BD50C8"/>
    <w:rsid w:val="00BD5C62"/>
    <w:rsid w:val="00BD699F"/>
    <w:rsid w:val="00BD7459"/>
    <w:rsid w:val="00BD75C2"/>
    <w:rsid w:val="00BD7982"/>
    <w:rsid w:val="00BE19D3"/>
    <w:rsid w:val="00BE1BD2"/>
    <w:rsid w:val="00BE1CBE"/>
    <w:rsid w:val="00BE249E"/>
    <w:rsid w:val="00BE3259"/>
    <w:rsid w:val="00BE3370"/>
    <w:rsid w:val="00BE3FF0"/>
    <w:rsid w:val="00BE49DC"/>
    <w:rsid w:val="00BE4B61"/>
    <w:rsid w:val="00BE4C7E"/>
    <w:rsid w:val="00BE57C7"/>
    <w:rsid w:val="00BE6181"/>
    <w:rsid w:val="00BE6255"/>
    <w:rsid w:val="00BE7615"/>
    <w:rsid w:val="00BF02BF"/>
    <w:rsid w:val="00BF1342"/>
    <w:rsid w:val="00BF162E"/>
    <w:rsid w:val="00BF206D"/>
    <w:rsid w:val="00BF33D6"/>
    <w:rsid w:val="00BF4E9D"/>
    <w:rsid w:val="00BF5AF5"/>
    <w:rsid w:val="00BF5D89"/>
    <w:rsid w:val="00BF5D8B"/>
    <w:rsid w:val="00BF715A"/>
    <w:rsid w:val="00BF7769"/>
    <w:rsid w:val="00BF7997"/>
    <w:rsid w:val="00C0029E"/>
    <w:rsid w:val="00C003CE"/>
    <w:rsid w:val="00C00C76"/>
    <w:rsid w:val="00C00FE2"/>
    <w:rsid w:val="00C01565"/>
    <w:rsid w:val="00C01A90"/>
    <w:rsid w:val="00C01E46"/>
    <w:rsid w:val="00C02923"/>
    <w:rsid w:val="00C029A6"/>
    <w:rsid w:val="00C02DF5"/>
    <w:rsid w:val="00C03CA6"/>
    <w:rsid w:val="00C04721"/>
    <w:rsid w:val="00C04B33"/>
    <w:rsid w:val="00C05301"/>
    <w:rsid w:val="00C05372"/>
    <w:rsid w:val="00C053BF"/>
    <w:rsid w:val="00C0554B"/>
    <w:rsid w:val="00C0657E"/>
    <w:rsid w:val="00C06F0E"/>
    <w:rsid w:val="00C1087A"/>
    <w:rsid w:val="00C1121F"/>
    <w:rsid w:val="00C1134F"/>
    <w:rsid w:val="00C1170C"/>
    <w:rsid w:val="00C1175E"/>
    <w:rsid w:val="00C117C2"/>
    <w:rsid w:val="00C12E26"/>
    <w:rsid w:val="00C14439"/>
    <w:rsid w:val="00C1528F"/>
    <w:rsid w:val="00C162AC"/>
    <w:rsid w:val="00C17E24"/>
    <w:rsid w:val="00C20DBE"/>
    <w:rsid w:val="00C21349"/>
    <w:rsid w:val="00C2183A"/>
    <w:rsid w:val="00C2192D"/>
    <w:rsid w:val="00C226EE"/>
    <w:rsid w:val="00C22C4C"/>
    <w:rsid w:val="00C22ED8"/>
    <w:rsid w:val="00C2384E"/>
    <w:rsid w:val="00C23A53"/>
    <w:rsid w:val="00C23CC9"/>
    <w:rsid w:val="00C24AD8"/>
    <w:rsid w:val="00C25129"/>
    <w:rsid w:val="00C25915"/>
    <w:rsid w:val="00C267B9"/>
    <w:rsid w:val="00C27609"/>
    <w:rsid w:val="00C31E81"/>
    <w:rsid w:val="00C32A35"/>
    <w:rsid w:val="00C32B2F"/>
    <w:rsid w:val="00C33EB6"/>
    <w:rsid w:val="00C3400E"/>
    <w:rsid w:val="00C34038"/>
    <w:rsid w:val="00C34804"/>
    <w:rsid w:val="00C34916"/>
    <w:rsid w:val="00C34B59"/>
    <w:rsid w:val="00C35DEC"/>
    <w:rsid w:val="00C361E0"/>
    <w:rsid w:val="00C3676D"/>
    <w:rsid w:val="00C377E3"/>
    <w:rsid w:val="00C37A76"/>
    <w:rsid w:val="00C37C6C"/>
    <w:rsid w:val="00C40B0C"/>
    <w:rsid w:val="00C40D25"/>
    <w:rsid w:val="00C417D0"/>
    <w:rsid w:val="00C417E4"/>
    <w:rsid w:val="00C4212C"/>
    <w:rsid w:val="00C42432"/>
    <w:rsid w:val="00C42A90"/>
    <w:rsid w:val="00C42F88"/>
    <w:rsid w:val="00C447B7"/>
    <w:rsid w:val="00C466C6"/>
    <w:rsid w:val="00C46F6A"/>
    <w:rsid w:val="00C4715C"/>
    <w:rsid w:val="00C5017E"/>
    <w:rsid w:val="00C5022F"/>
    <w:rsid w:val="00C504DC"/>
    <w:rsid w:val="00C510F0"/>
    <w:rsid w:val="00C51D29"/>
    <w:rsid w:val="00C51FDC"/>
    <w:rsid w:val="00C5307D"/>
    <w:rsid w:val="00C54132"/>
    <w:rsid w:val="00C5470D"/>
    <w:rsid w:val="00C54DB4"/>
    <w:rsid w:val="00C575DC"/>
    <w:rsid w:val="00C579CA"/>
    <w:rsid w:val="00C57BD0"/>
    <w:rsid w:val="00C57CF1"/>
    <w:rsid w:val="00C6011E"/>
    <w:rsid w:val="00C601A5"/>
    <w:rsid w:val="00C609F2"/>
    <w:rsid w:val="00C619DF"/>
    <w:rsid w:val="00C61D58"/>
    <w:rsid w:val="00C61DFB"/>
    <w:rsid w:val="00C63A2E"/>
    <w:rsid w:val="00C645EC"/>
    <w:rsid w:val="00C65E4F"/>
    <w:rsid w:val="00C66264"/>
    <w:rsid w:val="00C662B8"/>
    <w:rsid w:val="00C66D13"/>
    <w:rsid w:val="00C6774C"/>
    <w:rsid w:val="00C67CFE"/>
    <w:rsid w:val="00C70290"/>
    <w:rsid w:val="00C7046B"/>
    <w:rsid w:val="00C70DA1"/>
    <w:rsid w:val="00C712C8"/>
    <w:rsid w:val="00C71600"/>
    <w:rsid w:val="00C722D6"/>
    <w:rsid w:val="00C72321"/>
    <w:rsid w:val="00C723FF"/>
    <w:rsid w:val="00C729E9"/>
    <w:rsid w:val="00C72A6D"/>
    <w:rsid w:val="00C74407"/>
    <w:rsid w:val="00C748B8"/>
    <w:rsid w:val="00C74B4C"/>
    <w:rsid w:val="00C7504E"/>
    <w:rsid w:val="00C759D4"/>
    <w:rsid w:val="00C76F23"/>
    <w:rsid w:val="00C773DE"/>
    <w:rsid w:val="00C801A8"/>
    <w:rsid w:val="00C81658"/>
    <w:rsid w:val="00C81833"/>
    <w:rsid w:val="00C82A5E"/>
    <w:rsid w:val="00C82BC8"/>
    <w:rsid w:val="00C82CC1"/>
    <w:rsid w:val="00C8365D"/>
    <w:rsid w:val="00C83D94"/>
    <w:rsid w:val="00C8440B"/>
    <w:rsid w:val="00C847E3"/>
    <w:rsid w:val="00C854C5"/>
    <w:rsid w:val="00C854D1"/>
    <w:rsid w:val="00C858EB"/>
    <w:rsid w:val="00C85AB1"/>
    <w:rsid w:val="00C85CB2"/>
    <w:rsid w:val="00C868CD"/>
    <w:rsid w:val="00C87264"/>
    <w:rsid w:val="00C905CB"/>
    <w:rsid w:val="00C90656"/>
    <w:rsid w:val="00C90A6B"/>
    <w:rsid w:val="00C90CC8"/>
    <w:rsid w:val="00C90FF0"/>
    <w:rsid w:val="00C91457"/>
    <w:rsid w:val="00C916F6"/>
    <w:rsid w:val="00C92435"/>
    <w:rsid w:val="00C926FA"/>
    <w:rsid w:val="00C92C72"/>
    <w:rsid w:val="00C92D71"/>
    <w:rsid w:val="00C92E53"/>
    <w:rsid w:val="00C930AA"/>
    <w:rsid w:val="00C93AB8"/>
    <w:rsid w:val="00C93AC2"/>
    <w:rsid w:val="00C941EC"/>
    <w:rsid w:val="00C94466"/>
    <w:rsid w:val="00C94A22"/>
    <w:rsid w:val="00C94CC9"/>
    <w:rsid w:val="00C95663"/>
    <w:rsid w:val="00C956AC"/>
    <w:rsid w:val="00C95FC2"/>
    <w:rsid w:val="00C9669C"/>
    <w:rsid w:val="00C974A4"/>
    <w:rsid w:val="00C97552"/>
    <w:rsid w:val="00C9764B"/>
    <w:rsid w:val="00C97B25"/>
    <w:rsid w:val="00C97FD6"/>
    <w:rsid w:val="00CA0652"/>
    <w:rsid w:val="00CA15D8"/>
    <w:rsid w:val="00CA17C9"/>
    <w:rsid w:val="00CA224E"/>
    <w:rsid w:val="00CA2559"/>
    <w:rsid w:val="00CA27B1"/>
    <w:rsid w:val="00CA27CB"/>
    <w:rsid w:val="00CA328F"/>
    <w:rsid w:val="00CA39E1"/>
    <w:rsid w:val="00CA4A13"/>
    <w:rsid w:val="00CA4C54"/>
    <w:rsid w:val="00CA4F72"/>
    <w:rsid w:val="00CA5B29"/>
    <w:rsid w:val="00CA6B76"/>
    <w:rsid w:val="00CA7CB4"/>
    <w:rsid w:val="00CA7D07"/>
    <w:rsid w:val="00CA7DC1"/>
    <w:rsid w:val="00CB058C"/>
    <w:rsid w:val="00CB0900"/>
    <w:rsid w:val="00CB2D82"/>
    <w:rsid w:val="00CB4946"/>
    <w:rsid w:val="00CB4C54"/>
    <w:rsid w:val="00CB4E09"/>
    <w:rsid w:val="00CB5B78"/>
    <w:rsid w:val="00CB5D02"/>
    <w:rsid w:val="00CB6EE6"/>
    <w:rsid w:val="00CB72F3"/>
    <w:rsid w:val="00CB73E8"/>
    <w:rsid w:val="00CB7538"/>
    <w:rsid w:val="00CB7770"/>
    <w:rsid w:val="00CB7A89"/>
    <w:rsid w:val="00CC00D8"/>
    <w:rsid w:val="00CC13F0"/>
    <w:rsid w:val="00CC14B3"/>
    <w:rsid w:val="00CC2AC6"/>
    <w:rsid w:val="00CC2BAB"/>
    <w:rsid w:val="00CC3BB8"/>
    <w:rsid w:val="00CC44FF"/>
    <w:rsid w:val="00CC56DC"/>
    <w:rsid w:val="00CC575A"/>
    <w:rsid w:val="00CC5A09"/>
    <w:rsid w:val="00CC6B99"/>
    <w:rsid w:val="00CC772A"/>
    <w:rsid w:val="00CC79D5"/>
    <w:rsid w:val="00CD0AA7"/>
    <w:rsid w:val="00CD1282"/>
    <w:rsid w:val="00CD160C"/>
    <w:rsid w:val="00CD166D"/>
    <w:rsid w:val="00CD32B5"/>
    <w:rsid w:val="00CD33D0"/>
    <w:rsid w:val="00CD3CD9"/>
    <w:rsid w:val="00CD46E3"/>
    <w:rsid w:val="00CD48B7"/>
    <w:rsid w:val="00CD4B46"/>
    <w:rsid w:val="00CD6007"/>
    <w:rsid w:val="00CD600A"/>
    <w:rsid w:val="00CD7414"/>
    <w:rsid w:val="00CD76BC"/>
    <w:rsid w:val="00CD79E5"/>
    <w:rsid w:val="00CD7B17"/>
    <w:rsid w:val="00CE0034"/>
    <w:rsid w:val="00CE0F2E"/>
    <w:rsid w:val="00CE1139"/>
    <w:rsid w:val="00CE16E1"/>
    <w:rsid w:val="00CE23B0"/>
    <w:rsid w:val="00CE2C2D"/>
    <w:rsid w:val="00CE30F6"/>
    <w:rsid w:val="00CE33A1"/>
    <w:rsid w:val="00CE619F"/>
    <w:rsid w:val="00CE6801"/>
    <w:rsid w:val="00CE6CE6"/>
    <w:rsid w:val="00CE78EF"/>
    <w:rsid w:val="00CF079E"/>
    <w:rsid w:val="00CF1C38"/>
    <w:rsid w:val="00CF22CD"/>
    <w:rsid w:val="00CF2CC0"/>
    <w:rsid w:val="00CF2DB3"/>
    <w:rsid w:val="00CF2E90"/>
    <w:rsid w:val="00CF306F"/>
    <w:rsid w:val="00CF393F"/>
    <w:rsid w:val="00CF3CE4"/>
    <w:rsid w:val="00CF4957"/>
    <w:rsid w:val="00CF4B2A"/>
    <w:rsid w:val="00CF4EB4"/>
    <w:rsid w:val="00CF5AD4"/>
    <w:rsid w:val="00CF5EFB"/>
    <w:rsid w:val="00CF645C"/>
    <w:rsid w:val="00CF76E2"/>
    <w:rsid w:val="00D005D7"/>
    <w:rsid w:val="00D00E23"/>
    <w:rsid w:val="00D01D32"/>
    <w:rsid w:val="00D01E4D"/>
    <w:rsid w:val="00D01F64"/>
    <w:rsid w:val="00D0239D"/>
    <w:rsid w:val="00D02464"/>
    <w:rsid w:val="00D02D62"/>
    <w:rsid w:val="00D02DF2"/>
    <w:rsid w:val="00D03F3C"/>
    <w:rsid w:val="00D04720"/>
    <w:rsid w:val="00D0516B"/>
    <w:rsid w:val="00D056A8"/>
    <w:rsid w:val="00D05D92"/>
    <w:rsid w:val="00D05F28"/>
    <w:rsid w:val="00D07010"/>
    <w:rsid w:val="00D07393"/>
    <w:rsid w:val="00D07ECC"/>
    <w:rsid w:val="00D07EE5"/>
    <w:rsid w:val="00D12A01"/>
    <w:rsid w:val="00D13B04"/>
    <w:rsid w:val="00D13C51"/>
    <w:rsid w:val="00D13F9C"/>
    <w:rsid w:val="00D1518F"/>
    <w:rsid w:val="00D15ABD"/>
    <w:rsid w:val="00D15E1F"/>
    <w:rsid w:val="00D16DEB"/>
    <w:rsid w:val="00D16E99"/>
    <w:rsid w:val="00D1773B"/>
    <w:rsid w:val="00D17B88"/>
    <w:rsid w:val="00D17BF8"/>
    <w:rsid w:val="00D17E39"/>
    <w:rsid w:val="00D17EAD"/>
    <w:rsid w:val="00D206AE"/>
    <w:rsid w:val="00D206F1"/>
    <w:rsid w:val="00D20B23"/>
    <w:rsid w:val="00D2173C"/>
    <w:rsid w:val="00D21890"/>
    <w:rsid w:val="00D21966"/>
    <w:rsid w:val="00D21D6B"/>
    <w:rsid w:val="00D22D1D"/>
    <w:rsid w:val="00D22E29"/>
    <w:rsid w:val="00D22FDB"/>
    <w:rsid w:val="00D23A35"/>
    <w:rsid w:val="00D23F7C"/>
    <w:rsid w:val="00D240AA"/>
    <w:rsid w:val="00D24355"/>
    <w:rsid w:val="00D2453D"/>
    <w:rsid w:val="00D24BCD"/>
    <w:rsid w:val="00D24E95"/>
    <w:rsid w:val="00D25D4E"/>
    <w:rsid w:val="00D26230"/>
    <w:rsid w:val="00D26496"/>
    <w:rsid w:val="00D266FE"/>
    <w:rsid w:val="00D279AC"/>
    <w:rsid w:val="00D27AC3"/>
    <w:rsid w:val="00D27DC3"/>
    <w:rsid w:val="00D27E91"/>
    <w:rsid w:val="00D30140"/>
    <w:rsid w:val="00D3113E"/>
    <w:rsid w:val="00D3164B"/>
    <w:rsid w:val="00D3210C"/>
    <w:rsid w:val="00D32427"/>
    <w:rsid w:val="00D32650"/>
    <w:rsid w:val="00D34297"/>
    <w:rsid w:val="00D35036"/>
    <w:rsid w:val="00D35479"/>
    <w:rsid w:val="00D36131"/>
    <w:rsid w:val="00D365F6"/>
    <w:rsid w:val="00D369E4"/>
    <w:rsid w:val="00D3700A"/>
    <w:rsid w:val="00D372C5"/>
    <w:rsid w:val="00D37895"/>
    <w:rsid w:val="00D37923"/>
    <w:rsid w:val="00D37B45"/>
    <w:rsid w:val="00D40149"/>
    <w:rsid w:val="00D4101F"/>
    <w:rsid w:val="00D410E8"/>
    <w:rsid w:val="00D41158"/>
    <w:rsid w:val="00D414C8"/>
    <w:rsid w:val="00D415D4"/>
    <w:rsid w:val="00D41EFC"/>
    <w:rsid w:val="00D432D6"/>
    <w:rsid w:val="00D43DA7"/>
    <w:rsid w:val="00D440A4"/>
    <w:rsid w:val="00D44B80"/>
    <w:rsid w:val="00D46703"/>
    <w:rsid w:val="00D46B46"/>
    <w:rsid w:val="00D4758D"/>
    <w:rsid w:val="00D47C3B"/>
    <w:rsid w:val="00D501A2"/>
    <w:rsid w:val="00D507D2"/>
    <w:rsid w:val="00D50A47"/>
    <w:rsid w:val="00D50FA2"/>
    <w:rsid w:val="00D513EB"/>
    <w:rsid w:val="00D5239B"/>
    <w:rsid w:val="00D525F7"/>
    <w:rsid w:val="00D52981"/>
    <w:rsid w:val="00D536F9"/>
    <w:rsid w:val="00D54711"/>
    <w:rsid w:val="00D5564A"/>
    <w:rsid w:val="00D55A75"/>
    <w:rsid w:val="00D55BD9"/>
    <w:rsid w:val="00D56B0A"/>
    <w:rsid w:val="00D57488"/>
    <w:rsid w:val="00D57B6E"/>
    <w:rsid w:val="00D57F71"/>
    <w:rsid w:val="00D6045A"/>
    <w:rsid w:val="00D61135"/>
    <w:rsid w:val="00D624A9"/>
    <w:rsid w:val="00D62E5F"/>
    <w:rsid w:val="00D63801"/>
    <w:rsid w:val="00D640D1"/>
    <w:rsid w:val="00D6411B"/>
    <w:rsid w:val="00D642D5"/>
    <w:rsid w:val="00D64A9C"/>
    <w:rsid w:val="00D652DF"/>
    <w:rsid w:val="00D65FF7"/>
    <w:rsid w:val="00D66237"/>
    <w:rsid w:val="00D66628"/>
    <w:rsid w:val="00D66C6D"/>
    <w:rsid w:val="00D66FAA"/>
    <w:rsid w:val="00D701F3"/>
    <w:rsid w:val="00D7071D"/>
    <w:rsid w:val="00D707B6"/>
    <w:rsid w:val="00D71229"/>
    <w:rsid w:val="00D71ABC"/>
    <w:rsid w:val="00D71FD0"/>
    <w:rsid w:val="00D720EE"/>
    <w:rsid w:val="00D7385E"/>
    <w:rsid w:val="00D73CC0"/>
    <w:rsid w:val="00D74B3C"/>
    <w:rsid w:val="00D74E2B"/>
    <w:rsid w:val="00D757C7"/>
    <w:rsid w:val="00D75D7C"/>
    <w:rsid w:val="00D76A9D"/>
    <w:rsid w:val="00D76C36"/>
    <w:rsid w:val="00D76F85"/>
    <w:rsid w:val="00D7700B"/>
    <w:rsid w:val="00D77BFE"/>
    <w:rsid w:val="00D805DF"/>
    <w:rsid w:val="00D806FC"/>
    <w:rsid w:val="00D80F36"/>
    <w:rsid w:val="00D812EA"/>
    <w:rsid w:val="00D815A0"/>
    <w:rsid w:val="00D81757"/>
    <w:rsid w:val="00D81BF2"/>
    <w:rsid w:val="00D81C7D"/>
    <w:rsid w:val="00D82593"/>
    <w:rsid w:val="00D82875"/>
    <w:rsid w:val="00D82EA5"/>
    <w:rsid w:val="00D83505"/>
    <w:rsid w:val="00D835B3"/>
    <w:rsid w:val="00D83F16"/>
    <w:rsid w:val="00D84AD9"/>
    <w:rsid w:val="00D8595F"/>
    <w:rsid w:val="00D85FE1"/>
    <w:rsid w:val="00D865B2"/>
    <w:rsid w:val="00D86B4D"/>
    <w:rsid w:val="00D86CAE"/>
    <w:rsid w:val="00D86D19"/>
    <w:rsid w:val="00D8745E"/>
    <w:rsid w:val="00D9010E"/>
    <w:rsid w:val="00D909D6"/>
    <w:rsid w:val="00D90C59"/>
    <w:rsid w:val="00D914C3"/>
    <w:rsid w:val="00D9201D"/>
    <w:rsid w:val="00D920B6"/>
    <w:rsid w:val="00D9297C"/>
    <w:rsid w:val="00D92BB5"/>
    <w:rsid w:val="00D92F13"/>
    <w:rsid w:val="00D936F6"/>
    <w:rsid w:val="00D93E0C"/>
    <w:rsid w:val="00D94B86"/>
    <w:rsid w:val="00D94DF1"/>
    <w:rsid w:val="00D95F32"/>
    <w:rsid w:val="00D970EA"/>
    <w:rsid w:val="00D974DB"/>
    <w:rsid w:val="00DA0822"/>
    <w:rsid w:val="00DA098A"/>
    <w:rsid w:val="00DA0F6C"/>
    <w:rsid w:val="00DA1061"/>
    <w:rsid w:val="00DA11AF"/>
    <w:rsid w:val="00DA1314"/>
    <w:rsid w:val="00DA1E1F"/>
    <w:rsid w:val="00DA1EB9"/>
    <w:rsid w:val="00DA279E"/>
    <w:rsid w:val="00DA289E"/>
    <w:rsid w:val="00DA3481"/>
    <w:rsid w:val="00DA37EA"/>
    <w:rsid w:val="00DA38AA"/>
    <w:rsid w:val="00DA38C3"/>
    <w:rsid w:val="00DA3D14"/>
    <w:rsid w:val="00DA3F2E"/>
    <w:rsid w:val="00DA4B9C"/>
    <w:rsid w:val="00DA508A"/>
    <w:rsid w:val="00DA5DE9"/>
    <w:rsid w:val="00DA69B6"/>
    <w:rsid w:val="00DA6E62"/>
    <w:rsid w:val="00DA71BB"/>
    <w:rsid w:val="00DA7875"/>
    <w:rsid w:val="00DA7FD2"/>
    <w:rsid w:val="00DB0876"/>
    <w:rsid w:val="00DB0D6E"/>
    <w:rsid w:val="00DB1779"/>
    <w:rsid w:val="00DB1F1B"/>
    <w:rsid w:val="00DB29F2"/>
    <w:rsid w:val="00DB30C9"/>
    <w:rsid w:val="00DB42AA"/>
    <w:rsid w:val="00DB4ABE"/>
    <w:rsid w:val="00DB5790"/>
    <w:rsid w:val="00DB6379"/>
    <w:rsid w:val="00DB68FF"/>
    <w:rsid w:val="00DC045E"/>
    <w:rsid w:val="00DC10D6"/>
    <w:rsid w:val="00DC1ABC"/>
    <w:rsid w:val="00DC1C79"/>
    <w:rsid w:val="00DC1ECA"/>
    <w:rsid w:val="00DC1FF3"/>
    <w:rsid w:val="00DC2AD8"/>
    <w:rsid w:val="00DC2BB2"/>
    <w:rsid w:val="00DC2BC8"/>
    <w:rsid w:val="00DC2E08"/>
    <w:rsid w:val="00DC3175"/>
    <w:rsid w:val="00DC38CB"/>
    <w:rsid w:val="00DC3901"/>
    <w:rsid w:val="00DC3C16"/>
    <w:rsid w:val="00DC51C0"/>
    <w:rsid w:val="00DC5C6E"/>
    <w:rsid w:val="00DC6681"/>
    <w:rsid w:val="00DC6DFA"/>
    <w:rsid w:val="00DC6E95"/>
    <w:rsid w:val="00DD0C0E"/>
    <w:rsid w:val="00DD0F6C"/>
    <w:rsid w:val="00DD114C"/>
    <w:rsid w:val="00DD2BE9"/>
    <w:rsid w:val="00DD3484"/>
    <w:rsid w:val="00DD3635"/>
    <w:rsid w:val="00DD366C"/>
    <w:rsid w:val="00DD36BD"/>
    <w:rsid w:val="00DD42F4"/>
    <w:rsid w:val="00DD49A7"/>
    <w:rsid w:val="00DD4BCD"/>
    <w:rsid w:val="00DD747C"/>
    <w:rsid w:val="00DE033D"/>
    <w:rsid w:val="00DE0624"/>
    <w:rsid w:val="00DE1634"/>
    <w:rsid w:val="00DE1ADC"/>
    <w:rsid w:val="00DE1FD2"/>
    <w:rsid w:val="00DE27B9"/>
    <w:rsid w:val="00DE2E7D"/>
    <w:rsid w:val="00DE2FFE"/>
    <w:rsid w:val="00DE30FB"/>
    <w:rsid w:val="00DE33F9"/>
    <w:rsid w:val="00DE37AB"/>
    <w:rsid w:val="00DE55DC"/>
    <w:rsid w:val="00DE5893"/>
    <w:rsid w:val="00DE63DB"/>
    <w:rsid w:val="00DE649A"/>
    <w:rsid w:val="00DE6AD2"/>
    <w:rsid w:val="00DE6C9B"/>
    <w:rsid w:val="00DF0AE1"/>
    <w:rsid w:val="00DF11F4"/>
    <w:rsid w:val="00DF2480"/>
    <w:rsid w:val="00DF2B23"/>
    <w:rsid w:val="00DF349B"/>
    <w:rsid w:val="00DF38C5"/>
    <w:rsid w:val="00DF4897"/>
    <w:rsid w:val="00DF5415"/>
    <w:rsid w:val="00DF59A0"/>
    <w:rsid w:val="00DF5B7A"/>
    <w:rsid w:val="00DF62F6"/>
    <w:rsid w:val="00DF689E"/>
    <w:rsid w:val="00DF6C74"/>
    <w:rsid w:val="00DF6CB7"/>
    <w:rsid w:val="00E00A2E"/>
    <w:rsid w:val="00E00D0A"/>
    <w:rsid w:val="00E029C3"/>
    <w:rsid w:val="00E02BDE"/>
    <w:rsid w:val="00E03731"/>
    <w:rsid w:val="00E0373F"/>
    <w:rsid w:val="00E03F26"/>
    <w:rsid w:val="00E03F50"/>
    <w:rsid w:val="00E04D60"/>
    <w:rsid w:val="00E04D73"/>
    <w:rsid w:val="00E0503D"/>
    <w:rsid w:val="00E051BB"/>
    <w:rsid w:val="00E0611E"/>
    <w:rsid w:val="00E06724"/>
    <w:rsid w:val="00E0695B"/>
    <w:rsid w:val="00E06D1F"/>
    <w:rsid w:val="00E10005"/>
    <w:rsid w:val="00E10009"/>
    <w:rsid w:val="00E101D9"/>
    <w:rsid w:val="00E10AAE"/>
    <w:rsid w:val="00E112B8"/>
    <w:rsid w:val="00E12C13"/>
    <w:rsid w:val="00E136FD"/>
    <w:rsid w:val="00E13BD4"/>
    <w:rsid w:val="00E13CD7"/>
    <w:rsid w:val="00E1620D"/>
    <w:rsid w:val="00E1791F"/>
    <w:rsid w:val="00E17AC9"/>
    <w:rsid w:val="00E2027B"/>
    <w:rsid w:val="00E20EB8"/>
    <w:rsid w:val="00E216D2"/>
    <w:rsid w:val="00E21E63"/>
    <w:rsid w:val="00E2207F"/>
    <w:rsid w:val="00E23120"/>
    <w:rsid w:val="00E23711"/>
    <w:rsid w:val="00E24B37"/>
    <w:rsid w:val="00E252C2"/>
    <w:rsid w:val="00E255C2"/>
    <w:rsid w:val="00E25CDE"/>
    <w:rsid w:val="00E265BB"/>
    <w:rsid w:val="00E26B79"/>
    <w:rsid w:val="00E26BED"/>
    <w:rsid w:val="00E27175"/>
    <w:rsid w:val="00E27232"/>
    <w:rsid w:val="00E30E0F"/>
    <w:rsid w:val="00E31392"/>
    <w:rsid w:val="00E326FF"/>
    <w:rsid w:val="00E32A9E"/>
    <w:rsid w:val="00E3348C"/>
    <w:rsid w:val="00E334B7"/>
    <w:rsid w:val="00E336E7"/>
    <w:rsid w:val="00E3525A"/>
    <w:rsid w:val="00E35491"/>
    <w:rsid w:val="00E358D4"/>
    <w:rsid w:val="00E3698C"/>
    <w:rsid w:val="00E37060"/>
    <w:rsid w:val="00E373CB"/>
    <w:rsid w:val="00E37E8C"/>
    <w:rsid w:val="00E426D6"/>
    <w:rsid w:val="00E42983"/>
    <w:rsid w:val="00E43332"/>
    <w:rsid w:val="00E43953"/>
    <w:rsid w:val="00E43D44"/>
    <w:rsid w:val="00E43EB0"/>
    <w:rsid w:val="00E45DEE"/>
    <w:rsid w:val="00E45F0F"/>
    <w:rsid w:val="00E45F2D"/>
    <w:rsid w:val="00E4634F"/>
    <w:rsid w:val="00E464C5"/>
    <w:rsid w:val="00E46A4E"/>
    <w:rsid w:val="00E46A9B"/>
    <w:rsid w:val="00E47F7F"/>
    <w:rsid w:val="00E5018F"/>
    <w:rsid w:val="00E50263"/>
    <w:rsid w:val="00E505FD"/>
    <w:rsid w:val="00E518AC"/>
    <w:rsid w:val="00E52DAC"/>
    <w:rsid w:val="00E52F98"/>
    <w:rsid w:val="00E54084"/>
    <w:rsid w:val="00E545B6"/>
    <w:rsid w:val="00E54BA3"/>
    <w:rsid w:val="00E54D53"/>
    <w:rsid w:val="00E550A3"/>
    <w:rsid w:val="00E55115"/>
    <w:rsid w:val="00E56A14"/>
    <w:rsid w:val="00E56E09"/>
    <w:rsid w:val="00E57314"/>
    <w:rsid w:val="00E602EC"/>
    <w:rsid w:val="00E602F9"/>
    <w:rsid w:val="00E604F2"/>
    <w:rsid w:val="00E60E2D"/>
    <w:rsid w:val="00E62230"/>
    <w:rsid w:val="00E622A6"/>
    <w:rsid w:val="00E62A48"/>
    <w:rsid w:val="00E633DE"/>
    <w:rsid w:val="00E63588"/>
    <w:rsid w:val="00E6458E"/>
    <w:rsid w:val="00E6467E"/>
    <w:rsid w:val="00E666BC"/>
    <w:rsid w:val="00E668B5"/>
    <w:rsid w:val="00E66C60"/>
    <w:rsid w:val="00E66CB4"/>
    <w:rsid w:val="00E672D0"/>
    <w:rsid w:val="00E678F3"/>
    <w:rsid w:val="00E70616"/>
    <w:rsid w:val="00E709D4"/>
    <w:rsid w:val="00E70B7A"/>
    <w:rsid w:val="00E71B0C"/>
    <w:rsid w:val="00E71EFF"/>
    <w:rsid w:val="00E72CB8"/>
    <w:rsid w:val="00E737EF"/>
    <w:rsid w:val="00E73A10"/>
    <w:rsid w:val="00E73CC7"/>
    <w:rsid w:val="00E74AD8"/>
    <w:rsid w:val="00E758CB"/>
    <w:rsid w:val="00E7744B"/>
    <w:rsid w:val="00E7783A"/>
    <w:rsid w:val="00E77D20"/>
    <w:rsid w:val="00E81165"/>
    <w:rsid w:val="00E8122C"/>
    <w:rsid w:val="00E8169C"/>
    <w:rsid w:val="00E8191B"/>
    <w:rsid w:val="00E81BE5"/>
    <w:rsid w:val="00E82393"/>
    <w:rsid w:val="00E823C9"/>
    <w:rsid w:val="00E828C9"/>
    <w:rsid w:val="00E82AEA"/>
    <w:rsid w:val="00E82E59"/>
    <w:rsid w:val="00E83DED"/>
    <w:rsid w:val="00E8420F"/>
    <w:rsid w:val="00E8473A"/>
    <w:rsid w:val="00E855C0"/>
    <w:rsid w:val="00E8569A"/>
    <w:rsid w:val="00E860A4"/>
    <w:rsid w:val="00E8639B"/>
    <w:rsid w:val="00E8672F"/>
    <w:rsid w:val="00E869BE"/>
    <w:rsid w:val="00E86D93"/>
    <w:rsid w:val="00E87600"/>
    <w:rsid w:val="00E90094"/>
    <w:rsid w:val="00E90505"/>
    <w:rsid w:val="00E9104A"/>
    <w:rsid w:val="00E91281"/>
    <w:rsid w:val="00E91385"/>
    <w:rsid w:val="00E91AAF"/>
    <w:rsid w:val="00E91ADA"/>
    <w:rsid w:val="00E927A6"/>
    <w:rsid w:val="00E92BE9"/>
    <w:rsid w:val="00E92C4A"/>
    <w:rsid w:val="00E9329B"/>
    <w:rsid w:val="00E93331"/>
    <w:rsid w:val="00E93431"/>
    <w:rsid w:val="00E93D54"/>
    <w:rsid w:val="00E9497D"/>
    <w:rsid w:val="00E94B12"/>
    <w:rsid w:val="00E94CF9"/>
    <w:rsid w:val="00E94E81"/>
    <w:rsid w:val="00E9599F"/>
    <w:rsid w:val="00E95A3F"/>
    <w:rsid w:val="00E960E0"/>
    <w:rsid w:val="00E96BB0"/>
    <w:rsid w:val="00E97AC6"/>
    <w:rsid w:val="00E97D78"/>
    <w:rsid w:val="00EA01B6"/>
    <w:rsid w:val="00EA039A"/>
    <w:rsid w:val="00EA0AB3"/>
    <w:rsid w:val="00EA0F77"/>
    <w:rsid w:val="00EA16CF"/>
    <w:rsid w:val="00EA2539"/>
    <w:rsid w:val="00EA2DF4"/>
    <w:rsid w:val="00EA3002"/>
    <w:rsid w:val="00EA3855"/>
    <w:rsid w:val="00EA3C77"/>
    <w:rsid w:val="00EA41E7"/>
    <w:rsid w:val="00EA6096"/>
    <w:rsid w:val="00EA60FE"/>
    <w:rsid w:val="00EA6428"/>
    <w:rsid w:val="00EA67D1"/>
    <w:rsid w:val="00EA6D6E"/>
    <w:rsid w:val="00EA6DE2"/>
    <w:rsid w:val="00EA7132"/>
    <w:rsid w:val="00EA71CD"/>
    <w:rsid w:val="00EA7BB6"/>
    <w:rsid w:val="00EA7C17"/>
    <w:rsid w:val="00EA7D47"/>
    <w:rsid w:val="00EA7E4F"/>
    <w:rsid w:val="00EA7ECE"/>
    <w:rsid w:val="00EB1E33"/>
    <w:rsid w:val="00EB266F"/>
    <w:rsid w:val="00EB2886"/>
    <w:rsid w:val="00EB3B90"/>
    <w:rsid w:val="00EB3DE9"/>
    <w:rsid w:val="00EB4332"/>
    <w:rsid w:val="00EB4FD9"/>
    <w:rsid w:val="00EB5059"/>
    <w:rsid w:val="00EB532C"/>
    <w:rsid w:val="00EB6056"/>
    <w:rsid w:val="00EB662B"/>
    <w:rsid w:val="00EB67F8"/>
    <w:rsid w:val="00EB696C"/>
    <w:rsid w:val="00EB6D6A"/>
    <w:rsid w:val="00EB76C7"/>
    <w:rsid w:val="00EB7BB3"/>
    <w:rsid w:val="00EC066E"/>
    <w:rsid w:val="00EC085E"/>
    <w:rsid w:val="00EC0F32"/>
    <w:rsid w:val="00EC0F82"/>
    <w:rsid w:val="00EC1401"/>
    <w:rsid w:val="00EC1922"/>
    <w:rsid w:val="00EC1C2C"/>
    <w:rsid w:val="00EC26DE"/>
    <w:rsid w:val="00EC2882"/>
    <w:rsid w:val="00EC31C1"/>
    <w:rsid w:val="00EC33FE"/>
    <w:rsid w:val="00EC4179"/>
    <w:rsid w:val="00EC41C2"/>
    <w:rsid w:val="00EC48F5"/>
    <w:rsid w:val="00EC6920"/>
    <w:rsid w:val="00EC73B6"/>
    <w:rsid w:val="00ED1CDD"/>
    <w:rsid w:val="00ED1DAD"/>
    <w:rsid w:val="00ED2D84"/>
    <w:rsid w:val="00ED3191"/>
    <w:rsid w:val="00ED3604"/>
    <w:rsid w:val="00ED3B7C"/>
    <w:rsid w:val="00ED3EFE"/>
    <w:rsid w:val="00ED4207"/>
    <w:rsid w:val="00ED4B48"/>
    <w:rsid w:val="00ED4DDB"/>
    <w:rsid w:val="00ED573F"/>
    <w:rsid w:val="00ED5851"/>
    <w:rsid w:val="00ED5BBD"/>
    <w:rsid w:val="00ED5DC1"/>
    <w:rsid w:val="00ED6E39"/>
    <w:rsid w:val="00ED7607"/>
    <w:rsid w:val="00ED77E5"/>
    <w:rsid w:val="00ED7C28"/>
    <w:rsid w:val="00EE0123"/>
    <w:rsid w:val="00EE079E"/>
    <w:rsid w:val="00EE125D"/>
    <w:rsid w:val="00EE12A2"/>
    <w:rsid w:val="00EE17B3"/>
    <w:rsid w:val="00EE1FCF"/>
    <w:rsid w:val="00EE20E0"/>
    <w:rsid w:val="00EE398F"/>
    <w:rsid w:val="00EE440A"/>
    <w:rsid w:val="00EE5399"/>
    <w:rsid w:val="00EE5CED"/>
    <w:rsid w:val="00EE63F4"/>
    <w:rsid w:val="00EE6E9B"/>
    <w:rsid w:val="00EE79E5"/>
    <w:rsid w:val="00EF050F"/>
    <w:rsid w:val="00EF0D98"/>
    <w:rsid w:val="00EF1E28"/>
    <w:rsid w:val="00EF1FAE"/>
    <w:rsid w:val="00EF2EA0"/>
    <w:rsid w:val="00EF345C"/>
    <w:rsid w:val="00EF3E18"/>
    <w:rsid w:val="00EF3EAA"/>
    <w:rsid w:val="00EF47F2"/>
    <w:rsid w:val="00EF4C59"/>
    <w:rsid w:val="00EF5048"/>
    <w:rsid w:val="00EF52B2"/>
    <w:rsid w:val="00EF5B31"/>
    <w:rsid w:val="00F00231"/>
    <w:rsid w:val="00F012AF"/>
    <w:rsid w:val="00F02A39"/>
    <w:rsid w:val="00F02F34"/>
    <w:rsid w:val="00F02F5F"/>
    <w:rsid w:val="00F034B5"/>
    <w:rsid w:val="00F03F3E"/>
    <w:rsid w:val="00F05BD0"/>
    <w:rsid w:val="00F06B8C"/>
    <w:rsid w:val="00F1130D"/>
    <w:rsid w:val="00F12323"/>
    <w:rsid w:val="00F14352"/>
    <w:rsid w:val="00F14839"/>
    <w:rsid w:val="00F1490A"/>
    <w:rsid w:val="00F14CB2"/>
    <w:rsid w:val="00F14E5E"/>
    <w:rsid w:val="00F150C8"/>
    <w:rsid w:val="00F151FD"/>
    <w:rsid w:val="00F161F5"/>
    <w:rsid w:val="00F165E4"/>
    <w:rsid w:val="00F16F2A"/>
    <w:rsid w:val="00F17342"/>
    <w:rsid w:val="00F177D6"/>
    <w:rsid w:val="00F20501"/>
    <w:rsid w:val="00F20B6E"/>
    <w:rsid w:val="00F20D48"/>
    <w:rsid w:val="00F21225"/>
    <w:rsid w:val="00F213C2"/>
    <w:rsid w:val="00F21642"/>
    <w:rsid w:val="00F21BE0"/>
    <w:rsid w:val="00F228C6"/>
    <w:rsid w:val="00F22A93"/>
    <w:rsid w:val="00F24606"/>
    <w:rsid w:val="00F2461A"/>
    <w:rsid w:val="00F25626"/>
    <w:rsid w:val="00F2592C"/>
    <w:rsid w:val="00F25983"/>
    <w:rsid w:val="00F25B88"/>
    <w:rsid w:val="00F25D82"/>
    <w:rsid w:val="00F26565"/>
    <w:rsid w:val="00F266DD"/>
    <w:rsid w:val="00F27076"/>
    <w:rsid w:val="00F2707F"/>
    <w:rsid w:val="00F27D59"/>
    <w:rsid w:val="00F30961"/>
    <w:rsid w:val="00F316F2"/>
    <w:rsid w:val="00F31993"/>
    <w:rsid w:val="00F31A08"/>
    <w:rsid w:val="00F31A5E"/>
    <w:rsid w:val="00F31CB1"/>
    <w:rsid w:val="00F3332E"/>
    <w:rsid w:val="00F33401"/>
    <w:rsid w:val="00F33CFB"/>
    <w:rsid w:val="00F349F5"/>
    <w:rsid w:val="00F350CF"/>
    <w:rsid w:val="00F355DE"/>
    <w:rsid w:val="00F36649"/>
    <w:rsid w:val="00F36FB3"/>
    <w:rsid w:val="00F40F60"/>
    <w:rsid w:val="00F415DD"/>
    <w:rsid w:val="00F42D35"/>
    <w:rsid w:val="00F436AD"/>
    <w:rsid w:val="00F44C16"/>
    <w:rsid w:val="00F4510C"/>
    <w:rsid w:val="00F45A4D"/>
    <w:rsid w:val="00F46C14"/>
    <w:rsid w:val="00F47444"/>
    <w:rsid w:val="00F50A2D"/>
    <w:rsid w:val="00F51258"/>
    <w:rsid w:val="00F52A78"/>
    <w:rsid w:val="00F53E1D"/>
    <w:rsid w:val="00F54301"/>
    <w:rsid w:val="00F54EFB"/>
    <w:rsid w:val="00F55361"/>
    <w:rsid w:val="00F553CF"/>
    <w:rsid w:val="00F55627"/>
    <w:rsid w:val="00F55670"/>
    <w:rsid w:val="00F56525"/>
    <w:rsid w:val="00F56900"/>
    <w:rsid w:val="00F56E77"/>
    <w:rsid w:val="00F57636"/>
    <w:rsid w:val="00F57A66"/>
    <w:rsid w:val="00F57B2C"/>
    <w:rsid w:val="00F57EB9"/>
    <w:rsid w:val="00F60193"/>
    <w:rsid w:val="00F60968"/>
    <w:rsid w:val="00F60AD2"/>
    <w:rsid w:val="00F62075"/>
    <w:rsid w:val="00F620C6"/>
    <w:rsid w:val="00F63D63"/>
    <w:rsid w:val="00F63E8C"/>
    <w:rsid w:val="00F64063"/>
    <w:rsid w:val="00F6476C"/>
    <w:rsid w:val="00F664F4"/>
    <w:rsid w:val="00F6776E"/>
    <w:rsid w:val="00F67799"/>
    <w:rsid w:val="00F6785F"/>
    <w:rsid w:val="00F679C4"/>
    <w:rsid w:val="00F708EF"/>
    <w:rsid w:val="00F70FB3"/>
    <w:rsid w:val="00F71317"/>
    <w:rsid w:val="00F71590"/>
    <w:rsid w:val="00F71C61"/>
    <w:rsid w:val="00F7276F"/>
    <w:rsid w:val="00F72A54"/>
    <w:rsid w:val="00F72DFD"/>
    <w:rsid w:val="00F73A3A"/>
    <w:rsid w:val="00F73AC3"/>
    <w:rsid w:val="00F73CB6"/>
    <w:rsid w:val="00F7482A"/>
    <w:rsid w:val="00F74845"/>
    <w:rsid w:val="00F74CB8"/>
    <w:rsid w:val="00F74DB9"/>
    <w:rsid w:val="00F751CE"/>
    <w:rsid w:val="00F754D1"/>
    <w:rsid w:val="00F75603"/>
    <w:rsid w:val="00F7593D"/>
    <w:rsid w:val="00F75B05"/>
    <w:rsid w:val="00F7747D"/>
    <w:rsid w:val="00F777F4"/>
    <w:rsid w:val="00F77C6A"/>
    <w:rsid w:val="00F77CEB"/>
    <w:rsid w:val="00F77F0E"/>
    <w:rsid w:val="00F805F5"/>
    <w:rsid w:val="00F808AC"/>
    <w:rsid w:val="00F80B29"/>
    <w:rsid w:val="00F815B1"/>
    <w:rsid w:val="00F82E90"/>
    <w:rsid w:val="00F8462E"/>
    <w:rsid w:val="00F85527"/>
    <w:rsid w:val="00F85926"/>
    <w:rsid w:val="00F860E0"/>
    <w:rsid w:val="00F866DC"/>
    <w:rsid w:val="00F86B97"/>
    <w:rsid w:val="00F870A6"/>
    <w:rsid w:val="00F877CB"/>
    <w:rsid w:val="00F87BAF"/>
    <w:rsid w:val="00F87DE3"/>
    <w:rsid w:val="00F90366"/>
    <w:rsid w:val="00F90A47"/>
    <w:rsid w:val="00F90FC5"/>
    <w:rsid w:val="00F91FC6"/>
    <w:rsid w:val="00F9251F"/>
    <w:rsid w:val="00F9409F"/>
    <w:rsid w:val="00F94BDD"/>
    <w:rsid w:val="00F95BE3"/>
    <w:rsid w:val="00F96067"/>
    <w:rsid w:val="00F96386"/>
    <w:rsid w:val="00F96C20"/>
    <w:rsid w:val="00F97FD0"/>
    <w:rsid w:val="00FA05DC"/>
    <w:rsid w:val="00FA095F"/>
    <w:rsid w:val="00FA0CF3"/>
    <w:rsid w:val="00FA1D5B"/>
    <w:rsid w:val="00FA2598"/>
    <w:rsid w:val="00FA2BCE"/>
    <w:rsid w:val="00FA32BE"/>
    <w:rsid w:val="00FA3A44"/>
    <w:rsid w:val="00FA3C94"/>
    <w:rsid w:val="00FA41A1"/>
    <w:rsid w:val="00FA43E1"/>
    <w:rsid w:val="00FA55E0"/>
    <w:rsid w:val="00FA5C00"/>
    <w:rsid w:val="00FA6797"/>
    <w:rsid w:val="00FA7795"/>
    <w:rsid w:val="00FA79AD"/>
    <w:rsid w:val="00FA7AF9"/>
    <w:rsid w:val="00FA7CEE"/>
    <w:rsid w:val="00FB00BB"/>
    <w:rsid w:val="00FB069F"/>
    <w:rsid w:val="00FB13BD"/>
    <w:rsid w:val="00FB157E"/>
    <w:rsid w:val="00FB1720"/>
    <w:rsid w:val="00FB1BAC"/>
    <w:rsid w:val="00FB1C2B"/>
    <w:rsid w:val="00FB1DA0"/>
    <w:rsid w:val="00FB1FFD"/>
    <w:rsid w:val="00FB2B35"/>
    <w:rsid w:val="00FB376D"/>
    <w:rsid w:val="00FB3E09"/>
    <w:rsid w:val="00FB3E6D"/>
    <w:rsid w:val="00FB7716"/>
    <w:rsid w:val="00FC0B1E"/>
    <w:rsid w:val="00FC0FC6"/>
    <w:rsid w:val="00FC1452"/>
    <w:rsid w:val="00FC1E43"/>
    <w:rsid w:val="00FC2356"/>
    <w:rsid w:val="00FC4C84"/>
    <w:rsid w:val="00FC50CE"/>
    <w:rsid w:val="00FC631F"/>
    <w:rsid w:val="00FC6EBD"/>
    <w:rsid w:val="00FD1D61"/>
    <w:rsid w:val="00FD25ED"/>
    <w:rsid w:val="00FD2605"/>
    <w:rsid w:val="00FD2976"/>
    <w:rsid w:val="00FD2D0A"/>
    <w:rsid w:val="00FD31B2"/>
    <w:rsid w:val="00FD3D05"/>
    <w:rsid w:val="00FD41C0"/>
    <w:rsid w:val="00FD4D9C"/>
    <w:rsid w:val="00FD5A1D"/>
    <w:rsid w:val="00FD5DCB"/>
    <w:rsid w:val="00FD63E6"/>
    <w:rsid w:val="00FD699C"/>
    <w:rsid w:val="00FD7C62"/>
    <w:rsid w:val="00FD7FF4"/>
    <w:rsid w:val="00FE01F7"/>
    <w:rsid w:val="00FE15C6"/>
    <w:rsid w:val="00FE17DF"/>
    <w:rsid w:val="00FE1812"/>
    <w:rsid w:val="00FE2E44"/>
    <w:rsid w:val="00FE3244"/>
    <w:rsid w:val="00FE383D"/>
    <w:rsid w:val="00FE406D"/>
    <w:rsid w:val="00FE42FD"/>
    <w:rsid w:val="00FE4645"/>
    <w:rsid w:val="00FE5187"/>
    <w:rsid w:val="00FE632B"/>
    <w:rsid w:val="00FE755E"/>
    <w:rsid w:val="00FE7D5E"/>
    <w:rsid w:val="00FF0005"/>
    <w:rsid w:val="00FF1140"/>
    <w:rsid w:val="00FF144B"/>
    <w:rsid w:val="00FF1785"/>
    <w:rsid w:val="00FF1844"/>
    <w:rsid w:val="00FF26D0"/>
    <w:rsid w:val="00FF2F6D"/>
    <w:rsid w:val="00FF2F78"/>
    <w:rsid w:val="00FF3E4C"/>
    <w:rsid w:val="00FF5652"/>
    <w:rsid w:val="00FF5C8B"/>
    <w:rsid w:val="00FF5DF4"/>
    <w:rsid w:val="00FF5F7F"/>
    <w:rsid w:val="00FF62AD"/>
    <w:rsid w:val="00FF6669"/>
    <w:rsid w:val="00FF66BC"/>
    <w:rsid w:val="00FF6EF9"/>
    <w:rsid w:val="00FF7AD4"/>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4760D3"/>
    <w:pPr>
      <w:tabs>
        <w:tab w:val="center" w:pos="4680"/>
        <w:tab w:val="right" w:pos="9360"/>
      </w:tabs>
      <w:spacing w:line="240" w:lineRule="auto"/>
    </w:pPr>
  </w:style>
  <w:style w:type="character" w:customStyle="1" w:styleId="HeaderChar">
    <w:name w:val="Header Char"/>
    <w:basedOn w:val="DefaultParagraphFont"/>
    <w:link w:val="Header"/>
    <w:rsid w:val="004760D3"/>
    <w:rPr>
      <w:sz w:val="26"/>
    </w:rPr>
  </w:style>
  <w:style w:type="paragraph" w:styleId="Footer">
    <w:name w:val="footer"/>
    <w:basedOn w:val="Normal"/>
    <w:link w:val="FooterChar"/>
    <w:uiPriority w:val="99"/>
    <w:unhideWhenUsed/>
    <w:rsid w:val="004760D3"/>
    <w:pPr>
      <w:tabs>
        <w:tab w:val="center" w:pos="4680"/>
        <w:tab w:val="right" w:pos="9360"/>
      </w:tabs>
      <w:spacing w:line="240" w:lineRule="auto"/>
    </w:pPr>
  </w:style>
  <w:style w:type="character" w:customStyle="1" w:styleId="FooterChar">
    <w:name w:val="Footer Char"/>
    <w:basedOn w:val="DefaultParagraphFont"/>
    <w:link w:val="Footer"/>
    <w:uiPriority w:val="99"/>
    <w:rsid w:val="004760D3"/>
    <w:rPr>
      <w:sz w:val="26"/>
    </w:rPr>
  </w:style>
  <w:style w:type="character" w:styleId="PageNumber">
    <w:name w:val="page number"/>
    <w:basedOn w:val="DefaultParagraphFont"/>
    <w:semiHidden/>
    <w:unhideWhenUsed/>
    <w:rsid w:val="004760D3"/>
  </w:style>
  <w:style w:type="table" w:styleId="TableGrid">
    <w:name w:val="Table Grid"/>
    <w:basedOn w:val="TableNormal"/>
    <w:rsid w:val="004760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0D3"/>
    <w:rPr>
      <w:color w:val="0000FF"/>
      <w:u w:val="single"/>
    </w:rPr>
  </w:style>
  <w:style w:type="character" w:customStyle="1" w:styleId="ssrfcpassagedeactivated">
    <w:name w:val="ss_rfcpassage_deactivated"/>
    <w:basedOn w:val="DefaultParagraphFont"/>
    <w:rsid w:val="00950699"/>
  </w:style>
  <w:style w:type="character" w:customStyle="1" w:styleId="ssrfcsection">
    <w:name w:val="ss_rfcsection"/>
    <w:basedOn w:val="DefaultParagraphFont"/>
    <w:rsid w:val="00950699"/>
  </w:style>
  <w:style w:type="character" w:customStyle="1" w:styleId="ssit">
    <w:name w:val="ss_it"/>
    <w:basedOn w:val="DefaultParagraphFont"/>
    <w:rsid w:val="00950699"/>
  </w:style>
  <w:style w:type="character" w:customStyle="1" w:styleId="ssheadnotelink">
    <w:name w:val="ss_headnotelink"/>
    <w:basedOn w:val="DefaultParagraphFont"/>
    <w:rsid w:val="00950699"/>
  </w:style>
  <w:style w:type="character" w:customStyle="1" w:styleId="ssbf">
    <w:name w:val="ss_bf"/>
    <w:basedOn w:val="DefaultParagraphFont"/>
    <w:rsid w:val="00950699"/>
  </w:style>
  <w:style w:type="paragraph" w:styleId="NormalWeb">
    <w:name w:val="Normal (Web)"/>
    <w:basedOn w:val="Normal"/>
    <w:uiPriority w:val="99"/>
    <w:unhideWhenUsed/>
    <w:rsid w:val="00266995"/>
    <w:pPr>
      <w:overflowPunct/>
      <w:autoSpaceDE/>
      <w:autoSpaceDN/>
      <w:adjustRightInd/>
      <w:spacing w:before="100" w:beforeAutospacing="1" w:after="100" w:afterAutospacing="1" w:line="240" w:lineRule="auto"/>
      <w:textAlignment w:val="auto"/>
    </w:pPr>
    <w:rPr>
      <w:sz w:val="24"/>
      <w:szCs w:val="24"/>
    </w:rPr>
  </w:style>
  <w:style w:type="character" w:customStyle="1" w:styleId="UnresolvedMention1">
    <w:name w:val="Unresolved Mention1"/>
    <w:basedOn w:val="DefaultParagraphFont"/>
    <w:uiPriority w:val="99"/>
    <w:semiHidden/>
    <w:unhideWhenUsed/>
    <w:rsid w:val="008D058E"/>
    <w:rPr>
      <w:color w:val="605E5C"/>
      <w:shd w:val="clear" w:color="auto" w:fill="E1DFDD"/>
    </w:rPr>
  </w:style>
  <w:style w:type="character" w:customStyle="1" w:styleId="sssh">
    <w:name w:val="ss_sh"/>
    <w:basedOn w:val="DefaultParagraphFont"/>
    <w:rsid w:val="00B97F3B"/>
  </w:style>
  <w:style w:type="paragraph" w:styleId="BalloonText">
    <w:name w:val="Balloon Text"/>
    <w:basedOn w:val="Normal"/>
    <w:link w:val="BalloonTextChar"/>
    <w:rsid w:val="00B16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16E31"/>
    <w:rPr>
      <w:rFonts w:ascii="Segoe UI" w:hAnsi="Segoe UI" w:cs="Segoe UI"/>
      <w:sz w:val="18"/>
      <w:szCs w:val="18"/>
    </w:rPr>
  </w:style>
  <w:style w:type="character" w:styleId="CommentReference">
    <w:name w:val="annotation reference"/>
    <w:basedOn w:val="DefaultParagraphFont"/>
    <w:semiHidden/>
    <w:unhideWhenUsed/>
    <w:rsid w:val="007E2B78"/>
    <w:rPr>
      <w:sz w:val="16"/>
      <w:szCs w:val="16"/>
    </w:rPr>
  </w:style>
  <w:style w:type="paragraph" w:styleId="CommentText">
    <w:name w:val="annotation text"/>
    <w:basedOn w:val="Normal"/>
    <w:link w:val="CommentTextChar"/>
    <w:unhideWhenUsed/>
    <w:rsid w:val="007E2B78"/>
    <w:pPr>
      <w:spacing w:line="240" w:lineRule="auto"/>
    </w:pPr>
    <w:rPr>
      <w:sz w:val="20"/>
    </w:rPr>
  </w:style>
  <w:style w:type="character" w:customStyle="1" w:styleId="CommentTextChar">
    <w:name w:val="Comment Text Char"/>
    <w:basedOn w:val="DefaultParagraphFont"/>
    <w:link w:val="CommentText"/>
    <w:rsid w:val="007E2B78"/>
  </w:style>
  <w:style w:type="paragraph" w:styleId="CommentSubject">
    <w:name w:val="annotation subject"/>
    <w:basedOn w:val="CommentText"/>
    <w:next w:val="CommentText"/>
    <w:link w:val="CommentSubjectChar"/>
    <w:semiHidden/>
    <w:unhideWhenUsed/>
    <w:rsid w:val="007E2B78"/>
    <w:rPr>
      <w:b/>
      <w:bCs/>
    </w:rPr>
  </w:style>
  <w:style w:type="character" w:customStyle="1" w:styleId="CommentSubjectChar">
    <w:name w:val="Comment Subject Char"/>
    <w:basedOn w:val="CommentTextChar"/>
    <w:link w:val="CommentSubject"/>
    <w:semiHidden/>
    <w:rsid w:val="007E2B78"/>
    <w:rPr>
      <w:b/>
      <w:bCs/>
    </w:rPr>
  </w:style>
  <w:style w:type="paragraph" w:customStyle="1" w:styleId="SigPage1">
    <w:name w:val="Sig.Page.1"/>
    <w:basedOn w:val="Normal"/>
    <w:rsid w:val="00276E75"/>
    <w:pPr>
      <w:tabs>
        <w:tab w:val="left" w:pos="2880"/>
      </w:tabs>
      <w:spacing w:line="240" w:lineRule="auto"/>
    </w:pPr>
    <w:rPr>
      <w:sz w:val="24"/>
    </w:rPr>
  </w:style>
  <w:style w:type="paragraph" w:customStyle="1" w:styleId="SigPage2">
    <w:name w:val="Sig.Page.2"/>
    <w:basedOn w:val="Normal"/>
    <w:rsid w:val="00276E75"/>
    <w:pPr>
      <w:tabs>
        <w:tab w:val="right" w:pos="2880"/>
      </w:tabs>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9135</Words>
  <Characters>46607</Characters>
  <Application>Microsoft Office Word</Application>
  <DocSecurity>0</DocSecurity>
  <Lines>792</Lines>
  <Paragraphs>152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2024-01-24T17:47:00Z</dcterms:created>
  <dcterms:modified xsi:type="dcterms:W3CDTF">2024-01-24T17:47:00Z</dcterms:modified>
  <cp:category/>
</cp:coreProperties>
</file>