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webextensions/taskpanes.xml" ContentType="application/vnd.ms-office.webextensiontaskpanes+xml"/>
  <Override PartName="/word/webextensions/webextension1.xml" ContentType="application/vnd.ms-office.webextension+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microsoft.com/office/2011/relationships/webextensiontaskpanes" Target="word/webextensions/taskpanes.xml" /><Relationship Id="rId3" Type="http://schemas.openxmlformats.org/officeDocument/2006/relationships/extended-properties" Target="docProps/app.xml" /><Relationship Id="rId4"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3 -->
  <w:body>
    <w:p w:rsidR="00FF7556" w:rsidP="003F3AE1" w14:paraId="44B2BB45" w14:textId="7CA3EA3F">
      <w:pPr>
        <w:spacing w:line="240" w:lineRule="auto"/>
        <w:rPr>
          <w:rFonts w:cs="Times New Roman"/>
          <w:sz w:val="20"/>
          <w:szCs w:val="26"/>
        </w:rPr>
      </w:pPr>
      <w:r>
        <w:rPr>
          <w:rFonts w:cs="Times New Roman"/>
          <w:sz w:val="20"/>
          <w:szCs w:val="26"/>
        </w:rPr>
        <w:t>See Concurring and Dissenting Opinion</w:t>
      </w:r>
    </w:p>
    <w:p w:rsidR="004213D5" w:rsidRPr="004213D5" w:rsidP="003F3AE1" w14:paraId="3E272308" w14:textId="77777777">
      <w:pPr>
        <w:spacing w:line="240" w:lineRule="auto"/>
        <w:rPr>
          <w:rFonts w:cs="Times New Roman"/>
          <w:sz w:val="20"/>
          <w:szCs w:val="26"/>
        </w:rPr>
      </w:pPr>
    </w:p>
    <w:p w:rsidR="00253325" w:rsidP="003F3AE1" w14:paraId="1D3C659C" w14:textId="77777777">
      <w:pPr>
        <w:spacing w:line="240" w:lineRule="auto"/>
        <w:rPr>
          <w:rFonts w:cs="Times New Roman"/>
          <w:szCs w:val="26"/>
        </w:rPr>
      </w:pPr>
    </w:p>
    <w:p w:rsidR="003F3AE1" w:rsidP="006052F4" w14:paraId="00133BA3" w14:textId="2B193E14">
      <w:pPr>
        <w:overflowPunct w:val="0"/>
        <w:autoSpaceDE w:val="0"/>
        <w:autoSpaceDN w:val="0"/>
        <w:spacing w:line="240" w:lineRule="auto"/>
        <w:jc w:val="center"/>
        <w:rPr>
          <w:rFonts w:cs="Times New Roman"/>
          <w:szCs w:val="26"/>
        </w:rPr>
      </w:pPr>
      <w:r w:rsidRPr="005B603F">
        <w:rPr>
          <w:rFonts w:eastAsia="Calibri" w:cs="Times New Roman"/>
          <w:b/>
          <w:bCs/>
          <w:szCs w:val="26"/>
        </w:rPr>
        <w:t>CERTIFIED FOR PARTIAL PUBLICATION</w:t>
      </w:r>
      <w:r>
        <w:rPr>
          <w:rFonts w:ascii="Symbol" w:eastAsia="Calibri" w:hAnsi="Symbol" w:cs="Times New Roman"/>
          <w:b/>
          <w:bCs/>
          <w:position w:val="8"/>
          <w:sz w:val="20"/>
          <w:szCs w:val="20"/>
        </w:rPr>
        <w:footnoteReference w:customMarkFollows="1" w:id="3"/>
        <w:t xml:space="preserve">*</w:t>
      </w:r>
    </w:p>
    <w:p w:rsidR="003F3AE1" w:rsidP="00394B04" w14:paraId="43599076" w14:textId="5E07E525">
      <w:pPr>
        <w:overflowPunct w:val="0"/>
        <w:autoSpaceDE w:val="0"/>
        <w:autoSpaceDN w:val="0"/>
        <w:spacing w:line="240" w:lineRule="auto"/>
        <w:jc w:val="center"/>
        <w:rPr>
          <w:rFonts w:cs="Times New Roman"/>
          <w:szCs w:val="26"/>
        </w:rPr>
      </w:pPr>
    </w:p>
    <w:p w:rsidR="003F3AE1" w:rsidP="00394B04" w14:paraId="6FEE93F4" w14:textId="0A4CE0E0">
      <w:pPr>
        <w:overflowPunct w:val="0"/>
        <w:autoSpaceDE w:val="0"/>
        <w:autoSpaceDN w:val="0"/>
        <w:spacing w:line="240" w:lineRule="auto"/>
        <w:jc w:val="center"/>
        <w:rPr>
          <w:rFonts w:cs="Times New Roman"/>
          <w:b/>
          <w:szCs w:val="26"/>
        </w:rPr>
      </w:pPr>
      <w:r>
        <w:rPr>
          <w:rFonts w:cs="Times New Roman"/>
          <w:b/>
          <w:szCs w:val="26"/>
        </w:rPr>
        <w:t>IN THE COURT OF APPEAL OF THE STATE OF CALIFORNIA</w:t>
      </w:r>
    </w:p>
    <w:p w:rsidR="003F3AE1" w:rsidP="00394B04" w14:paraId="425B9497" w14:textId="4E604CEE">
      <w:pPr>
        <w:overflowPunct w:val="0"/>
        <w:autoSpaceDE w:val="0"/>
        <w:autoSpaceDN w:val="0"/>
        <w:spacing w:line="240" w:lineRule="auto"/>
        <w:jc w:val="center"/>
        <w:rPr>
          <w:rFonts w:cs="Times New Roman"/>
          <w:b/>
          <w:szCs w:val="26"/>
        </w:rPr>
      </w:pPr>
    </w:p>
    <w:p w:rsidR="003F3AE1" w:rsidP="00394B04" w14:paraId="5F742BC3" w14:textId="06630B9B">
      <w:pPr>
        <w:overflowPunct w:val="0"/>
        <w:autoSpaceDE w:val="0"/>
        <w:autoSpaceDN w:val="0"/>
        <w:spacing w:line="240" w:lineRule="auto"/>
        <w:jc w:val="center"/>
        <w:rPr>
          <w:rFonts w:cs="Times New Roman"/>
          <w:b/>
          <w:szCs w:val="26"/>
        </w:rPr>
      </w:pPr>
      <w:r>
        <w:rPr>
          <w:rFonts w:cs="Times New Roman"/>
          <w:b/>
          <w:szCs w:val="26"/>
        </w:rPr>
        <w:t>FOURTH APPELLATE DISTRICT</w:t>
      </w:r>
    </w:p>
    <w:p w:rsidR="003F3AE1" w:rsidP="00394B04" w14:paraId="20C0F421" w14:textId="25626005">
      <w:pPr>
        <w:overflowPunct w:val="0"/>
        <w:autoSpaceDE w:val="0"/>
        <w:autoSpaceDN w:val="0"/>
        <w:spacing w:line="240" w:lineRule="auto"/>
        <w:jc w:val="center"/>
        <w:rPr>
          <w:rFonts w:cs="Times New Roman"/>
          <w:b/>
          <w:szCs w:val="26"/>
        </w:rPr>
      </w:pPr>
    </w:p>
    <w:p w:rsidR="003F3AE1" w:rsidRPr="00394B04" w:rsidP="00394B04" w14:paraId="0E9E63EC" w14:textId="77777777">
      <w:pPr>
        <w:overflowPunct w:val="0"/>
        <w:autoSpaceDE w:val="0"/>
        <w:autoSpaceDN w:val="0"/>
        <w:spacing w:line="240" w:lineRule="auto"/>
        <w:jc w:val="center"/>
      </w:pPr>
      <w:r>
        <w:rPr>
          <w:rFonts w:cs="Times New Roman"/>
          <w:b/>
          <w:szCs w:val="26"/>
        </w:rPr>
        <w:t>DIVISION TWO</w:t>
      </w:r>
    </w:p>
    <w:p w:rsidR="003F3AE1" w:rsidP="003F3AE1" w14:paraId="4A0A64FA" w14:textId="6D6C0702">
      <w:pPr>
        <w:spacing w:line="240" w:lineRule="auto"/>
        <w:jc w:val="center"/>
        <w:rPr>
          <w:rFonts w:cs="Times New Roman"/>
          <w:szCs w:val="26"/>
        </w:rPr>
      </w:pPr>
    </w:p>
    <w:p w:rsidR="003F3AE1" w:rsidP="003F3AE1" w14:paraId="6455D35B" w14:textId="4B9A3F2C">
      <w:pPr>
        <w:spacing w:line="240" w:lineRule="auto"/>
        <w:jc w:val="center"/>
        <w:rPr>
          <w:rFonts w:cs="Times New Roman"/>
          <w:szCs w:val="26"/>
        </w:rPr>
      </w:pPr>
    </w:p>
    <w:p w:rsidR="003F3AE1" w:rsidP="003F3AE1" w14:paraId="77765126" w14:textId="11141AAA">
      <w:pPr>
        <w:spacing w:line="240" w:lineRule="auto"/>
        <w:jc w:val="center"/>
        <w:rPr>
          <w:rFonts w:cs="Times New Roman"/>
          <w:szCs w:val="26"/>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49B86963" w14:textId="77777777" w:rsidTr="003F3AE1">
        <w:tblPrEx>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Borders>
              <w:bottom w:val="single" w:sz="4" w:space="0" w:color="auto"/>
              <w:right w:val="single" w:sz="4" w:space="0" w:color="auto"/>
            </w:tcBorders>
            <w:shd w:val="clear" w:color="auto" w:fill="auto"/>
          </w:tcPr>
          <w:p w:rsidR="003F3AE1" w:rsidP="003F3AE1" w14:paraId="3E56F222" w14:textId="3217F388">
            <w:pPr>
              <w:rPr>
                <w:rFonts w:cs="Times New Roman"/>
                <w:szCs w:val="26"/>
              </w:rPr>
            </w:pPr>
            <w:r>
              <w:rPr>
                <w:rFonts w:cs="Times New Roman"/>
                <w:szCs w:val="26"/>
              </w:rPr>
              <w:t xml:space="preserve">In re </w:t>
            </w:r>
            <w:r w:rsidR="008F54C4">
              <w:rPr>
                <w:rFonts w:cs="Times New Roman"/>
                <w:szCs w:val="26"/>
              </w:rPr>
              <w:t>S</w:t>
            </w:r>
            <w:r w:rsidR="007004A3">
              <w:rPr>
                <w:rFonts w:cs="Times New Roman"/>
                <w:szCs w:val="26"/>
              </w:rPr>
              <w:t xml:space="preserve">amantha </w:t>
            </w:r>
            <w:r w:rsidR="008F54C4">
              <w:rPr>
                <w:rFonts w:cs="Times New Roman"/>
                <w:szCs w:val="26"/>
              </w:rPr>
              <w:t xml:space="preserve">F., </w:t>
            </w:r>
            <w:r w:rsidR="002B6B62">
              <w:rPr>
                <w:rFonts w:cs="Times New Roman"/>
                <w:szCs w:val="26"/>
              </w:rPr>
              <w:t>a</w:t>
            </w:r>
            <w:r>
              <w:rPr>
                <w:rFonts w:cs="Times New Roman"/>
                <w:szCs w:val="26"/>
              </w:rPr>
              <w:t xml:space="preserve"> </w:t>
            </w:r>
            <w:r w:rsidR="008F54C4">
              <w:rPr>
                <w:rFonts w:cs="Times New Roman"/>
                <w:szCs w:val="26"/>
              </w:rPr>
              <w:t>P</w:t>
            </w:r>
            <w:r>
              <w:rPr>
                <w:rFonts w:cs="Times New Roman"/>
                <w:szCs w:val="26"/>
              </w:rPr>
              <w:t>erson Coming Under the Juvenile Court Law.</w:t>
            </w:r>
          </w:p>
        </w:tc>
        <w:tc>
          <w:tcPr>
            <w:tcW w:w="4675" w:type="dxa"/>
            <w:tcBorders>
              <w:left w:val="single" w:sz="4" w:space="0" w:color="auto"/>
            </w:tcBorders>
            <w:shd w:val="clear" w:color="auto" w:fill="auto"/>
          </w:tcPr>
          <w:p w:rsidR="003F3AE1" w:rsidP="003F3AE1" w14:paraId="2893D0A7" w14:textId="77777777">
            <w:pPr>
              <w:rPr>
                <w:rFonts w:cs="Times New Roman"/>
                <w:szCs w:val="26"/>
              </w:rPr>
            </w:pPr>
          </w:p>
        </w:tc>
      </w:tr>
      <w:tr w14:paraId="449D16F6" w14:textId="77777777" w:rsidTr="003F3AE1">
        <w:tblPrEx>
          <w:tblW w:w="0" w:type="auto"/>
          <w:tblInd w:w="5" w:type="dxa"/>
          <w:tblLook w:val="04A0"/>
        </w:tblPrEx>
        <w:tc>
          <w:tcPr>
            <w:tcW w:w="4675" w:type="dxa"/>
            <w:tcBorders>
              <w:bottom w:val="single" w:sz="4" w:space="0" w:color="auto"/>
              <w:right w:val="single" w:sz="4" w:space="0" w:color="auto"/>
            </w:tcBorders>
            <w:shd w:val="clear" w:color="auto" w:fill="auto"/>
          </w:tcPr>
          <w:p w:rsidR="003F3AE1" w:rsidP="003F3AE1" w14:paraId="1EB79161" w14:textId="77777777">
            <w:pPr>
              <w:rPr>
                <w:rFonts w:cs="Times New Roman"/>
                <w:szCs w:val="26"/>
              </w:rPr>
            </w:pPr>
          </w:p>
          <w:p w:rsidR="003F3AE1" w:rsidP="003F3AE1" w14:paraId="71FF1397" w14:textId="1214541B">
            <w:pPr>
              <w:rPr>
                <w:rFonts w:cs="Times New Roman"/>
                <w:szCs w:val="26"/>
              </w:rPr>
            </w:pPr>
            <w:r>
              <w:rPr>
                <w:rFonts w:cs="Times New Roman"/>
                <w:szCs w:val="26"/>
              </w:rPr>
              <w:t>RIVERSIDE COUNTY DEPARTMENT OF PUBLIC SOCIAL SERVICES,</w:t>
            </w:r>
          </w:p>
          <w:p w:rsidR="003F3AE1" w:rsidP="003F3AE1" w14:paraId="40C332BB" w14:textId="77777777">
            <w:pPr>
              <w:rPr>
                <w:rFonts w:cs="Times New Roman"/>
                <w:szCs w:val="26"/>
              </w:rPr>
            </w:pPr>
          </w:p>
          <w:p w:rsidR="003F3AE1" w:rsidP="003F3AE1" w14:paraId="4366CC99" w14:textId="77777777">
            <w:pPr>
              <w:rPr>
                <w:rFonts w:cs="Times New Roman"/>
                <w:szCs w:val="26"/>
              </w:rPr>
            </w:pPr>
            <w:r>
              <w:rPr>
                <w:rFonts w:cs="Times New Roman"/>
                <w:szCs w:val="26"/>
              </w:rPr>
              <w:tab/>
              <w:t>Plaintiff and Respondent,</w:t>
            </w:r>
          </w:p>
          <w:p w:rsidR="003F3AE1" w:rsidP="003F3AE1" w14:paraId="49324C57" w14:textId="77777777">
            <w:pPr>
              <w:rPr>
                <w:rFonts w:cs="Times New Roman"/>
                <w:szCs w:val="26"/>
              </w:rPr>
            </w:pPr>
          </w:p>
          <w:p w:rsidR="003F3AE1" w:rsidP="003F3AE1" w14:paraId="65FC8191" w14:textId="77777777">
            <w:pPr>
              <w:rPr>
                <w:rFonts w:cs="Times New Roman"/>
                <w:szCs w:val="26"/>
              </w:rPr>
            </w:pPr>
            <w:r>
              <w:rPr>
                <w:rFonts w:cs="Times New Roman"/>
                <w:szCs w:val="26"/>
              </w:rPr>
              <w:t>v.</w:t>
            </w:r>
          </w:p>
          <w:p w:rsidR="003F3AE1" w:rsidP="003F3AE1" w14:paraId="59096563" w14:textId="77777777">
            <w:pPr>
              <w:rPr>
                <w:rFonts w:cs="Times New Roman"/>
                <w:szCs w:val="26"/>
              </w:rPr>
            </w:pPr>
          </w:p>
          <w:p w:rsidR="003F3AE1" w:rsidP="003F3AE1" w14:paraId="12C84D4C" w14:textId="45098A10">
            <w:pPr>
              <w:rPr>
                <w:rFonts w:cs="Times New Roman"/>
                <w:szCs w:val="26"/>
              </w:rPr>
            </w:pPr>
            <w:r>
              <w:rPr>
                <w:rFonts w:cs="Times New Roman"/>
                <w:szCs w:val="26"/>
              </w:rPr>
              <w:t>J</w:t>
            </w:r>
            <w:r w:rsidR="007004A3">
              <w:rPr>
                <w:rFonts w:cs="Times New Roman"/>
                <w:szCs w:val="26"/>
              </w:rPr>
              <w:t xml:space="preserve">ohn </w:t>
            </w:r>
            <w:r w:rsidR="008F54C4">
              <w:rPr>
                <w:rFonts w:cs="Times New Roman"/>
                <w:szCs w:val="26"/>
              </w:rPr>
              <w:t>F</w:t>
            </w:r>
            <w:r w:rsidR="003E115A">
              <w:rPr>
                <w:rFonts w:cs="Times New Roman"/>
                <w:szCs w:val="26"/>
              </w:rPr>
              <w:t>.</w:t>
            </w:r>
            <w:r>
              <w:rPr>
                <w:rFonts w:cs="Times New Roman"/>
                <w:szCs w:val="26"/>
              </w:rPr>
              <w:t>,</w:t>
            </w:r>
          </w:p>
          <w:p w:rsidR="003F3AE1" w:rsidP="003F3AE1" w14:paraId="1CCD45D6" w14:textId="77777777">
            <w:pPr>
              <w:rPr>
                <w:rFonts w:cs="Times New Roman"/>
                <w:szCs w:val="26"/>
              </w:rPr>
            </w:pPr>
          </w:p>
          <w:p w:rsidR="003F3AE1" w:rsidP="003F3AE1" w14:paraId="1AB9808F" w14:textId="03DBA950">
            <w:pPr>
              <w:rPr>
                <w:rFonts w:cs="Times New Roman"/>
                <w:szCs w:val="26"/>
              </w:rPr>
            </w:pPr>
            <w:r>
              <w:rPr>
                <w:rFonts w:cs="Times New Roman"/>
                <w:szCs w:val="26"/>
              </w:rPr>
              <w:tab/>
              <w:t>Defendant and Appellant.</w:t>
            </w:r>
          </w:p>
          <w:p w:rsidR="003F3AE1" w:rsidP="003F3AE1" w14:paraId="075FA008" w14:textId="3987684F">
            <w:pPr>
              <w:rPr>
                <w:rFonts w:cs="Times New Roman"/>
                <w:szCs w:val="26"/>
              </w:rPr>
            </w:pPr>
          </w:p>
        </w:tc>
        <w:tc>
          <w:tcPr>
            <w:tcW w:w="4675" w:type="dxa"/>
            <w:tcBorders>
              <w:left w:val="single" w:sz="4" w:space="0" w:color="auto"/>
            </w:tcBorders>
            <w:shd w:val="clear" w:color="auto" w:fill="auto"/>
          </w:tcPr>
          <w:p w:rsidR="003F3AE1" w:rsidP="003F3AE1" w14:paraId="7779A797" w14:textId="0E921BD9">
            <w:pPr>
              <w:rPr>
                <w:rFonts w:cs="Times New Roman"/>
                <w:szCs w:val="26"/>
              </w:rPr>
            </w:pPr>
            <w:r>
              <w:rPr>
                <w:rFonts w:cs="Times New Roman"/>
                <w:szCs w:val="26"/>
              </w:rPr>
              <w:tab/>
            </w:r>
            <w:r w:rsidR="00050645">
              <w:rPr>
                <w:rFonts w:cs="Times New Roman"/>
                <w:szCs w:val="26"/>
              </w:rPr>
              <w:t>E0</w:t>
            </w:r>
            <w:r w:rsidR="00A81D99">
              <w:rPr>
                <w:rFonts w:cs="Times New Roman"/>
                <w:szCs w:val="26"/>
              </w:rPr>
              <w:t>8</w:t>
            </w:r>
            <w:r w:rsidR="00536A01">
              <w:rPr>
                <w:rFonts w:cs="Times New Roman"/>
                <w:szCs w:val="26"/>
              </w:rPr>
              <w:t>0</w:t>
            </w:r>
            <w:r w:rsidR="008F54C4">
              <w:rPr>
                <w:rFonts w:cs="Times New Roman"/>
                <w:szCs w:val="26"/>
              </w:rPr>
              <w:t>888</w:t>
            </w:r>
          </w:p>
          <w:p w:rsidR="003F3AE1" w:rsidP="003F3AE1" w14:paraId="75969125" w14:textId="77777777">
            <w:pPr>
              <w:rPr>
                <w:rFonts w:cs="Times New Roman"/>
                <w:szCs w:val="26"/>
              </w:rPr>
            </w:pPr>
          </w:p>
          <w:p w:rsidR="003F3AE1" w:rsidP="003F3AE1" w14:paraId="747DDF90" w14:textId="15BC15B0">
            <w:pPr>
              <w:rPr>
                <w:rFonts w:cs="Times New Roman"/>
                <w:szCs w:val="26"/>
              </w:rPr>
            </w:pPr>
            <w:r>
              <w:rPr>
                <w:rFonts w:cs="Times New Roman"/>
                <w:szCs w:val="26"/>
              </w:rPr>
              <w:tab/>
              <w:t xml:space="preserve">(Super.Ct.No. </w:t>
            </w:r>
            <w:r w:rsidR="008F54C4">
              <w:rPr>
                <w:rFonts w:cs="Times New Roman"/>
                <w:szCs w:val="26"/>
              </w:rPr>
              <w:t>INJ2100356</w:t>
            </w:r>
            <w:r>
              <w:rPr>
                <w:rFonts w:cs="Times New Roman"/>
                <w:szCs w:val="26"/>
              </w:rPr>
              <w:t>)</w:t>
            </w:r>
          </w:p>
          <w:p w:rsidR="003F3AE1" w:rsidP="003F3AE1" w14:paraId="5D563DC0" w14:textId="77777777">
            <w:pPr>
              <w:rPr>
                <w:rFonts w:cs="Times New Roman"/>
                <w:szCs w:val="26"/>
              </w:rPr>
            </w:pPr>
          </w:p>
          <w:p w:rsidR="003F3AE1" w:rsidP="003F3AE1" w14:paraId="716D89D5" w14:textId="1E183B3E">
            <w:pPr>
              <w:rPr>
                <w:rFonts w:cs="Times New Roman"/>
                <w:szCs w:val="26"/>
              </w:rPr>
            </w:pPr>
            <w:r>
              <w:rPr>
                <w:rFonts w:cs="Times New Roman"/>
                <w:szCs w:val="26"/>
              </w:rPr>
              <w:tab/>
              <w:t>OPINION</w:t>
            </w:r>
          </w:p>
          <w:p w:rsidR="003F3AE1" w:rsidP="003F3AE1" w14:paraId="7A8B1477" w14:textId="2191CCE1">
            <w:pPr>
              <w:rPr>
                <w:rFonts w:cs="Times New Roman"/>
                <w:szCs w:val="26"/>
              </w:rPr>
            </w:pPr>
          </w:p>
        </w:tc>
      </w:tr>
    </w:tbl>
    <w:p w:rsidR="00CD280D" w:rsidP="00E31643" w14:paraId="6E1D975B" w14:textId="6FAE5C4C">
      <w:pPr>
        <w:rPr>
          <w:rFonts w:cs="Times New Roman"/>
          <w:szCs w:val="26"/>
        </w:rPr>
      </w:pPr>
      <w:r>
        <w:rPr>
          <w:rFonts w:cs="Times New Roman"/>
          <w:szCs w:val="26"/>
        </w:rPr>
        <w:tab/>
        <w:t xml:space="preserve">APPEAL from the Superior Court of </w:t>
      </w:r>
      <w:r w:rsidR="00A81D99">
        <w:rPr>
          <w:rFonts w:cs="Times New Roman"/>
          <w:szCs w:val="26"/>
        </w:rPr>
        <w:t>Riverside</w:t>
      </w:r>
      <w:r>
        <w:rPr>
          <w:rFonts w:cs="Times New Roman"/>
          <w:szCs w:val="26"/>
        </w:rPr>
        <w:t xml:space="preserve"> County</w:t>
      </w:r>
      <w:r w:rsidR="007A7F75">
        <w:rPr>
          <w:rFonts w:cs="Times New Roman"/>
          <w:szCs w:val="26"/>
        </w:rPr>
        <w:t xml:space="preserve">.  </w:t>
      </w:r>
      <w:r w:rsidR="00F04C08">
        <w:rPr>
          <w:rFonts w:cs="Times New Roman"/>
          <w:szCs w:val="26"/>
        </w:rPr>
        <w:t xml:space="preserve">Natalie </w:t>
      </w:r>
      <w:r w:rsidR="00CF17FE">
        <w:rPr>
          <w:rFonts w:cs="Times New Roman"/>
          <w:szCs w:val="26"/>
        </w:rPr>
        <w:t xml:space="preserve">M. </w:t>
      </w:r>
      <w:r w:rsidR="00F04C08">
        <w:rPr>
          <w:rFonts w:cs="Times New Roman"/>
          <w:szCs w:val="26"/>
        </w:rPr>
        <w:t>Lough</w:t>
      </w:r>
      <w:r w:rsidR="00ED7FEE">
        <w:rPr>
          <w:rFonts w:cs="Times New Roman"/>
          <w:szCs w:val="26"/>
        </w:rPr>
        <w:t>,</w:t>
      </w:r>
      <w:r w:rsidR="00BD647C">
        <w:rPr>
          <w:rFonts w:cs="Times New Roman"/>
          <w:szCs w:val="26"/>
        </w:rPr>
        <w:t xml:space="preserve"> Judge</w:t>
      </w:r>
      <w:r w:rsidR="007A7F75">
        <w:rPr>
          <w:rFonts w:cs="Times New Roman"/>
          <w:szCs w:val="26"/>
        </w:rPr>
        <w:t xml:space="preserve">.  </w:t>
      </w:r>
      <w:r w:rsidR="00CA5D4A">
        <w:rPr>
          <w:rFonts w:cs="Times New Roman"/>
          <w:szCs w:val="26"/>
        </w:rPr>
        <w:t>Reversed and remanded</w:t>
      </w:r>
      <w:r w:rsidR="005816B6">
        <w:rPr>
          <w:rFonts w:cs="Times New Roman"/>
          <w:szCs w:val="26"/>
        </w:rPr>
        <w:t>.</w:t>
      </w:r>
    </w:p>
    <w:p w:rsidR="00BD647C" w:rsidP="00A81D99" w14:paraId="004479B2" w14:textId="57C1C45D">
      <w:pPr>
        <w:ind w:firstLine="720"/>
        <w:rPr>
          <w:rFonts w:cs="Times New Roman"/>
          <w:szCs w:val="26"/>
        </w:rPr>
      </w:pPr>
      <w:r>
        <w:rPr>
          <w:rFonts w:cs="Times New Roman"/>
          <w:szCs w:val="26"/>
        </w:rPr>
        <w:t>Deanna L. Lopas</w:t>
      </w:r>
      <w:r w:rsidR="00472579">
        <w:rPr>
          <w:rFonts w:cs="Times New Roman"/>
          <w:szCs w:val="26"/>
        </w:rPr>
        <w:t>, under appointment by the Court of Appeal, for Defendant and Appellant</w:t>
      </w:r>
      <w:r w:rsidR="00A81D99">
        <w:rPr>
          <w:rFonts w:cs="Times New Roman"/>
          <w:szCs w:val="26"/>
        </w:rPr>
        <w:t>.</w:t>
      </w:r>
    </w:p>
    <w:p w:rsidR="00472579" w:rsidP="007D7C91" w14:paraId="2B3A4939" w14:textId="33C3FA4B">
      <w:pPr>
        <w:ind w:firstLine="720"/>
        <w:rPr>
          <w:rFonts w:cs="Times New Roman"/>
          <w:szCs w:val="26"/>
        </w:rPr>
      </w:pPr>
      <w:r>
        <w:rPr>
          <w:rFonts w:cs="Times New Roman"/>
          <w:szCs w:val="26"/>
        </w:rPr>
        <w:t>Minh C. Tran</w:t>
      </w:r>
      <w:r w:rsidR="00450A44">
        <w:rPr>
          <w:rFonts w:cs="Times New Roman"/>
          <w:szCs w:val="26"/>
        </w:rPr>
        <w:t xml:space="preserve">, County Counsel, and </w:t>
      </w:r>
      <w:r w:rsidR="00536A01">
        <w:rPr>
          <w:rFonts w:cs="Times New Roman"/>
          <w:szCs w:val="26"/>
        </w:rPr>
        <w:t xml:space="preserve">Teresa K.B. Beecham and </w:t>
      </w:r>
      <w:r w:rsidR="00F04C08">
        <w:rPr>
          <w:rFonts w:cs="Times New Roman"/>
          <w:szCs w:val="26"/>
        </w:rPr>
        <w:t>Catherine E. Rupp</w:t>
      </w:r>
      <w:r w:rsidR="00450A44">
        <w:rPr>
          <w:rFonts w:cs="Times New Roman"/>
          <w:szCs w:val="26"/>
        </w:rPr>
        <w:t>, Deputy County Counsel</w:t>
      </w:r>
      <w:r w:rsidR="00BD647C">
        <w:rPr>
          <w:rFonts w:cs="Times New Roman"/>
          <w:szCs w:val="26"/>
        </w:rPr>
        <w:t>, for Plaintiff and Respondent.</w:t>
      </w:r>
    </w:p>
    <w:p w:rsidR="00FC243B" w:rsidP="009710E8" w14:paraId="0FAC8345" w14:textId="3BABBE80">
      <w:pPr>
        <w:ind w:firstLine="720"/>
        <w:rPr>
          <w:rFonts w:cs="Times New Roman"/>
          <w:color w:val="000000" w:themeColor="text1"/>
          <w:szCs w:val="26"/>
        </w:rPr>
      </w:pPr>
      <w:r>
        <w:rPr>
          <w:rFonts w:cs="Times New Roman"/>
          <w:szCs w:val="26"/>
        </w:rPr>
        <w:t>J</w:t>
      </w:r>
      <w:r w:rsidR="007004A3">
        <w:rPr>
          <w:rFonts w:cs="Times New Roman"/>
          <w:szCs w:val="26"/>
        </w:rPr>
        <w:t xml:space="preserve">ohn </w:t>
      </w:r>
      <w:r w:rsidR="00F04C08">
        <w:rPr>
          <w:rFonts w:cs="Times New Roman"/>
          <w:szCs w:val="26"/>
        </w:rPr>
        <w:t>F</w:t>
      </w:r>
      <w:r>
        <w:rPr>
          <w:rFonts w:cs="Times New Roman"/>
          <w:szCs w:val="26"/>
        </w:rPr>
        <w:t>.</w:t>
      </w:r>
      <w:r w:rsidRPr="008E1A95" w:rsidR="008E1A95">
        <w:rPr>
          <w:rFonts w:cs="Times New Roman"/>
          <w:szCs w:val="26"/>
        </w:rPr>
        <w:t xml:space="preserve"> (</w:t>
      </w:r>
      <w:r w:rsidR="00F04C08">
        <w:rPr>
          <w:rFonts w:cs="Times New Roman"/>
          <w:szCs w:val="26"/>
        </w:rPr>
        <w:t>father</w:t>
      </w:r>
      <w:r w:rsidRPr="008E1A95" w:rsidR="008E1A95">
        <w:rPr>
          <w:rFonts w:cs="Times New Roman"/>
          <w:szCs w:val="26"/>
        </w:rPr>
        <w:t>)</w:t>
      </w:r>
      <w:r w:rsidR="00472579">
        <w:rPr>
          <w:rFonts w:cs="Times New Roman"/>
          <w:szCs w:val="26"/>
        </w:rPr>
        <w:t xml:space="preserve"> </w:t>
      </w:r>
      <w:r w:rsidRPr="008E1A95" w:rsidR="008E1A95">
        <w:rPr>
          <w:rFonts w:cs="Times New Roman"/>
          <w:szCs w:val="26"/>
        </w:rPr>
        <w:t>appeal</w:t>
      </w:r>
      <w:r w:rsidR="00A81D99">
        <w:rPr>
          <w:rFonts w:cs="Times New Roman"/>
          <w:szCs w:val="26"/>
        </w:rPr>
        <w:t>s</w:t>
      </w:r>
      <w:r w:rsidRPr="008E1A95" w:rsidR="008E1A95">
        <w:rPr>
          <w:rFonts w:cs="Times New Roman"/>
          <w:szCs w:val="26"/>
        </w:rPr>
        <w:t xml:space="preserve"> </w:t>
      </w:r>
      <w:r w:rsidR="0004160F">
        <w:rPr>
          <w:rFonts w:cs="Times New Roman"/>
          <w:szCs w:val="26"/>
        </w:rPr>
        <w:t>from</w:t>
      </w:r>
      <w:r w:rsidR="00472579">
        <w:rPr>
          <w:rFonts w:cs="Times New Roman"/>
          <w:szCs w:val="26"/>
        </w:rPr>
        <w:t xml:space="preserve"> order</w:t>
      </w:r>
      <w:r w:rsidR="0004160F">
        <w:rPr>
          <w:rFonts w:cs="Times New Roman"/>
          <w:szCs w:val="26"/>
        </w:rPr>
        <w:t>s</w:t>
      </w:r>
      <w:r w:rsidR="00472579">
        <w:rPr>
          <w:rFonts w:cs="Times New Roman"/>
          <w:szCs w:val="26"/>
        </w:rPr>
        <w:t xml:space="preserve"> terminating parental rights over </w:t>
      </w:r>
      <w:r w:rsidR="00F04C08">
        <w:rPr>
          <w:rFonts w:cs="Times New Roman"/>
          <w:szCs w:val="26"/>
        </w:rPr>
        <w:t>his</w:t>
      </w:r>
      <w:r w:rsidR="004B352C">
        <w:rPr>
          <w:rFonts w:cs="Times New Roman"/>
          <w:szCs w:val="26"/>
        </w:rPr>
        <w:t xml:space="preserve"> </w:t>
      </w:r>
      <w:r w:rsidR="00FE67BB">
        <w:rPr>
          <w:rFonts w:cs="Times New Roman"/>
          <w:szCs w:val="26"/>
        </w:rPr>
        <w:t>young daughter</w:t>
      </w:r>
      <w:r w:rsidR="00F04C08">
        <w:rPr>
          <w:rFonts w:cs="Times New Roman"/>
          <w:szCs w:val="26"/>
        </w:rPr>
        <w:t xml:space="preserve"> S</w:t>
      </w:r>
      <w:r w:rsidR="007004A3">
        <w:rPr>
          <w:rFonts w:cs="Times New Roman"/>
          <w:szCs w:val="26"/>
        </w:rPr>
        <w:t xml:space="preserve">amantha </w:t>
      </w:r>
      <w:r w:rsidR="00F04C08">
        <w:rPr>
          <w:rFonts w:cs="Times New Roman"/>
          <w:szCs w:val="26"/>
        </w:rPr>
        <w:t>F</w:t>
      </w:r>
      <w:r w:rsidR="006052F4">
        <w:rPr>
          <w:rFonts w:cs="Times New Roman"/>
          <w:szCs w:val="26"/>
        </w:rPr>
        <w:t>.</w:t>
      </w:r>
      <w:r w:rsidR="00D72FC3">
        <w:rPr>
          <w:rFonts w:cs="Times New Roman"/>
          <w:szCs w:val="26"/>
        </w:rPr>
        <w:t xml:space="preserve"> </w:t>
      </w:r>
      <w:r w:rsidR="00AF54DE">
        <w:rPr>
          <w:rFonts w:cs="Times New Roman"/>
          <w:szCs w:val="26"/>
        </w:rPr>
        <w:t xml:space="preserve"> </w:t>
      </w:r>
      <w:r w:rsidR="00F04C08">
        <w:rPr>
          <w:rFonts w:cs="Times New Roman"/>
          <w:szCs w:val="26"/>
        </w:rPr>
        <w:t>H</w:t>
      </w:r>
      <w:r w:rsidR="004B352C">
        <w:rPr>
          <w:rFonts w:cs="Times New Roman"/>
          <w:szCs w:val="26"/>
        </w:rPr>
        <w:t>e</w:t>
      </w:r>
      <w:r w:rsidR="00472579">
        <w:rPr>
          <w:rFonts w:cs="Times New Roman"/>
          <w:szCs w:val="26"/>
        </w:rPr>
        <w:t xml:space="preserve"> argue</w:t>
      </w:r>
      <w:r w:rsidR="004B352C">
        <w:rPr>
          <w:rFonts w:cs="Times New Roman"/>
          <w:szCs w:val="26"/>
        </w:rPr>
        <w:t>s</w:t>
      </w:r>
      <w:r w:rsidR="00472579">
        <w:rPr>
          <w:rFonts w:cs="Times New Roman"/>
          <w:szCs w:val="26"/>
        </w:rPr>
        <w:t xml:space="preserve"> </w:t>
      </w:r>
      <w:r w:rsidR="004B352C">
        <w:rPr>
          <w:rFonts w:cs="Times New Roman"/>
          <w:szCs w:val="26"/>
        </w:rPr>
        <w:t>the Riverside County Department of Public Social Services</w:t>
      </w:r>
      <w:r w:rsidRPr="008E1A95" w:rsidR="00A14BFE">
        <w:rPr>
          <w:rFonts w:cs="Times New Roman"/>
          <w:szCs w:val="26"/>
        </w:rPr>
        <w:t xml:space="preserve"> </w:t>
      </w:r>
      <w:r w:rsidRPr="008E1A95" w:rsidR="008E1A95">
        <w:rPr>
          <w:rFonts w:cs="Times New Roman"/>
          <w:szCs w:val="26"/>
        </w:rPr>
        <w:t xml:space="preserve">(department) </w:t>
      </w:r>
      <w:r w:rsidR="00625E4F">
        <w:rPr>
          <w:rFonts w:cs="Times New Roman"/>
          <w:szCs w:val="26"/>
        </w:rPr>
        <w:t xml:space="preserve">did not </w:t>
      </w:r>
      <w:r w:rsidRPr="008E1A95" w:rsidR="008E1A95">
        <w:rPr>
          <w:rFonts w:cs="Times New Roman"/>
          <w:szCs w:val="26"/>
        </w:rPr>
        <w:t>sufficient</w:t>
      </w:r>
      <w:r w:rsidR="00625E4F">
        <w:rPr>
          <w:rFonts w:cs="Times New Roman"/>
          <w:szCs w:val="26"/>
        </w:rPr>
        <w:t>ly</w:t>
      </w:r>
      <w:r w:rsidRPr="008E1A95" w:rsidR="008E1A95">
        <w:rPr>
          <w:rFonts w:cs="Times New Roman"/>
          <w:szCs w:val="26"/>
        </w:rPr>
        <w:t xml:space="preserve"> inquir</w:t>
      </w:r>
      <w:r w:rsidR="00625E4F">
        <w:rPr>
          <w:rFonts w:cs="Times New Roman"/>
          <w:szCs w:val="26"/>
        </w:rPr>
        <w:t>e</w:t>
      </w:r>
      <w:r w:rsidRPr="008E1A95" w:rsidR="008E1A95">
        <w:rPr>
          <w:rFonts w:cs="Times New Roman"/>
          <w:szCs w:val="26"/>
        </w:rPr>
        <w:t xml:space="preserve"> into </w:t>
      </w:r>
      <w:r w:rsidR="00F04C08">
        <w:rPr>
          <w:rFonts w:cs="Times New Roman"/>
          <w:szCs w:val="26"/>
        </w:rPr>
        <w:t>S</w:t>
      </w:r>
      <w:r w:rsidR="00FF1DF8">
        <w:rPr>
          <w:rFonts w:cs="Times New Roman"/>
          <w:szCs w:val="26"/>
        </w:rPr>
        <w:t>amantha</w:t>
      </w:r>
      <w:r>
        <w:rPr>
          <w:rFonts w:cs="Times New Roman"/>
          <w:szCs w:val="26"/>
        </w:rPr>
        <w:t>’s</w:t>
      </w:r>
      <w:r w:rsidRPr="008E1A95" w:rsidR="008E1A95">
        <w:rPr>
          <w:rFonts w:cs="Times New Roman"/>
          <w:szCs w:val="26"/>
        </w:rPr>
        <w:t xml:space="preserve"> </w:t>
      </w:r>
      <w:r w:rsidR="0004160F">
        <w:rPr>
          <w:rFonts w:cs="Times New Roman"/>
          <w:szCs w:val="26"/>
        </w:rPr>
        <w:t xml:space="preserve">possible </w:t>
      </w:r>
      <w:r w:rsidRPr="008E1A95" w:rsidR="008E1A95">
        <w:rPr>
          <w:rFonts w:cs="Times New Roman"/>
          <w:szCs w:val="26"/>
        </w:rPr>
        <w:t xml:space="preserve">Indian ancestry under the Indian Child Welfare Act </w:t>
      </w:r>
      <w:r w:rsidR="002A79C5">
        <w:rPr>
          <w:rFonts w:cs="Times New Roman"/>
          <w:szCs w:val="26"/>
        </w:rPr>
        <w:t>of 1978 (ICWA), 25 U.S.C. § 1901 et seq</w:t>
      </w:r>
      <w:r w:rsidR="0004160F">
        <w:rPr>
          <w:rFonts w:cs="Times New Roman"/>
          <w:szCs w:val="26"/>
        </w:rPr>
        <w:t>.</w:t>
      </w:r>
      <w:r>
        <w:rPr>
          <w:rStyle w:val="FootnoteReference"/>
          <w:rFonts w:cs="Times New Roman"/>
          <w:szCs w:val="26"/>
        </w:rPr>
        <w:footnoteReference w:id="4"/>
      </w:r>
      <w:r w:rsidR="001C11EA">
        <w:rPr>
          <w:rFonts w:cs="Times New Roman"/>
          <w:szCs w:val="26"/>
        </w:rPr>
        <w:t xml:space="preserve"> </w:t>
      </w:r>
      <w:r w:rsidR="00AF54DE">
        <w:rPr>
          <w:rFonts w:cs="Times New Roman"/>
          <w:szCs w:val="26"/>
        </w:rPr>
        <w:t xml:space="preserve"> </w:t>
      </w:r>
      <w:r w:rsidR="006B7E7A">
        <w:rPr>
          <w:rFonts w:cs="Times New Roman"/>
          <w:szCs w:val="26"/>
        </w:rPr>
        <w:t xml:space="preserve">We </w:t>
      </w:r>
      <w:r w:rsidR="003228FD">
        <w:rPr>
          <w:rFonts w:cs="Times New Roman"/>
          <w:szCs w:val="26"/>
        </w:rPr>
        <w:t>agree</w:t>
      </w:r>
      <w:r w:rsidR="006B7E7A">
        <w:rPr>
          <w:rFonts w:cs="Times New Roman"/>
          <w:szCs w:val="26"/>
        </w:rPr>
        <w:t>.</w:t>
      </w:r>
      <w:r w:rsidR="00AF54DE">
        <w:rPr>
          <w:rFonts w:cs="Times New Roman"/>
          <w:szCs w:val="26"/>
        </w:rPr>
        <w:t xml:space="preserve"> </w:t>
      </w:r>
      <w:r w:rsidR="001C11EA">
        <w:rPr>
          <w:rFonts w:cs="Times New Roman"/>
          <w:szCs w:val="26"/>
        </w:rPr>
        <w:t xml:space="preserve"> </w:t>
      </w:r>
      <w:r w:rsidR="00356354">
        <w:rPr>
          <w:rFonts w:cs="Times New Roman"/>
          <w:szCs w:val="26"/>
        </w:rPr>
        <w:t xml:space="preserve">We reverse and remand </w:t>
      </w:r>
      <w:r w:rsidR="00CC030E">
        <w:rPr>
          <w:rFonts w:cs="Times New Roman"/>
          <w:szCs w:val="26"/>
        </w:rPr>
        <w:t>for</w:t>
      </w:r>
      <w:r w:rsidR="006B7E7A">
        <w:rPr>
          <w:rFonts w:cs="Times New Roman"/>
          <w:szCs w:val="26"/>
        </w:rPr>
        <w:t xml:space="preserve"> the juvenile court</w:t>
      </w:r>
      <w:r w:rsidR="00356354">
        <w:rPr>
          <w:rFonts w:cs="Times New Roman"/>
          <w:szCs w:val="26"/>
        </w:rPr>
        <w:t xml:space="preserve"> </w:t>
      </w:r>
      <w:r w:rsidR="00CC030E">
        <w:rPr>
          <w:rFonts w:cs="Times New Roman"/>
          <w:szCs w:val="26"/>
        </w:rPr>
        <w:t xml:space="preserve">to </w:t>
      </w:r>
      <w:r w:rsidR="006B7E7A">
        <w:rPr>
          <w:rFonts w:cs="Times New Roman"/>
          <w:szCs w:val="26"/>
        </w:rPr>
        <w:t xml:space="preserve">ensure the department completes the </w:t>
      </w:r>
      <w:r w:rsidR="002A79C5">
        <w:rPr>
          <w:rFonts w:cs="Times New Roman"/>
          <w:szCs w:val="26"/>
        </w:rPr>
        <w:t xml:space="preserve">ICWA </w:t>
      </w:r>
      <w:r w:rsidR="006B7E7A">
        <w:rPr>
          <w:rFonts w:cs="Times New Roman"/>
          <w:szCs w:val="26"/>
        </w:rPr>
        <w:t>inquiry</w:t>
      </w:r>
      <w:r w:rsidRPr="00501293" w:rsidR="00356354">
        <w:rPr>
          <w:rFonts w:cs="Times New Roman"/>
          <w:color w:val="000000" w:themeColor="text1"/>
          <w:szCs w:val="26"/>
        </w:rPr>
        <w:t>.</w:t>
      </w:r>
      <w:r>
        <w:rPr>
          <w:rStyle w:val="FootnoteReference"/>
          <w:rFonts w:cs="Times New Roman"/>
          <w:color w:val="000000" w:themeColor="text1"/>
          <w:szCs w:val="26"/>
        </w:rPr>
        <w:footnoteReference w:id="5"/>
      </w:r>
      <w:r w:rsidRPr="00501293" w:rsidR="001C11EA">
        <w:rPr>
          <w:rFonts w:cs="Times New Roman"/>
          <w:color w:val="000000" w:themeColor="text1"/>
          <w:szCs w:val="26"/>
        </w:rPr>
        <w:t xml:space="preserve"> </w:t>
      </w:r>
      <w:r w:rsidRPr="00501293" w:rsidR="007004A3">
        <w:rPr>
          <w:rFonts w:cs="Times New Roman"/>
          <w:color w:val="000000" w:themeColor="text1"/>
          <w:szCs w:val="26"/>
        </w:rPr>
        <w:t xml:space="preserve"> </w:t>
      </w:r>
    </w:p>
    <w:p w:rsidR="008E1A95" w:rsidRPr="00B37E7B" w:rsidP="009710E8" w14:paraId="4B8D90ED" w14:textId="45B1C41A">
      <w:pPr>
        <w:ind w:firstLine="720"/>
        <w:rPr>
          <w:rFonts w:cs="Times New Roman"/>
          <w:color w:val="000000" w:themeColor="text1"/>
          <w:szCs w:val="26"/>
        </w:rPr>
      </w:pPr>
      <w:r w:rsidRPr="00501293">
        <w:rPr>
          <w:rFonts w:cs="Times New Roman"/>
          <w:color w:val="000000" w:themeColor="text1"/>
          <w:szCs w:val="26"/>
        </w:rPr>
        <w:t>We</w:t>
      </w:r>
      <w:r w:rsidRPr="00501293" w:rsidR="00FF1DF8">
        <w:rPr>
          <w:rFonts w:cs="Times New Roman"/>
          <w:color w:val="000000" w:themeColor="text1"/>
          <w:szCs w:val="26"/>
        </w:rPr>
        <w:t xml:space="preserve"> </w:t>
      </w:r>
      <w:r w:rsidRPr="00501293">
        <w:rPr>
          <w:rFonts w:cs="Times New Roman"/>
          <w:color w:val="000000" w:themeColor="text1"/>
          <w:szCs w:val="26"/>
        </w:rPr>
        <w:t xml:space="preserve">publish </w:t>
      </w:r>
      <w:r w:rsidRPr="00501293" w:rsidR="00FF1DF8">
        <w:rPr>
          <w:rFonts w:cs="Times New Roman"/>
          <w:color w:val="000000" w:themeColor="text1"/>
          <w:szCs w:val="26"/>
        </w:rPr>
        <w:t xml:space="preserve">part of </w:t>
      </w:r>
      <w:r w:rsidRPr="00501293">
        <w:rPr>
          <w:rFonts w:cs="Times New Roman"/>
          <w:color w:val="000000" w:themeColor="text1"/>
          <w:szCs w:val="26"/>
        </w:rPr>
        <w:t>this opinion</w:t>
      </w:r>
      <w:r w:rsidR="00060CC9">
        <w:rPr>
          <w:rFonts w:cs="Times New Roman"/>
          <w:color w:val="000000" w:themeColor="text1"/>
          <w:szCs w:val="26"/>
        </w:rPr>
        <w:t xml:space="preserve"> </w:t>
      </w:r>
      <w:r w:rsidR="00887D15">
        <w:rPr>
          <w:rFonts w:cs="Times New Roman"/>
          <w:color w:val="000000" w:themeColor="text1"/>
          <w:szCs w:val="26"/>
        </w:rPr>
        <w:t>intend</w:t>
      </w:r>
      <w:r w:rsidR="00066303">
        <w:rPr>
          <w:rFonts w:cs="Times New Roman"/>
          <w:color w:val="000000" w:themeColor="text1"/>
          <w:szCs w:val="26"/>
        </w:rPr>
        <w:t>ing</w:t>
      </w:r>
      <w:r w:rsidR="00887D15">
        <w:rPr>
          <w:rFonts w:cs="Times New Roman"/>
          <w:color w:val="000000" w:themeColor="text1"/>
          <w:szCs w:val="26"/>
        </w:rPr>
        <w:t xml:space="preserve"> to add two points to the ongoing discussion about the </w:t>
      </w:r>
      <w:r w:rsidR="0004105D">
        <w:rPr>
          <w:rFonts w:cs="Times New Roman"/>
          <w:color w:val="000000" w:themeColor="text1"/>
          <w:szCs w:val="26"/>
        </w:rPr>
        <w:t xml:space="preserve">required </w:t>
      </w:r>
      <w:r w:rsidR="00887D15">
        <w:rPr>
          <w:rFonts w:cs="Times New Roman"/>
          <w:color w:val="000000" w:themeColor="text1"/>
          <w:szCs w:val="26"/>
        </w:rPr>
        <w:t>scope of that inquiry,</w:t>
      </w:r>
      <w:r w:rsidR="00FC243B">
        <w:rPr>
          <w:rFonts w:cs="Times New Roman"/>
          <w:color w:val="000000" w:themeColor="text1"/>
          <w:szCs w:val="26"/>
        </w:rPr>
        <w:t xml:space="preserve"> </w:t>
      </w:r>
      <w:r w:rsidR="00900DB6">
        <w:rPr>
          <w:rFonts w:cs="Times New Roman"/>
          <w:color w:val="000000" w:themeColor="text1"/>
          <w:szCs w:val="26"/>
        </w:rPr>
        <w:t>currently</w:t>
      </w:r>
      <w:r w:rsidR="00DB7A14">
        <w:rPr>
          <w:rFonts w:cs="Times New Roman"/>
          <w:color w:val="000000" w:themeColor="text1"/>
          <w:szCs w:val="26"/>
        </w:rPr>
        <w:t xml:space="preserve"> </w:t>
      </w:r>
      <w:r w:rsidR="00EC49E8">
        <w:rPr>
          <w:rFonts w:cs="Times New Roman"/>
          <w:color w:val="000000" w:themeColor="text1"/>
          <w:szCs w:val="26"/>
        </w:rPr>
        <w:t xml:space="preserve">under </w:t>
      </w:r>
      <w:r w:rsidR="00FC7315">
        <w:rPr>
          <w:rFonts w:cs="Times New Roman"/>
          <w:color w:val="000000" w:themeColor="text1"/>
          <w:szCs w:val="26"/>
        </w:rPr>
        <w:t>review by our Supreme Court</w:t>
      </w:r>
      <w:r w:rsidR="00DB7A14">
        <w:rPr>
          <w:rFonts w:cs="Times New Roman"/>
          <w:color w:val="000000" w:themeColor="text1"/>
          <w:szCs w:val="26"/>
        </w:rPr>
        <w:t xml:space="preserve"> in </w:t>
      </w:r>
      <w:r w:rsidR="00DB7A14">
        <w:rPr>
          <w:rFonts w:cs="Times New Roman"/>
          <w:i/>
          <w:iCs/>
          <w:color w:val="000000" w:themeColor="text1"/>
          <w:szCs w:val="26"/>
        </w:rPr>
        <w:t>In re Ja.O</w:t>
      </w:r>
      <w:r w:rsidR="00C16309">
        <w:rPr>
          <w:rFonts w:cs="Times New Roman"/>
          <w:i/>
          <w:iCs/>
          <w:color w:val="000000" w:themeColor="text1"/>
          <w:szCs w:val="26"/>
        </w:rPr>
        <w:t>.</w:t>
      </w:r>
      <w:r w:rsidR="00213746">
        <w:rPr>
          <w:rFonts w:cs="Times New Roman"/>
          <w:color w:val="000000" w:themeColor="text1"/>
          <w:szCs w:val="26"/>
        </w:rPr>
        <w:t xml:space="preserve"> (2</w:t>
      </w:r>
      <w:r w:rsidR="00BA6F39">
        <w:t>023) 91 Cal.App.5th 672 (</w:t>
      </w:r>
      <w:r w:rsidRPr="00BA6F39" w:rsidR="00BA6F39">
        <w:rPr>
          <w:i/>
          <w:iCs/>
        </w:rPr>
        <w:t>Ja.O</w:t>
      </w:r>
      <w:r w:rsidR="00BA6F39">
        <w:t xml:space="preserve">.), </w:t>
      </w:r>
      <w:r w:rsidR="00DB7A14">
        <w:rPr>
          <w:rFonts w:cs="Times New Roman"/>
          <w:color w:val="000000" w:themeColor="text1"/>
          <w:szCs w:val="26"/>
        </w:rPr>
        <w:t xml:space="preserve">review granted </w:t>
      </w:r>
      <w:r w:rsidR="00DB7A14">
        <w:t>July 26, 2023, S280572</w:t>
      </w:r>
      <w:r w:rsidR="00FC7315">
        <w:rPr>
          <w:rFonts w:cs="Times New Roman"/>
          <w:color w:val="000000" w:themeColor="text1"/>
          <w:szCs w:val="26"/>
        </w:rPr>
        <w:t xml:space="preserve">. </w:t>
      </w:r>
      <w:r w:rsidR="00BA6F39">
        <w:rPr>
          <w:rFonts w:cs="Times New Roman"/>
          <w:color w:val="000000" w:themeColor="text1"/>
          <w:szCs w:val="26"/>
        </w:rPr>
        <w:t xml:space="preserve"> </w:t>
      </w:r>
      <w:r w:rsidR="00FC7315">
        <w:rPr>
          <w:rFonts w:cs="Times New Roman"/>
          <w:color w:val="000000" w:themeColor="text1"/>
          <w:szCs w:val="26"/>
        </w:rPr>
        <w:t>Specifically, we</w:t>
      </w:r>
      <w:r w:rsidRPr="00501293">
        <w:rPr>
          <w:rFonts w:cs="Times New Roman"/>
          <w:color w:val="000000" w:themeColor="text1"/>
          <w:szCs w:val="26"/>
        </w:rPr>
        <w:t xml:space="preserve"> address th</w:t>
      </w:r>
      <w:r w:rsidRPr="00501293" w:rsidR="002F4797">
        <w:rPr>
          <w:rFonts w:cs="Times New Roman"/>
          <w:color w:val="000000" w:themeColor="text1"/>
          <w:szCs w:val="26"/>
        </w:rPr>
        <w:t xml:space="preserve">e </w:t>
      </w:r>
      <w:r w:rsidRPr="00501293" w:rsidR="00D774C5">
        <w:rPr>
          <w:rFonts w:cs="Times New Roman"/>
          <w:color w:val="000000" w:themeColor="text1"/>
          <w:szCs w:val="26"/>
        </w:rPr>
        <w:t xml:space="preserve">meaning of the </w:t>
      </w:r>
      <w:r w:rsidRPr="00501293" w:rsidR="002F4797">
        <w:rPr>
          <w:rFonts w:cs="Times New Roman"/>
          <w:color w:val="000000" w:themeColor="text1"/>
          <w:szCs w:val="26"/>
        </w:rPr>
        <w:t>terms “protective custody” and “temporary custody”</w:t>
      </w:r>
      <w:r w:rsidR="003C7DFF">
        <w:rPr>
          <w:rFonts w:cs="Times New Roman"/>
          <w:color w:val="000000" w:themeColor="text1"/>
          <w:szCs w:val="26"/>
        </w:rPr>
        <w:t xml:space="preserve"> as they are used in our dependency statutes,</w:t>
      </w:r>
      <w:r w:rsidRPr="00501293" w:rsidR="002F4797">
        <w:rPr>
          <w:rFonts w:cs="Times New Roman"/>
          <w:color w:val="000000" w:themeColor="text1"/>
          <w:szCs w:val="26"/>
        </w:rPr>
        <w:t xml:space="preserve"> </w:t>
      </w:r>
      <w:r w:rsidR="00471921">
        <w:rPr>
          <w:rFonts w:cs="Times New Roman"/>
          <w:color w:val="000000" w:themeColor="text1"/>
          <w:szCs w:val="26"/>
        </w:rPr>
        <w:t>and</w:t>
      </w:r>
      <w:r w:rsidRPr="00501293" w:rsidR="002F4797">
        <w:rPr>
          <w:rFonts w:cs="Times New Roman"/>
          <w:color w:val="000000" w:themeColor="text1"/>
          <w:szCs w:val="26"/>
        </w:rPr>
        <w:t xml:space="preserve"> the</w:t>
      </w:r>
      <w:r w:rsidRPr="00501293">
        <w:rPr>
          <w:rFonts w:cs="Times New Roman"/>
          <w:color w:val="000000" w:themeColor="text1"/>
          <w:szCs w:val="26"/>
        </w:rPr>
        <w:t xml:space="preserve"> </w:t>
      </w:r>
      <w:r w:rsidRPr="00501293" w:rsidR="00BD0E39">
        <w:rPr>
          <w:rFonts w:cs="Times New Roman"/>
          <w:color w:val="000000" w:themeColor="text1"/>
          <w:szCs w:val="26"/>
        </w:rPr>
        <w:t>application of federal law to the ICWA inquiry.</w:t>
      </w:r>
      <w:r w:rsidR="00A8577E">
        <w:rPr>
          <w:rFonts w:cs="Times New Roman"/>
          <w:color w:val="000000" w:themeColor="text1"/>
          <w:szCs w:val="26"/>
        </w:rPr>
        <w:t xml:space="preserve">  This analysis provides additional reasons, beyond those persuasively articulated in </w:t>
      </w:r>
      <w:r w:rsidR="00A8577E">
        <w:rPr>
          <w:i/>
          <w:iCs/>
        </w:rPr>
        <w:t>In re Delila D.</w:t>
      </w:r>
      <w:r w:rsidR="00A8577E">
        <w:t xml:space="preserve"> (2023) 93 Cal.App.5th 953 </w:t>
      </w:r>
      <w:r w:rsidR="00BA6F39">
        <w:t>(</w:t>
      </w:r>
      <w:r w:rsidRPr="00BA6F39" w:rsidR="00BA6F39">
        <w:rPr>
          <w:i/>
          <w:iCs/>
        </w:rPr>
        <w:t>Delila D</w:t>
      </w:r>
      <w:r w:rsidR="00BA6F39">
        <w:t xml:space="preserve">.), review granted September 27, 2023, </w:t>
      </w:r>
      <w:bookmarkStart w:id="1" w:name="_Hlk158296554"/>
      <w:r w:rsidR="00BA6F39">
        <w:t>S281447</w:t>
      </w:r>
      <w:bookmarkEnd w:id="1"/>
      <w:r w:rsidR="00BA6F39">
        <w:t xml:space="preserve">, </w:t>
      </w:r>
      <w:r w:rsidR="00A8577E">
        <w:t>and similar cases</w:t>
      </w:r>
      <w:r w:rsidR="00B37E7B">
        <w:t>, why the Legislature</w:t>
      </w:r>
      <w:r w:rsidR="00D16107">
        <w:t xml:space="preserve"> </w:t>
      </w:r>
      <w:r w:rsidR="00BA13F1">
        <w:t>did not</w:t>
      </w:r>
      <w:r w:rsidR="00B37E7B">
        <w:t xml:space="preserve"> intend the initial ICWA inquiry to differ depending on whether the child was removed from parental care with or without a warrant.</w:t>
      </w:r>
    </w:p>
    <w:p w:rsidR="00FA2152" w:rsidRPr="00501293" w:rsidP="009710E8" w14:paraId="3FBB357C" w14:textId="2184FB6F">
      <w:pPr>
        <w:keepNext/>
        <w:keepLines/>
        <w:jc w:val="center"/>
        <w:rPr>
          <w:rFonts w:cs="Times New Roman"/>
          <w:bCs/>
          <w:color w:val="000000" w:themeColor="text1"/>
          <w:szCs w:val="26"/>
        </w:rPr>
      </w:pPr>
      <w:r w:rsidRPr="00501293">
        <w:rPr>
          <w:rFonts w:cs="Times New Roman"/>
          <w:bCs/>
          <w:color w:val="000000" w:themeColor="text1"/>
          <w:szCs w:val="26"/>
        </w:rPr>
        <w:t xml:space="preserve">I. </w:t>
      </w:r>
      <w:r w:rsidRPr="00501293" w:rsidR="004B352C">
        <w:rPr>
          <w:rFonts w:cs="Times New Roman"/>
          <w:bCs/>
          <w:color w:val="000000" w:themeColor="text1"/>
          <w:szCs w:val="26"/>
        </w:rPr>
        <w:t>BACKGROUND</w:t>
      </w:r>
    </w:p>
    <w:p w:rsidR="004A4735" w:rsidP="009710E8" w14:paraId="6BAB765A" w14:textId="7E35D89D">
      <w:pPr>
        <w:ind w:firstLine="720"/>
        <w:rPr>
          <w:rFonts w:cs="Times New Roman"/>
          <w:szCs w:val="26"/>
        </w:rPr>
      </w:pPr>
      <w:bookmarkStart w:id="2" w:name="_Hlk126589032"/>
      <w:r>
        <w:rPr>
          <w:rFonts w:cs="Times New Roman"/>
          <w:szCs w:val="26"/>
        </w:rPr>
        <w:t>S</w:t>
      </w:r>
      <w:r w:rsidR="00D0758B">
        <w:rPr>
          <w:rFonts w:cs="Times New Roman"/>
          <w:szCs w:val="26"/>
        </w:rPr>
        <w:t xml:space="preserve">amantha </w:t>
      </w:r>
      <w:r w:rsidR="00BD0E39">
        <w:rPr>
          <w:rFonts w:cs="Times New Roman"/>
          <w:szCs w:val="26"/>
        </w:rPr>
        <w:t xml:space="preserve">was </w:t>
      </w:r>
      <w:r>
        <w:rPr>
          <w:rFonts w:cs="Times New Roman"/>
          <w:szCs w:val="26"/>
        </w:rPr>
        <w:t xml:space="preserve">born </w:t>
      </w:r>
      <w:r w:rsidR="00BD0E39">
        <w:rPr>
          <w:rFonts w:cs="Times New Roman"/>
          <w:szCs w:val="26"/>
        </w:rPr>
        <w:t xml:space="preserve">in </w:t>
      </w:r>
      <w:r w:rsidR="005D3BCA">
        <w:rPr>
          <w:rFonts w:cs="Times New Roman"/>
          <w:szCs w:val="26"/>
        </w:rPr>
        <w:t>2021</w:t>
      </w:r>
      <w:r w:rsidR="003C7DFF">
        <w:rPr>
          <w:rFonts w:cs="Times New Roman"/>
          <w:szCs w:val="26"/>
        </w:rPr>
        <w:t xml:space="preserve"> and</w:t>
      </w:r>
      <w:r>
        <w:rPr>
          <w:rFonts w:cs="Times New Roman"/>
          <w:szCs w:val="26"/>
        </w:rPr>
        <w:t xml:space="preserve"> has three older </w:t>
      </w:r>
      <w:r w:rsidR="003C7DFF">
        <w:rPr>
          <w:rFonts w:cs="Times New Roman"/>
          <w:szCs w:val="26"/>
        </w:rPr>
        <w:t>siblings</w:t>
      </w:r>
      <w:r>
        <w:rPr>
          <w:rFonts w:cs="Times New Roman"/>
          <w:szCs w:val="26"/>
        </w:rPr>
        <w:t xml:space="preserve"> who are not </w:t>
      </w:r>
      <w:r w:rsidR="003C7DFF">
        <w:rPr>
          <w:rFonts w:cs="Times New Roman"/>
          <w:szCs w:val="26"/>
        </w:rPr>
        <w:t>involved in</w:t>
      </w:r>
      <w:r>
        <w:rPr>
          <w:rFonts w:cs="Times New Roman"/>
          <w:szCs w:val="26"/>
        </w:rPr>
        <w:t xml:space="preserve"> this appeal. </w:t>
      </w:r>
      <w:r w:rsidR="001E371E">
        <w:rPr>
          <w:rFonts w:cs="Times New Roman"/>
          <w:szCs w:val="26"/>
        </w:rPr>
        <w:t xml:space="preserve"> </w:t>
      </w:r>
      <w:r w:rsidR="006B7E7A">
        <w:rPr>
          <w:rFonts w:cs="Times New Roman"/>
          <w:szCs w:val="26"/>
        </w:rPr>
        <w:t>During</w:t>
      </w:r>
      <w:r w:rsidR="009C4801">
        <w:rPr>
          <w:rFonts w:cs="Times New Roman"/>
          <w:szCs w:val="26"/>
        </w:rPr>
        <w:t xml:space="preserve"> the dependency</w:t>
      </w:r>
      <w:r w:rsidR="00BD0E39">
        <w:rPr>
          <w:rFonts w:cs="Times New Roman"/>
          <w:szCs w:val="26"/>
        </w:rPr>
        <w:t>,</w:t>
      </w:r>
      <w:r w:rsidR="009C4801">
        <w:rPr>
          <w:rFonts w:cs="Times New Roman"/>
          <w:szCs w:val="26"/>
        </w:rPr>
        <w:t xml:space="preserve"> mother and</w:t>
      </w:r>
      <w:r w:rsidR="003C7DFF">
        <w:rPr>
          <w:rFonts w:cs="Times New Roman"/>
          <w:szCs w:val="26"/>
        </w:rPr>
        <w:t xml:space="preserve"> </w:t>
      </w:r>
      <w:r w:rsidR="009C4801">
        <w:rPr>
          <w:rFonts w:cs="Times New Roman"/>
          <w:szCs w:val="26"/>
        </w:rPr>
        <w:t xml:space="preserve">father </w:t>
      </w:r>
      <w:r w:rsidR="006B7E7A">
        <w:rPr>
          <w:rFonts w:cs="Times New Roman"/>
          <w:szCs w:val="26"/>
        </w:rPr>
        <w:t xml:space="preserve">repeatedly </w:t>
      </w:r>
      <w:r w:rsidR="009C4801">
        <w:rPr>
          <w:rFonts w:cs="Times New Roman"/>
          <w:szCs w:val="26"/>
        </w:rPr>
        <w:t>denied</w:t>
      </w:r>
      <w:r w:rsidR="002F2FA5">
        <w:rPr>
          <w:rFonts w:cs="Times New Roman"/>
          <w:szCs w:val="26"/>
        </w:rPr>
        <w:t xml:space="preserve"> that</w:t>
      </w:r>
      <w:r w:rsidR="009C4801">
        <w:rPr>
          <w:rFonts w:cs="Times New Roman"/>
          <w:szCs w:val="26"/>
        </w:rPr>
        <w:t xml:space="preserve"> S</w:t>
      </w:r>
      <w:r w:rsidR="00FF1DF8">
        <w:rPr>
          <w:rFonts w:cs="Times New Roman"/>
          <w:szCs w:val="26"/>
        </w:rPr>
        <w:t>amantha</w:t>
      </w:r>
      <w:r w:rsidR="009C4801">
        <w:rPr>
          <w:rFonts w:cs="Times New Roman"/>
          <w:szCs w:val="26"/>
        </w:rPr>
        <w:t xml:space="preserve"> had any Indian heritage.</w:t>
      </w:r>
      <w:r w:rsidR="006B7E7A">
        <w:rPr>
          <w:rFonts w:cs="Times New Roman"/>
          <w:szCs w:val="26"/>
        </w:rPr>
        <w:t xml:space="preserve">  The record does not </w:t>
      </w:r>
      <w:r w:rsidR="00660DCB">
        <w:rPr>
          <w:rFonts w:cs="Times New Roman"/>
          <w:szCs w:val="26"/>
        </w:rPr>
        <w:t>specify</w:t>
      </w:r>
      <w:r w:rsidR="006B7E7A">
        <w:rPr>
          <w:rFonts w:cs="Times New Roman"/>
          <w:szCs w:val="26"/>
        </w:rPr>
        <w:t xml:space="preserve"> </w:t>
      </w:r>
      <w:r w:rsidR="002A79C5">
        <w:rPr>
          <w:rFonts w:cs="Times New Roman"/>
          <w:szCs w:val="26"/>
        </w:rPr>
        <w:t xml:space="preserve">whether </w:t>
      </w:r>
      <w:r w:rsidR="006B7E7A">
        <w:rPr>
          <w:rFonts w:cs="Times New Roman"/>
          <w:szCs w:val="26"/>
        </w:rPr>
        <w:t xml:space="preserve">the department asked </w:t>
      </w:r>
      <w:r w:rsidR="009C4801">
        <w:rPr>
          <w:rFonts w:cs="Times New Roman"/>
          <w:szCs w:val="26"/>
        </w:rPr>
        <w:t xml:space="preserve">any other relatives </w:t>
      </w:r>
      <w:r w:rsidR="002F2FA5">
        <w:rPr>
          <w:rFonts w:cs="Times New Roman"/>
          <w:szCs w:val="26"/>
        </w:rPr>
        <w:t>about</w:t>
      </w:r>
      <w:r w:rsidR="002A79C5">
        <w:rPr>
          <w:rFonts w:cs="Times New Roman"/>
          <w:szCs w:val="26"/>
        </w:rPr>
        <w:t xml:space="preserve"> </w:t>
      </w:r>
      <w:r w:rsidR="009C4801">
        <w:rPr>
          <w:rFonts w:cs="Times New Roman"/>
          <w:szCs w:val="26"/>
        </w:rPr>
        <w:t>S</w:t>
      </w:r>
      <w:r w:rsidR="00FF1DF8">
        <w:rPr>
          <w:rFonts w:cs="Times New Roman"/>
          <w:szCs w:val="26"/>
        </w:rPr>
        <w:t>amantha</w:t>
      </w:r>
      <w:r w:rsidR="002F2FA5">
        <w:rPr>
          <w:rFonts w:cs="Times New Roman"/>
          <w:szCs w:val="26"/>
        </w:rPr>
        <w:t>’s possible</w:t>
      </w:r>
      <w:r w:rsidR="006B7E7A">
        <w:rPr>
          <w:rFonts w:cs="Times New Roman"/>
          <w:szCs w:val="26"/>
        </w:rPr>
        <w:t xml:space="preserve"> </w:t>
      </w:r>
      <w:r w:rsidR="002A79C5">
        <w:rPr>
          <w:rFonts w:cs="Times New Roman"/>
          <w:szCs w:val="26"/>
        </w:rPr>
        <w:t>Indian heritage</w:t>
      </w:r>
      <w:r w:rsidR="009C4801">
        <w:rPr>
          <w:rFonts w:cs="Times New Roman"/>
          <w:szCs w:val="26"/>
        </w:rPr>
        <w:t>.</w:t>
      </w:r>
    </w:p>
    <w:p w:rsidR="00F72DA3" w:rsidP="009710E8" w14:paraId="512870D1" w14:textId="69F95999">
      <w:pPr>
        <w:ind w:firstLine="720"/>
        <w:rPr>
          <w:rFonts w:cs="Times New Roman"/>
          <w:szCs w:val="26"/>
        </w:rPr>
      </w:pPr>
      <w:r>
        <w:rPr>
          <w:rFonts w:cs="Times New Roman"/>
          <w:szCs w:val="26"/>
        </w:rPr>
        <w:t>In December 2021</w:t>
      </w:r>
      <w:r w:rsidR="003857A5">
        <w:rPr>
          <w:rFonts w:cs="Times New Roman"/>
          <w:szCs w:val="26"/>
        </w:rPr>
        <w:t>,</w:t>
      </w:r>
      <w:r>
        <w:rPr>
          <w:rFonts w:cs="Times New Roman"/>
          <w:szCs w:val="26"/>
        </w:rPr>
        <w:t xml:space="preserve"> the department took S</w:t>
      </w:r>
      <w:r w:rsidR="00FF1DF8">
        <w:rPr>
          <w:rFonts w:cs="Times New Roman"/>
          <w:szCs w:val="26"/>
        </w:rPr>
        <w:t>amantha</w:t>
      </w:r>
      <w:r>
        <w:rPr>
          <w:rFonts w:cs="Times New Roman"/>
          <w:szCs w:val="26"/>
        </w:rPr>
        <w:t xml:space="preserve"> into protective custody</w:t>
      </w:r>
      <w:r w:rsidR="003F3748">
        <w:rPr>
          <w:rFonts w:cs="Times New Roman"/>
          <w:szCs w:val="26"/>
        </w:rPr>
        <w:t xml:space="preserve"> pursuant to a warrant</w:t>
      </w:r>
      <w:r w:rsidR="0093479F">
        <w:rPr>
          <w:rFonts w:cs="Times New Roman"/>
          <w:szCs w:val="26"/>
        </w:rPr>
        <w:t xml:space="preserve"> based on evidence she was endangered by maternal neglect and paternal criminal activity</w:t>
      </w:r>
      <w:r>
        <w:rPr>
          <w:rFonts w:cs="Times New Roman"/>
          <w:szCs w:val="26"/>
        </w:rPr>
        <w:t xml:space="preserve">.  </w:t>
      </w:r>
      <w:r w:rsidR="002F2FA5">
        <w:rPr>
          <w:rFonts w:cs="Times New Roman"/>
          <w:szCs w:val="26"/>
        </w:rPr>
        <w:t>During its investigation, the department learned that a</w:t>
      </w:r>
      <w:r w:rsidR="00FF1DF8">
        <w:rPr>
          <w:rFonts w:cs="Times New Roman"/>
          <w:szCs w:val="26"/>
        </w:rPr>
        <w:t>n</w:t>
      </w:r>
      <w:r w:rsidR="005021D2">
        <w:rPr>
          <w:rFonts w:cs="Times New Roman"/>
          <w:szCs w:val="26"/>
        </w:rPr>
        <w:t xml:space="preserve"> older half</w:t>
      </w:r>
      <w:r w:rsidR="00273B04">
        <w:rPr>
          <w:rFonts w:cs="Times New Roman"/>
          <w:szCs w:val="26"/>
        </w:rPr>
        <w:t xml:space="preserve"> </w:t>
      </w:r>
      <w:r w:rsidR="005021D2">
        <w:rPr>
          <w:rFonts w:cs="Times New Roman"/>
          <w:szCs w:val="26"/>
        </w:rPr>
        <w:t>sibling</w:t>
      </w:r>
      <w:r>
        <w:rPr>
          <w:rFonts w:cs="Times New Roman"/>
          <w:szCs w:val="26"/>
        </w:rPr>
        <w:t xml:space="preserve"> had</w:t>
      </w:r>
      <w:r w:rsidR="005021D2">
        <w:rPr>
          <w:rFonts w:cs="Times New Roman"/>
          <w:szCs w:val="26"/>
        </w:rPr>
        <w:t xml:space="preserve"> stopped attending school and </w:t>
      </w:r>
      <w:r w:rsidR="00FE6D5D">
        <w:rPr>
          <w:rFonts w:cs="Times New Roman"/>
          <w:szCs w:val="26"/>
        </w:rPr>
        <w:t xml:space="preserve">allegedly </w:t>
      </w:r>
      <w:r w:rsidR="007648E5">
        <w:rPr>
          <w:rFonts w:cs="Times New Roman"/>
          <w:szCs w:val="26"/>
        </w:rPr>
        <w:t xml:space="preserve">was </w:t>
      </w:r>
      <w:r w:rsidR="009D36D0">
        <w:rPr>
          <w:rFonts w:cs="Times New Roman"/>
          <w:szCs w:val="26"/>
        </w:rPr>
        <w:t>“</w:t>
      </w:r>
      <w:r w:rsidR="00686372">
        <w:rPr>
          <w:rFonts w:cs="Times New Roman"/>
          <w:szCs w:val="26"/>
        </w:rPr>
        <w:t>hanging out with</w:t>
      </w:r>
      <w:r w:rsidR="009D36D0">
        <w:rPr>
          <w:rFonts w:cs="Times New Roman"/>
          <w:szCs w:val="26"/>
        </w:rPr>
        <w:t>”</w:t>
      </w:r>
      <w:r w:rsidR="005021D2">
        <w:rPr>
          <w:rFonts w:cs="Times New Roman"/>
          <w:szCs w:val="26"/>
        </w:rPr>
        <w:t xml:space="preserve"> a 20</w:t>
      </w:r>
      <w:r w:rsidR="00C435F5">
        <w:rPr>
          <w:rFonts w:cs="Times New Roman"/>
          <w:szCs w:val="26"/>
        </w:rPr>
        <w:t>-</w:t>
      </w:r>
      <w:r w:rsidR="005021D2">
        <w:rPr>
          <w:rFonts w:cs="Times New Roman"/>
          <w:szCs w:val="26"/>
        </w:rPr>
        <w:t>year</w:t>
      </w:r>
      <w:r w:rsidR="00C435F5">
        <w:rPr>
          <w:rFonts w:cs="Times New Roman"/>
          <w:szCs w:val="26"/>
        </w:rPr>
        <w:t>-</w:t>
      </w:r>
      <w:r w:rsidR="005021D2">
        <w:rPr>
          <w:rFonts w:cs="Times New Roman"/>
          <w:szCs w:val="26"/>
        </w:rPr>
        <w:t xml:space="preserve">old man. </w:t>
      </w:r>
      <w:r w:rsidR="00C435F5">
        <w:rPr>
          <w:rFonts w:cs="Times New Roman"/>
          <w:szCs w:val="26"/>
        </w:rPr>
        <w:t xml:space="preserve"> </w:t>
      </w:r>
      <w:r w:rsidR="00FF1DF8">
        <w:rPr>
          <w:rFonts w:cs="Times New Roman"/>
          <w:szCs w:val="26"/>
        </w:rPr>
        <w:t>Another</w:t>
      </w:r>
      <w:r w:rsidR="005021D2">
        <w:rPr>
          <w:rFonts w:cs="Times New Roman"/>
          <w:szCs w:val="26"/>
        </w:rPr>
        <w:t xml:space="preserve"> older half</w:t>
      </w:r>
      <w:r w:rsidR="00273B04">
        <w:rPr>
          <w:rFonts w:cs="Times New Roman"/>
          <w:szCs w:val="26"/>
        </w:rPr>
        <w:t xml:space="preserve"> </w:t>
      </w:r>
      <w:r w:rsidR="005021D2">
        <w:rPr>
          <w:rFonts w:cs="Times New Roman"/>
          <w:szCs w:val="26"/>
        </w:rPr>
        <w:t>sibling reported father was violent towards mother, including while she was pregnant with S</w:t>
      </w:r>
      <w:r w:rsidR="00FF1DF8">
        <w:rPr>
          <w:rFonts w:cs="Times New Roman"/>
          <w:szCs w:val="26"/>
        </w:rPr>
        <w:t>amantha.</w:t>
      </w:r>
      <w:r w:rsidR="005021D2">
        <w:rPr>
          <w:rFonts w:cs="Times New Roman"/>
          <w:szCs w:val="26"/>
        </w:rPr>
        <w:t xml:space="preserve"> </w:t>
      </w:r>
      <w:r w:rsidR="00C435F5">
        <w:rPr>
          <w:rFonts w:cs="Times New Roman"/>
          <w:szCs w:val="26"/>
        </w:rPr>
        <w:t xml:space="preserve"> </w:t>
      </w:r>
      <w:r w:rsidR="005021D2">
        <w:rPr>
          <w:rFonts w:cs="Times New Roman"/>
          <w:szCs w:val="26"/>
        </w:rPr>
        <w:t>Mother also told the department she had a history of intimate partner violence, including from</w:t>
      </w:r>
      <w:r w:rsidR="002A79C5">
        <w:rPr>
          <w:rFonts w:cs="Times New Roman"/>
          <w:szCs w:val="26"/>
        </w:rPr>
        <w:t xml:space="preserve"> </w:t>
      </w:r>
      <w:r w:rsidR="005021D2">
        <w:rPr>
          <w:rFonts w:cs="Times New Roman"/>
          <w:szCs w:val="26"/>
        </w:rPr>
        <w:t>father, and she was concerned father was using methamphetamine.</w:t>
      </w:r>
      <w:r w:rsidR="00C435F5">
        <w:rPr>
          <w:rFonts w:cs="Times New Roman"/>
          <w:szCs w:val="26"/>
        </w:rPr>
        <w:t xml:space="preserve"> </w:t>
      </w:r>
      <w:r w:rsidR="005021D2">
        <w:rPr>
          <w:rFonts w:cs="Times New Roman"/>
          <w:szCs w:val="26"/>
        </w:rPr>
        <w:t xml:space="preserve"> </w:t>
      </w:r>
      <w:r w:rsidR="00601B67">
        <w:rPr>
          <w:rFonts w:cs="Times New Roman"/>
          <w:szCs w:val="26"/>
        </w:rPr>
        <w:t>Father at first denied</w:t>
      </w:r>
      <w:r w:rsidR="005021D2">
        <w:rPr>
          <w:rFonts w:cs="Times New Roman"/>
          <w:szCs w:val="26"/>
        </w:rPr>
        <w:t xml:space="preserve"> any criminal history or drug use</w:t>
      </w:r>
      <w:r w:rsidR="00C44389">
        <w:rPr>
          <w:rFonts w:cs="Times New Roman"/>
          <w:szCs w:val="26"/>
        </w:rPr>
        <w:t xml:space="preserve"> </w:t>
      </w:r>
      <w:r w:rsidR="005021D2">
        <w:rPr>
          <w:rFonts w:cs="Times New Roman"/>
          <w:szCs w:val="26"/>
        </w:rPr>
        <w:t xml:space="preserve">but then admitted he </w:t>
      </w:r>
      <w:r w:rsidR="00D0758B">
        <w:rPr>
          <w:rFonts w:cs="Times New Roman"/>
          <w:szCs w:val="26"/>
        </w:rPr>
        <w:t xml:space="preserve">had </w:t>
      </w:r>
      <w:r w:rsidR="005021D2">
        <w:rPr>
          <w:rFonts w:cs="Times New Roman"/>
          <w:szCs w:val="26"/>
        </w:rPr>
        <w:t xml:space="preserve">used methamphetamine daily for almost three years. </w:t>
      </w:r>
      <w:r w:rsidR="00C435F5">
        <w:rPr>
          <w:rFonts w:cs="Times New Roman"/>
          <w:szCs w:val="26"/>
        </w:rPr>
        <w:t xml:space="preserve"> </w:t>
      </w:r>
      <w:r w:rsidR="005021D2">
        <w:rPr>
          <w:rFonts w:cs="Times New Roman"/>
          <w:szCs w:val="26"/>
        </w:rPr>
        <w:t xml:space="preserve">He </w:t>
      </w:r>
      <w:r w:rsidR="002A79C5">
        <w:rPr>
          <w:rFonts w:cs="Times New Roman"/>
          <w:szCs w:val="26"/>
        </w:rPr>
        <w:t xml:space="preserve">refused </w:t>
      </w:r>
      <w:r w:rsidR="005021D2">
        <w:rPr>
          <w:rFonts w:cs="Times New Roman"/>
          <w:szCs w:val="26"/>
        </w:rPr>
        <w:t xml:space="preserve">a drug test and told the department he would </w:t>
      </w:r>
      <w:r w:rsidR="002A79C5">
        <w:rPr>
          <w:rFonts w:cs="Times New Roman"/>
          <w:szCs w:val="26"/>
        </w:rPr>
        <w:t xml:space="preserve">take a </w:t>
      </w:r>
      <w:r w:rsidR="005021D2">
        <w:rPr>
          <w:rFonts w:cs="Times New Roman"/>
          <w:szCs w:val="26"/>
        </w:rPr>
        <w:t xml:space="preserve">drug test </w:t>
      </w:r>
      <w:r w:rsidR="00D0758B">
        <w:rPr>
          <w:rFonts w:cs="Times New Roman"/>
          <w:szCs w:val="26"/>
        </w:rPr>
        <w:t xml:space="preserve">only </w:t>
      </w:r>
      <w:r w:rsidR="005021D2">
        <w:rPr>
          <w:rFonts w:cs="Times New Roman"/>
          <w:szCs w:val="26"/>
        </w:rPr>
        <w:t>under court order.</w:t>
      </w:r>
    </w:p>
    <w:p w:rsidR="00740FE9" w:rsidP="009710E8" w14:paraId="141AD9C1" w14:textId="4489DACD">
      <w:pPr>
        <w:ind w:firstLine="720"/>
        <w:rPr>
          <w:rFonts w:cs="Times New Roman"/>
          <w:szCs w:val="26"/>
        </w:rPr>
      </w:pPr>
      <w:r>
        <w:rPr>
          <w:rFonts w:cs="Times New Roman"/>
          <w:szCs w:val="26"/>
        </w:rPr>
        <w:t>T</w:t>
      </w:r>
      <w:r w:rsidR="00D2360D">
        <w:rPr>
          <w:rFonts w:cs="Times New Roman"/>
          <w:szCs w:val="26"/>
        </w:rPr>
        <w:t xml:space="preserve">he department </w:t>
      </w:r>
      <w:r w:rsidR="001226E5">
        <w:rPr>
          <w:rFonts w:cs="Times New Roman"/>
          <w:szCs w:val="26"/>
        </w:rPr>
        <w:t xml:space="preserve">petitioned </w:t>
      </w:r>
      <w:r w:rsidR="0039110A">
        <w:rPr>
          <w:rFonts w:cs="Times New Roman"/>
          <w:szCs w:val="26"/>
        </w:rPr>
        <w:t xml:space="preserve">under </w:t>
      </w:r>
      <w:r w:rsidR="00D0758B">
        <w:rPr>
          <w:rFonts w:cs="Times New Roman"/>
          <w:szCs w:val="26"/>
        </w:rPr>
        <w:t xml:space="preserve">Welfare and Institutions Code </w:t>
      </w:r>
      <w:r w:rsidR="0039110A">
        <w:rPr>
          <w:rFonts w:cs="Times New Roman"/>
          <w:szCs w:val="26"/>
        </w:rPr>
        <w:t>section 300</w:t>
      </w:r>
      <w:r>
        <w:rPr>
          <w:rStyle w:val="FootnoteReference"/>
          <w:rFonts w:cs="Times New Roman"/>
          <w:szCs w:val="26"/>
        </w:rPr>
        <w:footnoteReference w:id="6"/>
      </w:r>
      <w:r w:rsidR="0039110A">
        <w:rPr>
          <w:rFonts w:cs="Times New Roman"/>
          <w:szCs w:val="26"/>
        </w:rPr>
        <w:t xml:space="preserve"> </w:t>
      </w:r>
      <w:r w:rsidR="001762EE">
        <w:rPr>
          <w:rFonts w:cs="Times New Roman"/>
          <w:szCs w:val="26"/>
        </w:rPr>
        <w:t xml:space="preserve">on Samantha’s behalf, </w:t>
      </w:r>
      <w:r w:rsidR="0039110A">
        <w:rPr>
          <w:rFonts w:cs="Times New Roman"/>
          <w:szCs w:val="26"/>
        </w:rPr>
        <w:t xml:space="preserve">alleging, among other things, that </w:t>
      </w:r>
      <w:r w:rsidR="00D2360D">
        <w:rPr>
          <w:rFonts w:cs="Times New Roman"/>
          <w:szCs w:val="26"/>
        </w:rPr>
        <w:t xml:space="preserve">mother and father had a history of domestic violence, mother had untreated mental health issues, and father </w:t>
      </w:r>
      <w:r w:rsidR="0039110A">
        <w:rPr>
          <w:rFonts w:cs="Times New Roman"/>
          <w:szCs w:val="26"/>
        </w:rPr>
        <w:t>struggled with substance abuse.</w:t>
      </w:r>
      <w:r w:rsidR="009C4801">
        <w:rPr>
          <w:rFonts w:cs="Times New Roman"/>
          <w:szCs w:val="26"/>
        </w:rPr>
        <w:t xml:space="preserve"> </w:t>
      </w:r>
      <w:r w:rsidR="00C435F5">
        <w:rPr>
          <w:rFonts w:cs="Times New Roman"/>
          <w:szCs w:val="26"/>
        </w:rPr>
        <w:t xml:space="preserve"> </w:t>
      </w:r>
      <w:r w:rsidR="00B2634F">
        <w:rPr>
          <w:rFonts w:cs="Times New Roman"/>
          <w:szCs w:val="26"/>
        </w:rPr>
        <w:t>At</w:t>
      </w:r>
      <w:r w:rsidR="009C4801">
        <w:rPr>
          <w:rFonts w:cs="Times New Roman"/>
          <w:szCs w:val="26"/>
        </w:rPr>
        <w:t xml:space="preserve"> </w:t>
      </w:r>
      <w:r w:rsidR="00B2634F">
        <w:rPr>
          <w:rFonts w:cs="Times New Roman"/>
          <w:szCs w:val="26"/>
        </w:rPr>
        <w:t xml:space="preserve">the </w:t>
      </w:r>
      <w:r w:rsidR="009C4801">
        <w:rPr>
          <w:rFonts w:cs="Times New Roman"/>
          <w:szCs w:val="26"/>
        </w:rPr>
        <w:t>detention hearing</w:t>
      </w:r>
      <w:r w:rsidR="00B2634F">
        <w:rPr>
          <w:rFonts w:cs="Times New Roman"/>
          <w:szCs w:val="26"/>
        </w:rPr>
        <w:t>, the juvenile court</w:t>
      </w:r>
      <w:r w:rsidR="009C4801">
        <w:rPr>
          <w:rFonts w:cs="Times New Roman"/>
          <w:szCs w:val="26"/>
        </w:rPr>
        <w:t xml:space="preserve"> detained S</w:t>
      </w:r>
      <w:r w:rsidR="00FF1DF8">
        <w:rPr>
          <w:rFonts w:cs="Times New Roman"/>
          <w:szCs w:val="26"/>
        </w:rPr>
        <w:t>amantha</w:t>
      </w:r>
      <w:r w:rsidR="009C4801">
        <w:rPr>
          <w:rFonts w:cs="Times New Roman"/>
          <w:szCs w:val="26"/>
        </w:rPr>
        <w:t xml:space="preserve"> from mother and father. </w:t>
      </w:r>
      <w:r w:rsidR="00C435F5">
        <w:rPr>
          <w:rFonts w:cs="Times New Roman"/>
          <w:szCs w:val="26"/>
        </w:rPr>
        <w:t xml:space="preserve"> </w:t>
      </w:r>
      <w:r w:rsidR="009C4801">
        <w:rPr>
          <w:rFonts w:cs="Times New Roman"/>
          <w:szCs w:val="26"/>
        </w:rPr>
        <w:t>Paternal grandparents and a paternal aunt attended th</w:t>
      </w:r>
      <w:r w:rsidR="00275F27">
        <w:rPr>
          <w:rFonts w:cs="Times New Roman"/>
          <w:szCs w:val="26"/>
        </w:rPr>
        <w:t>at</w:t>
      </w:r>
      <w:r w:rsidR="009C4801">
        <w:rPr>
          <w:rFonts w:cs="Times New Roman"/>
          <w:szCs w:val="26"/>
        </w:rPr>
        <w:t xml:space="preserve"> hearing.</w:t>
      </w:r>
    </w:p>
    <w:p w:rsidR="00740FE9" w:rsidP="009710E8" w14:paraId="14A02917" w14:textId="2DEF40ED">
      <w:pPr>
        <w:ind w:firstLine="720"/>
        <w:rPr>
          <w:rFonts w:cs="Times New Roman"/>
          <w:szCs w:val="26"/>
        </w:rPr>
      </w:pPr>
      <w:r>
        <w:rPr>
          <w:rFonts w:cs="Times New Roman"/>
          <w:szCs w:val="26"/>
        </w:rPr>
        <w:t>At the February 2022 jurisdiction/disposition hearing,</w:t>
      </w:r>
      <w:r w:rsidR="00416734">
        <w:rPr>
          <w:rFonts w:cs="Times New Roman"/>
          <w:szCs w:val="26"/>
        </w:rPr>
        <w:t xml:space="preserve"> </w:t>
      </w:r>
      <w:r>
        <w:rPr>
          <w:rFonts w:cs="Times New Roman"/>
          <w:szCs w:val="26"/>
        </w:rPr>
        <w:t>t</w:t>
      </w:r>
      <w:r w:rsidR="00416734">
        <w:rPr>
          <w:rFonts w:cs="Times New Roman"/>
          <w:szCs w:val="26"/>
        </w:rPr>
        <w:t xml:space="preserve">he court </w:t>
      </w:r>
      <w:r>
        <w:rPr>
          <w:rFonts w:cs="Times New Roman"/>
          <w:szCs w:val="26"/>
        </w:rPr>
        <w:t>sustained all the allegations in the amended petition and</w:t>
      </w:r>
      <w:r w:rsidR="00416734">
        <w:rPr>
          <w:rFonts w:cs="Times New Roman"/>
          <w:szCs w:val="26"/>
        </w:rPr>
        <w:t xml:space="preserve"> </w:t>
      </w:r>
      <w:r>
        <w:rPr>
          <w:rFonts w:cs="Times New Roman"/>
          <w:szCs w:val="26"/>
        </w:rPr>
        <w:t xml:space="preserve">ordered reunification services for both parents.  Mother, father, and three paternal relatives </w:t>
      </w:r>
      <w:r w:rsidR="00FA07F2">
        <w:rPr>
          <w:rFonts w:cs="Times New Roman"/>
          <w:szCs w:val="26"/>
        </w:rPr>
        <w:t>attended</w:t>
      </w:r>
      <w:r>
        <w:rPr>
          <w:rFonts w:cs="Times New Roman"/>
          <w:szCs w:val="26"/>
        </w:rPr>
        <w:t xml:space="preserve"> the hearing.  </w:t>
      </w:r>
    </w:p>
    <w:p w:rsidR="00260975" w:rsidP="009710E8" w14:paraId="555D376D" w14:textId="01478B2E">
      <w:pPr>
        <w:ind w:firstLine="720"/>
        <w:rPr>
          <w:rFonts w:cs="Times New Roman"/>
          <w:szCs w:val="26"/>
        </w:rPr>
      </w:pPr>
      <w:r>
        <w:rPr>
          <w:rFonts w:cs="Times New Roman"/>
          <w:szCs w:val="26"/>
        </w:rPr>
        <w:t>In March 2022</w:t>
      </w:r>
      <w:r w:rsidR="003857A5">
        <w:rPr>
          <w:rFonts w:cs="Times New Roman"/>
          <w:szCs w:val="26"/>
        </w:rPr>
        <w:t>,</w:t>
      </w:r>
      <w:r>
        <w:rPr>
          <w:rFonts w:cs="Times New Roman"/>
          <w:szCs w:val="26"/>
        </w:rPr>
        <w:t xml:space="preserve"> the department placed S</w:t>
      </w:r>
      <w:r w:rsidR="00FF1DF8">
        <w:rPr>
          <w:rFonts w:cs="Times New Roman"/>
          <w:szCs w:val="26"/>
        </w:rPr>
        <w:t>amantha</w:t>
      </w:r>
      <w:r>
        <w:rPr>
          <w:rFonts w:cs="Times New Roman"/>
          <w:szCs w:val="26"/>
        </w:rPr>
        <w:t xml:space="preserve"> with her paternal grand</w:t>
      </w:r>
      <w:r w:rsidR="003D3BBD">
        <w:rPr>
          <w:rFonts w:cs="Times New Roman"/>
          <w:szCs w:val="26"/>
        </w:rPr>
        <w:t>mother</w:t>
      </w:r>
      <w:r>
        <w:rPr>
          <w:rFonts w:cs="Times New Roman"/>
          <w:szCs w:val="26"/>
        </w:rPr>
        <w:t>.</w:t>
      </w:r>
      <w:r w:rsidR="003857A5">
        <w:rPr>
          <w:rFonts w:cs="Times New Roman"/>
          <w:szCs w:val="26"/>
        </w:rPr>
        <w:t xml:space="preserve">  After nearly another year of reunification services, o</w:t>
      </w:r>
      <w:r w:rsidR="001A57E9">
        <w:rPr>
          <w:rFonts w:cs="Times New Roman"/>
          <w:szCs w:val="26"/>
        </w:rPr>
        <w:t xml:space="preserve">n February 28, 2023, </w:t>
      </w:r>
      <w:r w:rsidR="00973113">
        <w:rPr>
          <w:rFonts w:cs="Times New Roman"/>
          <w:szCs w:val="26"/>
        </w:rPr>
        <w:t>the court</w:t>
      </w:r>
      <w:r w:rsidR="001A57E9">
        <w:rPr>
          <w:rFonts w:cs="Times New Roman"/>
          <w:szCs w:val="26"/>
        </w:rPr>
        <w:t xml:space="preserve"> adopted the department’s recommendation and terminated father’s parental rights</w:t>
      </w:r>
      <w:r w:rsidR="003857A5">
        <w:rPr>
          <w:rFonts w:cs="Times New Roman"/>
          <w:szCs w:val="26"/>
        </w:rPr>
        <w:t>.</w:t>
      </w:r>
      <w:r w:rsidR="001A57E9">
        <w:rPr>
          <w:rFonts w:cs="Times New Roman"/>
          <w:szCs w:val="26"/>
        </w:rPr>
        <w:t xml:space="preserve">  Father appealed.</w:t>
      </w:r>
    </w:p>
    <w:p w:rsidR="00096B44" w:rsidRPr="008823FA" w:rsidP="009710E8" w14:paraId="1F0C5BCC" w14:textId="641F9DF1">
      <w:pPr>
        <w:keepNext/>
        <w:keepLines/>
        <w:jc w:val="center"/>
        <w:rPr>
          <w:rFonts w:cs="Times New Roman"/>
          <w:bCs/>
          <w:szCs w:val="26"/>
        </w:rPr>
      </w:pPr>
      <w:r>
        <w:rPr>
          <w:rFonts w:cs="Times New Roman"/>
          <w:szCs w:val="26"/>
        </w:rPr>
        <w:t xml:space="preserve">II. </w:t>
      </w:r>
      <w:bookmarkEnd w:id="2"/>
      <w:r w:rsidRPr="008823FA" w:rsidR="008E1A95">
        <w:rPr>
          <w:rFonts w:cs="Times New Roman"/>
          <w:bCs/>
          <w:szCs w:val="26"/>
        </w:rPr>
        <w:t>ANALYSIS</w:t>
      </w:r>
    </w:p>
    <w:p w:rsidR="00416734" w:rsidP="009710E8" w14:paraId="38F340ED" w14:textId="54E7E981">
      <w:pPr>
        <w:ind w:firstLine="720"/>
        <w:rPr>
          <w:rFonts w:cs="Times New Roman"/>
          <w:szCs w:val="26"/>
        </w:rPr>
      </w:pPr>
      <w:r>
        <w:rPr>
          <w:rFonts w:cs="Times New Roman"/>
          <w:szCs w:val="26"/>
        </w:rPr>
        <w:t xml:space="preserve">Father argues the department failed to conduct a sufficient initial inquiry </w:t>
      </w:r>
      <w:r w:rsidR="003B0FA5">
        <w:rPr>
          <w:rFonts w:cs="Times New Roman"/>
          <w:szCs w:val="26"/>
        </w:rPr>
        <w:t>into Samantha’s India</w:t>
      </w:r>
      <w:r w:rsidR="00B46E5E">
        <w:rPr>
          <w:rFonts w:cs="Times New Roman"/>
          <w:szCs w:val="26"/>
        </w:rPr>
        <w:t>n</w:t>
      </w:r>
      <w:r w:rsidR="003B0FA5">
        <w:rPr>
          <w:rFonts w:cs="Times New Roman"/>
          <w:szCs w:val="26"/>
        </w:rPr>
        <w:t xml:space="preserve"> heritage</w:t>
      </w:r>
      <w:r w:rsidR="005A3D3F">
        <w:rPr>
          <w:rFonts w:cs="Times New Roman"/>
          <w:szCs w:val="26"/>
        </w:rPr>
        <w:t xml:space="preserve"> because </w:t>
      </w:r>
      <w:r w:rsidR="00B306AC">
        <w:rPr>
          <w:rFonts w:cs="Times New Roman"/>
          <w:szCs w:val="26"/>
        </w:rPr>
        <w:t>it</w:t>
      </w:r>
      <w:r w:rsidR="005A3D3F">
        <w:rPr>
          <w:rFonts w:cs="Times New Roman"/>
          <w:szCs w:val="26"/>
        </w:rPr>
        <w:t xml:space="preserve"> did not in</w:t>
      </w:r>
      <w:r w:rsidR="00EB1EED">
        <w:rPr>
          <w:rFonts w:cs="Times New Roman"/>
          <w:szCs w:val="26"/>
        </w:rPr>
        <w:t>clude</w:t>
      </w:r>
      <w:r w:rsidR="00B306AC">
        <w:rPr>
          <w:rFonts w:cs="Times New Roman"/>
          <w:szCs w:val="26"/>
        </w:rPr>
        <w:t xml:space="preserve"> </w:t>
      </w:r>
      <w:r w:rsidR="005A3D3F">
        <w:rPr>
          <w:rFonts w:cs="Times New Roman"/>
          <w:szCs w:val="26"/>
        </w:rPr>
        <w:t xml:space="preserve">extended </w:t>
      </w:r>
      <w:r w:rsidR="00B306AC">
        <w:rPr>
          <w:rFonts w:cs="Times New Roman"/>
          <w:szCs w:val="26"/>
        </w:rPr>
        <w:t>family members</w:t>
      </w:r>
      <w:r>
        <w:rPr>
          <w:rFonts w:cs="Times New Roman"/>
          <w:szCs w:val="26"/>
        </w:rPr>
        <w:t>.</w:t>
      </w:r>
      <w:r w:rsidR="00DB61B7">
        <w:rPr>
          <w:rFonts w:cs="Times New Roman"/>
          <w:szCs w:val="26"/>
        </w:rPr>
        <w:t xml:space="preserve">  The department argues</w:t>
      </w:r>
      <w:r w:rsidR="000756E6">
        <w:rPr>
          <w:rFonts w:cs="Times New Roman"/>
          <w:szCs w:val="26"/>
        </w:rPr>
        <w:t xml:space="preserve"> its initial inquiry duty did not include asking extended </w:t>
      </w:r>
      <w:r w:rsidR="00B306AC">
        <w:rPr>
          <w:rFonts w:cs="Times New Roman"/>
          <w:szCs w:val="26"/>
        </w:rPr>
        <w:t>family</w:t>
      </w:r>
      <w:r w:rsidR="000756E6">
        <w:rPr>
          <w:rFonts w:cs="Times New Roman"/>
          <w:szCs w:val="26"/>
        </w:rPr>
        <w:t xml:space="preserve"> about Indian heritage because Samantha</w:t>
      </w:r>
      <w:r w:rsidR="003B0FA5">
        <w:rPr>
          <w:rFonts w:cs="Times New Roman"/>
          <w:szCs w:val="26"/>
        </w:rPr>
        <w:t xml:space="preserve"> was initially removed by warrant</w:t>
      </w:r>
      <w:r w:rsidR="00DB61B7">
        <w:rPr>
          <w:rFonts w:cs="Times New Roman"/>
          <w:szCs w:val="26"/>
        </w:rPr>
        <w:t>.  We agree with father</w:t>
      </w:r>
      <w:r w:rsidR="00B62B15">
        <w:rPr>
          <w:rFonts w:cs="Times New Roman"/>
          <w:szCs w:val="26"/>
        </w:rPr>
        <w:t>.</w:t>
      </w:r>
    </w:p>
    <w:p w:rsidR="00416734" w:rsidRPr="00416734" w:rsidP="000E34C5" w14:paraId="37F4E0CA" w14:textId="05B0BCD2">
      <w:pPr>
        <w:keepNext/>
        <w:rPr>
          <w:rFonts w:cs="Times New Roman"/>
          <w:i/>
          <w:iCs/>
          <w:szCs w:val="26"/>
        </w:rPr>
      </w:pPr>
      <w:r w:rsidRPr="00416734">
        <w:rPr>
          <w:rFonts w:cs="Times New Roman"/>
          <w:i/>
          <w:iCs/>
          <w:szCs w:val="26"/>
        </w:rPr>
        <w:t xml:space="preserve">A. </w:t>
      </w:r>
      <w:r w:rsidR="00633196">
        <w:rPr>
          <w:rFonts w:cs="Times New Roman"/>
          <w:i/>
          <w:iCs/>
          <w:szCs w:val="26"/>
        </w:rPr>
        <w:t xml:space="preserve">Recent </w:t>
      </w:r>
      <w:r w:rsidRPr="00416734">
        <w:rPr>
          <w:rFonts w:cs="Times New Roman"/>
          <w:i/>
          <w:iCs/>
          <w:szCs w:val="26"/>
        </w:rPr>
        <w:t>ICWA</w:t>
      </w:r>
      <w:r>
        <w:rPr>
          <w:rFonts w:cs="Times New Roman"/>
          <w:i/>
          <w:iCs/>
          <w:szCs w:val="26"/>
        </w:rPr>
        <w:t xml:space="preserve"> Initial Inquiry</w:t>
      </w:r>
      <w:r w:rsidR="00633196">
        <w:rPr>
          <w:rFonts w:cs="Times New Roman"/>
          <w:i/>
          <w:iCs/>
          <w:szCs w:val="26"/>
        </w:rPr>
        <w:t xml:space="preserve"> Caselaw</w:t>
      </w:r>
    </w:p>
    <w:p w:rsidR="002F351C" w:rsidRPr="002F351C" w:rsidP="009710E8" w14:paraId="6A789BAF" w14:textId="322CF821">
      <w:pPr>
        <w:ind w:firstLine="720"/>
        <w:rPr>
          <w:rFonts w:cs="Times New Roman"/>
          <w:szCs w:val="26"/>
        </w:rPr>
      </w:pPr>
      <w:r>
        <w:rPr>
          <w:rFonts w:cs="Times New Roman"/>
          <w:szCs w:val="26"/>
        </w:rPr>
        <w:t xml:space="preserve">ICWA establishes minimum national standards “for the removal of Indian children from their families and the placement of such children in foster or adoptive homes which will reflect the unique values of Indian culture.”  (25 U.S.C. § </w:t>
      </w:r>
      <w:r w:rsidR="00BC788A">
        <w:rPr>
          <w:rFonts w:cs="Times New Roman"/>
          <w:szCs w:val="26"/>
        </w:rPr>
        <w:t xml:space="preserve">1902.)  </w:t>
      </w:r>
      <w:r w:rsidRPr="002F351C">
        <w:rPr>
          <w:rFonts w:cs="Times New Roman"/>
          <w:szCs w:val="26"/>
        </w:rPr>
        <w:t>Under California law, the juvenile court and county child welfare department have “an affirmative and continuing duty to inquire” whether a child subject to a section 300 petition may be an Indian child.  (</w:t>
      </w:r>
      <w:r w:rsidR="005940ED">
        <w:rPr>
          <w:rFonts w:cs="Times New Roman"/>
          <w:szCs w:val="26"/>
        </w:rPr>
        <w:t>§ </w:t>
      </w:r>
      <w:r w:rsidRPr="002F351C">
        <w:rPr>
          <w:rFonts w:cs="Times New Roman"/>
          <w:szCs w:val="26"/>
        </w:rPr>
        <w:t xml:space="preserve">224.2, subd. (a); see </w:t>
      </w:r>
      <w:r w:rsidRPr="002F351C">
        <w:rPr>
          <w:rFonts w:cs="Times New Roman"/>
          <w:i/>
          <w:iCs/>
          <w:szCs w:val="26"/>
        </w:rPr>
        <w:t>In re D.F.</w:t>
      </w:r>
      <w:r w:rsidRPr="002F351C">
        <w:rPr>
          <w:rFonts w:cs="Times New Roman"/>
          <w:szCs w:val="26"/>
        </w:rPr>
        <w:t xml:space="preserve"> (2020) 55 Cal.App.5th 558, 566 (</w:t>
      </w:r>
      <w:r w:rsidRPr="002F351C">
        <w:rPr>
          <w:rFonts w:cs="Times New Roman"/>
          <w:i/>
          <w:iCs/>
          <w:szCs w:val="26"/>
        </w:rPr>
        <w:t>D.F.</w:t>
      </w:r>
      <w:r w:rsidRPr="002F351C">
        <w:rPr>
          <w:rFonts w:cs="Times New Roman"/>
          <w:szCs w:val="26"/>
        </w:rPr>
        <w:t>).)  “This continuing duty can be divided into three phases:  the initial duty to inquire, the duty of further inquiry, and the duty to provide formal ICWA notice.”  (</w:t>
      </w:r>
      <w:r w:rsidRPr="002F351C">
        <w:rPr>
          <w:rFonts w:cs="Times New Roman"/>
          <w:i/>
          <w:iCs/>
          <w:szCs w:val="26"/>
        </w:rPr>
        <w:t>D.F</w:t>
      </w:r>
      <w:r w:rsidRPr="002F351C">
        <w:rPr>
          <w:rFonts w:cs="Times New Roman"/>
          <w:szCs w:val="26"/>
        </w:rPr>
        <w:t>., at p. 566.)</w:t>
      </w:r>
      <w:r w:rsidR="00B16FFE">
        <w:rPr>
          <w:rFonts w:cs="Times New Roman"/>
          <w:szCs w:val="26"/>
        </w:rPr>
        <w:t xml:space="preserve"> </w:t>
      </w:r>
      <w:r w:rsidR="00B14DA4">
        <w:rPr>
          <w:rFonts w:cs="Times New Roman"/>
          <w:szCs w:val="26"/>
        </w:rPr>
        <w:t xml:space="preserve"> </w:t>
      </w:r>
      <w:r w:rsidR="00B16FFE">
        <w:rPr>
          <w:rFonts w:cs="Times New Roman"/>
          <w:szCs w:val="26"/>
        </w:rPr>
        <w:t xml:space="preserve">Only the </w:t>
      </w:r>
      <w:r w:rsidR="00DA090A">
        <w:rPr>
          <w:rFonts w:cs="Times New Roman"/>
          <w:szCs w:val="26"/>
        </w:rPr>
        <w:t>initial duty</w:t>
      </w:r>
      <w:r w:rsidR="00B16FFE">
        <w:rPr>
          <w:rFonts w:cs="Times New Roman"/>
          <w:szCs w:val="26"/>
        </w:rPr>
        <w:t xml:space="preserve"> is at issue in this appeal.</w:t>
      </w:r>
    </w:p>
    <w:p w:rsidR="00DA090A" w:rsidP="00AB39DC" w14:paraId="0AA2D511" w14:textId="763A709C">
      <w:pPr>
        <w:ind w:firstLine="720"/>
        <w:rPr>
          <w:rFonts w:cs="Times New Roman"/>
          <w:szCs w:val="26"/>
        </w:rPr>
      </w:pPr>
      <w:r w:rsidRPr="002F351C">
        <w:rPr>
          <w:rFonts w:cs="Times New Roman"/>
          <w:szCs w:val="26"/>
        </w:rPr>
        <w:t xml:space="preserve">The initial duty </w:t>
      </w:r>
      <w:r w:rsidR="003E2C0D">
        <w:rPr>
          <w:rFonts w:cs="Times New Roman"/>
          <w:szCs w:val="26"/>
        </w:rPr>
        <w:t>applies</w:t>
      </w:r>
      <w:r w:rsidR="002A79C5">
        <w:rPr>
          <w:rFonts w:cs="Times New Roman"/>
          <w:szCs w:val="26"/>
        </w:rPr>
        <w:t xml:space="preserve"> in every dependency</w:t>
      </w:r>
      <w:r w:rsidRPr="002F351C">
        <w:rPr>
          <w:rFonts w:cs="Times New Roman"/>
          <w:szCs w:val="26"/>
        </w:rPr>
        <w:t>.  (</w:t>
      </w:r>
      <w:r w:rsidRPr="002F351C">
        <w:rPr>
          <w:rFonts w:cs="Times New Roman"/>
          <w:i/>
          <w:iCs/>
          <w:szCs w:val="26"/>
        </w:rPr>
        <w:t>In re J.S.</w:t>
      </w:r>
      <w:r w:rsidRPr="002F351C">
        <w:rPr>
          <w:rFonts w:cs="Times New Roman"/>
          <w:szCs w:val="26"/>
        </w:rPr>
        <w:t xml:space="preserve"> (2021) 62 Cal.App.5th 678, 686; see </w:t>
      </w:r>
      <w:r w:rsidR="005940ED">
        <w:rPr>
          <w:rFonts w:cs="Times New Roman"/>
          <w:szCs w:val="26"/>
        </w:rPr>
        <w:t>§ </w:t>
      </w:r>
      <w:r w:rsidRPr="002F351C">
        <w:rPr>
          <w:rFonts w:cs="Times New Roman"/>
          <w:szCs w:val="26"/>
        </w:rPr>
        <w:t xml:space="preserve">224.2, subd. (b).)  </w:t>
      </w:r>
      <w:r w:rsidR="008643D1">
        <w:rPr>
          <w:rFonts w:cs="Times New Roman"/>
          <w:szCs w:val="26"/>
        </w:rPr>
        <w:t xml:space="preserve">It </w:t>
      </w:r>
      <w:r w:rsidRPr="00AD53E2" w:rsidR="00AD53E2">
        <w:rPr>
          <w:rFonts w:cs="Times New Roman"/>
          <w:szCs w:val="26"/>
        </w:rPr>
        <w:t>“begins with the initial contact, including, but not limited to, asking the party reporting child abuse or neglect whether the party has any information that the child may be an Indian child.”  (</w:t>
      </w:r>
      <w:r w:rsidR="005940ED">
        <w:rPr>
          <w:rFonts w:cs="Times New Roman"/>
          <w:szCs w:val="26"/>
        </w:rPr>
        <w:t>§ </w:t>
      </w:r>
      <w:r w:rsidRPr="00AD53E2" w:rsidR="00AD53E2">
        <w:rPr>
          <w:rFonts w:cs="Times New Roman"/>
          <w:szCs w:val="26"/>
        </w:rPr>
        <w:t>224</w:t>
      </w:r>
      <w:r w:rsidR="008328F3">
        <w:rPr>
          <w:rFonts w:cs="Times New Roman"/>
          <w:szCs w:val="26"/>
        </w:rPr>
        <w:t>.2</w:t>
      </w:r>
      <w:r w:rsidRPr="00AD53E2" w:rsidR="00AD53E2">
        <w:rPr>
          <w:rFonts w:cs="Times New Roman"/>
          <w:szCs w:val="26"/>
        </w:rPr>
        <w:t>,</w:t>
      </w:r>
      <w:r w:rsidR="005A2ABF">
        <w:rPr>
          <w:rFonts w:cs="Times New Roman"/>
          <w:szCs w:val="26"/>
        </w:rPr>
        <w:t> </w:t>
      </w:r>
      <w:r w:rsidRPr="00AD53E2" w:rsidR="00AD53E2">
        <w:rPr>
          <w:rFonts w:cs="Times New Roman"/>
          <w:szCs w:val="26"/>
        </w:rPr>
        <w:t>subd. (a)</w:t>
      </w:r>
      <w:r>
        <w:rPr>
          <w:rFonts w:cs="Times New Roman"/>
          <w:szCs w:val="26"/>
        </w:rPr>
        <w:t>.</w:t>
      </w:r>
      <w:r w:rsidRPr="00AD53E2" w:rsidR="00AD53E2">
        <w:rPr>
          <w:rFonts w:cs="Times New Roman"/>
          <w:szCs w:val="26"/>
        </w:rPr>
        <w:t>)</w:t>
      </w:r>
      <w:r w:rsidR="00B14DA4">
        <w:rPr>
          <w:rFonts w:cs="Times New Roman"/>
          <w:szCs w:val="26"/>
        </w:rPr>
        <w:t xml:space="preserve">  </w:t>
      </w:r>
      <w:r w:rsidR="00900037">
        <w:rPr>
          <w:rFonts w:cs="Times New Roman"/>
          <w:szCs w:val="26"/>
        </w:rPr>
        <w:t>Th</w:t>
      </w:r>
      <w:r w:rsidR="001A1B13">
        <w:rPr>
          <w:rFonts w:cs="Times New Roman"/>
          <w:szCs w:val="26"/>
        </w:rPr>
        <w:t>is means that the</w:t>
      </w:r>
      <w:r w:rsidR="00900037">
        <w:rPr>
          <w:rFonts w:cs="Times New Roman"/>
          <w:szCs w:val="26"/>
        </w:rPr>
        <w:t xml:space="preserve"> department</w:t>
      </w:r>
      <w:r w:rsidR="00D01CA8">
        <w:rPr>
          <w:rFonts w:cs="Times New Roman"/>
          <w:szCs w:val="26"/>
        </w:rPr>
        <w:t xml:space="preserve"> has a</w:t>
      </w:r>
      <w:r w:rsidR="00900037">
        <w:rPr>
          <w:rFonts w:cs="Times New Roman"/>
          <w:szCs w:val="26"/>
        </w:rPr>
        <w:t xml:space="preserve"> duty </w:t>
      </w:r>
      <w:r w:rsidR="009F4774">
        <w:rPr>
          <w:rFonts w:cs="Times New Roman"/>
          <w:szCs w:val="26"/>
        </w:rPr>
        <w:t>to</w:t>
      </w:r>
      <w:r w:rsidR="00900037">
        <w:rPr>
          <w:rFonts w:cs="Times New Roman"/>
          <w:szCs w:val="26"/>
        </w:rPr>
        <w:t xml:space="preserve"> inquir</w:t>
      </w:r>
      <w:r w:rsidR="009F4774">
        <w:rPr>
          <w:rFonts w:cs="Times New Roman"/>
          <w:szCs w:val="26"/>
        </w:rPr>
        <w:t>e about Indian heritage</w:t>
      </w:r>
      <w:r w:rsidR="00900037">
        <w:rPr>
          <w:rFonts w:cs="Times New Roman"/>
          <w:szCs w:val="26"/>
        </w:rPr>
        <w:t xml:space="preserve"> </w:t>
      </w:r>
      <w:r w:rsidR="009F4774">
        <w:rPr>
          <w:rFonts w:cs="Times New Roman"/>
          <w:szCs w:val="26"/>
        </w:rPr>
        <w:t xml:space="preserve">even </w:t>
      </w:r>
      <w:r w:rsidR="00900037">
        <w:rPr>
          <w:rFonts w:cs="Times New Roman"/>
          <w:szCs w:val="26"/>
        </w:rPr>
        <w:t xml:space="preserve">when </w:t>
      </w:r>
      <w:r w:rsidR="009F4774">
        <w:rPr>
          <w:rFonts w:cs="Times New Roman"/>
          <w:szCs w:val="26"/>
        </w:rPr>
        <w:t xml:space="preserve">merely </w:t>
      </w:r>
      <w:r w:rsidR="00900037">
        <w:rPr>
          <w:rFonts w:cs="Times New Roman"/>
          <w:szCs w:val="26"/>
        </w:rPr>
        <w:t xml:space="preserve">investigating an allegation, or when providing services to maintain a child </w:t>
      </w:r>
      <w:r w:rsidR="00CD580E">
        <w:rPr>
          <w:rFonts w:cs="Times New Roman"/>
          <w:szCs w:val="26"/>
        </w:rPr>
        <w:t>in their</w:t>
      </w:r>
      <w:r w:rsidR="009F4774">
        <w:rPr>
          <w:rFonts w:cs="Times New Roman"/>
          <w:szCs w:val="26"/>
        </w:rPr>
        <w:t xml:space="preserve"> </w:t>
      </w:r>
      <w:r w:rsidR="00900037">
        <w:rPr>
          <w:rFonts w:cs="Times New Roman"/>
          <w:szCs w:val="26"/>
        </w:rPr>
        <w:t>home.</w:t>
      </w:r>
    </w:p>
    <w:p w:rsidR="002F351C" w:rsidP="009710E8" w14:paraId="1629787E" w14:textId="46E334D9">
      <w:pPr>
        <w:ind w:firstLine="720"/>
        <w:rPr>
          <w:rFonts w:cs="Times New Roman"/>
          <w:szCs w:val="26"/>
        </w:rPr>
      </w:pPr>
      <w:r>
        <w:t>The initial duty expands under subdivision (b) of section 224.2</w:t>
      </w:r>
      <w:r w:rsidR="00BC788A">
        <w:t xml:space="preserve"> when a child is removed from their hom</w:t>
      </w:r>
      <w:r w:rsidR="00F675EE">
        <w:t xml:space="preserve">e, </w:t>
      </w:r>
      <w:r w:rsidR="00CE42D9">
        <w:t>because such removal</w:t>
      </w:r>
      <w:r w:rsidR="00F675EE">
        <w:t xml:space="preserve"> increases the possibility </w:t>
      </w:r>
      <w:r w:rsidR="00CE42D9">
        <w:t>of</w:t>
      </w:r>
      <w:r w:rsidR="00A23426">
        <w:t xml:space="preserve"> </w:t>
      </w:r>
      <w:r w:rsidR="00A23426">
        <w:rPr>
          <w:rFonts w:cs="Times New Roman"/>
          <w:szCs w:val="26"/>
        </w:rPr>
        <w:t>“involuntary out-of-home placement” of Indian children.  (</w:t>
      </w:r>
      <w:r w:rsidRPr="00C8777C" w:rsidR="00A23426">
        <w:rPr>
          <w:rFonts w:cs="Times New Roman"/>
          <w:szCs w:val="26"/>
        </w:rPr>
        <w:t>§</w:t>
      </w:r>
      <w:r w:rsidR="00744007">
        <w:rPr>
          <w:rFonts w:cs="Times New Roman"/>
          <w:szCs w:val="26"/>
        </w:rPr>
        <w:t xml:space="preserve"> </w:t>
      </w:r>
      <w:r w:rsidR="00A23426">
        <w:rPr>
          <w:rFonts w:cs="Times New Roman"/>
          <w:szCs w:val="26"/>
        </w:rPr>
        <w:t>224, subd. (a)(1).)</w:t>
      </w:r>
      <w:r>
        <w:t xml:space="preserve">  </w:t>
      </w:r>
      <w:r w:rsidR="006B505C">
        <w:t xml:space="preserve">Under that provision, </w:t>
      </w:r>
      <w:r w:rsidR="00644D08">
        <w:t>“[i]f a child is placed into the temporary custody of a county welfare department pursuant to Section 306,</w:t>
      </w:r>
      <w:r w:rsidR="006C07D0">
        <w:t>”</w:t>
      </w:r>
      <w:r w:rsidR="00644D08">
        <w:t xml:space="preserve"> the department’s obligation includes asking the </w:t>
      </w:r>
      <w:r w:rsidR="006C07D0">
        <w:t>“</w:t>
      </w:r>
      <w:r w:rsidR="00644D08">
        <w:t>extended family members</w:t>
      </w:r>
      <w:r w:rsidR="006C07D0">
        <w:t>”</w:t>
      </w:r>
      <w:r w:rsidR="00644D08">
        <w:t xml:space="preserve"> about the child’s Indian status.</w:t>
      </w:r>
      <w:r>
        <w:rPr>
          <w:rStyle w:val="FootnoteReference"/>
        </w:rPr>
        <w:footnoteReference w:id="7"/>
      </w:r>
      <w:r w:rsidR="00644D08">
        <w:t xml:space="preserve">  (</w:t>
      </w:r>
      <w:r w:rsidR="00456F98">
        <w:t>§ 224</w:t>
      </w:r>
      <w:r w:rsidR="006C07D0">
        <w:t>.2</w:t>
      </w:r>
      <w:r w:rsidR="00456F98">
        <w:t>, subd. (b)</w:t>
      </w:r>
      <w:r w:rsidR="00644D08">
        <w:t>.)</w:t>
      </w:r>
      <w:r w:rsidRPr="002F351C">
        <w:rPr>
          <w:rFonts w:cs="Times New Roman"/>
          <w:szCs w:val="26"/>
        </w:rPr>
        <w:t xml:space="preserve">  </w:t>
      </w:r>
      <w:r w:rsidRPr="00B16FFE" w:rsidR="00B16FFE">
        <w:rPr>
          <w:rFonts w:cs="Times New Roman"/>
          <w:szCs w:val="26"/>
        </w:rPr>
        <w:t>Th</w:t>
      </w:r>
      <w:r w:rsidR="00900037">
        <w:rPr>
          <w:rFonts w:cs="Times New Roman"/>
          <w:szCs w:val="26"/>
        </w:rPr>
        <w:t>e Legislature added this</w:t>
      </w:r>
      <w:r w:rsidR="00F45DDE">
        <w:rPr>
          <w:rFonts w:cs="Times New Roman"/>
          <w:szCs w:val="26"/>
        </w:rPr>
        <w:t> </w:t>
      </w:r>
      <w:r w:rsidRPr="00B16FFE" w:rsidR="00B16FFE">
        <w:rPr>
          <w:rFonts w:cs="Times New Roman"/>
          <w:szCs w:val="26"/>
        </w:rPr>
        <w:t xml:space="preserve">language </w:t>
      </w:r>
      <w:r w:rsidR="00900037">
        <w:rPr>
          <w:rFonts w:cs="Times New Roman"/>
          <w:szCs w:val="26"/>
        </w:rPr>
        <w:t>in</w:t>
      </w:r>
      <w:r w:rsidRPr="00B16FFE" w:rsidR="00B16FFE">
        <w:rPr>
          <w:rFonts w:cs="Times New Roman"/>
          <w:szCs w:val="26"/>
        </w:rPr>
        <w:t xml:space="preserve"> Assembly Bill No.</w:t>
      </w:r>
      <w:r w:rsidR="00694686">
        <w:rPr>
          <w:rFonts w:cs="Times New Roman"/>
          <w:szCs w:val="26"/>
        </w:rPr>
        <w:t> </w:t>
      </w:r>
      <w:r w:rsidRPr="00B16FFE" w:rsidR="00B16FFE">
        <w:rPr>
          <w:rFonts w:cs="Times New Roman"/>
          <w:szCs w:val="26"/>
        </w:rPr>
        <w:t>3176</w:t>
      </w:r>
      <w:r w:rsidR="00B14DA4">
        <w:rPr>
          <w:rFonts w:cs="Times New Roman"/>
          <w:szCs w:val="26"/>
        </w:rPr>
        <w:t xml:space="preserve"> </w:t>
      </w:r>
      <w:r w:rsidRPr="00B16FFE" w:rsidR="00B16FFE">
        <w:rPr>
          <w:rFonts w:cs="Times New Roman"/>
          <w:szCs w:val="26"/>
        </w:rPr>
        <w:t>(2017-2018 Reg. Sess.), which made ICWA</w:t>
      </w:r>
      <w:r w:rsidR="00560A7B">
        <w:rPr>
          <w:rFonts w:cs="Times New Roman"/>
          <w:szCs w:val="26"/>
        </w:rPr>
        <w:t>-</w:t>
      </w:r>
      <w:r w:rsidRPr="00B16FFE" w:rsidR="00B16FFE">
        <w:rPr>
          <w:rFonts w:cs="Times New Roman"/>
          <w:szCs w:val="26"/>
        </w:rPr>
        <w:t>related changes to the Welfare and Institutions</w:t>
      </w:r>
      <w:r w:rsidR="00F45DDE">
        <w:rPr>
          <w:rFonts w:cs="Times New Roman"/>
          <w:szCs w:val="26"/>
        </w:rPr>
        <w:t> </w:t>
      </w:r>
      <w:r w:rsidRPr="00B16FFE" w:rsidR="00B16FFE">
        <w:rPr>
          <w:rFonts w:cs="Times New Roman"/>
          <w:szCs w:val="26"/>
        </w:rPr>
        <w:t>Code, effective January 1, 2019.  (Stats. 2018, ch.</w:t>
      </w:r>
      <w:r w:rsidR="00B14DA4">
        <w:rPr>
          <w:rFonts w:cs="Times New Roman"/>
          <w:szCs w:val="26"/>
        </w:rPr>
        <w:t> </w:t>
      </w:r>
      <w:r w:rsidRPr="00B16FFE" w:rsidR="00B16FFE">
        <w:rPr>
          <w:rFonts w:cs="Times New Roman"/>
          <w:szCs w:val="26"/>
        </w:rPr>
        <w:t>833</w:t>
      </w:r>
      <w:r w:rsidR="00B14DA4">
        <w:rPr>
          <w:rFonts w:cs="Times New Roman"/>
          <w:szCs w:val="26"/>
        </w:rPr>
        <w:t>,</w:t>
      </w:r>
      <w:r w:rsidRPr="00B16FFE" w:rsidR="00B16FFE">
        <w:rPr>
          <w:rFonts w:cs="Times New Roman"/>
          <w:szCs w:val="26"/>
        </w:rPr>
        <w:t xml:space="preserve"> </w:t>
      </w:r>
      <w:r w:rsidR="005940ED">
        <w:rPr>
          <w:rFonts w:cs="Times New Roman"/>
          <w:szCs w:val="26"/>
        </w:rPr>
        <w:t>§ </w:t>
      </w:r>
      <w:r w:rsidRPr="00B16FFE" w:rsidR="00B16FFE">
        <w:rPr>
          <w:rFonts w:cs="Times New Roman"/>
          <w:szCs w:val="26"/>
        </w:rPr>
        <w:t xml:space="preserve">5.)  </w:t>
      </w:r>
      <w:r w:rsidR="00983253">
        <w:rPr>
          <w:rFonts w:cs="Times New Roman"/>
          <w:szCs w:val="26"/>
        </w:rPr>
        <w:t>The Judicial</w:t>
      </w:r>
      <w:r w:rsidR="005F66C6">
        <w:rPr>
          <w:rFonts w:cs="Times New Roman"/>
          <w:szCs w:val="26"/>
        </w:rPr>
        <w:t> </w:t>
      </w:r>
      <w:r w:rsidR="00983253">
        <w:rPr>
          <w:rFonts w:cs="Times New Roman"/>
          <w:szCs w:val="26"/>
        </w:rPr>
        <w:t>Council revised</w:t>
      </w:r>
      <w:r w:rsidRPr="00B16FFE" w:rsidR="00B16FFE">
        <w:rPr>
          <w:rFonts w:cs="Times New Roman"/>
          <w:szCs w:val="26"/>
        </w:rPr>
        <w:t xml:space="preserve"> rule 5.481 of the California Rules of Court to implement section</w:t>
      </w:r>
      <w:r w:rsidR="005A2ABF">
        <w:rPr>
          <w:rFonts w:cs="Times New Roman"/>
          <w:szCs w:val="26"/>
        </w:rPr>
        <w:t> </w:t>
      </w:r>
      <w:r w:rsidRPr="00B16FFE" w:rsidR="00B16FFE">
        <w:rPr>
          <w:rFonts w:cs="Times New Roman"/>
          <w:szCs w:val="26"/>
        </w:rPr>
        <w:t>224.2, subdivision (b)</w:t>
      </w:r>
      <w:r w:rsidR="005F66C6">
        <w:rPr>
          <w:rFonts w:cs="Times New Roman"/>
          <w:szCs w:val="26"/>
        </w:rPr>
        <w:t>,</w:t>
      </w:r>
      <w:r w:rsidR="00983253">
        <w:rPr>
          <w:rFonts w:cs="Times New Roman"/>
          <w:szCs w:val="26"/>
        </w:rPr>
        <w:t xml:space="preserve"> by requiring inquiry of extended family in every case in which the department seeks </w:t>
      </w:r>
      <w:r w:rsidR="00900037">
        <w:rPr>
          <w:rFonts w:cs="Times New Roman"/>
          <w:szCs w:val="26"/>
        </w:rPr>
        <w:t xml:space="preserve">to </w:t>
      </w:r>
      <w:r w:rsidR="00983253">
        <w:rPr>
          <w:rFonts w:cs="Times New Roman"/>
          <w:szCs w:val="26"/>
        </w:rPr>
        <w:t>place the child</w:t>
      </w:r>
      <w:r w:rsidRPr="00B16FFE" w:rsidR="00B16FFE">
        <w:rPr>
          <w:rFonts w:cs="Times New Roman"/>
          <w:szCs w:val="26"/>
        </w:rPr>
        <w:t xml:space="preserve">: </w:t>
      </w:r>
      <w:r w:rsidR="00B14DA4">
        <w:rPr>
          <w:rFonts w:cs="Times New Roman"/>
          <w:szCs w:val="26"/>
        </w:rPr>
        <w:t xml:space="preserve"> </w:t>
      </w:r>
      <w:r w:rsidRPr="00B16FFE" w:rsidR="00B16FFE">
        <w:rPr>
          <w:rFonts w:cs="Times New Roman"/>
          <w:szCs w:val="26"/>
        </w:rPr>
        <w:t xml:space="preserve">“The party seeking a foster-care placement, . . . termination of parental rights, preadoptive placement, or adoption must ask the child, if the child is old enough, and the parents, Indian custodian, or legal guardians, </w:t>
      </w:r>
      <w:r w:rsidRPr="00B16FFE" w:rsidR="00B16FFE">
        <w:rPr>
          <w:rFonts w:cs="Times New Roman"/>
          <w:i/>
          <w:iCs/>
          <w:szCs w:val="26"/>
        </w:rPr>
        <w:t>extended family members</w:t>
      </w:r>
      <w:r w:rsidRPr="00B16FFE" w:rsidR="00B16FFE">
        <w:rPr>
          <w:rFonts w:cs="Times New Roman"/>
          <w:szCs w:val="26"/>
        </w:rPr>
        <w:t>, others who have an interest in the child, and where applicable the party reporting child abuse or neglect, whether the child is or may be an Indian child . . . .”  (Cal. Rules of Court</w:t>
      </w:r>
      <w:r>
        <w:rPr>
          <w:rStyle w:val="FootnoteReference"/>
          <w:rFonts w:cs="Times New Roman"/>
          <w:szCs w:val="26"/>
        </w:rPr>
        <w:footnoteReference w:id="8"/>
      </w:r>
      <w:r w:rsidRPr="00B16FFE" w:rsidR="00B16FFE">
        <w:rPr>
          <w:rFonts w:cs="Times New Roman"/>
          <w:szCs w:val="26"/>
        </w:rPr>
        <w:t>, rule</w:t>
      </w:r>
      <w:r w:rsidR="00B14DA4">
        <w:rPr>
          <w:rFonts w:cs="Times New Roman"/>
          <w:szCs w:val="26"/>
        </w:rPr>
        <w:t> </w:t>
      </w:r>
      <w:r w:rsidRPr="00B16FFE" w:rsidR="00B16FFE">
        <w:rPr>
          <w:rFonts w:cs="Times New Roman"/>
          <w:szCs w:val="26"/>
        </w:rPr>
        <w:t>5.481(a)(1)</w:t>
      </w:r>
      <w:r w:rsidR="00B14DA4">
        <w:rPr>
          <w:rFonts w:cs="Times New Roman"/>
          <w:szCs w:val="26"/>
        </w:rPr>
        <w:t>, italics added</w:t>
      </w:r>
      <w:r w:rsidRPr="00B16FFE" w:rsidR="00B16FFE">
        <w:rPr>
          <w:rFonts w:cs="Times New Roman"/>
          <w:szCs w:val="26"/>
        </w:rPr>
        <w:t>.)</w:t>
      </w:r>
    </w:p>
    <w:p w:rsidR="00B16FFE" w:rsidRPr="0077466E" w:rsidP="009710E8" w14:paraId="77973CCC" w14:textId="201195D7">
      <w:pPr>
        <w:ind w:firstLine="720"/>
      </w:pPr>
      <w:r>
        <w:rPr>
          <w:rFonts w:eastAsia="Times New Roman" w:cs="Times New Roman"/>
          <w:szCs w:val="20"/>
        </w:rPr>
        <w:t xml:space="preserve">Opinions from our division </w:t>
      </w:r>
      <w:r w:rsidR="002A79C5">
        <w:rPr>
          <w:rFonts w:eastAsia="Times New Roman" w:cs="Times New Roman"/>
          <w:szCs w:val="20"/>
        </w:rPr>
        <w:t xml:space="preserve">disagree on </w:t>
      </w:r>
      <w:r w:rsidR="00253859">
        <w:rPr>
          <w:rFonts w:eastAsia="Times New Roman" w:cs="Times New Roman"/>
          <w:szCs w:val="20"/>
        </w:rPr>
        <w:t>whether th</w:t>
      </w:r>
      <w:r w:rsidR="00DA090A">
        <w:rPr>
          <w:rFonts w:eastAsia="Times New Roman" w:cs="Times New Roman"/>
          <w:szCs w:val="20"/>
        </w:rPr>
        <w:t xml:space="preserve">at rule of court </w:t>
      </w:r>
      <w:r w:rsidR="006B505C">
        <w:rPr>
          <w:rFonts w:eastAsia="Times New Roman" w:cs="Times New Roman"/>
          <w:szCs w:val="20"/>
        </w:rPr>
        <w:t>correctly interprets the statute</w:t>
      </w:r>
      <w:r w:rsidR="00DA090A">
        <w:rPr>
          <w:rFonts w:eastAsia="Times New Roman" w:cs="Times New Roman"/>
          <w:szCs w:val="20"/>
        </w:rPr>
        <w:t xml:space="preserve"> </w:t>
      </w:r>
      <w:r w:rsidR="002A79C5">
        <w:rPr>
          <w:rFonts w:eastAsia="Times New Roman" w:cs="Times New Roman"/>
          <w:szCs w:val="20"/>
        </w:rPr>
        <w:t>by</w:t>
      </w:r>
      <w:r w:rsidR="00DA090A">
        <w:rPr>
          <w:rFonts w:eastAsia="Times New Roman" w:cs="Times New Roman"/>
          <w:szCs w:val="20"/>
        </w:rPr>
        <w:t xml:space="preserve"> requir</w:t>
      </w:r>
      <w:r w:rsidR="002A79C5">
        <w:rPr>
          <w:rFonts w:eastAsia="Times New Roman" w:cs="Times New Roman"/>
          <w:szCs w:val="20"/>
        </w:rPr>
        <w:t>ing the department to</w:t>
      </w:r>
      <w:r w:rsidR="00DA090A">
        <w:rPr>
          <w:rFonts w:eastAsia="Times New Roman" w:cs="Times New Roman"/>
          <w:szCs w:val="20"/>
        </w:rPr>
        <w:t xml:space="preserve"> inquir</w:t>
      </w:r>
      <w:r w:rsidR="002A79C5">
        <w:rPr>
          <w:rFonts w:eastAsia="Times New Roman" w:cs="Times New Roman"/>
          <w:szCs w:val="20"/>
        </w:rPr>
        <w:t xml:space="preserve">e </w:t>
      </w:r>
      <w:r w:rsidR="00DA090A">
        <w:rPr>
          <w:rFonts w:eastAsia="Times New Roman" w:cs="Times New Roman"/>
          <w:szCs w:val="20"/>
        </w:rPr>
        <w:t xml:space="preserve">of extended family members </w:t>
      </w:r>
      <w:r w:rsidR="006B505C">
        <w:rPr>
          <w:rFonts w:eastAsia="Times New Roman" w:cs="Times New Roman"/>
          <w:szCs w:val="20"/>
        </w:rPr>
        <w:t>in every case w</w:t>
      </w:r>
      <w:r w:rsidR="009F4774">
        <w:rPr>
          <w:rFonts w:eastAsia="Times New Roman" w:cs="Times New Roman"/>
          <w:szCs w:val="20"/>
        </w:rPr>
        <w:t>here</w:t>
      </w:r>
      <w:r w:rsidR="006B505C">
        <w:rPr>
          <w:rFonts w:eastAsia="Times New Roman" w:cs="Times New Roman"/>
          <w:szCs w:val="20"/>
        </w:rPr>
        <w:t xml:space="preserve"> a </w:t>
      </w:r>
      <w:r w:rsidR="009F4774">
        <w:rPr>
          <w:rFonts w:eastAsia="Times New Roman" w:cs="Times New Roman"/>
          <w:szCs w:val="20"/>
        </w:rPr>
        <w:t xml:space="preserve">child is </w:t>
      </w:r>
      <w:r w:rsidR="006B505C">
        <w:rPr>
          <w:rFonts w:eastAsia="Times New Roman" w:cs="Times New Roman"/>
          <w:szCs w:val="20"/>
        </w:rPr>
        <w:t>remov</w:t>
      </w:r>
      <w:r w:rsidR="009F4774">
        <w:rPr>
          <w:rFonts w:eastAsia="Times New Roman" w:cs="Times New Roman"/>
          <w:szCs w:val="20"/>
        </w:rPr>
        <w:t>ed from home</w:t>
      </w:r>
      <w:r>
        <w:rPr>
          <w:rFonts w:eastAsia="Times New Roman" w:cs="Times New Roman"/>
          <w:szCs w:val="20"/>
        </w:rPr>
        <w:t xml:space="preserve">.  </w:t>
      </w:r>
      <w:r w:rsidRPr="00AD53E2" w:rsidR="00686554">
        <w:rPr>
          <w:rFonts w:eastAsia="Times New Roman" w:cs="Times New Roman"/>
          <w:i/>
          <w:iCs/>
          <w:szCs w:val="20"/>
        </w:rPr>
        <w:t>In re Robert F.</w:t>
      </w:r>
      <w:r w:rsidRPr="00AD53E2" w:rsidR="00686554">
        <w:rPr>
          <w:rFonts w:eastAsia="Times New Roman" w:cs="Times New Roman"/>
          <w:szCs w:val="20"/>
        </w:rPr>
        <w:t xml:space="preserve"> (2023) 90 Cal.App.5th 492 (</w:t>
      </w:r>
      <w:r w:rsidRPr="00AD53E2" w:rsidR="00686554">
        <w:rPr>
          <w:rFonts w:eastAsia="Times New Roman" w:cs="Times New Roman"/>
          <w:i/>
          <w:iCs/>
          <w:szCs w:val="20"/>
        </w:rPr>
        <w:t>Robert F.</w:t>
      </w:r>
      <w:r w:rsidRPr="00AD53E2" w:rsidR="00686554">
        <w:rPr>
          <w:rFonts w:eastAsia="Times New Roman" w:cs="Times New Roman"/>
          <w:szCs w:val="20"/>
        </w:rPr>
        <w:t>)</w:t>
      </w:r>
      <w:r w:rsidR="00686554">
        <w:rPr>
          <w:rFonts w:eastAsia="Times New Roman" w:cs="Times New Roman"/>
          <w:szCs w:val="20"/>
        </w:rPr>
        <w:t>, review granted July 26, 2023</w:t>
      </w:r>
      <w:r w:rsidR="002A79C5">
        <w:rPr>
          <w:rFonts w:eastAsia="Times New Roman" w:cs="Times New Roman"/>
          <w:szCs w:val="20"/>
        </w:rPr>
        <w:t xml:space="preserve">, </w:t>
      </w:r>
      <w:r w:rsidR="00956771">
        <w:rPr>
          <w:rFonts w:eastAsia="Times New Roman" w:cs="Times New Roman"/>
          <w:szCs w:val="20"/>
        </w:rPr>
        <w:t xml:space="preserve">S279743, </w:t>
      </w:r>
      <w:r w:rsidR="002A79C5">
        <w:rPr>
          <w:rFonts w:eastAsia="Times New Roman" w:cs="Times New Roman"/>
          <w:szCs w:val="20"/>
        </w:rPr>
        <w:t>held the statute requires the department’s inquiry to include extended family members only whe</w:t>
      </w:r>
      <w:r w:rsidR="00A3480B">
        <w:rPr>
          <w:rFonts w:eastAsia="Times New Roman" w:cs="Times New Roman"/>
          <w:szCs w:val="20"/>
        </w:rPr>
        <w:t>n</w:t>
      </w:r>
      <w:r w:rsidR="002A79C5">
        <w:rPr>
          <w:rFonts w:eastAsia="Times New Roman" w:cs="Times New Roman"/>
          <w:szCs w:val="20"/>
        </w:rPr>
        <w:t xml:space="preserve"> the child is taken into custody without a warrant.</w:t>
      </w:r>
      <w:r w:rsidR="00835BF9">
        <w:rPr>
          <w:rFonts w:eastAsia="Times New Roman" w:cs="Times New Roman"/>
          <w:szCs w:val="20"/>
        </w:rPr>
        <w:t xml:space="preserve"> </w:t>
      </w:r>
      <w:r w:rsidR="002A79C5">
        <w:rPr>
          <w:rFonts w:eastAsia="Times New Roman" w:cs="Times New Roman"/>
          <w:szCs w:val="20"/>
        </w:rPr>
        <w:t xml:space="preserve"> </w:t>
      </w:r>
      <w:r w:rsidR="002A79C5">
        <w:rPr>
          <w:rFonts w:eastAsia="Times New Roman" w:cs="Times New Roman"/>
          <w:i/>
          <w:iCs/>
          <w:szCs w:val="20"/>
        </w:rPr>
        <w:t xml:space="preserve">Robert F. </w:t>
      </w:r>
      <w:r w:rsidR="002A79C5">
        <w:rPr>
          <w:rFonts w:eastAsia="Times New Roman" w:cs="Times New Roman"/>
          <w:szCs w:val="20"/>
        </w:rPr>
        <w:t>reached that conclusion by f</w:t>
      </w:r>
      <w:r w:rsidRPr="00644D08" w:rsidR="002A79C5">
        <w:rPr>
          <w:rFonts w:eastAsia="Times New Roman" w:cs="Times New Roman"/>
          <w:szCs w:val="20"/>
        </w:rPr>
        <w:t xml:space="preserve">ollowing </w:t>
      </w:r>
      <w:r w:rsidRPr="00644D08" w:rsidR="00644D08">
        <w:rPr>
          <w:rFonts w:eastAsia="Times New Roman" w:cs="Times New Roman"/>
          <w:szCs w:val="20"/>
        </w:rPr>
        <w:t xml:space="preserve">the concurring opinion in </w:t>
      </w:r>
      <w:r w:rsidRPr="00644D08" w:rsidR="00644D08">
        <w:rPr>
          <w:rFonts w:eastAsia="Times New Roman" w:cs="Times New Roman"/>
          <w:i/>
          <w:iCs/>
          <w:szCs w:val="20"/>
        </w:rPr>
        <w:t>In re Adrian L.</w:t>
      </w:r>
      <w:r w:rsidRPr="00644D08" w:rsidR="00644D08">
        <w:rPr>
          <w:rFonts w:eastAsia="Times New Roman" w:cs="Times New Roman"/>
          <w:szCs w:val="20"/>
        </w:rPr>
        <w:t xml:space="preserve"> (2022) 86 Cal.App.5th 342, 357-358 (</w:t>
      </w:r>
      <w:r w:rsidRPr="00644D08" w:rsidR="00644D08">
        <w:rPr>
          <w:rFonts w:eastAsia="Times New Roman" w:cs="Times New Roman"/>
          <w:i/>
          <w:iCs/>
          <w:szCs w:val="20"/>
        </w:rPr>
        <w:t>Adrian L.</w:t>
      </w:r>
      <w:r w:rsidRPr="00644D08" w:rsidR="00644D08">
        <w:rPr>
          <w:rFonts w:eastAsia="Times New Roman" w:cs="Times New Roman"/>
          <w:szCs w:val="20"/>
        </w:rPr>
        <w:t>)</w:t>
      </w:r>
      <w:r w:rsidR="00CE42D9">
        <w:rPr>
          <w:rFonts w:eastAsia="Times New Roman" w:cs="Times New Roman"/>
          <w:szCs w:val="20"/>
        </w:rPr>
        <w:t xml:space="preserve">. </w:t>
      </w:r>
      <w:r w:rsidR="00956771">
        <w:rPr>
          <w:rFonts w:eastAsia="Times New Roman" w:cs="Times New Roman"/>
          <w:szCs w:val="20"/>
        </w:rPr>
        <w:t xml:space="preserve"> </w:t>
      </w:r>
      <w:r w:rsidR="00CE42D9">
        <w:rPr>
          <w:rFonts w:eastAsia="Times New Roman" w:cs="Times New Roman"/>
          <w:i/>
          <w:iCs/>
          <w:szCs w:val="20"/>
        </w:rPr>
        <w:t>Adrian L.</w:t>
      </w:r>
      <w:r w:rsidR="00CE42D9">
        <w:rPr>
          <w:rFonts w:eastAsia="Times New Roman" w:cs="Times New Roman"/>
          <w:szCs w:val="20"/>
        </w:rPr>
        <w:t xml:space="preserve">, in turn, reached that conclusion by </w:t>
      </w:r>
      <w:r w:rsidR="002A79C5">
        <w:rPr>
          <w:rFonts w:eastAsia="Times New Roman" w:cs="Times New Roman"/>
          <w:szCs w:val="20"/>
        </w:rPr>
        <w:t>limiting</w:t>
      </w:r>
      <w:r w:rsidRPr="00644D08" w:rsidR="00644D08">
        <w:rPr>
          <w:rFonts w:eastAsia="Times New Roman" w:cs="Times New Roman"/>
          <w:szCs w:val="20"/>
        </w:rPr>
        <w:t xml:space="preserve"> the phrase “</w:t>
      </w:r>
      <w:r w:rsidR="000C0BBB">
        <w:rPr>
          <w:rFonts w:eastAsia="Times New Roman" w:cs="Times New Roman"/>
          <w:szCs w:val="20"/>
        </w:rPr>
        <w:t xml:space="preserve"> ‘</w:t>
      </w:r>
      <w:r w:rsidRPr="00644D08" w:rsidR="00644D08">
        <w:rPr>
          <w:rFonts w:eastAsia="Times New Roman" w:cs="Times New Roman"/>
          <w:szCs w:val="20"/>
        </w:rPr>
        <w:t>placed into the temporary custody of a county welfare department pursuant to Section 306</w:t>
      </w:r>
      <w:r w:rsidR="000C0BBB">
        <w:rPr>
          <w:rFonts w:eastAsia="Times New Roman" w:cs="Times New Roman"/>
          <w:szCs w:val="20"/>
        </w:rPr>
        <w:t xml:space="preserve">’ </w:t>
      </w:r>
      <w:r w:rsidRPr="00644D08" w:rsidR="00644D08">
        <w:rPr>
          <w:rFonts w:eastAsia="Times New Roman" w:cs="Times New Roman"/>
          <w:szCs w:val="20"/>
        </w:rPr>
        <w:t xml:space="preserve">” </w:t>
      </w:r>
      <w:r w:rsidR="000C0BBB">
        <w:rPr>
          <w:rFonts w:eastAsia="Times New Roman" w:cs="Times New Roman"/>
          <w:szCs w:val="20"/>
        </w:rPr>
        <w:t>(</w:t>
      </w:r>
      <w:r w:rsidR="008C4D63">
        <w:rPr>
          <w:rFonts w:eastAsia="Times New Roman" w:cs="Times New Roman"/>
          <w:i/>
          <w:iCs/>
          <w:szCs w:val="20"/>
        </w:rPr>
        <w:t>Robert F</w:t>
      </w:r>
      <w:r w:rsidR="000C0BBB">
        <w:rPr>
          <w:rFonts w:eastAsia="Times New Roman" w:cs="Times New Roman"/>
          <w:szCs w:val="20"/>
        </w:rPr>
        <w:t>.</w:t>
      </w:r>
      <w:r w:rsidR="008C4D63">
        <w:rPr>
          <w:rFonts w:eastAsia="Times New Roman" w:cs="Times New Roman"/>
          <w:szCs w:val="20"/>
        </w:rPr>
        <w:t>,</w:t>
      </w:r>
      <w:r w:rsidR="000C0BBB">
        <w:rPr>
          <w:rFonts w:eastAsia="Times New Roman" w:cs="Times New Roman"/>
          <w:szCs w:val="20"/>
        </w:rPr>
        <w:t xml:space="preserve"> at p. 500) </w:t>
      </w:r>
      <w:r w:rsidR="003D2A3C">
        <w:rPr>
          <w:rFonts w:eastAsia="Times New Roman" w:cs="Times New Roman"/>
          <w:szCs w:val="20"/>
        </w:rPr>
        <w:t>to the</w:t>
      </w:r>
      <w:r w:rsidRPr="00644D08" w:rsidR="00644D08">
        <w:rPr>
          <w:rFonts w:eastAsia="Times New Roman" w:cs="Times New Roman"/>
          <w:szCs w:val="20"/>
        </w:rPr>
        <w:t xml:space="preserve"> exercise of the department’s authority “to take children into temporary custody ‘without a warrant’ in certain circumstances.”  (</w:t>
      </w:r>
      <w:r w:rsidRPr="002A07E3" w:rsidR="002A07E3">
        <w:rPr>
          <w:rFonts w:eastAsia="Times New Roman" w:cs="Times New Roman"/>
          <w:i/>
          <w:iCs/>
          <w:szCs w:val="20"/>
        </w:rPr>
        <w:t>Robert F</w:t>
      </w:r>
      <w:r w:rsidR="002A07E3">
        <w:rPr>
          <w:rFonts w:eastAsia="Times New Roman" w:cs="Times New Roman"/>
          <w:szCs w:val="20"/>
        </w:rPr>
        <w:t>.,</w:t>
      </w:r>
      <w:r w:rsidRPr="00644D08" w:rsidR="00644D08">
        <w:rPr>
          <w:rFonts w:eastAsia="Times New Roman" w:cs="Times New Roman"/>
          <w:szCs w:val="20"/>
        </w:rPr>
        <w:t xml:space="preserve"> at </w:t>
      </w:r>
      <w:r w:rsidR="006E064B">
        <w:rPr>
          <w:rFonts w:eastAsia="Times New Roman" w:cs="Times New Roman"/>
          <w:szCs w:val="20"/>
        </w:rPr>
        <w:t>p.</w:t>
      </w:r>
      <w:r w:rsidR="00D77840">
        <w:rPr>
          <w:rFonts w:eastAsia="Times New Roman" w:cs="Times New Roman"/>
          <w:szCs w:val="20"/>
        </w:rPr>
        <w:t> </w:t>
      </w:r>
      <w:r w:rsidR="000C0BBB">
        <w:rPr>
          <w:rFonts w:eastAsia="Times New Roman" w:cs="Times New Roman"/>
          <w:szCs w:val="20"/>
        </w:rPr>
        <w:t>497</w:t>
      </w:r>
      <w:r w:rsidRPr="00644D08" w:rsidR="00644D08">
        <w:rPr>
          <w:rFonts w:eastAsia="Times New Roman" w:cs="Times New Roman"/>
          <w:szCs w:val="20"/>
        </w:rPr>
        <w:t xml:space="preserve">; see </w:t>
      </w:r>
      <w:r w:rsidRPr="00644D08" w:rsidR="00644D08">
        <w:rPr>
          <w:rFonts w:eastAsia="Times New Roman" w:cs="Times New Roman"/>
          <w:i/>
          <w:iCs/>
          <w:szCs w:val="20"/>
        </w:rPr>
        <w:t>Adrian L.</w:t>
      </w:r>
      <w:r w:rsidR="008A69F0">
        <w:rPr>
          <w:rFonts w:eastAsia="Times New Roman" w:cs="Times New Roman"/>
          <w:szCs w:val="20"/>
        </w:rPr>
        <w:t>,</w:t>
      </w:r>
      <w:r w:rsidRPr="00644D08" w:rsidR="00644D08">
        <w:rPr>
          <w:rFonts w:eastAsia="Times New Roman" w:cs="Times New Roman"/>
          <w:szCs w:val="20"/>
        </w:rPr>
        <w:t xml:space="preserve"> </w:t>
      </w:r>
      <w:r w:rsidR="00D77840">
        <w:rPr>
          <w:rFonts w:eastAsia="Times New Roman" w:cs="Times New Roman"/>
          <w:szCs w:val="20"/>
        </w:rPr>
        <w:t>at pp.</w:t>
      </w:r>
      <w:r w:rsidR="008955A2">
        <w:rPr>
          <w:rFonts w:eastAsia="Times New Roman" w:cs="Times New Roman"/>
          <w:szCs w:val="20"/>
        </w:rPr>
        <w:t> </w:t>
      </w:r>
      <w:r w:rsidRPr="00644D08" w:rsidR="00644D08">
        <w:rPr>
          <w:rFonts w:eastAsia="Times New Roman" w:cs="Times New Roman"/>
          <w:szCs w:val="20"/>
        </w:rPr>
        <w:t xml:space="preserve">357-358 (conc. opn. of Kelley, J.).)  </w:t>
      </w:r>
      <w:r w:rsidRPr="00644D08" w:rsidR="00644D08">
        <w:rPr>
          <w:rFonts w:eastAsia="Times New Roman" w:cs="Times New Roman"/>
          <w:i/>
          <w:iCs/>
          <w:szCs w:val="20"/>
        </w:rPr>
        <w:t>Robert F.</w:t>
      </w:r>
      <w:r>
        <w:rPr>
          <w:rFonts w:eastAsia="Times New Roman" w:cs="Times New Roman"/>
          <w:szCs w:val="20"/>
        </w:rPr>
        <w:t xml:space="preserve"> adopted t</w:t>
      </w:r>
      <w:r w:rsidRPr="00644D08" w:rsidR="00644D08">
        <w:rPr>
          <w:rFonts w:eastAsia="Times New Roman" w:cs="Times New Roman"/>
          <w:szCs w:val="20"/>
        </w:rPr>
        <w:t xml:space="preserve">he </w:t>
      </w:r>
      <w:r w:rsidRPr="00644D08" w:rsidR="00644D08">
        <w:rPr>
          <w:rFonts w:eastAsia="Times New Roman" w:cs="Times New Roman"/>
          <w:i/>
          <w:iCs/>
          <w:szCs w:val="20"/>
        </w:rPr>
        <w:t xml:space="preserve">Adrian L. </w:t>
      </w:r>
      <w:r w:rsidRPr="00644D08" w:rsidR="00644D08">
        <w:rPr>
          <w:rFonts w:eastAsia="Times New Roman" w:cs="Times New Roman"/>
          <w:szCs w:val="20"/>
        </w:rPr>
        <w:t>concurrence</w:t>
      </w:r>
      <w:r>
        <w:rPr>
          <w:rFonts w:eastAsia="Times New Roman" w:cs="Times New Roman"/>
          <w:szCs w:val="20"/>
        </w:rPr>
        <w:t>’s view that</w:t>
      </w:r>
      <w:r w:rsidRPr="00644D08" w:rsidR="00644D08">
        <w:rPr>
          <w:rFonts w:eastAsia="Times New Roman" w:cs="Times New Roman"/>
          <w:szCs w:val="20"/>
        </w:rPr>
        <w:t xml:space="preserve"> “[a] department that takes a child into protective custody pursuant to a warrant does so under section 340, not section 306.”  (</w:t>
      </w:r>
      <w:r w:rsidRPr="00644D08" w:rsidR="00644D08">
        <w:rPr>
          <w:rFonts w:eastAsia="Times New Roman" w:cs="Times New Roman"/>
          <w:i/>
          <w:iCs/>
          <w:szCs w:val="20"/>
        </w:rPr>
        <w:t>Robert F.</w:t>
      </w:r>
      <w:r w:rsidRPr="00644D08" w:rsidR="00644D08">
        <w:rPr>
          <w:rFonts w:eastAsia="Times New Roman" w:cs="Times New Roman"/>
          <w:szCs w:val="20"/>
        </w:rPr>
        <w:t xml:space="preserve">, at </w:t>
      </w:r>
      <w:r w:rsidR="006E064B">
        <w:rPr>
          <w:rFonts w:eastAsia="Times New Roman" w:cs="Times New Roman"/>
          <w:szCs w:val="20"/>
        </w:rPr>
        <w:t xml:space="preserve">p. </w:t>
      </w:r>
      <w:r w:rsidR="000C0BBB">
        <w:rPr>
          <w:rFonts w:eastAsia="Times New Roman" w:cs="Times New Roman"/>
          <w:szCs w:val="20"/>
        </w:rPr>
        <w:t>497</w:t>
      </w:r>
      <w:r w:rsidRPr="00644D08" w:rsidR="00644D08">
        <w:rPr>
          <w:rFonts w:eastAsia="Times New Roman" w:cs="Times New Roman"/>
          <w:szCs w:val="20"/>
        </w:rPr>
        <w:t xml:space="preserve">.)  </w:t>
      </w:r>
      <w:bookmarkStart w:id="3" w:name="_Hlk143187781"/>
      <w:r w:rsidR="00967A12">
        <w:rPr>
          <w:rFonts w:eastAsia="Times New Roman" w:cs="Times New Roman"/>
          <w:szCs w:val="20"/>
        </w:rPr>
        <w:t xml:space="preserve">Later, </w:t>
      </w:r>
      <w:r w:rsidR="00967A12">
        <w:rPr>
          <w:i/>
          <w:iCs/>
        </w:rPr>
        <w:t>Ja.O.</w:t>
      </w:r>
      <w:r w:rsidR="00BA6F39">
        <w:t xml:space="preserve">, </w:t>
      </w:r>
      <w:r w:rsidRPr="00BA6F39" w:rsidR="00BA6F39">
        <w:rPr>
          <w:i/>
          <w:iCs/>
        </w:rPr>
        <w:t>supra</w:t>
      </w:r>
      <w:r w:rsidR="00BA6F39">
        <w:t>,</w:t>
      </w:r>
      <w:r w:rsidR="00967A12">
        <w:t xml:space="preserve"> 91 Cal.App.5th </w:t>
      </w:r>
      <w:r w:rsidR="00BA6F39">
        <w:t>at pp.</w:t>
      </w:r>
      <w:r w:rsidR="00967A12">
        <w:t xml:space="preserve"> 677-678</w:t>
      </w:r>
      <w:r>
        <w:t xml:space="preserve"> adopted th</w:t>
      </w:r>
      <w:r w:rsidR="006B505C">
        <w:t>at</w:t>
      </w:r>
      <w:r>
        <w:t xml:space="preserve"> reading of section</w:t>
      </w:r>
      <w:r w:rsidR="005A2ABF">
        <w:t> </w:t>
      </w:r>
      <w:r>
        <w:t>224.2, subdivision</w:t>
      </w:r>
      <w:r w:rsidR="00835BF9">
        <w:t> </w:t>
      </w:r>
      <w:r>
        <w:t>(b)</w:t>
      </w:r>
      <w:r w:rsidR="00633196">
        <w:t xml:space="preserve">.  </w:t>
      </w:r>
      <w:r w:rsidR="006B505C">
        <w:t>Yet a</w:t>
      </w:r>
      <w:r w:rsidR="00633196">
        <w:t xml:space="preserve">nother </w:t>
      </w:r>
      <w:r>
        <w:t>opinion</w:t>
      </w:r>
      <w:r w:rsidR="00633196">
        <w:t xml:space="preserve"> then disapproved</w:t>
      </w:r>
      <w:r w:rsidR="00C3267B">
        <w:t xml:space="preserve"> of</w:t>
      </w:r>
      <w:r w:rsidR="00633196">
        <w:t xml:space="preserve"> </w:t>
      </w:r>
      <w:r w:rsidR="00FB4193">
        <w:t xml:space="preserve">rule 5.481 to the extent </w:t>
      </w:r>
      <w:r w:rsidR="00D90387">
        <w:t xml:space="preserve">that </w:t>
      </w:r>
      <w:r w:rsidR="00FB4193">
        <w:t>it required an</w:t>
      </w:r>
      <w:r w:rsidR="00633196">
        <w:t xml:space="preserve"> extended family inquiry</w:t>
      </w:r>
      <w:r w:rsidR="00F50364">
        <w:t xml:space="preserve"> in cases where the child was removed by warrant</w:t>
      </w:r>
      <w:r>
        <w:t>.</w:t>
      </w:r>
      <w:r w:rsidR="00633196">
        <w:t xml:space="preserve">  </w:t>
      </w:r>
      <w:r>
        <w:t>(</w:t>
      </w:r>
      <w:r w:rsidR="009D660E">
        <w:rPr>
          <w:i/>
          <w:iCs/>
        </w:rPr>
        <w:t>In re Andres R.</w:t>
      </w:r>
      <w:r w:rsidR="00333802">
        <w:rPr>
          <w:i/>
          <w:iCs/>
        </w:rPr>
        <w:t xml:space="preserve"> </w:t>
      </w:r>
      <w:r w:rsidR="00333802">
        <w:t>(2023)</w:t>
      </w:r>
      <w:r w:rsidR="009D660E">
        <w:t xml:space="preserve"> </w:t>
      </w:r>
      <w:r w:rsidR="005F66C6">
        <w:t>94</w:t>
      </w:r>
      <w:r w:rsidR="00333802">
        <w:t xml:space="preserve"> Cal.App.5th </w:t>
      </w:r>
      <w:r w:rsidR="005F66C6">
        <w:t>828</w:t>
      </w:r>
      <w:r w:rsidR="000376BB">
        <w:t xml:space="preserve"> (</w:t>
      </w:r>
      <w:r w:rsidRPr="000376BB" w:rsidR="000376BB">
        <w:rPr>
          <w:i/>
          <w:iCs/>
        </w:rPr>
        <w:t>Andres R</w:t>
      </w:r>
      <w:r w:rsidR="000376BB">
        <w:t>.)</w:t>
      </w:r>
      <w:r w:rsidR="007A1330">
        <w:t>, review granted Nov. 15, 2023, S282054</w:t>
      </w:r>
      <w:r w:rsidR="00333802">
        <w:t>.</w:t>
      </w:r>
      <w:r>
        <w:t>)</w:t>
      </w:r>
      <w:bookmarkEnd w:id="3"/>
    </w:p>
    <w:p w:rsidR="00B16FFE" w:rsidP="009710E8" w14:paraId="00045447" w14:textId="0A699440">
      <w:r>
        <w:tab/>
      </w:r>
      <w:r w:rsidR="00F82874">
        <w:t>Unlike</w:t>
      </w:r>
      <w:r w:rsidR="00AE7590">
        <w:t xml:space="preserve"> these cases</w:t>
      </w:r>
      <w:r w:rsidR="00FB4193">
        <w:t xml:space="preserve">, </w:t>
      </w:r>
      <w:r w:rsidR="009D660E">
        <w:rPr>
          <w:i/>
          <w:iCs/>
        </w:rPr>
        <w:t>Delila D</w:t>
      </w:r>
      <w:r w:rsidR="00213746">
        <w:rPr>
          <w:i/>
          <w:iCs/>
        </w:rPr>
        <w:t>.</w:t>
      </w:r>
      <w:r w:rsidRPr="00BA6F39" w:rsidR="00BA6F39">
        <w:t>,</w:t>
      </w:r>
      <w:r w:rsidR="00BA6F39">
        <w:rPr>
          <w:i/>
          <w:iCs/>
        </w:rPr>
        <w:t xml:space="preserve"> supra</w:t>
      </w:r>
      <w:r w:rsidRPr="00BA6F39" w:rsidR="00BA6F39">
        <w:t>,</w:t>
      </w:r>
      <w:r w:rsidR="009D660E">
        <w:t xml:space="preserve"> 93 Cal.App.5th 953</w:t>
      </w:r>
      <w:r w:rsidR="00956771">
        <w:t>,</w:t>
      </w:r>
      <w:r>
        <w:t xml:space="preserve"> </w:t>
      </w:r>
      <w:r w:rsidR="009710E8">
        <w:t xml:space="preserve">found </w:t>
      </w:r>
      <w:r w:rsidR="009710E8">
        <w:rPr>
          <w:i/>
          <w:iCs/>
        </w:rPr>
        <w:t>Robert F.</w:t>
      </w:r>
      <w:r w:rsidR="008919CD">
        <w:t xml:space="preserve">’s statutory interpretation </w:t>
      </w:r>
      <w:r>
        <w:t>“contrary to both the letter and spirit of A</w:t>
      </w:r>
      <w:r w:rsidR="004168A8">
        <w:t>ssembly Bill</w:t>
      </w:r>
      <w:r>
        <w:t xml:space="preserve"> 3176.”  (</w:t>
      </w:r>
      <w:r w:rsidRPr="00FE6D5D" w:rsidR="009D660E">
        <w:rPr>
          <w:i/>
          <w:iCs/>
        </w:rPr>
        <w:t>Delila D.</w:t>
      </w:r>
      <w:r w:rsidR="009D660E">
        <w:t>, at p.</w:t>
      </w:r>
      <w:r w:rsidR="00C92954">
        <w:t xml:space="preserve"> </w:t>
      </w:r>
      <w:r w:rsidR="004168A8">
        <w:t>962</w:t>
      </w:r>
      <w:r>
        <w:t xml:space="preserve">.)  </w:t>
      </w:r>
      <w:r w:rsidRPr="00501293" w:rsidR="00D87C50">
        <w:rPr>
          <w:i/>
          <w:iCs/>
        </w:rPr>
        <w:t>Delila D</w:t>
      </w:r>
      <w:r w:rsidR="00D87C50">
        <w:t xml:space="preserve">. </w:t>
      </w:r>
      <w:r w:rsidR="00B90D3C">
        <w:t xml:space="preserve">reasoned </w:t>
      </w:r>
      <w:r w:rsidR="00772953">
        <w:t xml:space="preserve">that </w:t>
      </w:r>
      <w:r w:rsidR="00344DC6">
        <w:t>because</w:t>
      </w:r>
      <w:r w:rsidR="00E904A8">
        <w:t xml:space="preserve"> section 306</w:t>
      </w:r>
      <w:r w:rsidR="00956771">
        <w:t>,</w:t>
      </w:r>
      <w:r w:rsidR="00E904A8">
        <w:t xml:space="preserve"> subdivision (a)(1)</w:t>
      </w:r>
      <w:r w:rsidR="00956771">
        <w:t>,</w:t>
      </w:r>
      <w:r w:rsidR="00E904A8">
        <w:t xml:space="preserve"> grants</w:t>
      </w:r>
      <w:r w:rsidR="00344DC6">
        <w:t xml:space="preserve"> the department </w:t>
      </w:r>
      <w:r w:rsidR="00E904A8">
        <w:t xml:space="preserve">the </w:t>
      </w:r>
      <w:r w:rsidR="00344DC6">
        <w:t xml:space="preserve">authority to </w:t>
      </w:r>
      <w:r w:rsidR="001569F5">
        <w:t>“</w:t>
      </w:r>
      <w:r w:rsidR="00BB632E">
        <w:t>receive</w:t>
      </w:r>
      <w:r w:rsidR="001569F5">
        <w:t xml:space="preserve"> and maintain”</w:t>
      </w:r>
      <w:r w:rsidR="00DC209C">
        <w:t xml:space="preserve"> </w:t>
      </w:r>
      <w:r w:rsidR="00772953">
        <w:t xml:space="preserve">temporary custody </w:t>
      </w:r>
      <w:r w:rsidR="00210D71">
        <w:t xml:space="preserve">of a child </w:t>
      </w:r>
      <w:r w:rsidR="00344DC6">
        <w:t>when</w:t>
      </w:r>
      <w:r w:rsidR="00FF2856">
        <w:t xml:space="preserve"> “delivered”</w:t>
      </w:r>
      <w:r w:rsidR="000C3966">
        <w:t xml:space="preserve"> </w:t>
      </w:r>
      <w:r w:rsidR="001E70C2">
        <w:t xml:space="preserve">to </w:t>
      </w:r>
      <w:r w:rsidR="000C3966">
        <w:t>a social worker by law enforcement</w:t>
      </w:r>
      <w:r w:rsidR="00B90D3C">
        <w:t>, temporary custody include</w:t>
      </w:r>
      <w:r w:rsidR="00303F94">
        <w:t>s</w:t>
      </w:r>
      <w:r w:rsidR="00B90D3C">
        <w:t xml:space="preserve"> children brought </w:t>
      </w:r>
      <w:r w:rsidR="00E904A8">
        <w:t xml:space="preserve">to the department </w:t>
      </w:r>
      <w:r w:rsidR="00B90D3C">
        <w:t>after remov</w:t>
      </w:r>
      <w:r w:rsidR="00BA3006">
        <w:t>al</w:t>
      </w:r>
      <w:r w:rsidR="00B90D3C">
        <w:t xml:space="preserve"> by </w:t>
      </w:r>
      <w:r w:rsidR="00BA3006">
        <w:t xml:space="preserve">a </w:t>
      </w:r>
      <w:r w:rsidR="00B90D3C">
        <w:t xml:space="preserve">warrant. </w:t>
      </w:r>
      <w:r w:rsidR="00344DC6">
        <w:t xml:space="preserve"> </w:t>
      </w:r>
      <w:r w:rsidR="00B856AB">
        <w:t>(</w:t>
      </w:r>
      <w:r w:rsidR="007A1330">
        <w:rPr>
          <w:i/>
          <w:iCs/>
        </w:rPr>
        <w:t>Id.</w:t>
      </w:r>
      <w:r w:rsidR="00B856AB">
        <w:t xml:space="preserve"> at pp.</w:t>
      </w:r>
      <w:r w:rsidR="007A1330">
        <w:t> </w:t>
      </w:r>
      <w:r w:rsidR="00B856AB">
        <w:t xml:space="preserve">971-972.)  </w:t>
      </w:r>
      <w:r w:rsidR="00B90D3C">
        <w:t>Thus</w:t>
      </w:r>
      <w:r>
        <w:t xml:space="preserve">, </w:t>
      </w:r>
      <w:r>
        <w:rPr>
          <w:i/>
          <w:iCs/>
        </w:rPr>
        <w:t xml:space="preserve">Delila D. </w:t>
      </w:r>
      <w:r w:rsidR="009D660E">
        <w:t>h</w:t>
      </w:r>
      <w:r w:rsidR="00115573">
        <w:t>eld</w:t>
      </w:r>
      <w:r w:rsidR="009D660E">
        <w:t xml:space="preserve"> </w:t>
      </w:r>
      <w:r>
        <w:t>“there is only one duty of initial inquiry, and that duty encompasses available extended family members no matter how the child is initially removed from home.”  (</w:t>
      </w:r>
      <w:r>
        <w:rPr>
          <w:i/>
          <w:iCs/>
        </w:rPr>
        <w:t>Ibid.</w:t>
      </w:r>
      <w:r>
        <w:t xml:space="preserve">)  Under </w:t>
      </w:r>
      <w:r>
        <w:rPr>
          <w:i/>
          <w:iCs/>
        </w:rPr>
        <w:t>Delila D.</w:t>
      </w:r>
      <w:r w:rsidRPr="00835BF9" w:rsidR="00D95062">
        <w:rPr>
          <w:iCs/>
        </w:rPr>
        <w:t>,</w:t>
      </w:r>
      <w:r>
        <w:t xml:space="preserve"> section</w:t>
      </w:r>
      <w:r w:rsidR="00F77C87">
        <w:t> </w:t>
      </w:r>
      <w:r>
        <w:t>224.2, subdivisions (a) and (b)</w:t>
      </w:r>
      <w:r w:rsidR="007A1330">
        <w:t>,</w:t>
      </w:r>
      <w:r>
        <w:t xml:space="preserve"> </w:t>
      </w:r>
      <w:r w:rsidR="00E904A8">
        <w:t xml:space="preserve">as well as </w:t>
      </w:r>
      <w:r>
        <w:t>rule</w:t>
      </w:r>
      <w:r w:rsidR="00F77C87">
        <w:t> </w:t>
      </w:r>
      <w:r>
        <w:t>5.481</w:t>
      </w:r>
      <w:r w:rsidR="00E904A8">
        <w:t>, social workers have</w:t>
      </w:r>
      <w:r w:rsidR="00E96D71">
        <w:t xml:space="preserve"> </w:t>
      </w:r>
      <w:r>
        <w:t>“a duty of initial inquiry that begins at first contact, lasts throughout the proceeding, and includes ‘but is not limited to’ the reporting party, the child’s parents and extended family members, and others who have an interest in the child, as those individuals become available during the case.”  (</w:t>
      </w:r>
      <w:r w:rsidR="00F77C87">
        <w:rPr>
          <w:i/>
          <w:iCs/>
        </w:rPr>
        <w:t>Delila D.</w:t>
      </w:r>
      <w:r w:rsidR="00F77C87">
        <w:t>,</w:t>
      </w:r>
      <w:r>
        <w:t xml:space="preserve"> at </w:t>
      </w:r>
      <w:r w:rsidR="00F77C87">
        <w:t>p.</w:t>
      </w:r>
      <w:r w:rsidR="007A1330">
        <w:t> </w:t>
      </w:r>
      <w:r w:rsidR="00F77C87">
        <w:t>966</w:t>
      </w:r>
      <w:r>
        <w:t xml:space="preserve">.) </w:t>
      </w:r>
      <w:r w:rsidR="006B505C">
        <w:t xml:space="preserve"> </w:t>
      </w:r>
      <w:bookmarkStart w:id="4" w:name="_Hlk158289664"/>
      <w:r w:rsidR="009012C9">
        <w:t>Four</w:t>
      </w:r>
      <w:r w:rsidR="006B505C">
        <w:t xml:space="preserve"> opinions from other divisions have followed </w:t>
      </w:r>
      <w:r w:rsidRPr="00AB39DC" w:rsidR="006B505C">
        <w:rPr>
          <w:i/>
          <w:iCs/>
        </w:rPr>
        <w:t>Delila D</w:t>
      </w:r>
      <w:r w:rsidR="006B505C">
        <w:t>.</w:t>
      </w:r>
      <w:r w:rsidRPr="006B505C" w:rsidR="006B505C">
        <w:t xml:space="preserve"> </w:t>
      </w:r>
      <w:r w:rsidR="003D3BBD">
        <w:t xml:space="preserve"> </w:t>
      </w:r>
      <w:r w:rsidRPr="006B505C" w:rsidR="006B505C">
        <w:t>(See</w:t>
      </w:r>
      <w:r w:rsidR="002E2C2D">
        <w:t xml:space="preserve"> </w:t>
      </w:r>
      <w:r w:rsidRPr="00546B0B" w:rsidR="002E2C2D">
        <w:rPr>
          <w:i/>
          <w:iCs/>
        </w:rPr>
        <w:t>In re C.L.</w:t>
      </w:r>
      <w:r w:rsidR="002E2C2D">
        <w:t xml:space="preserve"> (2023) 96 Cal.App.5th 377;</w:t>
      </w:r>
      <w:r w:rsidRPr="006B505C" w:rsidR="006B505C">
        <w:t xml:space="preserve"> </w:t>
      </w:r>
      <w:r w:rsidRPr="006B505C" w:rsidR="006B505C">
        <w:rPr>
          <w:i/>
          <w:iCs/>
        </w:rPr>
        <w:t xml:space="preserve">In re Jerry R. </w:t>
      </w:r>
      <w:r w:rsidRPr="006B505C" w:rsidR="006B505C">
        <w:t>(2023</w:t>
      </w:r>
      <w:r w:rsidR="00835BF9">
        <w:t>) 95 Cal.App.5th 388</w:t>
      </w:r>
      <w:r w:rsidRPr="006B505C" w:rsidR="006B505C">
        <w:t xml:space="preserve">; </w:t>
      </w:r>
      <w:r w:rsidRPr="006B505C" w:rsidR="006B505C">
        <w:rPr>
          <w:i/>
          <w:iCs/>
        </w:rPr>
        <w:t xml:space="preserve">In re V.C. </w:t>
      </w:r>
      <w:r w:rsidR="00835BF9">
        <w:t>(2023) 95 Cal.App.5th 251</w:t>
      </w:r>
      <w:r w:rsidR="009012C9">
        <w:t xml:space="preserve">; </w:t>
      </w:r>
      <w:r w:rsidRPr="009012C9" w:rsidR="009012C9">
        <w:rPr>
          <w:i/>
          <w:iCs/>
        </w:rPr>
        <w:t>In re L.B.</w:t>
      </w:r>
      <w:r w:rsidR="009012C9">
        <w:t xml:space="preserve"> (2023) 98 Cal.App.5th 512</w:t>
      </w:r>
      <w:r w:rsidRPr="006B505C" w:rsidR="006B505C">
        <w:t xml:space="preserve">.) </w:t>
      </w:r>
      <w:r>
        <w:t xml:space="preserve"> </w:t>
      </w:r>
      <w:bookmarkEnd w:id="4"/>
    </w:p>
    <w:p w:rsidR="00644D08" w:rsidP="009710E8" w14:paraId="1B5E2C1C" w14:textId="372449F3">
      <w:pPr>
        <w:ind w:firstLine="720"/>
      </w:pPr>
      <w:r>
        <w:t xml:space="preserve">This conflict in authority </w:t>
      </w:r>
      <w:r w:rsidR="00786EF1">
        <w:t>is</w:t>
      </w:r>
      <w:r>
        <w:t xml:space="preserve"> under review by our Supreme Court, with </w:t>
      </w:r>
      <w:r>
        <w:rPr>
          <w:i/>
          <w:iCs/>
        </w:rPr>
        <w:t>Ja.O.</w:t>
      </w:r>
      <w:r>
        <w:t xml:space="preserve"> as the lead case.  We find </w:t>
      </w:r>
      <w:r>
        <w:rPr>
          <w:i/>
          <w:iCs/>
        </w:rPr>
        <w:t>Delila D.</w:t>
      </w:r>
      <w:r>
        <w:t>’s thoughtful discussion of the statutory language and legislative history persuasive and adopt its reasoning and conclusions.</w:t>
      </w:r>
    </w:p>
    <w:p w:rsidR="007B5EDA" w:rsidRPr="00546B0B" w:rsidP="00F226F5" w14:paraId="7E54808D" w14:textId="18D1BA14">
      <w:pPr>
        <w:ind w:firstLine="720"/>
      </w:pPr>
      <w:r>
        <w:t xml:space="preserve">We also conclude there are at least two other reasons for rejecting </w:t>
      </w:r>
      <w:r>
        <w:rPr>
          <w:i/>
          <w:iCs/>
        </w:rPr>
        <w:t>Robert F.</w:t>
      </w:r>
      <w:r>
        <w:t xml:space="preserve"> </w:t>
      </w:r>
      <w:r w:rsidR="002A6D0B">
        <w:t xml:space="preserve">beyond those </w:t>
      </w:r>
      <w:r w:rsidR="002A79C5">
        <w:t xml:space="preserve">discussed </w:t>
      </w:r>
      <w:r w:rsidR="002A6D0B">
        <w:t>in</w:t>
      </w:r>
      <w:r>
        <w:t xml:space="preserve"> </w:t>
      </w:r>
      <w:r w:rsidRPr="00AB39DC">
        <w:rPr>
          <w:i/>
          <w:iCs/>
        </w:rPr>
        <w:t>Delila D.</w:t>
      </w:r>
      <w:r w:rsidR="002A79C5">
        <w:t xml:space="preserve"> </w:t>
      </w:r>
      <w:r w:rsidR="00835BF9">
        <w:t xml:space="preserve"> </w:t>
      </w:r>
      <w:r w:rsidR="002A79C5">
        <w:t xml:space="preserve">First, </w:t>
      </w:r>
      <w:r>
        <w:rPr>
          <w:i/>
          <w:iCs/>
        </w:rPr>
        <w:t>Robert F.</w:t>
      </w:r>
      <w:r>
        <w:t xml:space="preserve"> </w:t>
      </w:r>
      <w:r w:rsidR="004D2397">
        <w:t>mis</w:t>
      </w:r>
      <w:r>
        <w:t>constru</w:t>
      </w:r>
      <w:r w:rsidR="00724442">
        <w:t>e</w:t>
      </w:r>
      <w:r>
        <w:t>s</w:t>
      </w:r>
      <w:r w:rsidR="004D2397">
        <w:t xml:space="preserve"> “protective custody” as</w:t>
      </w:r>
      <w:r w:rsidR="003E4F31">
        <w:t xml:space="preserve"> </w:t>
      </w:r>
      <w:r w:rsidR="004D2397">
        <w:t>exclusive of</w:t>
      </w:r>
      <w:r>
        <w:t xml:space="preserve"> “temporary custody” </w:t>
      </w:r>
      <w:r w:rsidR="003E4F31">
        <w:t>in categorizing</w:t>
      </w:r>
      <w:r w:rsidR="004D2397">
        <w:t xml:space="preserve"> children removed by warrant </w:t>
      </w:r>
      <w:r w:rsidR="003E4F31">
        <w:t>as not</w:t>
      </w:r>
      <w:r w:rsidR="004D2397">
        <w:t xml:space="preserve"> in temporary custody </w:t>
      </w:r>
      <w:r w:rsidR="003E4F31">
        <w:t>before</w:t>
      </w:r>
      <w:r w:rsidR="004D2397">
        <w:t xml:space="preserve"> their detention hearing</w:t>
      </w:r>
      <w:r w:rsidR="002A79C5">
        <w:t xml:space="preserve">. </w:t>
      </w:r>
      <w:r w:rsidR="00835BF9">
        <w:t xml:space="preserve"> </w:t>
      </w:r>
      <w:r w:rsidR="002A79C5">
        <w:t>Second,</w:t>
      </w:r>
      <w:r>
        <w:t xml:space="preserve"> </w:t>
      </w:r>
      <w:r w:rsidRPr="00546B0B" w:rsidR="00F226F5">
        <w:rPr>
          <w:i/>
          <w:iCs/>
        </w:rPr>
        <w:t>Robert F</w:t>
      </w:r>
      <w:r w:rsidR="00F226F5">
        <w:t>.’s</w:t>
      </w:r>
      <w:r>
        <w:t xml:space="preserve"> interpretation </w:t>
      </w:r>
      <w:r w:rsidR="009901A6">
        <w:t>misconstrues</w:t>
      </w:r>
      <w:r>
        <w:t xml:space="preserve"> federal ICWA law</w:t>
      </w:r>
      <w:r w:rsidR="009901A6">
        <w:t xml:space="preserve"> as </w:t>
      </w:r>
      <w:r w:rsidR="00561D09">
        <w:t>supporting</w:t>
      </w:r>
      <w:r w:rsidR="00A80A73">
        <w:t xml:space="preserve"> its view that the ICWA inquiry differs based on whether a child is removed by warrant</w:t>
      </w:r>
      <w:r>
        <w:t xml:space="preserve">. </w:t>
      </w:r>
      <w:r w:rsidR="000376BB">
        <w:t xml:space="preserve"> </w:t>
      </w:r>
      <w:r>
        <w:t xml:space="preserve">Accordingly, we </w:t>
      </w:r>
      <w:r w:rsidR="00EE7E40">
        <w:t>explain</w:t>
      </w:r>
      <w:r>
        <w:t xml:space="preserve"> our view on th</w:t>
      </w:r>
      <w:r w:rsidR="002D078F">
        <w:t>is issue of continuing public interest.</w:t>
      </w:r>
    </w:p>
    <w:p w:rsidR="00B10E87" w:rsidP="00AB39DC" w14:paraId="2595157F" w14:textId="0474B66E">
      <w:pPr>
        <w:rPr>
          <w:rFonts w:cs="Times New Roman"/>
          <w:szCs w:val="26"/>
        </w:rPr>
      </w:pPr>
      <w:r>
        <w:rPr>
          <w:rFonts w:cs="Times New Roman"/>
          <w:szCs w:val="26"/>
        </w:rPr>
        <w:t xml:space="preserve">B.  </w:t>
      </w:r>
      <w:r w:rsidR="00185A2C">
        <w:rPr>
          <w:rFonts w:cs="Times New Roman"/>
          <w:i/>
          <w:iCs/>
          <w:szCs w:val="26"/>
        </w:rPr>
        <w:t>The Term</w:t>
      </w:r>
      <w:r w:rsidR="00664133">
        <w:rPr>
          <w:rFonts w:cs="Times New Roman"/>
          <w:i/>
          <w:iCs/>
          <w:szCs w:val="26"/>
        </w:rPr>
        <w:t>s</w:t>
      </w:r>
      <w:r w:rsidR="00185A2C">
        <w:rPr>
          <w:rFonts w:cs="Times New Roman"/>
          <w:i/>
          <w:iCs/>
          <w:szCs w:val="26"/>
        </w:rPr>
        <w:t xml:space="preserve"> </w:t>
      </w:r>
      <w:r w:rsidRPr="00835BF9" w:rsidR="00134D42">
        <w:rPr>
          <w:iCs/>
        </w:rPr>
        <w:t>“</w:t>
      </w:r>
      <w:r w:rsidR="00BF4D0C">
        <w:rPr>
          <w:rFonts w:cs="Times New Roman"/>
          <w:i/>
          <w:iCs/>
          <w:szCs w:val="26"/>
        </w:rPr>
        <w:t>Protective Custody</w:t>
      </w:r>
      <w:r w:rsidRPr="00835BF9" w:rsidR="00134D42">
        <w:rPr>
          <w:iCs/>
        </w:rPr>
        <w:t>”</w:t>
      </w:r>
      <w:r w:rsidRPr="00835BF9" w:rsidR="005E650A">
        <w:rPr>
          <w:rFonts w:cs="Times New Roman"/>
          <w:iCs/>
          <w:szCs w:val="26"/>
        </w:rPr>
        <w:t xml:space="preserve"> </w:t>
      </w:r>
      <w:r w:rsidR="005E650A">
        <w:rPr>
          <w:rFonts w:cs="Times New Roman"/>
          <w:i/>
          <w:iCs/>
          <w:szCs w:val="26"/>
        </w:rPr>
        <w:t xml:space="preserve">and </w:t>
      </w:r>
      <w:r w:rsidRPr="00835BF9" w:rsidR="00134D42">
        <w:rPr>
          <w:iCs/>
        </w:rPr>
        <w:t>“</w:t>
      </w:r>
      <w:r w:rsidR="00134D42">
        <w:rPr>
          <w:rFonts w:cs="Times New Roman"/>
          <w:i/>
          <w:iCs/>
          <w:szCs w:val="26"/>
        </w:rPr>
        <w:t>Temporary Custody</w:t>
      </w:r>
      <w:r w:rsidRPr="00835BF9" w:rsidR="00134D42">
        <w:rPr>
          <w:iCs/>
        </w:rPr>
        <w:t>”</w:t>
      </w:r>
      <w:r w:rsidR="00664133">
        <w:rPr>
          <w:i/>
        </w:rPr>
        <w:t xml:space="preserve"> Refer to</w:t>
      </w:r>
      <w:r w:rsidR="003E4F31">
        <w:rPr>
          <w:i/>
        </w:rPr>
        <w:t xml:space="preserve"> All Children in</w:t>
      </w:r>
      <w:r w:rsidR="00664133">
        <w:rPr>
          <w:i/>
        </w:rPr>
        <w:t xml:space="preserve"> Pre-Detention Custody</w:t>
      </w:r>
    </w:p>
    <w:p w:rsidR="00EE7E40" w:rsidP="00AB39DC" w14:paraId="61A8C682" w14:textId="054AE265">
      <w:pPr>
        <w:ind w:firstLine="720"/>
        <w:rPr>
          <w:rFonts w:cs="Times New Roman"/>
          <w:szCs w:val="26"/>
        </w:rPr>
      </w:pPr>
      <w:r>
        <w:rPr>
          <w:rFonts w:cs="Times New Roman"/>
          <w:szCs w:val="26"/>
        </w:rPr>
        <w:t>Section 224.2</w:t>
      </w:r>
      <w:r w:rsidR="00AC53A7">
        <w:rPr>
          <w:rFonts w:cs="Times New Roman"/>
          <w:szCs w:val="26"/>
        </w:rPr>
        <w:t>, subdivision (b)</w:t>
      </w:r>
      <w:r w:rsidR="007A1330">
        <w:rPr>
          <w:rFonts w:cs="Times New Roman"/>
          <w:szCs w:val="26"/>
        </w:rPr>
        <w:t>,</w:t>
      </w:r>
      <w:r w:rsidR="00AC53A7">
        <w:rPr>
          <w:rFonts w:cs="Times New Roman"/>
          <w:szCs w:val="26"/>
        </w:rPr>
        <w:t xml:space="preserve"> </w:t>
      </w:r>
      <w:r w:rsidR="00A343CD">
        <w:rPr>
          <w:rFonts w:cs="Times New Roman"/>
          <w:szCs w:val="26"/>
        </w:rPr>
        <w:t>starts the duty to inquire of extended family when child</w:t>
      </w:r>
      <w:r w:rsidR="00731B22">
        <w:rPr>
          <w:rFonts w:cs="Times New Roman"/>
          <w:szCs w:val="26"/>
        </w:rPr>
        <w:t>ren</w:t>
      </w:r>
      <w:r w:rsidR="00A343CD">
        <w:rPr>
          <w:rFonts w:cs="Times New Roman"/>
          <w:szCs w:val="26"/>
        </w:rPr>
        <w:t xml:space="preserve"> </w:t>
      </w:r>
      <w:r w:rsidR="00731B22">
        <w:rPr>
          <w:rFonts w:cs="Times New Roman"/>
          <w:szCs w:val="26"/>
        </w:rPr>
        <w:t xml:space="preserve">are removed from their parents and </w:t>
      </w:r>
      <w:r w:rsidR="00A343CD">
        <w:rPr>
          <w:rFonts w:cs="Times New Roman"/>
          <w:szCs w:val="26"/>
        </w:rPr>
        <w:t>enter a county’s temporary custody prior to the detention hearing.</w:t>
      </w:r>
      <w:r w:rsidR="00731B22">
        <w:rPr>
          <w:rFonts w:cs="Times New Roman"/>
          <w:szCs w:val="26"/>
        </w:rPr>
        <w:t xml:space="preserve">  In holding that the duty does not apply to children removed by warrants,</w:t>
      </w:r>
      <w:r w:rsidR="00A343CD">
        <w:rPr>
          <w:rFonts w:cs="Times New Roman"/>
          <w:szCs w:val="26"/>
        </w:rPr>
        <w:t xml:space="preserve"> </w:t>
      </w:r>
      <w:r w:rsidR="00BC799A">
        <w:rPr>
          <w:rFonts w:cs="Times New Roman"/>
          <w:i/>
          <w:iCs/>
          <w:szCs w:val="26"/>
        </w:rPr>
        <w:t xml:space="preserve">Robert F. </w:t>
      </w:r>
      <w:r w:rsidR="00BC799A">
        <w:rPr>
          <w:rFonts w:cs="Times New Roman"/>
          <w:szCs w:val="26"/>
        </w:rPr>
        <w:t xml:space="preserve">and similar cases </w:t>
      </w:r>
      <w:r>
        <w:rPr>
          <w:rFonts w:cs="Times New Roman"/>
          <w:szCs w:val="26"/>
        </w:rPr>
        <w:t>construe</w:t>
      </w:r>
      <w:r w:rsidR="00BC799A">
        <w:rPr>
          <w:rFonts w:cs="Times New Roman"/>
          <w:szCs w:val="26"/>
        </w:rPr>
        <w:t xml:space="preserve"> the term “protective custody” </w:t>
      </w:r>
      <w:r w:rsidR="009C6CB1">
        <w:rPr>
          <w:rFonts w:cs="Times New Roman"/>
          <w:szCs w:val="26"/>
        </w:rPr>
        <w:t>to be</w:t>
      </w:r>
      <w:r>
        <w:rPr>
          <w:rFonts w:cs="Times New Roman"/>
          <w:szCs w:val="26"/>
        </w:rPr>
        <w:t xml:space="preserve"> a status that is exclusive of</w:t>
      </w:r>
      <w:r w:rsidR="00BC799A">
        <w:rPr>
          <w:rFonts w:cs="Times New Roman"/>
          <w:szCs w:val="26"/>
        </w:rPr>
        <w:t xml:space="preserve"> “temporary custody</w:t>
      </w:r>
      <w:r w:rsidRPr="00BC799A" w:rsidR="00FC0125">
        <w:rPr>
          <w:rFonts w:cs="Times New Roman"/>
          <w:szCs w:val="26"/>
        </w:rPr>
        <w:t>.</w:t>
      </w:r>
      <w:r w:rsidR="00BC799A">
        <w:rPr>
          <w:rFonts w:cs="Times New Roman"/>
          <w:szCs w:val="26"/>
        </w:rPr>
        <w:t>”</w:t>
      </w:r>
      <w:r w:rsidR="00FC0125">
        <w:rPr>
          <w:rFonts w:cs="Times New Roman"/>
          <w:szCs w:val="26"/>
        </w:rPr>
        <w:t xml:space="preserve"> </w:t>
      </w:r>
      <w:r>
        <w:rPr>
          <w:rFonts w:cs="Times New Roman"/>
          <w:szCs w:val="26"/>
        </w:rPr>
        <w:t xml:space="preserve"> This is not how the statutes use these terms.</w:t>
      </w:r>
      <w:r w:rsidR="00FC0125">
        <w:rPr>
          <w:rFonts w:cs="Times New Roman"/>
          <w:szCs w:val="26"/>
        </w:rPr>
        <w:t xml:space="preserve"> </w:t>
      </w:r>
    </w:p>
    <w:p w:rsidR="009C6CB1" w:rsidP="00AB39DC" w14:paraId="5F5D7286" w14:textId="1BD75A1B">
      <w:pPr>
        <w:ind w:firstLine="720"/>
        <w:rPr>
          <w:rFonts w:cs="Times New Roman"/>
          <w:szCs w:val="26"/>
        </w:rPr>
      </w:pPr>
      <w:bookmarkStart w:id="5" w:name="_Hlk151140634"/>
      <w:r>
        <w:rPr>
          <w:rFonts w:cs="Times New Roman"/>
          <w:szCs w:val="26"/>
        </w:rPr>
        <w:t xml:space="preserve">“Temporary custody” is the term used in section 306 for children in a dependency </w:t>
      </w:r>
      <w:r w:rsidR="00950E05">
        <w:rPr>
          <w:rFonts w:cs="Times New Roman"/>
          <w:szCs w:val="26"/>
        </w:rPr>
        <w:t>proceeding</w:t>
      </w:r>
      <w:r>
        <w:rPr>
          <w:rFonts w:cs="Times New Roman"/>
          <w:szCs w:val="26"/>
        </w:rPr>
        <w:t xml:space="preserve"> who are being held by a department before their initial hearing, </w:t>
      </w:r>
      <w:r w:rsidR="009779F8">
        <w:rPr>
          <w:rFonts w:cs="Times New Roman"/>
          <w:szCs w:val="26"/>
        </w:rPr>
        <w:t>known</w:t>
      </w:r>
      <w:r>
        <w:rPr>
          <w:rFonts w:cs="Times New Roman"/>
          <w:szCs w:val="26"/>
        </w:rPr>
        <w:t xml:space="preserve"> as a detention hearing.  </w:t>
      </w:r>
      <w:r w:rsidR="003E4F31">
        <w:rPr>
          <w:rFonts w:cs="Times New Roman"/>
          <w:szCs w:val="26"/>
        </w:rPr>
        <w:t>C</w:t>
      </w:r>
      <w:r w:rsidR="00EE7E40">
        <w:rPr>
          <w:rFonts w:cs="Times New Roman"/>
          <w:szCs w:val="26"/>
        </w:rPr>
        <w:t>hildren removed by warrant under section 340 are</w:t>
      </w:r>
      <w:r>
        <w:rPr>
          <w:rFonts w:cs="Times New Roman"/>
          <w:szCs w:val="26"/>
        </w:rPr>
        <w:t xml:space="preserve"> placed</w:t>
      </w:r>
      <w:r w:rsidR="00EE7E40">
        <w:rPr>
          <w:rFonts w:cs="Times New Roman"/>
          <w:szCs w:val="26"/>
        </w:rPr>
        <w:t xml:space="preserve"> in</w:t>
      </w:r>
      <w:r>
        <w:rPr>
          <w:rFonts w:cs="Times New Roman"/>
          <w:szCs w:val="26"/>
        </w:rPr>
        <w:t>to the</w:t>
      </w:r>
      <w:r w:rsidR="00EE7E40">
        <w:rPr>
          <w:rFonts w:cs="Times New Roman"/>
          <w:szCs w:val="26"/>
        </w:rPr>
        <w:t xml:space="preserve"> “temporary custody” </w:t>
      </w:r>
      <w:r>
        <w:rPr>
          <w:rFonts w:cs="Times New Roman"/>
          <w:szCs w:val="26"/>
        </w:rPr>
        <w:t xml:space="preserve">of a department </w:t>
      </w:r>
      <w:r w:rsidR="00EE7E40">
        <w:rPr>
          <w:rFonts w:cs="Times New Roman"/>
          <w:szCs w:val="26"/>
        </w:rPr>
        <w:t xml:space="preserve">under </w:t>
      </w:r>
      <w:r w:rsidR="00FA221A">
        <w:rPr>
          <w:rFonts w:cs="Times New Roman"/>
          <w:szCs w:val="26"/>
        </w:rPr>
        <w:t>section 306</w:t>
      </w:r>
      <w:r w:rsidR="00EE7E40">
        <w:rPr>
          <w:rFonts w:cs="Times New Roman"/>
          <w:szCs w:val="26"/>
        </w:rPr>
        <w:t xml:space="preserve">.  </w:t>
      </w:r>
      <w:r w:rsidR="003E4F31">
        <w:rPr>
          <w:rFonts w:cs="Times New Roman"/>
          <w:szCs w:val="26"/>
        </w:rPr>
        <w:t xml:space="preserve">Under </w:t>
      </w:r>
      <w:r w:rsidR="00E66FC9">
        <w:rPr>
          <w:rFonts w:cs="Times New Roman"/>
          <w:szCs w:val="26"/>
        </w:rPr>
        <w:t>section 340</w:t>
      </w:r>
      <w:r w:rsidR="003E4F31">
        <w:rPr>
          <w:rFonts w:cs="Times New Roman"/>
          <w:szCs w:val="26"/>
        </w:rPr>
        <w:t>, c</w:t>
      </w:r>
      <w:r w:rsidR="00FC0125">
        <w:rPr>
          <w:rFonts w:cs="Times New Roman"/>
          <w:szCs w:val="26"/>
        </w:rPr>
        <w:t xml:space="preserve">hildren removed by warrant “shall immediately </w:t>
      </w:r>
      <w:r w:rsidR="003D3BBD">
        <w:rPr>
          <w:rFonts w:cs="Times New Roman"/>
          <w:szCs w:val="26"/>
        </w:rPr>
        <w:t xml:space="preserve">be </w:t>
      </w:r>
      <w:r w:rsidR="00FC0125">
        <w:rPr>
          <w:rFonts w:cs="Times New Roman"/>
          <w:szCs w:val="26"/>
        </w:rPr>
        <w:t>delivered to the social worker</w:t>
      </w:r>
      <w:r w:rsidR="00F365CC">
        <w:rPr>
          <w:rFonts w:cs="Times New Roman"/>
          <w:szCs w:val="26"/>
        </w:rPr>
        <w:t>.</w:t>
      </w:r>
      <w:r w:rsidR="00FC0125">
        <w:rPr>
          <w:rFonts w:cs="Times New Roman"/>
          <w:szCs w:val="26"/>
        </w:rPr>
        <w:t xml:space="preserve">” </w:t>
      </w:r>
      <w:r w:rsidR="00F365CC">
        <w:rPr>
          <w:rFonts w:cs="Times New Roman"/>
          <w:szCs w:val="26"/>
        </w:rPr>
        <w:t xml:space="preserve"> </w:t>
      </w:r>
      <w:r w:rsidR="00FC0125">
        <w:rPr>
          <w:rFonts w:cs="Times New Roman"/>
          <w:szCs w:val="26"/>
        </w:rPr>
        <w:t>(</w:t>
      </w:r>
      <w:r w:rsidR="005940ED">
        <w:rPr>
          <w:rFonts w:cs="Times New Roman"/>
          <w:szCs w:val="26"/>
        </w:rPr>
        <w:t>§ </w:t>
      </w:r>
      <w:r w:rsidR="00FC0125">
        <w:rPr>
          <w:rFonts w:cs="Times New Roman"/>
          <w:szCs w:val="26"/>
        </w:rPr>
        <w:t>340, subd.</w:t>
      </w:r>
      <w:r w:rsidR="003D3BBD">
        <w:rPr>
          <w:rFonts w:cs="Times New Roman"/>
          <w:szCs w:val="26"/>
        </w:rPr>
        <w:t> </w:t>
      </w:r>
      <w:r w:rsidR="00FC0125">
        <w:rPr>
          <w:rFonts w:cs="Times New Roman"/>
          <w:szCs w:val="26"/>
        </w:rPr>
        <w:t>(c)</w:t>
      </w:r>
      <w:r w:rsidR="00F365CC">
        <w:rPr>
          <w:rFonts w:cs="Times New Roman"/>
          <w:szCs w:val="26"/>
        </w:rPr>
        <w:t>.</w:t>
      </w:r>
      <w:r w:rsidR="00FC0125">
        <w:rPr>
          <w:rFonts w:cs="Times New Roman"/>
          <w:szCs w:val="26"/>
        </w:rPr>
        <w:t>)</w:t>
      </w:r>
      <w:r w:rsidR="00DF1866">
        <w:rPr>
          <w:rFonts w:cs="Times New Roman"/>
          <w:szCs w:val="26"/>
        </w:rPr>
        <w:t xml:space="preserve">  </w:t>
      </w:r>
      <w:r w:rsidR="00B86723">
        <w:rPr>
          <w:rFonts w:cs="Times New Roman"/>
          <w:szCs w:val="26"/>
        </w:rPr>
        <w:t>Th</w:t>
      </w:r>
      <w:r>
        <w:rPr>
          <w:rFonts w:cs="Times New Roman"/>
          <w:szCs w:val="26"/>
        </w:rPr>
        <w:t>at</w:t>
      </w:r>
      <w:r w:rsidR="00B86723">
        <w:rPr>
          <w:rFonts w:cs="Times New Roman"/>
          <w:szCs w:val="26"/>
        </w:rPr>
        <w:t xml:space="preserve"> language </w:t>
      </w:r>
      <w:r w:rsidR="00EE7E40">
        <w:rPr>
          <w:rFonts w:cs="Times New Roman"/>
          <w:szCs w:val="26"/>
        </w:rPr>
        <w:t>dovetails</w:t>
      </w:r>
      <w:r w:rsidR="004D3D91">
        <w:rPr>
          <w:rFonts w:cs="Times New Roman"/>
          <w:szCs w:val="26"/>
        </w:rPr>
        <w:t xml:space="preserve"> with</w:t>
      </w:r>
      <w:r w:rsidR="00B86723">
        <w:rPr>
          <w:rFonts w:cs="Times New Roman"/>
          <w:szCs w:val="26"/>
        </w:rPr>
        <w:t xml:space="preserve"> section 306, subdivision (a)(1), under which children “delivered by a peace officer” are received and maintained in “temporary custody” by the department. </w:t>
      </w:r>
      <w:r w:rsidR="00FA55B1">
        <w:rPr>
          <w:rFonts w:cs="Times New Roman"/>
          <w:szCs w:val="26"/>
        </w:rPr>
        <w:t xml:space="preserve"> Once an officer delivers </w:t>
      </w:r>
      <w:r w:rsidR="008772F4">
        <w:rPr>
          <w:rFonts w:cs="Times New Roman"/>
          <w:szCs w:val="26"/>
        </w:rPr>
        <w:t>a</w:t>
      </w:r>
      <w:r w:rsidR="00FA55B1">
        <w:rPr>
          <w:rFonts w:cs="Times New Roman"/>
          <w:szCs w:val="26"/>
        </w:rPr>
        <w:t xml:space="preserve"> child</w:t>
      </w:r>
      <w:r w:rsidR="008772F4">
        <w:rPr>
          <w:rFonts w:cs="Times New Roman"/>
          <w:szCs w:val="26"/>
        </w:rPr>
        <w:t xml:space="preserve"> to the social worker, the department maintains the child in temporary custody per section 306, subdivision (a)(1).</w:t>
      </w:r>
    </w:p>
    <w:bookmarkEnd w:id="5"/>
    <w:p w:rsidR="00FC0125" w:rsidP="00AB39DC" w14:paraId="3E6B14DB" w14:textId="54AD3260">
      <w:pPr>
        <w:ind w:firstLine="720"/>
        <w:rPr>
          <w:rFonts w:cs="Times New Roman"/>
          <w:szCs w:val="26"/>
        </w:rPr>
      </w:pPr>
      <w:r>
        <w:rPr>
          <w:rFonts w:cs="Times New Roman"/>
          <w:szCs w:val="26"/>
        </w:rPr>
        <w:t xml:space="preserve">Children can </w:t>
      </w:r>
      <w:r w:rsidR="009C6CB1">
        <w:rPr>
          <w:rFonts w:cs="Times New Roman"/>
          <w:szCs w:val="26"/>
        </w:rPr>
        <w:t>be placed in temporary custody</w:t>
      </w:r>
      <w:r>
        <w:rPr>
          <w:rFonts w:cs="Times New Roman"/>
          <w:szCs w:val="26"/>
        </w:rPr>
        <w:t xml:space="preserve"> two other ways</w:t>
      </w:r>
      <w:r w:rsidR="009C6CB1">
        <w:rPr>
          <w:rFonts w:cs="Times New Roman"/>
          <w:szCs w:val="26"/>
        </w:rPr>
        <w:t xml:space="preserve">.  </w:t>
      </w:r>
      <w:r w:rsidR="008D2572">
        <w:rPr>
          <w:rFonts w:cs="Times New Roman"/>
          <w:szCs w:val="26"/>
        </w:rPr>
        <w:t>I</w:t>
      </w:r>
      <w:r w:rsidR="00F365CC">
        <w:rPr>
          <w:rFonts w:cs="Times New Roman"/>
          <w:szCs w:val="26"/>
        </w:rPr>
        <w:t>n some circumstances, a</w:t>
      </w:r>
      <w:r w:rsidR="00DF1866">
        <w:rPr>
          <w:rFonts w:cs="Times New Roman"/>
          <w:szCs w:val="26"/>
        </w:rPr>
        <w:t xml:space="preserve"> peace officer may </w:t>
      </w:r>
      <w:r w:rsidR="00F365CC">
        <w:rPr>
          <w:rFonts w:cs="Times New Roman"/>
          <w:szCs w:val="26"/>
        </w:rPr>
        <w:t>take a minor into “temporary custody” without a warrant and contact the department to “assume custody” of the child.  (</w:t>
      </w:r>
      <w:r w:rsidR="005940ED">
        <w:rPr>
          <w:rFonts w:cs="Times New Roman"/>
          <w:szCs w:val="26"/>
        </w:rPr>
        <w:t>§ </w:t>
      </w:r>
      <w:r w:rsidR="00F365CC">
        <w:rPr>
          <w:rFonts w:cs="Times New Roman"/>
          <w:szCs w:val="26"/>
        </w:rPr>
        <w:t>305, subd. (a).)</w:t>
      </w:r>
      <w:r w:rsidR="008D2572">
        <w:rPr>
          <w:rFonts w:cs="Times New Roman"/>
          <w:szCs w:val="26"/>
        </w:rPr>
        <w:t xml:space="preserve">  Such a child would be received</w:t>
      </w:r>
      <w:r w:rsidR="008D2572">
        <w:t xml:space="preserve"> and maintained in temporary custody under section 306, subdivision (a)(1)</w:t>
      </w:r>
      <w:r w:rsidR="00EB1289">
        <w:t>,</w:t>
      </w:r>
      <w:r w:rsidR="008D2572">
        <w:t xml:space="preserve"> like those delivered after execution of a warrant.</w:t>
      </w:r>
      <w:r w:rsidR="00006242">
        <w:rPr>
          <w:rFonts w:cs="Times New Roman"/>
          <w:szCs w:val="26"/>
        </w:rPr>
        <w:t xml:space="preserve"> </w:t>
      </w:r>
      <w:r w:rsidR="00F365CC">
        <w:rPr>
          <w:rFonts w:cs="Times New Roman"/>
          <w:szCs w:val="26"/>
        </w:rPr>
        <w:t xml:space="preserve"> </w:t>
      </w:r>
      <w:r w:rsidR="008772F4">
        <w:rPr>
          <w:rFonts w:cs="Times New Roman"/>
          <w:szCs w:val="26"/>
        </w:rPr>
        <w:t>Also</w:t>
      </w:r>
      <w:r w:rsidR="008D2572">
        <w:rPr>
          <w:rFonts w:cs="Times New Roman"/>
          <w:szCs w:val="26"/>
        </w:rPr>
        <w:t>, a</w:t>
      </w:r>
      <w:r w:rsidR="00F365CC">
        <w:rPr>
          <w:rFonts w:cs="Times New Roman"/>
          <w:szCs w:val="26"/>
        </w:rPr>
        <w:t xml:space="preserve"> social worker, acting without a warrant and without the involvement of a police officer, may take a child </w:t>
      </w:r>
      <w:r w:rsidR="00DF1866">
        <w:rPr>
          <w:rFonts w:cs="Times New Roman"/>
          <w:szCs w:val="26"/>
        </w:rPr>
        <w:t xml:space="preserve">into “temporary custody” </w:t>
      </w:r>
      <w:r w:rsidR="00F365CC">
        <w:rPr>
          <w:rFonts w:cs="Times New Roman"/>
          <w:szCs w:val="26"/>
        </w:rPr>
        <w:t>under specified circumstances</w:t>
      </w:r>
      <w:r w:rsidR="00DF1866">
        <w:rPr>
          <w:rFonts w:cs="Times New Roman"/>
          <w:szCs w:val="26"/>
        </w:rPr>
        <w:t>.  (</w:t>
      </w:r>
      <w:r w:rsidR="005940ED">
        <w:rPr>
          <w:rFonts w:cs="Times New Roman"/>
          <w:szCs w:val="26"/>
        </w:rPr>
        <w:t>§ </w:t>
      </w:r>
      <w:r w:rsidR="00DF1866">
        <w:rPr>
          <w:rFonts w:cs="Times New Roman"/>
          <w:szCs w:val="26"/>
        </w:rPr>
        <w:t>30</w:t>
      </w:r>
      <w:r w:rsidR="00F365CC">
        <w:rPr>
          <w:rFonts w:cs="Times New Roman"/>
          <w:szCs w:val="26"/>
        </w:rPr>
        <w:t>6</w:t>
      </w:r>
      <w:r w:rsidR="00DF1866">
        <w:rPr>
          <w:rFonts w:cs="Times New Roman"/>
          <w:szCs w:val="26"/>
        </w:rPr>
        <w:t>, subd.</w:t>
      </w:r>
      <w:r w:rsidR="00100490">
        <w:rPr>
          <w:rFonts w:cs="Times New Roman"/>
          <w:szCs w:val="26"/>
        </w:rPr>
        <w:t> </w:t>
      </w:r>
      <w:r w:rsidR="00DF1866">
        <w:rPr>
          <w:rFonts w:cs="Times New Roman"/>
          <w:szCs w:val="26"/>
        </w:rPr>
        <w:t>(a)(2).)</w:t>
      </w:r>
      <w:r>
        <w:rPr>
          <w:rFonts w:cs="Times New Roman"/>
          <w:szCs w:val="26"/>
        </w:rPr>
        <w:t xml:space="preserve">  </w:t>
      </w:r>
      <w:r w:rsidR="008D2572">
        <w:rPr>
          <w:rFonts w:cs="Times New Roman"/>
          <w:szCs w:val="26"/>
        </w:rPr>
        <w:t>I</w:t>
      </w:r>
      <w:r w:rsidR="00EE7E40">
        <w:rPr>
          <w:rFonts w:cs="Times New Roman"/>
          <w:szCs w:val="26"/>
        </w:rPr>
        <w:t xml:space="preserve">n </w:t>
      </w:r>
      <w:r w:rsidR="005514C1">
        <w:rPr>
          <w:rFonts w:cs="Times New Roman"/>
          <w:szCs w:val="26"/>
        </w:rPr>
        <w:t>each of</w:t>
      </w:r>
      <w:r w:rsidR="00EE7E40">
        <w:rPr>
          <w:rFonts w:cs="Times New Roman"/>
          <w:szCs w:val="26"/>
        </w:rPr>
        <w:t xml:space="preserve"> </w:t>
      </w:r>
      <w:r w:rsidR="00FA221A">
        <w:rPr>
          <w:rFonts w:cs="Times New Roman"/>
          <w:szCs w:val="26"/>
        </w:rPr>
        <w:t>these circumstances,</w:t>
      </w:r>
      <w:r w:rsidR="00BC799A">
        <w:rPr>
          <w:rFonts w:cs="Times New Roman"/>
          <w:szCs w:val="26"/>
        </w:rPr>
        <w:t xml:space="preserve"> when children are first removed from their parents, they </w:t>
      </w:r>
      <w:r>
        <w:rPr>
          <w:rFonts w:cs="Times New Roman"/>
          <w:szCs w:val="26"/>
        </w:rPr>
        <w:t xml:space="preserve">are in </w:t>
      </w:r>
      <w:r w:rsidR="00F365CC">
        <w:rPr>
          <w:rFonts w:cs="Times New Roman"/>
          <w:szCs w:val="26"/>
        </w:rPr>
        <w:t>“</w:t>
      </w:r>
      <w:r>
        <w:rPr>
          <w:rFonts w:cs="Times New Roman"/>
          <w:szCs w:val="26"/>
        </w:rPr>
        <w:t>temporary custody</w:t>
      </w:r>
      <w:r w:rsidR="00F365CC">
        <w:rPr>
          <w:rFonts w:cs="Times New Roman"/>
          <w:szCs w:val="26"/>
        </w:rPr>
        <w:t>”</w:t>
      </w:r>
      <w:r w:rsidR="00C323A3">
        <w:rPr>
          <w:rFonts w:cs="Times New Roman"/>
          <w:szCs w:val="26"/>
        </w:rPr>
        <w:t xml:space="preserve"> until their hearing.</w:t>
      </w:r>
      <w:r w:rsidR="00BC799A">
        <w:rPr>
          <w:rFonts w:cs="Times New Roman"/>
          <w:szCs w:val="26"/>
        </w:rPr>
        <w:t xml:space="preserve"> </w:t>
      </w:r>
      <w:r w:rsidR="008D2572">
        <w:rPr>
          <w:rFonts w:cs="Times New Roman"/>
          <w:szCs w:val="26"/>
        </w:rPr>
        <w:t xml:space="preserve"> </w:t>
      </w:r>
      <w:r w:rsidR="00A65619">
        <w:rPr>
          <w:rFonts w:cs="Times New Roman"/>
          <w:szCs w:val="26"/>
        </w:rPr>
        <w:t>The important point is that—</w:t>
      </w:r>
      <w:r w:rsidR="00A84436">
        <w:rPr>
          <w:rFonts w:cs="Times New Roman"/>
          <w:szCs w:val="26"/>
        </w:rPr>
        <w:t>no matter how</w:t>
      </w:r>
      <w:r w:rsidR="008D2572">
        <w:rPr>
          <w:rFonts w:cs="Times New Roman"/>
          <w:szCs w:val="26"/>
        </w:rPr>
        <w:t xml:space="preserve"> they are placed in the department’s custody before a detention hearing</w:t>
      </w:r>
      <w:r w:rsidR="00C855E2">
        <w:rPr>
          <w:rFonts w:cs="Times New Roman"/>
          <w:szCs w:val="26"/>
        </w:rPr>
        <w:t>—</w:t>
      </w:r>
      <w:r w:rsidR="008D2572">
        <w:rPr>
          <w:rFonts w:cs="Times New Roman"/>
          <w:szCs w:val="26"/>
        </w:rPr>
        <w:t xml:space="preserve">children </w:t>
      </w:r>
      <w:r w:rsidR="00270F35">
        <w:rPr>
          <w:rFonts w:cs="Times New Roman"/>
          <w:szCs w:val="26"/>
        </w:rPr>
        <w:t xml:space="preserve">removed from home </w:t>
      </w:r>
      <w:r w:rsidR="00982567">
        <w:rPr>
          <w:rFonts w:cs="Times New Roman"/>
          <w:szCs w:val="26"/>
        </w:rPr>
        <w:t xml:space="preserve">before a detention hearing </w:t>
      </w:r>
      <w:r w:rsidR="008D2572">
        <w:rPr>
          <w:rFonts w:cs="Times New Roman"/>
          <w:szCs w:val="26"/>
        </w:rPr>
        <w:t xml:space="preserve">are treated identically </w:t>
      </w:r>
      <w:r w:rsidR="005946A8">
        <w:rPr>
          <w:rFonts w:cs="Times New Roman"/>
          <w:szCs w:val="26"/>
        </w:rPr>
        <w:t xml:space="preserve">both </w:t>
      </w:r>
      <w:r w:rsidR="008D2572">
        <w:rPr>
          <w:rFonts w:cs="Times New Roman"/>
          <w:szCs w:val="26"/>
        </w:rPr>
        <w:t>under the statutes and</w:t>
      </w:r>
      <w:r w:rsidR="00C323A3">
        <w:rPr>
          <w:rFonts w:cs="Times New Roman"/>
          <w:szCs w:val="26"/>
        </w:rPr>
        <w:t xml:space="preserve"> in practice</w:t>
      </w:r>
      <w:r w:rsidR="008D2572">
        <w:rPr>
          <w:rFonts w:cs="Times New Roman"/>
          <w:szCs w:val="26"/>
        </w:rPr>
        <w:t>.</w:t>
      </w:r>
      <w:r w:rsidR="00B54871">
        <w:rPr>
          <w:rFonts w:cs="Times New Roman"/>
          <w:szCs w:val="26"/>
        </w:rPr>
        <w:t xml:space="preserve">  Th</w:t>
      </w:r>
      <w:r w:rsidR="00D92607">
        <w:rPr>
          <w:rFonts w:cs="Times New Roman"/>
          <w:szCs w:val="26"/>
        </w:rPr>
        <w:t>e statutory interpretation could stop here</w:t>
      </w:r>
      <w:r w:rsidR="00182F85">
        <w:rPr>
          <w:rFonts w:cs="Times New Roman"/>
          <w:szCs w:val="26"/>
        </w:rPr>
        <w:t>:</w:t>
      </w:r>
      <w:r w:rsidR="00100490">
        <w:rPr>
          <w:rFonts w:cs="Times New Roman"/>
          <w:szCs w:val="26"/>
        </w:rPr>
        <w:t xml:space="preserve"> </w:t>
      </w:r>
      <w:r w:rsidR="00182F85">
        <w:rPr>
          <w:rFonts w:cs="Times New Roman"/>
          <w:szCs w:val="26"/>
        </w:rPr>
        <w:t xml:space="preserve"> all children awaiting a detention hearing are in </w:t>
      </w:r>
      <w:r w:rsidR="00227DC6">
        <w:rPr>
          <w:rFonts w:cs="Times New Roman"/>
          <w:szCs w:val="26"/>
        </w:rPr>
        <w:t xml:space="preserve">the department’s </w:t>
      </w:r>
      <w:r w:rsidR="00182F85">
        <w:rPr>
          <w:rFonts w:cs="Times New Roman"/>
          <w:szCs w:val="26"/>
        </w:rPr>
        <w:t>“te</w:t>
      </w:r>
      <w:r w:rsidR="00227DC6">
        <w:rPr>
          <w:rFonts w:cs="Times New Roman"/>
          <w:szCs w:val="26"/>
        </w:rPr>
        <w:t>mporary custody.”</w:t>
      </w:r>
      <w:r>
        <w:rPr>
          <w:rStyle w:val="FootnoteReference"/>
          <w:rFonts w:cs="Times New Roman"/>
          <w:szCs w:val="26"/>
        </w:rPr>
        <w:footnoteReference w:id="9"/>
      </w:r>
    </w:p>
    <w:p w:rsidR="00B97F24" w:rsidP="00AB39DC" w14:paraId="30EA90EB" w14:textId="7CC3D57F">
      <w:pPr>
        <w:ind w:firstLine="720"/>
        <w:rPr>
          <w:rFonts w:cs="Times New Roman"/>
          <w:szCs w:val="26"/>
        </w:rPr>
      </w:pPr>
      <w:r>
        <w:rPr>
          <w:rFonts w:cs="Times New Roman"/>
          <w:szCs w:val="26"/>
        </w:rPr>
        <w:t xml:space="preserve">The </w:t>
      </w:r>
      <w:r w:rsidRPr="00546B0B">
        <w:rPr>
          <w:rFonts w:cs="Times New Roman"/>
          <w:i/>
          <w:iCs/>
          <w:szCs w:val="26"/>
        </w:rPr>
        <w:t>Robert F</w:t>
      </w:r>
      <w:r>
        <w:rPr>
          <w:rFonts w:cs="Times New Roman"/>
          <w:szCs w:val="26"/>
        </w:rPr>
        <w:t>.</w:t>
      </w:r>
      <w:r w:rsidR="007E0D2F">
        <w:rPr>
          <w:rFonts w:cs="Times New Roman"/>
          <w:szCs w:val="26"/>
        </w:rPr>
        <w:t xml:space="preserve"> line of cases from our court</w:t>
      </w:r>
      <w:r w:rsidR="002D103B">
        <w:rPr>
          <w:rFonts w:cs="Times New Roman"/>
          <w:szCs w:val="26"/>
        </w:rPr>
        <w:t>, however, prompts us to say more.</w:t>
      </w:r>
      <w:r w:rsidR="007E0D2F">
        <w:rPr>
          <w:rFonts w:cs="Times New Roman"/>
          <w:szCs w:val="26"/>
        </w:rPr>
        <w:t xml:space="preserve"> </w:t>
      </w:r>
      <w:r w:rsidR="00006242">
        <w:rPr>
          <w:rFonts w:cs="Times New Roman"/>
          <w:szCs w:val="26"/>
        </w:rPr>
        <w:t xml:space="preserve"> </w:t>
      </w:r>
      <w:r w:rsidR="007E0D2F">
        <w:rPr>
          <w:rFonts w:cs="Times New Roman"/>
          <w:szCs w:val="26"/>
        </w:rPr>
        <w:t>Under that line of cases,</w:t>
      </w:r>
      <w:r w:rsidR="00006242">
        <w:rPr>
          <w:rFonts w:cs="Times New Roman"/>
          <w:szCs w:val="26"/>
        </w:rPr>
        <w:t xml:space="preserve"> </w:t>
      </w:r>
      <w:r w:rsidR="00134D42">
        <w:rPr>
          <w:rFonts w:cs="Times New Roman"/>
          <w:szCs w:val="26"/>
        </w:rPr>
        <w:t xml:space="preserve">“children in </w:t>
      </w:r>
      <w:r w:rsidR="005E650A">
        <w:rPr>
          <w:rFonts w:cs="Times New Roman"/>
          <w:szCs w:val="26"/>
        </w:rPr>
        <w:t>protective</w:t>
      </w:r>
      <w:r w:rsidR="00134D42">
        <w:rPr>
          <w:rFonts w:cs="Times New Roman"/>
          <w:szCs w:val="26"/>
        </w:rPr>
        <w:t xml:space="preserve"> custody under section 340” are not “in temporary custody within the meaning of section</w:t>
      </w:r>
      <w:r w:rsidR="005F66C6">
        <w:rPr>
          <w:rFonts w:cs="Times New Roman"/>
          <w:szCs w:val="26"/>
        </w:rPr>
        <w:t> </w:t>
      </w:r>
      <w:r w:rsidR="00134D42">
        <w:rPr>
          <w:rFonts w:cs="Times New Roman"/>
          <w:szCs w:val="26"/>
        </w:rPr>
        <w:t>306(a)(1).”  (</w:t>
      </w:r>
      <w:r w:rsidR="00134D42">
        <w:rPr>
          <w:i/>
          <w:iCs/>
        </w:rPr>
        <w:t>Andres R.</w:t>
      </w:r>
      <w:r w:rsidR="00DC1E63">
        <w:t xml:space="preserve">, </w:t>
      </w:r>
      <w:r w:rsidRPr="00AB39DC" w:rsidR="00DC1E63">
        <w:rPr>
          <w:i/>
          <w:iCs/>
        </w:rPr>
        <w:t>supra</w:t>
      </w:r>
      <w:r w:rsidR="00DC1E63">
        <w:t xml:space="preserve">, </w:t>
      </w:r>
      <w:r w:rsidR="005F66C6">
        <w:t>94</w:t>
      </w:r>
      <w:r w:rsidR="00134D42">
        <w:t xml:space="preserve"> Cal.App.5th </w:t>
      </w:r>
      <w:r w:rsidR="005E650A">
        <w:t xml:space="preserve">at </w:t>
      </w:r>
      <w:r w:rsidR="005F66C6">
        <w:t>p. 856</w:t>
      </w:r>
      <w:r w:rsidR="00134D42">
        <w:t>.)</w:t>
      </w:r>
      <w:r w:rsidR="00F365CC">
        <w:t xml:space="preserve">  </w:t>
      </w:r>
      <w:r w:rsidR="0094148D">
        <w:t>W</w:t>
      </w:r>
      <w:r w:rsidR="00006242">
        <w:rPr>
          <w:rFonts w:cs="Times New Roman"/>
          <w:szCs w:val="26"/>
        </w:rPr>
        <w:t>e find this distinction unconvincing</w:t>
      </w:r>
      <w:r w:rsidR="0094148D">
        <w:rPr>
          <w:rFonts w:cs="Times New Roman"/>
          <w:szCs w:val="26"/>
        </w:rPr>
        <w:t>.</w:t>
      </w:r>
      <w:r w:rsidR="00006242">
        <w:rPr>
          <w:rFonts w:cs="Times New Roman"/>
          <w:szCs w:val="26"/>
        </w:rPr>
        <w:t xml:space="preserve"> </w:t>
      </w:r>
      <w:r w:rsidR="0094148D">
        <w:rPr>
          <w:rFonts w:cs="Times New Roman"/>
          <w:szCs w:val="26"/>
        </w:rPr>
        <w:t xml:space="preserve"> T</w:t>
      </w:r>
      <w:r w:rsidR="00006242">
        <w:rPr>
          <w:rFonts w:cs="Times New Roman"/>
          <w:szCs w:val="26"/>
        </w:rPr>
        <w:t xml:space="preserve">he terms “protective custody” and “temporary custody” </w:t>
      </w:r>
      <w:r w:rsidR="005E650A">
        <w:rPr>
          <w:rFonts w:cs="Times New Roman"/>
          <w:szCs w:val="26"/>
        </w:rPr>
        <w:t xml:space="preserve">are not exclusive of each other.  </w:t>
      </w:r>
      <w:bookmarkStart w:id="6" w:name="_Hlk146119720"/>
      <w:r>
        <w:rPr>
          <w:rFonts w:cs="Times New Roman"/>
          <w:szCs w:val="26"/>
        </w:rPr>
        <w:t xml:space="preserve">Referring to children removed by warrant as </w:t>
      </w:r>
      <w:r w:rsidR="00A45149">
        <w:rPr>
          <w:rFonts w:cs="Times New Roman"/>
          <w:szCs w:val="26"/>
        </w:rPr>
        <w:t xml:space="preserve">being </w:t>
      </w:r>
      <w:r>
        <w:rPr>
          <w:rFonts w:cs="Times New Roman"/>
          <w:szCs w:val="26"/>
        </w:rPr>
        <w:t xml:space="preserve">in “protective custody” makes sense because the warrant is called a “protective custody warrant” </w:t>
      </w:r>
      <w:r w:rsidR="006765D8">
        <w:rPr>
          <w:rFonts w:cs="Times New Roman"/>
          <w:szCs w:val="26"/>
        </w:rPr>
        <w:t xml:space="preserve">and is the type of warrant issued in dependency proceedings.  By contrast, the type of warrant issued in delinquency proceedings is called an “arrest warrant.”  </w:t>
      </w:r>
      <w:bookmarkEnd w:id="6"/>
      <w:r>
        <w:rPr>
          <w:rFonts w:cs="Times New Roman"/>
          <w:szCs w:val="26"/>
        </w:rPr>
        <w:t xml:space="preserve">Protective custody is a general term used for various individuals (including children, witnesses, and the mentally infirm) who are in custody for their safety.  </w:t>
      </w:r>
      <w:r w:rsidR="00F02410">
        <w:rPr>
          <w:rFonts w:cs="Times New Roman"/>
          <w:szCs w:val="26"/>
        </w:rPr>
        <w:t>Such custody</w:t>
      </w:r>
      <w:r w:rsidR="00006242">
        <w:rPr>
          <w:rFonts w:cs="Times New Roman"/>
          <w:szCs w:val="26"/>
        </w:rPr>
        <w:t xml:space="preserve"> </w:t>
      </w:r>
      <w:r w:rsidR="001C3CF6">
        <w:rPr>
          <w:rFonts w:cs="Times New Roman"/>
          <w:szCs w:val="26"/>
        </w:rPr>
        <w:t>can be</w:t>
      </w:r>
      <w:r w:rsidR="00006242">
        <w:rPr>
          <w:rFonts w:cs="Times New Roman"/>
          <w:szCs w:val="26"/>
        </w:rPr>
        <w:t xml:space="preserve"> c</w:t>
      </w:r>
      <w:r>
        <w:rPr>
          <w:rFonts w:cs="Times New Roman"/>
          <w:szCs w:val="26"/>
        </w:rPr>
        <w:t>ontrast</w:t>
      </w:r>
      <w:r w:rsidR="00006242">
        <w:rPr>
          <w:rFonts w:cs="Times New Roman"/>
          <w:szCs w:val="26"/>
        </w:rPr>
        <w:t>ed with</w:t>
      </w:r>
      <w:r w:rsidRPr="004432C0">
        <w:rPr>
          <w:rFonts w:cs="Times New Roman"/>
          <w:szCs w:val="26"/>
        </w:rPr>
        <w:t xml:space="preserve"> “custody pending tria</w:t>
      </w:r>
      <w:r>
        <w:rPr>
          <w:rFonts w:cs="Times New Roman"/>
          <w:szCs w:val="26"/>
        </w:rPr>
        <w:t>l,</w:t>
      </w:r>
      <w:r w:rsidRPr="004432C0">
        <w:rPr>
          <w:rFonts w:cs="Times New Roman"/>
          <w:szCs w:val="26"/>
        </w:rPr>
        <w:t>”</w:t>
      </w:r>
      <w:r>
        <w:rPr>
          <w:rFonts w:cs="Times New Roman"/>
          <w:szCs w:val="26"/>
        </w:rPr>
        <w:t xml:space="preserve"> which </w:t>
      </w:r>
      <w:r w:rsidR="00D5453F">
        <w:rPr>
          <w:rFonts w:cs="Times New Roman"/>
          <w:szCs w:val="26"/>
        </w:rPr>
        <w:t xml:space="preserve">is </w:t>
      </w:r>
      <w:r w:rsidR="00C635C1">
        <w:rPr>
          <w:rFonts w:cs="Times New Roman"/>
          <w:szCs w:val="26"/>
        </w:rPr>
        <w:t>reserved</w:t>
      </w:r>
      <w:r w:rsidR="00D5453F">
        <w:rPr>
          <w:rFonts w:cs="Times New Roman"/>
          <w:szCs w:val="26"/>
        </w:rPr>
        <w:t xml:space="preserve"> for </w:t>
      </w:r>
      <w:r>
        <w:rPr>
          <w:rFonts w:cs="Times New Roman"/>
          <w:szCs w:val="26"/>
        </w:rPr>
        <w:t xml:space="preserve">those held pending a trial for their wrongdoing. </w:t>
      </w:r>
      <w:r w:rsidRPr="004432C0">
        <w:rPr>
          <w:rFonts w:cs="Times New Roman"/>
          <w:szCs w:val="26"/>
        </w:rPr>
        <w:t xml:space="preserve"> </w:t>
      </w:r>
    </w:p>
    <w:p w:rsidR="00B97F24" w:rsidP="00AB39DC" w14:paraId="31C65D51" w14:textId="2B6EA640">
      <w:pPr>
        <w:ind w:firstLine="720"/>
        <w:rPr>
          <w:rFonts w:cs="Times New Roman"/>
          <w:szCs w:val="26"/>
        </w:rPr>
      </w:pPr>
      <w:r>
        <w:rPr>
          <w:rFonts w:cs="Times New Roman"/>
          <w:szCs w:val="26"/>
        </w:rPr>
        <w:t>In dependency proceedings,</w:t>
      </w:r>
      <w:r w:rsidR="00F012C2">
        <w:rPr>
          <w:rFonts w:cs="Times New Roman"/>
          <w:szCs w:val="26"/>
        </w:rPr>
        <w:t xml:space="preserve"> c</w:t>
      </w:r>
      <w:r>
        <w:rPr>
          <w:rFonts w:cs="Times New Roman"/>
          <w:szCs w:val="26"/>
        </w:rPr>
        <w:t xml:space="preserve">hildren removed </w:t>
      </w:r>
      <w:r w:rsidRPr="00546B0B">
        <w:rPr>
          <w:rFonts w:cs="Times New Roman"/>
          <w:szCs w:val="26"/>
        </w:rPr>
        <w:t>without</w:t>
      </w:r>
      <w:r>
        <w:rPr>
          <w:rFonts w:cs="Times New Roman"/>
          <w:szCs w:val="26"/>
        </w:rPr>
        <w:t xml:space="preserve"> a warrant</w:t>
      </w:r>
      <w:r w:rsidR="00F012C2">
        <w:rPr>
          <w:rFonts w:cs="Times New Roman"/>
          <w:szCs w:val="26"/>
        </w:rPr>
        <w:t xml:space="preserve"> </w:t>
      </w:r>
      <w:r w:rsidR="00724442">
        <w:rPr>
          <w:rFonts w:cs="Times New Roman"/>
          <w:szCs w:val="26"/>
        </w:rPr>
        <w:t xml:space="preserve">are </w:t>
      </w:r>
      <w:r w:rsidRPr="00546B0B" w:rsidR="00F012C2">
        <w:rPr>
          <w:rFonts w:cs="Times New Roman"/>
          <w:i/>
          <w:iCs/>
          <w:szCs w:val="26"/>
        </w:rPr>
        <w:t>also</w:t>
      </w:r>
      <w:r>
        <w:rPr>
          <w:rFonts w:cs="Times New Roman"/>
          <w:szCs w:val="26"/>
        </w:rPr>
        <w:t xml:space="preserve"> </w:t>
      </w:r>
      <w:r w:rsidR="005E650A">
        <w:rPr>
          <w:rFonts w:cs="Times New Roman"/>
          <w:szCs w:val="26"/>
        </w:rPr>
        <w:t>described</w:t>
      </w:r>
      <w:r>
        <w:rPr>
          <w:rFonts w:cs="Times New Roman"/>
          <w:szCs w:val="26"/>
        </w:rPr>
        <w:t xml:space="preserve"> as </w:t>
      </w:r>
      <w:r w:rsidR="00724442">
        <w:rPr>
          <w:rFonts w:cs="Times New Roman"/>
          <w:szCs w:val="26"/>
        </w:rPr>
        <w:t xml:space="preserve">being </w:t>
      </w:r>
      <w:r>
        <w:rPr>
          <w:rFonts w:cs="Times New Roman"/>
          <w:szCs w:val="26"/>
        </w:rPr>
        <w:t xml:space="preserve">in “protective custody.” </w:t>
      </w:r>
      <w:r w:rsidR="0094148D">
        <w:rPr>
          <w:rFonts w:cs="Times New Roman"/>
          <w:szCs w:val="26"/>
        </w:rPr>
        <w:t xml:space="preserve"> </w:t>
      </w:r>
      <w:r w:rsidR="005940ED">
        <w:rPr>
          <w:rFonts w:cs="Times New Roman"/>
          <w:szCs w:val="26"/>
        </w:rPr>
        <w:t xml:space="preserve">Indeed, </w:t>
      </w:r>
      <w:r w:rsidR="00873EC4">
        <w:rPr>
          <w:rFonts w:cs="Times New Roman"/>
          <w:szCs w:val="26"/>
        </w:rPr>
        <w:t>a</w:t>
      </w:r>
      <w:r w:rsidR="008C376E">
        <w:rPr>
          <w:rFonts w:cs="Times New Roman"/>
          <w:szCs w:val="26"/>
        </w:rPr>
        <w:t>rticle 7</w:t>
      </w:r>
      <w:r w:rsidRPr="00F02985">
        <w:rPr>
          <w:rFonts w:cs="Times New Roman"/>
          <w:szCs w:val="26"/>
        </w:rPr>
        <w:t xml:space="preserve"> of the Welfare and Institutions Code</w:t>
      </w:r>
      <w:r w:rsidR="008C376E">
        <w:rPr>
          <w:rFonts w:cs="Times New Roman"/>
          <w:szCs w:val="26"/>
        </w:rPr>
        <w:t>, which</w:t>
      </w:r>
      <w:r w:rsidRPr="00F02985">
        <w:rPr>
          <w:rFonts w:cs="Times New Roman"/>
          <w:szCs w:val="26"/>
        </w:rPr>
        <w:t xml:space="preserve"> houses section</w:t>
      </w:r>
      <w:r w:rsidR="005F66C6">
        <w:rPr>
          <w:rFonts w:cs="Times New Roman"/>
          <w:szCs w:val="26"/>
        </w:rPr>
        <w:t> </w:t>
      </w:r>
      <w:r w:rsidRPr="00F02985">
        <w:rPr>
          <w:rFonts w:cs="Times New Roman"/>
          <w:szCs w:val="26"/>
        </w:rPr>
        <w:t>306</w:t>
      </w:r>
      <w:r w:rsidR="008C376E">
        <w:rPr>
          <w:rFonts w:cs="Times New Roman"/>
          <w:szCs w:val="26"/>
        </w:rPr>
        <w:t>,</w:t>
      </w:r>
      <w:r w:rsidRPr="00F02985">
        <w:rPr>
          <w:rFonts w:cs="Times New Roman"/>
          <w:szCs w:val="26"/>
        </w:rPr>
        <w:t xml:space="preserve"> </w:t>
      </w:r>
      <w:r>
        <w:rPr>
          <w:rFonts w:cs="Times New Roman"/>
          <w:szCs w:val="26"/>
        </w:rPr>
        <w:t>refers to children placed in temporary custody</w:t>
      </w:r>
      <w:r w:rsidRPr="00F02985">
        <w:rPr>
          <w:rFonts w:cs="Times New Roman"/>
          <w:szCs w:val="26"/>
        </w:rPr>
        <w:t xml:space="preserve"> </w:t>
      </w:r>
      <w:r>
        <w:rPr>
          <w:rFonts w:cs="Times New Roman"/>
          <w:szCs w:val="26"/>
        </w:rPr>
        <w:t xml:space="preserve">under section 306 as </w:t>
      </w:r>
      <w:r w:rsidR="00953ECF">
        <w:rPr>
          <w:rFonts w:cs="Times New Roman"/>
          <w:szCs w:val="26"/>
        </w:rPr>
        <w:t xml:space="preserve">being </w:t>
      </w:r>
      <w:r>
        <w:rPr>
          <w:rFonts w:cs="Times New Roman"/>
          <w:szCs w:val="26"/>
        </w:rPr>
        <w:t xml:space="preserve">in </w:t>
      </w:r>
      <w:r w:rsidRPr="00F02985">
        <w:rPr>
          <w:rFonts w:cs="Times New Roman"/>
          <w:szCs w:val="26"/>
        </w:rPr>
        <w:t>“protective custody</w:t>
      </w:r>
      <w:r>
        <w:rPr>
          <w:rFonts w:cs="Times New Roman"/>
          <w:szCs w:val="26"/>
        </w:rPr>
        <w:t>.”</w:t>
      </w:r>
      <w:r w:rsidRPr="00F02985">
        <w:rPr>
          <w:rFonts w:cs="Times New Roman"/>
          <w:szCs w:val="26"/>
        </w:rPr>
        <w:t xml:space="preserve">  </w:t>
      </w:r>
      <w:r>
        <w:rPr>
          <w:rFonts w:cs="Times New Roman"/>
          <w:szCs w:val="26"/>
        </w:rPr>
        <w:t xml:space="preserve">The </w:t>
      </w:r>
      <w:r w:rsidRPr="00F02985">
        <w:rPr>
          <w:rFonts w:cs="Times New Roman"/>
          <w:szCs w:val="26"/>
        </w:rPr>
        <w:t xml:space="preserve">statute </w:t>
      </w:r>
      <w:r w:rsidR="00724442">
        <w:rPr>
          <w:rFonts w:cs="Times New Roman"/>
          <w:szCs w:val="26"/>
        </w:rPr>
        <w:t>directs</w:t>
      </w:r>
      <w:r w:rsidRPr="00F02985" w:rsidR="00724442">
        <w:rPr>
          <w:rFonts w:cs="Times New Roman"/>
          <w:szCs w:val="26"/>
        </w:rPr>
        <w:t xml:space="preserve"> </w:t>
      </w:r>
      <w:r w:rsidRPr="00F02985">
        <w:rPr>
          <w:rFonts w:cs="Times New Roman"/>
          <w:szCs w:val="26"/>
        </w:rPr>
        <w:t xml:space="preserve">that when an authority “takes into </w:t>
      </w:r>
      <w:r w:rsidRPr="00F02985">
        <w:rPr>
          <w:rFonts w:cs="Times New Roman"/>
          <w:i/>
          <w:iCs/>
          <w:szCs w:val="26"/>
        </w:rPr>
        <w:t>temporary</w:t>
      </w:r>
      <w:r w:rsidRPr="00F02985">
        <w:rPr>
          <w:rFonts w:cs="Times New Roman"/>
          <w:szCs w:val="26"/>
        </w:rPr>
        <w:t xml:space="preserve"> custody” a minor </w:t>
      </w:r>
      <w:r w:rsidR="00724442">
        <w:rPr>
          <w:rFonts w:cs="Times New Roman"/>
          <w:szCs w:val="26"/>
        </w:rPr>
        <w:t>under</w:t>
      </w:r>
      <w:r w:rsidRPr="00F02985" w:rsidR="00724442">
        <w:rPr>
          <w:rFonts w:cs="Times New Roman"/>
          <w:szCs w:val="26"/>
        </w:rPr>
        <w:t xml:space="preserve"> </w:t>
      </w:r>
      <w:r>
        <w:rPr>
          <w:rFonts w:cs="Times New Roman"/>
          <w:szCs w:val="26"/>
        </w:rPr>
        <w:t xml:space="preserve">the </w:t>
      </w:r>
      <w:r w:rsidRPr="00F02985">
        <w:rPr>
          <w:rFonts w:cs="Times New Roman"/>
          <w:szCs w:val="26"/>
        </w:rPr>
        <w:t xml:space="preserve">sections (305 through 307) </w:t>
      </w:r>
      <w:r w:rsidR="005940ED">
        <w:rPr>
          <w:rFonts w:cs="Times New Roman"/>
          <w:szCs w:val="26"/>
        </w:rPr>
        <w:t>that</w:t>
      </w:r>
      <w:r w:rsidRPr="00F02985" w:rsidR="005940ED">
        <w:rPr>
          <w:rFonts w:cs="Times New Roman"/>
          <w:szCs w:val="26"/>
        </w:rPr>
        <w:t xml:space="preserve"> </w:t>
      </w:r>
      <w:r w:rsidRPr="00F02985">
        <w:rPr>
          <w:rFonts w:cs="Times New Roman"/>
          <w:szCs w:val="26"/>
        </w:rPr>
        <w:t>authorize removals without warrants, the authorit</w:t>
      </w:r>
      <w:r w:rsidR="00724442">
        <w:rPr>
          <w:rFonts w:cs="Times New Roman"/>
          <w:szCs w:val="26"/>
        </w:rPr>
        <w:t>y</w:t>
      </w:r>
      <w:r w:rsidRPr="00F02985">
        <w:rPr>
          <w:rFonts w:cs="Times New Roman"/>
          <w:szCs w:val="26"/>
        </w:rPr>
        <w:t xml:space="preserve"> </w:t>
      </w:r>
      <w:r w:rsidR="00724442">
        <w:rPr>
          <w:rFonts w:cs="Times New Roman"/>
          <w:szCs w:val="26"/>
        </w:rPr>
        <w:t>must</w:t>
      </w:r>
      <w:r w:rsidRPr="00F02985">
        <w:rPr>
          <w:rFonts w:cs="Times New Roman"/>
          <w:szCs w:val="26"/>
        </w:rPr>
        <w:t xml:space="preserve"> inform the parents that the child “has been taken into </w:t>
      </w:r>
      <w:r w:rsidRPr="00F02985">
        <w:rPr>
          <w:rFonts w:cs="Times New Roman"/>
          <w:i/>
          <w:iCs/>
          <w:szCs w:val="26"/>
        </w:rPr>
        <w:t>protective</w:t>
      </w:r>
      <w:r w:rsidRPr="00F02985">
        <w:rPr>
          <w:rFonts w:cs="Times New Roman"/>
          <w:szCs w:val="26"/>
        </w:rPr>
        <w:t xml:space="preserve"> custody.”  (</w:t>
      </w:r>
      <w:r w:rsidR="005940ED">
        <w:rPr>
          <w:rFonts w:cs="Times New Roman"/>
          <w:szCs w:val="26"/>
        </w:rPr>
        <w:t>§ </w:t>
      </w:r>
      <w:r w:rsidRPr="00F02985">
        <w:rPr>
          <w:rFonts w:cs="Times New Roman"/>
          <w:szCs w:val="26"/>
        </w:rPr>
        <w:t>307.4, subd. (a)</w:t>
      </w:r>
      <w:r w:rsidR="005F66C6">
        <w:rPr>
          <w:rFonts w:cs="Times New Roman"/>
          <w:szCs w:val="26"/>
        </w:rPr>
        <w:t xml:space="preserve">, </w:t>
      </w:r>
      <w:r w:rsidR="0094148D">
        <w:rPr>
          <w:rFonts w:cs="Times New Roman"/>
          <w:szCs w:val="26"/>
        </w:rPr>
        <w:t>italics</w:t>
      </w:r>
      <w:r w:rsidRPr="00F02985">
        <w:rPr>
          <w:rFonts w:cs="Times New Roman"/>
          <w:szCs w:val="26"/>
        </w:rPr>
        <w:t xml:space="preserve"> added.)  </w:t>
      </w:r>
      <w:r w:rsidR="00B17B74">
        <w:rPr>
          <w:rFonts w:cs="Times New Roman"/>
          <w:szCs w:val="26"/>
        </w:rPr>
        <w:t>Accordingly, a</w:t>
      </w:r>
      <w:r w:rsidR="00BC6D8E">
        <w:rPr>
          <w:rFonts w:cs="Times New Roman"/>
          <w:szCs w:val="26"/>
        </w:rPr>
        <w:t>ll children in temporary custody are in protective custody, that is, custody for their safety.</w:t>
      </w:r>
    </w:p>
    <w:p w:rsidR="00B97F24" w:rsidP="00AB39DC" w14:paraId="21F6AD04" w14:textId="218097FA">
      <w:pPr>
        <w:ind w:firstLine="720"/>
        <w:rPr>
          <w:rFonts w:cs="Times New Roman"/>
          <w:szCs w:val="26"/>
        </w:rPr>
      </w:pPr>
      <w:r>
        <w:rPr>
          <w:rFonts w:cs="Times New Roman"/>
          <w:szCs w:val="26"/>
        </w:rPr>
        <w:t xml:space="preserve">Thus, as </w:t>
      </w:r>
      <w:r w:rsidRPr="004432C0">
        <w:rPr>
          <w:rFonts w:cs="Times New Roman"/>
          <w:szCs w:val="26"/>
        </w:rPr>
        <w:t>the term is used</w:t>
      </w:r>
      <w:r>
        <w:rPr>
          <w:rFonts w:cs="Times New Roman"/>
          <w:szCs w:val="26"/>
        </w:rPr>
        <w:t xml:space="preserve"> in section 306</w:t>
      </w:r>
      <w:r w:rsidRPr="004432C0">
        <w:rPr>
          <w:rFonts w:cs="Times New Roman"/>
          <w:szCs w:val="26"/>
        </w:rPr>
        <w:t xml:space="preserve">, “temporary custody” </w:t>
      </w:r>
      <w:r w:rsidR="00F012C2">
        <w:rPr>
          <w:rFonts w:cs="Times New Roman"/>
          <w:szCs w:val="26"/>
        </w:rPr>
        <w:t>does not</w:t>
      </w:r>
      <w:r>
        <w:rPr>
          <w:rFonts w:cs="Times New Roman"/>
          <w:szCs w:val="26"/>
        </w:rPr>
        <w:t xml:space="preserve"> stand in opposition to “protective custody.”  </w:t>
      </w:r>
      <w:r w:rsidR="003C3E9F">
        <w:rPr>
          <w:rFonts w:cs="Times New Roman"/>
          <w:szCs w:val="26"/>
        </w:rPr>
        <w:t>Rather, the term reflects that</w:t>
      </w:r>
      <w:r w:rsidR="008C376E">
        <w:rPr>
          <w:rFonts w:cs="Times New Roman"/>
          <w:szCs w:val="26"/>
        </w:rPr>
        <w:t xml:space="preserve"> </w:t>
      </w:r>
      <w:r w:rsidRPr="004432C0" w:rsidR="008C376E">
        <w:rPr>
          <w:rFonts w:cs="Times New Roman"/>
          <w:szCs w:val="26"/>
        </w:rPr>
        <w:t xml:space="preserve">a child </w:t>
      </w:r>
      <w:r w:rsidR="008C376E">
        <w:rPr>
          <w:rFonts w:cs="Times New Roman"/>
          <w:szCs w:val="26"/>
        </w:rPr>
        <w:t xml:space="preserve">is </w:t>
      </w:r>
      <w:r w:rsidRPr="004432C0" w:rsidR="008C376E">
        <w:rPr>
          <w:rFonts w:cs="Times New Roman"/>
          <w:szCs w:val="26"/>
        </w:rPr>
        <w:t xml:space="preserve">being held </w:t>
      </w:r>
      <w:r w:rsidR="008C376E">
        <w:rPr>
          <w:rFonts w:cs="Times New Roman"/>
          <w:szCs w:val="26"/>
        </w:rPr>
        <w:t>for a</w:t>
      </w:r>
      <w:r w:rsidRPr="004432C0" w:rsidR="008C376E">
        <w:rPr>
          <w:rFonts w:cs="Times New Roman"/>
          <w:szCs w:val="26"/>
        </w:rPr>
        <w:t xml:space="preserve"> short period before a detention hearing</w:t>
      </w:r>
      <w:r w:rsidR="008C376E">
        <w:rPr>
          <w:rFonts w:cs="Times New Roman"/>
          <w:szCs w:val="26"/>
        </w:rPr>
        <w:t xml:space="preserve">, </w:t>
      </w:r>
      <w:r>
        <w:rPr>
          <w:rFonts w:cs="Times New Roman"/>
          <w:szCs w:val="26"/>
        </w:rPr>
        <w:t xml:space="preserve">something </w:t>
      </w:r>
      <w:r w:rsidR="00724442">
        <w:rPr>
          <w:rFonts w:cs="Times New Roman"/>
          <w:szCs w:val="26"/>
        </w:rPr>
        <w:t xml:space="preserve">distinct </w:t>
      </w:r>
      <w:r w:rsidR="008C376E">
        <w:rPr>
          <w:rFonts w:cs="Times New Roman"/>
          <w:szCs w:val="26"/>
        </w:rPr>
        <w:t>from</w:t>
      </w:r>
      <w:r w:rsidR="00EA0D50">
        <w:rPr>
          <w:rFonts w:cs="Times New Roman"/>
          <w:szCs w:val="26"/>
        </w:rPr>
        <w:t>,</w:t>
      </w:r>
      <w:r w:rsidR="008C376E">
        <w:rPr>
          <w:rFonts w:cs="Times New Roman"/>
          <w:szCs w:val="26"/>
        </w:rPr>
        <w:t xml:space="preserve"> </w:t>
      </w:r>
      <w:r w:rsidR="00EA0D50">
        <w:rPr>
          <w:rFonts w:cs="Times New Roman"/>
          <w:szCs w:val="26"/>
        </w:rPr>
        <w:t>though</w:t>
      </w:r>
      <w:r w:rsidR="008C376E">
        <w:rPr>
          <w:rFonts w:cs="Times New Roman"/>
          <w:szCs w:val="26"/>
        </w:rPr>
        <w:t xml:space="preserve"> overlapping with</w:t>
      </w:r>
      <w:r w:rsidR="00EA0D50">
        <w:rPr>
          <w:rFonts w:cs="Times New Roman"/>
          <w:szCs w:val="26"/>
        </w:rPr>
        <w:t>,</w:t>
      </w:r>
      <w:r w:rsidR="008C376E">
        <w:rPr>
          <w:rFonts w:cs="Times New Roman"/>
          <w:szCs w:val="26"/>
        </w:rPr>
        <w:t xml:space="preserve"> protective custody</w:t>
      </w:r>
      <w:r w:rsidRPr="004432C0">
        <w:rPr>
          <w:rFonts w:cs="Times New Roman"/>
          <w:szCs w:val="26"/>
        </w:rPr>
        <w:t xml:space="preserve">.  </w:t>
      </w:r>
      <w:r w:rsidR="008C376E">
        <w:rPr>
          <w:rFonts w:cs="Times New Roman"/>
          <w:szCs w:val="26"/>
        </w:rPr>
        <w:t>This custody is temporary because a</w:t>
      </w:r>
      <w:r w:rsidRPr="004432C0">
        <w:rPr>
          <w:rFonts w:cs="Times New Roman"/>
          <w:szCs w:val="26"/>
        </w:rPr>
        <w:t xml:space="preserve">fter </w:t>
      </w:r>
      <w:r w:rsidR="008C376E">
        <w:rPr>
          <w:rFonts w:cs="Times New Roman"/>
          <w:szCs w:val="26"/>
        </w:rPr>
        <w:t>the detention</w:t>
      </w:r>
      <w:r w:rsidRPr="004432C0">
        <w:rPr>
          <w:rFonts w:cs="Times New Roman"/>
          <w:szCs w:val="26"/>
        </w:rPr>
        <w:t xml:space="preserve"> hearing the child is either returned to </w:t>
      </w:r>
      <w:r w:rsidR="008C376E">
        <w:rPr>
          <w:rFonts w:cs="Times New Roman"/>
          <w:szCs w:val="26"/>
        </w:rPr>
        <w:t>their</w:t>
      </w:r>
      <w:r w:rsidRPr="004432C0">
        <w:rPr>
          <w:rFonts w:cs="Times New Roman"/>
          <w:szCs w:val="26"/>
        </w:rPr>
        <w:t xml:space="preserve"> parents or </w:t>
      </w:r>
      <w:r>
        <w:rPr>
          <w:rFonts w:cs="Times New Roman"/>
          <w:szCs w:val="26"/>
        </w:rPr>
        <w:t>detained on a non-temporary basis, until otherwise ordered by the juvenile court</w:t>
      </w:r>
      <w:r w:rsidRPr="004432C0">
        <w:rPr>
          <w:rFonts w:cs="Times New Roman"/>
          <w:szCs w:val="26"/>
        </w:rPr>
        <w:t xml:space="preserve">.  </w:t>
      </w:r>
      <w:r>
        <w:rPr>
          <w:rFonts w:cs="Times New Roman"/>
          <w:szCs w:val="26"/>
        </w:rPr>
        <w:t>Children removed with and without warrants are treated identical</w:t>
      </w:r>
      <w:r w:rsidR="00CE12CC">
        <w:rPr>
          <w:rFonts w:cs="Times New Roman"/>
          <w:szCs w:val="26"/>
        </w:rPr>
        <w:t>ly</w:t>
      </w:r>
      <w:r>
        <w:rPr>
          <w:rFonts w:cs="Times New Roman"/>
          <w:szCs w:val="26"/>
        </w:rPr>
        <w:t xml:space="preserve"> in this process.</w:t>
      </w:r>
    </w:p>
    <w:p w:rsidR="00B97F24" w:rsidP="00AB39DC" w14:paraId="0F583BF6" w14:textId="4A1B2A66">
      <w:pPr>
        <w:ind w:firstLine="720"/>
        <w:rPr>
          <w:rFonts w:cs="Times New Roman"/>
          <w:szCs w:val="26"/>
        </w:rPr>
      </w:pPr>
      <w:r w:rsidRPr="00F02985">
        <w:rPr>
          <w:rFonts w:cs="Times New Roman"/>
          <w:szCs w:val="26"/>
        </w:rPr>
        <w:t>In th</w:t>
      </w:r>
      <w:r>
        <w:rPr>
          <w:rFonts w:cs="Times New Roman"/>
          <w:szCs w:val="26"/>
        </w:rPr>
        <w:t>is</w:t>
      </w:r>
      <w:r w:rsidRPr="00F02985">
        <w:rPr>
          <w:rFonts w:cs="Times New Roman"/>
          <w:szCs w:val="26"/>
        </w:rPr>
        <w:t xml:space="preserve"> vein, though </w:t>
      </w:r>
      <w:r w:rsidR="00873EC4">
        <w:rPr>
          <w:rFonts w:cs="Times New Roman"/>
          <w:szCs w:val="26"/>
        </w:rPr>
        <w:t>a</w:t>
      </w:r>
      <w:r w:rsidRPr="00F02985">
        <w:rPr>
          <w:rFonts w:cs="Times New Roman"/>
          <w:szCs w:val="26"/>
        </w:rPr>
        <w:t xml:space="preserve">rticle 7 contains </w:t>
      </w:r>
      <w:r>
        <w:rPr>
          <w:rFonts w:cs="Times New Roman"/>
          <w:szCs w:val="26"/>
        </w:rPr>
        <w:t>all its</w:t>
      </w:r>
      <w:r w:rsidRPr="00F02985">
        <w:rPr>
          <w:rFonts w:cs="Times New Roman"/>
          <w:szCs w:val="26"/>
        </w:rPr>
        <w:t xml:space="preserve"> sections under </w:t>
      </w:r>
      <w:r>
        <w:rPr>
          <w:rFonts w:cs="Times New Roman"/>
          <w:szCs w:val="26"/>
        </w:rPr>
        <w:t xml:space="preserve">the </w:t>
      </w:r>
      <w:r w:rsidRPr="00F02985">
        <w:rPr>
          <w:rFonts w:cs="Times New Roman"/>
          <w:szCs w:val="26"/>
        </w:rPr>
        <w:t xml:space="preserve">heading “temporary custody and detention,” it </w:t>
      </w:r>
      <w:r w:rsidR="008C376E">
        <w:rPr>
          <w:rFonts w:cs="Times New Roman"/>
          <w:szCs w:val="26"/>
        </w:rPr>
        <w:t xml:space="preserve">still </w:t>
      </w:r>
      <w:r w:rsidR="00CC695D">
        <w:rPr>
          <w:rFonts w:cs="Times New Roman"/>
          <w:szCs w:val="26"/>
        </w:rPr>
        <w:t>refers to</w:t>
      </w:r>
      <w:r w:rsidRPr="00F02985">
        <w:rPr>
          <w:rFonts w:cs="Times New Roman"/>
          <w:szCs w:val="26"/>
        </w:rPr>
        <w:t xml:space="preserve"> “protective custody” to include </w:t>
      </w:r>
      <w:r>
        <w:rPr>
          <w:rFonts w:cs="Times New Roman"/>
          <w:szCs w:val="26"/>
        </w:rPr>
        <w:t>children</w:t>
      </w:r>
      <w:r w:rsidRPr="00F02985">
        <w:rPr>
          <w:rFonts w:cs="Times New Roman"/>
          <w:szCs w:val="26"/>
        </w:rPr>
        <w:t xml:space="preserve"> in custody without a warrant.</w:t>
      </w:r>
      <w:r w:rsidR="00BC6D8E">
        <w:rPr>
          <w:rFonts w:cs="Times New Roman"/>
          <w:szCs w:val="26"/>
        </w:rPr>
        <w:t xml:space="preserve">  </w:t>
      </w:r>
      <w:r w:rsidRPr="00F02985" w:rsidR="00BC6D8E">
        <w:rPr>
          <w:rFonts w:cs="Times New Roman"/>
          <w:szCs w:val="26"/>
        </w:rPr>
        <w:t xml:space="preserve">A medical examination is required when a child who is allegedly a victim of physical or sexual abuse “is taken into </w:t>
      </w:r>
      <w:r w:rsidRPr="00F02985" w:rsidR="00BC6D8E">
        <w:rPr>
          <w:rFonts w:cs="Times New Roman"/>
          <w:i/>
          <w:iCs/>
          <w:szCs w:val="26"/>
        </w:rPr>
        <w:t>protective</w:t>
      </w:r>
      <w:r w:rsidRPr="00F02985" w:rsidR="00BC6D8E">
        <w:rPr>
          <w:rFonts w:cs="Times New Roman"/>
          <w:szCs w:val="26"/>
        </w:rPr>
        <w:t xml:space="preserve"> custody.”  (</w:t>
      </w:r>
      <w:r w:rsidR="00BC6D8E">
        <w:rPr>
          <w:rFonts w:cs="Times New Roman"/>
          <w:szCs w:val="26"/>
        </w:rPr>
        <w:t>§ </w:t>
      </w:r>
      <w:r w:rsidRPr="00F02985" w:rsidR="00BC6D8E">
        <w:rPr>
          <w:rFonts w:cs="Times New Roman"/>
          <w:szCs w:val="26"/>
        </w:rPr>
        <w:t>324.5</w:t>
      </w:r>
      <w:r w:rsidR="00BC6D8E">
        <w:rPr>
          <w:rFonts w:cs="Times New Roman"/>
          <w:szCs w:val="26"/>
        </w:rPr>
        <w:t>, subd. (a), italics</w:t>
      </w:r>
      <w:r w:rsidRPr="00F02985" w:rsidR="00BC6D8E">
        <w:rPr>
          <w:rFonts w:cs="Times New Roman"/>
          <w:szCs w:val="26"/>
        </w:rPr>
        <w:t xml:space="preserve"> added.)  No one would read </w:t>
      </w:r>
      <w:r w:rsidR="00BC6D8E">
        <w:rPr>
          <w:rFonts w:cs="Times New Roman"/>
          <w:szCs w:val="26"/>
        </w:rPr>
        <w:t xml:space="preserve">that </w:t>
      </w:r>
      <w:r w:rsidRPr="00F02985" w:rsidR="00BC6D8E">
        <w:rPr>
          <w:rFonts w:cs="Times New Roman"/>
          <w:szCs w:val="26"/>
        </w:rPr>
        <w:t>provision as applying only to children removed by warrant.</w:t>
      </w:r>
      <w:r w:rsidRPr="00F02985">
        <w:rPr>
          <w:rFonts w:cs="Times New Roman"/>
          <w:szCs w:val="26"/>
        </w:rPr>
        <w:t xml:space="preserve">  </w:t>
      </w:r>
      <w:r w:rsidR="00B17B74">
        <w:rPr>
          <w:rFonts w:cs="Times New Roman"/>
          <w:szCs w:val="26"/>
        </w:rPr>
        <w:t xml:space="preserve">Again, </w:t>
      </w:r>
      <w:r w:rsidR="00100490">
        <w:rPr>
          <w:rFonts w:cs="Times New Roman"/>
          <w:szCs w:val="26"/>
        </w:rPr>
        <w:t>“t</w:t>
      </w:r>
      <w:r w:rsidRPr="00F02985">
        <w:rPr>
          <w:rFonts w:cs="Times New Roman"/>
          <w:szCs w:val="26"/>
        </w:rPr>
        <w:t xml:space="preserve">emporary custody” </w:t>
      </w:r>
      <w:r w:rsidR="000F7144">
        <w:rPr>
          <w:rFonts w:cs="Times New Roman"/>
          <w:szCs w:val="26"/>
        </w:rPr>
        <w:t>while</w:t>
      </w:r>
      <w:r w:rsidRPr="00F02985">
        <w:rPr>
          <w:rFonts w:cs="Times New Roman"/>
          <w:szCs w:val="26"/>
        </w:rPr>
        <w:t xml:space="preserve"> </w:t>
      </w:r>
      <w:r w:rsidR="000F7144">
        <w:rPr>
          <w:rFonts w:cs="Times New Roman"/>
          <w:szCs w:val="26"/>
        </w:rPr>
        <w:t>a child awaits</w:t>
      </w:r>
      <w:r>
        <w:rPr>
          <w:rFonts w:cs="Times New Roman"/>
          <w:szCs w:val="26"/>
        </w:rPr>
        <w:t xml:space="preserve"> a</w:t>
      </w:r>
      <w:r w:rsidRPr="00F02985">
        <w:rPr>
          <w:rFonts w:cs="Times New Roman"/>
          <w:szCs w:val="26"/>
        </w:rPr>
        <w:t xml:space="preserve"> detention hearing </w:t>
      </w:r>
      <w:r w:rsidRPr="00AB39DC" w:rsidR="0094148D">
        <w:rPr>
          <w:rFonts w:cs="Times New Roman"/>
          <w:i/>
          <w:iCs/>
          <w:szCs w:val="26"/>
        </w:rPr>
        <w:t>is</w:t>
      </w:r>
      <w:r w:rsidRPr="00F02985">
        <w:rPr>
          <w:rFonts w:cs="Times New Roman"/>
          <w:szCs w:val="26"/>
        </w:rPr>
        <w:t xml:space="preserve"> “protective custody</w:t>
      </w:r>
      <w:r w:rsidR="008C376E">
        <w:rPr>
          <w:rFonts w:cs="Times New Roman"/>
          <w:szCs w:val="26"/>
        </w:rPr>
        <w:t>,</w:t>
      </w:r>
      <w:r w:rsidRPr="00F02985">
        <w:rPr>
          <w:rFonts w:cs="Times New Roman"/>
          <w:szCs w:val="26"/>
        </w:rPr>
        <w:t>”</w:t>
      </w:r>
      <w:r>
        <w:rPr>
          <w:rFonts w:cs="Times New Roman"/>
          <w:szCs w:val="26"/>
        </w:rPr>
        <w:t xml:space="preserve"> </w:t>
      </w:r>
      <w:r w:rsidR="0094148D">
        <w:rPr>
          <w:rFonts w:cs="Times New Roman"/>
          <w:szCs w:val="26"/>
        </w:rPr>
        <w:t>since the</w:t>
      </w:r>
      <w:r>
        <w:rPr>
          <w:rFonts w:cs="Times New Roman"/>
          <w:szCs w:val="26"/>
        </w:rPr>
        <w:t xml:space="preserve"> children are in custody for their safety.</w:t>
      </w:r>
    </w:p>
    <w:p w:rsidR="005539F7" w:rsidP="007D181A" w14:paraId="42001DE2" w14:textId="61019199">
      <w:pPr>
        <w:ind w:firstLine="720"/>
        <w:rPr>
          <w:rFonts w:cs="Times New Roman"/>
          <w:szCs w:val="26"/>
        </w:rPr>
      </w:pPr>
      <w:bookmarkStart w:id="7" w:name="_Hlk151140727"/>
      <w:r>
        <w:rPr>
          <w:rFonts w:cs="Times New Roman"/>
          <w:szCs w:val="26"/>
        </w:rPr>
        <w:t xml:space="preserve">Interpreting “protective custody” as </w:t>
      </w:r>
      <w:r w:rsidR="00C441ED">
        <w:rPr>
          <w:rFonts w:cs="Times New Roman"/>
          <w:szCs w:val="26"/>
        </w:rPr>
        <w:t xml:space="preserve">a status exclusive </w:t>
      </w:r>
      <w:r w:rsidR="00AF6E65">
        <w:rPr>
          <w:rFonts w:cs="Times New Roman"/>
          <w:szCs w:val="26"/>
        </w:rPr>
        <w:t>of</w:t>
      </w:r>
      <w:r w:rsidR="00C441ED">
        <w:rPr>
          <w:rFonts w:cs="Times New Roman"/>
          <w:szCs w:val="26"/>
        </w:rPr>
        <w:t xml:space="preserve"> “temporary custody” </w:t>
      </w:r>
      <w:r>
        <w:rPr>
          <w:rFonts w:cs="Times New Roman"/>
          <w:szCs w:val="26"/>
        </w:rPr>
        <w:t xml:space="preserve">also </w:t>
      </w:r>
      <w:r w:rsidR="00FF7D00">
        <w:rPr>
          <w:rFonts w:cs="Times New Roman"/>
          <w:szCs w:val="26"/>
        </w:rPr>
        <w:t>creates discord with other provisions</w:t>
      </w:r>
      <w:r w:rsidR="00325793">
        <w:rPr>
          <w:rFonts w:cs="Times New Roman"/>
          <w:szCs w:val="26"/>
        </w:rPr>
        <w:t>.</w:t>
      </w:r>
      <w:r w:rsidR="00ED32BB">
        <w:rPr>
          <w:rFonts w:cs="Times New Roman"/>
          <w:szCs w:val="26"/>
        </w:rPr>
        <w:t xml:space="preserve"> </w:t>
      </w:r>
      <w:r>
        <w:rPr>
          <w:rFonts w:cs="Times New Roman"/>
          <w:szCs w:val="26"/>
        </w:rPr>
        <w:t xml:space="preserve"> For example</w:t>
      </w:r>
      <w:r w:rsidR="00856C2F">
        <w:rPr>
          <w:rFonts w:cs="Times New Roman"/>
          <w:szCs w:val="26"/>
        </w:rPr>
        <w:t>,</w:t>
      </w:r>
      <w:r>
        <w:rPr>
          <w:rFonts w:cs="Times New Roman"/>
          <w:szCs w:val="26"/>
        </w:rPr>
        <w:t xml:space="preserve"> </w:t>
      </w:r>
      <w:r w:rsidR="0094148D">
        <w:rPr>
          <w:rFonts w:cs="Times New Roman"/>
          <w:szCs w:val="26"/>
        </w:rPr>
        <w:t>s</w:t>
      </w:r>
      <w:r w:rsidR="00B97F24">
        <w:rPr>
          <w:rFonts w:cs="Times New Roman"/>
          <w:szCs w:val="26"/>
        </w:rPr>
        <w:t>ection 306, subdivision (d)</w:t>
      </w:r>
      <w:r w:rsidR="00750055">
        <w:rPr>
          <w:rFonts w:cs="Times New Roman"/>
          <w:szCs w:val="26"/>
        </w:rPr>
        <w:t xml:space="preserve">, enacted by Assembly Bill </w:t>
      </w:r>
      <w:r w:rsidR="0025143D">
        <w:rPr>
          <w:rFonts w:cs="Times New Roman"/>
          <w:szCs w:val="26"/>
        </w:rPr>
        <w:t xml:space="preserve">No. </w:t>
      </w:r>
      <w:r w:rsidR="00750055">
        <w:rPr>
          <w:rFonts w:cs="Times New Roman"/>
          <w:szCs w:val="26"/>
        </w:rPr>
        <w:t>3176</w:t>
      </w:r>
      <w:r w:rsidR="006E0F5A">
        <w:rPr>
          <w:rFonts w:cs="Times New Roman"/>
          <w:szCs w:val="26"/>
        </w:rPr>
        <w:t xml:space="preserve"> (Stats. 2018, ch. 833, § 19)</w:t>
      </w:r>
      <w:r w:rsidR="00750055">
        <w:rPr>
          <w:rFonts w:cs="Times New Roman"/>
          <w:szCs w:val="26"/>
        </w:rPr>
        <w:t xml:space="preserve">, </w:t>
      </w:r>
      <w:r w:rsidR="00514C27">
        <w:rPr>
          <w:rFonts w:cs="Times New Roman"/>
          <w:szCs w:val="26"/>
        </w:rPr>
        <w:t xml:space="preserve">obviously applies to all children in pre-detention custody, </w:t>
      </w:r>
      <w:r w:rsidR="003F4CEB">
        <w:rPr>
          <w:rFonts w:cs="Times New Roman"/>
          <w:szCs w:val="26"/>
        </w:rPr>
        <w:t>and</w:t>
      </w:r>
      <w:r w:rsidR="00514C27">
        <w:rPr>
          <w:rFonts w:cs="Times New Roman"/>
          <w:szCs w:val="26"/>
        </w:rPr>
        <w:t xml:space="preserve"> it uses the term “temporary custody.”  </w:t>
      </w:r>
      <w:r w:rsidR="00832254">
        <w:rPr>
          <w:rFonts w:cs="Times New Roman"/>
          <w:szCs w:val="26"/>
        </w:rPr>
        <w:t xml:space="preserve">That subdivision requires quick contact of tribes where they may have exclusive jurisdiction over a removed child.  </w:t>
      </w:r>
      <w:r w:rsidR="00514C27">
        <w:rPr>
          <w:rFonts w:cs="Times New Roman"/>
          <w:szCs w:val="26"/>
        </w:rPr>
        <w:t xml:space="preserve">It </w:t>
      </w:r>
      <w:r w:rsidR="00B97F24">
        <w:rPr>
          <w:rFonts w:cs="Times New Roman"/>
          <w:szCs w:val="26"/>
        </w:rPr>
        <w:t xml:space="preserve">requires </w:t>
      </w:r>
      <w:r w:rsidR="006C70B5">
        <w:rPr>
          <w:rFonts w:cs="Times New Roman"/>
          <w:szCs w:val="26"/>
        </w:rPr>
        <w:t xml:space="preserve">that “[i]f </w:t>
      </w:r>
      <w:r w:rsidRPr="006C70B5" w:rsidR="006C70B5">
        <w:rPr>
          <w:rFonts w:cs="Times New Roman"/>
          <w:szCs w:val="26"/>
        </w:rPr>
        <w:t>a county social worker takes or maintains an Indian child into temporary custody under subdivision (a)</w:t>
      </w:r>
      <w:r w:rsidR="006C70B5">
        <w:rPr>
          <w:rFonts w:cs="Times New Roman"/>
          <w:szCs w:val="26"/>
        </w:rPr>
        <w:t>, and . . . knows or has reason to believe,” the</w:t>
      </w:r>
      <w:r w:rsidR="00B97F24">
        <w:rPr>
          <w:rFonts w:cs="Times New Roman"/>
          <w:szCs w:val="26"/>
        </w:rPr>
        <w:t xml:space="preserve"> child is domiciled on a reservation, or is a ward of a tribal court</w:t>
      </w:r>
      <w:r w:rsidR="006C70B5">
        <w:rPr>
          <w:rFonts w:cs="Times New Roman"/>
          <w:szCs w:val="26"/>
        </w:rPr>
        <w:t>, the department must “</w:t>
      </w:r>
      <w:r w:rsidRPr="006C70B5" w:rsidR="006C70B5">
        <w:rPr>
          <w:rFonts w:cs="Times New Roman"/>
          <w:szCs w:val="26"/>
        </w:rPr>
        <w:t>notify the tribe that the child was taken into temporary custody no later than the next working day</w:t>
      </w:r>
      <w:r w:rsidR="0094148D">
        <w:rPr>
          <w:rFonts w:cs="Times New Roman"/>
          <w:szCs w:val="26"/>
        </w:rPr>
        <w:t>”</w:t>
      </w:r>
      <w:r w:rsidR="003D3BBD">
        <w:rPr>
          <w:rFonts w:cs="Times New Roman"/>
          <w:szCs w:val="26"/>
        </w:rPr>
        <w:t xml:space="preserve"> (§ 306, subd.</w:t>
      </w:r>
      <w:r w:rsidR="006E0F5A">
        <w:rPr>
          <w:rFonts w:cs="Times New Roman"/>
          <w:szCs w:val="26"/>
        </w:rPr>
        <w:t> </w:t>
      </w:r>
      <w:r w:rsidR="003D3BBD">
        <w:rPr>
          <w:rFonts w:cs="Times New Roman"/>
          <w:szCs w:val="26"/>
        </w:rPr>
        <w:t>(d))</w:t>
      </w:r>
      <w:r w:rsidR="006C70B5">
        <w:rPr>
          <w:rFonts w:cs="Times New Roman"/>
          <w:szCs w:val="26"/>
        </w:rPr>
        <w:t>—to vindicate the tribe’s rights</w:t>
      </w:r>
      <w:r w:rsidR="00B97F24">
        <w:rPr>
          <w:rFonts w:cs="Times New Roman"/>
          <w:szCs w:val="26"/>
        </w:rPr>
        <w:t>.  Because tribes have exclusive jurisdiction over such children pursuant to 25 U</w:t>
      </w:r>
      <w:r w:rsidR="00873EC4">
        <w:rPr>
          <w:rFonts w:cs="Times New Roman"/>
          <w:szCs w:val="26"/>
        </w:rPr>
        <w:t>nited States Code</w:t>
      </w:r>
      <w:r w:rsidR="00B97F24">
        <w:rPr>
          <w:rFonts w:cs="Times New Roman"/>
          <w:szCs w:val="26"/>
        </w:rPr>
        <w:t xml:space="preserve"> </w:t>
      </w:r>
      <w:r w:rsidR="00873EC4">
        <w:rPr>
          <w:rFonts w:cs="Times New Roman"/>
          <w:szCs w:val="26"/>
        </w:rPr>
        <w:t>section</w:t>
      </w:r>
      <w:r w:rsidR="005940ED">
        <w:rPr>
          <w:rFonts w:cs="Times New Roman"/>
          <w:szCs w:val="26"/>
        </w:rPr>
        <w:t> </w:t>
      </w:r>
      <w:r w:rsidR="00B97F24">
        <w:rPr>
          <w:rFonts w:cs="Times New Roman"/>
          <w:szCs w:val="26"/>
        </w:rPr>
        <w:t xml:space="preserve">1911, the provision </w:t>
      </w:r>
      <w:r w:rsidR="00B17B74">
        <w:rPr>
          <w:rFonts w:cs="Times New Roman"/>
          <w:szCs w:val="26"/>
        </w:rPr>
        <w:t xml:space="preserve">was </w:t>
      </w:r>
      <w:r w:rsidR="00B97F24">
        <w:rPr>
          <w:rFonts w:cs="Times New Roman"/>
          <w:szCs w:val="26"/>
        </w:rPr>
        <w:t xml:space="preserve">intended to apply to all </w:t>
      </w:r>
      <w:r w:rsidR="00B16F2B">
        <w:rPr>
          <w:rFonts w:cs="Times New Roman"/>
          <w:szCs w:val="26"/>
        </w:rPr>
        <w:t xml:space="preserve">such </w:t>
      </w:r>
      <w:r w:rsidR="00B97F24">
        <w:rPr>
          <w:rFonts w:cs="Times New Roman"/>
          <w:szCs w:val="26"/>
        </w:rPr>
        <w:t xml:space="preserve">children </w:t>
      </w:r>
      <w:r w:rsidR="00B16F2B">
        <w:rPr>
          <w:rFonts w:cs="Times New Roman"/>
          <w:szCs w:val="26"/>
        </w:rPr>
        <w:t>in pre-petition removal, regardless of how removed</w:t>
      </w:r>
      <w:r w:rsidR="00B97F24">
        <w:rPr>
          <w:rFonts w:cs="Times New Roman"/>
          <w:szCs w:val="26"/>
        </w:rPr>
        <w:t>.</w:t>
      </w:r>
      <w:r w:rsidRPr="00394B04" w:rsidR="0025143D">
        <w:t xml:space="preserve"> </w:t>
      </w:r>
      <w:r w:rsidR="00E12D46">
        <w:t xml:space="preserve"> </w:t>
      </w:r>
      <w:r w:rsidR="00B97F24">
        <w:rPr>
          <w:rFonts w:cs="Times New Roman"/>
          <w:szCs w:val="26"/>
        </w:rPr>
        <w:t xml:space="preserve">Whether the child was removed by warrant has nothing to do with the tribe’s exclusive jurisdiction over such a case.  </w:t>
      </w:r>
      <w:r w:rsidR="003F4CEB">
        <w:rPr>
          <w:rFonts w:cs="Times New Roman"/>
          <w:szCs w:val="26"/>
        </w:rPr>
        <w:t>T</w:t>
      </w:r>
      <w:r w:rsidR="00B97F24">
        <w:rPr>
          <w:rFonts w:cs="Times New Roman"/>
          <w:szCs w:val="26"/>
        </w:rPr>
        <w:t>he Legislature</w:t>
      </w:r>
      <w:r w:rsidR="003F4CEB">
        <w:rPr>
          <w:rFonts w:cs="Times New Roman"/>
          <w:szCs w:val="26"/>
        </w:rPr>
        <w:t>’s</w:t>
      </w:r>
      <w:r w:rsidR="00B97F24">
        <w:rPr>
          <w:rFonts w:cs="Times New Roman"/>
          <w:szCs w:val="26"/>
        </w:rPr>
        <w:t xml:space="preserve"> use</w:t>
      </w:r>
      <w:r w:rsidR="003F4CEB">
        <w:rPr>
          <w:rFonts w:cs="Times New Roman"/>
          <w:szCs w:val="26"/>
        </w:rPr>
        <w:t xml:space="preserve"> of</w:t>
      </w:r>
      <w:r w:rsidR="00B97F24">
        <w:rPr>
          <w:rFonts w:cs="Times New Roman"/>
          <w:szCs w:val="26"/>
        </w:rPr>
        <w:t xml:space="preserve"> the term “temporary custody” in section 306, subdivision (d)</w:t>
      </w:r>
      <w:r w:rsidR="00B75E94">
        <w:rPr>
          <w:rFonts w:cs="Times New Roman"/>
          <w:szCs w:val="26"/>
        </w:rPr>
        <w:t>,</w:t>
      </w:r>
      <w:r w:rsidR="00B97F24">
        <w:rPr>
          <w:rFonts w:cs="Times New Roman"/>
          <w:szCs w:val="26"/>
        </w:rPr>
        <w:t xml:space="preserve"> further </w:t>
      </w:r>
      <w:r w:rsidR="00CE12CC">
        <w:rPr>
          <w:rFonts w:cs="Times New Roman"/>
          <w:szCs w:val="26"/>
        </w:rPr>
        <w:t>indicates</w:t>
      </w:r>
      <w:r w:rsidR="00B97F24">
        <w:rPr>
          <w:rFonts w:cs="Times New Roman"/>
          <w:szCs w:val="26"/>
        </w:rPr>
        <w:t xml:space="preserve"> that it views those children delivered after removal by warrant to be in temporary custody under section 306.  The alternative </w:t>
      </w:r>
      <w:r w:rsidR="006C70B5">
        <w:rPr>
          <w:rFonts w:cs="Times New Roman"/>
          <w:szCs w:val="26"/>
        </w:rPr>
        <w:t>interpretation—</w:t>
      </w:r>
      <w:r w:rsidR="00B97F24">
        <w:rPr>
          <w:rFonts w:cs="Times New Roman"/>
          <w:szCs w:val="26"/>
        </w:rPr>
        <w:t xml:space="preserve">that </w:t>
      </w:r>
      <w:r w:rsidR="00495144">
        <w:rPr>
          <w:rFonts w:cs="Times New Roman"/>
          <w:szCs w:val="26"/>
        </w:rPr>
        <w:t>section 306, subdivision (d)</w:t>
      </w:r>
      <w:r w:rsidR="00B75E94">
        <w:rPr>
          <w:rFonts w:cs="Times New Roman"/>
          <w:szCs w:val="26"/>
        </w:rPr>
        <w:t>,</w:t>
      </w:r>
      <w:r w:rsidR="00B97F24">
        <w:rPr>
          <w:rFonts w:cs="Times New Roman"/>
          <w:szCs w:val="26"/>
        </w:rPr>
        <w:t xml:space="preserve"> applies only to children removed without warrants</w:t>
      </w:r>
      <w:r w:rsidR="006C70B5">
        <w:rPr>
          <w:rFonts w:cs="Times New Roman"/>
          <w:szCs w:val="26"/>
        </w:rPr>
        <w:t>—</w:t>
      </w:r>
      <w:r w:rsidR="000052E0">
        <w:rPr>
          <w:rFonts w:cs="Times New Roman"/>
          <w:szCs w:val="26"/>
        </w:rPr>
        <w:t xml:space="preserve">is </w:t>
      </w:r>
      <w:r w:rsidR="005A6A25">
        <w:rPr>
          <w:rFonts w:cs="Times New Roman"/>
          <w:szCs w:val="26"/>
        </w:rPr>
        <w:t>not a tenable</w:t>
      </w:r>
      <w:r w:rsidR="00B97F24">
        <w:rPr>
          <w:rFonts w:cs="Times New Roman"/>
          <w:szCs w:val="26"/>
        </w:rPr>
        <w:t xml:space="preserve"> construction of a provision concerning tribal exclusive jurisdiction.</w:t>
      </w:r>
      <w:r w:rsidR="00600CAC">
        <w:rPr>
          <w:rFonts w:cs="Times New Roman"/>
          <w:szCs w:val="26"/>
        </w:rPr>
        <w:t xml:space="preserve">  </w:t>
      </w:r>
      <w:bookmarkEnd w:id="7"/>
    </w:p>
    <w:p w:rsidR="007D2E0D" w:rsidRPr="007D181A" w:rsidP="007D181A" w14:paraId="5C5944FC" w14:textId="5834AE68">
      <w:pPr>
        <w:ind w:firstLine="720"/>
        <w:rPr>
          <w:rFonts w:cs="Times New Roman"/>
          <w:szCs w:val="26"/>
        </w:rPr>
      </w:pPr>
      <w:r>
        <w:rPr>
          <w:rFonts w:cs="Times New Roman"/>
          <w:szCs w:val="26"/>
        </w:rPr>
        <w:t>Yet</w:t>
      </w:r>
      <w:r w:rsidR="00514C27">
        <w:rPr>
          <w:rFonts w:cs="Times New Roman"/>
          <w:szCs w:val="26"/>
        </w:rPr>
        <w:t xml:space="preserve"> another provision provides parental notification procedures for “custody pursuant to this article” that would not sensibly be read to exclude those brought into custody by warrant.  (</w:t>
      </w:r>
      <w:r w:rsidR="00600CAC">
        <w:rPr>
          <w:rFonts w:cs="Times New Roman"/>
          <w:szCs w:val="26"/>
        </w:rPr>
        <w:t>§ 308</w:t>
      </w:r>
      <w:r w:rsidR="00A15B6D">
        <w:rPr>
          <w:rFonts w:cs="Times New Roman"/>
          <w:szCs w:val="26"/>
        </w:rPr>
        <w:t>, subd. (a)</w:t>
      </w:r>
      <w:r w:rsidR="00E55FEB">
        <w:rPr>
          <w:rFonts w:cs="Times New Roman"/>
          <w:szCs w:val="26"/>
        </w:rPr>
        <w:t>.</w:t>
      </w:r>
      <w:r w:rsidR="00A75E45">
        <w:rPr>
          <w:rFonts w:cs="Times New Roman"/>
          <w:szCs w:val="26"/>
        </w:rPr>
        <w:t>)</w:t>
      </w:r>
      <w:r w:rsidR="00E55FEB">
        <w:rPr>
          <w:rFonts w:cs="Times New Roman"/>
          <w:szCs w:val="26"/>
        </w:rPr>
        <w:t xml:space="preserve">  </w:t>
      </w:r>
      <w:r w:rsidR="00433F61">
        <w:rPr>
          <w:rFonts w:cs="Times New Roman"/>
          <w:szCs w:val="26"/>
        </w:rPr>
        <w:t xml:space="preserve">Under </w:t>
      </w:r>
      <w:r>
        <w:rPr>
          <w:rFonts w:cs="Times New Roman"/>
          <w:szCs w:val="26"/>
        </w:rPr>
        <w:t>still</w:t>
      </w:r>
      <w:r w:rsidR="00514C27">
        <w:rPr>
          <w:rFonts w:cs="Times New Roman"/>
          <w:szCs w:val="26"/>
        </w:rPr>
        <w:t xml:space="preserve"> another</w:t>
      </w:r>
      <w:r w:rsidR="00433F61">
        <w:rPr>
          <w:rFonts w:cs="Times New Roman"/>
          <w:szCs w:val="26"/>
        </w:rPr>
        <w:t xml:space="preserve"> provision,</w:t>
      </w:r>
      <w:r w:rsidR="00E55FEB">
        <w:rPr>
          <w:rFonts w:cs="Times New Roman"/>
          <w:szCs w:val="26"/>
        </w:rPr>
        <w:t xml:space="preserve"> a</w:t>
      </w:r>
      <w:r w:rsidR="00B21BA6">
        <w:rPr>
          <w:rFonts w:cs="Times New Roman"/>
          <w:szCs w:val="26"/>
        </w:rPr>
        <w:t>t a</w:t>
      </w:r>
      <w:r w:rsidR="00E55FEB">
        <w:rPr>
          <w:rFonts w:cs="Times New Roman"/>
          <w:szCs w:val="26"/>
        </w:rPr>
        <w:t xml:space="preserve"> detention hearing</w:t>
      </w:r>
      <w:r w:rsidR="00B21BA6">
        <w:rPr>
          <w:rFonts w:cs="Times New Roman"/>
          <w:szCs w:val="26"/>
        </w:rPr>
        <w:t xml:space="preserve"> where there is reason to know a child is Indian</w:t>
      </w:r>
      <w:r w:rsidR="00E55FEB">
        <w:rPr>
          <w:rFonts w:cs="Times New Roman"/>
          <w:szCs w:val="26"/>
        </w:rPr>
        <w:t>, the department</w:t>
      </w:r>
      <w:r w:rsidR="00B21BA6">
        <w:rPr>
          <w:rFonts w:cs="Times New Roman"/>
          <w:szCs w:val="26"/>
        </w:rPr>
        <w:t xml:space="preserve"> </w:t>
      </w:r>
      <w:r w:rsidR="00433F61">
        <w:rPr>
          <w:rFonts w:cs="Times New Roman"/>
          <w:szCs w:val="26"/>
        </w:rPr>
        <w:t>must</w:t>
      </w:r>
      <w:r w:rsidR="00E55FEB">
        <w:rPr>
          <w:rFonts w:cs="Times New Roman"/>
          <w:szCs w:val="26"/>
        </w:rPr>
        <w:t xml:space="preserve"> provide a report accounting for the circumstances </w:t>
      </w:r>
      <w:r w:rsidR="00B21BA6">
        <w:rPr>
          <w:rFonts w:cs="Times New Roman"/>
          <w:szCs w:val="26"/>
        </w:rPr>
        <w:t>causing the child to be taken into “temporary custody.”  (</w:t>
      </w:r>
      <w:r w:rsidR="007D181A">
        <w:rPr>
          <w:rFonts w:cs="Times New Roman"/>
          <w:szCs w:val="26"/>
        </w:rPr>
        <w:t>§ 319, subd. (b)(7)</w:t>
      </w:r>
      <w:r w:rsidR="00B21BA6">
        <w:rPr>
          <w:rFonts w:cs="Times New Roman"/>
          <w:szCs w:val="26"/>
        </w:rPr>
        <w:t>.</w:t>
      </w:r>
      <w:r w:rsidR="007D181A">
        <w:t>)</w:t>
      </w:r>
      <w:r w:rsidR="00B21BA6">
        <w:t xml:space="preserve">  That again indicates that the </w:t>
      </w:r>
      <w:r w:rsidR="006E0F5A">
        <w:t>L</w:t>
      </w:r>
      <w:r w:rsidR="00B21BA6">
        <w:t xml:space="preserve">egislature </w:t>
      </w:r>
      <w:r w:rsidR="00E05854">
        <w:t>views</w:t>
      </w:r>
      <w:r w:rsidR="00B21BA6">
        <w:t xml:space="preserve"> all children held before that hearing as </w:t>
      </w:r>
      <w:r w:rsidR="00E05854">
        <w:t xml:space="preserve">being </w:t>
      </w:r>
      <w:r w:rsidR="00B21BA6">
        <w:t>in temporary custody.</w:t>
      </w:r>
    </w:p>
    <w:p w:rsidR="00B97F24" w:rsidRPr="00F02985" w:rsidP="008C7846" w14:paraId="0D7AA699" w14:textId="7AD76AEE">
      <w:pPr>
        <w:ind w:firstLine="720"/>
        <w:rPr>
          <w:rFonts w:cs="Times New Roman"/>
          <w:szCs w:val="26"/>
        </w:rPr>
      </w:pPr>
      <w:r>
        <w:rPr>
          <w:rFonts w:cs="Times New Roman"/>
          <w:szCs w:val="26"/>
        </w:rPr>
        <w:t>“</w:t>
      </w:r>
      <w:r w:rsidR="00624F18">
        <w:rPr>
          <w:rFonts w:cs="Times New Roman"/>
          <w:szCs w:val="26"/>
        </w:rPr>
        <w:t>T</w:t>
      </w:r>
      <w:r>
        <w:rPr>
          <w:rFonts w:cs="Times New Roman"/>
          <w:szCs w:val="26"/>
        </w:rPr>
        <w:t xml:space="preserve">emporary custody” </w:t>
      </w:r>
      <w:r w:rsidR="002E30C1">
        <w:rPr>
          <w:rFonts w:cs="Times New Roman"/>
          <w:szCs w:val="26"/>
        </w:rPr>
        <w:t xml:space="preserve">is </w:t>
      </w:r>
      <w:r w:rsidR="00AF6859">
        <w:rPr>
          <w:rFonts w:cs="Times New Roman"/>
          <w:szCs w:val="26"/>
        </w:rPr>
        <w:t xml:space="preserve">also </w:t>
      </w:r>
      <w:r>
        <w:rPr>
          <w:rFonts w:cs="Times New Roman"/>
          <w:szCs w:val="26"/>
        </w:rPr>
        <w:t xml:space="preserve">used outside </w:t>
      </w:r>
      <w:r w:rsidR="00873EC4">
        <w:rPr>
          <w:rFonts w:cs="Times New Roman"/>
          <w:szCs w:val="26"/>
        </w:rPr>
        <w:t>a</w:t>
      </w:r>
      <w:r>
        <w:rPr>
          <w:rFonts w:cs="Times New Roman"/>
          <w:szCs w:val="26"/>
        </w:rPr>
        <w:t>rticle 7</w:t>
      </w:r>
      <w:r w:rsidR="002E30C1">
        <w:rPr>
          <w:rFonts w:cs="Times New Roman"/>
          <w:szCs w:val="26"/>
        </w:rPr>
        <w:t xml:space="preserve"> in ways that would lead to absurd results </w:t>
      </w:r>
      <w:r w:rsidR="00FB05AE">
        <w:rPr>
          <w:rFonts w:cs="Times New Roman"/>
          <w:szCs w:val="26"/>
        </w:rPr>
        <w:t>if</w:t>
      </w:r>
      <w:r>
        <w:rPr>
          <w:rFonts w:cs="Times New Roman"/>
          <w:szCs w:val="26"/>
        </w:rPr>
        <w:t xml:space="preserve"> interpret</w:t>
      </w:r>
      <w:r w:rsidR="00AF6859">
        <w:rPr>
          <w:rFonts w:cs="Times New Roman"/>
          <w:szCs w:val="26"/>
        </w:rPr>
        <w:t>ed</w:t>
      </w:r>
      <w:r>
        <w:rPr>
          <w:rFonts w:cs="Times New Roman"/>
          <w:szCs w:val="26"/>
        </w:rPr>
        <w:t xml:space="preserve"> </w:t>
      </w:r>
      <w:r w:rsidR="00AF6859">
        <w:rPr>
          <w:rFonts w:cs="Times New Roman"/>
          <w:szCs w:val="26"/>
        </w:rPr>
        <w:t>as</w:t>
      </w:r>
      <w:r>
        <w:rPr>
          <w:rFonts w:cs="Times New Roman"/>
          <w:szCs w:val="26"/>
        </w:rPr>
        <w:t xml:space="preserve"> exclusive </w:t>
      </w:r>
      <w:r w:rsidR="008C7846">
        <w:rPr>
          <w:rFonts w:cs="Times New Roman"/>
          <w:szCs w:val="26"/>
        </w:rPr>
        <w:t>of</w:t>
      </w:r>
      <w:r>
        <w:rPr>
          <w:rFonts w:cs="Times New Roman"/>
          <w:szCs w:val="26"/>
        </w:rPr>
        <w:t xml:space="preserve"> “protective custody</w:t>
      </w:r>
      <w:r w:rsidR="00AF6859">
        <w:rPr>
          <w:rFonts w:cs="Times New Roman"/>
          <w:szCs w:val="26"/>
        </w:rPr>
        <w:t>.</w:t>
      </w:r>
      <w:r>
        <w:rPr>
          <w:rFonts w:cs="Times New Roman"/>
          <w:szCs w:val="26"/>
        </w:rPr>
        <w:t xml:space="preserve">” </w:t>
      </w:r>
      <w:r w:rsidR="00873EC4">
        <w:rPr>
          <w:rFonts w:cs="Times New Roman"/>
          <w:szCs w:val="26"/>
        </w:rPr>
        <w:t xml:space="preserve"> </w:t>
      </w:r>
      <w:r>
        <w:rPr>
          <w:rFonts w:cs="Times New Roman"/>
          <w:szCs w:val="26"/>
        </w:rPr>
        <w:t>For example, t</w:t>
      </w:r>
      <w:r w:rsidRPr="00F02985">
        <w:rPr>
          <w:rFonts w:cs="Times New Roman"/>
          <w:szCs w:val="26"/>
        </w:rPr>
        <w:t xml:space="preserve">he dependency statutes regulate </w:t>
      </w:r>
      <w:r>
        <w:rPr>
          <w:rFonts w:cs="Times New Roman"/>
          <w:szCs w:val="26"/>
        </w:rPr>
        <w:t>how a</w:t>
      </w:r>
      <w:r w:rsidRPr="00F02985">
        <w:rPr>
          <w:rFonts w:cs="Times New Roman"/>
          <w:szCs w:val="26"/>
        </w:rPr>
        <w:t xml:space="preserve"> minor in “temporary custody” can be housed with adults.  (§</w:t>
      </w:r>
      <w:r w:rsidR="005940ED">
        <w:rPr>
          <w:rFonts w:cs="Times New Roman"/>
          <w:szCs w:val="26"/>
        </w:rPr>
        <w:t> </w:t>
      </w:r>
      <w:r w:rsidRPr="00F02985">
        <w:rPr>
          <w:rFonts w:cs="Times New Roman"/>
          <w:szCs w:val="26"/>
        </w:rPr>
        <w:t xml:space="preserve">206.)  It is not plausible that the </w:t>
      </w:r>
      <w:r w:rsidR="00873EC4">
        <w:rPr>
          <w:rFonts w:cs="Times New Roman"/>
          <w:szCs w:val="26"/>
        </w:rPr>
        <w:t>L</w:t>
      </w:r>
      <w:r w:rsidRPr="00F02985">
        <w:rPr>
          <w:rFonts w:cs="Times New Roman"/>
          <w:szCs w:val="26"/>
        </w:rPr>
        <w:t xml:space="preserve">egislature intended to exclude from </w:t>
      </w:r>
      <w:r w:rsidR="002D58FB">
        <w:rPr>
          <w:rFonts w:cs="Times New Roman"/>
          <w:szCs w:val="26"/>
        </w:rPr>
        <w:t>that regulation</w:t>
      </w:r>
      <w:r w:rsidRPr="00F02985">
        <w:rPr>
          <w:rFonts w:cs="Times New Roman"/>
          <w:szCs w:val="26"/>
        </w:rPr>
        <w:t xml:space="preserve"> minors who are housed after they were removed by warrant, </w:t>
      </w:r>
      <w:r>
        <w:rPr>
          <w:rFonts w:cs="Times New Roman"/>
          <w:szCs w:val="26"/>
        </w:rPr>
        <w:t>on the view that</w:t>
      </w:r>
      <w:r w:rsidRPr="00F02985">
        <w:rPr>
          <w:rFonts w:cs="Times New Roman"/>
          <w:szCs w:val="26"/>
        </w:rPr>
        <w:t xml:space="preserve"> those minors are in “protective custody” rather than “temporary custody.”</w:t>
      </w:r>
      <w:r w:rsidR="008C7846">
        <w:rPr>
          <w:rFonts w:cs="Times New Roman"/>
          <w:szCs w:val="26"/>
        </w:rPr>
        <w:t xml:space="preserve">  (See </w:t>
      </w:r>
      <w:r w:rsidR="00873EC4">
        <w:rPr>
          <w:rFonts w:cs="Times New Roman"/>
          <w:szCs w:val="26"/>
        </w:rPr>
        <w:t>§</w:t>
      </w:r>
      <w:r w:rsidRPr="008C7846" w:rsidR="008C7846">
        <w:rPr>
          <w:rFonts w:cs="Times New Roman"/>
          <w:szCs w:val="26"/>
        </w:rPr>
        <w:t xml:space="preserve"> 369, subd. (a) [procedures for medical, surgical, or dental care for</w:t>
      </w:r>
      <w:r w:rsidR="008C7846">
        <w:rPr>
          <w:rFonts w:cs="Times New Roman"/>
          <w:szCs w:val="26"/>
        </w:rPr>
        <w:t xml:space="preserve"> those</w:t>
      </w:r>
      <w:r w:rsidRPr="008C7846" w:rsidR="008C7846">
        <w:rPr>
          <w:rFonts w:cs="Times New Roman"/>
          <w:szCs w:val="26"/>
        </w:rPr>
        <w:t xml:space="preserve"> in “temporary custody under Article 7” with no provision </w:t>
      </w:r>
      <w:r w:rsidR="008C7846">
        <w:rPr>
          <w:rFonts w:cs="Times New Roman"/>
          <w:szCs w:val="26"/>
        </w:rPr>
        <w:t>referring to protective custody</w:t>
      </w:r>
      <w:r w:rsidRPr="008C7846" w:rsidR="008C7846">
        <w:rPr>
          <w:rFonts w:cs="Times New Roman"/>
          <w:szCs w:val="26"/>
        </w:rPr>
        <w:t>]</w:t>
      </w:r>
      <w:r w:rsidR="008C7846">
        <w:rPr>
          <w:rFonts w:cs="Times New Roman"/>
          <w:szCs w:val="26"/>
        </w:rPr>
        <w:t xml:space="preserve">; Health </w:t>
      </w:r>
      <w:r w:rsidR="00873EC4">
        <w:rPr>
          <w:rFonts w:cs="Times New Roman"/>
          <w:szCs w:val="26"/>
        </w:rPr>
        <w:t>&amp;</w:t>
      </w:r>
      <w:r w:rsidR="008C7846">
        <w:rPr>
          <w:rFonts w:cs="Times New Roman"/>
          <w:szCs w:val="26"/>
        </w:rPr>
        <w:t xml:space="preserve"> Safety</w:t>
      </w:r>
      <w:r w:rsidRPr="008C7846" w:rsidR="008C7846">
        <w:rPr>
          <w:rFonts w:cs="Times New Roman"/>
          <w:szCs w:val="26"/>
        </w:rPr>
        <w:t xml:space="preserve"> Code</w:t>
      </w:r>
      <w:r w:rsidR="00873EC4">
        <w:rPr>
          <w:rFonts w:cs="Times New Roman"/>
          <w:szCs w:val="26"/>
        </w:rPr>
        <w:t>,</w:t>
      </w:r>
      <w:r w:rsidRPr="008C7846" w:rsidR="008C7846">
        <w:rPr>
          <w:rFonts w:cs="Times New Roman"/>
          <w:szCs w:val="26"/>
        </w:rPr>
        <w:t xml:space="preserve"> </w:t>
      </w:r>
      <w:r w:rsidR="00873EC4">
        <w:rPr>
          <w:rFonts w:cs="Times New Roman"/>
          <w:szCs w:val="26"/>
        </w:rPr>
        <w:t>§</w:t>
      </w:r>
      <w:r w:rsidRPr="008C7846" w:rsidR="008C7846">
        <w:rPr>
          <w:rFonts w:cs="Times New Roman"/>
          <w:szCs w:val="26"/>
        </w:rPr>
        <w:t xml:space="preserve"> 121020, subd. (a)(3)(A) [HIV test authorization for infants taken into “temporary custody pursuant to Article 7” with no </w:t>
      </w:r>
      <w:r w:rsidR="008C7846">
        <w:rPr>
          <w:rFonts w:cs="Times New Roman"/>
          <w:szCs w:val="26"/>
        </w:rPr>
        <w:t>reference to protective custody</w:t>
      </w:r>
      <w:r w:rsidRPr="008C7846" w:rsidR="008C7846">
        <w:rPr>
          <w:rFonts w:cs="Times New Roman"/>
          <w:szCs w:val="26"/>
        </w:rPr>
        <w:t>]</w:t>
      </w:r>
      <w:r w:rsidR="008C7846">
        <w:rPr>
          <w:rFonts w:cs="Times New Roman"/>
          <w:szCs w:val="26"/>
        </w:rPr>
        <w:t>.)</w:t>
      </w:r>
    </w:p>
    <w:p w:rsidR="00B97F24" w:rsidP="00AB39DC" w14:paraId="355604DD" w14:textId="0832B0D8">
      <w:pPr>
        <w:ind w:firstLine="720"/>
        <w:rPr>
          <w:rFonts w:cs="Times New Roman"/>
          <w:szCs w:val="26"/>
        </w:rPr>
      </w:pPr>
      <w:r>
        <w:rPr>
          <w:rFonts w:cs="Times New Roman"/>
          <w:szCs w:val="26"/>
        </w:rPr>
        <w:t xml:space="preserve">In addition, </w:t>
      </w:r>
      <w:r w:rsidRPr="00F02985">
        <w:rPr>
          <w:rFonts w:cs="Times New Roman"/>
          <w:szCs w:val="26"/>
        </w:rPr>
        <w:t>Department of Social Service</w:t>
      </w:r>
      <w:r w:rsidR="00495144">
        <w:rPr>
          <w:rFonts w:cs="Times New Roman"/>
          <w:szCs w:val="26"/>
        </w:rPr>
        <w:t xml:space="preserve"> (DSS)</w:t>
      </w:r>
      <w:r w:rsidRPr="00F02985">
        <w:rPr>
          <w:rFonts w:cs="Times New Roman"/>
          <w:szCs w:val="26"/>
        </w:rPr>
        <w:t xml:space="preserve"> regulations</w:t>
      </w:r>
      <w:r>
        <w:rPr>
          <w:rFonts w:cs="Times New Roman"/>
          <w:szCs w:val="26"/>
        </w:rPr>
        <w:t xml:space="preserve"> </w:t>
      </w:r>
      <w:r w:rsidR="00A75E45">
        <w:rPr>
          <w:rFonts w:cs="Times New Roman"/>
          <w:szCs w:val="26"/>
        </w:rPr>
        <w:t>indicate</w:t>
      </w:r>
      <w:r>
        <w:rPr>
          <w:rFonts w:cs="Times New Roman"/>
          <w:szCs w:val="26"/>
        </w:rPr>
        <w:t xml:space="preserve"> how the terms “temporary custody” and “protective custody” are </w:t>
      </w:r>
      <w:r w:rsidR="00296A07">
        <w:rPr>
          <w:rFonts w:cs="Times New Roman"/>
          <w:szCs w:val="26"/>
        </w:rPr>
        <w:t>applied in practice</w:t>
      </w:r>
      <w:r>
        <w:rPr>
          <w:rFonts w:cs="Times New Roman"/>
          <w:szCs w:val="26"/>
        </w:rPr>
        <w:t>.  Th</w:t>
      </w:r>
      <w:r w:rsidRPr="00F02985">
        <w:rPr>
          <w:rFonts w:cs="Times New Roman"/>
          <w:szCs w:val="26"/>
        </w:rPr>
        <w:t>ough revised extensively after A</w:t>
      </w:r>
      <w:r>
        <w:rPr>
          <w:rFonts w:cs="Times New Roman"/>
          <w:szCs w:val="26"/>
        </w:rPr>
        <w:t xml:space="preserve">ssembly Bill </w:t>
      </w:r>
      <w:r w:rsidRPr="00F02985">
        <w:rPr>
          <w:rFonts w:cs="Times New Roman"/>
          <w:szCs w:val="26"/>
        </w:rPr>
        <w:t>3176</w:t>
      </w:r>
      <w:r>
        <w:rPr>
          <w:rFonts w:cs="Times New Roman"/>
          <w:szCs w:val="26"/>
        </w:rPr>
        <w:t xml:space="preserve"> in 2018</w:t>
      </w:r>
      <w:r w:rsidRPr="00F02985">
        <w:rPr>
          <w:rFonts w:cs="Times New Roman"/>
          <w:szCs w:val="26"/>
        </w:rPr>
        <w:t>,</w:t>
      </w:r>
      <w:r>
        <w:rPr>
          <w:rFonts w:cs="Times New Roman"/>
          <w:szCs w:val="26"/>
        </w:rPr>
        <w:t xml:space="preserve"> those regulations </w:t>
      </w:r>
      <w:r w:rsidRPr="00F02985">
        <w:rPr>
          <w:rFonts w:cs="Times New Roman"/>
          <w:szCs w:val="26"/>
        </w:rPr>
        <w:t xml:space="preserve">use the term “temporary custody” </w:t>
      </w:r>
      <w:r>
        <w:rPr>
          <w:rFonts w:cs="Times New Roman"/>
          <w:szCs w:val="26"/>
        </w:rPr>
        <w:t>for when</w:t>
      </w:r>
      <w:r w:rsidRPr="00F02985">
        <w:rPr>
          <w:rFonts w:cs="Times New Roman"/>
          <w:szCs w:val="26"/>
        </w:rPr>
        <w:t xml:space="preserve"> a child has been involuntar</w:t>
      </w:r>
      <w:r w:rsidR="00873EC4">
        <w:rPr>
          <w:rFonts w:cs="Times New Roman"/>
          <w:szCs w:val="26"/>
        </w:rPr>
        <w:t>ily</w:t>
      </w:r>
      <w:r w:rsidRPr="00F02985">
        <w:rPr>
          <w:rFonts w:cs="Times New Roman"/>
          <w:szCs w:val="26"/>
        </w:rPr>
        <w:t xml:space="preserve"> removed from parents.  (See </w:t>
      </w:r>
      <w:bookmarkStart w:id="8" w:name="_Hlk146528975"/>
      <w:r>
        <w:rPr>
          <w:rFonts w:cs="Times New Roman"/>
          <w:szCs w:val="26"/>
        </w:rPr>
        <w:t xml:space="preserve">DSS </w:t>
      </w:r>
      <w:r w:rsidR="00A97273">
        <w:rPr>
          <w:rFonts w:cs="Times New Roman"/>
          <w:szCs w:val="26"/>
        </w:rPr>
        <w:t>Regs.</w:t>
      </w:r>
      <w:r>
        <w:rPr>
          <w:rFonts w:cs="Times New Roman"/>
          <w:szCs w:val="26"/>
        </w:rPr>
        <w:t xml:space="preserve"> </w:t>
      </w:r>
      <w:bookmarkEnd w:id="8"/>
      <w:r w:rsidRPr="00F02985">
        <w:rPr>
          <w:rFonts w:cs="Times New Roman"/>
          <w:szCs w:val="26"/>
        </w:rPr>
        <w:t>31-13</w:t>
      </w:r>
      <w:r w:rsidR="003D3BBD">
        <w:rPr>
          <w:rFonts w:cs="Times New Roman"/>
          <w:szCs w:val="26"/>
        </w:rPr>
        <w:t>1</w:t>
      </w:r>
      <w:r w:rsidRPr="00F02985">
        <w:rPr>
          <w:rFonts w:cs="Times New Roman"/>
          <w:szCs w:val="26"/>
        </w:rPr>
        <w:t>.10; 31-135.12; 31-135.4; 31-136.31.)  They contain no separate procedures for handling children removed by warrant and without a warrant.</w:t>
      </w:r>
      <w:r>
        <w:rPr>
          <w:rFonts w:cs="Times New Roman"/>
          <w:szCs w:val="26"/>
        </w:rPr>
        <w:t xml:space="preserve">  Nor do they contain any separate procedures for “protective custody.”</w:t>
      </w:r>
      <w:r w:rsidRPr="00F02985">
        <w:rPr>
          <w:rFonts w:cs="Times New Roman"/>
          <w:szCs w:val="26"/>
        </w:rPr>
        <w:t xml:space="preserve">  </w:t>
      </w:r>
      <w:r>
        <w:rPr>
          <w:rFonts w:cs="Times New Roman"/>
          <w:szCs w:val="26"/>
        </w:rPr>
        <w:t xml:space="preserve">All children awaiting their detention hearing are treated as in “temporary custody.”  </w:t>
      </w:r>
      <w:r w:rsidR="000052E0">
        <w:rPr>
          <w:rFonts w:cs="Times New Roman"/>
          <w:szCs w:val="26"/>
        </w:rPr>
        <w:t>In fact, t</w:t>
      </w:r>
      <w:r w:rsidRPr="00F02985">
        <w:rPr>
          <w:rFonts w:cs="Times New Roman"/>
          <w:szCs w:val="26"/>
        </w:rPr>
        <w:t>he regulations contain only one use of the term “protective custody</w:t>
      </w:r>
      <w:r>
        <w:rPr>
          <w:rFonts w:cs="Times New Roman"/>
          <w:szCs w:val="26"/>
        </w:rPr>
        <w:t xml:space="preserve">,” and it </w:t>
      </w:r>
      <w:r w:rsidR="00D264C7">
        <w:rPr>
          <w:rFonts w:cs="Times New Roman"/>
          <w:szCs w:val="26"/>
        </w:rPr>
        <w:t>uses</w:t>
      </w:r>
      <w:r>
        <w:rPr>
          <w:rFonts w:cs="Times New Roman"/>
          <w:szCs w:val="26"/>
        </w:rPr>
        <w:t xml:space="preserve"> the term for all children in dependencies.</w:t>
      </w:r>
      <w:r w:rsidRPr="00F02985">
        <w:rPr>
          <w:rFonts w:cs="Times New Roman"/>
          <w:szCs w:val="26"/>
        </w:rPr>
        <w:t xml:space="preserve">  </w:t>
      </w:r>
      <w:r w:rsidR="00387158">
        <w:rPr>
          <w:rFonts w:cs="Times New Roman"/>
          <w:szCs w:val="26"/>
        </w:rPr>
        <w:t>A</w:t>
      </w:r>
      <w:r>
        <w:rPr>
          <w:rFonts w:cs="Times New Roman"/>
          <w:szCs w:val="26"/>
        </w:rPr>
        <w:t xml:space="preserve"> </w:t>
      </w:r>
      <w:r w:rsidRPr="00F02985">
        <w:rPr>
          <w:rFonts w:cs="Times New Roman"/>
          <w:szCs w:val="26"/>
        </w:rPr>
        <w:t xml:space="preserve">regulation states that when a social worker receives information that a child </w:t>
      </w:r>
      <w:r>
        <w:rPr>
          <w:rFonts w:cs="Times New Roman"/>
          <w:szCs w:val="26"/>
        </w:rPr>
        <w:t>in</w:t>
      </w:r>
      <w:r w:rsidRPr="00F02985">
        <w:rPr>
          <w:rFonts w:cs="Times New Roman"/>
          <w:szCs w:val="26"/>
        </w:rPr>
        <w:t xml:space="preserve"> “temporary custody” is in the exclusive jurisdiction of a tribe, the social worker is to notify the tribe.  (</w:t>
      </w:r>
      <w:r w:rsidR="00A97273">
        <w:rPr>
          <w:rFonts w:cs="Times New Roman"/>
          <w:szCs w:val="26"/>
        </w:rPr>
        <w:t>DSS Reg.</w:t>
      </w:r>
      <w:r w:rsidR="00873EC4">
        <w:rPr>
          <w:rFonts w:cs="Times New Roman"/>
          <w:szCs w:val="26"/>
        </w:rPr>
        <w:t xml:space="preserve"> </w:t>
      </w:r>
      <w:r w:rsidRPr="00F02985">
        <w:rPr>
          <w:rFonts w:cs="Times New Roman"/>
          <w:szCs w:val="26"/>
        </w:rPr>
        <w:t xml:space="preserve">31-136.31.)  </w:t>
      </w:r>
      <w:r>
        <w:rPr>
          <w:rFonts w:cs="Times New Roman"/>
          <w:szCs w:val="26"/>
        </w:rPr>
        <w:t>T</w:t>
      </w:r>
      <w:r w:rsidRPr="00F02985">
        <w:rPr>
          <w:rFonts w:cs="Times New Roman"/>
          <w:szCs w:val="26"/>
        </w:rPr>
        <w:t>he regulations</w:t>
      </w:r>
      <w:r>
        <w:rPr>
          <w:rFonts w:cs="Times New Roman"/>
          <w:szCs w:val="26"/>
        </w:rPr>
        <w:t xml:space="preserve"> then</w:t>
      </w:r>
      <w:r w:rsidRPr="00F02985">
        <w:rPr>
          <w:rFonts w:cs="Times New Roman"/>
          <w:szCs w:val="26"/>
        </w:rPr>
        <w:t xml:space="preserve"> require the agency to advise the tribe “that the child has been taken into </w:t>
      </w:r>
      <w:r w:rsidRPr="00577104">
        <w:rPr>
          <w:rFonts w:cs="Times New Roman"/>
          <w:i/>
          <w:iCs/>
          <w:szCs w:val="26"/>
        </w:rPr>
        <w:t>protective custody</w:t>
      </w:r>
      <w:r w:rsidRPr="00F02985">
        <w:rPr>
          <w:rFonts w:cs="Times New Roman"/>
          <w:szCs w:val="26"/>
        </w:rPr>
        <w:t>.”  (</w:t>
      </w:r>
      <w:r w:rsidR="00A97273">
        <w:rPr>
          <w:rFonts w:cs="Times New Roman"/>
          <w:szCs w:val="26"/>
        </w:rPr>
        <w:t>DSS Reg.</w:t>
      </w:r>
      <w:r w:rsidR="00873EC4">
        <w:rPr>
          <w:rFonts w:cs="Times New Roman"/>
          <w:szCs w:val="26"/>
        </w:rPr>
        <w:t xml:space="preserve"> </w:t>
      </w:r>
      <w:r w:rsidRPr="00F02985">
        <w:rPr>
          <w:rFonts w:cs="Times New Roman"/>
          <w:szCs w:val="26"/>
        </w:rPr>
        <w:t>31-135.235</w:t>
      </w:r>
      <w:r w:rsidR="00873EC4">
        <w:rPr>
          <w:rFonts w:cs="Times New Roman"/>
          <w:szCs w:val="26"/>
        </w:rPr>
        <w:t>, italics</w:t>
      </w:r>
      <w:r>
        <w:rPr>
          <w:rFonts w:cs="Times New Roman"/>
          <w:szCs w:val="26"/>
        </w:rPr>
        <w:t xml:space="preserve"> added</w:t>
      </w:r>
      <w:r w:rsidRPr="00F02985">
        <w:rPr>
          <w:rFonts w:cs="Times New Roman"/>
          <w:szCs w:val="26"/>
        </w:rPr>
        <w:t xml:space="preserve">.)  </w:t>
      </w:r>
      <w:r>
        <w:rPr>
          <w:rFonts w:cs="Times New Roman"/>
          <w:szCs w:val="26"/>
        </w:rPr>
        <w:t xml:space="preserve">That these regulations use </w:t>
      </w:r>
      <w:r w:rsidR="00AD3272">
        <w:rPr>
          <w:rFonts w:cs="Times New Roman"/>
          <w:szCs w:val="26"/>
        </w:rPr>
        <w:t>“</w:t>
      </w:r>
      <w:r w:rsidR="00C17A95">
        <w:rPr>
          <w:rFonts w:cs="Times New Roman"/>
          <w:szCs w:val="26"/>
        </w:rPr>
        <w:t>protective custody</w:t>
      </w:r>
      <w:r w:rsidR="00AD3272">
        <w:rPr>
          <w:rFonts w:cs="Times New Roman"/>
          <w:szCs w:val="26"/>
        </w:rPr>
        <w:t>”</w:t>
      </w:r>
      <w:r w:rsidR="00C17A95">
        <w:rPr>
          <w:rFonts w:cs="Times New Roman"/>
          <w:szCs w:val="26"/>
        </w:rPr>
        <w:t xml:space="preserve"> for all children in temporary custody </w:t>
      </w:r>
      <w:r>
        <w:rPr>
          <w:rFonts w:cs="Times New Roman"/>
          <w:szCs w:val="26"/>
        </w:rPr>
        <w:t xml:space="preserve">further </w:t>
      </w:r>
      <w:r w:rsidR="00B030A4">
        <w:rPr>
          <w:rFonts w:cs="Times New Roman"/>
          <w:szCs w:val="26"/>
        </w:rPr>
        <w:t>confirms</w:t>
      </w:r>
      <w:r>
        <w:rPr>
          <w:rFonts w:cs="Times New Roman"/>
          <w:szCs w:val="26"/>
        </w:rPr>
        <w:t xml:space="preserve"> that they are not</w:t>
      </w:r>
      <w:r w:rsidR="002A79C5">
        <w:rPr>
          <w:rFonts w:cs="Times New Roman"/>
          <w:szCs w:val="26"/>
        </w:rPr>
        <w:t xml:space="preserve"> exclusive</w:t>
      </w:r>
      <w:r>
        <w:rPr>
          <w:rFonts w:cs="Times New Roman"/>
          <w:szCs w:val="26"/>
        </w:rPr>
        <w:t xml:space="preserve"> categories.</w:t>
      </w:r>
    </w:p>
    <w:p w:rsidR="00B97F24" w:rsidRPr="00BC6809" w:rsidP="00AB39DC" w14:paraId="40055E7D" w14:textId="5642A131">
      <w:pPr>
        <w:ind w:firstLine="720"/>
        <w:rPr>
          <w:rFonts w:cs="Times New Roman"/>
          <w:szCs w:val="26"/>
        </w:rPr>
      </w:pPr>
      <w:r>
        <w:rPr>
          <w:rFonts w:cs="Times New Roman"/>
          <w:szCs w:val="26"/>
        </w:rPr>
        <w:t>Moreover</w:t>
      </w:r>
      <w:r w:rsidRPr="00F02985">
        <w:rPr>
          <w:rFonts w:cs="Times New Roman"/>
          <w:szCs w:val="26"/>
        </w:rPr>
        <w:t>, in the statement of reasons issued in promulgating the rules, DSS referred to children as being in “temporary protective custod</w:t>
      </w:r>
      <w:r>
        <w:rPr>
          <w:rFonts w:cs="Times New Roman"/>
          <w:szCs w:val="26"/>
        </w:rPr>
        <w:t>y</w:t>
      </w:r>
      <w:r w:rsidRPr="00F02985">
        <w:rPr>
          <w:rFonts w:cs="Times New Roman"/>
          <w:szCs w:val="26"/>
        </w:rPr>
        <w:t xml:space="preserve">,” and </w:t>
      </w:r>
      <w:r w:rsidR="002A79C5">
        <w:rPr>
          <w:rFonts w:cs="Times New Roman"/>
          <w:szCs w:val="26"/>
        </w:rPr>
        <w:t>said</w:t>
      </w:r>
      <w:r w:rsidRPr="00F02985">
        <w:rPr>
          <w:rFonts w:cs="Times New Roman"/>
          <w:szCs w:val="26"/>
        </w:rPr>
        <w:t xml:space="preserve"> the regulation was amended to conform “to the 2018 amendments made to WIC section</w:t>
      </w:r>
      <w:r w:rsidR="003D3BBD">
        <w:rPr>
          <w:rFonts w:cs="Times New Roman"/>
          <w:szCs w:val="26"/>
        </w:rPr>
        <w:t>s</w:t>
      </w:r>
      <w:r w:rsidR="006F73CE">
        <w:rPr>
          <w:rFonts w:cs="Times New Roman"/>
          <w:szCs w:val="26"/>
        </w:rPr>
        <w:t> </w:t>
      </w:r>
      <w:r w:rsidRPr="00F02985">
        <w:rPr>
          <w:rFonts w:cs="Times New Roman"/>
          <w:szCs w:val="26"/>
        </w:rPr>
        <w:t xml:space="preserve">305.5 and 306.”  (Initial Statement of Reasons for </w:t>
      </w:r>
      <w:r w:rsidR="00A97273">
        <w:rPr>
          <w:rFonts w:cs="Times New Roman"/>
          <w:szCs w:val="26"/>
        </w:rPr>
        <w:t>DSS Reg.</w:t>
      </w:r>
      <w:r w:rsidR="00873EC4">
        <w:rPr>
          <w:rFonts w:cs="Times New Roman"/>
          <w:szCs w:val="26"/>
        </w:rPr>
        <w:t xml:space="preserve"> </w:t>
      </w:r>
      <w:r w:rsidRPr="00F02985">
        <w:rPr>
          <w:rFonts w:cs="Times New Roman"/>
          <w:szCs w:val="26"/>
        </w:rPr>
        <w:t>31-136.31.)</w:t>
      </w:r>
      <w:r>
        <w:rPr>
          <w:rFonts w:cs="Times New Roman"/>
          <w:szCs w:val="26"/>
        </w:rPr>
        <w:t xml:space="preserve">  </w:t>
      </w:r>
      <w:r w:rsidR="00917CA6">
        <w:rPr>
          <w:rFonts w:cs="Times New Roman"/>
          <w:szCs w:val="26"/>
        </w:rPr>
        <w:t xml:space="preserve">The Legislature also used that combined </w:t>
      </w:r>
      <w:r>
        <w:rPr>
          <w:rFonts w:cs="Times New Roman"/>
          <w:szCs w:val="26"/>
        </w:rPr>
        <w:t>term</w:t>
      </w:r>
      <w:r w:rsidR="00917CA6">
        <w:rPr>
          <w:rFonts w:cs="Times New Roman"/>
          <w:szCs w:val="26"/>
        </w:rPr>
        <w:t>—</w:t>
      </w:r>
      <w:r>
        <w:rPr>
          <w:rFonts w:cs="Times New Roman"/>
          <w:szCs w:val="26"/>
        </w:rPr>
        <w:t xml:space="preserve">“temporary protective custody”—when </w:t>
      </w:r>
      <w:r w:rsidR="009802C7">
        <w:rPr>
          <w:rFonts w:cs="Times New Roman"/>
          <w:szCs w:val="26"/>
        </w:rPr>
        <w:t>it</w:t>
      </w:r>
      <w:r>
        <w:rPr>
          <w:rFonts w:cs="Times New Roman"/>
          <w:szCs w:val="26"/>
        </w:rPr>
        <w:t xml:space="preserve"> enacted section</w:t>
      </w:r>
      <w:r w:rsidR="00873EC4">
        <w:rPr>
          <w:rFonts w:cs="Times New Roman"/>
          <w:szCs w:val="26"/>
        </w:rPr>
        <w:t> </w:t>
      </w:r>
      <w:r>
        <w:rPr>
          <w:rFonts w:cs="Times New Roman"/>
          <w:szCs w:val="26"/>
        </w:rPr>
        <w:t xml:space="preserve">340’s provision authorizing pre-petition warrants.  </w:t>
      </w:r>
      <w:r w:rsidRPr="00BC6809">
        <w:rPr>
          <w:rFonts w:cs="Times New Roman"/>
          <w:szCs w:val="26"/>
        </w:rPr>
        <w:t>(</w:t>
      </w:r>
      <w:r>
        <w:rPr>
          <w:rFonts w:cs="Times New Roman"/>
          <w:szCs w:val="26"/>
        </w:rPr>
        <w:t>See Assem.</w:t>
      </w:r>
      <w:r w:rsidRPr="00BC6809">
        <w:rPr>
          <w:rFonts w:cs="Times New Roman"/>
          <w:szCs w:val="26"/>
        </w:rPr>
        <w:t xml:space="preserve"> Com. on Judiciary, Rep. on Assem. Bill </w:t>
      </w:r>
      <w:r w:rsidR="00952359">
        <w:rPr>
          <w:rFonts w:cs="Times New Roman"/>
          <w:szCs w:val="26"/>
        </w:rPr>
        <w:t xml:space="preserve">No. </w:t>
      </w:r>
      <w:r w:rsidRPr="00BC6809">
        <w:rPr>
          <w:rFonts w:cs="Times New Roman"/>
          <w:szCs w:val="26"/>
        </w:rPr>
        <w:t xml:space="preserve">1401, </w:t>
      </w:r>
      <w:r w:rsidR="004C4EAB">
        <w:rPr>
          <w:rFonts w:cs="Times New Roman"/>
          <w:szCs w:val="26"/>
        </w:rPr>
        <w:t>proposed amendment</w:t>
      </w:r>
      <w:r w:rsidRPr="00BC6809">
        <w:rPr>
          <w:rFonts w:cs="Times New Roman"/>
          <w:szCs w:val="26"/>
        </w:rPr>
        <w:t xml:space="preserve"> Apr. 1</w:t>
      </w:r>
      <w:r>
        <w:rPr>
          <w:rFonts w:cs="Times New Roman"/>
          <w:szCs w:val="26"/>
        </w:rPr>
        <w:t>8</w:t>
      </w:r>
      <w:r w:rsidRPr="00BC6809">
        <w:rPr>
          <w:rFonts w:cs="Times New Roman"/>
          <w:szCs w:val="26"/>
        </w:rPr>
        <w:t xml:space="preserve">, 2017, at p. </w:t>
      </w:r>
      <w:r>
        <w:rPr>
          <w:rFonts w:cs="Times New Roman"/>
          <w:szCs w:val="26"/>
        </w:rPr>
        <w:t>1 [caption containing “temporary protective custody” as the key issue and using the term “temporary protective custody” three times in the first paragraph of the bill’s synopsis]</w:t>
      </w:r>
      <w:r w:rsidRPr="00BC6809">
        <w:rPr>
          <w:rFonts w:cs="Times New Roman"/>
          <w:szCs w:val="26"/>
        </w:rPr>
        <w:t>.)</w:t>
      </w:r>
      <w:r>
        <w:rPr>
          <w:rStyle w:val="FootnoteReference"/>
          <w:rFonts w:cs="Times New Roman"/>
          <w:szCs w:val="26"/>
        </w:rPr>
        <w:footnoteReference w:id="10"/>
      </w:r>
    </w:p>
    <w:p w:rsidR="00B97F24" w:rsidP="009710E8" w14:paraId="302C1C2F" w14:textId="121F4C64">
      <w:pPr>
        <w:ind w:firstLine="720"/>
        <w:rPr>
          <w:rFonts w:cs="Times New Roman"/>
          <w:szCs w:val="26"/>
        </w:rPr>
      </w:pPr>
      <w:r>
        <w:rPr>
          <w:rFonts w:cs="Times New Roman"/>
          <w:szCs w:val="26"/>
        </w:rPr>
        <w:t>In all, it is hard to imagine that when the Legislature enacted Assembly Bill 317</w:t>
      </w:r>
      <w:r w:rsidR="008C551D">
        <w:rPr>
          <w:rFonts w:cs="Times New Roman"/>
          <w:szCs w:val="26"/>
        </w:rPr>
        <w:t>6</w:t>
      </w:r>
      <w:r>
        <w:rPr>
          <w:rFonts w:cs="Times New Roman"/>
          <w:szCs w:val="26"/>
        </w:rPr>
        <w:t xml:space="preserve"> in 2018 it could have had in mind a construction of the statute where children removed by protective custody warrant </w:t>
      </w:r>
      <w:r w:rsidR="00F44278">
        <w:rPr>
          <w:rFonts w:cs="Times New Roman"/>
          <w:szCs w:val="26"/>
        </w:rPr>
        <w:t>are not</w:t>
      </w:r>
      <w:r>
        <w:rPr>
          <w:rFonts w:cs="Times New Roman"/>
          <w:szCs w:val="26"/>
        </w:rPr>
        <w:t xml:space="preserve"> in “temporary custody” under section</w:t>
      </w:r>
      <w:r w:rsidR="00873EC4">
        <w:rPr>
          <w:rFonts w:cs="Times New Roman"/>
          <w:szCs w:val="26"/>
        </w:rPr>
        <w:t> </w:t>
      </w:r>
      <w:r>
        <w:rPr>
          <w:rFonts w:cs="Times New Roman"/>
          <w:szCs w:val="26"/>
        </w:rPr>
        <w:t>306, subd</w:t>
      </w:r>
      <w:r w:rsidR="00495144">
        <w:rPr>
          <w:rFonts w:cs="Times New Roman"/>
          <w:szCs w:val="26"/>
        </w:rPr>
        <w:t>ivision</w:t>
      </w:r>
      <w:r>
        <w:rPr>
          <w:rFonts w:cs="Times New Roman"/>
          <w:szCs w:val="26"/>
        </w:rPr>
        <w:t xml:space="preserve"> (a)(1)</w:t>
      </w:r>
      <w:r w:rsidR="00873EC4">
        <w:rPr>
          <w:rFonts w:cs="Times New Roman"/>
          <w:szCs w:val="26"/>
        </w:rPr>
        <w:t>,</w:t>
      </w:r>
      <w:r>
        <w:rPr>
          <w:rFonts w:cs="Times New Roman"/>
          <w:szCs w:val="26"/>
        </w:rPr>
        <w:t xml:space="preserve"> when delivered to agency social workers.  To our knowledge, that view </w:t>
      </w:r>
      <w:r w:rsidR="002A79C5">
        <w:rPr>
          <w:rFonts w:cs="Times New Roman"/>
          <w:szCs w:val="26"/>
        </w:rPr>
        <w:t xml:space="preserve">does not </w:t>
      </w:r>
      <w:r>
        <w:rPr>
          <w:rFonts w:cs="Times New Roman"/>
          <w:szCs w:val="26"/>
        </w:rPr>
        <w:t xml:space="preserve">appear in </w:t>
      </w:r>
      <w:r w:rsidR="00F21769">
        <w:rPr>
          <w:rFonts w:cs="Times New Roman"/>
          <w:szCs w:val="26"/>
        </w:rPr>
        <w:t>any</w:t>
      </w:r>
      <w:r>
        <w:rPr>
          <w:rFonts w:cs="Times New Roman"/>
          <w:szCs w:val="26"/>
        </w:rPr>
        <w:t xml:space="preserve"> legislative history</w:t>
      </w:r>
      <w:r w:rsidR="004E3236">
        <w:rPr>
          <w:rFonts w:cs="Times New Roman"/>
          <w:szCs w:val="26"/>
        </w:rPr>
        <w:t xml:space="preserve"> of the bill</w:t>
      </w:r>
      <w:r>
        <w:rPr>
          <w:rFonts w:cs="Times New Roman"/>
          <w:szCs w:val="26"/>
        </w:rPr>
        <w:t xml:space="preserve">; in the </w:t>
      </w:r>
      <w:r w:rsidR="004E3236">
        <w:rPr>
          <w:rFonts w:cs="Times New Roman"/>
          <w:szCs w:val="26"/>
        </w:rPr>
        <w:t xml:space="preserve">later </w:t>
      </w:r>
      <w:r>
        <w:rPr>
          <w:rFonts w:cs="Times New Roman"/>
          <w:szCs w:val="26"/>
        </w:rPr>
        <w:t xml:space="preserve">rulemaking for </w:t>
      </w:r>
      <w:r w:rsidR="00495144">
        <w:rPr>
          <w:rFonts w:cs="Times New Roman"/>
          <w:szCs w:val="26"/>
        </w:rPr>
        <w:t>rule</w:t>
      </w:r>
      <w:r w:rsidR="00E609CF">
        <w:rPr>
          <w:rFonts w:cs="Times New Roman"/>
          <w:szCs w:val="26"/>
        </w:rPr>
        <w:t> </w:t>
      </w:r>
      <w:r>
        <w:rPr>
          <w:rFonts w:cs="Times New Roman"/>
          <w:szCs w:val="26"/>
        </w:rPr>
        <w:t>5.481</w:t>
      </w:r>
      <w:r w:rsidR="006D19FE">
        <w:rPr>
          <w:rFonts w:cs="Times New Roman"/>
          <w:szCs w:val="26"/>
        </w:rPr>
        <w:t xml:space="preserve"> (</w:t>
      </w:r>
      <w:r>
        <w:rPr>
          <w:rFonts w:cs="Times New Roman"/>
          <w:szCs w:val="26"/>
        </w:rPr>
        <w:t>which requires extended family inquiry in all cases</w:t>
      </w:r>
      <w:r w:rsidR="006D19FE">
        <w:rPr>
          <w:rFonts w:cs="Times New Roman"/>
          <w:szCs w:val="26"/>
        </w:rPr>
        <w:t>)</w:t>
      </w:r>
      <w:r>
        <w:rPr>
          <w:rFonts w:cs="Times New Roman"/>
          <w:szCs w:val="26"/>
        </w:rPr>
        <w:t xml:space="preserve">; </w:t>
      </w:r>
      <w:r w:rsidR="00F21769">
        <w:rPr>
          <w:rFonts w:cs="Times New Roman"/>
          <w:szCs w:val="26"/>
        </w:rPr>
        <w:t xml:space="preserve">or </w:t>
      </w:r>
      <w:r>
        <w:rPr>
          <w:rFonts w:cs="Times New Roman"/>
          <w:szCs w:val="26"/>
        </w:rPr>
        <w:t xml:space="preserve">in the </w:t>
      </w:r>
      <w:r w:rsidR="004E3236">
        <w:rPr>
          <w:rFonts w:cs="Times New Roman"/>
          <w:szCs w:val="26"/>
        </w:rPr>
        <w:t>yet</w:t>
      </w:r>
      <w:r w:rsidR="003D3BBD">
        <w:rPr>
          <w:rFonts w:cs="Times New Roman"/>
          <w:szCs w:val="26"/>
        </w:rPr>
        <w:t xml:space="preserve"> </w:t>
      </w:r>
      <w:r w:rsidR="004E3236">
        <w:rPr>
          <w:rFonts w:cs="Times New Roman"/>
          <w:szCs w:val="26"/>
        </w:rPr>
        <w:t xml:space="preserve">later </w:t>
      </w:r>
      <w:r>
        <w:rPr>
          <w:rFonts w:cs="Times New Roman"/>
          <w:szCs w:val="26"/>
        </w:rPr>
        <w:t xml:space="preserve">rulemaking for DSS regulations that require county departments to inquire of extended family members about a child’s Indian heritage in “all referrals” and “all investigations” (DSS </w:t>
      </w:r>
      <w:r w:rsidR="00A97273">
        <w:rPr>
          <w:rFonts w:cs="Times New Roman"/>
          <w:szCs w:val="26"/>
        </w:rPr>
        <w:t>Regs.</w:t>
      </w:r>
      <w:r>
        <w:rPr>
          <w:rFonts w:cs="Times New Roman"/>
          <w:szCs w:val="26"/>
        </w:rPr>
        <w:t xml:space="preserve"> 31-101.11</w:t>
      </w:r>
      <w:r w:rsidR="003D3BBD">
        <w:rPr>
          <w:rFonts w:cs="Times New Roman"/>
          <w:szCs w:val="26"/>
        </w:rPr>
        <w:t>;</w:t>
      </w:r>
      <w:r>
        <w:rPr>
          <w:rFonts w:cs="Times New Roman"/>
          <w:szCs w:val="26"/>
        </w:rPr>
        <w:t xml:space="preserve"> 31-125.225).  It also seems never to have been suggested by any court case, policy paper, or commentary of any sort until surfacing in the December 2022 concurrence in </w:t>
      </w:r>
      <w:r w:rsidRPr="008C4EC5">
        <w:rPr>
          <w:rFonts w:cs="Times New Roman"/>
          <w:i/>
          <w:iCs/>
          <w:szCs w:val="26"/>
        </w:rPr>
        <w:t>Adrian L</w:t>
      </w:r>
      <w:r>
        <w:rPr>
          <w:rFonts w:cs="Times New Roman"/>
          <w:szCs w:val="26"/>
        </w:rPr>
        <w:t>.</w:t>
      </w:r>
      <w:r w:rsidR="008C551D">
        <w:rPr>
          <w:rFonts w:eastAsia="Times New Roman" w:cs="Times New Roman"/>
          <w:color w:val="000000"/>
          <w:szCs w:val="26"/>
        </w:rPr>
        <w:t xml:space="preserve">, </w:t>
      </w:r>
      <w:r w:rsidRPr="00AB39DC" w:rsidR="008C551D">
        <w:rPr>
          <w:rFonts w:eastAsia="Times New Roman" w:cs="Times New Roman"/>
          <w:i/>
          <w:iCs/>
          <w:color w:val="000000"/>
          <w:szCs w:val="26"/>
        </w:rPr>
        <w:t>supra</w:t>
      </w:r>
      <w:r w:rsidR="008C551D">
        <w:rPr>
          <w:rFonts w:eastAsia="Times New Roman" w:cs="Times New Roman"/>
          <w:color w:val="000000"/>
          <w:szCs w:val="26"/>
        </w:rPr>
        <w:t xml:space="preserve">, </w:t>
      </w:r>
      <w:r w:rsidR="00EF31D0">
        <w:rPr>
          <w:rFonts w:eastAsia="Times New Roman" w:cs="Times New Roman"/>
          <w:color w:val="000000"/>
          <w:szCs w:val="26"/>
        </w:rPr>
        <w:t>86 Cal.App.</w:t>
      </w:r>
      <w:r w:rsidR="0030042B">
        <w:rPr>
          <w:rFonts w:eastAsia="Times New Roman" w:cs="Times New Roman"/>
          <w:color w:val="000000"/>
          <w:szCs w:val="26"/>
        </w:rPr>
        <w:t xml:space="preserve">5th </w:t>
      </w:r>
      <w:r w:rsidR="008C551D">
        <w:rPr>
          <w:rFonts w:eastAsia="Times New Roman" w:cs="Times New Roman"/>
          <w:color w:val="000000"/>
          <w:szCs w:val="26"/>
        </w:rPr>
        <w:t>at pp.</w:t>
      </w:r>
      <w:r>
        <w:rPr>
          <w:rFonts w:eastAsia="Times New Roman" w:cs="Times New Roman"/>
          <w:color w:val="000000"/>
          <w:szCs w:val="26"/>
        </w:rPr>
        <w:t xml:space="preserve"> 353-374.  </w:t>
      </w:r>
      <w:r w:rsidR="000330B0">
        <w:rPr>
          <w:rFonts w:eastAsia="Times New Roman" w:cs="Times New Roman"/>
          <w:color w:val="000000"/>
          <w:szCs w:val="26"/>
        </w:rPr>
        <w:t>E</w:t>
      </w:r>
      <w:r w:rsidR="00E94495">
        <w:rPr>
          <w:rFonts w:eastAsia="Times New Roman" w:cs="Times New Roman"/>
          <w:color w:val="000000"/>
          <w:szCs w:val="26"/>
        </w:rPr>
        <w:t xml:space="preserve">ven </w:t>
      </w:r>
      <w:r w:rsidR="00033573">
        <w:rPr>
          <w:rFonts w:eastAsia="Times New Roman" w:cs="Times New Roman"/>
          <w:color w:val="000000"/>
          <w:szCs w:val="26"/>
        </w:rPr>
        <w:t xml:space="preserve">the county child welfare department involved in </w:t>
      </w:r>
      <w:r w:rsidRPr="00E1281E" w:rsidR="00033573">
        <w:rPr>
          <w:rFonts w:eastAsia="Times New Roman" w:cs="Times New Roman"/>
          <w:i/>
          <w:iCs/>
          <w:color w:val="000000"/>
          <w:szCs w:val="26"/>
        </w:rPr>
        <w:t>Adrian L.</w:t>
      </w:r>
      <w:r w:rsidR="00033573">
        <w:rPr>
          <w:rFonts w:eastAsia="Times New Roman" w:cs="Times New Roman"/>
          <w:color w:val="000000"/>
          <w:szCs w:val="26"/>
        </w:rPr>
        <w:t xml:space="preserve"> was concerned that interpret</w:t>
      </w:r>
      <w:r w:rsidR="00E94495">
        <w:rPr>
          <w:rFonts w:eastAsia="Times New Roman" w:cs="Times New Roman"/>
          <w:color w:val="000000"/>
          <w:szCs w:val="26"/>
        </w:rPr>
        <w:t xml:space="preserve">ing </w:t>
      </w:r>
      <w:r w:rsidR="00033573">
        <w:rPr>
          <w:rFonts w:eastAsia="Times New Roman" w:cs="Times New Roman"/>
          <w:color w:val="000000"/>
          <w:szCs w:val="26"/>
        </w:rPr>
        <w:t>section 224.2</w:t>
      </w:r>
      <w:r w:rsidR="00091061">
        <w:rPr>
          <w:rFonts w:eastAsia="Times New Roman" w:cs="Times New Roman"/>
          <w:color w:val="000000"/>
          <w:szCs w:val="26"/>
        </w:rPr>
        <w:t>, subdivision (b)</w:t>
      </w:r>
      <w:r w:rsidR="003F1AB3">
        <w:rPr>
          <w:rFonts w:eastAsia="Times New Roman" w:cs="Times New Roman"/>
          <w:color w:val="000000"/>
          <w:szCs w:val="26"/>
        </w:rPr>
        <w:t>,</w:t>
      </w:r>
      <w:r w:rsidR="00E94495">
        <w:rPr>
          <w:rFonts w:eastAsia="Times New Roman" w:cs="Times New Roman"/>
          <w:color w:val="000000"/>
          <w:szCs w:val="26"/>
        </w:rPr>
        <w:t xml:space="preserve"> to exclude children removed by warrant</w:t>
      </w:r>
      <w:r w:rsidR="00033573">
        <w:rPr>
          <w:rFonts w:eastAsia="Times New Roman" w:cs="Times New Roman"/>
          <w:color w:val="000000"/>
          <w:szCs w:val="26"/>
        </w:rPr>
        <w:t xml:space="preserve"> </w:t>
      </w:r>
      <w:r w:rsidRPr="00C63CEF" w:rsidR="00033573">
        <w:rPr>
          <w:rFonts w:eastAsia="Times New Roman" w:cs="Times New Roman"/>
          <w:color w:val="000000"/>
          <w:szCs w:val="26"/>
        </w:rPr>
        <w:t>“</w:t>
      </w:r>
      <w:r w:rsidR="006E0F5A">
        <w:rPr>
          <w:rFonts w:eastAsia="Times New Roman" w:cs="Times New Roman"/>
          <w:color w:val="000000"/>
          <w:szCs w:val="26"/>
        </w:rPr>
        <w:t> ‘</w:t>
      </w:r>
      <w:r w:rsidRPr="00C63CEF" w:rsidR="00033573">
        <w:rPr>
          <w:rFonts w:eastAsia="Times New Roman" w:cs="Times New Roman"/>
          <w:color w:val="000000"/>
          <w:szCs w:val="26"/>
        </w:rPr>
        <w:t>does nothing to further the spirit or purpose</w:t>
      </w:r>
      <w:r w:rsidR="006E0F5A">
        <w:rPr>
          <w:rFonts w:eastAsia="Times New Roman" w:cs="Times New Roman"/>
          <w:color w:val="000000"/>
          <w:szCs w:val="26"/>
        </w:rPr>
        <w:t>’ </w:t>
      </w:r>
      <w:r w:rsidRPr="00C63CEF" w:rsidR="00033573">
        <w:rPr>
          <w:rFonts w:eastAsia="Times New Roman" w:cs="Times New Roman"/>
          <w:color w:val="000000"/>
          <w:szCs w:val="26"/>
        </w:rPr>
        <w:t>” of ICWA and “</w:t>
      </w:r>
      <w:r w:rsidR="006E0F5A">
        <w:rPr>
          <w:rFonts w:eastAsia="Times New Roman" w:cs="Times New Roman"/>
          <w:color w:val="000000"/>
          <w:szCs w:val="26"/>
        </w:rPr>
        <w:t> ‘</w:t>
      </w:r>
      <w:r w:rsidRPr="00C63CEF" w:rsidR="00033573">
        <w:rPr>
          <w:rFonts w:eastAsia="Times New Roman" w:cs="Times New Roman"/>
          <w:color w:val="000000"/>
          <w:szCs w:val="26"/>
        </w:rPr>
        <w:t>may lead to absurd results.</w:t>
      </w:r>
      <w:r w:rsidR="006E0F5A">
        <w:rPr>
          <w:rFonts w:eastAsia="Times New Roman" w:cs="Times New Roman"/>
          <w:color w:val="000000"/>
          <w:szCs w:val="26"/>
        </w:rPr>
        <w:t>’ </w:t>
      </w:r>
      <w:r w:rsidRPr="00C63CEF" w:rsidR="00033573">
        <w:rPr>
          <w:rFonts w:eastAsia="Times New Roman" w:cs="Times New Roman"/>
          <w:color w:val="000000"/>
          <w:szCs w:val="26"/>
        </w:rPr>
        <w:t>”</w:t>
      </w:r>
      <w:r w:rsidR="00033573">
        <w:rPr>
          <w:rFonts w:eastAsia="Times New Roman" w:cs="Times New Roman"/>
          <w:color w:val="000000"/>
          <w:szCs w:val="26"/>
        </w:rPr>
        <w:t xml:space="preserve">  (</w:t>
      </w:r>
      <w:r w:rsidRPr="00C16309" w:rsidR="00C16309">
        <w:rPr>
          <w:rFonts w:eastAsia="Times New Roman" w:cs="Times New Roman"/>
          <w:i/>
          <w:iCs/>
          <w:color w:val="000000"/>
          <w:szCs w:val="26"/>
        </w:rPr>
        <w:t>Adrian L</w:t>
      </w:r>
      <w:r w:rsidR="00C16309">
        <w:rPr>
          <w:rFonts w:eastAsia="Times New Roman" w:cs="Times New Roman"/>
          <w:color w:val="000000"/>
          <w:szCs w:val="26"/>
        </w:rPr>
        <w:t>.,</w:t>
      </w:r>
      <w:r w:rsidR="00033573">
        <w:rPr>
          <w:rFonts w:eastAsia="Times New Roman" w:cs="Times New Roman"/>
          <w:color w:val="000000"/>
          <w:szCs w:val="26"/>
        </w:rPr>
        <w:t xml:space="preserve"> at p. 369.)</w:t>
      </w:r>
      <w:r>
        <w:rPr>
          <w:rFonts w:eastAsia="Times New Roman" w:cs="Times New Roman"/>
          <w:color w:val="000000"/>
          <w:szCs w:val="26"/>
        </w:rPr>
        <w:t xml:space="preserve">  We should not, and cannot, conclude the Legislature had this statutory construction in mind in 2018.</w:t>
      </w:r>
    </w:p>
    <w:p w:rsidR="00EF31D0" w:rsidP="00AB39DC" w14:paraId="68DC170B" w14:textId="7D8E6B78">
      <w:pPr>
        <w:keepNext/>
        <w:rPr>
          <w:rFonts w:cs="Times New Roman"/>
          <w:i/>
          <w:iCs/>
          <w:szCs w:val="26"/>
        </w:rPr>
      </w:pPr>
      <w:r>
        <w:rPr>
          <w:rFonts w:cs="Times New Roman"/>
          <w:szCs w:val="26"/>
        </w:rPr>
        <w:t xml:space="preserve">C.  </w:t>
      </w:r>
      <w:r w:rsidRPr="00AB39DC">
        <w:rPr>
          <w:rFonts w:cs="Times New Roman"/>
          <w:i/>
          <w:iCs/>
          <w:szCs w:val="26"/>
        </w:rPr>
        <w:t>The Role of Federal Law</w:t>
      </w:r>
    </w:p>
    <w:p w:rsidR="00501A72" w:rsidP="00AB39DC" w14:paraId="520CE34A" w14:textId="465A4B41">
      <w:pPr>
        <w:ind w:firstLine="720"/>
        <w:rPr>
          <w:rFonts w:eastAsia="Times New Roman" w:cs="Times New Roman"/>
          <w:color w:val="000000"/>
          <w:szCs w:val="26"/>
        </w:rPr>
      </w:pPr>
      <w:r>
        <w:rPr>
          <w:rFonts w:eastAsia="Times New Roman" w:cs="Times New Roman"/>
          <w:color w:val="000000"/>
          <w:szCs w:val="26"/>
        </w:rPr>
        <w:t>In our view, n</w:t>
      </w:r>
      <w:r w:rsidR="00E96CDF">
        <w:rPr>
          <w:rFonts w:eastAsia="Times New Roman" w:cs="Times New Roman"/>
          <w:color w:val="000000"/>
          <w:szCs w:val="26"/>
        </w:rPr>
        <w:t xml:space="preserve">o </w:t>
      </w:r>
      <w:r w:rsidR="000E5122">
        <w:rPr>
          <w:rFonts w:eastAsia="Times New Roman" w:cs="Times New Roman"/>
          <w:color w:val="000000"/>
          <w:szCs w:val="26"/>
        </w:rPr>
        <w:t>deep</w:t>
      </w:r>
      <w:r>
        <w:rPr>
          <w:rFonts w:eastAsia="Times New Roman" w:cs="Times New Roman"/>
          <w:color w:val="000000"/>
          <w:szCs w:val="26"/>
        </w:rPr>
        <w:t xml:space="preserve"> look at federal law is needed to understand our Legislature’s </w:t>
      </w:r>
      <w:r w:rsidR="00E656A8">
        <w:rPr>
          <w:rFonts w:eastAsia="Times New Roman" w:cs="Times New Roman"/>
          <w:color w:val="000000"/>
          <w:szCs w:val="26"/>
        </w:rPr>
        <w:t xml:space="preserve">decision to require </w:t>
      </w:r>
      <w:r w:rsidR="00114E70">
        <w:rPr>
          <w:rFonts w:eastAsia="Times New Roman" w:cs="Times New Roman"/>
          <w:color w:val="000000"/>
          <w:szCs w:val="26"/>
        </w:rPr>
        <w:t>that departments inquire of a child’s extended family as part of the initial inquiry</w:t>
      </w:r>
      <w:r w:rsidR="004343E6">
        <w:rPr>
          <w:rFonts w:eastAsia="Times New Roman" w:cs="Times New Roman"/>
          <w:color w:val="000000"/>
          <w:szCs w:val="26"/>
        </w:rPr>
        <w:t xml:space="preserve"> into whether a </w:t>
      </w:r>
      <w:r w:rsidR="00E86223">
        <w:rPr>
          <w:rFonts w:eastAsia="Times New Roman" w:cs="Times New Roman"/>
          <w:color w:val="000000"/>
          <w:szCs w:val="26"/>
        </w:rPr>
        <w:t>child being removed from parents</w:t>
      </w:r>
      <w:r w:rsidR="004343E6">
        <w:rPr>
          <w:rFonts w:eastAsia="Times New Roman" w:cs="Times New Roman"/>
          <w:color w:val="000000"/>
          <w:szCs w:val="26"/>
        </w:rPr>
        <w:t xml:space="preserve"> is Indian.</w:t>
      </w:r>
      <w:r w:rsidR="00B34E77">
        <w:rPr>
          <w:rFonts w:eastAsia="Times New Roman" w:cs="Times New Roman"/>
          <w:color w:val="000000"/>
          <w:szCs w:val="26"/>
        </w:rPr>
        <w:t xml:space="preserve"> </w:t>
      </w:r>
      <w:r>
        <w:rPr>
          <w:rFonts w:eastAsia="Times New Roman" w:cs="Times New Roman"/>
          <w:color w:val="000000"/>
          <w:szCs w:val="26"/>
        </w:rPr>
        <w:t xml:space="preserve"> F</w:t>
      </w:r>
      <w:r w:rsidR="00B34E77">
        <w:rPr>
          <w:rFonts w:eastAsia="Times New Roman" w:cs="Times New Roman"/>
          <w:color w:val="000000"/>
          <w:szCs w:val="26"/>
        </w:rPr>
        <w:t xml:space="preserve">ederal </w:t>
      </w:r>
      <w:r>
        <w:rPr>
          <w:rFonts w:eastAsia="Times New Roman" w:cs="Times New Roman"/>
          <w:color w:val="000000"/>
          <w:szCs w:val="26"/>
        </w:rPr>
        <w:t>guidance</w:t>
      </w:r>
      <w:r w:rsidR="00B34E77">
        <w:rPr>
          <w:rFonts w:eastAsia="Times New Roman" w:cs="Times New Roman"/>
          <w:color w:val="000000"/>
          <w:szCs w:val="26"/>
        </w:rPr>
        <w:t xml:space="preserve"> </w:t>
      </w:r>
      <w:r>
        <w:rPr>
          <w:rFonts w:eastAsia="Times New Roman" w:cs="Times New Roman"/>
          <w:color w:val="000000"/>
          <w:szCs w:val="26"/>
        </w:rPr>
        <w:t xml:space="preserve">recommends </w:t>
      </w:r>
      <w:r w:rsidR="00B34E77">
        <w:rPr>
          <w:rFonts w:eastAsia="Times New Roman" w:cs="Times New Roman"/>
          <w:color w:val="000000"/>
          <w:szCs w:val="26"/>
        </w:rPr>
        <w:t xml:space="preserve">that states inquire of extended family in emergency proceedings, </w:t>
      </w:r>
      <w:r>
        <w:rPr>
          <w:rFonts w:eastAsia="Times New Roman" w:cs="Times New Roman"/>
          <w:color w:val="000000"/>
          <w:szCs w:val="26"/>
        </w:rPr>
        <w:t>consistent with our Legislature</w:t>
      </w:r>
      <w:r w:rsidR="003B18D9">
        <w:rPr>
          <w:rFonts w:eastAsia="Times New Roman" w:cs="Times New Roman"/>
          <w:color w:val="000000"/>
          <w:szCs w:val="26"/>
        </w:rPr>
        <w:t>’s</w:t>
      </w:r>
      <w:r w:rsidR="00151865">
        <w:rPr>
          <w:rFonts w:eastAsia="Times New Roman" w:cs="Times New Roman"/>
          <w:color w:val="000000"/>
          <w:szCs w:val="26"/>
        </w:rPr>
        <w:t xml:space="preserve"> decision.</w:t>
      </w:r>
    </w:p>
    <w:p w:rsidR="00EF31D0" w:rsidRPr="00AB39DC" w:rsidP="00AB39DC" w14:paraId="488CEDB1" w14:textId="2DE5896E">
      <w:pPr>
        <w:ind w:firstLine="720"/>
        <w:rPr>
          <w:rFonts w:cs="Times New Roman"/>
          <w:i/>
          <w:iCs/>
          <w:szCs w:val="26"/>
        </w:rPr>
      </w:pPr>
      <w:r>
        <w:rPr>
          <w:rFonts w:eastAsia="Times New Roman" w:cs="Times New Roman"/>
          <w:color w:val="000000"/>
          <w:szCs w:val="26"/>
        </w:rPr>
        <w:t xml:space="preserve">At the heart of the </w:t>
      </w:r>
      <w:r w:rsidRPr="00AB39DC" w:rsidR="008C551D">
        <w:rPr>
          <w:rFonts w:eastAsia="Times New Roman" w:cs="Times New Roman"/>
          <w:i/>
          <w:iCs/>
          <w:color w:val="000000"/>
          <w:szCs w:val="26"/>
        </w:rPr>
        <w:t>Adrian L.</w:t>
      </w:r>
      <w:r w:rsidR="008C551D">
        <w:rPr>
          <w:rFonts w:eastAsia="Times New Roman" w:cs="Times New Roman"/>
          <w:color w:val="000000"/>
          <w:szCs w:val="26"/>
        </w:rPr>
        <w:t xml:space="preserve"> </w:t>
      </w:r>
      <w:r>
        <w:rPr>
          <w:rFonts w:eastAsia="Times New Roman" w:cs="Times New Roman"/>
          <w:color w:val="000000"/>
          <w:szCs w:val="26"/>
        </w:rPr>
        <w:t>concurrence</w:t>
      </w:r>
      <w:r w:rsidR="00A74DCE">
        <w:rPr>
          <w:rFonts w:eastAsia="Times New Roman" w:cs="Times New Roman"/>
          <w:color w:val="000000"/>
          <w:szCs w:val="26"/>
        </w:rPr>
        <w:t>, however,</w:t>
      </w:r>
      <w:r>
        <w:rPr>
          <w:rFonts w:eastAsia="Times New Roman" w:cs="Times New Roman"/>
          <w:color w:val="000000"/>
          <w:szCs w:val="26"/>
        </w:rPr>
        <w:t xml:space="preserve"> is an erroneous </w:t>
      </w:r>
      <w:r w:rsidR="004F65D3">
        <w:rPr>
          <w:rFonts w:eastAsia="Times New Roman" w:cs="Times New Roman"/>
          <w:color w:val="000000"/>
          <w:szCs w:val="26"/>
        </w:rPr>
        <w:t>claim</w:t>
      </w:r>
      <w:r>
        <w:rPr>
          <w:rFonts w:eastAsia="Times New Roman" w:cs="Times New Roman"/>
          <w:color w:val="000000"/>
          <w:szCs w:val="26"/>
        </w:rPr>
        <w:t xml:space="preserve"> that </w:t>
      </w:r>
      <w:r w:rsidR="005F26B1">
        <w:rPr>
          <w:rFonts w:eastAsia="Times New Roman" w:cs="Times New Roman"/>
          <w:color w:val="000000"/>
          <w:szCs w:val="26"/>
        </w:rPr>
        <w:t xml:space="preserve">federal ICWA law counsels </w:t>
      </w:r>
      <w:r w:rsidR="004F65D3">
        <w:rPr>
          <w:rFonts w:eastAsia="Times New Roman" w:cs="Times New Roman"/>
          <w:color w:val="000000"/>
          <w:szCs w:val="26"/>
        </w:rPr>
        <w:t>for</w:t>
      </w:r>
      <w:r w:rsidR="005F26B1">
        <w:rPr>
          <w:rFonts w:eastAsia="Times New Roman" w:cs="Times New Roman"/>
          <w:color w:val="000000"/>
          <w:szCs w:val="26"/>
        </w:rPr>
        <w:t xml:space="preserve"> </w:t>
      </w:r>
      <w:r w:rsidR="00B17B74">
        <w:rPr>
          <w:rFonts w:eastAsia="Times New Roman" w:cs="Times New Roman"/>
          <w:color w:val="000000"/>
          <w:szCs w:val="26"/>
        </w:rPr>
        <w:t xml:space="preserve">inquiries into </w:t>
      </w:r>
      <w:r>
        <w:rPr>
          <w:rFonts w:eastAsia="Times New Roman" w:cs="Times New Roman"/>
          <w:color w:val="000000"/>
          <w:szCs w:val="26"/>
        </w:rPr>
        <w:t xml:space="preserve">extended family only when a child </w:t>
      </w:r>
      <w:r w:rsidR="00881AE0">
        <w:rPr>
          <w:rFonts w:eastAsia="Times New Roman" w:cs="Times New Roman"/>
          <w:color w:val="000000"/>
          <w:szCs w:val="26"/>
        </w:rPr>
        <w:t>i</w:t>
      </w:r>
      <w:r>
        <w:rPr>
          <w:rFonts w:eastAsia="Times New Roman" w:cs="Times New Roman"/>
          <w:color w:val="000000"/>
          <w:szCs w:val="26"/>
        </w:rPr>
        <w:t>s removed without a warrant.</w:t>
      </w:r>
      <w:r w:rsidR="007B5EDA">
        <w:rPr>
          <w:rFonts w:eastAsia="Times New Roman" w:cs="Times New Roman"/>
          <w:color w:val="000000"/>
          <w:szCs w:val="26"/>
        </w:rPr>
        <w:t xml:space="preserve"> </w:t>
      </w:r>
      <w:r w:rsidR="008C551D">
        <w:rPr>
          <w:rFonts w:eastAsia="Times New Roman" w:cs="Times New Roman"/>
          <w:color w:val="000000"/>
          <w:szCs w:val="26"/>
        </w:rPr>
        <w:t xml:space="preserve"> </w:t>
      </w:r>
      <w:r>
        <w:rPr>
          <w:rFonts w:eastAsia="Times New Roman" w:cs="Times New Roman"/>
          <w:color w:val="000000"/>
          <w:szCs w:val="26"/>
        </w:rPr>
        <w:t xml:space="preserve">Permeating </w:t>
      </w:r>
      <w:r w:rsidR="002A79C5">
        <w:rPr>
          <w:rFonts w:eastAsia="Times New Roman" w:cs="Times New Roman"/>
          <w:color w:val="000000"/>
          <w:szCs w:val="26"/>
        </w:rPr>
        <w:t xml:space="preserve">the </w:t>
      </w:r>
      <w:r>
        <w:rPr>
          <w:rFonts w:eastAsia="Times New Roman" w:cs="Times New Roman"/>
          <w:color w:val="000000"/>
          <w:szCs w:val="26"/>
        </w:rPr>
        <w:t xml:space="preserve">concurrence is a misunderstanding of how federal ICWA law applies to the removal of Indian children from their parents before a dependency petition is filed.  </w:t>
      </w:r>
      <w:r w:rsidR="00D34038">
        <w:rPr>
          <w:rFonts w:eastAsia="Times New Roman" w:cs="Times New Roman"/>
          <w:color w:val="000000"/>
          <w:szCs w:val="26"/>
        </w:rPr>
        <w:t>The concurrence reasons</w:t>
      </w:r>
      <w:r>
        <w:rPr>
          <w:rFonts w:eastAsia="Times New Roman" w:cs="Times New Roman"/>
          <w:color w:val="000000"/>
          <w:szCs w:val="26"/>
        </w:rPr>
        <w:t xml:space="preserve"> that under federal law, </w:t>
      </w:r>
      <w:r w:rsidR="008A7FEB">
        <w:rPr>
          <w:rFonts w:eastAsia="Times New Roman" w:cs="Times New Roman"/>
          <w:color w:val="000000"/>
          <w:szCs w:val="26"/>
        </w:rPr>
        <w:t xml:space="preserve">only </w:t>
      </w:r>
      <w:r>
        <w:rPr>
          <w:rFonts w:eastAsia="Times New Roman" w:cs="Times New Roman"/>
          <w:color w:val="000000"/>
          <w:szCs w:val="26"/>
        </w:rPr>
        <w:t xml:space="preserve">a </w:t>
      </w:r>
      <w:r w:rsidR="00B34E3D">
        <w:rPr>
          <w:rFonts w:eastAsia="Times New Roman" w:cs="Times New Roman"/>
          <w:color w:val="000000"/>
          <w:szCs w:val="26"/>
        </w:rPr>
        <w:t xml:space="preserve">warrantless </w:t>
      </w:r>
      <w:r>
        <w:rPr>
          <w:rFonts w:eastAsia="Times New Roman" w:cs="Times New Roman"/>
          <w:color w:val="000000"/>
          <w:szCs w:val="26"/>
        </w:rPr>
        <w:t xml:space="preserve">removal of an Indian child </w:t>
      </w:r>
      <w:r w:rsidR="00B34E3D">
        <w:rPr>
          <w:rFonts w:eastAsia="Times New Roman" w:cs="Times New Roman"/>
          <w:color w:val="000000"/>
          <w:szCs w:val="26"/>
        </w:rPr>
        <w:t>constitutes</w:t>
      </w:r>
      <w:r>
        <w:rPr>
          <w:rFonts w:eastAsia="Times New Roman" w:cs="Times New Roman"/>
          <w:color w:val="000000"/>
          <w:szCs w:val="26"/>
        </w:rPr>
        <w:t xml:space="preserve"> an “emergency removal</w:t>
      </w:r>
      <w:r w:rsidR="00707616">
        <w:rPr>
          <w:rFonts w:eastAsia="Times New Roman" w:cs="Times New Roman"/>
          <w:color w:val="000000"/>
          <w:szCs w:val="26"/>
        </w:rPr>
        <w:t>.</w:t>
      </w:r>
      <w:r>
        <w:rPr>
          <w:rFonts w:eastAsia="Times New Roman" w:cs="Times New Roman"/>
          <w:color w:val="000000"/>
          <w:szCs w:val="26"/>
        </w:rPr>
        <w:t xml:space="preserve">”  </w:t>
      </w:r>
      <w:r w:rsidR="005F26B1">
        <w:rPr>
          <w:rFonts w:eastAsia="Times New Roman" w:cs="Times New Roman"/>
          <w:color w:val="000000"/>
          <w:szCs w:val="26"/>
        </w:rPr>
        <w:t>It then uses t</w:t>
      </w:r>
      <w:r>
        <w:rPr>
          <w:rFonts w:eastAsia="Times New Roman" w:cs="Times New Roman"/>
          <w:color w:val="000000"/>
          <w:szCs w:val="26"/>
        </w:rPr>
        <w:t xml:space="preserve">his purported federal distinction to support its </w:t>
      </w:r>
      <w:r w:rsidR="008F4846">
        <w:rPr>
          <w:rFonts w:eastAsia="Times New Roman" w:cs="Times New Roman"/>
          <w:color w:val="000000"/>
          <w:szCs w:val="26"/>
        </w:rPr>
        <w:t>view that section 224.2’s reference to “temporary custody” refer</w:t>
      </w:r>
      <w:r w:rsidR="00852B76">
        <w:rPr>
          <w:rFonts w:eastAsia="Times New Roman" w:cs="Times New Roman"/>
          <w:color w:val="000000"/>
          <w:szCs w:val="26"/>
        </w:rPr>
        <w:t>s</w:t>
      </w:r>
      <w:r w:rsidR="008F4846">
        <w:rPr>
          <w:rFonts w:eastAsia="Times New Roman" w:cs="Times New Roman"/>
          <w:color w:val="000000"/>
          <w:szCs w:val="26"/>
        </w:rPr>
        <w:t xml:space="preserve"> to warrantless removals only</w:t>
      </w:r>
      <w:r>
        <w:rPr>
          <w:rFonts w:eastAsia="Times New Roman" w:cs="Times New Roman"/>
          <w:color w:val="000000"/>
          <w:szCs w:val="26"/>
        </w:rPr>
        <w:t>.</w:t>
      </w:r>
    </w:p>
    <w:p w:rsidR="00EF31D0" w:rsidP="00AB39DC" w14:paraId="61877458" w14:textId="3837ADEB">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There is no room for any such distinction in federal law.  Any pre-petition removal of an Indian child in a dependency case is an “emergency removal.”</w:t>
      </w:r>
    </w:p>
    <w:p w:rsidR="00EF31D0" w:rsidP="00AB39DC" w14:paraId="24873407" w14:textId="143B855C">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 xml:space="preserve">Under ICWA, there are </w:t>
      </w:r>
      <w:r w:rsidR="00A3171F">
        <w:rPr>
          <w:rFonts w:eastAsia="Times New Roman" w:cs="Times New Roman"/>
          <w:color w:val="000000"/>
          <w:szCs w:val="26"/>
        </w:rPr>
        <w:t xml:space="preserve">only </w:t>
      </w:r>
      <w:r>
        <w:rPr>
          <w:rFonts w:eastAsia="Times New Roman" w:cs="Times New Roman"/>
          <w:color w:val="000000"/>
          <w:szCs w:val="26"/>
        </w:rPr>
        <w:t xml:space="preserve">two ways an Indian child can be removed from their parents and placed with another custodian: </w:t>
      </w:r>
      <w:r w:rsidR="00B75E94">
        <w:rPr>
          <w:rFonts w:eastAsia="Times New Roman" w:cs="Times New Roman"/>
          <w:color w:val="000000"/>
          <w:szCs w:val="26"/>
        </w:rPr>
        <w:t xml:space="preserve"> </w:t>
      </w:r>
      <w:r>
        <w:rPr>
          <w:rFonts w:eastAsia="Times New Roman" w:cs="Times New Roman"/>
          <w:color w:val="000000"/>
          <w:szCs w:val="26"/>
        </w:rPr>
        <w:t xml:space="preserve">in a “child-custody proceeding” or in an “emergency proceeding.”  (25 C.F.R. </w:t>
      </w:r>
      <w:r w:rsidR="005940ED">
        <w:rPr>
          <w:rFonts w:eastAsia="Times New Roman" w:cs="Times New Roman"/>
          <w:color w:val="000000"/>
          <w:szCs w:val="26"/>
        </w:rPr>
        <w:t>§ </w:t>
      </w:r>
      <w:r>
        <w:rPr>
          <w:rFonts w:eastAsia="Times New Roman" w:cs="Times New Roman"/>
          <w:color w:val="000000"/>
          <w:szCs w:val="26"/>
        </w:rPr>
        <w:t>23.2</w:t>
      </w:r>
      <w:r w:rsidR="003D3BBD">
        <w:rPr>
          <w:rFonts w:eastAsia="Times New Roman" w:cs="Times New Roman"/>
          <w:color w:val="000000"/>
          <w:szCs w:val="26"/>
        </w:rPr>
        <w:t xml:space="preserve"> (2023)</w:t>
      </w:r>
      <w:r>
        <w:rPr>
          <w:rFonts w:eastAsia="Times New Roman" w:cs="Times New Roman"/>
          <w:color w:val="000000"/>
          <w:szCs w:val="26"/>
        </w:rPr>
        <w:t>.)  The former requires a set of ICWA protections (see 25 C.F.R. §</w:t>
      </w:r>
      <w:r w:rsidR="005940ED">
        <w:rPr>
          <w:rFonts w:eastAsia="Times New Roman" w:cs="Times New Roman"/>
          <w:color w:val="000000"/>
          <w:szCs w:val="26"/>
        </w:rPr>
        <w:t>§ </w:t>
      </w:r>
      <w:r>
        <w:rPr>
          <w:rFonts w:eastAsia="Times New Roman" w:cs="Times New Roman"/>
          <w:color w:val="000000"/>
          <w:szCs w:val="26"/>
        </w:rPr>
        <w:t>23.111, 23.120-23.122</w:t>
      </w:r>
      <w:r w:rsidR="003D3BBD">
        <w:rPr>
          <w:rFonts w:eastAsia="Times New Roman" w:cs="Times New Roman"/>
          <w:color w:val="000000"/>
          <w:szCs w:val="26"/>
        </w:rPr>
        <w:t xml:space="preserve"> (2023)</w:t>
      </w:r>
      <w:r>
        <w:rPr>
          <w:rFonts w:eastAsia="Times New Roman" w:cs="Times New Roman"/>
          <w:color w:val="000000"/>
          <w:szCs w:val="26"/>
        </w:rPr>
        <w:t>)</w:t>
      </w:r>
      <w:r w:rsidR="008C551D">
        <w:rPr>
          <w:rFonts w:eastAsia="Times New Roman" w:cs="Times New Roman"/>
          <w:color w:val="000000"/>
          <w:szCs w:val="26"/>
        </w:rPr>
        <w:t>,</w:t>
      </w:r>
      <w:r>
        <w:rPr>
          <w:rFonts w:eastAsia="Times New Roman" w:cs="Times New Roman"/>
          <w:color w:val="000000"/>
          <w:szCs w:val="26"/>
        </w:rPr>
        <w:t xml:space="preserve"> while the latter occurs “without the full suite of protections in ICWA.”  (</w:t>
      </w:r>
      <w:r w:rsidR="00E46F78">
        <w:rPr>
          <w:rFonts w:eastAsia="Times New Roman" w:cs="Times New Roman"/>
          <w:color w:val="000000"/>
          <w:szCs w:val="26"/>
        </w:rPr>
        <w:t>Executive Summary</w:t>
      </w:r>
      <w:r>
        <w:rPr>
          <w:rFonts w:eastAsia="Times New Roman" w:cs="Times New Roman"/>
          <w:color w:val="000000"/>
          <w:szCs w:val="26"/>
        </w:rPr>
        <w:t>, Dept</w:t>
      </w:r>
      <w:r w:rsidR="0030042B">
        <w:rPr>
          <w:rFonts w:eastAsia="Times New Roman" w:cs="Times New Roman"/>
          <w:color w:val="000000"/>
          <w:szCs w:val="26"/>
        </w:rPr>
        <w:t>.</w:t>
      </w:r>
      <w:r>
        <w:rPr>
          <w:rFonts w:eastAsia="Times New Roman" w:cs="Times New Roman"/>
          <w:color w:val="000000"/>
          <w:szCs w:val="26"/>
        </w:rPr>
        <w:t xml:space="preserve"> of the Interior, 81 Fed. Reg. </w:t>
      </w:r>
      <w:r w:rsidR="00E46F78">
        <w:rPr>
          <w:rFonts w:eastAsia="Times New Roman" w:cs="Times New Roman"/>
          <w:color w:val="000000"/>
          <w:szCs w:val="26"/>
        </w:rPr>
        <w:t xml:space="preserve">at </w:t>
      </w:r>
      <w:r>
        <w:rPr>
          <w:rFonts w:eastAsia="Times New Roman" w:cs="Times New Roman"/>
          <w:color w:val="000000"/>
          <w:szCs w:val="26"/>
        </w:rPr>
        <w:t>38778, 38794 (2016) (Interior Dept. Rules)</w:t>
      </w:r>
      <w:r w:rsidR="0030042B">
        <w:rPr>
          <w:rFonts w:eastAsia="Times New Roman" w:cs="Times New Roman"/>
          <w:color w:val="000000"/>
          <w:szCs w:val="26"/>
        </w:rPr>
        <w:t>.)</w:t>
      </w:r>
      <w:r>
        <w:rPr>
          <w:rFonts w:eastAsia="Times New Roman" w:cs="Times New Roman"/>
          <w:color w:val="000000"/>
          <w:szCs w:val="26"/>
        </w:rPr>
        <w:t xml:space="preserve">  </w:t>
      </w:r>
      <w:r w:rsidR="00C43126">
        <w:rPr>
          <w:rFonts w:eastAsia="Times New Roman" w:cs="Times New Roman"/>
          <w:color w:val="000000"/>
          <w:szCs w:val="26"/>
        </w:rPr>
        <w:t xml:space="preserve">As we will discuss, </w:t>
      </w:r>
      <w:r w:rsidRPr="00AB39DC" w:rsidR="00C43126">
        <w:rPr>
          <w:rFonts w:eastAsia="Times New Roman" w:cs="Times New Roman"/>
          <w:i/>
          <w:iCs/>
          <w:color w:val="000000"/>
          <w:szCs w:val="26"/>
        </w:rPr>
        <w:t>a</w:t>
      </w:r>
      <w:r w:rsidRPr="00AB39DC">
        <w:rPr>
          <w:rFonts w:eastAsia="Times New Roman" w:cs="Times New Roman"/>
          <w:i/>
          <w:iCs/>
          <w:color w:val="000000"/>
          <w:szCs w:val="26"/>
        </w:rPr>
        <w:t>ll</w:t>
      </w:r>
      <w:r>
        <w:rPr>
          <w:rFonts w:eastAsia="Times New Roman" w:cs="Times New Roman"/>
          <w:color w:val="000000"/>
          <w:szCs w:val="26"/>
        </w:rPr>
        <w:t xml:space="preserve"> pre-petition removals of Indian children</w:t>
      </w:r>
      <w:r w:rsidR="00C43126">
        <w:rPr>
          <w:rFonts w:eastAsia="Times New Roman" w:cs="Times New Roman"/>
          <w:color w:val="000000"/>
          <w:szCs w:val="26"/>
        </w:rPr>
        <w:t xml:space="preserve"> are emergency removals, and the ensuing </w:t>
      </w:r>
      <w:r>
        <w:rPr>
          <w:rFonts w:eastAsia="Times New Roman" w:cs="Times New Roman"/>
          <w:color w:val="000000"/>
          <w:szCs w:val="26"/>
        </w:rPr>
        <w:t xml:space="preserve">dependency </w:t>
      </w:r>
      <w:r w:rsidR="00C43126">
        <w:rPr>
          <w:rFonts w:eastAsia="Times New Roman" w:cs="Times New Roman"/>
          <w:color w:val="000000"/>
          <w:szCs w:val="26"/>
        </w:rPr>
        <w:t>proceedings</w:t>
      </w:r>
      <w:r>
        <w:rPr>
          <w:rFonts w:eastAsia="Times New Roman" w:cs="Times New Roman"/>
          <w:color w:val="000000"/>
          <w:szCs w:val="26"/>
        </w:rPr>
        <w:t xml:space="preserve"> are</w:t>
      </w:r>
      <w:r w:rsidR="00B7171B">
        <w:rPr>
          <w:rFonts w:eastAsia="Times New Roman" w:cs="Times New Roman"/>
          <w:color w:val="000000"/>
          <w:szCs w:val="26"/>
        </w:rPr>
        <w:t xml:space="preserve">, </w:t>
      </w:r>
      <w:r w:rsidR="001226E5">
        <w:rPr>
          <w:rFonts w:eastAsia="Times New Roman" w:cs="Times New Roman"/>
          <w:color w:val="000000"/>
          <w:szCs w:val="26"/>
        </w:rPr>
        <w:t>at least at first</w:t>
      </w:r>
      <w:r w:rsidR="00B7171B">
        <w:rPr>
          <w:rFonts w:eastAsia="Times New Roman" w:cs="Times New Roman"/>
          <w:color w:val="000000"/>
          <w:szCs w:val="26"/>
        </w:rPr>
        <w:t>,</w:t>
      </w:r>
      <w:r>
        <w:rPr>
          <w:rFonts w:eastAsia="Times New Roman" w:cs="Times New Roman"/>
          <w:color w:val="000000"/>
          <w:szCs w:val="26"/>
        </w:rPr>
        <w:t xml:space="preserve"> emergency </w:t>
      </w:r>
      <w:r w:rsidR="00C43126">
        <w:rPr>
          <w:rFonts w:eastAsia="Times New Roman" w:cs="Times New Roman"/>
          <w:color w:val="000000"/>
          <w:szCs w:val="26"/>
        </w:rPr>
        <w:t xml:space="preserve">proceedings under ICWA.  </w:t>
      </w:r>
      <w:r w:rsidR="0086374F">
        <w:rPr>
          <w:rFonts w:eastAsia="Times New Roman" w:cs="Times New Roman"/>
          <w:color w:val="000000"/>
          <w:szCs w:val="26"/>
        </w:rPr>
        <w:t>When</w:t>
      </w:r>
      <w:r w:rsidR="005F26B1">
        <w:rPr>
          <w:rFonts w:eastAsia="Times New Roman" w:cs="Times New Roman"/>
          <w:color w:val="000000"/>
          <w:szCs w:val="26"/>
        </w:rPr>
        <w:t xml:space="preserve"> a child </w:t>
      </w:r>
      <w:r w:rsidR="0086374F">
        <w:rPr>
          <w:rFonts w:eastAsia="Times New Roman" w:cs="Times New Roman"/>
          <w:color w:val="000000"/>
          <w:szCs w:val="26"/>
        </w:rPr>
        <w:t>is</w:t>
      </w:r>
      <w:r w:rsidR="005F26B1">
        <w:rPr>
          <w:rFonts w:eastAsia="Times New Roman" w:cs="Times New Roman"/>
          <w:color w:val="000000"/>
          <w:szCs w:val="26"/>
        </w:rPr>
        <w:t xml:space="preserve"> </w:t>
      </w:r>
      <w:r w:rsidR="00387158">
        <w:rPr>
          <w:rFonts w:eastAsia="Times New Roman" w:cs="Times New Roman"/>
          <w:color w:val="000000"/>
          <w:szCs w:val="26"/>
        </w:rPr>
        <w:t>removed before a</w:t>
      </w:r>
      <w:r w:rsidR="005F26B1">
        <w:rPr>
          <w:rFonts w:eastAsia="Times New Roman" w:cs="Times New Roman"/>
          <w:color w:val="000000"/>
          <w:szCs w:val="26"/>
        </w:rPr>
        <w:t xml:space="preserve"> petition, the department</w:t>
      </w:r>
      <w:r>
        <w:rPr>
          <w:rFonts w:eastAsia="Times New Roman" w:cs="Times New Roman"/>
          <w:color w:val="000000"/>
          <w:szCs w:val="26"/>
        </w:rPr>
        <w:t xml:space="preserve"> </w:t>
      </w:r>
      <w:r w:rsidR="000330B0">
        <w:rPr>
          <w:rFonts w:eastAsia="Times New Roman" w:cs="Times New Roman"/>
          <w:color w:val="000000"/>
          <w:szCs w:val="26"/>
        </w:rPr>
        <w:t>cannot</w:t>
      </w:r>
      <w:r>
        <w:rPr>
          <w:rFonts w:eastAsia="Times New Roman" w:cs="Times New Roman"/>
          <w:color w:val="000000"/>
          <w:szCs w:val="26"/>
        </w:rPr>
        <w:t xml:space="preserve"> comply with the </w:t>
      </w:r>
      <w:r w:rsidR="005A01F8">
        <w:rPr>
          <w:rFonts w:eastAsia="Times New Roman" w:cs="Times New Roman"/>
          <w:color w:val="000000"/>
          <w:szCs w:val="26"/>
        </w:rPr>
        <w:t>full ICWA requirements</w:t>
      </w:r>
      <w:r>
        <w:rPr>
          <w:rFonts w:eastAsia="Times New Roman" w:cs="Times New Roman"/>
          <w:color w:val="000000"/>
          <w:szCs w:val="26"/>
        </w:rPr>
        <w:t xml:space="preserve">, and </w:t>
      </w:r>
      <w:r w:rsidR="005F26B1">
        <w:rPr>
          <w:rFonts w:eastAsia="Times New Roman" w:cs="Times New Roman"/>
          <w:color w:val="000000"/>
          <w:szCs w:val="26"/>
        </w:rPr>
        <w:t>the only</w:t>
      </w:r>
      <w:r>
        <w:rPr>
          <w:rFonts w:eastAsia="Times New Roman" w:cs="Times New Roman"/>
          <w:color w:val="000000"/>
          <w:szCs w:val="26"/>
        </w:rPr>
        <w:t xml:space="preserve"> other option in federal law</w:t>
      </w:r>
      <w:r w:rsidR="005F26B1">
        <w:rPr>
          <w:rFonts w:eastAsia="Times New Roman" w:cs="Times New Roman"/>
          <w:color w:val="000000"/>
          <w:szCs w:val="26"/>
        </w:rPr>
        <w:t xml:space="preserve"> is</w:t>
      </w:r>
      <w:r w:rsidR="00C43126">
        <w:rPr>
          <w:rFonts w:eastAsia="Times New Roman" w:cs="Times New Roman"/>
          <w:color w:val="000000"/>
          <w:szCs w:val="26"/>
        </w:rPr>
        <w:t xml:space="preserve"> an</w:t>
      </w:r>
      <w:r w:rsidR="005F26B1">
        <w:rPr>
          <w:rFonts w:eastAsia="Times New Roman" w:cs="Times New Roman"/>
          <w:color w:val="000000"/>
          <w:szCs w:val="26"/>
        </w:rPr>
        <w:t xml:space="preserve"> “emergency </w:t>
      </w:r>
      <w:r w:rsidR="00C43126">
        <w:rPr>
          <w:rFonts w:eastAsia="Times New Roman" w:cs="Times New Roman"/>
          <w:color w:val="000000"/>
          <w:szCs w:val="26"/>
        </w:rPr>
        <w:t>proceeding</w:t>
      </w:r>
      <w:r>
        <w:rPr>
          <w:rFonts w:eastAsia="Times New Roman" w:cs="Times New Roman"/>
          <w:color w:val="000000"/>
          <w:szCs w:val="26"/>
        </w:rPr>
        <w:t>.</w:t>
      </w:r>
      <w:r w:rsidR="005F26B1">
        <w:rPr>
          <w:rFonts w:eastAsia="Times New Roman" w:cs="Times New Roman"/>
          <w:color w:val="000000"/>
          <w:szCs w:val="26"/>
        </w:rPr>
        <w:t>”</w:t>
      </w:r>
      <w:r>
        <w:rPr>
          <w:rFonts w:eastAsia="Times New Roman" w:cs="Times New Roman"/>
          <w:color w:val="000000"/>
          <w:szCs w:val="26"/>
        </w:rPr>
        <w:t xml:space="preserve">  There is simply no room in federal law for</w:t>
      </w:r>
      <w:r w:rsidR="00CA01AA">
        <w:rPr>
          <w:rFonts w:eastAsia="Times New Roman" w:cs="Times New Roman"/>
          <w:color w:val="000000"/>
          <w:szCs w:val="26"/>
        </w:rPr>
        <w:t xml:space="preserve"> the view espoused in the</w:t>
      </w:r>
      <w:r>
        <w:rPr>
          <w:rFonts w:eastAsia="Times New Roman" w:cs="Times New Roman"/>
          <w:color w:val="000000"/>
          <w:szCs w:val="26"/>
        </w:rPr>
        <w:t xml:space="preserve"> </w:t>
      </w:r>
      <w:r w:rsidRPr="000D0B66">
        <w:rPr>
          <w:rFonts w:eastAsia="Times New Roman" w:cs="Times New Roman"/>
          <w:i/>
          <w:iCs/>
          <w:color w:val="000000"/>
          <w:szCs w:val="26"/>
        </w:rPr>
        <w:t>Adrian L</w:t>
      </w:r>
      <w:r>
        <w:rPr>
          <w:rFonts w:eastAsia="Times New Roman" w:cs="Times New Roman"/>
          <w:color w:val="000000"/>
          <w:szCs w:val="26"/>
        </w:rPr>
        <w:t>.</w:t>
      </w:r>
      <w:r w:rsidR="00CA01AA">
        <w:rPr>
          <w:rFonts w:eastAsia="Times New Roman" w:cs="Times New Roman"/>
          <w:color w:val="000000"/>
          <w:szCs w:val="26"/>
        </w:rPr>
        <w:t xml:space="preserve"> concurrence</w:t>
      </w:r>
      <w:r>
        <w:rPr>
          <w:rFonts w:eastAsia="Times New Roman" w:cs="Times New Roman"/>
          <w:color w:val="000000"/>
          <w:szCs w:val="26"/>
        </w:rPr>
        <w:t>.</w:t>
      </w:r>
    </w:p>
    <w:p w:rsidR="00EF31D0" w:rsidP="00546B0B" w14:paraId="71E3C522" w14:textId="68BC3444">
      <w:pPr>
        <w:keepNext/>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 xml:space="preserve">1.  </w:t>
      </w:r>
      <w:r w:rsidR="00B7171B">
        <w:rPr>
          <w:rFonts w:eastAsia="Times New Roman" w:cs="Times New Roman"/>
          <w:i/>
          <w:iCs/>
          <w:color w:val="000000"/>
          <w:szCs w:val="26"/>
        </w:rPr>
        <w:t>Child</w:t>
      </w:r>
      <w:r w:rsidR="00E609CF">
        <w:rPr>
          <w:rFonts w:eastAsia="Times New Roman" w:cs="Times New Roman"/>
          <w:i/>
          <w:iCs/>
          <w:color w:val="000000"/>
          <w:szCs w:val="26"/>
        </w:rPr>
        <w:t>-</w:t>
      </w:r>
      <w:r w:rsidR="00B7171B">
        <w:rPr>
          <w:rFonts w:eastAsia="Times New Roman" w:cs="Times New Roman"/>
          <w:i/>
          <w:iCs/>
          <w:color w:val="000000"/>
          <w:szCs w:val="26"/>
        </w:rPr>
        <w:t>Custody Proceedings and Emergency Proceedings Under ICWA</w:t>
      </w:r>
    </w:p>
    <w:p w:rsidR="00EF31D0" w:rsidP="00AB39DC" w14:paraId="4A0EAC53" w14:textId="1740FF3B">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 xml:space="preserve">In ICWA, Congress sought to protect Indian children and promote the “stability and security of Indian tribes and families” by establishing minimum standards “for the removal of Indian children from their families” and the placement of those children in homes that would reflect the values of Indian culture.  (25 U.S.C. </w:t>
      </w:r>
      <w:r w:rsidR="005940ED">
        <w:rPr>
          <w:rFonts w:eastAsia="Times New Roman" w:cs="Times New Roman"/>
          <w:color w:val="000000"/>
          <w:szCs w:val="26"/>
        </w:rPr>
        <w:t>§ </w:t>
      </w:r>
      <w:r>
        <w:rPr>
          <w:rFonts w:eastAsia="Times New Roman" w:cs="Times New Roman"/>
          <w:color w:val="000000"/>
          <w:szCs w:val="26"/>
        </w:rPr>
        <w:t>190</w:t>
      </w:r>
      <w:r w:rsidR="008F675E">
        <w:rPr>
          <w:rFonts w:eastAsia="Times New Roman" w:cs="Times New Roman"/>
          <w:color w:val="000000"/>
          <w:szCs w:val="26"/>
        </w:rPr>
        <w:t>2</w:t>
      </w:r>
      <w:r>
        <w:rPr>
          <w:rFonts w:eastAsia="Times New Roman" w:cs="Times New Roman"/>
          <w:color w:val="000000"/>
          <w:szCs w:val="26"/>
        </w:rPr>
        <w:t xml:space="preserve">.)  ICWA contains provisions governing, among other things, tribal jurisdiction over child-custody proceedings (25 U.S.C. </w:t>
      </w:r>
      <w:r w:rsidR="005940ED">
        <w:rPr>
          <w:rFonts w:eastAsia="Times New Roman" w:cs="Times New Roman"/>
          <w:color w:val="000000"/>
          <w:szCs w:val="26"/>
        </w:rPr>
        <w:t>§ </w:t>
      </w:r>
      <w:r>
        <w:rPr>
          <w:rFonts w:eastAsia="Times New Roman" w:cs="Times New Roman"/>
          <w:color w:val="000000"/>
          <w:szCs w:val="26"/>
        </w:rPr>
        <w:t xml:space="preserve">1911), the conduct of such proceedings (25 U.S.C. </w:t>
      </w:r>
      <w:r w:rsidR="005940ED">
        <w:rPr>
          <w:rFonts w:eastAsia="Times New Roman" w:cs="Times New Roman"/>
          <w:color w:val="000000"/>
          <w:szCs w:val="26"/>
        </w:rPr>
        <w:t>§ </w:t>
      </w:r>
      <w:r>
        <w:rPr>
          <w:rFonts w:eastAsia="Times New Roman" w:cs="Times New Roman"/>
          <w:color w:val="000000"/>
          <w:szCs w:val="26"/>
        </w:rPr>
        <w:t xml:space="preserve">1912), and the placement of Indian children (25 U.S.C. </w:t>
      </w:r>
      <w:r w:rsidR="005940ED">
        <w:rPr>
          <w:rFonts w:eastAsia="Times New Roman" w:cs="Times New Roman"/>
          <w:color w:val="000000"/>
          <w:szCs w:val="26"/>
        </w:rPr>
        <w:t>§ </w:t>
      </w:r>
      <w:r>
        <w:rPr>
          <w:rFonts w:eastAsia="Times New Roman" w:cs="Times New Roman"/>
          <w:color w:val="000000"/>
          <w:szCs w:val="26"/>
        </w:rPr>
        <w:t>1915).</w:t>
      </w:r>
    </w:p>
    <w:p w:rsidR="00EF31D0" w:rsidP="00AB39DC" w14:paraId="2FF5D979" w14:textId="6EB2D9DE">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ICWA defines a “</w:t>
      </w:r>
      <w:r w:rsidR="00E46F78">
        <w:rPr>
          <w:rFonts w:eastAsia="Times New Roman" w:cs="Times New Roman"/>
          <w:color w:val="000000"/>
          <w:szCs w:val="26"/>
        </w:rPr>
        <w:t xml:space="preserve"> ‘</w:t>
      </w:r>
      <w:r>
        <w:rPr>
          <w:rFonts w:eastAsia="Times New Roman" w:cs="Times New Roman"/>
          <w:color w:val="000000"/>
          <w:szCs w:val="26"/>
        </w:rPr>
        <w:t>child-custody proceeding</w:t>
      </w:r>
      <w:r w:rsidR="00E46F78">
        <w:rPr>
          <w:rFonts w:eastAsia="Times New Roman" w:cs="Times New Roman"/>
          <w:color w:val="000000"/>
          <w:szCs w:val="26"/>
        </w:rPr>
        <w:t xml:space="preserve">’ </w:t>
      </w:r>
      <w:r>
        <w:rPr>
          <w:rFonts w:eastAsia="Times New Roman" w:cs="Times New Roman"/>
          <w:color w:val="000000"/>
          <w:szCs w:val="26"/>
        </w:rPr>
        <w:t xml:space="preserve">” to include an action that could require the placement of an Indian child in a foster home or institution.  (25 U.S.C. </w:t>
      </w:r>
      <w:r w:rsidR="005940ED">
        <w:rPr>
          <w:rFonts w:eastAsia="Times New Roman" w:cs="Times New Roman"/>
          <w:color w:val="000000"/>
          <w:szCs w:val="26"/>
        </w:rPr>
        <w:t>§ </w:t>
      </w:r>
      <w:r>
        <w:rPr>
          <w:rFonts w:eastAsia="Times New Roman" w:cs="Times New Roman"/>
          <w:color w:val="000000"/>
          <w:szCs w:val="26"/>
        </w:rPr>
        <w:t xml:space="preserve">1903(1)).  One ICWA protection for the removal of an Indian child in a child-custody proceeding makes it easy to see why a California pre-petition dependency removal cannot meet the standards for such a proceeding.  That is, Indian children may not be removed from their parents </w:t>
      </w:r>
      <w:r w:rsidR="009214CF">
        <w:rPr>
          <w:rFonts w:eastAsia="Times New Roman" w:cs="Times New Roman"/>
          <w:color w:val="000000"/>
          <w:szCs w:val="26"/>
        </w:rPr>
        <w:t xml:space="preserve">and temporarily placed elsewhere </w:t>
      </w:r>
      <w:r>
        <w:rPr>
          <w:rFonts w:eastAsia="Times New Roman" w:cs="Times New Roman"/>
          <w:color w:val="000000"/>
          <w:szCs w:val="26"/>
        </w:rPr>
        <w:t xml:space="preserve">until after </w:t>
      </w:r>
      <w:r w:rsidR="0030042B">
        <w:rPr>
          <w:rFonts w:eastAsia="Times New Roman" w:cs="Times New Roman"/>
          <w:i/>
          <w:iCs/>
          <w:color w:val="000000"/>
          <w:szCs w:val="26"/>
        </w:rPr>
        <w:t>10</w:t>
      </w:r>
      <w:r w:rsidRPr="003353AC">
        <w:rPr>
          <w:rFonts w:eastAsia="Times New Roman" w:cs="Times New Roman"/>
          <w:i/>
          <w:iCs/>
          <w:color w:val="000000"/>
          <w:szCs w:val="26"/>
        </w:rPr>
        <w:t xml:space="preserve"> days</w:t>
      </w:r>
      <w:r w:rsidRPr="008F675E">
        <w:rPr>
          <w:color w:val="000000"/>
        </w:rPr>
        <w:t xml:space="preserve">’ </w:t>
      </w:r>
      <w:r w:rsidRPr="003353AC">
        <w:rPr>
          <w:rFonts w:eastAsia="Times New Roman" w:cs="Times New Roman"/>
          <w:i/>
          <w:iCs/>
          <w:color w:val="000000"/>
          <w:szCs w:val="26"/>
        </w:rPr>
        <w:t xml:space="preserve">notice </w:t>
      </w:r>
      <w:r>
        <w:rPr>
          <w:rFonts w:eastAsia="Times New Roman" w:cs="Times New Roman"/>
          <w:color w:val="000000"/>
          <w:szCs w:val="26"/>
        </w:rPr>
        <w:t xml:space="preserve">to their tribe.  (25 U.S.C. </w:t>
      </w:r>
      <w:r w:rsidR="005940ED">
        <w:rPr>
          <w:rFonts w:eastAsia="Times New Roman" w:cs="Times New Roman"/>
          <w:color w:val="000000"/>
          <w:szCs w:val="26"/>
        </w:rPr>
        <w:t>§ </w:t>
      </w:r>
      <w:r>
        <w:rPr>
          <w:rFonts w:eastAsia="Times New Roman" w:cs="Times New Roman"/>
          <w:color w:val="000000"/>
          <w:szCs w:val="26"/>
        </w:rPr>
        <w:t>1912(a)</w:t>
      </w:r>
      <w:r w:rsidR="009214CF">
        <w:rPr>
          <w:rFonts w:eastAsia="Times New Roman" w:cs="Times New Roman"/>
          <w:color w:val="000000"/>
          <w:szCs w:val="26"/>
        </w:rPr>
        <w:t>; see 25 U.S.C. § 1903(1)</w:t>
      </w:r>
      <w:r w:rsidR="006E0F5A">
        <w:rPr>
          <w:rFonts w:eastAsia="Times New Roman" w:cs="Times New Roman"/>
          <w:color w:val="000000"/>
          <w:szCs w:val="26"/>
        </w:rPr>
        <w:t>(i)</w:t>
      </w:r>
      <w:r w:rsidR="009214CF">
        <w:rPr>
          <w:rFonts w:eastAsia="Times New Roman" w:cs="Times New Roman"/>
          <w:color w:val="000000"/>
          <w:szCs w:val="26"/>
        </w:rPr>
        <w:t xml:space="preserve"> </w:t>
      </w:r>
      <w:r w:rsidR="00E14EE7">
        <w:rPr>
          <w:rFonts w:eastAsia="Times New Roman" w:cs="Times New Roman"/>
          <w:color w:val="000000"/>
          <w:szCs w:val="26"/>
        </w:rPr>
        <w:t>[defining “</w:t>
      </w:r>
      <w:r w:rsidR="006E0F5A">
        <w:rPr>
          <w:rFonts w:eastAsia="Times New Roman" w:cs="Times New Roman"/>
          <w:color w:val="000000"/>
          <w:szCs w:val="26"/>
        </w:rPr>
        <w:t> ‘</w:t>
      </w:r>
      <w:r w:rsidR="00E14EE7">
        <w:rPr>
          <w:rFonts w:eastAsia="Times New Roman" w:cs="Times New Roman"/>
          <w:color w:val="000000"/>
          <w:szCs w:val="26"/>
        </w:rPr>
        <w:t>foster care placement</w:t>
      </w:r>
      <w:r w:rsidR="006E0F5A">
        <w:rPr>
          <w:rFonts w:eastAsia="Times New Roman" w:cs="Times New Roman"/>
          <w:color w:val="000000"/>
          <w:szCs w:val="26"/>
        </w:rPr>
        <w:t>’ </w:t>
      </w:r>
      <w:r w:rsidR="00E14EE7">
        <w:rPr>
          <w:rFonts w:eastAsia="Times New Roman" w:cs="Times New Roman"/>
          <w:color w:val="000000"/>
          <w:szCs w:val="26"/>
        </w:rPr>
        <w:t>”]</w:t>
      </w:r>
      <w:r>
        <w:rPr>
          <w:rFonts w:eastAsia="Times New Roman" w:cs="Times New Roman"/>
          <w:color w:val="000000"/>
          <w:szCs w:val="26"/>
        </w:rPr>
        <w:t xml:space="preserve">.)  </w:t>
      </w:r>
    </w:p>
    <w:p w:rsidR="00EF31D0" w:rsidP="00AB39DC" w14:paraId="05A4D153" w14:textId="65A2A108">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In a California dependency case where a</w:t>
      </w:r>
      <w:r w:rsidR="00621692">
        <w:rPr>
          <w:rFonts w:eastAsia="Times New Roman" w:cs="Times New Roman"/>
          <w:color w:val="000000"/>
          <w:szCs w:val="26"/>
        </w:rPr>
        <w:t>n Indian</w:t>
      </w:r>
      <w:r>
        <w:rPr>
          <w:rFonts w:eastAsia="Times New Roman" w:cs="Times New Roman"/>
          <w:color w:val="000000"/>
          <w:szCs w:val="26"/>
        </w:rPr>
        <w:t xml:space="preserve"> child is removed from her parents before a petition is filed, it </w:t>
      </w:r>
      <w:r w:rsidR="009B1389">
        <w:rPr>
          <w:rFonts w:eastAsia="Times New Roman" w:cs="Times New Roman"/>
          <w:color w:val="000000"/>
          <w:szCs w:val="26"/>
        </w:rPr>
        <w:t>is impossible</w:t>
      </w:r>
      <w:r>
        <w:rPr>
          <w:rFonts w:eastAsia="Times New Roman" w:cs="Times New Roman"/>
          <w:color w:val="000000"/>
          <w:szCs w:val="26"/>
        </w:rPr>
        <w:t xml:space="preserve"> to comply with that notice requirement</w:t>
      </w:r>
      <w:r w:rsidR="004C3CDA">
        <w:rPr>
          <w:rFonts w:eastAsia="Times New Roman" w:cs="Times New Roman"/>
          <w:color w:val="000000"/>
          <w:szCs w:val="26"/>
        </w:rPr>
        <w:t xml:space="preserve"> a</w:t>
      </w:r>
      <w:r w:rsidR="003D2248">
        <w:rPr>
          <w:rFonts w:eastAsia="Times New Roman" w:cs="Times New Roman"/>
          <w:color w:val="000000"/>
          <w:szCs w:val="26"/>
        </w:rPr>
        <w:t>round the time of removal</w:t>
      </w:r>
      <w:r>
        <w:rPr>
          <w:rFonts w:eastAsia="Times New Roman" w:cs="Times New Roman"/>
          <w:color w:val="000000"/>
          <w:szCs w:val="26"/>
        </w:rPr>
        <w:t xml:space="preserve">.  A </w:t>
      </w:r>
      <w:r w:rsidR="00C41D0D">
        <w:rPr>
          <w:rFonts w:eastAsia="Times New Roman" w:cs="Times New Roman"/>
          <w:color w:val="000000"/>
          <w:szCs w:val="26"/>
        </w:rPr>
        <w:t xml:space="preserve">detention </w:t>
      </w:r>
      <w:r>
        <w:rPr>
          <w:rFonts w:eastAsia="Times New Roman" w:cs="Times New Roman"/>
          <w:color w:val="000000"/>
          <w:szCs w:val="26"/>
        </w:rPr>
        <w:t xml:space="preserve">hearing on the removal is required </w:t>
      </w:r>
      <w:r w:rsidR="003D2248">
        <w:rPr>
          <w:rFonts w:eastAsia="Times New Roman" w:cs="Times New Roman"/>
          <w:color w:val="000000"/>
          <w:szCs w:val="26"/>
        </w:rPr>
        <w:t>soon</w:t>
      </w:r>
      <w:r>
        <w:rPr>
          <w:rFonts w:eastAsia="Times New Roman" w:cs="Times New Roman"/>
          <w:color w:val="000000"/>
          <w:szCs w:val="26"/>
        </w:rPr>
        <w:t xml:space="preserve"> after the child is taken from the parents, well before </w:t>
      </w:r>
      <w:r w:rsidR="0030042B">
        <w:rPr>
          <w:rFonts w:eastAsia="Times New Roman" w:cs="Times New Roman"/>
          <w:color w:val="000000"/>
          <w:szCs w:val="26"/>
        </w:rPr>
        <w:t>10</w:t>
      </w:r>
      <w:r>
        <w:rPr>
          <w:rFonts w:eastAsia="Times New Roman" w:cs="Times New Roman"/>
          <w:color w:val="000000"/>
          <w:szCs w:val="26"/>
        </w:rPr>
        <w:t xml:space="preserve"> days have passed.</w:t>
      </w:r>
      <w:r w:rsidR="006823D8">
        <w:rPr>
          <w:rFonts w:eastAsia="Times New Roman" w:cs="Times New Roman"/>
          <w:color w:val="000000"/>
          <w:szCs w:val="26"/>
        </w:rPr>
        <w:t xml:space="preserve">  (See </w:t>
      </w:r>
      <w:r w:rsidR="005940ED">
        <w:rPr>
          <w:rFonts w:eastAsia="Times New Roman" w:cs="Times New Roman"/>
          <w:color w:val="000000"/>
          <w:szCs w:val="26"/>
        </w:rPr>
        <w:t>§ </w:t>
      </w:r>
      <w:r w:rsidR="00617ADA">
        <w:rPr>
          <w:rFonts w:eastAsia="Times New Roman" w:cs="Times New Roman"/>
          <w:color w:val="000000"/>
          <w:szCs w:val="26"/>
        </w:rPr>
        <w:t>315.)</w:t>
      </w:r>
      <w:r>
        <w:rPr>
          <w:rFonts w:eastAsia="Times New Roman" w:cs="Times New Roman"/>
          <w:color w:val="000000"/>
          <w:szCs w:val="26"/>
        </w:rPr>
        <w:t xml:space="preserve">  If a police officer or social worker removes a child from a home—with or without a warrant—and learns then that the child is Indian, there is not enough time to give </w:t>
      </w:r>
      <w:r w:rsidR="00486B89">
        <w:rPr>
          <w:rFonts w:eastAsia="Times New Roman" w:cs="Times New Roman"/>
          <w:color w:val="000000"/>
          <w:szCs w:val="26"/>
        </w:rPr>
        <w:t>10</w:t>
      </w:r>
      <w:r w:rsidR="00911AE0">
        <w:rPr>
          <w:rFonts w:eastAsia="Times New Roman" w:cs="Times New Roman"/>
          <w:color w:val="000000"/>
          <w:szCs w:val="26"/>
        </w:rPr>
        <w:t> </w:t>
      </w:r>
      <w:r>
        <w:rPr>
          <w:rFonts w:eastAsia="Times New Roman" w:cs="Times New Roman"/>
          <w:color w:val="000000"/>
          <w:szCs w:val="26"/>
        </w:rPr>
        <w:t>days’ notice to the child’s tribe before the detention hearing.  An Indian child simply cannot be removed pre-petition in compliance with the ICWA protections for a child-custody proceeding.</w:t>
      </w:r>
      <w:r>
        <w:rPr>
          <w:rStyle w:val="FootnoteReference"/>
          <w:rFonts w:eastAsia="Times New Roman" w:cs="Times New Roman"/>
          <w:color w:val="000000"/>
          <w:szCs w:val="26"/>
        </w:rPr>
        <w:footnoteReference w:id="11"/>
      </w:r>
    </w:p>
    <w:p w:rsidR="00EF31D0" w:rsidP="00516ECB" w14:paraId="1EFF12E1" w14:textId="2D3965DD">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But</w:t>
      </w:r>
      <w:r w:rsidR="001E5E90">
        <w:rPr>
          <w:rFonts w:eastAsia="Times New Roman" w:cs="Times New Roman"/>
          <w:color w:val="000000"/>
          <w:szCs w:val="26"/>
        </w:rPr>
        <w:t>, of course,</w:t>
      </w:r>
      <w:r>
        <w:rPr>
          <w:rFonts w:eastAsia="Times New Roman" w:cs="Times New Roman"/>
          <w:color w:val="000000"/>
          <w:szCs w:val="26"/>
        </w:rPr>
        <w:t xml:space="preserve"> federal law </w:t>
      </w:r>
      <w:r w:rsidRPr="00546B0B">
        <w:rPr>
          <w:rFonts w:eastAsia="Times New Roman" w:cs="Times New Roman"/>
          <w:color w:val="000000"/>
          <w:szCs w:val="26"/>
        </w:rPr>
        <w:t>does</w:t>
      </w:r>
      <w:r>
        <w:rPr>
          <w:rFonts w:eastAsia="Times New Roman" w:cs="Times New Roman"/>
          <w:color w:val="000000"/>
          <w:szCs w:val="26"/>
        </w:rPr>
        <w:t xml:space="preserve"> permit the </w:t>
      </w:r>
      <w:r w:rsidR="00701959">
        <w:rPr>
          <w:rFonts w:eastAsia="Times New Roman" w:cs="Times New Roman"/>
          <w:color w:val="000000"/>
          <w:szCs w:val="26"/>
        </w:rPr>
        <w:t xml:space="preserve">pre-petition </w:t>
      </w:r>
      <w:r>
        <w:rPr>
          <w:rFonts w:eastAsia="Times New Roman" w:cs="Times New Roman"/>
          <w:color w:val="000000"/>
          <w:szCs w:val="26"/>
        </w:rPr>
        <w:t xml:space="preserve">removal of an Indian child in a California dependency case.  </w:t>
      </w:r>
      <w:r w:rsidRPr="00634559">
        <w:rPr>
          <w:rFonts w:eastAsia="Times New Roman" w:cs="Times New Roman"/>
          <w:color w:val="000000"/>
          <w:szCs w:val="26"/>
        </w:rPr>
        <w:t>Congress</w:t>
      </w:r>
      <w:r>
        <w:rPr>
          <w:rFonts w:eastAsia="Times New Roman" w:cs="Times New Roman"/>
          <w:color w:val="000000"/>
          <w:szCs w:val="26"/>
        </w:rPr>
        <w:t xml:space="preserve"> wished to ensure states could act temporarily to protect Indian children when ICWA’s child-custody case procedures cannot be met.  “</w:t>
      </w:r>
      <w:r w:rsidR="002A79C5">
        <w:rPr>
          <w:rFonts w:eastAsia="Times New Roman" w:cs="Times New Roman"/>
          <w:color w:val="000000"/>
          <w:szCs w:val="26"/>
        </w:rPr>
        <w:t>[N]</w:t>
      </w:r>
      <w:r>
        <w:rPr>
          <w:rFonts w:eastAsia="Times New Roman" w:cs="Times New Roman"/>
          <w:color w:val="000000"/>
          <w:szCs w:val="26"/>
        </w:rPr>
        <w:t>othing</w:t>
      </w:r>
      <w:r w:rsidR="008955A2">
        <w:rPr>
          <w:rFonts w:eastAsia="Times New Roman" w:cs="Times New Roman"/>
          <w:color w:val="000000"/>
          <w:szCs w:val="26"/>
        </w:rPr>
        <w:t> </w:t>
      </w:r>
      <w:r>
        <w:rPr>
          <w:rFonts w:eastAsia="Times New Roman" w:cs="Times New Roman"/>
          <w:color w:val="000000"/>
          <w:szCs w:val="26"/>
        </w:rPr>
        <w:t>in this [child</w:t>
      </w:r>
      <w:r w:rsidR="00486B89">
        <w:rPr>
          <w:rFonts w:eastAsia="Times New Roman" w:cs="Times New Roman"/>
          <w:color w:val="000000"/>
          <w:szCs w:val="26"/>
        </w:rPr>
        <w:t>-</w:t>
      </w:r>
      <w:r>
        <w:rPr>
          <w:rFonts w:eastAsia="Times New Roman" w:cs="Times New Roman"/>
          <w:color w:val="000000"/>
          <w:szCs w:val="26"/>
        </w:rPr>
        <w:t>custody proceedings subchapter</w:t>
      </w:r>
      <w:r w:rsidR="00E46F78">
        <w:rPr>
          <w:rFonts w:eastAsia="Times New Roman" w:cs="Times New Roman"/>
          <w:color w:val="000000"/>
          <w:szCs w:val="26"/>
        </w:rPr>
        <w:t>]</w:t>
      </w:r>
      <w:r>
        <w:rPr>
          <w:rFonts w:eastAsia="Times New Roman" w:cs="Times New Roman"/>
          <w:color w:val="000000"/>
          <w:szCs w:val="26"/>
        </w:rPr>
        <w:t xml:space="preserve">” of ICWA should prevent state authorities from performing an “emergency removal” of an Indian child from </w:t>
      </w:r>
      <w:r w:rsidR="00C41D0D">
        <w:rPr>
          <w:rFonts w:eastAsia="Times New Roman" w:cs="Times New Roman"/>
          <w:color w:val="000000"/>
          <w:szCs w:val="26"/>
        </w:rPr>
        <w:t>the</w:t>
      </w:r>
      <w:r>
        <w:rPr>
          <w:rFonts w:eastAsia="Times New Roman" w:cs="Times New Roman"/>
          <w:color w:val="000000"/>
          <w:szCs w:val="26"/>
        </w:rPr>
        <w:t xml:space="preserve"> parents.  (25 U.S.C. </w:t>
      </w:r>
      <w:r w:rsidR="005940ED">
        <w:rPr>
          <w:rFonts w:eastAsia="Times New Roman" w:cs="Times New Roman"/>
          <w:color w:val="000000"/>
          <w:szCs w:val="26"/>
        </w:rPr>
        <w:t>§ </w:t>
      </w:r>
      <w:r>
        <w:rPr>
          <w:rFonts w:eastAsia="Times New Roman" w:cs="Times New Roman"/>
          <w:color w:val="000000"/>
          <w:szCs w:val="26"/>
        </w:rPr>
        <w:t xml:space="preserve">1922.)  </w:t>
      </w:r>
      <w:r w:rsidR="005F26B1">
        <w:rPr>
          <w:rFonts w:eastAsia="Times New Roman" w:cs="Times New Roman"/>
          <w:color w:val="000000"/>
          <w:szCs w:val="26"/>
        </w:rPr>
        <w:t>However, for the state to perform</w:t>
      </w:r>
      <w:r w:rsidR="0057487F">
        <w:rPr>
          <w:rFonts w:eastAsia="Times New Roman" w:cs="Times New Roman"/>
          <w:color w:val="000000"/>
          <w:szCs w:val="26"/>
        </w:rPr>
        <w:t xml:space="preserve"> </w:t>
      </w:r>
      <w:r>
        <w:rPr>
          <w:rFonts w:eastAsia="Times New Roman" w:cs="Times New Roman"/>
          <w:color w:val="000000"/>
          <w:szCs w:val="26"/>
        </w:rPr>
        <w:t xml:space="preserve">an emergency removal, the child must face </w:t>
      </w:r>
      <w:r w:rsidRPr="00180D98">
        <w:rPr>
          <w:rFonts w:eastAsia="Times New Roman" w:cs="Times New Roman"/>
          <w:color w:val="000000"/>
          <w:szCs w:val="26"/>
        </w:rPr>
        <w:t>“imminent physical damage or harm</w:t>
      </w:r>
      <w:r>
        <w:rPr>
          <w:rFonts w:eastAsia="Times New Roman" w:cs="Times New Roman"/>
          <w:color w:val="000000"/>
          <w:szCs w:val="26"/>
        </w:rPr>
        <w:t>.</w:t>
      </w:r>
      <w:r w:rsidRPr="00180D98">
        <w:rPr>
          <w:rFonts w:eastAsia="Times New Roman" w:cs="Times New Roman"/>
          <w:color w:val="000000"/>
          <w:szCs w:val="26"/>
        </w:rPr>
        <w:t>”</w:t>
      </w:r>
      <w:r>
        <w:rPr>
          <w:rFonts w:eastAsia="Times New Roman" w:cs="Times New Roman"/>
          <w:color w:val="000000"/>
          <w:szCs w:val="26"/>
        </w:rPr>
        <w:t xml:space="preserve"> </w:t>
      </w:r>
      <w:r w:rsidRPr="00180D98">
        <w:rPr>
          <w:rFonts w:eastAsia="Times New Roman" w:cs="Times New Roman"/>
          <w:color w:val="000000"/>
          <w:szCs w:val="26"/>
        </w:rPr>
        <w:t xml:space="preserve"> </w:t>
      </w:r>
      <w:r>
        <w:rPr>
          <w:rFonts w:eastAsia="Times New Roman" w:cs="Times New Roman"/>
          <w:color w:val="000000"/>
          <w:szCs w:val="26"/>
        </w:rPr>
        <w:t xml:space="preserve">(25 U.S.C. </w:t>
      </w:r>
      <w:r w:rsidR="005940ED">
        <w:rPr>
          <w:rFonts w:eastAsia="Times New Roman" w:cs="Times New Roman"/>
          <w:color w:val="000000"/>
          <w:szCs w:val="26"/>
        </w:rPr>
        <w:t>§ </w:t>
      </w:r>
      <w:r>
        <w:rPr>
          <w:rFonts w:eastAsia="Times New Roman" w:cs="Times New Roman"/>
          <w:color w:val="000000"/>
          <w:szCs w:val="26"/>
        </w:rPr>
        <w:t xml:space="preserve">1922.)  “[T]he immediacy of the threat is what allows the State to temporarily suspend the initiation of a full ‘child-custody proceeding’ subject to ICWA. . . .  Congress used the standard of ‘imminent physical damage or harm’ to guard against emergency removals where there is no imminent physical damage or harm.”  (Interior Dept. Rules, 81 Fed. Reg. </w:t>
      </w:r>
      <w:r w:rsidR="00E46F78">
        <w:rPr>
          <w:rFonts w:eastAsia="Times New Roman" w:cs="Times New Roman"/>
          <w:color w:val="000000"/>
          <w:szCs w:val="26"/>
        </w:rPr>
        <w:t xml:space="preserve">at </w:t>
      </w:r>
      <w:r>
        <w:rPr>
          <w:rFonts w:eastAsia="Times New Roman" w:cs="Times New Roman"/>
          <w:color w:val="000000"/>
          <w:szCs w:val="26"/>
        </w:rPr>
        <w:t>38794.)</w:t>
      </w:r>
      <w:r w:rsidRPr="00516ECB" w:rsidR="00516ECB">
        <w:rPr>
          <w:rFonts w:eastAsia="Times New Roman" w:cs="Times New Roman"/>
          <w:color w:val="000000"/>
          <w:szCs w:val="26"/>
        </w:rPr>
        <w:t xml:space="preserve">  </w:t>
      </w:r>
      <w:r w:rsidR="00516ECB">
        <w:rPr>
          <w:rFonts w:eastAsia="Times New Roman" w:cs="Times New Roman"/>
          <w:color w:val="000000"/>
          <w:szCs w:val="26"/>
        </w:rPr>
        <w:t>“</w:t>
      </w:r>
      <w:r w:rsidRPr="005525DD" w:rsidR="00516ECB">
        <w:rPr>
          <w:rFonts w:eastAsia="Times New Roman" w:cs="Times New Roman"/>
          <w:color w:val="000000"/>
          <w:szCs w:val="26"/>
        </w:rPr>
        <w:t xml:space="preserve">ICWA allows for removal of a child from his or her parents or Indian custodian, as part of an emergency proceeding only if the child faces </w:t>
      </w:r>
      <w:r w:rsidR="00E46F78">
        <w:rPr>
          <w:rFonts w:eastAsia="Times New Roman" w:cs="Times New Roman"/>
          <w:color w:val="000000"/>
          <w:szCs w:val="26"/>
        </w:rPr>
        <w:t>‘</w:t>
      </w:r>
      <w:r w:rsidRPr="005525DD" w:rsidR="00516ECB">
        <w:rPr>
          <w:rFonts w:eastAsia="Times New Roman" w:cs="Times New Roman"/>
          <w:color w:val="000000"/>
          <w:szCs w:val="26"/>
        </w:rPr>
        <w:t>imminent physical damage or harm.</w:t>
      </w:r>
      <w:r w:rsidR="00E46F78">
        <w:rPr>
          <w:rFonts w:eastAsia="Times New Roman" w:cs="Times New Roman"/>
          <w:color w:val="000000"/>
          <w:szCs w:val="26"/>
        </w:rPr>
        <w:t>’</w:t>
      </w:r>
      <w:r w:rsidR="00AD459F">
        <w:rPr>
          <w:rFonts w:eastAsia="Times New Roman" w:cs="Times New Roman"/>
          <w:color w:val="000000"/>
          <w:szCs w:val="26"/>
        </w:rPr>
        <w:t> ”</w:t>
      </w:r>
      <w:r w:rsidR="00516ECB">
        <w:rPr>
          <w:rFonts w:eastAsia="Times New Roman" w:cs="Times New Roman"/>
          <w:color w:val="000000"/>
          <w:szCs w:val="26"/>
        </w:rPr>
        <w:t xml:space="preserve">  (</w:t>
      </w:r>
      <w:r w:rsidR="00E46F78">
        <w:rPr>
          <w:rFonts w:eastAsia="Times New Roman" w:cs="Times New Roman"/>
          <w:color w:val="000000"/>
          <w:szCs w:val="26"/>
        </w:rPr>
        <w:t>U.S. Dept.</w:t>
      </w:r>
      <w:r w:rsidR="00516ECB">
        <w:rPr>
          <w:rFonts w:eastAsia="Times New Roman" w:cs="Times New Roman"/>
          <w:color w:val="000000"/>
          <w:szCs w:val="26"/>
        </w:rPr>
        <w:t xml:space="preserve"> of </w:t>
      </w:r>
      <w:r w:rsidR="00E46F78">
        <w:rPr>
          <w:rFonts w:eastAsia="Times New Roman" w:cs="Times New Roman"/>
          <w:color w:val="000000"/>
          <w:szCs w:val="26"/>
        </w:rPr>
        <w:t>the Interior</w:t>
      </w:r>
      <w:r w:rsidR="00516ECB">
        <w:rPr>
          <w:rFonts w:eastAsia="Times New Roman" w:cs="Times New Roman"/>
          <w:color w:val="000000"/>
          <w:szCs w:val="26"/>
        </w:rPr>
        <w:t>, Guidelines for Implementing the Indian Child Welfare Act</w:t>
      </w:r>
      <w:r w:rsidR="00E46F78">
        <w:rPr>
          <w:rFonts w:eastAsia="Times New Roman" w:cs="Times New Roman"/>
          <w:color w:val="000000"/>
          <w:szCs w:val="26"/>
        </w:rPr>
        <w:t xml:space="preserve"> (Dec. 2016)</w:t>
      </w:r>
      <w:r w:rsidR="00516ECB">
        <w:rPr>
          <w:rFonts w:eastAsia="Times New Roman" w:cs="Times New Roman"/>
          <w:color w:val="000000"/>
          <w:szCs w:val="26"/>
        </w:rPr>
        <w:t>, C.2</w:t>
      </w:r>
      <w:r w:rsidR="00E46F78">
        <w:rPr>
          <w:rFonts w:eastAsia="Times New Roman" w:cs="Times New Roman"/>
          <w:color w:val="000000"/>
          <w:szCs w:val="26"/>
        </w:rPr>
        <w:t>, p. 23</w:t>
      </w:r>
      <w:r w:rsidR="00516ECB">
        <w:rPr>
          <w:rFonts w:eastAsia="Times New Roman" w:cs="Times New Roman"/>
          <w:color w:val="000000"/>
          <w:szCs w:val="26"/>
        </w:rPr>
        <w:t xml:space="preserve"> (BIA Guidelines</w:t>
      </w:r>
      <w:r w:rsidR="00486B89">
        <w:rPr>
          <w:rFonts w:eastAsia="Times New Roman" w:cs="Times New Roman"/>
          <w:color w:val="000000"/>
          <w:szCs w:val="26"/>
        </w:rPr>
        <w:t>)</w:t>
      </w:r>
      <w:r w:rsidR="00E46F78">
        <w:rPr>
          <w:rFonts w:eastAsia="Times New Roman" w:cs="Times New Roman"/>
          <w:color w:val="000000"/>
          <w:szCs w:val="26"/>
        </w:rPr>
        <w:t xml:space="preserve"> &lt;</w:t>
      </w:r>
      <w:r w:rsidRPr="00AD459F" w:rsidR="00AD459F">
        <w:rPr>
          <w:rFonts w:eastAsia="Times New Roman" w:cs="Times New Roman"/>
          <w:szCs w:val="26"/>
        </w:rPr>
        <w:t>https://www.bia.gov</w:t>
      </w:r>
      <w:r w:rsidR="00E46F78">
        <w:rPr>
          <w:rFonts w:eastAsia="Times New Roman" w:cs="Times New Roman"/>
          <w:color w:val="000000"/>
          <w:szCs w:val="26"/>
        </w:rPr>
        <w:t xml:space="preserve">&gt; [as of </w:t>
      </w:r>
      <w:r w:rsidR="008C238D">
        <w:rPr>
          <w:rFonts w:eastAsia="Times New Roman" w:cs="Times New Roman"/>
          <w:color w:val="000000"/>
          <w:szCs w:val="26"/>
        </w:rPr>
        <w:t>Feb. </w:t>
      </w:r>
      <w:r w:rsidR="00E1768E">
        <w:rPr>
          <w:rFonts w:eastAsia="Times New Roman" w:cs="Times New Roman"/>
          <w:color w:val="000000"/>
          <w:szCs w:val="26"/>
        </w:rPr>
        <w:t>21</w:t>
      </w:r>
      <w:r w:rsidR="008C238D">
        <w:rPr>
          <w:rFonts w:eastAsia="Times New Roman" w:cs="Times New Roman"/>
          <w:color w:val="000000"/>
          <w:szCs w:val="26"/>
        </w:rPr>
        <w:t>, 2024</w:t>
      </w:r>
      <w:r w:rsidR="00E46F78">
        <w:rPr>
          <w:rFonts w:eastAsia="Times New Roman" w:cs="Times New Roman"/>
          <w:color w:val="000000"/>
          <w:szCs w:val="26"/>
        </w:rPr>
        <w:t>]</w:t>
      </w:r>
      <w:r w:rsidR="00486B89">
        <w:rPr>
          <w:rFonts w:eastAsia="Times New Roman" w:cs="Times New Roman"/>
          <w:color w:val="000000"/>
          <w:szCs w:val="26"/>
        </w:rPr>
        <w:t>.</w:t>
      </w:r>
      <w:r w:rsidR="00516ECB">
        <w:rPr>
          <w:rFonts w:eastAsia="Times New Roman" w:cs="Times New Roman"/>
          <w:color w:val="000000"/>
          <w:szCs w:val="26"/>
        </w:rPr>
        <w:t>)</w:t>
      </w:r>
      <w:r>
        <w:rPr>
          <w:rFonts w:eastAsia="Times New Roman" w:cs="Times New Roman"/>
          <w:color w:val="000000"/>
          <w:szCs w:val="26"/>
        </w:rPr>
        <w:t xml:space="preserve">  </w:t>
      </w:r>
      <w:r w:rsidR="0025183D">
        <w:rPr>
          <w:rFonts w:eastAsia="Times New Roman" w:cs="Times New Roman"/>
          <w:color w:val="000000"/>
          <w:szCs w:val="26"/>
        </w:rPr>
        <w:t>Accordingly</w:t>
      </w:r>
      <w:r>
        <w:rPr>
          <w:rFonts w:eastAsia="Times New Roman" w:cs="Times New Roman"/>
          <w:color w:val="000000"/>
          <w:szCs w:val="26"/>
        </w:rPr>
        <w:t>, under California law, a court can detain an Indian child at a detention hearing only upon a showing that detention is necessary to prevent imminent physical damage or harm.  (</w:t>
      </w:r>
      <w:r w:rsidR="005940ED">
        <w:rPr>
          <w:rFonts w:eastAsia="Times New Roman" w:cs="Times New Roman"/>
          <w:color w:val="000000"/>
          <w:szCs w:val="26"/>
        </w:rPr>
        <w:t>§ </w:t>
      </w:r>
      <w:r>
        <w:rPr>
          <w:rFonts w:eastAsia="Times New Roman" w:cs="Times New Roman"/>
          <w:color w:val="000000"/>
          <w:szCs w:val="26"/>
        </w:rPr>
        <w:t>319</w:t>
      </w:r>
      <w:r w:rsidR="00486B89">
        <w:rPr>
          <w:rFonts w:eastAsia="Times New Roman" w:cs="Times New Roman"/>
          <w:color w:val="000000"/>
          <w:szCs w:val="26"/>
        </w:rPr>
        <w:t xml:space="preserve">, subd. </w:t>
      </w:r>
      <w:r>
        <w:rPr>
          <w:rFonts w:eastAsia="Times New Roman" w:cs="Times New Roman"/>
          <w:color w:val="000000"/>
          <w:szCs w:val="26"/>
        </w:rPr>
        <w:t xml:space="preserve">(d); see </w:t>
      </w:r>
      <w:r w:rsidR="00C41D0D">
        <w:rPr>
          <w:rFonts w:eastAsia="Times New Roman" w:cs="Times New Roman"/>
          <w:color w:val="000000"/>
          <w:szCs w:val="26"/>
        </w:rPr>
        <w:t xml:space="preserve">DSS </w:t>
      </w:r>
      <w:r w:rsidR="00A97273">
        <w:rPr>
          <w:rFonts w:eastAsia="Times New Roman" w:cs="Times New Roman"/>
          <w:color w:val="000000"/>
          <w:szCs w:val="26"/>
        </w:rPr>
        <w:t>Regs.</w:t>
      </w:r>
      <w:r>
        <w:rPr>
          <w:rFonts w:eastAsia="Times New Roman" w:cs="Times New Roman"/>
          <w:color w:val="000000"/>
          <w:szCs w:val="26"/>
        </w:rPr>
        <w:t xml:space="preserve"> 31-120.2</w:t>
      </w:r>
      <w:r w:rsidR="00486B89">
        <w:rPr>
          <w:rFonts w:eastAsia="Times New Roman" w:cs="Times New Roman"/>
          <w:color w:val="000000"/>
          <w:szCs w:val="26"/>
        </w:rPr>
        <w:t>,</w:t>
      </w:r>
      <w:r>
        <w:rPr>
          <w:rFonts w:eastAsia="Times New Roman" w:cs="Times New Roman"/>
          <w:color w:val="000000"/>
          <w:szCs w:val="26"/>
        </w:rPr>
        <w:t xml:space="preserve"> 31-125.226.)</w:t>
      </w:r>
    </w:p>
    <w:p w:rsidR="00EF31D0" w:rsidP="00AB39DC" w14:paraId="3A83FE48" w14:textId="21375218">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 xml:space="preserve">Federal law, then, makes a “distinction between the requirements for emergency proceedings and other child-custody proceedings.”  (Interior Dept. Rules, 81 Fed. Reg. </w:t>
      </w:r>
      <w:r w:rsidR="00A40774">
        <w:rPr>
          <w:rFonts w:eastAsia="Times New Roman" w:cs="Times New Roman"/>
          <w:color w:val="000000"/>
          <w:szCs w:val="26"/>
        </w:rPr>
        <w:t xml:space="preserve">at </w:t>
      </w:r>
      <w:r>
        <w:rPr>
          <w:rFonts w:eastAsia="Times New Roman" w:cs="Times New Roman"/>
          <w:color w:val="000000"/>
          <w:szCs w:val="26"/>
        </w:rPr>
        <w:t xml:space="preserve">38779; see 25 C.F.R. </w:t>
      </w:r>
      <w:r w:rsidR="005940ED">
        <w:rPr>
          <w:rFonts w:eastAsia="Times New Roman" w:cs="Times New Roman"/>
          <w:color w:val="000000"/>
          <w:szCs w:val="26"/>
        </w:rPr>
        <w:t>§ </w:t>
      </w:r>
      <w:r>
        <w:rPr>
          <w:rFonts w:eastAsia="Times New Roman" w:cs="Times New Roman"/>
          <w:color w:val="000000"/>
          <w:szCs w:val="26"/>
        </w:rPr>
        <w:t xml:space="preserve">23.103 </w:t>
      </w:r>
      <w:r w:rsidR="00A40774">
        <w:rPr>
          <w:rFonts w:eastAsia="Times New Roman" w:cs="Times New Roman"/>
          <w:color w:val="000000"/>
          <w:szCs w:val="26"/>
        </w:rPr>
        <w:t>(2023)</w:t>
      </w:r>
      <w:r>
        <w:rPr>
          <w:rFonts w:eastAsia="Times New Roman" w:cs="Times New Roman"/>
          <w:color w:val="000000"/>
          <w:szCs w:val="26"/>
        </w:rPr>
        <w:t xml:space="preserve"> [ICWA applies in the two situations]; section</w:t>
      </w:r>
      <w:r w:rsidR="00A40774">
        <w:rPr>
          <w:rFonts w:eastAsia="Times New Roman" w:cs="Times New Roman"/>
          <w:color w:val="000000"/>
          <w:szCs w:val="26"/>
        </w:rPr>
        <w:t> </w:t>
      </w:r>
      <w:r>
        <w:rPr>
          <w:rFonts w:eastAsia="Times New Roman" w:cs="Times New Roman"/>
          <w:color w:val="000000"/>
          <w:szCs w:val="26"/>
        </w:rPr>
        <w:t>224.1, subd.</w:t>
      </w:r>
      <w:r w:rsidR="00486B89">
        <w:rPr>
          <w:rFonts w:eastAsia="Times New Roman" w:cs="Times New Roman"/>
          <w:color w:val="000000"/>
          <w:szCs w:val="26"/>
        </w:rPr>
        <w:t> </w:t>
      </w:r>
      <w:r>
        <w:rPr>
          <w:rFonts w:eastAsia="Times New Roman" w:cs="Times New Roman"/>
          <w:color w:val="000000"/>
          <w:szCs w:val="26"/>
        </w:rPr>
        <w:t>(d)(1) [similar].)  An “</w:t>
      </w:r>
      <w:r w:rsidR="00A40774">
        <w:rPr>
          <w:rFonts w:eastAsia="Times New Roman" w:cs="Times New Roman"/>
          <w:color w:val="000000"/>
          <w:szCs w:val="26"/>
        </w:rPr>
        <w:t>[</w:t>
      </w:r>
      <w:r>
        <w:rPr>
          <w:rFonts w:eastAsia="Times New Roman" w:cs="Times New Roman"/>
          <w:color w:val="000000"/>
          <w:szCs w:val="26"/>
        </w:rPr>
        <w:t>e</w:t>
      </w:r>
      <w:r w:rsidR="00A40774">
        <w:rPr>
          <w:rFonts w:eastAsia="Times New Roman" w:cs="Times New Roman"/>
          <w:color w:val="000000"/>
          <w:szCs w:val="26"/>
        </w:rPr>
        <w:t>]</w:t>
      </w:r>
      <w:r>
        <w:rPr>
          <w:rFonts w:eastAsia="Times New Roman" w:cs="Times New Roman"/>
          <w:color w:val="000000"/>
          <w:szCs w:val="26"/>
        </w:rPr>
        <w:t xml:space="preserve">mergency proceeding” under ICWA is “any court action that involves an emergency removal or emergency placement of an Indian child.”  (25 C.F.R. </w:t>
      </w:r>
      <w:r w:rsidR="00A40774">
        <w:rPr>
          <w:rFonts w:eastAsia="Times New Roman" w:cs="Times New Roman"/>
          <w:color w:val="000000"/>
          <w:szCs w:val="26"/>
        </w:rPr>
        <w:t xml:space="preserve">§ </w:t>
      </w:r>
      <w:r>
        <w:rPr>
          <w:rFonts w:eastAsia="Times New Roman" w:cs="Times New Roman"/>
          <w:color w:val="000000"/>
          <w:szCs w:val="26"/>
        </w:rPr>
        <w:t>23.2</w:t>
      </w:r>
      <w:r w:rsidR="00A40774">
        <w:rPr>
          <w:rFonts w:eastAsia="Times New Roman" w:cs="Times New Roman"/>
          <w:color w:val="000000"/>
          <w:szCs w:val="26"/>
        </w:rPr>
        <w:t xml:space="preserve"> (2023)</w:t>
      </w:r>
      <w:r>
        <w:rPr>
          <w:rFonts w:eastAsia="Times New Roman" w:cs="Times New Roman"/>
          <w:color w:val="000000"/>
          <w:szCs w:val="26"/>
        </w:rPr>
        <w:t>.)  Although a</w:t>
      </w:r>
      <w:r w:rsidR="005900D5">
        <w:rPr>
          <w:rFonts w:eastAsia="Times New Roman" w:cs="Times New Roman"/>
          <w:color w:val="000000"/>
          <w:szCs w:val="26"/>
        </w:rPr>
        <w:t>n Indian child’s</w:t>
      </w:r>
      <w:r>
        <w:rPr>
          <w:rFonts w:eastAsia="Times New Roman" w:cs="Times New Roman"/>
          <w:color w:val="000000"/>
          <w:szCs w:val="26"/>
        </w:rPr>
        <w:t xml:space="preserve"> removal in a child-custody proceeding must satisfy the full set of ICWA protections (such as 10 days’ notice), the removal in an emergency proceeding need not do so</w:t>
      </w:r>
      <w:r w:rsidR="000E34C5">
        <w:rPr>
          <w:rFonts w:eastAsia="Times New Roman" w:cs="Times New Roman"/>
          <w:color w:val="000000"/>
          <w:szCs w:val="26"/>
        </w:rPr>
        <w:t xml:space="preserve">. </w:t>
      </w:r>
      <w:r w:rsidR="00E609CF">
        <w:rPr>
          <w:rFonts w:eastAsia="Times New Roman" w:cs="Times New Roman"/>
          <w:color w:val="000000"/>
          <w:szCs w:val="26"/>
        </w:rPr>
        <w:t xml:space="preserve"> </w:t>
      </w:r>
      <w:r w:rsidR="005230B4">
        <w:rPr>
          <w:rFonts w:eastAsia="Times New Roman" w:cs="Times New Roman"/>
          <w:color w:val="000000"/>
          <w:szCs w:val="26"/>
        </w:rPr>
        <w:t>However, i</w:t>
      </w:r>
      <w:r w:rsidR="000E34C5">
        <w:rPr>
          <w:rFonts w:eastAsia="Times New Roman" w:cs="Times New Roman"/>
          <w:color w:val="000000"/>
          <w:szCs w:val="26"/>
        </w:rPr>
        <w:t>n that case</w:t>
      </w:r>
      <w:r>
        <w:rPr>
          <w:rFonts w:eastAsia="Times New Roman" w:cs="Times New Roman"/>
          <w:color w:val="000000"/>
          <w:szCs w:val="26"/>
        </w:rPr>
        <w:t xml:space="preserve"> </w:t>
      </w:r>
      <w:r w:rsidR="0061294B">
        <w:rPr>
          <w:rFonts w:eastAsia="Times New Roman" w:cs="Times New Roman"/>
          <w:color w:val="000000"/>
          <w:szCs w:val="26"/>
        </w:rPr>
        <w:t xml:space="preserve">the removal can occur </w:t>
      </w:r>
      <w:r w:rsidR="00724442">
        <w:rPr>
          <w:rFonts w:eastAsia="Times New Roman" w:cs="Times New Roman"/>
          <w:color w:val="000000"/>
          <w:szCs w:val="26"/>
        </w:rPr>
        <w:t xml:space="preserve">only if </w:t>
      </w:r>
      <w:r>
        <w:rPr>
          <w:rFonts w:eastAsia="Times New Roman" w:cs="Times New Roman"/>
          <w:color w:val="000000"/>
          <w:szCs w:val="26"/>
        </w:rPr>
        <w:t>the child face</w:t>
      </w:r>
      <w:r w:rsidR="00724442">
        <w:rPr>
          <w:rFonts w:eastAsia="Times New Roman" w:cs="Times New Roman"/>
          <w:color w:val="000000"/>
          <w:szCs w:val="26"/>
        </w:rPr>
        <w:t>s</w:t>
      </w:r>
      <w:r>
        <w:rPr>
          <w:rFonts w:eastAsia="Times New Roman" w:cs="Times New Roman"/>
          <w:color w:val="000000"/>
          <w:szCs w:val="26"/>
        </w:rPr>
        <w:t xml:space="preserve"> “imminent physical damage or harm.”</w:t>
      </w:r>
      <w:r w:rsidR="00C41D0D">
        <w:rPr>
          <w:rFonts w:eastAsia="Times New Roman" w:cs="Times New Roman"/>
          <w:color w:val="000000"/>
          <w:szCs w:val="26"/>
        </w:rPr>
        <w:t xml:space="preserve">  (25 U.S.C. </w:t>
      </w:r>
      <w:r w:rsidR="005940ED">
        <w:rPr>
          <w:rFonts w:eastAsia="Times New Roman" w:cs="Times New Roman"/>
          <w:color w:val="000000"/>
          <w:szCs w:val="26"/>
        </w:rPr>
        <w:t>§ </w:t>
      </w:r>
      <w:r w:rsidR="00C41D0D">
        <w:rPr>
          <w:rFonts w:eastAsia="Times New Roman" w:cs="Times New Roman"/>
          <w:color w:val="000000"/>
          <w:szCs w:val="26"/>
        </w:rPr>
        <w:t xml:space="preserve">1922.)  </w:t>
      </w:r>
      <w:r w:rsidR="005E6D20">
        <w:rPr>
          <w:rFonts w:eastAsia="Times New Roman" w:cs="Times New Roman"/>
          <w:color w:val="000000"/>
          <w:szCs w:val="26"/>
        </w:rPr>
        <w:t>While f</w:t>
      </w:r>
      <w:r>
        <w:rPr>
          <w:rFonts w:eastAsia="Times New Roman" w:cs="Times New Roman"/>
          <w:color w:val="000000"/>
          <w:szCs w:val="26"/>
        </w:rPr>
        <w:t xml:space="preserve">ederal regulations enumerate </w:t>
      </w:r>
      <w:r w:rsidR="00486B89">
        <w:rPr>
          <w:rFonts w:eastAsia="Times New Roman" w:cs="Times New Roman"/>
          <w:color w:val="000000"/>
          <w:szCs w:val="26"/>
        </w:rPr>
        <w:t>10</w:t>
      </w:r>
      <w:r>
        <w:rPr>
          <w:rFonts w:eastAsia="Times New Roman" w:cs="Times New Roman"/>
          <w:color w:val="000000"/>
          <w:szCs w:val="26"/>
        </w:rPr>
        <w:t xml:space="preserve"> items that should be alleged in a petition for emergency removal of an Indian child, a list</w:t>
      </w:r>
      <w:r w:rsidR="005E6D20">
        <w:rPr>
          <w:rFonts w:eastAsia="Times New Roman" w:cs="Times New Roman"/>
          <w:color w:val="000000"/>
          <w:szCs w:val="26"/>
        </w:rPr>
        <w:t xml:space="preserve"> </w:t>
      </w:r>
      <w:r>
        <w:rPr>
          <w:rFonts w:eastAsia="Times New Roman" w:cs="Times New Roman"/>
          <w:color w:val="000000"/>
          <w:szCs w:val="26"/>
        </w:rPr>
        <w:t xml:space="preserve">substantially adopted by our Legislature (25 C.F.R. </w:t>
      </w:r>
      <w:r w:rsidR="005940ED">
        <w:rPr>
          <w:rFonts w:eastAsia="Times New Roman" w:cs="Times New Roman"/>
          <w:color w:val="000000"/>
          <w:szCs w:val="26"/>
        </w:rPr>
        <w:t>§ </w:t>
      </w:r>
      <w:r>
        <w:rPr>
          <w:rFonts w:eastAsia="Times New Roman" w:cs="Times New Roman"/>
          <w:color w:val="000000"/>
          <w:szCs w:val="26"/>
        </w:rPr>
        <w:t>23.113(d)</w:t>
      </w:r>
      <w:r w:rsidR="00A40774">
        <w:rPr>
          <w:rFonts w:eastAsia="Times New Roman" w:cs="Times New Roman"/>
          <w:color w:val="000000"/>
          <w:szCs w:val="26"/>
        </w:rPr>
        <w:t xml:space="preserve"> (2023</w:t>
      </w:r>
      <w:r>
        <w:rPr>
          <w:rFonts w:eastAsia="Times New Roman" w:cs="Times New Roman"/>
          <w:color w:val="000000"/>
          <w:szCs w:val="26"/>
        </w:rPr>
        <w:t xml:space="preserve">); </w:t>
      </w:r>
      <w:r w:rsidR="005940ED">
        <w:rPr>
          <w:rFonts w:eastAsia="Times New Roman" w:cs="Times New Roman"/>
          <w:color w:val="000000"/>
          <w:szCs w:val="26"/>
        </w:rPr>
        <w:t>§ </w:t>
      </w:r>
      <w:r>
        <w:rPr>
          <w:rFonts w:eastAsia="Times New Roman" w:cs="Times New Roman"/>
          <w:color w:val="000000"/>
          <w:szCs w:val="26"/>
        </w:rPr>
        <w:t>319, subd. (b)</w:t>
      </w:r>
      <w:r w:rsidR="005E6D20">
        <w:rPr>
          <w:rFonts w:eastAsia="Times New Roman" w:cs="Times New Roman"/>
          <w:color w:val="000000"/>
          <w:szCs w:val="26"/>
        </w:rPr>
        <w:t>), f</w:t>
      </w:r>
      <w:r>
        <w:rPr>
          <w:rFonts w:eastAsia="Times New Roman" w:cs="Times New Roman"/>
          <w:color w:val="000000"/>
          <w:szCs w:val="26"/>
        </w:rPr>
        <w:t>ederal guidelines</w:t>
      </w:r>
      <w:r w:rsidR="005E6D20">
        <w:rPr>
          <w:rFonts w:eastAsia="Times New Roman" w:cs="Times New Roman"/>
          <w:color w:val="000000"/>
          <w:szCs w:val="26"/>
        </w:rPr>
        <w:t xml:space="preserve"> </w:t>
      </w:r>
      <w:r w:rsidR="00BF3948">
        <w:rPr>
          <w:rFonts w:eastAsia="Times New Roman" w:cs="Times New Roman"/>
          <w:color w:val="000000"/>
          <w:szCs w:val="26"/>
        </w:rPr>
        <w:t>nonetheless</w:t>
      </w:r>
      <w:r>
        <w:rPr>
          <w:rFonts w:eastAsia="Times New Roman" w:cs="Times New Roman"/>
          <w:color w:val="000000"/>
          <w:szCs w:val="26"/>
        </w:rPr>
        <w:t xml:space="preserve"> state that the essential showing for an emergency removal is that the child faces imminent physical damage or harm.</w:t>
      </w:r>
      <w:r w:rsidR="00516ECB">
        <w:rPr>
          <w:rFonts w:eastAsia="Times New Roman" w:cs="Times New Roman"/>
          <w:color w:val="000000"/>
          <w:szCs w:val="26"/>
        </w:rPr>
        <w:t xml:space="preserve">  (BIA Guidelines C.4</w:t>
      </w:r>
      <w:r w:rsidR="00A40774">
        <w:rPr>
          <w:rFonts w:eastAsia="Times New Roman" w:cs="Times New Roman"/>
          <w:color w:val="000000"/>
          <w:szCs w:val="26"/>
        </w:rPr>
        <w:t>, p. 27</w:t>
      </w:r>
      <w:r w:rsidR="00516ECB">
        <w:rPr>
          <w:rFonts w:eastAsia="Times New Roman" w:cs="Times New Roman"/>
          <w:color w:val="000000"/>
          <w:szCs w:val="26"/>
        </w:rPr>
        <w:t xml:space="preserve"> [</w:t>
      </w:r>
      <w:r w:rsidR="00642B20">
        <w:rPr>
          <w:rFonts w:eastAsia="Times New Roman" w:cs="Times New Roman"/>
          <w:color w:val="000000"/>
          <w:szCs w:val="26"/>
        </w:rPr>
        <w:t>“</w:t>
      </w:r>
      <w:r w:rsidRPr="00642B20" w:rsidR="00642B20">
        <w:rPr>
          <w:rFonts w:eastAsia="Times New Roman" w:cs="Times New Roman"/>
          <w:color w:val="000000"/>
          <w:szCs w:val="26"/>
        </w:rPr>
        <w:t>A failure to include any of the listed information should not result in denial of the petition if the child faces imminent physical damage or harm.</w:t>
      </w:r>
      <w:r w:rsidR="005A0F0C">
        <w:rPr>
          <w:rFonts w:eastAsia="Times New Roman" w:cs="Times New Roman"/>
          <w:color w:val="000000"/>
          <w:szCs w:val="26"/>
        </w:rPr>
        <w:t>”</w:t>
      </w:r>
      <w:r w:rsidR="00516ECB">
        <w:rPr>
          <w:rFonts w:eastAsia="Times New Roman" w:cs="Times New Roman"/>
          <w:color w:val="000000"/>
          <w:szCs w:val="26"/>
        </w:rPr>
        <w:t>]</w:t>
      </w:r>
      <w:r w:rsidR="00486B89">
        <w:rPr>
          <w:rFonts w:eastAsia="Times New Roman" w:cs="Times New Roman"/>
          <w:color w:val="000000"/>
          <w:szCs w:val="26"/>
        </w:rPr>
        <w:t>.</w:t>
      </w:r>
      <w:r w:rsidR="00516ECB">
        <w:rPr>
          <w:rFonts w:eastAsia="Times New Roman" w:cs="Times New Roman"/>
          <w:color w:val="000000"/>
          <w:szCs w:val="26"/>
        </w:rPr>
        <w:t>)</w:t>
      </w:r>
      <w:r w:rsidRPr="00642B20" w:rsidR="00642B20">
        <w:rPr>
          <w:rFonts w:eastAsia="Times New Roman" w:cs="Times New Roman"/>
          <w:color w:val="000000"/>
          <w:szCs w:val="26"/>
        </w:rPr>
        <w:t xml:space="preserve"> </w:t>
      </w:r>
    </w:p>
    <w:p w:rsidR="00EF31D0" w:rsidP="00AB39DC" w14:paraId="74BEE100" w14:textId="311B5539">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 xml:space="preserve">The length of an emergency </w:t>
      </w:r>
      <w:r w:rsidR="00433B1C">
        <w:rPr>
          <w:rFonts w:eastAsia="Times New Roman" w:cs="Times New Roman"/>
          <w:color w:val="000000"/>
          <w:szCs w:val="26"/>
        </w:rPr>
        <w:t>proceeding</w:t>
      </w:r>
      <w:r>
        <w:rPr>
          <w:rFonts w:eastAsia="Times New Roman" w:cs="Times New Roman"/>
          <w:color w:val="000000"/>
          <w:szCs w:val="26"/>
        </w:rPr>
        <w:t xml:space="preserve"> is limited by two things.  First, it “immediately terminates” if there is no longer “imminent physical damage or harm to the child.”  (25 C.F.R. </w:t>
      </w:r>
      <w:r w:rsidR="005940ED">
        <w:rPr>
          <w:rFonts w:eastAsia="Times New Roman" w:cs="Times New Roman"/>
          <w:color w:val="000000"/>
          <w:szCs w:val="26"/>
        </w:rPr>
        <w:t>§ </w:t>
      </w:r>
      <w:r>
        <w:rPr>
          <w:rFonts w:eastAsia="Times New Roman" w:cs="Times New Roman"/>
          <w:color w:val="000000"/>
          <w:szCs w:val="26"/>
        </w:rPr>
        <w:t>23.113(b)(4)</w:t>
      </w:r>
      <w:r w:rsidR="00A40774">
        <w:rPr>
          <w:rFonts w:eastAsia="Times New Roman" w:cs="Times New Roman"/>
          <w:color w:val="000000"/>
          <w:szCs w:val="26"/>
        </w:rPr>
        <w:t xml:space="preserve"> (2023</w:t>
      </w:r>
      <w:r>
        <w:rPr>
          <w:rFonts w:eastAsia="Times New Roman" w:cs="Times New Roman"/>
          <w:color w:val="000000"/>
          <w:szCs w:val="26"/>
        </w:rPr>
        <w:t>); see BIA Guidelines C.5</w:t>
      </w:r>
      <w:r w:rsidR="00A40774">
        <w:rPr>
          <w:rFonts w:eastAsia="Times New Roman" w:cs="Times New Roman"/>
          <w:color w:val="000000"/>
          <w:szCs w:val="26"/>
        </w:rPr>
        <w:t>, p. 27</w:t>
      </w:r>
      <w:r>
        <w:rPr>
          <w:rFonts w:eastAsia="Times New Roman" w:cs="Times New Roman"/>
          <w:color w:val="000000"/>
          <w:szCs w:val="26"/>
        </w:rPr>
        <w:t xml:space="preserve"> [removal “must not extend for longer than necessary to prevent imminent physical damage or harm to the child”]</w:t>
      </w:r>
      <w:r w:rsidR="00486B89">
        <w:rPr>
          <w:rFonts w:eastAsia="Times New Roman" w:cs="Times New Roman"/>
          <w:color w:val="000000"/>
          <w:szCs w:val="26"/>
        </w:rPr>
        <w:t>.</w:t>
      </w:r>
      <w:r>
        <w:rPr>
          <w:rFonts w:eastAsia="Times New Roman" w:cs="Times New Roman"/>
          <w:color w:val="000000"/>
          <w:szCs w:val="26"/>
        </w:rPr>
        <w:t xml:space="preserve">)  </w:t>
      </w:r>
      <w:r w:rsidR="00261B7E">
        <w:rPr>
          <w:rFonts w:eastAsia="Times New Roman" w:cs="Times New Roman"/>
          <w:color w:val="000000"/>
          <w:szCs w:val="26"/>
        </w:rPr>
        <w:t xml:space="preserve">Accordingly, </w:t>
      </w:r>
      <w:r w:rsidR="005E6D20">
        <w:rPr>
          <w:rFonts w:eastAsia="Times New Roman" w:cs="Times New Roman"/>
          <w:color w:val="000000"/>
          <w:szCs w:val="26"/>
        </w:rPr>
        <w:t xml:space="preserve">until disposition of a dependency case involving an Indian child, </w:t>
      </w:r>
      <w:r>
        <w:rPr>
          <w:rFonts w:eastAsia="Times New Roman" w:cs="Times New Roman"/>
          <w:color w:val="000000"/>
          <w:szCs w:val="26"/>
        </w:rPr>
        <w:t xml:space="preserve">parties </w:t>
      </w:r>
      <w:r w:rsidR="005E6D20">
        <w:rPr>
          <w:rFonts w:eastAsia="Times New Roman" w:cs="Times New Roman"/>
          <w:color w:val="000000"/>
          <w:szCs w:val="26"/>
        </w:rPr>
        <w:t>may</w:t>
      </w:r>
      <w:r>
        <w:rPr>
          <w:rFonts w:eastAsia="Times New Roman" w:cs="Times New Roman"/>
          <w:color w:val="000000"/>
          <w:szCs w:val="26"/>
        </w:rPr>
        <w:t xml:space="preserve"> request an ex parte hearing</w:t>
      </w:r>
      <w:r w:rsidR="005E6D20">
        <w:rPr>
          <w:rFonts w:eastAsia="Times New Roman" w:cs="Times New Roman"/>
          <w:color w:val="000000"/>
          <w:szCs w:val="26"/>
        </w:rPr>
        <w:t xml:space="preserve"> </w:t>
      </w:r>
      <w:r>
        <w:rPr>
          <w:rFonts w:eastAsia="Times New Roman" w:cs="Times New Roman"/>
          <w:color w:val="000000"/>
          <w:szCs w:val="26"/>
        </w:rPr>
        <w:t>to seek a determination that return to the parents is required because there is no longer “imminent physical damage or harm to the child” from the parents.  (</w:t>
      </w:r>
      <w:r w:rsidR="005940ED">
        <w:rPr>
          <w:rFonts w:eastAsia="Times New Roman" w:cs="Times New Roman"/>
          <w:color w:val="000000"/>
          <w:szCs w:val="26"/>
        </w:rPr>
        <w:t>§ </w:t>
      </w:r>
      <w:r>
        <w:rPr>
          <w:rFonts w:eastAsia="Times New Roman" w:cs="Times New Roman"/>
          <w:color w:val="000000"/>
          <w:szCs w:val="26"/>
        </w:rPr>
        <w:t xml:space="preserve">319.4.)  </w:t>
      </w:r>
    </w:p>
    <w:p w:rsidR="00EF31D0" w:rsidP="00AB39DC" w14:paraId="59CABCD4" w14:textId="452406F9">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 xml:space="preserve">Second, federal regulations require “some kind of time limit on the length of an emergency proceeding,” so ICWA protections are not “evaded by use of long-term emergency proceedings.”  (Interior Dept. Rules, 81 Fed. Reg. </w:t>
      </w:r>
      <w:r w:rsidR="00A40774">
        <w:rPr>
          <w:rFonts w:eastAsia="Times New Roman" w:cs="Times New Roman"/>
          <w:color w:val="000000"/>
          <w:szCs w:val="26"/>
        </w:rPr>
        <w:t>at</w:t>
      </w:r>
      <w:r>
        <w:rPr>
          <w:rFonts w:eastAsia="Times New Roman" w:cs="Times New Roman"/>
          <w:color w:val="000000"/>
          <w:szCs w:val="26"/>
        </w:rPr>
        <w:t xml:space="preserve"> 38817.)  At that point, </w:t>
      </w:r>
      <w:r w:rsidR="00E94930">
        <w:rPr>
          <w:rFonts w:eastAsia="Times New Roman" w:cs="Times New Roman"/>
          <w:color w:val="000000"/>
          <w:szCs w:val="26"/>
        </w:rPr>
        <w:t>the state must make</w:t>
      </w:r>
      <w:r>
        <w:rPr>
          <w:rFonts w:eastAsia="Times New Roman" w:cs="Times New Roman"/>
          <w:color w:val="000000"/>
          <w:szCs w:val="26"/>
        </w:rPr>
        <w:t xml:space="preserve"> the ICWA showing necessary for a child-custody proceeding.  (See 25 C.F.R. </w:t>
      </w:r>
      <w:r w:rsidR="005940ED">
        <w:rPr>
          <w:rFonts w:eastAsia="Times New Roman" w:cs="Times New Roman"/>
          <w:color w:val="000000"/>
          <w:szCs w:val="26"/>
        </w:rPr>
        <w:t>§ </w:t>
      </w:r>
      <w:r>
        <w:rPr>
          <w:rFonts w:eastAsia="Times New Roman" w:cs="Times New Roman"/>
          <w:color w:val="000000"/>
          <w:szCs w:val="26"/>
        </w:rPr>
        <w:t>23.113(c)</w:t>
      </w:r>
      <w:r w:rsidR="00A40774">
        <w:rPr>
          <w:rFonts w:eastAsia="Times New Roman" w:cs="Times New Roman"/>
          <w:color w:val="000000"/>
          <w:szCs w:val="26"/>
        </w:rPr>
        <w:t xml:space="preserve"> (2023</w:t>
      </w:r>
      <w:r>
        <w:rPr>
          <w:rFonts w:eastAsia="Times New Roman" w:cs="Times New Roman"/>
          <w:color w:val="000000"/>
          <w:szCs w:val="26"/>
        </w:rPr>
        <w:t>); BIA Guidelines C.3</w:t>
      </w:r>
      <w:r w:rsidR="00A40774">
        <w:rPr>
          <w:rFonts w:eastAsia="Times New Roman" w:cs="Times New Roman"/>
          <w:color w:val="000000"/>
          <w:szCs w:val="26"/>
        </w:rPr>
        <w:t>, p. 24</w:t>
      </w:r>
      <w:r>
        <w:rPr>
          <w:rFonts w:eastAsia="Times New Roman" w:cs="Times New Roman"/>
          <w:color w:val="000000"/>
          <w:szCs w:val="26"/>
        </w:rPr>
        <w:t>.)  Under California law, the “</w:t>
      </w:r>
      <w:r w:rsidR="00A40774">
        <w:rPr>
          <w:rFonts w:eastAsia="Times New Roman" w:cs="Times New Roman"/>
          <w:color w:val="000000"/>
          <w:szCs w:val="26"/>
        </w:rPr>
        <w:t> ‘</w:t>
      </w:r>
      <w:r>
        <w:rPr>
          <w:rFonts w:eastAsia="Times New Roman" w:cs="Times New Roman"/>
          <w:color w:val="000000"/>
          <w:szCs w:val="26"/>
        </w:rPr>
        <w:t>[e]mergency proceeding</w:t>
      </w:r>
      <w:r w:rsidR="00A40774">
        <w:rPr>
          <w:rFonts w:eastAsia="Times New Roman" w:cs="Times New Roman"/>
          <w:color w:val="000000"/>
          <w:szCs w:val="26"/>
        </w:rPr>
        <w:t>’</w:t>
      </w:r>
      <w:r>
        <w:rPr>
          <w:rFonts w:eastAsia="Times New Roman" w:cs="Times New Roman"/>
          <w:color w:val="000000"/>
          <w:szCs w:val="26"/>
        </w:rPr>
        <w:t xml:space="preserve"> in the case of an Indian child is a hearing pursuant to Welfare</w:t>
      </w:r>
      <w:r w:rsidR="00A40774">
        <w:rPr>
          <w:rFonts w:eastAsia="Times New Roman" w:cs="Times New Roman"/>
          <w:color w:val="000000"/>
          <w:szCs w:val="26"/>
        </w:rPr>
        <w:t> </w:t>
      </w:r>
      <w:r>
        <w:rPr>
          <w:rFonts w:eastAsia="Times New Roman" w:cs="Times New Roman"/>
          <w:color w:val="000000"/>
          <w:szCs w:val="26"/>
        </w:rPr>
        <w:t>and Institutions Code section 319”</w:t>
      </w:r>
      <w:r w:rsidR="003C6224">
        <w:rPr>
          <w:rFonts w:eastAsia="Times New Roman" w:cs="Times New Roman"/>
          <w:color w:val="000000"/>
          <w:szCs w:val="26"/>
        </w:rPr>
        <w:t>—</w:t>
      </w:r>
      <w:r w:rsidRPr="00546B0B" w:rsidR="003C6224">
        <w:rPr>
          <w:rFonts w:eastAsia="Times New Roman" w:cs="Times New Roman"/>
          <w:color w:val="000000"/>
          <w:szCs w:val="26"/>
        </w:rPr>
        <w:t>i.e.</w:t>
      </w:r>
      <w:r>
        <w:rPr>
          <w:rFonts w:eastAsia="Times New Roman" w:cs="Times New Roman"/>
          <w:color w:val="000000"/>
          <w:szCs w:val="26"/>
        </w:rPr>
        <w:t xml:space="preserve">, the detention hearing.  (DSS </w:t>
      </w:r>
      <w:r w:rsidR="00A97273">
        <w:rPr>
          <w:rFonts w:eastAsia="Times New Roman" w:cs="Times New Roman"/>
          <w:color w:val="000000"/>
          <w:szCs w:val="26"/>
        </w:rPr>
        <w:t>Reg.</w:t>
      </w:r>
      <w:r>
        <w:rPr>
          <w:rFonts w:eastAsia="Times New Roman" w:cs="Times New Roman"/>
          <w:color w:val="000000"/>
          <w:szCs w:val="26"/>
        </w:rPr>
        <w:t xml:space="preserve"> 31-002(</w:t>
      </w:r>
      <w:r w:rsidR="00A40774">
        <w:rPr>
          <w:rFonts w:eastAsia="Times New Roman" w:cs="Times New Roman"/>
          <w:color w:val="000000"/>
          <w:szCs w:val="26"/>
        </w:rPr>
        <w:t>e)</w:t>
      </w:r>
      <w:r>
        <w:rPr>
          <w:rFonts w:eastAsia="Times New Roman" w:cs="Times New Roman"/>
          <w:color w:val="000000"/>
          <w:szCs w:val="26"/>
        </w:rPr>
        <w:t xml:space="preserve">(6); </w:t>
      </w:r>
      <w:r w:rsidR="00486B89">
        <w:rPr>
          <w:rFonts w:eastAsia="Times New Roman" w:cs="Times New Roman"/>
          <w:color w:val="000000"/>
          <w:szCs w:val="26"/>
        </w:rPr>
        <w:t>§</w:t>
      </w:r>
      <w:r>
        <w:rPr>
          <w:rFonts w:eastAsia="Times New Roman" w:cs="Times New Roman"/>
          <w:color w:val="000000"/>
          <w:szCs w:val="26"/>
        </w:rPr>
        <w:t xml:space="preserve"> 224.1, subd. (d)(1).</w:t>
      </w:r>
      <w:r w:rsidR="00C41D0D">
        <w:rPr>
          <w:rFonts w:eastAsia="Times New Roman" w:cs="Times New Roman"/>
          <w:color w:val="000000"/>
          <w:szCs w:val="26"/>
        </w:rPr>
        <w:t>)</w:t>
      </w:r>
      <w:r>
        <w:rPr>
          <w:rFonts w:eastAsia="Times New Roman" w:cs="Times New Roman"/>
          <w:color w:val="000000"/>
          <w:szCs w:val="26"/>
        </w:rPr>
        <w:t xml:space="preserve">  The emergency proceeding then terminates when the case is </w:t>
      </w:r>
      <w:r w:rsidRPr="00B16FD6">
        <w:rPr>
          <w:rFonts w:eastAsia="Times New Roman" w:cs="Times New Roman"/>
          <w:color w:val="000000"/>
          <w:szCs w:val="26"/>
        </w:rPr>
        <w:t xml:space="preserve">resolved with </w:t>
      </w:r>
      <w:r>
        <w:rPr>
          <w:rFonts w:eastAsia="Times New Roman" w:cs="Times New Roman"/>
          <w:color w:val="000000"/>
          <w:szCs w:val="26"/>
        </w:rPr>
        <w:t xml:space="preserve">either the return of the child to the parents, the transfer of jurisdiction to a tribe, or the case reaching the stage where the county recommends a final </w:t>
      </w:r>
      <w:r w:rsidR="0022178F">
        <w:rPr>
          <w:rFonts w:eastAsia="Times New Roman" w:cs="Times New Roman"/>
          <w:color w:val="000000"/>
          <w:szCs w:val="26"/>
        </w:rPr>
        <w:t>disposition</w:t>
      </w:r>
      <w:r>
        <w:rPr>
          <w:rFonts w:eastAsia="Times New Roman" w:cs="Times New Roman"/>
          <w:color w:val="000000"/>
          <w:szCs w:val="26"/>
        </w:rPr>
        <w:t xml:space="preserve"> of removal per </w:t>
      </w:r>
      <w:r w:rsidR="00C41D0D">
        <w:rPr>
          <w:rFonts w:eastAsia="Times New Roman" w:cs="Times New Roman"/>
          <w:color w:val="000000"/>
          <w:szCs w:val="26"/>
        </w:rPr>
        <w:t>s</w:t>
      </w:r>
      <w:r>
        <w:rPr>
          <w:rFonts w:eastAsia="Times New Roman" w:cs="Times New Roman"/>
          <w:color w:val="000000"/>
          <w:szCs w:val="26"/>
        </w:rPr>
        <w:t xml:space="preserve">ections 360 </w:t>
      </w:r>
      <w:r w:rsidRPr="00AB39DC">
        <w:rPr>
          <w:rFonts w:eastAsia="Times New Roman" w:cs="Times New Roman"/>
          <w:i/>
          <w:iCs/>
          <w:color w:val="000000"/>
          <w:szCs w:val="26"/>
        </w:rPr>
        <w:t>et seq.</w:t>
      </w:r>
      <w:r>
        <w:rPr>
          <w:rStyle w:val="FootnoteReference"/>
          <w:rFonts w:eastAsia="Times New Roman" w:cs="Times New Roman"/>
          <w:color w:val="000000"/>
          <w:szCs w:val="26"/>
        </w:rPr>
        <w:footnoteReference w:id="12"/>
      </w:r>
      <w:r>
        <w:rPr>
          <w:rFonts w:eastAsia="Times New Roman" w:cs="Times New Roman"/>
          <w:color w:val="000000"/>
          <w:szCs w:val="26"/>
        </w:rPr>
        <w:t xml:space="preserve">  </w:t>
      </w:r>
      <w:r w:rsidR="00C41D0D">
        <w:rPr>
          <w:rFonts w:eastAsia="Times New Roman" w:cs="Times New Roman"/>
          <w:color w:val="000000"/>
          <w:szCs w:val="26"/>
        </w:rPr>
        <w:t>A</w:t>
      </w:r>
      <w:r>
        <w:rPr>
          <w:rFonts w:eastAsia="Times New Roman" w:cs="Times New Roman"/>
          <w:color w:val="000000"/>
          <w:szCs w:val="26"/>
        </w:rPr>
        <w:t xml:space="preserve">t that point, if an Indian child has been removed from their parents, the emergency proceeding would end, with the county required to comply with all the ICWA protections for a child-custody proceeding, including </w:t>
      </w:r>
      <w:r w:rsidR="00E46AF8">
        <w:rPr>
          <w:rFonts w:eastAsia="Times New Roman" w:cs="Times New Roman"/>
          <w:color w:val="000000"/>
          <w:szCs w:val="26"/>
        </w:rPr>
        <w:t>10</w:t>
      </w:r>
      <w:r>
        <w:rPr>
          <w:rFonts w:eastAsia="Times New Roman" w:cs="Times New Roman"/>
          <w:color w:val="000000"/>
          <w:szCs w:val="26"/>
        </w:rPr>
        <w:t xml:space="preserve"> days’ notice to the tribe, to sustain the removal.  (See BIA Guidelines C.3</w:t>
      </w:r>
      <w:r w:rsidR="00A40774">
        <w:rPr>
          <w:rFonts w:eastAsia="Times New Roman" w:cs="Times New Roman"/>
          <w:color w:val="000000"/>
          <w:szCs w:val="26"/>
        </w:rPr>
        <w:t>, p. 25</w:t>
      </w:r>
      <w:r>
        <w:rPr>
          <w:rFonts w:eastAsia="Times New Roman" w:cs="Times New Roman"/>
          <w:color w:val="000000"/>
          <w:szCs w:val="26"/>
        </w:rPr>
        <w:t xml:space="preserve"> [“actual placement of the child” need not change when an emergency proceeding becomes a child-custody proceeding].)</w:t>
      </w:r>
    </w:p>
    <w:p w:rsidR="00EF31D0" w:rsidP="00AB39DC" w14:paraId="51BAE65C" w14:textId="494A23FF">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 xml:space="preserve">In short, all pre-petition removals </w:t>
      </w:r>
      <w:r w:rsidR="0022178F">
        <w:rPr>
          <w:rFonts w:eastAsia="Times New Roman" w:cs="Times New Roman"/>
          <w:color w:val="000000"/>
          <w:szCs w:val="26"/>
        </w:rPr>
        <w:t xml:space="preserve">of Indian children </w:t>
      </w:r>
      <w:r>
        <w:rPr>
          <w:rFonts w:eastAsia="Times New Roman" w:cs="Times New Roman"/>
          <w:color w:val="000000"/>
          <w:szCs w:val="26"/>
        </w:rPr>
        <w:t>in dependency cases are emergency removals that fall squarely into this complex federal and state law scheme.</w:t>
      </w:r>
      <w:r w:rsidR="0022178F">
        <w:rPr>
          <w:rFonts w:eastAsia="Times New Roman" w:cs="Times New Roman"/>
          <w:color w:val="000000"/>
          <w:szCs w:val="26"/>
        </w:rPr>
        <w:t xml:space="preserve">  There is no room for </w:t>
      </w:r>
      <w:r w:rsidR="00E82528">
        <w:rPr>
          <w:rFonts w:eastAsia="Times New Roman" w:cs="Times New Roman"/>
          <w:color w:val="000000"/>
          <w:szCs w:val="26"/>
        </w:rPr>
        <w:t>view</w:t>
      </w:r>
      <w:r w:rsidR="003C6B70">
        <w:rPr>
          <w:rFonts w:eastAsia="Times New Roman" w:cs="Times New Roman"/>
          <w:color w:val="000000"/>
          <w:szCs w:val="26"/>
        </w:rPr>
        <w:t>ing</w:t>
      </w:r>
      <w:r w:rsidR="00E82528">
        <w:rPr>
          <w:rFonts w:eastAsia="Times New Roman" w:cs="Times New Roman"/>
          <w:color w:val="000000"/>
          <w:szCs w:val="26"/>
        </w:rPr>
        <w:t xml:space="preserve"> </w:t>
      </w:r>
      <w:r w:rsidR="0022178F">
        <w:rPr>
          <w:rFonts w:eastAsia="Times New Roman" w:cs="Times New Roman"/>
          <w:color w:val="000000"/>
          <w:szCs w:val="26"/>
        </w:rPr>
        <w:t xml:space="preserve">removals by warrant </w:t>
      </w:r>
      <w:r w:rsidR="003C6B70">
        <w:rPr>
          <w:rFonts w:eastAsia="Times New Roman" w:cs="Times New Roman"/>
          <w:color w:val="000000"/>
          <w:szCs w:val="26"/>
        </w:rPr>
        <w:t>as</w:t>
      </w:r>
      <w:r w:rsidR="0022178F">
        <w:rPr>
          <w:rFonts w:eastAsia="Times New Roman" w:cs="Times New Roman"/>
          <w:color w:val="000000"/>
          <w:szCs w:val="26"/>
        </w:rPr>
        <w:t xml:space="preserve"> </w:t>
      </w:r>
      <w:r w:rsidR="002A79C5">
        <w:rPr>
          <w:rFonts w:eastAsia="Times New Roman" w:cs="Times New Roman"/>
          <w:color w:val="000000"/>
          <w:szCs w:val="26"/>
        </w:rPr>
        <w:t xml:space="preserve">some </w:t>
      </w:r>
      <w:r w:rsidR="00192749">
        <w:rPr>
          <w:rFonts w:eastAsia="Times New Roman" w:cs="Times New Roman"/>
          <w:color w:val="000000"/>
          <w:szCs w:val="26"/>
        </w:rPr>
        <w:t>other</w:t>
      </w:r>
      <w:r w:rsidR="002A79C5">
        <w:rPr>
          <w:rFonts w:eastAsia="Times New Roman" w:cs="Times New Roman"/>
          <w:color w:val="000000"/>
          <w:szCs w:val="26"/>
        </w:rPr>
        <w:t xml:space="preserve"> kind of proceeding</w:t>
      </w:r>
      <w:r w:rsidR="0022178F">
        <w:rPr>
          <w:rFonts w:eastAsia="Times New Roman" w:cs="Times New Roman"/>
          <w:color w:val="000000"/>
          <w:szCs w:val="26"/>
        </w:rPr>
        <w:t>.</w:t>
      </w:r>
    </w:p>
    <w:p w:rsidR="00EF31D0" w:rsidP="00AB39DC" w14:paraId="0A242CFE" w14:textId="2FD3512B">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 xml:space="preserve">2.  </w:t>
      </w:r>
      <w:r w:rsidRPr="00AB39DC">
        <w:rPr>
          <w:rFonts w:eastAsia="Times New Roman" w:cs="Times New Roman"/>
          <w:i/>
          <w:iCs/>
          <w:color w:val="000000"/>
          <w:szCs w:val="26"/>
        </w:rPr>
        <w:t>Initial Inquiry</w:t>
      </w:r>
      <w:r w:rsidR="00D4253D">
        <w:rPr>
          <w:rFonts w:eastAsia="Times New Roman" w:cs="Times New Roman"/>
          <w:i/>
          <w:iCs/>
          <w:color w:val="000000"/>
          <w:szCs w:val="26"/>
        </w:rPr>
        <w:t xml:space="preserve"> Under Federal Law</w:t>
      </w:r>
    </w:p>
    <w:p w:rsidR="00EF31D0" w:rsidP="00AB39DC" w14:paraId="28DED063" w14:textId="3C53CC46">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 xml:space="preserve">Though the ICWA statute and its procedures about “child-custody proceedings” and “emergency proceedings” apply only if an </w:t>
      </w:r>
      <w:r w:rsidRPr="00AB39DC">
        <w:rPr>
          <w:rFonts w:eastAsia="Times New Roman" w:cs="Times New Roman"/>
          <w:i/>
          <w:iCs/>
          <w:color w:val="000000"/>
          <w:szCs w:val="26"/>
        </w:rPr>
        <w:t>Indian</w:t>
      </w:r>
      <w:r>
        <w:rPr>
          <w:rFonts w:eastAsia="Times New Roman" w:cs="Times New Roman"/>
          <w:color w:val="000000"/>
          <w:szCs w:val="26"/>
        </w:rPr>
        <w:t xml:space="preserve"> child is removed, there is one part of ICWA procedure that applies in </w:t>
      </w:r>
      <w:r w:rsidRPr="00A00AA6">
        <w:rPr>
          <w:rFonts w:eastAsia="Times New Roman" w:cs="Times New Roman"/>
          <w:i/>
          <w:iCs/>
          <w:color w:val="000000"/>
          <w:szCs w:val="26"/>
        </w:rPr>
        <w:t>any</w:t>
      </w:r>
      <w:r>
        <w:rPr>
          <w:rFonts w:eastAsia="Times New Roman" w:cs="Times New Roman"/>
          <w:color w:val="000000"/>
          <w:szCs w:val="26"/>
        </w:rPr>
        <w:t xml:space="preserve"> case where a child is being removed from his parents:  the inquiry to determine whether the child is an Indian child.</w:t>
      </w:r>
    </w:p>
    <w:p w:rsidR="00EF31D0" w:rsidRPr="00F52FD9" w:rsidP="00AB39DC" w14:paraId="06ED1DB7" w14:textId="75D05CB6">
      <w:pPr>
        <w:shd w:val="clear" w:color="auto" w:fill="FFFFFF"/>
        <w:ind w:firstLine="720"/>
        <w:textAlignment w:val="baseline"/>
        <w:rPr>
          <w:rFonts w:eastAsia="Times New Roman" w:cs="Times New Roman"/>
          <w:color w:val="000000"/>
          <w:szCs w:val="26"/>
          <w:u w:val="single"/>
        </w:rPr>
      </w:pPr>
      <w:r w:rsidRPr="00180D98">
        <w:rPr>
          <w:rFonts w:eastAsia="Times New Roman" w:cs="Times New Roman"/>
          <w:color w:val="000000"/>
          <w:szCs w:val="26"/>
        </w:rPr>
        <w:t>The federal</w:t>
      </w:r>
      <w:r>
        <w:rPr>
          <w:rFonts w:eastAsia="Times New Roman" w:cs="Times New Roman"/>
          <w:color w:val="000000"/>
          <w:szCs w:val="26"/>
        </w:rPr>
        <w:t xml:space="preserve"> regulations</w:t>
      </w:r>
      <w:r w:rsidRPr="00180D98">
        <w:rPr>
          <w:rFonts w:eastAsia="Times New Roman" w:cs="Times New Roman"/>
          <w:color w:val="000000"/>
          <w:szCs w:val="26"/>
        </w:rPr>
        <w:t xml:space="preserve"> “clarify the minimum </w:t>
      </w:r>
      <w:r w:rsidR="00A96ABA">
        <w:rPr>
          <w:rFonts w:eastAsia="Times New Roman" w:cs="Times New Roman"/>
          <w:color w:val="000000"/>
          <w:szCs w:val="26"/>
        </w:rPr>
        <w:t>F</w:t>
      </w:r>
      <w:r w:rsidRPr="00180D98">
        <w:rPr>
          <w:rFonts w:eastAsia="Times New Roman" w:cs="Times New Roman"/>
          <w:color w:val="000000"/>
          <w:szCs w:val="26"/>
        </w:rPr>
        <w:t xml:space="preserve">ederal standards” governing implementation of the ICWA.  (25 C.F.R. </w:t>
      </w:r>
      <w:r w:rsidR="005940ED">
        <w:rPr>
          <w:rFonts w:eastAsia="Times New Roman" w:cs="Times New Roman"/>
          <w:color w:val="000000"/>
          <w:szCs w:val="26"/>
        </w:rPr>
        <w:t>§ </w:t>
      </w:r>
      <w:r w:rsidRPr="00180D98">
        <w:rPr>
          <w:rFonts w:eastAsia="Times New Roman" w:cs="Times New Roman"/>
          <w:color w:val="000000"/>
          <w:szCs w:val="26"/>
        </w:rPr>
        <w:t>23.101</w:t>
      </w:r>
      <w:r w:rsidR="00A96ABA">
        <w:rPr>
          <w:rFonts w:eastAsia="Times New Roman" w:cs="Times New Roman"/>
          <w:color w:val="000000"/>
          <w:szCs w:val="26"/>
        </w:rPr>
        <w:t xml:space="preserve"> (2023)</w:t>
      </w:r>
      <w:r w:rsidRPr="00180D98">
        <w:rPr>
          <w:rFonts w:eastAsia="Times New Roman" w:cs="Times New Roman"/>
          <w:color w:val="000000"/>
          <w:szCs w:val="26"/>
        </w:rPr>
        <w:t>.)</w:t>
      </w:r>
      <w:r>
        <w:rPr>
          <w:rFonts w:eastAsia="Times New Roman" w:cs="Times New Roman"/>
          <w:color w:val="000000"/>
          <w:szCs w:val="26"/>
        </w:rPr>
        <w:t xml:space="preserve">  A regulation governing the initial ICWA inquiry</w:t>
      </w:r>
      <w:r w:rsidR="00A96ABA">
        <w:rPr>
          <w:rFonts w:eastAsia="Times New Roman" w:cs="Times New Roman"/>
          <w:color w:val="000000"/>
          <w:szCs w:val="26"/>
        </w:rPr>
        <w:t xml:space="preserve"> (</w:t>
      </w:r>
      <w:r w:rsidRPr="00180D98">
        <w:rPr>
          <w:rFonts w:eastAsia="Times New Roman" w:cs="Times New Roman"/>
          <w:color w:val="000000"/>
          <w:szCs w:val="26"/>
        </w:rPr>
        <w:t xml:space="preserve">25 C.F.R. </w:t>
      </w:r>
      <w:r w:rsidR="005940ED">
        <w:rPr>
          <w:rFonts w:eastAsia="Times New Roman" w:cs="Times New Roman"/>
          <w:color w:val="000000"/>
          <w:szCs w:val="26"/>
        </w:rPr>
        <w:t>§ </w:t>
      </w:r>
      <w:r w:rsidRPr="00180D98">
        <w:rPr>
          <w:rFonts w:eastAsia="Times New Roman" w:cs="Times New Roman"/>
          <w:color w:val="000000"/>
          <w:szCs w:val="26"/>
        </w:rPr>
        <w:t>23.107</w:t>
      </w:r>
      <w:r>
        <w:rPr>
          <w:rFonts w:eastAsia="Times New Roman" w:cs="Times New Roman"/>
          <w:color w:val="000000"/>
          <w:szCs w:val="26"/>
        </w:rPr>
        <w:t>(a)</w:t>
      </w:r>
      <w:r w:rsidR="00A96ABA">
        <w:rPr>
          <w:rFonts w:eastAsia="Times New Roman" w:cs="Times New Roman"/>
          <w:color w:val="000000"/>
          <w:szCs w:val="26"/>
        </w:rPr>
        <w:t xml:space="preserve"> (2023))</w:t>
      </w:r>
      <w:r>
        <w:rPr>
          <w:rFonts w:eastAsia="Times New Roman" w:cs="Times New Roman"/>
          <w:color w:val="000000"/>
          <w:szCs w:val="26"/>
        </w:rPr>
        <w:t xml:space="preserve"> places the burden on the court.  It</w:t>
      </w:r>
      <w:r w:rsidRPr="00180D98">
        <w:rPr>
          <w:rFonts w:eastAsia="Times New Roman" w:cs="Times New Roman"/>
          <w:color w:val="000000"/>
          <w:szCs w:val="26"/>
        </w:rPr>
        <w:t xml:space="preserve"> </w:t>
      </w:r>
      <w:r>
        <w:rPr>
          <w:rFonts w:eastAsia="Times New Roman" w:cs="Times New Roman"/>
          <w:color w:val="000000"/>
          <w:szCs w:val="26"/>
        </w:rPr>
        <w:t xml:space="preserve">states that </w:t>
      </w:r>
      <w:r w:rsidRPr="00180D98">
        <w:rPr>
          <w:rFonts w:eastAsia="Times New Roman" w:cs="Times New Roman"/>
          <w:color w:val="000000"/>
          <w:szCs w:val="26"/>
        </w:rPr>
        <w:t>for all proceedings—whether emergency</w:t>
      </w:r>
      <w:r>
        <w:rPr>
          <w:rFonts w:eastAsia="Times New Roman" w:cs="Times New Roman"/>
          <w:color w:val="000000"/>
          <w:szCs w:val="26"/>
        </w:rPr>
        <w:t xml:space="preserve"> or otherwise</w:t>
      </w:r>
      <w:r w:rsidRPr="00180D98">
        <w:rPr>
          <w:rFonts w:eastAsia="Times New Roman" w:cs="Times New Roman"/>
          <w:color w:val="000000"/>
          <w:szCs w:val="26"/>
        </w:rPr>
        <w:t xml:space="preserve">—the </w:t>
      </w:r>
      <w:r>
        <w:rPr>
          <w:rFonts w:eastAsia="Times New Roman" w:cs="Times New Roman"/>
          <w:color w:val="000000"/>
          <w:szCs w:val="26"/>
        </w:rPr>
        <w:t>court</w:t>
      </w:r>
      <w:r w:rsidRPr="00180D98">
        <w:rPr>
          <w:rFonts w:eastAsia="Times New Roman" w:cs="Times New Roman"/>
          <w:color w:val="000000"/>
          <w:szCs w:val="26"/>
        </w:rPr>
        <w:t xml:space="preserve"> must ask each participant on the record </w:t>
      </w:r>
      <w:r>
        <w:rPr>
          <w:rFonts w:eastAsia="Times New Roman" w:cs="Times New Roman"/>
          <w:color w:val="000000"/>
          <w:szCs w:val="26"/>
        </w:rPr>
        <w:t>whether</w:t>
      </w:r>
      <w:r w:rsidRPr="00180D98">
        <w:rPr>
          <w:rFonts w:eastAsia="Times New Roman" w:cs="Times New Roman"/>
          <w:color w:val="000000"/>
          <w:szCs w:val="26"/>
        </w:rPr>
        <w:t xml:space="preserve"> the participant knows (or has reason to know) that the child is Indian.  (25 C.F.R. </w:t>
      </w:r>
      <w:r w:rsidR="005940ED">
        <w:rPr>
          <w:rFonts w:eastAsia="Times New Roman" w:cs="Times New Roman"/>
          <w:color w:val="000000"/>
          <w:szCs w:val="26"/>
        </w:rPr>
        <w:t>§ </w:t>
      </w:r>
      <w:r w:rsidRPr="00180D98">
        <w:rPr>
          <w:rFonts w:eastAsia="Times New Roman" w:cs="Times New Roman"/>
          <w:color w:val="000000"/>
          <w:szCs w:val="26"/>
        </w:rPr>
        <w:t>23.107(a)</w:t>
      </w:r>
      <w:r w:rsidR="00A96ABA">
        <w:rPr>
          <w:rFonts w:eastAsia="Times New Roman" w:cs="Times New Roman"/>
          <w:color w:val="000000"/>
          <w:szCs w:val="26"/>
        </w:rPr>
        <w:t xml:space="preserve"> (2023</w:t>
      </w:r>
      <w:r w:rsidRPr="00180D98">
        <w:rPr>
          <w:rFonts w:eastAsia="Times New Roman" w:cs="Times New Roman"/>
          <w:color w:val="000000"/>
          <w:szCs w:val="26"/>
        </w:rPr>
        <w:t xml:space="preserve">).)  The court must instruct “the parties” to inform the court if they later receive information </w:t>
      </w:r>
      <w:r>
        <w:rPr>
          <w:rFonts w:eastAsia="Times New Roman" w:cs="Times New Roman"/>
          <w:color w:val="000000"/>
          <w:szCs w:val="26"/>
        </w:rPr>
        <w:t xml:space="preserve">that </w:t>
      </w:r>
      <w:r w:rsidRPr="00180D98">
        <w:rPr>
          <w:rFonts w:eastAsia="Times New Roman" w:cs="Times New Roman"/>
          <w:color w:val="000000"/>
          <w:szCs w:val="26"/>
        </w:rPr>
        <w:t>the child is Indian.  (</w:t>
      </w:r>
      <w:r w:rsidRPr="00180D98">
        <w:rPr>
          <w:rFonts w:eastAsia="Times New Roman" w:cs="Times New Roman"/>
          <w:i/>
          <w:iCs/>
          <w:color w:val="000000"/>
          <w:szCs w:val="26"/>
        </w:rPr>
        <w:t>I</w:t>
      </w:r>
      <w:r w:rsidR="00E24B90">
        <w:rPr>
          <w:rFonts w:eastAsia="Times New Roman" w:cs="Times New Roman"/>
          <w:i/>
          <w:iCs/>
          <w:color w:val="000000"/>
          <w:szCs w:val="26"/>
        </w:rPr>
        <w:t>bi</w:t>
      </w:r>
      <w:r w:rsidRPr="00180D98">
        <w:rPr>
          <w:rFonts w:eastAsia="Times New Roman" w:cs="Times New Roman"/>
          <w:i/>
          <w:iCs/>
          <w:color w:val="000000"/>
          <w:szCs w:val="26"/>
        </w:rPr>
        <w:t>d.</w:t>
      </w:r>
      <w:r w:rsidRPr="00180D98">
        <w:rPr>
          <w:rFonts w:eastAsia="Times New Roman" w:cs="Times New Roman"/>
          <w:color w:val="000000"/>
          <w:szCs w:val="26"/>
        </w:rPr>
        <w:t>)</w:t>
      </w:r>
      <w:r>
        <w:rPr>
          <w:rFonts w:eastAsia="Times New Roman" w:cs="Times New Roman"/>
          <w:color w:val="000000"/>
          <w:szCs w:val="26"/>
        </w:rPr>
        <w:t xml:space="preserve">  This is the </w:t>
      </w:r>
      <w:r w:rsidRPr="00180D98">
        <w:rPr>
          <w:rFonts w:eastAsia="Times New Roman" w:cs="Times New Roman"/>
          <w:color w:val="000000"/>
          <w:szCs w:val="26"/>
        </w:rPr>
        <w:t xml:space="preserve">entire </w:t>
      </w:r>
      <w:r w:rsidRPr="00180D98">
        <w:rPr>
          <w:rFonts w:eastAsia="Times New Roman" w:cs="Times New Roman"/>
          <w:i/>
          <w:iCs/>
          <w:color w:val="000000"/>
          <w:szCs w:val="26"/>
        </w:rPr>
        <w:t>initial</w:t>
      </w:r>
      <w:r w:rsidRPr="00180D98">
        <w:rPr>
          <w:rFonts w:eastAsia="Times New Roman" w:cs="Times New Roman"/>
          <w:color w:val="000000"/>
          <w:szCs w:val="26"/>
        </w:rPr>
        <w:t xml:space="preserve"> inquiry duty under </w:t>
      </w:r>
      <w:r>
        <w:rPr>
          <w:rFonts w:eastAsia="Times New Roman" w:cs="Times New Roman"/>
          <w:color w:val="000000"/>
          <w:szCs w:val="26"/>
        </w:rPr>
        <w:t>either the federal statute or the Code of Federal Regulations for all proceedings</w:t>
      </w:r>
      <w:r w:rsidRPr="00180D98">
        <w:rPr>
          <w:rFonts w:eastAsia="Times New Roman" w:cs="Times New Roman"/>
          <w:color w:val="000000"/>
          <w:szCs w:val="26"/>
        </w:rPr>
        <w:t xml:space="preserve">.  </w:t>
      </w:r>
      <w:r>
        <w:rPr>
          <w:rFonts w:eastAsia="Times New Roman" w:cs="Times New Roman"/>
          <w:color w:val="000000"/>
          <w:szCs w:val="26"/>
        </w:rPr>
        <w:t xml:space="preserve">It includes </w:t>
      </w:r>
      <w:r w:rsidRPr="00180D98">
        <w:rPr>
          <w:rFonts w:eastAsia="Times New Roman" w:cs="Times New Roman"/>
          <w:color w:val="000000"/>
          <w:szCs w:val="26"/>
        </w:rPr>
        <w:t>no duty to ask extended family members.</w:t>
      </w:r>
    </w:p>
    <w:p w:rsidR="00A108D8" w:rsidRPr="00180D98" w:rsidP="00AB39DC" w14:paraId="10A3DFD3" w14:textId="5581B6AA">
      <w:pPr>
        <w:shd w:val="clear" w:color="auto" w:fill="FFFFFF"/>
        <w:textAlignment w:val="baseline"/>
        <w:rPr>
          <w:rFonts w:eastAsia="Times New Roman" w:cs="Times New Roman"/>
          <w:color w:val="000000"/>
          <w:szCs w:val="26"/>
        </w:rPr>
      </w:pPr>
      <w:r>
        <w:rPr>
          <w:rFonts w:eastAsia="Times New Roman" w:cs="Times New Roman"/>
          <w:color w:val="000000"/>
          <w:szCs w:val="26"/>
        </w:rPr>
        <w:tab/>
        <w:t xml:space="preserve">The BIA </w:t>
      </w:r>
      <w:r w:rsidR="00E24B90">
        <w:rPr>
          <w:rFonts w:eastAsia="Times New Roman" w:cs="Times New Roman"/>
          <w:color w:val="000000"/>
          <w:szCs w:val="26"/>
        </w:rPr>
        <w:t>G</w:t>
      </w:r>
      <w:r>
        <w:rPr>
          <w:rFonts w:eastAsia="Times New Roman" w:cs="Times New Roman"/>
          <w:color w:val="000000"/>
          <w:szCs w:val="26"/>
        </w:rPr>
        <w:t xml:space="preserve">uidelines </w:t>
      </w:r>
      <w:r w:rsidRPr="00180D98">
        <w:rPr>
          <w:rFonts w:eastAsia="Times New Roman" w:cs="Times New Roman"/>
          <w:color w:val="000000"/>
          <w:szCs w:val="26"/>
        </w:rPr>
        <w:t xml:space="preserve">provide </w:t>
      </w:r>
      <w:r>
        <w:rPr>
          <w:rFonts w:eastAsia="Times New Roman" w:cs="Times New Roman"/>
          <w:color w:val="000000"/>
          <w:szCs w:val="26"/>
        </w:rPr>
        <w:t>“</w:t>
      </w:r>
      <w:r w:rsidRPr="00180D98">
        <w:rPr>
          <w:rFonts w:eastAsia="Times New Roman" w:cs="Times New Roman"/>
          <w:color w:val="000000"/>
          <w:szCs w:val="26"/>
        </w:rPr>
        <w:t>examples of best practice”</w:t>
      </w:r>
      <w:r>
        <w:rPr>
          <w:rFonts w:eastAsia="Times New Roman" w:cs="Times New Roman"/>
          <w:color w:val="000000"/>
          <w:szCs w:val="26"/>
        </w:rPr>
        <w:t xml:space="preserve"> for states.  (BIA Guidelines “Purpose of These Guidelines</w:t>
      </w:r>
      <w:r w:rsidR="00E24B90">
        <w:rPr>
          <w:rFonts w:eastAsia="Times New Roman" w:cs="Times New Roman"/>
          <w:color w:val="000000"/>
          <w:szCs w:val="26"/>
        </w:rPr>
        <w:t>,</w:t>
      </w:r>
      <w:r>
        <w:rPr>
          <w:rFonts w:eastAsia="Times New Roman" w:cs="Times New Roman"/>
          <w:color w:val="000000"/>
          <w:szCs w:val="26"/>
        </w:rPr>
        <w:t>”</w:t>
      </w:r>
      <w:r w:rsidR="00E24B90">
        <w:rPr>
          <w:rFonts w:eastAsia="Times New Roman" w:cs="Times New Roman"/>
          <w:color w:val="000000"/>
          <w:szCs w:val="26"/>
        </w:rPr>
        <w:t xml:space="preserve"> at p.</w:t>
      </w:r>
      <w:r w:rsidRPr="00180D98">
        <w:rPr>
          <w:rFonts w:eastAsia="Times New Roman" w:cs="Times New Roman"/>
          <w:color w:val="000000"/>
          <w:szCs w:val="26"/>
        </w:rPr>
        <w:t xml:space="preserve"> 4</w:t>
      </w:r>
      <w:r w:rsidR="00E24B90">
        <w:rPr>
          <w:rFonts w:eastAsia="Times New Roman" w:cs="Times New Roman"/>
          <w:color w:val="000000"/>
          <w:szCs w:val="26"/>
        </w:rPr>
        <w:t>.</w:t>
      </w:r>
      <w:r>
        <w:rPr>
          <w:rFonts w:eastAsia="Times New Roman" w:cs="Times New Roman"/>
          <w:color w:val="000000"/>
          <w:szCs w:val="26"/>
        </w:rPr>
        <w:t xml:space="preserve">)  The </w:t>
      </w:r>
      <w:r w:rsidR="00E24B90">
        <w:rPr>
          <w:rFonts w:eastAsia="Times New Roman" w:cs="Times New Roman"/>
          <w:color w:val="000000"/>
          <w:szCs w:val="26"/>
        </w:rPr>
        <w:t>BIA G</w:t>
      </w:r>
      <w:r>
        <w:rPr>
          <w:rFonts w:eastAsia="Times New Roman" w:cs="Times New Roman"/>
          <w:color w:val="000000"/>
          <w:szCs w:val="26"/>
        </w:rPr>
        <w:t>uidelines state</w:t>
      </w:r>
      <w:r w:rsidRPr="00180D98">
        <w:rPr>
          <w:rFonts w:eastAsia="Times New Roman" w:cs="Times New Roman"/>
          <w:color w:val="000000"/>
          <w:szCs w:val="26"/>
        </w:rPr>
        <w:t xml:space="preserve"> it is “critically important” t</w:t>
      </w:r>
      <w:r>
        <w:rPr>
          <w:rFonts w:eastAsia="Times New Roman" w:cs="Times New Roman"/>
          <w:color w:val="000000"/>
          <w:szCs w:val="26"/>
        </w:rPr>
        <w:t xml:space="preserve">o </w:t>
      </w:r>
      <w:r w:rsidRPr="00180D98">
        <w:rPr>
          <w:rFonts w:eastAsia="Times New Roman" w:cs="Times New Roman"/>
          <w:color w:val="000000"/>
          <w:szCs w:val="26"/>
        </w:rPr>
        <w:t>inquir</w:t>
      </w:r>
      <w:r>
        <w:rPr>
          <w:rFonts w:eastAsia="Times New Roman" w:cs="Times New Roman"/>
          <w:color w:val="000000"/>
          <w:szCs w:val="26"/>
        </w:rPr>
        <w:t>e</w:t>
      </w:r>
      <w:r w:rsidRPr="00180D98">
        <w:rPr>
          <w:rFonts w:eastAsia="Times New Roman" w:cs="Times New Roman"/>
          <w:color w:val="000000"/>
          <w:szCs w:val="26"/>
        </w:rPr>
        <w:t xml:space="preserve"> into whether the child is </w:t>
      </w:r>
      <w:r>
        <w:rPr>
          <w:rFonts w:eastAsia="Times New Roman" w:cs="Times New Roman"/>
          <w:color w:val="000000"/>
          <w:szCs w:val="26"/>
        </w:rPr>
        <w:t>Indian</w:t>
      </w:r>
      <w:r w:rsidRPr="00180D98">
        <w:rPr>
          <w:rFonts w:eastAsia="Times New Roman" w:cs="Times New Roman"/>
          <w:color w:val="000000"/>
          <w:szCs w:val="26"/>
        </w:rPr>
        <w:t xml:space="preserve"> a</w:t>
      </w:r>
      <w:r>
        <w:rPr>
          <w:rFonts w:eastAsia="Times New Roman" w:cs="Times New Roman"/>
          <w:color w:val="000000"/>
          <w:szCs w:val="26"/>
        </w:rPr>
        <w:t>s soon as possible, and it places the duty on state agencies as well as courts</w:t>
      </w:r>
      <w:r w:rsidRPr="00180D98">
        <w:rPr>
          <w:rFonts w:eastAsia="Times New Roman" w:cs="Times New Roman"/>
          <w:color w:val="000000"/>
          <w:szCs w:val="26"/>
        </w:rPr>
        <w:t>.  (</w:t>
      </w:r>
      <w:r>
        <w:rPr>
          <w:rFonts w:eastAsia="Times New Roman" w:cs="Times New Roman"/>
          <w:color w:val="000000"/>
          <w:szCs w:val="26"/>
        </w:rPr>
        <w:t xml:space="preserve">BIA </w:t>
      </w:r>
      <w:r w:rsidRPr="00180D98">
        <w:rPr>
          <w:rFonts w:eastAsia="Times New Roman" w:cs="Times New Roman"/>
          <w:color w:val="000000"/>
          <w:szCs w:val="26"/>
        </w:rPr>
        <w:t>Guideline</w:t>
      </w:r>
      <w:r>
        <w:rPr>
          <w:rFonts w:eastAsia="Times New Roman" w:cs="Times New Roman"/>
          <w:color w:val="000000"/>
          <w:szCs w:val="26"/>
        </w:rPr>
        <w:t>s</w:t>
      </w:r>
      <w:r w:rsidRPr="00180D98">
        <w:rPr>
          <w:rFonts w:eastAsia="Times New Roman" w:cs="Times New Roman"/>
          <w:color w:val="000000"/>
          <w:szCs w:val="26"/>
        </w:rPr>
        <w:t xml:space="preserve"> B.1</w:t>
      </w:r>
      <w:r w:rsidR="00A96ABA">
        <w:rPr>
          <w:rFonts w:eastAsia="Times New Roman" w:cs="Times New Roman"/>
          <w:color w:val="000000"/>
          <w:szCs w:val="26"/>
        </w:rPr>
        <w:t>, p. 11</w:t>
      </w:r>
      <w:r w:rsidRPr="00180D98">
        <w:rPr>
          <w:rFonts w:eastAsia="Times New Roman" w:cs="Times New Roman"/>
          <w:color w:val="000000"/>
          <w:szCs w:val="26"/>
        </w:rPr>
        <w:t>.)</w:t>
      </w:r>
    </w:p>
    <w:p w:rsidR="00EF31D0" w:rsidP="00546B0B" w14:paraId="0FC2875E" w14:textId="5A74F6C9">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Initial inquiry of extended family is mentioned in federal law only in</w:t>
      </w:r>
      <w:r w:rsidR="00C40B19">
        <w:rPr>
          <w:rFonts w:eastAsia="Times New Roman" w:cs="Times New Roman"/>
          <w:color w:val="000000"/>
          <w:szCs w:val="26"/>
        </w:rPr>
        <w:t xml:space="preserve"> </w:t>
      </w:r>
      <w:r>
        <w:rPr>
          <w:rFonts w:eastAsia="Times New Roman" w:cs="Times New Roman"/>
          <w:color w:val="000000"/>
          <w:szCs w:val="26"/>
        </w:rPr>
        <w:t>the BIA guidance on emergency proceedings</w:t>
      </w:r>
      <w:r w:rsidR="00665664">
        <w:rPr>
          <w:rFonts w:eastAsia="Times New Roman" w:cs="Times New Roman"/>
          <w:color w:val="000000"/>
          <w:szCs w:val="26"/>
        </w:rPr>
        <w:t xml:space="preserve"> and only once.</w:t>
      </w:r>
      <w:r>
        <w:rPr>
          <w:rFonts w:eastAsia="Times New Roman" w:cs="Times New Roman"/>
          <w:color w:val="000000"/>
          <w:szCs w:val="26"/>
        </w:rPr>
        <w:t xml:space="preserve">  In interpreting the regulation that lays out the standards for emergency proceedings (2</w:t>
      </w:r>
      <w:r w:rsidR="00A96ABA">
        <w:rPr>
          <w:rFonts w:eastAsia="Times New Roman" w:cs="Times New Roman"/>
          <w:color w:val="000000"/>
          <w:szCs w:val="26"/>
        </w:rPr>
        <w:t>5</w:t>
      </w:r>
      <w:r>
        <w:rPr>
          <w:rFonts w:eastAsia="Times New Roman" w:cs="Times New Roman"/>
          <w:color w:val="000000"/>
          <w:szCs w:val="26"/>
        </w:rPr>
        <w:t xml:space="preserve"> C.F.R. </w:t>
      </w:r>
      <w:r w:rsidR="005940ED">
        <w:rPr>
          <w:rFonts w:eastAsia="Times New Roman" w:cs="Times New Roman"/>
          <w:color w:val="000000"/>
          <w:szCs w:val="26"/>
        </w:rPr>
        <w:t>§ </w:t>
      </w:r>
      <w:r>
        <w:rPr>
          <w:rFonts w:eastAsia="Times New Roman" w:cs="Times New Roman"/>
          <w:color w:val="000000"/>
          <w:szCs w:val="26"/>
        </w:rPr>
        <w:t>23.113</w:t>
      </w:r>
      <w:r w:rsidR="00A96ABA">
        <w:rPr>
          <w:rFonts w:eastAsia="Times New Roman" w:cs="Times New Roman"/>
          <w:color w:val="000000"/>
          <w:szCs w:val="26"/>
        </w:rPr>
        <w:t xml:space="preserve"> (2023)</w:t>
      </w:r>
      <w:r>
        <w:rPr>
          <w:rFonts w:eastAsia="Times New Roman" w:cs="Times New Roman"/>
          <w:color w:val="000000"/>
          <w:szCs w:val="26"/>
        </w:rPr>
        <w:t xml:space="preserve">), </w:t>
      </w:r>
      <w:r w:rsidR="00E24B90">
        <w:rPr>
          <w:rFonts w:eastAsia="Times New Roman" w:cs="Times New Roman"/>
          <w:color w:val="000000"/>
          <w:szCs w:val="26"/>
        </w:rPr>
        <w:t>BIA</w:t>
      </w:r>
      <w:r>
        <w:rPr>
          <w:rFonts w:eastAsia="Times New Roman" w:cs="Times New Roman"/>
          <w:color w:val="000000"/>
          <w:szCs w:val="26"/>
        </w:rPr>
        <w:t xml:space="preserve"> Guidelines section C.7 offers three sentences about “Identifying Indian children in emergency situations.”  </w:t>
      </w:r>
      <w:r w:rsidR="00A96ABA">
        <w:rPr>
          <w:rFonts w:eastAsia="Times New Roman" w:cs="Times New Roman"/>
          <w:color w:val="000000"/>
          <w:szCs w:val="26"/>
        </w:rPr>
        <w:t>(</w:t>
      </w:r>
      <w:r w:rsidRPr="00A96ABA" w:rsidR="00A96ABA">
        <w:rPr>
          <w:rFonts w:eastAsia="Times New Roman" w:cs="Times New Roman"/>
          <w:i/>
          <w:iCs/>
          <w:color w:val="000000"/>
          <w:szCs w:val="26"/>
        </w:rPr>
        <w:t>Id</w:t>
      </w:r>
      <w:r w:rsidR="00A96ABA">
        <w:rPr>
          <w:rFonts w:eastAsia="Times New Roman" w:cs="Times New Roman"/>
          <w:color w:val="000000"/>
          <w:szCs w:val="26"/>
        </w:rPr>
        <w:t xml:space="preserve">. at p. 28.) </w:t>
      </w:r>
      <w:r>
        <w:rPr>
          <w:rFonts w:eastAsia="Times New Roman" w:cs="Times New Roman"/>
          <w:color w:val="000000"/>
          <w:szCs w:val="26"/>
        </w:rPr>
        <w:t xml:space="preserve"> Only the first sentence concerns the initial inquiry, and it recommends querying extended family:  “It is recommended that the State agency ask the family </w:t>
      </w:r>
      <w:r w:rsidRPr="00E6019A">
        <w:rPr>
          <w:rFonts w:eastAsia="Times New Roman" w:cs="Times New Roman"/>
          <w:i/>
          <w:iCs/>
          <w:color w:val="000000"/>
          <w:szCs w:val="26"/>
        </w:rPr>
        <w:t xml:space="preserve">and extended family </w:t>
      </w:r>
      <w:r>
        <w:rPr>
          <w:rFonts w:eastAsia="Times New Roman" w:cs="Times New Roman"/>
          <w:color w:val="000000"/>
          <w:szCs w:val="26"/>
        </w:rPr>
        <w:t xml:space="preserve">whether </w:t>
      </w:r>
      <w:r w:rsidR="00A96ABA">
        <w:rPr>
          <w:rFonts w:eastAsia="Times New Roman" w:cs="Times New Roman"/>
          <w:color w:val="000000"/>
          <w:szCs w:val="26"/>
        </w:rPr>
        <w:t>the</w:t>
      </w:r>
      <w:r>
        <w:rPr>
          <w:rFonts w:eastAsia="Times New Roman" w:cs="Times New Roman"/>
          <w:color w:val="000000"/>
          <w:szCs w:val="26"/>
        </w:rPr>
        <w:t xml:space="preserve"> child is a Tribal member or whether a parent is a Tribal member and the child is eligible for membership as part of the emergency removal and placement process.”  (BIA Guide</w:t>
      </w:r>
      <w:r w:rsidR="00501293">
        <w:rPr>
          <w:rFonts w:eastAsia="Times New Roman" w:cs="Times New Roman"/>
          <w:color w:val="000000"/>
          <w:szCs w:val="26"/>
        </w:rPr>
        <w:t>l</w:t>
      </w:r>
      <w:r>
        <w:rPr>
          <w:rFonts w:eastAsia="Times New Roman" w:cs="Times New Roman"/>
          <w:color w:val="000000"/>
          <w:szCs w:val="26"/>
        </w:rPr>
        <w:t>ines C.7</w:t>
      </w:r>
      <w:r w:rsidR="00A96ABA">
        <w:rPr>
          <w:rFonts w:eastAsia="Times New Roman" w:cs="Times New Roman"/>
          <w:color w:val="000000"/>
          <w:szCs w:val="26"/>
        </w:rPr>
        <w:t>, p. 28</w:t>
      </w:r>
      <w:r w:rsidR="00E609CF">
        <w:rPr>
          <w:rFonts w:eastAsia="Times New Roman" w:cs="Times New Roman"/>
          <w:color w:val="000000"/>
          <w:szCs w:val="26"/>
        </w:rPr>
        <w:t>, italics added</w:t>
      </w:r>
      <w:r>
        <w:rPr>
          <w:rFonts w:eastAsia="Times New Roman" w:cs="Times New Roman"/>
          <w:color w:val="000000"/>
          <w:szCs w:val="26"/>
        </w:rPr>
        <w:t xml:space="preserve">.)  </w:t>
      </w:r>
      <w:r w:rsidRPr="00501293" w:rsidR="00501293">
        <w:rPr>
          <w:rFonts w:eastAsia="Times New Roman" w:cs="Times New Roman"/>
          <w:color w:val="000000"/>
          <w:szCs w:val="26"/>
        </w:rPr>
        <w:t xml:space="preserve">If an Indian child is identified in any </w:t>
      </w:r>
      <w:r w:rsidR="00BA53D9">
        <w:rPr>
          <w:rFonts w:eastAsia="Times New Roman" w:cs="Times New Roman"/>
          <w:color w:val="000000"/>
          <w:szCs w:val="26"/>
        </w:rPr>
        <w:t xml:space="preserve">California </w:t>
      </w:r>
      <w:r w:rsidRPr="00501293" w:rsidR="00501293">
        <w:rPr>
          <w:rFonts w:eastAsia="Times New Roman" w:cs="Times New Roman"/>
          <w:color w:val="000000"/>
          <w:szCs w:val="26"/>
        </w:rPr>
        <w:t xml:space="preserve">pre-petition removal, an emergency proceeding and its standard is required, so the recommendation of </w:t>
      </w:r>
      <w:r w:rsidR="00E24B90">
        <w:rPr>
          <w:rFonts w:eastAsia="Times New Roman" w:cs="Times New Roman"/>
          <w:color w:val="000000"/>
          <w:szCs w:val="26"/>
        </w:rPr>
        <w:t xml:space="preserve">BIA </w:t>
      </w:r>
      <w:r w:rsidRPr="00501293" w:rsidR="00501293">
        <w:rPr>
          <w:rFonts w:eastAsia="Times New Roman" w:cs="Times New Roman"/>
          <w:color w:val="000000"/>
          <w:szCs w:val="26"/>
        </w:rPr>
        <w:t>Guidelines section C.7 applies to all pre-petition removals.</w:t>
      </w:r>
      <w:r w:rsidR="00FE1B76">
        <w:rPr>
          <w:rFonts w:eastAsia="Times New Roman" w:cs="Times New Roman"/>
          <w:color w:val="000000"/>
          <w:szCs w:val="26"/>
        </w:rPr>
        <w:t xml:space="preserve">  </w:t>
      </w:r>
      <w:r w:rsidR="00812459">
        <w:rPr>
          <w:rFonts w:eastAsia="Times New Roman" w:cs="Times New Roman"/>
          <w:color w:val="000000"/>
          <w:szCs w:val="26"/>
        </w:rPr>
        <w:t>Whether</w:t>
      </w:r>
      <w:r w:rsidR="00231FBF">
        <w:rPr>
          <w:rFonts w:eastAsia="Times New Roman" w:cs="Times New Roman"/>
          <w:color w:val="000000"/>
          <w:szCs w:val="26"/>
        </w:rPr>
        <w:t xml:space="preserve"> or not the child was initially </w:t>
      </w:r>
      <w:r w:rsidR="00812459">
        <w:rPr>
          <w:rFonts w:eastAsia="Times New Roman" w:cs="Times New Roman"/>
          <w:color w:val="000000"/>
          <w:szCs w:val="26"/>
        </w:rPr>
        <w:t>remov</w:t>
      </w:r>
      <w:r w:rsidR="00231FBF">
        <w:rPr>
          <w:rFonts w:eastAsia="Times New Roman" w:cs="Times New Roman"/>
          <w:color w:val="000000"/>
          <w:szCs w:val="26"/>
        </w:rPr>
        <w:t>ed by</w:t>
      </w:r>
      <w:r w:rsidR="00812459">
        <w:rPr>
          <w:rFonts w:eastAsia="Times New Roman" w:cs="Times New Roman"/>
          <w:color w:val="000000"/>
          <w:szCs w:val="26"/>
        </w:rPr>
        <w:t xml:space="preserve"> warrant, the same standard will apply to detain an Indian child</w:t>
      </w:r>
      <w:r w:rsidR="00D60280">
        <w:rPr>
          <w:rFonts w:eastAsia="Times New Roman" w:cs="Times New Roman"/>
          <w:color w:val="000000"/>
          <w:szCs w:val="26"/>
        </w:rPr>
        <w:t>.</w:t>
      </w:r>
    </w:p>
    <w:p w:rsidR="00EF31D0" w:rsidRPr="000D0B66" w:rsidP="00AB39DC" w14:paraId="34CFDE5E" w14:textId="542C5CDA">
      <w:pPr>
        <w:shd w:val="clear" w:color="auto" w:fill="FFFFFF"/>
        <w:textAlignment w:val="baseline"/>
        <w:rPr>
          <w:rFonts w:eastAsia="Times New Roman" w:cs="Times New Roman"/>
          <w:color w:val="000000"/>
          <w:szCs w:val="26"/>
        </w:rPr>
      </w:pPr>
      <w:r>
        <w:rPr>
          <w:rFonts w:eastAsia="Times New Roman" w:cs="Times New Roman"/>
          <w:color w:val="000000"/>
          <w:szCs w:val="26"/>
        </w:rPr>
        <w:tab/>
      </w:r>
      <w:r w:rsidR="00DB61B7">
        <w:rPr>
          <w:rFonts w:eastAsia="Times New Roman" w:cs="Times New Roman"/>
          <w:color w:val="000000"/>
          <w:szCs w:val="26"/>
        </w:rPr>
        <w:t>3</w:t>
      </w:r>
      <w:r>
        <w:rPr>
          <w:rFonts w:eastAsia="Times New Roman" w:cs="Times New Roman"/>
          <w:color w:val="000000"/>
          <w:szCs w:val="26"/>
        </w:rPr>
        <w:t xml:space="preserve">.  </w:t>
      </w:r>
      <w:r w:rsidRPr="00546B0B" w:rsidR="00E87CCB">
        <w:rPr>
          <w:rFonts w:eastAsia="Times New Roman" w:cs="Times New Roman"/>
          <w:i/>
          <w:iCs/>
          <w:color w:val="000000"/>
          <w:szCs w:val="26"/>
        </w:rPr>
        <w:t xml:space="preserve">The </w:t>
      </w:r>
      <w:r w:rsidRPr="00C20B85">
        <w:rPr>
          <w:rFonts w:eastAsia="Times New Roman" w:cs="Times New Roman"/>
          <w:i/>
          <w:iCs/>
          <w:color w:val="000000"/>
          <w:szCs w:val="26"/>
        </w:rPr>
        <w:t>Adrian L.</w:t>
      </w:r>
      <w:r w:rsidRPr="00546B0B" w:rsidR="00E87CCB">
        <w:rPr>
          <w:i/>
          <w:iCs/>
          <w:color w:val="000000"/>
        </w:rPr>
        <w:t xml:space="preserve"> </w:t>
      </w:r>
      <w:r w:rsidRPr="00546B0B" w:rsidR="00C20B85">
        <w:rPr>
          <w:i/>
          <w:iCs/>
          <w:color w:val="000000"/>
        </w:rPr>
        <w:t>C</w:t>
      </w:r>
      <w:r w:rsidRPr="00546B0B" w:rsidR="00E87CCB">
        <w:rPr>
          <w:i/>
          <w:iCs/>
          <w:color w:val="000000"/>
        </w:rPr>
        <w:t>oncurrence</w:t>
      </w:r>
      <w:r w:rsidRPr="00BD32F5" w:rsidR="00E87CCB">
        <w:rPr>
          <w:color w:val="000000"/>
        </w:rPr>
        <w:t>’</w:t>
      </w:r>
      <w:r w:rsidRPr="00546B0B">
        <w:rPr>
          <w:i/>
          <w:iCs/>
          <w:color w:val="000000"/>
        </w:rPr>
        <w:t>s</w:t>
      </w:r>
      <w:r w:rsidRPr="00C20B85">
        <w:rPr>
          <w:rFonts w:eastAsia="Times New Roman" w:cs="Times New Roman"/>
          <w:i/>
          <w:iCs/>
          <w:color w:val="000000"/>
          <w:szCs w:val="26"/>
        </w:rPr>
        <w:t xml:space="preserve"> Er</w:t>
      </w:r>
      <w:r w:rsidRPr="00AB39DC">
        <w:rPr>
          <w:rFonts w:eastAsia="Times New Roman" w:cs="Times New Roman"/>
          <w:i/>
          <w:iCs/>
          <w:color w:val="000000"/>
          <w:szCs w:val="26"/>
        </w:rPr>
        <w:t>ror Relating to Emergency Removal</w:t>
      </w:r>
    </w:p>
    <w:p w:rsidR="00EF31D0" w:rsidRPr="00180D98" w:rsidP="00AB39DC" w14:paraId="25927EFD" w14:textId="74F3BB68">
      <w:pPr>
        <w:shd w:val="clear" w:color="auto" w:fill="FFFFFF"/>
        <w:textAlignment w:val="baseline"/>
        <w:rPr>
          <w:rFonts w:eastAsia="Times New Roman" w:cs="Times New Roman"/>
          <w:color w:val="000000"/>
          <w:szCs w:val="26"/>
        </w:rPr>
      </w:pPr>
      <w:r>
        <w:rPr>
          <w:rFonts w:eastAsia="Times New Roman" w:cs="Times New Roman"/>
          <w:color w:val="000000"/>
          <w:szCs w:val="26"/>
        </w:rPr>
        <w:tab/>
      </w:r>
      <w:r w:rsidR="006A60DB">
        <w:rPr>
          <w:rFonts w:eastAsia="Times New Roman" w:cs="Times New Roman"/>
          <w:color w:val="000000"/>
          <w:szCs w:val="26"/>
        </w:rPr>
        <w:t>T</w:t>
      </w:r>
      <w:r>
        <w:rPr>
          <w:rFonts w:eastAsia="Times New Roman" w:cs="Times New Roman"/>
          <w:color w:val="000000"/>
          <w:szCs w:val="26"/>
        </w:rPr>
        <w:t xml:space="preserve">he </w:t>
      </w:r>
      <w:r w:rsidRPr="00EC4ABA">
        <w:rPr>
          <w:rFonts w:eastAsia="Times New Roman" w:cs="Times New Roman"/>
          <w:i/>
          <w:iCs/>
          <w:color w:val="000000"/>
          <w:szCs w:val="26"/>
        </w:rPr>
        <w:t>Adrian L.</w:t>
      </w:r>
      <w:r>
        <w:rPr>
          <w:rFonts w:eastAsia="Times New Roman" w:cs="Times New Roman"/>
          <w:color w:val="000000"/>
          <w:szCs w:val="26"/>
        </w:rPr>
        <w:t xml:space="preserve"> concurrence </w:t>
      </w:r>
      <w:r w:rsidR="00D4253D">
        <w:rPr>
          <w:rFonts w:eastAsia="Times New Roman" w:cs="Times New Roman"/>
          <w:color w:val="000000"/>
          <w:szCs w:val="26"/>
        </w:rPr>
        <w:t>fails to understand</w:t>
      </w:r>
      <w:r w:rsidR="006A60DB">
        <w:rPr>
          <w:rFonts w:eastAsia="Times New Roman" w:cs="Times New Roman"/>
          <w:color w:val="000000"/>
          <w:szCs w:val="26"/>
        </w:rPr>
        <w:t xml:space="preserve"> that </w:t>
      </w:r>
      <w:r w:rsidRPr="006A60DB" w:rsidR="006A60DB">
        <w:rPr>
          <w:rFonts w:eastAsia="Times New Roman" w:cs="Times New Roman"/>
          <w:i/>
          <w:iCs/>
          <w:color w:val="000000"/>
          <w:szCs w:val="26"/>
        </w:rPr>
        <w:t>all</w:t>
      </w:r>
      <w:r w:rsidR="006A60DB">
        <w:rPr>
          <w:rFonts w:eastAsia="Times New Roman" w:cs="Times New Roman"/>
          <w:color w:val="000000"/>
          <w:szCs w:val="26"/>
        </w:rPr>
        <w:t xml:space="preserve"> </w:t>
      </w:r>
      <w:r w:rsidR="007C2620">
        <w:rPr>
          <w:rFonts w:eastAsia="Times New Roman" w:cs="Times New Roman"/>
          <w:color w:val="000000"/>
          <w:szCs w:val="26"/>
        </w:rPr>
        <w:t xml:space="preserve">California </w:t>
      </w:r>
      <w:r w:rsidR="006A60DB">
        <w:rPr>
          <w:rFonts w:eastAsia="Times New Roman" w:cs="Times New Roman"/>
          <w:color w:val="000000"/>
          <w:szCs w:val="26"/>
        </w:rPr>
        <w:t xml:space="preserve">pre-petition removals </w:t>
      </w:r>
      <w:r w:rsidR="007C2620">
        <w:rPr>
          <w:rFonts w:eastAsia="Times New Roman" w:cs="Times New Roman"/>
          <w:color w:val="000000"/>
          <w:szCs w:val="26"/>
        </w:rPr>
        <w:t>of Indian children</w:t>
      </w:r>
      <w:r w:rsidR="006A60DB">
        <w:rPr>
          <w:rFonts w:eastAsia="Times New Roman" w:cs="Times New Roman"/>
          <w:color w:val="000000"/>
          <w:szCs w:val="26"/>
        </w:rPr>
        <w:t xml:space="preserve"> are emergency rem</w:t>
      </w:r>
      <w:r w:rsidR="00D4253D">
        <w:rPr>
          <w:rFonts w:eastAsia="Times New Roman" w:cs="Times New Roman"/>
          <w:color w:val="000000"/>
          <w:szCs w:val="26"/>
        </w:rPr>
        <w:t>ov</w:t>
      </w:r>
      <w:r w:rsidR="006A60DB">
        <w:rPr>
          <w:rFonts w:eastAsia="Times New Roman" w:cs="Times New Roman"/>
          <w:color w:val="000000"/>
          <w:szCs w:val="26"/>
        </w:rPr>
        <w:t>als under ICWA</w:t>
      </w:r>
      <w:r w:rsidR="00D4253D">
        <w:rPr>
          <w:rFonts w:eastAsia="Times New Roman" w:cs="Times New Roman"/>
          <w:color w:val="000000"/>
          <w:szCs w:val="26"/>
        </w:rPr>
        <w:t>.  T</w:t>
      </w:r>
      <w:r w:rsidR="006A60DB">
        <w:rPr>
          <w:rFonts w:eastAsia="Times New Roman" w:cs="Times New Roman"/>
          <w:color w:val="000000"/>
          <w:szCs w:val="26"/>
        </w:rPr>
        <w:t xml:space="preserve">he </w:t>
      </w:r>
      <w:r w:rsidR="006A60DB">
        <w:rPr>
          <w:rFonts w:eastAsia="Times New Roman" w:cs="Times New Roman"/>
          <w:i/>
          <w:iCs/>
          <w:color w:val="000000"/>
          <w:szCs w:val="26"/>
        </w:rPr>
        <w:t>Adrian L.</w:t>
      </w:r>
      <w:r w:rsidR="006A60DB">
        <w:rPr>
          <w:rFonts w:eastAsia="Times New Roman" w:cs="Times New Roman"/>
          <w:color w:val="000000"/>
          <w:szCs w:val="26"/>
        </w:rPr>
        <w:t xml:space="preserve"> concurrence argues</w:t>
      </w:r>
      <w:r>
        <w:rPr>
          <w:rFonts w:eastAsia="Times New Roman" w:cs="Times New Roman"/>
          <w:color w:val="000000"/>
          <w:szCs w:val="26"/>
        </w:rPr>
        <w:t xml:space="preserve"> that under “federal</w:t>
      </w:r>
      <w:r w:rsidRPr="00EC4ABA">
        <w:rPr>
          <w:rFonts w:eastAsia="Times New Roman" w:cs="Times New Roman"/>
          <w:color w:val="000000"/>
          <w:szCs w:val="26"/>
        </w:rPr>
        <w:t xml:space="preserve"> ICWA la</w:t>
      </w:r>
      <w:r>
        <w:rPr>
          <w:rFonts w:eastAsia="Times New Roman" w:cs="Times New Roman"/>
          <w:color w:val="000000"/>
          <w:szCs w:val="26"/>
        </w:rPr>
        <w:t xml:space="preserve">w . </w:t>
      </w:r>
      <w:r>
        <w:rPr>
          <w:rFonts w:eastAsia="Times New Roman" w:cs="Times New Roman"/>
          <w:color w:val="000000"/>
          <w:sz w:val="28"/>
          <w:szCs w:val="28"/>
        </w:rPr>
        <w:t>. . </w:t>
      </w:r>
      <w:r w:rsidRPr="00EC4ABA">
        <w:rPr>
          <w:rFonts w:eastAsia="Times New Roman" w:cs="Times New Roman"/>
          <w:color w:val="000000"/>
          <w:szCs w:val="26"/>
        </w:rPr>
        <w:t>a removal under section 306</w:t>
      </w:r>
      <w:r>
        <w:rPr>
          <w:rFonts w:eastAsia="Times New Roman" w:cs="Times New Roman"/>
          <w:color w:val="000000"/>
          <w:szCs w:val="26"/>
        </w:rPr>
        <w:t xml:space="preserve"> [without a warrant]</w:t>
      </w:r>
      <w:r w:rsidRPr="00EC4ABA">
        <w:rPr>
          <w:rFonts w:eastAsia="Times New Roman" w:cs="Times New Roman"/>
          <w:color w:val="000000"/>
          <w:szCs w:val="26"/>
        </w:rPr>
        <w:t xml:space="preserve"> is considered an </w:t>
      </w:r>
      <w:r w:rsidR="00A96ABA">
        <w:rPr>
          <w:rFonts w:eastAsia="Times New Roman" w:cs="Times New Roman"/>
          <w:color w:val="000000"/>
          <w:szCs w:val="26"/>
        </w:rPr>
        <w:t>‘</w:t>
      </w:r>
      <w:r w:rsidRPr="00EC4ABA">
        <w:rPr>
          <w:rFonts w:eastAsia="Times New Roman" w:cs="Times New Roman"/>
          <w:color w:val="000000"/>
          <w:szCs w:val="26"/>
        </w:rPr>
        <w:t>emergency removal</w:t>
      </w:r>
      <w:r w:rsidR="00A96ABA">
        <w:rPr>
          <w:rFonts w:eastAsia="Times New Roman" w:cs="Times New Roman"/>
          <w:color w:val="000000"/>
          <w:szCs w:val="26"/>
        </w:rPr>
        <w:t>’</w:t>
      </w:r>
      <w:r w:rsidRPr="00EC4ABA">
        <w:rPr>
          <w:rFonts w:eastAsia="Times New Roman" w:cs="Times New Roman"/>
          <w:color w:val="000000"/>
          <w:szCs w:val="26"/>
        </w:rPr>
        <w:t xml:space="preserve"> under ICWA, but a removal pursuant to an order issued under section 340</w:t>
      </w:r>
      <w:r>
        <w:rPr>
          <w:rFonts w:eastAsia="Times New Roman" w:cs="Times New Roman"/>
          <w:color w:val="000000"/>
          <w:szCs w:val="26"/>
        </w:rPr>
        <w:t xml:space="preserve"> [the warrant provision]</w:t>
      </w:r>
      <w:r w:rsidRPr="00EC4ABA">
        <w:rPr>
          <w:rFonts w:eastAsia="Times New Roman" w:cs="Times New Roman"/>
          <w:color w:val="000000"/>
          <w:szCs w:val="26"/>
        </w:rPr>
        <w:t xml:space="preserve"> is not.</w:t>
      </w:r>
      <w:r>
        <w:rPr>
          <w:rFonts w:eastAsia="Times New Roman" w:cs="Times New Roman"/>
          <w:color w:val="000000"/>
          <w:szCs w:val="26"/>
        </w:rPr>
        <w:t xml:space="preserve">”  </w:t>
      </w:r>
      <w:r w:rsidR="00E24B90">
        <w:rPr>
          <w:rFonts w:eastAsia="Times New Roman" w:cs="Times New Roman"/>
          <w:color w:val="000000"/>
          <w:szCs w:val="26"/>
        </w:rPr>
        <w:t>(</w:t>
      </w:r>
      <w:r w:rsidR="00E24B90">
        <w:rPr>
          <w:rFonts w:eastAsia="Times New Roman" w:cs="Times New Roman"/>
          <w:i/>
          <w:iCs/>
          <w:color w:val="000000"/>
          <w:szCs w:val="26"/>
        </w:rPr>
        <w:t>Adrian L.</w:t>
      </w:r>
      <w:r w:rsidR="00E24B90">
        <w:rPr>
          <w:rFonts w:eastAsia="Times New Roman" w:cs="Times New Roman"/>
          <w:color w:val="000000"/>
          <w:szCs w:val="26"/>
        </w:rPr>
        <w:t xml:space="preserve">, 86 Cal.App.5th at p. 357 (Kelley, J., concurring).)  </w:t>
      </w:r>
      <w:r w:rsidR="006A60DB">
        <w:rPr>
          <w:rFonts w:eastAsia="Times New Roman" w:cs="Times New Roman"/>
          <w:color w:val="000000"/>
          <w:szCs w:val="26"/>
        </w:rPr>
        <w:t xml:space="preserve">According to the concurrence, the California </w:t>
      </w:r>
      <w:r w:rsidR="00E609CF">
        <w:rPr>
          <w:rFonts w:eastAsia="Times New Roman" w:cs="Times New Roman"/>
          <w:color w:val="000000"/>
          <w:szCs w:val="26"/>
        </w:rPr>
        <w:t>L</w:t>
      </w:r>
      <w:r w:rsidR="006A60DB">
        <w:rPr>
          <w:rFonts w:eastAsia="Times New Roman" w:cs="Times New Roman"/>
          <w:color w:val="000000"/>
          <w:szCs w:val="26"/>
        </w:rPr>
        <w:t xml:space="preserve">egislature </w:t>
      </w:r>
      <w:r w:rsidR="00501C4D">
        <w:rPr>
          <w:rFonts w:eastAsia="Times New Roman" w:cs="Times New Roman"/>
          <w:color w:val="000000"/>
          <w:szCs w:val="26"/>
        </w:rPr>
        <w:t xml:space="preserve">intentionally </w:t>
      </w:r>
      <w:r w:rsidR="006A60DB">
        <w:rPr>
          <w:rFonts w:eastAsia="Times New Roman" w:cs="Times New Roman"/>
          <w:color w:val="000000"/>
          <w:szCs w:val="26"/>
        </w:rPr>
        <w:t xml:space="preserve">distinguished between those removed via protective custody warrant and those removed otherwise </w:t>
      </w:r>
      <w:r w:rsidR="002A79C5">
        <w:rPr>
          <w:rFonts w:eastAsia="Times New Roman" w:cs="Times New Roman"/>
          <w:color w:val="000000"/>
          <w:szCs w:val="26"/>
        </w:rPr>
        <w:t>to</w:t>
      </w:r>
      <w:r>
        <w:rPr>
          <w:rFonts w:eastAsia="Times New Roman" w:cs="Times New Roman"/>
          <w:color w:val="000000"/>
          <w:szCs w:val="26"/>
        </w:rPr>
        <w:t xml:space="preserve"> “</w:t>
      </w:r>
      <w:r w:rsidRPr="00EC4ABA">
        <w:rPr>
          <w:rFonts w:eastAsia="Times New Roman" w:cs="Times New Roman"/>
          <w:color w:val="000000"/>
          <w:szCs w:val="26"/>
        </w:rPr>
        <w:t>align</w:t>
      </w:r>
      <w:r w:rsidR="00A96ABA">
        <w:rPr>
          <w:rFonts w:eastAsia="Times New Roman" w:cs="Times New Roman"/>
          <w:color w:val="000000"/>
          <w:szCs w:val="26"/>
        </w:rPr>
        <w:t>[]</w:t>
      </w:r>
      <w:r w:rsidR="00214027">
        <w:rPr>
          <w:rFonts w:eastAsia="Times New Roman" w:cs="Times New Roman"/>
          <w:color w:val="000000"/>
          <w:szCs w:val="26"/>
        </w:rPr>
        <w:t xml:space="preserve"> </w:t>
      </w:r>
      <w:r w:rsidR="00501C4D">
        <w:rPr>
          <w:rFonts w:eastAsia="Times New Roman" w:cs="Times New Roman"/>
          <w:color w:val="000000"/>
          <w:szCs w:val="26"/>
        </w:rPr>
        <w:t>[California law]</w:t>
      </w:r>
      <w:r w:rsidRPr="00EC4ABA">
        <w:rPr>
          <w:rFonts w:eastAsia="Times New Roman" w:cs="Times New Roman"/>
          <w:color w:val="000000"/>
          <w:szCs w:val="26"/>
        </w:rPr>
        <w:t xml:space="preserve"> with federal ICWA guidance.</w:t>
      </w:r>
      <w:r>
        <w:rPr>
          <w:rFonts w:eastAsia="Times New Roman" w:cs="Times New Roman"/>
          <w:color w:val="000000"/>
          <w:szCs w:val="26"/>
        </w:rPr>
        <w:t>”  (</w:t>
      </w:r>
      <w:r w:rsidR="00E24B90">
        <w:rPr>
          <w:rFonts w:eastAsia="Times New Roman" w:cs="Times New Roman"/>
          <w:i/>
          <w:iCs/>
          <w:color w:val="000000"/>
          <w:szCs w:val="26"/>
        </w:rPr>
        <w:t>Ibid.</w:t>
      </w:r>
      <w:r>
        <w:rPr>
          <w:rFonts w:eastAsia="Times New Roman" w:cs="Times New Roman"/>
          <w:color w:val="000000"/>
          <w:szCs w:val="26"/>
        </w:rPr>
        <w:t xml:space="preserve">; see </w:t>
      </w:r>
      <w:r w:rsidRPr="00240C40">
        <w:rPr>
          <w:rFonts w:eastAsia="Times New Roman" w:cs="Times New Roman"/>
          <w:i/>
          <w:iCs/>
          <w:color w:val="000000"/>
          <w:szCs w:val="26"/>
        </w:rPr>
        <w:t>id.</w:t>
      </w:r>
      <w:r>
        <w:rPr>
          <w:rFonts w:eastAsia="Times New Roman" w:cs="Times New Roman"/>
          <w:color w:val="000000"/>
          <w:szCs w:val="26"/>
        </w:rPr>
        <w:t xml:space="preserve"> at p. 361 [purported </w:t>
      </w:r>
      <w:r w:rsidRPr="00180D98">
        <w:rPr>
          <w:rFonts w:eastAsia="Times New Roman" w:cs="Times New Roman"/>
          <w:color w:val="000000"/>
          <w:szCs w:val="26"/>
        </w:rPr>
        <w:t>“narrow requirement of specific inquiry that paralleled federal guidelines issued in 2016</w:t>
      </w:r>
      <w:r>
        <w:rPr>
          <w:rFonts w:eastAsia="Times New Roman" w:cs="Times New Roman"/>
          <w:color w:val="000000"/>
          <w:szCs w:val="26"/>
        </w:rPr>
        <w:t xml:space="preserve">”]; </w:t>
      </w:r>
      <w:r w:rsidRPr="00BF17E9">
        <w:rPr>
          <w:rFonts w:eastAsia="Times New Roman" w:cs="Times New Roman"/>
          <w:i/>
          <w:iCs/>
          <w:color w:val="000000"/>
          <w:szCs w:val="26"/>
        </w:rPr>
        <w:t>id</w:t>
      </w:r>
      <w:r>
        <w:rPr>
          <w:rFonts w:eastAsia="Times New Roman" w:cs="Times New Roman"/>
          <w:color w:val="000000"/>
          <w:szCs w:val="26"/>
        </w:rPr>
        <w:t xml:space="preserve">. at p. 363 [federal guidance “describes precisely the circumstance” of removals without a warrant]; </w:t>
      </w:r>
      <w:r w:rsidRPr="00BD32F5">
        <w:rPr>
          <w:rFonts w:eastAsia="Times New Roman" w:cs="Times New Roman"/>
          <w:i/>
          <w:iCs/>
          <w:color w:val="000000"/>
          <w:szCs w:val="26"/>
        </w:rPr>
        <w:t>id</w:t>
      </w:r>
      <w:r>
        <w:rPr>
          <w:rFonts w:eastAsia="Times New Roman" w:cs="Times New Roman"/>
          <w:color w:val="000000"/>
          <w:szCs w:val="26"/>
        </w:rPr>
        <w:t>. at p.</w:t>
      </w:r>
      <w:r w:rsidR="00E24B90">
        <w:rPr>
          <w:rFonts w:eastAsia="Times New Roman" w:cs="Times New Roman"/>
          <w:color w:val="000000"/>
          <w:szCs w:val="26"/>
        </w:rPr>
        <w:t> </w:t>
      </w:r>
      <w:r>
        <w:rPr>
          <w:rFonts w:eastAsia="Times New Roman" w:cs="Times New Roman"/>
          <w:color w:val="000000"/>
          <w:szCs w:val="26"/>
        </w:rPr>
        <w:t xml:space="preserve">364 [our Legislature “tracked federal guidelines for emergency removals”]; </w:t>
      </w:r>
      <w:r w:rsidRPr="00240C40">
        <w:rPr>
          <w:rFonts w:eastAsia="Times New Roman" w:cs="Times New Roman"/>
          <w:i/>
          <w:iCs/>
          <w:color w:val="000000"/>
          <w:szCs w:val="26"/>
        </w:rPr>
        <w:t>id.</w:t>
      </w:r>
      <w:r>
        <w:rPr>
          <w:rFonts w:eastAsia="Times New Roman" w:cs="Times New Roman"/>
          <w:color w:val="000000"/>
          <w:szCs w:val="26"/>
        </w:rPr>
        <w:t xml:space="preserve"> at p.</w:t>
      </w:r>
      <w:r w:rsidR="00E24B90">
        <w:rPr>
          <w:rFonts w:eastAsia="Times New Roman" w:cs="Times New Roman"/>
          <w:color w:val="000000"/>
          <w:szCs w:val="26"/>
        </w:rPr>
        <w:t> </w:t>
      </w:r>
      <w:r>
        <w:rPr>
          <w:rFonts w:eastAsia="Times New Roman" w:cs="Times New Roman"/>
          <w:color w:val="000000"/>
          <w:szCs w:val="26"/>
        </w:rPr>
        <w:t xml:space="preserve">367 [Legislature was “[c]hoosing to follow the BIA Guidelines” in applying extended family inquiry to only warrantless removals]; </w:t>
      </w:r>
      <w:r w:rsidRPr="00240C40">
        <w:rPr>
          <w:rFonts w:eastAsia="Times New Roman" w:cs="Times New Roman"/>
          <w:i/>
          <w:iCs/>
          <w:color w:val="000000"/>
          <w:szCs w:val="26"/>
        </w:rPr>
        <w:t>id</w:t>
      </w:r>
      <w:r>
        <w:rPr>
          <w:rFonts w:eastAsia="Times New Roman" w:cs="Times New Roman"/>
          <w:color w:val="000000"/>
          <w:szCs w:val="26"/>
        </w:rPr>
        <w:t xml:space="preserve">. at p. 368 [“alignment with the narrow federal guidance”]; </w:t>
      </w:r>
      <w:r w:rsidRPr="00240C40">
        <w:rPr>
          <w:rFonts w:eastAsia="Times New Roman" w:cs="Times New Roman"/>
          <w:i/>
          <w:iCs/>
          <w:color w:val="000000"/>
          <w:szCs w:val="26"/>
        </w:rPr>
        <w:t>id</w:t>
      </w:r>
      <w:r>
        <w:rPr>
          <w:rFonts w:eastAsia="Times New Roman" w:cs="Times New Roman"/>
          <w:color w:val="000000"/>
          <w:szCs w:val="26"/>
        </w:rPr>
        <w:t xml:space="preserve">. at p. 369 [Legislature “closely tracked the relevant federal guidance on emergency removals” with a distinction that “maps precisely onto the recommended federal guidance”]; </w:t>
      </w:r>
      <w:r w:rsidRPr="00240C40">
        <w:rPr>
          <w:rFonts w:eastAsia="Times New Roman" w:cs="Times New Roman"/>
          <w:i/>
          <w:iCs/>
          <w:color w:val="000000"/>
          <w:szCs w:val="26"/>
        </w:rPr>
        <w:t>id</w:t>
      </w:r>
      <w:r>
        <w:rPr>
          <w:rFonts w:eastAsia="Times New Roman" w:cs="Times New Roman"/>
          <w:color w:val="000000"/>
          <w:szCs w:val="26"/>
        </w:rPr>
        <w:t xml:space="preserve">. at p. 372 [“construction” had a “genesis in </w:t>
      </w:r>
      <w:r w:rsidR="00A96ABA">
        <w:rPr>
          <w:rFonts w:eastAsia="Times New Roman" w:cs="Times New Roman"/>
          <w:color w:val="000000"/>
          <w:szCs w:val="26"/>
        </w:rPr>
        <w:t>[</w:t>
      </w:r>
      <w:r>
        <w:rPr>
          <w:rFonts w:eastAsia="Times New Roman" w:cs="Times New Roman"/>
          <w:color w:val="000000"/>
          <w:szCs w:val="26"/>
        </w:rPr>
        <w:t>the</w:t>
      </w:r>
      <w:r w:rsidR="00A96ABA">
        <w:rPr>
          <w:rFonts w:eastAsia="Times New Roman" w:cs="Times New Roman"/>
          <w:color w:val="000000"/>
          <w:szCs w:val="26"/>
        </w:rPr>
        <w:t>]</w:t>
      </w:r>
      <w:r>
        <w:rPr>
          <w:rFonts w:eastAsia="Times New Roman" w:cs="Times New Roman"/>
          <w:color w:val="000000"/>
          <w:szCs w:val="26"/>
        </w:rPr>
        <w:t xml:space="preserve"> federal ICWA guidance”].)</w:t>
      </w:r>
      <w:r>
        <w:rPr>
          <w:rStyle w:val="FootnoteReference"/>
          <w:rFonts w:eastAsia="Times New Roman" w:cs="Times New Roman"/>
          <w:color w:val="000000"/>
          <w:szCs w:val="26"/>
        </w:rPr>
        <w:footnoteReference w:id="13"/>
      </w:r>
    </w:p>
    <w:p w:rsidR="00EF31D0" w:rsidP="00AB39DC" w14:paraId="001E644A" w14:textId="0E13DE1F">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 xml:space="preserve">But the distinction </w:t>
      </w:r>
      <w:r w:rsidR="00D4310E">
        <w:rPr>
          <w:rFonts w:eastAsia="Times New Roman" w:cs="Times New Roman"/>
          <w:color w:val="000000"/>
          <w:szCs w:val="26"/>
        </w:rPr>
        <w:t xml:space="preserve">the concurrence </w:t>
      </w:r>
      <w:r w:rsidR="00BD1D47">
        <w:rPr>
          <w:rFonts w:eastAsia="Times New Roman" w:cs="Times New Roman"/>
          <w:color w:val="000000"/>
          <w:szCs w:val="26"/>
        </w:rPr>
        <w:t xml:space="preserve">purports to </w:t>
      </w:r>
      <w:r>
        <w:rPr>
          <w:rFonts w:eastAsia="Times New Roman" w:cs="Times New Roman"/>
          <w:color w:val="000000"/>
          <w:szCs w:val="26"/>
        </w:rPr>
        <w:t>rel</w:t>
      </w:r>
      <w:r w:rsidR="00BD1D47">
        <w:rPr>
          <w:rFonts w:eastAsia="Times New Roman" w:cs="Times New Roman"/>
          <w:color w:val="000000"/>
          <w:szCs w:val="26"/>
        </w:rPr>
        <w:t>y</w:t>
      </w:r>
      <w:r>
        <w:rPr>
          <w:rFonts w:eastAsia="Times New Roman" w:cs="Times New Roman"/>
          <w:color w:val="000000"/>
          <w:szCs w:val="26"/>
        </w:rPr>
        <w:t xml:space="preserve"> on does not exist in the federal statutes, regulations, or guidance.  As described above, federal law provides exactly two authorized ways to remove an Indian child from parents, either (1) through an Indian “child</w:t>
      </w:r>
      <w:r w:rsidR="00A35EE9">
        <w:rPr>
          <w:rFonts w:eastAsia="Times New Roman" w:cs="Times New Roman"/>
          <w:color w:val="000000"/>
          <w:szCs w:val="26"/>
        </w:rPr>
        <w:t>-</w:t>
      </w:r>
      <w:r>
        <w:rPr>
          <w:rFonts w:eastAsia="Times New Roman" w:cs="Times New Roman"/>
          <w:color w:val="000000"/>
          <w:szCs w:val="26"/>
        </w:rPr>
        <w:t xml:space="preserve">custody proceeding” while meeting the full standards in ICWA, including </w:t>
      </w:r>
      <w:r w:rsidR="00E24B90">
        <w:rPr>
          <w:rFonts w:eastAsia="Times New Roman" w:cs="Times New Roman"/>
          <w:color w:val="000000"/>
          <w:szCs w:val="26"/>
        </w:rPr>
        <w:t>10</w:t>
      </w:r>
      <w:r>
        <w:rPr>
          <w:rFonts w:eastAsia="Times New Roman" w:cs="Times New Roman"/>
          <w:color w:val="000000"/>
          <w:szCs w:val="26"/>
        </w:rPr>
        <w:t xml:space="preserve"> days’ notice to the tribe and expert testimony per 25 U.S.C. </w:t>
      </w:r>
      <w:r w:rsidR="005940ED">
        <w:rPr>
          <w:rFonts w:eastAsia="Times New Roman" w:cs="Times New Roman"/>
          <w:color w:val="000000"/>
          <w:szCs w:val="26"/>
        </w:rPr>
        <w:t>§ </w:t>
      </w:r>
      <w:r>
        <w:rPr>
          <w:rFonts w:eastAsia="Times New Roman" w:cs="Times New Roman"/>
          <w:color w:val="000000"/>
          <w:szCs w:val="26"/>
        </w:rPr>
        <w:t xml:space="preserve">1912, or (2) through an “emergency removal” where a child faces “imminent physical damage or harm” (25 U.S.C. </w:t>
      </w:r>
      <w:r w:rsidR="005940ED">
        <w:rPr>
          <w:rFonts w:eastAsia="Times New Roman" w:cs="Times New Roman"/>
          <w:color w:val="000000"/>
          <w:szCs w:val="26"/>
        </w:rPr>
        <w:t>§ </w:t>
      </w:r>
      <w:r>
        <w:rPr>
          <w:rFonts w:eastAsia="Times New Roman" w:cs="Times New Roman"/>
          <w:color w:val="000000"/>
          <w:szCs w:val="26"/>
        </w:rPr>
        <w:t>1922).  The point of the latter standard is that “</w:t>
      </w:r>
      <w:r w:rsidRPr="002D4603">
        <w:rPr>
          <w:rFonts w:eastAsia="Times New Roman" w:cs="Times New Roman"/>
          <w:color w:val="000000"/>
          <w:szCs w:val="26"/>
        </w:rPr>
        <w:t>Congress established a high bar for emergency proceedings that occur without the full suite of protections in</w:t>
      </w:r>
      <w:r>
        <w:rPr>
          <w:rFonts w:eastAsia="Times New Roman" w:cs="Times New Roman"/>
          <w:color w:val="000000"/>
          <w:szCs w:val="26"/>
        </w:rPr>
        <w:t xml:space="preserve"> </w:t>
      </w:r>
      <w:r w:rsidRPr="002D4603">
        <w:rPr>
          <w:rFonts w:eastAsia="Times New Roman" w:cs="Times New Roman"/>
          <w:color w:val="000000"/>
          <w:szCs w:val="26"/>
        </w:rPr>
        <w:t>ICWA.</w:t>
      </w:r>
      <w:r>
        <w:rPr>
          <w:rFonts w:eastAsia="Times New Roman" w:cs="Times New Roman"/>
          <w:color w:val="000000"/>
          <w:szCs w:val="26"/>
        </w:rPr>
        <w:t xml:space="preserve">”  (Interior Dept. Rules, 81 Fed. Reg. </w:t>
      </w:r>
      <w:r w:rsidR="00A96ABA">
        <w:rPr>
          <w:rFonts w:eastAsia="Times New Roman" w:cs="Times New Roman"/>
          <w:color w:val="000000"/>
          <w:szCs w:val="26"/>
        </w:rPr>
        <w:t>at</w:t>
      </w:r>
      <w:r>
        <w:rPr>
          <w:rFonts w:eastAsia="Times New Roman" w:cs="Times New Roman"/>
          <w:color w:val="000000"/>
          <w:szCs w:val="26"/>
        </w:rPr>
        <w:t xml:space="preserve"> 38794.)</w:t>
      </w:r>
    </w:p>
    <w:p w:rsidR="00EF31D0" w:rsidP="00AB39DC" w14:paraId="28FA1D16" w14:textId="16DB4213">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If a child is</w:t>
      </w:r>
      <w:r w:rsidR="00F77C13">
        <w:rPr>
          <w:rFonts w:eastAsia="Times New Roman" w:cs="Times New Roman"/>
          <w:color w:val="000000"/>
          <w:szCs w:val="26"/>
        </w:rPr>
        <w:t xml:space="preserve"> </w:t>
      </w:r>
      <w:r w:rsidR="00C45DD1">
        <w:rPr>
          <w:rFonts w:eastAsia="Times New Roman" w:cs="Times New Roman"/>
          <w:color w:val="000000"/>
          <w:szCs w:val="26"/>
        </w:rPr>
        <w:t>identified as</w:t>
      </w:r>
      <w:r>
        <w:rPr>
          <w:rFonts w:eastAsia="Times New Roman" w:cs="Times New Roman"/>
          <w:color w:val="000000"/>
          <w:szCs w:val="26"/>
        </w:rPr>
        <w:t xml:space="preserve"> Indian, </w:t>
      </w:r>
      <w:r w:rsidRPr="00375B31">
        <w:rPr>
          <w:rFonts w:eastAsia="Times New Roman" w:cs="Times New Roman"/>
          <w:i/>
          <w:iCs/>
          <w:color w:val="000000"/>
          <w:szCs w:val="26"/>
        </w:rPr>
        <w:t>an</w:t>
      </w:r>
      <w:r>
        <w:rPr>
          <w:rFonts w:eastAsia="Times New Roman" w:cs="Times New Roman"/>
          <w:i/>
          <w:iCs/>
          <w:color w:val="000000"/>
          <w:szCs w:val="26"/>
        </w:rPr>
        <w:t xml:space="preserve">y </w:t>
      </w:r>
      <w:r w:rsidRPr="004C5937">
        <w:rPr>
          <w:rFonts w:eastAsia="Times New Roman" w:cs="Times New Roman"/>
          <w:color w:val="000000"/>
          <w:szCs w:val="26"/>
        </w:rPr>
        <w:t>way that the</w:t>
      </w:r>
      <w:r w:rsidR="00AB69AB">
        <w:rPr>
          <w:rFonts w:eastAsia="Times New Roman" w:cs="Times New Roman"/>
          <w:color w:val="000000"/>
          <w:szCs w:val="26"/>
        </w:rPr>
        <w:t xml:space="preserve"> child</w:t>
      </w:r>
      <w:r w:rsidR="00DD3E7C">
        <w:rPr>
          <w:rFonts w:eastAsia="Times New Roman" w:cs="Times New Roman"/>
          <w:color w:val="000000"/>
          <w:szCs w:val="26"/>
        </w:rPr>
        <w:t xml:space="preserve"> </w:t>
      </w:r>
      <w:r w:rsidR="00AB69AB">
        <w:rPr>
          <w:rFonts w:eastAsia="Times New Roman" w:cs="Times New Roman"/>
          <w:color w:val="000000"/>
          <w:szCs w:val="26"/>
        </w:rPr>
        <w:t>is</w:t>
      </w:r>
      <w:r>
        <w:rPr>
          <w:rFonts w:eastAsia="Times New Roman" w:cs="Times New Roman"/>
          <w:color w:val="000000"/>
          <w:szCs w:val="26"/>
        </w:rPr>
        <w:t xml:space="preserve"> removed pre-petition in a California dependency case must satisfy the emergency removal imminence standard</w:t>
      </w:r>
      <w:r w:rsidR="0028292A">
        <w:rPr>
          <w:rFonts w:eastAsia="Times New Roman" w:cs="Times New Roman"/>
          <w:color w:val="000000"/>
          <w:szCs w:val="26"/>
        </w:rPr>
        <w:t xml:space="preserve">; </w:t>
      </w:r>
      <w:r w:rsidR="00C5079E">
        <w:rPr>
          <w:rFonts w:eastAsia="Times New Roman" w:cs="Times New Roman"/>
          <w:color w:val="000000"/>
          <w:szCs w:val="26"/>
        </w:rPr>
        <w:t>otherwise, the removal violates</w:t>
      </w:r>
      <w:r>
        <w:rPr>
          <w:rFonts w:eastAsia="Times New Roman" w:cs="Times New Roman"/>
          <w:color w:val="000000"/>
          <w:szCs w:val="26"/>
        </w:rPr>
        <w:t xml:space="preserve"> ICWA.  Because the detention hearing must be held quickly, the removal cannot satisfy </w:t>
      </w:r>
      <w:r w:rsidR="00372623">
        <w:rPr>
          <w:rFonts w:eastAsia="Times New Roman" w:cs="Times New Roman"/>
          <w:color w:val="000000"/>
          <w:szCs w:val="26"/>
        </w:rPr>
        <w:t>ICWA</w:t>
      </w:r>
      <w:r w:rsidR="009932C5">
        <w:rPr>
          <w:rFonts w:eastAsia="Times New Roman" w:cs="Times New Roman"/>
          <w:color w:val="000000"/>
          <w:szCs w:val="26"/>
        </w:rPr>
        <w:t>’s</w:t>
      </w:r>
      <w:r w:rsidR="00372623">
        <w:rPr>
          <w:rFonts w:eastAsia="Times New Roman" w:cs="Times New Roman"/>
          <w:color w:val="000000"/>
          <w:szCs w:val="26"/>
        </w:rPr>
        <w:t xml:space="preserve"> standards, including </w:t>
      </w:r>
      <w:r>
        <w:rPr>
          <w:rFonts w:eastAsia="Times New Roman" w:cs="Times New Roman"/>
          <w:color w:val="000000"/>
          <w:szCs w:val="26"/>
        </w:rPr>
        <w:t xml:space="preserve">the </w:t>
      </w:r>
      <w:r w:rsidR="00E24B90">
        <w:rPr>
          <w:rFonts w:eastAsia="Times New Roman" w:cs="Times New Roman"/>
          <w:color w:val="000000"/>
          <w:szCs w:val="26"/>
        </w:rPr>
        <w:t>10</w:t>
      </w:r>
      <w:r>
        <w:rPr>
          <w:rFonts w:eastAsia="Times New Roman" w:cs="Times New Roman"/>
          <w:color w:val="000000"/>
          <w:szCs w:val="26"/>
        </w:rPr>
        <w:t xml:space="preserve"> days’ notice to the tribe.  Th</w:t>
      </w:r>
      <w:r w:rsidR="00372623">
        <w:rPr>
          <w:rFonts w:eastAsia="Times New Roman" w:cs="Times New Roman"/>
          <w:color w:val="000000"/>
          <w:szCs w:val="26"/>
        </w:rPr>
        <w:t>us</w:t>
      </w:r>
      <w:r>
        <w:rPr>
          <w:rFonts w:eastAsia="Times New Roman" w:cs="Times New Roman"/>
          <w:color w:val="000000"/>
          <w:szCs w:val="26"/>
        </w:rPr>
        <w:t xml:space="preserve">, if </w:t>
      </w:r>
      <w:r w:rsidR="00F944CC">
        <w:rPr>
          <w:rFonts w:eastAsia="Times New Roman" w:cs="Times New Roman"/>
          <w:color w:val="000000"/>
          <w:szCs w:val="26"/>
        </w:rPr>
        <w:t xml:space="preserve">state </w:t>
      </w:r>
      <w:r>
        <w:rPr>
          <w:rFonts w:eastAsia="Times New Roman" w:cs="Times New Roman"/>
          <w:color w:val="000000"/>
          <w:szCs w:val="26"/>
        </w:rPr>
        <w:t xml:space="preserve">officials discover a child they are removing is Indian, the </w:t>
      </w:r>
      <w:r w:rsidR="00987487">
        <w:rPr>
          <w:rFonts w:eastAsia="Times New Roman" w:cs="Times New Roman"/>
          <w:color w:val="000000"/>
          <w:szCs w:val="26"/>
        </w:rPr>
        <w:t xml:space="preserve">state officials </w:t>
      </w:r>
      <w:r>
        <w:rPr>
          <w:rFonts w:eastAsia="Times New Roman" w:cs="Times New Roman"/>
          <w:color w:val="000000"/>
          <w:szCs w:val="26"/>
        </w:rPr>
        <w:t xml:space="preserve">must satisfy the emergency removal standard, </w:t>
      </w:r>
      <w:r w:rsidR="00933793">
        <w:rPr>
          <w:rFonts w:eastAsia="Times New Roman" w:cs="Times New Roman"/>
          <w:color w:val="000000"/>
          <w:szCs w:val="26"/>
        </w:rPr>
        <w:t>regardless of</w:t>
      </w:r>
      <w:r w:rsidR="00D4253D">
        <w:rPr>
          <w:rFonts w:eastAsia="Times New Roman" w:cs="Times New Roman"/>
          <w:color w:val="000000"/>
          <w:szCs w:val="26"/>
        </w:rPr>
        <w:t xml:space="preserve"> whether a warrant is involved</w:t>
      </w:r>
      <w:r>
        <w:rPr>
          <w:rFonts w:eastAsia="Times New Roman" w:cs="Times New Roman"/>
          <w:color w:val="000000"/>
          <w:szCs w:val="26"/>
        </w:rPr>
        <w:t>.  (See, e.g., section 306, subd. (c) [temporary custody is an emergency removal]; section 224.1 [</w:t>
      </w:r>
      <w:r w:rsidR="005B73B8">
        <w:rPr>
          <w:rFonts w:eastAsia="Times New Roman" w:cs="Times New Roman"/>
          <w:color w:val="000000"/>
          <w:szCs w:val="26"/>
        </w:rPr>
        <w:t>describing</w:t>
      </w:r>
      <w:r w:rsidR="00E24B90">
        <w:rPr>
          <w:rFonts w:eastAsia="Times New Roman" w:cs="Times New Roman"/>
          <w:color w:val="000000"/>
          <w:szCs w:val="26"/>
        </w:rPr>
        <w:t xml:space="preserve"> </w:t>
      </w:r>
      <w:r>
        <w:rPr>
          <w:rFonts w:eastAsia="Times New Roman" w:cs="Times New Roman"/>
          <w:color w:val="000000"/>
          <w:szCs w:val="26"/>
        </w:rPr>
        <w:t>section 319 as an emergency proceeding]; section 319, subd.</w:t>
      </w:r>
      <w:r w:rsidR="00047E1D">
        <w:rPr>
          <w:rFonts w:eastAsia="Times New Roman" w:cs="Times New Roman"/>
          <w:color w:val="000000"/>
          <w:szCs w:val="26"/>
        </w:rPr>
        <w:t> </w:t>
      </w:r>
      <w:r>
        <w:rPr>
          <w:rFonts w:eastAsia="Times New Roman" w:cs="Times New Roman"/>
          <w:color w:val="000000"/>
          <w:szCs w:val="26"/>
        </w:rPr>
        <w:t xml:space="preserve">(d) [emergency removal standard for detention hearing involving an Indian child].)  There is no room in the federal scheme for the </w:t>
      </w:r>
      <w:r w:rsidRPr="00AB39DC" w:rsidR="00D4253D">
        <w:rPr>
          <w:rFonts w:eastAsia="Times New Roman" w:cs="Times New Roman"/>
          <w:i/>
          <w:iCs/>
          <w:color w:val="000000"/>
          <w:szCs w:val="26"/>
        </w:rPr>
        <w:t>Adrian L.</w:t>
      </w:r>
      <w:r w:rsidR="00D4253D">
        <w:rPr>
          <w:rFonts w:eastAsia="Times New Roman" w:cs="Times New Roman"/>
          <w:color w:val="000000"/>
          <w:szCs w:val="26"/>
        </w:rPr>
        <w:t xml:space="preserve"> </w:t>
      </w:r>
      <w:r>
        <w:rPr>
          <w:rFonts w:eastAsia="Times New Roman" w:cs="Times New Roman"/>
          <w:color w:val="000000"/>
          <w:szCs w:val="26"/>
        </w:rPr>
        <w:t xml:space="preserve">concurrence’s interpretation of the removal of an Indian child by warrant as </w:t>
      </w:r>
      <w:r w:rsidR="00D4253D">
        <w:rPr>
          <w:rFonts w:eastAsia="Times New Roman" w:cs="Times New Roman"/>
          <w:color w:val="000000"/>
          <w:szCs w:val="26"/>
        </w:rPr>
        <w:t>being neither a</w:t>
      </w:r>
      <w:r>
        <w:rPr>
          <w:rFonts w:eastAsia="Times New Roman" w:cs="Times New Roman"/>
          <w:color w:val="000000"/>
          <w:szCs w:val="26"/>
        </w:rPr>
        <w:t xml:space="preserve"> “child</w:t>
      </w:r>
      <w:r w:rsidR="00A35EE9">
        <w:rPr>
          <w:rFonts w:eastAsia="Times New Roman" w:cs="Times New Roman"/>
          <w:color w:val="000000"/>
          <w:szCs w:val="26"/>
        </w:rPr>
        <w:t>-</w:t>
      </w:r>
      <w:r>
        <w:rPr>
          <w:rFonts w:eastAsia="Times New Roman" w:cs="Times New Roman"/>
          <w:color w:val="000000"/>
          <w:szCs w:val="26"/>
        </w:rPr>
        <w:t>custody proceeding” nor an “emergency proceeding.”</w:t>
      </w:r>
    </w:p>
    <w:p w:rsidR="00EF31D0" w:rsidP="00AB39DC" w14:paraId="1E3AA34C" w14:textId="100D8D7B">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 xml:space="preserve">The </w:t>
      </w:r>
      <w:r w:rsidRPr="00AB39DC" w:rsidR="00D4253D">
        <w:rPr>
          <w:rFonts w:eastAsia="Times New Roman" w:cs="Times New Roman"/>
          <w:i/>
          <w:iCs/>
          <w:color w:val="000000"/>
          <w:szCs w:val="26"/>
        </w:rPr>
        <w:t>Adrian L.</w:t>
      </w:r>
      <w:r w:rsidR="00D4253D">
        <w:rPr>
          <w:rFonts w:eastAsia="Times New Roman" w:cs="Times New Roman"/>
          <w:color w:val="000000"/>
          <w:szCs w:val="26"/>
        </w:rPr>
        <w:t xml:space="preserve"> </w:t>
      </w:r>
      <w:r>
        <w:rPr>
          <w:rFonts w:eastAsia="Times New Roman" w:cs="Times New Roman"/>
          <w:color w:val="000000"/>
          <w:szCs w:val="26"/>
        </w:rPr>
        <w:t xml:space="preserve">concurrence’s primary reason for </w:t>
      </w:r>
      <w:r w:rsidR="002A79C5">
        <w:rPr>
          <w:rFonts w:eastAsia="Times New Roman" w:cs="Times New Roman"/>
          <w:color w:val="000000"/>
          <w:szCs w:val="26"/>
        </w:rPr>
        <w:t xml:space="preserve">reading </w:t>
      </w:r>
      <w:r>
        <w:rPr>
          <w:rFonts w:eastAsia="Times New Roman" w:cs="Times New Roman"/>
          <w:color w:val="000000"/>
          <w:szCs w:val="26"/>
        </w:rPr>
        <w:t xml:space="preserve">federal law </w:t>
      </w:r>
      <w:r w:rsidR="002A79C5">
        <w:rPr>
          <w:rFonts w:eastAsia="Times New Roman" w:cs="Times New Roman"/>
          <w:color w:val="000000"/>
          <w:szCs w:val="26"/>
        </w:rPr>
        <w:t xml:space="preserve">the way it does </w:t>
      </w:r>
      <w:r>
        <w:rPr>
          <w:rFonts w:eastAsia="Times New Roman" w:cs="Times New Roman"/>
          <w:color w:val="000000"/>
          <w:szCs w:val="26"/>
        </w:rPr>
        <w:t>is that a removal by warrant “under section 340, with its lower standard, would not be an ‘emergency removal’ under federal law.”  (</w:t>
      </w:r>
      <w:r w:rsidRPr="00E24B90" w:rsidR="00E24B90">
        <w:rPr>
          <w:rFonts w:eastAsia="Times New Roman" w:cs="Times New Roman"/>
          <w:i/>
          <w:iCs/>
          <w:color w:val="000000"/>
          <w:szCs w:val="26"/>
        </w:rPr>
        <w:t>Adrian L</w:t>
      </w:r>
      <w:r w:rsidR="00E24B90">
        <w:rPr>
          <w:rFonts w:eastAsia="Times New Roman" w:cs="Times New Roman"/>
          <w:color w:val="000000"/>
          <w:szCs w:val="26"/>
        </w:rPr>
        <w:t xml:space="preserve">., </w:t>
      </w:r>
      <w:r w:rsidRPr="00E24B90" w:rsidR="00E24B90">
        <w:rPr>
          <w:rFonts w:eastAsia="Times New Roman" w:cs="Times New Roman"/>
          <w:i/>
          <w:iCs/>
          <w:color w:val="000000"/>
          <w:szCs w:val="26"/>
        </w:rPr>
        <w:t>supra</w:t>
      </w:r>
      <w:r w:rsidR="00E24B90">
        <w:rPr>
          <w:rFonts w:eastAsia="Times New Roman" w:cs="Times New Roman"/>
          <w:color w:val="000000"/>
          <w:szCs w:val="26"/>
        </w:rPr>
        <w:t xml:space="preserve">, </w:t>
      </w:r>
      <w:r>
        <w:rPr>
          <w:rFonts w:eastAsia="Times New Roman" w:cs="Times New Roman"/>
          <w:color w:val="000000"/>
          <w:szCs w:val="26"/>
        </w:rPr>
        <w:t>86 Cal.App.5th at pp.</w:t>
      </w:r>
      <w:r w:rsidR="00E24B90">
        <w:rPr>
          <w:rFonts w:eastAsia="Times New Roman" w:cs="Times New Roman"/>
          <w:color w:val="000000"/>
          <w:szCs w:val="26"/>
        </w:rPr>
        <w:t> </w:t>
      </w:r>
      <w:r>
        <w:rPr>
          <w:rFonts w:eastAsia="Times New Roman" w:cs="Times New Roman"/>
          <w:color w:val="000000"/>
          <w:szCs w:val="26"/>
        </w:rPr>
        <w:t>363-364 [Kelley, J., concurring].)  The concurrence finds a warrant removal “fundamentally different” because a section 306 removal by a social worker without a warrant requires imminent physical damage or harm but “section 340 does not have such a strict standard.”  (</w:t>
      </w:r>
      <w:r w:rsidR="00787298">
        <w:rPr>
          <w:rFonts w:eastAsia="Times New Roman" w:cs="Times New Roman"/>
          <w:i/>
          <w:iCs/>
          <w:color w:val="000000"/>
          <w:szCs w:val="26"/>
        </w:rPr>
        <w:t>Adrian L</w:t>
      </w:r>
      <w:r w:rsidRPr="00787298" w:rsidR="00787298">
        <w:rPr>
          <w:rFonts w:eastAsia="Times New Roman" w:cs="Times New Roman"/>
          <w:color w:val="000000"/>
          <w:szCs w:val="26"/>
        </w:rPr>
        <w:t>.,</w:t>
      </w:r>
      <w:r>
        <w:rPr>
          <w:rFonts w:eastAsia="Times New Roman" w:cs="Times New Roman"/>
          <w:color w:val="000000"/>
          <w:szCs w:val="26"/>
        </w:rPr>
        <w:t xml:space="preserve"> at p. 357.)  Instead, a warrant is authorized if there is “</w:t>
      </w:r>
      <w:r w:rsidR="00A96ABA">
        <w:rPr>
          <w:rFonts w:eastAsia="Times New Roman" w:cs="Times New Roman"/>
          <w:color w:val="000000"/>
          <w:szCs w:val="26"/>
        </w:rPr>
        <w:t> ‘</w:t>
      </w:r>
      <w:r>
        <w:rPr>
          <w:rFonts w:eastAsia="Times New Roman" w:cs="Times New Roman"/>
          <w:color w:val="000000"/>
          <w:szCs w:val="26"/>
        </w:rPr>
        <w:t>substantial danger</w:t>
      </w:r>
      <w:r w:rsidR="00A96ABA">
        <w:rPr>
          <w:rFonts w:eastAsia="Times New Roman" w:cs="Times New Roman"/>
          <w:color w:val="000000"/>
          <w:szCs w:val="26"/>
        </w:rPr>
        <w:t>’ </w:t>
      </w:r>
      <w:r>
        <w:rPr>
          <w:rFonts w:eastAsia="Times New Roman" w:cs="Times New Roman"/>
          <w:color w:val="000000"/>
          <w:szCs w:val="26"/>
        </w:rPr>
        <w:t xml:space="preserve">” to the physical </w:t>
      </w:r>
      <w:r w:rsidRPr="00FA3839">
        <w:rPr>
          <w:rFonts w:eastAsia="Times New Roman" w:cs="Times New Roman"/>
          <w:i/>
          <w:iCs/>
          <w:color w:val="000000"/>
          <w:szCs w:val="26"/>
        </w:rPr>
        <w:t>or emotional</w:t>
      </w:r>
      <w:r>
        <w:rPr>
          <w:rFonts w:eastAsia="Times New Roman" w:cs="Times New Roman"/>
          <w:color w:val="000000"/>
          <w:szCs w:val="26"/>
        </w:rPr>
        <w:t xml:space="preserve"> health of the child.  (</w:t>
      </w:r>
      <w:r w:rsidRPr="00FA3839">
        <w:rPr>
          <w:rFonts w:eastAsia="Times New Roman" w:cs="Times New Roman"/>
          <w:i/>
          <w:iCs/>
          <w:color w:val="000000"/>
          <w:szCs w:val="26"/>
        </w:rPr>
        <w:t>I</w:t>
      </w:r>
      <w:r w:rsidR="00787298">
        <w:rPr>
          <w:rFonts w:eastAsia="Times New Roman" w:cs="Times New Roman"/>
          <w:i/>
          <w:iCs/>
          <w:color w:val="000000"/>
          <w:szCs w:val="26"/>
        </w:rPr>
        <w:t>bi</w:t>
      </w:r>
      <w:r w:rsidRPr="00FA3839">
        <w:rPr>
          <w:rFonts w:eastAsia="Times New Roman" w:cs="Times New Roman"/>
          <w:i/>
          <w:iCs/>
          <w:color w:val="000000"/>
          <w:szCs w:val="26"/>
        </w:rPr>
        <w:t>d</w:t>
      </w:r>
      <w:r>
        <w:rPr>
          <w:rFonts w:eastAsia="Times New Roman" w:cs="Times New Roman"/>
          <w:color w:val="000000"/>
          <w:szCs w:val="26"/>
        </w:rPr>
        <w:t>.)  A warrant “thus requires neither imminent nor physical harm.”  (</w:t>
      </w:r>
      <w:r w:rsidRPr="00FA3839">
        <w:rPr>
          <w:rFonts w:eastAsia="Times New Roman" w:cs="Times New Roman"/>
          <w:i/>
          <w:iCs/>
          <w:color w:val="000000"/>
          <w:szCs w:val="26"/>
        </w:rPr>
        <w:t>I</w:t>
      </w:r>
      <w:r w:rsidR="00787298">
        <w:rPr>
          <w:rFonts w:eastAsia="Times New Roman" w:cs="Times New Roman"/>
          <w:i/>
          <w:iCs/>
          <w:color w:val="000000"/>
          <w:szCs w:val="26"/>
        </w:rPr>
        <w:t>bi</w:t>
      </w:r>
      <w:r w:rsidRPr="00FA3839">
        <w:rPr>
          <w:rFonts w:eastAsia="Times New Roman" w:cs="Times New Roman"/>
          <w:i/>
          <w:iCs/>
          <w:color w:val="000000"/>
          <w:szCs w:val="26"/>
        </w:rPr>
        <w:t>d</w:t>
      </w:r>
      <w:r>
        <w:rPr>
          <w:rFonts w:eastAsia="Times New Roman" w:cs="Times New Roman"/>
          <w:color w:val="000000"/>
          <w:szCs w:val="26"/>
        </w:rPr>
        <w:t>.)  The concurrence finds this “significant” difference means a section 306 removal without warrant “is considered an ‘emergency removal’ under ICWA</w:t>
      </w:r>
      <w:r w:rsidR="00A96ABA">
        <w:rPr>
          <w:rFonts w:eastAsia="Times New Roman" w:cs="Times New Roman"/>
          <w:color w:val="000000"/>
          <w:szCs w:val="26"/>
        </w:rPr>
        <w:t>,</w:t>
      </w:r>
      <w:r>
        <w:rPr>
          <w:rFonts w:eastAsia="Times New Roman" w:cs="Times New Roman"/>
          <w:color w:val="000000"/>
          <w:szCs w:val="26"/>
        </w:rPr>
        <w:t xml:space="preserve"> but a removal pursuant to an order issued under section 340 is not.”  (</w:t>
      </w:r>
      <w:r w:rsidRPr="00787298" w:rsidR="00787298">
        <w:rPr>
          <w:rFonts w:eastAsia="Times New Roman" w:cs="Times New Roman"/>
          <w:i/>
          <w:iCs/>
          <w:color w:val="000000"/>
          <w:szCs w:val="26"/>
        </w:rPr>
        <w:t>Adrian L</w:t>
      </w:r>
      <w:r w:rsidR="00787298">
        <w:rPr>
          <w:rFonts w:eastAsia="Times New Roman" w:cs="Times New Roman"/>
          <w:color w:val="000000"/>
          <w:szCs w:val="26"/>
        </w:rPr>
        <w:t>., at p. 357</w:t>
      </w:r>
      <w:r>
        <w:rPr>
          <w:rFonts w:eastAsia="Times New Roman" w:cs="Times New Roman"/>
          <w:color w:val="000000"/>
          <w:szCs w:val="26"/>
        </w:rPr>
        <w:t>.)</w:t>
      </w:r>
    </w:p>
    <w:p w:rsidR="00EF31D0" w:rsidP="00AB39DC" w14:paraId="4A97555A" w14:textId="10841F7D">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T</w:t>
      </w:r>
      <w:r w:rsidR="00D4253D">
        <w:rPr>
          <w:rFonts w:eastAsia="Times New Roman" w:cs="Times New Roman"/>
          <w:color w:val="000000"/>
          <w:szCs w:val="26"/>
        </w:rPr>
        <w:t xml:space="preserve">his </w:t>
      </w:r>
      <w:r>
        <w:rPr>
          <w:rFonts w:eastAsia="Times New Roman" w:cs="Times New Roman"/>
          <w:color w:val="000000"/>
          <w:szCs w:val="26"/>
        </w:rPr>
        <w:t>reasoning is precisely backwards</w:t>
      </w:r>
      <w:r w:rsidR="00D4253D">
        <w:rPr>
          <w:rFonts w:eastAsia="Times New Roman" w:cs="Times New Roman"/>
          <w:color w:val="000000"/>
          <w:szCs w:val="26"/>
        </w:rPr>
        <w:t>.</w:t>
      </w:r>
      <w:r>
        <w:rPr>
          <w:rFonts w:eastAsia="Times New Roman" w:cs="Times New Roman"/>
          <w:color w:val="000000"/>
          <w:szCs w:val="26"/>
        </w:rPr>
        <w:t xml:space="preserve">  Under federal law, in both circumstances (warrant or not) the pre-petition removal of an Indian child must satisfy the</w:t>
      </w:r>
      <w:r w:rsidR="00D4253D">
        <w:rPr>
          <w:rFonts w:eastAsia="Times New Roman" w:cs="Times New Roman"/>
          <w:color w:val="000000"/>
          <w:szCs w:val="26"/>
        </w:rPr>
        <w:t xml:space="preserve"> federal</w:t>
      </w:r>
      <w:r>
        <w:rPr>
          <w:rFonts w:eastAsia="Times New Roman" w:cs="Times New Roman"/>
          <w:color w:val="000000"/>
          <w:szCs w:val="26"/>
        </w:rPr>
        <w:t xml:space="preserve"> emergency removal standard.  In either situation (warrant or not), the agency may (or may not) be able to show at the detention hearing that the standard is met.  </w:t>
      </w:r>
    </w:p>
    <w:p w:rsidR="00EF31D0" w:rsidP="00AB39DC" w14:paraId="2AB2471F" w14:textId="1CB7E698">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 xml:space="preserve">It is true that the section 306 standard for warrantless removals by a social worker </w:t>
      </w:r>
      <w:r w:rsidR="00386BDF">
        <w:rPr>
          <w:rFonts w:eastAsia="Times New Roman" w:cs="Times New Roman"/>
          <w:color w:val="000000"/>
          <w:szCs w:val="26"/>
        </w:rPr>
        <w:t>resembles</w:t>
      </w:r>
      <w:r>
        <w:rPr>
          <w:rFonts w:eastAsia="Times New Roman" w:cs="Times New Roman"/>
          <w:color w:val="000000"/>
          <w:szCs w:val="26"/>
        </w:rPr>
        <w:t xml:space="preserve"> the “imminent physical damage or harm” needed for the emergency removal of an Indian child.  But this simply means that, should a removed child turn out to be Indian, the agency would have been applying the proper standard </w:t>
      </w:r>
      <w:r w:rsidR="001226E5">
        <w:rPr>
          <w:rFonts w:eastAsia="Times New Roman" w:cs="Times New Roman"/>
          <w:color w:val="000000"/>
          <w:szCs w:val="26"/>
        </w:rPr>
        <w:t>since</w:t>
      </w:r>
      <w:r>
        <w:rPr>
          <w:rFonts w:eastAsia="Times New Roman" w:cs="Times New Roman"/>
          <w:color w:val="000000"/>
          <w:szCs w:val="26"/>
        </w:rPr>
        <w:t xml:space="preserve"> removal from the </w:t>
      </w:r>
      <w:r w:rsidR="006E608C">
        <w:rPr>
          <w:rFonts w:eastAsia="Times New Roman" w:cs="Times New Roman"/>
          <w:color w:val="000000"/>
          <w:szCs w:val="26"/>
        </w:rPr>
        <w:t>parents</w:t>
      </w:r>
      <w:r>
        <w:rPr>
          <w:rFonts w:eastAsia="Times New Roman" w:cs="Times New Roman"/>
          <w:color w:val="000000"/>
          <w:szCs w:val="26"/>
        </w:rPr>
        <w:t xml:space="preserve">.  The warrant standard is lower, </w:t>
      </w:r>
      <w:r w:rsidR="006E608C">
        <w:rPr>
          <w:rFonts w:eastAsia="Times New Roman" w:cs="Times New Roman"/>
          <w:color w:val="000000"/>
          <w:szCs w:val="26"/>
        </w:rPr>
        <w:t>but that just means that</w:t>
      </w:r>
      <w:r>
        <w:rPr>
          <w:rFonts w:eastAsia="Times New Roman" w:cs="Times New Roman"/>
          <w:color w:val="000000"/>
          <w:szCs w:val="26"/>
        </w:rPr>
        <w:t xml:space="preserve"> if from the start </w:t>
      </w:r>
      <w:r w:rsidR="006E608C">
        <w:rPr>
          <w:rFonts w:eastAsia="Times New Roman" w:cs="Times New Roman"/>
          <w:color w:val="000000"/>
          <w:szCs w:val="26"/>
        </w:rPr>
        <w:t>there is</w:t>
      </w:r>
      <w:r>
        <w:rPr>
          <w:rFonts w:eastAsia="Times New Roman" w:cs="Times New Roman"/>
          <w:color w:val="000000"/>
          <w:szCs w:val="26"/>
        </w:rPr>
        <w:t xml:space="preserve"> reason to believe a child is Indian, the lower warrant standard </w:t>
      </w:r>
      <w:r w:rsidR="006E608C">
        <w:rPr>
          <w:rFonts w:eastAsia="Times New Roman" w:cs="Times New Roman"/>
          <w:color w:val="000000"/>
          <w:szCs w:val="26"/>
        </w:rPr>
        <w:t>should not be used</w:t>
      </w:r>
      <w:r>
        <w:rPr>
          <w:rFonts w:eastAsia="Times New Roman" w:cs="Times New Roman"/>
          <w:color w:val="000000"/>
          <w:szCs w:val="26"/>
        </w:rPr>
        <w:t>.</w:t>
      </w:r>
      <w:r w:rsidR="006E608C">
        <w:rPr>
          <w:rFonts w:eastAsia="Times New Roman" w:cs="Times New Roman"/>
          <w:color w:val="000000"/>
          <w:szCs w:val="26"/>
        </w:rPr>
        <w:t xml:space="preserve">  </w:t>
      </w:r>
      <w:r>
        <w:rPr>
          <w:rFonts w:eastAsia="Times New Roman" w:cs="Times New Roman"/>
          <w:color w:val="000000"/>
          <w:szCs w:val="26"/>
        </w:rPr>
        <w:t xml:space="preserve">In rulemaking, in fact, the Department of Interior addressed a public comment observing that some states had looser removal standards by pointing out that whatever standard the state has, the removal must immediately end if </w:t>
      </w:r>
      <w:r w:rsidR="00B2531D">
        <w:rPr>
          <w:rFonts w:eastAsia="Times New Roman" w:cs="Times New Roman"/>
          <w:color w:val="000000"/>
          <w:szCs w:val="26"/>
        </w:rPr>
        <w:t>an Indian</w:t>
      </w:r>
      <w:r>
        <w:rPr>
          <w:rFonts w:eastAsia="Times New Roman" w:cs="Times New Roman"/>
          <w:color w:val="000000"/>
          <w:szCs w:val="26"/>
        </w:rPr>
        <w:t xml:space="preserve"> child does not face “imminent physical damage or harm.”</w:t>
      </w:r>
      <w:r>
        <w:rPr>
          <w:rStyle w:val="FootnoteReference"/>
          <w:rFonts w:eastAsia="Times New Roman" w:cs="Times New Roman"/>
          <w:color w:val="000000"/>
          <w:szCs w:val="26"/>
        </w:rPr>
        <w:footnoteReference w:id="14"/>
      </w:r>
      <w:r>
        <w:rPr>
          <w:rFonts w:eastAsia="Times New Roman" w:cs="Times New Roman"/>
          <w:color w:val="000000"/>
          <w:szCs w:val="26"/>
        </w:rPr>
        <w:t xml:space="preserve">  The federal emergency removal standards apply in the same way to </w:t>
      </w:r>
      <w:r w:rsidR="006E608C">
        <w:rPr>
          <w:rFonts w:eastAsia="Times New Roman" w:cs="Times New Roman"/>
          <w:color w:val="000000"/>
          <w:szCs w:val="26"/>
        </w:rPr>
        <w:t>all removals in California,</w:t>
      </w:r>
      <w:r>
        <w:rPr>
          <w:rFonts w:eastAsia="Times New Roman" w:cs="Times New Roman"/>
          <w:color w:val="000000"/>
          <w:szCs w:val="26"/>
        </w:rPr>
        <w:t xml:space="preserve"> whether or not removal is by warrant.</w:t>
      </w:r>
    </w:p>
    <w:p w:rsidR="00EF31D0" w:rsidP="00AB39DC" w14:paraId="145F398B" w14:textId="0468CB34">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 xml:space="preserve">The </w:t>
      </w:r>
      <w:r w:rsidRPr="00546B0B" w:rsidR="00D167E4">
        <w:rPr>
          <w:rFonts w:eastAsia="Times New Roman" w:cs="Times New Roman"/>
          <w:i/>
          <w:iCs/>
          <w:color w:val="000000"/>
          <w:szCs w:val="26"/>
        </w:rPr>
        <w:t>Adrian L</w:t>
      </w:r>
      <w:r w:rsidR="00D167E4">
        <w:rPr>
          <w:rFonts w:eastAsia="Times New Roman" w:cs="Times New Roman"/>
          <w:color w:val="000000"/>
          <w:szCs w:val="26"/>
        </w:rPr>
        <w:t xml:space="preserve">. </w:t>
      </w:r>
      <w:r>
        <w:rPr>
          <w:rFonts w:eastAsia="Times New Roman" w:cs="Times New Roman"/>
          <w:color w:val="000000"/>
          <w:szCs w:val="26"/>
        </w:rPr>
        <w:t>concurrence also observes that the BIA guidance characterizes emergency removals as “</w:t>
      </w:r>
      <w:r w:rsidR="00A96ABA">
        <w:rPr>
          <w:rFonts w:eastAsia="Times New Roman" w:cs="Times New Roman"/>
          <w:color w:val="000000"/>
          <w:szCs w:val="26"/>
        </w:rPr>
        <w:t> ‘</w:t>
      </w:r>
      <w:r>
        <w:rPr>
          <w:rFonts w:eastAsia="Times New Roman" w:cs="Times New Roman"/>
          <w:color w:val="000000"/>
          <w:szCs w:val="26"/>
        </w:rPr>
        <w:t>without court authorization</w:t>
      </w:r>
      <w:r w:rsidR="00A96ABA">
        <w:rPr>
          <w:rFonts w:eastAsia="Times New Roman" w:cs="Times New Roman"/>
          <w:color w:val="000000"/>
          <w:szCs w:val="26"/>
        </w:rPr>
        <w:t>’ </w:t>
      </w:r>
      <w:r>
        <w:rPr>
          <w:rFonts w:eastAsia="Times New Roman" w:cs="Times New Roman"/>
          <w:color w:val="000000"/>
          <w:szCs w:val="26"/>
        </w:rPr>
        <w:t>” (</w:t>
      </w:r>
      <w:r w:rsidRPr="007266CB" w:rsidR="007266CB">
        <w:rPr>
          <w:rFonts w:eastAsia="Times New Roman" w:cs="Times New Roman"/>
          <w:i/>
          <w:iCs/>
          <w:color w:val="000000"/>
          <w:szCs w:val="26"/>
        </w:rPr>
        <w:t>Adrian L</w:t>
      </w:r>
      <w:r w:rsidR="007266CB">
        <w:rPr>
          <w:rFonts w:eastAsia="Times New Roman" w:cs="Times New Roman"/>
          <w:color w:val="000000"/>
          <w:szCs w:val="26"/>
        </w:rPr>
        <w:t xml:space="preserve">., </w:t>
      </w:r>
      <w:r w:rsidRPr="007266CB" w:rsidR="007266CB">
        <w:rPr>
          <w:rFonts w:eastAsia="Times New Roman" w:cs="Times New Roman"/>
          <w:i/>
          <w:iCs/>
          <w:color w:val="000000"/>
          <w:szCs w:val="26"/>
        </w:rPr>
        <w:t>supra</w:t>
      </w:r>
      <w:r w:rsidR="007266CB">
        <w:rPr>
          <w:rFonts w:eastAsia="Times New Roman" w:cs="Times New Roman"/>
          <w:color w:val="000000"/>
          <w:szCs w:val="26"/>
        </w:rPr>
        <w:t xml:space="preserve">, </w:t>
      </w:r>
      <w:r>
        <w:rPr>
          <w:rFonts w:eastAsia="Times New Roman" w:cs="Times New Roman"/>
          <w:color w:val="000000"/>
          <w:szCs w:val="26"/>
        </w:rPr>
        <w:t>86 Cal.App.5th at pp.</w:t>
      </w:r>
      <w:r w:rsidR="001B6971">
        <w:rPr>
          <w:rFonts w:eastAsia="Times New Roman" w:cs="Times New Roman"/>
          <w:color w:val="000000"/>
          <w:szCs w:val="26"/>
        </w:rPr>
        <w:t> </w:t>
      </w:r>
      <w:r>
        <w:rPr>
          <w:rFonts w:eastAsia="Times New Roman" w:cs="Times New Roman"/>
          <w:color w:val="000000"/>
          <w:szCs w:val="26"/>
        </w:rPr>
        <w:t>362-363)</w:t>
      </w:r>
      <w:r w:rsidR="006E608C">
        <w:rPr>
          <w:rFonts w:eastAsia="Times New Roman" w:cs="Times New Roman"/>
          <w:color w:val="000000"/>
          <w:szCs w:val="26"/>
        </w:rPr>
        <w:t>,</w:t>
      </w:r>
      <w:r>
        <w:rPr>
          <w:rFonts w:eastAsia="Times New Roman" w:cs="Times New Roman"/>
          <w:color w:val="000000"/>
          <w:szCs w:val="26"/>
        </w:rPr>
        <w:t xml:space="preserve"> yet a warrant is court authorization.  The BIA’s description of emergency removals as lacking court authorization is </w:t>
      </w:r>
      <w:r w:rsidR="006E608C">
        <w:rPr>
          <w:rFonts w:eastAsia="Times New Roman" w:cs="Times New Roman"/>
          <w:color w:val="000000"/>
          <w:szCs w:val="26"/>
        </w:rPr>
        <w:t>no more than</w:t>
      </w:r>
      <w:r>
        <w:rPr>
          <w:rFonts w:eastAsia="Times New Roman" w:cs="Times New Roman"/>
          <w:color w:val="000000"/>
          <w:szCs w:val="26"/>
        </w:rPr>
        <w:t xml:space="preserve"> a reflection of the state procedures the BIA focused on in 2016 (before pre-petition removals by warrant were authorized in California), as removal by warrant is nowhere mentioned in the ICWA regulations or BIA guidance.  (See Interior Dept. Rules, 81 Fed. Reg. </w:t>
      </w:r>
      <w:r w:rsidR="00A96ABA">
        <w:rPr>
          <w:rFonts w:eastAsia="Times New Roman" w:cs="Times New Roman"/>
          <w:color w:val="000000"/>
          <w:szCs w:val="26"/>
        </w:rPr>
        <w:t xml:space="preserve">at </w:t>
      </w:r>
      <w:r>
        <w:rPr>
          <w:rFonts w:eastAsia="Times New Roman" w:cs="Times New Roman"/>
          <w:color w:val="000000"/>
          <w:szCs w:val="26"/>
        </w:rPr>
        <w:t xml:space="preserve">38794 [citing </w:t>
      </w:r>
      <w:r w:rsidR="007266CB">
        <w:rPr>
          <w:rFonts w:eastAsia="Times New Roman" w:cs="Times New Roman"/>
          <w:color w:val="000000"/>
          <w:szCs w:val="26"/>
        </w:rPr>
        <w:t>§</w:t>
      </w:r>
      <w:r w:rsidR="00A96ABA">
        <w:rPr>
          <w:rFonts w:eastAsia="Times New Roman" w:cs="Times New Roman"/>
          <w:color w:val="000000"/>
          <w:szCs w:val="26"/>
        </w:rPr>
        <w:t> </w:t>
      </w:r>
      <w:r>
        <w:rPr>
          <w:rFonts w:eastAsia="Times New Roman" w:cs="Times New Roman"/>
          <w:color w:val="000000"/>
          <w:szCs w:val="26"/>
        </w:rPr>
        <w:t xml:space="preserve">305, a warrantless removal provision, in fashioning the federal regulations].)  For an emergency proceeding removing an Indian child, </w:t>
      </w:r>
      <w:r w:rsidR="00E87DB6">
        <w:rPr>
          <w:rFonts w:eastAsia="Times New Roman" w:cs="Times New Roman"/>
          <w:color w:val="000000"/>
          <w:szCs w:val="26"/>
        </w:rPr>
        <w:t>a court needs to make</w:t>
      </w:r>
      <w:r>
        <w:rPr>
          <w:rFonts w:eastAsia="Times New Roman" w:cs="Times New Roman"/>
          <w:color w:val="000000"/>
          <w:szCs w:val="26"/>
        </w:rPr>
        <w:t xml:space="preserve"> several findings, including the “imminent physical damage or harm” finding and others (25 C.F.R. </w:t>
      </w:r>
      <w:r w:rsidR="005940ED">
        <w:rPr>
          <w:rFonts w:eastAsia="Times New Roman" w:cs="Times New Roman"/>
          <w:color w:val="000000"/>
          <w:szCs w:val="26"/>
        </w:rPr>
        <w:t>§ </w:t>
      </w:r>
      <w:r>
        <w:rPr>
          <w:rFonts w:eastAsia="Times New Roman" w:cs="Times New Roman"/>
          <w:color w:val="000000"/>
          <w:szCs w:val="26"/>
        </w:rPr>
        <w:t>23.113</w:t>
      </w:r>
      <w:r w:rsidR="00A96ABA">
        <w:rPr>
          <w:rFonts w:eastAsia="Times New Roman" w:cs="Times New Roman"/>
          <w:color w:val="000000"/>
          <w:szCs w:val="26"/>
        </w:rPr>
        <w:t xml:space="preserve"> (2023)</w:t>
      </w:r>
      <w:r>
        <w:rPr>
          <w:rFonts w:eastAsia="Times New Roman" w:cs="Times New Roman"/>
          <w:color w:val="000000"/>
          <w:szCs w:val="26"/>
        </w:rPr>
        <w:t>), with different findings required if it were a child-custody proceeding (25 C.F.R. §</w:t>
      </w:r>
      <w:r w:rsidR="005940ED">
        <w:rPr>
          <w:rFonts w:eastAsia="Times New Roman" w:cs="Times New Roman"/>
          <w:color w:val="000000"/>
          <w:szCs w:val="26"/>
        </w:rPr>
        <w:t>§ </w:t>
      </w:r>
      <w:r>
        <w:rPr>
          <w:rFonts w:eastAsia="Times New Roman" w:cs="Times New Roman"/>
          <w:color w:val="000000"/>
          <w:szCs w:val="26"/>
        </w:rPr>
        <w:t>23.110, 23.120</w:t>
      </w:r>
      <w:r w:rsidR="00A96ABA">
        <w:rPr>
          <w:rFonts w:eastAsia="Times New Roman" w:cs="Times New Roman"/>
          <w:color w:val="000000"/>
          <w:szCs w:val="26"/>
        </w:rPr>
        <w:t xml:space="preserve"> (2023)</w:t>
      </w:r>
      <w:r>
        <w:rPr>
          <w:rFonts w:eastAsia="Times New Roman" w:cs="Times New Roman"/>
          <w:color w:val="000000"/>
          <w:szCs w:val="26"/>
        </w:rPr>
        <w:t xml:space="preserve">).  Warrant or not, a court must make these findings.  ICWA does not authorize circumvention of its “imminent physical damage or harm” requirement simply by a court order applying some looser </w:t>
      </w:r>
      <w:r w:rsidR="00834E05">
        <w:rPr>
          <w:rFonts w:eastAsia="Times New Roman" w:cs="Times New Roman"/>
          <w:color w:val="000000"/>
          <w:szCs w:val="26"/>
        </w:rPr>
        <w:t xml:space="preserve">state </w:t>
      </w:r>
      <w:r>
        <w:rPr>
          <w:rFonts w:eastAsia="Times New Roman" w:cs="Times New Roman"/>
          <w:color w:val="000000"/>
          <w:szCs w:val="26"/>
        </w:rPr>
        <w:t>standard to the removal of an Indian child.  Under federal law, th</w:t>
      </w:r>
      <w:r w:rsidR="00834E05">
        <w:rPr>
          <w:rFonts w:eastAsia="Times New Roman" w:cs="Times New Roman"/>
          <w:color w:val="000000"/>
          <w:szCs w:val="26"/>
        </w:rPr>
        <w:t>e imminent physical damage or harm</w:t>
      </w:r>
      <w:r>
        <w:rPr>
          <w:rFonts w:eastAsia="Times New Roman" w:cs="Times New Roman"/>
          <w:color w:val="000000"/>
          <w:szCs w:val="26"/>
        </w:rPr>
        <w:t xml:space="preserve"> </w:t>
      </w:r>
      <w:r w:rsidR="00834E05">
        <w:rPr>
          <w:rFonts w:eastAsia="Times New Roman" w:cs="Times New Roman"/>
          <w:color w:val="000000"/>
          <w:szCs w:val="26"/>
        </w:rPr>
        <w:t>requirement</w:t>
      </w:r>
      <w:r>
        <w:rPr>
          <w:rFonts w:eastAsia="Times New Roman" w:cs="Times New Roman"/>
          <w:color w:val="000000"/>
          <w:szCs w:val="26"/>
        </w:rPr>
        <w:t xml:space="preserve"> applies to all pre-petition removals of Indian children.</w:t>
      </w:r>
    </w:p>
    <w:p w:rsidR="00115573" w:rsidP="00F41CA0" w14:paraId="5AB9BB34" w14:textId="748299DB">
      <w:pPr>
        <w:shd w:val="clear" w:color="auto" w:fill="FFFFFF"/>
        <w:ind w:firstLine="720"/>
        <w:textAlignment w:val="baseline"/>
        <w:rPr>
          <w:rFonts w:eastAsia="Times New Roman" w:cs="Times New Roman"/>
          <w:color w:val="000000"/>
          <w:szCs w:val="26"/>
        </w:rPr>
      </w:pPr>
      <w:r>
        <w:rPr>
          <w:rFonts w:eastAsia="Times New Roman" w:cs="Times New Roman"/>
          <w:color w:val="000000"/>
          <w:szCs w:val="26"/>
        </w:rPr>
        <w:t>In sum, t</w:t>
      </w:r>
      <w:r w:rsidR="006E608C">
        <w:rPr>
          <w:rFonts w:eastAsia="Times New Roman" w:cs="Times New Roman"/>
          <w:color w:val="000000"/>
          <w:szCs w:val="26"/>
        </w:rPr>
        <w:t xml:space="preserve">he </w:t>
      </w:r>
      <w:r w:rsidR="006E608C">
        <w:rPr>
          <w:rFonts w:eastAsia="Times New Roman" w:cs="Times New Roman"/>
          <w:i/>
          <w:iCs/>
          <w:color w:val="000000"/>
          <w:szCs w:val="26"/>
        </w:rPr>
        <w:t>Adrian L.</w:t>
      </w:r>
      <w:r w:rsidR="006E608C">
        <w:rPr>
          <w:rFonts w:eastAsia="Times New Roman" w:cs="Times New Roman"/>
          <w:color w:val="000000"/>
          <w:szCs w:val="26"/>
        </w:rPr>
        <w:t xml:space="preserve"> concurrence misinterprets the BIA Guidelines </w:t>
      </w:r>
      <w:r w:rsidR="00954517">
        <w:rPr>
          <w:rFonts w:eastAsia="Times New Roman" w:cs="Times New Roman"/>
          <w:color w:val="000000"/>
          <w:szCs w:val="26"/>
        </w:rPr>
        <w:t>to</w:t>
      </w:r>
      <w:r w:rsidR="006E608C">
        <w:rPr>
          <w:rFonts w:eastAsia="Times New Roman" w:cs="Times New Roman"/>
          <w:color w:val="000000"/>
          <w:szCs w:val="26"/>
        </w:rPr>
        <w:t xml:space="preserve"> suggest </w:t>
      </w:r>
      <w:r w:rsidR="000D3823">
        <w:rPr>
          <w:rFonts w:eastAsia="Times New Roman" w:cs="Times New Roman"/>
          <w:color w:val="000000"/>
          <w:szCs w:val="26"/>
        </w:rPr>
        <w:t>a distinction between removals by warrant</w:t>
      </w:r>
      <w:r w:rsidR="00834E05">
        <w:rPr>
          <w:rFonts w:eastAsia="Times New Roman" w:cs="Times New Roman"/>
          <w:color w:val="000000"/>
          <w:szCs w:val="26"/>
        </w:rPr>
        <w:t xml:space="preserve"> and removals without a warrant</w:t>
      </w:r>
      <w:r w:rsidR="00EF31D0">
        <w:rPr>
          <w:rFonts w:eastAsia="Times New Roman" w:cs="Times New Roman"/>
          <w:color w:val="000000"/>
          <w:szCs w:val="26"/>
        </w:rPr>
        <w:t>.  Federally, inquiring of extended family</w:t>
      </w:r>
      <w:r w:rsidR="00954517">
        <w:rPr>
          <w:rFonts w:eastAsia="Times New Roman" w:cs="Times New Roman"/>
          <w:color w:val="000000"/>
          <w:szCs w:val="26"/>
        </w:rPr>
        <w:t xml:space="preserve"> is a </w:t>
      </w:r>
      <w:r w:rsidRPr="00AB39DC" w:rsidR="00954517">
        <w:rPr>
          <w:rFonts w:eastAsia="Times New Roman" w:cs="Times New Roman"/>
          <w:i/>
          <w:iCs/>
          <w:color w:val="000000"/>
          <w:szCs w:val="26"/>
        </w:rPr>
        <w:t>recommended</w:t>
      </w:r>
      <w:r w:rsidR="00954517">
        <w:rPr>
          <w:rFonts w:eastAsia="Times New Roman" w:cs="Times New Roman"/>
          <w:color w:val="000000"/>
          <w:szCs w:val="26"/>
        </w:rPr>
        <w:t xml:space="preserve"> practice for </w:t>
      </w:r>
      <w:r w:rsidRPr="00AB39DC" w:rsidR="00954517">
        <w:rPr>
          <w:rFonts w:eastAsia="Times New Roman" w:cs="Times New Roman"/>
          <w:i/>
          <w:iCs/>
          <w:color w:val="000000"/>
          <w:szCs w:val="26"/>
        </w:rPr>
        <w:t>identifying</w:t>
      </w:r>
      <w:r w:rsidR="00954517">
        <w:rPr>
          <w:rFonts w:eastAsia="Times New Roman" w:cs="Times New Roman"/>
          <w:color w:val="000000"/>
          <w:szCs w:val="26"/>
        </w:rPr>
        <w:t xml:space="preserve"> Indian children</w:t>
      </w:r>
      <w:r>
        <w:rPr>
          <w:rFonts w:eastAsia="Times New Roman" w:cs="Times New Roman"/>
          <w:color w:val="000000"/>
          <w:szCs w:val="26"/>
        </w:rPr>
        <w:t xml:space="preserve"> in “emergency situations</w:t>
      </w:r>
      <w:r w:rsidR="00954517">
        <w:rPr>
          <w:rFonts w:eastAsia="Times New Roman" w:cs="Times New Roman"/>
          <w:color w:val="000000"/>
          <w:szCs w:val="26"/>
        </w:rPr>
        <w:t>,</w:t>
      </w:r>
      <w:r>
        <w:rPr>
          <w:rFonts w:eastAsia="Times New Roman" w:cs="Times New Roman"/>
          <w:color w:val="000000"/>
          <w:szCs w:val="26"/>
        </w:rPr>
        <w:t>”</w:t>
      </w:r>
      <w:r w:rsidR="00954517">
        <w:rPr>
          <w:rFonts w:eastAsia="Times New Roman" w:cs="Times New Roman"/>
          <w:color w:val="000000"/>
          <w:szCs w:val="26"/>
        </w:rPr>
        <w:t xml:space="preserve"> appearing only in</w:t>
      </w:r>
      <w:r w:rsidR="00EF31D0">
        <w:rPr>
          <w:rFonts w:eastAsia="Times New Roman" w:cs="Times New Roman"/>
          <w:color w:val="000000"/>
          <w:szCs w:val="26"/>
        </w:rPr>
        <w:t xml:space="preserve"> </w:t>
      </w:r>
      <w:r w:rsidR="00F94B1D">
        <w:rPr>
          <w:rFonts w:eastAsia="Times New Roman" w:cs="Times New Roman"/>
          <w:color w:val="000000"/>
          <w:szCs w:val="26"/>
        </w:rPr>
        <w:t>a</w:t>
      </w:r>
      <w:r w:rsidR="00EF31D0">
        <w:rPr>
          <w:rFonts w:eastAsia="Times New Roman" w:cs="Times New Roman"/>
          <w:color w:val="000000"/>
          <w:szCs w:val="26"/>
        </w:rPr>
        <w:t xml:space="preserve"> BIA </w:t>
      </w:r>
      <w:r w:rsidR="00954517">
        <w:rPr>
          <w:rFonts w:eastAsia="Times New Roman" w:cs="Times New Roman"/>
          <w:color w:val="000000"/>
          <w:szCs w:val="26"/>
        </w:rPr>
        <w:t>Guideline</w:t>
      </w:r>
      <w:r w:rsidR="00F94B1D">
        <w:rPr>
          <w:rFonts w:eastAsia="Times New Roman" w:cs="Times New Roman"/>
          <w:color w:val="000000"/>
          <w:szCs w:val="26"/>
        </w:rPr>
        <w:t xml:space="preserve"> interpreting the </w:t>
      </w:r>
      <w:r w:rsidR="00012BAE">
        <w:rPr>
          <w:rFonts w:eastAsia="Times New Roman" w:cs="Times New Roman"/>
          <w:color w:val="000000"/>
          <w:szCs w:val="26"/>
        </w:rPr>
        <w:t xml:space="preserve">regulation about </w:t>
      </w:r>
      <w:r w:rsidR="00F94B1D">
        <w:rPr>
          <w:rFonts w:eastAsia="Times New Roman" w:cs="Times New Roman"/>
          <w:color w:val="000000"/>
          <w:szCs w:val="26"/>
        </w:rPr>
        <w:t xml:space="preserve">emergency </w:t>
      </w:r>
      <w:r w:rsidR="00012BAE">
        <w:rPr>
          <w:rFonts w:eastAsia="Times New Roman" w:cs="Times New Roman"/>
          <w:color w:val="000000"/>
          <w:szCs w:val="26"/>
        </w:rPr>
        <w:t xml:space="preserve">proceedings, </w:t>
      </w:r>
      <w:r w:rsidR="007E6CC1">
        <w:rPr>
          <w:rFonts w:eastAsia="Times New Roman" w:cs="Times New Roman"/>
          <w:color w:val="000000"/>
          <w:szCs w:val="26"/>
        </w:rPr>
        <w:t>25 C.F.R. § 23.113</w:t>
      </w:r>
      <w:r w:rsidR="00954517">
        <w:rPr>
          <w:rFonts w:eastAsia="Times New Roman" w:cs="Times New Roman"/>
          <w:color w:val="000000"/>
          <w:szCs w:val="26"/>
        </w:rPr>
        <w:t>.</w:t>
      </w:r>
      <w:r w:rsidR="00EF31D0">
        <w:rPr>
          <w:rFonts w:eastAsia="Times New Roman" w:cs="Times New Roman"/>
          <w:color w:val="000000"/>
          <w:szCs w:val="26"/>
        </w:rPr>
        <w:t xml:space="preserve">  (</w:t>
      </w:r>
      <w:r w:rsidR="007266CB">
        <w:rPr>
          <w:rFonts w:eastAsia="Times New Roman" w:cs="Times New Roman"/>
          <w:color w:val="000000"/>
          <w:szCs w:val="26"/>
        </w:rPr>
        <w:t xml:space="preserve">BIA </w:t>
      </w:r>
      <w:r w:rsidR="00EF31D0">
        <w:rPr>
          <w:rFonts w:eastAsia="Times New Roman" w:cs="Times New Roman"/>
          <w:color w:val="000000"/>
          <w:szCs w:val="26"/>
        </w:rPr>
        <w:t>Guideline C.7</w:t>
      </w:r>
      <w:r w:rsidR="00A96ABA">
        <w:rPr>
          <w:rFonts w:eastAsia="Times New Roman" w:cs="Times New Roman"/>
          <w:color w:val="000000"/>
          <w:szCs w:val="26"/>
        </w:rPr>
        <w:t>, pp. 28-29</w:t>
      </w:r>
      <w:r w:rsidRPr="000D3823" w:rsidR="00EF31D0">
        <w:rPr>
          <w:rFonts w:eastAsia="Times New Roman" w:cs="Times New Roman"/>
          <w:color w:val="000000"/>
          <w:szCs w:val="26"/>
        </w:rPr>
        <w:t>.)</w:t>
      </w:r>
      <w:r>
        <w:rPr>
          <w:rFonts w:eastAsia="Times New Roman" w:cs="Times New Roman"/>
          <w:color w:val="000000"/>
          <w:szCs w:val="26"/>
        </w:rPr>
        <w:t xml:space="preserve">  A</w:t>
      </w:r>
      <w:r w:rsidR="00834E05">
        <w:rPr>
          <w:rFonts w:eastAsia="Times New Roman" w:cs="Times New Roman"/>
          <w:color w:val="000000"/>
          <w:szCs w:val="26"/>
        </w:rPr>
        <w:t xml:space="preserve">ny pre-petition removal of an Indian child is subject to the </w:t>
      </w:r>
      <w:r>
        <w:rPr>
          <w:rFonts w:eastAsia="Times New Roman" w:cs="Times New Roman"/>
          <w:color w:val="000000"/>
          <w:szCs w:val="26"/>
        </w:rPr>
        <w:t>ICWA</w:t>
      </w:r>
      <w:r w:rsidR="00834E05">
        <w:rPr>
          <w:rFonts w:eastAsia="Times New Roman" w:cs="Times New Roman"/>
          <w:color w:val="000000"/>
          <w:szCs w:val="26"/>
        </w:rPr>
        <w:t xml:space="preserve"> emergency </w:t>
      </w:r>
      <w:r w:rsidR="00C946D1">
        <w:rPr>
          <w:rFonts w:eastAsia="Times New Roman" w:cs="Times New Roman"/>
          <w:color w:val="000000"/>
          <w:szCs w:val="26"/>
        </w:rPr>
        <w:t>proceeding</w:t>
      </w:r>
      <w:r w:rsidR="00834E05">
        <w:rPr>
          <w:rFonts w:eastAsia="Times New Roman" w:cs="Times New Roman"/>
          <w:color w:val="000000"/>
          <w:szCs w:val="26"/>
        </w:rPr>
        <w:t xml:space="preserve"> standard</w:t>
      </w:r>
      <w:r>
        <w:rPr>
          <w:rFonts w:eastAsia="Times New Roman" w:cs="Times New Roman"/>
          <w:color w:val="000000"/>
          <w:szCs w:val="26"/>
        </w:rPr>
        <w:t xml:space="preserve">, requiring imminent physical damage or harm—no matter that California law would allow removal of </w:t>
      </w:r>
      <w:r w:rsidRPr="00501293">
        <w:rPr>
          <w:rFonts w:eastAsia="Times New Roman" w:cs="Times New Roman"/>
          <w:i/>
          <w:iCs/>
          <w:color w:val="000000"/>
          <w:szCs w:val="26"/>
        </w:rPr>
        <w:t>non</w:t>
      </w:r>
      <w:r>
        <w:rPr>
          <w:rFonts w:eastAsia="Times New Roman" w:cs="Times New Roman"/>
          <w:color w:val="000000"/>
          <w:szCs w:val="26"/>
        </w:rPr>
        <w:t>-Indian children using a lesser standard, if a warrant is obtained—and</w:t>
      </w:r>
      <w:r w:rsidR="00834E05">
        <w:rPr>
          <w:rFonts w:eastAsia="Times New Roman" w:cs="Times New Roman"/>
          <w:color w:val="000000"/>
          <w:szCs w:val="26"/>
        </w:rPr>
        <w:t xml:space="preserve"> </w:t>
      </w:r>
      <w:r>
        <w:rPr>
          <w:rFonts w:eastAsia="Times New Roman" w:cs="Times New Roman"/>
          <w:color w:val="000000"/>
          <w:szCs w:val="26"/>
        </w:rPr>
        <w:t xml:space="preserve">thus </w:t>
      </w:r>
      <w:r w:rsidR="00834E05">
        <w:rPr>
          <w:rFonts w:eastAsia="Times New Roman" w:cs="Times New Roman"/>
          <w:color w:val="000000"/>
          <w:szCs w:val="26"/>
        </w:rPr>
        <w:t xml:space="preserve">any pre-petition removal </w:t>
      </w:r>
      <w:r w:rsidR="00CD5EC4">
        <w:rPr>
          <w:rFonts w:eastAsia="Times New Roman" w:cs="Times New Roman"/>
          <w:color w:val="000000"/>
          <w:szCs w:val="26"/>
        </w:rPr>
        <w:t xml:space="preserve">of an Indian child </w:t>
      </w:r>
      <w:r w:rsidR="00834E05">
        <w:rPr>
          <w:rFonts w:eastAsia="Times New Roman" w:cs="Times New Roman"/>
          <w:color w:val="000000"/>
          <w:szCs w:val="26"/>
        </w:rPr>
        <w:t>is an “emergency situation” as that phrase was used in the BIA Guidelines.</w:t>
      </w:r>
      <w:r>
        <w:rPr>
          <w:rStyle w:val="FootnoteReference"/>
          <w:rFonts w:eastAsia="Times New Roman" w:cs="Times New Roman"/>
          <w:color w:val="000000"/>
          <w:szCs w:val="26"/>
        </w:rPr>
        <w:footnoteReference w:id="15"/>
      </w:r>
    </w:p>
    <w:p w:rsidR="00F331C3" w:rsidRPr="00394B04" w:rsidP="00F41CA0" w14:paraId="077B4E0E" w14:textId="42A0B002">
      <w:pPr>
        <w:ind w:firstLine="720"/>
      </w:pPr>
      <w:r w:rsidRPr="00394B04">
        <w:t>Finally</w:t>
      </w:r>
      <w:r w:rsidRPr="00394B04" w:rsidR="00560151">
        <w:t xml:space="preserve">, it may be that </w:t>
      </w:r>
      <w:r w:rsidRPr="00394B04">
        <w:t xml:space="preserve">the source of </w:t>
      </w:r>
      <w:r w:rsidR="003B37BB">
        <w:t>our</w:t>
      </w:r>
      <w:r w:rsidRPr="00394B04">
        <w:t xml:space="preserve"> Legislature’s decision to impose an “extended family” inquiry in section 224.2</w:t>
      </w:r>
      <w:r w:rsidR="00A96ABA">
        <w:rPr>
          <w:rFonts w:eastAsia="Calibri" w:cs="Times New Roman"/>
          <w:szCs w:val="26"/>
        </w:rPr>
        <w:t>, subdivision (b),</w:t>
      </w:r>
      <w:r w:rsidRPr="00394B04">
        <w:t xml:space="preserve"> </w:t>
      </w:r>
      <w:r w:rsidRPr="00394B04" w:rsidR="00560151">
        <w:t>was</w:t>
      </w:r>
      <w:r w:rsidRPr="00394B04">
        <w:t xml:space="preserve"> not the </w:t>
      </w:r>
      <w:r w:rsidRPr="00394B04" w:rsidR="00560151">
        <w:t xml:space="preserve">bare </w:t>
      </w:r>
      <w:r w:rsidRPr="00394B04">
        <w:t>reference in BIA Guideline C.7</w:t>
      </w:r>
      <w:r w:rsidRPr="00394B04" w:rsidR="00560151">
        <w:t xml:space="preserve"> at all.  A</w:t>
      </w:r>
      <w:r w:rsidRPr="00394B04">
        <w:t xml:space="preserve"> 2017 report of an ICWA task force appointed by the </w:t>
      </w:r>
      <w:r w:rsidR="00A96ABA">
        <w:rPr>
          <w:rFonts w:eastAsia="Calibri" w:cs="Times New Roman"/>
          <w:szCs w:val="26"/>
        </w:rPr>
        <w:t>S</w:t>
      </w:r>
      <w:r w:rsidRPr="00E74DF5" w:rsidR="00E74DF5">
        <w:rPr>
          <w:rFonts w:eastAsia="Calibri" w:cs="Times New Roman"/>
          <w:szCs w:val="26"/>
        </w:rPr>
        <w:t>tate</w:t>
      </w:r>
      <w:r w:rsidRPr="00394B04">
        <w:t xml:space="preserve"> Attorney General</w:t>
      </w:r>
      <w:r w:rsidRPr="00394B04" w:rsidR="003112F5">
        <w:t xml:space="preserve"> </w:t>
      </w:r>
      <w:r w:rsidRPr="00394B04">
        <w:t>concluded that “initial inquiry should not be made only to the parents</w:t>
      </w:r>
      <w:r w:rsidRPr="00394B04" w:rsidR="003112F5">
        <w:t>.</w:t>
      </w:r>
      <w:r w:rsidRPr="00394B04">
        <w:t xml:space="preserve">” </w:t>
      </w:r>
      <w:r w:rsidRPr="00394B04" w:rsidR="003112F5">
        <w:t xml:space="preserve"> </w:t>
      </w:r>
      <w:r w:rsidRPr="00876F9D" w:rsidR="00876F9D">
        <w:rPr>
          <w:rFonts w:eastAsia="Calibri" w:cs="Times New Roman"/>
          <w:szCs w:val="26"/>
        </w:rPr>
        <w:t>(California ICWA Compliance Task Force</w:t>
      </w:r>
      <w:r w:rsidR="00876F9D">
        <w:rPr>
          <w:rFonts w:eastAsia="Calibri" w:cs="Times New Roman"/>
          <w:szCs w:val="26"/>
        </w:rPr>
        <w:t>,</w:t>
      </w:r>
      <w:r w:rsidRPr="00876F9D" w:rsidR="00876F9D">
        <w:rPr>
          <w:rFonts w:eastAsia="Calibri" w:cs="Times New Roman"/>
          <w:szCs w:val="26"/>
        </w:rPr>
        <w:t xml:space="preserve"> Report to the California Attorney General’s Bureau of Children’s Justice, p. 28</w:t>
      </w:r>
      <w:r w:rsidR="00876F9D">
        <w:rPr>
          <w:rFonts w:eastAsia="Calibri" w:cs="Times New Roman"/>
          <w:szCs w:val="26"/>
        </w:rPr>
        <w:t xml:space="preserve"> &lt;</w:t>
      </w:r>
      <w:r w:rsidRPr="00EF20A6" w:rsidR="00EF20A6">
        <w:rPr>
          <w:rFonts w:eastAsia="Calibri" w:cs="Times New Roman"/>
          <w:szCs w:val="26"/>
        </w:rPr>
        <w:t>https://caltribalfamilies.org/wp-content/uploads/2020/12/ICWAComplianceTaskForceFinalReport2017.pdf</w:t>
      </w:r>
      <w:r w:rsidR="00876F9D">
        <w:rPr>
          <w:rFonts w:eastAsia="Calibri" w:cs="Times New Roman"/>
          <w:szCs w:val="26"/>
        </w:rPr>
        <w:t xml:space="preserve">&gt; [as of </w:t>
      </w:r>
      <w:r w:rsidR="008C238D">
        <w:rPr>
          <w:rFonts w:eastAsia="Calibri" w:cs="Times New Roman"/>
          <w:szCs w:val="26"/>
        </w:rPr>
        <w:t>Feb. </w:t>
      </w:r>
      <w:r w:rsidR="00E1768E">
        <w:rPr>
          <w:rFonts w:eastAsia="Calibri" w:cs="Times New Roman"/>
          <w:szCs w:val="26"/>
        </w:rPr>
        <w:t>21</w:t>
      </w:r>
      <w:r w:rsidR="008C238D">
        <w:rPr>
          <w:rFonts w:eastAsia="Calibri" w:cs="Times New Roman"/>
          <w:szCs w:val="26"/>
        </w:rPr>
        <w:t>, 2024</w:t>
      </w:r>
      <w:r w:rsidR="00876F9D">
        <w:rPr>
          <w:rFonts w:eastAsia="Calibri" w:cs="Times New Roman"/>
          <w:szCs w:val="26"/>
        </w:rPr>
        <w:t>]</w:t>
      </w:r>
      <w:r w:rsidRPr="00876F9D" w:rsidR="00876F9D">
        <w:rPr>
          <w:rFonts w:eastAsia="Calibri" w:cs="Times New Roman"/>
          <w:szCs w:val="26"/>
        </w:rPr>
        <w:t>.)</w:t>
      </w:r>
      <w:r w:rsidR="00876F9D">
        <w:rPr>
          <w:rFonts w:eastAsia="Calibri" w:cs="Times New Roman"/>
          <w:szCs w:val="26"/>
        </w:rPr>
        <w:t xml:space="preserve">  </w:t>
      </w:r>
      <w:r w:rsidRPr="00394B04" w:rsidR="003112F5">
        <w:t>Unlike Guideline</w:t>
      </w:r>
      <w:r w:rsidRPr="00E74DF5" w:rsidR="00E74DF5">
        <w:rPr>
          <w:rFonts w:eastAsia="Calibri" w:cs="Times New Roman"/>
          <w:szCs w:val="26"/>
        </w:rPr>
        <w:t> </w:t>
      </w:r>
      <w:r w:rsidRPr="00394B04" w:rsidR="003112F5">
        <w:t>C.7, the report</w:t>
      </w:r>
      <w:r w:rsidRPr="00394B04">
        <w:t xml:space="preserve"> explained why initial inquiry of only parents may be inadequate:</w:t>
      </w:r>
      <w:r w:rsidR="00A35EE9">
        <w:t xml:space="preserve"> </w:t>
      </w:r>
      <w:r w:rsidRPr="00394B04">
        <w:t xml:space="preserve"> “Parents may simply not have that information or may possess vague or ambiguous information. ¶ The parents . . . may be fearful to self-identify. . . .  </w:t>
      </w:r>
      <w:r w:rsidR="00663B2B">
        <w:rPr>
          <w:rFonts w:eastAsia="Calibri" w:cs="Times New Roman"/>
          <w:szCs w:val="26"/>
        </w:rPr>
        <w:t xml:space="preserve"> </w:t>
      </w:r>
      <w:r w:rsidRPr="00394B04">
        <w:t xml:space="preserve">Parents may even wish to avoid the tribe’s participation or assumption of jurisdiction.”  </w:t>
      </w:r>
      <w:bookmarkStart w:id="9" w:name="_Hlk146883812"/>
      <w:r w:rsidRPr="00E74DF5" w:rsidR="00E74DF5">
        <w:rPr>
          <w:rFonts w:eastAsia="Calibri" w:cs="Times New Roman"/>
          <w:szCs w:val="26"/>
        </w:rPr>
        <w:t>(</w:t>
      </w:r>
      <w:r w:rsidRPr="00394B04">
        <w:t>California ICWA Compliance Task Force</w:t>
      </w:r>
      <w:r w:rsidR="00876F9D">
        <w:rPr>
          <w:rFonts w:eastAsia="Calibri" w:cs="Times New Roman"/>
          <w:szCs w:val="26"/>
        </w:rPr>
        <w:t>,</w:t>
      </w:r>
      <w:r w:rsidRPr="00394B04">
        <w:t xml:space="preserve"> Report to the California Attorney General’s Bureau of Children’s Justice,” p. 28.)</w:t>
      </w:r>
      <w:bookmarkEnd w:id="9"/>
      <w:r w:rsidRPr="00394B04">
        <w:t>  The task force recommended amending the rules of court “to support more robust inquiry” and “[r]emove reliance on the parents to supply information.”  (</w:t>
      </w:r>
      <w:r w:rsidRPr="00394B04">
        <w:rPr>
          <w:i/>
        </w:rPr>
        <w:t>Id</w:t>
      </w:r>
      <w:r w:rsidRPr="00E74DF5" w:rsidR="00E74DF5">
        <w:rPr>
          <w:rFonts w:eastAsia="Calibri" w:cs="Times New Roman"/>
          <w:i/>
          <w:iCs/>
          <w:szCs w:val="26"/>
        </w:rPr>
        <w:t>.</w:t>
      </w:r>
      <w:r w:rsidRPr="00394B04">
        <w:t xml:space="preserve"> p. 29.)</w:t>
      </w:r>
    </w:p>
    <w:p w:rsidR="00D76CC8" w:rsidRPr="00394B04" w:rsidP="00F41CA0" w14:paraId="529D79E9" w14:textId="40FC4B6B">
      <w:pPr>
        <w:ind w:firstLine="720"/>
      </w:pPr>
      <w:r w:rsidRPr="00394B04">
        <w:t xml:space="preserve">A few months after the report, </w:t>
      </w:r>
      <w:r w:rsidR="008A1BAC">
        <w:rPr>
          <w:rFonts w:eastAsia="Calibri" w:cs="Times New Roman"/>
          <w:szCs w:val="26"/>
        </w:rPr>
        <w:t>Assembly Bill 3176</w:t>
      </w:r>
      <w:r w:rsidRPr="00394B04">
        <w:t xml:space="preserve"> was introduced in the Assembly Human Services Committee.</w:t>
      </w:r>
      <w:r w:rsidR="00D61992">
        <w:rPr>
          <w:rFonts w:eastAsia="Calibri" w:cs="Times New Roman"/>
          <w:szCs w:val="26"/>
        </w:rPr>
        <w:t xml:space="preserve"> </w:t>
      </w:r>
      <w:r w:rsidRPr="00E74DF5" w:rsidR="00E74DF5">
        <w:rPr>
          <w:rFonts w:eastAsia="Calibri" w:cs="Times New Roman"/>
          <w:szCs w:val="26"/>
        </w:rPr>
        <w:t xml:space="preserve"> (</w:t>
      </w:r>
      <w:r w:rsidR="00D61992">
        <w:rPr>
          <w:rFonts w:eastAsia="Calibri" w:cs="Times New Roman"/>
          <w:szCs w:val="26"/>
        </w:rPr>
        <w:t>Hea</w:t>
      </w:r>
      <w:r w:rsidR="00200BAB">
        <w:rPr>
          <w:rFonts w:eastAsia="Calibri" w:cs="Times New Roman"/>
          <w:szCs w:val="26"/>
        </w:rPr>
        <w:t>ring before Assem. Human Services Com. introducing Asse</w:t>
      </w:r>
      <w:r w:rsidR="00D61992">
        <w:rPr>
          <w:rFonts w:eastAsia="Calibri" w:cs="Times New Roman"/>
          <w:szCs w:val="26"/>
        </w:rPr>
        <w:t>m.</w:t>
      </w:r>
      <w:r w:rsidR="00200BAB">
        <w:rPr>
          <w:rFonts w:eastAsia="Calibri" w:cs="Times New Roman"/>
          <w:szCs w:val="26"/>
        </w:rPr>
        <w:t xml:space="preserve"> Bill</w:t>
      </w:r>
      <w:r w:rsidR="00D61992">
        <w:rPr>
          <w:rFonts w:eastAsia="Calibri" w:cs="Times New Roman"/>
          <w:szCs w:val="26"/>
        </w:rPr>
        <w:t xml:space="preserve"> 3176 (2017-2018 Reg. Sess.) </w:t>
      </w:r>
      <w:r w:rsidRPr="00E74DF5" w:rsidR="00E74DF5">
        <w:rPr>
          <w:rFonts w:eastAsia="Calibri" w:cs="Times New Roman"/>
          <w:szCs w:val="26"/>
        </w:rPr>
        <w:t>Apr</w:t>
      </w:r>
      <w:r w:rsidR="008A1BAC">
        <w:rPr>
          <w:rFonts w:eastAsia="Calibri" w:cs="Times New Roman"/>
          <w:szCs w:val="26"/>
        </w:rPr>
        <w:t>.</w:t>
      </w:r>
      <w:r w:rsidRPr="00394B04">
        <w:t xml:space="preserve"> 18, 2018, 2:30:00-2:38:00</w:t>
      </w:r>
      <w:r w:rsidR="00D61992">
        <w:rPr>
          <w:rFonts w:eastAsia="Calibri" w:cs="Times New Roman"/>
          <w:szCs w:val="26"/>
        </w:rPr>
        <w:t xml:space="preserve"> &lt;</w:t>
      </w:r>
      <w:r w:rsidRPr="00D61992" w:rsidR="00D61992">
        <w:rPr>
          <w:rFonts w:eastAsia="Calibri" w:cs="Times New Roman"/>
          <w:szCs w:val="26"/>
        </w:rPr>
        <w:t>https://www.assembly.ca.gov/media/assembly-human-services-committee-20180410&gt;</w:t>
      </w:r>
      <w:r w:rsidR="00A35EE9">
        <w:rPr>
          <w:rFonts w:eastAsia="Calibri" w:cs="Times New Roman"/>
          <w:szCs w:val="26"/>
        </w:rPr>
        <w:t xml:space="preserve"> [as of </w:t>
      </w:r>
      <w:r w:rsidR="006227EB">
        <w:rPr>
          <w:rFonts w:eastAsia="Calibri" w:cs="Times New Roman"/>
          <w:szCs w:val="26"/>
        </w:rPr>
        <w:t xml:space="preserve">Feb. </w:t>
      </w:r>
      <w:r w:rsidR="00E1768E">
        <w:rPr>
          <w:rFonts w:eastAsia="Calibri" w:cs="Times New Roman"/>
          <w:szCs w:val="26"/>
        </w:rPr>
        <w:t>21</w:t>
      </w:r>
      <w:r w:rsidR="006227EB">
        <w:rPr>
          <w:rFonts w:eastAsia="Calibri" w:cs="Times New Roman"/>
          <w:szCs w:val="26"/>
        </w:rPr>
        <w:t>, 2024</w:t>
      </w:r>
      <w:r w:rsidR="00A35EE9">
        <w:rPr>
          <w:rFonts w:eastAsia="Calibri" w:cs="Times New Roman"/>
          <w:szCs w:val="26"/>
        </w:rPr>
        <w:t>]</w:t>
      </w:r>
      <w:r w:rsidRPr="00E74DF5" w:rsidR="00E74DF5">
        <w:rPr>
          <w:rFonts w:eastAsia="Calibri" w:cs="Times New Roman"/>
          <w:szCs w:val="26"/>
        </w:rPr>
        <w:t xml:space="preserve">; see </w:t>
      </w:r>
      <w:r w:rsidRPr="00E74DF5" w:rsidR="00E74DF5">
        <w:rPr>
          <w:rFonts w:eastAsia="Calibri" w:cs="Times New Roman"/>
          <w:i/>
          <w:iCs/>
          <w:szCs w:val="26"/>
        </w:rPr>
        <w:t>In re S.S</w:t>
      </w:r>
      <w:r w:rsidRPr="00E74DF5" w:rsidR="00E74DF5">
        <w:rPr>
          <w:rFonts w:eastAsia="Calibri" w:cs="Times New Roman"/>
          <w:szCs w:val="26"/>
        </w:rPr>
        <w:t>. (2023) 90 Cal.App.5th 694, 699</w:t>
      </w:r>
      <w:r w:rsidR="008A1BAC">
        <w:rPr>
          <w:rFonts w:eastAsia="Calibri" w:cs="Times New Roman"/>
          <w:szCs w:val="26"/>
        </w:rPr>
        <w:t xml:space="preserve"> (</w:t>
      </w:r>
      <w:r w:rsidRPr="008A1BAC" w:rsidR="008A1BAC">
        <w:rPr>
          <w:rFonts w:eastAsia="Calibri" w:cs="Times New Roman"/>
          <w:i/>
          <w:iCs/>
          <w:szCs w:val="26"/>
        </w:rPr>
        <w:t>S.S</w:t>
      </w:r>
      <w:r w:rsidR="008A1BAC">
        <w:rPr>
          <w:rFonts w:eastAsia="Calibri" w:cs="Times New Roman"/>
          <w:szCs w:val="26"/>
        </w:rPr>
        <w:t>.)</w:t>
      </w:r>
      <w:r w:rsidRPr="00E74DF5" w:rsidR="00E74DF5">
        <w:rPr>
          <w:rFonts w:eastAsia="Calibri" w:cs="Times New Roman"/>
          <w:szCs w:val="26"/>
        </w:rPr>
        <w:t xml:space="preserve"> [“The 2018 amendment originated in a 2017 report by the </w:t>
      </w:r>
      <w:r w:rsidR="0083081D">
        <w:rPr>
          <w:rFonts w:eastAsia="Calibri" w:cs="Times New Roman"/>
          <w:szCs w:val="26"/>
        </w:rPr>
        <w:t xml:space="preserve">California </w:t>
      </w:r>
      <w:r w:rsidRPr="00E74DF5" w:rsidR="00E74DF5">
        <w:rPr>
          <w:rFonts w:eastAsia="Calibri" w:cs="Times New Roman"/>
          <w:szCs w:val="26"/>
        </w:rPr>
        <w:t>ICWA Compliance Task Force.”])</w:t>
      </w:r>
      <w:r w:rsidR="0083081D">
        <w:rPr>
          <w:rFonts w:eastAsia="Calibri" w:cs="Times New Roman"/>
          <w:szCs w:val="26"/>
        </w:rPr>
        <w:t>.</w:t>
      </w:r>
      <w:r w:rsidR="00A35EE9">
        <w:rPr>
          <w:rFonts w:eastAsia="Calibri" w:cs="Times New Roman"/>
          <w:szCs w:val="26"/>
        </w:rPr>
        <w:t xml:space="preserve"> </w:t>
      </w:r>
      <w:r w:rsidRPr="00E74DF5" w:rsidR="00E74DF5">
        <w:rPr>
          <w:rFonts w:eastAsia="Calibri" w:cs="Times New Roman"/>
          <w:szCs w:val="26"/>
        </w:rPr>
        <w:t xml:space="preserve"> </w:t>
      </w:r>
      <w:r w:rsidR="008A1BAC">
        <w:rPr>
          <w:rFonts w:eastAsia="Calibri" w:cs="Times New Roman"/>
          <w:szCs w:val="26"/>
        </w:rPr>
        <w:t xml:space="preserve">Delia Sharpe, </w:t>
      </w:r>
      <w:r w:rsidR="0099082E">
        <w:rPr>
          <w:rFonts w:eastAsia="Calibri" w:cs="Times New Roman"/>
          <w:szCs w:val="26"/>
        </w:rPr>
        <w:t>e</w:t>
      </w:r>
      <w:r w:rsidR="008A1BAC">
        <w:rPr>
          <w:rFonts w:eastAsia="Calibri" w:cs="Times New Roman"/>
          <w:szCs w:val="26"/>
        </w:rPr>
        <w:t xml:space="preserve">xecutive </w:t>
      </w:r>
      <w:r w:rsidR="0099082E">
        <w:rPr>
          <w:rFonts w:eastAsia="Calibri" w:cs="Times New Roman"/>
          <w:szCs w:val="26"/>
        </w:rPr>
        <w:t>d</w:t>
      </w:r>
      <w:r w:rsidR="008A1BAC">
        <w:rPr>
          <w:rFonts w:eastAsia="Calibri" w:cs="Times New Roman"/>
          <w:szCs w:val="26"/>
        </w:rPr>
        <w:t>irector</w:t>
      </w:r>
      <w:r w:rsidR="005B73B8">
        <w:rPr>
          <w:rFonts w:eastAsia="Calibri" w:cs="Times New Roman"/>
          <w:szCs w:val="26"/>
        </w:rPr>
        <w:t xml:space="preserve"> </w:t>
      </w:r>
      <w:r w:rsidRPr="00394B04">
        <w:t>of the bill’s sponsor, the California Tribal Families Coalition, sat with the author and testified that her organization was “a successor organization to the California ICWA Compliance Task Force.”  (</w:t>
      </w:r>
      <w:r w:rsidRPr="00EB7163" w:rsidR="00EB7163">
        <w:rPr>
          <w:szCs w:val="26"/>
        </w:rPr>
        <w:t>Hearing before Assem. Human Services Com. introducing Assem</w:t>
      </w:r>
      <w:r w:rsidR="00EB7163">
        <w:rPr>
          <w:szCs w:val="26"/>
        </w:rPr>
        <w:t>.</w:t>
      </w:r>
      <w:r w:rsidRPr="00EB7163" w:rsidR="00EB7163">
        <w:rPr>
          <w:szCs w:val="26"/>
        </w:rPr>
        <w:t xml:space="preserve"> Bill 3176, </w:t>
      </w:r>
      <w:r w:rsidRPr="00EB7163" w:rsidR="00EB7163">
        <w:rPr>
          <w:i/>
          <w:iCs/>
          <w:szCs w:val="26"/>
        </w:rPr>
        <w:t>supra</w:t>
      </w:r>
      <w:r w:rsidRPr="00EB7163" w:rsidR="00EB7163">
        <w:rPr>
          <w:szCs w:val="26"/>
        </w:rPr>
        <w:t>, at</w:t>
      </w:r>
      <w:r w:rsidR="00EB7163">
        <w:rPr>
          <w:szCs w:val="26"/>
        </w:rPr>
        <w:t xml:space="preserve"> </w:t>
      </w:r>
      <w:r w:rsidRPr="00394B04">
        <w:t>2:32:35</w:t>
      </w:r>
      <w:r w:rsidRPr="00E74DF5" w:rsidR="00E74DF5">
        <w:rPr>
          <w:rFonts w:eastAsia="Calibri" w:cs="Times New Roman"/>
          <w:szCs w:val="26"/>
        </w:rPr>
        <w:t>;</w:t>
      </w:r>
      <w:r w:rsidRPr="00394B04">
        <w:t xml:space="preserve"> see </w:t>
      </w:r>
      <w:r w:rsidR="008A1BAC">
        <w:rPr>
          <w:rFonts w:eastAsia="Calibri" w:cs="Times New Roman"/>
          <w:szCs w:val="26"/>
        </w:rPr>
        <w:t>&lt;https://</w:t>
      </w:r>
      <w:r w:rsidRPr="00394B04">
        <w:t>caltribalfamilies.org</w:t>
      </w:r>
      <w:r w:rsidR="008A1BAC">
        <w:rPr>
          <w:rFonts w:eastAsia="Calibri" w:cs="Times New Roman"/>
          <w:szCs w:val="26"/>
        </w:rPr>
        <w:t>&gt;</w:t>
      </w:r>
      <w:r w:rsidRPr="00E74DF5" w:rsidR="00E74DF5">
        <w:rPr>
          <w:rFonts w:eastAsia="Calibri" w:cs="Times New Roman"/>
          <w:szCs w:val="26"/>
        </w:rPr>
        <w:t xml:space="preserve"> </w:t>
      </w:r>
      <w:r w:rsidR="008A1BAC">
        <w:rPr>
          <w:rFonts w:eastAsia="Calibri" w:cs="Times New Roman"/>
          <w:szCs w:val="26"/>
        </w:rPr>
        <w:t xml:space="preserve">[as of </w:t>
      </w:r>
      <w:r w:rsidR="008C238D">
        <w:rPr>
          <w:rFonts w:eastAsia="Calibri" w:cs="Times New Roman"/>
          <w:szCs w:val="26"/>
        </w:rPr>
        <w:t xml:space="preserve">Feb. </w:t>
      </w:r>
      <w:r w:rsidR="00E1768E">
        <w:rPr>
          <w:rFonts w:eastAsia="Calibri" w:cs="Times New Roman"/>
          <w:szCs w:val="26"/>
        </w:rPr>
        <w:t>21</w:t>
      </w:r>
      <w:r w:rsidR="008C238D">
        <w:rPr>
          <w:rFonts w:eastAsia="Calibri" w:cs="Times New Roman"/>
          <w:szCs w:val="26"/>
        </w:rPr>
        <w:t>, 2024</w:t>
      </w:r>
      <w:r w:rsidR="008A1BAC">
        <w:rPr>
          <w:rFonts w:eastAsia="Calibri" w:cs="Times New Roman"/>
          <w:szCs w:val="26"/>
        </w:rPr>
        <w:t>]</w:t>
      </w:r>
      <w:r w:rsidR="0083081D">
        <w:rPr>
          <w:rFonts w:eastAsia="Calibri" w:cs="Times New Roman"/>
          <w:szCs w:val="26"/>
        </w:rPr>
        <w:t>.)  The</w:t>
      </w:r>
      <w:r w:rsidR="008A1BAC">
        <w:rPr>
          <w:rFonts w:eastAsia="Calibri" w:cs="Times New Roman"/>
          <w:szCs w:val="26"/>
        </w:rPr>
        <w:t xml:space="preserve"> </w:t>
      </w:r>
      <w:r w:rsidRPr="00394B04">
        <w:t>coalition was “[f]ormed in 2017 to implement the comprehensive findings of the California ICWA Compliance Task Force</w:t>
      </w:r>
      <w:r w:rsidR="0083081D">
        <w:rPr>
          <w:rFonts w:eastAsia="Calibri" w:cs="Times New Roman"/>
          <w:szCs w:val="26"/>
        </w:rPr>
        <w:t>.</w:t>
      </w:r>
      <w:r w:rsidRPr="00E74DF5" w:rsidR="00E74DF5">
        <w:rPr>
          <w:rFonts w:eastAsia="Calibri" w:cs="Times New Roman"/>
          <w:szCs w:val="26"/>
        </w:rPr>
        <w:t>”</w:t>
      </w:r>
      <w:r w:rsidR="0083081D">
        <w:rPr>
          <w:rFonts w:eastAsia="Calibri" w:cs="Times New Roman"/>
          <w:szCs w:val="26"/>
        </w:rPr>
        <w:t xml:space="preserve">  (</w:t>
      </w:r>
      <w:r w:rsidRPr="0083081D" w:rsidR="0083081D">
        <w:rPr>
          <w:rFonts w:eastAsia="Calibri" w:cs="Times New Roman"/>
          <w:i/>
          <w:iCs/>
          <w:szCs w:val="26"/>
        </w:rPr>
        <w:t>S.S</w:t>
      </w:r>
      <w:r w:rsidR="0083081D">
        <w:rPr>
          <w:rFonts w:eastAsia="Calibri" w:cs="Times New Roman"/>
          <w:szCs w:val="26"/>
        </w:rPr>
        <w:t>., at p. 702.)</w:t>
      </w:r>
      <w:r w:rsidRPr="00E74DF5" w:rsidR="00E74DF5">
        <w:rPr>
          <w:rFonts w:eastAsia="Calibri" w:cs="Times New Roman"/>
          <w:szCs w:val="26"/>
        </w:rPr>
        <w:t xml:space="preserve"> </w:t>
      </w:r>
      <w:r w:rsidRPr="00394B04">
        <w:t xml:space="preserve"> Another witness</w:t>
      </w:r>
      <w:r w:rsidR="0083081D">
        <w:rPr>
          <w:rFonts w:eastAsia="Calibri" w:cs="Times New Roman"/>
          <w:szCs w:val="26"/>
        </w:rPr>
        <w:t xml:space="preserve">, Maryann McGovran, </w:t>
      </w:r>
      <w:r w:rsidRPr="00394B04">
        <w:t xml:space="preserve">identified herself as one of the task force principals and expressed her support for the bill.  </w:t>
      </w:r>
      <w:r w:rsidRPr="00E74DF5" w:rsidR="00E74DF5">
        <w:rPr>
          <w:rFonts w:eastAsia="Calibri" w:cs="Times New Roman"/>
          <w:szCs w:val="26"/>
        </w:rPr>
        <w:t>(</w:t>
      </w:r>
      <w:r w:rsidRPr="00EB7163" w:rsidR="00EB7163">
        <w:rPr>
          <w:szCs w:val="26"/>
        </w:rPr>
        <w:t>Hearing before Assem. Human Services Com. introducing Assem</w:t>
      </w:r>
      <w:r w:rsidR="00EB7163">
        <w:rPr>
          <w:szCs w:val="26"/>
        </w:rPr>
        <w:t>.</w:t>
      </w:r>
      <w:r w:rsidRPr="00EB7163" w:rsidR="00EB7163">
        <w:rPr>
          <w:szCs w:val="26"/>
        </w:rPr>
        <w:t xml:space="preserve"> Bill 3176, </w:t>
      </w:r>
      <w:r w:rsidRPr="00EB7163" w:rsidR="00EB7163">
        <w:rPr>
          <w:i/>
          <w:iCs/>
          <w:szCs w:val="26"/>
        </w:rPr>
        <w:t>supra</w:t>
      </w:r>
      <w:r w:rsidRPr="00EB7163" w:rsidR="00EB7163">
        <w:rPr>
          <w:szCs w:val="26"/>
        </w:rPr>
        <w:t>, at</w:t>
      </w:r>
      <w:r w:rsidR="0099082E">
        <w:rPr>
          <w:szCs w:val="26"/>
        </w:rPr>
        <w:t xml:space="preserve"> </w:t>
      </w:r>
      <w:r w:rsidRPr="00394B04">
        <w:t>2:34:15.)  The extended family inquiry was added to the bill after that initial hearing.  Although the legislative history does not explain the addition, it states that while the bill “generally tracks” the federal ICWA guidance, it “deviates from the federal standard in provisions where California’s standard is higher.”  (</w:t>
      </w:r>
      <w:r w:rsidRPr="00E74DF5" w:rsidR="00E74DF5">
        <w:rPr>
          <w:rFonts w:eastAsia="Calibri" w:cs="Times New Roman"/>
          <w:szCs w:val="26"/>
        </w:rPr>
        <w:t>A</w:t>
      </w:r>
      <w:r w:rsidR="0083081D">
        <w:rPr>
          <w:rFonts w:eastAsia="Calibri" w:cs="Times New Roman"/>
          <w:szCs w:val="26"/>
        </w:rPr>
        <w:t>ssem. Bill</w:t>
      </w:r>
      <w:r w:rsidRPr="00394B04">
        <w:t xml:space="preserve"> 3176, </w:t>
      </w:r>
      <w:r w:rsidRPr="00E74DF5" w:rsidR="00E74DF5">
        <w:rPr>
          <w:rFonts w:eastAsia="Calibri" w:cs="Times New Roman"/>
          <w:szCs w:val="26"/>
        </w:rPr>
        <w:t>Sen</w:t>
      </w:r>
      <w:r w:rsidR="0083081D">
        <w:rPr>
          <w:rFonts w:eastAsia="Calibri" w:cs="Times New Roman"/>
          <w:szCs w:val="26"/>
        </w:rPr>
        <w:t>.</w:t>
      </w:r>
      <w:r w:rsidRPr="00394B04">
        <w:t xml:space="preserve"> Judiciary </w:t>
      </w:r>
      <w:r w:rsidRPr="00E74DF5" w:rsidR="00E74DF5">
        <w:rPr>
          <w:rFonts w:eastAsia="Calibri" w:cs="Times New Roman"/>
          <w:szCs w:val="26"/>
        </w:rPr>
        <w:t>Com</w:t>
      </w:r>
      <w:r w:rsidR="0083081D">
        <w:rPr>
          <w:rFonts w:eastAsia="Calibri" w:cs="Times New Roman"/>
          <w:szCs w:val="26"/>
        </w:rPr>
        <w:t>.</w:t>
      </w:r>
      <w:r w:rsidRPr="00E74DF5" w:rsidR="00E74DF5">
        <w:rPr>
          <w:rFonts w:eastAsia="Calibri" w:cs="Times New Roman"/>
          <w:szCs w:val="26"/>
        </w:rPr>
        <w:t>,</w:t>
      </w:r>
      <w:r w:rsidRPr="00394B04">
        <w:t xml:space="preserve"> June 18, 2018, at p. 6.)</w:t>
      </w:r>
      <w:r w:rsidRPr="00394B04" w:rsidR="00302D1B">
        <w:t xml:space="preserve">  The broad task force reasoning </w:t>
      </w:r>
      <w:r w:rsidR="00DA4013">
        <w:t xml:space="preserve">aligns </w:t>
      </w:r>
      <w:r w:rsidRPr="00394B04" w:rsidR="00302D1B">
        <w:t>with interpreting the statute to require inquiry of extended family in every case in which a child is removed from parents, rather than excluding cases where a warrant was used.</w:t>
      </w:r>
      <w:r w:rsidR="00DD16AA">
        <w:t xml:space="preserve">  </w:t>
      </w:r>
    </w:p>
    <w:p w:rsidR="00115573" w:rsidP="00F41CA0" w14:paraId="23F3F693" w14:textId="3023F79B">
      <w:pPr>
        <w:ind w:firstLine="720"/>
        <w:rPr>
          <w:rFonts w:cs="Times New Roman"/>
          <w:szCs w:val="26"/>
        </w:rPr>
      </w:pPr>
      <w:r>
        <w:rPr>
          <w:rFonts w:cs="Times New Roman"/>
          <w:szCs w:val="26"/>
        </w:rPr>
        <w:t>4</w:t>
      </w:r>
      <w:r w:rsidR="00EF31D0">
        <w:rPr>
          <w:rFonts w:cs="Times New Roman"/>
          <w:szCs w:val="26"/>
        </w:rPr>
        <w:t xml:space="preserve">.  </w:t>
      </w:r>
      <w:r w:rsidRPr="00546B0B" w:rsidR="002C0CA9">
        <w:rPr>
          <w:rFonts w:cs="Times New Roman"/>
          <w:i/>
          <w:iCs/>
          <w:szCs w:val="26"/>
        </w:rPr>
        <w:t>The Department</w:t>
      </w:r>
      <w:r w:rsidRPr="002C2744" w:rsidR="002C0CA9">
        <w:rPr>
          <w:rFonts w:cs="Times New Roman"/>
          <w:szCs w:val="26"/>
        </w:rPr>
        <w:t>’</w:t>
      </w:r>
      <w:r w:rsidRPr="00546B0B" w:rsidR="002C0CA9">
        <w:rPr>
          <w:rFonts w:cs="Times New Roman"/>
          <w:i/>
          <w:iCs/>
          <w:szCs w:val="26"/>
        </w:rPr>
        <w:t>s Error</w:t>
      </w:r>
      <w:r w:rsidRPr="00546B0B" w:rsidR="00622E5C">
        <w:rPr>
          <w:rFonts w:cs="Times New Roman"/>
          <w:i/>
          <w:iCs/>
          <w:szCs w:val="26"/>
        </w:rPr>
        <w:t xml:space="preserve"> Is Not </w:t>
      </w:r>
      <w:r w:rsidRPr="00622E5C" w:rsidR="00EF31D0">
        <w:rPr>
          <w:rFonts w:cs="Times New Roman"/>
          <w:i/>
          <w:iCs/>
          <w:szCs w:val="26"/>
        </w:rPr>
        <w:t>Harmles</w:t>
      </w:r>
      <w:r w:rsidRPr="00622E5C" w:rsidR="00622E5C">
        <w:rPr>
          <w:rFonts w:cs="Times New Roman"/>
          <w:i/>
          <w:iCs/>
          <w:szCs w:val="26"/>
        </w:rPr>
        <w:t>s</w:t>
      </w:r>
    </w:p>
    <w:p w:rsidR="00DB61B7" w:rsidP="00F41CA0" w14:paraId="7A31F7E2" w14:textId="028373F4">
      <w:pPr>
        <w:ind w:firstLine="720"/>
        <w:rPr>
          <w:rFonts w:cs="Times New Roman"/>
          <w:szCs w:val="26"/>
        </w:rPr>
      </w:pPr>
      <w:r>
        <w:rPr>
          <w:rFonts w:cs="Times New Roman"/>
          <w:szCs w:val="26"/>
        </w:rPr>
        <w:t xml:space="preserve">We conclude </w:t>
      </w:r>
      <w:r w:rsidR="00023A9D">
        <w:rPr>
          <w:rFonts w:cs="Times New Roman"/>
          <w:szCs w:val="26"/>
        </w:rPr>
        <w:t xml:space="preserve">that the department </w:t>
      </w:r>
      <w:r>
        <w:rPr>
          <w:rFonts w:cs="Times New Roman"/>
          <w:szCs w:val="26"/>
        </w:rPr>
        <w:t xml:space="preserve">did not satisfy </w:t>
      </w:r>
      <w:r w:rsidR="0056497C">
        <w:rPr>
          <w:rFonts w:cs="Times New Roman"/>
          <w:szCs w:val="26"/>
        </w:rPr>
        <w:t>its</w:t>
      </w:r>
      <w:r>
        <w:rPr>
          <w:rFonts w:cs="Times New Roman"/>
          <w:szCs w:val="26"/>
        </w:rPr>
        <w:t xml:space="preserve"> duty</w:t>
      </w:r>
      <w:r w:rsidR="00023A9D">
        <w:rPr>
          <w:rFonts w:cs="Times New Roman"/>
          <w:szCs w:val="26"/>
        </w:rPr>
        <w:t xml:space="preserve"> of inquiry</w:t>
      </w:r>
      <w:r>
        <w:rPr>
          <w:rFonts w:cs="Times New Roman"/>
          <w:szCs w:val="26"/>
        </w:rPr>
        <w:t>, and that th</w:t>
      </w:r>
      <w:r w:rsidR="0056497C">
        <w:rPr>
          <w:rFonts w:cs="Times New Roman"/>
          <w:szCs w:val="26"/>
        </w:rPr>
        <w:t>e</w:t>
      </w:r>
      <w:r>
        <w:rPr>
          <w:rFonts w:cs="Times New Roman"/>
          <w:szCs w:val="26"/>
        </w:rPr>
        <w:t xml:space="preserve"> error was not harmless.</w:t>
      </w:r>
    </w:p>
    <w:p w:rsidR="002A79CD" w:rsidP="00F41CA0" w14:paraId="7107406E" w14:textId="1CEF3C48">
      <w:pPr>
        <w:ind w:firstLine="720"/>
        <w:rPr>
          <w:rFonts w:cs="Times New Roman"/>
          <w:szCs w:val="26"/>
        </w:rPr>
      </w:pPr>
      <w:r>
        <w:rPr>
          <w:rFonts w:cs="Times New Roman"/>
          <w:szCs w:val="26"/>
        </w:rPr>
        <w:t xml:space="preserve">There is no question the department failed to ask certain </w:t>
      </w:r>
      <w:r w:rsidR="00547091">
        <w:rPr>
          <w:rFonts w:cs="Times New Roman"/>
          <w:szCs w:val="26"/>
        </w:rPr>
        <w:t>readily available</w:t>
      </w:r>
      <w:r>
        <w:rPr>
          <w:rFonts w:cs="Times New Roman"/>
          <w:szCs w:val="26"/>
        </w:rPr>
        <w:t xml:space="preserve"> extended family members about the </w:t>
      </w:r>
      <w:r w:rsidR="004A3378">
        <w:rPr>
          <w:rFonts w:cs="Times New Roman"/>
          <w:szCs w:val="26"/>
        </w:rPr>
        <w:t>Samantha</w:t>
      </w:r>
      <w:r>
        <w:rPr>
          <w:rFonts w:cs="Times New Roman"/>
          <w:szCs w:val="26"/>
        </w:rPr>
        <w:t xml:space="preserve">’s potential Indian heritage. </w:t>
      </w:r>
      <w:r w:rsidR="00F45DDE">
        <w:rPr>
          <w:rFonts w:cs="Times New Roman"/>
          <w:szCs w:val="26"/>
        </w:rPr>
        <w:t xml:space="preserve"> </w:t>
      </w:r>
      <w:r w:rsidR="00547091">
        <w:rPr>
          <w:rFonts w:cs="Times New Roman"/>
          <w:szCs w:val="26"/>
        </w:rPr>
        <w:t xml:space="preserve">Many </w:t>
      </w:r>
      <w:r w:rsidR="002C2744">
        <w:rPr>
          <w:rFonts w:cs="Times New Roman"/>
          <w:szCs w:val="26"/>
        </w:rPr>
        <w:t xml:space="preserve">of </w:t>
      </w:r>
      <w:r w:rsidR="00F1176C">
        <w:rPr>
          <w:rFonts w:cs="Times New Roman"/>
          <w:szCs w:val="26"/>
        </w:rPr>
        <w:t xml:space="preserve">Samantha’s </w:t>
      </w:r>
      <w:r w:rsidR="00547091">
        <w:rPr>
          <w:rFonts w:cs="Times New Roman"/>
          <w:szCs w:val="26"/>
        </w:rPr>
        <w:t xml:space="preserve">paternal relatives were </w:t>
      </w:r>
      <w:r w:rsidR="00F1176C">
        <w:rPr>
          <w:rFonts w:cs="Times New Roman"/>
          <w:szCs w:val="26"/>
        </w:rPr>
        <w:t>heavily</w:t>
      </w:r>
      <w:r w:rsidR="00547091">
        <w:rPr>
          <w:rFonts w:cs="Times New Roman"/>
          <w:szCs w:val="26"/>
        </w:rPr>
        <w:t xml:space="preserve"> involved </w:t>
      </w:r>
      <w:r w:rsidR="00CA556C">
        <w:rPr>
          <w:rFonts w:cs="Times New Roman"/>
          <w:szCs w:val="26"/>
        </w:rPr>
        <w:t xml:space="preserve">in her dependency </w:t>
      </w:r>
      <w:r w:rsidR="00547091">
        <w:rPr>
          <w:rFonts w:cs="Times New Roman"/>
          <w:szCs w:val="26"/>
        </w:rPr>
        <w:t xml:space="preserve">and </w:t>
      </w:r>
      <w:r w:rsidR="00CA556C">
        <w:rPr>
          <w:rFonts w:cs="Times New Roman"/>
          <w:szCs w:val="26"/>
        </w:rPr>
        <w:t xml:space="preserve">thus </w:t>
      </w:r>
      <w:r w:rsidR="00547091">
        <w:rPr>
          <w:rFonts w:cs="Times New Roman"/>
          <w:szCs w:val="26"/>
        </w:rPr>
        <w:t xml:space="preserve">well known to the department.  </w:t>
      </w:r>
      <w:r w:rsidR="000E0CBD">
        <w:rPr>
          <w:rFonts w:cs="Times New Roman"/>
          <w:szCs w:val="26"/>
        </w:rPr>
        <w:t>The p</w:t>
      </w:r>
      <w:r w:rsidR="00A21BDE">
        <w:rPr>
          <w:rFonts w:cs="Times New Roman"/>
          <w:szCs w:val="26"/>
        </w:rPr>
        <w:t xml:space="preserve">aternal grandparents attended the detention hearing and </w:t>
      </w:r>
      <w:r w:rsidR="00416734">
        <w:rPr>
          <w:rFonts w:cs="Times New Roman"/>
          <w:szCs w:val="26"/>
        </w:rPr>
        <w:t>S</w:t>
      </w:r>
      <w:r w:rsidR="00834E05">
        <w:rPr>
          <w:rFonts w:cs="Times New Roman"/>
          <w:szCs w:val="26"/>
        </w:rPr>
        <w:t>amantha</w:t>
      </w:r>
      <w:r w:rsidR="00416734">
        <w:rPr>
          <w:rFonts w:cs="Times New Roman"/>
          <w:szCs w:val="26"/>
        </w:rPr>
        <w:t xml:space="preserve"> </w:t>
      </w:r>
      <w:r w:rsidR="009F713A">
        <w:rPr>
          <w:rFonts w:cs="Times New Roman"/>
          <w:szCs w:val="26"/>
        </w:rPr>
        <w:t>was placed</w:t>
      </w:r>
      <w:r w:rsidR="00416734">
        <w:rPr>
          <w:rFonts w:cs="Times New Roman"/>
          <w:szCs w:val="26"/>
        </w:rPr>
        <w:t xml:space="preserve"> with them for a time</w:t>
      </w:r>
      <w:r w:rsidR="00A21BDE">
        <w:rPr>
          <w:rFonts w:cs="Times New Roman"/>
          <w:szCs w:val="26"/>
        </w:rPr>
        <w:t xml:space="preserve">. </w:t>
      </w:r>
      <w:r w:rsidR="00F45DDE">
        <w:rPr>
          <w:rFonts w:cs="Times New Roman"/>
          <w:szCs w:val="26"/>
        </w:rPr>
        <w:t xml:space="preserve"> </w:t>
      </w:r>
      <w:r w:rsidR="00A21BDE">
        <w:rPr>
          <w:rFonts w:cs="Times New Roman"/>
          <w:szCs w:val="26"/>
        </w:rPr>
        <w:t xml:space="preserve">Three paternal relatives—two aunts and an uncle—appeared for the jurisdiction and disposition hearing, and one of those aunts also appeared for the detention hearing. </w:t>
      </w:r>
      <w:r w:rsidR="00F45DDE">
        <w:rPr>
          <w:rFonts w:cs="Times New Roman"/>
          <w:szCs w:val="26"/>
        </w:rPr>
        <w:t xml:space="preserve"> </w:t>
      </w:r>
      <w:r w:rsidR="00547091">
        <w:rPr>
          <w:rFonts w:cs="Times New Roman"/>
          <w:szCs w:val="26"/>
        </w:rPr>
        <w:t>Later</w:t>
      </w:r>
      <w:r w:rsidR="00A21BDE">
        <w:rPr>
          <w:rFonts w:cs="Times New Roman"/>
          <w:szCs w:val="26"/>
        </w:rPr>
        <w:t>, the department placed S</w:t>
      </w:r>
      <w:r w:rsidR="00834E05">
        <w:rPr>
          <w:rFonts w:cs="Times New Roman"/>
          <w:szCs w:val="26"/>
        </w:rPr>
        <w:t>amantha</w:t>
      </w:r>
      <w:r w:rsidR="00A21BDE">
        <w:rPr>
          <w:rFonts w:cs="Times New Roman"/>
          <w:szCs w:val="26"/>
        </w:rPr>
        <w:t xml:space="preserve"> with a paternal aunt, who became her </w:t>
      </w:r>
      <w:r w:rsidR="00547091">
        <w:rPr>
          <w:rFonts w:cs="Times New Roman"/>
          <w:szCs w:val="26"/>
        </w:rPr>
        <w:t>prospective adoptive parent</w:t>
      </w:r>
      <w:r w:rsidR="00A21BDE">
        <w:rPr>
          <w:rFonts w:cs="Times New Roman"/>
          <w:szCs w:val="26"/>
        </w:rPr>
        <w:t xml:space="preserve">. </w:t>
      </w:r>
      <w:r w:rsidR="00F45DDE">
        <w:rPr>
          <w:rFonts w:cs="Times New Roman"/>
          <w:szCs w:val="26"/>
        </w:rPr>
        <w:t xml:space="preserve"> </w:t>
      </w:r>
      <w:r w:rsidR="00547091">
        <w:rPr>
          <w:rFonts w:cs="Times New Roman"/>
          <w:szCs w:val="26"/>
        </w:rPr>
        <w:t>Nevertheless</w:t>
      </w:r>
      <w:r w:rsidR="00967A12">
        <w:rPr>
          <w:rFonts w:cs="Times New Roman"/>
          <w:szCs w:val="26"/>
        </w:rPr>
        <w:t xml:space="preserve">, there is no evidence of the department </w:t>
      </w:r>
      <w:r w:rsidR="00547091">
        <w:rPr>
          <w:rFonts w:cs="Times New Roman"/>
          <w:szCs w:val="26"/>
        </w:rPr>
        <w:t>asking these relatives whether S</w:t>
      </w:r>
      <w:r w:rsidR="00834E05">
        <w:rPr>
          <w:rFonts w:cs="Times New Roman"/>
          <w:szCs w:val="26"/>
        </w:rPr>
        <w:t>amantha</w:t>
      </w:r>
      <w:r w:rsidR="00547091">
        <w:rPr>
          <w:rFonts w:cs="Times New Roman"/>
          <w:szCs w:val="26"/>
        </w:rPr>
        <w:t xml:space="preserve"> may be an Indian child.</w:t>
      </w:r>
      <w:r w:rsidR="00967A12">
        <w:rPr>
          <w:rFonts w:cs="Times New Roman"/>
          <w:szCs w:val="26"/>
        </w:rPr>
        <w:t xml:space="preserve"> </w:t>
      </w:r>
      <w:r w:rsidR="00547091">
        <w:rPr>
          <w:rFonts w:cs="Times New Roman"/>
          <w:szCs w:val="26"/>
        </w:rPr>
        <w:t xml:space="preserve"> </w:t>
      </w:r>
      <w:r w:rsidR="00967A12">
        <w:rPr>
          <w:rFonts w:cs="Times New Roman"/>
          <w:szCs w:val="26"/>
        </w:rPr>
        <w:t xml:space="preserve">Nor did the department </w:t>
      </w:r>
      <w:r w:rsidR="00547091">
        <w:rPr>
          <w:rFonts w:cs="Times New Roman"/>
          <w:szCs w:val="26"/>
        </w:rPr>
        <w:t>ask</w:t>
      </w:r>
      <w:r w:rsidR="00967A12">
        <w:rPr>
          <w:rFonts w:cs="Times New Roman"/>
          <w:szCs w:val="26"/>
        </w:rPr>
        <w:t xml:space="preserve"> any maternal relatives other than mother herself</w:t>
      </w:r>
      <w:r w:rsidR="00E94F99">
        <w:rPr>
          <w:rFonts w:cs="Times New Roman"/>
          <w:szCs w:val="26"/>
        </w:rPr>
        <w:t>.</w:t>
      </w:r>
    </w:p>
    <w:p w:rsidR="00A310B3" w:rsidP="009710E8" w14:paraId="4C8F79D0" w14:textId="4063D8B4">
      <w:pPr>
        <w:ind w:firstLine="720"/>
        <w:rPr>
          <w:rFonts w:cs="Times New Roman"/>
          <w:szCs w:val="26"/>
        </w:rPr>
      </w:pPr>
      <w:r>
        <w:rPr>
          <w:rFonts w:cs="Times New Roman"/>
          <w:szCs w:val="26"/>
        </w:rPr>
        <w:t>Under these circumstances</w:t>
      </w:r>
      <w:r w:rsidR="00547091">
        <w:rPr>
          <w:rFonts w:cs="Times New Roman"/>
          <w:szCs w:val="26"/>
        </w:rPr>
        <w:t>, the ICWA error</w:t>
      </w:r>
      <w:r w:rsidRPr="00082E20" w:rsidR="00082E20">
        <w:rPr>
          <w:rFonts w:cs="Times New Roman"/>
          <w:szCs w:val="26"/>
        </w:rPr>
        <w:t xml:space="preserve"> was prejudicial. </w:t>
      </w:r>
      <w:r w:rsidR="00F45DDE">
        <w:rPr>
          <w:rFonts w:cs="Times New Roman"/>
          <w:szCs w:val="26"/>
        </w:rPr>
        <w:t xml:space="preserve"> </w:t>
      </w:r>
      <w:r w:rsidRPr="00082E20" w:rsidR="00082E20">
        <w:rPr>
          <w:rFonts w:cs="Times New Roman"/>
          <w:szCs w:val="26"/>
        </w:rPr>
        <w:t>When an appeal concerns “the agency’s duty of initial inquiry, only state law is involved.  Where a violation is of only state law, we may not reverse unless we find that the error was prejudicial.”  (</w:t>
      </w:r>
      <w:r w:rsidRPr="00082E20" w:rsidR="00082E20">
        <w:rPr>
          <w:rFonts w:cs="Times New Roman"/>
          <w:i/>
          <w:iCs/>
          <w:szCs w:val="26"/>
        </w:rPr>
        <w:t>Benjamin M</w:t>
      </w:r>
      <w:r w:rsidRPr="00082E20" w:rsidR="00082E20">
        <w:rPr>
          <w:rFonts w:cs="Times New Roman"/>
          <w:szCs w:val="26"/>
        </w:rPr>
        <w:t xml:space="preserve">., </w:t>
      </w:r>
      <w:r w:rsidRPr="00082E20" w:rsidR="00082E20">
        <w:rPr>
          <w:rFonts w:cs="Times New Roman"/>
          <w:i/>
          <w:iCs/>
          <w:szCs w:val="26"/>
        </w:rPr>
        <w:t>supra</w:t>
      </w:r>
      <w:r w:rsidRPr="00082E20" w:rsidR="00082E20">
        <w:rPr>
          <w:rFonts w:cs="Times New Roman"/>
          <w:szCs w:val="26"/>
        </w:rPr>
        <w:t>, 70 Cal.App.5th at p. 742, italics omitted.)</w:t>
      </w:r>
      <w:r w:rsidR="009E7C66">
        <w:rPr>
          <w:rFonts w:cs="Times New Roman"/>
          <w:szCs w:val="26"/>
        </w:rPr>
        <w:t xml:space="preserve"> </w:t>
      </w:r>
      <w:r w:rsidR="00F45DDE">
        <w:rPr>
          <w:rFonts w:cs="Times New Roman"/>
          <w:szCs w:val="26"/>
        </w:rPr>
        <w:t xml:space="preserve"> </w:t>
      </w:r>
      <w:r w:rsidRPr="005A1AA9" w:rsidR="005A1AA9">
        <w:rPr>
          <w:rFonts w:cs="Times New Roman"/>
          <w:szCs w:val="26"/>
        </w:rPr>
        <w:t xml:space="preserve">There </w:t>
      </w:r>
      <w:r w:rsidR="008D11D7">
        <w:rPr>
          <w:rFonts w:cs="Times New Roman"/>
          <w:szCs w:val="26"/>
        </w:rPr>
        <w:t>is</w:t>
      </w:r>
      <w:r w:rsidR="005A1AA9">
        <w:rPr>
          <w:rFonts w:cs="Times New Roman"/>
          <w:szCs w:val="26"/>
        </w:rPr>
        <w:t xml:space="preserve"> </w:t>
      </w:r>
      <w:r w:rsidRPr="005A1AA9" w:rsidR="005A1AA9">
        <w:rPr>
          <w:rFonts w:cs="Times New Roman"/>
          <w:szCs w:val="26"/>
        </w:rPr>
        <w:t xml:space="preserve">a split of authority among the Courts of Appeal regarding </w:t>
      </w:r>
      <w:r w:rsidR="005A1AA9">
        <w:rPr>
          <w:rFonts w:cs="Times New Roman"/>
          <w:szCs w:val="26"/>
        </w:rPr>
        <w:t>the standard for evaluating whether an ICWA inquiry error was prejudicial</w:t>
      </w:r>
      <w:r w:rsidRPr="005A1AA9" w:rsidR="005A1AA9">
        <w:rPr>
          <w:rFonts w:cs="Times New Roman"/>
          <w:szCs w:val="26"/>
        </w:rPr>
        <w:t>.</w:t>
      </w:r>
      <w:r w:rsidR="00F45DDE">
        <w:rPr>
          <w:rFonts w:cs="Times New Roman"/>
          <w:szCs w:val="26"/>
        </w:rPr>
        <w:t xml:space="preserve"> </w:t>
      </w:r>
      <w:r w:rsidRPr="005A1AA9" w:rsidR="005A1AA9">
        <w:t xml:space="preserve"> </w:t>
      </w:r>
      <w:r w:rsidR="005A1AA9">
        <w:t>(</w:t>
      </w:r>
      <w:r w:rsidRPr="005A1AA9" w:rsidR="005A1AA9">
        <w:rPr>
          <w:rFonts w:cs="Times New Roman"/>
          <w:szCs w:val="26"/>
        </w:rPr>
        <w:t xml:space="preserve">See </w:t>
      </w:r>
      <w:r w:rsidRPr="00644D13" w:rsidR="005A1AA9">
        <w:rPr>
          <w:rFonts w:cs="Times New Roman"/>
          <w:i/>
          <w:iCs/>
          <w:szCs w:val="26"/>
        </w:rPr>
        <w:t>In re K.H.</w:t>
      </w:r>
      <w:r w:rsidRPr="005A1AA9" w:rsidR="005A1AA9">
        <w:rPr>
          <w:rFonts w:cs="Times New Roman"/>
          <w:szCs w:val="26"/>
        </w:rPr>
        <w:t xml:space="preserve"> (2022) 84 Cal.App.5th 566, 611-618 [summarizing the </w:t>
      </w:r>
      <w:r w:rsidR="005A1AA9">
        <w:rPr>
          <w:rFonts w:cs="Times New Roman"/>
          <w:szCs w:val="26"/>
        </w:rPr>
        <w:t xml:space="preserve">various </w:t>
      </w:r>
      <w:r w:rsidRPr="005A1AA9" w:rsidR="005A1AA9">
        <w:rPr>
          <w:rFonts w:cs="Times New Roman"/>
          <w:szCs w:val="26"/>
        </w:rPr>
        <w:t>approaches].)</w:t>
      </w:r>
      <w:r w:rsidR="00F45DDE">
        <w:rPr>
          <w:rFonts w:cs="Times New Roman"/>
          <w:szCs w:val="26"/>
        </w:rPr>
        <w:t xml:space="preserve"> </w:t>
      </w:r>
      <w:r w:rsidR="005A1AA9">
        <w:rPr>
          <w:rFonts w:cs="Times New Roman"/>
          <w:szCs w:val="26"/>
        </w:rPr>
        <w:t xml:space="preserve"> </w:t>
      </w:r>
      <w:r w:rsidR="00DA4013">
        <w:rPr>
          <w:rFonts w:cs="Times New Roman"/>
          <w:szCs w:val="26"/>
        </w:rPr>
        <w:t>Our</w:t>
      </w:r>
      <w:r w:rsidRPr="005A1AA9" w:rsidR="005A1AA9">
        <w:rPr>
          <w:rFonts w:cs="Times New Roman"/>
          <w:szCs w:val="26"/>
        </w:rPr>
        <w:t xml:space="preserve"> Supreme Court has granted review on the issue in </w:t>
      </w:r>
      <w:r w:rsidRPr="00644D13" w:rsidR="005A1AA9">
        <w:rPr>
          <w:rFonts w:cs="Times New Roman"/>
          <w:i/>
          <w:iCs/>
          <w:szCs w:val="26"/>
        </w:rPr>
        <w:t>In re Dezi C.</w:t>
      </w:r>
      <w:r w:rsidRPr="005A1AA9" w:rsidR="005A1AA9">
        <w:rPr>
          <w:rFonts w:cs="Times New Roman"/>
          <w:szCs w:val="26"/>
        </w:rPr>
        <w:t xml:space="preserve"> (2022) 79 Cal.App.5th 769, review granted September 21, 2022, S275578.</w:t>
      </w:r>
    </w:p>
    <w:p w:rsidR="00A310B3" w:rsidP="009710E8" w14:paraId="0E4E5CC2" w14:textId="4A63DD79">
      <w:pPr>
        <w:ind w:firstLine="720"/>
        <w:rPr>
          <w:rFonts w:cs="Times New Roman"/>
          <w:szCs w:val="26"/>
        </w:rPr>
      </w:pPr>
      <w:r>
        <w:rPr>
          <w:rFonts w:cs="Times New Roman"/>
          <w:szCs w:val="26"/>
        </w:rPr>
        <w:t>Absent</w:t>
      </w:r>
      <w:r w:rsidR="005A1AA9">
        <w:rPr>
          <w:rFonts w:cs="Times New Roman"/>
          <w:szCs w:val="26"/>
        </w:rPr>
        <w:t xml:space="preserve"> further guidance, we </w:t>
      </w:r>
      <w:r>
        <w:rPr>
          <w:rFonts w:cs="Times New Roman"/>
          <w:szCs w:val="26"/>
        </w:rPr>
        <w:t>will apply</w:t>
      </w:r>
      <w:r w:rsidR="005A1AA9">
        <w:rPr>
          <w:rFonts w:cs="Times New Roman"/>
          <w:szCs w:val="26"/>
        </w:rPr>
        <w:t xml:space="preserve"> the </w:t>
      </w:r>
      <w:r w:rsidR="002511AA">
        <w:rPr>
          <w:rFonts w:cs="Times New Roman"/>
          <w:szCs w:val="26"/>
        </w:rPr>
        <w:t xml:space="preserve">standard </w:t>
      </w:r>
      <w:r w:rsidR="00BA56A2">
        <w:rPr>
          <w:rFonts w:cs="Times New Roman"/>
          <w:szCs w:val="26"/>
        </w:rPr>
        <w:t>adopted</w:t>
      </w:r>
      <w:r w:rsidR="002511AA">
        <w:rPr>
          <w:rFonts w:cs="Times New Roman"/>
          <w:szCs w:val="26"/>
        </w:rPr>
        <w:t xml:space="preserve"> in</w:t>
      </w:r>
      <w:r w:rsidR="005A1AA9">
        <w:rPr>
          <w:rFonts w:cs="Times New Roman"/>
          <w:szCs w:val="26"/>
        </w:rPr>
        <w:t xml:space="preserve"> </w:t>
      </w:r>
      <w:r w:rsidR="005A1AA9">
        <w:rPr>
          <w:rFonts w:cs="Times New Roman"/>
          <w:i/>
          <w:iCs/>
          <w:szCs w:val="26"/>
        </w:rPr>
        <w:t>Benjamin M.</w:t>
      </w:r>
      <w:r w:rsidRPr="00082E20" w:rsidR="00082E20">
        <w:rPr>
          <w:rFonts w:cs="Times New Roman"/>
          <w:szCs w:val="26"/>
        </w:rPr>
        <w:t xml:space="preserve"> </w:t>
      </w:r>
      <w:r w:rsidR="005A1AA9">
        <w:rPr>
          <w:rFonts w:cs="Times New Roman"/>
          <w:szCs w:val="26"/>
        </w:rPr>
        <w:t xml:space="preserve">Under </w:t>
      </w:r>
      <w:r w:rsidR="009E7C66">
        <w:rPr>
          <w:rFonts w:cs="Times New Roman"/>
          <w:i/>
          <w:iCs/>
          <w:szCs w:val="26"/>
        </w:rPr>
        <w:t>Benjamin M.</w:t>
      </w:r>
      <w:r w:rsidR="009E7C66">
        <w:rPr>
          <w:rFonts w:cs="Times New Roman"/>
          <w:szCs w:val="26"/>
        </w:rPr>
        <w:t>, we</w:t>
      </w:r>
      <w:r w:rsidR="002B13EA">
        <w:rPr>
          <w:rFonts w:cs="Times New Roman"/>
          <w:szCs w:val="26"/>
        </w:rPr>
        <w:t xml:space="preserve"> must remand</w:t>
      </w:r>
      <w:r w:rsidRPr="00082E20" w:rsidR="00082E20">
        <w:rPr>
          <w:rFonts w:cs="Times New Roman"/>
          <w:szCs w:val="26"/>
        </w:rPr>
        <w:t xml:space="preserve"> </w:t>
      </w:r>
      <w:r w:rsidR="002B13EA">
        <w:rPr>
          <w:rFonts w:cs="Times New Roman"/>
          <w:szCs w:val="26"/>
        </w:rPr>
        <w:t>“</w:t>
      </w:r>
      <w:r w:rsidRPr="00082E20" w:rsidR="00082E20">
        <w:rPr>
          <w:rFonts w:cs="Times New Roman"/>
          <w:szCs w:val="26"/>
        </w:rPr>
        <w:t>where the record demonstrates that the agency has not only failed in its duty of initial inquiry, but where the record indicates that there was readily obtainable information that was likely to bear meaningfully upon whether the child is an Indian child.”  (</w:t>
      </w:r>
      <w:r w:rsidR="00F45DDE">
        <w:rPr>
          <w:rFonts w:cs="Times New Roman"/>
          <w:i/>
          <w:iCs/>
          <w:szCs w:val="26"/>
        </w:rPr>
        <w:t>Benjamin M.</w:t>
      </w:r>
      <w:r w:rsidRPr="00F45DDE" w:rsidR="00F45DDE">
        <w:rPr>
          <w:rFonts w:cs="Times New Roman"/>
          <w:szCs w:val="26"/>
        </w:rPr>
        <w:t>,</w:t>
      </w:r>
      <w:r w:rsidR="00F45DDE">
        <w:rPr>
          <w:rFonts w:cs="Times New Roman"/>
          <w:i/>
          <w:iCs/>
          <w:szCs w:val="26"/>
        </w:rPr>
        <w:t xml:space="preserve"> supra</w:t>
      </w:r>
      <w:r w:rsidRPr="00F45DDE" w:rsidR="00F45DDE">
        <w:rPr>
          <w:rFonts w:cs="Times New Roman"/>
          <w:szCs w:val="26"/>
        </w:rPr>
        <w:t>,</w:t>
      </w:r>
      <w:r w:rsidR="00F45DDE">
        <w:rPr>
          <w:rFonts w:cs="Times New Roman"/>
          <w:i/>
          <w:iCs/>
          <w:szCs w:val="26"/>
        </w:rPr>
        <w:t xml:space="preserve"> </w:t>
      </w:r>
      <w:r w:rsidRPr="00104C30" w:rsidR="00F45DDE">
        <w:t xml:space="preserve">70 Cal.App.5th </w:t>
      </w:r>
      <w:r w:rsidRPr="00082E20" w:rsidR="00082E20">
        <w:rPr>
          <w:rFonts w:cs="Times New Roman"/>
          <w:szCs w:val="26"/>
        </w:rPr>
        <w:t>at p.</w:t>
      </w:r>
      <w:r w:rsidR="00D155D5">
        <w:rPr>
          <w:rFonts w:cs="Times New Roman"/>
          <w:szCs w:val="26"/>
        </w:rPr>
        <w:t> </w:t>
      </w:r>
      <w:r w:rsidRPr="00082E20" w:rsidR="00082E20">
        <w:rPr>
          <w:rFonts w:cs="Times New Roman"/>
          <w:szCs w:val="26"/>
        </w:rPr>
        <w:t>744.)</w:t>
      </w:r>
      <w:r w:rsidR="009E7C66">
        <w:rPr>
          <w:rFonts w:cs="Times New Roman"/>
          <w:szCs w:val="26"/>
        </w:rPr>
        <w:t xml:space="preserve">  </w:t>
      </w:r>
      <w:r w:rsidR="002511AA">
        <w:rPr>
          <w:rFonts w:cs="Times New Roman"/>
          <w:szCs w:val="26"/>
        </w:rPr>
        <w:t>In some cases,</w:t>
      </w:r>
      <w:r w:rsidR="00D02511">
        <w:rPr>
          <w:rFonts w:cs="Times New Roman"/>
          <w:szCs w:val="26"/>
        </w:rPr>
        <w:t xml:space="preserve"> a thorough, but not perfect, inquiry can suffice for a reliable determination, despite some omissions.  (See </w:t>
      </w:r>
      <w:r w:rsidR="00D02511">
        <w:rPr>
          <w:rFonts w:cs="Times New Roman"/>
          <w:i/>
          <w:iCs/>
          <w:szCs w:val="26"/>
        </w:rPr>
        <w:t>In re Rylei S.</w:t>
      </w:r>
      <w:r w:rsidR="00D02511">
        <w:rPr>
          <w:rFonts w:cs="Times New Roman"/>
          <w:szCs w:val="26"/>
        </w:rPr>
        <w:t xml:space="preserve"> (2022) 81 </w:t>
      </w:r>
      <w:r w:rsidRPr="00D02511" w:rsidR="00D02511">
        <w:rPr>
          <w:rFonts w:cs="Times New Roman"/>
          <w:szCs w:val="26"/>
        </w:rPr>
        <w:t>Cal.App.5th 309, 325 [discussing hypothetical where agency “interviews the maternal grandfather; several, but not all of his four siblings; and the maternal grandfather</w:t>
      </w:r>
      <w:r w:rsidR="007266CB">
        <w:rPr>
          <w:rFonts w:cs="Times New Roman"/>
          <w:szCs w:val="26"/>
        </w:rPr>
        <w:t>’</w:t>
      </w:r>
      <w:r w:rsidRPr="00D02511" w:rsidR="00D02511">
        <w:rPr>
          <w:rFonts w:cs="Times New Roman"/>
          <w:szCs w:val="26"/>
        </w:rPr>
        <w:t>s surviving parent, none of whom indicates the family has any Indian ancestry,” and concluding that the “failure to interview the grandfather</w:t>
      </w:r>
      <w:r w:rsidR="007266CB">
        <w:rPr>
          <w:rFonts w:cs="Times New Roman"/>
          <w:szCs w:val="26"/>
        </w:rPr>
        <w:t>’</w:t>
      </w:r>
      <w:r w:rsidRPr="00D02511" w:rsidR="00D02511">
        <w:rPr>
          <w:rFonts w:cs="Times New Roman"/>
          <w:szCs w:val="26"/>
        </w:rPr>
        <w:t>s remaining siblings would certainly be harmless absent some additional unusual circumstance”].)</w:t>
      </w:r>
      <w:r w:rsidR="00D02511">
        <w:rPr>
          <w:rFonts w:cs="Times New Roman"/>
          <w:szCs w:val="26"/>
        </w:rPr>
        <w:t xml:space="preserve">  Here, however, the department did not extend its ICWA inquiry to </w:t>
      </w:r>
      <w:r w:rsidR="00D02511">
        <w:rPr>
          <w:rFonts w:cs="Times New Roman"/>
          <w:i/>
          <w:iCs/>
          <w:szCs w:val="26"/>
        </w:rPr>
        <w:t>any</w:t>
      </w:r>
      <w:r w:rsidR="00D02511">
        <w:rPr>
          <w:rFonts w:cs="Times New Roman"/>
          <w:szCs w:val="26"/>
        </w:rPr>
        <w:t xml:space="preserve"> relatives other than mother and father</w:t>
      </w:r>
      <w:r w:rsidR="00B91B68">
        <w:rPr>
          <w:rFonts w:cs="Times New Roman"/>
          <w:szCs w:val="26"/>
        </w:rPr>
        <w:t xml:space="preserve">, even though </w:t>
      </w:r>
      <w:r w:rsidR="00782528">
        <w:rPr>
          <w:rFonts w:cs="Times New Roman"/>
          <w:szCs w:val="26"/>
        </w:rPr>
        <w:t>v</w:t>
      </w:r>
      <w:r w:rsidR="00785EA7">
        <w:t xml:space="preserve">arious paternal relatives had attended hearings and acted as caregivers for Samantha during the 31 proceedings. </w:t>
      </w:r>
      <w:r w:rsidR="002C2744">
        <w:t xml:space="preserve"> </w:t>
      </w:r>
      <w:r w:rsidR="00785EA7">
        <w:t>Those family members were readily available and will have information about whether Samantha is an Indian child.</w:t>
      </w:r>
    </w:p>
    <w:p w:rsidR="00967A12" w:rsidP="009710E8" w14:paraId="0BDF36D9" w14:textId="0D7315BF">
      <w:pPr>
        <w:ind w:firstLine="720"/>
        <w:rPr>
          <w:rFonts w:cs="Times New Roman"/>
          <w:szCs w:val="26"/>
        </w:rPr>
      </w:pPr>
      <w:r>
        <w:rPr>
          <w:rFonts w:cs="Times New Roman"/>
          <w:szCs w:val="26"/>
        </w:rPr>
        <w:t>Accordingly, we must remand with instructions for the court and the department to complete th</w:t>
      </w:r>
      <w:r w:rsidR="00D02511">
        <w:rPr>
          <w:rFonts w:cs="Times New Roman"/>
          <w:szCs w:val="26"/>
        </w:rPr>
        <w:t>e ICWA</w:t>
      </w:r>
      <w:r>
        <w:rPr>
          <w:rFonts w:cs="Times New Roman"/>
          <w:szCs w:val="26"/>
        </w:rPr>
        <w:t xml:space="preserve"> inquiry</w:t>
      </w:r>
      <w:r w:rsidR="00D02511">
        <w:rPr>
          <w:rFonts w:cs="Times New Roman"/>
          <w:szCs w:val="26"/>
        </w:rPr>
        <w:t>.</w:t>
      </w:r>
    </w:p>
    <w:p w:rsidR="003D0BDC" w:rsidRPr="003D0BDC" w:rsidP="003D0BDC" w14:paraId="63906631" w14:textId="77777777">
      <w:pPr>
        <w:ind w:firstLine="720"/>
        <w:rPr>
          <w:rFonts w:cs="Times New Roman"/>
          <w:szCs w:val="26"/>
        </w:rPr>
      </w:pPr>
      <w:r w:rsidRPr="003D0BDC">
        <w:rPr>
          <w:rFonts w:cs="Times New Roman"/>
          <w:szCs w:val="26"/>
        </w:rPr>
        <w:t xml:space="preserve">5.  </w:t>
      </w:r>
      <w:r w:rsidRPr="003D0BDC">
        <w:rPr>
          <w:rFonts w:cs="Times New Roman"/>
          <w:i/>
          <w:iCs/>
          <w:szCs w:val="26"/>
        </w:rPr>
        <w:t>The Dissent</w:t>
      </w:r>
    </w:p>
    <w:p w:rsidR="003D0BDC" w:rsidRPr="003D0BDC" w:rsidP="003D0BDC" w14:paraId="35AD64A8" w14:textId="713C2EAA">
      <w:pPr>
        <w:ind w:firstLine="720"/>
        <w:rPr>
          <w:rFonts w:cs="Times New Roman"/>
          <w:szCs w:val="26"/>
        </w:rPr>
      </w:pPr>
      <w:r>
        <w:rPr>
          <w:rFonts w:cs="Times New Roman"/>
          <w:szCs w:val="26"/>
        </w:rPr>
        <w:t>The dissent’s view</w:t>
      </w:r>
      <w:r w:rsidRPr="003D0BDC">
        <w:rPr>
          <w:rFonts w:cs="Times New Roman"/>
          <w:szCs w:val="26"/>
        </w:rPr>
        <w:t xml:space="preserve"> </w:t>
      </w:r>
      <w:r w:rsidR="00A96F9E">
        <w:rPr>
          <w:rFonts w:cs="Times New Roman"/>
          <w:szCs w:val="26"/>
        </w:rPr>
        <w:t xml:space="preserve">is </w:t>
      </w:r>
      <w:r w:rsidRPr="003D0BDC">
        <w:rPr>
          <w:rFonts w:cs="Times New Roman"/>
          <w:szCs w:val="26"/>
        </w:rPr>
        <w:t xml:space="preserve">that our Legislature </w:t>
      </w:r>
      <w:r w:rsidRPr="00BB7A2E">
        <w:rPr>
          <w:rFonts w:cs="Times New Roman"/>
          <w:szCs w:val="26"/>
        </w:rPr>
        <w:t>intended</w:t>
      </w:r>
      <w:r w:rsidRPr="003D0BDC">
        <w:rPr>
          <w:rFonts w:cs="Times New Roman"/>
          <w:szCs w:val="26"/>
        </w:rPr>
        <w:t xml:space="preserve"> different ICWA initial inquiry duties for children removed from their parents with a warrant and those removed without one.</w:t>
      </w:r>
      <w:r>
        <w:rPr>
          <w:rFonts w:cs="Times New Roman"/>
          <w:szCs w:val="26"/>
        </w:rPr>
        <w:t xml:space="preserve">  </w:t>
      </w:r>
      <w:r w:rsidRPr="003D0BDC">
        <w:rPr>
          <w:rFonts w:cs="Times New Roman"/>
          <w:szCs w:val="26"/>
        </w:rPr>
        <w:t>This means that if a child is removed without a warrant, the Department will, for the rest of the dependency, have an inquiry duty to ask extended family members whether the child is Indian.  But if on the same day a different child is removed by warrant, the Department will have no such initial inquiry duty.</w:t>
      </w:r>
    </w:p>
    <w:p w:rsidR="003D0BDC" w:rsidRPr="003D0BDC" w:rsidP="003D0BDC" w14:paraId="57FB485D" w14:textId="263B0F02">
      <w:pPr>
        <w:ind w:firstLine="720"/>
        <w:rPr>
          <w:rFonts w:cs="Times New Roman"/>
          <w:szCs w:val="26"/>
        </w:rPr>
      </w:pPr>
      <w:r>
        <w:rPr>
          <w:rFonts w:cs="Times New Roman"/>
          <w:szCs w:val="26"/>
        </w:rPr>
        <w:t>By contrast,</w:t>
      </w:r>
      <w:r w:rsidRPr="003D0BDC">
        <w:rPr>
          <w:rFonts w:cs="Times New Roman"/>
          <w:szCs w:val="26"/>
        </w:rPr>
        <w:t xml:space="preserve"> our view is that the Legislature intended </w:t>
      </w:r>
      <w:r w:rsidRPr="00B440C6">
        <w:rPr>
          <w:rFonts w:cs="Times New Roman"/>
          <w:szCs w:val="26"/>
        </w:rPr>
        <w:t>every</w:t>
      </w:r>
      <w:r w:rsidRPr="003D0BDC">
        <w:rPr>
          <w:rFonts w:cs="Times New Roman"/>
          <w:szCs w:val="26"/>
        </w:rPr>
        <w:t xml:space="preserve"> child removed from their parents in a dependency to be subject to the </w:t>
      </w:r>
      <w:r w:rsidRPr="00B440C6">
        <w:rPr>
          <w:rFonts w:cs="Times New Roman"/>
          <w:i/>
          <w:iCs/>
          <w:szCs w:val="26"/>
        </w:rPr>
        <w:t>same</w:t>
      </w:r>
      <w:r w:rsidRPr="003D0BDC">
        <w:rPr>
          <w:rFonts w:cs="Times New Roman"/>
          <w:szCs w:val="26"/>
        </w:rPr>
        <w:t xml:space="preserve"> initial inquiry</w:t>
      </w:r>
      <w:r>
        <w:rPr>
          <w:rFonts w:cs="Times New Roman"/>
          <w:szCs w:val="26"/>
        </w:rPr>
        <w:t>; w</w:t>
      </w:r>
      <w:r w:rsidRPr="003D0BDC">
        <w:rPr>
          <w:rFonts w:cs="Times New Roman"/>
          <w:szCs w:val="26"/>
        </w:rPr>
        <w:t>hether the child is removed by warrant has no connection to the inquiry required.</w:t>
      </w:r>
      <w:r w:rsidR="00BB7A2E">
        <w:rPr>
          <w:rFonts w:cs="Times New Roman"/>
          <w:szCs w:val="26"/>
        </w:rPr>
        <w:t xml:space="preserve">  This is not “disparate treatment” of children</w:t>
      </w:r>
      <w:r w:rsidR="008808B1">
        <w:rPr>
          <w:rFonts w:cs="Times New Roman"/>
          <w:szCs w:val="26"/>
        </w:rPr>
        <w:t xml:space="preserve">.  </w:t>
      </w:r>
      <w:r w:rsidRPr="003D0BDC" w:rsidR="00BB7A2E">
        <w:rPr>
          <w:rFonts w:cs="Times New Roman"/>
          <w:szCs w:val="26"/>
        </w:rPr>
        <w:t>(</w:t>
      </w:r>
      <w:r w:rsidR="00BB7A2E">
        <w:rPr>
          <w:rFonts w:cs="Times New Roman"/>
          <w:szCs w:val="26"/>
        </w:rPr>
        <w:t xml:space="preserve">Dis. &amp; conc. opn. of Fields, J., </w:t>
      </w:r>
      <w:r w:rsidRPr="003D0BDC" w:rsidR="00BB7A2E">
        <w:rPr>
          <w:rFonts w:cs="Times New Roman"/>
          <w:i/>
          <w:iCs/>
          <w:szCs w:val="26"/>
        </w:rPr>
        <w:t>post</w:t>
      </w:r>
      <w:r w:rsidRPr="003D0BDC" w:rsidR="00BB7A2E">
        <w:rPr>
          <w:rFonts w:cs="Times New Roman"/>
          <w:szCs w:val="26"/>
        </w:rPr>
        <w:t>, at p. 7</w:t>
      </w:r>
      <w:r w:rsidR="00E75D27">
        <w:rPr>
          <w:rFonts w:cs="Times New Roman"/>
          <w:szCs w:val="26"/>
        </w:rPr>
        <w:t xml:space="preserve"> (Dis)</w:t>
      </w:r>
      <w:r w:rsidR="00BB7A2E">
        <w:rPr>
          <w:rFonts w:cs="Times New Roman"/>
          <w:szCs w:val="26"/>
        </w:rPr>
        <w:t>.</w:t>
      </w:r>
      <w:r w:rsidRPr="003D0BDC" w:rsidR="00BB7A2E">
        <w:rPr>
          <w:rFonts w:cs="Times New Roman"/>
          <w:szCs w:val="26"/>
        </w:rPr>
        <w:t>)</w:t>
      </w:r>
      <w:r w:rsidR="008808B1">
        <w:rPr>
          <w:rFonts w:cs="Times New Roman"/>
          <w:szCs w:val="26"/>
        </w:rPr>
        <w:t xml:space="preserve">  Quite the opposite.  Moreover, w</w:t>
      </w:r>
      <w:r>
        <w:rPr>
          <w:rFonts w:cs="Times New Roman"/>
          <w:szCs w:val="26"/>
        </w:rPr>
        <w:t>e believe o</w:t>
      </w:r>
      <w:r w:rsidRPr="003D0BDC">
        <w:rPr>
          <w:rFonts w:cs="Times New Roman"/>
          <w:szCs w:val="26"/>
        </w:rPr>
        <w:t xml:space="preserve">ur view aligns with federal ICWA’s standards, as ICWA requirements for the removal of an Indian child are unaffected by whether a warrant is used.  Our view </w:t>
      </w:r>
      <w:r>
        <w:rPr>
          <w:rFonts w:cs="Times New Roman"/>
          <w:szCs w:val="26"/>
        </w:rPr>
        <w:t>also aligns with r</w:t>
      </w:r>
      <w:r w:rsidRPr="003D0BDC">
        <w:rPr>
          <w:rFonts w:cs="Times New Roman"/>
          <w:szCs w:val="26"/>
        </w:rPr>
        <w:t>ule</w:t>
      </w:r>
      <w:r w:rsidR="005C7619">
        <w:rPr>
          <w:rFonts w:cs="Times New Roman"/>
          <w:szCs w:val="26"/>
        </w:rPr>
        <w:t> </w:t>
      </w:r>
      <w:r w:rsidRPr="003D0BDC">
        <w:rPr>
          <w:rFonts w:cs="Times New Roman"/>
          <w:szCs w:val="26"/>
        </w:rPr>
        <w:t xml:space="preserve">5.481(a)(1), which requires the same initial inquiry for any child being removed.  </w:t>
      </w:r>
      <w:r>
        <w:rPr>
          <w:rFonts w:cs="Times New Roman"/>
          <w:szCs w:val="26"/>
        </w:rPr>
        <w:t>Indeed, t</w:t>
      </w:r>
      <w:r w:rsidRPr="003D0BDC">
        <w:rPr>
          <w:rFonts w:cs="Times New Roman"/>
          <w:szCs w:val="26"/>
        </w:rPr>
        <w:t xml:space="preserve">he caselaw the dissent follows </w:t>
      </w:r>
      <w:r>
        <w:rPr>
          <w:rFonts w:cs="Times New Roman"/>
          <w:szCs w:val="26"/>
        </w:rPr>
        <w:t xml:space="preserve">must </w:t>
      </w:r>
      <w:r w:rsidRPr="003D0BDC">
        <w:rPr>
          <w:rFonts w:cs="Times New Roman"/>
          <w:szCs w:val="26"/>
        </w:rPr>
        <w:t>“disapprove</w:t>
      </w:r>
      <w:r w:rsidR="006227EB">
        <w:rPr>
          <w:rFonts w:cs="Times New Roman"/>
          <w:szCs w:val="26"/>
        </w:rPr>
        <w:t>[]</w:t>
      </w:r>
      <w:r w:rsidRPr="003D0BDC">
        <w:rPr>
          <w:rFonts w:cs="Times New Roman"/>
          <w:szCs w:val="26"/>
        </w:rPr>
        <w:t xml:space="preserve">” that rule because it cannot be reconciled with those cases’ conclusion that the Legislature </w:t>
      </w:r>
      <w:r w:rsidRPr="00B440C6">
        <w:rPr>
          <w:rFonts w:cs="Times New Roman"/>
          <w:i/>
          <w:iCs/>
          <w:szCs w:val="26"/>
        </w:rPr>
        <w:t>wanted</w:t>
      </w:r>
      <w:r w:rsidRPr="003D0BDC">
        <w:rPr>
          <w:rFonts w:cs="Times New Roman"/>
          <w:szCs w:val="26"/>
        </w:rPr>
        <w:t xml:space="preserve"> disparate treatment of children based on how they are removed.  (</w:t>
      </w:r>
      <w:r w:rsidRPr="003D0BDC">
        <w:rPr>
          <w:rFonts w:cs="Times New Roman"/>
          <w:i/>
          <w:iCs/>
          <w:szCs w:val="26"/>
        </w:rPr>
        <w:t>Andres R</w:t>
      </w:r>
      <w:r w:rsidRPr="003D0BDC">
        <w:rPr>
          <w:rFonts w:cs="Times New Roman"/>
          <w:szCs w:val="26"/>
        </w:rPr>
        <w:t xml:space="preserve">. </w:t>
      </w:r>
      <w:r w:rsidRPr="003D0BDC">
        <w:rPr>
          <w:rFonts w:cs="Times New Roman"/>
          <w:i/>
          <w:iCs/>
          <w:szCs w:val="26"/>
        </w:rPr>
        <w:t>supra</w:t>
      </w:r>
      <w:r w:rsidRPr="003D0BDC">
        <w:rPr>
          <w:rFonts w:cs="Times New Roman"/>
          <w:szCs w:val="26"/>
        </w:rPr>
        <w:t>, 94 Cal.App.5th at p. 854.)</w:t>
      </w:r>
      <w:r>
        <w:rPr>
          <w:rFonts w:cs="Times New Roman"/>
          <w:szCs w:val="26"/>
        </w:rPr>
        <w:t xml:space="preserve"> </w:t>
      </w:r>
    </w:p>
    <w:p w:rsidR="003D0BDC" w:rsidRPr="003D0BDC" w:rsidP="003D0BDC" w14:paraId="5E13EEA0" w14:textId="3ED0AF4C">
      <w:pPr>
        <w:ind w:firstLine="720"/>
        <w:rPr>
          <w:rFonts w:cs="Times New Roman"/>
          <w:szCs w:val="26"/>
        </w:rPr>
      </w:pPr>
      <w:r w:rsidRPr="003D0BDC">
        <w:rPr>
          <w:rFonts w:cs="Times New Roman"/>
          <w:szCs w:val="26"/>
        </w:rPr>
        <w:t xml:space="preserve">Subdivision (c) of section 340 requires children taken into custody by warrant to be delivered to a social worker, stating that the worker shall follow the same provision that applies to children removed without warrants and investigate and attempt to maintain the child with the family.  Other types of warrants, in contrast, might require the subject of the warrant delivered to court.  The dissent </w:t>
      </w:r>
      <w:r w:rsidR="00251A28">
        <w:rPr>
          <w:rFonts w:cs="Times New Roman"/>
          <w:szCs w:val="26"/>
        </w:rPr>
        <w:t>argues</w:t>
      </w:r>
      <w:r w:rsidRPr="003D0BDC" w:rsidR="00251A28">
        <w:rPr>
          <w:rFonts w:cs="Times New Roman"/>
          <w:szCs w:val="26"/>
        </w:rPr>
        <w:t xml:space="preserve"> </w:t>
      </w:r>
      <w:r w:rsidRPr="003D0BDC">
        <w:rPr>
          <w:rFonts w:cs="Times New Roman"/>
          <w:szCs w:val="26"/>
        </w:rPr>
        <w:t>our view renders subdivision</w:t>
      </w:r>
      <w:r w:rsidR="005C7619">
        <w:rPr>
          <w:rFonts w:cs="Times New Roman"/>
          <w:szCs w:val="26"/>
        </w:rPr>
        <w:t> </w:t>
      </w:r>
      <w:r w:rsidRPr="003D0BDC">
        <w:rPr>
          <w:rFonts w:cs="Times New Roman"/>
          <w:szCs w:val="26"/>
        </w:rPr>
        <w:t>(c) of section 340 surplusage.  (Dis</w:t>
      </w:r>
      <w:r w:rsidR="005C7619">
        <w:rPr>
          <w:rFonts w:cs="Times New Roman"/>
          <w:szCs w:val="26"/>
        </w:rPr>
        <w:t>.</w:t>
      </w:r>
      <w:r w:rsidRPr="003D0BDC">
        <w:rPr>
          <w:rFonts w:cs="Times New Roman"/>
          <w:szCs w:val="26"/>
        </w:rPr>
        <w:t xml:space="preserve">, </w:t>
      </w:r>
      <w:r w:rsidRPr="003D0BDC">
        <w:rPr>
          <w:rFonts w:cs="Times New Roman"/>
          <w:i/>
          <w:iCs/>
          <w:szCs w:val="26"/>
        </w:rPr>
        <w:t>post</w:t>
      </w:r>
      <w:r w:rsidRPr="003D0BDC">
        <w:rPr>
          <w:rFonts w:cs="Times New Roman"/>
          <w:szCs w:val="26"/>
        </w:rPr>
        <w:t>, at p. 3</w:t>
      </w:r>
      <w:r w:rsidR="00502B36">
        <w:rPr>
          <w:rFonts w:cs="Times New Roman"/>
          <w:szCs w:val="26"/>
        </w:rPr>
        <w:t>.</w:t>
      </w:r>
      <w:r w:rsidRPr="003D0BDC">
        <w:rPr>
          <w:rFonts w:cs="Times New Roman"/>
          <w:szCs w:val="26"/>
        </w:rPr>
        <w:t>)</w:t>
      </w:r>
      <w:r w:rsidR="005172FF">
        <w:rPr>
          <w:rFonts w:cs="Times New Roman"/>
          <w:szCs w:val="26"/>
        </w:rPr>
        <w:t xml:space="preserve">  It does not, as the legislative history shows.</w:t>
      </w:r>
    </w:p>
    <w:p w:rsidR="003D0BDC" w:rsidRPr="003D0BDC" w:rsidP="003D0BDC" w14:paraId="3DB65DF8" w14:textId="66E1D77D">
      <w:pPr>
        <w:ind w:firstLine="720"/>
        <w:rPr>
          <w:rFonts w:cs="Times New Roman"/>
          <w:szCs w:val="26"/>
        </w:rPr>
      </w:pPr>
      <w:r w:rsidRPr="003D0BDC">
        <w:rPr>
          <w:rFonts w:cs="Times New Roman"/>
          <w:szCs w:val="26"/>
        </w:rPr>
        <w:t>Before legislation authorizing pre-petition warrants in section 340 was enacted in 2017, some courts, but not others, would issue pre-petition warrants under authority “inherent in their judicial powers.”  (Assem. Com. on Judiciary, Rep. on Assem. Bill No.</w:t>
      </w:r>
      <w:r w:rsidR="005C7619">
        <w:rPr>
          <w:rFonts w:cs="Times New Roman"/>
          <w:szCs w:val="26"/>
        </w:rPr>
        <w:t> </w:t>
      </w:r>
      <w:r w:rsidRPr="003D0BDC">
        <w:rPr>
          <w:rFonts w:cs="Times New Roman"/>
          <w:szCs w:val="26"/>
        </w:rPr>
        <w:t xml:space="preserve">1401, </w:t>
      </w:r>
      <w:r w:rsidR="005C7619">
        <w:rPr>
          <w:rFonts w:cs="Times New Roman"/>
          <w:szCs w:val="26"/>
        </w:rPr>
        <w:t>as introduced Feb. 17,</w:t>
      </w:r>
      <w:r w:rsidRPr="003D0BDC">
        <w:rPr>
          <w:rFonts w:cs="Times New Roman"/>
          <w:szCs w:val="26"/>
        </w:rPr>
        <w:t xml:space="preserve"> 2017, at p. 3.)  The bill to authorize such warrants was in print without subdivision (c), because even without that subdivision, the Assembly author had assumed that existing procedures applicable “upon delivery to the social worker of a child who has been taken into temporary custody under this article” would apply.  (</w:t>
      </w:r>
      <w:r w:rsidRPr="003D0BDC">
        <w:rPr>
          <w:rFonts w:cs="Times New Roman"/>
          <w:i/>
          <w:iCs/>
          <w:szCs w:val="26"/>
        </w:rPr>
        <w:t>Id</w:t>
      </w:r>
      <w:r w:rsidRPr="003D0BDC">
        <w:rPr>
          <w:rFonts w:cs="Times New Roman"/>
          <w:szCs w:val="26"/>
        </w:rPr>
        <w:t>. at p. 5.)  But the author thought it was “arguably unclear” what was supposed to happen when a child was removed by warrant,” and proposed subdivision (c) to “clarify” the procedural steps.  (</w:t>
      </w:r>
      <w:r w:rsidRPr="003D0BDC">
        <w:rPr>
          <w:rFonts w:cs="Times New Roman"/>
          <w:i/>
          <w:iCs/>
          <w:szCs w:val="26"/>
        </w:rPr>
        <w:t>Ibid</w:t>
      </w:r>
      <w:r w:rsidRPr="003D0BDC">
        <w:rPr>
          <w:rFonts w:cs="Times New Roman"/>
          <w:szCs w:val="26"/>
        </w:rPr>
        <w:t>.)  Thus, the section was added to remove any ambiguity as to whether a pre-petition warrant meant the social worker followed the existing procedures that apply “upon delivery to the social worker of a child who has been taken into temporary custody.”  (</w:t>
      </w:r>
      <w:r w:rsidRPr="003D0BDC">
        <w:rPr>
          <w:rFonts w:cs="Times New Roman"/>
          <w:i/>
          <w:iCs/>
          <w:szCs w:val="26"/>
        </w:rPr>
        <w:t>Ibid</w:t>
      </w:r>
      <w:r w:rsidRPr="003D0BDC">
        <w:rPr>
          <w:rFonts w:cs="Times New Roman"/>
          <w:szCs w:val="26"/>
        </w:rPr>
        <w:t>.; see Sen. Com. on Jud</w:t>
      </w:r>
      <w:r w:rsidR="005C7619">
        <w:rPr>
          <w:rFonts w:cs="Times New Roman"/>
          <w:szCs w:val="26"/>
        </w:rPr>
        <w:t>iciary</w:t>
      </w:r>
      <w:r w:rsidRPr="003D0BDC">
        <w:rPr>
          <w:rFonts w:cs="Times New Roman"/>
          <w:szCs w:val="26"/>
        </w:rPr>
        <w:t xml:space="preserve">, Rep. on Assem. Bill No. 1401, </w:t>
      </w:r>
      <w:r w:rsidR="005C7619">
        <w:rPr>
          <w:rFonts w:cs="Times New Roman"/>
          <w:szCs w:val="26"/>
        </w:rPr>
        <w:t>Apr. 19,</w:t>
      </w:r>
      <w:r w:rsidRPr="003D0BDC">
        <w:rPr>
          <w:rFonts w:cs="Times New Roman"/>
          <w:szCs w:val="26"/>
        </w:rPr>
        <w:t xml:space="preserve"> 2017, at p. 5 [“This bill would subject a child removed by a protective custody warrant when a petition has not been filed to these same provisions and restrictions currently in place for a child in temporary custody.”]</w:t>
      </w:r>
      <w:r w:rsidR="00502B36">
        <w:rPr>
          <w:rFonts w:cs="Times New Roman"/>
          <w:szCs w:val="26"/>
        </w:rPr>
        <w:t>.</w:t>
      </w:r>
      <w:r w:rsidRPr="003D0BDC">
        <w:rPr>
          <w:rFonts w:cs="Times New Roman"/>
          <w:szCs w:val="26"/>
        </w:rPr>
        <w:t>)  With subdivision</w:t>
      </w:r>
      <w:r w:rsidR="005C7619">
        <w:rPr>
          <w:rFonts w:cs="Times New Roman"/>
          <w:szCs w:val="26"/>
        </w:rPr>
        <w:t> </w:t>
      </w:r>
      <w:r w:rsidRPr="003D0BDC">
        <w:rPr>
          <w:rFonts w:cs="Times New Roman"/>
          <w:szCs w:val="26"/>
        </w:rPr>
        <w:t>(c) in the statute, the Legislature enacting Senate Bill 1437 in 2018 would expect that those delivered after removal by warrant would be placed in the temporary custody of a social worker just as those delivered after warrantless removal.</w:t>
      </w:r>
    </w:p>
    <w:p w:rsidR="003D0BDC" w:rsidRPr="003D0BDC" w:rsidP="003D0BDC" w14:paraId="64496B9D" w14:textId="35B0F72D">
      <w:pPr>
        <w:ind w:firstLine="720"/>
        <w:rPr>
          <w:rFonts w:cs="Times New Roman"/>
          <w:szCs w:val="26"/>
        </w:rPr>
      </w:pPr>
      <w:r w:rsidRPr="003D0BDC">
        <w:rPr>
          <w:rFonts w:cs="Times New Roman"/>
          <w:szCs w:val="26"/>
        </w:rPr>
        <w:t>The dissent disagrees with section II.B of this opinion, claiming it “fails to show . . . examples demonstrating that ‘temporary custody’ can sometimes refer to custody gained by virtue of a warrant.”  (Dis</w:t>
      </w:r>
      <w:r w:rsidR="005C7619">
        <w:rPr>
          <w:rFonts w:cs="Times New Roman"/>
          <w:szCs w:val="26"/>
        </w:rPr>
        <w:t>.</w:t>
      </w:r>
      <w:r w:rsidRPr="003D0BDC">
        <w:rPr>
          <w:rFonts w:cs="Times New Roman"/>
          <w:szCs w:val="26"/>
        </w:rPr>
        <w:t xml:space="preserve">, </w:t>
      </w:r>
      <w:r w:rsidRPr="003D0BDC">
        <w:rPr>
          <w:rFonts w:cs="Times New Roman"/>
          <w:i/>
          <w:iCs/>
          <w:szCs w:val="26"/>
        </w:rPr>
        <w:t>post</w:t>
      </w:r>
      <w:r w:rsidRPr="003D0BDC">
        <w:rPr>
          <w:rFonts w:cs="Times New Roman"/>
          <w:szCs w:val="26"/>
        </w:rPr>
        <w:t xml:space="preserve">, at p. 6.)  </w:t>
      </w:r>
      <w:r w:rsidR="00EC19AF">
        <w:rPr>
          <w:rFonts w:cs="Times New Roman"/>
          <w:szCs w:val="26"/>
        </w:rPr>
        <w:t>However,</w:t>
      </w:r>
      <w:r w:rsidRPr="003D0BDC">
        <w:rPr>
          <w:rFonts w:cs="Times New Roman"/>
          <w:szCs w:val="26"/>
        </w:rPr>
        <w:t xml:space="preserve"> </w:t>
      </w:r>
      <w:r w:rsidR="00EC19AF">
        <w:rPr>
          <w:rFonts w:cs="Times New Roman"/>
          <w:szCs w:val="26"/>
        </w:rPr>
        <w:t>a</w:t>
      </w:r>
      <w:r w:rsidRPr="003D0BDC">
        <w:rPr>
          <w:rFonts w:cs="Times New Roman"/>
          <w:szCs w:val="26"/>
        </w:rPr>
        <w:t xml:space="preserve">s </w:t>
      </w:r>
      <w:r w:rsidR="00EC19AF">
        <w:rPr>
          <w:rFonts w:cs="Times New Roman"/>
          <w:szCs w:val="26"/>
        </w:rPr>
        <w:t xml:space="preserve">that portion of the opinion explains, the </w:t>
      </w:r>
      <w:r w:rsidR="006227EB">
        <w:rPr>
          <w:rFonts w:cs="Times New Roman"/>
          <w:szCs w:val="26"/>
        </w:rPr>
        <w:t>L</w:t>
      </w:r>
      <w:r w:rsidR="00EC19AF">
        <w:rPr>
          <w:rFonts w:cs="Times New Roman"/>
          <w:szCs w:val="26"/>
        </w:rPr>
        <w:t>egislature use</w:t>
      </w:r>
      <w:r w:rsidR="00F3449F">
        <w:rPr>
          <w:rFonts w:cs="Times New Roman"/>
          <w:szCs w:val="26"/>
        </w:rPr>
        <w:t>d</w:t>
      </w:r>
      <w:r w:rsidR="00EC19AF">
        <w:rPr>
          <w:rFonts w:cs="Times New Roman"/>
          <w:szCs w:val="26"/>
        </w:rPr>
        <w:t xml:space="preserve"> the term “temporary custody” to describe children taken into protective custody</w:t>
      </w:r>
      <w:r w:rsidR="007740D3">
        <w:rPr>
          <w:rFonts w:cs="Times New Roman"/>
          <w:szCs w:val="26"/>
        </w:rPr>
        <w:t xml:space="preserve"> by warrant</w:t>
      </w:r>
      <w:r w:rsidR="00EC19AF">
        <w:rPr>
          <w:rFonts w:cs="Times New Roman"/>
          <w:szCs w:val="26"/>
        </w:rPr>
        <w:t>.  For instance,</w:t>
      </w:r>
      <w:r w:rsidR="00A96F9E">
        <w:rPr>
          <w:rFonts w:cs="Times New Roman"/>
          <w:szCs w:val="26"/>
        </w:rPr>
        <w:t xml:space="preserve"> </w:t>
      </w:r>
      <w:r w:rsidRPr="003D0BDC">
        <w:rPr>
          <w:rFonts w:cs="Times New Roman"/>
          <w:szCs w:val="26"/>
        </w:rPr>
        <w:t>section 319, subdivision</w:t>
      </w:r>
      <w:r w:rsidR="006227EB">
        <w:rPr>
          <w:rFonts w:cs="Times New Roman"/>
          <w:szCs w:val="26"/>
        </w:rPr>
        <w:t> </w:t>
      </w:r>
      <w:r w:rsidRPr="003D0BDC">
        <w:rPr>
          <w:rFonts w:cs="Times New Roman"/>
          <w:szCs w:val="26"/>
        </w:rPr>
        <w:t>(b)(7)</w:t>
      </w:r>
      <w:r w:rsidR="005C7619">
        <w:rPr>
          <w:rFonts w:cs="Times New Roman"/>
          <w:szCs w:val="26"/>
        </w:rPr>
        <w:t>,</w:t>
      </w:r>
      <w:r w:rsidRPr="003D0BDC">
        <w:rPr>
          <w:rFonts w:cs="Times New Roman"/>
          <w:szCs w:val="26"/>
        </w:rPr>
        <w:t xml:space="preserve"> requires that at a detention hearing where there is reason to know a child is Indian, the social worker must report in detail on the circumstances that caused the child to be taken into “temporary custody.”  That section applies to any case where there is reason to know a child is Indian.  So the Legislature </w:t>
      </w:r>
      <w:r w:rsidR="005F29DD">
        <w:rPr>
          <w:rFonts w:cs="Times New Roman"/>
          <w:szCs w:val="26"/>
        </w:rPr>
        <w:t xml:space="preserve">there </w:t>
      </w:r>
      <w:r w:rsidRPr="003D0BDC">
        <w:rPr>
          <w:rFonts w:cs="Times New Roman"/>
          <w:szCs w:val="26"/>
        </w:rPr>
        <w:t>used the term “temporary custody” to refer to the child’s pre-detention custody, whether or not the child was taken into custody with a warrant.  The term includes those who entered custody by warrant.</w:t>
      </w:r>
    </w:p>
    <w:p w:rsidR="003D0BDC" w:rsidRPr="003D0BDC" w:rsidP="003D0BDC" w14:paraId="6FB24B8F" w14:textId="30D2B2A4">
      <w:pPr>
        <w:ind w:firstLine="720"/>
        <w:rPr>
          <w:rFonts w:cs="Times New Roman"/>
          <w:szCs w:val="26"/>
        </w:rPr>
      </w:pPr>
      <w:r w:rsidRPr="003D0BDC">
        <w:rPr>
          <w:rFonts w:cs="Times New Roman"/>
          <w:szCs w:val="26"/>
        </w:rPr>
        <w:t>The dissent disagrees with the way we interpret “the conditional language of section 224.2(b).”  (Dis</w:t>
      </w:r>
      <w:r w:rsidR="00744007">
        <w:rPr>
          <w:rFonts w:cs="Times New Roman"/>
          <w:szCs w:val="26"/>
        </w:rPr>
        <w:t>.</w:t>
      </w:r>
      <w:r w:rsidRPr="003D0BDC">
        <w:rPr>
          <w:rFonts w:cs="Times New Roman"/>
          <w:szCs w:val="26"/>
        </w:rPr>
        <w:t xml:space="preserve">, </w:t>
      </w:r>
      <w:r w:rsidRPr="003D0BDC">
        <w:rPr>
          <w:rFonts w:cs="Times New Roman"/>
          <w:i/>
          <w:iCs/>
          <w:szCs w:val="26"/>
        </w:rPr>
        <w:t>post</w:t>
      </w:r>
      <w:r w:rsidRPr="003D0BDC">
        <w:rPr>
          <w:rFonts w:cs="Times New Roman"/>
          <w:szCs w:val="26"/>
        </w:rPr>
        <w:t xml:space="preserve">, at pp. 3-4.)  That section states that if a child is placed in a department’s temporary custody by section 306, the department has a duty to inquire of extended family.  As stated in section II above, our view is that under sections 306 and 340 this “conditional” language applies to all removed children awaiting their detention hearings in the department’s custody, as they all are in temporary custody under 306 for the brief pre-hearing period.  Among children awaiting detention hearings in social worker custody, </w:t>
      </w:r>
      <w:r w:rsidR="00EC19AF">
        <w:rPr>
          <w:rFonts w:cs="Times New Roman"/>
          <w:szCs w:val="26"/>
        </w:rPr>
        <w:t>it would be curious to</w:t>
      </w:r>
      <w:r w:rsidRPr="003D0BDC">
        <w:rPr>
          <w:rFonts w:cs="Times New Roman"/>
          <w:szCs w:val="26"/>
        </w:rPr>
        <w:t xml:space="preserve"> classify some as in temporary custody (if removed without a warrant) and some—handled by the department in the same way—as not in temporary custody, only protective custody (if removed by warrant).</w:t>
      </w:r>
    </w:p>
    <w:p w:rsidR="003D0BDC" w:rsidRPr="003D0BDC" w:rsidP="003D0BDC" w14:paraId="2609B1E0" w14:textId="505B2D70">
      <w:pPr>
        <w:ind w:firstLine="720"/>
        <w:rPr>
          <w:rFonts w:cs="Times New Roman"/>
          <w:szCs w:val="26"/>
        </w:rPr>
      </w:pPr>
      <w:r w:rsidRPr="003D0BDC">
        <w:rPr>
          <w:rFonts w:cs="Times New Roman"/>
          <w:szCs w:val="26"/>
        </w:rPr>
        <w:t xml:space="preserve">The dissent </w:t>
      </w:r>
      <w:r w:rsidR="000D0DBE">
        <w:rPr>
          <w:rFonts w:cs="Times New Roman"/>
          <w:szCs w:val="26"/>
        </w:rPr>
        <w:t>posits</w:t>
      </w:r>
      <w:r w:rsidRPr="003D0BDC" w:rsidR="000D0DBE">
        <w:rPr>
          <w:rFonts w:cs="Times New Roman"/>
          <w:szCs w:val="26"/>
        </w:rPr>
        <w:t xml:space="preserve"> </w:t>
      </w:r>
      <w:r w:rsidRPr="003D0BDC">
        <w:rPr>
          <w:rFonts w:cs="Times New Roman"/>
          <w:szCs w:val="26"/>
        </w:rPr>
        <w:t>that “longstanding principles of law” mean the conditional language “if A, then B” must be interpreted to mean “if and only if A, then B.”  That is,</w:t>
      </w:r>
      <w:r w:rsidR="006227EB">
        <w:rPr>
          <w:rFonts w:cs="Times New Roman"/>
          <w:szCs w:val="26"/>
        </w:rPr>
        <w:t> </w:t>
      </w:r>
      <w:r w:rsidRPr="003D0BDC">
        <w:rPr>
          <w:rFonts w:cs="Times New Roman"/>
          <w:szCs w:val="26"/>
        </w:rPr>
        <w:t xml:space="preserve">the dissent </w:t>
      </w:r>
      <w:r w:rsidR="000D0DBE">
        <w:rPr>
          <w:rFonts w:cs="Times New Roman"/>
          <w:szCs w:val="26"/>
        </w:rPr>
        <w:t>takes the position that</w:t>
      </w:r>
      <w:r w:rsidRPr="003D0BDC">
        <w:rPr>
          <w:rFonts w:cs="Times New Roman"/>
          <w:szCs w:val="26"/>
        </w:rPr>
        <w:t xml:space="preserve"> conditional statements like the one found in section</w:t>
      </w:r>
      <w:r w:rsidR="006227EB">
        <w:rPr>
          <w:rFonts w:cs="Times New Roman"/>
          <w:szCs w:val="26"/>
        </w:rPr>
        <w:t> </w:t>
      </w:r>
      <w:r w:rsidRPr="003D0BDC">
        <w:rPr>
          <w:rFonts w:cs="Times New Roman"/>
          <w:szCs w:val="26"/>
        </w:rPr>
        <w:t>224.2, subdivision (b)</w:t>
      </w:r>
      <w:r w:rsidR="005C7619">
        <w:rPr>
          <w:rFonts w:cs="Times New Roman"/>
          <w:szCs w:val="26"/>
        </w:rPr>
        <w:t>,</w:t>
      </w:r>
      <w:r w:rsidRPr="003D0BDC">
        <w:rPr>
          <w:rFonts w:cs="Times New Roman"/>
          <w:szCs w:val="26"/>
        </w:rPr>
        <w:t xml:space="preserve"> always mean “the required act comes into play </w:t>
      </w:r>
      <w:r w:rsidRPr="003D0BDC">
        <w:rPr>
          <w:rFonts w:cs="Times New Roman"/>
          <w:i/>
          <w:iCs/>
          <w:szCs w:val="26"/>
        </w:rPr>
        <w:t>only if</w:t>
      </w:r>
      <w:r w:rsidRPr="003D0BDC">
        <w:rPr>
          <w:rFonts w:cs="Times New Roman"/>
          <w:szCs w:val="26"/>
        </w:rPr>
        <w:t xml:space="preserve"> the condition is met.”  (Dis</w:t>
      </w:r>
      <w:r w:rsidR="005C7619">
        <w:rPr>
          <w:rFonts w:cs="Times New Roman"/>
          <w:szCs w:val="26"/>
        </w:rPr>
        <w:t>.</w:t>
      </w:r>
      <w:r w:rsidRPr="003D0BDC">
        <w:rPr>
          <w:rFonts w:cs="Times New Roman"/>
          <w:szCs w:val="26"/>
        </w:rPr>
        <w:t xml:space="preserve">, </w:t>
      </w:r>
      <w:r w:rsidRPr="003D0BDC">
        <w:rPr>
          <w:rFonts w:cs="Times New Roman"/>
          <w:i/>
          <w:iCs/>
          <w:szCs w:val="26"/>
        </w:rPr>
        <w:t>post</w:t>
      </w:r>
      <w:r w:rsidRPr="003D0BDC">
        <w:rPr>
          <w:rFonts w:cs="Times New Roman"/>
          <w:szCs w:val="26"/>
        </w:rPr>
        <w:t>, at pp</w:t>
      </w:r>
      <w:r w:rsidR="005C7619">
        <w:rPr>
          <w:rFonts w:cs="Times New Roman"/>
          <w:szCs w:val="26"/>
        </w:rPr>
        <w:t>.</w:t>
      </w:r>
      <w:r w:rsidRPr="003D0BDC">
        <w:rPr>
          <w:rFonts w:cs="Times New Roman"/>
          <w:szCs w:val="26"/>
        </w:rPr>
        <w:t xml:space="preserve"> 3-4</w:t>
      </w:r>
      <w:r w:rsidR="005C7619">
        <w:rPr>
          <w:rFonts w:cs="Times New Roman"/>
          <w:szCs w:val="26"/>
        </w:rPr>
        <w:t xml:space="preserve">, </w:t>
      </w:r>
      <w:r w:rsidRPr="003D0BDC">
        <w:rPr>
          <w:rFonts w:cs="Times New Roman"/>
          <w:szCs w:val="26"/>
        </w:rPr>
        <w:t>italics added.)  The dissent thus argues that under our view</w:t>
      </w:r>
      <w:r w:rsidR="000D0DBE">
        <w:rPr>
          <w:rFonts w:cs="Times New Roman"/>
          <w:szCs w:val="26"/>
        </w:rPr>
        <w:t xml:space="preserve"> we cannot require</w:t>
      </w:r>
      <w:r w:rsidRPr="003D0BDC">
        <w:rPr>
          <w:rFonts w:cs="Times New Roman"/>
          <w:szCs w:val="26"/>
        </w:rPr>
        <w:t xml:space="preserve"> the heightened inquiry where there is no temporary custody, such as the occasional circumstance where a child is detained for the first time at the detention hearing.</w:t>
      </w:r>
    </w:p>
    <w:p w:rsidR="003D0BDC" w:rsidRPr="003D0BDC" w:rsidP="003D0BDC" w14:paraId="5CF99AD7" w14:textId="43ACD9ED">
      <w:pPr>
        <w:ind w:firstLine="720"/>
        <w:rPr>
          <w:rFonts w:cs="Times New Roman"/>
          <w:szCs w:val="26"/>
        </w:rPr>
      </w:pPr>
      <w:r w:rsidRPr="003D0BDC">
        <w:rPr>
          <w:rFonts w:cs="Times New Roman"/>
          <w:szCs w:val="26"/>
        </w:rPr>
        <w:t xml:space="preserve">But this is reading into the statute a logical operator that does not appear there. </w:t>
      </w:r>
      <w:r w:rsidR="00A96F9E">
        <w:rPr>
          <w:rFonts w:cs="Times New Roman"/>
          <w:szCs w:val="26"/>
        </w:rPr>
        <w:t xml:space="preserve"> </w:t>
      </w:r>
      <w:r w:rsidRPr="003D0BDC">
        <w:rPr>
          <w:rFonts w:cs="Times New Roman"/>
          <w:szCs w:val="26"/>
        </w:rPr>
        <w:t xml:space="preserve">“If-then” statements are not equivalent to “if and only if-then” statements.  Consider a supermarket chain’s rule that “if a customer purchases liquor at the checkout counter, the clerk has a duty to inquire as to his or her age.”  Consider further that at </w:t>
      </w:r>
      <w:r w:rsidR="000D0DBE">
        <w:rPr>
          <w:rFonts w:cs="Times New Roman"/>
          <w:szCs w:val="26"/>
        </w:rPr>
        <w:t xml:space="preserve">a </w:t>
      </w:r>
      <w:r w:rsidRPr="003D0BDC">
        <w:rPr>
          <w:rFonts w:cs="Times New Roman"/>
          <w:szCs w:val="26"/>
        </w:rPr>
        <w:t xml:space="preserve">particular market clerks sometimes bring internet orders to customers in the parking lot.  Does the conditional language </w:t>
      </w:r>
      <w:r w:rsidRPr="003D0BDC">
        <w:rPr>
          <w:rFonts w:cs="Times New Roman"/>
          <w:i/>
          <w:iCs/>
          <w:szCs w:val="26"/>
        </w:rPr>
        <w:t>preclude</w:t>
      </w:r>
      <w:r w:rsidRPr="003D0BDC">
        <w:rPr>
          <w:rFonts w:cs="Times New Roman"/>
          <w:szCs w:val="26"/>
        </w:rPr>
        <w:t xml:space="preserve"> the market</w:t>
      </w:r>
      <w:r w:rsidR="000D0DBE">
        <w:rPr>
          <w:rFonts w:cs="Times New Roman"/>
          <w:szCs w:val="26"/>
        </w:rPr>
        <w:t xml:space="preserve"> from</w:t>
      </w:r>
      <w:r w:rsidRPr="003D0BDC">
        <w:rPr>
          <w:rFonts w:cs="Times New Roman"/>
          <w:szCs w:val="26"/>
        </w:rPr>
        <w:t xml:space="preserve"> interpreting the supermarket chain’s rule to mean that the clerk </w:t>
      </w:r>
      <w:r w:rsidRPr="003D0BDC">
        <w:rPr>
          <w:rFonts w:cs="Times New Roman"/>
          <w:i/>
          <w:iCs/>
          <w:szCs w:val="26"/>
        </w:rPr>
        <w:t>also</w:t>
      </w:r>
      <w:r w:rsidRPr="003D0BDC">
        <w:rPr>
          <w:rFonts w:cs="Times New Roman"/>
          <w:szCs w:val="26"/>
        </w:rPr>
        <w:t xml:space="preserve"> has a duty to check the age of liquor purchasers receiving their groceries in the parking lot?  </w:t>
      </w:r>
      <w:r w:rsidR="00E62C4D">
        <w:rPr>
          <w:rFonts w:cs="Times New Roman"/>
          <w:szCs w:val="26"/>
        </w:rPr>
        <w:t>Of course not, as the context makes clear</w:t>
      </w:r>
      <w:bookmarkStart w:id="10" w:name="_Hlk158403571"/>
      <w:r w:rsidRPr="003D0BDC">
        <w:rPr>
          <w:rFonts w:cs="Times New Roman"/>
          <w:szCs w:val="26"/>
        </w:rPr>
        <w:t xml:space="preserve">. </w:t>
      </w:r>
      <w:bookmarkEnd w:id="10"/>
      <w:r w:rsidRPr="003D0BDC">
        <w:rPr>
          <w:rFonts w:cs="Times New Roman"/>
          <w:szCs w:val="26"/>
        </w:rPr>
        <w:t xml:space="preserve"> The obvious concern of a supermarket is the age of the liquor purchaser, not whether that purchase happens to be at the checkout counter.  Interpreting the rule as authorizing age-checks “only if” a purchase is at the checkout counter would undermine the purpose of the rule—to make sure underage people cannot buy liquor.</w:t>
      </w:r>
    </w:p>
    <w:p w:rsidR="003D0BDC" w:rsidRPr="003D0BDC" w:rsidP="003D0BDC" w14:paraId="6EB61A58" w14:textId="505E301A">
      <w:pPr>
        <w:ind w:firstLine="720"/>
        <w:rPr>
          <w:rFonts w:cs="Times New Roman"/>
          <w:szCs w:val="26"/>
        </w:rPr>
      </w:pPr>
      <w:r w:rsidRPr="003D0BDC">
        <w:rPr>
          <w:rFonts w:cs="Times New Roman"/>
          <w:szCs w:val="26"/>
        </w:rPr>
        <w:t>In the same way, ICWA and its federal and state laws and regulations are concerned with what happens when Indian children are removed from their parents, not whether the removal happens to be performed by warrant.  Our Legislature imposed a general “affirmative and continuing” duty of inquiry into a child’s Indian heritage on departments from the outset of any dependency case.  (§ 224.2, subd. (a)).  The statute then expressly imposes the heightened duty to inquire of extended family when a child enters the department’s temporary custody before a detention hearing.  (§ 224.2, subd.</w:t>
      </w:r>
      <w:r w:rsidR="005C7619">
        <w:rPr>
          <w:rFonts w:cs="Times New Roman"/>
          <w:szCs w:val="26"/>
        </w:rPr>
        <w:t> </w:t>
      </w:r>
      <w:r w:rsidRPr="003D0BDC">
        <w:rPr>
          <w:rFonts w:cs="Times New Roman"/>
          <w:szCs w:val="26"/>
        </w:rPr>
        <w:t xml:space="preserve">(b).)  That covers the bulk of cases where children are removed from their parents.  Consistent with this, </w:t>
      </w:r>
      <w:r w:rsidR="005C7619">
        <w:rPr>
          <w:rFonts w:cs="Times New Roman"/>
          <w:szCs w:val="26"/>
        </w:rPr>
        <w:t>r</w:t>
      </w:r>
      <w:r w:rsidRPr="003D0BDC">
        <w:rPr>
          <w:rFonts w:cs="Times New Roman"/>
          <w:szCs w:val="26"/>
        </w:rPr>
        <w:t xml:space="preserve">ule 5.481(a)(1) imposes the heightened duty in all cases when a child is removed from parents.  That rule is consistent with the statute because what matters under it </w:t>
      </w:r>
      <w:r w:rsidR="005C7619">
        <w:rPr>
          <w:rFonts w:cs="Times New Roman"/>
          <w:szCs w:val="26"/>
        </w:rPr>
        <w:t>is</w:t>
      </w:r>
      <w:r w:rsidR="00744007">
        <w:rPr>
          <w:rFonts w:cs="Times New Roman"/>
          <w:szCs w:val="26"/>
        </w:rPr>
        <w:t xml:space="preserve"> </w:t>
      </w:r>
      <w:r w:rsidRPr="003D0BDC">
        <w:rPr>
          <w:rFonts w:cs="Times New Roman"/>
          <w:szCs w:val="26"/>
        </w:rPr>
        <w:t>whether an Indian child is being removed, not the method of removal.  There is “one duty of initial inquiry, and that duty encompasses available extended family members no matter how the child is initially removed from home.”  (</w:t>
      </w:r>
      <w:r w:rsidRPr="003D0BDC">
        <w:rPr>
          <w:rFonts w:cs="Times New Roman"/>
          <w:i/>
          <w:iCs/>
          <w:szCs w:val="26"/>
        </w:rPr>
        <w:t>Delila D</w:t>
      </w:r>
      <w:r w:rsidRPr="003D0BDC">
        <w:rPr>
          <w:rFonts w:cs="Times New Roman"/>
          <w:szCs w:val="26"/>
        </w:rPr>
        <w:t xml:space="preserve">., </w:t>
      </w:r>
      <w:r w:rsidRPr="003D0BDC">
        <w:rPr>
          <w:rFonts w:cs="Times New Roman"/>
          <w:i/>
          <w:iCs/>
          <w:szCs w:val="26"/>
        </w:rPr>
        <w:t>supra</w:t>
      </w:r>
      <w:r w:rsidRPr="003D0BDC">
        <w:rPr>
          <w:rFonts w:cs="Times New Roman"/>
          <w:szCs w:val="26"/>
        </w:rPr>
        <w:t>, 93 Cal.App.5th at p. 962.)</w:t>
      </w:r>
    </w:p>
    <w:p w:rsidR="00E94F99" w:rsidP="00AB39DC" w14:paraId="79481C8C" w14:textId="004FE388">
      <w:pPr>
        <w:keepNext/>
        <w:rPr>
          <w:rFonts w:cs="Times New Roman"/>
          <w:i/>
          <w:iCs/>
          <w:szCs w:val="26"/>
        </w:rPr>
      </w:pPr>
      <w:r>
        <w:rPr>
          <w:rFonts w:cs="Times New Roman"/>
          <w:i/>
          <w:iCs/>
          <w:szCs w:val="26"/>
        </w:rPr>
        <w:t>D</w:t>
      </w:r>
      <w:r w:rsidRPr="00D41448">
        <w:rPr>
          <w:rFonts w:cs="Times New Roman"/>
          <w:i/>
          <w:iCs/>
          <w:szCs w:val="26"/>
        </w:rPr>
        <w:t>. Section 388 Petition</w:t>
      </w:r>
    </w:p>
    <w:p w:rsidR="00B97F24" w:rsidP="00AB39DC" w14:paraId="3B2E92BB" w14:textId="21C33A76">
      <w:pPr>
        <w:keepNext/>
        <w:ind w:firstLine="720"/>
        <w:rPr>
          <w:rFonts w:cs="Times New Roman"/>
          <w:szCs w:val="26"/>
        </w:rPr>
      </w:pPr>
      <w:r>
        <w:rPr>
          <w:rFonts w:cs="Times New Roman"/>
          <w:szCs w:val="26"/>
        </w:rPr>
        <w:t xml:space="preserve">1.  </w:t>
      </w:r>
      <w:r w:rsidRPr="00AB39DC">
        <w:rPr>
          <w:rFonts w:cs="Times New Roman"/>
          <w:i/>
          <w:iCs/>
          <w:szCs w:val="26"/>
        </w:rPr>
        <w:t>Additional Background</w:t>
      </w:r>
    </w:p>
    <w:p w:rsidR="009710E8" w:rsidP="009710E8" w14:paraId="182B6150" w14:textId="2E4C7FEA">
      <w:pPr>
        <w:ind w:firstLine="720"/>
        <w:rPr>
          <w:rFonts w:cs="Times New Roman"/>
          <w:szCs w:val="26"/>
        </w:rPr>
      </w:pPr>
      <w:r>
        <w:rPr>
          <w:rFonts w:cs="Times New Roman"/>
          <w:szCs w:val="26"/>
        </w:rPr>
        <w:t xml:space="preserve">Before the jurisdiction/disposition hearing, </w:t>
      </w:r>
      <w:r w:rsidR="00722CEF">
        <w:rPr>
          <w:rFonts w:cs="Times New Roman"/>
          <w:szCs w:val="26"/>
        </w:rPr>
        <w:t>f</w:t>
      </w:r>
      <w:r>
        <w:rPr>
          <w:rFonts w:cs="Times New Roman"/>
          <w:szCs w:val="26"/>
        </w:rPr>
        <w:t>ather told the department he had a long history of methamphetamine abuse and had started using again in 2019.  He at first hid the use from mother, but the two of them eventually used together until mother became pregnant with S</w:t>
      </w:r>
      <w:r w:rsidR="00391F46">
        <w:rPr>
          <w:rFonts w:cs="Times New Roman"/>
          <w:szCs w:val="26"/>
        </w:rPr>
        <w:t>amantha</w:t>
      </w:r>
      <w:r w:rsidR="00A35EE9">
        <w:rPr>
          <w:rFonts w:cs="Times New Roman"/>
          <w:szCs w:val="26"/>
        </w:rPr>
        <w:t>.</w:t>
      </w:r>
      <w:r>
        <w:rPr>
          <w:rFonts w:cs="Times New Roman"/>
          <w:szCs w:val="26"/>
        </w:rPr>
        <w:t xml:space="preserve">  Father said he briefly stopped using after S</w:t>
      </w:r>
      <w:r w:rsidR="00391F46">
        <w:rPr>
          <w:rFonts w:cs="Times New Roman"/>
          <w:szCs w:val="26"/>
        </w:rPr>
        <w:t xml:space="preserve">amantha </w:t>
      </w:r>
      <w:r>
        <w:rPr>
          <w:rFonts w:cs="Times New Roman"/>
          <w:szCs w:val="26"/>
        </w:rPr>
        <w:t>was born, but that he and mother started using together again, up through one week before the children were detained.</w:t>
      </w:r>
    </w:p>
    <w:p w:rsidR="009710E8" w:rsidP="009710E8" w14:paraId="557A626A" w14:textId="00CDB18A">
      <w:pPr>
        <w:ind w:firstLine="720"/>
        <w:rPr>
          <w:rFonts w:cs="Times New Roman"/>
          <w:szCs w:val="26"/>
        </w:rPr>
      </w:pPr>
      <w:r>
        <w:rPr>
          <w:rFonts w:cs="Times New Roman"/>
          <w:szCs w:val="26"/>
        </w:rPr>
        <w:t xml:space="preserve">In </w:t>
      </w:r>
      <w:r w:rsidR="0083081D">
        <w:rPr>
          <w:rFonts w:cs="Times New Roman"/>
          <w:szCs w:val="26"/>
        </w:rPr>
        <w:t>December 2021</w:t>
      </w:r>
      <w:r>
        <w:rPr>
          <w:rFonts w:cs="Times New Roman"/>
          <w:szCs w:val="26"/>
        </w:rPr>
        <w:t>, both parents took a hair follicle drug test and tested positive for methamphetamine.  Father also tested positive for amphetamine.  Later that month, father tested positive for only marijuana.</w:t>
      </w:r>
    </w:p>
    <w:p w:rsidR="001A57E9" w:rsidP="00AB39DC" w14:paraId="12037FB6" w14:textId="170617D7">
      <w:pPr>
        <w:ind w:firstLine="720"/>
        <w:rPr>
          <w:rFonts w:cs="Times New Roman"/>
          <w:szCs w:val="26"/>
        </w:rPr>
      </w:pPr>
      <w:r>
        <w:rPr>
          <w:rFonts w:cs="Times New Roman"/>
          <w:szCs w:val="26"/>
        </w:rPr>
        <w:t>In the months following the jurisdiction/disposition hearing father reported he was homeless.  During that time, mother was living with maternal grandmother.  As of May</w:t>
      </w:r>
      <w:r w:rsidR="002C2744">
        <w:rPr>
          <w:rFonts w:cs="Times New Roman"/>
          <w:szCs w:val="26"/>
        </w:rPr>
        <w:t> </w:t>
      </w:r>
      <w:r>
        <w:rPr>
          <w:rFonts w:cs="Times New Roman"/>
          <w:szCs w:val="26"/>
        </w:rPr>
        <w:t>31, 2022, father had only attended four of 16 domestic violence classes and his enrollment was terminated for excessive absences.  Father had not enrolled in individual counseling and stopped attending his substance abuse program.  His substance abuse program enrollment was terminated, though the counselor reported father was testing clean and participated when there.  The department could not confirm whether father was enrolled in parenting classes.  Father was, however, mostly consistent in his visitation, both in person and remotely.</w:t>
      </w:r>
    </w:p>
    <w:p w:rsidR="001A57E9" w:rsidP="00AB39DC" w14:paraId="63A4D36E" w14:textId="1E28E6C2">
      <w:pPr>
        <w:ind w:firstLine="720"/>
        <w:rPr>
          <w:rFonts w:cs="Times New Roman"/>
          <w:szCs w:val="26"/>
        </w:rPr>
      </w:pPr>
      <w:r>
        <w:rPr>
          <w:rFonts w:cs="Times New Roman"/>
          <w:szCs w:val="26"/>
        </w:rPr>
        <w:t xml:space="preserve">Before the six-month review hearing, the department recommended terminating father’s reunification services.  The court continued the hearing to allow father to contest that recommendation.  </w:t>
      </w:r>
    </w:p>
    <w:p w:rsidR="001A57E9" w:rsidP="00AB39DC" w14:paraId="45500F75" w14:textId="26868950">
      <w:pPr>
        <w:ind w:firstLine="720"/>
        <w:rPr>
          <w:rFonts w:cs="Times New Roman"/>
          <w:szCs w:val="26"/>
        </w:rPr>
      </w:pPr>
      <w:r>
        <w:rPr>
          <w:rFonts w:cs="Times New Roman"/>
          <w:szCs w:val="26"/>
        </w:rPr>
        <w:t>In September 2022, the court held the continued six-month status review hearing, where it terminated reunification services as to S</w:t>
      </w:r>
      <w:r w:rsidR="007266CB">
        <w:rPr>
          <w:rFonts w:cs="Times New Roman"/>
          <w:szCs w:val="26"/>
        </w:rPr>
        <w:t>amantha</w:t>
      </w:r>
      <w:r>
        <w:rPr>
          <w:rFonts w:cs="Times New Roman"/>
          <w:szCs w:val="26"/>
        </w:rPr>
        <w:t xml:space="preserve"> for both parents.  The court ordered the department to refer father for a hair follicle drug test “forthwith.” </w:t>
      </w:r>
    </w:p>
    <w:p w:rsidR="001A57E9" w:rsidP="00AB39DC" w14:paraId="2B6DD5F2" w14:textId="6AD0E277">
      <w:pPr>
        <w:ind w:firstLine="720"/>
        <w:rPr>
          <w:rFonts w:cs="Times New Roman"/>
          <w:szCs w:val="26"/>
        </w:rPr>
      </w:pPr>
      <w:r>
        <w:rPr>
          <w:rFonts w:cs="Times New Roman"/>
          <w:szCs w:val="26"/>
        </w:rPr>
        <w:t>On January 10, 2023</w:t>
      </w:r>
      <w:r w:rsidR="00472DE8">
        <w:rPr>
          <w:rFonts w:cs="Times New Roman"/>
          <w:szCs w:val="26"/>
        </w:rPr>
        <w:t>,</w:t>
      </w:r>
      <w:r>
        <w:rPr>
          <w:rFonts w:cs="Times New Roman"/>
          <w:szCs w:val="26"/>
        </w:rPr>
        <w:t xml:space="preserve"> father requested the department financially help him obtain more services.  The same day, he filed a section 388 petition requesting more reunification services because circumstances had changed.  The petition alleged father completed a 60-day inpatient substance abuse program, completed parenting classes through the same program, and attended Narcotics Anonymous/Alcoholics Anonymous meetings at least twice weekly since leaving inpatient recovery.  Father attached a certificate of completion for his inpatient recovery and parenting classes to the petition.  Father requested the court again order a hair follicle test referral, that it reinstitute reunification services, and that it increase visitation. </w:t>
      </w:r>
    </w:p>
    <w:p w:rsidR="001A57E9" w:rsidP="00AB39DC" w14:paraId="2FB5619B" w14:textId="76452AF8">
      <w:pPr>
        <w:ind w:firstLine="720"/>
        <w:rPr>
          <w:rFonts w:cs="Times New Roman"/>
          <w:szCs w:val="26"/>
        </w:rPr>
      </w:pPr>
      <w:r>
        <w:rPr>
          <w:rFonts w:cs="Times New Roman"/>
          <w:szCs w:val="26"/>
        </w:rPr>
        <w:t>Judge Susanne Cho continued the section 366.26 hearing to give the department time to conduct a preliminary adoption assessment.  Judge Cho also set an evidentiary hearing for the section 388 petition for the same day as the section 366.25 hearing:  February 28, 2023.</w:t>
      </w:r>
    </w:p>
    <w:p w:rsidR="001A57E9" w:rsidP="00AB39DC" w14:paraId="5C6E5617" w14:textId="09F5D8A1">
      <w:pPr>
        <w:ind w:firstLine="720"/>
        <w:rPr>
          <w:rFonts w:cs="Times New Roman"/>
          <w:szCs w:val="26"/>
        </w:rPr>
      </w:pPr>
      <w:r>
        <w:rPr>
          <w:rFonts w:cs="Times New Roman"/>
          <w:szCs w:val="26"/>
        </w:rPr>
        <w:t>Despite having been ordered to refer father for a hair follicle test</w:t>
      </w:r>
      <w:r w:rsidR="006D5FF2">
        <w:rPr>
          <w:rFonts w:cs="Times New Roman"/>
          <w:szCs w:val="26"/>
        </w:rPr>
        <w:t xml:space="preserve"> “forthwith</w:t>
      </w:r>
      <w:r>
        <w:rPr>
          <w:rFonts w:cs="Times New Roman"/>
          <w:szCs w:val="26"/>
        </w:rPr>
        <w:t>,</w:t>
      </w:r>
      <w:r w:rsidR="006D5FF2">
        <w:rPr>
          <w:rFonts w:cs="Times New Roman"/>
          <w:szCs w:val="26"/>
        </w:rPr>
        <w:t>”</w:t>
      </w:r>
      <w:r>
        <w:rPr>
          <w:rFonts w:cs="Times New Roman"/>
          <w:szCs w:val="26"/>
        </w:rPr>
        <w:t xml:space="preserve"> the department </w:t>
      </w:r>
      <w:r w:rsidR="006D5FF2">
        <w:rPr>
          <w:rFonts w:cs="Times New Roman"/>
          <w:szCs w:val="26"/>
        </w:rPr>
        <w:t>did</w:t>
      </w:r>
      <w:r>
        <w:rPr>
          <w:rFonts w:cs="Times New Roman"/>
          <w:szCs w:val="26"/>
        </w:rPr>
        <w:t xml:space="preserve"> </w:t>
      </w:r>
      <w:r w:rsidR="006D5FF2">
        <w:rPr>
          <w:rFonts w:cs="Times New Roman"/>
          <w:szCs w:val="26"/>
        </w:rPr>
        <w:t xml:space="preserve">not </w:t>
      </w:r>
      <w:r>
        <w:rPr>
          <w:rFonts w:cs="Times New Roman"/>
          <w:szCs w:val="26"/>
        </w:rPr>
        <w:t>attempt to contact father for over a month.  A social worker tried calling father on February 16 to learn information relating to the section 388 petition.  The social worker called again five days later for the same reason.  The social worker left a message requesting a return call but did not hear back.</w:t>
      </w:r>
    </w:p>
    <w:p w:rsidR="001A57E9" w:rsidP="00AB39DC" w14:paraId="0FE9A7F2" w14:textId="17D2CDA6">
      <w:pPr>
        <w:ind w:firstLine="720"/>
        <w:rPr>
          <w:rFonts w:cs="Times New Roman"/>
          <w:szCs w:val="26"/>
        </w:rPr>
      </w:pPr>
      <w:r>
        <w:rPr>
          <w:rFonts w:cs="Times New Roman"/>
          <w:szCs w:val="26"/>
        </w:rPr>
        <w:t>On February 23, five days before the section 366.26 hearing, the department filed a report recommending the court deny father’s section 388 petition and terminate his parental rights.  The report alleged father “ha[d] not made himself available to [the department] to inquire what he learned in services or to assess for any behavioral changes,” that he “ha[d] not made himself available to [the department] to refer him to</w:t>
      </w:r>
      <w:r w:rsidR="00472DE8">
        <w:rPr>
          <w:rFonts w:cs="Times New Roman"/>
          <w:szCs w:val="26"/>
        </w:rPr>
        <w:t> </w:t>
      </w:r>
      <w:r>
        <w:rPr>
          <w:rFonts w:cs="Times New Roman"/>
          <w:szCs w:val="26"/>
        </w:rPr>
        <w:t>drug testing,” and that the department could not confirm whether father was drug free.</w:t>
      </w:r>
      <w:r w:rsidR="00472DE8">
        <w:rPr>
          <w:rFonts w:cs="Times New Roman"/>
          <w:szCs w:val="26"/>
        </w:rPr>
        <w:t>  </w:t>
      </w:r>
      <w:r>
        <w:rPr>
          <w:rFonts w:cs="Times New Roman"/>
          <w:szCs w:val="26"/>
        </w:rPr>
        <w:t>The report also stated</w:t>
      </w:r>
      <w:r w:rsidR="00472DE8">
        <w:rPr>
          <w:rFonts w:cs="Times New Roman"/>
          <w:szCs w:val="26"/>
        </w:rPr>
        <w:t>,</w:t>
      </w:r>
      <w:r>
        <w:rPr>
          <w:rFonts w:cs="Times New Roman"/>
          <w:szCs w:val="26"/>
        </w:rPr>
        <w:t xml:space="preserve"> “[i]t is unknown to [the department] if [father] was drug testing . . . in November and it would be duly noted that it has been almost three months since [father] has been in treatment.”</w:t>
      </w:r>
    </w:p>
    <w:p w:rsidR="001A57E9" w:rsidP="00AB39DC" w14:paraId="11DC9E7F" w14:textId="0D2823DD">
      <w:pPr>
        <w:ind w:firstLine="720"/>
        <w:rPr>
          <w:rFonts w:cs="Times New Roman"/>
          <w:szCs w:val="26"/>
        </w:rPr>
      </w:pPr>
      <w:r>
        <w:rPr>
          <w:rFonts w:cs="Times New Roman"/>
          <w:szCs w:val="26"/>
        </w:rPr>
        <w:t>Both the evidentiary hearing on the section 388 petition and the section 366.26 hearing were set for February 28, 2023.  Judge Natalie M. Lough</w:t>
      </w:r>
      <w:r w:rsidR="006C1302">
        <w:rPr>
          <w:rFonts w:cs="Times New Roman"/>
          <w:szCs w:val="26"/>
        </w:rPr>
        <w:t>—a</w:t>
      </w:r>
      <w:r w:rsidR="00AC38CD">
        <w:rPr>
          <w:rFonts w:cs="Times New Roman"/>
          <w:szCs w:val="26"/>
        </w:rPr>
        <w:t xml:space="preserve"> different judge than had originally set the hearing</w:t>
      </w:r>
      <w:r w:rsidR="006C1302">
        <w:rPr>
          <w:rFonts w:cs="Times New Roman"/>
          <w:szCs w:val="26"/>
        </w:rPr>
        <w:t>—</w:t>
      </w:r>
      <w:r>
        <w:rPr>
          <w:rFonts w:cs="Times New Roman"/>
          <w:szCs w:val="26"/>
        </w:rPr>
        <w:t xml:space="preserve">presided over that hearing.  Father told </w:t>
      </w:r>
      <w:r w:rsidR="00AC38CD">
        <w:rPr>
          <w:rFonts w:cs="Times New Roman"/>
          <w:szCs w:val="26"/>
        </w:rPr>
        <w:t>the court</w:t>
      </w:r>
      <w:r>
        <w:rPr>
          <w:rFonts w:cs="Times New Roman"/>
          <w:szCs w:val="26"/>
        </w:rPr>
        <w:t xml:space="preserve"> that he tried contacting the department multiple times but did not hear from them until the February calls, when he learned the social worker had been out for over a month.  Father said he never received the hair follicle test referral and could not provide the information the department sought.  On this basis, father orally requested a continuance to allow him to test and for the department to investigate the factual basis for his section 388 petition.  The department confirmed the social worker had been out for some time, though counsel for the department was unsure how long.  Based on this, the </w:t>
      </w:r>
      <w:r w:rsidR="002511AA">
        <w:rPr>
          <w:rFonts w:cs="Times New Roman"/>
          <w:szCs w:val="26"/>
        </w:rPr>
        <w:t>department at first agreed</w:t>
      </w:r>
      <w:r>
        <w:rPr>
          <w:rFonts w:cs="Times New Roman"/>
          <w:szCs w:val="26"/>
        </w:rPr>
        <w:t xml:space="preserve"> to a continuance.  Minor’s counsel also agreed to a continuance but noted that they would likely continue to oppose the petition even if a hair follicle test came back clean and the department could confirm the facts underlying the petition.</w:t>
      </w:r>
    </w:p>
    <w:p w:rsidR="001A57E9" w:rsidP="00AB39DC" w14:paraId="57B92EB9" w14:textId="6408A943">
      <w:pPr>
        <w:ind w:firstLine="720"/>
        <w:rPr>
          <w:rFonts w:cs="Times New Roman"/>
          <w:szCs w:val="26"/>
        </w:rPr>
      </w:pPr>
      <w:r>
        <w:rPr>
          <w:rFonts w:cs="Times New Roman"/>
          <w:szCs w:val="26"/>
        </w:rPr>
        <w:t xml:space="preserve">After tentatively </w:t>
      </w:r>
      <w:r w:rsidR="00DA4013">
        <w:rPr>
          <w:rFonts w:cs="Times New Roman"/>
          <w:szCs w:val="26"/>
        </w:rPr>
        <w:t>conveying</w:t>
      </w:r>
      <w:r>
        <w:rPr>
          <w:rFonts w:cs="Times New Roman"/>
          <w:szCs w:val="26"/>
        </w:rPr>
        <w:t xml:space="preserve"> willingness to grant the continuance, </w:t>
      </w:r>
      <w:r w:rsidR="00AC38CD">
        <w:rPr>
          <w:rFonts w:cs="Times New Roman"/>
          <w:szCs w:val="26"/>
        </w:rPr>
        <w:t>the court</w:t>
      </w:r>
      <w:r>
        <w:rPr>
          <w:rFonts w:cs="Times New Roman"/>
          <w:szCs w:val="26"/>
        </w:rPr>
        <w:t xml:space="preserve"> reversed course, citing </w:t>
      </w:r>
      <w:r>
        <w:rPr>
          <w:rFonts w:cs="Times New Roman"/>
          <w:i/>
          <w:iCs/>
          <w:szCs w:val="26"/>
        </w:rPr>
        <w:t xml:space="preserve">In re B.C. </w:t>
      </w:r>
      <w:r w:rsidRPr="00D02A91">
        <w:rPr>
          <w:rFonts w:cs="Times New Roman"/>
          <w:szCs w:val="26"/>
        </w:rPr>
        <w:t>(2011)</w:t>
      </w:r>
      <w:r>
        <w:rPr>
          <w:rFonts w:cs="Times New Roman"/>
          <w:i/>
          <w:iCs/>
          <w:szCs w:val="26"/>
        </w:rPr>
        <w:t xml:space="preserve"> </w:t>
      </w:r>
      <w:r>
        <w:rPr>
          <w:rFonts w:cs="Times New Roman"/>
          <w:szCs w:val="26"/>
        </w:rPr>
        <w:t xml:space="preserve">192 Cal.App.4th 129 for the proposition that she had discretion to deny any oral request for a continuance for lack of showing of good cause.  </w:t>
      </w:r>
      <w:r w:rsidR="00AC38CD">
        <w:rPr>
          <w:rFonts w:cs="Times New Roman"/>
          <w:szCs w:val="26"/>
        </w:rPr>
        <w:t xml:space="preserve">It </w:t>
      </w:r>
      <w:r>
        <w:rPr>
          <w:rFonts w:cs="Times New Roman"/>
          <w:szCs w:val="26"/>
        </w:rPr>
        <w:t xml:space="preserve">agreed with minor’s counsel that </w:t>
      </w:r>
      <w:r w:rsidR="00AC38CD">
        <w:rPr>
          <w:rFonts w:cs="Times New Roman"/>
          <w:szCs w:val="26"/>
        </w:rPr>
        <w:t xml:space="preserve">it </w:t>
      </w:r>
      <w:r>
        <w:rPr>
          <w:rFonts w:cs="Times New Roman"/>
          <w:szCs w:val="26"/>
        </w:rPr>
        <w:t xml:space="preserve">did not believe father could meet his burden under section 388 even with a clean drug test and confirmation of the alleged changed circumstances.  On this basis, </w:t>
      </w:r>
      <w:r w:rsidR="00AC38CD">
        <w:rPr>
          <w:rFonts w:cs="Times New Roman"/>
          <w:szCs w:val="26"/>
        </w:rPr>
        <w:t>the court</w:t>
      </w:r>
      <w:r>
        <w:rPr>
          <w:rFonts w:cs="Times New Roman"/>
          <w:szCs w:val="26"/>
        </w:rPr>
        <w:t xml:space="preserve"> denied the request to continue as untimely and without good cause.</w:t>
      </w:r>
    </w:p>
    <w:p w:rsidR="001A57E9" w:rsidP="00AB39DC" w14:paraId="76425F12" w14:textId="0C9404B6">
      <w:pPr>
        <w:ind w:firstLine="720"/>
        <w:rPr>
          <w:rFonts w:cs="Times New Roman"/>
          <w:szCs w:val="26"/>
        </w:rPr>
      </w:pPr>
      <w:r>
        <w:rPr>
          <w:rFonts w:cs="Times New Roman"/>
          <w:szCs w:val="26"/>
        </w:rPr>
        <w:t xml:space="preserve">Father then requested to testify to the changed circumstances under oath.  </w:t>
      </w:r>
      <w:r w:rsidR="00AC38CD">
        <w:rPr>
          <w:rFonts w:cs="Times New Roman"/>
          <w:szCs w:val="26"/>
        </w:rPr>
        <w:t>The court</w:t>
      </w:r>
      <w:r>
        <w:rPr>
          <w:rFonts w:cs="Times New Roman"/>
          <w:szCs w:val="26"/>
        </w:rPr>
        <w:t xml:space="preserve"> denied this request as well: </w:t>
      </w:r>
      <w:r w:rsidR="00752AB6">
        <w:rPr>
          <w:rFonts w:cs="Times New Roman"/>
          <w:szCs w:val="26"/>
        </w:rPr>
        <w:t xml:space="preserve"> </w:t>
      </w:r>
      <w:r>
        <w:rPr>
          <w:rFonts w:cs="Times New Roman"/>
          <w:szCs w:val="26"/>
        </w:rPr>
        <w:t xml:space="preserve">“[t]he problem with that . . . is because your request for a continuance was not noticed to all parties, that the </w:t>
      </w:r>
      <w:r w:rsidR="0083081D">
        <w:rPr>
          <w:rFonts w:cs="Times New Roman"/>
          <w:szCs w:val="26"/>
        </w:rPr>
        <w:t>[</w:t>
      </w:r>
      <w:r>
        <w:rPr>
          <w:rFonts w:cs="Times New Roman"/>
          <w:szCs w:val="26"/>
        </w:rPr>
        <w:t>d</w:t>
      </w:r>
      <w:r w:rsidR="0083081D">
        <w:rPr>
          <w:rFonts w:cs="Times New Roman"/>
          <w:szCs w:val="26"/>
        </w:rPr>
        <w:t>]</w:t>
      </w:r>
      <w:r>
        <w:rPr>
          <w:rFonts w:cs="Times New Roman"/>
          <w:szCs w:val="26"/>
        </w:rPr>
        <w:t xml:space="preserve">epartment doesn’t have the social worker or any of the records available to contest father’s statement [or] adequately prepare for cross-examination.”  </w:t>
      </w:r>
      <w:r w:rsidR="00AC38CD">
        <w:rPr>
          <w:rFonts w:cs="Times New Roman"/>
          <w:szCs w:val="26"/>
        </w:rPr>
        <w:t xml:space="preserve">The court </w:t>
      </w:r>
      <w:r>
        <w:rPr>
          <w:rFonts w:cs="Times New Roman"/>
          <w:szCs w:val="26"/>
        </w:rPr>
        <w:t>also noted that father could have obtained independent drug testing of his own to prove that he was clean and sober and did not, despite having the burden under section 388.</w:t>
      </w:r>
    </w:p>
    <w:p w:rsidR="001A57E9" w:rsidP="00AB39DC" w14:paraId="5B9CBBFE" w14:textId="57F47E7F">
      <w:pPr>
        <w:ind w:firstLine="720"/>
        <w:rPr>
          <w:rFonts w:cs="Times New Roman"/>
          <w:szCs w:val="26"/>
        </w:rPr>
      </w:pPr>
      <w:r>
        <w:rPr>
          <w:rFonts w:cs="Times New Roman"/>
          <w:szCs w:val="26"/>
        </w:rPr>
        <w:t xml:space="preserve">The court proceeded immediately to the section 366.26 hearing.  Father requested a continuance due to the department filing a late report recommending termination of parental rights.  Father also requested the time to complete a bonding study.  The department conceded it did not file the report timely, and </w:t>
      </w:r>
      <w:r w:rsidR="002511AA">
        <w:rPr>
          <w:rFonts w:cs="Times New Roman"/>
          <w:szCs w:val="26"/>
        </w:rPr>
        <w:t>had not recommended</w:t>
      </w:r>
      <w:r>
        <w:rPr>
          <w:rFonts w:cs="Times New Roman"/>
          <w:szCs w:val="26"/>
        </w:rPr>
        <w:t xml:space="preserve"> terminating parental rights, but argued “going back to September of last year, everybody is on notice that, basically, the Department is going to be asking to terminate the parental rights.”  Minor’s counsel added that the section 366.26 hearing was already continued to allow for a preliminary adoption assessment, so father was on notice that the department intended to move forward with adoption.  The court concluded that despite the untimeliness of the report, father had sufficient notice that termination of parental rights was on the table and adopted the department’s recommendation to do so.</w:t>
      </w:r>
    </w:p>
    <w:p w:rsidR="001A57E9" w:rsidRPr="00AB39DC" w:rsidP="006227EB" w14:paraId="15C3D451" w14:textId="4C757363">
      <w:pPr>
        <w:keepNext/>
        <w:keepLines/>
        <w:ind w:firstLine="720"/>
        <w:rPr>
          <w:rFonts w:cs="Times New Roman"/>
          <w:szCs w:val="26"/>
        </w:rPr>
      </w:pPr>
      <w:r>
        <w:rPr>
          <w:rFonts w:cs="Times New Roman"/>
          <w:szCs w:val="26"/>
        </w:rPr>
        <w:t xml:space="preserve">2.  </w:t>
      </w:r>
      <w:r w:rsidRPr="00AB39DC">
        <w:rPr>
          <w:rFonts w:cs="Times New Roman"/>
          <w:i/>
          <w:iCs/>
          <w:szCs w:val="26"/>
        </w:rPr>
        <w:t>Analysis</w:t>
      </w:r>
    </w:p>
    <w:p w:rsidR="00305B7B" w:rsidP="006227EB" w14:paraId="1855E63B" w14:textId="59A5A43A">
      <w:pPr>
        <w:keepNext/>
        <w:keepLines/>
        <w:ind w:firstLine="720"/>
        <w:rPr>
          <w:rFonts w:cs="Times New Roman"/>
          <w:szCs w:val="26"/>
        </w:rPr>
      </w:pPr>
      <w:r w:rsidRPr="00305B7B">
        <w:rPr>
          <w:rFonts w:cs="Times New Roman"/>
          <w:szCs w:val="26"/>
        </w:rPr>
        <w:t>Under section 388</w:t>
      </w:r>
      <w:r w:rsidR="00472DE8">
        <w:rPr>
          <w:rFonts w:cs="Times New Roman"/>
          <w:szCs w:val="26"/>
        </w:rPr>
        <w:t>,</w:t>
      </w:r>
      <w:r w:rsidRPr="00305B7B">
        <w:rPr>
          <w:rFonts w:cs="Times New Roman"/>
          <w:szCs w:val="26"/>
        </w:rPr>
        <w:t xml:space="preserve"> “[a] juvenile court order may be changed, modified or set aside . . . if the petitioner establishes by a preponderance of the evidence that (1) new or changed circumstances exist, and (2) the proposed change would promote the best interest of the child.”  (</w:t>
      </w:r>
      <w:r w:rsidRPr="00305B7B">
        <w:rPr>
          <w:rFonts w:cs="Times New Roman"/>
          <w:i/>
          <w:iCs/>
          <w:szCs w:val="26"/>
        </w:rPr>
        <w:t>In re S.J.</w:t>
      </w:r>
      <w:r w:rsidRPr="00305B7B">
        <w:rPr>
          <w:rFonts w:cs="Times New Roman"/>
          <w:szCs w:val="26"/>
        </w:rPr>
        <w:t xml:space="preserve"> (2008) 167 Cal.App.4th 953, 959.)  The parent bears the burden of proving both elements.  (</w:t>
      </w:r>
      <w:r w:rsidRPr="00305B7B">
        <w:rPr>
          <w:rFonts w:cs="Times New Roman"/>
          <w:i/>
          <w:iCs/>
          <w:szCs w:val="26"/>
        </w:rPr>
        <w:t>Ibid.</w:t>
      </w:r>
      <w:r w:rsidRPr="00305B7B">
        <w:rPr>
          <w:rFonts w:cs="Times New Roman"/>
          <w:szCs w:val="26"/>
        </w:rPr>
        <w:t>)</w:t>
      </w:r>
      <w:r w:rsidRPr="00305B7B">
        <w:rPr>
          <w:rFonts w:cs="Times New Roman"/>
          <w:i/>
          <w:iCs/>
          <w:szCs w:val="26"/>
        </w:rPr>
        <w:t xml:space="preserve">  </w:t>
      </w:r>
      <w:r w:rsidRPr="00305B7B">
        <w:rPr>
          <w:rFonts w:cs="Times New Roman"/>
          <w:szCs w:val="26"/>
        </w:rPr>
        <w:t>The petition must be “liberally construed in favor of its sufficiency.”  (</w:t>
      </w:r>
      <w:r w:rsidR="006D5FF2">
        <w:rPr>
          <w:rFonts w:cs="Times New Roman"/>
          <w:szCs w:val="26"/>
        </w:rPr>
        <w:t>R</w:t>
      </w:r>
      <w:r w:rsidRPr="00305B7B">
        <w:rPr>
          <w:rFonts w:cs="Times New Roman"/>
          <w:szCs w:val="26"/>
        </w:rPr>
        <w:t xml:space="preserve">ule 5.570(a).)  </w:t>
      </w:r>
      <w:r>
        <w:rPr>
          <w:rFonts w:cs="Times New Roman"/>
          <w:szCs w:val="26"/>
        </w:rPr>
        <w:t>“ ‘</w:t>
      </w:r>
      <w:r w:rsidRPr="00305B7B">
        <w:rPr>
          <w:rFonts w:cs="Times New Roman"/>
          <w:szCs w:val="26"/>
        </w:rPr>
        <w:t>If it appears that the best interests of the child may be promoted by the proposed change of order</w:t>
      </w:r>
      <w:r w:rsidR="0083081D">
        <w:rPr>
          <w:rFonts w:cs="Times New Roman"/>
          <w:szCs w:val="26"/>
        </w:rPr>
        <w:t>,</w:t>
      </w:r>
      <w:r w:rsidR="00F45DDE">
        <w:rPr>
          <w:rFonts w:cs="Times New Roman"/>
          <w:szCs w:val="26"/>
        </w:rPr>
        <w:t xml:space="preserve"> . . .</w:t>
      </w:r>
      <w:r w:rsidRPr="00305B7B">
        <w:rPr>
          <w:rFonts w:cs="Times New Roman"/>
          <w:szCs w:val="26"/>
        </w:rPr>
        <w:t xml:space="preserve"> the court shall order that a hearing be held and shall give prior notice</w:t>
      </w:r>
      <w:r w:rsidR="0083081D">
        <w:rPr>
          <w:rFonts w:cs="Times New Roman"/>
          <w:szCs w:val="26"/>
        </w:rPr>
        <w:t xml:space="preserve"> </w:t>
      </w:r>
      <w:r w:rsidR="00F45DDE">
        <w:rPr>
          <w:rFonts w:cs="Times New Roman"/>
          <w:szCs w:val="26"/>
        </w:rPr>
        <w:t>. . . .</w:t>
      </w:r>
      <w:r>
        <w:rPr>
          <w:rFonts w:cs="Times New Roman"/>
          <w:szCs w:val="26"/>
        </w:rPr>
        <w:t>’</w:t>
      </w:r>
      <w:r w:rsidR="00F45DDE">
        <w:rPr>
          <w:rFonts w:cs="Times New Roman"/>
          <w:szCs w:val="26"/>
        </w:rPr>
        <w:t xml:space="preserve"> </w:t>
      </w:r>
      <w:r w:rsidRPr="00305B7B">
        <w:rPr>
          <w:rFonts w:cs="Times New Roman"/>
          <w:szCs w:val="26"/>
        </w:rPr>
        <w:t xml:space="preserve"> </w:t>
      </w:r>
      <w:r>
        <w:rPr>
          <w:rFonts w:cs="Times New Roman"/>
          <w:szCs w:val="26"/>
        </w:rPr>
        <w:t>[Citation.]</w:t>
      </w:r>
      <w:r w:rsidR="00F45DDE">
        <w:rPr>
          <w:rFonts w:cs="Times New Roman"/>
          <w:szCs w:val="26"/>
        </w:rPr>
        <w:t xml:space="preserve"> </w:t>
      </w:r>
      <w:r w:rsidRPr="00305B7B">
        <w:rPr>
          <w:rFonts w:cs="Times New Roman"/>
          <w:szCs w:val="26"/>
        </w:rPr>
        <w:t xml:space="preserve"> Section 388 thus gives the court two choices:</w:t>
      </w:r>
      <w:r w:rsidR="00F45DDE">
        <w:rPr>
          <w:rFonts w:cs="Times New Roman"/>
          <w:szCs w:val="26"/>
        </w:rPr>
        <w:t xml:space="preserve"> </w:t>
      </w:r>
      <w:r w:rsidRPr="00305B7B">
        <w:rPr>
          <w:rFonts w:cs="Times New Roman"/>
          <w:szCs w:val="26"/>
        </w:rPr>
        <w:t xml:space="preserve"> (1) summarily deny the petition or (2) hold a hearing.</w:t>
      </w:r>
      <w:r>
        <w:rPr>
          <w:rFonts w:cs="Times New Roman"/>
          <w:szCs w:val="26"/>
        </w:rPr>
        <w:t xml:space="preserve">” </w:t>
      </w:r>
      <w:r w:rsidR="00F45DDE">
        <w:rPr>
          <w:rFonts w:cs="Times New Roman"/>
          <w:szCs w:val="26"/>
        </w:rPr>
        <w:t xml:space="preserve"> </w:t>
      </w:r>
      <w:r>
        <w:rPr>
          <w:rFonts w:cs="Times New Roman"/>
          <w:szCs w:val="26"/>
        </w:rPr>
        <w:t>(</w:t>
      </w:r>
      <w:r>
        <w:rPr>
          <w:rFonts w:cs="Times New Roman"/>
          <w:i/>
          <w:iCs/>
          <w:szCs w:val="26"/>
        </w:rPr>
        <w:t>In re Lesly G.</w:t>
      </w:r>
      <w:r>
        <w:rPr>
          <w:rFonts w:cs="Times New Roman"/>
          <w:szCs w:val="26"/>
        </w:rPr>
        <w:t xml:space="preserve"> (2008) 162 Cal.App.4th 904, 912</w:t>
      </w:r>
      <w:r w:rsidR="00C52D7F">
        <w:rPr>
          <w:rFonts w:cs="Times New Roman"/>
          <w:szCs w:val="26"/>
        </w:rPr>
        <w:t xml:space="preserve"> (</w:t>
      </w:r>
      <w:r w:rsidR="00C52D7F">
        <w:rPr>
          <w:rFonts w:cs="Times New Roman"/>
          <w:i/>
          <w:iCs/>
          <w:szCs w:val="26"/>
        </w:rPr>
        <w:t>Lesly G.</w:t>
      </w:r>
      <w:r w:rsidR="00C52D7F">
        <w:rPr>
          <w:rFonts w:cs="Times New Roman"/>
          <w:szCs w:val="26"/>
        </w:rPr>
        <w:t>)</w:t>
      </w:r>
      <w:r>
        <w:rPr>
          <w:rFonts w:cs="Times New Roman"/>
          <w:szCs w:val="26"/>
        </w:rPr>
        <w:t>.)</w:t>
      </w:r>
    </w:p>
    <w:p w:rsidR="006C178B" w:rsidP="009710E8" w14:paraId="79E3FE0F" w14:textId="089A08A6">
      <w:pPr>
        <w:ind w:firstLine="720"/>
        <w:rPr>
          <w:rFonts w:cs="Times New Roman"/>
          <w:szCs w:val="26"/>
        </w:rPr>
      </w:pPr>
      <w:r>
        <w:rPr>
          <w:rFonts w:cs="Times New Roman"/>
          <w:szCs w:val="26"/>
        </w:rPr>
        <w:t xml:space="preserve">For example, in </w:t>
      </w:r>
      <w:r>
        <w:rPr>
          <w:rFonts w:cs="Times New Roman"/>
          <w:i/>
          <w:iCs/>
          <w:szCs w:val="26"/>
        </w:rPr>
        <w:t>Lesly G.</w:t>
      </w:r>
      <w:r>
        <w:rPr>
          <w:rFonts w:cs="Times New Roman"/>
          <w:szCs w:val="26"/>
        </w:rPr>
        <w:t xml:space="preserve"> parents </w:t>
      </w:r>
      <w:r w:rsidR="002511AA">
        <w:rPr>
          <w:rFonts w:cs="Times New Roman"/>
          <w:szCs w:val="26"/>
        </w:rPr>
        <w:t>petitioned under section 388</w:t>
      </w:r>
      <w:r>
        <w:rPr>
          <w:rFonts w:cs="Times New Roman"/>
          <w:szCs w:val="26"/>
        </w:rPr>
        <w:t xml:space="preserve">, and the court responded ambiguously by checking three contradictory boxes in ruling on the petition: </w:t>
      </w:r>
      <w:r w:rsidR="00F45DDE">
        <w:rPr>
          <w:rFonts w:cs="Times New Roman"/>
          <w:szCs w:val="26"/>
        </w:rPr>
        <w:t xml:space="preserve"> </w:t>
      </w:r>
      <w:r>
        <w:rPr>
          <w:rFonts w:cs="Times New Roman"/>
          <w:szCs w:val="26"/>
        </w:rPr>
        <w:t>one which found the petition stated a prima facie case, one which ordered a hearing on the petition, and one which said the court would not hold a hearing.</w:t>
      </w:r>
      <w:r w:rsidR="00F45DDE">
        <w:rPr>
          <w:rFonts w:cs="Times New Roman"/>
          <w:szCs w:val="26"/>
        </w:rPr>
        <w:t xml:space="preserve"> </w:t>
      </w:r>
      <w:r>
        <w:rPr>
          <w:rFonts w:cs="Times New Roman"/>
          <w:szCs w:val="26"/>
        </w:rPr>
        <w:t xml:space="preserve"> (</w:t>
      </w:r>
      <w:r>
        <w:rPr>
          <w:rFonts w:cs="Times New Roman"/>
          <w:i/>
          <w:iCs/>
          <w:szCs w:val="26"/>
        </w:rPr>
        <w:t>Lesly G.</w:t>
      </w:r>
      <w:r w:rsidRPr="00F45DDE">
        <w:rPr>
          <w:rFonts w:cs="Times New Roman"/>
          <w:szCs w:val="26"/>
        </w:rPr>
        <w:t>,</w:t>
      </w:r>
      <w:r>
        <w:rPr>
          <w:rFonts w:cs="Times New Roman"/>
          <w:i/>
          <w:iCs/>
          <w:szCs w:val="26"/>
        </w:rPr>
        <w:t xml:space="preserve"> supra</w:t>
      </w:r>
      <w:r w:rsidRPr="00F45DDE">
        <w:rPr>
          <w:rFonts w:cs="Times New Roman"/>
          <w:szCs w:val="26"/>
        </w:rPr>
        <w:t>,</w:t>
      </w:r>
      <w:r>
        <w:rPr>
          <w:rFonts w:cs="Times New Roman"/>
          <w:i/>
          <w:iCs/>
          <w:szCs w:val="26"/>
        </w:rPr>
        <w:t xml:space="preserve"> </w:t>
      </w:r>
      <w:r>
        <w:rPr>
          <w:rFonts w:cs="Times New Roman"/>
          <w:szCs w:val="26"/>
        </w:rPr>
        <w:t xml:space="preserve">162 Cal.App.4th at p. 909.) </w:t>
      </w:r>
      <w:r w:rsidR="00F45DDE">
        <w:rPr>
          <w:rFonts w:cs="Times New Roman"/>
          <w:szCs w:val="26"/>
        </w:rPr>
        <w:t xml:space="preserve"> </w:t>
      </w:r>
      <w:r>
        <w:rPr>
          <w:rFonts w:cs="Times New Roman"/>
          <w:szCs w:val="26"/>
        </w:rPr>
        <w:t xml:space="preserve">The court then notified parents that it would hold the hearing, and subsequently continued a section 366.26 hearing so both hearings would occur on the same day. </w:t>
      </w:r>
      <w:r w:rsidR="00F45DDE">
        <w:rPr>
          <w:rFonts w:cs="Times New Roman"/>
          <w:szCs w:val="26"/>
        </w:rPr>
        <w:t xml:space="preserve"> </w:t>
      </w:r>
      <w:r>
        <w:rPr>
          <w:rFonts w:cs="Times New Roman"/>
          <w:szCs w:val="26"/>
        </w:rPr>
        <w:t>(</w:t>
      </w:r>
      <w:r w:rsidRPr="00502B36" w:rsidR="00502B36">
        <w:rPr>
          <w:rFonts w:cs="Times New Roman"/>
          <w:i/>
          <w:iCs/>
          <w:szCs w:val="26"/>
        </w:rPr>
        <w:t>Lesly G</w:t>
      </w:r>
      <w:r w:rsidR="00502B36">
        <w:rPr>
          <w:rFonts w:cs="Times New Roman"/>
          <w:szCs w:val="26"/>
        </w:rPr>
        <w:t>.,</w:t>
      </w:r>
      <w:r>
        <w:rPr>
          <w:rFonts w:cs="Times New Roman"/>
          <w:szCs w:val="26"/>
        </w:rPr>
        <w:t xml:space="preserve"> at p</w:t>
      </w:r>
      <w:r w:rsidR="00F45DDE">
        <w:rPr>
          <w:rFonts w:cs="Times New Roman"/>
          <w:szCs w:val="26"/>
        </w:rPr>
        <w:t>p</w:t>
      </w:r>
      <w:r>
        <w:rPr>
          <w:rFonts w:cs="Times New Roman"/>
          <w:szCs w:val="26"/>
        </w:rPr>
        <w:t xml:space="preserve">. 909-910.) </w:t>
      </w:r>
      <w:r w:rsidR="00F45DDE">
        <w:rPr>
          <w:rFonts w:cs="Times New Roman"/>
          <w:szCs w:val="26"/>
        </w:rPr>
        <w:t xml:space="preserve"> </w:t>
      </w:r>
      <w:r>
        <w:rPr>
          <w:rFonts w:cs="Times New Roman"/>
          <w:szCs w:val="26"/>
        </w:rPr>
        <w:t>At the hearing, the court simply stated that the section</w:t>
      </w:r>
      <w:r w:rsidR="00F45DDE">
        <w:rPr>
          <w:rFonts w:cs="Times New Roman"/>
          <w:szCs w:val="26"/>
        </w:rPr>
        <w:t> </w:t>
      </w:r>
      <w:r>
        <w:rPr>
          <w:rFonts w:cs="Times New Roman"/>
          <w:szCs w:val="26"/>
        </w:rPr>
        <w:t xml:space="preserve">388 petition had been denied before moving straight to the section 366.26 hearing. </w:t>
      </w:r>
      <w:r w:rsidR="00F45DDE">
        <w:rPr>
          <w:rFonts w:cs="Times New Roman"/>
          <w:szCs w:val="26"/>
        </w:rPr>
        <w:t xml:space="preserve"> </w:t>
      </w:r>
      <w:r>
        <w:rPr>
          <w:rFonts w:cs="Times New Roman"/>
          <w:szCs w:val="26"/>
        </w:rPr>
        <w:t>(</w:t>
      </w:r>
      <w:r w:rsidR="00502B36">
        <w:rPr>
          <w:rFonts w:cs="Times New Roman"/>
          <w:i/>
          <w:iCs/>
          <w:szCs w:val="26"/>
        </w:rPr>
        <w:t>Lesly G</w:t>
      </w:r>
      <w:r w:rsidRPr="00502B36" w:rsidR="00502B36">
        <w:rPr>
          <w:rFonts w:cs="Times New Roman"/>
          <w:szCs w:val="26"/>
        </w:rPr>
        <w:t>.,</w:t>
      </w:r>
      <w:r>
        <w:rPr>
          <w:rFonts w:cs="Times New Roman"/>
          <w:szCs w:val="26"/>
        </w:rPr>
        <w:t xml:space="preserve"> at </w:t>
      </w:r>
      <w:r w:rsidR="000664A1">
        <w:rPr>
          <w:rFonts w:cs="Times New Roman"/>
          <w:szCs w:val="26"/>
        </w:rPr>
        <w:t>p</w:t>
      </w:r>
      <w:r>
        <w:rPr>
          <w:rFonts w:cs="Times New Roman"/>
          <w:szCs w:val="26"/>
        </w:rPr>
        <w:t xml:space="preserve">p. 910-911.) </w:t>
      </w:r>
    </w:p>
    <w:p w:rsidR="006C178B" w:rsidP="009710E8" w14:paraId="7BC74BBE" w14:textId="1B3747CD">
      <w:pPr>
        <w:ind w:firstLine="720"/>
        <w:rPr>
          <w:rFonts w:cs="Times New Roman"/>
          <w:szCs w:val="26"/>
        </w:rPr>
      </w:pPr>
      <w:r>
        <w:rPr>
          <w:rFonts w:cs="Times New Roman"/>
          <w:szCs w:val="26"/>
        </w:rPr>
        <w:t xml:space="preserve">In that case the reviewing court </w:t>
      </w:r>
      <w:r w:rsidR="000664A1">
        <w:rPr>
          <w:rFonts w:cs="Times New Roman"/>
          <w:szCs w:val="26"/>
        </w:rPr>
        <w:t>interpreted the trial court’s ambiguous ruling as a finding that the petition satisfied the parents’ burden of making a prima facie showing</w:t>
      </w:r>
      <w:r w:rsidR="00AA3ADB">
        <w:rPr>
          <w:rFonts w:cs="Times New Roman"/>
          <w:szCs w:val="26"/>
        </w:rPr>
        <w:t xml:space="preserve">, </w:t>
      </w:r>
      <w:r w:rsidR="000664A1">
        <w:rPr>
          <w:rFonts w:cs="Times New Roman"/>
          <w:szCs w:val="26"/>
        </w:rPr>
        <w:t>so</w:t>
      </w:r>
      <w:r w:rsidR="00AA3ADB">
        <w:rPr>
          <w:rFonts w:cs="Times New Roman"/>
          <w:szCs w:val="26"/>
        </w:rPr>
        <w:t xml:space="preserve"> the parents were entitled to an evidentiary hearing</w:t>
      </w:r>
      <w:r>
        <w:rPr>
          <w:rFonts w:cs="Times New Roman"/>
          <w:szCs w:val="26"/>
        </w:rPr>
        <w:t>.</w:t>
      </w:r>
      <w:r w:rsidR="00F45DDE">
        <w:rPr>
          <w:rFonts w:cs="Times New Roman"/>
          <w:szCs w:val="26"/>
        </w:rPr>
        <w:t xml:space="preserve"> </w:t>
      </w:r>
      <w:r>
        <w:rPr>
          <w:rFonts w:cs="Times New Roman"/>
          <w:szCs w:val="26"/>
        </w:rPr>
        <w:t xml:space="preserve"> (</w:t>
      </w:r>
      <w:r>
        <w:rPr>
          <w:rFonts w:cs="Times New Roman"/>
          <w:i/>
          <w:iCs/>
          <w:szCs w:val="26"/>
        </w:rPr>
        <w:t>Lesly G</w:t>
      </w:r>
      <w:r w:rsidRPr="00F45DDE">
        <w:rPr>
          <w:rFonts w:cs="Times New Roman"/>
          <w:szCs w:val="26"/>
        </w:rPr>
        <w:t>.,</w:t>
      </w:r>
      <w:r>
        <w:rPr>
          <w:rFonts w:cs="Times New Roman"/>
          <w:i/>
          <w:iCs/>
          <w:szCs w:val="26"/>
        </w:rPr>
        <w:t xml:space="preserve"> supra</w:t>
      </w:r>
      <w:r w:rsidRPr="00F45DDE">
        <w:rPr>
          <w:rFonts w:cs="Times New Roman"/>
          <w:szCs w:val="26"/>
        </w:rPr>
        <w:t>,</w:t>
      </w:r>
      <w:r>
        <w:rPr>
          <w:rFonts w:cs="Times New Roman"/>
          <w:szCs w:val="26"/>
        </w:rPr>
        <w:t xml:space="preserve"> 162 Cal.App.4th at p. 913.) </w:t>
      </w:r>
      <w:r w:rsidR="00F45DDE">
        <w:rPr>
          <w:rFonts w:cs="Times New Roman"/>
          <w:szCs w:val="26"/>
        </w:rPr>
        <w:t xml:space="preserve"> </w:t>
      </w:r>
      <w:r w:rsidR="000664A1">
        <w:rPr>
          <w:rFonts w:cs="Times New Roman"/>
          <w:szCs w:val="26"/>
        </w:rPr>
        <w:t>Further, the reviewing court held the juvenile court had erred by failing to hold an evidentiary hearing, even though one had been calendared</w:t>
      </w:r>
      <w:r>
        <w:rPr>
          <w:rFonts w:cs="Times New Roman"/>
          <w:szCs w:val="26"/>
        </w:rPr>
        <w:t xml:space="preserve">. </w:t>
      </w:r>
      <w:r w:rsidR="0083081D">
        <w:rPr>
          <w:rFonts w:cs="Times New Roman"/>
          <w:szCs w:val="26"/>
        </w:rPr>
        <w:t xml:space="preserve"> </w:t>
      </w:r>
      <w:r>
        <w:rPr>
          <w:rFonts w:cs="Times New Roman"/>
          <w:szCs w:val="26"/>
        </w:rPr>
        <w:t>It noted that the juvenile court “</w:t>
      </w:r>
      <w:r w:rsidRPr="0060148B">
        <w:rPr>
          <w:rFonts w:cs="Times New Roman"/>
          <w:szCs w:val="26"/>
        </w:rPr>
        <w:t>neither took testimony nor received documentary evidence, and it denied the petition without affording counsel an opportunity to argue the merits of the petition</w:t>
      </w:r>
      <w:r>
        <w:rPr>
          <w:rFonts w:cs="Times New Roman"/>
          <w:szCs w:val="26"/>
        </w:rPr>
        <w:t>,” before concluding that</w:t>
      </w:r>
      <w:r w:rsidRPr="0060148B">
        <w:rPr>
          <w:rFonts w:cs="Times New Roman"/>
          <w:szCs w:val="26"/>
        </w:rPr>
        <w:t xml:space="preserve"> </w:t>
      </w:r>
      <w:r>
        <w:rPr>
          <w:rFonts w:cs="Times New Roman"/>
          <w:szCs w:val="26"/>
        </w:rPr>
        <w:t>“[i]n</w:t>
      </w:r>
      <w:r w:rsidRPr="0060148B">
        <w:rPr>
          <w:rFonts w:cs="Times New Roman"/>
          <w:szCs w:val="26"/>
        </w:rPr>
        <w:t xml:space="preserve"> short, </w:t>
      </w:r>
      <w:r>
        <w:rPr>
          <w:rFonts w:cs="Times New Roman"/>
          <w:szCs w:val="26"/>
        </w:rPr>
        <w:t>it</w:t>
      </w:r>
      <w:r w:rsidRPr="0060148B">
        <w:rPr>
          <w:rFonts w:cs="Times New Roman"/>
          <w:szCs w:val="26"/>
        </w:rPr>
        <w:t xml:space="preserve"> provided no hearing whatsoever.</w:t>
      </w:r>
      <w:r>
        <w:rPr>
          <w:rFonts w:cs="Times New Roman"/>
          <w:szCs w:val="26"/>
        </w:rPr>
        <w:t>”</w:t>
      </w:r>
      <w:r w:rsidR="00F45DDE">
        <w:rPr>
          <w:rFonts w:cs="Times New Roman"/>
          <w:szCs w:val="26"/>
        </w:rPr>
        <w:t xml:space="preserve"> </w:t>
      </w:r>
      <w:r>
        <w:rPr>
          <w:rFonts w:cs="Times New Roman"/>
          <w:szCs w:val="26"/>
        </w:rPr>
        <w:t xml:space="preserve"> (</w:t>
      </w:r>
      <w:r>
        <w:rPr>
          <w:rFonts w:cs="Times New Roman"/>
          <w:i/>
          <w:iCs/>
          <w:szCs w:val="26"/>
        </w:rPr>
        <w:t>Id.</w:t>
      </w:r>
      <w:r>
        <w:rPr>
          <w:rFonts w:cs="Times New Roman"/>
          <w:szCs w:val="26"/>
        </w:rPr>
        <w:t xml:space="preserve"> at p. 915.) </w:t>
      </w:r>
      <w:r w:rsidR="00F45DDE">
        <w:rPr>
          <w:rFonts w:cs="Times New Roman"/>
          <w:szCs w:val="26"/>
        </w:rPr>
        <w:t xml:space="preserve"> </w:t>
      </w:r>
      <w:r w:rsidR="000664A1">
        <w:rPr>
          <w:rFonts w:cs="Times New Roman"/>
          <w:szCs w:val="26"/>
        </w:rPr>
        <w:t>Thus</w:t>
      </w:r>
      <w:r>
        <w:rPr>
          <w:rFonts w:cs="Times New Roman"/>
          <w:szCs w:val="26"/>
        </w:rPr>
        <w:t xml:space="preserve">, the juvenile court’s procedures did not “comport[] with due process or with the statutory mandate of section 388,” reversed, and remanded to allow for an evidentiary hearing. </w:t>
      </w:r>
      <w:r w:rsidR="00F45DDE">
        <w:rPr>
          <w:rFonts w:cs="Times New Roman"/>
          <w:szCs w:val="26"/>
        </w:rPr>
        <w:t xml:space="preserve"> </w:t>
      </w:r>
      <w:r>
        <w:rPr>
          <w:rFonts w:cs="Times New Roman"/>
          <w:szCs w:val="26"/>
        </w:rPr>
        <w:t>(</w:t>
      </w:r>
      <w:r>
        <w:rPr>
          <w:rFonts w:cs="Times New Roman"/>
          <w:i/>
          <w:iCs/>
          <w:szCs w:val="26"/>
        </w:rPr>
        <w:t>Id.</w:t>
      </w:r>
      <w:r>
        <w:rPr>
          <w:rFonts w:cs="Times New Roman"/>
          <w:szCs w:val="26"/>
        </w:rPr>
        <w:t xml:space="preserve"> at </w:t>
      </w:r>
      <w:r w:rsidR="00F45DDE">
        <w:rPr>
          <w:rFonts w:cs="Times New Roman"/>
          <w:szCs w:val="26"/>
        </w:rPr>
        <w:t>p</w:t>
      </w:r>
      <w:r>
        <w:rPr>
          <w:rFonts w:cs="Times New Roman"/>
          <w:szCs w:val="26"/>
        </w:rPr>
        <w:t>p. 915, 917.)</w:t>
      </w:r>
    </w:p>
    <w:p w:rsidR="006C178B" w:rsidP="009710E8" w14:paraId="547C7975" w14:textId="2145B37E">
      <w:pPr>
        <w:ind w:firstLine="720"/>
        <w:rPr>
          <w:rFonts w:cs="Times New Roman"/>
          <w:szCs w:val="26"/>
        </w:rPr>
      </w:pPr>
      <w:r>
        <w:rPr>
          <w:rFonts w:cs="Times New Roman"/>
          <w:szCs w:val="26"/>
        </w:rPr>
        <w:t xml:space="preserve">This case is similar to </w:t>
      </w:r>
      <w:r>
        <w:rPr>
          <w:rFonts w:cs="Times New Roman"/>
          <w:i/>
          <w:iCs/>
          <w:szCs w:val="26"/>
        </w:rPr>
        <w:t xml:space="preserve">Lesly G. </w:t>
      </w:r>
      <w:r w:rsidR="00F45DDE">
        <w:rPr>
          <w:rFonts w:cs="Times New Roman"/>
          <w:i/>
          <w:iCs/>
          <w:szCs w:val="26"/>
        </w:rPr>
        <w:t xml:space="preserve"> </w:t>
      </w:r>
      <w:r>
        <w:rPr>
          <w:rFonts w:cs="Times New Roman"/>
          <w:szCs w:val="26"/>
        </w:rPr>
        <w:t>If anything</w:t>
      </w:r>
      <w:r w:rsidR="000664A1">
        <w:rPr>
          <w:rFonts w:cs="Times New Roman"/>
          <w:szCs w:val="26"/>
        </w:rPr>
        <w:t>,</w:t>
      </w:r>
      <w:r>
        <w:rPr>
          <w:rFonts w:cs="Times New Roman"/>
          <w:szCs w:val="26"/>
        </w:rPr>
        <w:t xml:space="preserve"> the case for reversal and remand is stronger here than in </w:t>
      </w:r>
      <w:r>
        <w:rPr>
          <w:rFonts w:cs="Times New Roman"/>
          <w:i/>
          <w:iCs/>
          <w:szCs w:val="26"/>
        </w:rPr>
        <w:t>Lesly G.</w:t>
      </w:r>
      <w:r>
        <w:rPr>
          <w:rFonts w:cs="Times New Roman"/>
          <w:szCs w:val="26"/>
        </w:rPr>
        <w:t xml:space="preserve"> </w:t>
      </w:r>
      <w:r w:rsidR="00F45DDE">
        <w:rPr>
          <w:rFonts w:cs="Times New Roman"/>
          <w:szCs w:val="26"/>
        </w:rPr>
        <w:t xml:space="preserve"> </w:t>
      </w:r>
      <w:r>
        <w:rPr>
          <w:rFonts w:cs="Times New Roman"/>
          <w:szCs w:val="26"/>
        </w:rPr>
        <w:t>First, the court’s initial order on the section 388 petition</w:t>
      </w:r>
      <w:r w:rsidR="000664A1">
        <w:rPr>
          <w:rFonts w:cs="Times New Roman"/>
          <w:szCs w:val="26"/>
        </w:rPr>
        <w:t xml:space="preserve"> unambiguously ruled father was entitled to </w:t>
      </w:r>
      <w:r>
        <w:rPr>
          <w:rFonts w:cs="Times New Roman"/>
          <w:szCs w:val="26"/>
        </w:rPr>
        <w:t>an evidentiary hearing</w:t>
      </w:r>
      <w:r w:rsidR="000664A1">
        <w:rPr>
          <w:rFonts w:cs="Times New Roman"/>
          <w:szCs w:val="26"/>
        </w:rPr>
        <w:t xml:space="preserve">. </w:t>
      </w:r>
      <w:r w:rsidR="00F45DDE">
        <w:rPr>
          <w:rFonts w:cs="Times New Roman"/>
          <w:szCs w:val="26"/>
        </w:rPr>
        <w:t xml:space="preserve"> </w:t>
      </w:r>
      <w:r w:rsidRPr="006C178B">
        <w:rPr>
          <w:rFonts w:cs="Times New Roman"/>
          <w:szCs w:val="26"/>
        </w:rPr>
        <w:t>Indeed, the department concedes that</w:t>
      </w:r>
      <w:r w:rsidR="00576447">
        <w:rPr>
          <w:rFonts w:cs="Times New Roman"/>
          <w:szCs w:val="26"/>
        </w:rPr>
        <w:t xml:space="preserve"> the first judge</w:t>
      </w:r>
      <w:r w:rsidRPr="006C178B">
        <w:rPr>
          <w:rFonts w:cs="Times New Roman"/>
          <w:szCs w:val="26"/>
        </w:rPr>
        <w:t xml:space="preserve"> “initially ruled that Father’s petition met the prima facie showing for an evidentiary hearing.”</w:t>
      </w:r>
      <w:r w:rsidR="00383DCE">
        <w:rPr>
          <w:rFonts w:cs="Times New Roman"/>
          <w:szCs w:val="26"/>
        </w:rPr>
        <w:t xml:space="preserve"> </w:t>
      </w:r>
      <w:r w:rsidR="00F45DDE">
        <w:rPr>
          <w:rFonts w:cs="Times New Roman"/>
          <w:szCs w:val="26"/>
        </w:rPr>
        <w:t xml:space="preserve"> </w:t>
      </w:r>
      <w:r>
        <w:rPr>
          <w:rFonts w:cs="Times New Roman"/>
          <w:szCs w:val="26"/>
        </w:rPr>
        <w:t xml:space="preserve">Second, the department failed to abide by court </w:t>
      </w:r>
      <w:r w:rsidR="000F757C">
        <w:rPr>
          <w:rFonts w:cs="Times New Roman"/>
          <w:szCs w:val="26"/>
        </w:rPr>
        <w:t>orders before</w:t>
      </w:r>
      <w:r>
        <w:rPr>
          <w:rFonts w:cs="Times New Roman"/>
          <w:szCs w:val="26"/>
        </w:rPr>
        <w:t xml:space="preserve"> the hearing</w:t>
      </w:r>
      <w:r w:rsidR="000664A1">
        <w:rPr>
          <w:rFonts w:cs="Times New Roman"/>
          <w:szCs w:val="26"/>
        </w:rPr>
        <w:t>—specifically, the order that father be provided drug testing “forthwith,”</w:t>
      </w:r>
      <w:r>
        <w:rPr>
          <w:rFonts w:cs="Times New Roman"/>
          <w:szCs w:val="26"/>
        </w:rPr>
        <w:t xml:space="preserve"> prejudicing father’s ability </w:t>
      </w:r>
      <w:r w:rsidR="000F757C">
        <w:rPr>
          <w:rFonts w:cs="Times New Roman"/>
          <w:szCs w:val="26"/>
        </w:rPr>
        <w:t>to establish his</w:t>
      </w:r>
      <w:r w:rsidR="000664A1">
        <w:rPr>
          <w:rFonts w:cs="Times New Roman"/>
          <w:szCs w:val="26"/>
        </w:rPr>
        <w:t xml:space="preserve"> sobriety</w:t>
      </w:r>
      <w:r>
        <w:rPr>
          <w:rFonts w:cs="Times New Roman"/>
          <w:szCs w:val="26"/>
        </w:rPr>
        <w:t xml:space="preserve">. </w:t>
      </w:r>
      <w:r w:rsidR="00F45DDE">
        <w:rPr>
          <w:rFonts w:cs="Times New Roman"/>
          <w:szCs w:val="26"/>
        </w:rPr>
        <w:t xml:space="preserve"> </w:t>
      </w:r>
      <w:r>
        <w:rPr>
          <w:rFonts w:cs="Times New Roman"/>
          <w:szCs w:val="26"/>
        </w:rPr>
        <w:t xml:space="preserve">Finally, as in </w:t>
      </w:r>
      <w:r>
        <w:rPr>
          <w:rFonts w:cs="Times New Roman"/>
          <w:i/>
          <w:iCs/>
          <w:szCs w:val="26"/>
        </w:rPr>
        <w:t>Lesly G.</w:t>
      </w:r>
      <w:r>
        <w:rPr>
          <w:rFonts w:cs="Times New Roman"/>
          <w:szCs w:val="26"/>
        </w:rPr>
        <w:t xml:space="preserve">, the court here did not offer any party the opportunity to present evidence or argue the merits of the petition. </w:t>
      </w:r>
      <w:r w:rsidR="00F45DDE">
        <w:rPr>
          <w:rFonts w:cs="Times New Roman"/>
          <w:szCs w:val="26"/>
        </w:rPr>
        <w:t xml:space="preserve"> </w:t>
      </w:r>
      <w:r>
        <w:rPr>
          <w:rFonts w:cs="Times New Roman"/>
          <w:szCs w:val="26"/>
        </w:rPr>
        <w:t xml:space="preserve">Therefore, </w:t>
      </w:r>
      <w:r w:rsidR="0049133A">
        <w:rPr>
          <w:rFonts w:cs="Times New Roman"/>
          <w:szCs w:val="26"/>
        </w:rPr>
        <w:t xml:space="preserve">under </w:t>
      </w:r>
      <w:r w:rsidR="0049133A">
        <w:rPr>
          <w:rFonts w:cs="Times New Roman"/>
          <w:i/>
          <w:iCs/>
          <w:szCs w:val="26"/>
        </w:rPr>
        <w:t>Lesly G.</w:t>
      </w:r>
      <w:r w:rsidR="00E7033C">
        <w:rPr>
          <w:rFonts w:cs="Times New Roman"/>
          <w:szCs w:val="26"/>
        </w:rPr>
        <w:t>,</w:t>
      </w:r>
      <w:r w:rsidR="0049133A">
        <w:rPr>
          <w:rFonts w:cs="Times New Roman"/>
          <w:szCs w:val="26"/>
        </w:rPr>
        <w:t xml:space="preserve"> </w:t>
      </w:r>
      <w:r>
        <w:rPr>
          <w:rFonts w:cs="Times New Roman"/>
          <w:szCs w:val="26"/>
        </w:rPr>
        <w:t>father was entitled to an evidentiary hearing</w:t>
      </w:r>
      <w:r w:rsidR="00E7033C">
        <w:rPr>
          <w:rFonts w:cs="Times New Roman"/>
          <w:szCs w:val="26"/>
        </w:rPr>
        <w:t>,</w:t>
      </w:r>
      <w:r>
        <w:rPr>
          <w:rFonts w:cs="Times New Roman"/>
          <w:szCs w:val="26"/>
        </w:rPr>
        <w:t xml:space="preserve"> and </w:t>
      </w:r>
      <w:r w:rsidR="0049133A">
        <w:rPr>
          <w:rFonts w:cs="Times New Roman"/>
          <w:szCs w:val="26"/>
        </w:rPr>
        <w:t xml:space="preserve">he </w:t>
      </w:r>
      <w:r>
        <w:rPr>
          <w:rFonts w:cs="Times New Roman"/>
          <w:szCs w:val="26"/>
        </w:rPr>
        <w:t>did not receive one.</w:t>
      </w:r>
    </w:p>
    <w:p w:rsidR="00E1768E" w:rsidP="00E1768E" w14:paraId="066C3EB3" w14:textId="77777777">
      <w:pPr>
        <w:ind w:firstLine="720"/>
        <w:rPr>
          <w:rFonts w:cs="Times New Roman"/>
          <w:szCs w:val="26"/>
        </w:rPr>
      </w:pPr>
      <w:r>
        <w:rPr>
          <w:rFonts w:cs="Times New Roman"/>
          <w:szCs w:val="26"/>
        </w:rPr>
        <w:t>In any event,</w:t>
      </w:r>
      <w:r w:rsidR="006C178B">
        <w:rPr>
          <w:rFonts w:cs="Times New Roman"/>
          <w:szCs w:val="26"/>
        </w:rPr>
        <w:t xml:space="preserve"> t</w:t>
      </w:r>
      <w:r w:rsidRPr="00787A94" w:rsidR="00787A94">
        <w:rPr>
          <w:rFonts w:cs="Times New Roman"/>
          <w:szCs w:val="26"/>
        </w:rPr>
        <w:t xml:space="preserve">he department </w:t>
      </w:r>
      <w:r w:rsidR="006C178B">
        <w:rPr>
          <w:rFonts w:cs="Times New Roman"/>
          <w:szCs w:val="26"/>
        </w:rPr>
        <w:t>argues</w:t>
      </w:r>
      <w:r w:rsidRPr="00787A94" w:rsidR="00787A94">
        <w:rPr>
          <w:rFonts w:cs="Times New Roman"/>
          <w:szCs w:val="26"/>
        </w:rPr>
        <w:t xml:space="preserve">, </w:t>
      </w:r>
      <w:r w:rsidR="00576447">
        <w:rPr>
          <w:rFonts w:cs="Times New Roman"/>
          <w:szCs w:val="26"/>
        </w:rPr>
        <w:t xml:space="preserve">the </w:t>
      </w:r>
      <w:r w:rsidR="00AC38CD">
        <w:rPr>
          <w:rFonts w:cs="Times New Roman"/>
          <w:szCs w:val="26"/>
        </w:rPr>
        <w:t>second judge</w:t>
      </w:r>
      <w:r w:rsidR="006C178B">
        <w:rPr>
          <w:rFonts w:cs="Times New Roman"/>
          <w:szCs w:val="26"/>
        </w:rPr>
        <w:t xml:space="preserve"> did not have to hold an evidentiary hearing because she summarily denied the petition herself, overriding </w:t>
      </w:r>
      <w:r w:rsidR="00576447">
        <w:rPr>
          <w:rFonts w:cs="Times New Roman"/>
          <w:szCs w:val="26"/>
        </w:rPr>
        <w:t>the previous judge’s</w:t>
      </w:r>
      <w:r w:rsidR="006C178B">
        <w:rPr>
          <w:rFonts w:cs="Times New Roman"/>
          <w:szCs w:val="26"/>
        </w:rPr>
        <w:t xml:space="preserve"> ruling. </w:t>
      </w:r>
      <w:r w:rsidR="00F45DDE">
        <w:rPr>
          <w:rFonts w:cs="Times New Roman"/>
          <w:szCs w:val="26"/>
        </w:rPr>
        <w:t xml:space="preserve"> </w:t>
      </w:r>
      <w:r w:rsidR="006C178B">
        <w:rPr>
          <w:rFonts w:cs="Times New Roman"/>
          <w:szCs w:val="26"/>
        </w:rPr>
        <w:t>This argument is unavailing.</w:t>
      </w:r>
      <w:r w:rsidRPr="00787A94" w:rsidR="00787A94">
        <w:rPr>
          <w:rFonts w:cs="Times New Roman"/>
          <w:szCs w:val="26"/>
        </w:rPr>
        <w:t xml:space="preserve"> </w:t>
      </w:r>
      <w:r w:rsidR="00F45DDE">
        <w:rPr>
          <w:rFonts w:cs="Times New Roman"/>
          <w:szCs w:val="26"/>
        </w:rPr>
        <w:t xml:space="preserve"> </w:t>
      </w:r>
      <w:r w:rsidR="00A423BF">
        <w:rPr>
          <w:rFonts w:cs="Times New Roman"/>
          <w:szCs w:val="26"/>
        </w:rPr>
        <w:t xml:space="preserve">Though courts </w:t>
      </w:r>
      <w:r w:rsidR="0076338C">
        <w:rPr>
          <w:rFonts w:cs="Times New Roman"/>
          <w:szCs w:val="26"/>
        </w:rPr>
        <w:t>usually</w:t>
      </w:r>
      <w:r w:rsidR="00A423BF">
        <w:rPr>
          <w:rFonts w:cs="Times New Roman"/>
          <w:szCs w:val="26"/>
        </w:rPr>
        <w:t xml:space="preserve"> have the power to correct their own prejudgment errors or reconsider interim rulings</w:t>
      </w:r>
      <w:r w:rsidR="00E7033C">
        <w:rPr>
          <w:rFonts w:cs="Times New Roman"/>
          <w:szCs w:val="26"/>
        </w:rPr>
        <w:t>,</w:t>
      </w:r>
      <w:r w:rsidR="00A423BF">
        <w:rPr>
          <w:rFonts w:cs="Times New Roman"/>
          <w:szCs w:val="26"/>
        </w:rPr>
        <w:t xml:space="preserve"> “</w:t>
      </w:r>
      <w:r w:rsidRPr="00A423BF" w:rsidR="00A423BF">
        <w:rPr>
          <w:rFonts w:cs="Times New Roman"/>
          <w:szCs w:val="26"/>
        </w:rPr>
        <w:t>if the reconsideration is accomplished by a different judge</w:t>
      </w:r>
      <w:r w:rsidR="00A423BF">
        <w:rPr>
          <w:rFonts w:cs="Times New Roman"/>
          <w:szCs w:val="26"/>
        </w:rPr>
        <w:t xml:space="preserve"> . . . the general rule is just the opposite: </w:t>
      </w:r>
      <w:r w:rsidR="00F45DDE">
        <w:rPr>
          <w:rFonts w:cs="Times New Roman"/>
          <w:szCs w:val="26"/>
        </w:rPr>
        <w:t xml:space="preserve"> </w:t>
      </w:r>
      <w:r w:rsidRPr="00A423BF" w:rsidR="00A423BF">
        <w:rPr>
          <w:rFonts w:cs="Times New Roman"/>
          <w:szCs w:val="26"/>
        </w:rPr>
        <w:t>the power of one judge to vacate an order made by another judge is limited.</w:t>
      </w:r>
      <w:r w:rsidR="00A423BF">
        <w:rPr>
          <w:rFonts w:cs="Times New Roman"/>
          <w:szCs w:val="26"/>
        </w:rPr>
        <w:t xml:space="preserve">” </w:t>
      </w:r>
      <w:r w:rsidR="00F45DDE">
        <w:rPr>
          <w:rFonts w:cs="Times New Roman"/>
          <w:szCs w:val="26"/>
        </w:rPr>
        <w:t xml:space="preserve"> </w:t>
      </w:r>
      <w:r w:rsidR="00A423BF">
        <w:rPr>
          <w:rFonts w:cs="Times New Roman"/>
          <w:szCs w:val="26"/>
        </w:rPr>
        <w:t>(</w:t>
      </w:r>
      <w:r w:rsidR="00A423BF">
        <w:rPr>
          <w:rFonts w:cs="Times New Roman"/>
          <w:i/>
          <w:iCs/>
          <w:szCs w:val="26"/>
        </w:rPr>
        <w:t xml:space="preserve">In re Alberto </w:t>
      </w:r>
      <w:r w:rsidR="00A423BF">
        <w:rPr>
          <w:rFonts w:cs="Times New Roman"/>
          <w:szCs w:val="26"/>
        </w:rPr>
        <w:t>(2002) 102 Cal.App.4th 421, 427</w:t>
      </w:r>
      <w:r w:rsidR="005F4CC8">
        <w:rPr>
          <w:rFonts w:cs="Times New Roman"/>
          <w:szCs w:val="26"/>
        </w:rPr>
        <w:t xml:space="preserve"> </w:t>
      </w:r>
      <w:r w:rsidR="00752AB6">
        <w:rPr>
          <w:rFonts w:cs="Times New Roman"/>
          <w:szCs w:val="26"/>
        </w:rPr>
        <w:t>(</w:t>
      </w:r>
      <w:r w:rsidRPr="00752AB6" w:rsidR="00752AB6">
        <w:rPr>
          <w:rFonts w:cs="Times New Roman"/>
          <w:i/>
          <w:iCs/>
          <w:szCs w:val="26"/>
        </w:rPr>
        <w:t>Alberto</w:t>
      </w:r>
      <w:r w:rsidR="00752AB6">
        <w:rPr>
          <w:rFonts w:cs="Times New Roman"/>
          <w:szCs w:val="26"/>
        </w:rPr>
        <w:t>)</w:t>
      </w:r>
      <w:r w:rsidR="00A423BF">
        <w:rPr>
          <w:rFonts w:cs="Times New Roman"/>
          <w:szCs w:val="26"/>
        </w:rPr>
        <w:t>.)</w:t>
      </w:r>
      <w:r w:rsidR="00F45DDE">
        <w:rPr>
          <w:rFonts w:cs="Times New Roman"/>
          <w:szCs w:val="26"/>
        </w:rPr>
        <w:t xml:space="preserve"> </w:t>
      </w:r>
      <w:r w:rsidR="00A423BF">
        <w:rPr>
          <w:rFonts w:cs="Times New Roman"/>
          <w:szCs w:val="26"/>
        </w:rPr>
        <w:t xml:space="preserve"> </w:t>
      </w:r>
      <w:r w:rsidR="0098442A">
        <w:rPr>
          <w:rFonts w:cs="Times New Roman"/>
          <w:szCs w:val="26"/>
        </w:rPr>
        <w:t>“ ‘</w:t>
      </w:r>
      <w:r w:rsidRPr="0098442A" w:rsidR="0098442A">
        <w:rPr>
          <w:rFonts w:cs="Times New Roman"/>
          <w:szCs w:val="26"/>
        </w:rPr>
        <w:t xml:space="preserve">This is because the state Constitution, article VI, section 4 vests jurisdiction in the court, </w:t>
      </w:r>
      <w:r w:rsidR="005F4CC8">
        <w:rPr>
          <w:rFonts w:cs="Times New Roman"/>
          <w:szCs w:val="26"/>
        </w:rPr>
        <w:t>“</w:t>
      </w:r>
      <w:r w:rsidR="00F45DDE">
        <w:rPr>
          <w:rFonts w:cs="Times New Roman"/>
          <w:szCs w:val="26"/>
        </w:rPr>
        <w:t xml:space="preserve">. . . </w:t>
      </w:r>
      <w:r w:rsidRPr="0098442A" w:rsidR="0098442A">
        <w:rPr>
          <w:rFonts w:cs="Times New Roman"/>
          <w:szCs w:val="26"/>
        </w:rPr>
        <w:t xml:space="preserve">and not in any particular judge or department </w:t>
      </w:r>
      <w:r w:rsidR="00F45DDE">
        <w:rPr>
          <w:rFonts w:cs="Times New Roman"/>
          <w:szCs w:val="26"/>
        </w:rPr>
        <w:t xml:space="preserve">. . . </w:t>
      </w:r>
      <w:r w:rsidRPr="0098442A" w:rsidR="0098442A">
        <w:rPr>
          <w:rFonts w:cs="Times New Roman"/>
          <w:szCs w:val="26"/>
        </w:rPr>
        <w:t xml:space="preserve">; and </w:t>
      </w:r>
      <w:r w:rsidR="00F45DDE">
        <w:rPr>
          <w:rFonts w:cs="Times New Roman"/>
          <w:szCs w:val="26"/>
        </w:rPr>
        <w:t>. . .</w:t>
      </w:r>
      <w:r w:rsidRPr="0098442A" w:rsidR="0098442A">
        <w:rPr>
          <w:rFonts w:cs="Times New Roman"/>
          <w:szCs w:val="26"/>
        </w:rPr>
        <w:t xml:space="preserve"> whether sitting separately or together, the judges hold but one and the same court.</w:t>
      </w:r>
      <w:r w:rsidR="005F4CC8">
        <w:rPr>
          <w:rFonts w:cs="Times New Roman"/>
          <w:szCs w:val="26"/>
        </w:rPr>
        <w:t xml:space="preserve">” </w:t>
      </w:r>
      <w:r w:rsidR="0098442A">
        <w:rPr>
          <w:rFonts w:cs="Times New Roman"/>
          <w:szCs w:val="26"/>
        </w:rPr>
        <w:t xml:space="preserve">’ ” </w:t>
      </w:r>
      <w:r w:rsidR="00F45DDE">
        <w:rPr>
          <w:rFonts w:cs="Times New Roman"/>
          <w:szCs w:val="26"/>
        </w:rPr>
        <w:t xml:space="preserve"> </w:t>
      </w:r>
      <w:r w:rsidR="0098442A">
        <w:rPr>
          <w:rFonts w:cs="Times New Roman"/>
          <w:szCs w:val="26"/>
        </w:rPr>
        <w:t>(</w:t>
      </w:r>
      <w:r w:rsidR="0098442A">
        <w:rPr>
          <w:rFonts w:cs="Times New Roman"/>
          <w:i/>
          <w:iCs/>
          <w:szCs w:val="26"/>
        </w:rPr>
        <w:t>Ford v. Superior Court</w:t>
      </w:r>
      <w:r w:rsidR="0098442A">
        <w:rPr>
          <w:rFonts w:cs="Times New Roman"/>
          <w:szCs w:val="26"/>
        </w:rPr>
        <w:t xml:space="preserve"> (1986) 188 Cal.App.3d 737, 741.) </w:t>
      </w:r>
      <w:r w:rsidR="00F45DDE">
        <w:rPr>
          <w:rFonts w:cs="Times New Roman"/>
          <w:szCs w:val="26"/>
        </w:rPr>
        <w:t xml:space="preserve"> </w:t>
      </w:r>
      <w:r w:rsidR="00686372">
        <w:rPr>
          <w:rFonts w:cs="Times New Roman"/>
          <w:szCs w:val="26"/>
        </w:rPr>
        <w:t>In short, a superior court “</w:t>
      </w:r>
      <w:r w:rsidRPr="00686372" w:rsidR="00686372">
        <w:rPr>
          <w:rFonts w:cs="Times New Roman"/>
          <w:szCs w:val="26"/>
        </w:rPr>
        <w:t>though comprised of a number of judges, is a single court and one member of that court cannot sit in review on the actions of another member of that same court.</w:t>
      </w:r>
      <w:r w:rsidR="00686372">
        <w:rPr>
          <w:rFonts w:cs="Times New Roman"/>
          <w:szCs w:val="26"/>
        </w:rPr>
        <w:t xml:space="preserve">” </w:t>
      </w:r>
      <w:r w:rsidR="00F45DDE">
        <w:rPr>
          <w:rFonts w:cs="Times New Roman"/>
          <w:szCs w:val="26"/>
        </w:rPr>
        <w:t xml:space="preserve"> </w:t>
      </w:r>
      <w:r w:rsidR="00686372">
        <w:rPr>
          <w:rFonts w:cs="Times New Roman"/>
          <w:szCs w:val="26"/>
        </w:rPr>
        <w:t>(</w:t>
      </w:r>
      <w:r w:rsidR="00686372">
        <w:rPr>
          <w:rFonts w:cs="Times New Roman"/>
          <w:i/>
          <w:iCs/>
          <w:szCs w:val="26"/>
        </w:rPr>
        <w:t>People v. Woodard</w:t>
      </w:r>
      <w:r w:rsidR="00686372">
        <w:rPr>
          <w:rFonts w:cs="Times New Roman"/>
          <w:szCs w:val="26"/>
        </w:rPr>
        <w:t xml:space="preserve"> (1982) 131 Cal.App.3d 107, 111.)</w:t>
      </w:r>
      <w:r w:rsidRPr="00686372" w:rsidR="00686372">
        <w:rPr>
          <w:rFonts w:cs="Times New Roman"/>
          <w:szCs w:val="26"/>
        </w:rPr>
        <w:t xml:space="preserve"> </w:t>
      </w:r>
      <w:r w:rsidR="00F45DDE">
        <w:rPr>
          <w:rFonts w:cs="Times New Roman"/>
          <w:szCs w:val="26"/>
        </w:rPr>
        <w:t xml:space="preserve"> </w:t>
      </w:r>
      <w:r w:rsidRPr="0076338C" w:rsidR="0076338C">
        <w:rPr>
          <w:rFonts w:cs="Times New Roman"/>
          <w:szCs w:val="26"/>
        </w:rPr>
        <w:t>“If the rule were otherwise, it would be only a matter of days until we would have a rule of man rather than a rule of law.”</w:t>
      </w:r>
      <w:r w:rsidR="00F45DDE">
        <w:rPr>
          <w:rFonts w:cs="Times New Roman"/>
          <w:szCs w:val="26"/>
        </w:rPr>
        <w:t xml:space="preserve"> </w:t>
      </w:r>
      <w:r w:rsidRPr="0076338C" w:rsidR="0076338C">
        <w:rPr>
          <w:rFonts w:cs="Times New Roman"/>
          <w:szCs w:val="26"/>
        </w:rPr>
        <w:t xml:space="preserve"> (</w:t>
      </w:r>
      <w:r w:rsidRPr="00383DCE" w:rsidR="0076338C">
        <w:rPr>
          <w:rFonts w:cs="Times New Roman"/>
          <w:i/>
          <w:iCs/>
          <w:szCs w:val="26"/>
        </w:rPr>
        <w:t>People v. Scofield</w:t>
      </w:r>
      <w:r w:rsidRPr="0076338C" w:rsidR="0076338C">
        <w:rPr>
          <w:rFonts w:cs="Times New Roman"/>
          <w:szCs w:val="26"/>
        </w:rPr>
        <w:t xml:space="preserve"> (1967) 249 Cal.App.2d 727, 734</w:t>
      </w:r>
      <w:r w:rsidR="0076338C">
        <w:rPr>
          <w:rFonts w:cs="Times New Roman"/>
          <w:szCs w:val="26"/>
        </w:rPr>
        <w:t>.)</w:t>
      </w:r>
      <w:r w:rsidR="00383DCE">
        <w:rPr>
          <w:rFonts w:cs="Times New Roman"/>
          <w:szCs w:val="26"/>
        </w:rPr>
        <w:t xml:space="preserve"> </w:t>
      </w:r>
      <w:r w:rsidR="00F45DDE">
        <w:rPr>
          <w:rFonts w:cs="Times New Roman"/>
          <w:szCs w:val="26"/>
        </w:rPr>
        <w:t xml:space="preserve"> </w:t>
      </w:r>
      <w:r w:rsidR="00C20329">
        <w:rPr>
          <w:rFonts w:cs="Times New Roman"/>
          <w:szCs w:val="26"/>
        </w:rPr>
        <w:t>This rule applies in both civil and criminal contexts</w:t>
      </w:r>
      <w:r w:rsidR="0076338C">
        <w:rPr>
          <w:rFonts w:cs="Times New Roman"/>
          <w:szCs w:val="26"/>
        </w:rPr>
        <w:t>, and</w:t>
      </w:r>
      <w:r w:rsidR="00C20329">
        <w:rPr>
          <w:rFonts w:cs="Times New Roman"/>
          <w:szCs w:val="26"/>
        </w:rPr>
        <w:t xml:space="preserve"> even applies when the second judge is seeking to correct a perceived</w:t>
      </w:r>
      <w:r w:rsidR="0076338C">
        <w:rPr>
          <w:rFonts w:cs="Times New Roman"/>
          <w:szCs w:val="26"/>
        </w:rPr>
        <w:t xml:space="preserve"> or actual</w:t>
      </w:r>
      <w:r w:rsidR="00C20329">
        <w:rPr>
          <w:rFonts w:cs="Times New Roman"/>
          <w:szCs w:val="26"/>
        </w:rPr>
        <w:t xml:space="preserve"> error in the first order</w:t>
      </w:r>
      <w:r w:rsidR="0076338C">
        <w:rPr>
          <w:rFonts w:cs="Times New Roman"/>
          <w:szCs w:val="26"/>
        </w:rPr>
        <w:t xml:space="preserve">. </w:t>
      </w:r>
      <w:r w:rsidR="00F45DDE">
        <w:rPr>
          <w:rFonts w:cs="Times New Roman"/>
          <w:szCs w:val="26"/>
        </w:rPr>
        <w:t xml:space="preserve"> </w:t>
      </w:r>
      <w:r w:rsidR="0076338C">
        <w:rPr>
          <w:rFonts w:cs="Times New Roman"/>
          <w:szCs w:val="26"/>
        </w:rPr>
        <w:t>(</w:t>
      </w:r>
      <w:r w:rsidR="00752AB6">
        <w:rPr>
          <w:rFonts w:cs="Times New Roman"/>
          <w:i/>
          <w:iCs/>
          <w:szCs w:val="26"/>
        </w:rPr>
        <w:t>Alberto</w:t>
      </w:r>
      <w:r w:rsidR="00752AB6">
        <w:rPr>
          <w:rFonts w:cs="Times New Roman"/>
          <w:szCs w:val="26"/>
        </w:rPr>
        <w:t>,</w:t>
      </w:r>
      <w:r w:rsidR="0076338C">
        <w:rPr>
          <w:rFonts w:cs="Times New Roman"/>
          <w:szCs w:val="26"/>
        </w:rPr>
        <w:t xml:space="preserve"> at p.</w:t>
      </w:r>
      <w:r w:rsidR="00F45DDE">
        <w:rPr>
          <w:rFonts w:cs="Times New Roman"/>
          <w:szCs w:val="26"/>
        </w:rPr>
        <w:t> </w:t>
      </w:r>
      <w:r w:rsidR="0076338C">
        <w:rPr>
          <w:rFonts w:cs="Times New Roman"/>
          <w:szCs w:val="26"/>
        </w:rPr>
        <w:t>427 [“</w:t>
      </w:r>
      <w:r w:rsidRPr="0076338C" w:rsidR="0076338C">
        <w:rPr>
          <w:rFonts w:cs="Times New Roman"/>
          <w:szCs w:val="26"/>
        </w:rPr>
        <w:t xml:space="preserve">For one superior court judge, </w:t>
      </w:r>
      <w:r w:rsidRPr="00C20329" w:rsidR="00C20329">
        <w:rPr>
          <w:rFonts w:cs="Times New Roman"/>
          <w:szCs w:val="26"/>
        </w:rPr>
        <w:t>no matter how well intended, even if correct as a matter of law, to nullify a duly made, erroneous ruling of another superior court judge places the second judge in the role of a one-judge appellate court.</w:t>
      </w:r>
      <w:r w:rsidR="00C20329">
        <w:rPr>
          <w:rFonts w:cs="Times New Roman"/>
          <w:szCs w:val="26"/>
        </w:rPr>
        <w:t>”</w:t>
      </w:r>
      <w:r w:rsidR="00752AB6">
        <w:rPr>
          <w:rFonts w:cs="Times New Roman"/>
          <w:szCs w:val="26"/>
        </w:rPr>
        <w:t>].</w:t>
      </w:r>
      <w:r w:rsidR="00E7033C">
        <w:rPr>
          <w:rFonts w:cs="Times New Roman"/>
          <w:szCs w:val="26"/>
        </w:rPr>
        <w:t>)</w:t>
      </w:r>
      <w:r w:rsidR="00C20329">
        <w:rPr>
          <w:rFonts w:cs="Times New Roman"/>
          <w:szCs w:val="26"/>
        </w:rPr>
        <w:t xml:space="preserve"> </w:t>
      </w:r>
      <w:r w:rsidR="00F45DDE">
        <w:rPr>
          <w:rFonts w:cs="Times New Roman"/>
          <w:szCs w:val="26"/>
        </w:rPr>
        <w:t xml:space="preserve"> </w:t>
      </w:r>
      <w:r w:rsidR="00C20329">
        <w:rPr>
          <w:rFonts w:cs="Times New Roman"/>
          <w:szCs w:val="26"/>
        </w:rPr>
        <w:t xml:space="preserve">Accordingly, </w:t>
      </w:r>
      <w:r w:rsidR="006C178B">
        <w:rPr>
          <w:rFonts w:cs="Times New Roman"/>
          <w:szCs w:val="26"/>
        </w:rPr>
        <w:t>o</w:t>
      </w:r>
      <w:r w:rsidR="00C20329">
        <w:rPr>
          <w:rFonts w:cs="Times New Roman"/>
          <w:szCs w:val="26"/>
        </w:rPr>
        <w:t xml:space="preserve">nce </w:t>
      </w:r>
      <w:r w:rsidR="00576447">
        <w:rPr>
          <w:rFonts w:cs="Times New Roman"/>
          <w:szCs w:val="26"/>
        </w:rPr>
        <w:t>the first judge</w:t>
      </w:r>
      <w:r w:rsidR="00C20329">
        <w:rPr>
          <w:rFonts w:cs="Times New Roman"/>
          <w:szCs w:val="26"/>
        </w:rPr>
        <w:t xml:space="preserve"> found father stated a prima facie case and ordered an evidentiary hearing,</w:t>
      </w:r>
      <w:r w:rsidRPr="00787A94" w:rsidR="00787A94">
        <w:rPr>
          <w:rFonts w:cs="Times New Roman"/>
          <w:szCs w:val="26"/>
        </w:rPr>
        <w:t xml:space="preserve"> </w:t>
      </w:r>
      <w:r w:rsidR="00576447">
        <w:rPr>
          <w:rFonts w:cs="Times New Roman"/>
          <w:szCs w:val="26"/>
        </w:rPr>
        <w:t>the second judge</w:t>
      </w:r>
      <w:r w:rsidRPr="00787A94" w:rsidR="00787A94">
        <w:rPr>
          <w:rFonts w:cs="Times New Roman"/>
          <w:szCs w:val="26"/>
        </w:rPr>
        <w:t xml:space="preserve"> </w:t>
      </w:r>
      <w:r w:rsidR="00C20329">
        <w:rPr>
          <w:rFonts w:cs="Times New Roman"/>
          <w:szCs w:val="26"/>
        </w:rPr>
        <w:t>did not have the power to contradict that order and summarily deny the petition herself</w:t>
      </w:r>
      <w:r w:rsidR="00787A94">
        <w:rPr>
          <w:rFonts w:cs="Times New Roman"/>
          <w:szCs w:val="26"/>
        </w:rPr>
        <w:t>.</w:t>
      </w:r>
    </w:p>
    <w:p w:rsidR="00305B7B" w:rsidP="00E1768E" w14:paraId="5A4AF1FC" w14:textId="7CDEB254">
      <w:pPr>
        <w:ind w:firstLine="720"/>
        <w:rPr>
          <w:rFonts w:cs="Times New Roman"/>
          <w:szCs w:val="26"/>
        </w:rPr>
      </w:pPr>
      <w:r>
        <w:rPr>
          <w:rFonts w:cs="Times New Roman"/>
          <w:szCs w:val="26"/>
        </w:rPr>
        <w:t xml:space="preserve">We therefore conclude </w:t>
      </w:r>
      <w:r w:rsidR="00576447">
        <w:rPr>
          <w:rFonts w:cs="Times New Roman"/>
          <w:szCs w:val="26"/>
        </w:rPr>
        <w:t xml:space="preserve">the </w:t>
      </w:r>
      <w:r w:rsidR="005327B2">
        <w:rPr>
          <w:rFonts w:cs="Times New Roman"/>
          <w:szCs w:val="26"/>
        </w:rPr>
        <w:t>second judge</w:t>
      </w:r>
      <w:r w:rsidR="00AA3ADB">
        <w:rPr>
          <w:rFonts w:cs="Times New Roman"/>
          <w:szCs w:val="26"/>
        </w:rPr>
        <w:t>’s</w:t>
      </w:r>
      <w:r>
        <w:rPr>
          <w:rFonts w:cs="Times New Roman"/>
          <w:szCs w:val="26"/>
        </w:rPr>
        <w:t xml:space="preserve"> decision to </w:t>
      </w:r>
      <w:r w:rsidR="00AA3ADB">
        <w:rPr>
          <w:rFonts w:cs="Times New Roman"/>
          <w:szCs w:val="26"/>
        </w:rPr>
        <w:t>summarily deny father’s petition, or otherwise fail to hold an evidentiary hearing</w:t>
      </w:r>
      <w:r w:rsidR="00356354">
        <w:rPr>
          <w:rFonts w:cs="Times New Roman"/>
          <w:szCs w:val="26"/>
        </w:rPr>
        <w:t>,</w:t>
      </w:r>
      <w:r w:rsidR="001D47A1">
        <w:rPr>
          <w:rFonts w:cs="Times New Roman"/>
          <w:szCs w:val="26"/>
        </w:rPr>
        <w:t xml:space="preserve"> did not comport with due process. </w:t>
      </w:r>
      <w:r w:rsidR="00F45DDE">
        <w:rPr>
          <w:rFonts w:cs="Times New Roman"/>
          <w:szCs w:val="26"/>
        </w:rPr>
        <w:t xml:space="preserve"> </w:t>
      </w:r>
      <w:r w:rsidR="001D47A1">
        <w:rPr>
          <w:rFonts w:cs="Times New Roman"/>
          <w:szCs w:val="26"/>
        </w:rPr>
        <w:t>“[B]</w:t>
      </w:r>
      <w:r w:rsidRPr="001D47A1" w:rsidR="001D47A1">
        <w:rPr>
          <w:rFonts w:cs="Times New Roman"/>
          <w:szCs w:val="26"/>
        </w:rPr>
        <w:t>ecause we reverse the order denying appellant</w:t>
      </w:r>
      <w:r w:rsidR="001D47A1">
        <w:rPr>
          <w:rFonts w:cs="Times New Roman"/>
          <w:szCs w:val="26"/>
        </w:rPr>
        <w:t>’</w:t>
      </w:r>
      <w:r w:rsidRPr="001D47A1" w:rsidR="001D47A1">
        <w:rPr>
          <w:rFonts w:cs="Times New Roman"/>
          <w:szCs w:val="26"/>
        </w:rPr>
        <w:t>s petition for failure to comport with due process, we must also reverse the order under section 366.26 terminating parental rights and selecting adoption as the permanent plan.</w:t>
      </w:r>
      <w:r w:rsidR="001D47A1">
        <w:rPr>
          <w:rFonts w:cs="Times New Roman"/>
          <w:szCs w:val="26"/>
        </w:rPr>
        <w:t>”</w:t>
      </w:r>
      <w:r w:rsidR="00F45DDE">
        <w:rPr>
          <w:rFonts w:cs="Times New Roman"/>
          <w:szCs w:val="26"/>
        </w:rPr>
        <w:t xml:space="preserve"> </w:t>
      </w:r>
      <w:r w:rsidR="001D47A1">
        <w:rPr>
          <w:rFonts w:cs="Times New Roman"/>
          <w:szCs w:val="26"/>
        </w:rPr>
        <w:t xml:space="preserve"> (</w:t>
      </w:r>
      <w:r w:rsidR="001D47A1">
        <w:rPr>
          <w:rFonts w:cs="Times New Roman"/>
          <w:i/>
          <w:iCs/>
          <w:szCs w:val="26"/>
        </w:rPr>
        <w:t>Lesly G.</w:t>
      </w:r>
      <w:r w:rsidRPr="00CF17FE" w:rsidR="001D47A1">
        <w:rPr>
          <w:rFonts w:cs="Times New Roman"/>
          <w:szCs w:val="26"/>
        </w:rPr>
        <w:t>,</w:t>
      </w:r>
      <w:r w:rsidR="001D47A1">
        <w:rPr>
          <w:rFonts w:cs="Times New Roman"/>
          <w:i/>
          <w:iCs/>
          <w:szCs w:val="26"/>
        </w:rPr>
        <w:t xml:space="preserve"> supra</w:t>
      </w:r>
      <w:r w:rsidRPr="00CF17FE" w:rsidR="001D47A1">
        <w:rPr>
          <w:rFonts w:cs="Times New Roman"/>
          <w:szCs w:val="26"/>
        </w:rPr>
        <w:t xml:space="preserve">, </w:t>
      </w:r>
      <w:r w:rsidR="001D47A1">
        <w:rPr>
          <w:rFonts w:cs="Times New Roman"/>
          <w:szCs w:val="26"/>
        </w:rPr>
        <w:t>1</w:t>
      </w:r>
      <w:r w:rsidR="005F4CC8">
        <w:rPr>
          <w:rFonts w:cs="Times New Roman"/>
          <w:szCs w:val="26"/>
        </w:rPr>
        <w:t>6</w:t>
      </w:r>
      <w:r w:rsidR="001D47A1">
        <w:rPr>
          <w:rFonts w:cs="Times New Roman"/>
          <w:szCs w:val="26"/>
        </w:rPr>
        <w:t xml:space="preserve">2 Cal.App.4th at p. 916.) </w:t>
      </w:r>
      <w:r w:rsidR="00CF17FE">
        <w:rPr>
          <w:rFonts w:cs="Times New Roman"/>
          <w:szCs w:val="26"/>
        </w:rPr>
        <w:t xml:space="preserve"> </w:t>
      </w:r>
      <w:r w:rsidR="001D47A1">
        <w:rPr>
          <w:rFonts w:cs="Times New Roman"/>
          <w:szCs w:val="26"/>
        </w:rPr>
        <w:t xml:space="preserve">We do so “ ‘with reluctance . . . </w:t>
      </w:r>
      <w:r w:rsidRPr="001D47A1" w:rsidR="001D47A1">
        <w:rPr>
          <w:rFonts w:cs="Times New Roman"/>
          <w:szCs w:val="26"/>
        </w:rPr>
        <w:t xml:space="preserve">for each delay in reaching a permanent plan </w:t>
      </w:r>
      <w:r w:rsidR="001D47A1">
        <w:rPr>
          <w:rFonts w:cs="Times New Roman"/>
          <w:szCs w:val="26"/>
        </w:rPr>
        <w:t>“</w:t>
      </w:r>
      <w:r w:rsidRPr="001D47A1" w:rsidR="001D47A1">
        <w:rPr>
          <w:rFonts w:cs="Times New Roman"/>
          <w:szCs w:val="26"/>
        </w:rPr>
        <w:t>can be a lifetime to a young child.</w:t>
      </w:r>
      <w:r w:rsidR="001D47A1">
        <w:rPr>
          <w:rFonts w:cs="Times New Roman"/>
          <w:szCs w:val="26"/>
        </w:rPr>
        <w:t xml:space="preserve">” </w:t>
      </w:r>
      <w:r w:rsidRPr="001D47A1" w:rsidR="001D47A1">
        <w:rPr>
          <w:rFonts w:cs="Times New Roman"/>
          <w:szCs w:val="26"/>
        </w:rPr>
        <w:t>’</w:t>
      </w:r>
      <w:r w:rsidR="00CF17FE">
        <w:rPr>
          <w:rFonts w:cs="Times New Roman"/>
          <w:szCs w:val="26"/>
        </w:rPr>
        <w:t xml:space="preserve">  </w:t>
      </w:r>
      <w:r w:rsidR="001D47A1">
        <w:rPr>
          <w:rFonts w:cs="Times New Roman"/>
          <w:szCs w:val="26"/>
        </w:rPr>
        <w:t xml:space="preserve">[Citation.] </w:t>
      </w:r>
      <w:r w:rsidR="00CF17FE">
        <w:rPr>
          <w:rFonts w:cs="Times New Roman"/>
          <w:szCs w:val="26"/>
        </w:rPr>
        <w:t xml:space="preserve"> </w:t>
      </w:r>
      <w:r w:rsidRPr="001D47A1" w:rsidR="001D47A1">
        <w:rPr>
          <w:rFonts w:cs="Times New Roman"/>
          <w:szCs w:val="26"/>
        </w:rPr>
        <w:t xml:space="preserve">Nevertheless, where the petitioner presented a prima facie case of changed circumstances sufficient to trigger </w:t>
      </w:r>
      <w:r w:rsidR="001D47A1">
        <w:rPr>
          <w:rFonts w:cs="Times New Roman"/>
          <w:szCs w:val="26"/>
        </w:rPr>
        <w:t>[their]</w:t>
      </w:r>
      <w:r w:rsidRPr="001D47A1" w:rsidR="001D47A1">
        <w:rPr>
          <w:rFonts w:cs="Times New Roman"/>
          <w:szCs w:val="26"/>
        </w:rPr>
        <w:t xml:space="preserve"> entitlement to a section 388 hearing, we cannot presume that a hearing would have been fruitless.</w:t>
      </w:r>
      <w:r w:rsidR="001D47A1">
        <w:rPr>
          <w:rFonts w:cs="Times New Roman"/>
          <w:szCs w:val="26"/>
        </w:rPr>
        <w:t xml:space="preserve">” </w:t>
      </w:r>
      <w:r w:rsidR="00CF17FE">
        <w:rPr>
          <w:rFonts w:cs="Times New Roman"/>
          <w:szCs w:val="26"/>
        </w:rPr>
        <w:t xml:space="preserve"> </w:t>
      </w:r>
      <w:r w:rsidR="001D47A1">
        <w:rPr>
          <w:rFonts w:cs="Times New Roman"/>
          <w:szCs w:val="26"/>
        </w:rPr>
        <w:t>(</w:t>
      </w:r>
      <w:r w:rsidR="001D47A1">
        <w:rPr>
          <w:rFonts w:cs="Times New Roman"/>
          <w:i/>
          <w:iCs/>
          <w:szCs w:val="26"/>
        </w:rPr>
        <w:t>Ibid.</w:t>
      </w:r>
      <w:r w:rsidR="001D47A1">
        <w:rPr>
          <w:rFonts w:cs="Times New Roman"/>
          <w:szCs w:val="26"/>
        </w:rPr>
        <w:t>)</w:t>
      </w:r>
      <w:r w:rsidR="00CA5D4A">
        <w:rPr>
          <w:rFonts w:cs="Times New Roman"/>
          <w:szCs w:val="26"/>
        </w:rPr>
        <w:t xml:space="preserve"> </w:t>
      </w:r>
      <w:r w:rsidR="00CF17FE">
        <w:rPr>
          <w:rFonts w:cs="Times New Roman"/>
          <w:szCs w:val="26"/>
        </w:rPr>
        <w:t xml:space="preserve"> </w:t>
      </w:r>
      <w:r w:rsidR="00CA5D4A">
        <w:rPr>
          <w:rFonts w:cs="Times New Roman"/>
          <w:szCs w:val="26"/>
        </w:rPr>
        <w:t xml:space="preserve">We take no position on </w:t>
      </w:r>
      <w:r w:rsidR="00AC1811">
        <w:rPr>
          <w:rFonts w:cs="Times New Roman"/>
          <w:szCs w:val="26"/>
        </w:rPr>
        <w:t>how the court should rule on father’s petition.</w:t>
      </w:r>
      <w:r w:rsidR="00CF17FE">
        <w:rPr>
          <w:rFonts w:cs="Times New Roman"/>
          <w:szCs w:val="26"/>
        </w:rPr>
        <w:t xml:space="preserve"> </w:t>
      </w:r>
      <w:r w:rsidR="00AC1811">
        <w:rPr>
          <w:rFonts w:cs="Times New Roman"/>
          <w:szCs w:val="26"/>
        </w:rPr>
        <w:t xml:space="preserve"> We hold only that he</w:t>
      </w:r>
      <w:r w:rsidR="00CA5D4A">
        <w:rPr>
          <w:rFonts w:cs="Times New Roman"/>
          <w:szCs w:val="26"/>
        </w:rPr>
        <w:t xml:space="preserve"> is entitled to a full and fair hearing before </w:t>
      </w:r>
      <w:r w:rsidR="00AC1811">
        <w:rPr>
          <w:rFonts w:cs="Times New Roman"/>
          <w:szCs w:val="26"/>
        </w:rPr>
        <w:t>the court makes</w:t>
      </w:r>
      <w:r w:rsidR="00CA5D4A">
        <w:rPr>
          <w:rFonts w:cs="Times New Roman"/>
          <w:szCs w:val="26"/>
        </w:rPr>
        <w:t xml:space="preserve"> that determination.</w:t>
      </w:r>
    </w:p>
    <w:p w:rsidR="008E1A95" w:rsidRPr="00D83E93" w:rsidP="009710E8" w14:paraId="50A6CA97" w14:textId="5DD08C8B">
      <w:pPr>
        <w:keepNext/>
        <w:keepLines/>
        <w:jc w:val="center"/>
        <w:rPr>
          <w:rFonts w:cs="Times New Roman"/>
          <w:bCs/>
          <w:szCs w:val="26"/>
        </w:rPr>
      </w:pPr>
      <w:r>
        <w:rPr>
          <w:rFonts w:cs="Times New Roman"/>
          <w:bCs/>
          <w:szCs w:val="26"/>
        </w:rPr>
        <w:t xml:space="preserve">III. </w:t>
      </w:r>
      <w:r w:rsidR="001C7388">
        <w:rPr>
          <w:rFonts w:cs="Times New Roman"/>
          <w:bCs/>
          <w:szCs w:val="26"/>
        </w:rPr>
        <w:t>DISPOSITION</w:t>
      </w:r>
    </w:p>
    <w:p w:rsidR="00CA5D4A" w:rsidP="009710E8" w14:paraId="684A95B5" w14:textId="76B47316">
      <w:pPr>
        <w:ind w:firstLine="720"/>
        <w:rPr>
          <w:szCs w:val="26"/>
        </w:rPr>
      </w:pPr>
      <w:r>
        <w:rPr>
          <w:szCs w:val="26"/>
        </w:rPr>
        <w:t>We reverse t</w:t>
      </w:r>
      <w:r w:rsidRPr="0028077D" w:rsidR="0028077D">
        <w:rPr>
          <w:szCs w:val="26"/>
        </w:rPr>
        <w:t xml:space="preserve">he order terminating </w:t>
      </w:r>
      <w:r>
        <w:rPr>
          <w:szCs w:val="26"/>
        </w:rPr>
        <w:t>father’s</w:t>
      </w:r>
      <w:r w:rsidRPr="0028077D" w:rsidR="0028077D">
        <w:rPr>
          <w:szCs w:val="26"/>
        </w:rPr>
        <w:t xml:space="preserve"> parental rights</w:t>
      </w:r>
      <w:r w:rsidR="008F76F2">
        <w:rPr>
          <w:szCs w:val="26"/>
        </w:rPr>
        <w:t xml:space="preserve"> and </w:t>
      </w:r>
      <w:r>
        <w:rPr>
          <w:szCs w:val="26"/>
        </w:rPr>
        <w:t xml:space="preserve">vacate </w:t>
      </w:r>
      <w:r w:rsidR="008F76F2">
        <w:rPr>
          <w:szCs w:val="26"/>
        </w:rPr>
        <w:t>the court’s finding that ICWA does not apply</w:t>
      </w:r>
      <w:r w:rsidRPr="0028077D" w:rsidR="0028077D">
        <w:rPr>
          <w:szCs w:val="26"/>
        </w:rPr>
        <w:t>.</w:t>
      </w:r>
      <w:r>
        <w:rPr>
          <w:szCs w:val="26"/>
        </w:rPr>
        <w:t xml:space="preserve"> </w:t>
      </w:r>
      <w:r w:rsidR="00CF17FE">
        <w:rPr>
          <w:szCs w:val="26"/>
        </w:rPr>
        <w:t xml:space="preserve"> </w:t>
      </w:r>
      <w:r>
        <w:rPr>
          <w:szCs w:val="26"/>
        </w:rPr>
        <w:t>We remand t</w:t>
      </w:r>
      <w:r w:rsidRPr="0028077D" w:rsidR="0028077D">
        <w:rPr>
          <w:szCs w:val="26"/>
        </w:rPr>
        <w:t>he matter to the juvenile court with directions to</w:t>
      </w:r>
      <w:r w:rsidRPr="00CA5D4A">
        <w:t xml:space="preserve"> </w:t>
      </w:r>
      <w:r w:rsidRPr="00CA5D4A">
        <w:rPr>
          <w:szCs w:val="26"/>
        </w:rPr>
        <w:t xml:space="preserve">afford </w:t>
      </w:r>
      <w:r>
        <w:rPr>
          <w:szCs w:val="26"/>
        </w:rPr>
        <w:t>father</w:t>
      </w:r>
      <w:r w:rsidRPr="00CA5D4A">
        <w:rPr>
          <w:szCs w:val="26"/>
        </w:rPr>
        <w:t xml:space="preserve"> a</w:t>
      </w:r>
      <w:r>
        <w:rPr>
          <w:szCs w:val="26"/>
        </w:rPr>
        <w:t>n evidentiary</w:t>
      </w:r>
      <w:r w:rsidRPr="00CA5D4A">
        <w:rPr>
          <w:szCs w:val="26"/>
        </w:rPr>
        <w:t xml:space="preserve"> hearing on </w:t>
      </w:r>
      <w:r>
        <w:rPr>
          <w:szCs w:val="26"/>
        </w:rPr>
        <w:t>his</w:t>
      </w:r>
      <w:r w:rsidRPr="00CA5D4A">
        <w:rPr>
          <w:szCs w:val="26"/>
        </w:rPr>
        <w:t xml:space="preserve"> section 388 petition before proceeding to the section 366.26 hearing.</w:t>
      </w:r>
    </w:p>
    <w:p w:rsidR="00F4670F" w:rsidP="009710E8" w14:paraId="2AD35F4B" w14:textId="7FCC57BD">
      <w:pPr>
        <w:ind w:firstLine="720"/>
        <w:rPr>
          <w:szCs w:val="26"/>
        </w:rPr>
      </w:pPr>
      <w:r>
        <w:rPr>
          <w:szCs w:val="26"/>
        </w:rPr>
        <w:t>We also direct the court and the department to</w:t>
      </w:r>
      <w:r w:rsidRPr="0028077D" w:rsidR="0028077D">
        <w:rPr>
          <w:szCs w:val="26"/>
        </w:rPr>
        <w:t xml:space="preserve"> comply with the inquiry provisions of ICWA and of sections 224.2 and 224.3—and, if applicable, the notice provisions as well—consistent with this opinion</w:t>
      </w:r>
      <w:r w:rsidR="00AC1811">
        <w:rPr>
          <w:szCs w:val="26"/>
        </w:rPr>
        <w:t>.</w:t>
      </w:r>
    </w:p>
    <w:p w:rsidR="003631F5" w:rsidRPr="003631F5" w:rsidP="003631F5" w14:paraId="55AB8C6F" w14:textId="77777777">
      <w:pPr>
        <w:keepNext/>
        <w:keepLines/>
        <w:suppressAutoHyphens/>
        <w:ind w:firstLine="720"/>
        <w:rPr>
          <w:rFonts w:eastAsia="Times New Roman" w:cs="Times New Roman"/>
          <w:szCs w:val="26"/>
        </w:rPr>
      </w:pPr>
      <w:r>
        <w:rPr>
          <w:rFonts w:eastAsia="Times New Roman" w:cs="Times New Roman"/>
          <w:szCs w:val="26"/>
        </w:rPr>
        <w:t>CERTIFIED FOR PARTIAL PUBLICATION</w:t>
      </w:r>
    </w:p>
    <w:p w:rsidR="003631F5" w:rsidRPr="003631F5" w:rsidP="003631F5" w14:paraId="31376AF9" w14:textId="77777777">
      <w:pPr>
        <w:keepNext/>
        <w:keepLines/>
        <w:tabs>
          <w:tab w:val="left" w:pos="2880"/>
        </w:tabs>
        <w:overflowPunct w:val="0"/>
        <w:autoSpaceDE w:val="0"/>
        <w:autoSpaceDN w:val="0"/>
        <w:adjustRightInd w:val="0"/>
        <w:spacing w:line="240" w:lineRule="auto"/>
        <w:jc w:val="right"/>
        <w:rPr>
          <w:rFonts w:eastAsia="Times New Roman" w:cs="Times New Roman"/>
          <w:szCs w:val="26"/>
          <w:u w:val="single"/>
        </w:rPr>
      </w:pPr>
    </w:p>
    <w:p w:rsidR="003631F5" w:rsidRPr="003631F5" w:rsidP="003631F5" w14:paraId="360F9478" w14:textId="77777777">
      <w:pPr>
        <w:keepNext/>
        <w:keepLines/>
        <w:tabs>
          <w:tab w:val="left" w:pos="2880"/>
        </w:tabs>
        <w:overflowPunct w:val="0"/>
        <w:autoSpaceDE w:val="0"/>
        <w:autoSpaceDN w:val="0"/>
        <w:adjustRightInd w:val="0"/>
        <w:spacing w:line="240" w:lineRule="auto"/>
        <w:jc w:val="right"/>
        <w:rPr>
          <w:rFonts w:eastAsia="Times New Roman" w:cs="Times New Roman"/>
          <w:szCs w:val="26"/>
        </w:rPr>
      </w:pPr>
      <w:r w:rsidRPr="003631F5">
        <w:rPr>
          <w:rFonts w:eastAsia="Times New Roman" w:cs="Times New Roman"/>
          <w:szCs w:val="26"/>
          <w:u w:val="single"/>
        </w:rPr>
        <w:t>RAPHAEL</w:t>
      </w:r>
      <w:r w:rsidRPr="003631F5">
        <w:rPr>
          <w:rFonts w:eastAsia="Times New Roman" w:cs="Times New Roman"/>
          <w:szCs w:val="26"/>
          <w:u w:val="single"/>
        </w:rPr>
        <w:tab/>
      </w:r>
    </w:p>
    <w:p w:rsidR="003631F5" w:rsidRPr="003631F5" w:rsidP="003631F5" w14:paraId="0EBF9A69" w14:textId="77777777">
      <w:pPr>
        <w:keepNext/>
        <w:keepLines/>
        <w:tabs>
          <w:tab w:val="left" w:pos="2880"/>
        </w:tabs>
        <w:overflowPunct w:val="0"/>
        <w:autoSpaceDE w:val="0"/>
        <w:autoSpaceDN w:val="0"/>
        <w:adjustRightInd w:val="0"/>
        <w:spacing w:line="240" w:lineRule="auto"/>
        <w:jc w:val="right"/>
        <w:rPr>
          <w:rFonts w:eastAsia="Times New Roman" w:cs="Times New Roman"/>
          <w:szCs w:val="26"/>
        </w:rPr>
      </w:pPr>
      <w:r w:rsidRPr="003631F5">
        <w:rPr>
          <w:rFonts w:eastAsia="Times New Roman" w:cs="Times New Roman"/>
          <w:szCs w:val="26"/>
        </w:rPr>
        <w:tab/>
        <w:t>J.</w:t>
      </w:r>
    </w:p>
    <w:p w:rsidR="003631F5" w:rsidRPr="003631F5" w:rsidP="003631F5" w14:paraId="67936750" w14:textId="63336CD6">
      <w:pPr>
        <w:tabs>
          <w:tab w:val="right" w:pos="2880"/>
        </w:tabs>
        <w:overflowPunct w:val="0"/>
        <w:autoSpaceDE w:val="0"/>
        <w:autoSpaceDN w:val="0"/>
        <w:adjustRightInd w:val="0"/>
        <w:spacing w:line="240" w:lineRule="auto"/>
        <w:rPr>
          <w:rFonts w:eastAsia="Times New Roman" w:cs="Times New Roman"/>
          <w:szCs w:val="26"/>
        </w:rPr>
      </w:pPr>
      <w:r>
        <w:rPr>
          <w:rFonts w:eastAsia="Times New Roman" w:cs="Times New Roman"/>
          <w:szCs w:val="26"/>
        </w:rPr>
        <w:t>I</w:t>
      </w:r>
      <w:r w:rsidRPr="003631F5">
        <w:rPr>
          <w:rFonts w:eastAsia="Times New Roman" w:cs="Times New Roman"/>
          <w:szCs w:val="26"/>
        </w:rPr>
        <w:t xml:space="preserve"> concur:</w:t>
      </w:r>
    </w:p>
    <w:p w:rsidR="003631F5" w:rsidP="003631F5" w14:paraId="1CEF589B" w14:textId="429A39F5">
      <w:pPr>
        <w:tabs>
          <w:tab w:val="right" w:pos="2880"/>
        </w:tabs>
        <w:overflowPunct w:val="0"/>
        <w:autoSpaceDE w:val="0"/>
        <w:autoSpaceDN w:val="0"/>
        <w:adjustRightInd w:val="0"/>
        <w:spacing w:line="240" w:lineRule="auto"/>
        <w:rPr>
          <w:rFonts w:eastAsia="Times New Roman" w:cs="Times New Roman"/>
          <w:szCs w:val="26"/>
        </w:rPr>
      </w:pPr>
    </w:p>
    <w:p w:rsidR="00472DE8" w:rsidRPr="003631F5" w:rsidP="003631F5" w14:paraId="31AE53A2" w14:textId="77777777">
      <w:pPr>
        <w:tabs>
          <w:tab w:val="right" w:pos="2880"/>
        </w:tabs>
        <w:overflowPunct w:val="0"/>
        <w:autoSpaceDE w:val="0"/>
        <w:autoSpaceDN w:val="0"/>
        <w:adjustRightInd w:val="0"/>
        <w:spacing w:line="240" w:lineRule="auto"/>
        <w:rPr>
          <w:rFonts w:eastAsia="Times New Roman" w:cs="Times New Roman"/>
          <w:szCs w:val="26"/>
        </w:rPr>
      </w:pPr>
    </w:p>
    <w:p w:rsidR="003631F5" w:rsidRPr="003631F5" w:rsidP="003631F5" w14:paraId="25270568" w14:textId="77777777">
      <w:pPr>
        <w:tabs>
          <w:tab w:val="right" w:pos="2880"/>
        </w:tabs>
        <w:overflowPunct w:val="0"/>
        <w:autoSpaceDE w:val="0"/>
        <w:autoSpaceDN w:val="0"/>
        <w:adjustRightInd w:val="0"/>
        <w:spacing w:line="240" w:lineRule="auto"/>
        <w:rPr>
          <w:rFonts w:eastAsia="Times New Roman" w:cs="Times New Roman"/>
          <w:szCs w:val="26"/>
        </w:rPr>
      </w:pPr>
      <w:r w:rsidRPr="003631F5">
        <w:rPr>
          <w:rFonts w:eastAsia="Times New Roman" w:cs="Times New Roman"/>
          <w:szCs w:val="26"/>
          <w:u w:val="single"/>
        </w:rPr>
        <w:t>McKINSTER</w:t>
      </w:r>
      <w:r w:rsidRPr="003631F5">
        <w:rPr>
          <w:rFonts w:eastAsia="Times New Roman" w:cs="Times New Roman"/>
          <w:szCs w:val="26"/>
          <w:u w:val="single"/>
        </w:rPr>
        <w:tab/>
      </w:r>
    </w:p>
    <w:p w:rsidR="003631F5" w:rsidRPr="003631F5" w:rsidP="003631F5" w14:paraId="65072B1D" w14:textId="77777777">
      <w:pPr>
        <w:tabs>
          <w:tab w:val="right" w:pos="2880"/>
        </w:tabs>
        <w:overflowPunct w:val="0"/>
        <w:autoSpaceDE w:val="0"/>
        <w:autoSpaceDN w:val="0"/>
        <w:adjustRightInd w:val="0"/>
        <w:spacing w:line="240" w:lineRule="auto"/>
        <w:rPr>
          <w:rFonts w:eastAsia="Times New Roman" w:cs="Times New Roman"/>
          <w:szCs w:val="26"/>
        </w:rPr>
      </w:pPr>
      <w:r w:rsidRPr="003631F5">
        <w:rPr>
          <w:rFonts w:eastAsia="Times New Roman" w:cs="Times New Roman"/>
          <w:szCs w:val="26"/>
        </w:rPr>
        <w:tab/>
        <w:t xml:space="preserve"> Acting P. J.</w:t>
      </w:r>
    </w:p>
    <w:p w:rsidR="003631F5" w:rsidP="003631F5" w14:paraId="5F0DEA8C" w14:textId="07CB2959">
      <w:pPr>
        <w:tabs>
          <w:tab w:val="right" w:pos="2880"/>
        </w:tabs>
        <w:overflowPunct w:val="0"/>
        <w:autoSpaceDE w:val="0"/>
        <w:autoSpaceDN w:val="0"/>
        <w:adjustRightInd w:val="0"/>
        <w:spacing w:line="240" w:lineRule="auto"/>
        <w:rPr>
          <w:rFonts w:eastAsia="Times New Roman" w:cs="Times New Roman"/>
          <w:szCs w:val="26"/>
          <w:u w:val="single"/>
        </w:rPr>
      </w:pPr>
    </w:p>
    <w:p w:rsidR="00394D9E" w:rsidP="003631F5" w14:paraId="1CA4E4A5" w14:textId="77777777">
      <w:pPr>
        <w:tabs>
          <w:tab w:val="right" w:pos="2880"/>
        </w:tabs>
        <w:overflowPunct w:val="0"/>
        <w:autoSpaceDE w:val="0"/>
        <w:autoSpaceDN w:val="0"/>
        <w:adjustRightInd w:val="0"/>
        <w:spacing w:line="240" w:lineRule="auto"/>
        <w:rPr>
          <w:rFonts w:eastAsia="Times New Roman" w:cs="Times New Roman"/>
          <w:szCs w:val="26"/>
          <w:u w:val="single"/>
        </w:rPr>
        <w:sectPr w:rsidSect="00763A99">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pPr>
    </w:p>
    <w:p w:rsidR="007F4AB4" w:rsidP="007F4AB4" w14:paraId="45C1105D" w14:textId="77777777">
      <w:pPr>
        <w:spacing w:line="480" w:lineRule="auto"/>
      </w:pPr>
      <w:r w:rsidRPr="003269E7">
        <w:rPr>
          <w:iCs/>
        </w:rPr>
        <w:t>[</w:t>
      </w:r>
      <w:r>
        <w:rPr>
          <w:i/>
        </w:rPr>
        <w:t>In re Samantha F.</w:t>
      </w:r>
      <w:r>
        <w:t>, E080888]</w:t>
      </w:r>
    </w:p>
    <w:p w:rsidR="007F4AB4" w:rsidP="007F4AB4" w14:paraId="1A9D9368" w14:textId="77777777">
      <w:pPr>
        <w:spacing w:line="480" w:lineRule="auto"/>
        <w:ind w:firstLine="720"/>
      </w:pPr>
      <w:r>
        <w:t>FIELDS J., Concurring and Dissenting.</w:t>
      </w:r>
    </w:p>
    <w:p w:rsidR="007F4AB4" w:rsidP="007F4AB4" w14:paraId="2A2CCB88" w14:textId="77777777">
      <w:pPr>
        <w:spacing w:line="480" w:lineRule="auto"/>
        <w:ind w:firstLine="720"/>
      </w:pPr>
      <w:r>
        <w:t xml:space="preserve">I fully concur in the majority’s decision in this case except its determination adopting the reasoning and holding of this court’s decision in </w:t>
      </w:r>
      <w:r w:rsidRPr="0056743D">
        <w:rPr>
          <w:i/>
          <w:iCs/>
        </w:rPr>
        <w:t xml:space="preserve">In re Delila </w:t>
      </w:r>
      <w:r>
        <w:rPr>
          <w:i/>
          <w:iCs/>
        </w:rPr>
        <w:t>D</w:t>
      </w:r>
      <w:r w:rsidRPr="0056743D">
        <w:rPr>
          <w:i/>
          <w:iCs/>
        </w:rPr>
        <w:t>.</w:t>
      </w:r>
      <w:r>
        <w:t xml:space="preserve"> (2023) 93 Cal.App.</w:t>
      </w:r>
      <w:r w:rsidRPr="0093769B">
        <w:t>5</w:t>
      </w:r>
      <w:r>
        <w:t>th 953, review granted September 27, 2023, S281447 (</w:t>
      </w:r>
      <w:r w:rsidRPr="00DD763F">
        <w:rPr>
          <w:i/>
          <w:iCs/>
        </w:rPr>
        <w:t>Delila D.</w:t>
      </w:r>
      <w:r>
        <w:t xml:space="preserve">), regarding the scope of the ICWA inquiry required in this case.  I </w:t>
      </w:r>
      <w:bookmarkStart w:id="11" w:name="_Hlk156307099"/>
      <w:r>
        <w:t xml:space="preserve">continue to agree with and follow this court’s decisions on the ICWA inquiry question in </w:t>
      </w:r>
      <w:bookmarkStart w:id="12" w:name="_Hlk155895610"/>
      <w:r w:rsidRPr="00641EA7">
        <w:rPr>
          <w:i/>
          <w:iCs/>
        </w:rPr>
        <w:t xml:space="preserve">In re Robert F. </w:t>
      </w:r>
      <w:r w:rsidRPr="009035C8">
        <w:t>(2023) 90</w:t>
      </w:r>
      <w:r>
        <w:t> </w:t>
      </w:r>
      <w:r w:rsidRPr="009035C8">
        <w:t>Cal.App.5th 492</w:t>
      </w:r>
      <w:bookmarkEnd w:id="12"/>
      <w:r w:rsidRPr="00D4132B">
        <w:t>,</w:t>
      </w:r>
      <w:r w:rsidRPr="00641EA7">
        <w:rPr>
          <w:i/>
          <w:iCs/>
        </w:rPr>
        <w:t xml:space="preserve"> </w:t>
      </w:r>
      <w:r w:rsidRPr="009035C8">
        <w:t>review granted July 26, 2023, S279743</w:t>
      </w:r>
      <w:r>
        <w:t xml:space="preserve"> </w:t>
      </w:r>
      <w:r w:rsidRPr="00D4132B">
        <w:t>(</w:t>
      </w:r>
      <w:r w:rsidRPr="00641EA7">
        <w:rPr>
          <w:i/>
          <w:iCs/>
        </w:rPr>
        <w:t>Robert F.</w:t>
      </w:r>
      <w:r w:rsidRPr="00D4132B">
        <w:t>)</w:t>
      </w:r>
      <w:r w:rsidRPr="009035C8">
        <w:t>,</w:t>
      </w:r>
      <w:r>
        <w:t xml:space="preserve"> </w:t>
      </w:r>
      <w:bookmarkStart w:id="13" w:name="_Hlk155896655"/>
      <w:r w:rsidRPr="00B37974">
        <w:rPr>
          <w:i/>
          <w:iCs/>
        </w:rPr>
        <w:t xml:space="preserve">In re Ja.O. </w:t>
      </w:r>
      <w:r w:rsidRPr="00B37974">
        <w:t>(2023) 91 Cal.App.5th 672</w:t>
      </w:r>
      <w:bookmarkEnd w:id="13"/>
      <w:r>
        <w:t>, review granted July 26, 2023, S280572 (</w:t>
      </w:r>
      <w:r w:rsidRPr="00FA659B">
        <w:rPr>
          <w:i/>
          <w:iCs/>
        </w:rPr>
        <w:t>Ja.O.</w:t>
      </w:r>
      <w:r>
        <w:t xml:space="preserve">), and </w:t>
      </w:r>
      <w:r w:rsidRPr="00C538DE">
        <w:rPr>
          <w:i/>
          <w:iCs/>
        </w:rPr>
        <w:t>I</w:t>
      </w:r>
      <w:r w:rsidRPr="006A5FB2">
        <w:rPr>
          <w:i/>
          <w:iCs/>
        </w:rPr>
        <w:t xml:space="preserve">n re Andres R. </w:t>
      </w:r>
      <w:r w:rsidRPr="00B9313B">
        <w:t>(2023) 94 Cal.App.5th 828</w:t>
      </w:r>
      <w:bookmarkEnd w:id="11"/>
      <w:r>
        <w:t>,</w:t>
      </w:r>
      <w:r>
        <w:rPr>
          <w:i/>
          <w:iCs/>
        </w:rPr>
        <w:t xml:space="preserve"> </w:t>
      </w:r>
      <w:r w:rsidRPr="009035C8">
        <w:t>review granted November 15, 2023, S282054</w:t>
      </w:r>
      <w:r>
        <w:t xml:space="preserve"> </w:t>
      </w:r>
      <w:r w:rsidRPr="00D4132B">
        <w:t>(</w:t>
      </w:r>
      <w:r>
        <w:rPr>
          <w:i/>
          <w:iCs/>
        </w:rPr>
        <w:t>Andres. R.</w:t>
      </w:r>
      <w:r w:rsidRPr="00D4132B">
        <w:t>)</w:t>
      </w:r>
      <w:r w:rsidRPr="009035C8">
        <w:t>.</w:t>
      </w:r>
    </w:p>
    <w:p w:rsidR="007F4AB4" w:rsidP="007F4AB4" w14:paraId="1388F694" w14:textId="77777777">
      <w:pPr>
        <w:spacing w:line="480" w:lineRule="auto"/>
      </w:pPr>
      <w:r>
        <w:tab/>
      </w:r>
      <w:r w:rsidRPr="00495B8D">
        <w:t xml:space="preserve">Thus, </w:t>
      </w:r>
      <w:r>
        <w:t xml:space="preserve">while </w:t>
      </w:r>
      <w:r w:rsidRPr="00495B8D">
        <w:t xml:space="preserve">I </w:t>
      </w:r>
      <w:r>
        <w:t>concur with</w:t>
      </w:r>
      <w:r w:rsidRPr="00495B8D">
        <w:t xml:space="preserve"> th</w:t>
      </w:r>
      <w:r>
        <w:t>at portion of the majority opinion holding that “the juvenile court erred by refusing to allow father to testify or present evidence in support of his petition for reinstatement of reunification services” and remanding “</w:t>
      </w:r>
      <w:bookmarkStart w:id="14" w:name="_Hlk156810379"/>
      <w:r>
        <w:t>for an evidentiary hearing on father’s petition” (</w:t>
      </w:r>
      <w:r w:rsidRPr="007C3AD4">
        <w:t>Maj. Opn.</w:t>
      </w:r>
      <w:r>
        <w:t>,</w:t>
      </w:r>
      <w:r w:rsidRPr="007C3AD4">
        <w:t xml:space="preserve"> p. </w:t>
      </w:r>
      <w:r>
        <w:t>2</w:t>
      </w:r>
      <w:r w:rsidRPr="007C3AD4">
        <w:t>, fn. 2</w:t>
      </w:r>
      <w:r>
        <w:t>), I respectfully dissent to that portion of the majority opinion reversing the juvenile court’s determination that adequate ICWA inquiry occurred in this case.</w:t>
      </w:r>
      <w:bookmarkEnd w:id="14"/>
      <w:r>
        <w:t xml:space="preserve">  I also briefly address the majority opinion’s explanation of the scope of the terms “protective custody” and “temporary custody” and its view of the “application of federal law to the ICWA inquiry.”  (Maj. Opn., p.2.)</w:t>
      </w:r>
    </w:p>
    <w:p w:rsidR="007F4AB4" w:rsidP="007F4AB4" w14:paraId="08683AE6" w14:textId="77777777">
      <w:pPr>
        <w:spacing w:line="480" w:lineRule="auto"/>
      </w:pPr>
      <w:r>
        <w:tab/>
        <w:t xml:space="preserve">The ongoing dispute regarding the appropriate scope of initial inquiry under ICWA arises from the different interpretations by various courts of </w:t>
      </w:r>
      <w:r>
        <w:rPr>
          <w:szCs w:val="26"/>
        </w:rPr>
        <w:t>Welfare and Institutions Code section</w:t>
      </w:r>
      <w:r>
        <w:t xml:space="preserve"> 224.2, subdivision (b) (§ 224.2(b)).</w:t>
      </w:r>
      <w:r>
        <w:rPr>
          <w:rStyle w:val="FootnoteReference"/>
          <w:rFonts w:eastAsiaTheme="majorEastAsia"/>
        </w:rPr>
        <w:footnoteReference w:id="16"/>
      </w:r>
      <w:r>
        <w:t xml:space="preserve">  That statute provides that “[i]</w:t>
      </w:r>
      <w:r w:rsidRPr="00E075C6">
        <w:t>f a child is placed into the temporary custody of a county welfare department pursuant to Section 306 or county probation department pursuant to Section 307, the county welfare department</w:t>
      </w:r>
      <w:r>
        <w:t xml:space="preserve"> or county probation department </w:t>
      </w:r>
      <w:r w:rsidRPr="00E075C6">
        <w:t xml:space="preserve">has a duty to inquire whether that child is an Indian child. </w:t>
      </w:r>
      <w:r>
        <w:t xml:space="preserve"> </w:t>
      </w:r>
      <w:r w:rsidRPr="00E075C6">
        <w:t>Inquiry includes, but is not limited to, asking the child, parents</w:t>
      </w:r>
      <w:r>
        <w:t xml:space="preserve"> . . . [and] </w:t>
      </w:r>
      <w:r w:rsidRPr="00E075C6">
        <w:t>extended family members</w:t>
      </w:r>
      <w:r>
        <w:t xml:space="preserve"> . . . </w:t>
      </w:r>
      <w:r w:rsidRPr="00E075C6">
        <w:t>whether the child is, or may be, an Indian child</w:t>
      </w:r>
      <w:r>
        <w:t xml:space="preserve"> . . . .”  (§ </w:t>
      </w:r>
      <w:r w:rsidRPr="00A15249">
        <w:t>224.2(b)</w:t>
      </w:r>
      <w:r>
        <w:t>.)</w:t>
      </w:r>
    </w:p>
    <w:p w:rsidR="007F4AB4" w:rsidP="007F4AB4" w14:paraId="21A846B3" w14:textId="77777777">
      <w:pPr>
        <w:spacing w:line="480" w:lineRule="auto"/>
      </w:pPr>
      <w:r>
        <w:tab/>
        <w:t xml:space="preserve">This court’s decision in </w:t>
      </w:r>
      <w:r w:rsidRPr="00A15249">
        <w:rPr>
          <w:i/>
          <w:iCs/>
        </w:rPr>
        <w:t>Robert F</w:t>
      </w:r>
      <w:r>
        <w:t>. held that this expanded duty of inquiry applies “</w:t>
      </w:r>
      <w:r w:rsidRPr="00891D00">
        <w:t>only when a child is placed in temporary custody under section 306, it does not apply when a county welfare department takes a child into protective custody pursuant to a warrant.</w:t>
      </w:r>
      <w:r>
        <w:t>”  (</w:t>
      </w:r>
      <w:r w:rsidRPr="00641EA7">
        <w:rPr>
          <w:i/>
          <w:iCs/>
        </w:rPr>
        <w:t>In re Robert F.</w:t>
      </w:r>
      <w:r w:rsidRPr="00473881">
        <w:t xml:space="preserve">, </w:t>
      </w:r>
      <w:r>
        <w:rPr>
          <w:i/>
          <w:iCs/>
        </w:rPr>
        <w:t>supra</w:t>
      </w:r>
      <w:r w:rsidRPr="00473881">
        <w:t>,</w:t>
      </w:r>
      <w:r w:rsidRPr="00641EA7">
        <w:rPr>
          <w:i/>
          <w:iCs/>
        </w:rPr>
        <w:t xml:space="preserve"> </w:t>
      </w:r>
      <w:r w:rsidRPr="00FE3050">
        <w:t>90 Cal.App.5th</w:t>
      </w:r>
      <w:r w:rsidRPr="00641EA7">
        <w:rPr>
          <w:i/>
          <w:iCs/>
        </w:rPr>
        <w:t xml:space="preserve"> </w:t>
      </w:r>
      <w:r>
        <w:t xml:space="preserve">at p. 497.)  The majority opinion adopts and follows the reasoning and conclusions of </w:t>
      </w:r>
      <w:r w:rsidRPr="008A1795">
        <w:rPr>
          <w:i/>
          <w:iCs/>
        </w:rPr>
        <w:t>Delila D</w:t>
      </w:r>
      <w:r>
        <w:rPr>
          <w:i/>
          <w:iCs/>
        </w:rPr>
        <w:t>.</w:t>
      </w:r>
      <w:r>
        <w:t>, from a different panel of this court, which held that the duty of expanded inquiry under section 224.2(b), including extended family members, applies in every dependency proceeding.</w:t>
      </w:r>
      <w:r w:rsidRPr="002D3A47">
        <w:t xml:space="preserve"> </w:t>
      </w:r>
      <w:r>
        <w:t xml:space="preserve"> (Maj. Opn., p.2; </w:t>
      </w:r>
      <w:bookmarkStart w:id="15" w:name="_Hlk155896398"/>
      <w:r w:rsidRPr="0056743D">
        <w:rPr>
          <w:i/>
          <w:iCs/>
        </w:rPr>
        <w:t xml:space="preserve">Delila </w:t>
      </w:r>
      <w:r>
        <w:rPr>
          <w:i/>
          <w:iCs/>
        </w:rPr>
        <w:t>D</w:t>
      </w:r>
      <w:r w:rsidRPr="0056743D">
        <w:rPr>
          <w:i/>
          <w:iCs/>
        </w:rPr>
        <w:t>.</w:t>
      </w:r>
      <w:r>
        <w:t xml:space="preserve">, </w:t>
      </w:r>
      <w:r w:rsidRPr="00CD5E41">
        <w:rPr>
          <w:i/>
          <w:iCs/>
        </w:rPr>
        <w:t>supra</w:t>
      </w:r>
      <w:r>
        <w:t>, 93 Cal.App.</w:t>
      </w:r>
      <w:r w:rsidRPr="0093769B">
        <w:t>5</w:t>
      </w:r>
      <w:r>
        <w:t>th at. p. 962.)</w:t>
      </w:r>
    </w:p>
    <w:bookmarkEnd w:id="15"/>
    <w:p w:rsidR="007F4AB4" w:rsidP="007F4AB4" w14:paraId="4FACFCE5" w14:textId="77777777">
      <w:pPr>
        <w:spacing w:line="480" w:lineRule="auto"/>
      </w:pPr>
      <w:r>
        <w:rPr>
          <w:i/>
          <w:iCs/>
        </w:rPr>
        <w:tab/>
      </w:r>
      <w:r w:rsidRPr="00CD5E41">
        <w:rPr>
          <w:i/>
          <w:iCs/>
        </w:rPr>
        <w:t>Delila D</w:t>
      </w:r>
      <w:r w:rsidRPr="001C64D6">
        <w:t xml:space="preserve">. </w:t>
      </w:r>
      <w:r>
        <w:t xml:space="preserve">came to that decision, in part, by </w:t>
      </w:r>
      <w:r w:rsidRPr="001C64D6">
        <w:t>conclud</w:t>
      </w:r>
      <w:r>
        <w:t>ing</w:t>
      </w:r>
      <w:r w:rsidRPr="00A51D21">
        <w:t xml:space="preserve"> </w:t>
      </w:r>
      <w:r>
        <w:t>that “</w:t>
      </w:r>
      <w:r w:rsidRPr="00A51D21">
        <w:t>section 224.2(b)</w:t>
      </w:r>
      <w:r>
        <w:t xml:space="preserve">’s </w:t>
      </w:r>
      <w:r w:rsidRPr="00A51D21">
        <w:t xml:space="preserve">reference to temporary custody </w:t>
      </w:r>
      <w:r>
        <w:t>‘</w:t>
      </w:r>
      <w:r w:rsidRPr="00A51D21">
        <w:t xml:space="preserve">pursuant to </w:t>
      </w:r>
      <w:r>
        <w:t>S</w:t>
      </w:r>
      <w:r w:rsidRPr="00A51D21">
        <w:t>ection 306</w:t>
      </w:r>
      <w:r>
        <w:t xml:space="preserve">’ is better read as including children </w:t>
      </w:r>
      <w:r w:rsidRPr="00A51D21">
        <w:t>who, though initially removed by protective custody warrant, are then delivered or placed into the department's custody pending a detention hearing.</w:t>
      </w:r>
      <w:r>
        <w:t>”  (</w:t>
      </w:r>
      <w:r w:rsidRPr="0056743D">
        <w:rPr>
          <w:i/>
          <w:iCs/>
        </w:rPr>
        <w:t xml:space="preserve">Delila </w:t>
      </w:r>
      <w:r>
        <w:rPr>
          <w:i/>
          <w:iCs/>
        </w:rPr>
        <w:t>D</w:t>
      </w:r>
      <w:r w:rsidRPr="0056743D">
        <w:rPr>
          <w:i/>
          <w:iCs/>
        </w:rPr>
        <w:t>.</w:t>
      </w:r>
      <w:r>
        <w:t xml:space="preserve">, </w:t>
      </w:r>
      <w:r w:rsidRPr="00CD5E41">
        <w:rPr>
          <w:i/>
          <w:iCs/>
        </w:rPr>
        <w:t>supra</w:t>
      </w:r>
      <w:r>
        <w:t>, 93 Cal.App.</w:t>
      </w:r>
      <w:r w:rsidRPr="0093769B">
        <w:t>5</w:t>
      </w:r>
      <w:r>
        <w:t xml:space="preserve">th at. p. 973).  In </w:t>
      </w:r>
      <w:r w:rsidRPr="00B37974">
        <w:rPr>
          <w:i/>
          <w:iCs/>
        </w:rPr>
        <w:t>Ja.O.</w:t>
      </w:r>
      <w:r>
        <w:rPr>
          <w:i/>
          <w:iCs/>
        </w:rPr>
        <w:t>,</w:t>
      </w:r>
      <w:r>
        <w:t xml:space="preserve"> another panel of this court thoroughly considered that claim and rejected it, noting that, if that interpretation “</w:t>
      </w:r>
      <w:r w:rsidRPr="00E36C0C">
        <w:t>were correct, then most of subdivision (c) of section 340 would be surplusage.</w:t>
      </w:r>
      <w:r>
        <w:t>”  (</w:t>
      </w:r>
      <w:r w:rsidRPr="00E36C0C">
        <w:rPr>
          <w:i/>
          <w:iCs/>
        </w:rPr>
        <w:t>Ja.O.</w:t>
      </w:r>
      <w:r w:rsidRPr="001C1F16">
        <w:t>,</w:t>
      </w:r>
      <w:r w:rsidRPr="00E36C0C">
        <w:rPr>
          <w:i/>
          <w:iCs/>
        </w:rPr>
        <w:t xml:space="preserve"> supra</w:t>
      </w:r>
      <w:r w:rsidRPr="00E36C0C">
        <w:t xml:space="preserve">, 91 Cal.App.5th </w:t>
      </w:r>
      <w:r>
        <w:t>at p. </w:t>
      </w:r>
      <w:r w:rsidRPr="00E36C0C">
        <w:t>680</w:t>
      </w:r>
      <w:r>
        <w:t>.)  We went on to affirm that oft-stated maxim that statutory interpretations which render all of a portion of a statute surplusage should be avoided.</w:t>
      </w:r>
      <w:r w:rsidRPr="00B54590">
        <w:t xml:space="preserve"> </w:t>
      </w:r>
      <w:r>
        <w:t xml:space="preserve"> (</w:t>
      </w:r>
      <w:r w:rsidRPr="00B54590">
        <w:rPr>
          <w:i/>
          <w:iCs/>
        </w:rPr>
        <w:t>I</w:t>
      </w:r>
      <w:r>
        <w:rPr>
          <w:i/>
          <w:iCs/>
        </w:rPr>
        <w:t>bi</w:t>
      </w:r>
      <w:r w:rsidRPr="00B54590">
        <w:rPr>
          <w:i/>
          <w:iCs/>
        </w:rPr>
        <w:t>d</w:t>
      </w:r>
      <w:r>
        <w:t>.)  I need not repeat that discussion here.</w:t>
      </w:r>
    </w:p>
    <w:p w:rsidR="007F4AB4" w:rsidP="007F4AB4" w14:paraId="3A6EBC0D" w14:textId="77777777">
      <w:pPr>
        <w:spacing w:line="480" w:lineRule="auto"/>
        <w:ind w:firstLine="720"/>
      </w:pPr>
      <w:r w:rsidRPr="004A10A0">
        <w:rPr>
          <w:i/>
          <w:iCs/>
        </w:rPr>
        <w:t>Delila D</w:t>
      </w:r>
      <w:r>
        <w:t>. also emphasized that “</w:t>
      </w:r>
      <w:r w:rsidRPr="00D10B1C">
        <w:t xml:space="preserve">section 224.2(b) does not state that the inquiry it describes applies </w:t>
      </w:r>
      <w:r>
        <w:t>‘</w:t>
      </w:r>
      <w:r w:rsidRPr="00D10B1C">
        <w:t>only if</w:t>
      </w:r>
      <w:r>
        <w:t>’</w:t>
      </w:r>
      <w:r w:rsidRPr="00D10B1C">
        <w:t xml:space="preserve"> a child is taken into temporary custody under section 306</w:t>
      </w:r>
      <w:r>
        <w:t xml:space="preserve">,” and that section 224.2(b) “does not contain </w:t>
      </w:r>
      <w:r w:rsidRPr="003D07D8">
        <w:t>the word only or any other language suggesting an intent to limit the inquiry it describes</w:t>
      </w:r>
      <w:r>
        <w:t>” (</w:t>
      </w:r>
      <w:r w:rsidRPr="00D376FE">
        <w:rPr>
          <w:i/>
          <w:iCs/>
        </w:rPr>
        <w:t>Delila D</w:t>
      </w:r>
      <w:r>
        <w:t xml:space="preserve">., 93 Cal.App.5th at p. 974).  The absence of the language “only if” was a significant factor in </w:t>
      </w:r>
      <w:r w:rsidRPr="00233F6D">
        <w:rPr>
          <w:i/>
          <w:iCs/>
        </w:rPr>
        <w:t>Delila D.</w:t>
      </w:r>
      <w:r w:rsidRPr="00F42965">
        <w:t>’</w:t>
      </w:r>
      <w:r w:rsidRPr="00233F6D">
        <w:rPr>
          <w:i/>
          <w:iCs/>
        </w:rPr>
        <w:t>s</w:t>
      </w:r>
      <w:r>
        <w:t xml:space="preserve"> conclusion that “[e]</w:t>
      </w:r>
      <w:r w:rsidRPr="003D07D8">
        <w:t xml:space="preserve">ven if </w:t>
      </w:r>
      <w:r>
        <w:t>[</w:t>
      </w:r>
      <w:r w:rsidRPr="00BB3AF6">
        <w:rPr>
          <w:i/>
          <w:iCs/>
        </w:rPr>
        <w:t>Robert F.</w:t>
      </w:r>
      <w:r w:rsidRPr="00382F82">
        <w:t>’</w:t>
      </w:r>
      <w:r w:rsidRPr="00BB3AF6">
        <w:rPr>
          <w:i/>
          <w:iCs/>
        </w:rPr>
        <w:t>s</w:t>
      </w:r>
      <w:r w:rsidRPr="001863C4">
        <w:t>]</w:t>
      </w:r>
      <w:r>
        <w:rPr>
          <w:i/>
          <w:iCs/>
        </w:rPr>
        <w:t xml:space="preserve"> </w:t>
      </w:r>
      <w:r>
        <w:t xml:space="preserve">conclusion </w:t>
      </w:r>
      <w:r w:rsidRPr="003D07D8">
        <w:t>that section 306 excludes removals by protective custody warrant were correct, we would still disagree with its conclusion that the duty described in section 224.2(b) does not apply once a child initially removed by warrant is removed from parental custody at the disposition</w:t>
      </w:r>
      <w:r>
        <w:t xml:space="preserve"> </w:t>
      </w:r>
      <w:r w:rsidRPr="003D07D8">
        <w:t>hearing</w:t>
      </w:r>
      <w:r>
        <w:t>.”  (</w:t>
      </w:r>
      <w:r w:rsidRPr="00D376FE">
        <w:rPr>
          <w:i/>
          <w:iCs/>
        </w:rPr>
        <w:t>Delila D</w:t>
      </w:r>
      <w:r>
        <w:t>., at p. 974.)</w:t>
      </w:r>
    </w:p>
    <w:p w:rsidR="007F4AB4" w:rsidRPr="00943255" w:rsidP="007F4AB4" w14:paraId="453116EA" w14:textId="77777777">
      <w:pPr>
        <w:spacing w:line="480" w:lineRule="auto"/>
      </w:pPr>
      <w:r>
        <w:tab/>
        <w:t xml:space="preserve">I am particularly persuaded by </w:t>
      </w:r>
      <w:r w:rsidRPr="004A10A0">
        <w:rPr>
          <w:i/>
          <w:iCs/>
        </w:rPr>
        <w:t>Andres R.</w:t>
      </w:r>
      <w:r w:rsidRPr="00C460FB">
        <w:t>’</w:t>
      </w:r>
      <w:r w:rsidRPr="004A10A0">
        <w:rPr>
          <w:i/>
          <w:iCs/>
        </w:rPr>
        <w:t>s</w:t>
      </w:r>
      <w:r>
        <w:t xml:space="preserve"> examination of </w:t>
      </w:r>
      <w:r w:rsidRPr="000E084B">
        <w:rPr>
          <w:i/>
          <w:iCs/>
        </w:rPr>
        <w:t>Delila D.</w:t>
      </w:r>
      <w:r w:rsidRPr="00C460FB">
        <w:t>’</w:t>
      </w:r>
      <w:r w:rsidRPr="000E084B">
        <w:rPr>
          <w:i/>
          <w:iCs/>
        </w:rPr>
        <w:t>s</w:t>
      </w:r>
      <w:r>
        <w:t xml:space="preserve"> view on the conditional language of section 224.2(b)).  </w:t>
      </w:r>
      <w:r w:rsidRPr="000E084B">
        <w:rPr>
          <w:i/>
          <w:iCs/>
        </w:rPr>
        <w:t>Andres R.</w:t>
      </w:r>
      <w:r>
        <w:t xml:space="preserve"> concluded that “according to </w:t>
      </w:r>
      <w:r w:rsidRPr="00943255">
        <w:rPr>
          <w:i/>
          <w:iCs/>
        </w:rPr>
        <w:t>Delila D</w:t>
      </w:r>
      <w:r>
        <w:t>., when the Legislature said, ‘If the following condition is met, the social worker has a duty of inquiry,’ what the Legislature meant was ‘If the following condition is met, the social worker has a duty of inquiry, but if the condition is not met, the social worker still has the same duty of inquiry anyway.’ ”  (</w:t>
      </w:r>
      <w:r w:rsidRPr="006A5FB2">
        <w:rPr>
          <w:i/>
          <w:iCs/>
        </w:rPr>
        <w:t>Andres R.</w:t>
      </w:r>
      <w:r w:rsidRPr="00C460FB">
        <w:t>,</w:t>
      </w:r>
      <w:r>
        <w:rPr>
          <w:i/>
          <w:iCs/>
        </w:rPr>
        <w:t xml:space="preserve"> supra</w:t>
      </w:r>
      <w:r w:rsidRPr="00C460FB">
        <w:t>,</w:t>
      </w:r>
      <w:r w:rsidRPr="006A5FB2">
        <w:rPr>
          <w:i/>
          <w:iCs/>
        </w:rPr>
        <w:t xml:space="preserve"> </w:t>
      </w:r>
      <w:r w:rsidRPr="00270AE1">
        <w:t xml:space="preserve">94 Cal.App.5th at </w:t>
      </w:r>
      <w:r>
        <w:t xml:space="preserve">p. </w:t>
      </w:r>
      <w:r w:rsidRPr="00270AE1">
        <w:t>846</w:t>
      </w:r>
      <w:r>
        <w:rPr>
          <w:i/>
          <w:iCs/>
        </w:rPr>
        <w:t>.</w:t>
      </w:r>
      <w:r w:rsidRPr="00C130B3">
        <w:t>)</w:t>
      </w:r>
    </w:p>
    <w:p w:rsidR="007F4AB4" w:rsidP="007F4AB4" w14:paraId="0748E0D5" w14:textId="77777777">
      <w:pPr>
        <w:spacing w:line="480" w:lineRule="auto"/>
        <w:ind w:firstLine="720"/>
      </w:pPr>
      <w:r>
        <w:t xml:space="preserve">I respectfully believe that this view, espoused by </w:t>
      </w:r>
      <w:r w:rsidRPr="00CB777B">
        <w:rPr>
          <w:i/>
          <w:iCs/>
        </w:rPr>
        <w:t>Delila D</w:t>
      </w:r>
      <w:r>
        <w:t xml:space="preserve">., is inconsistent with longstanding principles of law.  When a law requiring that something be done is conditional upon some other act or determination occurring first, the required act comes into play only if the condition is met.  (See </w:t>
      </w:r>
      <w:r w:rsidRPr="00CB777B">
        <w:rPr>
          <w:i/>
          <w:iCs/>
        </w:rPr>
        <w:t>In re Zachary G.</w:t>
      </w:r>
      <w:r>
        <w:t xml:space="preserve"> (</w:t>
      </w:r>
      <w:r w:rsidRPr="0094510A">
        <w:t>1999</w:t>
      </w:r>
      <w:r>
        <w:t xml:space="preserve">) </w:t>
      </w:r>
      <w:r w:rsidRPr="0094510A">
        <w:t>77 Cal.App.4th 799</w:t>
      </w:r>
      <w:r>
        <w:t>, 806-807) [“</w:t>
      </w:r>
      <w:r w:rsidRPr="00A75C8C">
        <w:t xml:space="preserve">The conditional language of </w:t>
      </w:r>
      <w:r>
        <w:t>s</w:t>
      </w:r>
      <w:r w:rsidRPr="00A75C8C">
        <w:t xml:space="preserve">ection 388 makes clear that the hearing is </w:t>
      </w:r>
      <w:r w:rsidRPr="00A75C8C">
        <w:rPr>
          <w:i/>
          <w:iCs/>
        </w:rPr>
        <w:t>only</w:t>
      </w:r>
      <w:r w:rsidRPr="00A75C8C">
        <w:t xml:space="preserve"> to be held if it appears that the best interests of the child may be promoted by the proposed change of order, which </w:t>
      </w:r>
      <w:r>
        <w:t>necessar</w:t>
      </w:r>
      <w:r w:rsidRPr="00A75C8C">
        <w:t>ily contemplates that a court need not order a hearing if this element is absent from the showing made by the petition</w:t>
      </w:r>
      <w:r>
        <w:t>.”]</w:t>
      </w:r>
    </w:p>
    <w:p w:rsidR="007F4AB4" w:rsidP="007F4AB4" w14:paraId="11E60C58" w14:textId="77777777">
      <w:pPr>
        <w:spacing w:line="480" w:lineRule="auto"/>
      </w:pPr>
      <w:r>
        <w:tab/>
        <w:t>Similarly, here, the conditional language of section 224.2 (b) makes clear that if the condition is not met, that is, the removal is with a warrant,</w:t>
      </w:r>
      <w:r>
        <w:rPr>
          <w:rStyle w:val="FootnoteReference"/>
        </w:rPr>
        <w:footnoteReference w:id="17"/>
      </w:r>
      <w:r>
        <w:t xml:space="preserve"> the requirement of the expanded duty of inquiry under section 224.2(b), to inquire of the child’s extended family members, does not apply.  Moreover, if the Legislature wanted the extended duty of inquiry to apply in every case, it could have easily said so, rather than using the conditional language it chose in section 224.2(b), which limits the statute’s application to sections 306 and 307 (dealing with warrantless removals) and making no reference to section 340 (dealing with removals utilizing protective custody warrants).</w:t>
      </w:r>
    </w:p>
    <w:p w:rsidR="007F4AB4" w:rsidRPr="00B50DF4" w:rsidP="007F4AB4" w14:paraId="417451F4" w14:textId="77777777">
      <w:pPr>
        <w:spacing w:line="480" w:lineRule="auto"/>
      </w:pPr>
      <w:r>
        <w:tab/>
        <w:t>According to the majority opinion, “</w:t>
      </w:r>
      <w:r w:rsidRPr="002D3A47">
        <w:t xml:space="preserve">there are at least two other reasons for rejecting </w:t>
      </w:r>
      <w:r w:rsidRPr="001C20B9">
        <w:rPr>
          <w:i/>
          <w:iCs/>
        </w:rPr>
        <w:t>Robert F</w:t>
      </w:r>
      <w:r w:rsidRPr="002D3A47">
        <w:t xml:space="preserve">. beyond those discussed in </w:t>
      </w:r>
      <w:r w:rsidRPr="001C20B9">
        <w:rPr>
          <w:i/>
          <w:iCs/>
        </w:rPr>
        <w:t>Delila D</w:t>
      </w:r>
      <w:r w:rsidRPr="002D3A47">
        <w:t>.</w:t>
      </w:r>
      <w:r>
        <w:t>”  (Maj. Opn., p. 8.)  First, the majority opinion concludes that “</w:t>
      </w:r>
      <w:r w:rsidRPr="001C20B9">
        <w:rPr>
          <w:i/>
          <w:iCs/>
        </w:rPr>
        <w:t>Robert F</w:t>
      </w:r>
      <w:r w:rsidRPr="002D3A47">
        <w:t xml:space="preserve">. construes the terms </w:t>
      </w:r>
      <w:r>
        <w:t>‘</w:t>
      </w:r>
      <w:r w:rsidRPr="002D3A47">
        <w:t>temporary custody</w:t>
      </w:r>
      <w:r>
        <w:t>’</w:t>
      </w:r>
      <w:r w:rsidRPr="002D3A47">
        <w:t xml:space="preserve"> and </w:t>
      </w:r>
      <w:r>
        <w:t>‘</w:t>
      </w:r>
      <w:r w:rsidRPr="002D3A47">
        <w:t>protective custody</w:t>
      </w:r>
      <w:r>
        <w:t>’</w:t>
      </w:r>
      <w:r w:rsidRPr="002D3A47">
        <w:t xml:space="preserve"> in a manner inconsistent with their uses in the dependency statutes.</w:t>
      </w:r>
      <w:r>
        <w:t>”</w:t>
      </w:r>
      <w:r w:rsidRPr="002D3A47">
        <w:t xml:space="preserve">  </w:t>
      </w:r>
      <w:r>
        <w:t xml:space="preserve">(Maj. Opn., p.8.)  </w:t>
      </w:r>
      <w:r w:rsidRPr="002D3A47">
        <w:t xml:space="preserve">Second, </w:t>
      </w:r>
      <w:r>
        <w:t xml:space="preserve">the majority opinion concludes that </w:t>
      </w:r>
      <w:r w:rsidRPr="001C20B9">
        <w:rPr>
          <w:i/>
          <w:iCs/>
        </w:rPr>
        <w:t>Robert F.</w:t>
      </w:r>
      <w:r w:rsidRPr="00B50DF4">
        <w:t>’</w:t>
      </w:r>
      <w:r w:rsidRPr="001C20B9">
        <w:rPr>
          <w:i/>
          <w:iCs/>
        </w:rPr>
        <w:t>s</w:t>
      </w:r>
      <w:r>
        <w:t xml:space="preserve"> view that federal ICWA law supports its determination regarding the scope of inquiry under section 224.2(b) is based upon its misconstruction of federal ICWA law.</w:t>
      </w:r>
      <w:r w:rsidRPr="002D3A47">
        <w:t xml:space="preserve">  </w:t>
      </w:r>
      <w:r>
        <w:t>I address these points in turn.</w:t>
      </w:r>
    </w:p>
    <w:p w:rsidR="007F4AB4" w:rsidP="007F4AB4" w14:paraId="2678CA25" w14:textId="77777777">
      <w:pPr>
        <w:spacing w:line="480" w:lineRule="auto"/>
        <w:rPr>
          <w:szCs w:val="26"/>
        </w:rPr>
      </w:pPr>
      <w:r>
        <w:rPr>
          <w:i/>
          <w:iCs/>
        </w:rPr>
        <w:tab/>
      </w:r>
      <w:r w:rsidRPr="009B0746">
        <w:rPr>
          <w:i/>
          <w:iCs/>
        </w:rPr>
        <w:t xml:space="preserve">Temporary Custody and Protective Custody </w:t>
      </w:r>
      <w:r>
        <w:rPr>
          <w:i/>
          <w:iCs/>
        </w:rPr>
        <w:t xml:space="preserve">Distinctions.  </w:t>
      </w:r>
      <w:r>
        <w:t xml:space="preserve">The majority opinion finds “unconvincing” the distinction between “temporary custody” and “protective custody” made by </w:t>
      </w:r>
      <w:r w:rsidRPr="00C844B6">
        <w:rPr>
          <w:i/>
          <w:iCs/>
        </w:rPr>
        <w:t>Robert F</w:t>
      </w:r>
      <w:r>
        <w:t>. and its progeny, which conclude that “[s]</w:t>
      </w:r>
      <w:r w:rsidRPr="003C5324">
        <w:t xml:space="preserve">ection 306(a)(1) applies and has always applied only to the </w:t>
      </w:r>
      <w:r>
        <w:t>‘</w:t>
      </w:r>
      <w:r w:rsidRPr="003C5324">
        <w:t>temporary custody</w:t>
      </w:r>
      <w:r>
        <w:t>’</w:t>
      </w:r>
      <w:r w:rsidRPr="003C5324">
        <w:t xml:space="preserve"> of a warrantless predetention removal, not to the </w:t>
      </w:r>
      <w:r>
        <w:t>‘</w:t>
      </w:r>
      <w:r w:rsidRPr="003C5324">
        <w:t>protective custody</w:t>
      </w:r>
      <w:r>
        <w:t>’</w:t>
      </w:r>
      <w:r w:rsidRPr="003C5324">
        <w:t xml:space="preserve"> o</w:t>
      </w:r>
      <w:r>
        <w:t>r</w:t>
      </w:r>
      <w:r w:rsidRPr="003C5324">
        <w:t xml:space="preserve"> removal pursuant to a protective custody warrant.</w:t>
      </w:r>
      <w:r>
        <w:t>”  (</w:t>
      </w:r>
      <w:r w:rsidRPr="003C5324">
        <w:rPr>
          <w:i/>
          <w:iCs/>
        </w:rPr>
        <w:t>Andres R</w:t>
      </w:r>
      <w:r w:rsidRPr="00B06373">
        <w:t>,</w:t>
      </w:r>
      <w:r w:rsidRPr="003C5324">
        <w:rPr>
          <w:i/>
          <w:iCs/>
        </w:rPr>
        <w:t xml:space="preserve"> supra</w:t>
      </w:r>
      <w:r>
        <w:t>, 94 Cal. App. 5</w:t>
      </w:r>
      <w:r w:rsidRPr="003C5324">
        <w:t>th</w:t>
      </w:r>
      <w:r>
        <w:t xml:space="preserve"> at p. 845.)  (Maj. Opn., p. 10.)  The majority posits that “[t]</w:t>
      </w:r>
      <w:r>
        <w:rPr>
          <w:szCs w:val="26"/>
        </w:rPr>
        <w:t>he terms ‘protective custody’ and ‘temporary custody’ are not exclusive of each other.”  (Maj. Opn., p. 10.)  In part, I agree with this conclusion.</w:t>
      </w:r>
    </w:p>
    <w:p w:rsidR="007F4AB4" w:rsidP="007F4AB4" w14:paraId="02EFB261" w14:textId="77777777">
      <w:pPr>
        <w:spacing w:line="480" w:lineRule="auto"/>
      </w:pPr>
      <w:r>
        <w:tab/>
        <w:t>The majority</w:t>
      </w:r>
      <w:r>
        <w:rPr>
          <w:szCs w:val="26"/>
        </w:rPr>
        <w:t xml:space="preserve"> points out, for example, that “</w:t>
      </w:r>
      <w:r w:rsidRPr="00F02985">
        <w:rPr>
          <w:szCs w:val="26"/>
        </w:rPr>
        <w:t xml:space="preserve">when an authority </w:t>
      </w:r>
      <w:r>
        <w:rPr>
          <w:szCs w:val="26"/>
        </w:rPr>
        <w:t>‘</w:t>
      </w:r>
      <w:r w:rsidRPr="00F02985">
        <w:rPr>
          <w:szCs w:val="26"/>
        </w:rPr>
        <w:t xml:space="preserve">takes into </w:t>
      </w:r>
      <w:r w:rsidRPr="00F02985">
        <w:rPr>
          <w:i/>
          <w:iCs/>
          <w:szCs w:val="26"/>
        </w:rPr>
        <w:t>temporary</w:t>
      </w:r>
      <w:r w:rsidRPr="00F02985">
        <w:rPr>
          <w:szCs w:val="26"/>
        </w:rPr>
        <w:t xml:space="preserve"> custody</w:t>
      </w:r>
      <w:r>
        <w:rPr>
          <w:szCs w:val="26"/>
        </w:rPr>
        <w:t>’</w:t>
      </w:r>
      <w:r w:rsidRPr="00F02985">
        <w:rPr>
          <w:szCs w:val="26"/>
        </w:rPr>
        <w:t xml:space="preserve"> a minor </w:t>
      </w:r>
      <w:r>
        <w:rPr>
          <w:szCs w:val="26"/>
        </w:rPr>
        <w:t>under</w:t>
      </w:r>
      <w:r w:rsidRPr="00F02985">
        <w:rPr>
          <w:szCs w:val="26"/>
        </w:rPr>
        <w:t xml:space="preserve"> </w:t>
      </w:r>
      <w:r>
        <w:rPr>
          <w:szCs w:val="26"/>
        </w:rPr>
        <w:t xml:space="preserve">the </w:t>
      </w:r>
      <w:r w:rsidRPr="00F02985">
        <w:rPr>
          <w:szCs w:val="26"/>
        </w:rPr>
        <w:t xml:space="preserve">sections (305 through 307) </w:t>
      </w:r>
      <w:r>
        <w:rPr>
          <w:szCs w:val="26"/>
        </w:rPr>
        <w:t>that</w:t>
      </w:r>
      <w:r w:rsidRPr="00F02985">
        <w:rPr>
          <w:szCs w:val="26"/>
        </w:rPr>
        <w:t xml:space="preserve"> authorize removals without warrants, the authorit</w:t>
      </w:r>
      <w:r>
        <w:rPr>
          <w:szCs w:val="26"/>
        </w:rPr>
        <w:t>y</w:t>
      </w:r>
      <w:r w:rsidRPr="00F02985">
        <w:rPr>
          <w:szCs w:val="26"/>
        </w:rPr>
        <w:t xml:space="preserve"> </w:t>
      </w:r>
      <w:r>
        <w:rPr>
          <w:szCs w:val="26"/>
        </w:rPr>
        <w:t>must</w:t>
      </w:r>
      <w:r w:rsidRPr="00F02985">
        <w:rPr>
          <w:szCs w:val="26"/>
        </w:rPr>
        <w:t xml:space="preserve"> inform the parents that the child </w:t>
      </w:r>
      <w:r>
        <w:rPr>
          <w:szCs w:val="26"/>
        </w:rPr>
        <w:t>‘</w:t>
      </w:r>
      <w:r w:rsidRPr="00F02985">
        <w:rPr>
          <w:szCs w:val="26"/>
        </w:rPr>
        <w:t xml:space="preserve">has been taken into </w:t>
      </w:r>
      <w:r w:rsidRPr="00F02985">
        <w:rPr>
          <w:i/>
          <w:iCs/>
          <w:szCs w:val="26"/>
        </w:rPr>
        <w:t>protective</w:t>
      </w:r>
      <w:r w:rsidRPr="00F02985">
        <w:rPr>
          <w:szCs w:val="26"/>
        </w:rPr>
        <w:t xml:space="preserve"> custody.</w:t>
      </w:r>
      <w:r>
        <w:rPr>
          <w:szCs w:val="26"/>
        </w:rPr>
        <w:t>’</w:t>
      </w:r>
      <w:r w:rsidRPr="00F02985">
        <w:rPr>
          <w:szCs w:val="26"/>
        </w:rPr>
        <w:t xml:space="preserve"> </w:t>
      </w:r>
      <w:r>
        <w:rPr>
          <w:szCs w:val="26"/>
        </w:rPr>
        <w:t xml:space="preserve"> </w:t>
      </w:r>
      <w:r w:rsidRPr="00F02985">
        <w:rPr>
          <w:szCs w:val="26"/>
        </w:rPr>
        <w:t>(</w:t>
      </w:r>
      <w:r>
        <w:rPr>
          <w:szCs w:val="26"/>
        </w:rPr>
        <w:t>§ </w:t>
      </w:r>
      <w:r w:rsidRPr="00F02985">
        <w:rPr>
          <w:szCs w:val="26"/>
        </w:rPr>
        <w:t>307.4, subd. (a)</w:t>
      </w:r>
      <w:r>
        <w:rPr>
          <w:szCs w:val="26"/>
        </w:rPr>
        <w:t>, italics</w:t>
      </w:r>
      <w:r w:rsidRPr="00F02985">
        <w:rPr>
          <w:szCs w:val="26"/>
        </w:rPr>
        <w:t xml:space="preserve"> added.)</w:t>
      </w:r>
      <w:r>
        <w:rPr>
          <w:szCs w:val="26"/>
        </w:rPr>
        <w:t>”</w:t>
      </w:r>
      <w:r w:rsidRPr="00F02985">
        <w:rPr>
          <w:szCs w:val="26"/>
        </w:rPr>
        <w:t xml:space="preserve"> </w:t>
      </w:r>
      <w:r>
        <w:rPr>
          <w:szCs w:val="26"/>
        </w:rPr>
        <w:t xml:space="preserve"> (Maj. Opn., pp. 10-11.) </w:t>
      </w:r>
      <w:r>
        <w:t xml:space="preserve"> Thus, both terms are used for the same child.  This example, and others used by the majority, demonstrate that the term “protective custody” has been used to include children removed from home pursuant to a warrant or without a warrant.</w:t>
      </w:r>
    </w:p>
    <w:p w:rsidR="007F4AB4" w:rsidP="007F4AB4" w14:paraId="409AEAE9" w14:textId="77777777">
      <w:pPr>
        <w:spacing w:line="480" w:lineRule="auto"/>
      </w:pPr>
      <w:r>
        <w:tab/>
        <w:t xml:space="preserve">The terms temporary custody and protective custody are not and need not be mutually exclusive.  As explained in </w:t>
      </w:r>
      <w:r w:rsidRPr="00C62D82">
        <w:rPr>
          <w:i/>
          <w:iCs/>
        </w:rPr>
        <w:t>Robert F</w:t>
      </w:r>
      <w:r>
        <w:t>. and its progeny, “temporary custody” refers to situations where children are taken into custody without a warrant.  (</w:t>
      </w:r>
      <w:r w:rsidRPr="00297E39">
        <w:rPr>
          <w:i/>
          <w:iCs/>
        </w:rPr>
        <w:t>Robert F.</w:t>
      </w:r>
      <w:r w:rsidRPr="004F50F3">
        <w:t xml:space="preserve">, </w:t>
      </w:r>
      <w:r w:rsidRPr="00297E39">
        <w:rPr>
          <w:i/>
          <w:iCs/>
        </w:rPr>
        <w:t>supra</w:t>
      </w:r>
      <w:r w:rsidRPr="004F50F3">
        <w:t xml:space="preserve">, </w:t>
      </w:r>
      <w:r>
        <w:t xml:space="preserve">90 Cal.App.5th at pp. 500-501; </w:t>
      </w:r>
      <w:r w:rsidRPr="0037659A">
        <w:rPr>
          <w:i/>
          <w:iCs/>
        </w:rPr>
        <w:t>Ja.O.</w:t>
      </w:r>
      <w:r w:rsidRPr="004F50F3">
        <w:t xml:space="preserve">, </w:t>
      </w:r>
      <w:r w:rsidRPr="0037659A">
        <w:rPr>
          <w:i/>
          <w:iCs/>
        </w:rPr>
        <w:t>supra</w:t>
      </w:r>
      <w:r w:rsidRPr="004F50F3">
        <w:t xml:space="preserve">, </w:t>
      </w:r>
      <w:r>
        <w:t xml:space="preserve">91 Cal.App.5th at p. 678-679; </w:t>
      </w:r>
      <w:r w:rsidRPr="005026D3">
        <w:rPr>
          <w:i/>
          <w:iCs/>
        </w:rPr>
        <w:t>Andres R.</w:t>
      </w:r>
      <w:r w:rsidRPr="004F50F3">
        <w:t>,</w:t>
      </w:r>
      <w:r w:rsidRPr="005026D3">
        <w:rPr>
          <w:i/>
          <w:iCs/>
        </w:rPr>
        <w:t xml:space="preserve"> supra</w:t>
      </w:r>
      <w:r w:rsidRPr="004F50F3">
        <w:t>,</w:t>
      </w:r>
      <w:r>
        <w:t xml:space="preserve"> 94 Cal.App.5th at p. 841-842.)  The fact that “protective custody” is sometimes used to refer to situations where a child is removed with or without a warrant does not undermine </w:t>
      </w:r>
      <w:r w:rsidRPr="009B0746">
        <w:rPr>
          <w:i/>
          <w:iCs/>
        </w:rPr>
        <w:t>Robert F.</w:t>
      </w:r>
      <w:r w:rsidRPr="004F50F3">
        <w:t>’</w:t>
      </w:r>
      <w:r w:rsidRPr="009B0746">
        <w:rPr>
          <w:i/>
          <w:iCs/>
        </w:rPr>
        <w:t>s</w:t>
      </w:r>
      <w:r>
        <w:t xml:space="preserve"> conclusions.  What the majority opinions fails to show is examples demonstrating that “temporary custody” can sometimes refer to custody gained by virtue of a warrant.  As noted </w:t>
      </w:r>
      <w:r w:rsidRPr="008D71D4">
        <w:rPr>
          <w:i/>
          <w:iCs/>
        </w:rPr>
        <w:t>in Andres R</w:t>
      </w:r>
      <w:r>
        <w:t>., “[t]</w:t>
      </w:r>
      <w:r w:rsidRPr="00C62D82">
        <w:t xml:space="preserve">he only statutes that authorize peace officers to take children into </w:t>
      </w:r>
      <w:r>
        <w:t>‘</w:t>
      </w:r>
      <w:r w:rsidRPr="00C62D82">
        <w:t>temporary custody</w:t>
      </w:r>
      <w:r>
        <w:t>’</w:t>
      </w:r>
      <w:r w:rsidRPr="00C62D82">
        <w:t xml:space="preserve"> are sections 305, 305.6, and 625, all of which concern tak</w:t>
      </w:r>
      <w:r>
        <w:t xml:space="preserve">ing </w:t>
      </w:r>
      <w:r w:rsidRPr="00C62D82">
        <w:t xml:space="preserve">children into </w:t>
      </w:r>
      <w:r>
        <w:t>‘</w:t>
      </w:r>
      <w:r w:rsidRPr="00C62D82">
        <w:t>temporary custody</w:t>
      </w:r>
      <w:r>
        <w:t>’</w:t>
      </w:r>
      <w:r w:rsidRPr="00C62D82">
        <w:t xml:space="preserve"> without a warrant.</w:t>
      </w:r>
      <w:r>
        <w:t>”  (</w:t>
      </w:r>
      <w:r>
        <w:rPr>
          <w:i/>
          <w:iCs/>
        </w:rPr>
        <w:t>Andres R.</w:t>
      </w:r>
      <w:r w:rsidRPr="004F50F3">
        <w:t>,</w:t>
      </w:r>
      <w:r>
        <w:rPr>
          <w:i/>
          <w:iCs/>
        </w:rPr>
        <w:t xml:space="preserve"> </w:t>
      </w:r>
      <w:r>
        <w:t>at p. 843.)</w:t>
      </w:r>
      <w:r>
        <w:rPr>
          <w:rStyle w:val="FootnoteReference"/>
        </w:rPr>
        <w:footnoteReference w:id="18"/>
      </w:r>
    </w:p>
    <w:p w:rsidR="007F4AB4" w:rsidP="007F4AB4" w14:paraId="1232C4EA" w14:textId="77777777">
      <w:pPr>
        <w:spacing w:line="480" w:lineRule="auto"/>
        <w:rPr>
          <w:i/>
          <w:iCs/>
        </w:rPr>
      </w:pPr>
      <w:r>
        <w:tab/>
        <w:t xml:space="preserve">Finally, I respectfully disagree with the majority’s view, consistent with </w:t>
      </w:r>
      <w:r w:rsidRPr="00A77684">
        <w:rPr>
          <w:i/>
          <w:iCs/>
        </w:rPr>
        <w:t>Delila D</w:t>
      </w:r>
      <w:r>
        <w:t xml:space="preserve">., that </w:t>
      </w:r>
      <w:r w:rsidRPr="00282E6C">
        <w:t xml:space="preserve">children taken into protective custody </w:t>
      </w:r>
      <w:r>
        <w:t xml:space="preserve">pursuant to a warrant </w:t>
      </w:r>
      <w:r w:rsidRPr="00282E6C">
        <w:t xml:space="preserve">and later transferred to a social worker </w:t>
      </w:r>
      <w:r>
        <w:t>are placed in</w:t>
      </w:r>
      <w:r w:rsidRPr="00282E6C">
        <w:t xml:space="preserve"> temporary custody under section 306.</w:t>
      </w:r>
      <w:bookmarkStart w:id="16" w:name="_Hlk157158448"/>
      <w:r>
        <w:t xml:space="preserve">  (</w:t>
      </w:r>
      <w:r w:rsidRPr="009B5854">
        <w:rPr>
          <w:i/>
          <w:iCs/>
        </w:rPr>
        <w:t>Delila D.</w:t>
      </w:r>
      <w:r w:rsidRPr="00866A11">
        <w:t>,</w:t>
      </w:r>
      <w:r w:rsidRPr="009B5854">
        <w:rPr>
          <w:i/>
          <w:iCs/>
        </w:rPr>
        <w:t xml:space="preserve"> supra</w:t>
      </w:r>
      <w:r w:rsidRPr="00866A11">
        <w:t>,</w:t>
      </w:r>
      <w:r>
        <w:t xml:space="preserve"> 93 Cal.App.5th at p. 974.)  (Maj. Opn., pp. 8-15.)  </w:t>
      </w:r>
      <w:r w:rsidRPr="00A77684">
        <w:rPr>
          <w:i/>
          <w:iCs/>
        </w:rPr>
        <w:t>Andres R</w:t>
      </w:r>
      <w:r>
        <w:t>. notes that such view results in disparate treatment between those taken into custody before the detention hearing and those who are first detained by the court.  (</w:t>
      </w:r>
      <w:r w:rsidRPr="00EB70C7">
        <w:rPr>
          <w:i/>
          <w:iCs/>
        </w:rPr>
        <w:t>Andres R.</w:t>
      </w:r>
      <w:r w:rsidRPr="00866A11">
        <w:t>,</w:t>
      </w:r>
      <w:r w:rsidRPr="00EB70C7">
        <w:rPr>
          <w:i/>
          <w:iCs/>
        </w:rPr>
        <w:t xml:space="preserve"> supra</w:t>
      </w:r>
      <w:r w:rsidRPr="00866A11">
        <w:t xml:space="preserve">, </w:t>
      </w:r>
      <w:r>
        <w:t xml:space="preserve">94 Cal.App.5th at pp. 845-846.)  I agree with and continue to follow </w:t>
      </w:r>
      <w:r w:rsidRPr="002A119F">
        <w:rPr>
          <w:i/>
          <w:iCs/>
        </w:rPr>
        <w:t>Andres R</w:t>
      </w:r>
      <w:r w:rsidRPr="00254EEE">
        <w:rPr>
          <w:i/>
          <w:iCs/>
        </w:rPr>
        <w:t>’s</w:t>
      </w:r>
      <w:r>
        <w:t xml:space="preserve"> response to that view</w:t>
      </w:r>
      <w:bookmarkEnd w:id="16"/>
      <w:r>
        <w:t xml:space="preserve"> which I set forth below.</w:t>
      </w:r>
      <w:r>
        <w:rPr>
          <w:rStyle w:val="FootnoteReference"/>
        </w:rPr>
        <w:footnoteReference w:id="19"/>
      </w:r>
    </w:p>
    <w:p w:rsidR="007F4AB4" w:rsidP="007F4AB4" w14:paraId="40B90E70" w14:textId="77777777">
      <w:pPr>
        <w:spacing w:line="480" w:lineRule="auto"/>
      </w:pPr>
      <w:r w:rsidRPr="009B0746">
        <w:rPr>
          <w:i/>
          <w:iCs/>
        </w:rPr>
        <w:t>Application of Federal ICWA law and Guidelines</w:t>
      </w:r>
      <w:r>
        <w:rPr>
          <w:i/>
          <w:iCs/>
        </w:rPr>
        <w:t xml:space="preserve">.  </w:t>
      </w:r>
      <w:r>
        <w:t xml:space="preserve">The majority opinion criticizes the view of federal law set in various decisions of this court and as set forth in the concurring opinion in </w:t>
      </w:r>
      <w:r w:rsidRPr="00372588">
        <w:rPr>
          <w:i/>
          <w:iCs/>
        </w:rPr>
        <w:t>In re Adrian L.</w:t>
      </w:r>
      <w:r w:rsidRPr="00372588">
        <w:t xml:space="preserve"> (2022) 86 Cal.App.5th 342</w:t>
      </w:r>
      <w:r>
        <w:t xml:space="preserve"> (</w:t>
      </w:r>
      <w:r w:rsidRPr="007368D5">
        <w:rPr>
          <w:i/>
          <w:iCs/>
        </w:rPr>
        <w:t>Adrian L.</w:t>
      </w:r>
      <w:r>
        <w:t>).  (Maj. Opn., p. 24, fn.10.)  I</w:t>
      </w:r>
      <w:r w:rsidRPr="00AD6016">
        <w:t xml:space="preserve"> </w:t>
      </w:r>
      <w:r>
        <w:t>continue to agree with and follow this court’s view on the application of federal law to the initial ICWA inquiry as set forth in</w:t>
      </w:r>
      <w:r w:rsidRPr="00641EA7">
        <w:rPr>
          <w:i/>
          <w:iCs/>
        </w:rPr>
        <w:t xml:space="preserve"> Robert F.</w:t>
      </w:r>
      <w:r w:rsidRPr="008640A7">
        <w:t xml:space="preserve">, </w:t>
      </w:r>
      <w:r w:rsidRPr="00B37974">
        <w:rPr>
          <w:i/>
          <w:iCs/>
        </w:rPr>
        <w:t>Ja.O.</w:t>
      </w:r>
      <w:r w:rsidRPr="008640A7">
        <w:t>,</w:t>
      </w:r>
      <w:r w:rsidRPr="00B37974">
        <w:rPr>
          <w:i/>
          <w:iCs/>
        </w:rPr>
        <w:t xml:space="preserve"> </w:t>
      </w:r>
      <w:r>
        <w:t xml:space="preserve">and </w:t>
      </w:r>
      <w:r w:rsidRPr="006A5FB2">
        <w:rPr>
          <w:i/>
          <w:iCs/>
        </w:rPr>
        <w:t>Andres R.</w:t>
      </w:r>
    </w:p>
    <w:p w:rsidR="007F4AB4" w:rsidP="007F4AB4" w14:paraId="166BB8D4" w14:textId="77777777">
      <w:pPr>
        <w:spacing w:line="480" w:lineRule="auto"/>
      </w:pPr>
      <w:r>
        <w:tab/>
        <w:t>According to the majority opinion, “[f]</w:t>
      </w:r>
      <w:r w:rsidRPr="00900E0E">
        <w:t>ederal guidance recommends that states inquire of extended family in emergency proceedings, consistent with our Legislature’s decision.</w:t>
      </w:r>
      <w:r>
        <w:t xml:space="preserve">”  (Maj. Opn., p.15.)  I agree.  In my view, however, the views expressed in </w:t>
      </w:r>
      <w:r w:rsidRPr="009E05A3">
        <w:rPr>
          <w:i/>
          <w:iCs/>
        </w:rPr>
        <w:t>Robert F</w:t>
      </w:r>
      <w:r>
        <w:t xml:space="preserve">., </w:t>
      </w:r>
      <w:r w:rsidRPr="009E05A3">
        <w:rPr>
          <w:i/>
          <w:iCs/>
        </w:rPr>
        <w:t>Ja.O</w:t>
      </w:r>
      <w:r>
        <w:t xml:space="preserve">., and </w:t>
      </w:r>
      <w:r w:rsidRPr="009E05A3">
        <w:rPr>
          <w:i/>
          <w:iCs/>
        </w:rPr>
        <w:t>Andres R</w:t>
      </w:r>
      <w:r>
        <w:t>. are consistent with the federal guidelines when the removals are without a warrant.</w:t>
      </w:r>
    </w:p>
    <w:p w:rsidR="007F4AB4" w:rsidP="007F4AB4" w14:paraId="3D9E6433" w14:textId="77777777">
      <w:pPr>
        <w:spacing w:line="480" w:lineRule="auto"/>
      </w:pPr>
      <w:r>
        <w:tab/>
        <w:t>In discussing the federal law and guidelines on the subject, the majority opinion notes that, “[i]</w:t>
      </w:r>
      <w:r w:rsidRPr="00DE74A7">
        <w:t>nitial inquiry of extended family is mentioned</w:t>
      </w:r>
      <w:r>
        <w:t xml:space="preserve"> </w:t>
      </w:r>
      <w:r w:rsidRPr="00DE74A7">
        <w:t>in federal l</w:t>
      </w:r>
      <w:r>
        <w:t xml:space="preserve">aw </w:t>
      </w:r>
      <w:r>
        <w:rPr>
          <w:color w:val="000000"/>
          <w:szCs w:val="26"/>
        </w:rPr>
        <w:t>only in the BIA guidance on emergency proceedings and only once.”</w:t>
      </w:r>
      <w:r>
        <w:t xml:space="preserve"> </w:t>
      </w:r>
      <w:r>
        <w:rPr>
          <w:color w:val="000000"/>
          <w:szCs w:val="26"/>
        </w:rPr>
        <w:t xml:space="preserve"> </w:t>
      </w:r>
      <w:r>
        <w:t>(Maj Opn., p. 22.)  The majority opinion refers to section C.7 of the BIA Guidelines, which re</w:t>
      </w:r>
      <w:r w:rsidRPr="00DE74A7">
        <w:t xml:space="preserve">commend </w:t>
      </w:r>
      <w:r>
        <w:t>“that</w:t>
      </w:r>
      <w:r w:rsidRPr="00DE74A7">
        <w:t xml:space="preserve"> the State agency ask the family and extended family whether the child</w:t>
      </w:r>
      <w:r>
        <w:t>”</w:t>
      </w:r>
      <w:r w:rsidRPr="00DE74A7">
        <w:t xml:space="preserve"> is </w:t>
      </w:r>
      <w:r>
        <w:t xml:space="preserve">or may be </w:t>
      </w:r>
      <w:r w:rsidRPr="00DE74A7">
        <w:t>a</w:t>
      </w:r>
      <w:r>
        <w:t>n Indian child “</w:t>
      </w:r>
      <w:r w:rsidRPr="00DE74A7">
        <w:t>as part of the emergency removal and placement process</w:t>
      </w:r>
      <w:r>
        <w:t>.</w:t>
      </w:r>
      <w:r w:rsidRPr="00DE74A7">
        <w:t xml:space="preserve">  (BIA Guidelines C.7, p. 28, italics added.)</w:t>
      </w:r>
      <w:r>
        <w:t xml:space="preserve">” </w:t>
      </w:r>
      <w:r w:rsidRPr="00DE74A7">
        <w:t xml:space="preserve"> </w:t>
      </w:r>
      <w:r>
        <w:t>(Maj. Opn., p. 22.)  The majority then says, “[t]</w:t>
      </w:r>
      <w:r w:rsidRPr="00BF25ED">
        <w:t>he BIA’s description of emergency removals as lacking court authorization</w:t>
      </w:r>
      <w:r>
        <w:t xml:space="preserve"> [without a warrant]</w:t>
      </w:r>
      <w:r w:rsidRPr="00BF25ED">
        <w:t xml:space="preserve"> is no more than a reflection of the state procedures the BIA focused on in 2016 (before pre-petition removals by warrant were authorized in California), as removal by warrant is nowhere mentioned in the ICWA regulations or BIA guidance.</w:t>
      </w:r>
      <w:r>
        <w:t xml:space="preserve"> </w:t>
      </w:r>
      <w:r w:rsidRPr="00BF25ED">
        <w:t xml:space="preserve"> (See Interior Dept. Rules, 81 Fed. Reg. at 38794 [citing §</w:t>
      </w:r>
      <w:r>
        <w:t xml:space="preserve"> </w:t>
      </w:r>
      <w:r w:rsidRPr="00BF25ED">
        <w:t>305, a warrantless removal provision, in fashioning the federal regulations].)</w:t>
      </w:r>
      <w:r>
        <w:t>”</w:t>
      </w:r>
      <w:r w:rsidRPr="00BF25ED">
        <w:t xml:space="preserve"> </w:t>
      </w:r>
      <w:r>
        <w:t xml:space="preserve"> (Maj. Opn., pp. 26-27.)  </w:t>
      </w:r>
      <w:r w:rsidRPr="00BF25ED">
        <w:t>I agree.</w:t>
      </w:r>
    </w:p>
    <w:p w:rsidR="007F4AB4" w:rsidP="007F4AB4" w14:paraId="0076C170" w14:textId="77777777">
      <w:pPr>
        <w:spacing w:line="480" w:lineRule="auto"/>
      </w:pPr>
      <w:r>
        <w:tab/>
        <w:t>The BIA Guidelines—and section 224.2(b)—deal only with cases involving warrantless removals.  (</w:t>
      </w:r>
      <w:r w:rsidRPr="000340E3">
        <w:rPr>
          <w:i/>
          <w:iCs/>
        </w:rPr>
        <w:t>Adrian L</w:t>
      </w:r>
      <w:r w:rsidRPr="00A02626">
        <w:t>,</w:t>
      </w:r>
      <w:r w:rsidRPr="000340E3">
        <w:rPr>
          <w:i/>
          <w:iCs/>
        </w:rPr>
        <w:t xml:space="preserve"> supra</w:t>
      </w:r>
      <w:r w:rsidRPr="00A02626">
        <w:t>,</w:t>
      </w:r>
      <w:r>
        <w:t xml:space="preserve"> 86 Cal.App.5th at pp. 362-363 (conc. opn. Kelley, J.).)  Therefore, Guideline C.7’s </w:t>
      </w:r>
      <w:r w:rsidRPr="00BF25ED">
        <w:t>recommend</w:t>
      </w:r>
      <w:r>
        <w:t xml:space="preserve">ation for </w:t>
      </w:r>
      <w:r w:rsidRPr="00BF25ED">
        <w:t xml:space="preserve">extended family inquiry </w:t>
      </w:r>
      <w:r>
        <w:t xml:space="preserve">in cases involving </w:t>
      </w:r>
      <w:r w:rsidRPr="00BF25ED">
        <w:t xml:space="preserve">warrantless removals </w:t>
      </w:r>
      <w:r>
        <w:t>throws light on how the</w:t>
      </w:r>
      <w:r w:rsidRPr="00BF25ED">
        <w:t xml:space="preserve"> </w:t>
      </w:r>
      <w:r>
        <w:t>California L</w:t>
      </w:r>
      <w:r w:rsidRPr="00BF25ED">
        <w:t xml:space="preserve">egislature </w:t>
      </w:r>
      <w:r>
        <w:t xml:space="preserve">determined to make California law consistent with the federal guidelines by requiring </w:t>
      </w:r>
      <w:r w:rsidRPr="00BF25ED">
        <w:t>extended family inquiry for warrantless removals</w:t>
      </w:r>
      <w:r>
        <w:t xml:space="preserve">.  A reading of the Guidelines demonstrates that </w:t>
      </w:r>
      <w:r w:rsidRPr="009307FD">
        <w:rPr>
          <w:i/>
          <w:iCs/>
        </w:rPr>
        <w:t>Adrian L</w:t>
      </w:r>
      <w:r w:rsidRPr="00A02626">
        <w:t>’</w:t>
      </w:r>
      <w:r>
        <w:rPr>
          <w:i/>
          <w:iCs/>
        </w:rPr>
        <w:t>s</w:t>
      </w:r>
      <w:r>
        <w:t xml:space="preserve"> and </w:t>
      </w:r>
      <w:r w:rsidRPr="009307FD">
        <w:rPr>
          <w:i/>
          <w:iCs/>
        </w:rPr>
        <w:t>Robert F.</w:t>
      </w:r>
      <w:r w:rsidRPr="00A02626">
        <w:t>’</w:t>
      </w:r>
      <w:r w:rsidRPr="009307FD">
        <w:rPr>
          <w:i/>
          <w:iCs/>
        </w:rPr>
        <w:t xml:space="preserve"> s</w:t>
      </w:r>
      <w:r>
        <w:t xml:space="preserve"> conclusion that section 306 refers to warrantless removals is sound and consistent with federal guidelines.</w:t>
      </w:r>
      <w:r>
        <w:rPr>
          <w:rStyle w:val="FootnoteReference"/>
        </w:rPr>
        <w:footnoteReference w:id="20"/>
      </w:r>
    </w:p>
    <w:p w:rsidR="007F4AB4" w:rsidP="007F4AB4" w14:paraId="66E78F0C" w14:textId="77777777">
      <w:pPr>
        <w:spacing w:line="480" w:lineRule="auto"/>
      </w:pPr>
      <w:r>
        <w:tab/>
        <w:t xml:space="preserve">Thus, I am persuaded that </w:t>
      </w:r>
      <w:r w:rsidRPr="00A67FAA">
        <w:rPr>
          <w:i/>
          <w:iCs/>
        </w:rPr>
        <w:t>Robert F</w:t>
      </w:r>
      <w:r>
        <w:t xml:space="preserve">. and its progeny are correct, and I continue to agree with and follow those opinions. </w:t>
      </w:r>
    </w:p>
    <w:p w:rsidR="007F4AB4" w:rsidRPr="005710AB" w:rsidP="007F4AB4" w14:paraId="5C67A363" w14:textId="77777777">
      <w:pPr>
        <w:pStyle w:val="SigPage1"/>
        <w:jc w:val="right"/>
        <w:rPr>
          <w:sz w:val="26"/>
          <w:szCs w:val="26"/>
        </w:rPr>
      </w:pPr>
      <w:r>
        <w:rPr>
          <w:sz w:val="26"/>
          <w:szCs w:val="26"/>
          <w:u w:val="single"/>
        </w:rPr>
        <w:t>FIELDS</w:t>
      </w:r>
      <w:r w:rsidRPr="005710AB">
        <w:rPr>
          <w:sz w:val="26"/>
          <w:szCs w:val="26"/>
          <w:u w:val="single"/>
        </w:rPr>
        <w:tab/>
      </w:r>
    </w:p>
    <w:p w:rsidR="00394D9E" w:rsidRPr="00394D9E" w:rsidP="007F4AB4" w14:paraId="021820CA" w14:textId="7BD12E6A">
      <w:pPr>
        <w:pStyle w:val="SigPage1"/>
        <w:jc w:val="right"/>
        <w:rPr>
          <w:szCs w:val="26"/>
        </w:rPr>
      </w:pPr>
      <w:r w:rsidRPr="005710AB">
        <w:rPr>
          <w:sz w:val="26"/>
          <w:szCs w:val="26"/>
        </w:rPr>
        <w:tab/>
        <w:t>J.</w:t>
      </w:r>
    </w:p>
    <w:sectPr w:rsidSect="00E1768E">
      <w:footerReference w:type="default" r:id="rId13"/>
      <w:footnotePr>
        <w:numRestart w:val="eachSect"/>
      </w:footnotePr>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97AEB" w:rsidP="003F3AE1" w14:paraId="107740D2" w14:textId="232D7D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22D1">
      <w:rPr>
        <w:rStyle w:val="PageNumber"/>
        <w:noProof/>
      </w:rPr>
      <w:t>1</w:t>
    </w:r>
    <w:r>
      <w:rPr>
        <w:rStyle w:val="PageNumber"/>
      </w:rPr>
      <w:fldChar w:fldCharType="end"/>
    </w:r>
  </w:p>
  <w:p w:rsidR="00297AEB" w14:paraId="49FE7C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55464262"/>
      <w:docPartObj>
        <w:docPartGallery w:val="Page Numbers (Bottom of Page)"/>
        <w:docPartUnique/>
      </w:docPartObj>
    </w:sdtPr>
    <w:sdtEndPr>
      <w:rPr>
        <w:noProof/>
      </w:rPr>
    </w:sdtEndPr>
    <w:sdtContent>
      <w:p w:rsidR="00297AEB" w:rsidP="00322ACC" w14:paraId="64776309" w14:textId="35CBA520">
        <w:pPr>
          <w:pStyle w:val="Footer"/>
          <w:jc w:val="center"/>
        </w:pPr>
        <w:r>
          <w:fldChar w:fldCharType="begin"/>
        </w:r>
        <w:r>
          <w:instrText xml:space="preserve"> PAGE   \* MERGEFORMAT </w:instrText>
        </w:r>
        <w:r>
          <w:fldChar w:fldCharType="separate"/>
        </w:r>
        <w:r w:rsidR="00FB6D1F">
          <w:rPr>
            <w:noProof/>
          </w:rPr>
          <w:t>45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AE1" w:rsidRPr="003F3AE1" w:rsidP="003F3AE1" w14:paraId="4F2933B6" w14:textId="21752AB6">
    <w:pPr>
      <w:pStyle w:val="Footer"/>
      <w:jc w:val="right"/>
      <w:rPr>
        <w:b/>
      </w:rPr>
    </w:pPr>
  </w:p>
  <w:sdt>
    <w:sdtPr>
      <w:id w:val="1941872161"/>
      <w:docPartObj>
        <w:docPartGallery w:val="Page Numbers (Bottom of Page)"/>
        <w:docPartUnique/>
      </w:docPartObj>
    </w:sdtPr>
    <w:sdtEndPr>
      <w:rPr>
        <w:noProof/>
      </w:rPr>
    </w:sdtEndPr>
    <w:sdtContent>
      <w:p w:rsidR="00297AEB" w:rsidP="00322ACC" w14:paraId="0FE3F05F" w14:textId="07FF94C4">
        <w:pPr>
          <w:pStyle w:val="Footer"/>
          <w:jc w:val="center"/>
        </w:pPr>
        <w:r>
          <w:fldChar w:fldCharType="begin"/>
        </w:r>
        <w:r>
          <w:instrText xml:space="preserve"> PAGE   \* MERGEFORMAT </w:instrText>
        </w:r>
        <w:r>
          <w:fldChar w:fldCharType="separate"/>
        </w:r>
        <w:r w:rsidR="00945165">
          <w:rPr>
            <w:noProof/>
          </w:rPr>
          <w:t>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96927029"/>
      <w:docPartObj>
        <w:docPartGallery w:val="Page Numbers (Bottom of Page)"/>
        <w:docPartUnique/>
      </w:docPartObj>
    </w:sdtPr>
    <w:sdtEndPr>
      <w:rPr>
        <w:noProof/>
      </w:rPr>
    </w:sdtEndPr>
    <w:sdtContent>
      <w:p w:rsidR="00E1768E" w:rsidP="00D4132B" w14:paraId="1EF23616" w14:textId="7777777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63F4D" w:rsidP="00CD280D" w14:paraId="26590D35" w14:textId="77777777">
      <w:pPr>
        <w:spacing w:line="240" w:lineRule="auto"/>
      </w:pPr>
      <w:r>
        <w:separator/>
      </w:r>
    </w:p>
  </w:footnote>
  <w:footnote w:type="continuationSeparator" w:id="1">
    <w:p w:rsidR="00E63F4D" w:rsidP="00CD280D" w14:paraId="0FC0FDE5" w14:textId="77777777">
      <w:pPr>
        <w:spacing w:line="240" w:lineRule="auto"/>
      </w:pPr>
      <w:r>
        <w:continuationSeparator/>
      </w:r>
    </w:p>
    <w:p w:rsidR="00E63F4D" w:rsidRPr="003F3AE1" w:rsidP="00CD280D" w14:paraId="79D8E366" w14:textId="77777777">
      <w:pPr>
        <w:spacing w:line="240" w:lineRule="auto"/>
        <w:rPr>
          <w:rFonts w:cs="Times New Roman"/>
          <w:i/>
          <w:sz w:val="20"/>
        </w:rPr>
      </w:pPr>
      <w:r>
        <w:rPr>
          <w:rFonts w:cs="Times New Roman"/>
          <w:i/>
          <w:sz w:val="20"/>
        </w:rPr>
        <w:t>[footnote continued from previous page]</w:t>
      </w:r>
    </w:p>
    <w:p w:rsidR="00E63F4D" w:rsidRPr="003F3AE1" w:rsidP="00CD280D" w14:paraId="1098BC84" w14:textId="77777777">
      <w:pPr>
        <w:spacing w:line="240" w:lineRule="auto"/>
        <w:rPr>
          <w:rFonts w:cs="Times New Roman"/>
          <w:i/>
          <w:sz w:val="20"/>
        </w:rPr>
      </w:pPr>
      <w:r>
        <w:rPr>
          <w:rFonts w:cs="Times New Roman"/>
          <w:i/>
          <w:sz w:val="20"/>
        </w:rPr>
        <w:t>[footnote continued from previous page]</w:t>
      </w:r>
    </w:p>
    <w:p w:rsidR="00E63F4D" w:rsidRPr="006C2AEC" w:rsidP="00CD280D" w14:paraId="4E84BC30" w14:textId="77777777">
      <w:pPr>
        <w:spacing w:line="240" w:lineRule="auto"/>
        <w:rPr>
          <w:rFonts w:cs="Times New Roman"/>
          <w:sz w:val="20"/>
        </w:rPr>
      </w:pPr>
    </w:p>
    <w:p w:rsidR="00E63F4D" w:rsidRPr="00CD280D" w:rsidP="00CD280D" w14:paraId="55346C08" w14:textId="77777777">
      <w:pPr>
        <w:spacing w:line="240" w:lineRule="auto"/>
        <w:rPr>
          <w:rFonts w:cs="Times New Roman"/>
          <w:i/>
          <w:sz w:val="20"/>
        </w:rPr>
      </w:pPr>
      <w:r>
        <w:rPr>
          <w:rFonts w:cs="Times New Roman"/>
          <w:i/>
          <w:sz w:val="20"/>
        </w:rPr>
        <w:t>[footnote continued from previous page]</w:t>
      </w:r>
    </w:p>
    <w:p w:rsidR="00E63F4D" w:rsidRPr="00CD280D" w:rsidP="00CD280D" w14:paraId="57214CA4" w14:textId="77777777">
      <w:pPr>
        <w:spacing w:line="240" w:lineRule="auto"/>
        <w:rPr>
          <w:rFonts w:cs="Times New Roman"/>
          <w:i/>
          <w:sz w:val="20"/>
        </w:rPr>
      </w:pPr>
      <w:r>
        <w:rPr>
          <w:rFonts w:cs="Times New Roman"/>
          <w:i/>
          <w:sz w:val="20"/>
        </w:rPr>
        <w:t>[footnote continued from previous page]</w:t>
      </w:r>
    </w:p>
  </w:footnote>
  <w:footnote w:type="continuationNotice" w:id="2">
    <w:p w:rsidR="00E63F4D" w:rsidRPr="003F3AE1" w:rsidP="003F3AE1" w14:paraId="397A3027" w14:textId="77777777">
      <w:pPr>
        <w:pStyle w:val="Footer"/>
        <w:jc w:val="right"/>
        <w:rPr>
          <w:rFonts w:cs="Times New Roman"/>
          <w:i/>
          <w:sz w:val="20"/>
        </w:rPr>
      </w:pPr>
      <w:r>
        <w:rPr>
          <w:rFonts w:cs="Times New Roman"/>
          <w:i/>
          <w:sz w:val="20"/>
        </w:rPr>
        <w:t>[footnote continued on next page]</w:t>
      </w:r>
    </w:p>
  </w:footnote>
  <w:footnote w:id="3">
    <w:p w:rsidR="005B603F" w:rsidP="005B603F" w14:paraId="2A2B6A8F" w14:textId="77777777">
      <w:pPr>
        <w:pStyle w:val="DraftFootnote"/>
      </w:pPr>
      <w:r>
        <w:rPr>
          <w:rStyle w:val="FootnoteReference"/>
          <w:rFonts w:ascii="Symbol" w:hAnsi="Symbol"/>
          <w:szCs w:val="20"/>
        </w:rPr>
        <w:t>*</w:t>
      </w:r>
      <w:r>
        <w:t xml:space="preserve">  </w:t>
      </w:r>
      <w:r w:rsidRPr="00501293">
        <w:t xml:space="preserve">Pursuant to California Rules of Court, rules 8.1105 and 8.1110, this opinion is certified for publication with the exception of part </w:t>
      </w:r>
      <w:r>
        <w:t>D</w:t>
      </w:r>
      <w:r w:rsidRPr="00501293">
        <w:t xml:space="preserve"> of the </w:t>
      </w:r>
      <w:r>
        <w:t>Analysis</w:t>
      </w:r>
      <w:r w:rsidRPr="00501293">
        <w:t>.</w:t>
      </w:r>
    </w:p>
  </w:footnote>
  <w:footnote w:id="4">
    <w:p w:rsidR="00F77C87" w:rsidP="00104C30" w14:paraId="0FE6D74B" w14:textId="241180B3">
      <w:pPr>
        <w:pStyle w:val="FootnoteText"/>
        <w:ind w:firstLine="720"/>
      </w:pPr>
      <w:r>
        <w:rPr>
          <w:rStyle w:val="FootnoteReference"/>
        </w:rPr>
        <w:footnoteRef/>
      </w:r>
      <w:r w:rsidR="0037359A">
        <w:t xml:space="preserve"> </w:t>
      </w:r>
      <w:r>
        <w:t xml:space="preserve"> </w:t>
      </w:r>
      <w:r w:rsidR="00434CE6">
        <w:t>“</w:t>
      </w:r>
      <w:r w:rsidR="00450F8F">
        <w:t>[B]</w:t>
      </w:r>
      <w:r w:rsidRPr="00104C30">
        <w:t>ecause ICWA uses the term ‘Indian,’ we do the same for consistency, even though we recognize that other terms, such as ‘Native American’ or ‘</w:t>
      </w:r>
      <w:r w:rsidR="0037359A">
        <w:t>i</w:t>
      </w:r>
      <w:r w:rsidRPr="00104C30">
        <w:t>ndigenous,’ are preferred by many.</w:t>
      </w:r>
      <w:r w:rsidR="007A7F75">
        <w:t xml:space="preserve">”  </w:t>
      </w:r>
      <w:r w:rsidRPr="00104C30">
        <w:t>(</w:t>
      </w:r>
      <w:r w:rsidRPr="00104C30">
        <w:rPr>
          <w:i/>
          <w:iCs/>
        </w:rPr>
        <w:t>In re Benjamin M.</w:t>
      </w:r>
      <w:r w:rsidRPr="00104C30">
        <w:t xml:space="preserve"> (2021) </w:t>
      </w:r>
      <w:bookmarkStart w:id="0" w:name="_Hlk145056253"/>
      <w:r w:rsidRPr="00104C30">
        <w:t xml:space="preserve">70 Cal.App.5th </w:t>
      </w:r>
      <w:bookmarkEnd w:id="0"/>
      <w:r w:rsidRPr="00104C30">
        <w:t>735, 739, fn. 1 (</w:t>
      </w:r>
      <w:r w:rsidRPr="00104C30">
        <w:rPr>
          <w:i/>
          <w:iCs/>
        </w:rPr>
        <w:t>Benjamin M.</w:t>
      </w:r>
      <w:r w:rsidRPr="00104C30">
        <w:t>).)</w:t>
      </w:r>
    </w:p>
    <w:p w:rsidR="00BA6F39" w:rsidP="00104C30" w14:paraId="4E831D0E" w14:textId="77777777">
      <w:pPr>
        <w:pStyle w:val="FootnoteText"/>
        <w:ind w:firstLine="720"/>
      </w:pPr>
    </w:p>
  </w:footnote>
  <w:footnote w:id="5">
    <w:p w:rsidR="00D16107" w:rsidP="00D16107" w14:paraId="49DA9545" w14:textId="237A13B6">
      <w:pPr>
        <w:pStyle w:val="FootnoteText"/>
        <w:ind w:firstLine="720"/>
      </w:pPr>
      <w:r>
        <w:rPr>
          <w:rStyle w:val="FootnoteReference"/>
        </w:rPr>
        <w:footnoteRef/>
      </w:r>
      <w:r>
        <w:t xml:space="preserve"> </w:t>
      </w:r>
      <w:r w:rsidR="00BA6F39">
        <w:t xml:space="preserve"> </w:t>
      </w:r>
      <w:r>
        <w:t xml:space="preserve">In the </w:t>
      </w:r>
      <w:r w:rsidR="00C16309">
        <w:t>non</w:t>
      </w:r>
      <w:r>
        <w:t>published portion of this opinion, we hold that the juvenile court erred by refusing to allow father to testify or present evidence in support of his petition for reinstatement of reunification services.  We therefore also remand for an evidentiary hearing on father’s petition.</w:t>
      </w:r>
    </w:p>
  </w:footnote>
  <w:footnote w:id="6">
    <w:p w:rsidR="00411D9B" w:rsidP="00411D9B" w14:paraId="08D46C1F" w14:textId="25F9F25F">
      <w:pPr>
        <w:pStyle w:val="FootnoteText"/>
      </w:pPr>
      <w:r>
        <w:tab/>
      </w:r>
      <w:r>
        <w:rPr>
          <w:rStyle w:val="FootnoteReference"/>
        </w:rPr>
        <w:footnoteRef/>
      </w:r>
      <w:r>
        <w:t xml:space="preserve">  </w:t>
      </w:r>
      <w:r w:rsidRPr="00104C30">
        <w:t xml:space="preserve">Undesignated statutory </w:t>
      </w:r>
      <w:r w:rsidR="00F51A59">
        <w:t xml:space="preserve">citations </w:t>
      </w:r>
      <w:r w:rsidRPr="00104C30">
        <w:t>refer to the Welfare and Institutions Code.</w:t>
      </w:r>
      <w:r>
        <w:t xml:space="preserve"> </w:t>
      </w:r>
      <w:r w:rsidRPr="00104C30">
        <w:t xml:space="preserve"> </w:t>
      </w:r>
    </w:p>
  </w:footnote>
  <w:footnote w:id="7">
    <w:p w:rsidR="00644D08" w:rsidP="00CC76D5" w14:paraId="3BBF1EE0" w14:textId="5F24399E">
      <w:pPr>
        <w:pStyle w:val="FootnoteText"/>
        <w:ind w:firstLine="720"/>
      </w:pPr>
      <w:r>
        <w:rPr>
          <w:rStyle w:val="FootnoteReference"/>
        </w:rPr>
        <w:footnoteRef/>
      </w:r>
      <w:r>
        <w:t xml:space="preserve"> </w:t>
      </w:r>
      <w:r w:rsidR="00D77840">
        <w:t xml:space="preserve"> </w:t>
      </w:r>
      <w:r>
        <w:t xml:space="preserve">Section 224.2, subdivision (b), also applies when a child is placed in the temporary custody of a county probation department </w:t>
      </w:r>
      <w:r w:rsidR="002A79C5">
        <w:t>under</w:t>
      </w:r>
      <w:r>
        <w:t xml:space="preserve"> section 307.  </w:t>
      </w:r>
      <w:r w:rsidR="003D3BBD">
        <w:t>(</w:t>
      </w:r>
      <w:r>
        <w:t xml:space="preserve">See </w:t>
      </w:r>
      <w:r w:rsidR="005940ED">
        <w:t>§ </w:t>
      </w:r>
      <w:r>
        <w:t>224.2, subd. (b).)</w:t>
      </w:r>
      <w:r w:rsidR="00396EA5">
        <w:t xml:space="preserve">  </w:t>
      </w:r>
      <w:r w:rsidR="006855D8">
        <w:t xml:space="preserve">The </w:t>
      </w:r>
      <w:r w:rsidR="005F1DD5">
        <w:t>L</w:t>
      </w:r>
      <w:r w:rsidR="006855D8">
        <w:t xml:space="preserve">egislature </w:t>
      </w:r>
      <w:r w:rsidR="00BC788A">
        <w:t>may have</w:t>
      </w:r>
      <w:r w:rsidR="006855D8">
        <w:t xml:space="preserve"> intended the</w:t>
      </w:r>
      <w:r w:rsidR="00396EA5">
        <w:t xml:space="preserve"> section </w:t>
      </w:r>
      <w:r w:rsidRPr="00546B0B" w:rsidR="00396EA5">
        <w:rPr>
          <w:i/>
          <w:iCs/>
        </w:rPr>
        <w:t>not</w:t>
      </w:r>
      <w:r w:rsidR="00396EA5">
        <w:t xml:space="preserve"> </w:t>
      </w:r>
      <w:r w:rsidR="006855D8">
        <w:t xml:space="preserve">to </w:t>
      </w:r>
      <w:r w:rsidR="00396EA5">
        <w:t xml:space="preserve">apply if a county department </w:t>
      </w:r>
      <w:r w:rsidR="006855D8">
        <w:t xml:space="preserve">temporarily </w:t>
      </w:r>
      <w:r w:rsidR="00396EA5">
        <w:t xml:space="preserve">assumes custody of a child </w:t>
      </w:r>
      <w:r w:rsidR="006855D8">
        <w:t>under</w:t>
      </w:r>
      <w:r w:rsidR="00474747">
        <w:t xml:space="preserve"> </w:t>
      </w:r>
      <w:r w:rsidR="006855D8">
        <w:t xml:space="preserve">section 301 in a </w:t>
      </w:r>
      <w:r w:rsidR="00474747">
        <w:t xml:space="preserve">voluntary removal that is designed to provide services to maintain the family.  (See </w:t>
      </w:r>
      <w:r w:rsidR="005F1DD5">
        <w:t>§</w:t>
      </w:r>
      <w:r w:rsidR="006855D8">
        <w:t xml:space="preserve"> </w:t>
      </w:r>
      <w:r w:rsidR="00474747">
        <w:t>16507.4</w:t>
      </w:r>
      <w:r w:rsidR="006855D8">
        <w:t>.)</w:t>
      </w:r>
      <w:r w:rsidR="00BC788A">
        <w:t xml:space="preserve"> </w:t>
      </w:r>
    </w:p>
  </w:footnote>
  <w:footnote w:id="8">
    <w:p w:rsidR="003F1000" w:rsidP="00394B04" w14:paraId="0AFB30DE" w14:textId="472FD05B">
      <w:pPr>
        <w:pStyle w:val="FootnoteText"/>
        <w:ind w:firstLine="720"/>
      </w:pPr>
      <w:r>
        <w:rPr>
          <w:rStyle w:val="FootnoteReference"/>
        </w:rPr>
        <w:footnoteRef/>
      </w:r>
      <w:r>
        <w:t xml:space="preserve">  </w:t>
      </w:r>
      <w:r w:rsidR="008C551D">
        <w:t>Undesignated</w:t>
      </w:r>
      <w:r>
        <w:t xml:space="preserve"> rules references are to the California Rules of Court.</w:t>
      </w:r>
    </w:p>
  </w:footnote>
  <w:footnote w:id="9">
    <w:p w:rsidR="003B66CF" w:rsidP="00100490" w14:paraId="7F2D7138" w14:textId="111CE645">
      <w:pPr>
        <w:pStyle w:val="FootnoteText"/>
        <w:ind w:firstLine="720"/>
      </w:pPr>
      <w:r>
        <w:rPr>
          <w:rStyle w:val="FootnoteReference"/>
        </w:rPr>
        <w:footnoteRef/>
      </w:r>
      <w:r>
        <w:t xml:space="preserve"> </w:t>
      </w:r>
      <w:r w:rsidR="00100490">
        <w:t xml:space="preserve"> </w:t>
      </w:r>
      <w:r w:rsidR="007921BC">
        <w:t>For</w:t>
      </w:r>
      <w:r w:rsidR="00731B22">
        <w:t xml:space="preserve"> the duty to inquire of extended family, </w:t>
      </w:r>
      <w:r w:rsidR="00C16309">
        <w:t>r</w:t>
      </w:r>
      <w:r>
        <w:t>ule 5.481</w:t>
      </w:r>
      <w:r w:rsidR="00B86F27">
        <w:t>(a)(1)</w:t>
      </w:r>
      <w:r>
        <w:t xml:space="preserve"> </w:t>
      </w:r>
      <w:r w:rsidR="00B86F27">
        <w:t xml:space="preserve">fills a </w:t>
      </w:r>
      <w:r w:rsidR="007921BC">
        <w:t xml:space="preserve">statutory </w:t>
      </w:r>
      <w:r w:rsidR="00B86F27">
        <w:t xml:space="preserve">gap by requiring </w:t>
      </w:r>
      <w:r w:rsidR="007921BC">
        <w:t>that inquiry in the relatively small number of cases where children never enter temporary custody but are ordered into detention at the initial hearing.</w:t>
      </w:r>
    </w:p>
  </w:footnote>
  <w:footnote w:id="10">
    <w:p w:rsidR="00B97F24" w:rsidRPr="00BB4091" w:rsidP="00394B04" w14:paraId="18E05353" w14:textId="12F8BB12">
      <w:pPr>
        <w:pStyle w:val="FootnoteText"/>
        <w:ind w:firstLine="720"/>
        <w:rPr>
          <w:szCs w:val="26"/>
        </w:rPr>
      </w:pPr>
      <w:r w:rsidRPr="00BB4091">
        <w:rPr>
          <w:rStyle w:val="FootnoteReference"/>
          <w:szCs w:val="26"/>
        </w:rPr>
        <w:footnoteRef/>
      </w:r>
      <w:r w:rsidRPr="00BB4091">
        <w:rPr>
          <w:szCs w:val="26"/>
        </w:rPr>
        <w:t xml:space="preserve">  The same legislative report referred to regulations that allow social workers “to act pursuant to Section 306 when they take minors into </w:t>
      </w:r>
      <w:r w:rsidRPr="00BB4091">
        <w:rPr>
          <w:i/>
          <w:iCs/>
          <w:szCs w:val="26"/>
        </w:rPr>
        <w:t>protective custody</w:t>
      </w:r>
      <w:r w:rsidRPr="00BB4091">
        <w:rPr>
          <w:szCs w:val="26"/>
        </w:rPr>
        <w:t xml:space="preserve"> without a warrant.</w:t>
      </w:r>
      <w:r w:rsidR="000052E0">
        <w:rPr>
          <w:szCs w:val="26"/>
        </w:rPr>
        <w:t>”</w:t>
      </w:r>
      <w:r w:rsidRPr="00BB4091">
        <w:rPr>
          <w:szCs w:val="26"/>
        </w:rPr>
        <w:t xml:space="preserve">  (</w:t>
      </w:r>
      <w:r w:rsidR="0030042B">
        <w:rPr>
          <w:szCs w:val="26"/>
        </w:rPr>
        <w:t>See Assem.</w:t>
      </w:r>
      <w:r w:rsidRPr="00BC6809" w:rsidR="0030042B">
        <w:rPr>
          <w:szCs w:val="26"/>
        </w:rPr>
        <w:t xml:space="preserve"> Com. on Judiciary, Rep. on Assem. Bill 1401, </w:t>
      </w:r>
      <w:r w:rsidR="004C4EAB">
        <w:rPr>
          <w:szCs w:val="26"/>
        </w:rPr>
        <w:t>proposed amendment</w:t>
      </w:r>
      <w:r w:rsidRPr="00BC6809" w:rsidR="0030042B">
        <w:rPr>
          <w:szCs w:val="26"/>
        </w:rPr>
        <w:t xml:space="preserve"> Apr.</w:t>
      </w:r>
      <w:r w:rsidR="003D3BBD">
        <w:rPr>
          <w:szCs w:val="26"/>
        </w:rPr>
        <w:t> </w:t>
      </w:r>
      <w:r w:rsidRPr="00BC6809" w:rsidR="0030042B">
        <w:rPr>
          <w:szCs w:val="26"/>
        </w:rPr>
        <w:t>1</w:t>
      </w:r>
      <w:r w:rsidR="0030042B">
        <w:rPr>
          <w:szCs w:val="26"/>
        </w:rPr>
        <w:t>8</w:t>
      </w:r>
      <w:r w:rsidRPr="00BC6809" w:rsidR="0030042B">
        <w:rPr>
          <w:szCs w:val="26"/>
        </w:rPr>
        <w:t>, 2017,</w:t>
      </w:r>
      <w:r w:rsidRPr="00BB4091">
        <w:rPr>
          <w:szCs w:val="26"/>
        </w:rPr>
        <w:t xml:space="preserve"> at p. 4</w:t>
      </w:r>
      <w:r w:rsidR="0030042B">
        <w:rPr>
          <w:szCs w:val="26"/>
        </w:rPr>
        <w:t xml:space="preserve">, </w:t>
      </w:r>
      <w:r w:rsidR="003D3BBD">
        <w:rPr>
          <w:szCs w:val="26"/>
        </w:rPr>
        <w:t>italics</w:t>
      </w:r>
      <w:r>
        <w:rPr>
          <w:szCs w:val="26"/>
        </w:rPr>
        <w:t xml:space="preserve"> added</w:t>
      </w:r>
      <w:r w:rsidR="00E135AB">
        <w:rPr>
          <w:szCs w:val="26"/>
        </w:rPr>
        <w:t>; see also Asse</w:t>
      </w:r>
      <w:r w:rsidR="00347193">
        <w:rPr>
          <w:szCs w:val="26"/>
        </w:rPr>
        <w:t>m.</w:t>
      </w:r>
      <w:r w:rsidR="00E135AB">
        <w:rPr>
          <w:szCs w:val="26"/>
        </w:rPr>
        <w:t xml:space="preserve"> Fl</w:t>
      </w:r>
      <w:r w:rsidR="006F73CE">
        <w:rPr>
          <w:szCs w:val="26"/>
        </w:rPr>
        <w:t>oor</w:t>
      </w:r>
      <w:r w:rsidR="00E135AB">
        <w:rPr>
          <w:szCs w:val="26"/>
        </w:rPr>
        <w:t xml:space="preserve"> Rep. on Assem. Bill </w:t>
      </w:r>
      <w:r w:rsidR="006F73CE">
        <w:rPr>
          <w:szCs w:val="26"/>
        </w:rPr>
        <w:t xml:space="preserve">No. </w:t>
      </w:r>
      <w:r w:rsidR="00E135AB">
        <w:rPr>
          <w:szCs w:val="26"/>
        </w:rPr>
        <w:t>1401, as amended Aug. 23, 2017</w:t>
      </w:r>
      <w:r w:rsidR="004C4EAB">
        <w:rPr>
          <w:szCs w:val="26"/>
        </w:rPr>
        <w:t>,</w:t>
      </w:r>
      <w:r w:rsidR="00E135AB">
        <w:rPr>
          <w:szCs w:val="26"/>
        </w:rPr>
        <w:t xml:space="preserve"> at p. </w:t>
      </w:r>
      <w:r w:rsidR="003D3BBD">
        <w:rPr>
          <w:szCs w:val="26"/>
        </w:rPr>
        <w:t>4</w:t>
      </w:r>
      <w:r w:rsidR="00347193">
        <w:rPr>
          <w:szCs w:val="26"/>
        </w:rPr>
        <w:t xml:space="preserve"> [same].)</w:t>
      </w:r>
    </w:p>
  </w:footnote>
  <w:footnote w:id="11">
    <w:p w:rsidR="00EF31D0" w:rsidRPr="00815B0F" w:rsidP="00EF31D0" w14:paraId="46F78374" w14:textId="2B08A253">
      <w:pPr>
        <w:shd w:val="clear" w:color="auto" w:fill="FFFFFF"/>
        <w:spacing w:line="240" w:lineRule="auto"/>
        <w:ind w:firstLine="720"/>
        <w:textAlignment w:val="baseline"/>
        <w:rPr>
          <w:rFonts w:eastAsia="Times New Roman" w:cs="Times New Roman"/>
          <w:color w:val="000000"/>
          <w:szCs w:val="26"/>
        </w:rPr>
      </w:pPr>
      <w:r w:rsidRPr="00FF3E77">
        <w:rPr>
          <w:rStyle w:val="FootnoteReference"/>
          <w:rFonts w:cs="Times New Roman"/>
          <w:szCs w:val="26"/>
        </w:rPr>
        <w:footnoteRef/>
      </w:r>
      <w:r w:rsidR="00911AE0">
        <w:rPr>
          <w:rFonts w:cs="Times New Roman"/>
          <w:szCs w:val="26"/>
        </w:rPr>
        <w:t xml:space="preserve"> </w:t>
      </w:r>
      <w:r w:rsidRPr="00FF3E77">
        <w:rPr>
          <w:rFonts w:cs="Times New Roman"/>
          <w:szCs w:val="26"/>
        </w:rPr>
        <w:t xml:space="preserve"> </w:t>
      </w:r>
      <w:r w:rsidR="002A79C5">
        <w:rPr>
          <w:rFonts w:eastAsia="Times New Roman" w:cs="Times New Roman"/>
          <w:color w:val="000000"/>
          <w:szCs w:val="26"/>
        </w:rPr>
        <w:t>It may be</w:t>
      </w:r>
      <w:r w:rsidRPr="00FF3E77" w:rsidR="002A79C5">
        <w:rPr>
          <w:rFonts w:eastAsia="Times New Roman" w:cs="Times New Roman"/>
          <w:color w:val="000000"/>
          <w:szCs w:val="26"/>
        </w:rPr>
        <w:t xml:space="preserve"> </w:t>
      </w:r>
      <w:r w:rsidRPr="00FF3E77">
        <w:rPr>
          <w:rFonts w:eastAsia="Times New Roman" w:cs="Times New Roman"/>
          <w:color w:val="000000"/>
          <w:szCs w:val="26"/>
        </w:rPr>
        <w:t>as difficult to comply</w:t>
      </w:r>
      <w:r w:rsidR="002A79C5">
        <w:rPr>
          <w:rFonts w:eastAsia="Times New Roman" w:cs="Times New Roman"/>
          <w:color w:val="000000"/>
          <w:szCs w:val="26"/>
        </w:rPr>
        <w:t>,</w:t>
      </w:r>
      <w:r w:rsidRPr="00FF3E77">
        <w:rPr>
          <w:rFonts w:eastAsia="Times New Roman" w:cs="Times New Roman"/>
          <w:color w:val="000000"/>
          <w:szCs w:val="26"/>
        </w:rPr>
        <w:t xml:space="preserve"> </w:t>
      </w:r>
      <w:r>
        <w:rPr>
          <w:rFonts w:eastAsia="Times New Roman" w:cs="Times New Roman"/>
          <w:color w:val="000000"/>
          <w:szCs w:val="26"/>
        </w:rPr>
        <w:t xml:space="preserve">in the short time </w:t>
      </w:r>
      <w:r w:rsidRPr="00FF3E77">
        <w:rPr>
          <w:rFonts w:eastAsia="Times New Roman" w:cs="Times New Roman"/>
          <w:color w:val="000000"/>
          <w:szCs w:val="26"/>
        </w:rPr>
        <w:t>before a detention hearing</w:t>
      </w:r>
      <w:r w:rsidR="002A79C5">
        <w:rPr>
          <w:rFonts w:eastAsia="Times New Roman" w:cs="Times New Roman"/>
          <w:color w:val="000000"/>
          <w:szCs w:val="26"/>
        </w:rPr>
        <w:t>, with</w:t>
      </w:r>
      <w:r w:rsidRPr="00FF3E77">
        <w:rPr>
          <w:rFonts w:eastAsia="Times New Roman" w:cs="Times New Roman"/>
          <w:color w:val="000000"/>
          <w:szCs w:val="26"/>
        </w:rPr>
        <w:t xml:space="preserve"> ICWA’s requirement</w:t>
      </w:r>
      <w:r>
        <w:rPr>
          <w:rFonts w:eastAsia="Times New Roman" w:cs="Times New Roman"/>
          <w:color w:val="000000"/>
          <w:szCs w:val="26"/>
        </w:rPr>
        <w:t xml:space="preserve"> that an Indian child’s removal </w:t>
      </w:r>
      <w:r w:rsidR="002A79C5">
        <w:rPr>
          <w:rFonts w:eastAsia="Times New Roman" w:cs="Times New Roman"/>
          <w:color w:val="000000"/>
          <w:szCs w:val="26"/>
        </w:rPr>
        <w:t xml:space="preserve">include </w:t>
      </w:r>
      <w:r w:rsidRPr="003353AC">
        <w:rPr>
          <w:rFonts w:eastAsia="Times New Roman" w:cs="Times New Roman"/>
          <w:i/>
          <w:iCs/>
          <w:color w:val="000000"/>
          <w:szCs w:val="26"/>
        </w:rPr>
        <w:t>expert testimony</w:t>
      </w:r>
      <w:r>
        <w:rPr>
          <w:rFonts w:eastAsia="Times New Roman" w:cs="Times New Roman"/>
          <w:color w:val="000000"/>
          <w:szCs w:val="26"/>
        </w:rPr>
        <w:t xml:space="preserve"> </w:t>
      </w:r>
      <w:r w:rsidR="002A79C5">
        <w:rPr>
          <w:rFonts w:eastAsia="Times New Roman" w:cs="Times New Roman"/>
          <w:color w:val="000000"/>
          <w:szCs w:val="26"/>
        </w:rPr>
        <w:t>about</w:t>
      </w:r>
      <w:r>
        <w:rPr>
          <w:rFonts w:eastAsia="Times New Roman" w:cs="Times New Roman"/>
          <w:color w:val="000000"/>
          <w:szCs w:val="26"/>
        </w:rPr>
        <w:t xml:space="preserve"> the damage the child will face by remaining with her parents.  (25 U.S.C. </w:t>
      </w:r>
      <w:r w:rsidR="005940ED">
        <w:rPr>
          <w:rFonts w:eastAsia="Times New Roman" w:cs="Times New Roman"/>
          <w:color w:val="000000"/>
          <w:szCs w:val="26"/>
        </w:rPr>
        <w:t>§ </w:t>
      </w:r>
      <w:r>
        <w:rPr>
          <w:rFonts w:eastAsia="Times New Roman" w:cs="Times New Roman"/>
          <w:color w:val="000000"/>
          <w:szCs w:val="26"/>
        </w:rPr>
        <w:t>1912(e); 25</w:t>
      </w:r>
      <w:r w:rsidR="008955A2">
        <w:rPr>
          <w:rFonts w:eastAsia="Times New Roman" w:cs="Times New Roman"/>
          <w:color w:val="000000"/>
          <w:szCs w:val="26"/>
        </w:rPr>
        <w:t> </w:t>
      </w:r>
      <w:r>
        <w:rPr>
          <w:rFonts w:eastAsia="Times New Roman" w:cs="Times New Roman"/>
          <w:color w:val="000000"/>
          <w:szCs w:val="26"/>
        </w:rPr>
        <w:t>C.F.R. §</w:t>
      </w:r>
      <w:r w:rsidR="005940ED">
        <w:rPr>
          <w:rFonts w:eastAsia="Times New Roman" w:cs="Times New Roman"/>
          <w:color w:val="000000"/>
          <w:szCs w:val="26"/>
        </w:rPr>
        <w:t>§ </w:t>
      </w:r>
      <w:r>
        <w:rPr>
          <w:rFonts w:eastAsia="Times New Roman" w:cs="Times New Roman"/>
          <w:color w:val="000000"/>
          <w:szCs w:val="26"/>
        </w:rPr>
        <w:t>23.121-23.122</w:t>
      </w:r>
      <w:r w:rsidR="00E46F78">
        <w:rPr>
          <w:rFonts w:eastAsia="Times New Roman" w:cs="Times New Roman"/>
          <w:color w:val="000000"/>
          <w:szCs w:val="26"/>
        </w:rPr>
        <w:t xml:space="preserve"> (2023)</w:t>
      </w:r>
      <w:r>
        <w:rPr>
          <w:rFonts w:eastAsia="Times New Roman" w:cs="Times New Roman"/>
          <w:color w:val="000000"/>
          <w:szCs w:val="26"/>
        </w:rPr>
        <w:t>.)  It may be yet more difficult to comply with California’s further requirement that the expert be qualified to testify as to “the prevailing social and cultural standards of the Indian child’s tribe.”  (</w:t>
      </w:r>
      <w:r w:rsidR="005940ED">
        <w:rPr>
          <w:rFonts w:eastAsia="Times New Roman" w:cs="Times New Roman"/>
          <w:color w:val="000000"/>
          <w:szCs w:val="26"/>
        </w:rPr>
        <w:t>§ </w:t>
      </w:r>
      <w:r>
        <w:rPr>
          <w:rFonts w:eastAsia="Times New Roman" w:cs="Times New Roman"/>
          <w:color w:val="000000"/>
          <w:szCs w:val="26"/>
        </w:rPr>
        <w:t>224.6</w:t>
      </w:r>
      <w:r w:rsidR="00E46F78">
        <w:rPr>
          <w:rFonts w:eastAsia="Times New Roman" w:cs="Times New Roman"/>
          <w:color w:val="000000"/>
          <w:szCs w:val="26"/>
        </w:rPr>
        <w:t>, subd. (a)</w:t>
      </w:r>
      <w:r>
        <w:rPr>
          <w:rFonts w:eastAsia="Times New Roman" w:cs="Times New Roman"/>
          <w:color w:val="000000"/>
          <w:szCs w:val="26"/>
        </w:rPr>
        <w:t>.)</w:t>
      </w:r>
      <w:r w:rsidR="00563271">
        <w:rPr>
          <w:rFonts w:eastAsia="Times New Roman" w:cs="Times New Roman"/>
          <w:color w:val="000000"/>
          <w:szCs w:val="26"/>
        </w:rPr>
        <w:t xml:space="preserve">  </w:t>
      </w:r>
      <w:r w:rsidR="00364894">
        <w:rPr>
          <w:rFonts w:eastAsia="Times New Roman" w:cs="Times New Roman"/>
          <w:color w:val="000000"/>
          <w:szCs w:val="26"/>
        </w:rPr>
        <w:t>Apart from dependency cases, t</w:t>
      </w:r>
      <w:r w:rsidR="00563271">
        <w:rPr>
          <w:rFonts w:eastAsia="Times New Roman" w:cs="Times New Roman"/>
          <w:color w:val="000000"/>
          <w:szCs w:val="26"/>
        </w:rPr>
        <w:t>here may be placements of Indian children under California laws that</w:t>
      </w:r>
      <w:r w:rsidR="00E45E77">
        <w:rPr>
          <w:rFonts w:eastAsia="Times New Roman" w:cs="Times New Roman"/>
          <w:color w:val="000000"/>
          <w:szCs w:val="26"/>
        </w:rPr>
        <w:t xml:space="preserve"> could comply with full ICWA protections from the outset, such as </w:t>
      </w:r>
      <w:r w:rsidR="00B54FFC">
        <w:rPr>
          <w:rFonts w:eastAsia="Times New Roman" w:cs="Times New Roman"/>
          <w:color w:val="000000"/>
          <w:szCs w:val="26"/>
        </w:rPr>
        <w:t>guardianship</w:t>
      </w:r>
      <w:r w:rsidR="00E45E77">
        <w:rPr>
          <w:rFonts w:eastAsia="Times New Roman" w:cs="Times New Roman"/>
          <w:color w:val="000000"/>
          <w:szCs w:val="26"/>
        </w:rPr>
        <w:t>s</w:t>
      </w:r>
      <w:r w:rsidR="00B54FFC">
        <w:rPr>
          <w:rFonts w:eastAsia="Times New Roman" w:cs="Times New Roman"/>
          <w:color w:val="000000"/>
          <w:szCs w:val="26"/>
        </w:rPr>
        <w:t>, conservatorship</w:t>
      </w:r>
      <w:r w:rsidR="00E45E77">
        <w:rPr>
          <w:rFonts w:eastAsia="Times New Roman" w:cs="Times New Roman"/>
          <w:color w:val="000000"/>
          <w:szCs w:val="26"/>
        </w:rPr>
        <w:t>s</w:t>
      </w:r>
      <w:r w:rsidR="00B54FFC">
        <w:rPr>
          <w:rFonts w:eastAsia="Times New Roman" w:cs="Times New Roman"/>
          <w:color w:val="000000"/>
          <w:szCs w:val="26"/>
        </w:rPr>
        <w:t xml:space="preserve">, </w:t>
      </w:r>
      <w:r w:rsidR="00A660BC">
        <w:rPr>
          <w:rFonts w:eastAsia="Times New Roman" w:cs="Times New Roman"/>
          <w:color w:val="000000"/>
          <w:szCs w:val="26"/>
        </w:rPr>
        <w:t>custody</w:t>
      </w:r>
      <w:r w:rsidR="00E45E77">
        <w:rPr>
          <w:rFonts w:eastAsia="Times New Roman" w:cs="Times New Roman"/>
          <w:color w:val="000000"/>
          <w:szCs w:val="26"/>
        </w:rPr>
        <w:t xml:space="preserve"> under </w:t>
      </w:r>
      <w:r w:rsidR="00B54FFC">
        <w:rPr>
          <w:rFonts w:eastAsia="Times New Roman" w:cs="Times New Roman"/>
          <w:color w:val="000000"/>
          <w:szCs w:val="26"/>
        </w:rPr>
        <w:t>Family Code</w:t>
      </w:r>
      <w:r w:rsidR="00E45E77">
        <w:rPr>
          <w:rFonts w:eastAsia="Times New Roman" w:cs="Times New Roman"/>
          <w:color w:val="000000"/>
          <w:szCs w:val="26"/>
        </w:rPr>
        <w:t xml:space="preserve"> section 3041</w:t>
      </w:r>
      <w:r w:rsidR="00B54FFC">
        <w:rPr>
          <w:rFonts w:eastAsia="Times New Roman" w:cs="Times New Roman"/>
          <w:color w:val="000000"/>
          <w:szCs w:val="26"/>
        </w:rPr>
        <w:t xml:space="preserve">, </w:t>
      </w:r>
      <w:r w:rsidR="00E45E77">
        <w:rPr>
          <w:rFonts w:eastAsia="Times New Roman" w:cs="Times New Roman"/>
          <w:color w:val="000000"/>
          <w:szCs w:val="26"/>
        </w:rPr>
        <w:t xml:space="preserve">or </w:t>
      </w:r>
      <w:r w:rsidR="00B54FFC">
        <w:rPr>
          <w:rFonts w:eastAsia="Times New Roman" w:cs="Times New Roman"/>
          <w:color w:val="000000"/>
          <w:szCs w:val="26"/>
        </w:rPr>
        <w:t>adoption</w:t>
      </w:r>
      <w:r w:rsidR="00486934">
        <w:rPr>
          <w:rFonts w:eastAsia="Times New Roman" w:cs="Times New Roman"/>
          <w:color w:val="000000"/>
          <w:szCs w:val="26"/>
        </w:rPr>
        <w:t xml:space="preserve"> under Family Code section</w:t>
      </w:r>
      <w:r w:rsidR="00D63F34">
        <w:rPr>
          <w:rFonts w:eastAsia="Times New Roman" w:cs="Times New Roman"/>
          <w:color w:val="000000"/>
          <w:szCs w:val="26"/>
        </w:rPr>
        <w:t>s</w:t>
      </w:r>
      <w:r w:rsidR="00486934">
        <w:rPr>
          <w:rFonts w:eastAsia="Times New Roman" w:cs="Times New Roman"/>
          <w:color w:val="000000"/>
          <w:szCs w:val="26"/>
        </w:rPr>
        <w:t xml:space="preserve"> 8500</w:t>
      </w:r>
      <w:r w:rsidR="00D63F34">
        <w:rPr>
          <w:rFonts w:eastAsia="Times New Roman" w:cs="Times New Roman"/>
          <w:color w:val="000000"/>
          <w:szCs w:val="26"/>
        </w:rPr>
        <w:t>-9340</w:t>
      </w:r>
      <w:r w:rsidR="00B54FFC">
        <w:rPr>
          <w:rFonts w:eastAsia="Times New Roman" w:cs="Times New Roman"/>
          <w:color w:val="000000"/>
          <w:szCs w:val="26"/>
        </w:rPr>
        <w:t>].)</w:t>
      </w:r>
    </w:p>
  </w:footnote>
  <w:footnote w:id="12">
    <w:p w:rsidR="00EF31D0" w:rsidRPr="00B16FD6" w:rsidP="00394B04" w14:paraId="207AC14C" w14:textId="06C46D5D">
      <w:pPr>
        <w:spacing w:line="240" w:lineRule="auto"/>
        <w:ind w:firstLine="720"/>
        <w:textAlignment w:val="baseline"/>
        <w:outlineLvl w:val="5"/>
        <w:rPr>
          <w:rFonts w:eastAsia="Times New Roman" w:cs="Times New Roman"/>
          <w:color w:val="000000"/>
          <w:szCs w:val="26"/>
        </w:rPr>
      </w:pPr>
      <w:r w:rsidRPr="001A5996">
        <w:rPr>
          <w:rStyle w:val="FootnoteReference"/>
          <w:rFonts w:cs="Times New Roman"/>
          <w:szCs w:val="26"/>
        </w:rPr>
        <w:footnoteRef/>
      </w:r>
      <w:r w:rsidR="00E46AF8">
        <w:rPr>
          <w:rFonts w:cs="Times New Roman"/>
          <w:szCs w:val="26"/>
        </w:rPr>
        <w:t xml:space="preserve"> </w:t>
      </w:r>
      <w:r w:rsidRPr="001A5996">
        <w:rPr>
          <w:rFonts w:cs="Times New Roman"/>
          <w:szCs w:val="26"/>
        </w:rPr>
        <w:t xml:space="preserve"> </w:t>
      </w:r>
      <w:r w:rsidRPr="001A5996">
        <w:rPr>
          <w:rFonts w:eastAsia="Times New Roman" w:cs="Times New Roman"/>
          <w:color w:val="000000"/>
          <w:szCs w:val="26"/>
        </w:rPr>
        <w:t xml:space="preserve">“In the case of an Indian child, any order detaining the child pursuant to this section shall be considered an emergency removal within the meaning of Section 1922 of the federal Indian Child Welfare Act of 1978. </w:t>
      </w:r>
      <w:r w:rsidR="00E46AF8">
        <w:rPr>
          <w:rFonts w:eastAsia="Times New Roman" w:cs="Times New Roman"/>
          <w:color w:val="000000"/>
          <w:szCs w:val="26"/>
        </w:rPr>
        <w:t xml:space="preserve"> </w:t>
      </w:r>
      <w:r w:rsidRPr="001A5996">
        <w:rPr>
          <w:rFonts w:eastAsia="Times New Roman" w:cs="Times New Roman"/>
          <w:color w:val="000000"/>
          <w:szCs w:val="26"/>
        </w:rPr>
        <w:t xml:space="preserve">The emergency </w:t>
      </w:r>
      <w:r w:rsidRPr="00B16FD6">
        <w:rPr>
          <w:rFonts w:eastAsia="Times New Roman" w:cs="Times New Roman"/>
          <w:color w:val="000000"/>
          <w:szCs w:val="26"/>
        </w:rPr>
        <w:t>proceeding shall terminate if the child is returned to the custody of the parent, parents, or Indian custodian, the child has been transferred to the custody and jurisdiction of the child’s tribe, or the agency or another party to the proceeding recommends that the child be removed from the physical custody of their parent or parents or Indian custodian pursuant to Section 361 or 361.2.</w:t>
      </w:r>
      <w:r>
        <w:rPr>
          <w:rFonts w:eastAsia="Times New Roman" w:cs="Times New Roman"/>
          <w:color w:val="000000"/>
          <w:szCs w:val="26"/>
        </w:rPr>
        <w:t>”  (</w:t>
      </w:r>
      <w:r w:rsidR="005940ED">
        <w:rPr>
          <w:rFonts w:eastAsia="Times New Roman" w:cs="Times New Roman"/>
          <w:color w:val="000000"/>
          <w:szCs w:val="26"/>
        </w:rPr>
        <w:t>§ </w:t>
      </w:r>
      <w:r>
        <w:rPr>
          <w:rFonts w:eastAsia="Times New Roman" w:cs="Times New Roman"/>
          <w:color w:val="000000"/>
          <w:szCs w:val="26"/>
        </w:rPr>
        <w:t>319, subd. (i).)</w:t>
      </w:r>
    </w:p>
  </w:footnote>
  <w:footnote w:id="13">
    <w:p w:rsidR="00EF31D0" w:rsidRPr="00577576" w:rsidP="006052F4" w14:paraId="20565761" w14:textId="530C8F1C">
      <w:pPr>
        <w:pStyle w:val="FootnoteText"/>
        <w:ind w:firstLine="720"/>
        <w:rPr>
          <w:szCs w:val="26"/>
        </w:rPr>
      </w:pPr>
      <w:r w:rsidRPr="00577576">
        <w:rPr>
          <w:rStyle w:val="FootnoteReference"/>
          <w:szCs w:val="26"/>
        </w:rPr>
        <w:footnoteRef/>
      </w:r>
      <w:r w:rsidRPr="00577576">
        <w:rPr>
          <w:szCs w:val="26"/>
        </w:rPr>
        <w:t xml:space="preserve">  The </w:t>
      </w:r>
      <w:r w:rsidRPr="00833D25">
        <w:rPr>
          <w:i/>
          <w:iCs/>
          <w:szCs w:val="26"/>
        </w:rPr>
        <w:t xml:space="preserve">Adrian L. </w:t>
      </w:r>
      <w:r w:rsidRPr="00577576">
        <w:rPr>
          <w:szCs w:val="26"/>
        </w:rPr>
        <w:t xml:space="preserve">concurrence’s view </w:t>
      </w:r>
      <w:r>
        <w:rPr>
          <w:szCs w:val="26"/>
        </w:rPr>
        <w:t xml:space="preserve">on federal law </w:t>
      </w:r>
      <w:r w:rsidRPr="00577576">
        <w:rPr>
          <w:szCs w:val="26"/>
        </w:rPr>
        <w:t xml:space="preserve">has </w:t>
      </w:r>
      <w:r>
        <w:rPr>
          <w:szCs w:val="26"/>
        </w:rPr>
        <w:t xml:space="preserve">been repeated </w:t>
      </w:r>
      <w:r w:rsidRPr="00577576">
        <w:rPr>
          <w:szCs w:val="26"/>
        </w:rPr>
        <w:t>in other opinions.  (See</w:t>
      </w:r>
      <w:r w:rsidRPr="00394B04">
        <w:t xml:space="preserve"> </w:t>
      </w:r>
      <w:r w:rsidRPr="00577576">
        <w:rPr>
          <w:i/>
          <w:iCs/>
          <w:szCs w:val="26"/>
        </w:rPr>
        <w:t>Robert F.</w:t>
      </w:r>
      <w:r w:rsidRPr="005F66C6" w:rsidR="005F66C6">
        <w:rPr>
          <w:szCs w:val="26"/>
        </w:rPr>
        <w:t>,</w:t>
      </w:r>
      <w:r w:rsidR="005F66C6">
        <w:rPr>
          <w:i/>
          <w:iCs/>
          <w:szCs w:val="26"/>
        </w:rPr>
        <w:t xml:space="preserve"> supra</w:t>
      </w:r>
      <w:r w:rsidRPr="005F66C6" w:rsidR="005F66C6">
        <w:rPr>
          <w:szCs w:val="26"/>
        </w:rPr>
        <w:t>,</w:t>
      </w:r>
      <w:r w:rsidRPr="00394B04">
        <w:rPr>
          <w:i/>
        </w:rPr>
        <w:t xml:space="preserve"> </w:t>
      </w:r>
      <w:r w:rsidRPr="00577576">
        <w:rPr>
          <w:szCs w:val="26"/>
        </w:rPr>
        <w:t xml:space="preserve">90 Cal.App.5th </w:t>
      </w:r>
      <w:r w:rsidR="005F66C6">
        <w:rPr>
          <w:szCs w:val="26"/>
        </w:rPr>
        <w:t>at pp.</w:t>
      </w:r>
      <w:r w:rsidRPr="00577576">
        <w:rPr>
          <w:szCs w:val="26"/>
        </w:rPr>
        <w:t xml:space="preserve"> 502-503</w:t>
      </w:r>
      <w:r>
        <w:rPr>
          <w:szCs w:val="26"/>
        </w:rPr>
        <w:t xml:space="preserve">; </w:t>
      </w:r>
      <w:r w:rsidRPr="00C40B19" w:rsidR="00C40B19">
        <w:rPr>
          <w:i/>
          <w:iCs/>
          <w:szCs w:val="26"/>
        </w:rPr>
        <w:t>Andres R.</w:t>
      </w:r>
      <w:r w:rsidR="00C40B19">
        <w:rPr>
          <w:szCs w:val="26"/>
        </w:rPr>
        <w:t xml:space="preserve">, </w:t>
      </w:r>
      <w:r w:rsidRPr="00AB39DC" w:rsidR="00C40B19">
        <w:rPr>
          <w:i/>
          <w:iCs/>
          <w:szCs w:val="26"/>
        </w:rPr>
        <w:t>supra</w:t>
      </w:r>
      <w:r w:rsidR="00C40B19">
        <w:rPr>
          <w:szCs w:val="26"/>
        </w:rPr>
        <w:t xml:space="preserve">, </w:t>
      </w:r>
      <w:r w:rsidR="005F66C6">
        <w:rPr>
          <w:szCs w:val="26"/>
        </w:rPr>
        <w:t>94</w:t>
      </w:r>
      <w:r w:rsidRPr="00C40B19" w:rsidR="00C40B19">
        <w:rPr>
          <w:szCs w:val="26"/>
        </w:rPr>
        <w:t xml:space="preserve"> Cal.App.5th </w:t>
      </w:r>
      <w:r w:rsidR="005F66C6">
        <w:rPr>
          <w:szCs w:val="26"/>
        </w:rPr>
        <w:t>at pp. 849-851</w:t>
      </w:r>
      <w:r w:rsidRPr="00C40B19" w:rsidR="00C40B19">
        <w:rPr>
          <w:szCs w:val="26"/>
        </w:rPr>
        <w:t>.)</w:t>
      </w:r>
    </w:p>
  </w:footnote>
  <w:footnote w:id="14">
    <w:p w:rsidR="00EF31D0" w:rsidP="00EF31D0" w14:paraId="2B62E4C1" w14:textId="199988F2">
      <w:pPr>
        <w:shd w:val="clear" w:color="auto" w:fill="FFFFFF"/>
        <w:spacing w:line="240" w:lineRule="auto"/>
        <w:ind w:firstLine="720"/>
        <w:textAlignment w:val="baseline"/>
        <w:rPr>
          <w:rFonts w:eastAsia="Times New Roman" w:cs="Times New Roman"/>
          <w:color w:val="000000"/>
          <w:szCs w:val="26"/>
        </w:rPr>
      </w:pPr>
      <w:r w:rsidRPr="00577576">
        <w:rPr>
          <w:rStyle w:val="FootnoteReference"/>
          <w:rFonts w:cs="Times New Roman"/>
          <w:szCs w:val="26"/>
        </w:rPr>
        <w:footnoteRef/>
      </w:r>
      <w:r w:rsidRPr="00577576">
        <w:rPr>
          <w:rFonts w:cs="Times New Roman"/>
          <w:szCs w:val="26"/>
        </w:rPr>
        <w:t xml:space="preserve">  </w:t>
      </w:r>
      <w:r w:rsidRPr="00577576">
        <w:rPr>
          <w:rFonts w:eastAsia="Times New Roman" w:cs="Times New Roman"/>
          <w:color w:val="000000"/>
          <w:szCs w:val="26"/>
        </w:rPr>
        <w:t>“The Department recognizes</w:t>
      </w:r>
      <w:r w:rsidRPr="003B7398">
        <w:rPr>
          <w:rFonts w:eastAsia="Times New Roman" w:cs="Times New Roman"/>
          <w:color w:val="000000"/>
          <w:szCs w:val="26"/>
        </w:rPr>
        <w:t xml:space="preserve">, however, that a State may have a different or broader basis for immediate removals and placements. </w:t>
      </w:r>
      <w:r>
        <w:rPr>
          <w:rFonts w:eastAsia="Times New Roman" w:cs="Times New Roman"/>
          <w:color w:val="000000"/>
          <w:szCs w:val="26"/>
        </w:rPr>
        <w:t xml:space="preserve"> </w:t>
      </w:r>
      <w:r w:rsidRPr="003B7398">
        <w:rPr>
          <w:rFonts w:eastAsia="Times New Roman" w:cs="Times New Roman"/>
          <w:color w:val="000000"/>
          <w:szCs w:val="26"/>
        </w:rPr>
        <w:t>Regardless of how the State defines emergency removals and the triggers for emergency removals, ICWA requires that an emergency proceeding terminate immediately when the removal or placement is no longer necessary to prevent imminent physical damage or harm to the child.</w:t>
      </w:r>
    </w:p>
    <w:p w:rsidR="00EF31D0" w:rsidP="006052F4" w14:paraId="5816FF88" w14:textId="63C4A451">
      <w:pPr>
        <w:shd w:val="clear" w:color="auto" w:fill="FFFFFF"/>
        <w:spacing w:line="240" w:lineRule="auto"/>
        <w:ind w:firstLine="720"/>
        <w:textAlignment w:val="baseline"/>
        <w:rPr>
          <w:rFonts w:eastAsia="Times New Roman" w:cs="Times New Roman"/>
          <w:color w:val="000000"/>
          <w:szCs w:val="26"/>
        </w:rPr>
      </w:pPr>
      <w:r>
        <w:rPr>
          <w:rFonts w:eastAsia="Times New Roman" w:cs="Times New Roman"/>
          <w:color w:val="000000"/>
          <w:szCs w:val="26"/>
        </w:rPr>
        <w:t>“</w:t>
      </w:r>
      <w:r w:rsidRPr="003B7398">
        <w:rPr>
          <w:rFonts w:eastAsia="Times New Roman" w:cs="Times New Roman"/>
          <w:color w:val="000000"/>
          <w:szCs w:val="26"/>
        </w:rPr>
        <w:t>States must comply with ICWA</w:t>
      </w:r>
      <w:r w:rsidR="007266CB">
        <w:rPr>
          <w:rFonts w:eastAsia="Times New Roman" w:cs="Times New Roman"/>
          <w:color w:val="000000"/>
          <w:szCs w:val="26"/>
        </w:rPr>
        <w:t>’</w:t>
      </w:r>
      <w:r w:rsidRPr="003B7398">
        <w:rPr>
          <w:rFonts w:eastAsia="Times New Roman" w:cs="Times New Roman"/>
          <w:color w:val="000000"/>
          <w:szCs w:val="26"/>
        </w:rPr>
        <w:t xml:space="preserve">s limitations on such removals and placements. </w:t>
      </w:r>
      <w:r w:rsidR="007266CB">
        <w:rPr>
          <w:rFonts w:eastAsia="Times New Roman" w:cs="Times New Roman"/>
          <w:color w:val="000000"/>
          <w:szCs w:val="26"/>
        </w:rPr>
        <w:t xml:space="preserve"> </w:t>
      </w:r>
      <w:r w:rsidRPr="003B7398">
        <w:rPr>
          <w:rFonts w:eastAsia="Times New Roman" w:cs="Times New Roman"/>
          <w:color w:val="000000"/>
          <w:szCs w:val="26"/>
        </w:rPr>
        <w:t xml:space="preserve">Upon removing an Indian child, the State must either determine that there is a risk of </w:t>
      </w:r>
      <w:r w:rsidR="00A96ABA">
        <w:rPr>
          <w:rFonts w:eastAsia="Times New Roman" w:cs="Times New Roman"/>
          <w:color w:val="000000"/>
          <w:szCs w:val="26"/>
        </w:rPr>
        <w:t>‘</w:t>
      </w:r>
      <w:r w:rsidRPr="003B7398">
        <w:rPr>
          <w:rFonts w:eastAsia="Times New Roman" w:cs="Times New Roman"/>
          <w:color w:val="000000"/>
          <w:szCs w:val="26"/>
        </w:rPr>
        <w:t>imminent physical damage or harm</w:t>
      </w:r>
      <w:r w:rsidR="00A96ABA">
        <w:rPr>
          <w:rFonts w:eastAsia="Times New Roman" w:cs="Times New Roman"/>
          <w:color w:val="000000"/>
          <w:szCs w:val="26"/>
        </w:rPr>
        <w:t>’</w:t>
      </w:r>
      <w:r w:rsidRPr="003B7398">
        <w:rPr>
          <w:rFonts w:eastAsia="Times New Roman" w:cs="Times New Roman"/>
          <w:color w:val="000000"/>
          <w:szCs w:val="26"/>
        </w:rPr>
        <w:t xml:space="preserve"> to the child and follow the requirements for an emergency proceeding, or it must immediately terminate the emergency proceeding and initiate a child-custody proceeding and, if appropriate, return the child to her parent(s) or Tribe.</w:t>
      </w:r>
      <w:r>
        <w:rPr>
          <w:rFonts w:eastAsia="Times New Roman" w:cs="Times New Roman"/>
          <w:color w:val="000000"/>
          <w:szCs w:val="26"/>
        </w:rPr>
        <w:t xml:space="preserve">”  (Interior Dept. Rules, 81 Fed. Reg. </w:t>
      </w:r>
      <w:r w:rsidR="00A96ABA">
        <w:rPr>
          <w:rFonts w:eastAsia="Times New Roman" w:cs="Times New Roman"/>
          <w:color w:val="000000"/>
          <w:szCs w:val="26"/>
        </w:rPr>
        <w:t xml:space="preserve">at </w:t>
      </w:r>
      <w:r>
        <w:rPr>
          <w:rFonts w:eastAsia="Times New Roman" w:cs="Times New Roman"/>
          <w:color w:val="000000"/>
          <w:szCs w:val="26"/>
        </w:rPr>
        <w:t>38817.)</w:t>
      </w:r>
    </w:p>
    <w:p w:rsidR="008955A2" w:rsidP="006052F4" w14:paraId="09E09DC8" w14:textId="77777777">
      <w:pPr>
        <w:shd w:val="clear" w:color="auto" w:fill="FFFFFF"/>
        <w:spacing w:line="240" w:lineRule="auto"/>
        <w:ind w:firstLine="720"/>
        <w:textAlignment w:val="baseline"/>
      </w:pPr>
    </w:p>
  </w:footnote>
  <w:footnote w:id="15">
    <w:p w:rsidR="00F60477" w:rsidRPr="00830EF7" w:rsidP="00F60477" w14:paraId="61E45098" w14:textId="77777777">
      <w:pPr>
        <w:pStyle w:val="FootnoteText"/>
        <w:ind w:firstLine="720"/>
      </w:pPr>
      <w:r>
        <w:rPr>
          <w:rStyle w:val="FootnoteReference"/>
        </w:rPr>
        <w:footnoteRef/>
      </w:r>
      <w:r>
        <w:t xml:space="preserve">  </w:t>
      </w:r>
      <w:r w:rsidRPr="00830EF7">
        <w:t>A</w:t>
      </w:r>
      <w:r>
        <w:t xml:space="preserve"> more familiar </w:t>
      </w:r>
      <w:r w:rsidRPr="00830EF7">
        <w:t xml:space="preserve">analogy may help </w:t>
      </w:r>
      <w:r>
        <w:t>illustrate</w:t>
      </w:r>
      <w:r w:rsidRPr="00830EF7">
        <w:t xml:space="preserve"> </w:t>
      </w:r>
      <w:r w:rsidRPr="00AB39DC">
        <w:rPr>
          <w:i/>
          <w:iCs/>
        </w:rPr>
        <w:t>Adrian L.</w:t>
      </w:r>
      <w:r w:rsidRPr="00830EF7">
        <w:t xml:space="preserve">’s error.  A car may be searched with or without a warrant, so long as an officer has probable cause to believe that it contains contraband.  If the evidence at a suppression hearing demonstrates the probable cause standard was not met, the search </w:t>
      </w:r>
      <w:r>
        <w:t>would be</w:t>
      </w:r>
      <w:r w:rsidRPr="00830EF7">
        <w:t xml:space="preserve"> invalid in either situation and the evidence may not be used at trial.  But in either situation there still was a “search,” whether the search met the probable cause standard or not.</w:t>
      </w:r>
    </w:p>
    <w:p w:rsidR="00F60477" w:rsidP="00F60477" w14:paraId="0EF4B09D" w14:textId="77777777">
      <w:pPr>
        <w:pStyle w:val="FootnoteText"/>
        <w:ind w:firstLine="720"/>
      </w:pPr>
      <w:r w:rsidRPr="00830EF7">
        <w:t xml:space="preserve">Likewise, an Indian child may be removed from parents with or without a warrant, so long as the child faces “imminent physical </w:t>
      </w:r>
      <w:r>
        <w:t>damage</w:t>
      </w:r>
      <w:r w:rsidRPr="00830EF7">
        <w:t xml:space="preserve"> or harm.”  If the evidence at a detention hearing demonstrates that standard was not met, the Indian child must be returned to the parents in either situation.  But </w:t>
      </w:r>
      <w:r>
        <w:t>in each situation there</w:t>
      </w:r>
      <w:r w:rsidRPr="00830EF7">
        <w:t xml:space="preserve"> still was an emergency removal in an emergency proceeding whether </w:t>
      </w:r>
      <w:r>
        <w:t xml:space="preserve">or not </w:t>
      </w:r>
      <w:r w:rsidRPr="00830EF7">
        <w:t>the standard was met.</w:t>
      </w:r>
    </w:p>
  </w:footnote>
  <w:footnote w:id="16">
    <w:p w:rsidR="007F4AB4" w:rsidP="007F4AB4" w14:paraId="457A3F8B" w14:textId="0370DF1E">
      <w:pPr>
        <w:pStyle w:val="FootnoteText"/>
      </w:pPr>
      <w:r>
        <w:tab/>
      </w:r>
      <w:r>
        <w:rPr>
          <w:rStyle w:val="FootnoteReference"/>
          <w:rFonts w:eastAsiaTheme="majorEastAsia"/>
        </w:rPr>
        <w:footnoteRef/>
      </w:r>
      <w:r>
        <w:t xml:space="preserve">  Un</w:t>
      </w:r>
      <w:r w:rsidRPr="00326BBE">
        <w:t xml:space="preserve">designated statutory </w:t>
      </w:r>
      <w:r>
        <w:t>citations</w:t>
      </w:r>
      <w:r w:rsidRPr="00326BBE">
        <w:t xml:space="preserve"> </w:t>
      </w:r>
      <w:r>
        <w:t xml:space="preserve">are to </w:t>
      </w:r>
      <w:r w:rsidRPr="00326BBE">
        <w:t>the Welfare and Institutions Code</w:t>
      </w:r>
      <w:r>
        <w:t>.</w:t>
      </w:r>
    </w:p>
  </w:footnote>
  <w:footnote w:id="17">
    <w:p w:rsidR="007F4AB4" w:rsidP="007F4AB4" w14:paraId="7DE47FF3" w14:textId="1B164EEC">
      <w:pPr>
        <w:pStyle w:val="FootnoteText"/>
      </w:pPr>
      <w:r>
        <w:tab/>
      </w:r>
      <w:r>
        <w:rPr>
          <w:rStyle w:val="FootnoteReference"/>
        </w:rPr>
        <w:footnoteRef/>
      </w:r>
      <w:r>
        <w:t xml:space="preserve">  The condition stated in section 224.2(b) refers to children removed pursuant to sections 306 and 307 (without protective custody warrants).  Section 224.2(b) references</w:t>
      </w:r>
      <w:r w:rsidR="004020CE">
        <w:t> </w:t>
      </w:r>
      <w:r>
        <w:t xml:space="preserve">only sections 306 and 307, which pertain to warrantless removals of children.  Section 306, subdivision (a)(1), gives social workers the right </w:t>
      </w:r>
      <w:r w:rsidRPr="00F341E0">
        <w:t>to “[r]eceive and maintai</w:t>
      </w:r>
      <w:r>
        <w:t>n</w:t>
      </w:r>
      <w:r w:rsidR="004020CE">
        <w:t> </w:t>
      </w:r>
      <w:r>
        <w:t>.</w:t>
      </w:r>
      <w:r w:rsidR="004020CE">
        <w:t> </w:t>
      </w:r>
      <w:r>
        <w:t xml:space="preserve">. . </w:t>
      </w:r>
      <w:r w:rsidRPr="00E26ABA">
        <w:rPr>
          <w:i/>
          <w:iCs/>
        </w:rPr>
        <w:t>temporary custody</w:t>
      </w:r>
      <w:r w:rsidRPr="00F341E0">
        <w:t xml:space="preserve"> of a child</w:t>
      </w:r>
      <w:r>
        <w:t xml:space="preserve"> . . . who has been delivered by a peace officer.”  (Italics added.)  Police officers are only authorized to take children into </w:t>
      </w:r>
      <w:r w:rsidRPr="00AE3FAB">
        <w:rPr>
          <w:i/>
          <w:iCs/>
        </w:rPr>
        <w:t>temporary custody</w:t>
      </w:r>
      <w:r>
        <w:t xml:space="preserve"> without a warrant.  (See §§ </w:t>
      </w:r>
      <w:r w:rsidRPr="00F341E0">
        <w:t>305, 305.6,</w:t>
      </w:r>
      <w:r>
        <w:t xml:space="preserve"> </w:t>
      </w:r>
      <w:r w:rsidRPr="00F341E0">
        <w:t>625</w:t>
      </w:r>
      <w:r>
        <w:t>).  S</w:t>
      </w:r>
      <w:r w:rsidRPr="00F341E0">
        <w:t>ection 306</w:t>
      </w:r>
      <w:r>
        <w:t>,</w:t>
      </w:r>
      <w:r w:rsidRPr="00F341E0">
        <w:t xml:space="preserve"> </w:t>
      </w:r>
      <w:r>
        <w:t>subdivision (a)(2), authorizes a social worker to ta</w:t>
      </w:r>
      <w:r w:rsidRPr="00E26ABA">
        <w:t>ke</w:t>
      </w:r>
      <w:r>
        <w:t xml:space="preserve"> and maintain a child</w:t>
      </w:r>
      <w:r w:rsidRPr="00E26ABA">
        <w:t xml:space="preserve"> </w:t>
      </w:r>
      <w:r>
        <w:t>in “</w:t>
      </w:r>
      <w:r w:rsidRPr="00AE3FAB">
        <w:rPr>
          <w:i/>
          <w:iCs/>
        </w:rPr>
        <w:t>temporary custody</w:t>
      </w:r>
      <w:r>
        <w:rPr>
          <w:i/>
          <w:iCs/>
        </w:rPr>
        <w:t xml:space="preserve">. . . </w:t>
      </w:r>
      <w:r w:rsidRPr="00AE3FAB">
        <w:rPr>
          <w:i/>
          <w:iCs/>
        </w:rPr>
        <w:t>without a warrant</w:t>
      </w:r>
      <w:r>
        <w:t>” when “</w:t>
      </w:r>
      <w:r w:rsidRPr="00E26ABA">
        <w:t>the social worker has reasonable cause to believe that the child has an immediate need for medical care or is in immediate danger of physical or sexual abuse or the physical environment poses an immediate threat to the child’s health or safety</w:t>
      </w:r>
      <w:r>
        <w:t>.”  (</w:t>
      </w:r>
      <w:r w:rsidRPr="0063049D">
        <w:rPr>
          <w:i/>
          <w:iCs/>
        </w:rPr>
        <w:t>Ibid</w:t>
      </w:r>
      <w:r>
        <w:t xml:space="preserve">.)  A county probation department may only take a child into </w:t>
      </w:r>
      <w:r w:rsidRPr="0004731E">
        <w:rPr>
          <w:i/>
          <w:iCs/>
        </w:rPr>
        <w:t>temporary custody</w:t>
      </w:r>
      <w:r>
        <w:t>, under the dependency statutes, without a warrant.  (See §§ 305, 307.)</w:t>
      </w:r>
      <w:r w:rsidRPr="00F341E0">
        <w:t xml:space="preserve"> </w:t>
      </w:r>
    </w:p>
  </w:footnote>
  <w:footnote w:id="18">
    <w:p w:rsidR="007F4AB4" w:rsidP="007F4AB4" w14:paraId="420D7FEB" w14:textId="77777777">
      <w:pPr>
        <w:pStyle w:val="FootnoteText"/>
        <w:ind w:firstLine="720"/>
      </w:pPr>
      <w:r>
        <w:rPr>
          <w:rStyle w:val="FootnoteReference"/>
        </w:rPr>
        <w:footnoteRef/>
      </w:r>
      <w:r>
        <w:t xml:space="preserve">  </w:t>
      </w:r>
      <w:r w:rsidRPr="00677851">
        <w:rPr>
          <w:color w:val="000000" w:themeColor="text1"/>
        </w:rPr>
        <w:t xml:space="preserve">The majority opinion suggests that the term “temporary custody” in </w:t>
      </w:r>
      <w:r>
        <w:rPr>
          <w:color w:val="000000" w:themeColor="text1"/>
        </w:rPr>
        <w:t xml:space="preserve">section </w:t>
      </w:r>
      <w:r w:rsidRPr="00677851">
        <w:rPr>
          <w:color w:val="000000" w:themeColor="text1"/>
        </w:rPr>
        <w:t>319</w:t>
      </w:r>
      <w:r>
        <w:rPr>
          <w:color w:val="000000" w:themeColor="text1"/>
        </w:rPr>
        <w:t xml:space="preserve">, subdivision </w:t>
      </w:r>
      <w:r w:rsidRPr="00677851">
        <w:rPr>
          <w:color w:val="000000" w:themeColor="text1"/>
        </w:rPr>
        <w:t>(b)(7)</w:t>
      </w:r>
      <w:r>
        <w:rPr>
          <w:color w:val="000000" w:themeColor="text1"/>
        </w:rPr>
        <w:t>,</w:t>
      </w:r>
      <w:r w:rsidRPr="00677851">
        <w:rPr>
          <w:color w:val="000000" w:themeColor="text1"/>
        </w:rPr>
        <w:t xml:space="preserve"> refers to removals with and without a warrant. </w:t>
      </w:r>
      <w:r>
        <w:rPr>
          <w:color w:val="000000" w:themeColor="text1"/>
        </w:rPr>
        <w:t xml:space="preserve"> </w:t>
      </w:r>
      <w:r w:rsidRPr="00677851">
        <w:rPr>
          <w:color w:val="000000" w:themeColor="text1"/>
        </w:rPr>
        <w:t>In my view, it makes sense for section 319</w:t>
      </w:r>
      <w:r>
        <w:rPr>
          <w:color w:val="000000" w:themeColor="text1"/>
        </w:rPr>
        <w:t xml:space="preserve">, subdivision </w:t>
      </w:r>
      <w:r w:rsidRPr="00677851">
        <w:rPr>
          <w:color w:val="000000" w:themeColor="text1"/>
        </w:rPr>
        <w:t>(b)(7)</w:t>
      </w:r>
      <w:r>
        <w:rPr>
          <w:color w:val="000000" w:themeColor="text1"/>
        </w:rPr>
        <w:t>,</w:t>
      </w:r>
      <w:r w:rsidRPr="00677851">
        <w:rPr>
          <w:color w:val="000000" w:themeColor="text1"/>
        </w:rPr>
        <w:t xml:space="preserve"> to refer to warrantless removals.  If an Indian child is detained without a warrant, then </w:t>
      </w:r>
      <w:r>
        <w:rPr>
          <w:color w:val="000000" w:themeColor="text1"/>
        </w:rPr>
        <w:t xml:space="preserve">section </w:t>
      </w:r>
      <w:r w:rsidRPr="00677851">
        <w:rPr>
          <w:color w:val="000000" w:themeColor="text1"/>
        </w:rPr>
        <w:t>319</w:t>
      </w:r>
      <w:r>
        <w:rPr>
          <w:color w:val="000000" w:themeColor="text1"/>
        </w:rPr>
        <w:t xml:space="preserve">, subdivision </w:t>
      </w:r>
      <w:r w:rsidRPr="00677851">
        <w:rPr>
          <w:color w:val="000000" w:themeColor="text1"/>
        </w:rPr>
        <w:t>(b)(7)</w:t>
      </w:r>
      <w:r>
        <w:rPr>
          <w:color w:val="000000" w:themeColor="text1"/>
        </w:rPr>
        <w:t>,</w:t>
      </w:r>
      <w:r w:rsidRPr="00677851">
        <w:rPr>
          <w:color w:val="000000" w:themeColor="text1"/>
        </w:rPr>
        <w:t xml:space="preserve"> would require a detailed report on why the child was removed. </w:t>
      </w:r>
      <w:r>
        <w:rPr>
          <w:color w:val="000000" w:themeColor="text1"/>
        </w:rPr>
        <w:t xml:space="preserve"> </w:t>
      </w:r>
      <w:r w:rsidRPr="00677851">
        <w:rPr>
          <w:color w:val="000000" w:themeColor="text1"/>
        </w:rPr>
        <w:t>If an Indian child is removed pursuant to a warrant, the requirement would not apply because the court issuing the warrant already has the facts</w:t>
      </w:r>
      <w:r>
        <w:rPr>
          <w:color w:val="000000" w:themeColor="text1"/>
        </w:rPr>
        <w:t xml:space="preserve"> leading to removal</w:t>
      </w:r>
      <w:r w:rsidRPr="00677851">
        <w:rPr>
          <w:color w:val="000000" w:themeColor="text1"/>
        </w:rPr>
        <w:t>.</w:t>
      </w:r>
    </w:p>
  </w:footnote>
  <w:footnote w:id="19">
    <w:p w:rsidR="007F4AB4" w:rsidP="007F4AB4" w14:paraId="1AF130EA" w14:textId="77777777">
      <w:pPr>
        <w:pStyle w:val="FootnoteText"/>
      </w:pPr>
      <w:r>
        <w:tab/>
      </w:r>
      <w:r>
        <w:rPr>
          <w:rStyle w:val="FootnoteReference"/>
        </w:rPr>
        <w:footnoteRef/>
      </w:r>
      <w:r>
        <w:t xml:space="preserve">  As noted in </w:t>
      </w:r>
      <w:r w:rsidRPr="00723F43">
        <w:rPr>
          <w:i/>
          <w:iCs/>
        </w:rPr>
        <w:t>Andres R.</w:t>
      </w:r>
      <w:r>
        <w:t>, “</w:t>
      </w:r>
      <w:r w:rsidRPr="002605F9">
        <w:t xml:space="preserve">If </w:t>
      </w:r>
      <w:r w:rsidRPr="002605F9">
        <w:rPr>
          <w:i/>
          <w:iCs/>
        </w:rPr>
        <w:t>Delila D</w:t>
      </w:r>
      <w:r w:rsidRPr="002605F9">
        <w:t xml:space="preserve">. were right that section 306(a)(1) applies to children taken into protective custody pursuant to protective custody warrants, then the expanded duty of initial inquiry under section 224.2(b) would apply to all children taken into custody (with or without warrants) before the detention hearing, but it would not apply to children who are first detained by the court at the detention hearing, never having been taken into custody previously. </w:t>
      </w:r>
      <w:r>
        <w:t xml:space="preserve"> </w:t>
      </w:r>
      <w:r w:rsidRPr="001D7CD2">
        <w:rPr>
          <w:i/>
          <w:iCs/>
        </w:rPr>
        <w:t>Delila D</w:t>
      </w:r>
      <w:r w:rsidRPr="002605F9">
        <w:t xml:space="preserve">. obviates the need to explain that differential treatment by arguing that because section 224.2(b) does not contain the word </w:t>
      </w:r>
      <w:r>
        <w:t>‘</w:t>
      </w:r>
      <w:r w:rsidRPr="002605F9">
        <w:t>only,</w:t>
      </w:r>
      <w:r>
        <w:t>’</w:t>
      </w:r>
      <w:r w:rsidRPr="002605F9">
        <w:t xml:space="preserve"> it applies to all children regardless of whether they were taken into temporary custody under section 306 or 307. </w:t>
      </w:r>
      <w:r>
        <w:t xml:space="preserve"> </w:t>
      </w:r>
      <w:r w:rsidRPr="002605F9">
        <w:t>(</w:t>
      </w:r>
      <w:r w:rsidRPr="001D7CD2">
        <w:rPr>
          <w:i/>
          <w:iCs/>
        </w:rPr>
        <w:t>Delila D</w:t>
      </w:r>
      <w:r w:rsidRPr="002605F9">
        <w:t xml:space="preserve">., </w:t>
      </w:r>
      <w:r w:rsidRPr="004213A1">
        <w:rPr>
          <w:i/>
          <w:iCs/>
        </w:rPr>
        <w:t>supra</w:t>
      </w:r>
      <w:r w:rsidRPr="002605F9">
        <w:t xml:space="preserve">, 93 Cal.App.5th at p. 974.) </w:t>
      </w:r>
      <w:r>
        <w:t xml:space="preserve"> </w:t>
      </w:r>
      <w:r w:rsidRPr="002605F9">
        <w:t xml:space="preserve">But if </w:t>
      </w:r>
      <w:r w:rsidRPr="001D7CD2">
        <w:rPr>
          <w:i/>
          <w:iCs/>
        </w:rPr>
        <w:t>Delila D.</w:t>
      </w:r>
      <w:r w:rsidRPr="00557DED">
        <w:t>’</w:t>
      </w:r>
      <w:r w:rsidRPr="001D7CD2">
        <w:rPr>
          <w:i/>
          <w:iCs/>
        </w:rPr>
        <w:t>s</w:t>
      </w:r>
      <w:r w:rsidRPr="002605F9">
        <w:t xml:space="preserve"> argument concerning the absence of the word </w:t>
      </w:r>
      <w:r>
        <w:t>‘</w:t>
      </w:r>
      <w:r w:rsidRPr="002605F9">
        <w:t>only</w:t>
      </w:r>
      <w:r>
        <w:t>’</w:t>
      </w:r>
      <w:r w:rsidRPr="002605F9">
        <w:t xml:space="preserve"> fails, as we argue it does (</w:t>
      </w:r>
      <w:r w:rsidRPr="00DD6D82">
        <w:rPr>
          <w:i/>
          <w:iCs/>
        </w:rPr>
        <w:t>ante</w:t>
      </w:r>
      <w:r w:rsidRPr="002605F9">
        <w:t xml:space="preserve">, pp. 846–848), then </w:t>
      </w:r>
      <w:r w:rsidRPr="001D7CD2">
        <w:rPr>
          <w:i/>
          <w:iCs/>
        </w:rPr>
        <w:t>Delila D.'s</w:t>
      </w:r>
      <w:r w:rsidRPr="002605F9">
        <w:t xml:space="preserve"> interpretation of section 306(a)(1) and section 224.2(b) leads to differential treatment that is at least as hard to explain as the differential treatment under </w:t>
      </w:r>
      <w:r w:rsidRPr="001D7CD2">
        <w:rPr>
          <w:i/>
          <w:iCs/>
        </w:rPr>
        <w:t>Robert F</w:t>
      </w:r>
      <w:r w:rsidRPr="002605F9">
        <w:t xml:space="preserve">. and </w:t>
      </w:r>
      <w:r w:rsidRPr="00C55BE9">
        <w:rPr>
          <w:i/>
          <w:iCs/>
        </w:rPr>
        <w:t>Ja.O.</w:t>
      </w:r>
      <w:r>
        <w:t>”  (</w:t>
      </w:r>
      <w:r w:rsidRPr="002530EE">
        <w:rPr>
          <w:i/>
          <w:iCs/>
        </w:rPr>
        <w:t>Andres R</w:t>
      </w:r>
      <w:r w:rsidRPr="002530EE">
        <w:t>.</w:t>
      </w:r>
      <w:r>
        <w:t xml:space="preserve">, </w:t>
      </w:r>
      <w:r w:rsidRPr="002530EE">
        <w:rPr>
          <w:i/>
          <w:iCs/>
        </w:rPr>
        <w:t>supra</w:t>
      </w:r>
      <w:r>
        <w:t xml:space="preserve">, </w:t>
      </w:r>
      <w:r w:rsidRPr="002530EE">
        <w:t xml:space="preserve">94 Cal.App.5th </w:t>
      </w:r>
      <w:r>
        <w:t>at p. 857, fn. 9.)</w:t>
      </w:r>
    </w:p>
  </w:footnote>
  <w:footnote w:id="20">
    <w:p w:rsidR="007F4AB4" w:rsidP="007F4AB4" w14:paraId="31EE52FB" w14:textId="77777777">
      <w:pPr>
        <w:spacing w:line="240" w:lineRule="auto"/>
      </w:pPr>
      <w:r>
        <w:tab/>
      </w:r>
      <w:r>
        <w:rPr>
          <w:rStyle w:val="FootnoteReference"/>
        </w:rPr>
        <w:footnoteRef/>
      </w:r>
      <w:r>
        <w:t xml:space="preserve">  </w:t>
      </w:r>
      <w:r w:rsidRPr="00E02AD1">
        <w:t xml:space="preserve">See </w:t>
      </w:r>
      <w:r>
        <w:rPr>
          <w:color w:val="000000"/>
          <w:szCs w:val="26"/>
        </w:rPr>
        <w:t xml:space="preserve">U.S. Dept. of the Interior, </w:t>
      </w:r>
      <w:r>
        <w:t xml:space="preserve">Guidelines for Implementing the Indian Child Welfare Act (December 2016) </w:t>
      </w:r>
      <w:r w:rsidRPr="00E02AD1">
        <w:t xml:space="preserve">&lt;https://www.bia.gov/sites/default/files/dup/assets/bia/ois/pdf/idc2-056831.pdf&gt; </w:t>
      </w:r>
      <w:r>
        <w:t>[</w:t>
      </w:r>
      <w:r w:rsidRPr="00E02AD1">
        <w:t xml:space="preserve">as of </w:t>
      </w:r>
      <w:r>
        <w:t>Feb. 21</w:t>
      </w:r>
      <w:r w:rsidRPr="00E02AD1">
        <w:t>, 2024</w:t>
      </w:r>
      <w:r>
        <w:t xml:space="preserve">], in particular, Guidelines C.7, p. 28 [ </w:t>
      </w:r>
      <w:r w:rsidRPr="00E02AD1">
        <w:t xml:space="preserve">recommending extended family inquiry in cases of </w:t>
      </w:r>
      <w:r>
        <w:t>as part of the “emergency removal and placement process”] and Guidelines C.2, p. 23 [defining</w:t>
      </w:r>
      <w:r w:rsidRPr="00E02AD1">
        <w:t xml:space="preserve"> emergency</w:t>
      </w:r>
      <w:r>
        <w:t xml:space="preserve"> removal as </w:t>
      </w:r>
      <w:r w:rsidRPr="004B1F14">
        <w:t>be</w:t>
      </w:r>
      <w:r>
        <w:t>ing “</w:t>
      </w:r>
      <w:r w:rsidRPr="004B1F14">
        <w:t>taken into custody by a State official without court authorization</w:t>
      </w:r>
      <w:r>
        <w:t>”</w:t>
      </w:r>
      <w:r w:rsidRPr="00E02AD1">
        <w:t>]</w:t>
      </w:r>
      <w:r>
        <w:t>.</w:t>
      </w:r>
      <w:r w:rsidRPr="000075FC">
        <w:rPr>
          <w:color w:val="000000"/>
          <w:szCs w:val="2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39CE" w:rsidRPr="00636A8F" w14:paraId="7ED9E85B" w14:textId="255B137F">
    <w:pPr>
      <w:pStyle w:val="Header"/>
      <w:rPr>
        <w:sz w:val="20"/>
        <w:szCs w:val="20"/>
      </w:rPr>
    </w:pPr>
    <w:r w:rsidRPr="00636A8F">
      <w:rPr>
        <w:sz w:val="20"/>
        <w:szCs w:val="20"/>
      </w:rPr>
      <w:t>2/22/24</w:t>
    </w:r>
  </w:p>
  <w:p w:rsidR="00B639CE" w14:paraId="147121EB"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D75E2"/>
    <w:multiLevelType w:val="hybridMultilevel"/>
    <w:tmpl w:val="B0DEA43E"/>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5412EEE"/>
    <w:multiLevelType w:val="hybridMultilevel"/>
    <w:tmpl w:val="838ACADE"/>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095D5447"/>
    <w:multiLevelType w:val="hybridMultilevel"/>
    <w:tmpl w:val="62F60F0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0DF949B7"/>
    <w:multiLevelType w:val="hybridMultilevel"/>
    <w:tmpl w:val="2294E84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0E8A7CFC"/>
    <w:multiLevelType w:val="hybridMultilevel"/>
    <w:tmpl w:val="C65C30AC"/>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E752E91"/>
    <w:multiLevelType w:val="hybridMultilevel"/>
    <w:tmpl w:val="BC548D9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23D85E2B"/>
    <w:multiLevelType w:val="hybridMultilevel"/>
    <w:tmpl w:val="0046FE54"/>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79378CE"/>
    <w:multiLevelType w:val="hybridMultilevel"/>
    <w:tmpl w:val="DD9070A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7EC12A9"/>
    <w:multiLevelType w:val="hybridMultilevel"/>
    <w:tmpl w:val="9F5AE0C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0665558"/>
    <w:multiLevelType w:val="hybridMultilevel"/>
    <w:tmpl w:val="FF5C03A6"/>
    <w:lvl w:ilvl="0">
      <w:start w:val="3"/>
      <w:numFmt w:val="bullet"/>
      <w:lvlText w:val=""/>
      <w:lvlJc w:val="left"/>
      <w:pPr>
        <w:ind w:left="1080" w:hanging="360"/>
      </w:pPr>
      <w:rPr>
        <w:rFonts w:ascii="Symbol" w:hAnsi="Symbol" w:eastAsiaTheme="minorHAnsi"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6DC075D"/>
    <w:multiLevelType w:val="hybridMultilevel"/>
    <w:tmpl w:val="1808551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F045CAD"/>
    <w:multiLevelType w:val="hybridMultilevel"/>
    <w:tmpl w:val="73B8C99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6952911"/>
    <w:multiLevelType w:val="hybridMultilevel"/>
    <w:tmpl w:val="20E6804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69750D64"/>
    <w:multiLevelType w:val="hybridMultilevel"/>
    <w:tmpl w:val="53960782"/>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6C4E391C"/>
    <w:multiLevelType w:val="hybridMultilevel"/>
    <w:tmpl w:val="B5F292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5">
    <w:nsid w:val="71EF321D"/>
    <w:multiLevelType w:val="hybridMultilevel"/>
    <w:tmpl w:val="EED2B01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76346BB7"/>
    <w:multiLevelType w:val="hybridMultilevel"/>
    <w:tmpl w:val="688A0CB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7">
    <w:nsid w:val="7B1823A5"/>
    <w:multiLevelType w:val="hybridMultilevel"/>
    <w:tmpl w:val="34BA4C8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8"/>
  </w:num>
  <w:num w:numId="2">
    <w:abstractNumId w:val="4"/>
  </w:num>
  <w:num w:numId="3">
    <w:abstractNumId w:val="17"/>
  </w:num>
  <w:num w:numId="4">
    <w:abstractNumId w:val="7"/>
  </w:num>
  <w:num w:numId="5">
    <w:abstractNumId w:val="12"/>
  </w:num>
  <w:num w:numId="6">
    <w:abstractNumId w:val="6"/>
  </w:num>
  <w:num w:numId="7">
    <w:abstractNumId w:val="14"/>
  </w:num>
  <w:num w:numId="8">
    <w:abstractNumId w:val="3"/>
  </w:num>
  <w:num w:numId="9">
    <w:abstractNumId w:val="5"/>
  </w:num>
  <w:num w:numId="10">
    <w:abstractNumId w:val="2"/>
  </w:num>
  <w:num w:numId="11">
    <w:abstractNumId w:val="1"/>
  </w:num>
  <w:num w:numId="12">
    <w:abstractNumId w:val="10"/>
  </w:num>
  <w:num w:numId="13">
    <w:abstractNumId w:val="13"/>
  </w:num>
  <w:num w:numId="14">
    <w:abstractNumId w:val="15"/>
  </w:num>
  <w:num w:numId="15">
    <w:abstractNumId w:val="16"/>
  </w:num>
  <w:num w:numId="16">
    <w:abstractNumId w:val="0"/>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0D"/>
    <w:rsid w:val="0000029F"/>
    <w:rsid w:val="000005E1"/>
    <w:rsid w:val="00002468"/>
    <w:rsid w:val="000030B3"/>
    <w:rsid w:val="0000369C"/>
    <w:rsid w:val="000041AF"/>
    <w:rsid w:val="00004528"/>
    <w:rsid w:val="00004785"/>
    <w:rsid w:val="00004CC7"/>
    <w:rsid w:val="00005019"/>
    <w:rsid w:val="000052E0"/>
    <w:rsid w:val="00005798"/>
    <w:rsid w:val="00006242"/>
    <w:rsid w:val="00006B72"/>
    <w:rsid w:val="000073D1"/>
    <w:rsid w:val="000074A0"/>
    <w:rsid w:val="000075FC"/>
    <w:rsid w:val="00007985"/>
    <w:rsid w:val="00007C32"/>
    <w:rsid w:val="00007E33"/>
    <w:rsid w:val="00010915"/>
    <w:rsid w:val="000116E2"/>
    <w:rsid w:val="000125F8"/>
    <w:rsid w:val="000129AB"/>
    <w:rsid w:val="00012BAE"/>
    <w:rsid w:val="00013537"/>
    <w:rsid w:val="00013D13"/>
    <w:rsid w:val="000140C7"/>
    <w:rsid w:val="00014830"/>
    <w:rsid w:val="0001537C"/>
    <w:rsid w:val="0001573E"/>
    <w:rsid w:val="00015DA7"/>
    <w:rsid w:val="0001613B"/>
    <w:rsid w:val="0001631A"/>
    <w:rsid w:val="00016B96"/>
    <w:rsid w:val="00017C14"/>
    <w:rsid w:val="00017D04"/>
    <w:rsid w:val="00017FEA"/>
    <w:rsid w:val="00020678"/>
    <w:rsid w:val="00020D01"/>
    <w:rsid w:val="000214C6"/>
    <w:rsid w:val="00021643"/>
    <w:rsid w:val="00021A7C"/>
    <w:rsid w:val="00022395"/>
    <w:rsid w:val="00022912"/>
    <w:rsid w:val="00023A9D"/>
    <w:rsid w:val="000249A5"/>
    <w:rsid w:val="00024B58"/>
    <w:rsid w:val="00025D26"/>
    <w:rsid w:val="00026294"/>
    <w:rsid w:val="000267BE"/>
    <w:rsid w:val="00026878"/>
    <w:rsid w:val="00026B17"/>
    <w:rsid w:val="0002703C"/>
    <w:rsid w:val="0002756A"/>
    <w:rsid w:val="00027819"/>
    <w:rsid w:val="00027DAF"/>
    <w:rsid w:val="00027EDB"/>
    <w:rsid w:val="000300AE"/>
    <w:rsid w:val="0003043A"/>
    <w:rsid w:val="000305F5"/>
    <w:rsid w:val="00030988"/>
    <w:rsid w:val="00030AE8"/>
    <w:rsid w:val="00031BD5"/>
    <w:rsid w:val="00031E3D"/>
    <w:rsid w:val="0003209A"/>
    <w:rsid w:val="0003212C"/>
    <w:rsid w:val="00032289"/>
    <w:rsid w:val="00032C26"/>
    <w:rsid w:val="00032FB9"/>
    <w:rsid w:val="000330B0"/>
    <w:rsid w:val="00033573"/>
    <w:rsid w:val="000340E3"/>
    <w:rsid w:val="00035DDD"/>
    <w:rsid w:val="00035FC3"/>
    <w:rsid w:val="00036590"/>
    <w:rsid w:val="00036E59"/>
    <w:rsid w:val="00037057"/>
    <w:rsid w:val="00037220"/>
    <w:rsid w:val="000376BB"/>
    <w:rsid w:val="00037D90"/>
    <w:rsid w:val="00037E4B"/>
    <w:rsid w:val="0004105D"/>
    <w:rsid w:val="0004148B"/>
    <w:rsid w:val="0004160F"/>
    <w:rsid w:val="000421F1"/>
    <w:rsid w:val="000425AA"/>
    <w:rsid w:val="00044069"/>
    <w:rsid w:val="000441CA"/>
    <w:rsid w:val="00044480"/>
    <w:rsid w:val="000453A8"/>
    <w:rsid w:val="000453C0"/>
    <w:rsid w:val="0004566D"/>
    <w:rsid w:val="00045ABD"/>
    <w:rsid w:val="00045F52"/>
    <w:rsid w:val="00045FA2"/>
    <w:rsid w:val="000463EA"/>
    <w:rsid w:val="00047319"/>
    <w:rsid w:val="0004731E"/>
    <w:rsid w:val="00047A35"/>
    <w:rsid w:val="00047A3E"/>
    <w:rsid w:val="00047E1D"/>
    <w:rsid w:val="00050645"/>
    <w:rsid w:val="000506EA"/>
    <w:rsid w:val="00050710"/>
    <w:rsid w:val="0005117A"/>
    <w:rsid w:val="00051613"/>
    <w:rsid w:val="00051756"/>
    <w:rsid w:val="00052D42"/>
    <w:rsid w:val="00053939"/>
    <w:rsid w:val="00053DC1"/>
    <w:rsid w:val="000549CC"/>
    <w:rsid w:val="00055521"/>
    <w:rsid w:val="00055E29"/>
    <w:rsid w:val="00055F0D"/>
    <w:rsid w:val="00056134"/>
    <w:rsid w:val="000564AA"/>
    <w:rsid w:val="00056D16"/>
    <w:rsid w:val="00057E55"/>
    <w:rsid w:val="0006087D"/>
    <w:rsid w:val="00060CC9"/>
    <w:rsid w:val="00060FE5"/>
    <w:rsid w:val="000616BA"/>
    <w:rsid w:val="00061DCF"/>
    <w:rsid w:val="00062DDA"/>
    <w:rsid w:val="00062E94"/>
    <w:rsid w:val="00063048"/>
    <w:rsid w:val="000638C1"/>
    <w:rsid w:val="0006393C"/>
    <w:rsid w:val="000640CB"/>
    <w:rsid w:val="00064264"/>
    <w:rsid w:val="00065322"/>
    <w:rsid w:val="00065455"/>
    <w:rsid w:val="000659F3"/>
    <w:rsid w:val="00065A27"/>
    <w:rsid w:val="00065A5C"/>
    <w:rsid w:val="000661AF"/>
    <w:rsid w:val="00066303"/>
    <w:rsid w:val="000664A1"/>
    <w:rsid w:val="0006653B"/>
    <w:rsid w:val="0006663C"/>
    <w:rsid w:val="000668C5"/>
    <w:rsid w:val="00066D08"/>
    <w:rsid w:val="00067373"/>
    <w:rsid w:val="0007040A"/>
    <w:rsid w:val="0007082D"/>
    <w:rsid w:val="00070E76"/>
    <w:rsid w:val="000721C5"/>
    <w:rsid w:val="00072206"/>
    <w:rsid w:val="000723CB"/>
    <w:rsid w:val="000727C5"/>
    <w:rsid w:val="000732E1"/>
    <w:rsid w:val="0007333F"/>
    <w:rsid w:val="00074072"/>
    <w:rsid w:val="000756E6"/>
    <w:rsid w:val="00075CED"/>
    <w:rsid w:val="00075E10"/>
    <w:rsid w:val="00075FC2"/>
    <w:rsid w:val="00076512"/>
    <w:rsid w:val="00076750"/>
    <w:rsid w:val="00076828"/>
    <w:rsid w:val="000773FC"/>
    <w:rsid w:val="000775FC"/>
    <w:rsid w:val="0008152D"/>
    <w:rsid w:val="00082E20"/>
    <w:rsid w:val="00082F21"/>
    <w:rsid w:val="0008314F"/>
    <w:rsid w:val="00083D21"/>
    <w:rsid w:val="000843B7"/>
    <w:rsid w:val="0008456D"/>
    <w:rsid w:val="00086BF0"/>
    <w:rsid w:val="00087A0A"/>
    <w:rsid w:val="00087D16"/>
    <w:rsid w:val="00091061"/>
    <w:rsid w:val="00092514"/>
    <w:rsid w:val="00092B70"/>
    <w:rsid w:val="00092C05"/>
    <w:rsid w:val="00092CD3"/>
    <w:rsid w:val="00093198"/>
    <w:rsid w:val="0009341F"/>
    <w:rsid w:val="00093FAE"/>
    <w:rsid w:val="0009439C"/>
    <w:rsid w:val="000957D4"/>
    <w:rsid w:val="00096B44"/>
    <w:rsid w:val="000A0E8F"/>
    <w:rsid w:val="000A12D6"/>
    <w:rsid w:val="000A15F1"/>
    <w:rsid w:val="000A1A58"/>
    <w:rsid w:val="000A2691"/>
    <w:rsid w:val="000A26BA"/>
    <w:rsid w:val="000A30C2"/>
    <w:rsid w:val="000A31F2"/>
    <w:rsid w:val="000A3D7E"/>
    <w:rsid w:val="000A44CD"/>
    <w:rsid w:val="000A4642"/>
    <w:rsid w:val="000A5DF1"/>
    <w:rsid w:val="000A5FE3"/>
    <w:rsid w:val="000A603C"/>
    <w:rsid w:val="000A61C2"/>
    <w:rsid w:val="000A65FB"/>
    <w:rsid w:val="000A6A51"/>
    <w:rsid w:val="000A7088"/>
    <w:rsid w:val="000A70DA"/>
    <w:rsid w:val="000A753A"/>
    <w:rsid w:val="000A7EF8"/>
    <w:rsid w:val="000B019B"/>
    <w:rsid w:val="000B0269"/>
    <w:rsid w:val="000B05ED"/>
    <w:rsid w:val="000B099C"/>
    <w:rsid w:val="000B09AF"/>
    <w:rsid w:val="000B0E9B"/>
    <w:rsid w:val="000B16AE"/>
    <w:rsid w:val="000B1F83"/>
    <w:rsid w:val="000B2084"/>
    <w:rsid w:val="000B209A"/>
    <w:rsid w:val="000B210C"/>
    <w:rsid w:val="000B2E31"/>
    <w:rsid w:val="000B301A"/>
    <w:rsid w:val="000B332D"/>
    <w:rsid w:val="000B36C8"/>
    <w:rsid w:val="000B3AEC"/>
    <w:rsid w:val="000B61E1"/>
    <w:rsid w:val="000B6B23"/>
    <w:rsid w:val="000B7068"/>
    <w:rsid w:val="000C0187"/>
    <w:rsid w:val="000C04F6"/>
    <w:rsid w:val="000C0BBB"/>
    <w:rsid w:val="000C10FC"/>
    <w:rsid w:val="000C12DB"/>
    <w:rsid w:val="000C1AAA"/>
    <w:rsid w:val="000C2043"/>
    <w:rsid w:val="000C2C63"/>
    <w:rsid w:val="000C315C"/>
    <w:rsid w:val="000C3966"/>
    <w:rsid w:val="000C3DE0"/>
    <w:rsid w:val="000C3FA3"/>
    <w:rsid w:val="000C5A0F"/>
    <w:rsid w:val="000C665A"/>
    <w:rsid w:val="000C6CC3"/>
    <w:rsid w:val="000C6D47"/>
    <w:rsid w:val="000C73C6"/>
    <w:rsid w:val="000C7DE8"/>
    <w:rsid w:val="000D027F"/>
    <w:rsid w:val="000D071F"/>
    <w:rsid w:val="000D0B66"/>
    <w:rsid w:val="000D0DBE"/>
    <w:rsid w:val="000D0E6D"/>
    <w:rsid w:val="000D16BA"/>
    <w:rsid w:val="000D1DE7"/>
    <w:rsid w:val="000D27A1"/>
    <w:rsid w:val="000D3335"/>
    <w:rsid w:val="000D3823"/>
    <w:rsid w:val="000D387D"/>
    <w:rsid w:val="000D412A"/>
    <w:rsid w:val="000D4760"/>
    <w:rsid w:val="000D4AB3"/>
    <w:rsid w:val="000D4C4C"/>
    <w:rsid w:val="000D4DA8"/>
    <w:rsid w:val="000D5DA8"/>
    <w:rsid w:val="000D66A2"/>
    <w:rsid w:val="000D6D17"/>
    <w:rsid w:val="000D6D9E"/>
    <w:rsid w:val="000E0314"/>
    <w:rsid w:val="000E05D4"/>
    <w:rsid w:val="000E05FE"/>
    <w:rsid w:val="000E084B"/>
    <w:rsid w:val="000E0CBD"/>
    <w:rsid w:val="000E16C6"/>
    <w:rsid w:val="000E20E6"/>
    <w:rsid w:val="000E2444"/>
    <w:rsid w:val="000E2AED"/>
    <w:rsid w:val="000E2B1C"/>
    <w:rsid w:val="000E2C93"/>
    <w:rsid w:val="000E2E7F"/>
    <w:rsid w:val="000E3060"/>
    <w:rsid w:val="000E330C"/>
    <w:rsid w:val="000E34C5"/>
    <w:rsid w:val="000E3E68"/>
    <w:rsid w:val="000E3EF2"/>
    <w:rsid w:val="000E3EF7"/>
    <w:rsid w:val="000E5122"/>
    <w:rsid w:val="000E5706"/>
    <w:rsid w:val="000E59BB"/>
    <w:rsid w:val="000E5FF0"/>
    <w:rsid w:val="000E63E5"/>
    <w:rsid w:val="000E703A"/>
    <w:rsid w:val="000E73BD"/>
    <w:rsid w:val="000E75BE"/>
    <w:rsid w:val="000E79E7"/>
    <w:rsid w:val="000F0598"/>
    <w:rsid w:val="000F0C39"/>
    <w:rsid w:val="000F0E9B"/>
    <w:rsid w:val="000F135E"/>
    <w:rsid w:val="000F16B8"/>
    <w:rsid w:val="000F1F28"/>
    <w:rsid w:val="000F208E"/>
    <w:rsid w:val="000F373D"/>
    <w:rsid w:val="000F3D69"/>
    <w:rsid w:val="000F40CB"/>
    <w:rsid w:val="000F4466"/>
    <w:rsid w:val="000F4CEF"/>
    <w:rsid w:val="000F4FFA"/>
    <w:rsid w:val="000F51BC"/>
    <w:rsid w:val="000F622A"/>
    <w:rsid w:val="000F68EA"/>
    <w:rsid w:val="000F7144"/>
    <w:rsid w:val="000F757C"/>
    <w:rsid w:val="000F7F59"/>
    <w:rsid w:val="00100490"/>
    <w:rsid w:val="00100E9B"/>
    <w:rsid w:val="00100EC0"/>
    <w:rsid w:val="0010134E"/>
    <w:rsid w:val="00101595"/>
    <w:rsid w:val="0010175B"/>
    <w:rsid w:val="00101B3F"/>
    <w:rsid w:val="00103B43"/>
    <w:rsid w:val="00103E37"/>
    <w:rsid w:val="0010418A"/>
    <w:rsid w:val="0010453E"/>
    <w:rsid w:val="001046F5"/>
    <w:rsid w:val="00104C30"/>
    <w:rsid w:val="00105EB3"/>
    <w:rsid w:val="0010710F"/>
    <w:rsid w:val="00107320"/>
    <w:rsid w:val="00107EB0"/>
    <w:rsid w:val="00110BDE"/>
    <w:rsid w:val="00110CC5"/>
    <w:rsid w:val="00110DA3"/>
    <w:rsid w:val="00111621"/>
    <w:rsid w:val="001121DA"/>
    <w:rsid w:val="00112F71"/>
    <w:rsid w:val="001136C8"/>
    <w:rsid w:val="00113A89"/>
    <w:rsid w:val="001149DB"/>
    <w:rsid w:val="00114E70"/>
    <w:rsid w:val="00114F7E"/>
    <w:rsid w:val="001150DC"/>
    <w:rsid w:val="00115133"/>
    <w:rsid w:val="001152E8"/>
    <w:rsid w:val="00115386"/>
    <w:rsid w:val="00115573"/>
    <w:rsid w:val="00115BC8"/>
    <w:rsid w:val="0011733A"/>
    <w:rsid w:val="0011789F"/>
    <w:rsid w:val="0012036F"/>
    <w:rsid w:val="001204B0"/>
    <w:rsid w:val="001206CE"/>
    <w:rsid w:val="00122362"/>
    <w:rsid w:val="001226E5"/>
    <w:rsid w:val="001228F2"/>
    <w:rsid w:val="00122C3E"/>
    <w:rsid w:val="00122D7C"/>
    <w:rsid w:val="00122F25"/>
    <w:rsid w:val="00123062"/>
    <w:rsid w:val="001232FB"/>
    <w:rsid w:val="0012411A"/>
    <w:rsid w:val="001243F3"/>
    <w:rsid w:val="00125204"/>
    <w:rsid w:val="001252A2"/>
    <w:rsid w:val="00125748"/>
    <w:rsid w:val="001258E9"/>
    <w:rsid w:val="00125B9C"/>
    <w:rsid w:val="001263C9"/>
    <w:rsid w:val="0013062F"/>
    <w:rsid w:val="00130E4F"/>
    <w:rsid w:val="00131AB0"/>
    <w:rsid w:val="00131AD9"/>
    <w:rsid w:val="00131C50"/>
    <w:rsid w:val="00131D91"/>
    <w:rsid w:val="00132276"/>
    <w:rsid w:val="0013291D"/>
    <w:rsid w:val="00132F6E"/>
    <w:rsid w:val="001332ED"/>
    <w:rsid w:val="001339FA"/>
    <w:rsid w:val="00133DF6"/>
    <w:rsid w:val="00134304"/>
    <w:rsid w:val="0013465C"/>
    <w:rsid w:val="0013495B"/>
    <w:rsid w:val="0013498B"/>
    <w:rsid w:val="00134BDA"/>
    <w:rsid w:val="00134D42"/>
    <w:rsid w:val="0013545E"/>
    <w:rsid w:val="001354D2"/>
    <w:rsid w:val="00135867"/>
    <w:rsid w:val="0013683A"/>
    <w:rsid w:val="00137D7E"/>
    <w:rsid w:val="00141332"/>
    <w:rsid w:val="00141F7F"/>
    <w:rsid w:val="00142BFD"/>
    <w:rsid w:val="001433A9"/>
    <w:rsid w:val="001444BE"/>
    <w:rsid w:val="00144702"/>
    <w:rsid w:val="001452E2"/>
    <w:rsid w:val="001457D4"/>
    <w:rsid w:val="00145A8C"/>
    <w:rsid w:val="00147351"/>
    <w:rsid w:val="00147F72"/>
    <w:rsid w:val="00150763"/>
    <w:rsid w:val="00150EA4"/>
    <w:rsid w:val="00151865"/>
    <w:rsid w:val="001520C3"/>
    <w:rsid w:val="001528FB"/>
    <w:rsid w:val="00152E02"/>
    <w:rsid w:val="00153956"/>
    <w:rsid w:val="00153CC3"/>
    <w:rsid w:val="00153E98"/>
    <w:rsid w:val="00153F63"/>
    <w:rsid w:val="00153FAB"/>
    <w:rsid w:val="0015411D"/>
    <w:rsid w:val="00154FCD"/>
    <w:rsid w:val="00156355"/>
    <w:rsid w:val="0015636C"/>
    <w:rsid w:val="001569F5"/>
    <w:rsid w:val="00156C47"/>
    <w:rsid w:val="00157ECB"/>
    <w:rsid w:val="00160098"/>
    <w:rsid w:val="001600F5"/>
    <w:rsid w:val="001606EA"/>
    <w:rsid w:val="00160770"/>
    <w:rsid w:val="00160FBC"/>
    <w:rsid w:val="001616C4"/>
    <w:rsid w:val="00161F33"/>
    <w:rsid w:val="00162910"/>
    <w:rsid w:val="00163CCD"/>
    <w:rsid w:val="00163F04"/>
    <w:rsid w:val="00163F9C"/>
    <w:rsid w:val="0016481A"/>
    <w:rsid w:val="0016508A"/>
    <w:rsid w:val="00165399"/>
    <w:rsid w:val="001655CF"/>
    <w:rsid w:val="001663F7"/>
    <w:rsid w:val="00166C96"/>
    <w:rsid w:val="00166D0E"/>
    <w:rsid w:val="001674B2"/>
    <w:rsid w:val="00167F65"/>
    <w:rsid w:val="00170E49"/>
    <w:rsid w:val="00170F5A"/>
    <w:rsid w:val="00171D1B"/>
    <w:rsid w:val="00172141"/>
    <w:rsid w:val="00172887"/>
    <w:rsid w:val="00173EA3"/>
    <w:rsid w:val="00174BA1"/>
    <w:rsid w:val="00174FAD"/>
    <w:rsid w:val="00175638"/>
    <w:rsid w:val="00175F77"/>
    <w:rsid w:val="001762EE"/>
    <w:rsid w:val="00177780"/>
    <w:rsid w:val="00177B86"/>
    <w:rsid w:val="00177D7E"/>
    <w:rsid w:val="00177D85"/>
    <w:rsid w:val="00180D98"/>
    <w:rsid w:val="001811AF"/>
    <w:rsid w:val="00181D8A"/>
    <w:rsid w:val="00182574"/>
    <w:rsid w:val="00182D52"/>
    <w:rsid w:val="00182F19"/>
    <w:rsid w:val="00182F85"/>
    <w:rsid w:val="00184128"/>
    <w:rsid w:val="001843E3"/>
    <w:rsid w:val="00185177"/>
    <w:rsid w:val="001853D4"/>
    <w:rsid w:val="001857BE"/>
    <w:rsid w:val="00185A2C"/>
    <w:rsid w:val="00185E67"/>
    <w:rsid w:val="001863C4"/>
    <w:rsid w:val="001864C4"/>
    <w:rsid w:val="001875C8"/>
    <w:rsid w:val="00187A20"/>
    <w:rsid w:val="00191D0D"/>
    <w:rsid w:val="00192216"/>
    <w:rsid w:val="00192318"/>
    <w:rsid w:val="00192749"/>
    <w:rsid w:val="00192B6F"/>
    <w:rsid w:val="0019367D"/>
    <w:rsid w:val="001949E3"/>
    <w:rsid w:val="00194E1A"/>
    <w:rsid w:val="00194EC2"/>
    <w:rsid w:val="00195056"/>
    <w:rsid w:val="0019566C"/>
    <w:rsid w:val="00195F31"/>
    <w:rsid w:val="00196758"/>
    <w:rsid w:val="00196B5A"/>
    <w:rsid w:val="00196D0E"/>
    <w:rsid w:val="0019724D"/>
    <w:rsid w:val="00197FBC"/>
    <w:rsid w:val="001A134E"/>
    <w:rsid w:val="001A1626"/>
    <w:rsid w:val="001A1B13"/>
    <w:rsid w:val="001A1CA1"/>
    <w:rsid w:val="001A2372"/>
    <w:rsid w:val="001A28D6"/>
    <w:rsid w:val="001A2B7D"/>
    <w:rsid w:val="001A2E95"/>
    <w:rsid w:val="001A3E29"/>
    <w:rsid w:val="001A3F25"/>
    <w:rsid w:val="001A4399"/>
    <w:rsid w:val="001A46D3"/>
    <w:rsid w:val="001A4F33"/>
    <w:rsid w:val="001A57E9"/>
    <w:rsid w:val="001A5996"/>
    <w:rsid w:val="001A6C3B"/>
    <w:rsid w:val="001A7052"/>
    <w:rsid w:val="001A707C"/>
    <w:rsid w:val="001A7470"/>
    <w:rsid w:val="001A75C0"/>
    <w:rsid w:val="001A7CEB"/>
    <w:rsid w:val="001A7EC4"/>
    <w:rsid w:val="001B0820"/>
    <w:rsid w:val="001B0925"/>
    <w:rsid w:val="001B18A0"/>
    <w:rsid w:val="001B20BD"/>
    <w:rsid w:val="001B2720"/>
    <w:rsid w:val="001B2D00"/>
    <w:rsid w:val="001B3940"/>
    <w:rsid w:val="001B4395"/>
    <w:rsid w:val="001B450C"/>
    <w:rsid w:val="001B4947"/>
    <w:rsid w:val="001B51CA"/>
    <w:rsid w:val="001B58C8"/>
    <w:rsid w:val="001B6783"/>
    <w:rsid w:val="001B67B4"/>
    <w:rsid w:val="001B6971"/>
    <w:rsid w:val="001B6997"/>
    <w:rsid w:val="001B6C74"/>
    <w:rsid w:val="001B75A1"/>
    <w:rsid w:val="001B7F93"/>
    <w:rsid w:val="001C027C"/>
    <w:rsid w:val="001C1053"/>
    <w:rsid w:val="001C11EA"/>
    <w:rsid w:val="001C1F16"/>
    <w:rsid w:val="001C20B9"/>
    <w:rsid w:val="001C2569"/>
    <w:rsid w:val="001C33FD"/>
    <w:rsid w:val="001C3CF6"/>
    <w:rsid w:val="001C4D5F"/>
    <w:rsid w:val="001C538C"/>
    <w:rsid w:val="001C53BF"/>
    <w:rsid w:val="001C63B7"/>
    <w:rsid w:val="001C64D6"/>
    <w:rsid w:val="001C683D"/>
    <w:rsid w:val="001C6B5A"/>
    <w:rsid w:val="001C6F8D"/>
    <w:rsid w:val="001C721B"/>
    <w:rsid w:val="001C7388"/>
    <w:rsid w:val="001C73EA"/>
    <w:rsid w:val="001C768A"/>
    <w:rsid w:val="001C7EA8"/>
    <w:rsid w:val="001C7EBB"/>
    <w:rsid w:val="001D08EC"/>
    <w:rsid w:val="001D0B18"/>
    <w:rsid w:val="001D0CF9"/>
    <w:rsid w:val="001D1B99"/>
    <w:rsid w:val="001D1BA8"/>
    <w:rsid w:val="001D2E3D"/>
    <w:rsid w:val="001D436D"/>
    <w:rsid w:val="001D47A1"/>
    <w:rsid w:val="001D52A0"/>
    <w:rsid w:val="001D56C6"/>
    <w:rsid w:val="001D7167"/>
    <w:rsid w:val="001D789B"/>
    <w:rsid w:val="001D7AB3"/>
    <w:rsid w:val="001D7CD2"/>
    <w:rsid w:val="001E07C1"/>
    <w:rsid w:val="001E099E"/>
    <w:rsid w:val="001E0D04"/>
    <w:rsid w:val="001E16BC"/>
    <w:rsid w:val="001E17B4"/>
    <w:rsid w:val="001E1A16"/>
    <w:rsid w:val="001E1E14"/>
    <w:rsid w:val="001E2555"/>
    <w:rsid w:val="001E2A3A"/>
    <w:rsid w:val="001E3011"/>
    <w:rsid w:val="001E371E"/>
    <w:rsid w:val="001E4574"/>
    <w:rsid w:val="001E48BC"/>
    <w:rsid w:val="001E4A41"/>
    <w:rsid w:val="001E515B"/>
    <w:rsid w:val="001E5E90"/>
    <w:rsid w:val="001E6086"/>
    <w:rsid w:val="001E6302"/>
    <w:rsid w:val="001E66B6"/>
    <w:rsid w:val="001E6881"/>
    <w:rsid w:val="001E6C9E"/>
    <w:rsid w:val="001E6E24"/>
    <w:rsid w:val="001E70C2"/>
    <w:rsid w:val="001E714A"/>
    <w:rsid w:val="001E7C9C"/>
    <w:rsid w:val="001E7D3E"/>
    <w:rsid w:val="001F02B9"/>
    <w:rsid w:val="001F0BEB"/>
    <w:rsid w:val="001F125D"/>
    <w:rsid w:val="001F1271"/>
    <w:rsid w:val="001F4C1E"/>
    <w:rsid w:val="001F5FD2"/>
    <w:rsid w:val="001F6BD4"/>
    <w:rsid w:val="001F7410"/>
    <w:rsid w:val="001F7725"/>
    <w:rsid w:val="001F7EA2"/>
    <w:rsid w:val="00200252"/>
    <w:rsid w:val="00200BAB"/>
    <w:rsid w:val="00201900"/>
    <w:rsid w:val="00201CB4"/>
    <w:rsid w:val="00202300"/>
    <w:rsid w:val="002028C6"/>
    <w:rsid w:val="002032D6"/>
    <w:rsid w:val="0020374F"/>
    <w:rsid w:val="00203E24"/>
    <w:rsid w:val="00204737"/>
    <w:rsid w:val="00204B85"/>
    <w:rsid w:val="00204BAB"/>
    <w:rsid w:val="00204DE9"/>
    <w:rsid w:val="00205274"/>
    <w:rsid w:val="0020543E"/>
    <w:rsid w:val="002055D7"/>
    <w:rsid w:val="0020626F"/>
    <w:rsid w:val="0020632F"/>
    <w:rsid w:val="0020758D"/>
    <w:rsid w:val="0021043B"/>
    <w:rsid w:val="00210D71"/>
    <w:rsid w:val="00210F45"/>
    <w:rsid w:val="00211204"/>
    <w:rsid w:val="00211530"/>
    <w:rsid w:val="00212157"/>
    <w:rsid w:val="002133FE"/>
    <w:rsid w:val="00213746"/>
    <w:rsid w:val="00213A6B"/>
    <w:rsid w:val="00213AE7"/>
    <w:rsid w:val="00214027"/>
    <w:rsid w:val="002142B7"/>
    <w:rsid w:val="00214642"/>
    <w:rsid w:val="00215218"/>
    <w:rsid w:val="0021542C"/>
    <w:rsid w:val="00216069"/>
    <w:rsid w:val="0021613C"/>
    <w:rsid w:val="002171C3"/>
    <w:rsid w:val="0022017F"/>
    <w:rsid w:val="00220352"/>
    <w:rsid w:val="0022178B"/>
    <w:rsid w:val="0022178F"/>
    <w:rsid w:val="00222006"/>
    <w:rsid w:val="00223A7A"/>
    <w:rsid w:val="002244E1"/>
    <w:rsid w:val="0022455A"/>
    <w:rsid w:val="0022481A"/>
    <w:rsid w:val="00224C8D"/>
    <w:rsid w:val="00225A34"/>
    <w:rsid w:val="00226673"/>
    <w:rsid w:val="00226BA5"/>
    <w:rsid w:val="00226F20"/>
    <w:rsid w:val="00227039"/>
    <w:rsid w:val="0022729D"/>
    <w:rsid w:val="0022742F"/>
    <w:rsid w:val="0022791B"/>
    <w:rsid w:val="00227DC6"/>
    <w:rsid w:val="00227EFD"/>
    <w:rsid w:val="00231C10"/>
    <w:rsid w:val="00231FBF"/>
    <w:rsid w:val="00232197"/>
    <w:rsid w:val="002323E6"/>
    <w:rsid w:val="0023372A"/>
    <w:rsid w:val="00233904"/>
    <w:rsid w:val="00233F6D"/>
    <w:rsid w:val="00233F6F"/>
    <w:rsid w:val="00234177"/>
    <w:rsid w:val="00234DE8"/>
    <w:rsid w:val="002351ED"/>
    <w:rsid w:val="0023538C"/>
    <w:rsid w:val="00236212"/>
    <w:rsid w:val="002362CD"/>
    <w:rsid w:val="0023750F"/>
    <w:rsid w:val="00237657"/>
    <w:rsid w:val="00240335"/>
    <w:rsid w:val="002406EF"/>
    <w:rsid w:val="00240C40"/>
    <w:rsid w:val="00240D3C"/>
    <w:rsid w:val="0024177A"/>
    <w:rsid w:val="00242451"/>
    <w:rsid w:val="00242468"/>
    <w:rsid w:val="002425A2"/>
    <w:rsid w:val="00242F24"/>
    <w:rsid w:val="00242F9B"/>
    <w:rsid w:val="00243FB3"/>
    <w:rsid w:val="00244FA9"/>
    <w:rsid w:val="002464E1"/>
    <w:rsid w:val="00247734"/>
    <w:rsid w:val="00250CCB"/>
    <w:rsid w:val="00250E52"/>
    <w:rsid w:val="00250EF4"/>
    <w:rsid w:val="002511AA"/>
    <w:rsid w:val="002512B5"/>
    <w:rsid w:val="0025137D"/>
    <w:rsid w:val="0025143D"/>
    <w:rsid w:val="002517FE"/>
    <w:rsid w:val="0025183D"/>
    <w:rsid w:val="00251A28"/>
    <w:rsid w:val="002529C9"/>
    <w:rsid w:val="00252CAD"/>
    <w:rsid w:val="0025306F"/>
    <w:rsid w:val="002530EE"/>
    <w:rsid w:val="002532A3"/>
    <w:rsid w:val="00253325"/>
    <w:rsid w:val="002534E7"/>
    <w:rsid w:val="002537DA"/>
    <w:rsid w:val="00253859"/>
    <w:rsid w:val="002548AD"/>
    <w:rsid w:val="00254EB5"/>
    <w:rsid w:val="00254EEE"/>
    <w:rsid w:val="00255371"/>
    <w:rsid w:val="00255F3B"/>
    <w:rsid w:val="00255F9F"/>
    <w:rsid w:val="002568C2"/>
    <w:rsid w:val="00256F45"/>
    <w:rsid w:val="00257AAE"/>
    <w:rsid w:val="002605F9"/>
    <w:rsid w:val="002607D1"/>
    <w:rsid w:val="00260895"/>
    <w:rsid w:val="00260975"/>
    <w:rsid w:val="002610D0"/>
    <w:rsid w:val="00261238"/>
    <w:rsid w:val="002612E7"/>
    <w:rsid w:val="002616CE"/>
    <w:rsid w:val="00261864"/>
    <w:rsid w:val="00261A6C"/>
    <w:rsid w:val="00261AB8"/>
    <w:rsid w:val="00261B7E"/>
    <w:rsid w:val="00263BCA"/>
    <w:rsid w:val="0026426E"/>
    <w:rsid w:val="002642B5"/>
    <w:rsid w:val="002646BD"/>
    <w:rsid w:val="00264A6D"/>
    <w:rsid w:val="00265A46"/>
    <w:rsid w:val="00265CFB"/>
    <w:rsid w:val="00265D07"/>
    <w:rsid w:val="00265DE4"/>
    <w:rsid w:val="00266455"/>
    <w:rsid w:val="002672D6"/>
    <w:rsid w:val="00267CDC"/>
    <w:rsid w:val="00267F6B"/>
    <w:rsid w:val="0027079C"/>
    <w:rsid w:val="00270835"/>
    <w:rsid w:val="00270AE1"/>
    <w:rsid w:val="00270F35"/>
    <w:rsid w:val="00271246"/>
    <w:rsid w:val="0027147B"/>
    <w:rsid w:val="00271C0A"/>
    <w:rsid w:val="00271CA2"/>
    <w:rsid w:val="00272099"/>
    <w:rsid w:val="0027308B"/>
    <w:rsid w:val="00273846"/>
    <w:rsid w:val="00273B04"/>
    <w:rsid w:val="00273BF8"/>
    <w:rsid w:val="00274265"/>
    <w:rsid w:val="00274286"/>
    <w:rsid w:val="00274707"/>
    <w:rsid w:val="0027509E"/>
    <w:rsid w:val="002750BC"/>
    <w:rsid w:val="00275D1B"/>
    <w:rsid w:val="00275F27"/>
    <w:rsid w:val="00277868"/>
    <w:rsid w:val="00277A1C"/>
    <w:rsid w:val="00277A86"/>
    <w:rsid w:val="002802E3"/>
    <w:rsid w:val="00280730"/>
    <w:rsid w:val="0028077D"/>
    <w:rsid w:val="00280F84"/>
    <w:rsid w:val="0028135C"/>
    <w:rsid w:val="00281392"/>
    <w:rsid w:val="00281697"/>
    <w:rsid w:val="00282721"/>
    <w:rsid w:val="002827DA"/>
    <w:rsid w:val="0028292A"/>
    <w:rsid w:val="00282E6C"/>
    <w:rsid w:val="002840FF"/>
    <w:rsid w:val="00285059"/>
    <w:rsid w:val="00285102"/>
    <w:rsid w:val="00287325"/>
    <w:rsid w:val="00287569"/>
    <w:rsid w:val="0028794E"/>
    <w:rsid w:val="002900E2"/>
    <w:rsid w:val="00290433"/>
    <w:rsid w:val="00290EBD"/>
    <w:rsid w:val="00291386"/>
    <w:rsid w:val="0029335D"/>
    <w:rsid w:val="0029337D"/>
    <w:rsid w:val="00293AB9"/>
    <w:rsid w:val="00293E98"/>
    <w:rsid w:val="00295BC5"/>
    <w:rsid w:val="00296A07"/>
    <w:rsid w:val="002972D9"/>
    <w:rsid w:val="00297AEB"/>
    <w:rsid w:val="00297E39"/>
    <w:rsid w:val="002A07E3"/>
    <w:rsid w:val="002A0C6A"/>
    <w:rsid w:val="002A114A"/>
    <w:rsid w:val="002A119F"/>
    <w:rsid w:val="002A144F"/>
    <w:rsid w:val="002A2CE9"/>
    <w:rsid w:val="002A34E1"/>
    <w:rsid w:val="002A4228"/>
    <w:rsid w:val="002A4F30"/>
    <w:rsid w:val="002A5663"/>
    <w:rsid w:val="002A58C5"/>
    <w:rsid w:val="002A5C06"/>
    <w:rsid w:val="002A5CA7"/>
    <w:rsid w:val="002A6889"/>
    <w:rsid w:val="002A6C02"/>
    <w:rsid w:val="002A6D0B"/>
    <w:rsid w:val="002A6F74"/>
    <w:rsid w:val="002A7797"/>
    <w:rsid w:val="002A78E9"/>
    <w:rsid w:val="002A79C5"/>
    <w:rsid w:val="002A79CD"/>
    <w:rsid w:val="002A7B41"/>
    <w:rsid w:val="002A7CC2"/>
    <w:rsid w:val="002B02C1"/>
    <w:rsid w:val="002B0AF7"/>
    <w:rsid w:val="002B13EA"/>
    <w:rsid w:val="002B18D7"/>
    <w:rsid w:val="002B1BBF"/>
    <w:rsid w:val="002B1D2F"/>
    <w:rsid w:val="002B210E"/>
    <w:rsid w:val="002B221A"/>
    <w:rsid w:val="002B2FEB"/>
    <w:rsid w:val="002B3787"/>
    <w:rsid w:val="002B44A9"/>
    <w:rsid w:val="002B44C0"/>
    <w:rsid w:val="002B44FC"/>
    <w:rsid w:val="002B4697"/>
    <w:rsid w:val="002B482A"/>
    <w:rsid w:val="002B50D8"/>
    <w:rsid w:val="002B575F"/>
    <w:rsid w:val="002B5D59"/>
    <w:rsid w:val="002B640C"/>
    <w:rsid w:val="002B64E8"/>
    <w:rsid w:val="002B6B62"/>
    <w:rsid w:val="002B73A3"/>
    <w:rsid w:val="002C012B"/>
    <w:rsid w:val="002C03B5"/>
    <w:rsid w:val="002C099D"/>
    <w:rsid w:val="002C0B3A"/>
    <w:rsid w:val="002C0CA9"/>
    <w:rsid w:val="002C1166"/>
    <w:rsid w:val="002C15E0"/>
    <w:rsid w:val="002C1735"/>
    <w:rsid w:val="002C21B0"/>
    <w:rsid w:val="002C2744"/>
    <w:rsid w:val="002C2CB8"/>
    <w:rsid w:val="002C3062"/>
    <w:rsid w:val="002C3314"/>
    <w:rsid w:val="002C333D"/>
    <w:rsid w:val="002C35C4"/>
    <w:rsid w:val="002C37F5"/>
    <w:rsid w:val="002C3975"/>
    <w:rsid w:val="002C3B73"/>
    <w:rsid w:val="002C42C8"/>
    <w:rsid w:val="002C45FC"/>
    <w:rsid w:val="002C482F"/>
    <w:rsid w:val="002C4EE5"/>
    <w:rsid w:val="002C6E6B"/>
    <w:rsid w:val="002C7EFC"/>
    <w:rsid w:val="002D078F"/>
    <w:rsid w:val="002D103B"/>
    <w:rsid w:val="002D10A4"/>
    <w:rsid w:val="002D2392"/>
    <w:rsid w:val="002D2CB2"/>
    <w:rsid w:val="002D34AC"/>
    <w:rsid w:val="002D3A47"/>
    <w:rsid w:val="002D4535"/>
    <w:rsid w:val="002D4603"/>
    <w:rsid w:val="002D46C0"/>
    <w:rsid w:val="002D4997"/>
    <w:rsid w:val="002D50A4"/>
    <w:rsid w:val="002D54CA"/>
    <w:rsid w:val="002D5540"/>
    <w:rsid w:val="002D57A1"/>
    <w:rsid w:val="002D58FB"/>
    <w:rsid w:val="002D5978"/>
    <w:rsid w:val="002D5E0A"/>
    <w:rsid w:val="002D670F"/>
    <w:rsid w:val="002D6A78"/>
    <w:rsid w:val="002D7778"/>
    <w:rsid w:val="002D7D9E"/>
    <w:rsid w:val="002E06E3"/>
    <w:rsid w:val="002E0F59"/>
    <w:rsid w:val="002E2B1A"/>
    <w:rsid w:val="002E2C2D"/>
    <w:rsid w:val="002E2D6A"/>
    <w:rsid w:val="002E2FE4"/>
    <w:rsid w:val="002E2FE8"/>
    <w:rsid w:val="002E30C1"/>
    <w:rsid w:val="002E312B"/>
    <w:rsid w:val="002E4171"/>
    <w:rsid w:val="002E45DC"/>
    <w:rsid w:val="002E4BE8"/>
    <w:rsid w:val="002E58C0"/>
    <w:rsid w:val="002E68DA"/>
    <w:rsid w:val="002E706E"/>
    <w:rsid w:val="002E7595"/>
    <w:rsid w:val="002E7852"/>
    <w:rsid w:val="002F026A"/>
    <w:rsid w:val="002F0B1F"/>
    <w:rsid w:val="002F2355"/>
    <w:rsid w:val="002F24EE"/>
    <w:rsid w:val="002F25EA"/>
    <w:rsid w:val="002F2FA5"/>
    <w:rsid w:val="002F3118"/>
    <w:rsid w:val="002F351C"/>
    <w:rsid w:val="002F3AC2"/>
    <w:rsid w:val="002F3C0D"/>
    <w:rsid w:val="002F3FB9"/>
    <w:rsid w:val="002F42CC"/>
    <w:rsid w:val="002F46B5"/>
    <w:rsid w:val="002F4797"/>
    <w:rsid w:val="002F6430"/>
    <w:rsid w:val="002F6A09"/>
    <w:rsid w:val="003001CA"/>
    <w:rsid w:val="0030042B"/>
    <w:rsid w:val="0030051B"/>
    <w:rsid w:val="00300E6E"/>
    <w:rsid w:val="0030139D"/>
    <w:rsid w:val="00301608"/>
    <w:rsid w:val="00302D1B"/>
    <w:rsid w:val="00303324"/>
    <w:rsid w:val="00303B94"/>
    <w:rsid w:val="00303F94"/>
    <w:rsid w:val="00303FFE"/>
    <w:rsid w:val="00304255"/>
    <w:rsid w:val="00305B7B"/>
    <w:rsid w:val="0030606B"/>
    <w:rsid w:val="00306663"/>
    <w:rsid w:val="00306D92"/>
    <w:rsid w:val="003078DA"/>
    <w:rsid w:val="00307C4F"/>
    <w:rsid w:val="003104CA"/>
    <w:rsid w:val="0031062E"/>
    <w:rsid w:val="003112F5"/>
    <w:rsid w:val="00311394"/>
    <w:rsid w:val="00311AE2"/>
    <w:rsid w:val="00311CA4"/>
    <w:rsid w:val="00311CB1"/>
    <w:rsid w:val="00313B76"/>
    <w:rsid w:val="00313F40"/>
    <w:rsid w:val="003145EC"/>
    <w:rsid w:val="003146C2"/>
    <w:rsid w:val="00314C05"/>
    <w:rsid w:val="0031593E"/>
    <w:rsid w:val="00316E9F"/>
    <w:rsid w:val="0031759A"/>
    <w:rsid w:val="00320098"/>
    <w:rsid w:val="0032028A"/>
    <w:rsid w:val="0032059A"/>
    <w:rsid w:val="0032072C"/>
    <w:rsid w:val="003210B7"/>
    <w:rsid w:val="00321AFF"/>
    <w:rsid w:val="00322494"/>
    <w:rsid w:val="003224B7"/>
    <w:rsid w:val="003228FD"/>
    <w:rsid w:val="00322ACC"/>
    <w:rsid w:val="00322DD9"/>
    <w:rsid w:val="00322E4A"/>
    <w:rsid w:val="00323D8D"/>
    <w:rsid w:val="00324321"/>
    <w:rsid w:val="00325271"/>
    <w:rsid w:val="00325425"/>
    <w:rsid w:val="00325793"/>
    <w:rsid w:val="0032591B"/>
    <w:rsid w:val="00325A9C"/>
    <w:rsid w:val="003269E7"/>
    <w:rsid w:val="00326BBE"/>
    <w:rsid w:val="00326C69"/>
    <w:rsid w:val="00327561"/>
    <w:rsid w:val="00327649"/>
    <w:rsid w:val="00327816"/>
    <w:rsid w:val="0033196F"/>
    <w:rsid w:val="00331DB5"/>
    <w:rsid w:val="00332CBB"/>
    <w:rsid w:val="00332CFD"/>
    <w:rsid w:val="00333316"/>
    <w:rsid w:val="00333387"/>
    <w:rsid w:val="00333802"/>
    <w:rsid w:val="00333E23"/>
    <w:rsid w:val="00334271"/>
    <w:rsid w:val="003346B9"/>
    <w:rsid w:val="00335152"/>
    <w:rsid w:val="003353AC"/>
    <w:rsid w:val="0033562F"/>
    <w:rsid w:val="00335897"/>
    <w:rsid w:val="00336076"/>
    <w:rsid w:val="0033786B"/>
    <w:rsid w:val="00337FF6"/>
    <w:rsid w:val="00340292"/>
    <w:rsid w:val="00340ADB"/>
    <w:rsid w:val="00340BD1"/>
    <w:rsid w:val="00340E8B"/>
    <w:rsid w:val="00341228"/>
    <w:rsid w:val="003413A7"/>
    <w:rsid w:val="00342737"/>
    <w:rsid w:val="00342C6F"/>
    <w:rsid w:val="00342E6F"/>
    <w:rsid w:val="00342FB3"/>
    <w:rsid w:val="003439D0"/>
    <w:rsid w:val="00343E5F"/>
    <w:rsid w:val="00344CC4"/>
    <w:rsid w:val="00344DC6"/>
    <w:rsid w:val="003455D3"/>
    <w:rsid w:val="0034599A"/>
    <w:rsid w:val="00345D60"/>
    <w:rsid w:val="00345E2C"/>
    <w:rsid w:val="00345F08"/>
    <w:rsid w:val="00346C89"/>
    <w:rsid w:val="00347193"/>
    <w:rsid w:val="003478E2"/>
    <w:rsid w:val="003503A9"/>
    <w:rsid w:val="00350844"/>
    <w:rsid w:val="00352441"/>
    <w:rsid w:val="00352465"/>
    <w:rsid w:val="00352F65"/>
    <w:rsid w:val="003533F2"/>
    <w:rsid w:val="003536E5"/>
    <w:rsid w:val="00353EDC"/>
    <w:rsid w:val="00356354"/>
    <w:rsid w:val="0035692F"/>
    <w:rsid w:val="00356B3A"/>
    <w:rsid w:val="00357B85"/>
    <w:rsid w:val="003600B2"/>
    <w:rsid w:val="003601DB"/>
    <w:rsid w:val="00361B21"/>
    <w:rsid w:val="0036213C"/>
    <w:rsid w:val="00362AA4"/>
    <w:rsid w:val="00362BBD"/>
    <w:rsid w:val="003631F5"/>
    <w:rsid w:val="0036335C"/>
    <w:rsid w:val="00363456"/>
    <w:rsid w:val="003647BE"/>
    <w:rsid w:val="00364894"/>
    <w:rsid w:val="00364D59"/>
    <w:rsid w:val="003661A3"/>
    <w:rsid w:val="003672DE"/>
    <w:rsid w:val="003676C7"/>
    <w:rsid w:val="00367931"/>
    <w:rsid w:val="00367FA1"/>
    <w:rsid w:val="00370635"/>
    <w:rsid w:val="003718E5"/>
    <w:rsid w:val="00372588"/>
    <w:rsid w:val="003725FF"/>
    <w:rsid w:val="00372623"/>
    <w:rsid w:val="00372B09"/>
    <w:rsid w:val="0037359A"/>
    <w:rsid w:val="00373621"/>
    <w:rsid w:val="0037380D"/>
    <w:rsid w:val="0037470A"/>
    <w:rsid w:val="003754B9"/>
    <w:rsid w:val="003758EA"/>
    <w:rsid w:val="00375B31"/>
    <w:rsid w:val="00375DC4"/>
    <w:rsid w:val="003763A9"/>
    <w:rsid w:val="00376415"/>
    <w:rsid w:val="0037659A"/>
    <w:rsid w:val="003768D8"/>
    <w:rsid w:val="00376956"/>
    <w:rsid w:val="003777E5"/>
    <w:rsid w:val="0038031E"/>
    <w:rsid w:val="00380D49"/>
    <w:rsid w:val="00380E61"/>
    <w:rsid w:val="003820AC"/>
    <w:rsid w:val="0038277C"/>
    <w:rsid w:val="00382F82"/>
    <w:rsid w:val="003839BA"/>
    <w:rsid w:val="00383DCE"/>
    <w:rsid w:val="00384A6B"/>
    <w:rsid w:val="003857A5"/>
    <w:rsid w:val="00386043"/>
    <w:rsid w:val="00386355"/>
    <w:rsid w:val="00386AFC"/>
    <w:rsid w:val="00386BDF"/>
    <w:rsid w:val="00386DAA"/>
    <w:rsid w:val="00386F65"/>
    <w:rsid w:val="00387158"/>
    <w:rsid w:val="0039110A"/>
    <w:rsid w:val="00391E06"/>
    <w:rsid w:val="00391F46"/>
    <w:rsid w:val="0039240F"/>
    <w:rsid w:val="00392896"/>
    <w:rsid w:val="00392C55"/>
    <w:rsid w:val="00392FD9"/>
    <w:rsid w:val="003932E1"/>
    <w:rsid w:val="00393D3A"/>
    <w:rsid w:val="003942B6"/>
    <w:rsid w:val="00394B04"/>
    <w:rsid w:val="00394D9E"/>
    <w:rsid w:val="00394E9A"/>
    <w:rsid w:val="00395783"/>
    <w:rsid w:val="0039607F"/>
    <w:rsid w:val="003960E7"/>
    <w:rsid w:val="003964C4"/>
    <w:rsid w:val="00396C3D"/>
    <w:rsid w:val="00396EA5"/>
    <w:rsid w:val="003974E9"/>
    <w:rsid w:val="00397538"/>
    <w:rsid w:val="0039769C"/>
    <w:rsid w:val="003979A9"/>
    <w:rsid w:val="003A0734"/>
    <w:rsid w:val="003A0DCE"/>
    <w:rsid w:val="003A0ED5"/>
    <w:rsid w:val="003A12EE"/>
    <w:rsid w:val="003A236D"/>
    <w:rsid w:val="003A2A03"/>
    <w:rsid w:val="003A2A21"/>
    <w:rsid w:val="003A39D6"/>
    <w:rsid w:val="003A3D54"/>
    <w:rsid w:val="003A4248"/>
    <w:rsid w:val="003A44B7"/>
    <w:rsid w:val="003A4BDF"/>
    <w:rsid w:val="003A4F03"/>
    <w:rsid w:val="003A525F"/>
    <w:rsid w:val="003A6204"/>
    <w:rsid w:val="003A6D76"/>
    <w:rsid w:val="003A6F59"/>
    <w:rsid w:val="003A74DC"/>
    <w:rsid w:val="003B02C0"/>
    <w:rsid w:val="003B0AEC"/>
    <w:rsid w:val="003B0FA5"/>
    <w:rsid w:val="003B1488"/>
    <w:rsid w:val="003B18D9"/>
    <w:rsid w:val="003B2AD6"/>
    <w:rsid w:val="003B2F6B"/>
    <w:rsid w:val="003B37BB"/>
    <w:rsid w:val="003B4021"/>
    <w:rsid w:val="003B42B2"/>
    <w:rsid w:val="003B45C1"/>
    <w:rsid w:val="003B4CCF"/>
    <w:rsid w:val="003B4F65"/>
    <w:rsid w:val="003B5A5A"/>
    <w:rsid w:val="003B5D92"/>
    <w:rsid w:val="003B66CF"/>
    <w:rsid w:val="003B695C"/>
    <w:rsid w:val="003B6E2A"/>
    <w:rsid w:val="003B7398"/>
    <w:rsid w:val="003B783E"/>
    <w:rsid w:val="003C0C01"/>
    <w:rsid w:val="003C1E5D"/>
    <w:rsid w:val="003C2174"/>
    <w:rsid w:val="003C2813"/>
    <w:rsid w:val="003C2960"/>
    <w:rsid w:val="003C3A28"/>
    <w:rsid w:val="003C3E9F"/>
    <w:rsid w:val="003C4B88"/>
    <w:rsid w:val="003C4C16"/>
    <w:rsid w:val="003C5324"/>
    <w:rsid w:val="003C6224"/>
    <w:rsid w:val="003C6470"/>
    <w:rsid w:val="003C6891"/>
    <w:rsid w:val="003C6A29"/>
    <w:rsid w:val="003C6B70"/>
    <w:rsid w:val="003C6D25"/>
    <w:rsid w:val="003C6D7C"/>
    <w:rsid w:val="003C6F66"/>
    <w:rsid w:val="003C708D"/>
    <w:rsid w:val="003C709B"/>
    <w:rsid w:val="003C784C"/>
    <w:rsid w:val="003C7DFF"/>
    <w:rsid w:val="003D031D"/>
    <w:rsid w:val="003D07D8"/>
    <w:rsid w:val="003D09C7"/>
    <w:rsid w:val="003D0BDC"/>
    <w:rsid w:val="003D1A4B"/>
    <w:rsid w:val="003D2248"/>
    <w:rsid w:val="003D262C"/>
    <w:rsid w:val="003D2A3C"/>
    <w:rsid w:val="003D2B0F"/>
    <w:rsid w:val="003D2E9F"/>
    <w:rsid w:val="003D326D"/>
    <w:rsid w:val="003D3988"/>
    <w:rsid w:val="003D3BBD"/>
    <w:rsid w:val="003D4539"/>
    <w:rsid w:val="003D4A97"/>
    <w:rsid w:val="003D4B8A"/>
    <w:rsid w:val="003D6539"/>
    <w:rsid w:val="003D6734"/>
    <w:rsid w:val="003D781C"/>
    <w:rsid w:val="003E097F"/>
    <w:rsid w:val="003E0BB6"/>
    <w:rsid w:val="003E115A"/>
    <w:rsid w:val="003E1177"/>
    <w:rsid w:val="003E20C4"/>
    <w:rsid w:val="003E2C0D"/>
    <w:rsid w:val="003E47D9"/>
    <w:rsid w:val="003E4F31"/>
    <w:rsid w:val="003E5739"/>
    <w:rsid w:val="003E6726"/>
    <w:rsid w:val="003E694F"/>
    <w:rsid w:val="003E748A"/>
    <w:rsid w:val="003E7AC4"/>
    <w:rsid w:val="003E7D79"/>
    <w:rsid w:val="003F008C"/>
    <w:rsid w:val="003F1000"/>
    <w:rsid w:val="003F10B4"/>
    <w:rsid w:val="003F1833"/>
    <w:rsid w:val="003F1AB3"/>
    <w:rsid w:val="003F3748"/>
    <w:rsid w:val="003F3AE1"/>
    <w:rsid w:val="003F4C5C"/>
    <w:rsid w:val="003F4CEB"/>
    <w:rsid w:val="003F4D85"/>
    <w:rsid w:val="003F4EB1"/>
    <w:rsid w:val="003F520F"/>
    <w:rsid w:val="003F5936"/>
    <w:rsid w:val="003F5988"/>
    <w:rsid w:val="003F66C2"/>
    <w:rsid w:val="003F69FE"/>
    <w:rsid w:val="003F6C21"/>
    <w:rsid w:val="003F754B"/>
    <w:rsid w:val="003F761C"/>
    <w:rsid w:val="003F7CB0"/>
    <w:rsid w:val="00400273"/>
    <w:rsid w:val="0040149B"/>
    <w:rsid w:val="00401A47"/>
    <w:rsid w:val="00401BB9"/>
    <w:rsid w:val="004020CE"/>
    <w:rsid w:val="00403358"/>
    <w:rsid w:val="0040412D"/>
    <w:rsid w:val="00404C44"/>
    <w:rsid w:val="004056FD"/>
    <w:rsid w:val="004060B2"/>
    <w:rsid w:val="00406B78"/>
    <w:rsid w:val="00407449"/>
    <w:rsid w:val="00407758"/>
    <w:rsid w:val="00407AD4"/>
    <w:rsid w:val="00407AF1"/>
    <w:rsid w:val="00407D5F"/>
    <w:rsid w:val="00410876"/>
    <w:rsid w:val="00411314"/>
    <w:rsid w:val="00411391"/>
    <w:rsid w:val="0041161E"/>
    <w:rsid w:val="004119DF"/>
    <w:rsid w:val="00411D9B"/>
    <w:rsid w:val="00411F1F"/>
    <w:rsid w:val="00412127"/>
    <w:rsid w:val="0041262A"/>
    <w:rsid w:val="004127BE"/>
    <w:rsid w:val="004128A8"/>
    <w:rsid w:val="00412A2E"/>
    <w:rsid w:val="0041317B"/>
    <w:rsid w:val="00413307"/>
    <w:rsid w:val="00413A46"/>
    <w:rsid w:val="00414718"/>
    <w:rsid w:val="00415160"/>
    <w:rsid w:val="0041559F"/>
    <w:rsid w:val="00415711"/>
    <w:rsid w:val="00415A27"/>
    <w:rsid w:val="00415DAB"/>
    <w:rsid w:val="00416734"/>
    <w:rsid w:val="004168A8"/>
    <w:rsid w:val="00416A1E"/>
    <w:rsid w:val="0041725E"/>
    <w:rsid w:val="00417EAB"/>
    <w:rsid w:val="00417F86"/>
    <w:rsid w:val="00420397"/>
    <w:rsid w:val="00420D25"/>
    <w:rsid w:val="004213A1"/>
    <w:rsid w:val="004213D5"/>
    <w:rsid w:val="00421A34"/>
    <w:rsid w:val="00421AE0"/>
    <w:rsid w:val="00422026"/>
    <w:rsid w:val="00422280"/>
    <w:rsid w:val="004225AA"/>
    <w:rsid w:val="00422630"/>
    <w:rsid w:val="00423074"/>
    <w:rsid w:val="0042309E"/>
    <w:rsid w:val="004245E6"/>
    <w:rsid w:val="00424D58"/>
    <w:rsid w:val="00424F78"/>
    <w:rsid w:val="00425428"/>
    <w:rsid w:val="00425907"/>
    <w:rsid w:val="00425E24"/>
    <w:rsid w:val="004260C3"/>
    <w:rsid w:val="004262D4"/>
    <w:rsid w:val="004263CB"/>
    <w:rsid w:val="004267A4"/>
    <w:rsid w:val="004271F8"/>
    <w:rsid w:val="004277DB"/>
    <w:rsid w:val="00430A41"/>
    <w:rsid w:val="00430DB4"/>
    <w:rsid w:val="0043146A"/>
    <w:rsid w:val="00432851"/>
    <w:rsid w:val="0043353F"/>
    <w:rsid w:val="00433559"/>
    <w:rsid w:val="00433B1C"/>
    <w:rsid w:val="00433F61"/>
    <w:rsid w:val="004343E6"/>
    <w:rsid w:val="00434607"/>
    <w:rsid w:val="00434CE6"/>
    <w:rsid w:val="00434FCD"/>
    <w:rsid w:val="00435C80"/>
    <w:rsid w:val="00436F1D"/>
    <w:rsid w:val="0043798B"/>
    <w:rsid w:val="00437ED7"/>
    <w:rsid w:val="00440B4F"/>
    <w:rsid w:val="00440DA7"/>
    <w:rsid w:val="00441A22"/>
    <w:rsid w:val="00441AE0"/>
    <w:rsid w:val="00442BC1"/>
    <w:rsid w:val="00442C1A"/>
    <w:rsid w:val="00442C4C"/>
    <w:rsid w:val="004432C0"/>
    <w:rsid w:val="00443445"/>
    <w:rsid w:val="00443517"/>
    <w:rsid w:val="00443643"/>
    <w:rsid w:val="00443FCB"/>
    <w:rsid w:val="00444C89"/>
    <w:rsid w:val="00444CC8"/>
    <w:rsid w:val="00444EA1"/>
    <w:rsid w:val="00444EDA"/>
    <w:rsid w:val="00444F75"/>
    <w:rsid w:val="004452EE"/>
    <w:rsid w:val="00446622"/>
    <w:rsid w:val="00446714"/>
    <w:rsid w:val="004474C3"/>
    <w:rsid w:val="00447A66"/>
    <w:rsid w:val="0045049B"/>
    <w:rsid w:val="00450A44"/>
    <w:rsid w:val="00450F8F"/>
    <w:rsid w:val="004518B9"/>
    <w:rsid w:val="004530F5"/>
    <w:rsid w:val="00455776"/>
    <w:rsid w:val="00455961"/>
    <w:rsid w:val="00455C7F"/>
    <w:rsid w:val="00455D67"/>
    <w:rsid w:val="00456C93"/>
    <w:rsid w:val="00456F98"/>
    <w:rsid w:val="0045729A"/>
    <w:rsid w:val="00457393"/>
    <w:rsid w:val="004576A6"/>
    <w:rsid w:val="00457B28"/>
    <w:rsid w:val="00457EBD"/>
    <w:rsid w:val="00460053"/>
    <w:rsid w:val="00460841"/>
    <w:rsid w:val="0046110E"/>
    <w:rsid w:val="0046149D"/>
    <w:rsid w:val="004616C6"/>
    <w:rsid w:val="00462059"/>
    <w:rsid w:val="00463603"/>
    <w:rsid w:val="004637CE"/>
    <w:rsid w:val="00464A7F"/>
    <w:rsid w:val="0046584A"/>
    <w:rsid w:val="00465FF3"/>
    <w:rsid w:val="004662A7"/>
    <w:rsid w:val="00466B1F"/>
    <w:rsid w:val="00466E6A"/>
    <w:rsid w:val="0046747A"/>
    <w:rsid w:val="00467483"/>
    <w:rsid w:val="004679FF"/>
    <w:rsid w:val="00470D43"/>
    <w:rsid w:val="004711BF"/>
    <w:rsid w:val="00471783"/>
    <w:rsid w:val="00471921"/>
    <w:rsid w:val="00471ADE"/>
    <w:rsid w:val="00471AF3"/>
    <w:rsid w:val="00472579"/>
    <w:rsid w:val="0047257E"/>
    <w:rsid w:val="004726E4"/>
    <w:rsid w:val="004727A6"/>
    <w:rsid w:val="00472A6F"/>
    <w:rsid w:val="00472D08"/>
    <w:rsid w:val="00472DE8"/>
    <w:rsid w:val="00473881"/>
    <w:rsid w:val="00473AC0"/>
    <w:rsid w:val="00474747"/>
    <w:rsid w:val="00474A16"/>
    <w:rsid w:val="00474A4B"/>
    <w:rsid w:val="00474EC2"/>
    <w:rsid w:val="004756B0"/>
    <w:rsid w:val="00475A98"/>
    <w:rsid w:val="00476379"/>
    <w:rsid w:val="00476599"/>
    <w:rsid w:val="0047673A"/>
    <w:rsid w:val="00476A9E"/>
    <w:rsid w:val="0047743F"/>
    <w:rsid w:val="00477B8C"/>
    <w:rsid w:val="00480036"/>
    <w:rsid w:val="004800C4"/>
    <w:rsid w:val="00480133"/>
    <w:rsid w:val="00480945"/>
    <w:rsid w:val="00480BAD"/>
    <w:rsid w:val="004812E0"/>
    <w:rsid w:val="004814C3"/>
    <w:rsid w:val="00481C3B"/>
    <w:rsid w:val="004822B9"/>
    <w:rsid w:val="00482A44"/>
    <w:rsid w:val="004833BF"/>
    <w:rsid w:val="0048391C"/>
    <w:rsid w:val="00483A59"/>
    <w:rsid w:val="00483E94"/>
    <w:rsid w:val="00484085"/>
    <w:rsid w:val="004852DB"/>
    <w:rsid w:val="00485516"/>
    <w:rsid w:val="00485FE8"/>
    <w:rsid w:val="00486736"/>
    <w:rsid w:val="00486934"/>
    <w:rsid w:val="00486B89"/>
    <w:rsid w:val="0048759A"/>
    <w:rsid w:val="004879EB"/>
    <w:rsid w:val="00487E38"/>
    <w:rsid w:val="004907B0"/>
    <w:rsid w:val="0049095F"/>
    <w:rsid w:val="00490B91"/>
    <w:rsid w:val="004910C5"/>
    <w:rsid w:val="0049133A"/>
    <w:rsid w:val="004917E0"/>
    <w:rsid w:val="00492022"/>
    <w:rsid w:val="00494744"/>
    <w:rsid w:val="00494E1D"/>
    <w:rsid w:val="00495144"/>
    <w:rsid w:val="004953C2"/>
    <w:rsid w:val="004953E8"/>
    <w:rsid w:val="0049590F"/>
    <w:rsid w:val="00495B8D"/>
    <w:rsid w:val="0049625E"/>
    <w:rsid w:val="004970E1"/>
    <w:rsid w:val="004973B4"/>
    <w:rsid w:val="00497966"/>
    <w:rsid w:val="004A057A"/>
    <w:rsid w:val="004A08C5"/>
    <w:rsid w:val="004A0E31"/>
    <w:rsid w:val="004A10A0"/>
    <w:rsid w:val="004A1B22"/>
    <w:rsid w:val="004A1CF4"/>
    <w:rsid w:val="004A30F1"/>
    <w:rsid w:val="004A3378"/>
    <w:rsid w:val="004A33F1"/>
    <w:rsid w:val="004A3B9A"/>
    <w:rsid w:val="004A3C43"/>
    <w:rsid w:val="004A3D4A"/>
    <w:rsid w:val="004A425A"/>
    <w:rsid w:val="004A46DC"/>
    <w:rsid w:val="004A4735"/>
    <w:rsid w:val="004A488E"/>
    <w:rsid w:val="004A48A2"/>
    <w:rsid w:val="004A6094"/>
    <w:rsid w:val="004A782A"/>
    <w:rsid w:val="004B0390"/>
    <w:rsid w:val="004B11CB"/>
    <w:rsid w:val="004B155E"/>
    <w:rsid w:val="004B19BB"/>
    <w:rsid w:val="004B1F14"/>
    <w:rsid w:val="004B22EA"/>
    <w:rsid w:val="004B25CD"/>
    <w:rsid w:val="004B2802"/>
    <w:rsid w:val="004B2837"/>
    <w:rsid w:val="004B283A"/>
    <w:rsid w:val="004B2C2A"/>
    <w:rsid w:val="004B2F9D"/>
    <w:rsid w:val="004B352C"/>
    <w:rsid w:val="004B42D4"/>
    <w:rsid w:val="004B432E"/>
    <w:rsid w:val="004B454D"/>
    <w:rsid w:val="004B53EA"/>
    <w:rsid w:val="004B5CB8"/>
    <w:rsid w:val="004B5D00"/>
    <w:rsid w:val="004B5F06"/>
    <w:rsid w:val="004B6748"/>
    <w:rsid w:val="004C04E4"/>
    <w:rsid w:val="004C058F"/>
    <w:rsid w:val="004C127B"/>
    <w:rsid w:val="004C2AE8"/>
    <w:rsid w:val="004C32C7"/>
    <w:rsid w:val="004C38B7"/>
    <w:rsid w:val="004C3CDA"/>
    <w:rsid w:val="004C428A"/>
    <w:rsid w:val="004C4EAB"/>
    <w:rsid w:val="004C50C6"/>
    <w:rsid w:val="004C5269"/>
    <w:rsid w:val="004C5464"/>
    <w:rsid w:val="004C5937"/>
    <w:rsid w:val="004C6403"/>
    <w:rsid w:val="004C64D3"/>
    <w:rsid w:val="004C6702"/>
    <w:rsid w:val="004C672F"/>
    <w:rsid w:val="004C74F3"/>
    <w:rsid w:val="004C75D0"/>
    <w:rsid w:val="004D0BBC"/>
    <w:rsid w:val="004D1855"/>
    <w:rsid w:val="004D1ED2"/>
    <w:rsid w:val="004D2397"/>
    <w:rsid w:val="004D25D6"/>
    <w:rsid w:val="004D2771"/>
    <w:rsid w:val="004D2D53"/>
    <w:rsid w:val="004D3B73"/>
    <w:rsid w:val="004D3D91"/>
    <w:rsid w:val="004D3DE8"/>
    <w:rsid w:val="004D3E36"/>
    <w:rsid w:val="004D4966"/>
    <w:rsid w:val="004D4B7F"/>
    <w:rsid w:val="004D4D00"/>
    <w:rsid w:val="004D5036"/>
    <w:rsid w:val="004D5616"/>
    <w:rsid w:val="004D5941"/>
    <w:rsid w:val="004D60C0"/>
    <w:rsid w:val="004D69A7"/>
    <w:rsid w:val="004D7A1F"/>
    <w:rsid w:val="004D7CA9"/>
    <w:rsid w:val="004D7E55"/>
    <w:rsid w:val="004E0D99"/>
    <w:rsid w:val="004E26EE"/>
    <w:rsid w:val="004E2982"/>
    <w:rsid w:val="004E3236"/>
    <w:rsid w:val="004E3AB3"/>
    <w:rsid w:val="004E3F72"/>
    <w:rsid w:val="004E3FE3"/>
    <w:rsid w:val="004E4D1C"/>
    <w:rsid w:val="004E5A39"/>
    <w:rsid w:val="004E5EC0"/>
    <w:rsid w:val="004E5EF1"/>
    <w:rsid w:val="004E70BF"/>
    <w:rsid w:val="004F0277"/>
    <w:rsid w:val="004F03F6"/>
    <w:rsid w:val="004F06D9"/>
    <w:rsid w:val="004F0D40"/>
    <w:rsid w:val="004F1607"/>
    <w:rsid w:val="004F2227"/>
    <w:rsid w:val="004F2C9F"/>
    <w:rsid w:val="004F2E8D"/>
    <w:rsid w:val="004F3263"/>
    <w:rsid w:val="004F33C3"/>
    <w:rsid w:val="004F3541"/>
    <w:rsid w:val="004F3685"/>
    <w:rsid w:val="004F4C03"/>
    <w:rsid w:val="004F50F3"/>
    <w:rsid w:val="004F54AE"/>
    <w:rsid w:val="004F5513"/>
    <w:rsid w:val="004F5767"/>
    <w:rsid w:val="004F6052"/>
    <w:rsid w:val="004F65D3"/>
    <w:rsid w:val="004F722A"/>
    <w:rsid w:val="00500A12"/>
    <w:rsid w:val="00501293"/>
    <w:rsid w:val="0050140D"/>
    <w:rsid w:val="00501A72"/>
    <w:rsid w:val="00501C4D"/>
    <w:rsid w:val="00501E23"/>
    <w:rsid w:val="005021D2"/>
    <w:rsid w:val="005023EA"/>
    <w:rsid w:val="005026D3"/>
    <w:rsid w:val="0050298E"/>
    <w:rsid w:val="00502B36"/>
    <w:rsid w:val="00503E9D"/>
    <w:rsid w:val="005040E5"/>
    <w:rsid w:val="0050441F"/>
    <w:rsid w:val="00507268"/>
    <w:rsid w:val="005074B6"/>
    <w:rsid w:val="005075CC"/>
    <w:rsid w:val="00510F98"/>
    <w:rsid w:val="00511A6A"/>
    <w:rsid w:val="00512227"/>
    <w:rsid w:val="00512A91"/>
    <w:rsid w:val="00512C28"/>
    <w:rsid w:val="00513594"/>
    <w:rsid w:val="005139D1"/>
    <w:rsid w:val="00513DD4"/>
    <w:rsid w:val="005140B9"/>
    <w:rsid w:val="00514C27"/>
    <w:rsid w:val="00516241"/>
    <w:rsid w:val="0051632C"/>
    <w:rsid w:val="00516ECB"/>
    <w:rsid w:val="005172FF"/>
    <w:rsid w:val="00517377"/>
    <w:rsid w:val="00517E4B"/>
    <w:rsid w:val="00517F0F"/>
    <w:rsid w:val="00520419"/>
    <w:rsid w:val="005206CC"/>
    <w:rsid w:val="00520AEF"/>
    <w:rsid w:val="0052131B"/>
    <w:rsid w:val="005216EF"/>
    <w:rsid w:val="00522ED9"/>
    <w:rsid w:val="00523040"/>
    <w:rsid w:val="005230B4"/>
    <w:rsid w:val="00523374"/>
    <w:rsid w:val="00523B47"/>
    <w:rsid w:val="00523D3A"/>
    <w:rsid w:val="005240C1"/>
    <w:rsid w:val="00525080"/>
    <w:rsid w:val="005250CF"/>
    <w:rsid w:val="0052574B"/>
    <w:rsid w:val="0052604E"/>
    <w:rsid w:val="005263AF"/>
    <w:rsid w:val="0052675B"/>
    <w:rsid w:val="0052726E"/>
    <w:rsid w:val="005273D5"/>
    <w:rsid w:val="005278D5"/>
    <w:rsid w:val="005326AC"/>
    <w:rsid w:val="005327B2"/>
    <w:rsid w:val="00533022"/>
    <w:rsid w:val="005330B8"/>
    <w:rsid w:val="00535753"/>
    <w:rsid w:val="0053687B"/>
    <w:rsid w:val="00536A01"/>
    <w:rsid w:val="00536CE4"/>
    <w:rsid w:val="00536D8D"/>
    <w:rsid w:val="00537478"/>
    <w:rsid w:val="00537801"/>
    <w:rsid w:val="0054005D"/>
    <w:rsid w:val="005406CE"/>
    <w:rsid w:val="005407BD"/>
    <w:rsid w:val="00540D5E"/>
    <w:rsid w:val="00542146"/>
    <w:rsid w:val="00542DFE"/>
    <w:rsid w:val="00543686"/>
    <w:rsid w:val="00543736"/>
    <w:rsid w:val="00544240"/>
    <w:rsid w:val="005447C0"/>
    <w:rsid w:val="00545ED0"/>
    <w:rsid w:val="00546B0B"/>
    <w:rsid w:val="00546F30"/>
    <w:rsid w:val="00547091"/>
    <w:rsid w:val="00547189"/>
    <w:rsid w:val="005474B5"/>
    <w:rsid w:val="005503FD"/>
    <w:rsid w:val="00551274"/>
    <w:rsid w:val="005514C1"/>
    <w:rsid w:val="00551C0A"/>
    <w:rsid w:val="00551C9F"/>
    <w:rsid w:val="00552086"/>
    <w:rsid w:val="00552555"/>
    <w:rsid w:val="005525DD"/>
    <w:rsid w:val="005525E2"/>
    <w:rsid w:val="0055286C"/>
    <w:rsid w:val="00553515"/>
    <w:rsid w:val="005539F7"/>
    <w:rsid w:val="0055414B"/>
    <w:rsid w:val="005545E3"/>
    <w:rsid w:val="00554717"/>
    <w:rsid w:val="00554FAB"/>
    <w:rsid w:val="00554FE9"/>
    <w:rsid w:val="00555E00"/>
    <w:rsid w:val="00556B69"/>
    <w:rsid w:val="00556D28"/>
    <w:rsid w:val="005579DA"/>
    <w:rsid w:val="00557CDD"/>
    <w:rsid w:val="00557CEF"/>
    <w:rsid w:val="00557DED"/>
    <w:rsid w:val="00560151"/>
    <w:rsid w:val="005602AF"/>
    <w:rsid w:val="005604C6"/>
    <w:rsid w:val="00560A7B"/>
    <w:rsid w:val="00560B8F"/>
    <w:rsid w:val="0056141A"/>
    <w:rsid w:val="00561BC2"/>
    <w:rsid w:val="00561D09"/>
    <w:rsid w:val="00562345"/>
    <w:rsid w:val="00562C41"/>
    <w:rsid w:val="00563271"/>
    <w:rsid w:val="0056339A"/>
    <w:rsid w:val="00563401"/>
    <w:rsid w:val="005634F5"/>
    <w:rsid w:val="00563779"/>
    <w:rsid w:val="00563E75"/>
    <w:rsid w:val="0056425A"/>
    <w:rsid w:val="0056447E"/>
    <w:rsid w:val="0056497C"/>
    <w:rsid w:val="005657BB"/>
    <w:rsid w:val="00565915"/>
    <w:rsid w:val="0056642C"/>
    <w:rsid w:val="005668A5"/>
    <w:rsid w:val="00566DD6"/>
    <w:rsid w:val="0056743D"/>
    <w:rsid w:val="00567653"/>
    <w:rsid w:val="0057036A"/>
    <w:rsid w:val="005705F0"/>
    <w:rsid w:val="00570D9A"/>
    <w:rsid w:val="005710AB"/>
    <w:rsid w:val="00571BCD"/>
    <w:rsid w:val="00571C07"/>
    <w:rsid w:val="00571FFE"/>
    <w:rsid w:val="00572EFD"/>
    <w:rsid w:val="005730A5"/>
    <w:rsid w:val="00573344"/>
    <w:rsid w:val="005745F7"/>
    <w:rsid w:val="0057466F"/>
    <w:rsid w:val="0057487F"/>
    <w:rsid w:val="00574C26"/>
    <w:rsid w:val="005755A8"/>
    <w:rsid w:val="00575955"/>
    <w:rsid w:val="00575E1C"/>
    <w:rsid w:val="00575F2F"/>
    <w:rsid w:val="00576447"/>
    <w:rsid w:val="00576FA3"/>
    <w:rsid w:val="005770BC"/>
    <w:rsid w:val="00577104"/>
    <w:rsid w:val="00577576"/>
    <w:rsid w:val="005779A0"/>
    <w:rsid w:val="00580600"/>
    <w:rsid w:val="005811BD"/>
    <w:rsid w:val="005816B6"/>
    <w:rsid w:val="005816FB"/>
    <w:rsid w:val="00582B4E"/>
    <w:rsid w:val="00582C3B"/>
    <w:rsid w:val="005841F3"/>
    <w:rsid w:val="00584908"/>
    <w:rsid w:val="005850AF"/>
    <w:rsid w:val="005854B6"/>
    <w:rsid w:val="00586558"/>
    <w:rsid w:val="00586F86"/>
    <w:rsid w:val="00587031"/>
    <w:rsid w:val="005900D5"/>
    <w:rsid w:val="00590743"/>
    <w:rsid w:val="005908BD"/>
    <w:rsid w:val="00591D43"/>
    <w:rsid w:val="00591EA9"/>
    <w:rsid w:val="00592AB5"/>
    <w:rsid w:val="005934E3"/>
    <w:rsid w:val="00593F8B"/>
    <w:rsid w:val="005940ED"/>
    <w:rsid w:val="005946A8"/>
    <w:rsid w:val="00594754"/>
    <w:rsid w:val="00596AC5"/>
    <w:rsid w:val="0059752D"/>
    <w:rsid w:val="005975BE"/>
    <w:rsid w:val="00597DE6"/>
    <w:rsid w:val="00597E4A"/>
    <w:rsid w:val="005A01F8"/>
    <w:rsid w:val="005A0F0C"/>
    <w:rsid w:val="005A1AA9"/>
    <w:rsid w:val="005A1C7C"/>
    <w:rsid w:val="005A201F"/>
    <w:rsid w:val="005A20F8"/>
    <w:rsid w:val="005A22CB"/>
    <w:rsid w:val="005A27E3"/>
    <w:rsid w:val="005A2ABF"/>
    <w:rsid w:val="005A3D3F"/>
    <w:rsid w:val="005A3F68"/>
    <w:rsid w:val="005A4038"/>
    <w:rsid w:val="005A4A40"/>
    <w:rsid w:val="005A545C"/>
    <w:rsid w:val="005A6A25"/>
    <w:rsid w:val="005A6B26"/>
    <w:rsid w:val="005A6B6D"/>
    <w:rsid w:val="005A7365"/>
    <w:rsid w:val="005A74DC"/>
    <w:rsid w:val="005A7708"/>
    <w:rsid w:val="005A7F6B"/>
    <w:rsid w:val="005B10F0"/>
    <w:rsid w:val="005B1390"/>
    <w:rsid w:val="005B1F39"/>
    <w:rsid w:val="005B206F"/>
    <w:rsid w:val="005B224F"/>
    <w:rsid w:val="005B3406"/>
    <w:rsid w:val="005B391C"/>
    <w:rsid w:val="005B3E22"/>
    <w:rsid w:val="005B4A67"/>
    <w:rsid w:val="005B4C56"/>
    <w:rsid w:val="005B4DCC"/>
    <w:rsid w:val="005B5BA5"/>
    <w:rsid w:val="005B603F"/>
    <w:rsid w:val="005B6491"/>
    <w:rsid w:val="005B73B8"/>
    <w:rsid w:val="005B78BF"/>
    <w:rsid w:val="005B7955"/>
    <w:rsid w:val="005C023D"/>
    <w:rsid w:val="005C06F3"/>
    <w:rsid w:val="005C0C9B"/>
    <w:rsid w:val="005C0D74"/>
    <w:rsid w:val="005C1AF1"/>
    <w:rsid w:val="005C1DCB"/>
    <w:rsid w:val="005C2828"/>
    <w:rsid w:val="005C292D"/>
    <w:rsid w:val="005C3131"/>
    <w:rsid w:val="005C321B"/>
    <w:rsid w:val="005C3377"/>
    <w:rsid w:val="005C4303"/>
    <w:rsid w:val="005C4772"/>
    <w:rsid w:val="005C4FE0"/>
    <w:rsid w:val="005C6B93"/>
    <w:rsid w:val="005C6CC3"/>
    <w:rsid w:val="005C6EB7"/>
    <w:rsid w:val="005C7619"/>
    <w:rsid w:val="005C7BD9"/>
    <w:rsid w:val="005C7D3C"/>
    <w:rsid w:val="005D0871"/>
    <w:rsid w:val="005D1CED"/>
    <w:rsid w:val="005D3862"/>
    <w:rsid w:val="005D3A22"/>
    <w:rsid w:val="005D3B1D"/>
    <w:rsid w:val="005D3BCA"/>
    <w:rsid w:val="005D4233"/>
    <w:rsid w:val="005D4322"/>
    <w:rsid w:val="005D50B3"/>
    <w:rsid w:val="005D51CD"/>
    <w:rsid w:val="005D52A4"/>
    <w:rsid w:val="005D5EE9"/>
    <w:rsid w:val="005D638E"/>
    <w:rsid w:val="005D6C24"/>
    <w:rsid w:val="005D6C2D"/>
    <w:rsid w:val="005D6F5A"/>
    <w:rsid w:val="005D73B3"/>
    <w:rsid w:val="005D76C4"/>
    <w:rsid w:val="005D7864"/>
    <w:rsid w:val="005D7A1B"/>
    <w:rsid w:val="005D7C4D"/>
    <w:rsid w:val="005E0763"/>
    <w:rsid w:val="005E13D8"/>
    <w:rsid w:val="005E1C73"/>
    <w:rsid w:val="005E2787"/>
    <w:rsid w:val="005E3557"/>
    <w:rsid w:val="005E361E"/>
    <w:rsid w:val="005E3B97"/>
    <w:rsid w:val="005E3E19"/>
    <w:rsid w:val="005E4706"/>
    <w:rsid w:val="005E5387"/>
    <w:rsid w:val="005E54DC"/>
    <w:rsid w:val="005E5541"/>
    <w:rsid w:val="005E650A"/>
    <w:rsid w:val="005E6D20"/>
    <w:rsid w:val="005E6DC9"/>
    <w:rsid w:val="005E74AB"/>
    <w:rsid w:val="005E7FE4"/>
    <w:rsid w:val="005F0DBA"/>
    <w:rsid w:val="005F1704"/>
    <w:rsid w:val="005F1DD5"/>
    <w:rsid w:val="005F26B1"/>
    <w:rsid w:val="005F29DD"/>
    <w:rsid w:val="005F3CE8"/>
    <w:rsid w:val="005F4695"/>
    <w:rsid w:val="005F4915"/>
    <w:rsid w:val="005F4CC8"/>
    <w:rsid w:val="005F565B"/>
    <w:rsid w:val="005F5934"/>
    <w:rsid w:val="005F594E"/>
    <w:rsid w:val="005F5CD5"/>
    <w:rsid w:val="005F615F"/>
    <w:rsid w:val="005F62B2"/>
    <w:rsid w:val="005F6553"/>
    <w:rsid w:val="005F6670"/>
    <w:rsid w:val="005F66C6"/>
    <w:rsid w:val="005F6D34"/>
    <w:rsid w:val="005F748A"/>
    <w:rsid w:val="005F75F0"/>
    <w:rsid w:val="00600CAC"/>
    <w:rsid w:val="00600EC9"/>
    <w:rsid w:val="0060148B"/>
    <w:rsid w:val="00601B67"/>
    <w:rsid w:val="006020B8"/>
    <w:rsid w:val="0060220B"/>
    <w:rsid w:val="00602565"/>
    <w:rsid w:val="00603AC3"/>
    <w:rsid w:val="00603E54"/>
    <w:rsid w:val="0060490B"/>
    <w:rsid w:val="006050C6"/>
    <w:rsid w:val="006052F4"/>
    <w:rsid w:val="00605966"/>
    <w:rsid w:val="00605E2E"/>
    <w:rsid w:val="00606278"/>
    <w:rsid w:val="00606557"/>
    <w:rsid w:val="0060655C"/>
    <w:rsid w:val="00606AD5"/>
    <w:rsid w:val="00607C7D"/>
    <w:rsid w:val="00607F8F"/>
    <w:rsid w:val="00610814"/>
    <w:rsid w:val="00610D48"/>
    <w:rsid w:val="006124D8"/>
    <w:rsid w:val="006126AB"/>
    <w:rsid w:val="006128BC"/>
    <w:rsid w:val="0061294B"/>
    <w:rsid w:val="0061299A"/>
    <w:rsid w:val="00613266"/>
    <w:rsid w:val="00613ADC"/>
    <w:rsid w:val="00614358"/>
    <w:rsid w:val="00614614"/>
    <w:rsid w:val="0061488C"/>
    <w:rsid w:val="00614F9B"/>
    <w:rsid w:val="00617221"/>
    <w:rsid w:val="00617ADA"/>
    <w:rsid w:val="00617CDC"/>
    <w:rsid w:val="00620D3D"/>
    <w:rsid w:val="00621692"/>
    <w:rsid w:val="00622202"/>
    <w:rsid w:val="006227EB"/>
    <w:rsid w:val="00622E5C"/>
    <w:rsid w:val="00623143"/>
    <w:rsid w:val="006233CF"/>
    <w:rsid w:val="0062355C"/>
    <w:rsid w:val="006239DA"/>
    <w:rsid w:val="006242BA"/>
    <w:rsid w:val="006246CC"/>
    <w:rsid w:val="00624A20"/>
    <w:rsid w:val="00624F18"/>
    <w:rsid w:val="00624FB5"/>
    <w:rsid w:val="0062549C"/>
    <w:rsid w:val="00625570"/>
    <w:rsid w:val="006255D7"/>
    <w:rsid w:val="00625896"/>
    <w:rsid w:val="00625E4F"/>
    <w:rsid w:val="00626307"/>
    <w:rsid w:val="00626A77"/>
    <w:rsid w:val="0062728E"/>
    <w:rsid w:val="00630020"/>
    <w:rsid w:val="0063049D"/>
    <w:rsid w:val="00630735"/>
    <w:rsid w:val="00630806"/>
    <w:rsid w:val="0063165C"/>
    <w:rsid w:val="006317B6"/>
    <w:rsid w:val="0063189D"/>
    <w:rsid w:val="0063191A"/>
    <w:rsid w:val="00632DF0"/>
    <w:rsid w:val="00633196"/>
    <w:rsid w:val="006337CA"/>
    <w:rsid w:val="006344D4"/>
    <w:rsid w:val="00634559"/>
    <w:rsid w:val="0063516F"/>
    <w:rsid w:val="006357F5"/>
    <w:rsid w:val="00635F39"/>
    <w:rsid w:val="00636258"/>
    <w:rsid w:val="00636852"/>
    <w:rsid w:val="006369F3"/>
    <w:rsid w:val="00636A8F"/>
    <w:rsid w:val="0063736C"/>
    <w:rsid w:val="00641A12"/>
    <w:rsid w:val="00641DC8"/>
    <w:rsid w:val="00641EA7"/>
    <w:rsid w:val="00642760"/>
    <w:rsid w:val="00642B20"/>
    <w:rsid w:val="00642D93"/>
    <w:rsid w:val="006436AE"/>
    <w:rsid w:val="00644D08"/>
    <w:rsid w:val="00644D13"/>
    <w:rsid w:val="006454EE"/>
    <w:rsid w:val="00645709"/>
    <w:rsid w:val="006469EA"/>
    <w:rsid w:val="00646C53"/>
    <w:rsid w:val="0064717A"/>
    <w:rsid w:val="00647DAD"/>
    <w:rsid w:val="00650A68"/>
    <w:rsid w:val="00650D48"/>
    <w:rsid w:val="00650FF6"/>
    <w:rsid w:val="00651C7A"/>
    <w:rsid w:val="00651DBB"/>
    <w:rsid w:val="00652501"/>
    <w:rsid w:val="006527DB"/>
    <w:rsid w:val="00653164"/>
    <w:rsid w:val="006534A6"/>
    <w:rsid w:val="00653697"/>
    <w:rsid w:val="00653ADB"/>
    <w:rsid w:val="00653FE2"/>
    <w:rsid w:val="0065450D"/>
    <w:rsid w:val="006546D7"/>
    <w:rsid w:val="00654D75"/>
    <w:rsid w:val="00655541"/>
    <w:rsid w:val="006571FB"/>
    <w:rsid w:val="00660A79"/>
    <w:rsid w:val="00660DCB"/>
    <w:rsid w:val="00660ED9"/>
    <w:rsid w:val="00660FC6"/>
    <w:rsid w:val="006617C0"/>
    <w:rsid w:val="00661898"/>
    <w:rsid w:val="006629FF"/>
    <w:rsid w:val="00662C7B"/>
    <w:rsid w:val="00662EAD"/>
    <w:rsid w:val="00663090"/>
    <w:rsid w:val="00663095"/>
    <w:rsid w:val="00663B2B"/>
    <w:rsid w:val="00663B34"/>
    <w:rsid w:val="00663EE2"/>
    <w:rsid w:val="006640F5"/>
    <w:rsid w:val="00664133"/>
    <w:rsid w:val="006641B3"/>
    <w:rsid w:val="0066446D"/>
    <w:rsid w:val="00665664"/>
    <w:rsid w:val="00665C44"/>
    <w:rsid w:val="006664DE"/>
    <w:rsid w:val="0066678C"/>
    <w:rsid w:val="00666803"/>
    <w:rsid w:val="00666A5C"/>
    <w:rsid w:val="00666B20"/>
    <w:rsid w:val="00666BC4"/>
    <w:rsid w:val="00666C18"/>
    <w:rsid w:val="00666F5C"/>
    <w:rsid w:val="00670147"/>
    <w:rsid w:val="00670C73"/>
    <w:rsid w:val="00670D83"/>
    <w:rsid w:val="00670F3B"/>
    <w:rsid w:val="00671772"/>
    <w:rsid w:val="00671D1D"/>
    <w:rsid w:val="00672657"/>
    <w:rsid w:val="00672A38"/>
    <w:rsid w:val="00672CF3"/>
    <w:rsid w:val="0067329E"/>
    <w:rsid w:val="00673726"/>
    <w:rsid w:val="006737AB"/>
    <w:rsid w:val="00674E63"/>
    <w:rsid w:val="00674EFD"/>
    <w:rsid w:val="006758C0"/>
    <w:rsid w:val="00675E39"/>
    <w:rsid w:val="006760D6"/>
    <w:rsid w:val="006765D8"/>
    <w:rsid w:val="00676B32"/>
    <w:rsid w:val="006776A3"/>
    <w:rsid w:val="00677851"/>
    <w:rsid w:val="00677939"/>
    <w:rsid w:val="00680C46"/>
    <w:rsid w:val="006823D8"/>
    <w:rsid w:val="00682DBB"/>
    <w:rsid w:val="00683433"/>
    <w:rsid w:val="00683E7D"/>
    <w:rsid w:val="00684BA6"/>
    <w:rsid w:val="00685479"/>
    <w:rsid w:val="006855D8"/>
    <w:rsid w:val="00685BD5"/>
    <w:rsid w:val="00685FCB"/>
    <w:rsid w:val="00686372"/>
    <w:rsid w:val="00686554"/>
    <w:rsid w:val="00686C7B"/>
    <w:rsid w:val="00687283"/>
    <w:rsid w:val="006902E5"/>
    <w:rsid w:val="0069050A"/>
    <w:rsid w:val="00690806"/>
    <w:rsid w:val="006912CE"/>
    <w:rsid w:val="00691A6C"/>
    <w:rsid w:val="00691A9C"/>
    <w:rsid w:val="00691CBC"/>
    <w:rsid w:val="006922D1"/>
    <w:rsid w:val="0069234D"/>
    <w:rsid w:val="00692A41"/>
    <w:rsid w:val="00693BDD"/>
    <w:rsid w:val="00693D2D"/>
    <w:rsid w:val="00694537"/>
    <w:rsid w:val="00694686"/>
    <w:rsid w:val="00694837"/>
    <w:rsid w:val="00694852"/>
    <w:rsid w:val="00694C63"/>
    <w:rsid w:val="00695064"/>
    <w:rsid w:val="00696411"/>
    <w:rsid w:val="0069773F"/>
    <w:rsid w:val="00697B06"/>
    <w:rsid w:val="006A044B"/>
    <w:rsid w:val="006A1A31"/>
    <w:rsid w:val="006A1AE0"/>
    <w:rsid w:val="006A1F36"/>
    <w:rsid w:val="006A2321"/>
    <w:rsid w:val="006A2989"/>
    <w:rsid w:val="006A3A70"/>
    <w:rsid w:val="006A41D1"/>
    <w:rsid w:val="006A4886"/>
    <w:rsid w:val="006A48DB"/>
    <w:rsid w:val="006A4A0F"/>
    <w:rsid w:val="006A5FB2"/>
    <w:rsid w:val="006A60DB"/>
    <w:rsid w:val="006A6575"/>
    <w:rsid w:val="006A6813"/>
    <w:rsid w:val="006A724A"/>
    <w:rsid w:val="006A7D70"/>
    <w:rsid w:val="006B0046"/>
    <w:rsid w:val="006B0707"/>
    <w:rsid w:val="006B0969"/>
    <w:rsid w:val="006B0B36"/>
    <w:rsid w:val="006B0C98"/>
    <w:rsid w:val="006B18C9"/>
    <w:rsid w:val="006B31F0"/>
    <w:rsid w:val="006B3B0A"/>
    <w:rsid w:val="006B3DF7"/>
    <w:rsid w:val="006B3F4D"/>
    <w:rsid w:val="006B40B3"/>
    <w:rsid w:val="006B4192"/>
    <w:rsid w:val="006B4895"/>
    <w:rsid w:val="006B505C"/>
    <w:rsid w:val="006B549F"/>
    <w:rsid w:val="006B5979"/>
    <w:rsid w:val="006B605C"/>
    <w:rsid w:val="006B613B"/>
    <w:rsid w:val="006B647D"/>
    <w:rsid w:val="006B6646"/>
    <w:rsid w:val="006B70B9"/>
    <w:rsid w:val="006B7E7A"/>
    <w:rsid w:val="006C07D0"/>
    <w:rsid w:val="006C0A92"/>
    <w:rsid w:val="006C1302"/>
    <w:rsid w:val="006C178B"/>
    <w:rsid w:val="006C194F"/>
    <w:rsid w:val="006C1E62"/>
    <w:rsid w:val="006C2AEC"/>
    <w:rsid w:val="006C3ACF"/>
    <w:rsid w:val="006C3B2F"/>
    <w:rsid w:val="006C47B5"/>
    <w:rsid w:val="006C4907"/>
    <w:rsid w:val="006C522C"/>
    <w:rsid w:val="006C69EC"/>
    <w:rsid w:val="006C6EAD"/>
    <w:rsid w:val="006C6FB2"/>
    <w:rsid w:val="006C70B5"/>
    <w:rsid w:val="006C7878"/>
    <w:rsid w:val="006C7F4B"/>
    <w:rsid w:val="006D06AF"/>
    <w:rsid w:val="006D0CAD"/>
    <w:rsid w:val="006D1311"/>
    <w:rsid w:val="006D15CF"/>
    <w:rsid w:val="006D19FE"/>
    <w:rsid w:val="006D1FAF"/>
    <w:rsid w:val="006D2729"/>
    <w:rsid w:val="006D28C1"/>
    <w:rsid w:val="006D3C22"/>
    <w:rsid w:val="006D3CD6"/>
    <w:rsid w:val="006D4337"/>
    <w:rsid w:val="006D441F"/>
    <w:rsid w:val="006D5731"/>
    <w:rsid w:val="006D5ECE"/>
    <w:rsid w:val="006D5FF2"/>
    <w:rsid w:val="006D609E"/>
    <w:rsid w:val="006D61DA"/>
    <w:rsid w:val="006D6A76"/>
    <w:rsid w:val="006D6C56"/>
    <w:rsid w:val="006E0639"/>
    <w:rsid w:val="006E064B"/>
    <w:rsid w:val="006E0F5A"/>
    <w:rsid w:val="006E1226"/>
    <w:rsid w:val="006E1907"/>
    <w:rsid w:val="006E29E3"/>
    <w:rsid w:val="006E457C"/>
    <w:rsid w:val="006E4F3B"/>
    <w:rsid w:val="006E4F44"/>
    <w:rsid w:val="006E5987"/>
    <w:rsid w:val="006E608C"/>
    <w:rsid w:val="006E6497"/>
    <w:rsid w:val="006E753C"/>
    <w:rsid w:val="006E77B6"/>
    <w:rsid w:val="006F03DD"/>
    <w:rsid w:val="006F04A5"/>
    <w:rsid w:val="006F05B6"/>
    <w:rsid w:val="006F06F3"/>
    <w:rsid w:val="006F073C"/>
    <w:rsid w:val="006F19F0"/>
    <w:rsid w:val="006F1AA4"/>
    <w:rsid w:val="006F27BA"/>
    <w:rsid w:val="006F2954"/>
    <w:rsid w:val="006F2ACD"/>
    <w:rsid w:val="006F3C4F"/>
    <w:rsid w:val="006F3CC9"/>
    <w:rsid w:val="006F42F1"/>
    <w:rsid w:val="006F4BD5"/>
    <w:rsid w:val="006F5A7C"/>
    <w:rsid w:val="006F5E1B"/>
    <w:rsid w:val="006F61B5"/>
    <w:rsid w:val="006F6CF8"/>
    <w:rsid w:val="006F73CE"/>
    <w:rsid w:val="006F7445"/>
    <w:rsid w:val="006F792E"/>
    <w:rsid w:val="006F7C19"/>
    <w:rsid w:val="007004A3"/>
    <w:rsid w:val="00700508"/>
    <w:rsid w:val="00701959"/>
    <w:rsid w:val="00703011"/>
    <w:rsid w:val="00704146"/>
    <w:rsid w:val="0070533B"/>
    <w:rsid w:val="00705688"/>
    <w:rsid w:val="00705D67"/>
    <w:rsid w:val="007066AD"/>
    <w:rsid w:val="00706A0D"/>
    <w:rsid w:val="00707616"/>
    <w:rsid w:val="007076A6"/>
    <w:rsid w:val="00707822"/>
    <w:rsid w:val="00707A0E"/>
    <w:rsid w:val="00707BBC"/>
    <w:rsid w:val="00707D04"/>
    <w:rsid w:val="007104D7"/>
    <w:rsid w:val="00710D78"/>
    <w:rsid w:val="00710E60"/>
    <w:rsid w:val="0071140D"/>
    <w:rsid w:val="007115E3"/>
    <w:rsid w:val="007125BE"/>
    <w:rsid w:val="00712BCF"/>
    <w:rsid w:val="00713451"/>
    <w:rsid w:val="00713522"/>
    <w:rsid w:val="00713DEA"/>
    <w:rsid w:val="00714171"/>
    <w:rsid w:val="00714357"/>
    <w:rsid w:val="0071542B"/>
    <w:rsid w:val="00715C28"/>
    <w:rsid w:val="00716760"/>
    <w:rsid w:val="0071683B"/>
    <w:rsid w:val="00716D1B"/>
    <w:rsid w:val="00716FA6"/>
    <w:rsid w:val="0071721C"/>
    <w:rsid w:val="007177FA"/>
    <w:rsid w:val="00717A50"/>
    <w:rsid w:val="00717F5E"/>
    <w:rsid w:val="0072020B"/>
    <w:rsid w:val="007202FC"/>
    <w:rsid w:val="007203D5"/>
    <w:rsid w:val="007221E4"/>
    <w:rsid w:val="00722CEF"/>
    <w:rsid w:val="007231E6"/>
    <w:rsid w:val="0072376F"/>
    <w:rsid w:val="00723F43"/>
    <w:rsid w:val="007243AB"/>
    <w:rsid w:val="00724442"/>
    <w:rsid w:val="007250F5"/>
    <w:rsid w:val="007252EC"/>
    <w:rsid w:val="007258B3"/>
    <w:rsid w:val="00725A58"/>
    <w:rsid w:val="007266CB"/>
    <w:rsid w:val="0072694B"/>
    <w:rsid w:val="00726CF7"/>
    <w:rsid w:val="00726DE5"/>
    <w:rsid w:val="00730493"/>
    <w:rsid w:val="00731328"/>
    <w:rsid w:val="00731B22"/>
    <w:rsid w:val="00731C89"/>
    <w:rsid w:val="00732FFC"/>
    <w:rsid w:val="00733271"/>
    <w:rsid w:val="00734CE7"/>
    <w:rsid w:val="00735F5B"/>
    <w:rsid w:val="00736399"/>
    <w:rsid w:val="007363B1"/>
    <w:rsid w:val="0073652A"/>
    <w:rsid w:val="007368D5"/>
    <w:rsid w:val="00737B12"/>
    <w:rsid w:val="00740FE9"/>
    <w:rsid w:val="00741317"/>
    <w:rsid w:val="00741D60"/>
    <w:rsid w:val="00741E73"/>
    <w:rsid w:val="007421C7"/>
    <w:rsid w:val="00742A47"/>
    <w:rsid w:val="00742DD9"/>
    <w:rsid w:val="00744007"/>
    <w:rsid w:val="0074416A"/>
    <w:rsid w:val="007441B1"/>
    <w:rsid w:val="00745258"/>
    <w:rsid w:val="00745A3E"/>
    <w:rsid w:val="00745C0F"/>
    <w:rsid w:val="00746E2D"/>
    <w:rsid w:val="00750055"/>
    <w:rsid w:val="0075079A"/>
    <w:rsid w:val="00750B13"/>
    <w:rsid w:val="007517AF"/>
    <w:rsid w:val="007517ED"/>
    <w:rsid w:val="00752AB6"/>
    <w:rsid w:val="0075377D"/>
    <w:rsid w:val="007540F0"/>
    <w:rsid w:val="0075501E"/>
    <w:rsid w:val="0075544A"/>
    <w:rsid w:val="007559C3"/>
    <w:rsid w:val="007560D5"/>
    <w:rsid w:val="007561FA"/>
    <w:rsid w:val="00756610"/>
    <w:rsid w:val="00756E05"/>
    <w:rsid w:val="00757D2A"/>
    <w:rsid w:val="00757E43"/>
    <w:rsid w:val="007603BE"/>
    <w:rsid w:val="00760674"/>
    <w:rsid w:val="00760AF2"/>
    <w:rsid w:val="00760BA9"/>
    <w:rsid w:val="00761425"/>
    <w:rsid w:val="00761502"/>
    <w:rsid w:val="0076178D"/>
    <w:rsid w:val="00761E27"/>
    <w:rsid w:val="00762B8D"/>
    <w:rsid w:val="0076338C"/>
    <w:rsid w:val="007637F8"/>
    <w:rsid w:val="00763A99"/>
    <w:rsid w:val="00763D3A"/>
    <w:rsid w:val="00763E33"/>
    <w:rsid w:val="0076411C"/>
    <w:rsid w:val="00764340"/>
    <w:rsid w:val="007648E5"/>
    <w:rsid w:val="00765632"/>
    <w:rsid w:val="00765D35"/>
    <w:rsid w:val="00766652"/>
    <w:rsid w:val="00767800"/>
    <w:rsid w:val="00770C2D"/>
    <w:rsid w:val="0077102D"/>
    <w:rsid w:val="00771BE8"/>
    <w:rsid w:val="00771EDC"/>
    <w:rsid w:val="00772466"/>
    <w:rsid w:val="00772953"/>
    <w:rsid w:val="00772F9D"/>
    <w:rsid w:val="00773257"/>
    <w:rsid w:val="007740D3"/>
    <w:rsid w:val="007745C6"/>
    <w:rsid w:val="0077466E"/>
    <w:rsid w:val="00774D73"/>
    <w:rsid w:val="00776142"/>
    <w:rsid w:val="00777460"/>
    <w:rsid w:val="00777DAC"/>
    <w:rsid w:val="00780202"/>
    <w:rsid w:val="00780729"/>
    <w:rsid w:val="0078085D"/>
    <w:rsid w:val="007813C1"/>
    <w:rsid w:val="007823AE"/>
    <w:rsid w:val="00782528"/>
    <w:rsid w:val="007826C2"/>
    <w:rsid w:val="00782A74"/>
    <w:rsid w:val="0078446D"/>
    <w:rsid w:val="00784BB5"/>
    <w:rsid w:val="0078565C"/>
    <w:rsid w:val="00785EA7"/>
    <w:rsid w:val="00786783"/>
    <w:rsid w:val="00786B47"/>
    <w:rsid w:val="00786EA7"/>
    <w:rsid w:val="00786EF1"/>
    <w:rsid w:val="00787298"/>
    <w:rsid w:val="00787872"/>
    <w:rsid w:val="007879A6"/>
    <w:rsid w:val="00787A94"/>
    <w:rsid w:val="00787B10"/>
    <w:rsid w:val="00790039"/>
    <w:rsid w:val="007901A1"/>
    <w:rsid w:val="00790EE4"/>
    <w:rsid w:val="00791F35"/>
    <w:rsid w:val="007921BC"/>
    <w:rsid w:val="00792464"/>
    <w:rsid w:val="007924DC"/>
    <w:rsid w:val="00792AF9"/>
    <w:rsid w:val="007931F0"/>
    <w:rsid w:val="00793E4B"/>
    <w:rsid w:val="00794D3D"/>
    <w:rsid w:val="00794DA7"/>
    <w:rsid w:val="00795169"/>
    <w:rsid w:val="007956D2"/>
    <w:rsid w:val="00795895"/>
    <w:rsid w:val="0079590A"/>
    <w:rsid w:val="00796172"/>
    <w:rsid w:val="00796491"/>
    <w:rsid w:val="007965AF"/>
    <w:rsid w:val="00796B0F"/>
    <w:rsid w:val="00796EFE"/>
    <w:rsid w:val="00796FE2"/>
    <w:rsid w:val="0079727E"/>
    <w:rsid w:val="00797BD0"/>
    <w:rsid w:val="007A0019"/>
    <w:rsid w:val="007A0E29"/>
    <w:rsid w:val="007A1100"/>
    <w:rsid w:val="007A1330"/>
    <w:rsid w:val="007A16A8"/>
    <w:rsid w:val="007A1A57"/>
    <w:rsid w:val="007A1BF8"/>
    <w:rsid w:val="007A1F30"/>
    <w:rsid w:val="007A22FF"/>
    <w:rsid w:val="007A2350"/>
    <w:rsid w:val="007A32CB"/>
    <w:rsid w:val="007A37DB"/>
    <w:rsid w:val="007A3E0B"/>
    <w:rsid w:val="007A41A3"/>
    <w:rsid w:val="007A4621"/>
    <w:rsid w:val="007A4CD8"/>
    <w:rsid w:val="007A52E0"/>
    <w:rsid w:val="007A534A"/>
    <w:rsid w:val="007A53B8"/>
    <w:rsid w:val="007A5481"/>
    <w:rsid w:val="007A7F75"/>
    <w:rsid w:val="007B175F"/>
    <w:rsid w:val="007B184F"/>
    <w:rsid w:val="007B27FE"/>
    <w:rsid w:val="007B2A52"/>
    <w:rsid w:val="007B3191"/>
    <w:rsid w:val="007B3E41"/>
    <w:rsid w:val="007B4170"/>
    <w:rsid w:val="007B4C74"/>
    <w:rsid w:val="007B5689"/>
    <w:rsid w:val="007B5EDA"/>
    <w:rsid w:val="007B66C0"/>
    <w:rsid w:val="007B696C"/>
    <w:rsid w:val="007B710B"/>
    <w:rsid w:val="007B7217"/>
    <w:rsid w:val="007B72F2"/>
    <w:rsid w:val="007C0AAB"/>
    <w:rsid w:val="007C0C67"/>
    <w:rsid w:val="007C1126"/>
    <w:rsid w:val="007C1B9D"/>
    <w:rsid w:val="007C2383"/>
    <w:rsid w:val="007C2620"/>
    <w:rsid w:val="007C3AD4"/>
    <w:rsid w:val="007C40E4"/>
    <w:rsid w:val="007C4308"/>
    <w:rsid w:val="007C484F"/>
    <w:rsid w:val="007C5800"/>
    <w:rsid w:val="007C622D"/>
    <w:rsid w:val="007C6C35"/>
    <w:rsid w:val="007C7BFA"/>
    <w:rsid w:val="007C7C30"/>
    <w:rsid w:val="007C7D6A"/>
    <w:rsid w:val="007C7E5F"/>
    <w:rsid w:val="007D00CC"/>
    <w:rsid w:val="007D0904"/>
    <w:rsid w:val="007D0B6C"/>
    <w:rsid w:val="007D0BBE"/>
    <w:rsid w:val="007D130A"/>
    <w:rsid w:val="007D1341"/>
    <w:rsid w:val="007D181A"/>
    <w:rsid w:val="007D2E0D"/>
    <w:rsid w:val="007D3828"/>
    <w:rsid w:val="007D4060"/>
    <w:rsid w:val="007D478E"/>
    <w:rsid w:val="007D4C89"/>
    <w:rsid w:val="007D56FA"/>
    <w:rsid w:val="007D579C"/>
    <w:rsid w:val="007D5D26"/>
    <w:rsid w:val="007D6490"/>
    <w:rsid w:val="007D66D7"/>
    <w:rsid w:val="007D6912"/>
    <w:rsid w:val="007D794A"/>
    <w:rsid w:val="007D7C91"/>
    <w:rsid w:val="007D7DEE"/>
    <w:rsid w:val="007E056C"/>
    <w:rsid w:val="007E0683"/>
    <w:rsid w:val="007E0A94"/>
    <w:rsid w:val="007E0AF9"/>
    <w:rsid w:val="007E0D2F"/>
    <w:rsid w:val="007E1704"/>
    <w:rsid w:val="007E24B1"/>
    <w:rsid w:val="007E2B2C"/>
    <w:rsid w:val="007E3A30"/>
    <w:rsid w:val="007E416D"/>
    <w:rsid w:val="007E45AF"/>
    <w:rsid w:val="007E5447"/>
    <w:rsid w:val="007E59AD"/>
    <w:rsid w:val="007E6282"/>
    <w:rsid w:val="007E63A7"/>
    <w:rsid w:val="007E6533"/>
    <w:rsid w:val="007E6663"/>
    <w:rsid w:val="007E68B7"/>
    <w:rsid w:val="007E6CC1"/>
    <w:rsid w:val="007E7326"/>
    <w:rsid w:val="007F000F"/>
    <w:rsid w:val="007F02FB"/>
    <w:rsid w:val="007F1349"/>
    <w:rsid w:val="007F167F"/>
    <w:rsid w:val="007F1DA9"/>
    <w:rsid w:val="007F35EF"/>
    <w:rsid w:val="007F3C9A"/>
    <w:rsid w:val="007F41F1"/>
    <w:rsid w:val="007F47AF"/>
    <w:rsid w:val="007F4AB4"/>
    <w:rsid w:val="007F5008"/>
    <w:rsid w:val="007F50DF"/>
    <w:rsid w:val="007F5353"/>
    <w:rsid w:val="007F541A"/>
    <w:rsid w:val="007F5A55"/>
    <w:rsid w:val="007F60F0"/>
    <w:rsid w:val="007F6645"/>
    <w:rsid w:val="007F7200"/>
    <w:rsid w:val="007F7769"/>
    <w:rsid w:val="007F7978"/>
    <w:rsid w:val="00800644"/>
    <w:rsid w:val="00800861"/>
    <w:rsid w:val="00800939"/>
    <w:rsid w:val="0080097F"/>
    <w:rsid w:val="00801BB9"/>
    <w:rsid w:val="008029C4"/>
    <w:rsid w:val="00802E87"/>
    <w:rsid w:val="008036B5"/>
    <w:rsid w:val="00804215"/>
    <w:rsid w:val="00804690"/>
    <w:rsid w:val="00804D4F"/>
    <w:rsid w:val="0080530A"/>
    <w:rsid w:val="00806447"/>
    <w:rsid w:val="00806B29"/>
    <w:rsid w:val="00806DC1"/>
    <w:rsid w:val="00806FDD"/>
    <w:rsid w:val="00807866"/>
    <w:rsid w:val="008102EE"/>
    <w:rsid w:val="008103BE"/>
    <w:rsid w:val="00810BE3"/>
    <w:rsid w:val="00810D6A"/>
    <w:rsid w:val="0081141E"/>
    <w:rsid w:val="0081173E"/>
    <w:rsid w:val="00812153"/>
    <w:rsid w:val="00812459"/>
    <w:rsid w:val="008134D2"/>
    <w:rsid w:val="008145AA"/>
    <w:rsid w:val="00814D23"/>
    <w:rsid w:val="00814F24"/>
    <w:rsid w:val="008150C4"/>
    <w:rsid w:val="008151DD"/>
    <w:rsid w:val="00815910"/>
    <w:rsid w:val="00815B0F"/>
    <w:rsid w:val="008162A2"/>
    <w:rsid w:val="00816793"/>
    <w:rsid w:val="00816924"/>
    <w:rsid w:val="00817573"/>
    <w:rsid w:val="008175F6"/>
    <w:rsid w:val="00820181"/>
    <w:rsid w:val="0082018E"/>
    <w:rsid w:val="008210EE"/>
    <w:rsid w:val="00821276"/>
    <w:rsid w:val="0082135F"/>
    <w:rsid w:val="0082183B"/>
    <w:rsid w:val="00821979"/>
    <w:rsid w:val="0082209C"/>
    <w:rsid w:val="00822CE2"/>
    <w:rsid w:val="00822DCB"/>
    <w:rsid w:val="00822E89"/>
    <w:rsid w:val="00822E9E"/>
    <w:rsid w:val="00823B82"/>
    <w:rsid w:val="0082428B"/>
    <w:rsid w:val="00824551"/>
    <w:rsid w:val="008247AD"/>
    <w:rsid w:val="00825184"/>
    <w:rsid w:val="008263D6"/>
    <w:rsid w:val="008266D4"/>
    <w:rsid w:val="00826CE9"/>
    <w:rsid w:val="00827CBC"/>
    <w:rsid w:val="0083081D"/>
    <w:rsid w:val="00830EF7"/>
    <w:rsid w:val="00831E94"/>
    <w:rsid w:val="00832254"/>
    <w:rsid w:val="00832716"/>
    <w:rsid w:val="008328F3"/>
    <w:rsid w:val="0083399C"/>
    <w:rsid w:val="00833CE3"/>
    <w:rsid w:val="00833D25"/>
    <w:rsid w:val="0083408A"/>
    <w:rsid w:val="00834AFD"/>
    <w:rsid w:val="00834DBD"/>
    <w:rsid w:val="00834DCB"/>
    <w:rsid w:val="00834E05"/>
    <w:rsid w:val="00835BF9"/>
    <w:rsid w:val="008361F8"/>
    <w:rsid w:val="0083632E"/>
    <w:rsid w:val="008364BC"/>
    <w:rsid w:val="0083689F"/>
    <w:rsid w:val="008371EB"/>
    <w:rsid w:val="00837E47"/>
    <w:rsid w:val="00837E4A"/>
    <w:rsid w:val="00840767"/>
    <w:rsid w:val="0084239B"/>
    <w:rsid w:val="008429E2"/>
    <w:rsid w:val="00842F8D"/>
    <w:rsid w:val="00843503"/>
    <w:rsid w:val="00843610"/>
    <w:rsid w:val="008436F9"/>
    <w:rsid w:val="00843C6D"/>
    <w:rsid w:val="00843E63"/>
    <w:rsid w:val="00844163"/>
    <w:rsid w:val="008443AA"/>
    <w:rsid w:val="00844B0B"/>
    <w:rsid w:val="00844D89"/>
    <w:rsid w:val="00845B8A"/>
    <w:rsid w:val="00845F4A"/>
    <w:rsid w:val="00846C2A"/>
    <w:rsid w:val="00847F6E"/>
    <w:rsid w:val="0085042A"/>
    <w:rsid w:val="00850933"/>
    <w:rsid w:val="00850CF2"/>
    <w:rsid w:val="00850E00"/>
    <w:rsid w:val="00851615"/>
    <w:rsid w:val="00851CA1"/>
    <w:rsid w:val="00852146"/>
    <w:rsid w:val="00852B76"/>
    <w:rsid w:val="00853212"/>
    <w:rsid w:val="0085370B"/>
    <w:rsid w:val="00854817"/>
    <w:rsid w:val="00854FBF"/>
    <w:rsid w:val="00855443"/>
    <w:rsid w:val="0085551E"/>
    <w:rsid w:val="008559CB"/>
    <w:rsid w:val="00855EF7"/>
    <w:rsid w:val="00856C2F"/>
    <w:rsid w:val="00860041"/>
    <w:rsid w:val="0086106A"/>
    <w:rsid w:val="00861182"/>
    <w:rsid w:val="008626B2"/>
    <w:rsid w:val="0086350F"/>
    <w:rsid w:val="0086374F"/>
    <w:rsid w:val="00863AEE"/>
    <w:rsid w:val="00864076"/>
    <w:rsid w:val="008640A7"/>
    <w:rsid w:val="008643D1"/>
    <w:rsid w:val="00864583"/>
    <w:rsid w:val="00864598"/>
    <w:rsid w:val="0086481B"/>
    <w:rsid w:val="00864CFA"/>
    <w:rsid w:val="00864DD7"/>
    <w:rsid w:val="0086579E"/>
    <w:rsid w:val="00866569"/>
    <w:rsid w:val="00866A11"/>
    <w:rsid w:val="00866DD6"/>
    <w:rsid w:val="008672C5"/>
    <w:rsid w:val="00867CDB"/>
    <w:rsid w:val="00870ABC"/>
    <w:rsid w:val="00870BFC"/>
    <w:rsid w:val="00870C3F"/>
    <w:rsid w:val="00870D26"/>
    <w:rsid w:val="00871086"/>
    <w:rsid w:val="008710C9"/>
    <w:rsid w:val="00871231"/>
    <w:rsid w:val="008712D1"/>
    <w:rsid w:val="00871A15"/>
    <w:rsid w:val="0087219F"/>
    <w:rsid w:val="00872D14"/>
    <w:rsid w:val="00872D71"/>
    <w:rsid w:val="0087399E"/>
    <w:rsid w:val="00873A26"/>
    <w:rsid w:val="00873B48"/>
    <w:rsid w:val="00873EC4"/>
    <w:rsid w:val="0087445B"/>
    <w:rsid w:val="00874608"/>
    <w:rsid w:val="0087526B"/>
    <w:rsid w:val="00875CDA"/>
    <w:rsid w:val="00875EA6"/>
    <w:rsid w:val="00876548"/>
    <w:rsid w:val="0087674F"/>
    <w:rsid w:val="00876CA3"/>
    <w:rsid w:val="00876F9D"/>
    <w:rsid w:val="008772F4"/>
    <w:rsid w:val="0088003D"/>
    <w:rsid w:val="008801D7"/>
    <w:rsid w:val="008804A9"/>
    <w:rsid w:val="008808B1"/>
    <w:rsid w:val="00880B5D"/>
    <w:rsid w:val="00880C6E"/>
    <w:rsid w:val="008816E3"/>
    <w:rsid w:val="00881AE0"/>
    <w:rsid w:val="008823FA"/>
    <w:rsid w:val="00884243"/>
    <w:rsid w:val="00884244"/>
    <w:rsid w:val="00884B26"/>
    <w:rsid w:val="008850D0"/>
    <w:rsid w:val="00886EF7"/>
    <w:rsid w:val="00887859"/>
    <w:rsid w:val="008878F7"/>
    <w:rsid w:val="00887D15"/>
    <w:rsid w:val="008902C2"/>
    <w:rsid w:val="00890525"/>
    <w:rsid w:val="008919CD"/>
    <w:rsid w:val="00891D00"/>
    <w:rsid w:val="00892EB7"/>
    <w:rsid w:val="0089307B"/>
    <w:rsid w:val="008945BF"/>
    <w:rsid w:val="00894CC3"/>
    <w:rsid w:val="00894E55"/>
    <w:rsid w:val="008955A2"/>
    <w:rsid w:val="00895D4A"/>
    <w:rsid w:val="00896874"/>
    <w:rsid w:val="00897564"/>
    <w:rsid w:val="008A0263"/>
    <w:rsid w:val="008A0ECA"/>
    <w:rsid w:val="008A132B"/>
    <w:rsid w:val="008A1795"/>
    <w:rsid w:val="008A17CC"/>
    <w:rsid w:val="008A1BAC"/>
    <w:rsid w:val="008A1BF7"/>
    <w:rsid w:val="008A1F9A"/>
    <w:rsid w:val="008A29FE"/>
    <w:rsid w:val="008A30E1"/>
    <w:rsid w:val="008A36CF"/>
    <w:rsid w:val="008A4257"/>
    <w:rsid w:val="008A461A"/>
    <w:rsid w:val="008A4B2A"/>
    <w:rsid w:val="008A5243"/>
    <w:rsid w:val="008A54C4"/>
    <w:rsid w:val="008A566D"/>
    <w:rsid w:val="008A569D"/>
    <w:rsid w:val="008A57A8"/>
    <w:rsid w:val="008A6414"/>
    <w:rsid w:val="008A68E9"/>
    <w:rsid w:val="008A69F0"/>
    <w:rsid w:val="008A7FEB"/>
    <w:rsid w:val="008B024D"/>
    <w:rsid w:val="008B0286"/>
    <w:rsid w:val="008B12E9"/>
    <w:rsid w:val="008B17A9"/>
    <w:rsid w:val="008B272E"/>
    <w:rsid w:val="008B2C52"/>
    <w:rsid w:val="008B36BB"/>
    <w:rsid w:val="008B3FC9"/>
    <w:rsid w:val="008B43BC"/>
    <w:rsid w:val="008B507B"/>
    <w:rsid w:val="008B5C53"/>
    <w:rsid w:val="008B5C83"/>
    <w:rsid w:val="008B6D0F"/>
    <w:rsid w:val="008B7709"/>
    <w:rsid w:val="008B7F84"/>
    <w:rsid w:val="008B7FB9"/>
    <w:rsid w:val="008C0309"/>
    <w:rsid w:val="008C0F96"/>
    <w:rsid w:val="008C10FE"/>
    <w:rsid w:val="008C14B1"/>
    <w:rsid w:val="008C1B57"/>
    <w:rsid w:val="008C1B9B"/>
    <w:rsid w:val="008C217A"/>
    <w:rsid w:val="008C238D"/>
    <w:rsid w:val="008C2944"/>
    <w:rsid w:val="008C2C11"/>
    <w:rsid w:val="008C376E"/>
    <w:rsid w:val="008C41A2"/>
    <w:rsid w:val="008C466B"/>
    <w:rsid w:val="008C4950"/>
    <w:rsid w:val="008C4D63"/>
    <w:rsid w:val="008C4EC5"/>
    <w:rsid w:val="008C551D"/>
    <w:rsid w:val="008C58CB"/>
    <w:rsid w:val="008C5AFA"/>
    <w:rsid w:val="008C5AFE"/>
    <w:rsid w:val="008C624C"/>
    <w:rsid w:val="008C65E3"/>
    <w:rsid w:val="008C66E3"/>
    <w:rsid w:val="008C7042"/>
    <w:rsid w:val="008C7145"/>
    <w:rsid w:val="008C71A0"/>
    <w:rsid w:val="008C7846"/>
    <w:rsid w:val="008D078A"/>
    <w:rsid w:val="008D091D"/>
    <w:rsid w:val="008D0C0A"/>
    <w:rsid w:val="008D1047"/>
    <w:rsid w:val="008D1173"/>
    <w:rsid w:val="008D11D7"/>
    <w:rsid w:val="008D1321"/>
    <w:rsid w:val="008D1851"/>
    <w:rsid w:val="008D2572"/>
    <w:rsid w:val="008D2600"/>
    <w:rsid w:val="008D29F1"/>
    <w:rsid w:val="008D2F4C"/>
    <w:rsid w:val="008D36FF"/>
    <w:rsid w:val="008D38BA"/>
    <w:rsid w:val="008D3BAB"/>
    <w:rsid w:val="008D3F5D"/>
    <w:rsid w:val="008D4A37"/>
    <w:rsid w:val="008D615D"/>
    <w:rsid w:val="008D70E2"/>
    <w:rsid w:val="008D71D4"/>
    <w:rsid w:val="008D783C"/>
    <w:rsid w:val="008E0BFD"/>
    <w:rsid w:val="008E0F79"/>
    <w:rsid w:val="008E12B8"/>
    <w:rsid w:val="008E192E"/>
    <w:rsid w:val="008E1A39"/>
    <w:rsid w:val="008E1A95"/>
    <w:rsid w:val="008E28DF"/>
    <w:rsid w:val="008E2BEC"/>
    <w:rsid w:val="008E314F"/>
    <w:rsid w:val="008E3172"/>
    <w:rsid w:val="008E329A"/>
    <w:rsid w:val="008E397F"/>
    <w:rsid w:val="008E3D7E"/>
    <w:rsid w:val="008E3DC6"/>
    <w:rsid w:val="008E416A"/>
    <w:rsid w:val="008E64A2"/>
    <w:rsid w:val="008E73A9"/>
    <w:rsid w:val="008E766D"/>
    <w:rsid w:val="008F07E9"/>
    <w:rsid w:val="008F143E"/>
    <w:rsid w:val="008F1B60"/>
    <w:rsid w:val="008F2000"/>
    <w:rsid w:val="008F2D3D"/>
    <w:rsid w:val="008F3395"/>
    <w:rsid w:val="008F3422"/>
    <w:rsid w:val="008F4568"/>
    <w:rsid w:val="008F4846"/>
    <w:rsid w:val="008F4BE8"/>
    <w:rsid w:val="008F54C4"/>
    <w:rsid w:val="008F5606"/>
    <w:rsid w:val="008F5901"/>
    <w:rsid w:val="008F5C65"/>
    <w:rsid w:val="008F5E96"/>
    <w:rsid w:val="008F675E"/>
    <w:rsid w:val="008F692F"/>
    <w:rsid w:val="008F695E"/>
    <w:rsid w:val="008F7547"/>
    <w:rsid w:val="008F76F2"/>
    <w:rsid w:val="008F7FF4"/>
    <w:rsid w:val="00900037"/>
    <w:rsid w:val="009007AA"/>
    <w:rsid w:val="009008C8"/>
    <w:rsid w:val="00900DB6"/>
    <w:rsid w:val="00900E0E"/>
    <w:rsid w:val="00900ECC"/>
    <w:rsid w:val="00901136"/>
    <w:rsid w:val="0090121E"/>
    <w:rsid w:val="009012C9"/>
    <w:rsid w:val="00901343"/>
    <w:rsid w:val="009013E5"/>
    <w:rsid w:val="00901915"/>
    <w:rsid w:val="00901FB4"/>
    <w:rsid w:val="00902587"/>
    <w:rsid w:val="0090312E"/>
    <w:rsid w:val="0090323C"/>
    <w:rsid w:val="009035C8"/>
    <w:rsid w:val="00903716"/>
    <w:rsid w:val="00904A7B"/>
    <w:rsid w:val="00904ACD"/>
    <w:rsid w:val="00904BC7"/>
    <w:rsid w:val="00904CFF"/>
    <w:rsid w:val="00904E6E"/>
    <w:rsid w:val="00904FBC"/>
    <w:rsid w:val="009050C2"/>
    <w:rsid w:val="009058F2"/>
    <w:rsid w:val="00905EAB"/>
    <w:rsid w:val="0090698F"/>
    <w:rsid w:val="00906F3B"/>
    <w:rsid w:val="009070EB"/>
    <w:rsid w:val="00907DBB"/>
    <w:rsid w:val="00907DCC"/>
    <w:rsid w:val="009103A5"/>
    <w:rsid w:val="009108EB"/>
    <w:rsid w:val="00910E15"/>
    <w:rsid w:val="00911492"/>
    <w:rsid w:val="00911AE0"/>
    <w:rsid w:val="00913F7B"/>
    <w:rsid w:val="009141F2"/>
    <w:rsid w:val="0091481C"/>
    <w:rsid w:val="00914837"/>
    <w:rsid w:val="009168AE"/>
    <w:rsid w:val="00917CA6"/>
    <w:rsid w:val="00917FB5"/>
    <w:rsid w:val="0092047D"/>
    <w:rsid w:val="009205CD"/>
    <w:rsid w:val="009214CF"/>
    <w:rsid w:val="00921DB7"/>
    <w:rsid w:val="00922152"/>
    <w:rsid w:val="00922421"/>
    <w:rsid w:val="00922A92"/>
    <w:rsid w:val="00922B26"/>
    <w:rsid w:val="00922C78"/>
    <w:rsid w:val="00922D56"/>
    <w:rsid w:val="009236CF"/>
    <w:rsid w:val="0092399C"/>
    <w:rsid w:val="00923A4E"/>
    <w:rsid w:val="009251D5"/>
    <w:rsid w:val="009254A3"/>
    <w:rsid w:val="0092614D"/>
    <w:rsid w:val="0092667B"/>
    <w:rsid w:val="009267F7"/>
    <w:rsid w:val="00926AFC"/>
    <w:rsid w:val="009307FD"/>
    <w:rsid w:val="00930841"/>
    <w:rsid w:val="00930D59"/>
    <w:rsid w:val="00930FC3"/>
    <w:rsid w:val="009312E8"/>
    <w:rsid w:val="00932E26"/>
    <w:rsid w:val="009336C3"/>
    <w:rsid w:val="00933793"/>
    <w:rsid w:val="009337FE"/>
    <w:rsid w:val="009341DD"/>
    <w:rsid w:val="0093479F"/>
    <w:rsid w:val="00934A6C"/>
    <w:rsid w:val="00934EE9"/>
    <w:rsid w:val="009356FD"/>
    <w:rsid w:val="0093604F"/>
    <w:rsid w:val="00936363"/>
    <w:rsid w:val="0093697C"/>
    <w:rsid w:val="0093769B"/>
    <w:rsid w:val="00937E44"/>
    <w:rsid w:val="0094045E"/>
    <w:rsid w:val="00940987"/>
    <w:rsid w:val="00941174"/>
    <w:rsid w:val="0094148D"/>
    <w:rsid w:val="0094183A"/>
    <w:rsid w:val="009422AF"/>
    <w:rsid w:val="00942DA7"/>
    <w:rsid w:val="00943215"/>
    <w:rsid w:val="00943255"/>
    <w:rsid w:val="00943354"/>
    <w:rsid w:val="00943FC7"/>
    <w:rsid w:val="0094434C"/>
    <w:rsid w:val="00944954"/>
    <w:rsid w:val="0094510A"/>
    <w:rsid w:val="00945165"/>
    <w:rsid w:val="00945F26"/>
    <w:rsid w:val="00946C5E"/>
    <w:rsid w:val="009470F9"/>
    <w:rsid w:val="00950E05"/>
    <w:rsid w:val="00951476"/>
    <w:rsid w:val="00951851"/>
    <w:rsid w:val="00952359"/>
    <w:rsid w:val="00952B47"/>
    <w:rsid w:val="00952B90"/>
    <w:rsid w:val="00952FAB"/>
    <w:rsid w:val="009536F5"/>
    <w:rsid w:val="0095396E"/>
    <w:rsid w:val="00953ECF"/>
    <w:rsid w:val="00954517"/>
    <w:rsid w:val="00954740"/>
    <w:rsid w:val="009547DF"/>
    <w:rsid w:val="00954D44"/>
    <w:rsid w:val="0095562A"/>
    <w:rsid w:val="00955CC2"/>
    <w:rsid w:val="00956771"/>
    <w:rsid w:val="0095679E"/>
    <w:rsid w:val="00956C1E"/>
    <w:rsid w:val="00956DCC"/>
    <w:rsid w:val="00957F78"/>
    <w:rsid w:val="0096050A"/>
    <w:rsid w:val="00960AFA"/>
    <w:rsid w:val="00960DF9"/>
    <w:rsid w:val="00961280"/>
    <w:rsid w:val="0096168C"/>
    <w:rsid w:val="00961E45"/>
    <w:rsid w:val="00962811"/>
    <w:rsid w:val="00962AB3"/>
    <w:rsid w:val="0096311C"/>
    <w:rsid w:val="00963D70"/>
    <w:rsid w:val="00964BAC"/>
    <w:rsid w:val="00966D5B"/>
    <w:rsid w:val="00967A12"/>
    <w:rsid w:val="00967B00"/>
    <w:rsid w:val="009710E8"/>
    <w:rsid w:val="00971CAF"/>
    <w:rsid w:val="009725E4"/>
    <w:rsid w:val="00973113"/>
    <w:rsid w:val="009733AE"/>
    <w:rsid w:val="00973448"/>
    <w:rsid w:val="0097363E"/>
    <w:rsid w:val="00974247"/>
    <w:rsid w:val="00974752"/>
    <w:rsid w:val="00975392"/>
    <w:rsid w:val="00976E01"/>
    <w:rsid w:val="009779F8"/>
    <w:rsid w:val="009802C7"/>
    <w:rsid w:val="00980651"/>
    <w:rsid w:val="00980A0A"/>
    <w:rsid w:val="00980C48"/>
    <w:rsid w:val="00980DD7"/>
    <w:rsid w:val="00981D63"/>
    <w:rsid w:val="0098200E"/>
    <w:rsid w:val="00982567"/>
    <w:rsid w:val="00982AC6"/>
    <w:rsid w:val="00982C91"/>
    <w:rsid w:val="00983253"/>
    <w:rsid w:val="0098369C"/>
    <w:rsid w:val="009840C9"/>
    <w:rsid w:val="00984172"/>
    <w:rsid w:val="0098442A"/>
    <w:rsid w:val="00986472"/>
    <w:rsid w:val="00987487"/>
    <w:rsid w:val="009876C7"/>
    <w:rsid w:val="009877CC"/>
    <w:rsid w:val="00987F48"/>
    <w:rsid w:val="00990032"/>
    <w:rsid w:val="009901A6"/>
    <w:rsid w:val="0099082E"/>
    <w:rsid w:val="009917A6"/>
    <w:rsid w:val="00991BF0"/>
    <w:rsid w:val="00991E7C"/>
    <w:rsid w:val="009932C5"/>
    <w:rsid w:val="00995307"/>
    <w:rsid w:val="0099542D"/>
    <w:rsid w:val="0099552C"/>
    <w:rsid w:val="0099587E"/>
    <w:rsid w:val="00995A2E"/>
    <w:rsid w:val="009962FC"/>
    <w:rsid w:val="00996479"/>
    <w:rsid w:val="00996B3C"/>
    <w:rsid w:val="00996CE2"/>
    <w:rsid w:val="009970E6"/>
    <w:rsid w:val="009973CE"/>
    <w:rsid w:val="009A0FFB"/>
    <w:rsid w:val="009A1550"/>
    <w:rsid w:val="009A19C5"/>
    <w:rsid w:val="009A1D4E"/>
    <w:rsid w:val="009A2146"/>
    <w:rsid w:val="009A21CD"/>
    <w:rsid w:val="009A24EE"/>
    <w:rsid w:val="009A27BF"/>
    <w:rsid w:val="009A40C4"/>
    <w:rsid w:val="009A4859"/>
    <w:rsid w:val="009A4955"/>
    <w:rsid w:val="009A50DC"/>
    <w:rsid w:val="009A56E8"/>
    <w:rsid w:val="009A573A"/>
    <w:rsid w:val="009A6C1F"/>
    <w:rsid w:val="009A70FD"/>
    <w:rsid w:val="009B0746"/>
    <w:rsid w:val="009B0D60"/>
    <w:rsid w:val="009B1389"/>
    <w:rsid w:val="009B26A0"/>
    <w:rsid w:val="009B2E01"/>
    <w:rsid w:val="009B2ECC"/>
    <w:rsid w:val="009B30AA"/>
    <w:rsid w:val="009B37B0"/>
    <w:rsid w:val="009B3AC6"/>
    <w:rsid w:val="009B45CA"/>
    <w:rsid w:val="009B476E"/>
    <w:rsid w:val="009B5854"/>
    <w:rsid w:val="009B6255"/>
    <w:rsid w:val="009B6541"/>
    <w:rsid w:val="009B6DE4"/>
    <w:rsid w:val="009B6E30"/>
    <w:rsid w:val="009B6E73"/>
    <w:rsid w:val="009B6FB5"/>
    <w:rsid w:val="009B7101"/>
    <w:rsid w:val="009B7908"/>
    <w:rsid w:val="009C027D"/>
    <w:rsid w:val="009C09B7"/>
    <w:rsid w:val="009C1D3C"/>
    <w:rsid w:val="009C2356"/>
    <w:rsid w:val="009C35A6"/>
    <w:rsid w:val="009C3C7C"/>
    <w:rsid w:val="009C42D1"/>
    <w:rsid w:val="009C4801"/>
    <w:rsid w:val="009C4F3D"/>
    <w:rsid w:val="009C54CF"/>
    <w:rsid w:val="009C5722"/>
    <w:rsid w:val="009C5EFF"/>
    <w:rsid w:val="009C5F3E"/>
    <w:rsid w:val="009C60F0"/>
    <w:rsid w:val="009C6427"/>
    <w:rsid w:val="009C6CB1"/>
    <w:rsid w:val="009C6F05"/>
    <w:rsid w:val="009C7243"/>
    <w:rsid w:val="009C7BDB"/>
    <w:rsid w:val="009D02B2"/>
    <w:rsid w:val="009D0637"/>
    <w:rsid w:val="009D0845"/>
    <w:rsid w:val="009D15A0"/>
    <w:rsid w:val="009D16C6"/>
    <w:rsid w:val="009D242E"/>
    <w:rsid w:val="009D35A6"/>
    <w:rsid w:val="009D36D0"/>
    <w:rsid w:val="009D3A70"/>
    <w:rsid w:val="009D3ADE"/>
    <w:rsid w:val="009D4417"/>
    <w:rsid w:val="009D4A7F"/>
    <w:rsid w:val="009D5DD0"/>
    <w:rsid w:val="009D5F7E"/>
    <w:rsid w:val="009D660E"/>
    <w:rsid w:val="009D72BF"/>
    <w:rsid w:val="009D74D8"/>
    <w:rsid w:val="009D750A"/>
    <w:rsid w:val="009D78F5"/>
    <w:rsid w:val="009E0331"/>
    <w:rsid w:val="009E05A3"/>
    <w:rsid w:val="009E10B1"/>
    <w:rsid w:val="009E12B7"/>
    <w:rsid w:val="009E1883"/>
    <w:rsid w:val="009E3863"/>
    <w:rsid w:val="009E39E5"/>
    <w:rsid w:val="009E404D"/>
    <w:rsid w:val="009E4575"/>
    <w:rsid w:val="009E46E3"/>
    <w:rsid w:val="009E4C69"/>
    <w:rsid w:val="009E5027"/>
    <w:rsid w:val="009E552F"/>
    <w:rsid w:val="009E5643"/>
    <w:rsid w:val="009E57C0"/>
    <w:rsid w:val="009E6157"/>
    <w:rsid w:val="009E62E1"/>
    <w:rsid w:val="009E6499"/>
    <w:rsid w:val="009E653E"/>
    <w:rsid w:val="009E67F8"/>
    <w:rsid w:val="009E6A4B"/>
    <w:rsid w:val="009E7593"/>
    <w:rsid w:val="009E7C66"/>
    <w:rsid w:val="009E7D76"/>
    <w:rsid w:val="009E7EDC"/>
    <w:rsid w:val="009F0309"/>
    <w:rsid w:val="009F05A1"/>
    <w:rsid w:val="009F1F2D"/>
    <w:rsid w:val="009F2068"/>
    <w:rsid w:val="009F2452"/>
    <w:rsid w:val="009F2C80"/>
    <w:rsid w:val="009F317C"/>
    <w:rsid w:val="009F38FB"/>
    <w:rsid w:val="009F3C24"/>
    <w:rsid w:val="009F3CB5"/>
    <w:rsid w:val="009F463A"/>
    <w:rsid w:val="009F4774"/>
    <w:rsid w:val="009F4C44"/>
    <w:rsid w:val="009F5077"/>
    <w:rsid w:val="009F5489"/>
    <w:rsid w:val="009F585B"/>
    <w:rsid w:val="009F5938"/>
    <w:rsid w:val="009F5EA1"/>
    <w:rsid w:val="009F64D1"/>
    <w:rsid w:val="009F6AAB"/>
    <w:rsid w:val="009F6AB5"/>
    <w:rsid w:val="009F6B3E"/>
    <w:rsid w:val="009F713A"/>
    <w:rsid w:val="009F76EC"/>
    <w:rsid w:val="009F7893"/>
    <w:rsid w:val="009F7A98"/>
    <w:rsid w:val="009F7E66"/>
    <w:rsid w:val="009F7F55"/>
    <w:rsid w:val="00A00556"/>
    <w:rsid w:val="00A00AA6"/>
    <w:rsid w:val="00A0114E"/>
    <w:rsid w:val="00A01968"/>
    <w:rsid w:val="00A019FE"/>
    <w:rsid w:val="00A025B6"/>
    <w:rsid w:val="00A02626"/>
    <w:rsid w:val="00A02FD2"/>
    <w:rsid w:val="00A03599"/>
    <w:rsid w:val="00A03E8D"/>
    <w:rsid w:val="00A049A0"/>
    <w:rsid w:val="00A05C17"/>
    <w:rsid w:val="00A05D84"/>
    <w:rsid w:val="00A064A1"/>
    <w:rsid w:val="00A0722D"/>
    <w:rsid w:val="00A0752A"/>
    <w:rsid w:val="00A07749"/>
    <w:rsid w:val="00A07F57"/>
    <w:rsid w:val="00A10130"/>
    <w:rsid w:val="00A10699"/>
    <w:rsid w:val="00A1077F"/>
    <w:rsid w:val="00A108D8"/>
    <w:rsid w:val="00A110D8"/>
    <w:rsid w:val="00A11415"/>
    <w:rsid w:val="00A11CE1"/>
    <w:rsid w:val="00A1284E"/>
    <w:rsid w:val="00A1291A"/>
    <w:rsid w:val="00A131CD"/>
    <w:rsid w:val="00A13FB3"/>
    <w:rsid w:val="00A1404E"/>
    <w:rsid w:val="00A1445C"/>
    <w:rsid w:val="00A148BD"/>
    <w:rsid w:val="00A14BFE"/>
    <w:rsid w:val="00A14FA3"/>
    <w:rsid w:val="00A15249"/>
    <w:rsid w:val="00A15543"/>
    <w:rsid w:val="00A15B34"/>
    <w:rsid w:val="00A15B6D"/>
    <w:rsid w:val="00A15C10"/>
    <w:rsid w:val="00A1755D"/>
    <w:rsid w:val="00A17A4F"/>
    <w:rsid w:val="00A17F83"/>
    <w:rsid w:val="00A20367"/>
    <w:rsid w:val="00A208F7"/>
    <w:rsid w:val="00A21AC3"/>
    <w:rsid w:val="00A21BDE"/>
    <w:rsid w:val="00A21DD9"/>
    <w:rsid w:val="00A22512"/>
    <w:rsid w:val="00A23426"/>
    <w:rsid w:val="00A23823"/>
    <w:rsid w:val="00A23C8B"/>
    <w:rsid w:val="00A255EE"/>
    <w:rsid w:val="00A25F64"/>
    <w:rsid w:val="00A26220"/>
    <w:rsid w:val="00A263B8"/>
    <w:rsid w:val="00A26B60"/>
    <w:rsid w:val="00A26B73"/>
    <w:rsid w:val="00A300DD"/>
    <w:rsid w:val="00A310B3"/>
    <w:rsid w:val="00A31423"/>
    <w:rsid w:val="00A3171F"/>
    <w:rsid w:val="00A321C6"/>
    <w:rsid w:val="00A329CB"/>
    <w:rsid w:val="00A32AC1"/>
    <w:rsid w:val="00A33104"/>
    <w:rsid w:val="00A33702"/>
    <w:rsid w:val="00A33825"/>
    <w:rsid w:val="00A3385E"/>
    <w:rsid w:val="00A343CD"/>
    <w:rsid w:val="00A345D4"/>
    <w:rsid w:val="00A3480B"/>
    <w:rsid w:val="00A34C26"/>
    <w:rsid w:val="00A34FE7"/>
    <w:rsid w:val="00A359F0"/>
    <w:rsid w:val="00A35EE9"/>
    <w:rsid w:val="00A35FD6"/>
    <w:rsid w:val="00A36814"/>
    <w:rsid w:val="00A37A0B"/>
    <w:rsid w:val="00A37B1B"/>
    <w:rsid w:val="00A37DCE"/>
    <w:rsid w:val="00A400D3"/>
    <w:rsid w:val="00A4058A"/>
    <w:rsid w:val="00A405C4"/>
    <w:rsid w:val="00A40774"/>
    <w:rsid w:val="00A413F4"/>
    <w:rsid w:val="00A4154A"/>
    <w:rsid w:val="00A42154"/>
    <w:rsid w:val="00A423BF"/>
    <w:rsid w:val="00A42BFD"/>
    <w:rsid w:val="00A42C16"/>
    <w:rsid w:val="00A42C6B"/>
    <w:rsid w:val="00A4347B"/>
    <w:rsid w:val="00A44194"/>
    <w:rsid w:val="00A45149"/>
    <w:rsid w:val="00A451B7"/>
    <w:rsid w:val="00A46BC5"/>
    <w:rsid w:val="00A47815"/>
    <w:rsid w:val="00A47C61"/>
    <w:rsid w:val="00A47E65"/>
    <w:rsid w:val="00A50DAA"/>
    <w:rsid w:val="00A51BB4"/>
    <w:rsid w:val="00A51D21"/>
    <w:rsid w:val="00A52BC7"/>
    <w:rsid w:val="00A531FF"/>
    <w:rsid w:val="00A53798"/>
    <w:rsid w:val="00A53893"/>
    <w:rsid w:val="00A54BA5"/>
    <w:rsid w:val="00A54BD0"/>
    <w:rsid w:val="00A55A2B"/>
    <w:rsid w:val="00A560E4"/>
    <w:rsid w:val="00A568C6"/>
    <w:rsid w:val="00A57187"/>
    <w:rsid w:val="00A6026A"/>
    <w:rsid w:val="00A60827"/>
    <w:rsid w:val="00A60D21"/>
    <w:rsid w:val="00A60D29"/>
    <w:rsid w:val="00A60FC9"/>
    <w:rsid w:val="00A61076"/>
    <w:rsid w:val="00A62799"/>
    <w:rsid w:val="00A63727"/>
    <w:rsid w:val="00A645B7"/>
    <w:rsid w:val="00A64AFC"/>
    <w:rsid w:val="00A64D78"/>
    <w:rsid w:val="00A65619"/>
    <w:rsid w:val="00A65B73"/>
    <w:rsid w:val="00A65CEF"/>
    <w:rsid w:val="00A660BC"/>
    <w:rsid w:val="00A666AC"/>
    <w:rsid w:val="00A67FAA"/>
    <w:rsid w:val="00A709D5"/>
    <w:rsid w:val="00A719FE"/>
    <w:rsid w:val="00A723A9"/>
    <w:rsid w:val="00A73241"/>
    <w:rsid w:val="00A74CEF"/>
    <w:rsid w:val="00A74DCE"/>
    <w:rsid w:val="00A74ED0"/>
    <w:rsid w:val="00A7551D"/>
    <w:rsid w:val="00A75C8C"/>
    <w:rsid w:val="00A75E45"/>
    <w:rsid w:val="00A7642D"/>
    <w:rsid w:val="00A767C2"/>
    <w:rsid w:val="00A77684"/>
    <w:rsid w:val="00A778A7"/>
    <w:rsid w:val="00A80675"/>
    <w:rsid w:val="00A80774"/>
    <w:rsid w:val="00A80A73"/>
    <w:rsid w:val="00A8160F"/>
    <w:rsid w:val="00A8170A"/>
    <w:rsid w:val="00A81C8B"/>
    <w:rsid w:val="00A81D99"/>
    <w:rsid w:val="00A82028"/>
    <w:rsid w:val="00A832B4"/>
    <w:rsid w:val="00A83A7A"/>
    <w:rsid w:val="00A83AC7"/>
    <w:rsid w:val="00A83C2B"/>
    <w:rsid w:val="00A83E85"/>
    <w:rsid w:val="00A841F2"/>
    <w:rsid w:val="00A84315"/>
    <w:rsid w:val="00A843BC"/>
    <w:rsid w:val="00A84436"/>
    <w:rsid w:val="00A849A3"/>
    <w:rsid w:val="00A8528E"/>
    <w:rsid w:val="00A8544C"/>
    <w:rsid w:val="00A8577E"/>
    <w:rsid w:val="00A85E4C"/>
    <w:rsid w:val="00A8657A"/>
    <w:rsid w:val="00A8660F"/>
    <w:rsid w:val="00A86610"/>
    <w:rsid w:val="00A87577"/>
    <w:rsid w:val="00A902CE"/>
    <w:rsid w:val="00A9058F"/>
    <w:rsid w:val="00A906FE"/>
    <w:rsid w:val="00A907E8"/>
    <w:rsid w:val="00A90E06"/>
    <w:rsid w:val="00A9120B"/>
    <w:rsid w:val="00A914A8"/>
    <w:rsid w:val="00A9342E"/>
    <w:rsid w:val="00A93C7C"/>
    <w:rsid w:val="00A9440A"/>
    <w:rsid w:val="00A94969"/>
    <w:rsid w:val="00A94D40"/>
    <w:rsid w:val="00A95036"/>
    <w:rsid w:val="00A95252"/>
    <w:rsid w:val="00A95C08"/>
    <w:rsid w:val="00A95CF6"/>
    <w:rsid w:val="00A95E2F"/>
    <w:rsid w:val="00A95EBC"/>
    <w:rsid w:val="00A9676C"/>
    <w:rsid w:val="00A96ABA"/>
    <w:rsid w:val="00A96F9E"/>
    <w:rsid w:val="00A97273"/>
    <w:rsid w:val="00A97300"/>
    <w:rsid w:val="00A9778C"/>
    <w:rsid w:val="00A97E59"/>
    <w:rsid w:val="00AA0B96"/>
    <w:rsid w:val="00AA0F18"/>
    <w:rsid w:val="00AA1433"/>
    <w:rsid w:val="00AA1487"/>
    <w:rsid w:val="00AA1F01"/>
    <w:rsid w:val="00AA2682"/>
    <w:rsid w:val="00AA2FF8"/>
    <w:rsid w:val="00AA3ADB"/>
    <w:rsid w:val="00AA3E93"/>
    <w:rsid w:val="00AA3FD3"/>
    <w:rsid w:val="00AA451F"/>
    <w:rsid w:val="00AA45D8"/>
    <w:rsid w:val="00AA554A"/>
    <w:rsid w:val="00AA5F7D"/>
    <w:rsid w:val="00AA7140"/>
    <w:rsid w:val="00AA7732"/>
    <w:rsid w:val="00AA7CAB"/>
    <w:rsid w:val="00AB013E"/>
    <w:rsid w:val="00AB0A2A"/>
    <w:rsid w:val="00AB0BA9"/>
    <w:rsid w:val="00AB0CE5"/>
    <w:rsid w:val="00AB0FC6"/>
    <w:rsid w:val="00AB1288"/>
    <w:rsid w:val="00AB1C33"/>
    <w:rsid w:val="00AB1E97"/>
    <w:rsid w:val="00AB21A8"/>
    <w:rsid w:val="00AB2D7A"/>
    <w:rsid w:val="00AB3721"/>
    <w:rsid w:val="00AB39DC"/>
    <w:rsid w:val="00AB446E"/>
    <w:rsid w:val="00AB49AF"/>
    <w:rsid w:val="00AB4BFE"/>
    <w:rsid w:val="00AB59C1"/>
    <w:rsid w:val="00AB61CE"/>
    <w:rsid w:val="00AB69AB"/>
    <w:rsid w:val="00AB6A39"/>
    <w:rsid w:val="00AB71E2"/>
    <w:rsid w:val="00AB77E5"/>
    <w:rsid w:val="00AB79B9"/>
    <w:rsid w:val="00AB7CDA"/>
    <w:rsid w:val="00AC1811"/>
    <w:rsid w:val="00AC1EBE"/>
    <w:rsid w:val="00AC2012"/>
    <w:rsid w:val="00AC2141"/>
    <w:rsid w:val="00AC237E"/>
    <w:rsid w:val="00AC2DC0"/>
    <w:rsid w:val="00AC347A"/>
    <w:rsid w:val="00AC38CD"/>
    <w:rsid w:val="00AC4514"/>
    <w:rsid w:val="00AC5185"/>
    <w:rsid w:val="00AC53A7"/>
    <w:rsid w:val="00AC5BD2"/>
    <w:rsid w:val="00AC653B"/>
    <w:rsid w:val="00AC6C5A"/>
    <w:rsid w:val="00AC70A3"/>
    <w:rsid w:val="00AC7342"/>
    <w:rsid w:val="00AC7AE0"/>
    <w:rsid w:val="00AC7F03"/>
    <w:rsid w:val="00AD020E"/>
    <w:rsid w:val="00AD18C3"/>
    <w:rsid w:val="00AD1C60"/>
    <w:rsid w:val="00AD1D66"/>
    <w:rsid w:val="00AD21BE"/>
    <w:rsid w:val="00AD2D08"/>
    <w:rsid w:val="00AD3272"/>
    <w:rsid w:val="00AD3BA9"/>
    <w:rsid w:val="00AD3D4A"/>
    <w:rsid w:val="00AD42F6"/>
    <w:rsid w:val="00AD459F"/>
    <w:rsid w:val="00AD4A4A"/>
    <w:rsid w:val="00AD53E2"/>
    <w:rsid w:val="00AD6016"/>
    <w:rsid w:val="00AD65CA"/>
    <w:rsid w:val="00AD7E87"/>
    <w:rsid w:val="00AD7ED8"/>
    <w:rsid w:val="00AE0C90"/>
    <w:rsid w:val="00AE0F1D"/>
    <w:rsid w:val="00AE0FA9"/>
    <w:rsid w:val="00AE234D"/>
    <w:rsid w:val="00AE2AD9"/>
    <w:rsid w:val="00AE3F82"/>
    <w:rsid w:val="00AE3FAB"/>
    <w:rsid w:val="00AE4287"/>
    <w:rsid w:val="00AE5140"/>
    <w:rsid w:val="00AE56E0"/>
    <w:rsid w:val="00AE5A36"/>
    <w:rsid w:val="00AE5A87"/>
    <w:rsid w:val="00AE5BB1"/>
    <w:rsid w:val="00AE60D7"/>
    <w:rsid w:val="00AE69F4"/>
    <w:rsid w:val="00AE6CAF"/>
    <w:rsid w:val="00AE722B"/>
    <w:rsid w:val="00AE7590"/>
    <w:rsid w:val="00AE7AD5"/>
    <w:rsid w:val="00AF01A8"/>
    <w:rsid w:val="00AF0FBB"/>
    <w:rsid w:val="00AF1416"/>
    <w:rsid w:val="00AF1802"/>
    <w:rsid w:val="00AF2FBE"/>
    <w:rsid w:val="00AF3CEE"/>
    <w:rsid w:val="00AF4505"/>
    <w:rsid w:val="00AF45DE"/>
    <w:rsid w:val="00AF4849"/>
    <w:rsid w:val="00AF537E"/>
    <w:rsid w:val="00AF53B8"/>
    <w:rsid w:val="00AF54DE"/>
    <w:rsid w:val="00AF595D"/>
    <w:rsid w:val="00AF605F"/>
    <w:rsid w:val="00AF61F8"/>
    <w:rsid w:val="00AF65AE"/>
    <w:rsid w:val="00AF6859"/>
    <w:rsid w:val="00AF6A56"/>
    <w:rsid w:val="00AF6E13"/>
    <w:rsid w:val="00AF6E65"/>
    <w:rsid w:val="00AF766F"/>
    <w:rsid w:val="00AF7CD8"/>
    <w:rsid w:val="00B01040"/>
    <w:rsid w:val="00B01BCB"/>
    <w:rsid w:val="00B02249"/>
    <w:rsid w:val="00B026BA"/>
    <w:rsid w:val="00B030A4"/>
    <w:rsid w:val="00B03A34"/>
    <w:rsid w:val="00B03BCA"/>
    <w:rsid w:val="00B03D0E"/>
    <w:rsid w:val="00B03F46"/>
    <w:rsid w:val="00B041E2"/>
    <w:rsid w:val="00B04EE5"/>
    <w:rsid w:val="00B05603"/>
    <w:rsid w:val="00B06373"/>
    <w:rsid w:val="00B06E70"/>
    <w:rsid w:val="00B07CA0"/>
    <w:rsid w:val="00B10E87"/>
    <w:rsid w:val="00B11592"/>
    <w:rsid w:val="00B12181"/>
    <w:rsid w:val="00B1228B"/>
    <w:rsid w:val="00B128C4"/>
    <w:rsid w:val="00B12B12"/>
    <w:rsid w:val="00B13736"/>
    <w:rsid w:val="00B13D86"/>
    <w:rsid w:val="00B13E01"/>
    <w:rsid w:val="00B14DA4"/>
    <w:rsid w:val="00B150DF"/>
    <w:rsid w:val="00B151BD"/>
    <w:rsid w:val="00B15879"/>
    <w:rsid w:val="00B16A4D"/>
    <w:rsid w:val="00B16E8B"/>
    <w:rsid w:val="00B16F2B"/>
    <w:rsid w:val="00B16FD6"/>
    <w:rsid w:val="00B16FFE"/>
    <w:rsid w:val="00B17762"/>
    <w:rsid w:val="00B17B74"/>
    <w:rsid w:val="00B17B84"/>
    <w:rsid w:val="00B2039E"/>
    <w:rsid w:val="00B20588"/>
    <w:rsid w:val="00B2112B"/>
    <w:rsid w:val="00B21727"/>
    <w:rsid w:val="00B21BA6"/>
    <w:rsid w:val="00B21D9B"/>
    <w:rsid w:val="00B22177"/>
    <w:rsid w:val="00B224E1"/>
    <w:rsid w:val="00B22DC9"/>
    <w:rsid w:val="00B23408"/>
    <w:rsid w:val="00B236CB"/>
    <w:rsid w:val="00B240B6"/>
    <w:rsid w:val="00B24D23"/>
    <w:rsid w:val="00B2531D"/>
    <w:rsid w:val="00B2634F"/>
    <w:rsid w:val="00B27859"/>
    <w:rsid w:val="00B27EC8"/>
    <w:rsid w:val="00B306AC"/>
    <w:rsid w:val="00B306E1"/>
    <w:rsid w:val="00B30ED3"/>
    <w:rsid w:val="00B3143A"/>
    <w:rsid w:val="00B31B90"/>
    <w:rsid w:val="00B31C9C"/>
    <w:rsid w:val="00B31EC1"/>
    <w:rsid w:val="00B320E8"/>
    <w:rsid w:val="00B3265D"/>
    <w:rsid w:val="00B32C6C"/>
    <w:rsid w:val="00B3348F"/>
    <w:rsid w:val="00B34990"/>
    <w:rsid w:val="00B34C02"/>
    <w:rsid w:val="00B34E3D"/>
    <w:rsid w:val="00B34E77"/>
    <w:rsid w:val="00B36335"/>
    <w:rsid w:val="00B367A7"/>
    <w:rsid w:val="00B3683B"/>
    <w:rsid w:val="00B37276"/>
    <w:rsid w:val="00B37974"/>
    <w:rsid w:val="00B37BCB"/>
    <w:rsid w:val="00B37E7B"/>
    <w:rsid w:val="00B40411"/>
    <w:rsid w:val="00B40D30"/>
    <w:rsid w:val="00B40D77"/>
    <w:rsid w:val="00B40F13"/>
    <w:rsid w:val="00B40FE4"/>
    <w:rsid w:val="00B410D2"/>
    <w:rsid w:val="00B42ABA"/>
    <w:rsid w:val="00B42B37"/>
    <w:rsid w:val="00B42EBA"/>
    <w:rsid w:val="00B43748"/>
    <w:rsid w:val="00B43B71"/>
    <w:rsid w:val="00B43CB0"/>
    <w:rsid w:val="00B440C6"/>
    <w:rsid w:val="00B44193"/>
    <w:rsid w:val="00B442AC"/>
    <w:rsid w:val="00B444EB"/>
    <w:rsid w:val="00B44977"/>
    <w:rsid w:val="00B44A70"/>
    <w:rsid w:val="00B44BF2"/>
    <w:rsid w:val="00B45D08"/>
    <w:rsid w:val="00B45D3F"/>
    <w:rsid w:val="00B4669A"/>
    <w:rsid w:val="00B46E5E"/>
    <w:rsid w:val="00B47087"/>
    <w:rsid w:val="00B47530"/>
    <w:rsid w:val="00B5080E"/>
    <w:rsid w:val="00B50DF4"/>
    <w:rsid w:val="00B5132F"/>
    <w:rsid w:val="00B518AC"/>
    <w:rsid w:val="00B52111"/>
    <w:rsid w:val="00B530D9"/>
    <w:rsid w:val="00B531A8"/>
    <w:rsid w:val="00B5325D"/>
    <w:rsid w:val="00B54031"/>
    <w:rsid w:val="00B54285"/>
    <w:rsid w:val="00B54590"/>
    <w:rsid w:val="00B54871"/>
    <w:rsid w:val="00B54914"/>
    <w:rsid w:val="00B54FFC"/>
    <w:rsid w:val="00B55E72"/>
    <w:rsid w:val="00B563BB"/>
    <w:rsid w:val="00B577CA"/>
    <w:rsid w:val="00B61D62"/>
    <w:rsid w:val="00B62B15"/>
    <w:rsid w:val="00B639CE"/>
    <w:rsid w:val="00B64C48"/>
    <w:rsid w:val="00B64DED"/>
    <w:rsid w:val="00B65568"/>
    <w:rsid w:val="00B66279"/>
    <w:rsid w:val="00B669DB"/>
    <w:rsid w:val="00B66F9A"/>
    <w:rsid w:val="00B67922"/>
    <w:rsid w:val="00B7051F"/>
    <w:rsid w:val="00B70AAD"/>
    <w:rsid w:val="00B70C7B"/>
    <w:rsid w:val="00B70E36"/>
    <w:rsid w:val="00B714E4"/>
    <w:rsid w:val="00B7171B"/>
    <w:rsid w:val="00B71EAA"/>
    <w:rsid w:val="00B72157"/>
    <w:rsid w:val="00B721ED"/>
    <w:rsid w:val="00B72E35"/>
    <w:rsid w:val="00B73017"/>
    <w:rsid w:val="00B73929"/>
    <w:rsid w:val="00B739D0"/>
    <w:rsid w:val="00B73B4D"/>
    <w:rsid w:val="00B74E84"/>
    <w:rsid w:val="00B750DA"/>
    <w:rsid w:val="00B75C73"/>
    <w:rsid w:val="00B75E2B"/>
    <w:rsid w:val="00B75E94"/>
    <w:rsid w:val="00B75F37"/>
    <w:rsid w:val="00B76369"/>
    <w:rsid w:val="00B77EAD"/>
    <w:rsid w:val="00B811F7"/>
    <w:rsid w:val="00B81C42"/>
    <w:rsid w:val="00B820A8"/>
    <w:rsid w:val="00B82EC5"/>
    <w:rsid w:val="00B832E0"/>
    <w:rsid w:val="00B83712"/>
    <w:rsid w:val="00B84AAA"/>
    <w:rsid w:val="00B85061"/>
    <w:rsid w:val="00B85659"/>
    <w:rsid w:val="00B856AB"/>
    <w:rsid w:val="00B85E93"/>
    <w:rsid w:val="00B86723"/>
    <w:rsid w:val="00B86CFF"/>
    <w:rsid w:val="00B86F27"/>
    <w:rsid w:val="00B871AC"/>
    <w:rsid w:val="00B87B65"/>
    <w:rsid w:val="00B90D3C"/>
    <w:rsid w:val="00B910A6"/>
    <w:rsid w:val="00B9153E"/>
    <w:rsid w:val="00B91ADE"/>
    <w:rsid w:val="00B91B68"/>
    <w:rsid w:val="00B92372"/>
    <w:rsid w:val="00B92E4A"/>
    <w:rsid w:val="00B9313B"/>
    <w:rsid w:val="00B932F0"/>
    <w:rsid w:val="00B935B9"/>
    <w:rsid w:val="00B935C4"/>
    <w:rsid w:val="00B945E8"/>
    <w:rsid w:val="00B957C0"/>
    <w:rsid w:val="00B9588E"/>
    <w:rsid w:val="00B95D03"/>
    <w:rsid w:val="00B9696B"/>
    <w:rsid w:val="00B969E1"/>
    <w:rsid w:val="00B96E0C"/>
    <w:rsid w:val="00B9760E"/>
    <w:rsid w:val="00B9768D"/>
    <w:rsid w:val="00B97850"/>
    <w:rsid w:val="00B97D6D"/>
    <w:rsid w:val="00B97F24"/>
    <w:rsid w:val="00BA01AF"/>
    <w:rsid w:val="00BA045E"/>
    <w:rsid w:val="00BA07D7"/>
    <w:rsid w:val="00BA0F41"/>
    <w:rsid w:val="00BA13F1"/>
    <w:rsid w:val="00BA1513"/>
    <w:rsid w:val="00BA19C7"/>
    <w:rsid w:val="00BA2AE7"/>
    <w:rsid w:val="00BA2FD3"/>
    <w:rsid w:val="00BA3006"/>
    <w:rsid w:val="00BA31B2"/>
    <w:rsid w:val="00BA32C6"/>
    <w:rsid w:val="00BA3419"/>
    <w:rsid w:val="00BA3925"/>
    <w:rsid w:val="00BA4E54"/>
    <w:rsid w:val="00BA4EB9"/>
    <w:rsid w:val="00BA53D9"/>
    <w:rsid w:val="00BA56A2"/>
    <w:rsid w:val="00BA5E9D"/>
    <w:rsid w:val="00BA6F39"/>
    <w:rsid w:val="00BB018D"/>
    <w:rsid w:val="00BB073A"/>
    <w:rsid w:val="00BB1EB1"/>
    <w:rsid w:val="00BB2C4C"/>
    <w:rsid w:val="00BB382A"/>
    <w:rsid w:val="00BB3AF6"/>
    <w:rsid w:val="00BB3C2D"/>
    <w:rsid w:val="00BB4091"/>
    <w:rsid w:val="00BB4D63"/>
    <w:rsid w:val="00BB4D9E"/>
    <w:rsid w:val="00BB4F0E"/>
    <w:rsid w:val="00BB585E"/>
    <w:rsid w:val="00BB5EA2"/>
    <w:rsid w:val="00BB6200"/>
    <w:rsid w:val="00BB62DB"/>
    <w:rsid w:val="00BB632E"/>
    <w:rsid w:val="00BB7441"/>
    <w:rsid w:val="00BB7A2E"/>
    <w:rsid w:val="00BB7A40"/>
    <w:rsid w:val="00BC01C7"/>
    <w:rsid w:val="00BC02A5"/>
    <w:rsid w:val="00BC1A69"/>
    <w:rsid w:val="00BC1E2B"/>
    <w:rsid w:val="00BC2BA8"/>
    <w:rsid w:val="00BC2DC7"/>
    <w:rsid w:val="00BC353C"/>
    <w:rsid w:val="00BC3A5F"/>
    <w:rsid w:val="00BC3E4F"/>
    <w:rsid w:val="00BC42AD"/>
    <w:rsid w:val="00BC46B4"/>
    <w:rsid w:val="00BC5458"/>
    <w:rsid w:val="00BC5FEC"/>
    <w:rsid w:val="00BC65B5"/>
    <w:rsid w:val="00BC6809"/>
    <w:rsid w:val="00BC6D8E"/>
    <w:rsid w:val="00BC788A"/>
    <w:rsid w:val="00BC799A"/>
    <w:rsid w:val="00BD01E5"/>
    <w:rsid w:val="00BD0D59"/>
    <w:rsid w:val="00BD0E39"/>
    <w:rsid w:val="00BD11F5"/>
    <w:rsid w:val="00BD1549"/>
    <w:rsid w:val="00BD1755"/>
    <w:rsid w:val="00BD1D47"/>
    <w:rsid w:val="00BD2444"/>
    <w:rsid w:val="00BD2665"/>
    <w:rsid w:val="00BD32F5"/>
    <w:rsid w:val="00BD3390"/>
    <w:rsid w:val="00BD4688"/>
    <w:rsid w:val="00BD55F6"/>
    <w:rsid w:val="00BD5D60"/>
    <w:rsid w:val="00BD5EAD"/>
    <w:rsid w:val="00BD647C"/>
    <w:rsid w:val="00BD6A96"/>
    <w:rsid w:val="00BD6BC0"/>
    <w:rsid w:val="00BD6CE0"/>
    <w:rsid w:val="00BD73BF"/>
    <w:rsid w:val="00BD7F80"/>
    <w:rsid w:val="00BE05DB"/>
    <w:rsid w:val="00BE07D6"/>
    <w:rsid w:val="00BE0860"/>
    <w:rsid w:val="00BE0D05"/>
    <w:rsid w:val="00BE1080"/>
    <w:rsid w:val="00BE26FF"/>
    <w:rsid w:val="00BE3752"/>
    <w:rsid w:val="00BE37D4"/>
    <w:rsid w:val="00BE3CC7"/>
    <w:rsid w:val="00BE3FC0"/>
    <w:rsid w:val="00BE3FF1"/>
    <w:rsid w:val="00BE4133"/>
    <w:rsid w:val="00BE4BF4"/>
    <w:rsid w:val="00BE5A88"/>
    <w:rsid w:val="00BE5B37"/>
    <w:rsid w:val="00BE600F"/>
    <w:rsid w:val="00BE6420"/>
    <w:rsid w:val="00BE7272"/>
    <w:rsid w:val="00BE7384"/>
    <w:rsid w:val="00BE7555"/>
    <w:rsid w:val="00BE7A37"/>
    <w:rsid w:val="00BF0A93"/>
    <w:rsid w:val="00BF0DD6"/>
    <w:rsid w:val="00BF17E9"/>
    <w:rsid w:val="00BF1EDB"/>
    <w:rsid w:val="00BF25D9"/>
    <w:rsid w:val="00BF25DC"/>
    <w:rsid w:val="00BF25ED"/>
    <w:rsid w:val="00BF27D6"/>
    <w:rsid w:val="00BF3383"/>
    <w:rsid w:val="00BF37B2"/>
    <w:rsid w:val="00BF3811"/>
    <w:rsid w:val="00BF3948"/>
    <w:rsid w:val="00BF39E6"/>
    <w:rsid w:val="00BF3E27"/>
    <w:rsid w:val="00BF4B13"/>
    <w:rsid w:val="00BF4D0C"/>
    <w:rsid w:val="00BF5594"/>
    <w:rsid w:val="00BF5736"/>
    <w:rsid w:val="00BF5B24"/>
    <w:rsid w:val="00BF5B3B"/>
    <w:rsid w:val="00BF6078"/>
    <w:rsid w:val="00BF6C4B"/>
    <w:rsid w:val="00C00A42"/>
    <w:rsid w:val="00C0197B"/>
    <w:rsid w:val="00C01CA3"/>
    <w:rsid w:val="00C02442"/>
    <w:rsid w:val="00C0430F"/>
    <w:rsid w:val="00C050BE"/>
    <w:rsid w:val="00C0569D"/>
    <w:rsid w:val="00C05E4A"/>
    <w:rsid w:val="00C05F80"/>
    <w:rsid w:val="00C0667E"/>
    <w:rsid w:val="00C0668A"/>
    <w:rsid w:val="00C06769"/>
    <w:rsid w:val="00C07634"/>
    <w:rsid w:val="00C100AC"/>
    <w:rsid w:val="00C1064F"/>
    <w:rsid w:val="00C107BA"/>
    <w:rsid w:val="00C10964"/>
    <w:rsid w:val="00C10A64"/>
    <w:rsid w:val="00C10CF4"/>
    <w:rsid w:val="00C10E98"/>
    <w:rsid w:val="00C113B9"/>
    <w:rsid w:val="00C114DB"/>
    <w:rsid w:val="00C11690"/>
    <w:rsid w:val="00C118CD"/>
    <w:rsid w:val="00C11D4F"/>
    <w:rsid w:val="00C11D92"/>
    <w:rsid w:val="00C12D4B"/>
    <w:rsid w:val="00C12E4D"/>
    <w:rsid w:val="00C130B3"/>
    <w:rsid w:val="00C13FA3"/>
    <w:rsid w:val="00C140CE"/>
    <w:rsid w:val="00C1463D"/>
    <w:rsid w:val="00C1478C"/>
    <w:rsid w:val="00C1502A"/>
    <w:rsid w:val="00C16309"/>
    <w:rsid w:val="00C16DEF"/>
    <w:rsid w:val="00C16F1E"/>
    <w:rsid w:val="00C172CD"/>
    <w:rsid w:val="00C17377"/>
    <w:rsid w:val="00C1762F"/>
    <w:rsid w:val="00C1789E"/>
    <w:rsid w:val="00C17A95"/>
    <w:rsid w:val="00C20329"/>
    <w:rsid w:val="00C204F2"/>
    <w:rsid w:val="00C208CE"/>
    <w:rsid w:val="00C20B85"/>
    <w:rsid w:val="00C210CA"/>
    <w:rsid w:val="00C218F1"/>
    <w:rsid w:val="00C21A27"/>
    <w:rsid w:val="00C22225"/>
    <w:rsid w:val="00C225C2"/>
    <w:rsid w:val="00C2313E"/>
    <w:rsid w:val="00C231B7"/>
    <w:rsid w:val="00C23335"/>
    <w:rsid w:val="00C24245"/>
    <w:rsid w:val="00C2550C"/>
    <w:rsid w:val="00C263C7"/>
    <w:rsid w:val="00C26675"/>
    <w:rsid w:val="00C2753F"/>
    <w:rsid w:val="00C2757E"/>
    <w:rsid w:val="00C318CB"/>
    <w:rsid w:val="00C323A3"/>
    <w:rsid w:val="00C32459"/>
    <w:rsid w:val="00C3267B"/>
    <w:rsid w:val="00C32BCE"/>
    <w:rsid w:val="00C33EF6"/>
    <w:rsid w:val="00C33F77"/>
    <w:rsid w:val="00C340BA"/>
    <w:rsid w:val="00C34F60"/>
    <w:rsid w:val="00C3578C"/>
    <w:rsid w:val="00C35EF0"/>
    <w:rsid w:val="00C35EFC"/>
    <w:rsid w:val="00C36A2D"/>
    <w:rsid w:val="00C36F19"/>
    <w:rsid w:val="00C36F43"/>
    <w:rsid w:val="00C3778A"/>
    <w:rsid w:val="00C40B19"/>
    <w:rsid w:val="00C4132B"/>
    <w:rsid w:val="00C4194B"/>
    <w:rsid w:val="00C41D0D"/>
    <w:rsid w:val="00C41E24"/>
    <w:rsid w:val="00C41ED6"/>
    <w:rsid w:val="00C42021"/>
    <w:rsid w:val="00C421CA"/>
    <w:rsid w:val="00C42624"/>
    <w:rsid w:val="00C43126"/>
    <w:rsid w:val="00C433C8"/>
    <w:rsid w:val="00C435F5"/>
    <w:rsid w:val="00C4364B"/>
    <w:rsid w:val="00C4389C"/>
    <w:rsid w:val="00C441ED"/>
    <w:rsid w:val="00C44389"/>
    <w:rsid w:val="00C44732"/>
    <w:rsid w:val="00C448C1"/>
    <w:rsid w:val="00C44FF8"/>
    <w:rsid w:val="00C45DD1"/>
    <w:rsid w:val="00C460FB"/>
    <w:rsid w:val="00C5079E"/>
    <w:rsid w:val="00C50EB7"/>
    <w:rsid w:val="00C51DAB"/>
    <w:rsid w:val="00C52D2C"/>
    <w:rsid w:val="00C52D7F"/>
    <w:rsid w:val="00C5388A"/>
    <w:rsid w:val="00C538DE"/>
    <w:rsid w:val="00C54A7C"/>
    <w:rsid w:val="00C55A6C"/>
    <w:rsid w:val="00C55BE9"/>
    <w:rsid w:val="00C57D9E"/>
    <w:rsid w:val="00C61C62"/>
    <w:rsid w:val="00C62D82"/>
    <w:rsid w:val="00C63496"/>
    <w:rsid w:val="00C63497"/>
    <w:rsid w:val="00C635C1"/>
    <w:rsid w:val="00C638B2"/>
    <w:rsid w:val="00C63A0D"/>
    <w:rsid w:val="00C63CEF"/>
    <w:rsid w:val="00C63ECB"/>
    <w:rsid w:val="00C64240"/>
    <w:rsid w:val="00C64288"/>
    <w:rsid w:val="00C6442E"/>
    <w:rsid w:val="00C653F2"/>
    <w:rsid w:val="00C6566A"/>
    <w:rsid w:val="00C665D5"/>
    <w:rsid w:val="00C666C8"/>
    <w:rsid w:val="00C678EE"/>
    <w:rsid w:val="00C67CE8"/>
    <w:rsid w:val="00C67F38"/>
    <w:rsid w:val="00C702B1"/>
    <w:rsid w:val="00C703EB"/>
    <w:rsid w:val="00C721FC"/>
    <w:rsid w:val="00C72704"/>
    <w:rsid w:val="00C72959"/>
    <w:rsid w:val="00C72C89"/>
    <w:rsid w:val="00C7352B"/>
    <w:rsid w:val="00C73E25"/>
    <w:rsid w:val="00C7401B"/>
    <w:rsid w:val="00C762F1"/>
    <w:rsid w:val="00C7783D"/>
    <w:rsid w:val="00C77C8F"/>
    <w:rsid w:val="00C80261"/>
    <w:rsid w:val="00C802D2"/>
    <w:rsid w:val="00C802DE"/>
    <w:rsid w:val="00C80ADA"/>
    <w:rsid w:val="00C80C5E"/>
    <w:rsid w:val="00C82159"/>
    <w:rsid w:val="00C824AA"/>
    <w:rsid w:val="00C8306A"/>
    <w:rsid w:val="00C8350A"/>
    <w:rsid w:val="00C83EC6"/>
    <w:rsid w:val="00C844B6"/>
    <w:rsid w:val="00C84DE0"/>
    <w:rsid w:val="00C852CF"/>
    <w:rsid w:val="00C855E2"/>
    <w:rsid w:val="00C86428"/>
    <w:rsid w:val="00C869FD"/>
    <w:rsid w:val="00C8712C"/>
    <w:rsid w:val="00C8777C"/>
    <w:rsid w:val="00C8788D"/>
    <w:rsid w:val="00C87BB4"/>
    <w:rsid w:val="00C87D93"/>
    <w:rsid w:val="00C9000D"/>
    <w:rsid w:val="00C90D71"/>
    <w:rsid w:val="00C91091"/>
    <w:rsid w:val="00C914AE"/>
    <w:rsid w:val="00C916ED"/>
    <w:rsid w:val="00C91DA0"/>
    <w:rsid w:val="00C92954"/>
    <w:rsid w:val="00C92C99"/>
    <w:rsid w:val="00C94452"/>
    <w:rsid w:val="00C946CF"/>
    <w:rsid w:val="00C946D1"/>
    <w:rsid w:val="00C94E9E"/>
    <w:rsid w:val="00C95333"/>
    <w:rsid w:val="00C9655A"/>
    <w:rsid w:val="00C9663E"/>
    <w:rsid w:val="00C96B4B"/>
    <w:rsid w:val="00C96CEA"/>
    <w:rsid w:val="00C97199"/>
    <w:rsid w:val="00C97873"/>
    <w:rsid w:val="00CA00A2"/>
    <w:rsid w:val="00CA01AA"/>
    <w:rsid w:val="00CA1CE6"/>
    <w:rsid w:val="00CA2C99"/>
    <w:rsid w:val="00CA343B"/>
    <w:rsid w:val="00CA3AF3"/>
    <w:rsid w:val="00CA431B"/>
    <w:rsid w:val="00CA52FF"/>
    <w:rsid w:val="00CA53D0"/>
    <w:rsid w:val="00CA556C"/>
    <w:rsid w:val="00CA5A2E"/>
    <w:rsid w:val="00CA5D4A"/>
    <w:rsid w:val="00CA6F74"/>
    <w:rsid w:val="00CA7F72"/>
    <w:rsid w:val="00CB04AB"/>
    <w:rsid w:val="00CB076A"/>
    <w:rsid w:val="00CB0779"/>
    <w:rsid w:val="00CB125A"/>
    <w:rsid w:val="00CB15BC"/>
    <w:rsid w:val="00CB1A8D"/>
    <w:rsid w:val="00CB264F"/>
    <w:rsid w:val="00CB37A3"/>
    <w:rsid w:val="00CB38DF"/>
    <w:rsid w:val="00CB3A1B"/>
    <w:rsid w:val="00CB3C3B"/>
    <w:rsid w:val="00CB3E11"/>
    <w:rsid w:val="00CB5086"/>
    <w:rsid w:val="00CB5952"/>
    <w:rsid w:val="00CB5F56"/>
    <w:rsid w:val="00CB6064"/>
    <w:rsid w:val="00CB65CD"/>
    <w:rsid w:val="00CB6E10"/>
    <w:rsid w:val="00CB777B"/>
    <w:rsid w:val="00CB7AE9"/>
    <w:rsid w:val="00CC030E"/>
    <w:rsid w:val="00CC0BFD"/>
    <w:rsid w:val="00CC0C18"/>
    <w:rsid w:val="00CC10E7"/>
    <w:rsid w:val="00CC1B2A"/>
    <w:rsid w:val="00CC1DB8"/>
    <w:rsid w:val="00CC2375"/>
    <w:rsid w:val="00CC2534"/>
    <w:rsid w:val="00CC3792"/>
    <w:rsid w:val="00CC3AE8"/>
    <w:rsid w:val="00CC3F0B"/>
    <w:rsid w:val="00CC4275"/>
    <w:rsid w:val="00CC4D50"/>
    <w:rsid w:val="00CC55EB"/>
    <w:rsid w:val="00CC58C5"/>
    <w:rsid w:val="00CC5901"/>
    <w:rsid w:val="00CC5BC5"/>
    <w:rsid w:val="00CC5BF7"/>
    <w:rsid w:val="00CC6190"/>
    <w:rsid w:val="00CC695D"/>
    <w:rsid w:val="00CC70D5"/>
    <w:rsid w:val="00CC76D5"/>
    <w:rsid w:val="00CD0780"/>
    <w:rsid w:val="00CD0E1C"/>
    <w:rsid w:val="00CD0F64"/>
    <w:rsid w:val="00CD1B63"/>
    <w:rsid w:val="00CD280D"/>
    <w:rsid w:val="00CD2C34"/>
    <w:rsid w:val="00CD2D6C"/>
    <w:rsid w:val="00CD412A"/>
    <w:rsid w:val="00CD4287"/>
    <w:rsid w:val="00CD4B78"/>
    <w:rsid w:val="00CD57A1"/>
    <w:rsid w:val="00CD580E"/>
    <w:rsid w:val="00CD5E41"/>
    <w:rsid w:val="00CD5EC4"/>
    <w:rsid w:val="00CD6952"/>
    <w:rsid w:val="00CD69F8"/>
    <w:rsid w:val="00CD6DBB"/>
    <w:rsid w:val="00CD7D76"/>
    <w:rsid w:val="00CE0C36"/>
    <w:rsid w:val="00CE12CC"/>
    <w:rsid w:val="00CE13FB"/>
    <w:rsid w:val="00CE244B"/>
    <w:rsid w:val="00CE2AF5"/>
    <w:rsid w:val="00CE3EDC"/>
    <w:rsid w:val="00CE3FCA"/>
    <w:rsid w:val="00CE4284"/>
    <w:rsid w:val="00CE42D9"/>
    <w:rsid w:val="00CE4A72"/>
    <w:rsid w:val="00CE4D5A"/>
    <w:rsid w:val="00CE4E98"/>
    <w:rsid w:val="00CE6046"/>
    <w:rsid w:val="00CE6292"/>
    <w:rsid w:val="00CE740A"/>
    <w:rsid w:val="00CE742C"/>
    <w:rsid w:val="00CF0AF7"/>
    <w:rsid w:val="00CF0EB1"/>
    <w:rsid w:val="00CF151E"/>
    <w:rsid w:val="00CF17FE"/>
    <w:rsid w:val="00CF1D50"/>
    <w:rsid w:val="00CF2F17"/>
    <w:rsid w:val="00CF33EA"/>
    <w:rsid w:val="00CF37EF"/>
    <w:rsid w:val="00CF381D"/>
    <w:rsid w:val="00CF40A5"/>
    <w:rsid w:val="00CF413B"/>
    <w:rsid w:val="00CF4359"/>
    <w:rsid w:val="00CF4519"/>
    <w:rsid w:val="00CF5403"/>
    <w:rsid w:val="00CF54E6"/>
    <w:rsid w:val="00CF6288"/>
    <w:rsid w:val="00CF77B6"/>
    <w:rsid w:val="00CF7D86"/>
    <w:rsid w:val="00D011C8"/>
    <w:rsid w:val="00D01414"/>
    <w:rsid w:val="00D019A8"/>
    <w:rsid w:val="00D01BAE"/>
    <w:rsid w:val="00D01CA8"/>
    <w:rsid w:val="00D022FB"/>
    <w:rsid w:val="00D02511"/>
    <w:rsid w:val="00D02A91"/>
    <w:rsid w:val="00D02C0B"/>
    <w:rsid w:val="00D0306D"/>
    <w:rsid w:val="00D04327"/>
    <w:rsid w:val="00D04E1C"/>
    <w:rsid w:val="00D055B4"/>
    <w:rsid w:val="00D057AF"/>
    <w:rsid w:val="00D06121"/>
    <w:rsid w:val="00D0724B"/>
    <w:rsid w:val="00D0758B"/>
    <w:rsid w:val="00D07D01"/>
    <w:rsid w:val="00D07FE1"/>
    <w:rsid w:val="00D101C9"/>
    <w:rsid w:val="00D102D6"/>
    <w:rsid w:val="00D108E3"/>
    <w:rsid w:val="00D10B1C"/>
    <w:rsid w:val="00D11B53"/>
    <w:rsid w:val="00D11F24"/>
    <w:rsid w:val="00D121AA"/>
    <w:rsid w:val="00D12416"/>
    <w:rsid w:val="00D12A0D"/>
    <w:rsid w:val="00D13BD1"/>
    <w:rsid w:val="00D14971"/>
    <w:rsid w:val="00D14A09"/>
    <w:rsid w:val="00D14B35"/>
    <w:rsid w:val="00D14CE4"/>
    <w:rsid w:val="00D150A7"/>
    <w:rsid w:val="00D152C8"/>
    <w:rsid w:val="00D155D5"/>
    <w:rsid w:val="00D16107"/>
    <w:rsid w:val="00D167E4"/>
    <w:rsid w:val="00D209F7"/>
    <w:rsid w:val="00D21C27"/>
    <w:rsid w:val="00D2261B"/>
    <w:rsid w:val="00D22B00"/>
    <w:rsid w:val="00D2360D"/>
    <w:rsid w:val="00D2389E"/>
    <w:rsid w:val="00D24C72"/>
    <w:rsid w:val="00D25795"/>
    <w:rsid w:val="00D26285"/>
    <w:rsid w:val="00D264C7"/>
    <w:rsid w:val="00D27980"/>
    <w:rsid w:val="00D27FC9"/>
    <w:rsid w:val="00D307E1"/>
    <w:rsid w:val="00D313FC"/>
    <w:rsid w:val="00D3163A"/>
    <w:rsid w:val="00D32C4E"/>
    <w:rsid w:val="00D32D8B"/>
    <w:rsid w:val="00D334AF"/>
    <w:rsid w:val="00D338F3"/>
    <w:rsid w:val="00D33A76"/>
    <w:rsid w:val="00D33ACD"/>
    <w:rsid w:val="00D33E22"/>
    <w:rsid w:val="00D34038"/>
    <w:rsid w:val="00D350A2"/>
    <w:rsid w:val="00D3604A"/>
    <w:rsid w:val="00D36791"/>
    <w:rsid w:val="00D36A14"/>
    <w:rsid w:val="00D36E4A"/>
    <w:rsid w:val="00D37131"/>
    <w:rsid w:val="00D373F6"/>
    <w:rsid w:val="00D376FE"/>
    <w:rsid w:val="00D377CC"/>
    <w:rsid w:val="00D37A00"/>
    <w:rsid w:val="00D37BB9"/>
    <w:rsid w:val="00D37F75"/>
    <w:rsid w:val="00D40F34"/>
    <w:rsid w:val="00D412AC"/>
    <w:rsid w:val="00D4132B"/>
    <w:rsid w:val="00D41448"/>
    <w:rsid w:val="00D417CA"/>
    <w:rsid w:val="00D4253D"/>
    <w:rsid w:val="00D426F0"/>
    <w:rsid w:val="00D428DB"/>
    <w:rsid w:val="00D4310E"/>
    <w:rsid w:val="00D4388A"/>
    <w:rsid w:val="00D44AFC"/>
    <w:rsid w:val="00D44E71"/>
    <w:rsid w:val="00D45157"/>
    <w:rsid w:val="00D4619E"/>
    <w:rsid w:val="00D47EF2"/>
    <w:rsid w:val="00D5098E"/>
    <w:rsid w:val="00D50BB9"/>
    <w:rsid w:val="00D510FB"/>
    <w:rsid w:val="00D51840"/>
    <w:rsid w:val="00D51EEF"/>
    <w:rsid w:val="00D52036"/>
    <w:rsid w:val="00D521F0"/>
    <w:rsid w:val="00D52B00"/>
    <w:rsid w:val="00D53333"/>
    <w:rsid w:val="00D53470"/>
    <w:rsid w:val="00D535A5"/>
    <w:rsid w:val="00D544C0"/>
    <w:rsid w:val="00D5453F"/>
    <w:rsid w:val="00D547FF"/>
    <w:rsid w:val="00D55247"/>
    <w:rsid w:val="00D55EF0"/>
    <w:rsid w:val="00D561A6"/>
    <w:rsid w:val="00D574F9"/>
    <w:rsid w:val="00D57B9E"/>
    <w:rsid w:val="00D60280"/>
    <w:rsid w:val="00D606E8"/>
    <w:rsid w:val="00D60834"/>
    <w:rsid w:val="00D6088A"/>
    <w:rsid w:val="00D61010"/>
    <w:rsid w:val="00D61648"/>
    <w:rsid w:val="00D61992"/>
    <w:rsid w:val="00D61C80"/>
    <w:rsid w:val="00D6203F"/>
    <w:rsid w:val="00D6285F"/>
    <w:rsid w:val="00D63592"/>
    <w:rsid w:val="00D63F34"/>
    <w:rsid w:val="00D64363"/>
    <w:rsid w:val="00D643EC"/>
    <w:rsid w:val="00D652D4"/>
    <w:rsid w:val="00D661FD"/>
    <w:rsid w:val="00D665F9"/>
    <w:rsid w:val="00D66A82"/>
    <w:rsid w:val="00D66DBD"/>
    <w:rsid w:val="00D66DE4"/>
    <w:rsid w:val="00D6731E"/>
    <w:rsid w:val="00D679F9"/>
    <w:rsid w:val="00D7044F"/>
    <w:rsid w:val="00D71403"/>
    <w:rsid w:val="00D72544"/>
    <w:rsid w:val="00D72A0F"/>
    <w:rsid w:val="00D72B0C"/>
    <w:rsid w:val="00D72FC3"/>
    <w:rsid w:val="00D73051"/>
    <w:rsid w:val="00D73977"/>
    <w:rsid w:val="00D73EE5"/>
    <w:rsid w:val="00D762EF"/>
    <w:rsid w:val="00D764E6"/>
    <w:rsid w:val="00D76591"/>
    <w:rsid w:val="00D765FD"/>
    <w:rsid w:val="00D76CC8"/>
    <w:rsid w:val="00D774C5"/>
    <w:rsid w:val="00D77840"/>
    <w:rsid w:val="00D805BA"/>
    <w:rsid w:val="00D81A42"/>
    <w:rsid w:val="00D8201A"/>
    <w:rsid w:val="00D82162"/>
    <w:rsid w:val="00D8270E"/>
    <w:rsid w:val="00D830BC"/>
    <w:rsid w:val="00D835D0"/>
    <w:rsid w:val="00D83E93"/>
    <w:rsid w:val="00D84444"/>
    <w:rsid w:val="00D84C0A"/>
    <w:rsid w:val="00D84E37"/>
    <w:rsid w:val="00D866EC"/>
    <w:rsid w:val="00D8743F"/>
    <w:rsid w:val="00D87449"/>
    <w:rsid w:val="00D875F6"/>
    <w:rsid w:val="00D87C50"/>
    <w:rsid w:val="00D901EB"/>
    <w:rsid w:val="00D90201"/>
    <w:rsid w:val="00D90387"/>
    <w:rsid w:val="00D9048A"/>
    <w:rsid w:val="00D90DBF"/>
    <w:rsid w:val="00D90E3E"/>
    <w:rsid w:val="00D91606"/>
    <w:rsid w:val="00D916B0"/>
    <w:rsid w:val="00D916B1"/>
    <w:rsid w:val="00D92337"/>
    <w:rsid w:val="00D92607"/>
    <w:rsid w:val="00D927AF"/>
    <w:rsid w:val="00D92BD4"/>
    <w:rsid w:val="00D93038"/>
    <w:rsid w:val="00D93BB0"/>
    <w:rsid w:val="00D9421F"/>
    <w:rsid w:val="00D9477A"/>
    <w:rsid w:val="00D94A97"/>
    <w:rsid w:val="00D94F26"/>
    <w:rsid w:val="00D95062"/>
    <w:rsid w:val="00D950E3"/>
    <w:rsid w:val="00D95202"/>
    <w:rsid w:val="00D95F5C"/>
    <w:rsid w:val="00D969AB"/>
    <w:rsid w:val="00D97832"/>
    <w:rsid w:val="00DA02FC"/>
    <w:rsid w:val="00DA090A"/>
    <w:rsid w:val="00DA0981"/>
    <w:rsid w:val="00DA0EA7"/>
    <w:rsid w:val="00DA134F"/>
    <w:rsid w:val="00DA1839"/>
    <w:rsid w:val="00DA213E"/>
    <w:rsid w:val="00DA266A"/>
    <w:rsid w:val="00DA2C43"/>
    <w:rsid w:val="00DA345C"/>
    <w:rsid w:val="00DA367D"/>
    <w:rsid w:val="00DA3873"/>
    <w:rsid w:val="00DA4013"/>
    <w:rsid w:val="00DA473C"/>
    <w:rsid w:val="00DA499B"/>
    <w:rsid w:val="00DA5870"/>
    <w:rsid w:val="00DA5A25"/>
    <w:rsid w:val="00DA6269"/>
    <w:rsid w:val="00DA6A19"/>
    <w:rsid w:val="00DA7320"/>
    <w:rsid w:val="00DA7D0B"/>
    <w:rsid w:val="00DB016F"/>
    <w:rsid w:val="00DB0483"/>
    <w:rsid w:val="00DB07EB"/>
    <w:rsid w:val="00DB0F02"/>
    <w:rsid w:val="00DB111F"/>
    <w:rsid w:val="00DB139A"/>
    <w:rsid w:val="00DB1A01"/>
    <w:rsid w:val="00DB218C"/>
    <w:rsid w:val="00DB2469"/>
    <w:rsid w:val="00DB30C4"/>
    <w:rsid w:val="00DB3439"/>
    <w:rsid w:val="00DB36A4"/>
    <w:rsid w:val="00DB404F"/>
    <w:rsid w:val="00DB4AA2"/>
    <w:rsid w:val="00DB521F"/>
    <w:rsid w:val="00DB56CE"/>
    <w:rsid w:val="00DB595D"/>
    <w:rsid w:val="00DB61B7"/>
    <w:rsid w:val="00DB6652"/>
    <w:rsid w:val="00DB67E7"/>
    <w:rsid w:val="00DB6A63"/>
    <w:rsid w:val="00DB6ACA"/>
    <w:rsid w:val="00DB6D29"/>
    <w:rsid w:val="00DB7A14"/>
    <w:rsid w:val="00DC0E8B"/>
    <w:rsid w:val="00DC1E63"/>
    <w:rsid w:val="00DC209C"/>
    <w:rsid w:val="00DC2ABD"/>
    <w:rsid w:val="00DC3C0D"/>
    <w:rsid w:val="00DC3EE0"/>
    <w:rsid w:val="00DC46AD"/>
    <w:rsid w:val="00DC4FAD"/>
    <w:rsid w:val="00DC5B6D"/>
    <w:rsid w:val="00DC5D22"/>
    <w:rsid w:val="00DC63C4"/>
    <w:rsid w:val="00DC6504"/>
    <w:rsid w:val="00DC6ACF"/>
    <w:rsid w:val="00DC6D04"/>
    <w:rsid w:val="00DC7F43"/>
    <w:rsid w:val="00DD0933"/>
    <w:rsid w:val="00DD09F4"/>
    <w:rsid w:val="00DD16AA"/>
    <w:rsid w:val="00DD1AD5"/>
    <w:rsid w:val="00DD1DF0"/>
    <w:rsid w:val="00DD1E64"/>
    <w:rsid w:val="00DD242D"/>
    <w:rsid w:val="00DD2AB6"/>
    <w:rsid w:val="00DD3E7C"/>
    <w:rsid w:val="00DD4232"/>
    <w:rsid w:val="00DD465F"/>
    <w:rsid w:val="00DD48CF"/>
    <w:rsid w:val="00DD490F"/>
    <w:rsid w:val="00DD5B23"/>
    <w:rsid w:val="00DD6622"/>
    <w:rsid w:val="00DD6D82"/>
    <w:rsid w:val="00DD6DCA"/>
    <w:rsid w:val="00DD6E6E"/>
    <w:rsid w:val="00DD763F"/>
    <w:rsid w:val="00DD78BB"/>
    <w:rsid w:val="00DD7900"/>
    <w:rsid w:val="00DD7C17"/>
    <w:rsid w:val="00DE003F"/>
    <w:rsid w:val="00DE0043"/>
    <w:rsid w:val="00DE09E2"/>
    <w:rsid w:val="00DE0FA9"/>
    <w:rsid w:val="00DE1149"/>
    <w:rsid w:val="00DE17C6"/>
    <w:rsid w:val="00DE23A1"/>
    <w:rsid w:val="00DE2452"/>
    <w:rsid w:val="00DE248F"/>
    <w:rsid w:val="00DE325C"/>
    <w:rsid w:val="00DE36D8"/>
    <w:rsid w:val="00DE41FD"/>
    <w:rsid w:val="00DE4486"/>
    <w:rsid w:val="00DE4F64"/>
    <w:rsid w:val="00DE543F"/>
    <w:rsid w:val="00DE5E04"/>
    <w:rsid w:val="00DE6833"/>
    <w:rsid w:val="00DE7487"/>
    <w:rsid w:val="00DE74A7"/>
    <w:rsid w:val="00DE79F8"/>
    <w:rsid w:val="00DE7A1D"/>
    <w:rsid w:val="00DF0149"/>
    <w:rsid w:val="00DF048B"/>
    <w:rsid w:val="00DF1866"/>
    <w:rsid w:val="00DF260E"/>
    <w:rsid w:val="00DF3058"/>
    <w:rsid w:val="00DF4B4C"/>
    <w:rsid w:val="00DF555C"/>
    <w:rsid w:val="00DF718D"/>
    <w:rsid w:val="00E009F9"/>
    <w:rsid w:val="00E00D90"/>
    <w:rsid w:val="00E02345"/>
    <w:rsid w:val="00E02AD1"/>
    <w:rsid w:val="00E02C3F"/>
    <w:rsid w:val="00E0385C"/>
    <w:rsid w:val="00E03F3A"/>
    <w:rsid w:val="00E0436B"/>
    <w:rsid w:val="00E04DA6"/>
    <w:rsid w:val="00E051D0"/>
    <w:rsid w:val="00E05854"/>
    <w:rsid w:val="00E05C7C"/>
    <w:rsid w:val="00E06A0A"/>
    <w:rsid w:val="00E075C6"/>
    <w:rsid w:val="00E07DCD"/>
    <w:rsid w:val="00E07FF2"/>
    <w:rsid w:val="00E10008"/>
    <w:rsid w:val="00E104CA"/>
    <w:rsid w:val="00E107A4"/>
    <w:rsid w:val="00E109BF"/>
    <w:rsid w:val="00E1118E"/>
    <w:rsid w:val="00E11327"/>
    <w:rsid w:val="00E11A4F"/>
    <w:rsid w:val="00E11C05"/>
    <w:rsid w:val="00E12382"/>
    <w:rsid w:val="00E1281E"/>
    <w:rsid w:val="00E12D46"/>
    <w:rsid w:val="00E13236"/>
    <w:rsid w:val="00E135AB"/>
    <w:rsid w:val="00E13620"/>
    <w:rsid w:val="00E13B0F"/>
    <w:rsid w:val="00E13E0C"/>
    <w:rsid w:val="00E14BA7"/>
    <w:rsid w:val="00E14CB3"/>
    <w:rsid w:val="00E14EE7"/>
    <w:rsid w:val="00E1504E"/>
    <w:rsid w:val="00E16317"/>
    <w:rsid w:val="00E1693E"/>
    <w:rsid w:val="00E16C0F"/>
    <w:rsid w:val="00E173E7"/>
    <w:rsid w:val="00E1768E"/>
    <w:rsid w:val="00E17754"/>
    <w:rsid w:val="00E20FAF"/>
    <w:rsid w:val="00E21637"/>
    <w:rsid w:val="00E217A9"/>
    <w:rsid w:val="00E21EBA"/>
    <w:rsid w:val="00E2258A"/>
    <w:rsid w:val="00E23421"/>
    <w:rsid w:val="00E23F28"/>
    <w:rsid w:val="00E24B7F"/>
    <w:rsid w:val="00E24B90"/>
    <w:rsid w:val="00E25207"/>
    <w:rsid w:val="00E26578"/>
    <w:rsid w:val="00E266CD"/>
    <w:rsid w:val="00E26ABA"/>
    <w:rsid w:val="00E30B79"/>
    <w:rsid w:val="00E315CD"/>
    <w:rsid w:val="00E31643"/>
    <w:rsid w:val="00E31ADD"/>
    <w:rsid w:val="00E31FBE"/>
    <w:rsid w:val="00E3364F"/>
    <w:rsid w:val="00E339FA"/>
    <w:rsid w:val="00E33A2C"/>
    <w:rsid w:val="00E3427D"/>
    <w:rsid w:val="00E34895"/>
    <w:rsid w:val="00E34EA9"/>
    <w:rsid w:val="00E3500D"/>
    <w:rsid w:val="00E35302"/>
    <w:rsid w:val="00E35F83"/>
    <w:rsid w:val="00E36C0C"/>
    <w:rsid w:val="00E36F29"/>
    <w:rsid w:val="00E3717B"/>
    <w:rsid w:val="00E405EE"/>
    <w:rsid w:val="00E406D1"/>
    <w:rsid w:val="00E4078C"/>
    <w:rsid w:val="00E41662"/>
    <w:rsid w:val="00E41FA1"/>
    <w:rsid w:val="00E4243A"/>
    <w:rsid w:val="00E425F1"/>
    <w:rsid w:val="00E4265C"/>
    <w:rsid w:val="00E42F69"/>
    <w:rsid w:val="00E4334F"/>
    <w:rsid w:val="00E43FA7"/>
    <w:rsid w:val="00E443BA"/>
    <w:rsid w:val="00E44601"/>
    <w:rsid w:val="00E447CF"/>
    <w:rsid w:val="00E44FB7"/>
    <w:rsid w:val="00E45E77"/>
    <w:rsid w:val="00E461AF"/>
    <w:rsid w:val="00E4635E"/>
    <w:rsid w:val="00E46AF8"/>
    <w:rsid w:val="00E46F6F"/>
    <w:rsid w:val="00E46F78"/>
    <w:rsid w:val="00E47547"/>
    <w:rsid w:val="00E47856"/>
    <w:rsid w:val="00E5032E"/>
    <w:rsid w:val="00E50344"/>
    <w:rsid w:val="00E50939"/>
    <w:rsid w:val="00E51C88"/>
    <w:rsid w:val="00E52F4A"/>
    <w:rsid w:val="00E5322A"/>
    <w:rsid w:val="00E54CB3"/>
    <w:rsid w:val="00E5501C"/>
    <w:rsid w:val="00E55FEB"/>
    <w:rsid w:val="00E56682"/>
    <w:rsid w:val="00E56711"/>
    <w:rsid w:val="00E56A71"/>
    <w:rsid w:val="00E56BD7"/>
    <w:rsid w:val="00E5776F"/>
    <w:rsid w:val="00E6019A"/>
    <w:rsid w:val="00E609CF"/>
    <w:rsid w:val="00E60CF0"/>
    <w:rsid w:val="00E60E34"/>
    <w:rsid w:val="00E60F8D"/>
    <w:rsid w:val="00E62742"/>
    <w:rsid w:val="00E629E2"/>
    <w:rsid w:val="00E62C4D"/>
    <w:rsid w:val="00E62CD0"/>
    <w:rsid w:val="00E63F4D"/>
    <w:rsid w:val="00E64CB2"/>
    <w:rsid w:val="00E65012"/>
    <w:rsid w:val="00E653F0"/>
    <w:rsid w:val="00E653FD"/>
    <w:rsid w:val="00E656A8"/>
    <w:rsid w:val="00E65856"/>
    <w:rsid w:val="00E65E2A"/>
    <w:rsid w:val="00E662A4"/>
    <w:rsid w:val="00E66789"/>
    <w:rsid w:val="00E66A07"/>
    <w:rsid w:val="00E66B34"/>
    <w:rsid w:val="00E66D63"/>
    <w:rsid w:val="00E66FC9"/>
    <w:rsid w:val="00E67110"/>
    <w:rsid w:val="00E671F2"/>
    <w:rsid w:val="00E6729B"/>
    <w:rsid w:val="00E67383"/>
    <w:rsid w:val="00E67425"/>
    <w:rsid w:val="00E702B9"/>
    <w:rsid w:val="00E7033C"/>
    <w:rsid w:val="00E71C36"/>
    <w:rsid w:val="00E71E4D"/>
    <w:rsid w:val="00E7212D"/>
    <w:rsid w:val="00E72639"/>
    <w:rsid w:val="00E73028"/>
    <w:rsid w:val="00E73C06"/>
    <w:rsid w:val="00E73CBD"/>
    <w:rsid w:val="00E74DF5"/>
    <w:rsid w:val="00E75360"/>
    <w:rsid w:val="00E75D27"/>
    <w:rsid w:val="00E76353"/>
    <w:rsid w:val="00E76657"/>
    <w:rsid w:val="00E767E8"/>
    <w:rsid w:val="00E768F0"/>
    <w:rsid w:val="00E76CE1"/>
    <w:rsid w:val="00E76E4A"/>
    <w:rsid w:val="00E76EE5"/>
    <w:rsid w:val="00E77573"/>
    <w:rsid w:val="00E77796"/>
    <w:rsid w:val="00E77A7A"/>
    <w:rsid w:val="00E77EB6"/>
    <w:rsid w:val="00E80470"/>
    <w:rsid w:val="00E808C3"/>
    <w:rsid w:val="00E809E9"/>
    <w:rsid w:val="00E822E6"/>
    <w:rsid w:val="00E82528"/>
    <w:rsid w:val="00E82B70"/>
    <w:rsid w:val="00E82D0C"/>
    <w:rsid w:val="00E82FFE"/>
    <w:rsid w:val="00E831EE"/>
    <w:rsid w:val="00E83BCB"/>
    <w:rsid w:val="00E840E6"/>
    <w:rsid w:val="00E84168"/>
    <w:rsid w:val="00E84557"/>
    <w:rsid w:val="00E84990"/>
    <w:rsid w:val="00E84D59"/>
    <w:rsid w:val="00E84EA9"/>
    <w:rsid w:val="00E85479"/>
    <w:rsid w:val="00E8551D"/>
    <w:rsid w:val="00E859A9"/>
    <w:rsid w:val="00E86223"/>
    <w:rsid w:val="00E872DB"/>
    <w:rsid w:val="00E87CCB"/>
    <w:rsid w:val="00E87DB6"/>
    <w:rsid w:val="00E904A8"/>
    <w:rsid w:val="00E90623"/>
    <w:rsid w:val="00E909FE"/>
    <w:rsid w:val="00E90C86"/>
    <w:rsid w:val="00E90EA5"/>
    <w:rsid w:val="00E9170C"/>
    <w:rsid w:val="00E91B1A"/>
    <w:rsid w:val="00E9281D"/>
    <w:rsid w:val="00E934F2"/>
    <w:rsid w:val="00E93658"/>
    <w:rsid w:val="00E93725"/>
    <w:rsid w:val="00E93801"/>
    <w:rsid w:val="00E93AAC"/>
    <w:rsid w:val="00E94106"/>
    <w:rsid w:val="00E94495"/>
    <w:rsid w:val="00E94930"/>
    <w:rsid w:val="00E94F99"/>
    <w:rsid w:val="00E94FE4"/>
    <w:rsid w:val="00E95A84"/>
    <w:rsid w:val="00E95E1B"/>
    <w:rsid w:val="00E964AC"/>
    <w:rsid w:val="00E96CDF"/>
    <w:rsid w:val="00E96D71"/>
    <w:rsid w:val="00E97361"/>
    <w:rsid w:val="00EA00C0"/>
    <w:rsid w:val="00EA0D50"/>
    <w:rsid w:val="00EA1E40"/>
    <w:rsid w:val="00EA223F"/>
    <w:rsid w:val="00EA269D"/>
    <w:rsid w:val="00EA2B36"/>
    <w:rsid w:val="00EA2D9F"/>
    <w:rsid w:val="00EA3001"/>
    <w:rsid w:val="00EA3078"/>
    <w:rsid w:val="00EA3455"/>
    <w:rsid w:val="00EA581A"/>
    <w:rsid w:val="00EA603B"/>
    <w:rsid w:val="00EA7297"/>
    <w:rsid w:val="00EA72BE"/>
    <w:rsid w:val="00EB0D0F"/>
    <w:rsid w:val="00EB0D12"/>
    <w:rsid w:val="00EB1168"/>
    <w:rsid w:val="00EB1289"/>
    <w:rsid w:val="00EB16D8"/>
    <w:rsid w:val="00EB1EED"/>
    <w:rsid w:val="00EB20C8"/>
    <w:rsid w:val="00EB241A"/>
    <w:rsid w:val="00EB2A49"/>
    <w:rsid w:val="00EB2BC0"/>
    <w:rsid w:val="00EB307F"/>
    <w:rsid w:val="00EB4836"/>
    <w:rsid w:val="00EB4D95"/>
    <w:rsid w:val="00EB4E8C"/>
    <w:rsid w:val="00EB4ECA"/>
    <w:rsid w:val="00EB4F13"/>
    <w:rsid w:val="00EB524A"/>
    <w:rsid w:val="00EB549B"/>
    <w:rsid w:val="00EB563E"/>
    <w:rsid w:val="00EB70C7"/>
    <w:rsid w:val="00EB7163"/>
    <w:rsid w:val="00EC06F3"/>
    <w:rsid w:val="00EC0AD8"/>
    <w:rsid w:val="00EC0DE1"/>
    <w:rsid w:val="00EC19AF"/>
    <w:rsid w:val="00EC28AD"/>
    <w:rsid w:val="00EC2DE3"/>
    <w:rsid w:val="00EC2FD3"/>
    <w:rsid w:val="00EC341B"/>
    <w:rsid w:val="00EC3790"/>
    <w:rsid w:val="00EC3DF1"/>
    <w:rsid w:val="00EC49E8"/>
    <w:rsid w:val="00EC4ABA"/>
    <w:rsid w:val="00EC4C1F"/>
    <w:rsid w:val="00EC4D93"/>
    <w:rsid w:val="00EC4F01"/>
    <w:rsid w:val="00EC605C"/>
    <w:rsid w:val="00EC62F8"/>
    <w:rsid w:val="00EC6576"/>
    <w:rsid w:val="00EC6A15"/>
    <w:rsid w:val="00EC75C0"/>
    <w:rsid w:val="00EC75E4"/>
    <w:rsid w:val="00EC7DBC"/>
    <w:rsid w:val="00ED0536"/>
    <w:rsid w:val="00ED0C02"/>
    <w:rsid w:val="00ED10C1"/>
    <w:rsid w:val="00ED157F"/>
    <w:rsid w:val="00ED1A90"/>
    <w:rsid w:val="00ED1E24"/>
    <w:rsid w:val="00ED1EDF"/>
    <w:rsid w:val="00ED268A"/>
    <w:rsid w:val="00ED2DBE"/>
    <w:rsid w:val="00ED32BB"/>
    <w:rsid w:val="00ED397C"/>
    <w:rsid w:val="00ED3B59"/>
    <w:rsid w:val="00ED46DB"/>
    <w:rsid w:val="00ED5275"/>
    <w:rsid w:val="00ED57D8"/>
    <w:rsid w:val="00ED644D"/>
    <w:rsid w:val="00ED6645"/>
    <w:rsid w:val="00ED6B1B"/>
    <w:rsid w:val="00ED7FEE"/>
    <w:rsid w:val="00EE05C6"/>
    <w:rsid w:val="00EE08A0"/>
    <w:rsid w:val="00EE0BE2"/>
    <w:rsid w:val="00EE1FCD"/>
    <w:rsid w:val="00EE200D"/>
    <w:rsid w:val="00EE2469"/>
    <w:rsid w:val="00EE3AD6"/>
    <w:rsid w:val="00EE4E85"/>
    <w:rsid w:val="00EE5323"/>
    <w:rsid w:val="00EE6A83"/>
    <w:rsid w:val="00EE7399"/>
    <w:rsid w:val="00EE7869"/>
    <w:rsid w:val="00EE7E40"/>
    <w:rsid w:val="00EF084A"/>
    <w:rsid w:val="00EF13BA"/>
    <w:rsid w:val="00EF16A2"/>
    <w:rsid w:val="00EF17B7"/>
    <w:rsid w:val="00EF1A62"/>
    <w:rsid w:val="00EF20A6"/>
    <w:rsid w:val="00EF2A5C"/>
    <w:rsid w:val="00EF2B08"/>
    <w:rsid w:val="00EF2B1E"/>
    <w:rsid w:val="00EF31D0"/>
    <w:rsid w:val="00EF3672"/>
    <w:rsid w:val="00EF3729"/>
    <w:rsid w:val="00EF3D78"/>
    <w:rsid w:val="00EF45E7"/>
    <w:rsid w:val="00EF490E"/>
    <w:rsid w:val="00EF52A2"/>
    <w:rsid w:val="00EF5CAA"/>
    <w:rsid w:val="00EF5EB2"/>
    <w:rsid w:val="00EF5F32"/>
    <w:rsid w:val="00EF62D8"/>
    <w:rsid w:val="00EF6668"/>
    <w:rsid w:val="00EF74C5"/>
    <w:rsid w:val="00EF789A"/>
    <w:rsid w:val="00EF7E97"/>
    <w:rsid w:val="00EF7FB6"/>
    <w:rsid w:val="00F00C2B"/>
    <w:rsid w:val="00F012C2"/>
    <w:rsid w:val="00F02410"/>
    <w:rsid w:val="00F025E7"/>
    <w:rsid w:val="00F02759"/>
    <w:rsid w:val="00F02985"/>
    <w:rsid w:val="00F03123"/>
    <w:rsid w:val="00F032C0"/>
    <w:rsid w:val="00F0348C"/>
    <w:rsid w:val="00F03D26"/>
    <w:rsid w:val="00F041F0"/>
    <w:rsid w:val="00F04AF8"/>
    <w:rsid w:val="00F04C08"/>
    <w:rsid w:val="00F0618F"/>
    <w:rsid w:val="00F06B54"/>
    <w:rsid w:val="00F10D41"/>
    <w:rsid w:val="00F111CE"/>
    <w:rsid w:val="00F1122E"/>
    <w:rsid w:val="00F113CB"/>
    <w:rsid w:val="00F1176C"/>
    <w:rsid w:val="00F1196B"/>
    <w:rsid w:val="00F11F20"/>
    <w:rsid w:val="00F12EFE"/>
    <w:rsid w:val="00F132D6"/>
    <w:rsid w:val="00F1383E"/>
    <w:rsid w:val="00F1418E"/>
    <w:rsid w:val="00F1447F"/>
    <w:rsid w:val="00F14662"/>
    <w:rsid w:val="00F146FE"/>
    <w:rsid w:val="00F14B59"/>
    <w:rsid w:val="00F15E64"/>
    <w:rsid w:val="00F16956"/>
    <w:rsid w:val="00F170C8"/>
    <w:rsid w:val="00F17A40"/>
    <w:rsid w:val="00F21769"/>
    <w:rsid w:val="00F22665"/>
    <w:rsid w:val="00F226F5"/>
    <w:rsid w:val="00F234C7"/>
    <w:rsid w:val="00F23A25"/>
    <w:rsid w:val="00F23EAE"/>
    <w:rsid w:val="00F24031"/>
    <w:rsid w:val="00F2411D"/>
    <w:rsid w:val="00F24765"/>
    <w:rsid w:val="00F250E3"/>
    <w:rsid w:val="00F25415"/>
    <w:rsid w:val="00F2607C"/>
    <w:rsid w:val="00F26407"/>
    <w:rsid w:val="00F2731B"/>
    <w:rsid w:val="00F27AC8"/>
    <w:rsid w:val="00F27FCE"/>
    <w:rsid w:val="00F3036B"/>
    <w:rsid w:val="00F3145A"/>
    <w:rsid w:val="00F315B0"/>
    <w:rsid w:val="00F31D59"/>
    <w:rsid w:val="00F32078"/>
    <w:rsid w:val="00F3239E"/>
    <w:rsid w:val="00F32747"/>
    <w:rsid w:val="00F32B8C"/>
    <w:rsid w:val="00F32EA2"/>
    <w:rsid w:val="00F32EE2"/>
    <w:rsid w:val="00F331C3"/>
    <w:rsid w:val="00F33299"/>
    <w:rsid w:val="00F332ED"/>
    <w:rsid w:val="00F3415D"/>
    <w:rsid w:val="00F341E0"/>
    <w:rsid w:val="00F3449F"/>
    <w:rsid w:val="00F34854"/>
    <w:rsid w:val="00F3488B"/>
    <w:rsid w:val="00F34CDF"/>
    <w:rsid w:val="00F35AE6"/>
    <w:rsid w:val="00F360D5"/>
    <w:rsid w:val="00F365CC"/>
    <w:rsid w:val="00F36A70"/>
    <w:rsid w:val="00F36B9D"/>
    <w:rsid w:val="00F36DF2"/>
    <w:rsid w:val="00F36EA2"/>
    <w:rsid w:val="00F37C10"/>
    <w:rsid w:val="00F37DB3"/>
    <w:rsid w:val="00F37ECB"/>
    <w:rsid w:val="00F402B4"/>
    <w:rsid w:val="00F40598"/>
    <w:rsid w:val="00F40C61"/>
    <w:rsid w:val="00F4176B"/>
    <w:rsid w:val="00F41CA0"/>
    <w:rsid w:val="00F41E57"/>
    <w:rsid w:val="00F42637"/>
    <w:rsid w:val="00F42965"/>
    <w:rsid w:val="00F4298C"/>
    <w:rsid w:val="00F429A2"/>
    <w:rsid w:val="00F44278"/>
    <w:rsid w:val="00F443E6"/>
    <w:rsid w:val="00F445B4"/>
    <w:rsid w:val="00F45BE0"/>
    <w:rsid w:val="00F45DDE"/>
    <w:rsid w:val="00F45E4E"/>
    <w:rsid w:val="00F465CA"/>
    <w:rsid w:val="00F4670F"/>
    <w:rsid w:val="00F46752"/>
    <w:rsid w:val="00F47421"/>
    <w:rsid w:val="00F475F1"/>
    <w:rsid w:val="00F50364"/>
    <w:rsid w:val="00F50784"/>
    <w:rsid w:val="00F508B7"/>
    <w:rsid w:val="00F51A59"/>
    <w:rsid w:val="00F52066"/>
    <w:rsid w:val="00F526A1"/>
    <w:rsid w:val="00F52A51"/>
    <w:rsid w:val="00F52FD9"/>
    <w:rsid w:val="00F5413A"/>
    <w:rsid w:val="00F54D53"/>
    <w:rsid w:val="00F5522F"/>
    <w:rsid w:val="00F55715"/>
    <w:rsid w:val="00F55D4B"/>
    <w:rsid w:val="00F56144"/>
    <w:rsid w:val="00F5648F"/>
    <w:rsid w:val="00F568CA"/>
    <w:rsid w:val="00F5708C"/>
    <w:rsid w:val="00F57155"/>
    <w:rsid w:val="00F57F32"/>
    <w:rsid w:val="00F60329"/>
    <w:rsid w:val="00F60477"/>
    <w:rsid w:val="00F606A5"/>
    <w:rsid w:val="00F6187E"/>
    <w:rsid w:val="00F6246D"/>
    <w:rsid w:val="00F627D3"/>
    <w:rsid w:val="00F628C8"/>
    <w:rsid w:val="00F6290E"/>
    <w:rsid w:val="00F62F81"/>
    <w:rsid w:val="00F6305D"/>
    <w:rsid w:val="00F63816"/>
    <w:rsid w:val="00F63A07"/>
    <w:rsid w:val="00F63B3E"/>
    <w:rsid w:val="00F63F2A"/>
    <w:rsid w:val="00F647EB"/>
    <w:rsid w:val="00F648FE"/>
    <w:rsid w:val="00F65841"/>
    <w:rsid w:val="00F66719"/>
    <w:rsid w:val="00F675EE"/>
    <w:rsid w:val="00F7094F"/>
    <w:rsid w:val="00F70C84"/>
    <w:rsid w:val="00F72322"/>
    <w:rsid w:val="00F729F6"/>
    <w:rsid w:val="00F72DA3"/>
    <w:rsid w:val="00F73FAE"/>
    <w:rsid w:val="00F741CF"/>
    <w:rsid w:val="00F746F6"/>
    <w:rsid w:val="00F74F0F"/>
    <w:rsid w:val="00F74F10"/>
    <w:rsid w:val="00F7533F"/>
    <w:rsid w:val="00F75D49"/>
    <w:rsid w:val="00F75EA4"/>
    <w:rsid w:val="00F75EF8"/>
    <w:rsid w:val="00F75FEE"/>
    <w:rsid w:val="00F7681D"/>
    <w:rsid w:val="00F77C13"/>
    <w:rsid w:val="00F77C87"/>
    <w:rsid w:val="00F80269"/>
    <w:rsid w:val="00F8034F"/>
    <w:rsid w:val="00F80960"/>
    <w:rsid w:val="00F817CC"/>
    <w:rsid w:val="00F82122"/>
    <w:rsid w:val="00F8248E"/>
    <w:rsid w:val="00F82874"/>
    <w:rsid w:val="00F831BD"/>
    <w:rsid w:val="00F83CEF"/>
    <w:rsid w:val="00F83DFE"/>
    <w:rsid w:val="00F8480D"/>
    <w:rsid w:val="00F8498D"/>
    <w:rsid w:val="00F84C54"/>
    <w:rsid w:val="00F851F5"/>
    <w:rsid w:val="00F853B5"/>
    <w:rsid w:val="00F8730A"/>
    <w:rsid w:val="00F906F5"/>
    <w:rsid w:val="00F90CD1"/>
    <w:rsid w:val="00F90D23"/>
    <w:rsid w:val="00F91158"/>
    <w:rsid w:val="00F91368"/>
    <w:rsid w:val="00F91D04"/>
    <w:rsid w:val="00F91EE3"/>
    <w:rsid w:val="00F91FBC"/>
    <w:rsid w:val="00F922AF"/>
    <w:rsid w:val="00F9244A"/>
    <w:rsid w:val="00F92FF3"/>
    <w:rsid w:val="00F9411E"/>
    <w:rsid w:val="00F94362"/>
    <w:rsid w:val="00F94399"/>
    <w:rsid w:val="00F944BF"/>
    <w:rsid w:val="00F944CC"/>
    <w:rsid w:val="00F9474A"/>
    <w:rsid w:val="00F94826"/>
    <w:rsid w:val="00F94B1D"/>
    <w:rsid w:val="00F958A4"/>
    <w:rsid w:val="00F969A5"/>
    <w:rsid w:val="00F96A6C"/>
    <w:rsid w:val="00F97550"/>
    <w:rsid w:val="00F97B9C"/>
    <w:rsid w:val="00F97C7C"/>
    <w:rsid w:val="00FA001C"/>
    <w:rsid w:val="00FA0061"/>
    <w:rsid w:val="00FA0357"/>
    <w:rsid w:val="00FA07F2"/>
    <w:rsid w:val="00FA09C2"/>
    <w:rsid w:val="00FA1B26"/>
    <w:rsid w:val="00FA2152"/>
    <w:rsid w:val="00FA221A"/>
    <w:rsid w:val="00FA2915"/>
    <w:rsid w:val="00FA2A3A"/>
    <w:rsid w:val="00FA2A45"/>
    <w:rsid w:val="00FA3108"/>
    <w:rsid w:val="00FA3136"/>
    <w:rsid w:val="00FA3839"/>
    <w:rsid w:val="00FA3B55"/>
    <w:rsid w:val="00FA3CDE"/>
    <w:rsid w:val="00FA3E9D"/>
    <w:rsid w:val="00FA498A"/>
    <w:rsid w:val="00FA55B1"/>
    <w:rsid w:val="00FA5945"/>
    <w:rsid w:val="00FA5CF4"/>
    <w:rsid w:val="00FA63D6"/>
    <w:rsid w:val="00FA659B"/>
    <w:rsid w:val="00FB00D4"/>
    <w:rsid w:val="00FB05AE"/>
    <w:rsid w:val="00FB071A"/>
    <w:rsid w:val="00FB0787"/>
    <w:rsid w:val="00FB0A64"/>
    <w:rsid w:val="00FB0EF7"/>
    <w:rsid w:val="00FB175E"/>
    <w:rsid w:val="00FB19FC"/>
    <w:rsid w:val="00FB1A95"/>
    <w:rsid w:val="00FB2AC2"/>
    <w:rsid w:val="00FB3C78"/>
    <w:rsid w:val="00FB4193"/>
    <w:rsid w:val="00FB43A8"/>
    <w:rsid w:val="00FB5D22"/>
    <w:rsid w:val="00FB5F1B"/>
    <w:rsid w:val="00FB655B"/>
    <w:rsid w:val="00FB6D1F"/>
    <w:rsid w:val="00FB711F"/>
    <w:rsid w:val="00FB7260"/>
    <w:rsid w:val="00FB76A6"/>
    <w:rsid w:val="00FB7B32"/>
    <w:rsid w:val="00FB7E66"/>
    <w:rsid w:val="00FC0125"/>
    <w:rsid w:val="00FC0382"/>
    <w:rsid w:val="00FC0689"/>
    <w:rsid w:val="00FC0728"/>
    <w:rsid w:val="00FC0F30"/>
    <w:rsid w:val="00FC1765"/>
    <w:rsid w:val="00FC190E"/>
    <w:rsid w:val="00FC1B38"/>
    <w:rsid w:val="00FC1D0D"/>
    <w:rsid w:val="00FC1F3B"/>
    <w:rsid w:val="00FC212B"/>
    <w:rsid w:val="00FC23FC"/>
    <w:rsid w:val="00FC243B"/>
    <w:rsid w:val="00FC2E3E"/>
    <w:rsid w:val="00FC39BC"/>
    <w:rsid w:val="00FC44C8"/>
    <w:rsid w:val="00FC44DA"/>
    <w:rsid w:val="00FC49AF"/>
    <w:rsid w:val="00FC50EB"/>
    <w:rsid w:val="00FC5A1D"/>
    <w:rsid w:val="00FC63BF"/>
    <w:rsid w:val="00FC6457"/>
    <w:rsid w:val="00FC657E"/>
    <w:rsid w:val="00FC7315"/>
    <w:rsid w:val="00FD05A1"/>
    <w:rsid w:val="00FD0E5D"/>
    <w:rsid w:val="00FD2EBA"/>
    <w:rsid w:val="00FD3362"/>
    <w:rsid w:val="00FD3490"/>
    <w:rsid w:val="00FD3919"/>
    <w:rsid w:val="00FD3DED"/>
    <w:rsid w:val="00FD3F09"/>
    <w:rsid w:val="00FD4E90"/>
    <w:rsid w:val="00FD6346"/>
    <w:rsid w:val="00FD63E1"/>
    <w:rsid w:val="00FD66FE"/>
    <w:rsid w:val="00FD6777"/>
    <w:rsid w:val="00FD751F"/>
    <w:rsid w:val="00FD7BA5"/>
    <w:rsid w:val="00FE04CF"/>
    <w:rsid w:val="00FE0C3D"/>
    <w:rsid w:val="00FE1233"/>
    <w:rsid w:val="00FE1B76"/>
    <w:rsid w:val="00FE1F02"/>
    <w:rsid w:val="00FE2220"/>
    <w:rsid w:val="00FE297F"/>
    <w:rsid w:val="00FE2A82"/>
    <w:rsid w:val="00FE3050"/>
    <w:rsid w:val="00FE377E"/>
    <w:rsid w:val="00FE38FF"/>
    <w:rsid w:val="00FE45C0"/>
    <w:rsid w:val="00FE4915"/>
    <w:rsid w:val="00FE4963"/>
    <w:rsid w:val="00FE4BC8"/>
    <w:rsid w:val="00FE5500"/>
    <w:rsid w:val="00FE67BB"/>
    <w:rsid w:val="00FE69F4"/>
    <w:rsid w:val="00FE6D5D"/>
    <w:rsid w:val="00FE71EE"/>
    <w:rsid w:val="00FF03AB"/>
    <w:rsid w:val="00FF0F6D"/>
    <w:rsid w:val="00FF148A"/>
    <w:rsid w:val="00FF1999"/>
    <w:rsid w:val="00FF1A93"/>
    <w:rsid w:val="00FF1DF8"/>
    <w:rsid w:val="00FF207E"/>
    <w:rsid w:val="00FF2181"/>
    <w:rsid w:val="00FF2856"/>
    <w:rsid w:val="00FF289E"/>
    <w:rsid w:val="00FF2C2A"/>
    <w:rsid w:val="00FF3E77"/>
    <w:rsid w:val="00FF465D"/>
    <w:rsid w:val="00FF5180"/>
    <w:rsid w:val="00FF538D"/>
    <w:rsid w:val="00FF58AA"/>
    <w:rsid w:val="00FF7556"/>
    <w:rsid w:val="00FF7756"/>
    <w:rsid w:val="00FF7BE4"/>
    <w:rsid w:val="00FF7D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6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5D"/>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CD280D"/>
    <w:pPr>
      <w:spacing w:line="240" w:lineRule="auto"/>
    </w:pPr>
    <w:rPr>
      <w:rFonts w:cs="Times New Roman"/>
      <w:szCs w:val="20"/>
    </w:rPr>
  </w:style>
  <w:style w:type="character" w:customStyle="1" w:styleId="FootnoteTextChar">
    <w:name w:val="Footnote Text Char"/>
    <w:basedOn w:val="DefaultParagraphFont"/>
    <w:link w:val="FootnoteText"/>
    <w:rsid w:val="00CD280D"/>
    <w:rPr>
      <w:rFonts w:ascii="Times New Roman" w:hAnsi="Times New Roman" w:cs="Times New Roman"/>
      <w:sz w:val="26"/>
      <w:szCs w:val="20"/>
    </w:rPr>
  </w:style>
  <w:style w:type="character" w:styleId="FootnoteReference">
    <w:name w:val="footnote reference"/>
    <w:basedOn w:val="DefaultParagraphFont"/>
    <w:unhideWhenUsed/>
    <w:rsid w:val="00CD280D"/>
    <w:rPr>
      <w:b/>
      <w:position w:val="8"/>
      <w:sz w:val="20"/>
      <w:vertAlign w:val="baseline"/>
    </w:rPr>
  </w:style>
  <w:style w:type="paragraph" w:styleId="Header">
    <w:name w:val="header"/>
    <w:basedOn w:val="Normal"/>
    <w:link w:val="HeaderChar"/>
    <w:uiPriority w:val="99"/>
    <w:unhideWhenUsed/>
    <w:rsid w:val="00CD280D"/>
    <w:pPr>
      <w:tabs>
        <w:tab w:val="center" w:pos="4680"/>
        <w:tab w:val="right" w:pos="9360"/>
      </w:tabs>
      <w:spacing w:line="240" w:lineRule="auto"/>
    </w:pPr>
  </w:style>
  <w:style w:type="character" w:customStyle="1" w:styleId="HeaderChar">
    <w:name w:val="Header Char"/>
    <w:basedOn w:val="DefaultParagraphFont"/>
    <w:link w:val="Header"/>
    <w:uiPriority w:val="99"/>
    <w:rsid w:val="00CD280D"/>
    <w:rPr>
      <w:rFonts w:ascii="Times New Roman" w:hAnsi="Times New Roman"/>
      <w:sz w:val="26"/>
    </w:rPr>
  </w:style>
  <w:style w:type="paragraph" w:styleId="Footer">
    <w:name w:val="footer"/>
    <w:basedOn w:val="Normal"/>
    <w:link w:val="FooterChar"/>
    <w:uiPriority w:val="99"/>
    <w:unhideWhenUsed/>
    <w:rsid w:val="00CD280D"/>
    <w:pPr>
      <w:tabs>
        <w:tab w:val="center" w:pos="4680"/>
        <w:tab w:val="right" w:pos="9360"/>
      </w:tabs>
      <w:spacing w:line="240" w:lineRule="auto"/>
    </w:pPr>
  </w:style>
  <w:style w:type="character" w:customStyle="1" w:styleId="FooterChar">
    <w:name w:val="Footer Char"/>
    <w:basedOn w:val="DefaultParagraphFont"/>
    <w:link w:val="Footer"/>
    <w:uiPriority w:val="99"/>
    <w:rsid w:val="00CD280D"/>
    <w:rPr>
      <w:rFonts w:ascii="Times New Roman" w:hAnsi="Times New Roman"/>
      <w:sz w:val="26"/>
    </w:rPr>
  </w:style>
  <w:style w:type="character" w:styleId="PageNumber">
    <w:name w:val="page number"/>
    <w:basedOn w:val="DefaultParagraphFont"/>
    <w:uiPriority w:val="99"/>
    <w:semiHidden/>
    <w:unhideWhenUsed/>
    <w:rsid w:val="00CD280D"/>
  </w:style>
  <w:style w:type="table" w:styleId="TableGrid">
    <w:name w:val="Table Grid"/>
    <w:basedOn w:val="TableNormal"/>
    <w:uiPriority w:val="39"/>
    <w:rsid w:val="00CD280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7F55"/>
    <w:pPr>
      <w:ind w:left="720"/>
      <w:contextualSpacing/>
    </w:pPr>
  </w:style>
  <w:style w:type="character" w:styleId="CommentReference">
    <w:name w:val="annotation reference"/>
    <w:basedOn w:val="DefaultParagraphFont"/>
    <w:uiPriority w:val="99"/>
    <w:semiHidden/>
    <w:unhideWhenUsed/>
    <w:rsid w:val="004B0390"/>
    <w:rPr>
      <w:sz w:val="16"/>
      <w:szCs w:val="16"/>
    </w:rPr>
  </w:style>
  <w:style w:type="paragraph" w:styleId="CommentText">
    <w:name w:val="annotation text"/>
    <w:basedOn w:val="Normal"/>
    <w:link w:val="CommentTextChar"/>
    <w:uiPriority w:val="99"/>
    <w:unhideWhenUsed/>
    <w:rsid w:val="004B0390"/>
    <w:pPr>
      <w:spacing w:line="240" w:lineRule="auto"/>
    </w:pPr>
    <w:rPr>
      <w:sz w:val="20"/>
      <w:szCs w:val="20"/>
    </w:rPr>
  </w:style>
  <w:style w:type="character" w:customStyle="1" w:styleId="CommentTextChar">
    <w:name w:val="Comment Text Char"/>
    <w:basedOn w:val="DefaultParagraphFont"/>
    <w:link w:val="CommentText"/>
    <w:uiPriority w:val="99"/>
    <w:rsid w:val="004B039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B0390"/>
    <w:rPr>
      <w:b/>
      <w:bCs/>
    </w:rPr>
  </w:style>
  <w:style w:type="character" w:customStyle="1" w:styleId="CommentSubjectChar">
    <w:name w:val="Comment Subject Char"/>
    <w:basedOn w:val="CommentTextChar"/>
    <w:link w:val="CommentSubject"/>
    <w:uiPriority w:val="99"/>
    <w:semiHidden/>
    <w:rsid w:val="004B0390"/>
    <w:rPr>
      <w:rFonts w:ascii="Times New Roman" w:hAnsi="Times New Roman"/>
      <w:b/>
      <w:bCs/>
      <w:sz w:val="20"/>
      <w:szCs w:val="20"/>
    </w:rPr>
  </w:style>
  <w:style w:type="paragraph" w:styleId="BalloonText">
    <w:name w:val="Balloon Text"/>
    <w:basedOn w:val="Normal"/>
    <w:link w:val="BalloonTextChar"/>
    <w:uiPriority w:val="99"/>
    <w:semiHidden/>
    <w:unhideWhenUsed/>
    <w:rsid w:val="00A8528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28E"/>
    <w:rPr>
      <w:rFonts w:ascii="Segoe UI" w:hAnsi="Segoe UI" w:cs="Segoe UI"/>
      <w:sz w:val="18"/>
      <w:szCs w:val="18"/>
    </w:rPr>
  </w:style>
  <w:style w:type="paragraph" w:styleId="EndnoteText">
    <w:name w:val="endnote text"/>
    <w:basedOn w:val="Normal"/>
    <w:link w:val="EndnoteTextChar"/>
    <w:uiPriority w:val="99"/>
    <w:semiHidden/>
    <w:unhideWhenUsed/>
    <w:rsid w:val="00FF7756"/>
    <w:pPr>
      <w:spacing w:line="240" w:lineRule="auto"/>
    </w:pPr>
    <w:rPr>
      <w:sz w:val="20"/>
      <w:szCs w:val="20"/>
    </w:rPr>
  </w:style>
  <w:style w:type="character" w:customStyle="1" w:styleId="EndnoteTextChar">
    <w:name w:val="Endnote Text Char"/>
    <w:basedOn w:val="DefaultParagraphFont"/>
    <w:link w:val="EndnoteText"/>
    <w:uiPriority w:val="99"/>
    <w:semiHidden/>
    <w:rsid w:val="00FF7756"/>
    <w:rPr>
      <w:rFonts w:ascii="Times New Roman" w:hAnsi="Times New Roman"/>
      <w:sz w:val="20"/>
      <w:szCs w:val="20"/>
    </w:rPr>
  </w:style>
  <w:style w:type="character" w:styleId="EndnoteReference">
    <w:name w:val="endnote reference"/>
    <w:basedOn w:val="DefaultParagraphFont"/>
    <w:uiPriority w:val="99"/>
    <w:semiHidden/>
    <w:unhideWhenUsed/>
    <w:rsid w:val="00FF7756"/>
    <w:rPr>
      <w:vertAlign w:val="superscript"/>
    </w:rPr>
  </w:style>
  <w:style w:type="character" w:customStyle="1" w:styleId="ssleftalign">
    <w:name w:val="ss_leftalign"/>
    <w:basedOn w:val="DefaultParagraphFont"/>
    <w:rsid w:val="00706A0D"/>
  </w:style>
  <w:style w:type="character" w:styleId="Hyperlink">
    <w:name w:val="Hyperlink"/>
    <w:basedOn w:val="DefaultParagraphFont"/>
    <w:uiPriority w:val="99"/>
    <w:unhideWhenUsed/>
    <w:rsid w:val="00706A0D"/>
    <w:rPr>
      <w:color w:val="0000FF"/>
      <w:u w:val="single"/>
    </w:rPr>
  </w:style>
  <w:style w:type="character" w:customStyle="1" w:styleId="ssrfcpassagedeactivated">
    <w:name w:val="ss_rfcpassage_deactivated"/>
    <w:basedOn w:val="DefaultParagraphFont"/>
    <w:rsid w:val="00706A0D"/>
  </w:style>
  <w:style w:type="character" w:customStyle="1" w:styleId="UnresolvedMention1">
    <w:name w:val="Unresolved Mention1"/>
    <w:basedOn w:val="DefaultParagraphFont"/>
    <w:uiPriority w:val="99"/>
    <w:semiHidden/>
    <w:unhideWhenUsed/>
    <w:rsid w:val="00070E76"/>
    <w:rPr>
      <w:color w:val="605E5C"/>
      <w:shd w:val="clear" w:color="auto" w:fill="E1DFDD"/>
    </w:rPr>
  </w:style>
  <w:style w:type="paragraph" w:styleId="Revision">
    <w:name w:val="Revision"/>
    <w:hidden/>
    <w:uiPriority w:val="99"/>
    <w:semiHidden/>
    <w:rsid w:val="006050C6"/>
    <w:pPr>
      <w:spacing w:line="240" w:lineRule="auto"/>
    </w:pPr>
    <w:rPr>
      <w:rFonts w:ascii="Times New Roman" w:hAnsi="Times New Roman"/>
      <w:sz w:val="26"/>
    </w:rPr>
  </w:style>
  <w:style w:type="paragraph" w:customStyle="1" w:styleId="DraftFootnote">
    <w:name w:val="Draft Footnote"/>
    <w:basedOn w:val="Normal"/>
    <w:rsid w:val="00A00556"/>
    <w:pPr>
      <w:overflowPunct w:val="0"/>
      <w:autoSpaceDE w:val="0"/>
      <w:autoSpaceDN w:val="0"/>
      <w:spacing w:after="240" w:line="240" w:lineRule="auto"/>
      <w:ind w:firstLine="720"/>
    </w:pPr>
    <w:rPr>
      <w:rFonts w:eastAsia="Calibri" w:cs="Times New Roman"/>
      <w:szCs w:val="26"/>
    </w:rPr>
  </w:style>
  <w:style w:type="paragraph" w:customStyle="1" w:styleId="SigPage1">
    <w:name w:val="Sig.Page.1"/>
    <w:basedOn w:val="Normal"/>
    <w:rsid w:val="007F4AB4"/>
    <w:pPr>
      <w:tabs>
        <w:tab w:val="left" w:pos="2880"/>
      </w:tabs>
      <w:overflowPunct w:val="0"/>
      <w:autoSpaceDE w:val="0"/>
      <w:autoSpaceDN w:val="0"/>
      <w:adjustRightInd w:val="0"/>
      <w:spacing w:line="240" w:lineRule="auto"/>
      <w:textAlignment w:val="baseline"/>
    </w:pPr>
    <w:rPr>
      <w:rFonts w:eastAsia="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1.xml"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&#65279;<?xml version="1.0" encoding="utf-8" standalone="yes"?><Relationships xmlns="http://schemas.openxmlformats.org/package/2006/relationships"><Relationship Id="rId1" Type="http://schemas.microsoft.com/office/2011/relationships/webextension" Target="webextension1.xml" /></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DB58A7-E9ED-492C-ACC5-4387BE343540}">
  <we:reference id="wa200003725" version="3.0.0.0" store="en-US" storeType="omex"/>
  <we:alternateReferences>
    <we:reference id="wa200003725" version="3.0.0.0" store="wa200003725" storeType="omex"/>
  </we:alternateReferences>
  <we:properties/>
  <we:bindings/>
  <we:snapshot xmlns:r="http://schemas.openxmlformats.org/officeDocument/2006/relationships"/>
</we:webextension>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7FDDFA3DD6BB4F908AF7FF3D2C7754" ma:contentTypeVersion="18" ma:contentTypeDescription="Create a new document." ma:contentTypeScope="" ma:versionID="eef100d9b37978f5e44fa247e049b261">
  <xsd:schema xmlns:xsd="http://www.w3.org/2001/XMLSchema" xmlns:xs="http://www.w3.org/2001/XMLSchema" xmlns:p="http://schemas.microsoft.com/office/2006/metadata/properties" xmlns:ns3="40edb573-6690-4eac-94e5-5eba1acbb3b9" xmlns:ns4="9a80d663-422e-4d37-8a54-9c1e1eed4887" targetNamespace="http://schemas.microsoft.com/office/2006/metadata/properties" ma:root="true" ma:fieldsID="bdf8cad13197682205fcfc8df02b7112" ns3:_="" ns4:_="">
    <xsd:import namespace="40edb573-6690-4eac-94e5-5eba1acbb3b9"/>
    <xsd:import namespace="9a80d663-422e-4d37-8a54-9c1e1eed48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ObjectDetectorVersions" minOccurs="0"/>
                <xsd:element ref="ns3:MediaServiceDateTaken" minOccurs="0"/>
                <xsd:element ref="ns3:MediaServiceLocation"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edb573-6690-4eac-94e5-5eba1acbb3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DateTaken" ma:index="21" nillable="true" ma:displayName="MediaServiceDateTaken" ma:hidden="true" ma:indexed="true" ma:internalName="MediaServiceDateTaken"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80d663-422e-4d37-8a54-9c1e1eed4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40edb573-6690-4eac-94e5-5eba1acbb3b9" xsi:nil="true"/>
  </documentManagement>
</p:properties>
</file>

<file path=customXml/itemProps1.xml><?xml version="1.0" encoding="utf-8"?>
<ds:datastoreItem xmlns:ds="http://schemas.openxmlformats.org/officeDocument/2006/customXml" ds:itemID="{59E2608F-0158-4E6C-AF34-73EC24F828BB}">
  <ds:schemaRefs>
    <ds:schemaRef ds:uri="http://schemas.openxmlformats.org/officeDocument/2006/bibliography"/>
  </ds:schemaRefs>
</ds:datastoreItem>
</file>

<file path=customXml/itemProps2.xml><?xml version="1.0" encoding="utf-8"?>
<ds:datastoreItem xmlns:ds="http://schemas.openxmlformats.org/officeDocument/2006/customXml" ds:itemID="{8BF697FE-B625-4D12-90A6-A803BFF17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edb573-6690-4eac-94e5-5eba1acbb3b9"/>
    <ds:schemaRef ds:uri="9a80d663-422e-4d37-8a54-9c1e1eed4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6F241F-E2B1-4DA9-AC99-B9C49B8D4A0D}">
  <ds:schemaRefs>
    <ds:schemaRef ds:uri="http://schemas.microsoft.com/sharepoint/v3/contenttype/forms"/>
  </ds:schemaRefs>
</ds:datastoreItem>
</file>

<file path=customXml/itemProps4.xml><?xml version="1.0" encoding="utf-8"?>
<ds:datastoreItem xmlns:ds="http://schemas.openxmlformats.org/officeDocument/2006/customXml" ds:itemID="{ABB47502-89E1-450F-8015-F6BBD7405F98}">
  <ds:schemaRefs>
    <ds:schemaRef ds:uri="http://schemas.microsoft.com/office/2006/metadata/properties"/>
    <ds:schemaRef ds:uri="http://schemas.microsoft.com/office/infopath/2007/PartnerControls"/>
    <ds:schemaRef ds:uri="40edb573-6690-4eac-94e5-5eba1acbb3b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12379</Words>
  <Characters>70563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2024-02-22T23:04:05Z</dcterms:created>
  <dcterms:modified xsi:type="dcterms:W3CDTF">2024-02-22T23:04:05Z</dcterms:modified>
</cp:coreProperties>
</file>