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6EF6" w14:textId="1D76E1AC" w:rsidR="00701C0E" w:rsidRPr="0028108E" w:rsidRDefault="00701C0E" w:rsidP="00701C0E">
      <w:pPr>
        <w:rPr>
          <w:sz w:val="20"/>
        </w:rPr>
      </w:pPr>
      <w:r w:rsidRPr="0028108E">
        <w:rPr>
          <w:sz w:val="20"/>
        </w:rPr>
        <w:t>Filed 2/9/24</w:t>
      </w:r>
      <w:r>
        <w:rPr>
          <w:sz w:val="20"/>
        </w:rPr>
        <w:t xml:space="preserve"> (unmodified </w:t>
      </w:r>
      <w:proofErr w:type="spellStart"/>
      <w:r>
        <w:rPr>
          <w:sz w:val="20"/>
        </w:rPr>
        <w:t>opn</w:t>
      </w:r>
      <w:proofErr w:type="spellEnd"/>
      <w:r>
        <w:rPr>
          <w:sz w:val="20"/>
        </w:rPr>
        <w:t>. attached)</w:t>
      </w:r>
    </w:p>
    <w:p w14:paraId="0F20BEAB" w14:textId="77777777" w:rsidR="00701C0E" w:rsidRPr="00957D3C" w:rsidRDefault="00701C0E" w:rsidP="00701C0E">
      <w:pPr>
        <w:rPr>
          <w:sz w:val="20"/>
        </w:rPr>
      </w:pPr>
    </w:p>
    <w:p w14:paraId="763F6954" w14:textId="77777777" w:rsidR="00701C0E" w:rsidRPr="002E116B" w:rsidRDefault="00701C0E" w:rsidP="00701C0E">
      <w:pPr>
        <w:jc w:val="center"/>
        <w:rPr>
          <w:b/>
        </w:rPr>
      </w:pPr>
      <w:r w:rsidRPr="002E116B">
        <w:rPr>
          <w:b/>
        </w:rPr>
        <w:t>CERTIFIED FOR PUBLICATION</w:t>
      </w:r>
    </w:p>
    <w:p w14:paraId="79B8B918" w14:textId="77777777" w:rsidR="00701C0E" w:rsidRPr="002E116B" w:rsidRDefault="00701C0E" w:rsidP="00701C0E">
      <w:pPr>
        <w:jc w:val="center"/>
        <w:rPr>
          <w:b/>
        </w:rPr>
      </w:pPr>
    </w:p>
    <w:p w14:paraId="3EA1B80B" w14:textId="77777777" w:rsidR="00701C0E" w:rsidRPr="002E116B" w:rsidRDefault="00701C0E" w:rsidP="00701C0E">
      <w:pPr>
        <w:jc w:val="center"/>
      </w:pPr>
    </w:p>
    <w:p w14:paraId="5D1E4E3E" w14:textId="77777777" w:rsidR="00701C0E" w:rsidRPr="002E116B" w:rsidRDefault="00701C0E" w:rsidP="00701C0E">
      <w:pPr>
        <w:jc w:val="center"/>
      </w:pPr>
    </w:p>
    <w:p w14:paraId="6EAC8EF7" w14:textId="77777777" w:rsidR="00701C0E" w:rsidRPr="002E116B" w:rsidRDefault="00701C0E" w:rsidP="00701C0E">
      <w:pPr>
        <w:jc w:val="center"/>
        <w:rPr>
          <w:b/>
        </w:rPr>
      </w:pPr>
      <w:r w:rsidRPr="002E116B">
        <w:rPr>
          <w:b/>
        </w:rPr>
        <w:t>IN THE COURT OF APPEAL OF THE STATE OF CALIFORNIA</w:t>
      </w:r>
    </w:p>
    <w:p w14:paraId="6CF58FE4" w14:textId="77777777" w:rsidR="00701C0E" w:rsidRPr="002E116B" w:rsidRDefault="00701C0E" w:rsidP="00701C0E">
      <w:pPr>
        <w:jc w:val="center"/>
        <w:rPr>
          <w:b/>
        </w:rPr>
      </w:pPr>
    </w:p>
    <w:p w14:paraId="239E08E7" w14:textId="77777777" w:rsidR="00701C0E" w:rsidRPr="002E116B" w:rsidRDefault="00701C0E" w:rsidP="00701C0E">
      <w:pPr>
        <w:jc w:val="center"/>
        <w:rPr>
          <w:b/>
        </w:rPr>
      </w:pPr>
      <w:r w:rsidRPr="002E116B">
        <w:rPr>
          <w:b/>
        </w:rPr>
        <w:t>FOURTH APPELLATE DISTRICT</w:t>
      </w:r>
    </w:p>
    <w:p w14:paraId="00C84F21" w14:textId="77777777" w:rsidR="00701C0E" w:rsidRPr="002E116B" w:rsidRDefault="00701C0E" w:rsidP="00701C0E">
      <w:pPr>
        <w:jc w:val="center"/>
        <w:rPr>
          <w:b/>
        </w:rPr>
      </w:pPr>
    </w:p>
    <w:p w14:paraId="1F9043DC" w14:textId="77777777" w:rsidR="00701C0E" w:rsidRPr="002E116B" w:rsidRDefault="00701C0E" w:rsidP="00701C0E">
      <w:pPr>
        <w:jc w:val="center"/>
        <w:rPr>
          <w:b/>
        </w:rPr>
      </w:pPr>
      <w:r w:rsidRPr="002E116B">
        <w:rPr>
          <w:b/>
        </w:rPr>
        <w:t>DIVISION TWO</w:t>
      </w:r>
    </w:p>
    <w:p w14:paraId="7C882277" w14:textId="77777777" w:rsidR="00701C0E" w:rsidRPr="002E116B" w:rsidRDefault="00701C0E" w:rsidP="00701C0E">
      <w:pPr>
        <w:jc w:val="center"/>
      </w:pPr>
    </w:p>
    <w:p w14:paraId="0D9F28E1" w14:textId="77777777" w:rsidR="00701C0E" w:rsidRPr="002E116B" w:rsidRDefault="00701C0E" w:rsidP="00701C0E">
      <w:pPr>
        <w:jc w:val="center"/>
      </w:pPr>
    </w:p>
    <w:p w14:paraId="2DF0025A" w14:textId="77777777" w:rsidR="00701C0E" w:rsidRPr="002E116B" w:rsidRDefault="00701C0E" w:rsidP="00701C0E">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701C0E" w14:paraId="1DFF3A03" w14:textId="77777777" w:rsidTr="00BD1242">
        <w:tc>
          <w:tcPr>
            <w:tcW w:w="4603" w:type="dxa"/>
            <w:tcBorders>
              <w:bottom w:val="single" w:sz="4" w:space="0" w:color="auto"/>
              <w:right w:val="single" w:sz="4" w:space="0" w:color="auto"/>
            </w:tcBorders>
            <w:shd w:val="clear" w:color="auto" w:fill="auto"/>
          </w:tcPr>
          <w:p w14:paraId="6B96FC87" w14:textId="77777777" w:rsidR="00701C0E" w:rsidRPr="002E116B" w:rsidRDefault="00701C0E" w:rsidP="00BD1242">
            <w:r w:rsidRPr="002E116B">
              <w:t>MICHAEL EARL MOSBY III,</w:t>
            </w:r>
          </w:p>
          <w:p w14:paraId="1A62ABF9" w14:textId="77777777" w:rsidR="00701C0E" w:rsidRPr="002E116B" w:rsidRDefault="00701C0E" w:rsidP="00BD1242"/>
          <w:p w14:paraId="566C3CB5" w14:textId="77777777" w:rsidR="00701C0E" w:rsidRPr="002E116B" w:rsidRDefault="00701C0E" w:rsidP="00BD1242">
            <w:r w:rsidRPr="002E116B">
              <w:tab/>
              <w:t>Petitioner,</w:t>
            </w:r>
          </w:p>
          <w:p w14:paraId="1161D003" w14:textId="77777777" w:rsidR="00701C0E" w:rsidRPr="002E116B" w:rsidRDefault="00701C0E" w:rsidP="00BD1242"/>
          <w:p w14:paraId="7075B7E9" w14:textId="77777777" w:rsidR="00701C0E" w:rsidRPr="002E116B" w:rsidRDefault="00701C0E" w:rsidP="00BD1242">
            <w:r w:rsidRPr="002E116B">
              <w:t>v.</w:t>
            </w:r>
          </w:p>
          <w:p w14:paraId="6F1D6804" w14:textId="77777777" w:rsidR="00701C0E" w:rsidRPr="002E116B" w:rsidRDefault="00701C0E" w:rsidP="00BD1242"/>
          <w:p w14:paraId="562C63C1" w14:textId="77777777" w:rsidR="00701C0E" w:rsidRPr="002E116B" w:rsidRDefault="00701C0E" w:rsidP="00BD1242">
            <w:r w:rsidRPr="002E116B">
              <w:t xml:space="preserve">THE SUPERIOR COURT OF </w:t>
            </w:r>
          </w:p>
          <w:p w14:paraId="7FFBB827" w14:textId="77777777" w:rsidR="00701C0E" w:rsidRPr="002E116B" w:rsidRDefault="00701C0E" w:rsidP="00BD1242">
            <w:r w:rsidRPr="002E116B">
              <w:t>RIVERSIDE COUNTY,</w:t>
            </w:r>
          </w:p>
          <w:p w14:paraId="76D4B696" w14:textId="77777777" w:rsidR="00701C0E" w:rsidRPr="002E116B" w:rsidRDefault="00701C0E" w:rsidP="00BD1242"/>
          <w:p w14:paraId="596D9399" w14:textId="77777777" w:rsidR="00701C0E" w:rsidRPr="002E116B" w:rsidRDefault="00701C0E" w:rsidP="00BD1242">
            <w:r w:rsidRPr="002E116B">
              <w:tab/>
            </w:r>
            <w:proofErr w:type="gramStart"/>
            <w:r w:rsidRPr="002E116B">
              <w:t>Respondent;</w:t>
            </w:r>
            <w:proofErr w:type="gramEnd"/>
          </w:p>
          <w:p w14:paraId="5BC43F34" w14:textId="77777777" w:rsidR="00701C0E" w:rsidRPr="002E116B" w:rsidRDefault="00701C0E" w:rsidP="00BD1242"/>
          <w:p w14:paraId="12B999F1" w14:textId="77777777" w:rsidR="00701C0E" w:rsidRPr="002E116B" w:rsidRDefault="00701C0E" w:rsidP="00BD1242">
            <w:r w:rsidRPr="002E116B">
              <w:t>THE PEOPLE,</w:t>
            </w:r>
          </w:p>
          <w:p w14:paraId="7553632D" w14:textId="77777777" w:rsidR="00701C0E" w:rsidRPr="002E116B" w:rsidRDefault="00701C0E" w:rsidP="00BD1242"/>
          <w:p w14:paraId="1B10B122" w14:textId="77777777" w:rsidR="00701C0E" w:rsidRPr="002E116B" w:rsidRDefault="00701C0E" w:rsidP="00BD1242">
            <w:r w:rsidRPr="002E116B">
              <w:tab/>
              <w:t>Real Party in Interest.</w:t>
            </w:r>
          </w:p>
          <w:p w14:paraId="6A681B86" w14:textId="77777777" w:rsidR="00701C0E" w:rsidRPr="002E116B" w:rsidRDefault="00701C0E" w:rsidP="00BD1242"/>
        </w:tc>
        <w:tc>
          <w:tcPr>
            <w:tcW w:w="4603" w:type="dxa"/>
            <w:tcBorders>
              <w:left w:val="single" w:sz="4" w:space="0" w:color="auto"/>
            </w:tcBorders>
            <w:shd w:val="clear" w:color="auto" w:fill="auto"/>
          </w:tcPr>
          <w:p w14:paraId="36F4CA08" w14:textId="77777777" w:rsidR="00701C0E" w:rsidRPr="002E116B" w:rsidRDefault="00701C0E" w:rsidP="00BD1242"/>
          <w:p w14:paraId="67F77364" w14:textId="77777777" w:rsidR="00701C0E" w:rsidRPr="002E116B" w:rsidRDefault="00701C0E" w:rsidP="00BD1242"/>
          <w:p w14:paraId="1B129F0B" w14:textId="77777777" w:rsidR="00701C0E" w:rsidRPr="002E116B" w:rsidRDefault="00701C0E" w:rsidP="00BD1242">
            <w:r w:rsidRPr="002E116B">
              <w:tab/>
            </w:r>
            <w:bookmarkStart w:id="0" w:name="_Hlk158375899"/>
            <w:r w:rsidRPr="002E116B">
              <w:t>E080924</w:t>
            </w:r>
            <w:bookmarkEnd w:id="0"/>
          </w:p>
          <w:p w14:paraId="346C2910" w14:textId="77777777" w:rsidR="00701C0E" w:rsidRPr="002E116B" w:rsidRDefault="00701C0E" w:rsidP="00BD1242"/>
          <w:p w14:paraId="347009E7" w14:textId="77777777" w:rsidR="00701C0E" w:rsidRPr="002E116B" w:rsidRDefault="00701C0E" w:rsidP="00BD1242">
            <w:r w:rsidRPr="002E116B">
              <w:tab/>
              <w:t>(</w:t>
            </w:r>
            <w:proofErr w:type="spellStart"/>
            <w:r w:rsidRPr="002E116B">
              <w:t>Super.Ct.No</w:t>
            </w:r>
            <w:proofErr w:type="spellEnd"/>
            <w:r w:rsidRPr="002E116B">
              <w:t>. RIF1604905)</w:t>
            </w:r>
          </w:p>
          <w:p w14:paraId="4938BA82" w14:textId="77777777" w:rsidR="00701C0E" w:rsidRPr="002E116B" w:rsidRDefault="00701C0E" w:rsidP="00BD1242"/>
          <w:p w14:paraId="2057F408" w14:textId="77777777" w:rsidR="00701C0E" w:rsidRDefault="00701C0E" w:rsidP="00BD1242">
            <w:r w:rsidRPr="002E116B">
              <w:tab/>
            </w:r>
            <w:r>
              <w:t xml:space="preserve">ORDER MODIFYING </w:t>
            </w:r>
            <w:r w:rsidRPr="002E116B">
              <w:t>OPINION</w:t>
            </w:r>
          </w:p>
          <w:p w14:paraId="69399279" w14:textId="77777777" w:rsidR="00701C0E" w:rsidRDefault="00701C0E" w:rsidP="00BD1242"/>
          <w:p w14:paraId="60B5154E" w14:textId="77777777" w:rsidR="00701C0E" w:rsidRPr="002E116B" w:rsidRDefault="00701C0E" w:rsidP="00BD1242">
            <w:r w:rsidRPr="00286028">
              <w:tab/>
              <w:t>[NO CHANGE IN JUDGMENT]</w:t>
            </w:r>
          </w:p>
        </w:tc>
      </w:tr>
    </w:tbl>
    <w:p w14:paraId="63615569" w14:textId="77777777" w:rsidR="00701C0E" w:rsidRPr="002E116B" w:rsidRDefault="00701C0E" w:rsidP="00701C0E">
      <w:pPr>
        <w:spacing w:line="480" w:lineRule="auto"/>
      </w:pPr>
    </w:p>
    <w:p w14:paraId="2816928F" w14:textId="77777777" w:rsidR="00701C0E" w:rsidRDefault="00701C0E" w:rsidP="00701C0E">
      <w:pPr>
        <w:spacing w:line="480" w:lineRule="auto"/>
      </w:pPr>
      <w:r w:rsidRPr="002E116B">
        <w:tab/>
      </w:r>
      <w:r>
        <w:t>On the Court’s own motion, the opinion filed on January 25, 2024, is modified as follows:</w:t>
      </w:r>
    </w:p>
    <w:p w14:paraId="050143A1" w14:textId="77777777" w:rsidR="00701C0E" w:rsidRDefault="00701C0E" w:rsidP="00701C0E">
      <w:pPr>
        <w:spacing w:line="480" w:lineRule="auto"/>
      </w:pPr>
      <w:r>
        <w:tab/>
        <w:t>In the second paragraph on page 26 the sentence “The senate amendment to Assem. Bill 256 provided the following language” is replaced with “</w:t>
      </w:r>
      <w:r w:rsidRPr="00286028">
        <w:t>The Legislative Counsel’s Digest of Assembly Bill No. 256 (2021-2022 (Reg. Sess.) Summary Dig., pp.</w:t>
      </w:r>
      <w:r>
        <w:t> </w:t>
      </w:r>
      <w:r w:rsidRPr="00286028">
        <w:t>93-94)</w:t>
      </w:r>
      <w:r>
        <w:t xml:space="preserve"> provided the following language.”</w:t>
      </w:r>
    </w:p>
    <w:p w14:paraId="1C8C3C80" w14:textId="77777777" w:rsidR="00701C0E" w:rsidRDefault="00701C0E" w:rsidP="00701C0E">
      <w:pPr>
        <w:spacing w:line="480" w:lineRule="auto"/>
      </w:pPr>
      <w:r w:rsidRPr="00C678C1">
        <w:lastRenderedPageBreak/>
        <w:tab/>
        <w:t>Except for th</w:t>
      </w:r>
      <w:r>
        <w:t>is</w:t>
      </w:r>
      <w:r w:rsidRPr="00C678C1">
        <w:t xml:space="preserve"> modification, the opinion remains unchanged.  The modification</w:t>
      </w:r>
      <w:r>
        <w:t xml:space="preserve"> does n</w:t>
      </w:r>
      <w:r w:rsidRPr="00C678C1">
        <w:t>ot effect a change in the judgment.</w:t>
      </w:r>
    </w:p>
    <w:p w14:paraId="4AF9B924" w14:textId="77777777" w:rsidR="00701C0E" w:rsidRPr="002E116B" w:rsidRDefault="00701C0E" w:rsidP="00701C0E">
      <w:pPr>
        <w:spacing w:line="480" w:lineRule="auto"/>
      </w:pPr>
      <w:r w:rsidRPr="002E116B">
        <w:tab/>
        <w:t>CERTIFIED FOR PUBLICATION</w:t>
      </w:r>
    </w:p>
    <w:p w14:paraId="69406E38" w14:textId="77777777" w:rsidR="00701C0E" w:rsidRPr="002E116B" w:rsidRDefault="00701C0E" w:rsidP="00701C0E"/>
    <w:p w14:paraId="67D159DF" w14:textId="77777777" w:rsidR="00701C0E" w:rsidRPr="002E116B" w:rsidRDefault="00701C0E" w:rsidP="00701C0E">
      <w:pPr>
        <w:jc w:val="right"/>
      </w:pPr>
      <w:r w:rsidRPr="002E116B">
        <w:rPr>
          <w:u w:val="single"/>
        </w:rPr>
        <w:t>MILLER</w:t>
      </w:r>
      <w:r w:rsidRPr="002E116B">
        <w:rPr>
          <w:u w:val="single"/>
        </w:rPr>
        <w:tab/>
      </w:r>
      <w:r w:rsidRPr="002E116B">
        <w:rPr>
          <w:u w:val="single"/>
        </w:rPr>
        <w:tab/>
      </w:r>
      <w:r w:rsidRPr="002E116B">
        <w:rPr>
          <w:u w:val="single"/>
        </w:rPr>
        <w:tab/>
      </w:r>
      <w:r w:rsidRPr="002E116B">
        <w:rPr>
          <w:u w:val="single"/>
        </w:rPr>
        <w:tab/>
      </w:r>
    </w:p>
    <w:p w14:paraId="65719FB1" w14:textId="77777777" w:rsidR="00701C0E" w:rsidRPr="002E116B" w:rsidRDefault="00701C0E" w:rsidP="00701C0E">
      <w:pPr>
        <w:jc w:val="right"/>
      </w:pPr>
      <w:r w:rsidRPr="002E116B">
        <w:t>Acting P. J.</w:t>
      </w:r>
    </w:p>
    <w:p w14:paraId="530847C7" w14:textId="77777777" w:rsidR="00701C0E" w:rsidRPr="002E116B" w:rsidRDefault="00701C0E" w:rsidP="00701C0E"/>
    <w:p w14:paraId="7FB68E82" w14:textId="77777777" w:rsidR="00701C0E" w:rsidRPr="002E116B" w:rsidRDefault="00701C0E" w:rsidP="00701C0E"/>
    <w:p w14:paraId="1985FCAD" w14:textId="77777777" w:rsidR="00701C0E" w:rsidRPr="002E116B" w:rsidRDefault="00701C0E" w:rsidP="00701C0E">
      <w:r>
        <w:t>I concur</w:t>
      </w:r>
      <w:r w:rsidRPr="002E116B">
        <w:t>:</w:t>
      </w:r>
    </w:p>
    <w:p w14:paraId="443B3E9B" w14:textId="77777777" w:rsidR="00701C0E" w:rsidRPr="002E116B" w:rsidRDefault="00701C0E" w:rsidP="00701C0E"/>
    <w:p w14:paraId="2FDD9E45" w14:textId="77777777" w:rsidR="00701C0E" w:rsidRPr="002E116B" w:rsidRDefault="00701C0E" w:rsidP="00701C0E">
      <w:pPr>
        <w:tabs>
          <w:tab w:val="right" w:pos="2880"/>
        </w:tabs>
        <w:rPr>
          <w:u w:val="single"/>
        </w:rPr>
      </w:pPr>
    </w:p>
    <w:p w14:paraId="640D8E5D" w14:textId="77777777" w:rsidR="00701C0E" w:rsidRPr="002E116B" w:rsidRDefault="00701C0E" w:rsidP="00701C0E">
      <w:pPr>
        <w:tabs>
          <w:tab w:val="right" w:pos="3600"/>
        </w:tabs>
      </w:pPr>
      <w:r w:rsidRPr="002E116B">
        <w:rPr>
          <w:u w:val="single"/>
        </w:rPr>
        <w:t>CODRINGTON</w:t>
      </w:r>
      <w:r w:rsidRPr="002E116B">
        <w:rPr>
          <w:u w:val="single"/>
        </w:rPr>
        <w:tab/>
      </w:r>
    </w:p>
    <w:p w14:paraId="771B62B1" w14:textId="77777777" w:rsidR="00701C0E" w:rsidRPr="002E116B" w:rsidRDefault="00701C0E" w:rsidP="00701C0E">
      <w:pPr>
        <w:tabs>
          <w:tab w:val="right" w:pos="3600"/>
        </w:tabs>
      </w:pPr>
      <w:r w:rsidRPr="002E116B">
        <w:tab/>
        <w:t>J.</w:t>
      </w:r>
    </w:p>
    <w:p w14:paraId="70A6297E" w14:textId="77777777" w:rsidR="00701C0E" w:rsidRPr="002E116B" w:rsidRDefault="00701C0E" w:rsidP="00701C0E"/>
    <w:p w14:paraId="3192B718" w14:textId="77777777" w:rsidR="00701C0E" w:rsidRPr="00FA6165" w:rsidRDefault="00701C0E" w:rsidP="00701C0E">
      <w:pPr>
        <w:spacing w:line="480" w:lineRule="auto"/>
      </w:pPr>
    </w:p>
    <w:p w14:paraId="10561AA4" w14:textId="77777777" w:rsidR="00701C0E" w:rsidRDefault="00701C0E" w:rsidP="003029F5">
      <w:pPr>
        <w:rPr>
          <w:sz w:val="20"/>
        </w:rPr>
        <w:sectPr w:rsidR="00701C0E" w:rsidSect="002E116B">
          <w:footerReference w:type="even" r:id="rId7"/>
          <w:footerReference w:type="default" r:id="rId8"/>
          <w:pgSz w:w="12240" w:h="15840"/>
          <w:pgMar w:top="1440" w:right="1440" w:bottom="1440" w:left="1440" w:header="720" w:footer="720" w:gutter="144"/>
          <w:pgNumType w:start="1"/>
          <w:cols w:space="720"/>
          <w:docGrid w:linePitch="360"/>
        </w:sectPr>
      </w:pPr>
    </w:p>
    <w:p w14:paraId="030A1125" w14:textId="62A17777" w:rsidR="00CE61ED" w:rsidRPr="00701C0E" w:rsidRDefault="00B85868" w:rsidP="003029F5">
      <w:pPr>
        <w:rPr>
          <w:sz w:val="20"/>
        </w:rPr>
      </w:pPr>
      <w:r w:rsidRPr="00701C0E">
        <w:rPr>
          <w:sz w:val="20"/>
        </w:rPr>
        <w:lastRenderedPageBreak/>
        <w:t>Filed 1/25/24</w:t>
      </w:r>
      <w:r w:rsidR="00701C0E">
        <w:rPr>
          <w:sz w:val="20"/>
        </w:rPr>
        <w:t xml:space="preserve"> (unmodified version)</w:t>
      </w:r>
    </w:p>
    <w:p w14:paraId="6A90CD22" w14:textId="77777777" w:rsidR="003029F5" w:rsidRPr="003029F5" w:rsidRDefault="003029F5" w:rsidP="00D17921">
      <w:pPr>
        <w:rPr>
          <w:sz w:val="20"/>
        </w:rPr>
      </w:pPr>
    </w:p>
    <w:p w14:paraId="43971DF9" w14:textId="77777777" w:rsidR="002E116B" w:rsidRPr="002E116B" w:rsidRDefault="00B85868" w:rsidP="002E116B">
      <w:pPr>
        <w:rPr>
          <w:i/>
          <w:iCs/>
          <w:sz w:val="20"/>
          <w:szCs w:val="20"/>
        </w:rPr>
      </w:pPr>
      <w:r>
        <w:rPr>
          <w:i/>
          <w:iCs/>
          <w:sz w:val="20"/>
          <w:szCs w:val="20"/>
        </w:rPr>
        <w:t>See concurring opinion.</w:t>
      </w:r>
    </w:p>
    <w:p w14:paraId="16B89E21" w14:textId="77777777" w:rsidR="002E116B" w:rsidRPr="00FA6165" w:rsidRDefault="002E116B" w:rsidP="00D17921"/>
    <w:p w14:paraId="0BE31306" w14:textId="740DB9A9" w:rsidR="00D17921" w:rsidRPr="002E116B" w:rsidRDefault="00B85868" w:rsidP="00D17921">
      <w:pPr>
        <w:jc w:val="center"/>
        <w:rPr>
          <w:b/>
        </w:rPr>
      </w:pPr>
      <w:r w:rsidRPr="002E116B">
        <w:rPr>
          <w:b/>
        </w:rPr>
        <w:t>CERTIFIED FOR PUBLICATION</w:t>
      </w:r>
    </w:p>
    <w:p w14:paraId="4D98836D" w14:textId="6EF6D053" w:rsidR="00D17921" w:rsidRPr="002E116B" w:rsidRDefault="00D17921" w:rsidP="00D17921">
      <w:pPr>
        <w:jc w:val="center"/>
        <w:rPr>
          <w:b/>
        </w:rPr>
      </w:pPr>
    </w:p>
    <w:p w14:paraId="0DA2F74B" w14:textId="3FF5A487" w:rsidR="00D17921" w:rsidRPr="002E116B" w:rsidRDefault="00D17921" w:rsidP="00D17921">
      <w:pPr>
        <w:jc w:val="center"/>
      </w:pPr>
    </w:p>
    <w:p w14:paraId="4DB5B64B" w14:textId="4F1F40A0" w:rsidR="00D17921" w:rsidRPr="002E116B" w:rsidRDefault="00D17921" w:rsidP="00D17921">
      <w:pPr>
        <w:jc w:val="center"/>
      </w:pPr>
    </w:p>
    <w:p w14:paraId="7CFF0ABF" w14:textId="084CB456" w:rsidR="00D17921" w:rsidRPr="002E116B" w:rsidRDefault="00B85868" w:rsidP="00D17921">
      <w:pPr>
        <w:jc w:val="center"/>
        <w:rPr>
          <w:b/>
        </w:rPr>
      </w:pPr>
      <w:r w:rsidRPr="002E116B">
        <w:rPr>
          <w:b/>
        </w:rPr>
        <w:t>IN THE COURT OF APPEAL OF THE STATE OF CALIFORNIA</w:t>
      </w:r>
    </w:p>
    <w:p w14:paraId="01AEEE5C" w14:textId="2EFAEBDB" w:rsidR="00D17921" w:rsidRPr="002E116B" w:rsidRDefault="00D17921" w:rsidP="00D17921">
      <w:pPr>
        <w:jc w:val="center"/>
        <w:rPr>
          <w:b/>
        </w:rPr>
      </w:pPr>
    </w:p>
    <w:p w14:paraId="6B36FF62" w14:textId="17D6AF7B" w:rsidR="00D17921" w:rsidRPr="002E116B" w:rsidRDefault="00B85868" w:rsidP="00D17921">
      <w:pPr>
        <w:jc w:val="center"/>
        <w:rPr>
          <w:b/>
        </w:rPr>
      </w:pPr>
      <w:r w:rsidRPr="002E116B">
        <w:rPr>
          <w:b/>
        </w:rPr>
        <w:t>FOURTH APPELLATE DISTRICT</w:t>
      </w:r>
    </w:p>
    <w:p w14:paraId="2216CDF6" w14:textId="5FE82CC2" w:rsidR="00D17921" w:rsidRPr="002E116B" w:rsidRDefault="00D17921" w:rsidP="00D17921">
      <w:pPr>
        <w:jc w:val="center"/>
        <w:rPr>
          <w:b/>
        </w:rPr>
      </w:pPr>
    </w:p>
    <w:p w14:paraId="408249FE" w14:textId="77777777" w:rsidR="00D17921" w:rsidRPr="002E116B" w:rsidRDefault="00B85868" w:rsidP="00D17921">
      <w:pPr>
        <w:jc w:val="center"/>
        <w:rPr>
          <w:b/>
        </w:rPr>
      </w:pPr>
      <w:r w:rsidRPr="002E116B">
        <w:rPr>
          <w:b/>
        </w:rPr>
        <w:t>DIVISION TWO</w:t>
      </w:r>
    </w:p>
    <w:p w14:paraId="6909F8DF" w14:textId="615D7C60" w:rsidR="00D17921" w:rsidRPr="002E116B" w:rsidRDefault="00D17921" w:rsidP="00D17921">
      <w:pPr>
        <w:jc w:val="center"/>
      </w:pPr>
    </w:p>
    <w:p w14:paraId="5A794651" w14:textId="798B6A4A" w:rsidR="00D17921" w:rsidRPr="002E116B" w:rsidRDefault="00D17921" w:rsidP="00D17921">
      <w:pPr>
        <w:jc w:val="center"/>
      </w:pPr>
    </w:p>
    <w:p w14:paraId="7479830E" w14:textId="74A598C2" w:rsidR="00D17921" w:rsidRPr="002E116B" w:rsidRDefault="00D17921" w:rsidP="00D17921">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29517A" w14:paraId="1542C967" w14:textId="77777777" w:rsidTr="00D17921">
        <w:tc>
          <w:tcPr>
            <w:tcW w:w="4603" w:type="dxa"/>
            <w:tcBorders>
              <w:bottom w:val="single" w:sz="4" w:space="0" w:color="auto"/>
              <w:right w:val="single" w:sz="4" w:space="0" w:color="auto"/>
            </w:tcBorders>
            <w:shd w:val="clear" w:color="auto" w:fill="auto"/>
          </w:tcPr>
          <w:p w14:paraId="36CBBEA8" w14:textId="77777777" w:rsidR="00D17921" w:rsidRPr="002E116B" w:rsidRDefault="00B85868" w:rsidP="00D17921">
            <w:r w:rsidRPr="002E116B">
              <w:t>MICHAEL EARL MOSBY III,</w:t>
            </w:r>
          </w:p>
          <w:p w14:paraId="500999B8" w14:textId="77777777" w:rsidR="00D17921" w:rsidRPr="002E116B" w:rsidRDefault="00D17921" w:rsidP="00D17921"/>
          <w:p w14:paraId="13A3CECF" w14:textId="77777777" w:rsidR="00D17921" w:rsidRPr="002E116B" w:rsidRDefault="00B85868" w:rsidP="00D17921">
            <w:r w:rsidRPr="002E116B">
              <w:tab/>
              <w:t>Petitioner,</w:t>
            </w:r>
          </w:p>
          <w:p w14:paraId="03AC78CB" w14:textId="77777777" w:rsidR="00D17921" w:rsidRPr="002E116B" w:rsidRDefault="00D17921" w:rsidP="00D17921"/>
          <w:p w14:paraId="2DA5A1C3" w14:textId="77777777" w:rsidR="00D17921" w:rsidRPr="002E116B" w:rsidRDefault="00B85868" w:rsidP="00D17921">
            <w:r w:rsidRPr="002E116B">
              <w:t>v.</w:t>
            </w:r>
          </w:p>
          <w:p w14:paraId="725AC20A" w14:textId="77777777" w:rsidR="00D17921" w:rsidRPr="002E116B" w:rsidRDefault="00D17921" w:rsidP="00D17921"/>
          <w:p w14:paraId="1ED2D7F9" w14:textId="77777777" w:rsidR="00D17921" w:rsidRPr="002E116B" w:rsidRDefault="00B85868" w:rsidP="00D17921">
            <w:r w:rsidRPr="002E116B">
              <w:t xml:space="preserve">THE SUPERIOR COURT OF </w:t>
            </w:r>
          </w:p>
          <w:p w14:paraId="00A70E17" w14:textId="77777777" w:rsidR="00D17921" w:rsidRPr="002E116B" w:rsidRDefault="00B85868" w:rsidP="00D17921">
            <w:r w:rsidRPr="002E116B">
              <w:t>RIVERSIDE COUNTY,</w:t>
            </w:r>
          </w:p>
          <w:p w14:paraId="225291AC" w14:textId="77777777" w:rsidR="00D17921" w:rsidRPr="002E116B" w:rsidRDefault="00D17921" w:rsidP="00D17921"/>
          <w:p w14:paraId="104BBD4D" w14:textId="77777777" w:rsidR="00D17921" w:rsidRPr="002E116B" w:rsidRDefault="00B85868" w:rsidP="00D17921">
            <w:r w:rsidRPr="002E116B">
              <w:tab/>
            </w:r>
            <w:proofErr w:type="gramStart"/>
            <w:r w:rsidRPr="002E116B">
              <w:t>Respondent;</w:t>
            </w:r>
            <w:proofErr w:type="gramEnd"/>
          </w:p>
          <w:p w14:paraId="4878933B" w14:textId="77777777" w:rsidR="00D17921" w:rsidRPr="002E116B" w:rsidRDefault="00D17921" w:rsidP="00D17921"/>
          <w:p w14:paraId="68075B57" w14:textId="77777777" w:rsidR="00D17921" w:rsidRPr="002E116B" w:rsidRDefault="00B85868" w:rsidP="00D17921">
            <w:r w:rsidRPr="002E116B">
              <w:t>THE PEOPLE,</w:t>
            </w:r>
          </w:p>
          <w:p w14:paraId="4F9C6983" w14:textId="77777777" w:rsidR="00D17921" w:rsidRPr="002E116B" w:rsidRDefault="00D17921" w:rsidP="00D17921"/>
          <w:p w14:paraId="74BB19E9" w14:textId="77777777" w:rsidR="00D17921" w:rsidRPr="002E116B" w:rsidRDefault="00B85868" w:rsidP="00D17921">
            <w:r w:rsidRPr="002E116B">
              <w:tab/>
              <w:t>Real Party in Interest.</w:t>
            </w:r>
          </w:p>
          <w:p w14:paraId="74119156" w14:textId="7E1E8AAD" w:rsidR="00D17921" w:rsidRPr="002E116B" w:rsidRDefault="00D17921" w:rsidP="00D17921"/>
        </w:tc>
        <w:tc>
          <w:tcPr>
            <w:tcW w:w="4603" w:type="dxa"/>
            <w:tcBorders>
              <w:left w:val="single" w:sz="4" w:space="0" w:color="auto"/>
            </w:tcBorders>
            <w:shd w:val="clear" w:color="auto" w:fill="auto"/>
          </w:tcPr>
          <w:p w14:paraId="0864F14E" w14:textId="77777777" w:rsidR="00D17921" w:rsidRPr="002E116B" w:rsidRDefault="00D17921" w:rsidP="00D17921"/>
          <w:p w14:paraId="7F9A39B4" w14:textId="77777777" w:rsidR="00D17921" w:rsidRPr="002E116B" w:rsidRDefault="00D17921" w:rsidP="00D17921"/>
          <w:p w14:paraId="0EB4A13B" w14:textId="77777777" w:rsidR="00D17921" w:rsidRPr="002E116B" w:rsidRDefault="00B85868" w:rsidP="00D17921">
            <w:r w:rsidRPr="002E116B">
              <w:tab/>
              <w:t>E080924</w:t>
            </w:r>
          </w:p>
          <w:p w14:paraId="2D47A3A0" w14:textId="77777777" w:rsidR="00D17921" w:rsidRPr="002E116B" w:rsidRDefault="00D17921" w:rsidP="00D17921"/>
          <w:p w14:paraId="684BB4C3" w14:textId="77777777" w:rsidR="00D17921" w:rsidRPr="002E116B" w:rsidRDefault="00B85868" w:rsidP="00D17921">
            <w:r w:rsidRPr="002E116B">
              <w:tab/>
              <w:t>(</w:t>
            </w:r>
            <w:proofErr w:type="spellStart"/>
            <w:r w:rsidRPr="002E116B">
              <w:t>Super.Ct.No</w:t>
            </w:r>
            <w:proofErr w:type="spellEnd"/>
            <w:r w:rsidRPr="002E116B">
              <w:t>. RIF1604905)</w:t>
            </w:r>
          </w:p>
          <w:p w14:paraId="4DBA2880" w14:textId="77777777" w:rsidR="00D17921" w:rsidRPr="002E116B" w:rsidRDefault="00D17921" w:rsidP="00D17921"/>
          <w:p w14:paraId="7E62D406" w14:textId="77777777" w:rsidR="00D17921" w:rsidRPr="002E116B" w:rsidRDefault="00B85868" w:rsidP="00D17921">
            <w:r w:rsidRPr="002E116B">
              <w:tab/>
              <w:t>OPINION</w:t>
            </w:r>
          </w:p>
          <w:p w14:paraId="61019876" w14:textId="060B665E" w:rsidR="00D17921" w:rsidRPr="002E116B" w:rsidRDefault="00D17921" w:rsidP="00D17921"/>
        </w:tc>
      </w:tr>
    </w:tbl>
    <w:p w14:paraId="1C04DB28" w14:textId="77777777" w:rsidR="00D17921" w:rsidRPr="002E116B" w:rsidRDefault="00D17921" w:rsidP="00D17921">
      <w:pPr>
        <w:spacing w:line="480" w:lineRule="auto"/>
      </w:pPr>
    </w:p>
    <w:p w14:paraId="18315C5D" w14:textId="6704DE33" w:rsidR="00D17921" w:rsidRPr="002E116B" w:rsidRDefault="00B85868" w:rsidP="00D17921">
      <w:pPr>
        <w:spacing w:line="480" w:lineRule="auto"/>
      </w:pPr>
      <w:r w:rsidRPr="002E116B">
        <w:tab/>
        <w:t>ORIGINAL PROCEEDINGS; petition for extraordinary writ.  Bernard Schwartz, Judge.  Petition granted.</w:t>
      </w:r>
    </w:p>
    <w:p w14:paraId="4F70268B" w14:textId="1E663744" w:rsidR="00D17921" w:rsidRPr="002E116B" w:rsidRDefault="00B85868" w:rsidP="00D17921">
      <w:pPr>
        <w:spacing w:line="480" w:lineRule="auto"/>
      </w:pPr>
      <w:r w:rsidRPr="002E116B">
        <w:tab/>
        <w:t xml:space="preserve">Steven L. Harmon, Public Defender, David J. </w:t>
      </w:r>
      <w:r w:rsidRPr="002E116B">
        <w:t>Macher, Linda Gail Moore, Deputy Public Defenders; American Civil Liberties Union Capital Punishment Project, Claudia Van Wyk</w:t>
      </w:r>
      <w:r w:rsidR="007A1694" w:rsidRPr="002E116B">
        <w:t xml:space="preserve">, </w:t>
      </w:r>
      <w:r w:rsidRPr="002E116B">
        <w:t>Robert Ponce</w:t>
      </w:r>
      <w:r w:rsidR="007A1694" w:rsidRPr="002E116B">
        <w:t>; American Civil Liberties Union Foundation of Southern California, and Summer Lacey</w:t>
      </w:r>
      <w:r w:rsidRPr="002E116B">
        <w:t xml:space="preserve"> for Petitioner.</w:t>
      </w:r>
    </w:p>
    <w:p w14:paraId="235AE7D9" w14:textId="0B9E01AD" w:rsidR="00E83AD3" w:rsidRPr="002E116B" w:rsidRDefault="00B85868" w:rsidP="00E83AD3">
      <w:pPr>
        <w:spacing w:line="480" w:lineRule="auto"/>
      </w:pPr>
      <w:r w:rsidRPr="002E116B">
        <w:lastRenderedPageBreak/>
        <w:tab/>
        <w:t>Complex Appellate Litigation Group, Kirsten M. Ault, Anna-Rose Mathieson; Boston University Center for Antiracist Research, Caitlin Glass, Asees Bhasin; Fred T. Korematsu Center for Law and Equality and Robert S. Chang, counsel for Fred T. Korematsu Center for Law and Equality, Boston University Center for Antiracist Research; Five additional centers for Race, Inequality, and the Law; and Nine Individual Professors and Scholars as Amici Curiae on behalf of Petitioner.</w:t>
      </w:r>
    </w:p>
    <w:p w14:paraId="717C9311" w14:textId="70941ABA" w:rsidR="00E83AD3" w:rsidRPr="002E116B" w:rsidRDefault="00B85868" w:rsidP="00E83AD3">
      <w:pPr>
        <w:spacing w:line="480" w:lineRule="auto"/>
      </w:pPr>
      <w:r w:rsidRPr="002E116B">
        <w:tab/>
        <w:t xml:space="preserve">Cooley, Randall R. Lee; Reed Smith, Katelyn Kang; Robby L.R. Saldaña and Elizabeth Reinhardt, counsel for </w:t>
      </w:r>
      <w:r w:rsidR="005E7D78">
        <w:t>Dean</w:t>
      </w:r>
      <w:r w:rsidR="00C66A0C">
        <w:t xml:space="preserve"> </w:t>
      </w:r>
      <w:r w:rsidRPr="002E116B">
        <w:t>Chemerinsky and Law Professors and Legal Scholars as Amici Curiae on behalf of Petitioner.</w:t>
      </w:r>
    </w:p>
    <w:p w14:paraId="22D0ABDC" w14:textId="6CD9902A" w:rsidR="00D17921" w:rsidRPr="002E116B" w:rsidRDefault="00B85868" w:rsidP="00E83AD3">
      <w:pPr>
        <w:spacing w:line="480" w:lineRule="auto"/>
      </w:pPr>
      <w:r w:rsidRPr="002E116B">
        <w:tab/>
        <w:t>No appearance for Respondent.</w:t>
      </w:r>
    </w:p>
    <w:p w14:paraId="3BE7FD92" w14:textId="5322DE19" w:rsidR="008F4304" w:rsidRPr="002E116B" w:rsidRDefault="00B85868" w:rsidP="00D17921">
      <w:pPr>
        <w:spacing w:line="480" w:lineRule="auto"/>
      </w:pPr>
      <w:r w:rsidRPr="002E116B">
        <w:tab/>
        <w:t>Michael A. Hestrin, District Attorney, W. Matthew Murray and Kristen Allison, Deputy District Attorneys for Real Party in Interest.</w:t>
      </w:r>
    </w:p>
    <w:p w14:paraId="349EF2C9" w14:textId="71D65E49" w:rsidR="002410F0" w:rsidRPr="002E116B" w:rsidRDefault="00B85868" w:rsidP="00D17921">
      <w:pPr>
        <w:spacing w:line="480" w:lineRule="auto"/>
      </w:pPr>
      <w:r w:rsidRPr="002E116B">
        <w:tab/>
      </w:r>
      <w:r w:rsidR="00A867A5" w:rsidRPr="002E116B">
        <w:t>Petitioner</w:t>
      </w:r>
      <w:r w:rsidRPr="002E116B">
        <w:t xml:space="preserve"> </w:t>
      </w:r>
      <w:r w:rsidR="00B01462" w:rsidRPr="002E116B">
        <w:t>Michael Earl Mosby III</w:t>
      </w:r>
      <w:r w:rsidR="00222658" w:rsidRPr="002E116B">
        <w:t xml:space="preserve"> (Petitioner)</w:t>
      </w:r>
      <w:r w:rsidRPr="002E116B">
        <w:t xml:space="preserve"> </w:t>
      </w:r>
      <w:r w:rsidR="00B01462" w:rsidRPr="002E116B">
        <w:t xml:space="preserve">was charged </w:t>
      </w:r>
      <w:r w:rsidR="00B63D94" w:rsidRPr="002E116B">
        <w:t>by the Riverside County District Attorney’s</w:t>
      </w:r>
      <w:r w:rsidR="00A867A5" w:rsidRPr="002E116B">
        <w:t xml:space="preserve"> </w:t>
      </w:r>
      <w:r w:rsidR="004A75E1" w:rsidRPr="002E116B">
        <w:t>O</w:t>
      </w:r>
      <w:r w:rsidR="00A867A5" w:rsidRPr="002E116B">
        <w:t>ffice</w:t>
      </w:r>
      <w:r w:rsidR="00B63D94" w:rsidRPr="002E116B">
        <w:t xml:space="preserve"> </w:t>
      </w:r>
      <w:r w:rsidR="00273AF0" w:rsidRPr="002E116B">
        <w:t>(</w:t>
      </w:r>
      <w:r w:rsidR="00A867A5" w:rsidRPr="002E116B">
        <w:t>the District Attorney</w:t>
      </w:r>
      <w:r w:rsidR="00273AF0" w:rsidRPr="002E116B">
        <w:t>)</w:t>
      </w:r>
      <w:r w:rsidR="00B63D94" w:rsidRPr="002E116B">
        <w:t xml:space="preserve"> with </w:t>
      </w:r>
      <w:r w:rsidR="00273AF0" w:rsidRPr="002E116B">
        <w:t xml:space="preserve">the drive-by shooting of </w:t>
      </w:r>
      <w:r w:rsidR="00B3469E" w:rsidRPr="002E116B">
        <w:t xml:space="preserve">Darryl King-Divens </w:t>
      </w:r>
      <w:r w:rsidR="00B63D94" w:rsidRPr="002E116B">
        <w:t>along with a gun enhancement</w:t>
      </w:r>
      <w:r w:rsidR="00B3469E" w:rsidRPr="002E116B">
        <w:t xml:space="preserve"> </w:t>
      </w:r>
      <w:r w:rsidR="00B63D94" w:rsidRPr="002E116B">
        <w:t>that he discharged a firearm causing great bodily injury</w:t>
      </w:r>
      <w:r w:rsidRPr="002E116B">
        <w:t xml:space="preserve"> or death</w:t>
      </w:r>
      <w:r w:rsidR="002F7C5D" w:rsidRPr="002E116B">
        <w:t>;</w:t>
      </w:r>
      <w:r w:rsidR="00B3469E" w:rsidRPr="002E116B">
        <w:t xml:space="preserve"> </w:t>
      </w:r>
      <w:r w:rsidR="00B63D94" w:rsidRPr="002E116B">
        <w:t xml:space="preserve">and </w:t>
      </w:r>
      <w:r w:rsidRPr="002E116B">
        <w:t>three</w:t>
      </w:r>
      <w:r w:rsidR="00B63D94" w:rsidRPr="002E116B">
        <w:t xml:space="preserve"> special circumstance</w:t>
      </w:r>
      <w:r w:rsidRPr="002E116B">
        <w:t>s</w:t>
      </w:r>
      <w:r w:rsidR="008B0FDA" w:rsidRPr="002E116B">
        <w:t>, including having committed multiple murders</w:t>
      </w:r>
      <w:r w:rsidRPr="002E116B">
        <w:t xml:space="preserve">.  </w:t>
      </w:r>
      <w:r w:rsidR="00B3469E" w:rsidRPr="002E116B">
        <w:t xml:space="preserve">Subsequent to </w:t>
      </w:r>
      <w:r w:rsidR="00A867A5" w:rsidRPr="002E116B">
        <w:t>Petitioner</w:t>
      </w:r>
      <w:r w:rsidR="00B3469E" w:rsidRPr="002E116B">
        <w:t xml:space="preserve"> killing King-Divens, </w:t>
      </w:r>
      <w:r w:rsidR="00A867A5" w:rsidRPr="002E116B">
        <w:t>Petitioner</w:t>
      </w:r>
      <w:r w:rsidR="008B0FDA" w:rsidRPr="002E116B">
        <w:t xml:space="preserve"> had been</w:t>
      </w:r>
      <w:r w:rsidR="00B3469E" w:rsidRPr="002E116B">
        <w:t xml:space="preserve"> convicted in Los Angeles County of two additional murders and attempted </w:t>
      </w:r>
      <w:proofErr w:type="gramStart"/>
      <w:r w:rsidR="00B3469E" w:rsidRPr="002E116B">
        <w:t>murder</w:t>
      </w:r>
      <w:proofErr w:type="gramEnd"/>
      <w:r w:rsidR="00B3469E" w:rsidRPr="002E116B">
        <w:t xml:space="preserve">.  The </w:t>
      </w:r>
      <w:r w:rsidR="00A867A5" w:rsidRPr="002E116B">
        <w:t>District Attorney</w:t>
      </w:r>
      <w:r w:rsidR="00B3469E" w:rsidRPr="002E116B">
        <w:t xml:space="preserve"> chose to seek the death penalty in </w:t>
      </w:r>
      <w:r w:rsidR="00A867A5" w:rsidRPr="002E116B">
        <w:t>Petitioner</w:t>
      </w:r>
      <w:r w:rsidR="00B3469E" w:rsidRPr="002E116B">
        <w:t xml:space="preserve">’s case. </w:t>
      </w:r>
    </w:p>
    <w:p w14:paraId="50D4C99B" w14:textId="78A35493" w:rsidR="009359AA" w:rsidRPr="002E116B" w:rsidRDefault="00B85868" w:rsidP="00D17921">
      <w:pPr>
        <w:spacing w:line="480" w:lineRule="auto"/>
      </w:pPr>
      <w:r w:rsidRPr="002E116B">
        <w:tab/>
      </w:r>
      <w:r w:rsidR="00A867A5" w:rsidRPr="002E116B">
        <w:t>Petitioner</w:t>
      </w:r>
      <w:r w:rsidRPr="002E116B">
        <w:t xml:space="preserve"> filed a</w:t>
      </w:r>
      <w:r w:rsidR="00CF0825" w:rsidRPr="002E116B">
        <w:t xml:space="preserve"> </w:t>
      </w:r>
      <w:r w:rsidR="00424E43" w:rsidRPr="002E116B">
        <w:t xml:space="preserve">“Motion for a Hearing &amp; Relief Pursuant to the Racial Justice Act” </w:t>
      </w:r>
      <w:r w:rsidR="00E2555B" w:rsidRPr="002E116B">
        <w:t>(</w:t>
      </w:r>
      <w:r w:rsidR="00424E43" w:rsidRPr="002E116B">
        <w:t xml:space="preserve">the </w:t>
      </w:r>
      <w:r w:rsidR="00E2555B" w:rsidRPr="002E116B">
        <w:t xml:space="preserve">Motion) </w:t>
      </w:r>
      <w:r w:rsidR="00CF0825" w:rsidRPr="002E116B">
        <w:t xml:space="preserve">claiming </w:t>
      </w:r>
      <w:r w:rsidR="00B3341E" w:rsidRPr="002E116B">
        <w:t xml:space="preserve">the </w:t>
      </w:r>
      <w:r w:rsidR="00A867A5" w:rsidRPr="002E116B">
        <w:t>District Attorney</w:t>
      </w:r>
      <w:r w:rsidR="00B3341E" w:rsidRPr="002E116B">
        <w:t xml:space="preserve">’s decision to seek </w:t>
      </w:r>
      <w:r w:rsidR="00CF0825" w:rsidRPr="002E116B">
        <w:t>the death</w:t>
      </w:r>
      <w:r w:rsidRPr="002E116B">
        <w:t xml:space="preserve"> penalty violated </w:t>
      </w:r>
      <w:r w:rsidR="00B3469E" w:rsidRPr="002E116B">
        <w:t xml:space="preserve">the </w:t>
      </w:r>
      <w:r w:rsidRPr="002E116B">
        <w:t>California Racial Justice Act of 2020 (C</w:t>
      </w:r>
      <w:r w:rsidR="008205E4" w:rsidRPr="002E116B">
        <w:t>RJ</w:t>
      </w:r>
      <w:r w:rsidRPr="002E116B">
        <w:t>A)</w:t>
      </w:r>
      <w:r w:rsidR="007E7DB0" w:rsidRPr="002E116B">
        <w:t xml:space="preserve"> (</w:t>
      </w:r>
      <w:r w:rsidR="00D27038" w:rsidRPr="002E116B">
        <w:t>Assem. Bill No. 2542</w:t>
      </w:r>
      <w:r w:rsidR="00DD4C42" w:rsidRPr="002E116B">
        <w:t xml:space="preserve"> (2019-</w:t>
      </w:r>
      <w:r w:rsidR="00DD4C42" w:rsidRPr="002E116B">
        <w:lastRenderedPageBreak/>
        <w:t>202</w:t>
      </w:r>
      <w:r w:rsidR="00FA6165" w:rsidRPr="002E116B">
        <w:t>0</w:t>
      </w:r>
      <w:r w:rsidR="00DD4C42" w:rsidRPr="002E116B">
        <w:t xml:space="preserve"> Reg. Sess.)</w:t>
      </w:r>
      <w:r w:rsidR="00871227" w:rsidRPr="002E116B">
        <w:t>,</w:t>
      </w:r>
      <w:r w:rsidR="00DD4C42" w:rsidRPr="002E116B">
        <w:t xml:space="preserve"> </w:t>
      </w:r>
      <w:r w:rsidR="007E7DB0" w:rsidRPr="002E116B">
        <w:t xml:space="preserve">Stats. 2020, </w:t>
      </w:r>
      <w:proofErr w:type="spellStart"/>
      <w:r w:rsidR="007E7DB0" w:rsidRPr="002E116B">
        <w:t>ch.</w:t>
      </w:r>
      <w:proofErr w:type="spellEnd"/>
      <w:r w:rsidR="007E7DB0" w:rsidRPr="002E116B">
        <w:t xml:space="preserve"> 317, § 1)</w:t>
      </w:r>
      <w:r w:rsidR="00B3469E" w:rsidRPr="002E116B">
        <w:t xml:space="preserve">, which added </w:t>
      </w:r>
      <w:r w:rsidR="00B3341E" w:rsidRPr="002E116B">
        <w:t xml:space="preserve">section 745 to the </w:t>
      </w:r>
      <w:r w:rsidR="00B3469E" w:rsidRPr="002E116B">
        <w:t>Penal Code</w:t>
      </w:r>
      <w:r w:rsidRPr="002E116B">
        <w:t>.</w:t>
      </w:r>
      <w:r>
        <w:rPr>
          <w:rStyle w:val="FootnoteReference"/>
        </w:rPr>
        <w:footnoteReference w:id="2"/>
      </w:r>
      <w:r w:rsidRPr="002E116B">
        <w:t xml:space="preserve"> </w:t>
      </w:r>
      <w:r w:rsidR="00B3469E" w:rsidRPr="002E116B">
        <w:t xml:space="preserve"> </w:t>
      </w:r>
      <w:r w:rsidR="00B3341E" w:rsidRPr="002E116B">
        <w:t xml:space="preserve">Section 745 was enacted to prohibit </w:t>
      </w:r>
      <w:r w:rsidR="008B0FDA" w:rsidRPr="002E116B">
        <w:t xml:space="preserve">the state </w:t>
      </w:r>
      <w:r w:rsidR="00411020" w:rsidRPr="002E116B">
        <w:t xml:space="preserve">from seeking or obtaining a criminal conviction </w:t>
      </w:r>
      <w:proofErr w:type="gramStart"/>
      <w:r w:rsidR="00411020" w:rsidRPr="002E116B">
        <w:t>on the basis of</w:t>
      </w:r>
      <w:proofErr w:type="gramEnd"/>
      <w:r w:rsidR="00411020" w:rsidRPr="002E116B">
        <w:t xml:space="preserve"> race.  </w:t>
      </w:r>
      <w:r w:rsidR="008B0FDA" w:rsidRPr="002E116B">
        <w:t>This included that a defendant could not be charged with a more serious offense than defendants of other races who have engaged in similar conduct and were similarly situated</w:t>
      </w:r>
      <w:r w:rsidR="00FA6165" w:rsidRPr="002E116B">
        <w:t>.</w:t>
      </w:r>
      <w:r w:rsidR="008B0FDA" w:rsidRPr="002E116B">
        <w:t xml:space="preserve">  (§ 745, subd. (a)(3).)  </w:t>
      </w:r>
      <w:r w:rsidR="00B3469E" w:rsidRPr="002E116B">
        <w:t xml:space="preserve">The trial court denied the first motion without prejudice.  </w:t>
      </w:r>
      <w:r w:rsidR="00A867A5" w:rsidRPr="002E116B">
        <w:t>Petitioner</w:t>
      </w:r>
      <w:r w:rsidR="00B3469E" w:rsidRPr="002E116B">
        <w:t xml:space="preserve"> </w:t>
      </w:r>
      <w:r w:rsidRPr="002E116B">
        <w:t>filed</w:t>
      </w:r>
      <w:r w:rsidR="00B3469E" w:rsidRPr="002E116B">
        <w:t xml:space="preserve"> a second motion</w:t>
      </w:r>
      <w:r w:rsidR="00411020" w:rsidRPr="002E116B">
        <w:t xml:space="preserve"> providing additional evidence and argument.  W</w:t>
      </w:r>
      <w:r w:rsidR="00B3469E" w:rsidRPr="002E116B">
        <w:t xml:space="preserve">hile a decision was pending, </w:t>
      </w:r>
      <w:r w:rsidRPr="002E116B">
        <w:t xml:space="preserve">the </w:t>
      </w:r>
      <w:r w:rsidR="00B3469E" w:rsidRPr="002E116B">
        <w:t xml:space="preserve">CRJA was amended by the </w:t>
      </w:r>
      <w:r w:rsidR="00CF0825" w:rsidRPr="002E116B">
        <w:t>Racial Justice for All Act of 2022</w:t>
      </w:r>
      <w:r w:rsidR="00273AF0" w:rsidRPr="002E116B">
        <w:t xml:space="preserve"> </w:t>
      </w:r>
      <w:r w:rsidR="00871227" w:rsidRPr="002E116B">
        <w:t xml:space="preserve">(Amended CRJA) </w:t>
      </w:r>
      <w:r w:rsidR="00B3469E" w:rsidRPr="002E116B">
        <w:t>(</w:t>
      </w:r>
      <w:r w:rsidR="00273AF0" w:rsidRPr="002E116B">
        <w:rPr>
          <w:bCs/>
        </w:rPr>
        <w:t>Assem</w:t>
      </w:r>
      <w:r w:rsidR="00871227" w:rsidRPr="002E116B">
        <w:rPr>
          <w:bCs/>
        </w:rPr>
        <w:t>.</w:t>
      </w:r>
      <w:r w:rsidR="00273AF0" w:rsidRPr="002E116B">
        <w:rPr>
          <w:bCs/>
        </w:rPr>
        <w:t xml:space="preserve"> Bill No. 256 (2021-2022 Reg. Sess.) (</w:t>
      </w:r>
      <w:r w:rsidR="00871227" w:rsidRPr="002E116B">
        <w:rPr>
          <w:bCs/>
        </w:rPr>
        <w:t xml:space="preserve">Assem. Bill 256), </w:t>
      </w:r>
      <w:r w:rsidR="00273AF0" w:rsidRPr="002E116B">
        <w:rPr>
          <w:bCs/>
        </w:rPr>
        <w:t xml:space="preserve">Stats. 2022, </w:t>
      </w:r>
      <w:proofErr w:type="spellStart"/>
      <w:r w:rsidR="00273AF0" w:rsidRPr="002E116B">
        <w:rPr>
          <w:bCs/>
        </w:rPr>
        <w:t>ch.</w:t>
      </w:r>
      <w:proofErr w:type="spellEnd"/>
      <w:r w:rsidR="00273AF0" w:rsidRPr="002E116B">
        <w:rPr>
          <w:bCs/>
        </w:rPr>
        <w:t xml:space="preserve"> 739, § 2)</w:t>
      </w:r>
      <w:r w:rsidR="00CF0825" w:rsidRPr="002E116B">
        <w:t xml:space="preserve">. </w:t>
      </w:r>
      <w:r w:rsidRPr="002E116B">
        <w:t xml:space="preserve"> </w:t>
      </w:r>
      <w:r w:rsidR="00411020" w:rsidRPr="002E116B">
        <w:t xml:space="preserve">The trial court ruled that </w:t>
      </w:r>
      <w:r w:rsidR="00A867A5" w:rsidRPr="002E116B">
        <w:t>Petitioner</w:t>
      </w:r>
      <w:r w:rsidR="00411020" w:rsidRPr="002E116B">
        <w:t xml:space="preserve"> had failed to make </w:t>
      </w:r>
      <w:proofErr w:type="gramStart"/>
      <w:r w:rsidR="00411020" w:rsidRPr="002E116B">
        <w:t>a prima facie</w:t>
      </w:r>
      <w:proofErr w:type="gramEnd"/>
      <w:r w:rsidR="00411020" w:rsidRPr="002E116B">
        <w:t xml:space="preserve"> showing</w:t>
      </w:r>
      <w:r w:rsidR="008B0FDA" w:rsidRPr="002E116B">
        <w:t xml:space="preserve"> of a violation</w:t>
      </w:r>
      <w:r w:rsidR="00411020" w:rsidRPr="002E116B">
        <w:t xml:space="preserve"> as required under section 745, subdivision (c)</w:t>
      </w:r>
      <w:r w:rsidR="008B067B" w:rsidRPr="002E116B">
        <w:t>,</w:t>
      </w:r>
      <w:r w:rsidR="00411020" w:rsidRPr="002E116B">
        <w:t xml:space="preserve"> and denied an evidentiary hearing.  </w:t>
      </w:r>
    </w:p>
    <w:p w14:paraId="0E472F2E" w14:textId="5AC2AC69" w:rsidR="008F62FB" w:rsidRPr="002E116B" w:rsidRDefault="00B85868" w:rsidP="00D17921">
      <w:pPr>
        <w:spacing w:line="480" w:lineRule="auto"/>
      </w:pPr>
      <w:r w:rsidRPr="002E116B">
        <w:tab/>
      </w:r>
      <w:r w:rsidR="007048A7" w:rsidRPr="002E116B">
        <w:t xml:space="preserve">The trial court denied </w:t>
      </w:r>
      <w:r w:rsidR="00A867A5" w:rsidRPr="002E116B">
        <w:t>Petitioner</w:t>
      </w:r>
      <w:r w:rsidR="00CF0825" w:rsidRPr="002E116B">
        <w:t>’s motions</w:t>
      </w:r>
      <w:r w:rsidR="007048A7" w:rsidRPr="002E116B">
        <w:t xml:space="preserve"> finding that to make a prima facie case o</w:t>
      </w:r>
      <w:r w:rsidR="00206D2C" w:rsidRPr="002E116B">
        <w:t xml:space="preserve">f racial </w:t>
      </w:r>
      <w:r w:rsidR="00411020" w:rsidRPr="002E116B">
        <w:t>discrimination</w:t>
      </w:r>
      <w:r w:rsidR="007048A7" w:rsidRPr="002E116B">
        <w:t xml:space="preserve"> under the CR</w:t>
      </w:r>
      <w:r w:rsidR="008205E4" w:rsidRPr="002E116B">
        <w:t>J</w:t>
      </w:r>
      <w:r w:rsidR="007048A7" w:rsidRPr="002E116B">
        <w:t xml:space="preserve">A </w:t>
      </w:r>
      <w:r w:rsidR="00CF0825" w:rsidRPr="002E116B">
        <w:t>and Amended C</w:t>
      </w:r>
      <w:r w:rsidR="008205E4" w:rsidRPr="002E116B">
        <w:t>RJ</w:t>
      </w:r>
      <w:r w:rsidR="00CF0825" w:rsidRPr="002E116B">
        <w:t>A</w:t>
      </w:r>
      <w:r w:rsidR="00A41406" w:rsidRPr="002E116B">
        <w:t xml:space="preserve">, </w:t>
      </w:r>
      <w:r w:rsidR="00A867A5" w:rsidRPr="002E116B">
        <w:t>Petitioner</w:t>
      </w:r>
      <w:r w:rsidR="007048A7" w:rsidRPr="002E116B">
        <w:t xml:space="preserve"> must </w:t>
      </w:r>
      <w:r w:rsidR="00A41406" w:rsidRPr="002E116B">
        <w:t>satisfy the following two</w:t>
      </w:r>
      <w:r w:rsidR="00424138" w:rsidRPr="002E116B">
        <w:t>-</w:t>
      </w:r>
      <w:r w:rsidR="00A41406" w:rsidRPr="002E116B">
        <w:t>prong te</w:t>
      </w:r>
      <w:r w:rsidR="007048A7" w:rsidRPr="002E116B">
        <w:t>s</w:t>
      </w:r>
      <w:r w:rsidR="00A41406" w:rsidRPr="002E116B">
        <w:t>t</w:t>
      </w:r>
      <w:proofErr w:type="gramStart"/>
      <w:r w:rsidR="007048A7" w:rsidRPr="002E116B">
        <w:t>:  (</w:t>
      </w:r>
      <w:proofErr w:type="gramEnd"/>
      <w:r w:rsidR="007048A7" w:rsidRPr="002E116B">
        <w:t xml:space="preserve">1) </w:t>
      </w:r>
      <w:r w:rsidR="00CF0825" w:rsidRPr="002E116B">
        <w:t xml:space="preserve">that </w:t>
      </w:r>
      <w:r w:rsidR="00A867A5" w:rsidRPr="002E116B">
        <w:t>Petitioner</w:t>
      </w:r>
      <w:r w:rsidR="00A41406" w:rsidRPr="002E116B">
        <w:t xml:space="preserve"> personally was being charged more harshly than similarly situated defendants </w:t>
      </w:r>
      <w:r w:rsidR="00411020" w:rsidRPr="002E116B">
        <w:t xml:space="preserve">of </w:t>
      </w:r>
      <w:r w:rsidR="00A41406" w:rsidRPr="002E116B">
        <w:t>other races or ethnicit</w:t>
      </w:r>
      <w:r w:rsidR="00E83AD3" w:rsidRPr="002E116B">
        <w:t>ies</w:t>
      </w:r>
      <w:r w:rsidR="00CF0825" w:rsidRPr="002E116B">
        <w:t>; and (2)</w:t>
      </w:r>
      <w:r w:rsidRPr="002E116B">
        <w:t> </w:t>
      </w:r>
      <w:r w:rsidR="00CF0825" w:rsidRPr="002E116B">
        <w:t xml:space="preserve">statistical evidence </w:t>
      </w:r>
      <w:r w:rsidR="00E83AD3" w:rsidRPr="002E116B">
        <w:t>shows</w:t>
      </w:r>
      <w:r w:rsidR="009359AA" w:rsidRPr="002E116B">
        <w:t xml:space="preserve"> a historic pattern of racial inequality in Riverside County’s capital charging practice.  </w:t>
      </w:r>
      <w:r w:rsidR="00A41406" w:rsidRPr="002E116B">
        <w:t xml:space="preserve">The trial court found that </w:t>
      </w:r>
      <w:r w:rsidR="00A867A5" w:rsidRPr="002E116B">
        <w:t>Petitioner</w:t>
      </w:r>
      <w:r w:rsidR="00A41406" w:rsidRPr="002E116B">
        <w:t xml:space="preserve"> had satisfied the second prong, but s</w:t>
      </w:r>
      <w:r w:rsidR="009359AA" w:rsidRPr="002E116B">
        <w:t xml:space="preserve">tatistics alone were not enough to establish </w:t>
      </w:r>
      <w:r w:rsidR="00411020" w:rsidRPr="002E116B">
        <w:t xml:space="preserve">the </w:t>
      </w:r>
      <w:r w:rsidR="008B0FDA" w:rsidRPr="002E116B">
        <w:t>first</w:t>
      </w:r>
      <w:r w:rsidR="00411020" w:rsidRPr="002E116B">
        <w:t xml:space="preserve"> prong, and therefore, he failed to establish </w:t>
      </w:r>
      <w:r w:rsidR="009359AA" w:rsidRPr="002E116B">
        <w:t xml:space="preserve">a prima facie case entitling </w:t>
      </w:r>
      <w:r w:rsidR="00A867A5" w:rsidRPr="002E116B">
        <w:t>Petitioner</w:t>
      </w:r>
      <w:r w:rsidR="009359AA" w:rsidRPr="002E116B">
        <w:t xml:space="preserve"> to an evidentiary hearing under the CR</w:t>
      </w:r>
      <w:r w:rsidR="008205E4" w:rsidRPr="002E116B">
        <w:t>J</w:t>
      </w:r>
      <w:r w:rsidR="009359AA" w:rsidRPr="002E116B">
        <w:t xml:space="preserve">A and </w:t>
      </w:r>
      <w:r w:rsidR="00871227" w:rsidRPr="002E116B">
        <w:t xml:space="preserve">the </w:t>
      </w:r>
      <w:r w:rsidR="009359AA" w:rsidRPr="002E116B">
        <w:t>Amended CR</w:t>
      </w:r>
      <w:r w:rsidR="008205E4" w:rsidRPr="002E116B">
        <w:t>J</w:t>
      </w:r>
      <w:r w:rsidR="009359AA" w:rsidRPr="002E116B">
        <w:t>A.</w:t>
      </w:r>
      <w:r w:rsidR="00206D2C" w:rsidRPr="002E116B">
        <w:t xml:space="preserve">  </w:t>
      </w:r>
    </w:p>
    <w:p w14:paraId="5BE9B274" w14:textId="21AFA092" w:rsidR="00206D2C" w:rsidRPr="002E116B" w:rsidRDefault="00B85868" w:rsidP="00D17921">
      <w:pPr>
        <w:spacing w:line="480" w:lineRule="auto"/>
      </w:pPr>
      <w:r w:rsidRPr="002E116B">
        <w:lastRenderedPageBreak/>
        <w:tab/>
      </w:r>
      <w:r w:rsidR="00A867A5" w:rsidRPr="002E116B">
        <w:t>Petitioner</w:t>
      </w:r>
      <w:r w:rsidRPr="002E116B">
        <w:t xml:space="preserve"> petitions this court for a writ of mandate directing the </w:t>
      </w:r>
      <w:r w:rsidR="00EE7798" w:rsidRPr="002E116B">
        <w:t>superior court</w:t>
      </w:r>
      <w:r w:rsidR="00BA02F2" w:rsidRPr="002E116B">
        <w:t xml:space="preserve"> </w:t>
      </w:r>
      <w:r w:rsidRPr="002E116B">
        <w:t xml:space="preserve">to (1) vacate its order denying </w:t>
      </w:r>
      <w:r w:rsidR="00A867A5" w:rsidRPr="002E116B">
        <w:t>Petitioner</w:t>
      </w:r>
      <w:r w:rsidRPr="002E116B">
        <w:t xml:space="preserve">’s request for </w:t>
      </w:r>
      <w:r w:rsidR="00FD50C3" w:rsidRPr="002E116B">
        <w:t xml:space="preserve">a hearing on his </w:t>
      </w:r>
      <w:r w:rsidR="008205E4" w:rsidRPr="002E116B">
        <w:t>CRJ</w:t>
      </w:r>
      <w:r w:rsidR="00FD50C3" w:rsidRPr="002E116B">
        <w:t>A claim</w:t>
      </w:r>
      <w:r w:rsidRPr="002E116B">
        <w:t>, and (2)</w:t>
      </w:r>
      <w:r w:rsidR="00FD50C3" w:rsidRPr="002E116B">
        <w:t xml:space="preserve"> </w:t>
      </w:r>
      <w:r w:rsidR="004A6F5E" w:rsidRPr="002E116B">
        <w:t>enter a new order granting an evidentiary hearing.</w:t>
      </w:r>
      <w:r w:rsidR="006A4491" w:rsidRPr="002E116B">
        <w:t xml:space="preserve">  Amici curiae briefs were submitted in support of </w:t>
      </w:r>
      <w:r w:rsidR="00A867A5" w:rsidRPr="002E116B">
        <w:t>Petitioner</w:t>
      </w:r>
      <w:r w:rsidR="006A4491" w:rsidRPr="002E116B">
        <w:t xml:space="preserve"> by (</w:t>
      </w:r>
      <w:r w:rsidR="00CF6E99" w:rsidRPr="002E116B">
        <w:t>a</w:t>
      </w:r>
      <w:r w:rsidR="006A4491" w:rsidRPr="002E116B">
        <w:t xml:space="preserve">) </w:t>
      </w:r>
      <w:r w:rsidR="00BA02F2" w:rsidRPr="002E116B">
        <w:t xml:space="preserve">the </w:t>
      </w:r>
      <w:r w:rsidR="006A4491" w:rsidRPr="002E116B">
        <w:t>Fred T. Korematsu Center for Law and Equity and several other centers for race, inequality</w:t>
      </w:r>
      <w:r w:rsidR="00424138" w:rsidRPr="002E116B">
        <w:t>,</w:t>
      </w:r>
      <w:r w:rsidR="006A4491" w:rsidRPr="002E116B">
        <w:t xml:space="preserve"> and the law; and (</w:t>
      </w:r>
      <w:r w:rsidR="00CF6E99" w:rsidRPr="002E116B">
        <w:t>b</w:t>
      </w:r>
      <w:r w:rsidR="006A4491" w:rsidRPr="002E116B">
        <w:t xml:space="preserve">) Dean </w:t>
      </w:r>
      <w:r w:rsidR="00B5482D" w:rsidRPr="002E116B">
        <w:t xml:space="preserve">Erwin Chemerinsky and </w:t>
      </w:r>
      <w:r w:rsidR="00E30278" w:rsidRPr="002E116B">
        <w:t>10</w:t>
      </w:r>
      <w:r w:rsidR="00B5482D" w:rsidRPr="002E116B">
        <w:t xml:space="preserve"> law professors and legal scholars</w:t>
      </w:r>
      <w:r w:rsidR="006A4491" w:rsidRPr="002E116B">
        <w:t>.  They contend</w:t>
      </w:r>
      <w:r w:rsidR="00A41406" w:rsidRPr="002E116B">
        <w:t xml:space="preserve"> this court should determine that </w:t>
      </w:r>
      <w:proofErr w:type="gramStart"/>
      <w:r w:rsidR="008205E4" w:rsidRPr="002E116B">
        <w:t>in order to</w:t>
      </w:r>
      <w:proofErr w:type="gramEnd"/>
      <w:r w:rsidR="008205E4" w:rsidRPr="002E116B">
        <w:t xml:space="preserve"> establish a prima facie case entitling </w:t>
      </w:r>
      <w:r w:rsidR="00A867A5" w:rsidRPr="002E116B">
        <w:t>Petitioner</w:t>
      </w:r>
      <w:r w:rsidR="008205E4" w:rsidRPr="002E116B">
        <w:t xml:space="preserve"> to an evidentiary hearing in the trial court, </w:t>
      </w:r>
      <w:r w:rsidR="00BA02F2" w:rsidRPr="002E116B">
        <w:t>a defendant</w:t>
      </w:r>
      <w:r w:rsidR="008205E4" w:rsidRPr="002E116B">
        <w:t xml:space="preserve"> </w:t>
      </w:r>
      <w:proofErr w:type="gramStart"/>
      <w:r w:rsidR="008205E4" w:rsidRPr="002E116B">
        <w:t>need</w:t>
      </w:r>
      <w:proofErr w:type="gramEnd"/>
      <w:r w:rsidR="008205E4" w:rsidRPr="002E116B">
        <w:t xml:space="preserve"> only show statistical </w:t>
      </w:r>
      <w:r w:rsidR="006A4491" w:rsidRPr="002E116B">
        <w:t xml:space="preserve">and aggregate </w:t>
      </w:r>
      <w:r w:rsidR="008205E4" w:rsidRPr="002E116B">
        <w:t xml:space="preserve">evidence under the CRJA and </w:t>
      </w:r>
      <w:r w:rsidR="00871227" w:rsidRPr="002E116B">
        <w:t xml:space="preserve">the </w:t>
      </w:r>
      <w:r w:rsidRPr="002E116B">
        <w:t>A</w:t>
      </w:r>
      <w:r w:rsidRPr="002E116B">
        <w:t xml:space="preserve">mended CRJA.  </w:t>
      </w:r>
    </w:p>
    <w:p w14:paraId="2F6FF591" w14:textId="254CFD1F" w:rsidR="00B5482D" w:rsidRPr="002E116B" w:rsidRDefault="00B85868" w:rsidP="00D17921">
      <w:pPr>
        <w:spacing w:line="480" w:lineRule="auto"/>
      </w:pPr>
      <w:r w:rsidRPr="002E116B">
        <w:tab/>
      </w:r>
      <w:r w:rsidR="00206D2C" w:rsidRPr="002E116B">
        <w:t xml:space="preserve">We agree in part with the trial court that based on the plain language of section 745, </w:t>
      </w:r>
      <w:r w:rsidR="00A867A5" w:rsidRPr="002E116B">
        <w:t>Petitioner</w:t>
      </w:r>
      <w:r w:rsidR="00206D2C" w:rsidRPr="002E116B">
        <w:t xml:space="preserve"> was required to present </w:t>
      </w:r>
      <w:r w:rsidR="00FA70CE" w:rsidRPr="002E116B">
        <w:t xml:space="preserve">not only statistical </w:t>
      </w:r>
      <w:r w:rsidR="00206D2C" w:rsidRPr="002E116B">
        <w:t xml:space="preserve">evidence </w:t>
      </w:r>
      <w:r w:rsidR="00FA70CE" w:rsidRPr="002E116B">
        <w:t xml:space="preserve">of racial disparity in the charging of the death penalty by the </w:t>
      </w:r>
      <w:r w:rsidR="00A867A5" w:rsidRPr="002E116B">
        <w:t>District Attorney</w:t>
      </w:r>
      <w:r w:rsidR="00FA70CE" w:rsidRPr="002E116B">
        <w:t xml:space="preserve"> but also evidence </w:t>
      </w:r>
      <w:r w:rsidR="00206D2C" w:rsidRPr="002E116B">
        <w:t xml:space="preserve">of </w:t>
      </w:r>
      <w:r w:rsidR="006A6688" w:rsidRPr="002E116B">
        <w:t>nonminority</w:t>
      </w:r>
      <w:r w:rsidR="00206D2C" w:rsidRPr="002E116B">
        <w:t xml:space="preserve"> defendants</w:t>
      </w:r>
      <w:r w:rsidR="006A6688" w:rsidRPr="002E116B">
        <w:t xml:space="preserve"> who were engaged in similar conduct and were similarly situated </w:t>
      </w:r>
      <w:r w:rsidR="00FA70CE" w:rsidRPr="002E116B">
        <w:t>but charged with lesser offenses</w:t>
      </w:r>
      <w:r w:rsidRPr="002E116B">
        <w:t xml:space="preserve">, </w:t>
      </w:r>
      <w:r w:rsidR="006A6688" w:rsidRPr="002E116B">
        <w:t xml:space="preserve">to establish a prima facie case.  The plain language of </w:t>
      </w:r>
      <w:r w:rsidRPr="002E116B">
        <w:t>section 745, subdivision (a)(3)</w:t>
      </w:r>
      <w:r w:rsidR="00CF6E99" w:rsidRPr="002E116B">
        <w:t>,</w:t>
      </w:r>
      <w:r w:rsidRPr="002E116B">
        <w:t xml:space="preserve"> </w:t>
      </w:r>
      <w:r w:rsidR="006A6688" w:rsidRPr="002E116B">
        <w:t xml:space="preserve">requires evidence </w:t>
      </w:r>
      <w:r w:rsidR="00FA70CE" w:rsidRPr="002E116B">
        <w:t xml:space="preserve">of </w:t>
      </w:r>
      <w:r w:rsidR="006A6688" w:rsidRPr="002E116B">
        <w:t>similar conduct</w:t>
      </w:r>
      <w:r w:rsidR="00FA70CE" w:rsidRPr="002E116B">
        <w:t xml:space="preserve"> </w:t>
      </w:r>
      <w:r w:rsidR="00FA70CE" w:rsidRPr="002E116B">
        <w:rPr>
          <w:i/>
          <w:iCs/>
        </w:rPr>
        <w:t xml:space="preserve">and </w:t>
      </w:r>
      <w:r w:rsidR="00FA70CE" w:rsidRPr="002E116B">
        <w:t>similarly situated defendants</w:t>
      </w:r>
      <w:r w:rsidR="006A6688" w:rsidRPr="002E116B">
        <w:t>, and the legislative history sheds no light on what i</w:t>
      </w:r>
      <w:r w:rsidR="00FA70CE" w:rsidRPr="002E116B">
        <w:t>s</w:t>
      </w:r>
      <w:r w:rsidR="006A6688" w:rsidRPr="002E116B">
        <w:t xml:space="preserve"> required to </w:t>
      </w:r>
      <w:r w:rsidR="00FA70CE" w:rsidRPr="002E116B">
        <w:t>establish</w:t>
      </w:r>
      <w:r w:rsidR="006A6688" w:rsidRPr="002E116B">
        <w:t xml:space="preserve"> a prima facie case</w:t>
      </w:r>
      <w:r w:rsidRPr="002E116B">
        <w:t xml:space="preserve">.  There is nothing in the statute or </w:t>
      </w:r>
      <w:proofErr w:type="gramStart"/>
      <w:r w:rsidRPr="002E116B">
        <w:t>the legislative</w:t>
      </w:r>
      <w:proofErr w:type="gramEnd"/>
      <w:r w:rsidRPr="002E116B">
        <w:t xml:space="preserve"> history</w:t>
      </w:r>
      <w:r w:rsidR="00CF6E99" w:rsidRPr="002E116B">
        <w:t xml:space="preserve"> that</w:t>
      </w:r>
      <w:r w:rsidRPr="002E116B">
        <w:t xml:space="preserve"> provides guidance as to what evidence</w:t>
      </w:r>
      <w:r w:rsidR="006A6688" w:rsidRPr="002E116B">
        <w:t xml:space="preserve"> must be presented</w:t>
      </w:r>
      <w:r w:rsidR="00FA70CE" w:rsidRPr="002E116B">
        <w:t xml:space="preserve"> to </w:t>
      </w:r>
      <w:r w:rsidR="005F7DED" w:rsidRPr="002E116B">
        <w:t>determine</w:t>
      </w:r>
      <w:r w:rsidR="00FA70CE" w:rsidRPr="002E116B">
        <w:t xml:space="preserve"> </w:t>
      </w:r>
      <w:r w:rsidR="00EA40E8" w:rsidRPr="002E116B">
        <w:t xml:space="preserve">similar conduct </w:t>
      </w:r>
      <w:proofErr w:type="gramStart"/>
      <w:r w:rsidR="00EA40E8" w:rsidRPr="002E116B">
        <w:t>in order to</w:t>
      </w:r>
      <w:proofErr w:type="gramEnd"/>
      <w:r w:rsidR="00EA40E8" w:rsidRPr="002E116B">
        <w:t xml:space="preserve"> establish </w:t>
      </w:r>
      <w:r w:rsidR="00FA70CE" w:rsidRPr="002E116B">
        <w:t>a prima facie case</w:t>
      </w:r>
      <w:r w:rsidR="00EA40E8" w:rsidRPr="002E116B">
        <w:t>.</w:t>
      </w:r>
      <w:r w:rsidRPr="002E116B">
        <w:t xml:space="preserve"> </w:t>
      </w:r>
    </w:p>
    <w:p w14:paraId="752C84F4" w14:textId="55C27EC6" w:rsidR="002F65C8" w:rsidRPr="002E116B" w:rsidRDefault="00B85868" w:rsidP="00D17921">
      <w:pPr>
        <w:spacing w:line="480" w:lineRule="auto"/>
      </w:pPr>
      <w:r w:rsidRPr="002E116B">
        <w:tab/>
      </w:r>
      <w:r w:rsidR="006A6688" w:rsidRPr="002E116B">
        <w:t xml:space="preserve">However, </w:t>
      </w:r>
      <w:r w:rsidR="00BA02F2" w:rsidRPr="002E116B">
        <w:t xml:space="preserve">as we explain </w:t>
      </w:r>
      <w:r w:rsidR="00BA02F2" w:rsidRPr="002E116B">
        <w:rPr>
          <w:i/>
          <w:iCs/>
        </w:rPr>
        <w:t>post</w:t>
      </w:r>
      <w:r w:rsidR="00BA02F2" w:rsidRPr="002E116B">
        <w:t xml:space="preserve">, </w:t>
      </w:r>
      <w:r w:rsidR="006A6688" w:rsidRPr="002E116B">
        <w:t xml:space="preserve">based on the </w:t>
      </w:r>
      <w:r w:rsidR="00EA40E8" w:rsidRPr="002E116B">
        <w:t>evidence presented in this case</w:t>
      </w:r>
      <w:r w:rsidR="00222658" w:rsidRPr="002E116B">
        <w:t>,</w:t>
      </w:r>
      <w:r w:rsidR="00EA40E8" w:rsidRPr="002E116B">
        <w:t xml:space="preserve"> which included </w:t>
      </w:r>
      <w:r w:rsidR="00CF6E99" w:rsidRPr="002E116B">
        <w:t xml:space="preserve">(1) </w:t>
      </w:r>
      <w:r w:rsidR="00F6279B" w:rsidRPr="002E116B">
        <w:t xml:space="preserve">factual </w:t>
      </w:r>
      <w:r w:rsidR="006A6688" w:rsidRPr="002E116B">
        <w:t>examples of nonminority defendants who committed murder but were not charged with the death penalty</w:t>
      </w:r>
      <w:r w:rsidR="00FA70CE" w:rsidRPr="002E116B">
        <w:t xml:space="preserve"> in cases involving similar conduct and </w:t>
      </w:r>
      <w:r w:rsidR="00B5482D" w:rsidRPr="002E116B">
        <w:t xml:space="preserve">who </w:t>
      </w:r>
      <w:r w:rsidR="00FA70CE" w:rsidRPr="002E116B">
        <w:lastRenderedPageBreak/>
        <w:t>were similarly situated, e.g. had prior records</w:t>
      </w:r>
      <w:r w:rsidR="00B5482D" w:rsidRPr="002E116B">
        <w:t xml:space="preserve"> or committed multiple murders</w:t>
      </w:r>
      <w:r w:rsidR="006A6688" w:rsidRPr="002E116B">
        <w:t xml:space="preserve">, and </w:t>
      </w:r>
      <w:r w:rsidR="00CF6E99" w:rsidRPr="002E116B">
        <w:t>(2)</w:t>
      </w:r>
      <w:r w:rsidR="00222658" w:rsidRPr="002E116B">
        <w:t> </w:t>
      </w:r>
      <w:r w:rsidR="006A6688" w:rsidRPr="002E116B">
        <w:t xml:space="preserve">statistical evidence that there was a history of racial disparity in charging the death penalty by the </w:t>
      </w:r>
      <w:r w:rsidR="00A867A5" w:rsidRPr="002E116B">
        <w:t>District Attorney</w:t>
      </w:r>
      <w:r w:rsidR="006A6688" w:rsidRPr="002E116B">
        <w:t>, met his burden</w:t>
      </w:r>
      <w:r w:rsidR="00BA02F2" w:rsidRPr="002E116B">
        <w:t xml:space="preserve"> of establishing a prima </w:t>
      </w:r>
      <w:r w:rsidR="00446BDD" w:rsidRPr="002E116B">
        <w:t xml:space="preserve">facie </w:t>
      </w:r>
      <w:r w:rsidR="00BA02F2" w:rsidRPr="002E116B">
        <w:t>case</w:t>
      </w:r>
      <w:r w:rsidR="00FA70CE" w:rsidRPr="002E116B">
        <w:t xml:space="preserve"> under section 745, subdivision (a)(3)</w:t>
      </w:r>
      <w:r w:rsidR="006A6688" w:rsidRPr="002E116B">
        <w:t xml:space="preserve">.  </w:t>
      </w:r>
      <w:r w:rsidR="00EA40E8" w:rsidRPr="002E116B">
        <w:t xml:space="preserve">We need not determine based on the evidence presented whether </w:t>
      </w:r>
      <w:r w:rsidR="005F7DED" w:rsidRPr="002E116B">
        <w:t xml:space="preserve">only </w:t>
      </w:r>
      <w:r w:rsidR="00EA40E8" w:rsidRPr="002E116B">
        <w:t xml:space="preserve">statistical evidence of similar conduct </w:t>
      </w:r>
      <w:r w:rsidR="00957C9E" w:rsidRPr="002E116B">
        <w:t xml:space="preserve">and similarly situated defendants </w:t>
      </w:r>
      <w:r w:rsidR="00EA40E8" w:rsidRPr="002E116B">
        <w:t xml:space="preserve">would be sufficient to support a prima facie case. </w:t>
      </w:r>
      <w:r w:rsidR="00222658" w:rsidRPr="002E116B">
        <w:t xml:space="preserve"> </w:t>
      </w:r>
      <w:r w:rsidR="006A6688" w:rsidRPr="002E116B">
        <w:t xml:space="preserve">As such, the trial court should have ordered an evidentiary hearing at which </w:t>
      </w:r>
      <w:r w:rsidR="00A867A5" w:rsidRPr="002E116B">
        <w:t xml:space="preserve">the District Attorney </w:t>
      </w:r>
      <w:r w:rsidR="006A6688" w:rsidRPr="002E116B">
        <w:t xml:space="preserve">could produce evidence of the relevant factors that were used to determine </w:t>
      </w:r>
      <w:r w:rsidR="00B5482D" w:rsidRPr="002E116B">
        <w:t xml:space="preserve">the </w:t>
      </w:r>
      <w:r w:rsidR="006A6688" w:rsidRPr="002E116B">
        <w:t>charge</w:t>
      </w:r>
      <w:r w:rsidR="00B5482D" w:rsidRPr="002E116B">
        <w:t>s against the</w:t>
      </w:r>
      <w:r w:rsidR="006A6688" w:rsidRPr="002E116B">
        <w:t xml:space="preserve"> nonminority defendants who were involved in similar conduct</w:t>
      </w:r>
      <w:r w:rsidR="00CF6E99" w:rsidRPr="002E116B">
        <w:t>,</w:t>
      </w:r>
      <w:r w:rsidR="006A6688" w:rsidRPr="002E116B">
        <w:t xml:space="preserve"> and </w:t>
      </w:r>
      <w:r w:rsidR="00B5482D" w:rsidRPr="002E116B">
        <w:t xml:space="preserve">who </w:t>
      </w:r>
      <w:r w:rsidR="006A6688" w:rsidRPr="002E116B">
        <w:t>were similarly situated</w:t>
      </w:r>
      <w:r w:rsidR="00B5482D" w:rsidRPr="002E116B">
        <w:t xml:space="preserve"> to </w:t>
      </w:r>
      <w:r w:rsidR="00A867A5" w:rsidRPr="002E116B">
        <w:t>Petitioner</w:t>
      </w:r>
      <w:r w:rsidR="00CF6E99" w:rsidRPr="002E116B">
        <w:t>;</w:t>
      </w:r>
      <w:r w:rsidR="006A6688" w:rsidRPr="002E116B">
        <w:t xml:space="preserve"> and to provide </w:t>
      </w:r>
      <w:r w:rsidR="00B5482D" w:rsidRPr="002E116B">
        <w:t xml:space="preserve">any </w:t>
      </w:r>
      <w:r w:rsidR="006A6688" w:rsidRPr="002E116B">
        <w:t xml:space="preserve">race-neutral reasons that it </w:t>
      </w:r>
      <w:r w:rsidR="00B5482D" w:rsidRPr="002E116B">
        <w:t xml:space="preserve">considered in deciding to </w:t>
      </w:r>
      <w:r w:rsidR="006A6688" w:rsidRPr="002E116B">
        <w:t>charg</w:t>
      </w:r>
      <w:r w:rsidR="00B5482D" w:rsidRPr="002E116B">
        <w:t>e</w:t>
      </w:r>
      <w:r w:rsidR="006A6688" w:rsidRPr="002E116B">
        <w:t xml:space="preserve"> </w:t>
      </w:r>
      <w:r w:rsidR="00A867A5" w:rsidRPr="002E116B">
        <w:t>Petitioner</w:t>
      </w:r>
      <w:r w:rsidR="006A6688" w:rsidRPr="002E116B">
        <w:t xml:space="preserve"> with the death penalty in this case.  </w:t>
      </w:r>
      <w:r w:rsidRPr="002E116B">
        <w:t>We grant the writ petition</w:t>
      </w:r>
      <w:r w:rsidR="00206D2C" w:rsidRPr="002E116B">
        <w:t xml:space="preserve"> </w:t>
      </w:r>
      <w:r w:rsidRPr="002E116B">
        <w:t xml:space="preserve">and direct </w:t>
      </w:r>
      <w:r w:rsidR="00206D2C" w:rsidRPr="002E116B">
        <w:t>the trial</w:t>
      </w:r>
      <w:r w:rsidR="006A6688" w:rsidRPr="002E116B">
        <w:t xml:space="preserve"> court to conduct an evidentiary hearing</w:t>
      </w:r>
      <w:r w:rsidRPr="002E116B">
        <w:t>.</w:t>
      </w:r>
    </w:p>
    <w:p w14:paraId="47F57735" w14:textId="77777777" w:rsidR="002F65C8" w:rsidRPr="002E116B" w:rsidRDefault="00B85868" w:rsidP="00D17921">
      <w:pPr>
        <w:keepNext/>
        <w:keepLines/>
        <w:spacing w:line="480" w:lineRule="auto"/>
        <w:jc w:val="center"/>
        <w:rPr>
          <w:b/>
        </w:rPr>
      </w:pPr>
      <w:r w:rsidRPr="002E116B">
        <w:rPr>
          <w:b/>
        </w:rPr>
        <w:t>FACTUAL AND PROCEDURAL HISTORY</w:t>
      </w:r>
    </w:p>
    <w:p w14:paraId="2EEAFBC1" w14:textId="77777777" w:rsidR="009778F0" w:rsidRPr="002E116B" w:rsidRDefault="00B85868" w:rsidP="00D17921">
      <w:pPr>
        <w:spacing w:line="480" w:lineRule="auto"/>
      </w:pPr>
      <w:r w:rsidRPr="002E116B">
        <w:tab/>
        <w:t>A.</w:t>
      </w:r>
      <w:r w:rsidRPr="002E116B">
        <w:tab/>
      </w:r>
      <w:r w:rsidRPr="002E116B">
        <w:rPr>
          <w:u w:val="single"/>
        </w:rPr>
        <w:t>FACTS, CHARGES AND PRIOR CONVICTIONS</w:t>
      </w:r>
    </w:p>
    <w:p w14:paraId="07C8EA3E" w14:textId="2EDF2A0F" w:rsidR="007D1D21" w:rsidRPr="002E116B" w:rsidRDefault="00B85868" w:rsidP="00D17921">
      <w:pPr>
        <w:spacing w:line="480" w:lineRule="auto"/>
      </w:pPr>
      <w:r w:rsidRPr="002E116B">
        <w:tab/>
        <w:t xml:space="preserve">The parties </w:t>
      </w:r>
      <w:r w:rsidR="00944316" w:rsidRPr="002E116B">
        <w:t xml:space="preserve">presented the following facts in the Petition and </w:t>
      </w:r>
      <w:r w:rsidR="00446BDD" w:rsidRPr="002E116B">
        <w:t>return</w:t>
      </w:r>
      <w:r w:rsidRPr="002E116B">
        <w:t xml:space="preserve">:  On April 8, 2014, at approximately 2:30 p.m., Darryl King-Divens was riding his bicycle on Hemlock Avenue in Riverside.  </w:t>
      </w:r>
      <w:r w:rsidR="00A867A5" w:rsidRPr="002E116B">
        <w:t>Petitioner</w:t>
      </w:r>
      <w:r w:rsidRPr="002E116B">
        <w:t xml:space="preserve"> drove by King-Divens</w:t>
      </w:r>
      <w:r w:rsidR="00424138" w:rsidRPr="002E116B">
        <w:t xml:space="preserve">, </w:t>
      </w:r>
      <w:r w:rsidRPr="002E116B">
        <w:t>shot at him three times</w:t>
      </w:r>
      <w:r w:rsidR="00424138" w:rsidRPr="002E116B">
        <w:t xml:space="preserve">, and </w:t>
      </w:r>
      <w:r w:rsidRPr="002E116B">
        <w:t>then drove away.  King-Divens was declared deceased at the scene.</w:t>
      </w:r>
    </w:p>
    <w:p w14:paraId="41CEF8CE" w14:textId="425D4423" w:rsidR="007D1D21" w:rsidRPr="002E116B" w:rsidRDefault="00B85868" w:rsidP="00D17921">
      <w:pPr>
        <w:spacing w:line="480" w:lineRule="auto"/>
      </w:pPr>
      <w:r w:rsidRPr="002E116B">
        <w:tab/>
      </w:r>
      <w:r w:rsidR="00274085" w:rsidRPr="002E116B">
        <w:t xml:space="preserve">The District Attorney </w:t>
      </w:r>
      <w:r w:rsidR="00944316" w:rsidRPr="002E116B">
        <w:t xml:space="preserve">contended the following facts in the </w:t>
      </w:r>
      <w:r w:rsidR="00446BDD" w:rsidRPr="002E116B">
        <w:t xml:space="preserve">return </w:t>
      </w:r>
      <w:r w:rsidR="00944316" w:rsidRPr="002E116B">
        <w:t xml:space="preserve">as to the Los Angeles murders and attempted murder:  </w:t>
      </w:r>
      <w:r w:rsidRPr="002E116B">
        <w:t xml:space="preserve">Prior to being apprehended, </w:t>
      </w:r>
      <w:r w:rsidR="00A867A5" w:rsidRPr="002E116B">
        <w:t>Petitioner</w:t>
      </w:r>
      <w:r w:rsidRPr="002E116B">
        <w:t xml:space="preserve"> was involved in killing two other persons </w:t>
      </w:r>
      <w:r w:rsidR="00926050" w:rsidRPr="002E116B">
        <w:t xml:space="preserve">and attempting to kill one person </w:t>
      </w:r>
      <w:r w:rsidRPr="002E116B">
        <w:t xml:space="preserve">in Los Angeles.  On April 17, 2014, at approximately 11:30 p.m., Pedro Rodriguez was shot by </w:t>
      </w:r>
      <w:proofErr w:type="gramStart"/>
      <w:r w:rsidR="00A867A5" w:rsidRPr="002E116B">
        <w:lastRenderedPageBreak/>
        <w:t>Petitioner</w:t>
      </w:r>
      <w:proofErr w:type="gramEnd"/>
      <w:r w:rsidRPr="002E116B">
        <w:t xml:space="preserve"> over a dispute </w:t>
      </w:r>
      <w:r w:rsidR="00BA02F2" w:rsidRPr="002E116B">
        <w:t xml:space="preserve">regarding </w:t>
      </w:r>
      <w:r w:rsidRPr="002E116B">
        <w:t xml:space="preserve">a friend of </w:t>
      </w:r>
      <w:r w:rsidR="00A867A5" w:rsidRPr="002E116B">
        <w:t>Petitioner</w:t>
      </w:r>
      <w:r w:rsidR="00446BDD" w:rsidRPr="002E116B">
        <w:t>’s</w:t>
      </w:r>
      <w:r w:rsidRPr="002E116B">
        <w:t xml:space="preserve">.  On April 23, 2014, </w:t>
      </w:r>
      <w:r w:rsidR="00A867A5" w:rsidRPr="002E116B">
        <w:t>Petitioner</w:t>
      </w:r>
      <w:r w:rsidRPr="002E116B">
        <w:t xml:space="preserve"> killed </w:t>
      </w:r>
      <w:r w:rsidR="00926050" w:rsidRPr="002E116B">
        <w:t>victim Quezada</w:t>
      </w:r>
      <w:r>
        <w:rPr>
          <w:rStyle w:val="FootnoteReference"/>
        </w:rPr>
        <w:footnoteReference w:id="3"/>
      </w:r>
      <w:r w:rsidR="00926050" w:rsidRPr="002E116B">
        <w:t xml:space="preserve"> by shooting him from </w:t>
      </w:r>
      <w:r w:rsidR="000F091B" w:rsidRPr="002E116B">
        <w:t>Petitioner’s</w:t>
      </w:r>
      <w:r w:rsidR="00926050" w:rsidRPr="002E116B">
        <w:t xml:space="preserve"> vehicle while Quezada ran down the street.  On April 1, 2014, </w:t>
      </w:r>
      <w:r w:rsidR="00A867A5" w:rsidRPr="002E116B">
        <w:t>Petitioner</w:t>
      </w:r>
      <w:r w:rsidR="00926050" w:rsidRPr="002E116B">
        <w:t xml:space="preserve"> attempted to kill Leon Merritt by shooting him while he was seated in his vehicle. </w:t>
      </w:r>
      <w:r w:rsidR="00CF6E99" w:rsidRPr="002E116B">
        <w:t xml:space="preserve"> </w:t>
      </w:r>
      <w:r w:rsidR="00926050" w:rsidRPr="002E116B">
        <w:t>Merritt was shot in the arm and leg</w:t>
      </w:r>
      <w:r w:rsidR="00282DE7" w:rsidRPr="002E116B">
        <w:t>,</w:t>
      </w:r>
      <w:r w:rsidR="00926050" w:rsidRPr="002E116B">
        <w:t xml:space="preserve"> but he survived.  </w:t>
      </w:r>
      <w:r w:rsidR="00A867A5" w:rsidRPr="002E116B">
        <w:t>Petitioner</w:t>
      </w:r>
      <w:r w:rsidR="00926050" w:rsidRPr="002E116B">
        <w:t xml:space="preserve"> was convicted of both murders and the attempted murder on January 24, 2017</w:t>
      </w:r>
      <w:r w:rsidR="00944316" w:rsidRPr="002E116B">
        <w:t>.</w:t>
      </w:r>
      <w:r>
        <w:rPr>
          <w:rStyle w:val="FootnoteReference"/>
        </w:rPr>
        <w:footnoteReference w:id="4"/>
      </w:r>
    </w:p>
    <w:p w14:paraId="3C2BDE16" w14:textId="0F0BBF85" w:rsidR="00994E08" w:rsidRPr="002E116B" w:rsidRDefault="00B85868" w:rsidP="00D17921">
      <w:pPr>
        <w:spacing w:line="480" w:lineRule="auto"/>
      </w:pPr>
      <w:r w:rsidRPr="002E116B">
        <w:tab/>
      </w:r>
      <w:r w:rsidR="00A867A5" w:rsidRPr="002E116B">
        <w:t>Petitioner</w:t>
      </w:r>
      <w:r w:rsidR="00EA7F2D" w:rsidRPr="002E116B">
        <w:t xml:space="preserve"> was charged </w:t>
      </w:r>
      <w:r w:rsidR="007048A7" w:rsidRPr="002E116B">
        <w:t xml:space="preserve">by the </w:t>
      </w:r>
      <w:r w:rsidR="00A867A5" w:rsidRPr="002E116B">
        <w:t>District Attorney</w:t>
      </w:r>
      <w:r w:rsidR="00282DE7" w:rsidRPr="002E116B">
        <w:t xml:space="preserve"> </w:t>
      </w:r>
      <w:r w:rsidR="007048A7" w:rsidRPr="002E116B">
        <w:t>in a first amended information with murder (Pen. Code, § 187) with the special allegation that he personally and intentionally discharged a firearm causing great bodily injury or death (§ 12022.53, subd. (</w:t>
      </w:r>
      <w:proofErr w:type="gramStart"/>
      <w:r w:rsidR="007048A7" w:rsidRPr="002E116B">
        <w:t>d))</w:t>
      </w:r>
      <w:proofErr w:type="gramEnd"/>
      <w:r w:rsidR="007048A7" w:rsidRPr="002E116B">
        <w:t>.  In addition, he was charged with the special circumstances that he discharged a firearm from a motor vehicle at another person outside the vehicle (§</w:t>
      </w:r>
      <w:r w:rsidR="00CF6E99" w:rsidRPr="002E116B">
        <w:t> </w:t>
      </w:r>
      <w:r w:rsidR="007048A7" w:rsidRPr="002E116B">
        <w:t>190.2, subd. (a)(21))</w:t>
      </w:r>
      <w:r w:rsidR="00446BDD" w:rsidRPr="002E116B">
        <w:t>,</w:t>
      </w:r>
      <w:r w:rsidR="007048A7" w:rsidRPr="002E116B">
        <w:t xml:space="preserve"> </w:t>
      </w:r>
      <w:r w:rsidRPr="002E116B">
        <w:t xml:space="preserve">and two allegations that he had two previous convictions of murder in the first </w:t>
      </w:r>
      <w:r w:rsidRPr="002E116B">
        <w:t xml:space="preserve">or second degree (§ 190.2, subd. (a)(2)).  On March 15, 2019, the </w:t>
      </w:r>
      <w:r w:rsidR="00A867A5" w:rsidRPr="002E116B">
        <w:t>District Attorney</w:t>
      </w:r>
      <w:r w:rsidRPr="002E116B">
        <w:t xml:space="preserve"> provided notice to </w:t>
      </w:r>
      <w:r w:rsidR="00A867A5" w:rsidRPr="002E116B">
        <w:t>Petitioner</w:t>
      </w:r>
      <w:r w:rsidRPr="002E116B">
        <w:t xml:space="preserve"> that it intended “after review of all facts and circumstances underlying the charges” to seek the death penalty in the case.</w:t>
      </w:r>
    </w:p>
    <w:p w14:paraId="79F3D75E" w14:textId="2151D515" w:rsidR="007A6A0A" w:rsidRPr="002E116B" w:rsidRDefault="00B85868" w:rsidP="00D17921">
      <w:pPr>
        <w:spacing w:line="480" w:lineRule="auto"/>
      </w:pPr>
      <w:r w:rsidRPr="002E116B">
        <w:tab/>
        <w:t>B.</w:t>
      </w:r>
      <w:r w:rsidRPr="002E116B">
        <w:tab/>
      </w:r>
      <w:r w:rsidRPr="002E116B">
        <w:rPr>
          <w:u w:val="single"/>
        </w:rPr>
        <w:t>FIRST MOTION FOR RELIEF UNDER CRJA</w:t>
      </w:r>
    </w:p>
    <w:p w14:paraId="1A9A2823" w14:textId="4C330564" w:rsidR="00994E08" w:rsidRPr="002E116B" w:rsidRDefault="00B85868" w:rsidP="00D17921">
      <w:pPr>
        <w:spacing w:line="480" w:lineRule="auto"/>
      </w:pPr>
      <w:r w:rsidRPr="002E116B">
        <w:tab/>
      </w:r>
      <w:r w:rsidR="00A867A5" w:rsidRPr="002E116B">
        <w:t>Petitioner</w:t>
      </w:r>
      <w:r w:rsidRPr="002E116B">
        <w:t xml:space="preserve"> filed </w:t>
      </w:r>
      <w:r w:rsidR="00446BDD" w:rsidRPr="002E116B">
        <w:t xml:space="preserve">the </w:t>
      </w:r>
      <w:r w:rsidRPr="002E116B">
        <w:t>Motion on July 26, 2022</w:t>
      </w:r>
      <w:r w:rsidR="00D867E5" w:rsidRPr="002E116B">
        <w:t>,</w:t>
      </w:r>
      <w:r w:rsidRPr="002E116B">
        <w:t xml:space="preserve"> seeking an evidentiary hearing pursuant to the C</w:t>
      </w:r>
      <w:r w:rsidR="008F4304" w:rsidRPr="002E116B">
        <w:t>RJA</w:t>
      </w:r>
      <w:r w:rsidRPr="002E116B">
        <w:t xml:space="preserve">.  </w:t>
      </w:r>
      <w:proofErr w:type="gramStart"/>
      <w:r w:rsidR="00A867A5" w:rsidRPr="002E116B">
        <w:t>Petitioner</w:t>
      </w:r>
      <w:proofErr w:type="gramEnd"/>
      <w:r w:rsidR="00040B14" w:rsidRPr="002E116B">
        <w:t xml:space="preserve"> contended that d</w:t>
      </w:r>
      <w:r w:rsidRPr="002E116B">
        <w:t xml:space="preserve">enial of the Motion would violate </w:t>
      </w:r>
      <w:r w:rsidR="00A867A5" w:rsidRPr="002E116B">
        <w:t>Petitioner</w:t>
      </w:r>
      <w:r w:rsidRPr="002E116B">
        <w:t xml:space="preserve">’s rights guaranteed by section 745, his right to equal protection of the law, </w:t>
      </w:r>
      <w:r w:rsidRPr="002E116B">
        <w:lastRenderedPageBreak/>
        <w:t>and cause a miscarriage of justice.</w:t>
      </w:r>
      <w:r w:rsidR="00147C49" w:rsidRPr="002E116B">
        <w:t xml:space="preserve"> </w:t>
      </w:r>
      <w:r w:rsidR="00040B14" w:rsidRPr="002E116B">
        <w:t xml:space="preserve"> </w:t>
      </w:r>
      <w:r w:rsidR="00A867A5" w:rsidRPr="002E116B">
        <w:t>Petitioner</w:t>
      </w:r>
      <w:r w:rsidR="00040B14" w:rsidRPr="002E116B">
        <w:t xml:space="preserve"> provided an extensive history </w:t>
      </w:r>
      <w:r w:rsidR="00147C49" w:rsidRPr="002E116B">
        <w:t xml:space="preserve">of </w:t>
      </w:r>
      <w:r w:rsidR="00040B14" w:rsidRPr="002E116B">
        <w:t xml:space="preserve">racism </w:t>
      </w:r>
      <w:r w:rsidR="00147C49" w:rsidRPr="002E116B">
        <w:t>in California.</w:t>
      </w:r>
      <w:r w:rsidR="00D26A82" w:rsidRPr="002E116B">
        <w:t xml:space="preserve">  </w:t>
      </w:r>
      <w:r w:rsidR="00A867A5" w:rsidRPr="002E116B">
        <w:t>Petitioner</w:t>
      </w:r>
      <w:r w:rsidR="000A062C" w:rsidRPr="002E116B">
        <w:t xml:space="preserve"> provided statistics</w:t>
      </w:r>
      <w:r w:rsidR="00040B14" w:rsidRPr="002E116B">
        <w:t xml:space="preserve"> regarding the charging of </w:t>
      </w:r>
      <w:proofErr w:type="gramStart"/>
      <w:r w:rsidR="00EB02DF" w:rsidRPr="002E116B">
        <w:t>African-American</w:t>
      </w:r>
      <w:proofErr w:type="gramEnd"/>
      <w:r w:rsidR="00040B14" w:rsidRPr="002E116B">
        <w:t xml:space="preserve"> defendants in Riverside County from January 2016 through December 2021,</w:t>
      </w:r>
      <w:r>
        <w:rPr>
          <w:rStyle w:val="FootnoteReference"/>
        </w:rPr>
        <w:footnoteReference w:id="5"/>
      </w:r>
      <w:r w:rsidR="00040B14" w:rsidRPr="002E116B">
        <w:t xml:space="preserve"> which were</w:t>
      </w:r>
      <w:r w:rsidR="000A062C" w:rsidRPr="002E116B">
        <w:t xml:space="preserve"> analyzed by Marisa Omori, Ph.D</w:t>
      </w:r>
      <w:r w:rsidR="006C37FF" w:rsidRPr="002E116B">
        <w:t>.</w:t>
      </w:r>
      <w:r w:rsidR="00906C77" w:rsidRPr="002E116B">
        <w:t>, a statistics professor.</w:t>
      </w:r>
      <w:r w:rsidR="006C37FF" w:rsidRPr="002E116B">
        <w:t xml:space="preserve">  </w:t>
      </w:r>
      <w:r w:rsidR="00A867A5" w:rsidRPr="002E116B">
        <w:t>Petitioner</w:t>
      </w:r>
      <w:r w:rsidR="000A062C" w:rsidRPr="002E116B">
        <w:t xml:space="preserve"> argued </w:t>
      </w:r>
      <w:r w:rsidR="006C37FF" w:rsidRPr="002E116B">
        <w:t>this evidence</w:t>
      </w:r>
      <w:r w:rsidR="00040B14" w:rsidRPr="002E116B">
        <w:t xml:space="preserve">, along with Omori’s analysis, </w:t>
      </w:r>
      <w:r w:rsidR="000A062C" w:rsidRPr="002E116B">
        <w:t xml:space="preserve">showed that </w:t>
      </w:r>
      <w:proofErr w:type="gramStart"/>
      <w:r w:rsidR="00EB02DF" w:rsidRPr="002E116B">
        <w:t>African-American</w:t>
      </w:r>
      <w:proofErr w:type="gramEnd"/>
      <w:r w:rsidR="000A062C" w:rsidRPr="002E116B">
        <w:t xml:space="preserve"> defendants received the harshest punishment of any racial or ethnic group in Riverside </w:t>
      </w:r>
      <w:r w:rsidR="00040B14" w:rsidRPr="002E116B">
        <w:t>C</w:t>
      </w:r>
      <w:r w:rsidR="000A062C" w:rsidRPr="002E116B">
        <w:t xml:space="preserve">ounty.  </w:t>
      </w:r>
      <w:proofErr w:type="gramStart"/>
      <w:r w:rsidR="00EB02DF" w:rsidRPr="002E116B">
        <w:t>African-American</w:t>
      </w:r>
      <w:proofErr w:type="gramEnd"/>
      <w:r w:rsidR="000A062C" w:rsidRPr="002E116B">
        <w:t xml:space="preserve"> defendants are charged with special circumstances in their murder cases at a rate of 64.86 per 100,000 of the adult population; Caucasians are charged at a rate of 5.00 per 100,000 of the adult population</w:t>
      </w:r>
      <w:r w:rsidR="00BA02F2" w:rsidRPr="002E116B">
        <w:t>;</w:t>
      </w:r>
      <w:r w:rsidR="000A062C" w:rsidRPr="002E116B">
        <w:t xml:space="preserve"> and Hispanics are charged at a rate of 16.84 per 100,000 of the adult population.  In addition, Riverside County filed a notice of intent to seek the death penalty against 22 defendants between 2016 through 2021.  Per 100,000 of the adult population, 6.05 </w:t>
      </w:r>
      <w:r w:rsidR="00BA02F2" w:rsidRPr="002E116B">
        <w:t xml:space="preserve">involved </w:t>
      </w:r>
      <w:proofErr w:type="gramStart"/>
      <w:r w:rsidR="00EB02DF" w:rsidRPr="002E116B">
        <w:t>African-American</w:t>
      </w:r>
      <w:proofErr w:type="gramEnd"/>
      <w:r w:rsidR="000A062C" w:rsidRPr="002E116B">
        <w:t xml:space="preserve"> offenders, 1.45 for Hispanic offenders</w:t>
      </w:r>
      <w:r w:rsidR="00424138" w:rsidRPr="002E116B">
        <w:t>,</w:t>
      </w:r>
      <w:r w:rsidR="000A062C" w:rsidRPr="002E116B">
        <w:t xml:space="preserve"> and .29 for Caucasian offenders.  </w:t>
      </w:r>
      <w:r w:rsidR="00A867A5" w:rsidRPr="002E116B">
        <w:t>Petitioner</w:t>
      </w:r>
      <w:r w:rsidR="006C37FF" w:rsidRPr="002E116B">
        <w:t xml:space="preserve"> argued that this statistical evidence was more than sufficient to make out a prima facie case under the C</w:t>
      </w:r>
      <w:r w:rsidR="008F4304" w:rsidRPr="002E116B">
        <w:t>RJA</w:t>
      </w:r>
      <w:r w:rsidR="006C37FF" w:rsidRPr="002E116B">
        <w:t xml:space="preserve">.  </w:t>
      </w:r>
      <w:r w:rsidR="00A867A5" w:rsidRPr="002E116B">
        <w:t>Petitioner</w:t>
      </w:r>
      <w:r w:rsidR="009D772F" w:rsidRPr="002E116B">
        <w:t xml:space="preserve"> contended that </w:t>
      </w:r>
      <w:proofErr w:type="gramStart"/>
      <w:r w:rsidR="00EB02DF" w:rsidRPr="002E116B">
        <w:t>African-American</w:t>
      </w:r>
      <w:r w:rsidR="009D772F" w:rsidRPr="002E116B">
        <w:t>s</w:t>
      </w:r>
      <w:proofErr w:type="gramEnd"/>
      <w:r w:rsidR="009D772F" w:rsidRPr="002E116B">
        <w:t xml:space="preserve"> are charged with more murders, special circumstances</w:t>
      </w:r>
      <w:r w:rsidR="00411174" w:rsidRPr="002E116B">
        <w:t>,</w:t>
      </w:r>
      <w:r w:rsidR="009D772F" w:rsidRPr="002E116B">
        <w:t xml:space="preserve"> and notices of intent to seek the death penalty than </w:t>
      </w:r>
      <w:r w:rsidR="00EB02DF" w:rsidRPr="002E116B">
        <w:t>Caucasian</w:t>
      </w:r>
      <w:r w:rsidR="009D772F" w:rsidRPr="002E116B">
        <w:t xml:space="preserve"> offenders</w:t>
      </w:r>
      <w:r w:rsidR="00411174" w:rsidRPr="002E116B">
        <w:t>,</w:t>
      </w:r>
      <w:r w:rsidR="009D772F" w:rsidRPr="002E116B">
        <w:t xml:space="preserve"> which show</w:t>
      </w:r>
      <w:r w:rsidR="00906C77" w:rsidRPr="002E116B">
        <w:t>ed</w:t>
      </w:r>
      <w:r w:rsidR="009D772F" w:rsidRPr="002E116B">
        <w:t xml:space="preserve"> a violation of section 745, subdivision (a)(3).</w:t>
      </w:r>
    </w:p>
    <w:p w14:paraId="27028B47" w14:textId="637FB99A" w:rsidR="002F0740" w:rsidRPr="002E116B" w:rsidRDefault="00B85868" w:rsidP="00D17921">
      <w:pPr>
        <w:spacing w:line="480" w:lineRule="auto"/>
      </w:pPr>
      <w:r w:rsidRPr="002E116B">
        <w:tab/>
        <w:t xml:space="preserve">The District Attorney filed </w:t>
      </w:r>
      <w:r w:rsidR="00AF7D4F" w:rsidRPr="002E116B">
        <w:t xml:space="preserve">a </w:t>
      </w:r>
      <w:r w:rsidRPr="002E116B">
        <w:t>response to the Motion</w:t>
      </w:r>
      <w:r w:rsidR="00411174" w:rsidRPr="002E116B">
        <w:t xml:space="preserve"> </w:t>
      </w:r>
      <w:r w:rsidRPr="002E116B">
        <w:t>contend</w:t>
      </w:r>
      <w:r w:rsidR="00411174" w:rsidRPr="002E116B">
        <w:t>ing</w:t>
      </w:r>
      <w:r w:rsidRPr="002E116B">
        <w:t xml:space="preserve"> that Petitioner failed to show he was charged more seriously than defendants of other races, ethnicities</w:t>
      </w:r>
      <w:r w:rsidR="00424138" w:rsidRPr="002E116B">
        <w:t>,</w:t>
      </w:r>
      <w:r w:rsidRPr="002E116B">
        <w:t xml:space="preserve"> or national origins who are similarly situated.  Petitioner had not </w:t>
      </w:r>
      <w:r w:rsidR="00E83AD3" w:rsidRPr="002E116B">
        <w:t>addressed</w:t>
      </w:r>
      <w:r w:rsidRPr="002E116B">
        <w:t xml:space="preserve"> the various </w:t>
      </w:r>
      <w:r w:rsidRPr="002E116B">
        <w:lastRenderedPageBreak/>
        <w:t>variables that were considered in charging a defendant.  The District Attorney argued that Petitioner had to compare the facts of cases involving nonminority defendants to the instant case.  It was impossible for the trial court to consider whether Petitioner was similarly situated based just on the statistics.  P</w:t>
      </w:r>
      <w:r w:rsidRPr="002E116B">
        <w:t>etitioner was charged with a drive-by shooting special circumstance and two prior murder conviction special circumstance</w:t>
      </w:r>
      <w:r w:rsidR="00411174" w:rsidRPr="002E116B">
        <w:t>s</w:t>
      </w:r>
      <w:r w:rsidRPr="002E116B">
        <w:t xml:space="preserve">.  The cases relied on by </w:t>
      </w:r>
      <w:proofErr w:type="gramStart"/>
      <w:r w:rsidRPr="002E116B">
        <w:t>Petitioner</w:t>
      </w:r>
      <w:proofErr w:type="gramEnd"/>
      <w:r w:rsidRPr="002E116B">
        <w:t xml:space="preserve"> did not involve this combination of charg</w:t>
      </w:r>
      <w:r w:rsidR="00E83AD3" w:rsidRPr="002E116B">
        <w:t>es</w:t>
      </w:r>
      <w:r w:rsidRPr="002E116B">
        <w:t xml:space="preserve">.  Additionally, the statistics provided by </w:t>
      </w:r>
      <w:proofErr w:type="gramStart"/>
      <w:r w:rsidRPr="002E116B">
        <w:t>Petitioner</w:t>
      </w:r>
      <w:proofErr w:type="gramEnd"/>
      <w:r w:rsidRPr="002E116B">
        <w:t xml:space="preserve"> failed to consider the enhancements charged against him, the aggravating </w:t>
      </w:r>
      <w:proofErr w:type="gramStart"/>
      <w:r w:rsidRPr="002E116B">
        <w:t>factors</w:t>
      </w:r>
      <w:proofErr w:type="gramEnd"/>
      <w:r w:rsidRPr="002E116B">
        <w:t xml:space="preserve"> and his specific criminal history.  Further, the Omori study was flawed as she conceded no statistically significant difference in </w:t>
      </w:r>
      <w:proofErr w:type="gramStart"/>
      <w:r w:rsidR="00EB02DF" w:rsidRPr="002E116B">
        <w:t>African-American</w:t>
      </w:r>
      <w:proofErr w:type="gramEnd"/>
      <w:r w:rsidRPr="002E116B">
        <w:t xml:space="preserve"> and </w:t>
      </w:r>
      <w:r w:rsidR="00EB02DF" w:rsidRPr="002E116B">
        <w:t>Caucasian</w:t>
      </w:r>
      <w:r w:rsidRPr="002E116B">
        <w:t xml:space="preserve"> groups based </w:t>
      </w:r>
      <w:r w:rsidRPr="002E116B">
        <w:t>on the small sample size, and in</w:t>
      </w:r>
      <w:r w:rsidR="00411174" w:rsidRPr="002E116B">
        <w:t>clude</w:t>
      </w:r>
      <w:r w:rsidRPr="002E116B">
        <w:t>d juvenile cases</w:t>
      </w:r>
      <w:r w:rsidR="00411174" w:rsidRPr="002E116B">
        <w:t>,</w:t>
      </w:r>
      <w:r w:rsidRPr="002E116B">
        <w:t xml:space="preserve"> which are not eligible for </w:t>
      </w:r>
      <w:r w:rsidR="00411174" w:rsidRPr="002E116B">
        <w:t xml:space="preserve">the </w:t>
      </w:r>
      <w:r w:rsidRPr="002E116B">
        <w:t>death penalty.</w:t>
      </w:r>
    </w:p>
    <w:p w14:paraId="27A5DDFD" w14:textId="4FB10E6C" w:rsidR="002F0740" w:rsidRPr="002E116B" w:rsidRDefault="00B85868" w:rsidP="00D17921">
      <w:pPr>
        <w:spacing w:line="480" w:lineRule="auto"/>
      </w:pPr>
      <w:r w:rsidRPr="002E116B">
        <w:tab/>
      </w:r>
      <w:r w:rsidR="00424E43" w:rsidRPr="002E116B">
        <w:t xml:space="preserve">On September 29, 2022, </w:t>
      </w:r>
      <w:r w:rsidRPr="002E116B">
        <w:t xml:space="preserve">Petitioner filed a reply to </w:t>
      </w:r>
      <w:r w:rsidR="00411174" w:rsidRPr="002E116B">
        <w:t xml:space="preserve">the </w:t>
      </w:r>
      <w:r w:rsidRPr="002E116B">
        <w:t xml:space="preserve">District Attorney’s opposition.  Petitioner stated that </w:t>
      </w:r>
      <w:r w:rsidR="00411174" w:rsidRPr="002E116B">
        <w:t xml:space="preserve">the </w:t>
      </w:r>
      <w:r w:rsidRPr="002E116B">
        <w:t xml:space="preserve">history of racism provided in the Motion was relevant to whether he had met his burden of making a prima facie case.  Further, the studies provided by Petitioner were sufficient to support he made a prima facie case; </w:t>
      </w:r>
      <w:r w:rsidR="00446BDD" w:rsidRPr="002E116B">
        <w:t xml:space="preserve">he </w:t>
      </w:r>
      <w:r w:rsidRPr="002E116B">
        <w:t xml:space="preserve">had met </w:t>
      </w:r>
      <w:r w:rsidR="00446BDD" w:rsidRPr="002E116B">
        <w:t xml:space="preserve">his </w:t>
      </w:r>
      <w:r w:rsidRPr="002E116B">
        <w:t>similarly situated requirement.</w:t>
      </w:r>
    </w:p>
    <w:p w14:paraId="2141F96B" w14:textId="12DCE430" w:rsidR="00906C77" w:rsidRPr="002E116B" w:rsidRDefault="00B85868" w:rsidP="00D17921">
      <w:pPr>
        <w:spacing w:line="480" w:lineRule="auto"/>
      </w:pPr>
      <w:r w:rsidRPr="002E116B">
        <w:tab/>
      </w:r>
      <w:r w:rsidR="00A867A5" w:rsidRPr="002E116B">
        <w:t>Petitioner</w:t>
      </w:r>
      <w:r w:rsidR="00984253" w:rsidRPr="002E116B">
        <w:t xml:space="preserve"> </w:t>
      </w:r>
      <w:r w:rsidRPr="002E116B">
        <w:t>filed supplemental evidence in support of the Motion on October 5, 2022.</w:t>
      </w:r>
      <w:r w:rsidR="0041613C" w:rsidRPr="002E116B">
        <w:t xml:space="preserve">  He submitted two further statistical studies performed by Dr. Nick Peterson of the University of Miami and Dr. Frank Baumgartner of the University of North Carolina, Chapel Hill.  Both addressed the racial disparities in charging, sentencing</w:t>
      </w:r>
      <w:r w:rsidR="00F97142" w:rsidRPr="002E116B">
        <w:t>,</w:t>
      </w:r>
      <w:r w:rsidR="0041613C" w:rsidRPr="002E116B">
        <w:t xml:space="preserve"> and imposition of the death penalty in Riverside County.</w:t>
      </w:r>
      <w:r w:rsidR="00743B0E" w:rsidRPr="002E116B">
        <w:t xml:space="preserve"> </w:t>
      </w:r>
      <w:r w:rsidR="0041613C" w:rsidRPr="002E116B">
        <w:t xml:space="preserve"> Peterson’s study relied on information o</w:t>
      </w:r>
      <w:r w:rsidR="00D867E5" w:rsidRPr="002E116B">
        <w:t>n</w:t>
      </w:r>
      <w:r w:rsidR="0041613C" w:rsidRPr="002E116B">
        <w:t xml:space="preserve"> </w:t>
      </w:r>
      <w:r w:rsidR="00424138" w:rsidRPr="002E116B">
        <w:t xml:space="preserve">the </w:t>
      </w:r>
      <w:r w:rsidR="0041613C" w:rsidRPr="002E116B">
        <w:t xml:space="preserve">charging of cases in Riverside County between January 2007 and </w:t>
      </w:r>
      <w:r w:rsidR="0041613C" w:rsidRPr="002E116B">
        <w:lastRenderedPageBreak/>
        <w:t xml:space="preserve">July 2019.  The information included every case in which murder was charged, every case </w:t>
      </w:r>
      <w:r w:rsidR="00424138" w:rsidRPr="002E116B">
        <w:t>where</w:t>
      </w:r>
      <w:r w:rsidR="0041613C" w:rsidRPr="002E116B">
        <w:t xml:space="preserve"> a special circumstance was filed, every case in which the </w:t>
      </w:r>
      <w:r w:rsidR="00A867A5" w:rsidRPr="002E116B">
        <w:t>District Attorney</w:t>
      </w:r>
      <w:r w:rsidRPr="002E116B">
        <w:t xml:space="preserve"> s</w:t>
      </w:r>
      <w:r w:rsidR="0041613C" w:rsidRPr="002E116B">
        <w:t>ought the death penalty</w:t>
      </w:r>
      <w:r w:rsidR="00F97142" w:rsidRPr="002E116B">
        <w:t>,</w:t>
      </w:r>
      <w:r w:rsidR="0041613C" w:rsidRPr="002E116B">
        <w:t xml:space="preserve"> and every case in which the judge or jury imposed the death penalty.  The list included 800 cases.</w:t>
      </w:r>
      <w:r w:rsidR="00984253" w:rsidRPr="002E116B">
        <w:t xml:space="preserve">  </w:t>
      </w:r>
    </w:p>
    <w:p w14:paraId="7B0A54C9" w14:textId="7782E0A6" w:rsidR="0005006F" w:rsidRPr="002E116B" w:rsidRDefault="00B85868" w:rsidP="00D17921">
      <w:pPr>
        <w:spacing w:line="480" w:lineRule="auto"/>
      </w:pPr>
      <w:r w:rsidRPr="002E116B">
        <w:tab/>
      </w:r>
      <w:r w:rsidR="001C01C9" w:rsidRPr="002E116B">
        <w:t>Petersen</w:t>
      </w:r>
      <w:r w:rsidR="00984253" w:rsidRPr="002E116B">
        <w:t xml:space="preserve"> concluded that although only 20 percent of </w:t>
      </w:r>
      <w:r w:rsidR="006B4187" w:rsidRPr="002E116B">
        <w:t xml:space="preserve">all murder defendants were </w:t>
      </w:r>
      <w:proofErr w:type="gramStart"/>
      <w:r w:rsidR="00EB02DF" w:rsidRPr="002E116B">
        <w:t>African-American</w:t>
      </w:r>
      <w:proofErr w:type="gramEnd"/>
      <w:r w:rsidR="006B4187" w:rsidRPr="002E116B">
        <w:t xml:space="preserve">, they comprised 26 percent of those charged with special circumstances, 39 percent of those who received death </w:t>
      </w:r>
      <w:r w:rsidR="001C01C9" w:rsidRPr="002E116B">
        <w:t xml:space="preserve">penalty </w:t>
      </w:r>
      <w:r w:rsidR="006B4187" w:rsidRPr="002E116B">
        <w:t>notices, and 36 percent of those who received death sentences.  In contra</w:t>
      </w:r>
      <w:r w:rsidR="00AF7D4F" w:rsidRPr="002E116B">
        <w:t>s</w:t>
      </w:r>
      <w:r w:rsidR="006B4187" w:rsidRPr="002E116B">
        <w:t xml:space="preserve">t, 25 percent of all murder defendants were </w:t>
      </w:r>
      <w:r w:rsidR="00906C77" w:rsidRPr="002E116B">
        <w:t>Caucasian</w:t>
      </w:r>
      <w:r w:rsidR="006B4187" w:rsidRPr="002E116B">
        <w:t>, but only 18 percent received special</w:t>
      </w:r>
      <w:r w:rsidR="00446BDD" w:rsidRPr="002E116B">
        <w:t>-</w:t>
      </w:r>
      <w:r w:rsidR="006B4187" w:rsidRPr="002E116B">
        <w:t xml:space="preserve">circumstance charges, </w:t>
      </w:r>
      <w:r w:rsidR="00B13C0D" w:rsidRPr="002E116B">
        <w:t>9</w:t>
      </w:r>
      <w:r w:rsidR="006B4187" w:rsidRPr="002E116B">
        <w:t xml:space="preserve"> percent received death penalty notices and </w:t>
      </w:r>
      <w:r w:rsidR="00B13C0D" w:rsidRPr="002E116B">
        <w:t>4</w:t>
      </w:r>
      <w:r w:rsidR="006B4187" w:rsidRPr="002E116B">
        <w:t xml:space="preserve"> percent received death sentences.  </w:t>
      </w:r>
      <w:r w:rsidR="001C01C9" w:rsidRPr="002E116B">
        <w:t xml:space="preserve">Petersen </w:t>
      </w:r>
      <w:r w:rsidR="006B4187" w:rsidRPr="002E116B">
        <w:t xml:space="preserve">also </w:t>
      </w:r>
      <w:proofErr w:type="gramStart"/>
      <w:r w:rsidR="006B4187" w:rsidRPr="002E116B">
        <w:t>took into account</w:t>
      </w:r>
      <w:proofErr w:type="gramEnd"/>
      <w:r w:rsidR="006B4187" w:rsidRPr="002E116B">
        <w:t xml:space="preserve"> whether legitimate case characteristics or other nonracial factors</w:t>
      </w:r>
      <w:r w:rsidR="00906C77" w:rsidRPr="002E116B">
        <w:t xml:space="preserve">, such as prior convictions, </w:t>
      </w:r>
      <w:r w:rsidR="006B4187" w:rsidRPr="002E116B">
        <w:t>could account for the disparity.</w:t>
      </w:r>
    </w:p>
    <w:p w14:paraId="566397D5" w14:textId="345BC8EF" w:rsidR="008A30FD" w:rsidRPr="002E116B" w:rsidRDefault="00B85868" w:rsidP="00D17921">
      <w:pPr>
        <w:spacing w:line="480" w:lineRule="auto"/>
      </w:pPr>
      <w:r w:rsidRPr="002E116B">
        <w:tab/>
      </w:r>
      <w:r w:rsidR="001C01C9" w:rsidRPr="002E116B">
        <w:t>Petersen</w:t>
      </w:r>
      <w:r w:rsidRPr="002E116B">
        <w:t xml:space="preserve"> controlled for defendant race/ethnicity and prior criminal history, victim race/ethnicity, age, and gender</w:t>
      </w:r>
      <w:r w:rsidR="00F97142" w:rsidRPr="002E116B">
        <w:t>,</w:t>
      </w:r>
      <w:r w:rsidRPr="002E116B">
        <w:t xml:space="preserve"> and other characteristics, such as multiple victims, use of a firearm and crime location.  Even taking into account these variables, </w:t>
      </w:r>
      <w:proofErr w:type="gramStart"/>
      <w:r w:rsidR="00EB02DF" w:rsidRPr="002E116B">
        <w:t>African-American</w:t>
      </w:r>
      <w:proofErr w:type="gramEnd"/>
      <w:r w:rsidRPr="002E116B">
        <w:t xml:space="preserve"> defendants were </w:t>
      </w:r>
      <w:r w:rsidR="00EB2D23" w:rsidRPr="002E116B">
        <w:t xml:space="preserve">1.71 times more likely to be charged with a special circumstance, 9.06 times more likely to receive a death </w:t>
      </w:r>
      <w:r w:rsidR="00FA0B1E" w:rsidRPr="002E116B">
        <w:t xml:space="preserve">penalty </w:t>
      </w:r>
      <w:r w:rsidR="00EB2D23" w:rsidRPr="002E116B">
        <w:t xml:space="preserve">notice, and 14.09 times more likely to </w:t>
      </w:r>
      <w:r w:rsidR="00B13C0D" w:rsidRPr="002E116B">
        <w:t xml:space="preserve">have </w:t>
      </w:r>
      <w:r w:rsidR="00EB2D23" w:rsidRPr="002E116B">
        <w:t xml:space="preserve">received a death sentence than </w:t>
      </w:r>
      <w:r w:rsidR="00EB02DF" w:rsidRPr="002E116B">
        <w:t>Caucasian</w:t>
      </w:r>
      <w:r w:rsidR="00EB2D23" w:rsidRPr="002E116B">
        <w:t xml:space="preserve"> defendants.  This proved that </w:t>
      </w:r>
      <w:proofErr w:type="gramStart"/>
      <w:r w:rsidR="00EB02DF" w:rsidRPr="002E116B">
        <w:t>African-American</w:t>
      </w:r>
      <w:proofErr w:type="gramEnd"/>
      <w:r w:rsidR="00EB2D23" w:rsidRPr="002E116B">
        <w:t xml:space="preserve"> defendants received special circumstances and death </w:t>
      </w:r>
      <w:r w:rsidR="00FA0B1E" w:rsidRPr="002E116B">
        <w:t xml:space="preserve">penalty </w:t>
      </w:r>
      <w:r w:rsidR="00EB2D23" w:rsidRPr="002E116B">
        <w:t xml:space="preserve">notices </w:t>
      </w:r>
      <w:r w:rsidR="00AF7D4F" w:rsidRPr="002E116B">
        <w:t xml:space="preserve">between 2006 and 2019 </w:t>
      </w:r>
      <w:r w:rsidR="00EB2D23" w:rsidRPr="002E116B">
        <w:t>at significantly higher rates relative to their proportion of the population.</w:t>
      </w:r>
      <w:r w:rsidR="00427007" w:rsidRPr="002E116B">
        <w:t xml:space="preserve">  </w:t>
      </w:r>
      <w:r w:rsidR="00C11627" w:rsidRPr="002E116B">
        <w:t>The death penalty was more frequently sought in cases involving multiple victims and prior felony convictions in all cases.  Cases involving non</w:t>
      </w:r>
      <w:r w:rsidR="00892655" w:rsidRPr="002E116B">
        <w:t>-</w:t>
      </w:r>
      <w:r w:rsidR="00EB02DF" w:rsidRPr="002E116B">
        <w:lastRenderedPageBreak/>
        <w:t>Caucasian</w:t>
      </w:r>
      <w:r w:rsidR="00C11627" w:rsidRPr="002E116B">
        <w:t xml:space="preserve"> victims were less likely to receive the death penalty than those cases involving a </w:t>
      </w:r>
      <w:r w:rsidR="00EB02DF" w:rsidRPr="002E116B">
        <w:t>Caucasian</w:t>
      </w:r>
      <w:r w:rsidR="00C11627" w:rsidRPr="002E116B">
        <w:t xml:space="preserve"> victim.</w:t>
      </w:r>
    </w:p>
    <w:p w14:paraId="45C4A71C" w14:textId="7C487C51" w:rsidR="006B4187" w:rsidRPr="002E116B" w:rsidRDefault="00B85868" w:rsidP="00D17921">
      <w:pPr>
        <w:spacing w:line="480" w:lineRule="auto"/>
      </w:pPr>
      <w:r w:rsidRPr="002E116B">
        <w:tab/>
      </w:r>
      <w:r w:rsidR="00F97142" w:rsidRPr="002E116B">
        <w:t xml:space="preserve">The study </w:t>
      </w:r>
      <w:r w:rsidR="00906C77" w:rsidRPr="002E116B">
        <w:t>that was</w:t>
      </w:r>
      <w:r w:rsidR="008A30FD" w:rsidRPr="002E116B">
        <w:t xml:space="preserve"> prepared by Baumgartner</w:t>
      </w:r>
      <w:r w:rsidR="00F97142" w:rsidRPr="002E116B">
        <w:t xml:space="preserve"> foun</w:t>
      </w:r>
      <w:r w:rsidR="008A30FD" w:rsidRPr="002E116B">
        <w:t xml:space="preserve">d that since 1972, </w:t>
      </w:r>
      <w:r w:rsidR="008F244E" w:rsidRPr="002E116B">
        <w:t xml:space="preserve">minority defendants comprised 66 percent of older defendants sentenced to death in Riverside County while </w:t>
      </w:r>
      <w:r w:rsidR="00EB02DF" w:rsidRPr="002E116B">
        <w:t>Caucasian</w:t>
      </w:r>
      <w:r w:rsidR="008F244E" w:rsidRPr="002E116B">
        <w:t xml:space="preserve"> defendants comprised on</w:t>
      </w:r>
      <w:r w:rsidR="00906C77" w:rsidRPr="002E116B">
        <w:t>ly</w:t>
      </w:r>
      <w:r w:rsidR="008F244E" w:rsidRPr="002E116B">
        <w:t xml:space="preserve"> 25 percent.</w:t>
      </w:r>
    </w:p>
    <w:p w14:paraId="244BCA1F" w14:textId="530218B2" w:rsidR="008F244E" w:rsidRPr="002E116B" w:rsidRDefault="00B85868" w:rsidP="00D17921">
      <w:pPr>
        <w:spacing w:line="480" w:lineRule="auto"/>
      </w:pPr>
      <w:r w:rsidRPr="002E116B">
        <w:tab/>
        <w:t xml:space="preserve">Petitioner argued that he had a low burden to make </w:t>
      </w:r>
      <w:proofErr w:type="gramStart"/>
      <w:r w:rsidRPr="002E116B">
        <w:t>a prima facie</w:t>
      </w:r>
      <w:proofErr w:type="gramEnd"/>
      <w:r w:rsidRPr="002E116B">
        <w:t xml:space="preserve"> showing under section 745.  All of the studies submitted supported that </w:t>
      </w:r>
      <w:proofErr w:type="gramStart"/>
      <w:r w:rsidR="00EB02DF" w:rsidRPr="002E116B">
        <w:t>African-American</w:t>
      </w:r>
      <w:proofErr w:type="gramEnd"/>
      <w:r w:rsidRPr="002E116B">
        <w:t xml:space="preserve"> </w:t>
      </w:r>
      <w:r w:rsidR="00906C77" w:rsidRPr="002E116B">
        <w:t>defendants</w:t>
      </w:r>
      <w:r w:rsidRPr="002E116B">
        <w:t xml:space="preserve"> in Riverside County were more likely to be charged with murder and</w:t>
      </w:r>
      <w:r w:rsidR="00906C77" w:rsidRPr="002E116B">
        <w:t xml:space="preserve"> </w:t>
      </w:r>
      <w:r w:rsidRPr="002E116B">
        <w:t>the death penalty to be sought</w:t>
      </w:r>
      <w:r w:rsidR="00AF7D4F" w:rsidRPr="002E116B">
        <w:t xml:space="preserve"> than nonminority defendants</w:t>
      </w:r>
      <w:r w:rsidR="001C01C9" w:rsidRPr="002E116B">
        <w:t>.</w:t>
      </w:r>
      <w:r w:rsidRPr="002E116B">
        <w:t xml:space="preserve">  Riverside County’s capital system operated in a racially disparate manner.  The trial court should order an evidentiary hearing as </w:t>
      </w:r>
      <w:proofErr w:type="gramStart"/>
      <w:r w:rsidRPr="002E116B">
        <w:t>Petitioner</w:t>
      </w:r>
      <w:proofErr w:type="gramEnd"/>
      <w:r w:rsidRPr="002E116B">
        <w:t xml:space="preserve"> had satisfied his burden under section 745, subdivision (c).</w:t>
      </w:r>
    </w:p>
    <w:p w14:paraId="0A95BECA" w14:textId="19F50B35" w:rsidR="00807693" w:rsidRPr="002E116B" w:rsidRDefault="00B85868" w:rsidP="00D17921">
      <w:pPr>
        <w:spacing w:line="480" w:lineRule="auto"/>
      </w:pPr>
      <w:r w:rsidRPr="002E116B">
        <w:tab/>
        <w:t>Petitioner</w:t>
      </w:r>
      <w:r w:rsidR="00906C77" w:rsidRPr="002E116B">
        <w:t xml:space="preserve"> included as </w:t>
      </w:r>
      <w:r w:rsidRPr="002E116B">
        <w:t xml:space="preserve">exhibits the studies </w:t>
      </w:r>
      <w:r w:rsidR="00906C77" w:rsidRPr="002E116B">
        <w:t xml:space="preserve">completed </w:t>
      </w:r>
      <w:r w:rsidRPr="002E116B">
        <w:t>by Petersen and Baumgartner.</w:t>
      </w:r>
      <w:r w:rsidR="00000B64" w:rsidRPr="002E116B">
        <w:t xml:space="preserve">  In addition</w:t>
      </w:r>
      <w:r w:rsidR="00D867E5" w:rsidRPr="002E116B">
        <w:t>,</w:t>
      </w:r>
      <w:r w:rsidR="00000B64" w:rsidRPr="002E116B">
        <w:t xml:space="preserve"> a</w:t>
      </w:r>
      <w:r w:rsidR="00424E43" w:rsidRPr="002E116B">
        <w:t xml:space="preserve">n “Annotated Timeline of </w:t>
      </w:r>
      <w:r w:rsidR="00000B64" w:rsidRPr="002E116B">
        <w:t>Riverside County Racial History</w:t>
      </w:r>
      <w:r w:rsidR="00424E43" w:rsidRPr="002E116B">
        <w:t xml:space="preserve">” </w:t>
      </w:r>
      <w:r w:rsidR="00000B64" w:rsidRPr="002E116B">
        <w:t>was included as an exhibit.</w:t>
      </w:r>
      <w:r w:rsidR="0015633A" w:rsidRPr="002E116B">
        <w:t xml:space="preserve">  </w:t>
      </w:r>
    </w:p>
    <w:p w14:paraId="2DC4EF5A" w14:textId="3A603E6F" w:rsidR="00427B4A" w:rsidRPr="002E116B" w:rsidRDefault="00B85868" w:rsidP="00D17921">
      <w:pPr>
        <w:spacing w:line="480" w:lineRule="auto"/>
      </w:pPr>
      <w:r w:rsidRPr="002E116B">
        <w:tab/>
      </w:r>
      <w:proofErr w:type="gramStart"/>
      <w:r w:rsidRPr="002E116B">
        <w:t>Petitioner</w:t>
      </w:r>
      <w:proofErr w:type="gramEnd"/>
      <w:r w:rsidRPr="002E116B">
        <w:t xml:space="preserve"> also filed a </w:t>
      </w:r>
      <w:r w:rsidR="00424E43" w:rsidRPr="002E116B">
        <w:t>s</w:t>
      </w:r>
      <w:r w:rsidRPr="002E116B">
        <w:t xml:space="preserve">upplemental </w:t>
      </w:r>
      <w:r w:rsidR="00424E43" w:rsidRPr="002E116B">
        <w:t>r</w:t>
      </w:r>
      <w:r w:rsidRPr="002E116B">
        <w:t xml:space="preserve">eply in </w:t>
      </w:r>
      <w:r w:rsidR="00424E43" w:rsidRPr="002E116B">
        <w:t>s</w:t>
      </w:r>
      <w:r w:rsidRPr="002E116B">
        <w:t xml:space="preserve">upport of </w:t>
      </w:r>
      <w:r w:rsidR="00424E43" w:rsidRPr="002E116B">
        <w:t xml:space="preserve">the </w:t>
      </w:r>
      <w:r w:rsidRPr="002E116B">
        <w:t>Motion.  Petitioner was relying on the studies from Omori</w:t>
      </w:r>
      <w:r w:rsidR="00D50D50" w:rsidRPr="002E116B">
        <w:t>, Baumgartner</w:t>
      </w:r>
      <w:r w:rsidR="007954FA" w:rsidRPr="002E116B">
        <w:t>,</w:t>
      </w:r>
      <w:r w:rsidRPr="002E116B">
        <w:t xml:space="preserve"> and Petersen.  Petitioner also noted that Governor Newsom had signed the Amended CRJA.  The changes made clarified that Petitioner was entitled to an evidentiary hearing.  The supplemental evidence </w:t>
      </w:r>
      <w:r w:rsidR="00DE0488" w:rsidRPr="002E116B">
        <w:t>filed</w:t>
      </w:r>
      <w:r w:rsidRPr="002E116B">
        <w:t xml:space="preserve"> by Petitioner on September 28, 2022</w:t>
      </w:r>
      <w:r w:rsidR="00D867E5" w:rsidRPr="002E116B">
        <w:t>,</w:t>
      </w:r>
      <w:r w:rsidRPr="002E116B">
        <w:t xml:space="preserve"> established the existence of racial disparities even </w:t>
      </w:r>
      <w:proofErr w:type="gramStart"/>
      <w:r w:rsidRPr="002E116B">
        <w:t>taking into account</w:t>
      </w:r>
      <w:proofErr w:type="gramEnd"/>
      <w:r w:rsidRPr="002E116B">
        <w:t xml:space="preserve"> similarly situated cases.</w:t>
      </w:r>
    </w:p>
    <w:p w14:paraId="771F0A5C" w14:textId="5FF33D6C" w:rsidR="00D50D50" w:rsidRPr="002E116B" w:rsidRDefault="00B85868" w:rsidP="00D17921">
      <w:pPr>
        <w:spacing w:line="480" w:lineRule="auto"/>
      </w:pPr>
      <w:r w:rsidRPr="002E116B">
        <w:tab/>
      </w:r>
      <w:proofErr w:type="gramStart"/>
      <w:r w:rsidR="00A867A5" w:rsidRPr="002E116B">
        <w:t>Petitioner</w:t>
      </w:r>
      <w:proofErr w:type="gramEnd"/>
      <w:r w:rsidRPr="002E116B">
        <w:t xml:space="preserve"> also argued that the section 745, subdivision (a)(4)(A), claim—</w:t>
      </w:r>
      <w:r w:rsidR="00AF7D4F" w:rsidRPr="002E116B">
        <w:t xml:space="preserve">which involved </w:t>
      </w:r>
      <w:r w:rsidR="00D80DA8" w:rsidRPr="002E116B">
        <w:t>longer and more sever</w:t>
      </w:r>
      <w:r w:rsidRPr="002E116B">
        <w:t>e</w:t>
      </w:r>
      <w:r w:rsidR="00D80DA8" w:rsidRPr="002E116B">
        <w:t xml:space="preserve"> sentences</w:t>
      </w:r>
      <w:r w:rsidRPr="002E116B">
        <w:t xml:space="preserve">—was ripe for </w:t>
      </w:r>
      <w:r w:rsidR="00AF7D4F" w:rsidRPr="002E116B">
        <w:t>consideration</w:t>
      </w:r>
      <w:r w:rsidRPr="002E116B">
        <w:t>.</w:t>
      </w:r>
    </w:p>
    <w:p w14:paraId="7CDD743D" w14:textId="383D2E01" w:rsidR="006E75C1" w:rsidRPr="002E116B" w:rsidRDefault="00B85868" w:rsidP="00D17921">
      <w:pPr>
        <w:spacing w:line="480" w:lineRule="auto"/>
      </w:pPr>
      <w:r w:rsidRPr="002E116B">
        <w:lastRenderedPageBreak/>
        <w:tab/>
      </w:r>
      <w:proofErr w:type="gramStart"/>
      <w:r w:rsidR="00A867A5" w:rsidRPr="002E116B">
        <w:t>Petitioner</w:t>
      </w:r>
      <w:proofErr w:type="gramEnd"/>
      <w:r w:rsidR="00D80DA8" w:rsidRPr="002E116B">
        <w:t xml:space="preserve"> argued he</w:t>
      </w:r>
      <w:r w:rsidR="00D50D50" w:rsidRPr="002E116B">
        <w:t xml:space="preserve"> had a low burden </w:t>
      </w:r>
      <w:r w:rsidR="00D80DA8" w:rsidRPr="002E116B">
        <w:t xml:space="preserve">to make </w:t>
      </w:r>
      <w:r w:rsidR="00D50D50" w:rsidRPr="002E116B">
        <w:t xml:space="preserve">a prima facie </w:t>
      </w:r>
      <w:r w:rsidR="00D80DA8" w:rsidRPr="002E116B">
        <w:t xml:space="preserve">case of </w:t>
      </w:r>
      <w:r w:rsidR="00D50D50" w:rsidRPr="002E116B">
        <w:t>a violation of section 745, subdivision (a).</w:t>
      </w:r>
      <w:r w:rsidR="005530C8" w:rsidRPr="002E116B">
        <w:t xml:space="preserve">  Omori’s study alone met the prima facie showing.</w:t>
      </w:r>
      <w:r w:rsidRPr="002E116B">
        <w:t xml:space="preserve">  She looked at 689 cases in Riverside County from January 2016 through January 1, 2022, for racial disparities.  </w:t>
      </w:r>
      <w:r w:rsidR="00743B0E" w:rsidRPr="002E116B">
        <w:t xml:space="preserve">In </w:t>
      </w:r>
      <w:r w:rsidRPr="002E116B">
        <w:t xml:space="preserve">246 </w:t>
      </w:r>
      <w:r w:rsidR="00743B0E" w:rsidRPr="002E116B">
        <w:t xml:space="preserve">of those </w:t>
      </w:r>
      <w:r w:rsidRPr="002E116B">
        <w:t>cases</w:t>
      </w:r>
      <w:r w:rsidR="00892655" w:rsidRPr="002E116B">
        <w:t>,</w:t>
      </w:r>
      <w:r w:rsidRPr="002E116B">
        <w:t xml:space="preserve"> at least on</w:t>
      </w:r>
      <w:r w:rsidR="00743B0E" w:rsidRPr="002E116B">
        <w:t>e</w:t>
      </w:r>
      <w:r w:rsidRPr="002E116B">
        <w:t xml:space="preserve"> special circumstance</w:t>
      </w:r>
      <w:r w:rsidR="00743B0E" w:rsidRPr="002E116B">
        <w:t xml:space="preserve"> was charged</w:t>
      </w:r>
      <w:r w:rsidRPr="002E116B">
        <w:t xml:space="preserve">, and </w:t>
      </w:r>
      <w:r w:rsidR="00743B0E" w:rsidRPr="002E116B">
        <w:t xml:space="preserve">in </w:t>
      </w:r>
      <w:r w:rsidRPr="002E116B">
        <w:t xml:space="preserve">22 the death penalty was sought.  Overall, </w:t>
      </w:r>
      <w:proofErr w:type="gramStart"/>
      <w:r w:rsidR="00EB02DF" w:rsidRPr="002E116B">
        <w:t>African-American</w:t>
      </w:r>
      <w:proofErr w:type="gramEnd"/>
      <w:r w:rsidRPr="002E116B">
        <w:t xml:space="preserve"> defendants were charged with murder and special circumstances more than </w:t>
      </w:r>
      <w:r w:rsidR="00EB02DF" w:rsidRPr="002E116B">
        <w:t>Caucasian</w:t>
      </w:r>
      <w:r w:rsidRPr="002E116B">
        <w:t xml:space="preserve"> defendants</w:t>
      </w:r>
      <w:r w:rsidR="00D80DA8" w:rsidRPr="002E116B">
        <w:t>,</w:t>
      </w:r>
      <w:r w:rsidRPr="002E116B">
        <w:t xml:space="preserve"> relative to their population in Riverside County.</w:t>
      </w:r>
      <w:r w:rsidR="009F2E9F" w:rsidRPr="002E116B">
        <w:t xml:space="preserve">  </w:t>
      </w:r>
      <w:r w:rsidRPr="002E116B">
        <w:t xml:space="preserve">As for the death penalty, of the 22 cases, </w:t>
      </w:r>
      <w:proofErr w:type="gramStart"/>
      <w:r w:rsidR="00EB02DF" w:rsidRPr="002E116B">
        <w:t>African-American</w:t>
      </w:r>
      <w:proofErr w:type="gramEnd"/>
      <w:r w:rsidRPr="002E116B">
        <w:t xml:space="preserve"> defendants consisted of seven of the defendants and </w:t>
      </w:r>
      <w:r w:rsidR="00EB02DF" w:rsidRPr="002E116B">
        <w:t>Caucasian</w:t>
      </w:r>
      <w:r w:rsidRPr="002E116B">
        <w:t xml:space="preserve"> defendants </w:t>
      </w:r>
      <w:r w:rsidR="001C01C9" w:rsidRPr="002E116B">
        <w:t xml:space="preserve">numbered </w:t>
      </w:r>
      <w:r w:rsidR="00795E07" w:rsidRPr="002E116B">
        <w:t>two</w:t>
      </w:r>
      <w:r w:rsidRPr="002E116B">
        <w:t>.  This was statistically important based on their relative population.</w:t>
      </w:r>
    </w:p>
    <w:p w14:paraId="56C13C13" w14:textId="6DF614B1" w:rsidR="00984253" w:rsidRPr="002E116B" w:rsidRDefault="00B85868" w:rsidP="00D17921">
      <w:pPr>
        <w:spacing w:line="480" w:lineRule="auto"/>
      </w:pPr>
      <w:r w:rsidRPr="002E116B">
        <w:tab/>
      </w:r>
      <w:r w:rsidR="009F2E9F" w:rsidRPr="002E116B">
        <w:t>Moreover, the Amended CRJA had defined “similarly situated” to mean</w:t>
      </w:r>
      <w:r w:rsidR="00416CE8" w:rsidRPr="002E116B">
        <w:t xml:space="preserve"> that factors that are relevant in charging and sentencing are similar and do not require that all individuals in the comparison group </w:t>
      </w:r>
      <w:r w:rsidR="00795E07" w:rsidRPr="002E116B">
        <w:t>be</w:t>
      </w:r>
      <w:r w:rsidR="00416CE8" w:rsidRPr="002E116B">
        <w:t xml:space="preserve"> identical.  </w:t>
      </w:r>
      <w:r w:rsidR="001C01C9" w:rsidRPr="002E116B">
        <w:t>Petersen</w:t>
      </w:r>
      <w:r w:rsidR="00416CE8" w:rsidRPr="002E116B">
        <w:t>’s analysis included controls for variables on capital charging and sentencing decisions, such as multiple victims and prior felony convictions.</w:t>
      </w:r>
    </w:p>
    <w:p w14:paraId="4E2A7EBE" w14:textId="16FEA14D" w:rsidR="00433B70" w:rsidRPr="002E116B" w:rsidRDefault="00B85868" w:rsidP="00D17921">
      <w:pPr>
        <w:spacing w:line="480" w:lineRule="auto"/>
      </w:pPr>
      <w:r w:rsidRPr="002E116B">
        <w:tab/>
        <w:t xml:space="preserve">The </w:t>
      </w:r>
      <w:r w:rsidR="00A867A5" w:rsidRPr="002E116B">
        <w:t>District Attorney</w:t>
      </w:r>
      <w:r w:rsidR="002F0740" w:rsidRPr="002E116B">
        <w:t xml:space="preserve"> </w:t>
      </w:r>
      <w:r w:rsidRPr="002E116B">
        <w:t xml:space="preserve">filed a response to the supplemental reply filed by </w:t>
      </w:r>
      <w:r w:rsidR="00A867A5" w:rsidRPr="002E116B">
        <w:t>Petitioner</w:t>
      </w:r>
      <w:r w:rsidR="000F28BD" w:rsidRPr="002E116B">
        <w:t xml:space="preserve"> after the Amended CRJA had been passed</w:t>
      </w:r>
      <w:r w:rsidRPr="002E116B">
        <w:t xml:space="preserve">.  Based on the changes to the CRJA, </w:t>
      </w:r>
      <w:r w:rsidR="000F28BD" w:rsidRPr="002E116B">
        <w:t xml:space="preserve">the </w:t>
      </w:r>
      <w:r w:rsidR="00A867A5" w:rsidRPr="002E116B">
        <w:t>District Attorney</w:t>
      </w:r>
      <w:r w:rsidR="000F28BD" w:rsidRPr="002E116B">
        <w:t xml:space="preserve"> argued </w:t>
      </w:r>
      <w:r w:rsidRPr="002E116B">
        <w:t xml:space="preserve">it was clear that </w:t>
      </w:r>
      <w:r w:rsidR="00A867A5" w:rsidRPr="002E116B">
        <w:t>Petitioner</w:t>
      </w:r>
      <w:r w:rsidRPr="002E116B">
        <w:t xml:space="preserve"> must show</w:t>
      </w:r>
      <w:r w:rsidR="00795E07" w:rsidRPr="002E116B">
        <w:t>,</w:t>
      </w:r>
      <w:r w:rsidRPr="002E116B">
        <w:t xml:space="preserve"> </w:t>
      </w:r>
      <w:r w:rsidR="000F28BD" w:rsidRPr="002E116B">
        <w:t>in making out a prima facie case</w:t>
      </w:r>
      <w:r w:rsidR="00795E07" w:rsidRPr="002E116B">
        <w:t>,</w:t>
      </w:r>
      <w:r w:rsidR="000F28BD" w:rsidRPr="002E116B">
        <w:t xml:space="preserve"> </w:t>
      </w:r>
      <w:r w:rsidRPr="002E116B">
        <w:t>more</w:t>
      </w:r>
      <w:r w:rsidR="000F28BD" w:rsidRPr="002E116B">
        <w:t xml:space="preserve"> than just statistics.</w:t>
      </w:r>
      <w:r w:rsidRPr="002E116B">
        <w:t xml:space="preserve">  The trial court must look to </w:t>
      </w:r>
      <w:proofErr w:type="gramStart"/>
      <w:r w:rsidRPr="002E116B">
        <w:t>all of</w:t>
      </w:r>
      <w:proofErr w:type="gramEnd"/>
      <w:r w:rsidRPr="002E116B">
        <w:t xml:space="preserve"> the relevant factors in charging and sentencing.</w:t>
      </w:r>
    </w:p>
    <w:p w14:paraId="4F4D10B2" w14:textId="40CA7D1E" w:rsidR="00433B70" w:rsidRPr="002E116B" w:rsidRDefault="00B85868" w:rsidP="00D17921">
      <w:pPr>
        <w:spacing w:line="480" w:lineRule="auto"/>
      </w:pPr>
      <w:r w:rsidRPr="002E116B">
        <w:tab/>
        <w:t xml:space="preserve">The matter was heard on October 28, 2022. </w:t>
      </w:r>
      <w:r w:rsidR="00B70559" w:rsidRPr="002E116B">
        <w:t xml:space="preserve"> </w:t>
      </w:r>
      <w:r w:rsidR="00A867A5" w:rsidRPr="002E116B">
        <w:t>Petitioner</w:t>
      </w:r>
      <w:r w:rsidR="00B70559" w:rsidRPr="002E116B">
        <w:t xml:space="preserve">’s counsel argued that to show a violation of section 745, a showing of intentional discrimination was </w:t>
      </w:r>
      <w:r w:rsidR="00B70559" w:rsidRPr="002E116B">
        <w:lastRenderedPageBreak/>
        <w:t xml:space="preserve">unnecessary.  </w:t>
      </w:r>
      <w:r w:rsidR="000F28BD" w:rsidRPr="002E116B">
        <w:t xml:space="preserve">Moreover, </w:t>
      </w:r>
      <w:proofErr w:type="gramStart"/>
      <w:r w:rsidR="00A867A5" w:rsidRPr="002E116B">
        <w:t>Petitioner</w:t>
      </w:r>
      <w:proofErr w:type="gramEnd"/>
      <w:r w:rsidR="00B70559" w:rsidRPr="002E116B">
        <w:t xml:space="preserve"> was not required to find identical cases</w:t>
      </w:r>
      <w:r w:rsidR="000F28BD" w:rsidRPr="002E116B">
        <w:t xml:space="preserve"> to meet the similarly situated burden</w:t>
      </w:r>
      <w:r w:rsidR="00B70559" w:rsidRPr="002E116B">
        <w:t xml:space="preserve">.  The evidence </w:t>
      </w:r>
      <w:r w:rsidR="000F28BD" w:rsidRPr="002E116B">
        <w:t xml:space="preserve">presented in the Motion </w:t>
      </w:r>
      <w:r w:rsidR="00B70559" w:rsidRPr="002E116B">
        <w:t>was more than enough to make out a prima facie case.</w:t>
      </w:r>
      <w:r w:rsidR="00445536" w:rsidRPr="002E116B">
        <w:t xml:space="preserve">  According to Omori’s study, </w:t>
      </w:r>
      <w:proofErr w:type="gramStart"/>
      <w:r w:rsidR="00EB02DF" w:rsidRPr="002E116B">
        <w:t>African-American</w:t>
      </w:r>
      <w:proofErr w:type="gramEnd"/>
      <w:r w:rsidR="00445536" w:rsidRPr="002E116B">
        <w:t xml:space="preserve"> defendants were overrepresented in charging and seriousness of the charges in relation to their representation in a population.  </w:t>
      </w:r>
      <w:r w:rsidR="000F28BD" w:rsidRPr="002E116B">
        <w:t>B</w:t>
      </w:r>
      <w:r w:rsidR="00367462" w:rsidRPr="002E116B">
        <w:t xml:space="preserve">ased on Omori’s study, there was such a great disparity that “there’s more than a mere possibility that similarly situated defendants are being treated differently.”  Moreover, </w:t>
      </w:r>
      <w:r w:rsidR="001C01C9" w:rsidRPr="002E116B">
        <w:t>Petersen</w:t>
      </w:r>
      <w:r w:rsidR="00367462" w:rsidRPr="002E116B">
        <w:t>’s study isolated criminal history, racial variables</w:t>
      </w:r>
      <w:r w:rsidR="00795E07" w:rsidRPr="002E116B">
        <w:t>,</w:t>
      </w:r>
      <w:r w:rsidR="00367462" w:rsidRPr="002E116B">
        <w:t xml:space="preserve"> and severity of the case in his analysis.</w:t>
      </w:r>
    </w:p>
    <w:p w14:paraId="5A86560D" w14:textId="73C7B188" w:rsidR="00367462" w:rsidRPr="002E116B" w:rsidRDefault="00B85868" w:rsidP="00D17921">
      <w:pPr>
        <w:spacing w:line="480" w:lineRule="auto"/>
      </w:pPr>
      <w:r w:rsidRPr="002E116B">
        <w:tab/>
        <w:t xml:space="preserve">The trial court inquired, “So you </w:t>
      </w:r>
      <w:proofErr w:type="gramStart"/>
      <w:r w:rsidRPr="002E116B">
        <w:t>have to</w:t>
      </w:r>
      <w:proofErr w:type="gramEnd"/>
      <w:r w:rsidRPr="002E116B">
        <w:t xml:space="preserve"> look at, certainly, the charges that Mr. Mosby [is] facing, the facts and circumstances that are alleged in the crime, any prior records that they </w:t>
      </w:r>
      <w:r w:rsidR="00795E07" w:rsidRPr="002E116B">
        <w:t xml:space="preserve">may </w:t>
      </w:r>
      <w:r w:rsidRPr="002E116B">
        <w:t xml:space="preserve">have, and all the other factors </w:t>
      </w:r>
      <w:r w:rsidR="00795E07" w:rsidRPr="002E116B">
        <w:t xml:space="preserve">that </w:t>
      </w:r>
      <w:r w:rsidRPr="002E116B">
        <w:t>I just discussed [such as victim characteristics</w:t>
      </w:r>
      <w:r w:rsidR="00456AC1" w:rsidRPr="002E116B">
        <w:t xml:space="preserve">, completion of parole and probation, and facts of the case].  And then somehow compare that to a nonminority defendant similarly situated with a similar record and similar facts. </w:t>
      </w:r>
      <w:r w:rsidR="00060797" w:rsidRPr="002E116B">
        <w:t xml:space="preserve"> </w:t>
      </w:r>
      <w:r w:rsidR="00456AC1" w:rsidRPr="002E116B">
        <w:t xml:space="preserve">. . . </w:t>
      </w:r>
      <w:r w:rsidR="00795E07" w:rsidRPr="002E116B">
        <w:t xml:space="preserve"> [¶] </w:t>
      </w:r>
      <w:r w:rsidR="00456AC1" w:rsidRPr="002E116B">
        <w:t>It’s not just a simple matter of looking at statistics.  We’re looking at the individual, the facts in that case.”</w:t>
      </w:r>
    </w:p>
    <w:p w14:paraId="6EA0254F" w14:textId="07E036D1" w:rsidR="00EC4249" w:rsidRPr="002E116B" w:rsidRDefault="00B85868" w:rsidP="00D17921">
      <w:pPr>
        <w:spacing w:line="480" w:lineRule="auto"/>
      </w:pPr>
      <w:r w:rsidRPr="002E116B">
        <w:tab/>
      </w:r>
      <w:proofErr w:type="gramStart"/>
      <w:r w:rsidRPr="002E116B">
        <w:t>Petitioner</w:t>
      </w:r>
      <w:proofErr w:type="gramEnd"/>
      <w:r w:rsidR="00456AC1" w:rsidRPr="002E116B">
        <w:t xml:space="preserve"> argued that the above evidence was </w:t>
      </w:r>
      <w:r w:rsidR="000F28BD" w:rsidRPr="002E116B">
        <w:t xml:space="preserve">more </w:t>
      </w:r>
      <w:r w:rsidR="00456AC1" w:rsidRPr="002E116B">
        <w:t xml:space="preserve">properly considered at the evidentiary hearing.  The study by </w:t>
      </w:r>
      <w:r w:rsidR="001C01C9" w:rsidRPr="002E116B">
        <w:t>Petersen</w:t>
      </w:r>
      <w:r w:rsidR="00456AC1" w:rsidRPr="002E116B">
        <w:t xml:space="preserve"> was </w:t>
      </w:r>
      <w:r w:rsidR="000F28BD" w:rsidRPr="002E116B">
        <w:t>sufficient</w:t>
      </w:r>
      <w:r w:rsidR="00456AC1" w:rsidRPr="002E116B">
        <w:t xml:space="preserve"> for </w:t>
      </w:r>
      <w:proofErr w:type="gramStart"/>
      <w:r w:rsidR="00456AC1" w:rsidRPr="002E116B">
        <w:t>a prima facie</w:t>
      </w:r>
      <w:proofErr w:type="gramEnd"/>
      <w:r w:rsidR="00456AC1" w:rsidRPr="002E116B">
        <w:t xml:space="preserve"> showing.</w:t>
      </w:r>
      <w:r w:rsidR="00662881" w:rsidRPr="002E116B">
        <w:t xml:space="preserve">  </w:t>
      </w:r>
      <w:r w:rsidRPr="002E116B">
        <w:t>Petitioner</w:t>
      </w:r>
      <w:r w:rsidR="00662881" w:rsidRPr="002E116B">
        <w:t xml:space="preserve"> also argued the trial court was required to give the law a liberal interpretation because it was an ameliorative law.  </w:t>
      </w:r>
      <w:r w:rsidR="000F28BD" w:rsidRPr="002E116B">
        <w:t xml:space="preserve">The </w:t>
      </w:r>
      <w:r w:rsidRPr="002E116B">
        <w:t>District Attorney argued that more than statistics w</w:t>
      </w:r>
      <w:r w:rsidR="00D80DA8" w:rsidRPr="002E116B">
        <w:t xml:space="preserve">ere </w:t>
      </w:r>
      <w:r w:rsidRPr="002E116B">
        <w:t>required</w:t>
      </w:r>
      <w:r w:rsidR="000F28BD" w:rsidRPr="002E116B">
        <w:t xml:space="preserve"> to make out a prima facie case</w:t>
      </w:r>
      <w:r w:rsidRPr="002E116B">
        <w:t xml:space="preserve">.  The trial court must look at the specifics </w:t>
      </w:r>
      <w:r w:rsidR="00B13C0D" w:rsidRPr="002E116B">
        <w:t xml:space="preserve">of </w:t>
      </w:r>
      <w:r w:rsidRPr="002E116B">
        <w:t>the case</w:t>
      </w:r>
      <w:r w:rsidR="000F28BD" w:rsidRPr="002E116B">
        <w:t>s</w:t>
      </w:r>
      <w:r w:rsidRPr="002E116B">
        <w:t>.  The statistics could not capture the decisions made in charging the death penalty.</w:t>
      </w:r>
      <w:r w:rsidR="004B2976" w:rsidRPr="002E116B">
        <w:t xml:space="preserve">  </w:t>
      </w:r>
    </w:p>
    <w:p w14:paraId="10C439D1" w14:textId="1D33FA96" w:rsidR="000F28BD" w:rsidRPr="002E116B" w:rsidRDefault="00B85868" w:rsidP="00D17921">
      <w:pPr>
        <w:spacing w:line="480" w:lineRule="auto"/>
      </w:pPr>
      <w:r w:rsidRPr="002E116B">
        <w:lastRenderedPageBreak/>
        <w:tab/>
        <w:t xml:space="preserve">The trial court first </w:t>
      </w:r>
      <w:r w:rsidR="00743B0E" w:rsidRPr="002E116B">
        <w:t>ruled</w:t>
      </w:r>
      <w:r w:rsidR="00795E07" w:rsidRPr="002E116B">
        <w:t xml:space="preserve"> that</w:t>
      </w:r>
      <w:r w:rsidRPr="002E116B">
        <w:t xml:space="preserve"> </w:t>
      </w:r>
      <w:proofErr w:type="gramStart"/>
      <w:r w:rsidRPr="002E116B">
        <w:t>in order to</w:t>
      </w:r>
      <w:proofErr w:type="gramEnd"/>
      <w:r w:rsidRPr="002E116B">
        <w:t xml:space="preserve"> obtain a hearing, a defendant was required </w:t>
      </w:r>
      <w:r w:rsidR="003A0674" w:rsidRPr="002E116B">
        <w:t xml:space="preserve">to show the similarly situated prong; </w:t>
      </w:r>
      <w:r w:rsidR="00A867A5" w:rsidRPr="002E116B">
        <w:t>Petitioner</w:t>
      </w:r>
      <w:r w:rsidR="003A0674" w:rsidRPr="002E116B">
        <w:t xml:space="preserve"> must show that he was being discriminated against as shown by nonminority defendants </w:t>
      </w:r>
      <w:r w:rsidRPr="002E116B">
        <w:t>who</w:t>
      </w:r>
      <w:r w:rsidR="003A0674" w:rsidRPr="002E116B">
        <w:t xml:space="preserve"> are similarly situated</w:t>
      </w:r>
      <w:r w:rsidRPr="002E116B">
        <w:t xml:space="preserve"> but charged with lesser crimes</w:t>
      </w:r>
      <w:r w:rsidR="003A0674" w:rsidRPr="002E116B">
        <w:t xml:space="preserve">.  The trial court reviewed the wording of section 745.  </w:t>
      </w:r>
    </w:p>
    <w:p w14:paraId="52EAD2FA" w14:textId="74C6B717" w:rsidR="00B06BCF" w:rsidRPr="002E116B" w:rsidRDefault="00B85868" w:rsidP="00D17921">
      <w:pPr>
        <w:spacing w:line="480" w:lineRule="auto"/>
      </w:pPr>
      <w:r w:rsidRPr="002E116B">
        <w:tab/>
      </w:r>
      <w:r w:rsidR="003A0674" w:rsidRPr="002E116B">
        <w:t>The trial court found that a prima facie case had not been established.  There was no doubt that the second prong</w:t>
      </w:r>
      <w:r w:rsidRPr="002E116B">
        <w:t>—</w:t>
      </w:r>
      <w:r w:rsidR="003A0674" w:rsidRPr="002E116B">
        <w:t>a historical pattern of racism</w:t>
      </w:r>
      <w:r w:rsidRPr="002E116B">
        <w:t>—h</w:t>
      </w:r>
      <w:r w:rsidR="003A0674" w:rsidRPr="002E116B">
        <w:t xml:space="preserve">ad been shown.  However, </w:t>
      </w:r>
      <w:r w:rsidR="00A867A5" w:rsidRPr="002E116B">
        <w:t>Petitioner</w:t>
      </w:r>
      <w:r w:rsidR="003A0674" w:rsidRPr="002E116B">
        <w:t xml:space="preserve"> had failed to “offer any evidence to show that any system</w:t>
      </w:r>
      <w:r w:rsidR="00795E07" w:rsidRPr="002E116B">
        <w:t>i</w:t>
      </w:r>
      <w:r w:rsidR="003A0674" w:rsidRPr="002E116B">
        <w:t xml:space="preserve">c bias has manifested in </w:t>
      </w:r>
      <w:r w:rsidR="005424C7" w:rsidRPr="002E116B">
        <w:t>they themselves being more harshly charged than similarly situated defendants of other races.”</w:t>
      </w:r>
      <w:r w:rsidR="009778F0" w:rsidRPr="002E116B">
        <w:t xml:space="preserve">  </w:t>
      </w:r>
      <w:r w:rsidR="00A867A5" w:rsidRPr="002E116B">
        <w:t>Petitioner</w:t>
      </w:r>
      <w:r w:rsidR="009778F0" w:rsidRPr="002E116B">
        <w:t xml:space="preserve">’s “basic failure then is in the failing to give any reason to think that a defendant of another race who is also alleged to have personally murdered someone </w:t>
      </w:r>
      <w:r w:rsidR="00795E07" w:rsidRPr="002E116B">
        <w:t>i</w:t>
      </w:r>
      <w:r w:rsidR="009778F0" w:rsidRPr="002E116B">
        <w:t>n a drive-by shooting and a criminal history that includes two other murders would be treated more leniently.”</w:t>
      </w:r>
    </w:p>
    <w:p w14:paraId="15ACA8AD" w14:textId="47805536" w:rsidR="00984253" w:rsidRPr="002E116B" w:rsidRDefault="00B85868" w:rsidP="00D17921">
      <w:pPr>
        <w:spacing w:line="480" w:lineRule="auto"/>
      </w:pPr>
      <w:r w:rsidRPr="002E116B">
        <w:tab/>
        <w:t>C.</w:t>
      </w:r>
      <w:r w:rsidRPr="002E116B">
        <w:tab/>
      </w:r>
      <w:r w:rsidRPr="002E116B">
        <w:rPr>
          <w:u w:val="single"/>
        </w:rPr>
        <w:t>SECOND MOTION</w:t>
      </w:r>
      <w:r w:rsidR="000F28BD" w:rsidRPr="002E116B">
        <w:rPr>
          <w:u w:val="single"/>
        </w:rPr>
        <w:t xml:space="preserve"> </w:t>
      </w:r>
      <w:r w:rsidR="001C01C9" w:rsidRPr="002E116B">
        <w:rPr>
          <w:u w:val="single"/>
        </w:rPr>
        <w:t xml:space="preserve">FOR RELIEF </w:t>
      </w:r>
      <w:r w:rsidRPr="002E116B">
        <w:rPr>
          <w:u w:val="single"/>
        </w:rPr>
        <w:t>UNDER CRJA</w:t>
      </w:r>
    </w:p>
    <w:p w14:paraId="1BCF9EE3" w14:textId="64A0A6B5" w:rsidR="007A6A0A" w:rsidRPr="002E116B" w:rsidRDefault="00B85868" w:rsidP="00D17921">
      <w:pPr>
        <w:spacing w:line="480" w:lineRule="auto"/>
      </w:pPr>
      <w:r w:rsidRPr="002E116B">
        <w:tab/>
        <w:t xml:space="preserve">On December 6, 2022, </w:t>
      </w:r>
      <w:r w:rsidR="00A867A5" w:rsidRPr="002E116B">
        <w:t>Petitioner</w:t>
      </w:r>
      <w:r w:rsidRPr="002E116B">
        <w:t xml:space="preserve"> file</w:t>
      </w:r>
      <w:r w:rsidR="000F28BD" w:rsidRPr="002E116B">
        <w:t>d</w:t>
      </w:r>
      <w:r w:rsidRPr="002E116B">
        <w:t xml:space="preserve"> his </w:t>
      </w:r>
      <w:r w:rsidR="006614D0" w:rsidRPr="002E116B">
        <w:t>second “</w:t>
      </w:r>
      <w:r w:rsidRPr="002E116B">
        <w:t xml:space="preserve">Motion for a Hearing </w:t>
      </w:r>
      <w:r w:rsidR="006614D0" w:rsidRPr="002E116B">
        <w:t>&amp;</w:t>
      </w:r>
      <w:r w:rsidRPr="002E116B">
        <w:t xml:space="preserve"> Relief Pursuant to the Racial Justice Act</w:t>
      </w:r>
      <w:r w:rsidR="006614D0" w:rsidRPr="002E116B">
        <w:t>”</w:t>
      </w:r>
      <w:r w:rsidRPr="002E116B">
        <w:t xml:space="preserve"> (Second Motion).  </w:t>
      </w:r>
      <w:r w:rsidR="00A867A5" w:rsidRPr="002E116B">
        <w:t>Petitioner</w:t>
      </w:r>
      <w:r w:rsidRPr="002E116B">
        <w:t xml:space="preserve"> sought an evidentiary hearing and an ultimate ruling barring the death penalty in his case.  The Second Motion incorporated the evidence and arguments previously presented</w:t>
      </w:r>
      <w:r w:rsidR="000F28BD" w:rsidRPr="002E116B">
        <w:t xml:space="preserve"> and </w:t>
      </w:r>
      <w:r w:rsidRPr="002E116B">
        <w:t>provided further evidence.</w:t>
      </w:r>
      <w:r w:rsidR="00A81B71" w:rsidRPr="002E116B">
        <w:t xml:space="preserve">  </w:t>
      </w:r>
      <w:proofErr w:type="gramStart"/>
      <w:r w:rsidR="00A867A5" w:rsidRPr="002E116B">
        <w:t>Petitioner</w:t>
      </w:r>
      <w:proofErr w:type="gramEnd"/>
      <w:r w:rsidR="00A81B71" w:rsidRPr="002E116B">
        <w:t xml:space="preserve"> argued that he need only show statistical proof </w:t>
      </w:r>
      <w:r w:rsidR="000F28BD" w:rsidRPr="002E116B">
        <w:t xml:space="preserve">in making a prima facie case </w:t>
      </w:r>
      <w:r w:rsidR="00A81B71" w:rsidRPr="002E116B">
        <w:t>and was not required to identify factually similar cases.  The trial court’s creation of a two-</w:t>
      </w:r>
      <w:r w:rsidR="000F28BD" w:rsidRPr="002E116B">
        <w:t>prong</w:t>
      </w:r>
      <w:r w:rsidR="00A81B71" w:rsidRPr="002E116B">
        <w:t xml:space="preserve"> test contravened both the pla</w:t>
      </w:r>
      <w:r w:rsidR="000F28BD" w:rsidRPr="002E116B">
        <w:t>i</w:t>
      </w:r>
      <w:r w:rsidR="00A81B71" w:rsidRPr="002E116B">
        <w:t>n language of section 745 but also the Legislature’s intent.</w:t>
      </w:r>
      <w:r w:rsidR="003C40FF" w:rsidRPr="002E116B">
        <w:t xml:space="preserve">  </w:t>
      </w:r>
      <w:r w:rsidR="00A867A5" w:rsidRPr="002E116B">
        <w:t>Petitioner</w:t>
      </w:r>
      <w:r w:rsidR="003C40FF" w:rsidRPr="002E116B">
        <w:t xml:space="preserve"> argued the only showing that was required to be made was through statistical and aggregate evidence that </w:t>
      </w:r>
      <w:proofErr w:type="gramStart"/>
      <w:r w:rsidR="00EB02DF" w:rsidRPr="002E116B">
        <w:t>African-</w:t>
      </w:r>
      <w:r w:rsidR="00EB02DF" w:rsidRPr="002E116B">
        <w:lastRenderedPageBreak/>
        <w:t>American</w:t>
      </w:r>
      <w:proofErr w:type="gramEnd"/>
      <w:r w:rsidR="003C40FF" w:rsidRPr="002E116B">
        <w:t xml:space="preserve"> </w:t>
      </w:r>
      <w:r w:rsidR="00D82FCD" w:rsidRPr="002E116B">
        <w:t>defendants</w:t>
      </w:r>
      <w:r w:rsidR="003C40FF" w:rsidRPr="002E116B">
        <w:t xml:space="preserve"> who </w:t>
      </w:r>
      <w:r w:rsidR="006614D0" w:rsidRPr="002E116B">
        <w:t>we</w:t>
      </w:r>
      <w:r w:rsidR="003C40FF" w:rsidRPr="002E116B">
        <w:t xml:space="preserve">re accused of special-circumstance murder </w:t>
      </w:r>
      <w:r w:rsidR="006614D0" w:rsidRPr="002E116B">
        <w:t>we</w:t>
      </w:r>
      <w:r w:rsidR="003C40FF" w:rsidRPr="002E116B">
        <w:t xml:space="preserve">re similarly situated to </w:t>
      </w:r>
      <w:r w:rsidR="00EB02DF" w:rsidRPr="002E116B">
        <w:t>Caucasian</w:t>
      </w:r>
      <w:r w:rsidR="003C40FF" w:rsidRPr="002E116B">
        <w:t xml:space="preserve"> </w:t>
      </w:r>
      <w:r w:rsidR="006614D0" w:rsidRPr="002E116B">
        <w:t>defendants</w:t>
      </w:r>
      <w:r w:rsidR="003C40FF" w:rsidRPr="002E116B">
        <w:t xml:space="preserve"> accused of murder but not charged with a special circumstance</w:t>
      </w:r>
      <w:r w:rsidR="00D80DA8" w:rsidRPr="002E116B">
        <w:t xml:space="preserve"> or the death penalty</w:t>
      </w:r>
      <w:r w:rsidR="003C40FF" w:rsidRPr="002E116B">
        <w:t>.</w:t>
      </w:r>
    </w:p>
    <w:p w14:paraId="070F1A1F" w14:textId="45C2C984" w:rsidR="00F4238E" w:rsidRPr="002E116B" w:rsidRDefault="00B85868" w:rsidP="00D17921">
      <w:pPr>
        <w:spacing w:line="480" w:lineRule="auto"/>
      </w:pPr>
      <w:r w:rsidRPr="002E116B">
        <w:tab/>
      </w:r>
      <w:r w:rsidR="00A867A5" w:rsidRPr="002E116B">
        <w:t>Petitioner</w:t>
      </w:r>
      <w:r w:rsidRPr="002E116B">
        <w:t xml:space="preserve"> further argued it would be nearly impossible to find comparable cases </w:t>
      </w:r>
      <w:r w:rsidR="00E85544" w:rsidRPr="002E116B">
        <w:t xml:space="preserve">to </w:t>
      </w:r>
      <w:r w:rsidRPr="002E116B">
        <w:t>show a prima facie case.</w:t>
      </w:r>
      <w:r w:rsidR="009635F9" w:rsidRPr="002E116B">
        <w:t xml:space="preserve">  </w:t>
      </w:r>
      <w:r w:rsidR="00A867A5" w:rsidRPr="002E116B">
        <w:t>Petitioner</w:t>
      </w:r>
      <w:r w:rsidR="00D82FCD" w:rsidRPr="002E116B">
        <w:t xml:space="preserve"> a</w:t>
      </w:r>
      <w:r w:rsidR="009635F9" w:rsidRPr="002E116B">
        <w:t>gain relied on the studies from Omori, Petersen</w:t>
      </w:r>
      <w:r w:rsidR="00904D70" w:rsidRPr="002E116B">
        <w:t>,</w:t>
      </w:r>
      <w:r w:rsidR="009635F9" w:rsidRPr="002E116B">
        <w:t xml:space="preserve"> and Baumgartner.</w:t>
      </w:r>
      <w:r w:rsidR="00E93A45" w:rsidRPr="002E116B">
        <w:t xml:space="preserve">  These studies showed a prima facie case.  </w:t>
      </w:r>
      <w:proofErr w:type="gramStart"/>
      <w:r w:rsidR="00A867A5" w:rsidRPr="002E116B">
        <w:t>Petitioner</w:t>
      </w:r>
      <w:proofErr w:type="gramEnd"/>
      <w:r w:rsidR="00D82FCD" w:rsidRPr="002E116B">
        <w:t xml:space="preserve"> also argued that he had made </w:t>
      </w:r>
      <w:proofErr w:type="gramStart"/>
      <w:r w:rsidR="00D82FCD" w:rsidRPr="002E116B">
        <w:t>a prima facie</w:t>
      </w:r>
      <w:proofErr w:type="gramEnd"/>
      <w:r w:rsidR="00D82FCD" w:rsidRPr="002E116B">
        <w:t xml:space="preserve"> showing under </w:t>
      </w:r>
      <w:r w:rsidR="00E93A45" w:rsidRPr="002E116B">
        <w:t>both subdivisions (a)(3) and (a)(4)(A).</w:t>
      </w:r>
      <w:r w:rsidR="00E44F76" w:rsidRPr="002E116B">
        <w:t xml:space="preserve">  </w:t>
      </w:r>
      <w:proofErr w:type="gramStart"/>
      <w:r w:rsidR="00A867A5" w:rsidRPr="002E116B">
        <w:t>Petitioner</w:t>
      </w:r>
      <w:proofErr w:type="gramEnd"/>
      <w:r w:rsidR="00E44F76" w:rsidRPr="002E116B">
        <w:t xml:space="preserve"> concluded that the studies were sufficient.  Those studies showed, “As a group, </w:t>
      </w:r>
      <w:r w:rsidR="00EB02DF" w:rsidRPr="002E116B">
        <w:t>[Caucasian]</w:t>
      </w:r>
      <w:r w:rsidR="00E44F76" w:rsidRPr="002E116B">
        <w:t xml:space="preserve"> people charged with murder, charged with special circumstances, and subject to death notices are similarly situated to </w:t>
      </w:r>
      <w:r w:rsidR="00EB02DF" w:rsidRPr="002E116B">
        <w:t>[</w:t>
      </w:r>
      <w:proofErr w:type="gramStart"/>
      <w:r w:rsidR="00EB02DF" w:rsidRPr="002E116B">
        <w:t>African-American</w:t>
      </w:r>
      <w:proofErr w:type="gramEnd"/>
      <w:r w:rsidR="00EB02DF" w:rsidRPr="002E116B">
        <w:t>]</w:t>
      </w:r>
      <w:r w:rsidR="00E44F76" w:rsidRPr="002E116B">
        <w:t xml:space="preserve"> people who face each of th</w:t>
      </w:r>
      <w:r w:rsidR="006614D0" w:rsidRPr="002E116B">
        <w:t>o</w:t>
      </w:r>
      <w:r w:rsidR="00E44F76" w:rsidRPr="002E116B">
        <w:t>se same charges.  [</w:t>
      </w:r>
      <w:r w:rsidR="00A867A5" w:rsidRPr="002E116B">
        <w:t>Petitioner</w:t>
      </w:r>
      <w:r w:rsidR="00E44F76" w:rsidRPr="002E116B">
        <w:t>’s] evidence show</w:t>
      </w:r>
      <w:r w:rsidR="00EB02DF" w:rsidRPr="002E116B">
        <w:t>s</w:t>
      </w:r>
      <w:r w:rsidR="00E44F76" w:rsidRPr="002E116B">
        <w:t xml:space="preserve"> that at each stage, </w:t>
      </w:r>
      <w:r w:rsidR="00EB02DF" w:rsidRPr="002E116B">
        <w:t>[</w:t>
      </w:r>
      <w:proofErr w:type="gramStart"/>
      <w:r w:rsidR="00EB02DF" w:rsidRPr="002E116B">
        <w:t>African-American</w:t>
      </w:r>
      <w:proofErr w:type="gramEnd"/>
      <w:r w:rsidR="00EB02DF" w:rsidRPr="002E116B">
        <w:t>]</w:t>
      </w:r>
      <w:r w:rsidR="00E44F76" w:rsidRPr="002E116B">
        <w:t xml:space="preserve"> people are more likely to progress to the next stage than similarly situated </w:t>
      </w:r>
      <w:r w:rsidR="00EB02DF" w:rsidRPr="002E116B">
        <w:t>[Caucasian]</w:t>
      </w:r>
      <w:r w:rsidR="00E44F76" w:rsidRPr="002E116B">
        <w:t xml:space="preserve"> people.”  </w:t>
      </w:r>
    </w:p>
    <w:p w14:paraId="6969DED1" w14:textId="3FA3A2A7" w:rsidR="00915325" w:rsidRPr="002E116B" w:rsidRDefault="00B85868" w:rsidP="00D17921">
      <w:pPr>
        <w:spacing w:line="480" w:lineRule="auto"/>
      </w:pPr>
      <w:r w:rsidRPr="002E116B">
        <w:tab/>
      </w:r>
      <w:proofErr w:type="gramStart"/>
      <w:r w:rsidR="00A867A5" w:rsidRPr="002E116B">
        <w:t>Petitioner</w:t>
      </w:r>
      <w:proofErr w:type="gramEnd"/>
      <w:r w:rsidRPr="002E116B">
        <w:t xml:space="preserve"> then provided evidence</w:t>
      </w:r>
      <w:r w:rsidR="00D82FCD" w:rsidRPr="002E116B">
        <w:t xml:space="preserve"> (</w:t>
      </w:r>
      <w:r w:rsidRPr="002E116B">
        <w:t>although he disagree</w:t>
      </w:r>
      <w:r w:rsidR="004349C3" w:rsidRPr="002E116B">
        <w:t>d</w:t>
      </w:r>
      <w:r w:rsidRPr="002E116B">
        <w:t xml:space="preserve"> it was necessary</w:t>
      </w:r>
      <w:r w:rsidR="00D82FCD" w:rsidRPr="002E116B">
        <w:t>)</w:t>
      </w:r>
      <w:r w:rsidRPr="002E116B">
        <w:t xml:space="preserve"> </w:t>
      </w:r>
      <w:r w:rsidR="004349C3" w:rsidRPr="002E116B">
        <w:t>of similar cases</w:t>
      </w:r>
      <w:r w:rsidR="00D82FCD" w:rsidRPr="002E116B">
        <w:t xml:space="preserve"> charged by the </w:t>
      </w:r>
      <w:r w:rsidR="00A867A5" w:rsidRPr="002E116B">
        <w:t>District Attorney</w:t>
      </w:r>
      <w:r w:rsidR="00D82FCD" w:rsidRPr="002E116B">
        <w:t xml:space="preserve"> involving nonminority defendants</w:t>
      </w:r>
      <w:r w:rsidR="00E9040A" w:rsidRPr="002E116B">
        <w:t xml:space="preserve"> between 2016 and 2022</w:t>
      </w:r>
      <w:r w:rsidR="004349C3" w:rsidRPr="002E116B">
        <w:t xml:space="preserve">.  </w:t>
      </w:r>
      <w:proofErr w:type="gramStart"/>
      <w:r w:rsidR="00A867A5" w:rsidRPr="002E116B">
        <w:t>Petitioner</w:t>
      </w:r>
      <w:proofErr w:type="gramEnd"/>
      <w:r w:rsidR="004349C3" w:rsidRPr="002E116B">
        <w:t xml:space="preserve"> recounted the facts of his case.  </w:t>
      </w:r>
      <w:r w:rsidR="00A867A5" w:rsidRPr="002E116B">
        <w:t>Petitioner</w:t>
      </w:r>
      <w:r w:rsidR="004349C3" w:rsidRPr="002E116B">
        <w:t xml:space="preserve"> then provided the background of several cases</w:t>
      </w:r>
      <w:r w:rsidRPr="002E116B">
        <w:t xml:space="preserve"> involving </w:t>
      </w:r>
      <w:r w:rsidR="00EB02DF" w:rsidRPr="002E116B">
        <w:t>Caucasian</w:t>
      </w:r>
      <w:r w:rsidRPr="002E116B">
        <w:t xml:space="preserve"> persons charged with special</w:t>
      </w:r>
      <w:r w:rsidR="00446BDD" w:rsidRPr="002E116B">
        <w:t>-</w:t>
      </w:r>
      <w:r w:rsidRPr="002E116B">
        <w:t>circumstance murder with prior convictions</w:t>
      </w:r>
      <w:r w:rsidR="004349C3" w:rsidRPr="002E116B">
        <w:t xml:space="preserve">:  Ronald Ricks was a </w:t>
      </w:r>
      <w:r w:rsidR="00EB02DF" w:rsidRPr="002E116B">
        <w:t>Caucasian</w:t>
      </w:r>
      <w:r w:rsidR="004349C3" w:rsidRPr="002E116B">
        <w:t xml:space="preserve"> man with a previous conviction of murder in Riverside County in 2017.  He drove up to a house and fired multiple shots at persons standing in front of the house, killing one man.  Trial was set for 2023 and the </w:t>
      </w:r>
      <w:r w:rsidR="00A867A5" w:rsidRPr="002E116B">
        <w:t>District Attorney</w:t>
      </w:r>
      <w:r w:rsidR="004349C3" w:rsidRPr="002E116B">
        <w:t xml:space="preserve"> did not seek the death penalty</w:t>
      </w:r>
      <w:r w:rsidR="002C1021" w:rsidRPr="002E116B">
        <w:t>.  Ricks had several other prior convictions</w:t>
      </w:r>
      <w:r w:rsidR="00743B0E" w:rsidRPr="002E116B">
        <w:t xml:space="preserve">.  </w:t>
      </w:r>
      <w:r w:rsidR="004349C3" w:rsidRPr="002E116B">
        <w:t xml:space="preserve">Noy </w:t>
      </w:r>
      <w:proofErr w:type="spellStart"/>
      <w:r w:rsidR="004349C3" w:rsidRPr="002E116B">
        <w:t>Boukes</w:t>
      </w:r>
      <w:proofErr w:type="spellEnd"/>
      <w:r w:rsidR="004349C3" w:rsidRPr="002E116B">
        <w:t xml:space="preserve"> had a prior conviction of murder </w:t>
      </w:r>
      <w:r w:rsidR="004349C3" w:rsidRPr="002E116B">
        <w:lastRenderedPageBreak/>
        <w:t xml:space="preserve">in 2016.  </w:t>
      </w:r>
      <w:proofErr w:type="spellStart"/>
      <w:r w:rsidR="004349C3" w:rsidRPr="002E116B">
        <w:t>Boukes</w:t>
      </w:r>
      <w:proofErr w:type="spellEnd"/>
      <w:r w:rsidR="004349C3" w:rsidRPr="002E116B">
        <w:t xml:space="preserve"> drove his car to a location in Hemet and shot and killed a fellow member of </w:t>
      </w:r>
      <w:r w:rsidR="00D867E5" w:rsidRPr="002E116B">
        <w:t xml:space="preserve">a </w:t>
      </w:r>
      <w:r w:rsidR="004349C3" w:rsidRPr="002E116B">
        <w:t>White suprem</w:t>
      </w:r>
      <w:r w:rsidRPr="002E116B">
        <w:t xml:space="preserve">acist group.  </w:t>
      </w:r>
      <w:proofErr w:type="spellStart"/>
      <w:r w:rsidRPr="002E116B">
        <w:t>Boukes</w:t>
      </w:r>
      <w:proofErr w:type="spellEnd"/>
      <w:r w:rsidRPr="002E116B">
        <w:t xml:space="preserve"> was given a </w:t>
      </w:r>
      <w:r w:rsidR="00D867E5" w:rsidRPr="002E116B">
        <w:t xml:space="preserve">sentence of </w:t>
      </w:r>
      <w:r w:rsidRPr="002E116B">
        <w:t xml:space="preserve">life without </w:t>
      </w:r>
      <w:r w:rsidR="00D867E5" w:rsidRPr="002E116B">
        <w:t xml:space="preserve">the </w:t>
      </w:r>
      <w:r w:rsidRPr="002E116B">
        <w:t>possibility of parole (LWOP) in 2019</w:t>
      </w:r>
      <w:r w:rsidR="002C1021" w:rsidRPr="002E116B">
        <w:t>.  He had several other prior convictions.</w:t>
      </w:r>
      <w:r w:rsidRPr="002E116B">
        <w:t xml:space="preserve">  There </w:t>
      </w:r>
      <w:r w:rsidR="003918E3" w:rsidRPr="002E116B">
        <w:t xml:space="preserve">was </w:t>
      </w:r>
      <w:r w:rsidRPr="002E116B">
        <w:t>no meani</w:t>
      </w:r>
      <w:r w:rsidRPr="002E116B">
        <w:t xml:space="preserve">ngful difference between </w:t>
      </w:r>
      <w:r w:rsidR="00A867A5" w:rsidRPr="002E116B">
        <w:t>Petitioner</w:t>
      </w:r>
      <w:r w:rsidRPr="002E116B">
        <w:t xml:space="preserve"> and these two </w:t>
      </w:r>
      <w:r w:rsidR="00EB02DF" w:rsidRPr="002E116B">
        <w:t>Caucasian</w:t>
      </w:r>
      <w:r w:rsidRPr="002E116B">
        <w:t xml:space="preserve"> </w:t>
      </w:r>
      <w:proofErr w:type="gramStart"/>
      <w:r w:rsidRPr="002E116B">
        <w:t>men</w:t>
      </w:r>
      <w:proofErr w:type="gramEnd"/>
      <w:r w:rsidR="00D82FCD" w:rsidRPr="002E116B">
        <w:t xml:space="preserve"> but the </w:t>
      </w:r>
      <w:r w:rsidR="00EB02DF" w:rsidRPr="002E116B">
        <w:t>Caucasian</w:t>
      </w:r>
      <w:r w:rsidR="00D82FCD" w:rsidRPr="002E116B">
        <w:t xml:space="preserve"> men received lesser charges.</w:t>
      </w:r>
    </w:p>
    <w:p w14:paraId="1D95E3AD" w14:textId="03A3B963" w:rsidR="004349C3" w:rsidRPr="002E116B" w:rsidRDefault="00B85868" w:rsidP="00D17921">
      <w:pPr>
        <w:spacing w:line="480" w:lineRule="auto"/>
      </w:pPr>
      <w:r w:rsidRPr="002E116B">
        <w:tab/>
      </w:r>
      <w:r w:rsidR="00915325" w:rsidRPr="002E116B">
        <w:t xml:space="preserve">In addition, </w:t>
      </w:r>
      <w:r w:rsidR="00A867A5" w:rsidRPr="002E116B">
        <w:t>Petitioner</w:t>
      </w:r>
      <w:r w:rsidR="00915325" w:rsidRPr="002E116B">
        <w:t xml:space="preserve"> presented cases in which </w:t>
      </w:r>
      <w:r w:rsidR="00EB02DF" w:rsidRPr="002E116B">
        <w:t>Caucasian</w:t>
      </w:r>
      <w:r w:rsidR="00915325" w:rsidRPr="002E116B">
        <w:t xml:space="preserve"> </w:t>
      </w:r>
      <w:r w:rsidR="00E9040A" w:rsidRPr="002E116B">
        <w:t>defendants</w:t>
      </w:r>
      <w:r w:rsidR="00915325" w:rsidRPr="002E116B">
        <w:t xml:space="preserve"> were charged with </w:t>
      </w:r>
      <w:r w:rsidR="00D82FCD" w:rsidRPr="002E116B">
        <w:t xml:space="preserve">the </w:t>
      </w:r>
      <w:r w:rsidR="00915325" w:rsidRPr="002E116B">
        <w:t>special circumstance of multiple murder</w:t>
      </w:r>
      <w:r w:rsidRPr="002E116B">
        <w:t>s</w:t>
      </w:r>
      <w:r w:rsidR="00915325" w:rsidRPr="002E116B">
        <w:t xml:space="preserve">:  Robert Lars Pape killed and burned three people.  The </w:t>
      </w:r>
      <w:r w:rsidR="00A867A5" w:rsidRPr="002E116B">
        <w:t>District Attorney</w:t>
      </w:r>
      <w:r w:rsidR="00915325" w:rsidRPr="002E116B">
        <w:t xml:space="preserve"> did not seek the death penalty against </w:t>
      </w:r>
      <w:proofErr w:type="gramStart"/>
      <w:r w:rsidR="00915325" w:rsidRPr="002E116B">
        <w:t>Pape</w:t>
      </w:r>
      <w:proofErr w:type="gramEnd"/>
      <w:r w:rsidR="00915325" w:rsidRPr="002E116B">
        <w:t xml:space="preserve"> and he was serving a LWOP sentence</w:t>
      </w:r>
      <w:r w:rsidR="00743B0E" w:rsidRPr="002E116B">
        <w:t xml:space="preserve">.  </w:t>
      </w:r>
      <w:r w:rsidR="00915325" w:rsidRPr="002E116B">
        <w:t xml:space="preserve">Jared Bischoff killed a man who was flirting with his girlfriend and then killed his girlfriend. </w:t>
      </w:r>
      <w:r w:rsidR="003918E3" w:rsidRPr="002E116B">
        <w:t xml:space="preserve"> </w:t>
      </w:r>
      <w:r w:rsidR="00915325" w:rsidRPr="002E116B">
        <w:t>Bischoff stabbed his girlfriend six time</w:t>
      </w:r>
      <w:r w:rsidR="00D82FCD" w:rsidRPr="002E116B">
        <w:t xml:space="preserve">s </w:t>
      </w:r>
      <w:r w:rsidR="00915325" w:rsidRPr="002E116B">
        <w:t>until she bled to death.  Bischoff was scheduled for trial</w:t>
      </w:r>
      <w:r w:rsidR="00D82FCD" w:rsidRPr="002E116B">
        <w:t xml:space="preserve">, </w:t>
      </w:r>
      <w:r w:rsidR="00915325" w:rsidRPr="002E116B">
        <w:t xml:space="preserve">but the </w:t>
      </w:r>
      <w:r w:rsidR="00A867A5" w:rsidRPr="002E116B">
        <w:t>District Attorney</w:t>
      </w:r>
      <w:r w:rsidR="00915325" w:rsidRPr="002E116B">
        <w:t xml:space="preserve"> chose not to seek the death penalty</w:t>
      </w:r>
      <w:r w:rsidR="006614D0" w:rsidRPr="002E116B">
        <w:t>.</w:t>
      </w:r>
      <w:r w:rsidR="000E614F" w:rsidRPr="002E116B">
        <w:t xml:space="preserve">  </w:t>
      </w:r>
      <w:r w:rsidR="00A867A5" w:rsidRPr="002E116B">
        <w:t>Petitioner</w:t>
      </w:r>
      <w:r w:rsidR="000E614F" w:rsidRPr="002E116B">
        <w:t xml:space="preserve"> also present</w:t>
      </w:r>
      <w:r w:rsidR="00D82FCD" w:rsidRPr="002E116B">
        <w:t xml:space="preserve">ed </w:t>
      </w:r>
      <w:r w:rsidR="000E614F" w:rsidRPr="002E116B">
        <w:t xml:space="preserve">evidence of </w:t>
      </w:r>
      <w:r w:rsidR="00EB02DF" w:rsidRPr="002E116B">
        <w:t>Caucasian</w:t>
      </w:r>
      <w:r w:rsidR="000E614F" w:rsidRPr="002E116B">
        <w:t xml:space="preserve"> young adult defendants:  James Coon, who was 26</w:t>
      </w:r>
      <w:r w:rsidRPr="002E116B">
        <w:t xml:space="preserve"> </w:t>
      </w:r>
      <w:r w:rsidR="000E614F" w:rsidRPr="002E116B">
        <w:t>years</w:t>
      </w:r>
      <w:r w:rsidRPr="002E116B">
        <w:t xml:space="preserve"> </w:t>
      </w:r>
      <w:r w:rsidR="000E614F" w:rsidRPr="002E116B">
        <w:t xml:space="preserve">old at the time of his offense, robbed a clerk at a store at gunpoint and then shot the clerk because he tried to take </w:t>
      </w:r>
      <w:r w:rsidR="006614D0" w:rsidRPr="002E116B">
        <w:t>Coon’s</w:t>
      </w:r>
      <w:r w:rsidR="000E614F" w:rsidRPr="002E116B">
        <w:t xml:space="preserve"> photograph</w:t>
      </w:r>
      <w:r w:rsidR="006614D0" w:rsidRPr="002E116B">
        <w:t>—t</w:t>
      </w:r>
      <w:r w:rsidR="000E614F" w:rsidRPr="002E116B">
        <w:t xml:space="preserve">he </w:t>
      </w:r>
      <w:r w:rsidR="00A867A5" w:rsidRPr="002E116B">
        <w:t>District Attorney</w:t>
      </w:r>
      <w:r w:rsidR="000E614F" w:rsidRPr="002E116B">
        <w:t xml:space="preserve"> did not seek the death penalty against Coon</w:t>
      </w:r>
      <w:r w:rsidR="00743B0E" w:rsidRPr="002E116B">
        <w:t xml:space="preserve">.  </w:t>
      </w:r>
      <w:r w:rsidR="000E614F" w:rsidRPr="002E116B">
        <w:t>Melissa Un</w:t>
      </w:r>
      <w:r w:rsidR="003A0D4C" w:rsidRPr="002E116B">
        <w:t>g</w:t>
      </w:r>
      <w:r w:rsidR="000E614F" w:rsidRPr="002E116B">
        <w:t xml:space="preserve">er, </w:t>
      </w:r>
      <w:r w:rsidR="00D82FCD" w:rsidRPr="002E116B">
        <w:t xml:space="preserve">who </w:t>
      </w:r>
      <w:r w:rsidR="000E614F" w:rsidRPr="002E116B">
        <w:t>was 23</w:t>
      </w:r>
      <w:r w:rsidRPr="002E116B">
        <w:t xml:space="preserve"> </w:t>
      </w:r>
      <w:r w:rsidR="000E614F" w:rsidRPr="002E116B">
        <w:t>years</w:t>
      </w:r>
      <w:r w:rsidRPr="002E116B">
        <w:t xml:space="preserve"> </w:t>
      </w:r>
      <w:r w:rsidR="000E614F" w:rsidRPr="002E116B">
        <w:t>old at the time, was involved in a gang murder</w:t>
      </w:r>
      <w:r w:rsidRPr="002E116B">
        <w:t>,</w:t>
      </w:r>
      <w:r w:rsidR="000E614F" w:rsidRPr="002E116B">
        <w:t xml:space="preserve"> which involved the kidnapping and torture of a victim</w:t>
      </w:r>
      <w:r w:rsidR="006614D0" w:rsidRPr="002E116B">
        <w:t>—s</w:t>
      </w:r>
      <w:r w:rsidR="000E614F" w:rsidRPr="002E116B">
        <w:t>he pled guilty to voluntary manslaughter</w:t>
      </w:r>
      <w:r w:rsidR="00743B0E" w:rsidRPr="002E116B">
        <w:t xml:space="preserve">.  </w:t>
      </w:r>
      <w:r w:rsidR="000E614F" w:rsidRPr="002E116B">
        <w:t xml:space="preserve">Owen Skyler Shover was accused of killing his 16-year-old girlfriend when he was 18 years old and was facing </w:t>
      </w:r>
      <w:proofErr w:type="gramStart"/>
      <w:r w:rsidR="000E614F" w:rsidRPr="002E116B">
        <w:t>charges</w:t>
      </w:r>
      <w:proofErr w:type="gramEnd"/>
      <w:r w:rsidR="000E614F" w:rsidRPr="002E116B">
        <w:t xml:space="preserve"> but the </w:t>
      </w:r>
      <w:r w:rsidR="00A867A5" w:rsidRPr="002E116B">
        <w:t>District Attorney</w:t>
      </w:r>
      <w:r w:rsidR="000E614F" w:rsidRPr="002E116B">
        <w:t xml:space="preserve"> did not seek the death penalty</w:t>
      </w:r>
      <w:r w:rsidR="00743B0E" w:rsidRPr="002E116B">
        <w:t xml:space="preserve">.  </w:t>
      </w:r>
      <w:r w:rsidR="002C1021" w:rsidRPr="002E116B">
        <w:t xml:space="preserve">Andrew Burke was 25 years old when </w:t>
      </w:r>
      <w:r w:rsidR="00D82FCD" w:rsidRPr="002E116B">
        <w:t xml:space="preserve">he </w:t>
      </w:r>
      <w:r w:rsidR="002C1021" w:rsidRPr="002E116B">
        <w:t xml:space="preserve">stabbed to death his adopted parents/grandparents and the </w:t>
      </w:r>
      <w:r w:rsidR="00A867A5" w:rsidRPr="002E116B">
        <w:t>District Attorney</w:t>
      </w:r>
      <w:r w:rsidR="002C1021" w:rsidRPr="002E116B">
        <w:t xml:space="preserve"> chose not to seek the death </w:t>
      </w:r>
      <w:r w:rsidR="002C1021" w:rsidRPr="002E116B">
        <w:lastRenderedPageBreak/>
        <w:t xml:space="preserve">penalty.  </w:t>
      </w:r>
      <w:r w:rsidR="00A867A5" w:rsidRPr="002E116B">
        <w:t>Petitioner</w:t>
      </w:r>
      <w:r w:rsidR="002C1021" w:rsidRPr="002E116B">
        <w:t xml:space="preserve"> was 24 years old when the alleged offense took </w:t>
      </w:r>
      <w:proofErr w:type="gramStart"/>
      <w:r w:rsidR="002C1021" w:rsidRPr="002E116B">
        <w:t>place</w:t>
      </w:r>
      <w:proofErr w:type="gramEnd"/>
      <w:r w:rsidR="002C1021" w:rsidRPr="002E116B">
        <w:t xml:space="preserve"> but he was facing the death penalty.</w:t>
      </w:r>
    </w:p>
    <w:p w14:paraId="1A4C1EF8" w14:textId="55EFC31E" w:rsidR="002C1021" w:rsidRPr="002E116B" w:rsidRDefault="00B85868" w:rsidP="00D17921">
      <w:pPr>
        <w:spacing w:line="480" w:lineRule="auto"/>
      </w:pPr>
      <w:r w:rsidRPr="002E116B">
        <w:tab/>
      </w:r>
      <w:r w:rsidR="00D82FCD" w:rsidRPr="002E116B">
        <w:t xml:space="preserve">Finally, </w:t>
      </w:r>
      <w:r w:rsidR="00A867A5" w:rsidRPr="002E116B">
        <w:t>Petitioner</w:t>
      </w:r>
      <w:r w:rsidRPr="002E116B">
        <w:t xml:space="preserve"> presented the “highly aggravated” murder by a </w:t>
      </w:r>
      <w:r w:rsidR="00EB02DF" w:rsidRPr="002E116B">
        <w:t>Caucasian</w:t>
      </w:r>
      <w:r w:rsidRPr="002E116B">
        <w:t xml:space="preserve"> defendant </w:t>
      </w:r>
      <w:r w:rsidR="003918E3" w:rsidRPr="002E116B">
        <w:t xml:space="preserve">for </w:t>
      </w:r>
      <w:r w:rsidRPr="002E116B">
        <w:t>who</w:t>
      </w:r>
      <w:r w:rsidR="003918E3" w:rsidRPr="002E116B">
        <w:t>m</w:t>
      </w:r>
      <w:r w:rsidRPr="002E116B">
        <w:t xml:space="preserve"> the </w:t>
      </w:r>
      <w:r w:rsidR="00A867A5" w:rsidRPr="002E116B">
        <w:t>District Attorney</w:t>
      </w:r>
      <w:r w:rsidRPr="002E116B">
        <w:t xml:space="preserve"> did not seek the death penalty.  Maxamil</w:t>
      </w:r>
      <w:r w:rsidR="00C0254B" w:rsidRPr="002E116B">
        <w:t>li</w:t>
      </w:r>
      <w:r w:rsidRPr="002E116B">
        <w:t xml:space="preserve">on Eagle raped and strangled a woman, throwing her body in a trash can.  Eagle had a </w:t>
      </w:r>
      <w:r w:rsidR="003918E3" w:rsidRPr="002E116B">
        <w:t xml:space="preserve">prior </w:t>
      </w:r>
      <w:r w:rsidR="00D82FCD" w:rsidRPr="002E116B">
        <w:t xml:space="preserve">conviction </w:t>
      </w:r>
      <w:r w:rsidR="003918E3" w:rsidRPr="002E116B">
        <w:t>of</w:t>
      </w:r>
      <w:r w:rsidR="00D82FCD" w:rsidRPr="002E116B">
        <w:t xml:space="preserve"> </w:t>
      </w:r>
      <w:r w:rsidRPr="002E116B">
        <w:t>assault with a deadly weapon.  He was sentenced to LWOP.</w:t>
      </w:r>
    </w:p>
    <w:p w14:paraId="754CCFA1" w14:textId="471989FD" w:rsidR="004403B8" w:rsidRPr="002E116B" w:rsidRDefault="00B85868" w:rsidP="00D17921">
      <w:pPr>
        <w:spacing w:line="480" w:lineRule="auto"/>
      </w:pPr>
      <w:r w:rsidRPr="002E116B">
        <w:tab/>
        <w:t xml:space="preserve">Based on the foregoing, </w:t>
      </w:r>
      <w:r w:rsidR="00A867A5" w:rsidRPr="002E116B">
        <w:t>Petitioner</w:t>
      </w:r>
      <w:r w:rsidRPr="002E116B">
        <w:t xml:space="preserve"> argued that the factual comparisons illustrat</w:t>
      </w:r>
      <w:r w:rsidR="007954FA" w:rsidRPr="002E116B">
        <w:t xml:space="preserve">ing </w:t>
      </w:r>
      <w:r w:rsidRPr="002E116B">
        <w:t xml:space="preserve">the </w:t>
      </w:r>
      <w:r w:rsidR="00A867A5" w:rsidRPr="002E116B">
        <w:t>District Attorney</w:t>
      </w:r>
      <w:r w:rsidR="007954FA" w:rsidRPr="002E116B">
        <w:t>’s</w:t>
      </w:r>
      <w:r w:rsidRPr="002E116B">
        <w:t xml:space="preserve"> decision to seek the death penalty </w:t>
      </w:r>
      <w:r w:rsidR="007B487A" w:rsidRPr="002E116B">
        <w:t xml:space="preserve">against him </w:t>
      </w:r>
      <w:r w:rsidRPr="002E116B">
        <w:t>mean</w:t>
      </w:r>
      <w:r w:rsidR="00D82FCD" w:rsidRPr="002E116B">
        <w:t>t</w:t>
      </w:r>
      <w:r w:rsidRPr="002E116B">
        <w:t xml:space="preserve"> that he face</w:t>
      </w:r>
      <w:r w:rsidR="00D82FCD" w:rsidRPr="002E116B">
        <w:t>d</w:t>
      </w:r>
      <w:r w:rsidRPr="002E116B">
        <w:t xml:space="preserve"> significantly harsher punishment tha</w:t>
      </w:r>
      <w:r w:rsidR="007B487A" w:rsidRPr="002E116B">
        <w:t>n</w:t>
      </w:r>
      <w:r w:rsidRPr="002E116B">
        <w:t xml:space="preserve"> other similarly situated </w:t>
      </w:r>
      <w:r w:rsidR="00EB02DF" w:rsidRPr="002E116B">
        <w:t>Caucasian</w:t>
      </w:r>
      <w:r w:rsidRPr="002E116B">
        <w:t xml:space="preserve"> defendants.  </w:t>
      </w:r>
      <w:r w:rsidR="00A867A5" w:rsidRPr="002E116B">
        <w:t>Petitioner</w:t>
      </w:r>
      <w:r w:rsidRPr="002E116B">
        <w:t xml:space="preserve"> presented numerous exhibits, which included the studies by Omori</w:t>
      </w:r>
      <w:r w:rsidR="004F48BB" w:rsidRPr="002E116B">
        <w:t>, Baumgartner</w:t>
      </w:r>
      <w:r w:rsidR="007954FA" w:rsidRPr="002E116B">
        <w:t>,</w:t>
      </w:r>
      <w:r w:rsidR="004F48BB" w:rsidRPr="002E116B">
        <w:t xml:space="preserve"> </w:t>
      </w:r>
      <w:r w:rsidRPr="002E116B">
        <w:t xml:space="preserve">and Petersen.  </w:t>
      </w:r>
      <w:r w:rsidR="00C0254B" w:rsidRPr="002E116B">
        <w:t xml:space="preserve">Also included </w:t>
      </w:r>
      <w:r w:rsidR="007954FA" w:rsidRPr="002E116B">
        <w:t xml:space="preserve">was </w:t>
      </w:r>
      <w:r w:rsidR="00C0254B" w:rsidRPr="002E116B">
        <w:t xml:space="preserve">an exhibit outlining facts and charges in other cases filed in Riverside County including the cases outlined in the Second Motion.  The list was prepared by </w:t>
      </w:r>
      <w:r w:rsidR="00D82FCD" w:rsidRPr="002E116B">
        <w:t>t</w:t>
      </w:r>
      <w:r w:rsidR="00C0254B" w:rsidRPr="002E116B">
        <w:t xml:space="preserve">he Riverside County Public </w:t>
      </w:r>
      <w:proofErr w:type="spellStart"/>
      <w:r w:rsidR="00C0254B" w:rsidRPr="002E116B">
        <w:t>Defenders</w:t>
      </w:r>
      <w:proofErr w:type="spellEnd"/>
      <w:r w:rsidR="00C0254B" w:rsidRPr="002E116B">
        <w:t xml:space="preserve"> </w:t>
      </w:r>
      <w:r w:rsidR="004A75E1" w:rsidRPr="002E116B">
        <w:t>O</w:t>
      </w:r>
      <w:r w:rsidR="00C0254B" w:rsidRPr="002E116B">
        <w:t>ffice.</w:t>
      </w:r>
    </w:p>
    <w:p w14:paraId="1EC654E4" w14:textId="3B0BC0D7" w:rsidR="00AA1054" w:rsidRPr="002E116B" w:rsidRDefault="00B85868" w:rsidP="00D17921">
      <w:pPr>
        <w:spacing w:line="480" w:lineRule="auto"/>
      </w:pPr>
      <w:r w:rsidRPr="002E116B">
        <w:tab/>
        <w:t>A hearing was held on January 20, 2023.</w:t>
      </w:r>
      <w:r w:rsidR="007428A7" w:rsidRPr="002E116B">
        <w:t xml:space="preserve">  The trial court noted </w:t>
      </w:r>
      <w:r w:rsidR="00E9040A" w:rsidRPr="002E116B">
        <w:t xml:space="preserve">that the </w:t>
      </w:r>
      <w:r w:rsidR="007428A7" w:rsidRPr="002E116B">
        <w:t>CRJA originally provided that racial bias could be shown by statistical evidence and that a defendant need not show that he or she was prejudiced.  The trial court acknowledged this language but noted that after th</w:t>
      </w:r>
      <w:r w:rsidR="007954FA" w:rsidRPr="002E116B">
        <w:t>at</w:t>
      </w:r>
      <w:r w:rsidR="007428A7" w:rsidRPr="002E116B">
        <w:t xml:space="preserve">, </w:t>
      </w:r>
      <w:r w:rsidR="003918E3" w:rsidRPr="002E116B">
        <w:t xml:space="preserve">section 745 </w:t>
      </w:r>
      <w:r w:rsidR="007428A7" w:rsidRPr="002E116B">
        <w:t xml:space="preserve">was amended to include the similarly situated language.  </w:t>
      </w:r>
      <w:r w:rsidR="00E9040A" w:rsidRPr="002E116B">
        <w:t xml:space="preserve">It was again </w:t>
      </w:r>
      <w:r w:rsidR="007428A7" w:rsidRPr="002E116B">
        <w:t>amended to require similar offenses and similarly situated</w:t>
      </w:r>
      <w:r w:rsidR="00E9040A" w:rsidRPr="002E116B">
        <w:t xml:space="preserve"> </w:t>
      </w:r>
      <w:r w:rsidR="003918E3" w:rsidRPr="002E116B">
        <w:t xml:space="preserve">defendants </w:t>
      </w:r>
      <w:proofErr w:type="gramStart"/>
      <w:r w:rsidR="00E9040A" w:rsidRPr="002E116B">
        <w:t>in order to</w:t>
      </w:r>
      <w:proofErr w:type="gramEnd"/>
      <w:r w:rsidR="00E9040A" w:rsidRPr="002E116B">
        <w:t xml:space="preserve"> show a violation of section 745, subdivision (a)(3)</w:t>
      </w:r>
      <w:r w:rsidR="007428A7" w:rsidRPr="002E116B">
        <w:t>.</w:t>
      </w:r>
      <w:r w:rsidR="00E9040A" w:rsidRPr="002E116B">
        <w:t xml:space="preserve">  In the final, approved version, </w:t>
      </w:r>
      <w:r w:rsidR="003918E3" w:rsidRPr="002E116B">
        <w:t>t</w:t>
      </w:r>
      <w:r w:rsidR="007428A7" w:rsidRPr="002E116B">
        <w:t xml:space="preserve">he language included </w:t>
      </w:r>
      <w:r w:rsidR="00E9040A" w:rsidRPr="002E116B">
        <w:t xml:space="preserve">that a defendant must be </w:t>
      </w:r>
      <w:r w:rsidR="007428A7" w:rsidRPr="002E116B">
        <w:t xml:space="preserve">both similarly </w:t>
      </w:r>
      <w:r w:rsidR="00E9040A" w:rsidRPr="002E116B">
        <w:t>situated</w:t>
      </w:r>
      <w:r w:rsidR="007428A7" w:rsidRPr="002E116B">
        <w:t xml:space="preserve"> and </w:t>
      </w:r>
      <w:r w:rsidR="00E9040A" w:rsidRPr="002E116B">
        <w:t xml:space="preserve">engage in </w:t>
      </w:r>
      <w:r w:rsidR="007428A7" w:rsidRPr="002E116B">
        <w:t>similar conduct</w:t>
      </w:r>
      <w:r w:rsidR="00E9040A" w:rsidRPr="002E116B">
        <w:t xml:space="preserve"> as nonminority defendants</w:t>
      </w:r>
      <w:r w:rsidR="007428A7" w:rsidRPr="002E116B">
        <w:t>.  The tr</w:t>
      </w:r>
      <w:r w:rsidR="00DA3F0D" w:rsidRPr="002E116B">
        <w:t>i</w:t>
      </w:r>
      <w:r w:rsidR="007428A7" w:rsidRPr="002E116B">
        <w:t xml:space="preserve">al </w:t>
      </w:r>
      <w:r w:rsidR="007428A7" w:rsidRPr="002E116B">
        <w:lastRenderedPageBreak/>
        <w:t>court inquired</w:t>
      </w:r>
      <w:r w:rsidR="00E9040A" w:rsidRPr="002E116B">
        <w:t xml:space="preserve"> of </w:t>
      </w:r>
      <w:r w:rsidR="00A867A5" w:rsidRPr="002E116B">
        <w:t>Petitioner</w:t>
      </w:r>
      <w:r w:rsidR="00E9040A" w:rsidRPr="002E116B">
        <w:t>’s counsel</w:t>
      </w:r>
      <w:r w:rsidR="007428A7" w:rsidRPr="002E116B">
        <w:t>, “How else can I read that but the plain language that it would require a comparison from individuals who commit similar conduct and have similar offenses that they’re looking at?</w:t>
      </w:r>
      <w:r w:rsidR="00DA3F0D" w:rsidRPr="002E116B">
        <w:t xml:space="preserve">”  </w:t>
      </w:r>
    </w:p>
    <w:p w14:paraId="39B37CFB" w14:textId="563FE9A3" w:rsidR="000543F3" w:rsidRPr="002E116B" w:rsidRDefault="00B85868" w:rsidP="00D17921">
      <w:pPr>
        <w:spacing w:line="480" w:lineRule="auto"/>
      </w:pPr>
      <w:r w:rsidRPr="002E116B">
        <w:tab/>
      </w:r>
      <w:r w:rsidR="00DA3F0D" w:rsidRPr="002E116B">
        <w:t xml:space="preserve">The trial court stated there were several reasons why the </w:t>
      </w:r>
      <w:r w:rsidRPr="002E116B">
        <w:t>District Attorney</w:t>
      </w:r>
      <w:r w:rsidR="00DA3F0D" w:rsidRPr="002E116B">
        <w:t xml:space="preserve"> would charge the death penalty, including the severity of the case, the criminal history, and whether the victim’s family wanted the death penalty.  </w:t>
      </w:r>
      <w:r w:rsidR="00E9040A" w:rsidRPr="002E116B">
        <w:t>Something m</w:t>
      </w:r>
      <w:r w:rsidR="00DA3F0D" w:rsidRPr="002E116B">
        <w:t>ore than statistical evidence was required to show similar conduct.</w:t>
      </w:r>
      <w:r w:rsidRPr="002E116B">
        <w:t xml:space="preserve">  </w:t>
      </w:r>
      <w:proofErr w:type="gramStart"/>
      <w:r w:rsidRPr="002E116B">
        <w:t>Petitioner</w:t>
      </w:r>
      <w:proofErr w:type="gramEnd"/>
      <w:r w:rsidRPr="002E116B">
        <w:t xml:space="preserve"> argued that the case-specific evidence provided was sufficient to support </w:t>
      </w:r>
      <w:r w:rsidR="004F2258" w:rsidRPr="002E116B">
        <w:t>he</w:t>
      </w:r>
      <w:r w:rsidRPr="002E116B">
        <w:t xml:space="preserve"> made </w:t>
      </w:r>
      <w:proofErr w:type="gramStart"/>
      <w:r w:rsidRPr="002E116B">
        <w:t>a prima facie</w:t>
      </w:r>
      <w:proofErr w:type="gramEnd"/>
      <w:r w:rsidRPr="002E116B">
        <w:t xml:space="preserve"> showing.  The trial court questioned whether the list </w:t>
      </w:r>
      <w:proofErr w:type="gramStart"/>
      <w:r w:rsidRPr="002E116B">
        <w:t xml:space="preserve">took into </w:t>
      </w:r>
      <w:r w:rsidR="00E9040A" w:rsidRPr="002E116B">
        <w:t>account</w:t>
      </w:r>
      <w:proofErr w:type="gramEnd"/>
      <w:r w:rsidR="00E9040A" w:rsidRPr="002E116B">
        <w:t xml:space="preserve"> </w:t>
      </w:r>
      <w:r w:rsidRPr="002E116B">
        <w:t xml:space="preserve">the wishes of the victim in </w:t>
      </w:r>
      <w:r w:rsidRPr="002E116B">
        <w:t xml:space="preserve">seeking the death penalty.  </w:t>
      </w:r>
      <w:r w:rsidR="00A44B11" w:rsidRPr="002E116B">
        <w:t xml:space="preserve">The trial court again reiterated the statistical evidence showed the racial disparity necessary for the first prong.  </w:t>
      </w:r>
      <w:r w:rsidRPr="002E116B">
        <w:t>The matter was continued</w:t>
      </w:r>
      <w:r w:rsidR="00E9040A" w:rsidRPr="002E116B">
        <w:t xml:space="preserve"> </w:t>
      </w:r>
      <w:proofErr w:type="gramStart"/>
      <w:r w:rsidR="00E9040A" w:rsidRPr="002E116B">
        <w:t>in order for</w:t>
      </w:r>
      <w:proofErr w:type="gramEnd"/>
      <w:r w:rsidR="00E9040A" w:rsidRPr="002E116B">
        <w:t xml:space="preserve"> the </w:t>
      </w:r>
      <w:r w:rsidRPr="002E116B">
        <w:t>District Attorney</w:t>
      </w:r>
      <w:r w:rsidR="00E9040A" w:rsidRPr="002E116B">
        <w:t xml:space="preserve"> to file a response to the Second Motion</w:t>
      </w:r>
      <w:r w:rsidRPr="002E116B">
        <w:t>.</w:t>
      </w:r>
    </w:p>
    <w:p w14:paraId="35CE6DF8" w14:textId="7358B967" w:rsidR="00A44B11" w:rsidRPr="002E116B" w:rsidRDefault="00B85868" w:rsidP="00D17921">
      <w:pPr>
        <w:spacing w:line="480" w:lineRule="auto"/>
      </w:pPr>
      <w:r w:rsidRPr="002E116B">
        <w:tab/>
      </w:r>
      <w:r w:rsidR="00274085" w:rsidRPr="002E116B">
        <w:t xml:space="preserve">The </w:t>
      </w:r>
      <w:r w:rsidRPr="002E116B">
        <w:t xml:space="preserve">District Attorney filed </w:t>
      </w:r>
      <w:r w:rsidR="004F2258" w:rsidRPr="002E116B">
        <w:t>an</w:t>
      </w:r>
      <w:r w:rsidRPr="002E116B">
        <w:t xml:space="preserve"> opposition to the Second Motion.  It</w:t>
      </w:r>
      <w:r w:rsidR="00E9040A" w:rsidRPr="002E116B">
        <w:t xml:space="preserve"> argued t</w:t>
      </w:r>
      <w:r w:rsidRPr="002E116B">
        <w:t xml:space="preserve">he trial court should not rely on statistics alone as it would incentivize charging </w:t>
      </w:r>
      <w:r w:rsidR="00EB02DF" w:rsidRPr="002E116B">
        <w:t>Caucasian</w:t>
      </w:r>
      <w:r w:rsidRPr="002E116B">
        <w:t xml:space="preserve"> defendants with the death penalty.  </w:t>
      </w:r>
      <w:r w:rsidR="004F2258" w:rsidRPr="002E116B">
        <w:t xml:space="preserve">The </w:t>
      </w:r>
      <w:r w:rsidRPr="002E116B">
        <w:t xml:space="preserve">District Attorney argued </w:t>
      </w:r>
      <w:r w:rsidR="008611DC" w:rsidRPr="002E116B">
        <w:t xml:space="preserve">that </w:t>
      </w:r>
      <w:r w:rsidR="00B13C0D" w:rsidRPr="002E116B">
        <w:t>nine</w:t>
      </w:r>
      <w:r w:rsidR="008611DC" w:rsidRPr="002E116B">
        <w:t xml:space="preserve"> defendants mentioned in the Second Motion were not similarly situated to </w:t>
      </w:r>
      <w:r w:rsidRPr="002E116B">
        <w:t>Petitioner</w:t>
      </w:r>
      <w:r w:rsidR="008611DC" w:rsidRPr="002E116B">
        <w:t xml:space="preserve">.  </w:t>
      </w:r>
      <w:r w:rsidR="004F2258" w:rsidRPr="002E116B">
        <w:t xml:space="preserve">The </w:t>
      </w:r>
      <w:r w:rsidRPr="002E116B">
        <w:t>District Attorney</w:t>
      </w:r>
      <w:r w:rsidR="008611DC" w:rsidRPr="002E116B">
        <w:t xml:space="preserve"> then </w:t>
      </w:r>
      <w:r w:rsidR="00E9040A" w:rsidRPr="002E116B">
        <w:t xml:space="preserve">provided reasons </w:t>
      </w:r>
      <w:r w:rsidR="008611DC" w:rsidRPr="002E116B">
        <w:t>why the cases were different</w:t>
      </w:r>
      <w:r w:rsidR="00E9040A" w:rsidRPr="002E116B">
        <w:t xml:space="preserve"> from </w:t>
      </w:r>
      <w:r w:rsidRPr="002E116B">
        <w:t>Petitioner</w:t>
      </w:r>
      <w:r w:rsidR="00E9040A" w:rsidRPr="002E116B">
        <w:t>’s case</w:t>
      </w:r>
      <w:r w:rsidR="003918E3" w:rsidRPr="002E116B">
        <w:t xml:space="preserve">:  </w:t>
      </w:r>
      <w:r w:rsidR="008611DC" w:rsidRPr="002E116B">
        <w:t>(1)</w:t>
      </w:r>
      <w:r w:rsidR="00222658" w:rsidRPr="002E116B">
        <w:t> </w:t>
      </w:r>
      <w:r w:rsidR="008611DC" w:rsidRPr="002E116B">
        <w:t>Burke had a well-documented history of mental illness; (2) Unger’s case should be reviewed in chambers with just the parties; (3) Pape had to be refiled because of the strength of the evidence</w:t>
      </w:r>
      <w:r w:rsidR="00AA7FBB" w:rsidRPr="002E116B">
        <w:t xml:space="preserve"> and it was not clear w</w:t>
      </w:r>
      <w:r w:rsidR="00060557" w:rsidRPr="002E116B">
        <w:t>hich</w:t>
      </w:r>
      <w:r w:rsidR="00AA7FBB" w:rsidRPr="002E116B">
        <w:t xml:space="preserve"> acts were committed by Pape and </w:t>
      </w:r>
      <w:r w:rsidR="00060557" w:rsidRPr="002E116B">
        <w:t>which acts were committed</w:t>
      </w:r>
      <w:r w:rsidR="00AA7FBB" w:rsidRPr="002E116B">
        <w:t xml:space="preserve"> by his codefendant</w:t>
      </w:r>
      <w:r w:rsidR="00060557" w:rsidRPr="002E116B">
        <w:t>,</w:t>
      </w:r>
      <w:r w:rsidR="00AA7FBB" w:rsidRPr="002E116B">
        <w:t xml:space="preserve"> who was under 18 years of age and could not be charged with the death penalty</w:t>
      </w:r>
      <w:r w:rsidR="0020045B" w:rsidRPr="002E116B">
        <w:t xml:space="preserve">; (4) Bischoff’s case involved a romantic </w:t>
      </w:r>
      <w:r w:rsidR="0020045B" w:rsidRPr="002E116B">
        <w:lastRenderedPageBreak/>
        <w:t>relationship and several other participants; (5) Coon had no criminal history, he suffered from mental health issues</w:t>
      </w:r>
      <w:r w:rsidR="00060557" w:rsidRPr="002E116B">
        <w:t>,</w:t>
      </w:r>
      <w:r w:rsidR="0020045B" w:rsidRPr="002E116B">
        <w:t xml:space="preserve"> and </w:t>
      </w:r>
      <w:r w:rsidR="003A0D4C" w:rsidRPr="002E116B">
        <w:t>he only robbed the store for gas money; (6) Shover killed a man with whom he was involved in committing crimes, his motive was unclear and the body was never found so it could not be determined how the victim died; (7)</w:t>
      </w:r>
      <w:r w:rsidR="00060557" w:rsidRPr="002E116B">
        <w:t> </w:t>
      </w:r>
      <w:r w:rsidR="003A0D4C" w:rsidRPr="002E116B">
        <w:t xml:space="preserve">Eagle was involved in a killing with several other transients and </w:t>
      </w:r>
      <w:r w:rsidR="002F6610" w:rsidRPr="002E116B">
        <w:t xml:space="preserve">there were </w:t>
      </w:r>
      <w:r w:rsidR="003A0D4C" w:rsidRPr="002E116B">
        <w:t xml:space="preserve">evidentiary issues; (8) </w:t>
      </w:r>
      <w:proofErr w:type="spellStart"/>
      <w:r w:rsidR="003A0D4C" w:rsidRPr="002E116B">
        <w:t>Boukes</w:t>
      </w:r>
      <w:proofErr w:type="spellEnd"/>
      <w:r w:rsidR="003A0D4C" w:rsidRPr="002E116B">
        <w:t xml:space="preserve"> killed a fellow gang member over a drug debt </w:t>
      </w:r>
      <w:r w:rsidR="00D73673" w:rsidRPr="002E116B">
        <w:t xml:space="preserve">and only killed one person; and (9) Ricks killed </w:t>
      </w:r>
      <w:r w:rsidR="00060557" w:rsidRPr="002E116B">
        <w:t>his</w:t>
      </w:r>
      <w:r w:rsidR="00D73673" w:rsidRPr="002E116B">
        <w:t xml:space="preserve"> victim in a drive-by shooting based on revenge but had no criminal history of committing violent crimes or murder.  </w:t>
      </w:r>
      <w:r w:rsidR="00060557" w:rsidRPr="002E116B">
        <w:t xml:space="preserve">The </w:t>
      </w:r>
      <w:r w:rsidRPr="002E116B">
        <w:t xml:space="preserve">District Attorney </w:t>
      </w:r>
      <w:r w:rsidR="00D73673" w:rsidRPr="002E116B">
        <w:t xml:space="preserve">concluded that </w:t>
      </w:r>
      <w:r w:rsidRPr="002E116B">
        <w:t>Petitioner</w:t>
      </w:r>
      <w:r w:rsidR="00D73673" w:rsidRPr="002E116B">
        <w:t xml:space="preserve"> had failed to provide evidence that he </w:t>
      </w:r>
      <w:r w:rsidR="002F6610" w:rsidRPr="002E116B">
        <w:t xml:space="preserve">was </w:t>
      </w:r>
      <w:r w:rsidR="00D73673" w:rsidRPr="002E116B">
        <w:t>similarly situated to a defendant of another race who was charged less serious</w:t>
      </w:r>
      <w:r w:rsidR="00060557" w:rsidRPr="002E116B">
        <w:t>ly</w:t>
      </w:r>
      <w:r w:rsidR="00D73673" w:rsidRPr="002E116B">
        <w:t xml:space="preserve"> than in this case.</w:t>
      </w:r>
    </w:p>
    <w:p w14:paraId="4B5D9331" w14:textId="7A22E5C8" w:rsidR="00D73673" w:rsidRPr="002E116B" w:rsidRDefault="00B85868" w:rsidP="00D17921">
      <w:pPr>
        <w:spacing w:line="480" w:lineRule="auto"/>
      </w:pPr>
      <w:r w:rsidRPr="002E116B">
        <w:tab/>
        <w:t>Petitioner filed a reply.</w:t>
      </w:r>
      <w:r w:rsidR="000C0095" w:rsidRPr="002E116B">
        <w:t xml:space="preserve">  </w:t>
      </w:r>
      <w:r w:rsidRPr="002E116B">
        <w:t>Petitioner</w:t>
      </w:r>
      <w:r w:rsidR="000C0095" w:rsidRPr="002E116B">
        <w:t xml:space="preserve"> once again argued that he only need</w:t>
      </w:r>
      <w:r w:rsidR="0061553D" w:rsidRPr="002E116B">
        <w:t xml:space="preserve">ed to </w:t>
      </w:r>
      <w:r w:rsidR="000C0095" w:rsidRPr="002E116B">
        <w:t xml:space="preserve">present statistical evidence to show that </w:t>
      </w:r>
      <w:r w:rsidRPr="002E116B">
        <w:t>Petitioner</w:t>
      </w:r>
      <w:r w:rsidR="000C0095" w:rsidRPr="002E116B">
        <w:t xml:space="preserve"> was being charged more seriously than other similarly situated nonminority defendants.  </w:t>
      </w:r>
      <w:r w:rsidR="001C01C9" w:rsidRPr="002E116B">
        <w:t>Petersen</w:t>
      </w:r>
      <w:r w:rsidR="000C0095" w:rsidRPr="002E116B">
        <w:t xml:space="preserve">’s study was sufficient for a prima facie case.  </w:t>
      </w:r>
      <w:proofErr w:type="gramStart"/>
      <w:r w:rsidRPr="002E116B">
        <w:t>Petitioner</w:t>
      </w:r>
      <w:proofErr w:type="gramEnd"/>
      <w:r w:rsidR="000C0095" w:rsidRPr="002E116B">
        <w:t xml:space="preserve"> also encouraged the trial court to look to other anti-discrimination statutes in California for guidance.  This included discrimination in employment and housing cases.  These cases did not require a showing of intent to discriminate or individual prejudice.  </w:t>
      </w:r>
      <w:r w:rsidR="00F06F02" w:rsidRPr="002E116B">
        <w:t xml:space="preserve">Further, </w:t>
      </w:r>
      <w:r w:rsidRPr="002E116B">
        <w:t>Petitioner</w:t>
      </w:r>
      <w:r w:rsidR="00F06F02" w:rsidRPr="002E116B">
        <w:t xml:space="preserve"> had provided more than adequate examples of similarly situated nonminority defendants </w:t>
      </w:r>
      <w:r w:rsidR="003918E3" w:rsidRPr="002E116B">
        <w:t xml:space="preserve">for </w:t>
      </w:r>
      <w:r w:rsidR="00F06F02" w:rsidRPr="002E116B">
        <w:t xml:space="preserve">whom the </w:t>
      </w:r>
      <w:r w:rsidRPr="002E116B">
        <w:t>District Attorney</w:t>
      </w:r>
      <w:r w:rsidR="00F06F02" w:rsidRPr="002E116B">
        <w:t xml:space="preserve"> chose </w:t>
      </w:r>
      <w:r w:rsidR="002F6610" w:rsidRPr="002E116B">
        <w:t xml:space="preserve">not to </w:t>
      </w:r>
      <w:r w:rsidR="00F06F02" w:rsidRPr="002E116B">
        <w:t>seek the death penalty.</w:t>
      </w:r>
      <w:r w:rsidR="00894FA3" w:rsidRPr="002E116B">
        <w:t xml:space="preserve">  </w:t>
      </w:r>
      <w:proofErr w:type="gramStart"/>
      <w:r w:rsidR="00262169" w:rsidRPr="002E116B">
        <w:t>Petitioner</w:t>
      </w:r>
      <w:proofErr w:type="gramEnd"/>
      <w:r w:rsidR="00894FA3" w:rsidRPr="002E116B">
        <w:t xml:space="preserve"> was entitled to a hearing on the merits of his case.</w:t>
      </w:r>
    </w:p>
    <w:p w14:paraId="5FE49F4F" w14:textId="1EF1E6D0" w:rsidR="003A0D4C" w:rsidRPr="002E116B" w:rsidRDefault="00B85868" w:rsidP="00D17921">
      <w:pPr>
        <w:spacing w:line="480" w:lineRule="auto"/>
      </w:pPr>
      <w:r w:rsidRPr="002E116B">
        <w:tab/>
      </w:r>
      <w:r w:rsidR="00894FA3" w:rsidRPr="002E116B">
        <w:t xml:space="preserve">The </w:t>
      </w:r>
      <w:r w:rsidR="004A75E1" w:rsidRPr="002E116B">
        <w:t xml:space="preserve">continued hearing on the </w:t>
      </w:r>
      <w:r w:rsidR="00894FA3" w:rsidRPr="002E116B">
        <w:t xml:space="preserve">Second Motion </w:t>
      </w:r>
      <w:r w:rsidR="004A75E1" w:rsidRPr="002E116B">
        <w:t>occurred</w:t>
      </w:r>
      <w:r w:rsidR="00894FA3" w:rsidRPr="002E116B">
        <w:t xml:space="preserve"> on February 24, 2023.</w:t>
      </w:r>
      <w:r w:rsidR="003918E3" w:rsidRPr="002E116B">
        <w:t xml:space="preserve">  </w:t>
      </w:r>
      <w:proofErr w:type="gramStart"/>
      <w:r w:rsidRPr="002E116B">
        <w:t>Petitioner</w:t>
      </w:r>
      <w:proofErr w:type="gramEnd"/>
      <w:r w:rsidR="00403217" w:rsidRPr="002E116B">
        <w:t xml:space="preserve"> argued that aggregate evidence was sufficient if it </w:t>
      </w:r>
      <w:proofErr w:type="gramStart"/>
      <w:r w:rsidR="00403217" w:rsidRPr="002E116B">
        <w:t>took into account</w:t>
      </w:r>
      <w:proofErr w:type="gramEnd"/>
      <w:r w:rsidR="00403217" w:rsidRPr="002E116B">
        <w:t xml:space="preserve"> the </w:t>
      </w:r>
      <w:r w:rsidR="00403217" w:rsidRPr="002E116B">
        <w:lastRenderedPageBreak/>
        <w:t xml:space="preserve">similarly situated requirement.  The evidence presented </w:t>
      </w:r>
      <w:proofErr w:type="gramStart"/>
      <w:r w:rsidR="00403217" w:rsidRPr="002E116B">
        <w:t>took into account</w:t>
      </w:r>
      <w:proofErr w:type="gramEnd"/>
      <w:r w:rsidR="00403217" w:rsidRPr="002E116B">
        <w:t xml:space="preserve"> this requirement.  </w:t>
      </w:r>
      <w:r w:rsidR="003918E3" w:rsidRPr="002E116B">
        <w:t>The w</w:t>
      </w:r>
      <w:r w:rsidR="00403217" w:rsidRPr="002E116B">
        <w:t xml:space="preserve">ishes of the victim’s family and </w:t>
      </w:r>
      <w:r w:rsidR="0061553D" w:rsidRPr="002E116B">
        <w:t xml:space="preserve">the </w:t>
      </w:r>
      <w:r w:rsidR="00403217" w:rsidRPr="002E116B">
        <w:t>strength of the evidence w</w:t>
      </w:r>
      <w:r w:rsidR="007B487A" w:rsidRPr="002E116B">
        <w:t>ere</w:t>
      </w:r>
      <w:r w:rsidR="00403217" w:rsidRPr="002E116B">
        <w:t xml:space="preserve"> irrelevant to explain racial differences in charging.</w:t>
      </w:r>
    </w:p>
    <w:p w14:paraId="60C071BD" w14:textId="122623D9" w:rsidR="003A0D4C" w:rsidRPr="002E116B" w:rsidRDefault="00B85868" w:rsidP="00D17921">
      <w:pPr>
        <w:spacing w:line="480" w:lineRule="auto"/>
      </w:pPr>
      <w:r w:rsidRPr="002E116B">
        <w:tab/>
      </w:r>
      <w:r w:rsidR="00651938" w:rsidRPr="002E116B">
        <w:t xml:space="preserve">The trial court stated again it was clear that pursuant to section 745, there was a twofold analysis that needed to take place.  First was a statistical showing.  “The </w:t>
      </w:r>
      <w:r w:rsidRPr="002E116B">
        <w:t>[second]</w:t>
      </w:r>
      <w:r w:rsidR="00651938" w:rsidRPr="002E116B">
        <w:t xml:space="preserve"> is viewing persons who are in a similar situation, having committed similar conduct, as to whether or not there’s a disparity in their treatment.”  Clearly</w:t>
      </w:r>
      <w:r w:rsidRPr="002E116B">
        <w:t>,</w:t>
      </w:r>
      <w:r w:rsidR="00651938" w:rsidRPr="002E116B">
        <w:t xml:space="preserve"> the first element had been met by </w:t>
      </w:r>
      <w:r w:rsidR="00A867A5" w:rsidRPr="002E116B">
        <w:t>Petitioner</w:t>
      </w:r>
      <w:r w:rsidR="00651938" w:rsidRPr="002E116B">
        <w:t xml:space="preserve">.  </w:t>
      </w:r>
      <w:r w:rsidR="00EA1411" w:rsidRPr="002E116B">
        <w:t xml:space="preserve">The trial court believed that factors such as </w:t>
      </w:r>
      <w:r w:rsidR="0061553D" w:rsidRPr="002E116B">
        <w:t>the s</w:t>
      </w:r>
      <w:r w:rsidR="00EA1411" w:rsidRPr="002E116B">
        <w:t xml:space="preserve">trength of the case, the victim’s family’s wishes, and </w:t>
      </w:r>
      <w:r w:rsidR="0061553D" w:rsidRPr="002E116B">
        <w:t xml:space="preserve">the </w:t>
      </w:r>
      <w:r w:rsidR="00EA1411" w:rsidRPr="002E116B">
        <w:t xml:space="preserve">criminal history of </w:t>
      </w:r>
      <w:r w:rsidR="00A867A5" w:rsidRPr="002E116B">
        <w:t>Petitioner</w:t>
      </w:r>
      <w:r w:rsidR="008B067B" w:rsidRPr="002E116B">
        <w:t xml:space="preserve"> </w:t>
      </w:r>
      <w:r w:rsidR="00EA1411" w:rsidRPr="002E116B">
        <w:t>were all relevant factors in finding similarly situated defendants.</w:t>
      </w:r>
    </w:p>
    <w:p w14:paraId="51D849E8" w14:textId="472EDF6F" w:rsidR="00EA1411" w:rsidRPr="002E116B" w:rsidRDefault="00B85868" w:rsidP="00D17921">
      <w:pPr>
        <w:spacing w:line="480" w:lineRule="auto"/>
      </w:pPr>
      <w:r w:rsidRPr="002E116B">
        <w:tab/>
        <w:t xml:space="preserve">The trial court found, “It appears sufficiently clear to me that the final language of the bill was intended to prevent the </w:t>
      </w:r>
      <w:r w:rsidRPr="002E116B">
        <w:t>approach that was suggested by the defense, which is to simply permit relief based merely on population-wide charging disparities.  Therefore, a statistical analysis by itself is not sufficient.”</w:t>
      </w:r>
      <w:r w:rsidR="005E582C" w:rsidRPr="002E116B">
        <w:t xml:space="preserve">  It further stated that </w:t>
      </w:r>
      <w:r w:rsidR="00A867A5" w:rsidRPr="002E116B">
        <w:t>Petitioner</w:t>
      </w:r>
      <w:r w:rsidR="005E582C" w:rsidRPr="002E116B">
        <w:t xml:space="preserve"> had provided specific evidence to establish that he was being treated more harshly compar</w:t>
      </w:r>
      <w:r w:rsidR="007B487A" w:rsidRPr="002E116B">
        <w:t>ed</w:t>
      </w:r>
      <w:r w:rsidR="005E582C" w:rsidRPr="002E116B">
        <w:t xml:space="preserve"> to defendants of other races.  “And this is precisely the type of evidence that I believe is necessary and that the original motions lacked.” </w:t>
      </w:r>
      <w:r w:rsidR="004A75E1" w:rsidRPr="002E116B">
        <w:t xml:space="preserve"> </w:t>
      </w:r>
      <w:r w:rsidR="005E582C" w:rsidRPr="002E116B">
        <w:t xml:space="preserve">However, </w:t>
      </w:r>
      <w:proofErr w:type="gramStart"/>
      <w:r w:rsidR="00A867A5" w:rsidRPr="002E116B">
        <w:t>Petitioner</w:t>
      </w:r>
      <w:proofErr w:type="gramEnd"/>
      <w:r w:rsidR="005E582C" w:rsidRPr="002E116B">
        <w:t xml:space="preserve"> had still not me</w:t>
      </w:r>
      <w:r w:rsidR="002F6610" w:rsidRPr="002E116B">
        <w:t>t</w:t>
      </w:r>
      <w:r w:rsidR="005E582C" w:rsidRPr="002E116B">
        <w:t xml:space="preserve"> his burden.  The trial court noted the different factors that distinguished the proffered cases from </w:t>
      </w:r>
      <w:r w:rsidR="00A867A5" w:rsidRPr="002E116B">
        <w:t>Petitioner</w:t>
      </w:r>
      <w:r w:rsidR="004A75E1" w:rsidRPr="002E116B">
        <w:t>’s</w:t>
      </w:r>
      <w:r w:rsidR="005E582C" w:rsidRPr="002E116B">
        <w:t xml:space="preserve">.  The trial court found, “So in a comparison analysis, which the Court needs to do to some degree to look at defendants that are similarly situated, it appears to the Court that there were explanations given separate and apart from the pure issue of race which distinguished those cases from the </w:t>
      </w:r>
      <w:proofErr w:type="gramStart"/>
      <w:r w:rsidR="005E582C" w:rsidRPr="002E116B">
        <w:lastRenderedPageBreak/>
        <w:t>case[</w:t>
      </w:r>
      <w:proofErr w:type="gramEnd"/>
      <w:r w:rsidR="005E582C" w:rsidRPr="002E116B">
        <w:t>] of [</w:t>
      </w:r>
      <w:r w:rsidR="00A867A5" w:rsidRPr="002E116B">
        <w:t>Petitioner</w:t>
      </w:r>
      <w:r w:rsidR="005E582C" w:rsidRPr="002E116B">
        <w:t>].”</w:t>
      </w:r>
      <w:r w:rsidR="002F6610" w:rsidRPr="002E116B">
        <w:t xml:space="preserve">  The Second Motion was </w:t>
      </w:r>
      <w:proofErr w:type="gramStart"/>
      <w:r w:rsidR="002F6610" w:rsidRPr="002E116B">
        <w:t>denied</w:t>
      </w:r>
      <w:proofErr w:type="gramEnd"/>
      <w:r w:rsidR="002F6610" w:rsidRPr="002E116B">
        <w:t xml:space="preserve"> and </w:t>
      </w:r>
      <w:r w:rsidR="00A867A5" w:rsidRPr="002E116B">
        <w:t>Petitioner</w:t>
      </w:r>
      <w:r w:rsidR="002F6610" w:rsidRPr="002E116B">
        <w:t xml:space="preserve"> filed this </w:t>
      </w:r>
      <w:r w:rsidR="00576822" w:rsidRPr="002E116B">
        <w:t xml:space="preserve">petition for </w:t>
      </w:r>
      <w:r w:rsidR="002F6610" w:rsidRPr="002E116B">
        <w:t>writ</w:t>
      </w:r>
      <w:r w:rsidR="008631FF" w:rsidRPr="002E116B">
        <w:t xml:space="preserve"> of mandate seeking an order from this court that he had established a prima facie case of </w:t>
      </w:r>
      <w:r w:rsidR="00576822" w:rsidRPr="002E116B">
        <w:t xml:space="preserve">a violation of section 745, subdivision (a), </w:t>
      </w:r>
      <w:r w:rsidR="008631FF" w:rsidRPr="002E116B">
        <w:t xml:space="preserve">and </w:t>
      </w:r>
      <w:r w:rsidR="009B23B9" w:rsidRPr="002E116B">
        <w:t xml:space="preserve">to </w:t>
      </w:r>
      <w:r w:rsidR="008631FF" w:rsidRPr="002E116B">
        <w:t>order an evidentiary hearing</w:t>
      </w:r>
      <w:r w:rsidR="002F6610" w:rsidRPr="002E116B">
        <w:t xml:space="preserve">. </w:t>
      </w:r>
    </w:p>
    <w:p w14:paraId="719838D9" w14:textId="77777777" w:rsidR="002129D4" w:rsidRPr="002E116B" w:rsidRDefault="00B85868" w:rsidP="00D17921">
      <w:pPr>
        <w:spacing w:line="480" w:lineRule="auto"/>
        <w:jc w:val="center"/>
        <w:rPr>
          <w:b/>
        </w:rPr>
      </w:pPr>
      <w:r w:rsidRPr="002E116B">
        <w:rPr>
          <w:b/>
        </w:rPr>
        <w:t>DISCUSSION</w:t>
      </w:r>
    </w:p>
    <w:p w14:paraId="77C9C86D" w14:textId="7DF5EB3F" w:rsidR="002129D4" w:rsidRPr="002E116B" w:rsidRDefault="00B85868" w:rsidP="00D17921">
      <w:pPr>
        <w:spacing w:line="480" w:lineRule="auto"/>
      </w:pPr>
      <w:r w:rsidRPr="002E116B">
        <w:tab/>
      </w:r>
      <w:r w:rsidR="00A867A5" w:rsidRPr="002E116B">
        <w:t>Petitioner</w:t>
      </w:r>
      <w:r w:rsidR="00EE4EBB" w:rsidRPr="002E116B">
        <w:t xml:space="preserve"> </w:t>
      </w:r>
      <w:r w:rsidR="002F6610" w:rsidRPr="002E116B">
        <w:t xml:space="preserve">and amici curiae </w:t>
      </w:r>
      <w:r w:rsidR="00EE4EBB" w:rsidRPr="002E116B">
        <w:t>contend the</w:t>
      </w:r>
      <w:r w:rsidR="00FD50C3" w:rsidRPr="002E116B">
        <w:t xml:space="preserve"> trial court erred by employing a two-prong test for making a prima facie case of racial discrimination pursuant to section 745, subdivisions (a)(3) and (a)(4).</w:t>
      </w:r>
      <w:r w:rsidR="00971B0D" w:rsidRPr="002E116B">
        <w:t xml:space="preserve">  </w:t>
      </w:r>
      <w:r w:rsidR="00A867A5" w:rsidRPr="002E116B">
        <w:t>Petitioner</w:t>
      </w:r>
      <w:r w:rsidR="00FD41F9" w:rsidRPr="002E116B">
        <w:t xml:space="preserve"> insists the trial court misinterpreted the plain language, the legislative intent</w:t>
      </w:r>
      <w:r w:rsidR="00772065" w:rsidRPr="002E116B">
        <w:t>,</w:t>
      </w:r>
      <w:r w:rsidR="00FD41F9" w:rsidRPr="002E116B">
        <w:t xml:space="preserve"> and policy aims of section 745, subdivisions (a)(3)</w:t>
      </w:r>
      <w:r w:rsidR="00CE75BF" w:rsidRPr="002E116B">
        <w:t>,</w:t>
      </w:r>
      <w:r w:rsidR="00FD41F9" w:rsidRPr="002E116B">
        <w:t xml:space="preserve"> and (a)(4).  The plain language supports only aggregate and statistical evidence is required to make a prima facie case.  </w:t>
      </w:r>
    </w:p>
    <w:p w14:paraId="131AF782" w14:textId="39347C17" w:rsidR="00E20931" w:rsidRPr="002E116B" w:rsidRDefault="00B85868" w:rsidP="00D17921">
      <w:pPr>
        <w:spacing w:line="480" w:lineRule="auto"/>
        <w:rPr>
          <w:bCs/>
        </w:rPr>
      </w:pPr>
      <w:r w:rsidRPr="002E116B">
        <w:rPr>
          <w:bCs/>
        </w:rPr>
        <w:tab/>
      </w:r>
      <w:r w:rsidR="00274085" w:rsidRPr="002E116B">
        <w:rPr>
          <w:bCs/>
        </w:rPr>
        <w:t xml:space="preserve">The District Attorney </w:t>
      </w:r>
      <w:r w:rsidRPr="002E116B">
        <w:rPr>
          <w:bCs/>
        </w:rPr>
        <w:t xml:space="preserve">urges this court to uphold the superior court’s interpretation of section 745, subdivision (a)(3).  </w:t>
      </w:r>
      <w:r w:rsidR="004A75E1" w:rsidRPr="002E116B">
        <w:rPr>
          <w:bCs/>
        </w:rPr>
        <w:t>The District Attorney</w:t>
      </w:r>
      <w:r w:rsidR="00576822" w:rsidRPr="002E116B">
        <w:rPr>
          <w:bCs/>
        </w:rPr>
        <w:t xml:space="preserve"> insists</w:t>
      </w:r>
      <w:r w:rsidRPr="002E116B">
        <w:rPr>
          <w:bCs/>
        </w:rPr>
        <w:t xml:space="preserve"> </w:t>
      </w:r>
      <w:r w:rsidR="008631FF" w:rsidRPr="002E116B">
        <w:rPr>
          <w:bCs/>
        </w:rPr>
        <w:t xml:space="preserve">that </w:t>
      </w:r>
      <w:r w:rsidRPr="002E116B">
        <w:rPr>
          <w:bCs/>
        </w:rPr>
        <w:t xml:space="preserve">holding as requested by </w:t>
      </w:r>
      <w:r w:rsidR="00A867A5" w:rsidRPr="002E116B">
        <w:rPr>
          <w:bCs/>
        </w:rPr>
        <w:t>Petitioner</w:t>
      </w:r>
      <w:r w:rsidRPr="002E116B">
        <w:rPr>
          <w:bCs/>
        </w:rPr>
        <w:t xml:space="preserve">, every defendant in Riverside County could file the same motion, citing the same statistics, and be entitled to an evidentiary hearing.  </w:t>
      </w:r>
      <w:r w:rsidR="00274085" w:rsidRPr="002E116B">
        <w:rPr>
          <w:bCs/>
        </w:rPr>
        <w:t xml:space="preserve">The District Attorney </w:t>
      </w:r>
      <w:r w:rsidRPr="002E116B">
        <w:rPr>
          <w:bCs/>
        </w:rPr>
        <w:t xml:space="preserve">insists that based on the plain language of the statute, a court in evaluating a CRJA claim must consider factors relevant in charging and sentencing, including </w:t>
      </w:r>
      <w:r w:rsidRPr="002E116B">
        <w:rPr>
          <w:bCs/>
        </w:rPr>
        <w:t>race-neutral reasons proffered by the prosecution.  Further, in looking at the legislative history, the Legislature included a similarly situated requirement after the first draft.  In the Amended CRJA, the Legislature added a similarly situated definition, emphasizing the importance of the factor</w:t>
      </w:r>
      <w:r w:rsidR="009B23B9" w:rsidRPr="002E116B">
        <w:rPr>
          <w:bCs/>
        </w:rPr>
        <w:t>s</w:t>
      </w:r>
      <w:r w:rsidRPr="002E116B">
        <w:rPr>
          <w:bCs/>
        </w:rPr>
        <w:t>.  At a minimum, a defendant must prove under section 745, subdivision (a)(3)</w:t>
      </w:r>
      <w:r w:rsidR="009B23B9" w:rsidRPr="002E116B">
        <w:rPr>
          <w:bCs/>
        </w:rPr>
        <w:t>,</w:t>
      </w:r>
      <w:r w:rsidRPr="002E116B">
        <w:rPr>
          <w:bCs/>
        </w:rPr>
        <w:t xml:space="preserve"> that another defendant who is similarly situated </w:t>
      </w:r>
      <w:r w:rsidRPr="002E116B">
        <w:rPr>
          <w:bCs/>
        </w:rPr>
        <w:lastRenderedPageBreak/>
        <w:t xml:space="preserve">received more lenient treatment because of their race.  Relying on statistics alone, </w:t>
      </w:r>
      <w:r w:rsidRPr="002E116B">
        <w:rPr>
          <w:bCs/>
        </w:rPr>
        <w:t xml:space="preserve">the </w:t>
      </w:r>
      <w:r w:rsidR="00A867A5" w:rsidRPr="002E116B">
        <w:rPr>
          <w:bCs/>
        </w:rPr>
        <w:t>District Attorney</w:t>
      </w:r>
      <w:r w:rsidR="008631FF" w:rsidRPr="002E116B">
        <w:rPr>
          <w:bCs/>
        </w:rPr>
        <w:t xml:space="preserve"> </w:t>
      </w:r>
      <w:r w:rsidRPr="002E116B">
        <w:rPr>
          <w:bCs/>
        </w:rPr>
        <w:t xml:space="preserve">would have an incentive to seek more death penalty sentences on </w:t>
      </w:r>
      <w:r w:rsidR="00EB02DF" w:rsidRPr="002E116B">
        <w:rPr>
          <w:bCs/>
        </w:rPr>
        <w:t>Caucasian</w:t>
      </w:r>
      <w:r w:rsidRPr="002E116B">
        <w:rPr>
          <w:bCs/>
        </w:rPr>
        <w:t xml:space="preserve"> defendants, an inappropriate racial determination.</w:t>
      </w:r>
    </w:p>
    <w:p w14:paraId="71414CE2" w14:textId="5A2191FD" w:rsidR="006D32A3" w:rsidRPr="002E116B" w:rsidRDefault="00B85868" w:rsidP="00D17921">
      <w:pPr>
        <w:spacing w:line="480" w:lineRule="auto"/>
        <w:rPr>
          <w:bCs/>
        </w:rPr>
      </w:pPr>
      <w:r w:rsidRPr="002E116B">
        <w:rPr>
          <w:b/>
        </w:rPr>
        <w:tab/>
      </w:r>
      <w:r w:rsidRPr="002E116B">
        <w:rPr>
          <w:bCs/>
        </w:rPr>
        <w:t>The parties agree that review in this case is de novo.</w:t>
      </w:r>
      <w:r w:rsidR="006C72E9" w:rsidRPr="002E116B">
        <w:rPr>
          <w:bCs/>
        </w:rPr>
        <w:t xml:space="preserve"> “We review statutory interpretation questions de novo.” </w:t>
      </w:r>
      <w:r w:rsidR="00274085" w:rsidRPr="002E116B">
        <w:rPr>
          <w:bCs/>
        </w:rPr>
        <w:t xml:space="preserve"> </w:t>
      </w:r>
      <w:r w:rsidR="006C72E9" w:rsidRPr="002E116B">
        <w:rPr>
          <w:bCs/>
        </w:rPr>
        <w:t>(</w:t>
      </w:r>
      <w:r w:rsidR="006C72E9" w:rsidRPr="002E116B">
        <w:rPr>
          <w:bCs/>
          <w:i/>
          <w:iCs/>
        </w:rPr>
        <w:t>Ventura County Deputy Sheriffs’ Association v. County of Ventura</w:t>
      </w:r>
      <w:r w:rsidR="006C72E9" w:rsidRPr="002E116B">
        <w:rPr>
          <w:bCs/>
        </w:rPr>
        <w:t xml:space="preserve"> (2021) 61 Cal.App.5th 585, 590.)</w:t>
      </w:r>
    </w:p>
    <w:p w14:paraId="712F7176" w14:textId="77777777" w:rsidR="00273AF0" w:rsidRPr="002E116B" w:rsidRDefault="00B85868" w:rsidP="00D17921">
      <w:pPr>
        <w:spacing w:line="480" w:lineRule="auto"/>
        <w:rPr>
          <w:bCs/>
        </w:rPr>
      </w:pPr>
      <w:r w:rsidRPr="002E116B">
        <w:rPr>
          <w:bCs/>
        </w:rPr>
        <w:tab/>
        <w:t>A.</w:t>
      </w:r>
      <w:r w:rsidRPr="002E116B">
        <w:rPr>
          <w:bCs/>
        </w:rPr>
        <w:tab/>
      </w:r>
      <w:r w:rsidRPr="002E116B">
        <w:rPr>
          <w:bCs/>
          <w:u w:val="single"/>
        </w:rPr>
        <w:t>SECTION 745</w:t>
      </w:r>
    </w:p>
    <w:p w14:paraId="4420A358" w14:textId="395B148E" w:rsidR="00A104DB" w:rsidRPr="002E116B" w:rsidRDefault="00B85868" w:rsidP="00D17921">
      <w:pPr>
        <w:spacing w:line="480" w:lineRule="auto"/>
        <w:rPr>
          <w:bCs/>
        </w:rPr>
      </w:pPr>
      <w:r w:rsidRPr="002E116B">
        <w:rPr>
          <w:bCs/>
        </w:rPr>
        <w:tab/>
      </w:r>
      <w:r w:rsidR="00273AF0" w:rsidRPr="002E116B">
        <w:rPr>
          <w:bCs/>
        </w:rPr>
        <w:t>The CRJA</w:t>
      </w:r>
      <w:r w:rsidR="001F208A" w:rsidRPr="002E116B">
        <w:rPr>
          <w:bCs/>
        </w:rPr>
        <w:t>, effective January 1, 2021,</w:t>
      </w:r>
      <w:r w:rsidR="00273AF0" w:rsidRPr="002E116B">
        <w:rPr>
          <w:bCs/>
        </w:rPr>
        <w:t xml:space="preserve"> added </w:t>
      </w:r>
      <w:r w:rsidR="00980FDB" w:rsidRPr="002E116B">
        <w:rPr>
          <w:bCs/>
        </w:rPr>
        <w:t>section 745 to the Penal Code</w:t>
      </w:r>
      <w:r w:rsidR="008631FF" w:rsidRPr="002E116B">
        <w:rPr>
          <w:bCs/>
        </w:rPr>
        <w:t xml:space="preserve">.  </w:t>
      </w:r>
      <w:r w:rsidR="00FD50C3" w:rsidRPr="002E116B">
        <w:rPr>
          <w:bCs/>
        </w:rPr>
        <w:t>The Legislature enacted the</w:t>
      </w:r>
      <w:r w:rsidR="00273AF0" w:rsidRPr="002E116B">
        <w:rPr>
          <w:bCs/>
        </w:rPr>
        <w:t xml:space="preserve"> CRJA</w:t>
      </w:r>
      <w:r w:rsidR="00FD50C3" w:rsidRPr="002E116B">
        <w:rPr>
          <w:bCs/>
        </w:rPr>
        <w:t xml:space="preserve"> </w:t>
      </w:r>
      <w:r w:rsidR="00273AF0" w:rsidRPr="002E116B">
        <w:rPr>
          <w:bCs/>
        </w:rPr>
        <w:t>wit</w:t>
      </w:r>
      <w:r w:rsidR="00FD50C3" w:rsidRPr="002E116B">
        <w:rPr>
          <w:bCs/>
        </w:rPr>
        <w:t>h the express intent “to eliminate racial bias from California</w:t>
      </w:r>
      <w:r w:rsidR="005C53DF" w:rsidRPr="002E116B">
        <w:rPr>
          <w:bCs/>
        </w:rPr>
        <w:t>’</w:t>
      </w:r>
      <w:r w:rsidR="00FD50C3" w:rsidRPr="002E116B">
        <w:rPr>
          <w:bCs/>
        </w:rPr>
        <w:t xml:space="preserve">s criminal justice system” and “to ensure that race plays no role at all in seeking or obtaining convictions or in sentencing.” </w:t>
      </w:r>
      <w:r w:rsidR="009B23B9" w:rsidRPr="002E116B">
        <w:rPr>
          <w:bCs/>
        </w:rPr>
        <w:t xml:space="preserve"> </w:t>
      </w:r>
      <w:r w:rsidR="00FD50C3" w:rsidRPr="002E116B">
        <w:rPr>
          <w:bCs/>
        </w:rPr>
        <w:t>(</w:t>
      </w:r>
      <w:r w:rsidR="00273AF0" w:rsidRPr="002E116B">
        <w:rPr>
          <w:bCs/>
        </w:rPr>
        <w:t>Assem. Bill</w:t>
      </w:r>
      <w:r w:rsidR="007F2E13" w:rsidRPr="002E116B">
        <w:rPr>
          <w:bCs/>
        </w:rPr>
        <w:t xml:space="preserve"> No.</w:t>
      </w:r>
      <w:r w:rsidR="00273AF0" w:rsidRPr="002E116B">
        <w:rPr>
          <w:bCs/>
        </w:rPr>
        <w:t xml:space="preserve"> 2542</w:t>
      </w:r>
      <w:r w:rsidR="00BC1748" w:rsidRPr="002E116B">
        <w:rPr>
          <w:bCs/>
        </w:rPr>
        <w:t xml:space="preserve"> (2019-2022 Reg. Sess.) §2 (Assem. Bill 2542) (Stats. 2020, </w:t>
      </w:r>
      <w:proofErr w:type="spellStart"/>
      <w:r w:rsidR="00BC1748" w:rsidRPr="002E116B">
        <w:rPr>
          <w:bCs/>
        </w:rPr>
        <w:t>ch.</w:t>
      </w:r>
      <w:proofErr w:type="spellEnd"/>
      <w:r w:rsidR="00BC1748" w:rsidRPr="002E116B">
        <w:rPr>
          <w:bCs/>
        </w:rPr>
        <w:t xml:space="preserve"> 317, § 2, subd. (</w:t>
      </w:r>
      <w:proofErr w:type="spellStart"/>
      <w:r w:rsidR="00BC1748" w:rsidRPr="002E116B">
        <w:rPr>
          <w:bCs/>
        </w:rPr>
        <w:t>i</w:t>
      </w:r>
      <w:proofErr w:type="spellEnd"/>
      <w:r w:rsidR="00BC1748" w:rsidRPr="002E116B">
        <w:rPr>
          <w:bCs/>
        </w:rPr>
        <w:t xml:space="preserve">), pp. </w:t>
      </w:r>
      <w:r w:rsidR="00FD50C3" w:rsidRPr="002E116B">
        <w:rPr>
          <w:bCs/>
        </w:rPr>
        <w:t>3707</w:t>
      </w:r>
      <w:r w:rsidR="009D1318" w:rsidRPr="002E116B">
        <w:rPr>
          <w:bCs/>
        </w:rPr>
        <w:t>-</w:t>
      </w:r>
      <w:r w:rsidR="00FD50C3" w:rsidRPr="002E116B">
        <w:rPr>
          <w:bCs/>
        </w:rPr>
        <w:t xml:space="preserve">3708; see </w:t>
      </w:r>
      <w:proofErr w:type="gramStart"/>
      <w:r w:rsidR="00FD50C3" w:rsidRPr="002E116B">
        <w:rPr>
          <w:bCs/>
          <w:i/>
          <w:iCs/>
        </w:rPr>
        <w:t>Young</w:t>
      </w:r>
      <w:proofErr w:type="gramEnd"/>
      <w:r w:rsidR="00FD50C3" w:rsidRPr="002E116B">
        <w:rPr>
          <w:bCs/>
          <w:i/>
          <w:iCs/>
        </w:rPr>
        <w:t xml:space="preserve"> v. Superior Court of Solano County</w:t>
      </w:r>
      <w:r w:rsidR="00FD50C3" w:rsidRPr="002E116B">
        <w:rPr>
          <w:bCs/>
        </w:rPr>
        <w:t xml:space="preserve"> (2022) 79 Cal.App.</w:t>
      </w:r>
      <w:r w:rsidRPr="002E116B">
        <w:rPr>
          <w:bCs/>
        </w:rPr>
        <w:t xml:space="preserve">5th </w:t>
      </w:r>
      <w:r w:rsidR="00FD50C3" w:rsidRPr="002E116B">
        <w:rPr>
          <w:bCs/>
        </w:rPr>
        <w:t>138, 149</w:t>
      </w:r>
      <w:r w:rsidR="00791EE3" w:rsidRPr="002E116B">
        <w:rPr>
          <w:bCs/>
        </w:rPr>
        <w:t>-</w:t>
      </w:r>
      <w:r w:rsidR="00FD50C3" w:rsidRPr="002E116B">
        <w:rPr>
          <w:bCs/>
        </w:rPr>
        <w:t xml:space="preserve">150.) </w:t>
      </w:r>
      <w:r w:rsidR="000D2856" w:rsidRPr="002E116B">
        <w:rPr>
          <w:bCs/>
        </w:rPr>
        <w:t xml:space="preserve"> </w:t>
      </w:r>
      <w:r w:rsidR="00FD50C3" w:rsidRPr="002E116B">
        <w:rPr>
          <w:bCs/>
        </w:rPr>
        <w:t xml:space="preserve">Its goal is “to provide remedies that will eliminate racially discriminatory practices in the criminal justice system, in addition to intentional discrimination.” </w:t>
      </w:r>
      <w:r w:rsidR="000D2856" w:rsidRPr="002E116B">
        <w:rPr>
          <w:bCs/>
        </w:rPr>
        <w:t xml:space="preserve"> </w:t>
      </w:r>
      <w:r w:rsidR="00FD50C3" w:rsidRPr="002E116B">
        <w:rPr>
          <w:bCs/>
        </w:rPr>
        <w:t>(</w:t>
      </w:r>
      <w:r w:rsidR="00BC1748" w:rsidRPr="002E116B">
        <w:rPr>
          <w:bCs/>
        </w:rPr>
        <w:t>Assem. Bill 2542, § 2 subd. (j).</w:t>
      </w:r>
      <w:r w:rsidR="00FD50C3" w:rsidRPr="002E116B">
        <w:rPr>
          <w:bCs/>
        </w:rPr>
        <w:t>)</w:t>
      </w:r>
      <w:r w:rsidR="00A87A75" w:rsidRPr="002E116B">
        <w:rPr>
          <w:bCs/>
        </w:rPr>
        <w:t xml:space="preserve">  In 2023 the Governor signed into law </w:t>
      </w:r>
      <w:r w:rsidR="009D1318" w:rsidRPr="002E116B">
        <w:rPr>
          <w:bCs/>
        </w:rPr>
        <w:t xml:space="preserve">the </w:t>
      </w:r>
      <w:r w:rsidR="00273AF0" w:rsidRPr="002E116B">
        <w:rPr>
          <w:bCs/>
        </w:rPr>
        <w:t>Amended C</w:t>
      </w:r>
      <w:r w:rsidR="008F4304" w:rsidRPr="002E116B">
        <w:rPr>
          <w:bCs/>
        </w:rPr>
        <w:t>RJA</w:t>
      </w:r>
      <w:r w:rsidR="00A87A75" w:rsidRPr="002E116B">
        <w:rPr>
          <w:bCs/>
        </w:rPr>
        <w:t xml:space="preserve">, which made several changes to section 745, effective January 1, 2023.  Among the changes to the statute the </w:t>
      </w:r>
      <w:r w:rsidR="00791EE3" w:rsidRPr="002E116B">
        <w:rPr>
          <w:bCs/>
        </w:rPr>
        <w:t xml:space="preserve">Amended </w:t>
      </w:r>
      <w:r w:rsidR="00A87A75" w:rsidRPr="002E116B">
        <w:rPr>
          <w:bCs/>
        </w:rPr>
        <w:t xml:space="preserve">CRJA </w:t>
      </w:r>
      <w:r w:rsidR="00216968" w:rsidRPr="002E116B">
        <w:rPr>
          <w:bCs/>
        </w:rPr>
        <w:t>include</w:t>
      </w:r>
      <w:r w:rsidR="009D1318" w:rsidRPr="002E116B">
        <w:rPr>
          <w:bCs/>
        </w:rPr>
        <w:t>d</w:t>
      </w:r>
      <w:r w:rsidR="00216968" w:rsidRPr="002E116B">
        <w:rPr>
          <w:bCs/>
        </w:rPr>
        <w:t xml:space="preserve"> several definitions of terms used </w:t>
      </w:r>
      <w:r w:rsidR="00A87A75" w:rsidRPr="002E116B">
        <w:rPr>
          <w:bCs/>
        </w:rPr>
        <w:t xml:space="preserve">and extended relief to any person whose case was final. </w:t>
      </w:r>
    </w:p>
    <w:p w14:paraId="33273AF7" w14:textId="0BA8B427" w:rsidR="00273AF0" w:rsidRPr="002E116B" w:rsidRDefault="00B85868" w:rsidP="00D17921">
      <w:pPr>
        <w:spacing w:line="480" w:lineRule="auto"/>
        <w:rPr>
          <w:bCs/>
        </w:rPr>
      </w:pPr>
      <w:r w:rsidRPr="002E116B">
        <w:rPr>
          <w:bCs/>
        </w:rPr>
        <w:tab/>
        <w:t xml:space="preserve">Section 745 was </w:t>
      </w:r>
      <w:r w:rsidR="00791EE3" w:rsidRPr="002E116B">
        <w:rPr>
          <w:bCs/>
        </w:rPr>
        <w:t>enacted</w:t>
      </w:r>
      <w:r w:rsidR="00E85544" w:rsidRPr="002E116B">
        <w:rPr>
          <w:bCs/>
        </w:rPr>
        <w:t>,</w:t>
      </w:r>
      <w:r w:rsidR="00791EE3" w:rsidRPr="002E116B">
        <w:rPr>
          <w:bCs/>
        </w:rPr>
        <w:t xml:space="preserve"> in part</w:t>
      </w:r>
      <w:r w:rsidR="00E85544" w:rsidRPr="002E116B">
        <w:rPr>
          <w:bCs/>
        </w:rPr>
        <w:t>,</w:t>
      </w:r>
      <w:r w:rsidR="00791EE3" w:rsidRPr="002E116B">
        <w:rPr>
          <w:bCs/>
        </w:rPr>
        <w:t xml:space="preserve"> </w:t>
      </w:r>
      <w:r w:rsidRPr="002E116B">
        <w:rPr>
          <w:bCs/>
        </w:rPr>
        <w:t xml:space="preserve">to address </w:t>
      </w:r>
      <w:r w:rsidRPr="002E116B">
        <w:rPr>
          <w:bCs/>
          <w:i/>
          <w:iCs/>
        </w:rPr>
        <w:t xml:space="preserve">McCleskey v. Kemp </w:t>
      </w:r>
      <w:r w:rsidRPr="002E116B">
        <w:rPr>
          <w:bCs/>
        </w:rPr>
        <w:t>(1987) 481 U.S. 279, 295-299, 312</w:t>
      </w:r>
      <w:r w:rsidR="00E85544" w:rsidRPr="002E116B">
        <w:rPr>
          <w:bCs/>
        </w:rPr>
        <w:t>,</w:t>
      </w:r>
      <w:r w:rsidRPr="002E116B">
        <w:rPr>
          <w:bCs/>
        </w:rPr>
        <w:t xml:space="preserve"> which found that there was “a discrepancy that appears to correlate with race” in death penalty cases in Georgia, but the court would not intervene without </w:t>
      </w:r>
      <w:r w:rsidRPr="002E116B">
        <w:rPr>
          <w:bCs/>
        </w:rPr>
        <w:lastRenderedPageBreak/>
        <w:t>proof of a discriminatory purpose, concluding that we must simply accept these disparities as “an inevitable part of our criminal justice system</w:t>
      </w:r>
      <w:r w:rsidR="009E1698" w:rsidRPr="002E116B">
        <w:rPr>
          <w:bCs/>
        </w:rPr>
        <w:t>.</w:t>
      </w:r>
      <w:r w:rsidRPr="002E116B">
        <w:rPr>
          <w:bCs/>
        </w:rPr>
        <w:t>”</w:t>
      </w:r>
      <w:r w:rsidR="009E1698" w:rsidRPr="002E116B">
        <w:rPr>
          <w:bCs/>
        </w:rPr>
        <w:t xml:space="preserve">  </w:t>
      </w:r>
    </w:p>
    <w:p w14:paraId="030DE0F6" w14:textId="2D00AF9B" w:rsidR="00FD50C3" w:rsidRPr="002E116B" w:rsidRDefault="00B85868" w:rsidP="00D17921">
      <w:pPr>
        <w:spacing w:line="480" w:lineRule="auto"/>
        <w:rPr>
          <w:bCs/>
        </w:rPr>
      </w:pPr>
      <w:r w:rsidRPr="002E116B">
        <w:rPr>
          <w:bCs/>
        </w:rPr>
        <w:tab/>
        <w:t>A</w:t>
      </w:r>
      <w:r w:rsidR="0015183E" w:rsidRPr="002E116B">
        <w:rPr>
          <w:bCs/>
        </w:rPr>
        <w:t xml:space="preserve"> detailed outline of the language of section 745</w:t>
      </w:r>
      <w:r w:rsidR="00FD41F9" w:rsidRPr="002E116B">
        <w:rPr>
          <w:bCs/>
        </w:rPr>
        <w:t xml:space="preserve"> and the legislative history</w:t>
      </w:r>
      <w:r w:rsidR="0015183E" w:rsidRPr="002E116B">
        <w:rPr>
          <w:bCs/>
        </w:rPr>
        <w:t xml:space="preserve"> is necessary.  </w:t>
      </w:r>
      <w:r w:rsidR="00216968" w:rsidRPr="002E116B">
        <w:rPr>
          <w:bCs/>
        </w:rPr>
        <w:t>S</w:t>
      </w:r>
      <w:r w:rsidRPr="002E116B">
        <w:rPr>
          <w:bCs/>
        </w:rPr>
        <w:t xml:space="preserve">ection 745, </w:t>
      </w:r>
      <w:r w:rsidR="0015183E" w:rsidRPr="002E116B">
        <w:rPr>
          <w:bCs/>
        </w:rPr>
        <w:t>subdivision (a)</w:t>
      </w:r>
      <w:r w:rsidR="004A75E1" w:rsidRPr="002E116B">
        <w:rPr>
          <w:bCs/>
        </w:rPr>
        <w:t>,</w:t>
      </w:r>
      <w:r w:rsidR="0015183E" w:rsidRPr="002E116B">
        <w:rPr>
          <w:bCs/>
        </w:rPr>
        <w:t xml:space="preserve"> </w:t>
      </w:r>
      <w:r w:rsidRPr="002E116B">
        <w:rPr>
          <w:bCs/>
        </w:rPr>
        <w:t xml:space="preserve">provides that “[t]he </w:t>
      </w:r>
      <w:proofErr w:type="gramStart"/>
      <w:r w:rsidRPr="002E116B">
        <w:rPr>
          <w:bCs/>
        </w:rPr>
        <w:t>state</w:t>
      </w:r>
      <w:proofErr w:type="gramEnd"/>
      <w:r w:rsidRPr="002E116B">
        <w:rPr>
          <w:bCs/>
        </w:rPr>
        <w:t xml:space="preserve"> shall not seek or obtain a criminal conviction or seek, obtain, or impose a sentence on the basis of race, ethnicity, or national origin.” </w:t>
      </w:r>
      <w:r w:rsidR="00385746" w:rsidRPr="002E116B">
        <w:rPr>
          <w:bCs/>
        </w:rPr>
        <w:t xml:space="preserve"> </w:t>
      </w:r>
      <w:r w:rsidRPr="002E116B">
        <w:rPr>
          <w:bCs/>
        </w:rPr>
        <w:t xml:space="preserve">(§ 745, subd. (a).) </w:t>
      </w:r>
      <w:r w:rsidR="000D2856" w:rsidRPr="002E116B">
        <w:rPr>
          <w:bCs/>
        </w:rPr>
        <w:t xml:space="preserve"> </w:t>
      </w:r>
      <w:r w:rsidRPr="002E116B">
        <w:rPr>
          <w:bCs/>
        </w:rPr>
        <w:t xml:space="preserve">A defendant may establish a violation of the </w:t>
      </w:r>
      <w:r w:rsidR="00D95D58" w:rsidRPr="002E116B">
        <w:rPr>
          <w:bCs/>
        </w:rPr>
        <w:t>CRJA</w:t>
      </w:r>
      <w:r w:rsidRPr="002E116B">
        <w:rPr>
          <w:bCs/>
        </w:rPr>
        <w:t xml:space="preserve"> in various ways</w:t>
      </w:r>
      <w:r w:rsidR="00A87A75" w:rsidRPr="002E116B">
        <w:rPr>
          <w:bCs/>
        </w:rPr>
        <w:t>.  This case concerns the charging stage of the prosecutorial process.</w:t>
      </w:r>
      <w:r>
        <w:rPr>
          <w:rStyle w:val="FootnoteReference"/>
          <w:bCs/>
        </w:rPr>
        <w:footnoteReference w:id="6"/>
      </w:r>
      <w:r w:rsidR="000D2856" w:rsidRPr="002E116B">
        <w:rPr>
          <w:bCs/>
        </w:rPr>
        <w:t xml:space="preserve">  </w:t>
      </w:r>
      <w:r w:rsidR="00D95D58" w:rsidRPr="002E116B">
        <w:rPr>
          <w:bCs/>
        </w:rPr>
        <w:t>S</w:t>
      </w:r>
      <w:r w:rsidRPr="002E116B">
        <w:rPr>
          <w:bCs/>
        </w:rPr>
        <w:t xml:space="preserve">ubdivision (a)(3) of section 745, </w:t>
      </w:r>
      <w:r w:rsidR="00216968" w:rsidRPr="002E116B">
        <w:rPr>
          <w:bCs/>
        </w:rPr>
        <w:t xml:space="preserve">provides in full, “The defendant </w:t>
      </w:r>
      <w:r w:rsidRPr="002E116B">
        <w:rPr>
          <w:bCs/>
        </w:rPr>
        <w:t xml:space="preserve">was charged or convicted of a more serious offense than defendants of other races, ethnicities, or national origins who have engaged in similar conduct and are </w:t>
      </w:r>
      <w:r w:rsidRPr="002E116B">
        <w:rPr>
          <w:bCs/>
          <w:i/>
          <w:iCs/>
        </w:rPr>
        <w:t>similarly situated</w:t>
      </w:r>
      <w:r w:rsidRPr="002E116B">
        <w:rPr>
          <w:bCs/>
        </w:rPr>
        <w:t xml:space="preserve">, and the evidence establishes that the prosecution </w:t>
      </w:r>
      <w:r w:rsidRPr="002E116B">
        <w:rPr>
          <w:bCs/>
          <w:i/>
          <w:iCs/>
        </w:rPr>
        <w:t>more frequently sought or obtained</w:t>
      </w:r>
      <w:r w:rsidRPr="002E116B">
        <w:rPr>
          <w:bCs/>
        </w:rPr>
        <w:t xml:space="preserve"> convictions for more serious offenses against people who share the </w:t>
      </w:r>
      <w:r w:rsidRPr="002E116B">
        <w:rPr>
          <w:bCs/>
        </w:rPr>
        <w:lastRenderedPageBreak/>
        <w:t>defendant</w:t>
      </w:r>
      <w:r w:rsidR="005C53DF" w:rsidRPr="002E116B">
        <w:rPr>
          <w:bCs/>
        </w:rPr>
        <w:t>’</w:t>
      </w:r>
      <w:r w:rsidRPr="002E116B">
        <w:rPr>
          <w:bCs/>
        </w:rPr>
        <w:t xml:space="preserve">s race, ethnicity, or national origin in the county where the convictions were sought or obtained.” </w:t>
      </w:r>
      <w:r w:rsidR="00385746" w:rsidRPr="002E116B">
        <w:rPr>
          <w:bCs/>
        </w:rPr>
        <w:t xml:space="preserve"> </w:t>
      </w:r>
      <w:r w:rsidRPr="002E116B">
        <w:rPr>
          <w:bCs/>
        </w:rPr>
        <w:t>(§ 745, subd. (a)(3)</w:t>
      </w:r>
      <w:r w:rsidR="0015183E" w:rsidRPr="002E116B">
        <w:rPr>
          <w:bCs/>
        </w:rPr>
        <w:t xml:space="preserve">, </w:t>
      </w:r>
      <w:r w:rsidR="00A867A5" w:rsidRPr="002E116B">
        <w:rPr>
          <w:bCs/>
        </w:rPr>
        <w:t>italics</w:t>
      </w:r>
      <w:r w:rsidR="0015183E" w:rsidRPr="002E116B">
        <w:rPr>
          <w:bCs/>
        </w:rPr>
        <w:t xml:space="preserve"> added</w:t>
      </w:r>
      <w:r w:rsidRPr="002E116B">
        <w:rPr>
          <w:bCs/>
        </w:rPr>
        <w:t>.)</w:t>
      </w:r>
      <w:r>
        <w:rPr>
          <w:rStyle w:val="FootnoteReference"/>
          <w:bCs/>
        </w:rPr>
        <w:footnoteReference w:id="7"/>
      </w:r>
      <w:r w:rsidR="000D2856" w:rsidRPr="002E116B">
        <w:rPr>
          <w:bCs/>
        </w:rPr>
        <w:t xml:space="preserve">  </w:t>
      </w:r>
    </w:p>
    <w:p w14:paraId="467BFEEE" w14:textId="0CA86B39" w:rsidR="00EB7BDD" w:rsidRPr="002E116B" w:rsidRDefault="00B85868" w:rsidP="00D17921">
      <w:pPr>
        <w:spacing w:line="480" w:lineRule="auto"/>
        <w:rPr>
          <w:bCs/>
        </w:rPr>
      </w:pPr>
      <w:r w:rsidRPr="002E116B">
        <w:rPr>
          <w:bCs/>
        </w:rPr>
        <w:tab/>
        <w:t>The Legislature defined “similarly situated” in section 745, subdivision (h)(6), as follows</w:t>
      </w:r>
      <w:proofErr w:type="gramStart"/>
      <w:r w:rsidRPr="002E116B">
        <w:rPr>
          <w:bCs/>
        </w:rPr>
        <w:t>:  “</w:t>
      </w:r>
      <w:proofErr w:type="gramEnd"/>
      <w:r w:rsidRPr="002E116B">
        <w:rPr>
          <w:bCs/>
        </w:rPr>
        <w:t xml:space="preserve"> ‘Similarly situated’ means that factors that are relevant in charging and sentencing are similar and do not require that all individuals in the comparison group are identical.  A defendant’s conviction history may be a relevant factor to the severity of the charges, convictions, or sentences.  If it is a relevant factor and the defense produces evidence that the conviction history may have been impacted by racial profiling or historical patterns of racially biased policing, the court shall consider the</w:t>
      </w:r>
      <w:r w:rsidRPr="002E116B">
        <w:rPr>
          <w:bCs/>
        </w:rPr>
        <w:t xml:space="preserve"> evidence.”</w:t>
      </w:r>
    </w:p>
    <w:p w14:paraId="1DEFC7D5" w14:textId="37051B45" w:rsidR="001F208A" w:rsidRPr="002E116B" w:rsidRDefault="00B85868" w:rsidP="00D17921">
      <w:pPr>
        <w:spacing w:line="480" w:lineRule="auto"/>
        <w:rPr>
          <w:bCs/>
        </w:rPr>
      </w:pPr>
      <w:r w:rsidRPr="002E116B">
        <w:rPr>
          <w:bCs/>
        </w:rPr>
        <w:tab/>
      </w:r>
      <w:r w:rsidR="00A87A75" w:rsidRPr="002E116B">
        <w:rPr>
          <w:bCs/>
        </w:rPr>
        <w:t>Section 745, subdivision (h)(1), provides</w:t>
      </w:r>
      <w:r w:rsidR="00216968" w:rsidRPr="002E116B">
        <w:rPr>
          <w:bCs/>
        </w:rPr>
        <w:t xml:space="preserve"> a definition of “more frequently </w:t>
      </w:r>
      <w:r w:rsidR="0077666E" w:rsidRPr="002E116B">
        <w:rPr>
          <w:bCs/>
        </w:rPr>
        <w:t xml:space="preserve">sought or </w:t>
      </w:r>
      <w:r w:rsidR="00216968" w:rsidRPr="002E116B">
        <w:rPr>
          <w:bCs/>
        </w:rPr>
        <w:t>obtained” as that term appears in section 745, subdivision (a)(3).  It provides</w:t>
      </w:r>
      <w:r w:rsidR="00A87A75" w:rsidRPr="002E116B">
        <w:rPr>
          <w:bCs/>
        </w:rPr>
        <w:t xml:space="preserve">, </w:t>
      </w:r>
      <w:proofErr w:type="gramStart"/>
      <w:r w:rsidR="00A87A75" w:rsidRPr="002E116B">
        <w:rPr>
          <w:bCs/>
        </w:rPr>
        <w:t>“ ‘</w:t>
      </w:r>
      <w:proofErr w:type="gramEnd"/>
      <w:r w:rsidR="00A87A75" w:rsidRPr="002E116B">
        <w:rPr>
          <w:bCs/>
        </w:rPr>
        <w:t>More frequently sought or obtained’ or ‘more frequently imposed’ means that the totality of the evidence demonstrates a significant difference in seeking or obtaining convictions or in imposing sentences comparing individuals who have engaged in similar conduct and are similarly situated, and the prosecution cannot establish race-neutral reasons for the disparity.</w:t>
      </w:r>
      <w:r w:rsidR="00216968" w:rsidRPr="002E116B">
        <w:rPr>
          <w:bCs/>
        </w:rPr>
        <w:t xml:space="preserve">  The evidence may include statistical evidence, aggregate data, or nonstatistical evidence.  Statistical significance is a factor the court may </w:t>
      </w:r>
      <w:proofErr w:type="gramStart"/>
      <w:r w:rsidR="00216968" w:rsidRPr="002E116B">
        <w:rPr>
          <w:bCs/>
        </w:rPr>
        <w:t>consider, but</w:t>
      </w:r>
      <w:proofErr w:type="gramEnd"/>
      <w:r w:rsidR="00216968" w:rsidRPr="002E116B">
        <w:rPr>
          <w:bCs/>
        </w:rPr>
        <w:t xml:space="preserve"> is not necessary to establish a significant difference.  In evaluating the totality of the evidence, the court shall consider whether</w:t>
      </w:r>
      <w:r w:rsidR="00EB7BDD" w:rsidRPr="002E116B">
        <w:rPr>
          <w:bCs/>
        </w:rPr>
        <w:t xml:space="preserve"> systemic and institutional racial bias, racial </w:t>
      </w:r>
      <w:r w:rsidR="00EB7BDD" w:rsidRPr="002E116B">
        <w:rPr>
          <w:bCs/>
        </w:rPr>
        <w:lastRenderedPageBreak/>
        <w:t>profiling, and historical patterns of racially biased policing and prosecution may have contributed to, or caused differences observed in, the dat</w:t>
      </w:r>
      <w:r w:rsidR="007B5277" w:rsidRPr="002E116B">
        <w:rPr>
          <w:bCs/>
        </w:rPr>
        <w:t>a</w:t>
      </w:r>
      <w:r w:rsidR="00EB7BDD" w:rsidRPr="002E116B">
        <w:rPr>
          <w:bCs/>
        </w:rPr>
        <w:t xml:space="preserve"> or impacted </w:t>
      </w:r>
      <w:r w:rsidR="00385746" w:rsidRPr="002E116B">
        <w:rPr>
          <w:bCs/>
        </w:rPr>
        <w:t xml:space="preserve">the </w:t>
      </w:r>
      <w:r w:rsidR="00EB7BDD" w:rsidRPr="002E116B">
        <w:rPr>
          <w:bCs/>
        </w:rPr>
        <w:t>availability of data overall.  Race-neutral reasons shall be relevant factors to charges, convictions, and sentences that are not influence</w:t>
      </w:r>
      <w:r w:rsidR="0077666E" w:rsidRPr="002E116B">
        <w:rPr>
          <w:bCs/>
        </w:rPr>
        <w:t>d</w:t>
      </w:r>
      <w:r w:rsidR="00EB7BDD" w:rsidRPr="002E116B">
        <w:rPr>
          <w:bCs/>
        </w:rPr>
        <w:t xml:space="preserve"> by implicit, systemic</w:t>
      </w:r>
      <w:r w:rsidR="0051139C" w:rsidRPr="002E116B">
        <w:rPr>
          <w:bCs/>
        </w:rPr>
        <w:t>,</w:t>
      </w:r>
      <w:r w:rsidR="00EB7BDD" w:rsidRPr="002E116B">
        <w:rPr>
          <w:bCs/>
        </w:rPr>
        <w:t xml:space="preserve"> or institutional bias based on race, ethnicity, or national origin.</w:t>
      </w:r>
      <w:r w:rsidR="00A87A75" w:rsidRPr="002E116B">
        <w:rPr>
          <w:bCs/>
        </w:rPr>
        <w:t xml:space="preserve">” </w:t>
      </w:r>
    </w:p>
    <w:p w14:paraId="12D1F8EB" w14:textId="15928E47" w:rsidR="0015183E" w:rsidRPr="002E116B" w:rsidRDefault="00B85868" w:rsidP="00D17921">
      <w:pPr>
        <w:spacing w:line="480" w:lineRule="auto"/>
        <w:rPr>
          <w:bCs/>
        </w:rPr>
      </w:pPr>
      <w:r w:rsidRPr="002E116B">
        <w:rPr>
          <w:bCs/>
        </w:rPr>
        <w:tab/>
        <w:t xml:space="preserve">“If a motion is filed in the trial court and the defendant makes a prima facie showing of a violation </w:t>
      </w:r>
      <w:proofErr w:type="gramStart"/>
      <w:r w:rsidRPr="002E116B">
        <w:rPr>
          <w:bCs/>
        </w:rPr>
        <w:t>. . .</w:t>
      </w:r>
      <w:r w:rsidR="00274085" w:rsidRPr="002E116B">
        <w:rPr>
          <w:bCs/>
        </w:rPr>
        <w:t xml:space="preserve"> </w:t>
      </w:r>
      <w:r w:rsidRPr="002E116B">
        <w:rPr>
          <w:bCs/>
        </w:rPr>
        <w:t>,</w:t>
      </w:r>
      <w:proofErr w:type="gramEnd"/>
      <w:r w:rsidRPr="002E116B">
        <w:rPr>
          <w:bCs/>
        </w:rPr>
        <w:t xml:space="preserve"> the trial court shall hold a hearing.”  (§ 745, subd. (c).)  </w:t>
      </w:r>
      <w:proofErr w:type="gramStart"/>
      <w:r w:rsidR="00EB7BDD" w:rsidRPr="002E116B">
        <w:rPr>
          <w:bCs/>
        </w:rPr>
        <w:t>A prima facie</w:t>
      </w:r>
      <w:proofErr w:type="gramEnd"/>
      <w:r w:rsidR="00EB7BDD" w:rsidRPr="002E116B">
        <w:rPr>
          <w:bCs/>
        </w:rPr>
        <w:t xml:space="preserve"> showing means “that the defendant produces facts that, if true, establish that there is a substantial likelihood that a violation of subdivision (a) occurred.  For purposes of this section, a </w:t>
      </w:r>
      <w:r w:rsidR="00577346" w:rsidRPr="002E116B">
        <w:rPr>
          <w:bCs/>
        </w:rPr>
        <w:t>‘</w:t>
      </w:r>
      <w:r w:rsidR="00EB7BDD" w:rsidRPr="002E116B">
        <w:rPr>
          <w:bCs/>
        </w:rPr>
        <w:t xml:space="preserve">substantial likelihood’ requires more than a mere possibility, but less than a standard of more likely than not.”  </w:t>
      </w:r>
      <w:r w:rsidR="007B5277" w:rsidRPr="002E116B">
        <w:rPr>
          <w:bCs/>
        </w:rPr>
        <w:t xml:space="preserve">If an evidentiary </w:t>
      </w:r>
      <w:r w:rsidRPr="002E116B">
        <w:rPr>
          <w:bCs/>
        </w:rPr>
        <w:t>hearing</w:t>
      </w:r>
      <w:r w:rsidR="007B5277" w:rsidRPr="002E116B">
        <w:rPr>
          <w:bCs/>
        </w:rPr>
        <w:t xml:space="preserve"> is ordered</w:t>
      </w:r>
      <w:r w:rsidRPr="002E116B">
        <w:rPr>
          <w:bCs/>
        </w:rPr>
        <w:t xml:space="preserve">, </w:t>
      </w:r>
      <w:r w:rsidR="00577346" w:rsidRPr="002E116B">
        <w:rPr>
          <w:bCs/>
        </w:rPr>
        <w:t>“</w:t>
      </w:r>
      <w:r w:rsidRPr="002E116B">
        <w:rPr>
          <w:bCs/>
        </w:rPr>
        <w:t>evidence may be presented by either party, including, but not limited to, statisti</w:t>
      </w:r>
      <w:r w:rsidRPr="002E116B">
        <w:rPr>
          <w:bCs/>
        </w:rPr>
        <w:t>cal evidence, aggregate data, expert testimony, and the sworn testimony of witnesses.”  (§</w:t>
      </w:r>
      <w:r w:rsidR="00577346" w:rsidRPr="002E116B">
        <w:rPr>
          <w:bCs/>
        </w:rPr>
        <w:t> </w:t>
      </w:r>
      <w:r w:rsidRPr="002E116B">
        <w:rPr>
          <w:bCs/>
        </w:rPr>
        <w:t>745, subd. (c)(1).)  “The defendant shall have the burden of proving a violation of subdivision (a) by a preponderance of the evidence.</w:t>
      </w:r>
      <w:r w:rsidR="00B54CDA" w:rsidRPr="002E116B">
        <w:rPr>
          <w:bCs/>
        </w:rPr>
        <w:t xml:space="preserve">  The defendant does not need to prove intentional discrimination.</w:t>
      </w:r>
      <w:r w:rsidRPr="002E116B">
        <w:rPr>
          <w:bCs/>
        </w:rPr>
        <w:t xml:space="preserve">” (§ 745, subd. (c)(2).)  </w:t>
      </w:r>
    </w:p>
    <w:p w14:paraId="1C470E3D" w14:textId="1253921C" w:rsidR="00650EE3" w:rsidRPr="002E116B" w:rsidRDefault="00B85868" w:rsidP="00D17921">
      <w:pPr>
        <w:keepNext/>
        <w:keepLines/>
        <w:spacing w:line="480" w:lineRule="auto"/>
        <w:rPr>
          <w:bCs/>
        </w:rPr>
      </w:pPr>
      <w:r w:rsidRPr="002E116B">
        <w:rPr>
          <w:bCs/>
        </w:rPr>
        <w:tab/>
        <w:t>B.</w:t>
      </w:r>
      <w:r w:rsidRPr="002E116B">
        <w:rPr>
          <w:bCs/>
        </w:rPr>
        <w:tab/>
      </w:r>
      <w:r w:rsidRPr="002E116B">
        <w:rPr>
          <w:bCs/>
          <w:u w:val="single"/>
        </w:rPr>
        <w:t>LEGISLATIVE HISTORY</w:t>
      </w:r>
    </w:p>
    <w:p w14:paraId="6CF9FCD8" w14:textId="4484FD05" w:rsidR="004D0170" w:rsidRPr="002E116B" w:rsidRDefault="00B85868" w:rsidP="00D17921">
      <w:pPr>
        <w:spacing w:line="480" w:lineRule="auto"/>
        <w:rPr>
          <w:bCs/>
        </w:rPr>
      </w:pPr>
      <w:r w:rsidRPr="002E116B">
        <w:rPr>
          <w:bCs/>
        </w:rPr>
        <w:tab/>
      </w:r>
      <w:r w:rsidR="00FF71DB" w:rsidRPr="002E116B">
        <w:rPr>
          <w:bCs/>
        </w:rPr>
        <w:t xml:space="preserve">As amended in the Senate on July 1, 2020, </w:t>
      </w:r>
      <w:r w:rsidR="00624AD7" w:rsidRPr="002E116B">
        <w:rPr>
          <w:bCs/>
        </w:rPr>
        <w:t xml:space="preserve">the draft of section 745 provided in </w:t>
      </w:r>
      <w:r w:rsidR="00FF71DB" w:rsidRPr="002E116B">
        <w:rPr>
          <w:bCs/>
        </w:rPr>
        <w:t>subdivision (</w:t>
      </w:r>
      <w:r w:rsidR="00624AD7" w:rsidRPr="002E116B">
        <w:rPr>
          <w:bCs/>
        </w:rPr>
        <w:t>b</w:t>
      </w:r>
      <w:r w:rsidR="00FF71DB" w:rsidRPr="002E116B">
        <w:rPr>
          <w:bCs/>
        </w:rPr>
        <w:t>)(</w:t>
      </w:r>
      <w:r w:rsidR="00624AD7" w:rsidRPr="002E116B">
        <w:rPr>
          <w:bCs/>
        </w:rPr>
        <w:t>4</w:t>
      </w:r>
      <w:r w:rsidR="00FF71DB" w:rsidRPr="002E116B">
        <w:rPr>
          <w:bCs/>
        </w:rPr>
        <w:t>)</w:t>
      </w:r>
      <w:r w:rsidR="00576822" w:rsidRPr="002E116B">
        <w:rPr>
          <w:bCs/>
        </w:rPr>
        <w:t xml:space="preserve">, that </w:t>
      </w:r>
      <w:r w:rsidR="00624AD7" w:rsidRPr="002E116B">
        <w:rPr>
          <w:bCs/>
        </w:rPr>
        <w:t>a violation of section 745 occurred if</w:t>
      </w:r>
      <w:r w:rsidR="00FF71DB" w:rsidRPr="002E116B">
        <w:rPr>
          <w:bCs/>
        </w:rPr>
        <w:t>, “</w:t>
      </w:r>
      <w:r w:rsidR="00624AD7" w:rsidRPr="002E116B">
        <w:rPr>
          <w:bCs/>
        </w:rPr>
        <w:t xml:space="preserve">The prosecution sought or obtained a conviction for an offense for which convictions are more frequently sought or obtained against people who share the defendant’s race, ethnicity, or national origin than for defendants of other races, ethnicities, or national origins in the county </w:t>
      </w:r>
      <w:r w:rsidR="00624AD7" w:rsidRPr="002E116B">
        <w:rPr>
          <w:bCs/>
        </w:rPr>
        <w:lastRenderedPageBreak/>
        <w:t xml:space="preserve">where the convictions were sought or obtained.”  </w:t>
      </w:r>
      <w:r w:rsidR="005C3BA6" w:rsidRPr="002E116B">
        <w:rPr>
          <w:bCs/>
        </w:rPr>
        <w:t>(</w:t>
      </w:r>
      <w:r w:rsidR="00BC1748" w:rsidRPr="002E116B">
        <w:rPr>
          <w:bCs/>
        </w:rPr>
        <w:t>Sen. Amend. to Assem. Bill 2542 (2019-2020 Reg. Sess.) Aug. 1, 2020</w:t>
      </w:r>
      <w:r w:rsidR="005C3BA6" w:rsidRPr="002E116B">
        <w:rPr>
          <w:bCs/>
        </w:rPr>
        <w:t xml:space="preserve">.)  </w:t>
      </w:r>
      <w:r w:rsidR="00624AD7" w:rsidRPr="002E116B">
        <w:rPr>
          <w:bCs/>
        </w:rPr>
        <w:t xml:space="preserve">There was no requirement that </w:t>
      </w:r>
      <w:proofErr w:type="gramStart"/>
      <w:r w:rsidR="007B487A" w:rsidRPr="002E116B">
        <w:rPr>
          <w:bCs/>
        </w:rPr>
        <w:t xml:space="preserve">a </w:t>
      </w:r>
      <w:r w:rsidR="00624AD7" w:rsidRPr="002E116B">
        <w:rPr>
          <w:bCs/>
        </w:rPr>
        <w:t>prima facie</w:t>
      </w:r>
      <w:proofErr w:type="gramEnd"/>
      <w:r w:rsidR="00624AD7" w:rsidRPr="002E116B">
        <w:rPr>
          <w:bCs/>
        </w:rPr>
        <w:t xml:space="preserve"> showing must be made prior to the holding </w:t>
      </w:r>
      <w:r w:rsidR="007B5277" w:rsidRPr="002E116B">
        <w:rPr>
          <w:bCs/>
        </w:rPr>
        <w:t xml:space="preserve">of </w:t>
      </w:r>
      <w:r w:rsidR="00624AD7" w:rsidRPr="002E116B">
        <w:rPr>
          <w:bCs/>
        </w:rPr>
        <w:t xml:space="preserve">a hearing.  </w:t>
      </w:r>
      <w:r w:rsidR="00DB6DF8" w:rsidRPr="002E116B">
        <w:rPr>
          <w:bCs/>
        </w:rPr>
        <w:t xml:space="preserve">There </w:t>
      </w:r>
      <w:r w:rsidR="007B487A" w:rsidRPr="002E116B">
        <w:rPr>
          <w:bCs/>
        </w:rPr>
        <w:t>were</w:t>
      </w:r>
      <w:r w:rsidR="00DB6DF8" w:rsidRPr="002E116B">
        <w:rPr>
          <w:bCs/>
        </w:rPr>
        <w:t xml:space="preserve"> </w:t>
      </w:r>
      <w:r w:rsidR="00AE2AA2" w:rsidRPr="002E116B">
        <w:rPr>
          <w:bCs/>
        </w:rPr>
        <w:t>not</w:t>
      </w:r>
      <w:r w:rsidR="00DB6DF8" w:rsidRPr="002E116B">
        <w:rPr>
          <w:bCs/>
        </w:rPr>
        <w:t xml:space="preserve"> similarly </w:t>
      </w:r>
      <w:proofErr w:type="gramStart"/>
      <w:r w:rsidR="00DB6DF8" w:rsidRPr="002E116B">
        <w:rPr>
          <w:bCs/>
        </w:rPr>
        <w:t>situated</w:t>
      </w:r>
      <w:proofErr w:type="gramEnd"/>
      <w:r w:rsidR="00DB6DF8" w:rsidRPr="002E116B">
        <w:rPr>
          <w:bCs/>
        </w:rPr>
        <w:t xml:space="preserve"> or similar conduct requirement</w:t>
      </w:r>
      <w:r w:rsidR="00AE2AA2" w:rsidRPr="002E116B">
        <w:rPr>
          <w:bCs/>
        </w:rPr>
        <w:t>s</w:t>
      </w:r>
      <w:r w:rsidR="00873808" w:rsidRPr="002E116B">
        <w:rPr>
          <w:bCs/>
        </w:rPr>
        <w:t xml:space="preserve"> as appears in the current section 745, subdivision (a)(3)</w:t>
      </w:r>
      <w:r w:rsidR="00DB6DF8" w:rsidRPr="002E116B">
        <w:rPr>
          <w:bCs/>
        </w:rPr>
        <w:t xml:space="preserve">.  </w:t>
      </w:r>
    </w:p>
    <w:p w14:paraId="4D65DDA2" w14:textId="6CDF059A" w:rsidR="00EA7EF1" w:rsidRPr="002E116B" w:rsidRDefault="00B85868" w:rsidP="00D17921">
      <w:pPr>
        <w:spacing w:line="480" w:lineRule="auto"/>
        <w:rPr>
          <w:bCs/>
        </w:rPr>
      </w:pPr>
      <w:r w:rsidRPr="002E116B">
        <w:rPr>
          <w:bCs/>
        </w:rPr>
        <w:tab/>
      </w:r>
      <w:r w:rsidR="00DB6DF8" w:rsidRPr="002E116B">
        <w:rPr>
          <w:bCs/>
        </w:rPr>
        <w:t xml:space="preserve">On August 1, 2020, </w:t>
      </w:r>
      <w:r w:rsidR="00873808" w:rsidRPr="002E116B">
        <w:rPr>
          <w:bCs/>
        </w:rPr>
        <w:t>A</w:t>
      </w:r>
      <w:r w:rsidR="00BC1748" w:rsidRPr="002E116B">
        <w:rPr>
          <w:bCs/>
        </w:rPr>
        <w:t>ssem. Bill 2</w:t>
      </w:r>
      <w:r w:rsidR="00873808" w:rsidRPr="002E116B">
        <w:rPr>
          <w:bCs/>
        </w:rPr>
        <w:t xml:space="preserve">542 </w:t>
      </w:r>
      <w:r w:rsidR="00DB6DF8" w:rsidRPr="002E116B">
        <w:rPr>
          <w:bCs/>
        </w:rPr>
        <w:t xml:space="preserve">was further amended to add a prima facie requirement.  </w:t>
      </w:r>
      <w:r w:rsidR="00873808" w:rsidRPr="002E116B">
        <w:rPr>
          <w:bCs/>
        </w:rPr>
        <w:t xml:space="preserve">The </w:t>
      </w:r>
      <w:r w:rsidR="00DB6DF8" w:rsidRPr="002E116B">
        <w:rPr>
          <w:bCs/>
        </w:rPr>
        <w:t>proposed section 745, subdivision (a)(4)</w:t>
      </w:r>
      <w:r w:rsidR="002D3F73" w:rsidRPr="002E116B">
        <w:rPr>
          <w:bCs/>
        </w:rPr>
        <w:t>,</w:t>
      </w:r>
      <w:r w:rsidR="00DB6DF8" w:rsidRPr="002E116B">
        <w:rPr>
          <w:bCs/>
        </w:rPr>
        <w:t xml:space="preserve"> </w:t>
      </w:r>
      <w:r w:rsidR="00873808" w:rsidRPr="002E116B">
        <w:rPr>
          <w:bCs/>
        </w:rPr>
        <w:t xml:space="preserve">provision </w:t>
      </w:r>
      <w:r w:rsidR="00DB6DF8" w:rsidRPr="002E116B">
        <w:rPr>
          <w:bCs/>
        </w:rPr>
        <w:t xml:space="preserve">was amended to read, “The </w:t>
      </w:r>
      <w:bookmarkStart w:id="1" w:name="_Hlk145430338"/>
      <w:r w:rsidR="00DB6DF8" w:rsidRPr="002E116B">
        <w:rPr>
          <w:bCs/>
        </w:rPr>
        <w:t xml:space="preserve">defendant was charged or convicted of a more serious offense than defendants of other races, ethnicities, or national origins </w:t>
      </w:r>
      <w:r w:rsidR="00DB6DF8" w:rsidRPr="002E116B">
        <w:rPr>
          <w:bCs/>
          <w:i/>
          <w:iCs/>
        </w:rPr>
        <w:t>who commit similar offenses</w:t>
      </w:r>
      <w:r w:rsidR="00DB6DF8" w:rsidRPr="002E116B">
        <w:rPr>
          <w:bCs/>
        </w:rPr>
        <w:t xml:space="preserve"> and the evidence establishes that the prosecution more frequently sought or obtained convictions for more serious offenses against people who share the defendant’s race, ethnicity, or national origin in the county where the convictions were sought or obtained</w:t>
      </w:r>
      <w:bookmarkEnd w:id="1"/>
      <w:r w:rsidR="00DB6DF8" w:rsidRPr="002E116B">
        <w:rPr>
          <w:bCs/>
        </w:rPr>
        <w:t>.”  A definition of “prima facie” was included.</w:t>
      </w:r>
      <w:r w:rsidR="00BE7CDF" w:rsidRPr="002E116B">
        <w:rPr>
          <w:bCs/>
        </w:rPr>
        <w:t xml:space="preserve">  (</w:t>
      </w:r>
      <w:bookmarkStart w:id="2" w:name="_Hlk145430028"/>
      <w:r w:rsidR="00BC1748" w:rsidRPr="002E116B">
        <w:rPr>
          <w:bCs/>
        </w:rPr>
        <w:t>Sen. Amend. to Assem. Bill 2542 (2019-2020 Reg. Sess.) A</w:t>
      </w:r>
      <w:r w:rsidR="00A277DE" w:rsidRPr="002E116B">
        <w:rPr>
          <w:bCs/>
        </w:rPr>
        <w:t>ug</w:t>
      </w:r>
      <w:r w:rsidR="005C3BA6" w:rsidRPr="002E116B">
        <w:rPr>
          <w:bCs/>
        </w:rPr>
        <w:t>.</w:t>
      </w:r>
      <w:r w:rsidR="00A277DE" w:rsidRPr="002E116B">
        <w:rPr>
          <w:bCs/>
        </w:rPr>
        <w:t xml:space="preserve"> 1, 2020</w:t>
      </w:r>
      <w:bookmarkEnd w:id="2"/>
      <w:r w:rsidR="005C3BA6" w:rsidRPr="002E116B">
        <w:rPr>
          <w:bCs/>
        </w:rPr>
        <w:t>, italics added.</w:t>
      </w:r>
      <w:r w:rsidR="00BE7CDF" w:rsidRPr="002E116B">
        <w:rPr>
          <w:bCs/>
        </w:rPr>
        <w:t>)</w:t>
      </w:r>
      <w:r w:rsidRPr="002E116B">
        <w:rPr>
          <w:bCs/>
        </w:rPr>
        <w:t xml:space="preserve">  </w:t>
      </w:r>
    </w:p>
    <w:p w14:paraId="57F470BC" w14:textId="0737B26A" w:rsidR="00EA7EF1" w:rsidRPr="002E116B" w:rsidRDefault="00B85868" w:rsidP="00D17921">
      <w:pPr>
        <w:spacing w:line="480" w:lineRule="auto"/>
        <w:rPr>
          <w:bCs/>
        </w:rPr>
      </w:pPr>
      <w:r w:rsidRPr="002E116B">
        <w:rPr>
          <w:bCs/>
        </w:rPr>
        <w:tab/>
        <w:t xml:space="preserve">A Senate Committee on Public Safety history of the August 1, </w:t>
      </w:r>
      <w:proofErr w:type="gramStart"/>
      <w:r w:rsidRPr="002E116B">
        <w:rPr>
          <w:bCs/>
        </w:rPr>
        <w:t>2020</w:t>
      </w:r>
      <w:proofErr w:type="gramEnd"/>
      <w:r w:rsidRPr="002E116B">
        <w:rPr>
          <w:bCs/>
        </w:rPr>
        <w:t xml:space="preserve"> version, referred to </w:t>
      </w:r>
      <w:r w:rsidRPr="002E116B">
        <w:rPr>
          <w:bCs/>
          <w:i/>
          <w:iCs/>
        </w:rPr>
        <w:t>McCleskey</w:t>
      </w:r>
      <w:r w:rsidRPr="002E116B">
        <w:rPr>
          <w:bCs/>
        </w:rPr>
        <w:t xml:space="preserve">.  In addition, it provided, “This bill allows racial bias to be shown by, among other things, statistical evidence that convictions for an offense were more frequently sought or obtained against people who share the defendant’s race, </w:t>
      </w:r>
      <w:proofErr w:type="gramStart"/>
      <w:r w:rsidRPr="002E116B">
        <w:rPr>
          <w:bCs/>
        </w:rPr>
        <w:t>ethnicity</w:t>
      </w:r>
      <w:proofErr w:type="gramEnd"/>
      <w:r w:rsidRPr="002E116B">
        <w:rPr>
          <w:bCs/>
        </w:rPr>
        <w:t xml:space="preserve"> or national origin in the county where the convictions were sought or obtained; . . . This bill does not require the discrimination to have been purposeful or to have had prejudicial impact on the defendant’s case.”  (Sen. Com. on P</w:t>
      </w:r>
      <w:r w:rsidRPr="002E116B">
        <w:rPr>
          <w:bCs/>
        </w:rPr>
        <w:t>ublic Safety, Analysis of Assem. Bill</w:t>
      </w:r>
      <w:r w:rsidR="00BC1748" w:rsidRPr="002E116B">
        <w:rPr>
          <w:bCs/>
        </w:rPr>
        <w:t xml:space="preserve"> </w:t>
      </w:r>
      <w:r w:rsidRPr="002E116B">
        <w:rPr>
          <w:bCs/>
        </w:rPr>
        <w:t>254</w:t>
      </w:r>
      <w:r w:rsidR="00BC1748" w:rsidRPr="002E116B">
        <w:rPr>
          <w:bCs/>
        </w:rPr>
        <w:t>2</w:t>
      </w:r>
      <w:r w:rsidRPr="002E116B">
        <w:rPr>
          <w:bCs/>
        </w:rPr>
        <w:t xml:space="preserve"> (2019-2020 Reg. Sess.) Aug.</w:t>
      </w:r>
      <w:r w:rsidR="004B287B" w:rsidRPr="002E116B">
        <w:rPr>
          <w:bCs/>
        </w:rPr>
        <w:t xml:space="preserve"> </w:t>
      </w:r>
      <w:r w:rsidRPr="002E116B">
        <w:rPr>
          <w:bCs/>
        </w:rPr>
        <w:t>5, 2020</w:t>
      </w:r>
      <w:r w:rsidR="00BC1748" w:rsidRPr="002E116B">
        <w:rPr>
          <w:bCs/>
        </w:rPr>
        <w:t>.</w:t>
      </w:r>
      <w:r w:rsidRPr="002E116B">
        <w:rPr>
          <w:bCs/>
        </w:rPr>
        <w:t xml:space="preserve">)  </w:t>
      </w:r>
    </w:p>
    <w:p w14:paraId="5795B0D1" w14:textId="1F522275" w:rsidR="00FE6419" w:rsidRPr="002E116B" w:rsidRDefault="00B85868" w:rsidP="00D17921">
      <w:pPr>
        <w:spacing w:line="480" w:lineRule="auto"/>
        <w:rPr>
          <w:bCs/>
        </w:rPr>
      </w:pPr>
      <w:r w:rsidRPr="002E116B">
        <w:rPr>
          <w:bCs/>
        </w:rPr>
        <w:lastRenderedPageBreak/>
        <w:tab/>
      </w:r>
      <w:r w:rsidR="00A277DE" w:rsidRPr="002E116B">
        <w:rPr>
          <w:bCs/>
        </w:rPr>
        <w:t>Further amendments were pro</w:t>
      </w:r>
      <w:r w:rsidR="00873808" w:rsidRPr="002E116B">
        <w:rPr>
          <w:bCs/>
        </w:rPr>
        <w:t>posed</w:t>
      </w:r>
      <w:r w:rsidR="00A277DE" w:rsidRPr="002E116B">
        <w:rPr>
          <w:bCs/>
        </w:rPr>
        <w:t xml:space="preserve"> on August 20, 2020.  Proposed section 745, subdivision (d)(4)</w:t>
      </w:r>
      <w:r w:rsidR="004A75E1" w:rsidRPr="002E116B">
        <w:rPr>
          <w:bCs/>
        </w:rPr>
        <w:t>,</w:t>
      </w:r>
      <w:r w:rsidR="00A277DE" w:rsidRPr="002E116B">
        <w:rPr>
          <w:bCs/>
        </w:rPr>
        <w:t xml:space="preserve"> </w:t>
      </w:r>
      <w:r w:rsidR="00873808" w:rsidRPr="002E116B">
        <w:rPr>
          <w:bCs/>
        </w:rPr>
        <w:t xml:space="preserve">now </w:t>
      </w:r>
      <w:r w:rsidR="00A277DE" w:rsidRPr="002E116B">
        <w:rPr>
          <w:bCs/>
        </w:rPr>
        <w:t xml:space="preserve">provided, “The defendant was charged or convicted of a more serious offense than defendants of other races, ethnicities, or national origins </w:t>
      </w:r>
      <w:r w:rsidR="00A277DE" w:rsidRPr="002E116B">
        <w:rPr>
          <w:bCs/>
          <w:i/>
          <w:iCs/>
        </w:rPr>
        <w:t>who commit similar offenses and are similarly situated</w:t>
      </w:r>
      <w:r w:rsidR="00A277DE" w:rsidRPr="002E116B">
        <w:rPr>
          <w:bCs/>
        </w:rPr>
        <w:t>, and the evidence establishes that the prosecution more frequently sought or obtained convictions for more serious offenses against people who share the defendant’s race, ethnicity, or national origin in the county where the convictions were sought or obtained.”  The definition of “prima facie showing” was amended.  (</w:t>
      </w:r>
      <w:r w:rsidR="00BC1748" w:rsidRPr="002E116B">
        <w:rPr>
          <w:bCs/>
        </w:rPr>
        <w:t xml:space="preserve">Sen. Amend. to Assem. Bill </w:t>
      </w:r>
      <w:r w:rsidR="00EE00C3" w:rsidRPr="002E116B">
        <w:rPr>
          <w:bCs/>
        </w:rPr>
        <w:t>2542</w:t>
      </w:r>
      <w:r w:rsidR="00BC1748" w:rsidRPr="002E116B">
        <w:rPr>
          <w:bCs/>
        </w:rPr>
        <w:t xml:space="preserve"> (2019-2020 Reg. Sess.) </w:t>
      </w:r>
      <w:r w:rsidR="005C3BA6" w:rsidRPr="002E116B">
        <w:rPr>
          <w:bCs/>
        </w:rPr>
        <w:t>Aug.</w:t>
      </w:r>
      <w:r w:rsidR="00A277DE" w:rsidRPr="002E116B">
        <w:rPr>
          <w:bCs/>
        </w:rPr>
        <w:t xml:space="preserve"> 20, 2020</w:t>
      </w:r>
      <w:r w:rsidR="005C3BA6" w:rsidRPr="002E116B">
        <w:rPr>
          <w:bCs/>
        </w:rPr>
        <w:t>, italics added</w:t>
      </w:r>
      <w:r w:rsidR="00EE00C3" w:rsidRPr="002E116B">
        <w:rPr>
          <w:bCs/>
        </w:rPr>
        <w:t>.</w:t>
      </w:r>
      <w:r w:rsidR="005C3BA6" w:rsidRPr="002E116B">
        <w:rPr>
          <w:bCs/>
        </w:rPr>
        <w:t>)</w:t>
      </w:r>
      <w:r w:rsidR="004D0170" w:rsidRPr="002E116B">
        <w:rPr>
          <w:bCs/>
        </w:rPr>
        <w:t xml:space="preserve">  </w:t>
      </w:r>
      <w:r w:rsidRPr="002E116B">
        <w:rPr>
          <w:bCs/>
        </w:rPr>
        <w:t xml:space="preserve">Nothing in </w:t>
      </w:r>
      <w:proofErr w:type="gramStart"/>
      <w:r w:rsidRPr="002E116B">
        <w:rPr>
          <w:bCs/>
        </w:rPr>
        <w:t>the legislative</w:t>
      </w:r>
      <w:proofErr w:type="gramEnd"/>
      <w:r w:rsidRPr="002E116B">
        <w:rPr>
          <w:bCs/>
        </w:rPr>
        <w:t xml:space="preserve"> history provides </w:t>
      </w:r>
      <w:r w:rsidR="009676C6" w:rsidRPr="002E116B">
        <w:rPr>
          <w:bCs/>
        </w:rPr>
        <w:t>the reason for the addition of t</w:t>
      </w:r>
      <w:r w:rsidR="00873808" w:rsidRPr="002E116B">
        <w:rPr>
          <w:bCs/>
        </w:rPr>
        <w:t>he similar</w:t>
      </w:r>
      <w:r w:rsidR="00F718AE" w:rsidRPr="002E116B">
        <w:rPr>
          <w:bCs/>
        </w:rPr>
        <w:t>ly situated</w:t>
      </w:r>
      <w:r w:rsidR="00873808" w:rsidRPr="002E116B">
        <w:rPr>
          <w:bCs/>
        </w:rPr>
        <w:t xml:space="preserve"> </w:t>
      </w:r>
      <w:r w:rsidR="009676C6" w:rsidRPr="002E116B">
        <w:rPr>
          <w:bCs/>
        </w:rPr>
        <w:t xml:space="preserve">language or its impact on the prima facie showing.  </w:t>
      </w:r>
    </w:p>
    <w:p w14:paraId="24AD1792" w14:textId="3701D044" w:rsidR="007B5277" w:rsidRPr="002E116B" w:rsidRDefault="00B85868" w:rsidP="00D17921">
      <w:pPr>
        <w:spacing w:line="480" w:lineRule="auto"/>
        <w:rPr>
          <w:bCs/>
        </w:rPr>
      </w:pPr>
      <w:r w:rsidRPr="002E116B">
        <w:rPr>
          <w:bCs/>
        </w:rPr>
        <w:tab/>
      </w:r>
      <w:r w:rsidR="00650EE3" w:rsidRPr="002E116B">
        <w:rPr>
          <w:bCs/>
        </w:rPr>
        <w:t>A</w:t>
      </w:r>
      <w:r w:rsidR="00BC1748" w:rsidRPr="002E116B">
        <w:rPr>
          <w:bCs/>
        </w:rPr>
        <w:t xml:space="preserve">ssembly Bill No. </w:t>
      </w:r>
      <w:r w:rsidR="00650EE3" w:rsidRPr="002E116B">
        <w:rPr>
          <w:bCs/>
        </w:rPr>
        <w:t>256 was introduced to amend section 745</w:t>
      </w:r>
      <w:r w:rsidR="005A3C34" w:rsidRPr="002E116B">
        <w:rPr>
          <w:bCs/>
        </w:rPr>
        <w:t xml:space="preserve"> on January 14, 2021</w:t>
      </w:r>
      <w:r w:rsidR="00650EE3" w:rsidRPr="002E116B">
        <w:rPr>
          <w:bCs/>
        </w:rPr>
        <w:t xml:space="preserve">.  It </w:t>
      </w:r>
      <w:r w:rsidR="005A3C34" w:rsidRPr="002E116B">
        <w:rPr>
          <w:bCs/>
        </w:rPr>
        <w:t xml:space="preserve">initially just </w:t>
      </w:r>
      <w:r w:rsidR="00650EE3" w:rsidRPr="002E116B">
        <w:rPr>
          <w:bCs/>
        </w:rPr>
        <w:t>sought to expand relief to tho</w:t>
      </w:r>
      <w:r w:rsidR="00AE2AA2" w:rsidRPr="002E116B">
        <w:rPr>
          <w:bCs/>
        </w:rPr>
        <w:t>se</w:t>
      </w:r>
      <w:r w:rsidR="00650EE3" w:rsidRPr="002E116B">
        <w:rPr>
          <w:bCs/>
        </w:rPr>
        <w:t xml:space="preserve"> whose cases were final prior to 2021. </w:t>
      </w:r>
      <w:r w:rsidR="00EE00C3" w:rsidRPr="002E116B">
        <w:rPr>
          <w:bCs/>
        </w:rPr>
        <w:t xml:space="preserve"> </w:t>
      </w:r>
      <w:r w:rsidR="005A3C34" w:rsidRPr="002E116B">
        <w:rPr>
          <w:bCs/>
        </w:rPr>
        <w:t>(A</w:t>
      </w:r>
      <w:r w:rsidR="00BC1748" w:rsidRPr="002E116B">
        <w:rPr>
          <w:bCs/>
        </w:rPr>
        <w:t>ssem. Bill</w:t>
      </w:r>
      <w:r w:rsidR="005A3C34" w:rsidRPr="002E116B">
        <w:rPr>
          <w:bCs/>
        </w:rPr>
        <w:t xml:space="preserve"> 256, Introduction of </w:t>
      </w:r>
      <w:r w:rsidR="00873808" w:rsidRPr="002E116B">
        <w:rPr>
          <w:bCs/>
        </w:rPr>
        <w:t>B</w:t>
      </w:r>
      <w:r w:rsidR="005A3C34" w:rsidRPr="002E116B">
        <w:rPr>
          <w:bCs/>
        </w:rPr>
        <w:t>ill.</w:t>
      </w:r>
      <w:r w:rsidR="00873808" w:rsidRPr="002E116B">
        <w:rPr>
          <w:bCs/>
        </w:rPr>
        <w:t>)</w:t>
      </w:r>
      <w:r w:rsidR="005A3C34" w:rsidRPr="002E116B">
        <w:rPr>
          <w:bCs/>
        </w:rPr>
        <w:t xml:space="preserve">  </w:t>
      </w:r>
      <w:r w:rsidR="00873808" w:rsidRPr="002E116B">
        <w:rPr>
          <w:bCs/>
        </w:rPr>
        <w:t xml:space="preserve">The </w:t>
      </w:r>
      <w:r w:rsidR="005A3C34" w:rsidRPr="002E116B">
        <w:rPr>
          <w:bCs/>
        </w:rPr>
        <w:t xml:space="preserve">Senate amendment to </w:t>
      </w:r>
      <w:r w:rsidR="00BC1748" w:rsidRPr="002E116B">
        <w:rPr>
          <w:bCs/>
        </w:rPr>
        <w:t xml:space="preserve">Assem. Bill </w:t>
      </w:r>
      <w:r w:rsidR="005A3C34" w:rsidRPr="002E116B">
        <w:rPr>
          <w:bCs/>
        </w:rPr>
        <w:t>256 p</w:t>
      </w:r>
      <w:r w:rsidR="00650EE3" w:rsidRPr="002E116B">
        <w:rPr>
          <w:bCs/>
        </w:rPr>
        <w:t xml:space="preserve">rovided the following language:  “Under existing law, a conviction or sentence is unlawfully imposed on the basis of race, ethnicity, or national origin if the defendant proves, among other things, that the defendant was charged or convicted of a more serious offense than defendants of other races, ethnicities, or national origins, or received a longer or more severe sentence, and the evidence establishes that the prosecution more frequently sought or obtained convictions for more serious offenses against people who share the defendant’s race, ethnicity, or national origin, as specified, or if a longer or more severe sentence was more frequently imposed on defendants of a particular race, ethnicity, or national origin, as specified.  Existing law requires this </w:t>
      </w:r>
      <w:r w:rsidR="00650EE3" w:rsidRPr="002E116B">
        <w:rPr>
          <w:bCs/>
        </w:rPr>
        <w:lastRenderedPageBreak/>
        <w:t>determination to be made pursuant to statistical evidence or aggregate data, as specified.  This bill would allow that evidence to include nonstatistical evidence and would require the court to consider the totality of the evidence in determining whether a significant difference in seeking or obtaining convictions or in imposing sentences has been established.”  The current provision of section 745, subdivision (a)(3)</w:t>
      </w:r>
      <w:r w:rsidR="003C2D6D" w:rsidRPr="002E116B">
        <w:rPr>
          <w:bCs/>
        </w:rPr>
        <w:t>,</w:t>
      </w:r>
      <w:r w:rsidR="00650EE3" w:rsidRPr="002E116B">
        <w:rPr>
          <w:bCs/>
        </w:rPr>
        <w:t xml:space="preserve"> was proposed and the further definitions </w:t>
      </w:r>
      <w:r w:rsidR="005A3C34" w:rsidRPr="002E116B">
        <w:rPr>
          <w:bCs/>
        </w:rPr>
        <w:t xml:space="preserve">of relevant factors and changes to the definition of “more frequently obtained” </w:t>
      </w:r>
      <w:r w:rsidR="00650EE3" w:rsidRPr="002E116B">
        <w:rPr>
          <w:bCs/>
        </w:rPr>
        <w:t>were proposed.</w:t>
      </w:r>
      <w:r w:rsidR="005A3C34" w:rsidRPr="002E116B">
        <w:rPr>
          <w:bCs/>
        </w:rPr>
        <w:t xml:space="preserve">  </w:t>
      </w:r>
      <w:r w:rsidR="008E0DA9" w:rsidRPr="002E116B">
        <w:rPr>
          <w:bCs/>
        </w:rPr>
        <w:t>(</w:t>
      </w:r>
      <w:r w:rsidR="00BC1748" w:rsidRPr="002E116B">
        <w:rPr>
          <w:bCs/>
        </w:rPr>
        <w:t xml:space="preserve">Sen. Amend. to Assem. Bill </w:t>
      </w:r>
      <w:r w:rsidR="008E0DA9" w:rsidRPr="002E116B">
        <w:rPr>
          <w:bCs/>
        </w:rPr>
        <w:t>256</w:t>
      </w:r>
      <w:r w:rsidR="005A3C34" w:rsidRPr="002E116B">
        <w:rPr>
          <w:bCs/>
        </w:rPr>
        <w:t xml:space="preserve"> (20</w:t>
      </w:r>
      <w:r w:rsidR="008E0DA9" w:rsidRPr="002E116B">
        <w:rPr>
          <w:bCs/>
        </w:rPr>
        <w:t>21</w:t>
      </w:r>
      <w:r w:rsidR="005A3C34" w:rsidRPr="002E116B">
        <w:rPr>
          <w:bCs/>
        </w:rPr>
        <w:t>-202</w:t>
      </w:r>
      <w:r w:rsidR="008E0DA9" w:rsidRPr="002E116B">
        <w:rPr>
          <w:bCs/>
        </w:rPr>
        <w:t>2</w:t>
      </w:r>
      <w:r w:rsidR="005A3C34" w:rsidRPr="002E116B">
        <w:rPr>
          <w:bCs/>
        </w:rPr>
        <w:t xml:space="preserve"> Reg. Sess.</w:t>
      </w:r>
      <w:r w:rsidR="00BC1748" w:rsidRPr="002E116B">
        <w:rPr>
          <w:bCs/>
        </w:rPr>
        <w:t xml:space="preserve">) </w:t>
      </w:r>
      <w:r w:rsidR="003C2D6D" w:rsidRPr="002E116B">
        <w:rPr>
          <w:bCs/>
        </w:rPr>
        <w:t>Aug.</w:t>
      </w:r>
      <w:r w:rsidR="008E0DA9" w:rsidRPr="002E116B">
        <w:rPr>
          <w:bCs/>
        </w:rPr>
        <w:t xml:space="preserve"> 11, 2022.)   </w:t>
      </w:r>
    </w:p>
    <w:p w14:paraId="1F6E071F" w14:textId="11DE7C45" w:rsidR="00FE6419" w:rsidRPr="002E116B" w:rsidRDefault="00B85868" w:rsidP="00D17921">
      <w:pPr>
        <w:spacing w:line="480" w:lineRule="auto"/>
        <w:rPr>
          <w:bCs/>
        </w:rPr>
      </w:pPr>
      <w:r w:rsidRPr="002E116B">
        <w:rPr>
          <w:bCs/>
        </w:rPr>
        <w:tab/>
      </w:r>
      <w:r w:rsidR="008E0DA9" w:rsidRPr="002E116B">
        <w:rPr>
          <w:bCs/>
        </w:rPr>
        <w:t>Further amendments were proposed on August 24, 2022,</w:t>
      </w:r>
      <w:r w:rsidR="00803C6D" w:rsidRPr="002E116B">
        <w:rPr>
          <w:bCs/>
        </w:rPr>
        <w:t xml:space="preserve"> which included the current version of section 745, subdivision (a)(3)</w:t>
      </w:r>
      <w:r w:rsidR="003C2D6D" w:rsidRPr="002E116B">
        <w:rPr>
          <w:bCs/>
        </w:rPr>
        <w:t>,</w:t>
      </w:r>
      <w:r w:rsidR="00803C6D" w:rsidRPr="002E116B">
        <w:rPr>
          <w:bCs/>
        </w:rPr>
        <w:t xml:space="preserve"> and </w:t>
      </w:r>
      <w:proofErr w:type="gramStart"/>
      <w:r w:rsidR="00803C6D" w:rsidRPr="002E116B">
        <w:rPr>
          <w:bCs/>
        </w:rPr>
        <w:t>all of</w:t>
      </w:r>
      <w:proofErr w:type="gramEnd"/>
      <w:r w:rsidR="00803C6D" w:rsidRPr="002E116B">
        <w:rPr>
          <w:bCs/>
        </w:rPr>
        <w:t xml:space="preserve"> the definitions</w:t>
      </w:r>
      <w:r w:rsidR="006C72E9" w:rsidRPr="002E116B">
        <w:rPr>
          <w:bCs/>
        </w:rPr>
        <w:t xml:space="preserve"> </w:t>
      </w:r>
      <w:proofErr w:type="gramStart"/>
      <w:r w:rsidR="006C72E9" w:rsidRPr="002E116B">
        <w:rPr>
          <w:bCs/>
        </w:rPr>
        <w:t xml:space="preserve">outlined </w:t>
      </w:r>
      <w:r w:rsidR="006C72E9" w:rsidRPr="002E116B">
        <w:rPr>
          <w:bCs/>
          <w:i/>
          <w:iCs/>
        </w:rPr>
        <w:t>ante</w:t>
      </w:r>
      <w:proofErr w:type="gramEnd"/>
      <w:r w:rsidR="00803C6D" w:rsidRPr="002E116B">
        <w:rPr>
          <w:bCs/>
        </w:rPr>
        <w:t xml:space="preserve">.  The </w:t>
      </w:r>
      <w:r w:rsidR="004A75E1" w:rsidRPr="002E116B">
        <w:rPr>
          <w:bCs/>
        </w:rPr>
        <w:t>“</w:t>
      </w:r>
      <w:r w:rsidR="005A0457" w:rsidRPr="002E116B">
        <w:rPr>
          <w:bCs/>
        </w:rPr>
        <w:t xml:space="preserve">Assembly Floor </w:t>
      </w:r>
      <w:r w:rsidR="00D869ED" w:rsidRPr="002E116B">
        <w:rPr>
          <w:bCs/>
        </w:rPr>
        <w:t>Analysis</w:t>
      </w:r>
      <w:r w:rsidR="004A75E1" w:rsidRPr="002E116B">
        <w:rPr>
          <w:bCs/>
        </w:rPr>
        <w:t>”</w:t>
      </w:r>
      <w:r w:rsidR="00D869ED" w:rsidRPr="002E116B">
        <w:rPr>
          <w:bCs/>
        </w:rPr>
        <w:t xml:space="preserve"> </w:t>
      </w:r>
      <w:r w:rsidR="00803C6D" w:rsidRPr="002E116B">
        <w:rPr>
          <w:bCs/>
        </w:rPr>
        <w:t xml:space="preserve">showed that </w:t>
      </w:r>
      <w:r w:rsidR="00527F83" w:rsidRPr="002E116B">
        <w:rPr>
          <w:bCs/>
        </w:rPr>
        <w:t>the amendments were intended</w:t>
      </w:r>
      <w:r w:rsidR="00803C6D" w:rsidRPr="002E116B">
        <w:rPr>
          <w:bCs/>
        </w:rPr>
        <w:t xml:space="preserve"> to clarify that “more serious charges or longer or more severe sentences were ‘more frequently sought or obtained’ or ‘more frequently imposed’ is based on the totality of the evidence, which may include statistical evidence, aggregate data, or nonstatistical evidence.”</w:t>
      </w:r>
      <w:r w:rsidR="00ED411E" w:rsidRPr="002E116B">
        <w:rPr>
          <w:bCs/>
        </w:rPr>
        <w:t xml:space="preserve">  </w:t>
      </w:r>
      <w:r w:rsidR="009B4B86" w:rsidRPr="002E116B">
        <w:rPr>
          <w:bCs/>
        </w:rPr>
        <w:t>(Assem</w:t>
      </w:r>
      <w:r w:rsidR="00E646F8" w:rsidRPr="002E116B">
        <w:rPr>
          <w:bCs/>
        </w:rPr>
        <w:t>.</w:t>
      </w:r>
      <w:r w:rsidR="009B4B86" w:rsidRPr="002E116B">
        <w:rPr>
          <w:bCs/>
        </w:rPr>
        <w:t xml:space="preserve"> Floor Analysis</w:t>
      </w:r>
      <w:r w:rsidR="00E646F8" w:rsidRPr="002E116B">
        <w:rPr>
          <w:bCs/>
        </w:rPr>
        <w:t>,</w:t>
      </w:r>
      <w:r w:rsidR="009B4B86" w:rsidRPr="002E116B">
        <w:rPr>
          <w:bCs/>
        </w:rPr>
        <w:t xml:space="preserve"> Concurrence in Sen. Amend</w:t>
      </w:r>
      <w:r w:rsidR="002A0DCC" w:rsidRPr="002E116B">
        <w:rPr>
          <w:bCs/>
        </w:rPr>
        <w:t>.</w:t>
      </w:r>
      <w:r w:rsidR="009B4B86" w:rsidRPr="002E116B">
        <w:rPr>
          <w:bCs/>
        </w:rPr>
        <w:t xml:space="preserve"> to Assem. Bill </w:t>
      </w:r>
      <w:r w:rsidR="002A0DCC" w:rsidRPr="002E116B">
        <w:rPr>
          <w:bCs/>
        </w:rPr>
        <w:t>No. </w:t>
      </w:r>
      <w:r w:rsidR="009B4B86" w:rsidRPr="002E116B">
        <w:rPr>
          <w:bCs/>
        </w:rPr>
        <w:t>256 (2021-2022 Reg. Sess.) Aug</w:t>
      </w:r>
      <w:r w:rsidR="002A0DCC" w:rsidRPr="002E116B">
        <w:rPr>
          <w:bCs/>
        </w:rPr>
        <w:t>.</w:t>
      </w:r>
      <w:r w:rsidR="009B4B86" w:rsidRPr="002E116B">
        <w:rPr>
          <w:bCs/>
        </w:rPr>
        <w:t xml:space="preserve"> 30, 2022.)  </w:t>
      </w:r>
      <w:r w:rsidR="00ED411E" w:rsidRPr="002E116B">
        <w:rPr>
          <w:bCs/>
        </w:rPr>
        <w:t>There was no further explanation of</w:t>
      </w:r>
      <w:r w:rsidR="006C72E9" w:rsidRPr="002E116B">
        <w:rPr>
          <w:bCs/>
        </w:rPr>
        <w:t xml:space="preserve"> the reason for the changes, and</w:t>
      </w:r>
      <w:r w:rsidR="00ED411E" w:rsidRPr="002E116B">
        <w:rPr>
          <w:bCs/>
        </w:rPr>
        <w:t xml:space="preserve"> </w:t>
      </w:r>
      <w:r w:rsidR="006C72E9" w:rsidRPr="002E116B">
        <w:rPr>
          <w:bCs/>
        </w:rPr>
        <w:t>how this language impacted the</w:t>
      </w:r>
      <w:r w:rsidR="00ED411E" w:rsidRPr="002E116B">
        <w:rPr>
          <w:bCs/>
        </w:rPr>
        <w:t xml:space="preserve"> prima facie </w:t>
      </w:r>
      <w:r w:rsidR="006C72E9" w:rsidRPr="002E116B">
        <w:rPr>
          <w:bCs/>
        </w:rPr>
        <w:t xml:space="preserve">showing </w:t>
      </w:r>
      <w:r w:rsidR="00ED411E" w:rsidRPr="002E116B">
        <w:rPr>
          <w:bCs/>
        </w:rPr>
        <w:t xml:space="preserve">or </w:t>
      </w:r>
      <w:r w:rsidR="006C72E9" w:rsidRPr="002E116B">
        <w:rPr>
          <w:bCs/>
        </w:rPr>
        <w:t xml:space="preserve">the </w:t>
      </w:r>
      <w:r w:rsidR="00ED411E" w:rsidRPr="002E116B">
        <w:rPr>
          <w:bCs/>
        </w:rPr>
        <w:t xml:space="preserve">evidentiary hearing phase. </w:t>
      </w:r>
    </w:p>
    <w:p w14:paraId="5B13E3E3" w14:textId="3865C159" w:rsidR="006C72E9" w:rsidRPr="002E116B" w:rsidRDefault="00B85868" w:rsidP="00D17921">
      <w:pPr>
        <w:keepNext/>
        <w:keepLines/>
        <w:spacing w:line="480" w:lineRule="auto"/>
        <w:rPr>
          <w:bCs/>
          <w:u w:val="single"/>
        </w:rPr>
      </w:pPr>
      <w:r w:rsidRPr="002E116B">
        <w:rPr>
          <w:bCs/>
        </w:rPr>
        <w:tab/>
        <w:t>C.</w:t>
      </w:r>
      <w:r w:rsidRPr="002E116B">
        <w:rPr>
          <w:bCs/>
        </w:rPr>
        <w:tab/>
      </w:r>
      <w:r w:rsidRPr="002E116B">
        <w:rPr>
          <w:bCs/>
          <w:u w:val="single"/>
        </w:rPr>
        <w:t xml:space="preserve">ANALYSIS </w:t>
      </w:r>
    </w:p>
    <w:p w14:paraId="251A5B13" w14:textId="65967BC3" w:rsidR="000D2856" w:rsidRPr="002E116B" w:rsidRDefault="00B85868" w:rsidP="00143ACB">
      <w:pPr>
        <w:spacing w:line="480" w:lineRule="auto"/>
        <w:rPr>
          <w:bCs/>
        </w:rPr>
      </w:pPr>
      <w:r w:rsidRPr="002E116B">
        <w:rPr>
          <w:bCs/>
        </w:rPr>
        <w:tab/>
      </w:r>
      <w:r w:rsidR="00AF2039" w:rsidRPr="002E116B">
        <w:rPr>
          <w:bCs/>
        </w:rPr>
        <w:t>When interpreting a statute, we look to its words to “ascertain the intent of the Legislature.”  (</w:t>
      </w:r>
      <w:r w:rsidR="00AF2039" w:rsidRPr="002E116B">
        <w:rPr>
          <w:bCs/>
          <w:i/>
          <w:iCs/>
        </w:rPr>
        <w:t>People v. Overstreet</w:t>
      </w:r>
      <w:r w:rsidR="00AF2039" w:rsidRPr="002E116B">
        <w:rPr>
          <w:bCs/>
        </w:rPr>
        <w:t xml:space="preserve"> (1986) 42 Cal.3d 891, 895-896</w:t>
      </w:r>
      <w:r w:rsidR="0016202D" w:rsidRPr="002E116B">
        <w:rPr>
          <w:bCs/>
        </w:rPr>
        <w:t xml:space="preserve">.)  </w:t>
      </w:r>
      <w:r w:rsidR="00AF2039" w:rsidRPr="002E116B">
        <w:rPr>
          <w:bCs/>
        </w:rPr>
        <w:t xml:space="preserve">“When statutory language is clear and unambiguous, there is no need for construction and courts should </w:t>
      </w:r>
      <w:r w:rsidR="00AF2039" w:rsidRPr="002E116B">
        <w:rPr>
          <w:bCs/>
        </w:rPr>
        <w:lastRenderedPageBreak/>
        <w:t>not indulge in it</w:t>
      </w:r>
      <w:r w:rsidR="0016202D" w:rsidRPr="002E116B">
        <w:rPr>
          <w:bCs/>
        </w:rPr>
        <w:t>.</w:t>
      </w:r>
      <w:r w:rsidR="00AF2039" w:rsidRPr="002E116B">
        <w:rPr>
          <w:bCs/>
        </w:rPr>
        <w:t>”</w:t>
      </w:r>
      <w:r w:rsidR="0016202D" w:rsidRPr="002E116B">
        <w:rPr>
          <w:bCs/>
        </w:rPr>
        <w:t xml:space="preserve">  (</w:t>
      </w:r>
      <w:r w:rsidR="0016202D" w:rsidRPr="002E116B">
        <w:rPr>
          <w:bCs/>
          <w:i/>
          <w:iCs/>
        </w:rPr>
        <w:t>Ibid</w:t>
      </w:r>
      <w:r w:rsidR="00AF2039" w:rsidRPr="002E116B">
        <w:rPr>
          <w:bCs/>
        </w:rPr>
        <w:t xml:space="preserve">.)  </w:t>
      </w:r>
      <w:r w:rsidR="00E22567" w:rsidRPr="002E116B">
        <w:rPr>
          <w:bCs/>
        </w:rPr>
        <w:t>“</w:t>
      </w:r>
      <w:r w:rsidR="00143ACB" w:rsidRPr="002E116B">
        <w:rPr>
          <w:bCs/>
        </w:rPr>
        <w:t>Because statutory language generally provides the most reliable indicator of that intent</w:t>
      </w:r>
      <w:r w:rsidR="00E22567" w:rsidRPr="002E116B">
        <w:rPr>
          <w:bCs/>
        </w:rPr>
        <w:t xml:space="preserve"> [citation]</w:t>
      </w:r>
      <w:r w:rsidR="00143ACB" w:rsidRPr="002E116B">
        <w:rPr>
          <w:bCs/>
        </w:rPr>
        <w:t xml:space="preserve">, we turn to the words themselves, giving them their </w:t>
      </w:r>
      <w:r w:rsidR="00E22567" w:rsidRPr="002E116B">
        <w:rPr>
          <w:bCs/>
        </w:rPr>
        <w:t>‘</w:t>
      </w:r>
      <w:r w:rsidR="00143ACB" w:rsidRPr="002E116B">
        <w:rPr>
          <w:bCs/>
        </w:rPr>
        <w:t>usual and ordinary meanings</w:t>
      </w:r>
      <w:r w:rsidR="00E22567" w:rsidRPr="002E116B">
        <w:rPr>
          <w:bCs/>
        </w:rPr>
        <w:t xml:space="preserve">’ </w:t>
      </w:r>
      <w:r w:rsidR="00143ACB" w:rsidRPr="002E116B">
        <w:rPr>
          <w:bCs/>
        </w:rPr>
        <w:t xml:space="preserve">and construing them in context. </w:t>
      </w:r>
      <w:r w:rsidR="002A0DCC" w:rsidRPr="002E116B">
        <w:rPr>
          <w:bCs/>
        </w:rPr>
        <w:t xml:space="preserve"> </w:t>
      </w:r>
      <w:r w:rsidR="00E22567" w:rsidRPr="002E116B">
        <w:rPr>
          <w:bCs/>
        </w:rPr>
        <w:t>[Citation.]</w:t>
      </w:r>
      <w:r w:rsidR="00143ACB" w:rsidRPr="002E116B">
        <w:rPr>
          <w:bCs/>
        </w:rPr>
        <w:t xml:space="preserve"> </w:t>
      </w:r>
      <w:r w:rsidR="002A0DCC" w:rsidRPr="002E116B">
        <w:rPr>
          <w:bCs/>
        </w:rPr>
        <w:t xml:space="preserve"> </w:t>
      </w:r>
      <w:proofErr w:type="gramStart"/>
      <w:r w:rsidR="00E22567" w:rsidRPr="002E116B">
        <w:rPr>
          <w:bCs/>
        </w:rPr>
        <w:t>‘</w:t>
      </w:r>
      <w:r w:rsidR="002A0DCC" w:rsidRPr="002E116B">
        <w:rPr>
          <w:bCs/>
        </w:rPr>
        <w:t> </w:t>
      </w:r>
      <w:r w:rsidR="00E22567" w:rsidRPr="002E116B">
        <w:rPr>
          <w:bCs/>
        </w:rPr>
        <w:t>“</w:t>
      </w:r>
      <w:proofErr w:type="gramEnd"/>
      <w:r w:rsidR="00143ACB" w:rsidRPr="002E116B">
        <w:rPr>
          <w:bCs/>
        </w:rPr>
        <w:t xml:space="preserve">If there is no ambiguity in the language of the statute, </w:t>
      </w:r>
      <w:r w:rsidR="00E22567" w:rsidRPr="002E116B">
        <w:rPr>
          <w:bCs/>
        </w:rPr>
        <w:t>‘</w:t>
      </w:r>
      <w:r w:rsidR="00143ACB" w:rsidRPr="002E116B">
        <w:rPr>
          <w:bCs/>
        </w:rPr>
        <w:t>.</w:t>
      </w:r>
      <w:r w:rsidR="00E22567" w:rsidRPr="002E116B">
        <w:rPr>
          <w:bCs/>
        </w:rPr>
        <w:t xml:space="preserve"> </w:t>
      </w:r>
      <w:r w:rsidR="00143ACB" w:rsidRPr="002E116B">
        <w:rPr>
          <w:bCs/>
        </w:rPr>
        <w:t>.</w:t>
      </w:r>
      <w:r w:rsidR="00E22567" w:rsidRPr="002E116B">
        <w:rPr>
          <w:bCs/>
        </w:rPr>
        <w:t xml:space="preserve"> </w:t>
      </w:r>
      <w:r w:rsidR="00143ACB" w:rsidRPr="002E116B">
        <w:rPr>
          <w:bCs/>
        </w:rPr>
        <w:t>. the Legislature is presumed to have meant what it said, and the plain meaning of the statute governs.</w:t>
      </w:r>
      <w:r w:rsidR="002A0DCC" w:rsidRPr="002E116B">
        <w:rPr>
          <w:bCs/>
        </w:rPr>
        <w:t>’ ” </w:t>
      </w:r>
      <w:r w:rsidR="00143ACB" w:rsidRPr="002E116B">
        <w:rPr>
          <w:bCs/>
        </w:rPr>
        <w:t>’</w:t>
      </w:r>
      <w:r w:rsidR="00781772" w:rsidRPr="002E116B">
        <w:rPr>
          <w:bCs/>
        </w:rPr>
        <w:t> </w:t>
      </w:r>
      <w:r w:rsidR="00E22567" w:rsidRPr="002E116B">
        <w:rPr>
          <w:bCs/>
        </w:rPr>
        <w:t>”</w:t>
      </w:r>
      <w:r w:rsidR="004A75E1" w:rsidRPr="002E116B">
        <w:rPr>
          <w:bCs/>
        </w:rPr>
        <w:t xml:space="preserve"> </w:t>
      </w:r>
      <w:r w:rsidR="00E22567" w:rsidRPr="002E116B">
        <w:rPr>
          <w:bCs/>
        </w:rPr>
        <w:t xml:space="preserve"> (</w:t>
      </w:r>
      <w:r w:rsidR="00143ACB" w:rsidRPr="002E116B">
        <w:rPr>
          <w:bCs/>
          <w:i/>
          <w:iCs/>
        </w:rPr>
        <w:t>People v. Lawrence</w:t>
      </w:r>
      <w:r w:rsidR="00143ACB" w:rsidRPr="002E116B">
        <w:rPr>
          <w:bCs/>
        </w:rPr>
        <w:t xml:space="preserve"> (2000) 24 Cal.4th 219, 230</w:t>
      </w:r>
      <w:r w:rsidR="008C5BCA" w:rsidRPr="002E116B">
        <w:rPr>
          <w:bCs/>
        </w:rPr>
        <w:t>-</w:t>
      </w:r>
      <w:r w:rsidR="00143ACB" w:rsidRPr="002E116B">
        <w:rPr>
          <w:bCs/>
        </w:rPr>
        <w:t>231</w:t>
      </w:r>
      <w:r w:rsidR="00E22567" w:rsidRPr="002E116B">
        <w:rPr>
          <w:bCs/>
        </w:rPr>
        <w:t>.)</w:t>
      </w:r>
      <w:r w:rsidR="00143ACB" w:rsidRPr="002E116B">
        <w:rPr>
          <w:bCs/>
        </w:rPr>
        <w:t xml:space="preserve"> </w:t>
      </w:r>
      <w:r w:rsidR="002A0DCC" w:rsidRPr="002E116B">
        <w:rPr>
          <w:bCs/>
        </w:rPr>
        <w:t xml:space="preserve"> </w:t>
      </w:r>
      <w:r w:rsidR="00D10CA0" w:rsidRPr="002E116B">
        <w:rPr>
          <w:bCs/>
        </w:rPr>
        <w:t>“If the language of a statutory provision remains unclear after we consider its terms, structure, and related statutory provisions, we may take account of extrinsic sources</w:t>
      </w:r>
      <w:r w:rsidR="00A867A5" w:rsidRPr="002E116B">
        <w:rPr>
          <w:bCs/>
        </w:rPr>
        <w:t>—</w:t>
      </w:r>
      <w:r w:rsidR="00D10CA0" w:rsidRPr="002E116B">
        <w:rPr>
          <w:bCs/>
        </w:rPr>
        <w:t>such as legislative history</w:t>
      </w:r>
      <w:r w:rsidR="00A867A5" w:rsidRPr="002E116B">
        <w:rPr>
          <w:bCs/>
        </w:rPr>
        <w:t>—</w:t>
      </w:r>
      <w:r w:rsidR="00D10CA0" w:rsidRPr="002E116B">
        <w:rPr>
          <w:bCs/>
        </w:rPr>
        <w:t>to assist us in discerning the relevant legislative purpose.”  (</w:t>
      </w:r>
      <w:r w:rsidR="00D10CA0" w:rsidRPr="002E116B">
        <w:rPr>
          <w:bCs/>
          <w:i/>
          <w:iCs/>
        </w:rPr>
        <w:t>Gund v. County of Trinity</w:t>
      </w:r>
      <w:r w:rsidR="00D10CA0" w:rsidRPr="002E116B">
        <w:rPr>
          <w:bCs/>
        </w:rPr>
        <w:t xml:space="preserve"> (2020) 10 Cal.5th 503, 511.)</w:t>
      </w:r>
    </w:p>
    <w:p w14:paraId="7F24B90C" w14:textId="6D77AAA7" w:rsidR="00FD41F9" w:rsidRPr="002E116B" w:rsidRDefault="00B85868" w:rsidP="00D17921">
      <w:pPr>
        <w:spacing w:line="480" w:lineRule="auto"/>
        <w:rPr>
          <w:bCs/>
          <w:u w:val="single"/>
        </w:rPr>
      </w:pPr>
      <w:r w:rsidRPr="002E116B">
        <w:rPr>
          <w:bCs/>
        </w:rPr>
        <w:tab/>
      </w:r>
      <w:r w:rsidRPr="002E116B">
        <w:rPr>
          <w:bCs/>
        </w:rPr>
        <w:tab/>
      </w:r>
      <w:r w:rsidR="00FE2B31" w:rsidRPr="002E116B">
        <w:rPr>
          <w:bCs/>
        </w:rPr>
        <w:t>1</w:t>
      </w:r>
      <w:r w:rsidRPr="002E116B">
        <w:rPr>
          <w:bCs/>
        </w:rPr>
        <w:t>.</w:t>
      </w:r>
      <w:r w:rsidRPr="002E116B">
        <w:rPr>
          <w:bCs/>
        </w:rPr>
        <w:tab/>
      </w:r>
      <w:r w:rsidRPr="002E116B">
        <w:rPr>
          <w:bCs/>
          <w:i/>
          <w:iCs/>
        </w:rPr>
        <w:t>PRIMA FACIE CASE REQUIREMENTS</w:t>
      </w:r>
    </w:p>
    <w:p w14:paraId="3EDBF6B3" w14:textId="3511B96C" w:rsidR="00A8032C" w:rsidRPr="002E116B" w:rsidRDefault="00B85868" w:rsidP="00D17921">
      <w:pPr>
        <w:spacing w:line="480" w:lineRule="auto"/>
        <w:rPr>
          <w:bCs/>
        </w:rPr>
      </w:pPr>
      <w:r w:rsidRPr="002E116B">
        <w:rPr>
          <w:bCs/>
        </w:rPr>
        <w:tab/>
      </w:r>
      <w:r w:rsidR="00ED214C" w:rsidRPr="002E116B">
        <w:rPr>
          <w:bCs/>
        </w:rPr>
        <w:t>S</w:t>
      </w:r>
      <w:r w:rsidR="00FD41F9" w:rsidRPr="002E116B">
        <w:rPr>
          <w:bCs/>
        </w:rPr>
        <w:t>ection 745, subdivision (c)(1)</w:t>
      </w:r>
      <w:r w:rsidR="0016202D" w:rsidRPr="002E116B">
        <w:rPr>
          <w:bCs/>
        </w:rPr>
        <w:t>,</w:t>
      </w:r>
      <w:r w:rsidR="00FD41F9" w:rsidRPr="002E116B">
        <w:rPr>
          <w:bCs/>
        </w:rPr>
        <w:t xml:space="preserve"> </w:t>
      </w:r>
      <w:r w:rsidR="00ED214C" w:rsidRPr="002E116B">
        <w:rPr>
          <w:bCs/>
        </w:rPr>
        <w:t xml:space="preserve">makes it clear that at </w:t>
      </w:r>
      <w:r w:rsidR="002A5691" w:rsidRPr="002E116B">
        <w:rPr>
          <w:bCs/>
        </w:rPr>
        <w:t xml:space="preserve">an evidentiary hearing, evidence may include “statistical evidence, aggregate data, expert testimony and the sworn testimony of witnesses.”  (§ 745, subd. (c)(1).)  </w:t>
      </w:r>
      <w:r w:rsidR="00156423" w:rsidRPr="002E116B">
        <w:rPr>
          <w:bCs/>
        </w:rPr>
        <w:t xml:space="preserve">However, it is not clear </w:t>
      </w:r>
      <w:r w:rsidR="00C47139" w:rsidRPr="002E116B">
        <w:rPr>
          <w:bCs/>
        </w:rPr>
        <w:t>w</w:t>
      </w:r>
      <w:r w:rsidR="009731C7" w:rsidRPr="002E116B">
        <w:rPr>
          <w:bCs/>
        </w:rPr>
        <w:t xml:space="preserve">hat </w:t>
      </w:r>
      <w:r w:rsidR="00C47139" w:rsidRPr="002E116B">
        <w:rPr>
          <w:bCs/>
        </w:rPr>
        <w:t xml:space="preserve">type of evidence </w:t>
      </w:r>
      <w:r w:rsidR="00AE2AA2" w:rsidRPr="002E116B">
        <w:rPr>
          <w:bCs/>
        </w:rPr>
        <w:t xml:space="preserve">is necessary to </w:t>
      </w:r>
      <w:r w:rsidR="00156423" w:rsidRPr="002E116B">
        <w:rPr>
          <w:bCs/>
        </w:rPr>
        <w:t>prove a prima facie case</w:t>
      </w:r>
      <w:r w:rsidR="00AE2AA2" w:rsidRPr="002E116B">
        <w:rPr>
          <w:bCs/>
        </w:rPr>
        <w:t xml:space="preserve"> of a violation of section 745, subdivision (a)(3)</w:t>
      </w:r>
      <w:r w:rsidR="00156423" w:rsidRPr="002E116B">
        <w:rPr>
          <w:bCs/>
        </w:rPr>
        <w:t xml:space="preserve">.  </w:t>
      </w:r>
      <w:r w:rsidR="00ED214C" w:rsidRPr="002E116B">
        <w:rPr>
          <w:bCs/>
        </w:rPr>
        <w:t>The plain language of section 745, subdivision (a)(3)</w:t>
      </w:r>
      <w:r w:rsidR="00986D5E" w:rsidRPr="002E116B">
        <w:rPr>
          <w:bCs/>
        </w:rPr>
        <w:t>,</w:t>
      </w:r>
      <w:r w:rsidR="00ED214C" w:rsidRPr="002E116B">
        <w:rPr>
          <w:bCs/>
        </w:rPr>
        <w:t xml:space="preserve"> clearly provides that in order to show a violation, a </w:t>
      </w:r>
      <w:r w:rsidR="00C47139" w:rsidRPr="002E116B">
        <w:rPr>
          <w:bCs/>
        </w:rPr>
        <w:t>defendant</w:t>
      </w:r>
      <w:r w:rsidR="00ED214C" w:rsidRPr="002E116B">
        <w:rPr>
          <w:bCs/>
        </w:rPr>
        <w:t xml:space="preserve"> must show that he was charged with a more serious offense than defendants of other races “</w:t>
      </w:r>
      <w:r w:rsidRPr="002E116B">
        <w:rPr>
          <w:bCs/>
        </w:rPr>
        <w:t>who have engaged in similar conduct and are similarly situated,</w:t>
      </w:r>
      <w:r w:rsidR="00ED214C" w:rsidRPr="002E116B">
        <w:rPr>
          <w:bCs/>
        </w:rPr>
        <w:t xml:space="preserve">” </w:t>
      </w:r>
      <w:r w:rsidRPr="002E116B">
        <w:rPr>
          <w:bCs/>
          <w:i/>
          <w:iCs/>
        </w:rPr>
        <w:t>and</w:t>
      </w:r>
      <w:r w:rsidRPr="002E116B">
        <w:rPr>
          <w:bCs/>
        </w:rPr>
        <w:t xml:space="preserve"> </w:t>
      </w:r>
      <w:r w:rsidR="00ED214C" w:rsidRPr="002E116B">
        <w:rPr>
          <w:bCs/>
        </w:rPr>
        <w:t>“</w:t>
      </w:r>
      <w:r w:rsidRPr="002E116B">
        <w:rPr>
          <w:bCs/>
        </w:rPr>
        <w:t>that the prosecution more frequently sought or obtained convictions for more serious offenses against people who share the defendant</w:t>
      </w:r>
      <w:r w:rsidR="00AE2AA2" w:rsidRPr="002E116B">
        <w:rPr>
          <w:bCs/>
        </w:rPr>
        <w:t>’</w:t>
      </w:r>
      <w:r w:rsidRPr="002E116B">
        <w:rPr>
          <w:bCs/>
        </w:rPr>
        <w:t xml:space="preserve">s race, ethnicity, or national origin in the county where the convictions were sought or obtained.” </w:t>
      </w:r>
      <w:r w:rsidR="00ED214C" w:rsidRPr="002E116B">
        <w:rPr>
          <w:bCs/>
        </w:rPr>
        <w:t xml:space="preserve"> As stated, </w:t>
      </w:r>
      <w:proofErr w:type="gramStart"/>
      <w:r w:rsidRPr="002E116B">
        <w:rPr>
          <w:bCs/>
        </w:rPr>
        <w:t>“</w:t>
      </w:r>
      <w:r w:rsidR="00AE2AA2" w:rsidRPr="002E116B">
        <w:rPr>
          <w:bCs/>
        </w:rPr>
        <w:t xml:space="preserve"> ‘</w:t>
      </w:r>
      <w:proofErr w:type="gramEnd"/>
      <w:r w:rsidRPr="002E116B">
        <w:rPr>
          <w:bCs/>
        </w:rPr>
        <w:t>More frequently sought or obtained</w:t>
      </w:r>
      <w:r w:rsidR="00AE2AA2" w:rsidRPr="002E116B">
        <w:rPr>
          <w:bCs/>
        </w:rPr>
        <w:t xml:space="preserve">’ </w:t>
      </w:r>
      <w:r w:rsidRPr="002E116B">
        <w:rPr>
          <w:bCs/>
        </w:rPr>
        <w:t xml:space="preserve">” </w:t>
      </w:r>
      <w:r w:rsidR="00E86FE6" w:rsidRPr="002E116B">
        <w:rPr>
          <w:bCs/>
        </w:rPr>
        <w:t>“</w:t>
      </w:r>
      <w:r w:rsidRPr="002E116B">
        <w:rPr>
          <w:bCs/>
        </w:rPr>
        <w:t xml:space="preserve">means that </w:t>
      </w:r>
      <w:r w:rsidRPr="002E116B">
        <w:rPr>
          <w:bCs/>
        </w:rPr>
        <w:lastRenderedPageBreak/>
        <w:t xml:space="preserve">the totality of the evidence demonstrates a significant difference in seeking </w:t>
      </w:r>
      <w:r w:rsidR="00AE2AA2" w:rsidRPr="002E116B">
        <w:rPr>
          <w:bCs/>
        </w:rPr>
        <w:t xml:space="preserve">. . . </w:t>
      </w:r>
      <w:r w:rsidRPr="002E116B">
        <w:rPr>
          <w:bCs/>
        </w:rPr>
        <w:t xml:space="preserve">convictions </w:t>
      </w:r>
      <w:r w:rsidR="00AE2AA2" w:rsidRPr="002E116B">
        <w:rPr>
          <w:bCs/>
        </w:rPr>
        <w:t xml:space="preserve">. . . </w:t>
      </w:r>
      <w:r w:rsidRPr="002E116B">
        <w:rPr>
          <w:bCs/>
        </w:rPr>
        <w:t>comparing individuals who have engaged in similar conduct and are similarly situated, and the prosecution cannot establish race-neutral reasons for the disparity.</w:t>
      </w:r>
      <w:r w:rsidR="00E86FE6" w:rsidRPr="002E116B">
        <w:rPr>
          <w:bCs/>
        </w:rPr>
        <w:t>”</w:t>
      </w:r>
      <w:r w:rsidR="009731C7" w:rsidRPr="002E116B">
        <w:rPr>
          <w:bCs/>
        </w:rPr>
        <w:t xml:space="preserve"> </w:t>
      </w:r>
      <w:r w:rsidR="00986D5E" w:rsidRPr="002E116B">
        <w:rPr>
          <w:bCs/>
        </w:rPr>
        <w:t xml:space="preserve"> </w:t>
      </w:r>
      <w:r w:rsidR="009731C7" w:rsidRPr="002E116B">
        <w:rPr>
          <w:bCs/>
        </w:rPr>
        <w:t xml:space="preserve">Despite these definitions, there is nothing in the plain meaning of the statute </w:t>
      </w:r>
      <w:r w:rsidR="007B487A" w:rsidRPr="002E116B">
        <w:rPr>
          <w:bCs/>
        </w:rPr>
        <w:t xml:space="preserve">that </w:t>
      </w:r>
      <w:r w:rsidR="009731C7" w:rsidRPr="002E116B">
        <w:rPr>
          <w:bCs/>
        </w:rPr>
        <w:t>provides what evidence is necessary to establish a prima facie case of a violation of section 745, subdivision (a)(3).</w:t>
      </w:r>
    </w:p>
    <w:p w14:paraId="1793F5E4" w14:textId="44C1DCF8" w:rsidR="009731C7" w:rsidRPr="002E116B" w:rsidRDefault="00B85868" w:rsidP="00D17921">
      <w:pPr>
        <w:spacing w:line="480" w:lineRule="auto"/>
        <w:rPr>
          <w:bCs/>
        </w:rPr>
      </w:pPr>
      <w:r w:rsidRPr="002E116B">
        <w:rPr>
          <w:bCs/>
        </w:rPr>
        <w:tab/>
      </w:r>
      <w:proofErr w:type="gramStart"/>
      <w:r w:rsidRPr="002E116B">
        <w:rPr>
          <w:bCs/>
        </w:rPr>
        <w:t>The legislative</w:t>
      </w:r>
      <w:proofErr w:type="gramEnd"/>
      <w:r w:rsidRPr="002E116B">
        <w:rPr>
          <w:bCs/>
        </w:rPr>
        <w:t xml:space="preserve"> history does not give any insight into the required proof to make </w:t>
      </w:r>
      <w:proofErr w:type="gramStart"/>
      <w:r w:rsidRPr="002E116B">
        <w:rPr>
          <w:bCs/>
        </w:rPr>
        <w:t>a prima facie</w:t>
      </w:r>
      <w:proofErr w:type="gramEnd"/>
      <w:r w:rsidRPr="002E116B">
        <w:rPr>
          <w:bCs/>
        </w:rPr>
        <w:t xml:space="preserve"> showing.  In its original proposed form, there was </w:t>
      </w:r>
      <w:proofErr w:type="gramStart"/>
      <w:r w:rsidRPr="002E116B">
        <w:rPr>
          <w:bCs/>
        </w:rPr>
        <w:t>no</w:t>
      </w:r>
      <w:proofErr w:type="gramEnd"/>
      <w:r w:rsidRPr="002E116B">
        <w:rPr>
          <w:bCs/>
        </w:rPr>
        <w:t xml:space="preserve"> similarly situated or similar conduct requirement as appears in section 745, subdivision (a)(3), </w:t>
      </w:r>
      <w:r w:rsidR="00986D5E" w:rsidRPr="002E116B">
        <w:rPr>
          <w:bCs/>
        </w:rPr>
        <w:t>n</w:t>
      </w:r>
      <w:r w:rsidRPr="002E116B">
        <w:rPr>
          <w:bCs/>
        </w:rPr>
        <w:t xml:space="preserve">or a requirement that a prima facie </w:t>
      </w:r>
      <w:r w:rsidR="00A03FFC" w:rsidRPr="002E116B">
        <w:rPr>
          <w:bCs/>
        </w:rPr>
        <w:t>showing</w:t>
      </w:r>
      <w:r w:rsidRPr="002E116B">
        <w:rPr>
          <w:bCs/>
        </w:rPr>
        <w:t xml:space="preserve"> was required prior to a hearing.  However, the statute evolved to include these requirements and we must give meaning both to these changes made by the Legislature and the plain meaning of the statute. </w:t>
      </w:r>
    </w:p>
    <w:p w14:paraId="224CDC89" w14:textId="04D382E4" w:rsidR="000B0DB7" w:rsidRPr="002E116B" w:rsidRDefault="00B85868" w:rsidP="00D17921">
      <w:pPr>
        <w:spacing w:line="480" w:lineRule="auto"/>
        <w:rPr>
          <w:bCs/>
        </w:rPr>
      </w:pPr>
      <w:r w:rsidRPr="002E116B">
        <w:rPr>
          <w:bCs/>
        </w:rPr>
        <w:tab/>
      </w:r>
      <w:r w:rsidR="00A867A5" w:rsidRPr="002E116B">
        <w:rPr>
          <w:bCs/>
        </w:rPr>
        <w:t>Petitioner</w:t>
      </w:r>
      <w:r w:rsidR="00ED214C" w:rsidRPr="002E116B">
        <w:rPr>
          <w:bCs/>
        </w:rPr>
        <w:t xml:space="preserve"> and amici curiae </w:t>
      </w:r>
      <w:r w:rsidR="005240BC" w:rsidRPr="002E116B">
        <w:rPr>
          <w:bCs/>
        </w:rPr>
        <w:t xml:space="preserve">focus on the </w:t>
      </w:r>
      <w:r w:rsidR="00E86FE6" w:rsidRPr="002E116B">
        <w:rPr>
          <w:bCs/>
        </w:rPr>
        <w:t xml:space="preserve">“similarly situated” </w:t>
      </w:r>
      <w:r w:rsidR="005240BC" w:rsidRPr="002E116B">
        <w:rPr>
          <w:bCs/>
        </w:rPr>
        <w:t xml:space="preserve">language in section 745, subdivision (a)(3).  </w:t>
      </w:r>
      <w:proofErr w:type="gramStart"/>
      <w:r w:rsidR="00A867A5" w:rsidRPr="002E116B">
        <w:rPr>
          <w:bCs/>
        </w:rPr>
        <w:t>Petitioner</w:t>
      </w:r>
      <w:proofErr w:type="gramEnd"/>
      <w:r w:rsidRPr="002E116B">
        <w:rPr>
          <w:bCs/>
        </w:rPr>
        <w:t xml:space="preserve"> claims that the plain language of section 745, subdivision (a)(3)</w:t>
      </w:r>
      <w:r w:rsidR="00986D5E" w:rsidRPr="002E116B">
        <w:rPr>
          <w:bCs/>
        </w:rPr>
        <w:t>,</w:t>
      </w:r>
      <w:r w:rsidRPr="002E116B">
        <w:rPr>
          <w:bCs/>
        </w:rPr>
        <w:t xml:space="preserve"> permits a defendant to establish a CRJA violation by making one evidentiary showing based on statistical proof.  </w:t>
      </w:r>
      <w:r w:rsidR="00A867A5" w:rsidRPr="002E116B">
        <w:rPr>
          <w:bCs/>
        </w:rPr>
        <w:t>Petitioner</w:t>
      </w:r>
      <w:r w:rsidR="00C47139" w:rsidRPr="002E116B">
        <w:rPr>
          <w:bCs/>
        </w:rPr>
        <w:t xml:space="preserve"> i</w:t>
      </w:r>
      <w:r w:rsidRPr="002E116B">
        <w:rPr>
          <w:bCs/>
        </w:rPr>
        <w:t>nsist</w:t>
      </w:r>
      <w:r w:rsidR="00C47139" w:rsidRPr="002E116B">
        <w:rPr>
          <w:bCs/>
        </w:rPr>
        <w:t>s</w:t>
      </w:r>
      <w:r w:rsidRPr="002E116B">
        <w:rPr>
          <w:bCs/>
        </w:rPr>
        <w:t xml:space="preserve"> that in order to prevail in showing a prima facie case under the CRJA, a defendant “would have to show</w:t>
      </w:r>
      <w:r w:rsidR="00274085" w:rsidRPr="002E116B">
        <w:rPr>
          <w:bCs/>
        </w:rPr>
        <w:t>—</w:t>
      </w:r>
      <w:r w:rsidRPr="002E116B">
        <w:rPr>
          <w:bCs/>
        </w:rPr>
        <w:t>and could make the showing with statistical or aggregate evidence</w:t>
      </w:r>
      <w:r w:rsidR="00274085" w:rsidRPr="002E116B">
        <w:rPr>
          <w:bCs/>
        </w:rPr>
        <w:t>—</w:t>
      </w:r>
      <w:r w:rsidRPr="002E116B">
        <w:rPr>
          <w:bCs/>
        </w:rPr>
        <w:t xml:space="preserve">that </w:t>
      </w:r>
      <w:r w:rsidR="00EB02DF" w:rsidRPr="002E116B">
        <w:rPr>
          <w:bCs/>
        </w:rPr>
        <w:t>[</w:t>
      </w:r>
      <w:proofErr w:type="gramStart"/>
      <w:r w:rsidR="00EB02DF" w:rsidRPr="002E116B">
        <w:t>African-American</w:t>
      </w:r>
      <w:proofErr w:type="gramEnd"/>
      <w:r w:rsidR="00EB02DF" w:rsidRPr="002E116B">
        <w:rPr>
          <w:bCs/>
        </w:rPr>
        <w:t>]</w:t>
      </w:r>
      <w:r w:rsidRPr="002E116B">
        <w:rPr>
          <w:bCs/>
        </w:rPr>
        <w:t xml:space="preserve"> people accused of special-circumstance murder are similarly situated to </w:t>
      </w:r>
      <w:r w:rsidR="00EB02DF" w:rsidRPr="002E116B">
        <w:rPr>
          <w:bCs/>
        </w:rPr>
        <w:t>[Caucasian]</w:t>
      </w:r>
      <w:r w:rsidRPr="002E116B">
        <w:rPr>
          <w:bCs/>
        </w:rPr>
        <w:t xml:space="preserve"> people accused of murder but not charged with a special circumstance.”  Aggregate evidence can be used to show both the greater frequency of punitive treatment and similar situations of comparators.</w:t>
      </w:r>
      <w:r w:rsidR="009731C7" w:rsidRPr="002E116B">
        <w:rPr>
          <w:bCs/>
        </w:rPr>
        <w:t xml:space="preserve">  However, </w:t>
      </w:r>
      <w:r w:rsidR="00A867A5" w:rsidRPr="002E116B">
        <w:rPr>
          <w:bCs/>
        </w:rPr>
        <w:t>Petitioner</w:t>
      </w:r>
      <w:r w:rsidR="009731C7" w:rsidRPr="002E116B">
        <w:rPr>
          <w:bCs/>
        </w:rPr>
        <w:t xml:space="preserve"> does not explain</w:t>
      </w:r>
      <w:r w:rsidR="00683535" w:rsidRPr="002E116B">
        <w:rPr>
          <w:bCs/>
        </w:rPr>
        <w:t xml:space="preserve"> </w:t>
      </w:r>
      <w:r w:rsidR="00683535" w:rsidRPr="002E116B">
        <w:rPr>
          <w:bCs/>
        </w:rPr>
        <w:lastRenderedPageBreak/>
        <w:t xml:space="preserve">in either the Petition or </w:t>
      </w:r>
      <w:r w:rsidR="00781772" w:rsidRPr="002E116B">
        <w:rPr>
          <w:bCs/>
        </w:rPr>
        <w:t>t</w:t>
      </w:r>
      <w:r w:rsidR="00683535" w:rsidRPr="002E116B">
        <w:rPr>
          <w:bCs/>
        </w:rPr>
        <w:t>raverse</w:t>
      </w:r>
      <w:r w:rsidR="009731C7" w:rsidRPr="002E116B">
        <w:rPr>
          <w:bCs/>
        </w:rPr>
        <w:t xml:space="preserve"> the importance of the language that </w:t>
      </w:r>
      <w:r w:rsidR="00A867A5" w:rsidRPr="002E116B">
        <w:rPr>
          <w:bCs/>
        </w:rPr>
        <w:t>Petitioner</w:t>
      </w:r>
      <w:r w:rsidR="009731C7" w:rsidRPr="002E116B">
        <w:rPr>
          <w:bCs/>
        </w:rPr>
        <w:t xml:space="preserve"> must show that he was “engaged in similar conduct” as other nonminority defendants</w:t>
      </w:r>
      <w:r w:rsidR="00E86FE6" w:rsidRPr="002E116B">
        <w:rPr>
          <w:bCs/>
        </w:rPr>
        <w:t xml:space="preserve"> in addition to showing he was similarly situated</w:t>
      </w:r>
      <w:r w:rsidR="009731C7" w:rsidRPr="002E116B">
        <w:rPr>
          <w:bCs/>
        </w:rPr>
        <w:t>.</w:t>
      </w:r>
      <w:r w:rsidR="008029BE" w:rsidRPr="002E116B">
        <w:rPr>
          <w:bCs/>
        </w:rPr>
        <w:t xml:space="preserve"> </w:t>
      </w:r>
    </w:p>
    <w:p w14:paraId="79B529CA" w14:textId="5DC9258E" w:rsidR="00C47139" w:rsidRPr="002E116B" w:rsidRDefault="00B85868" w:rsidP="00D17921">
      <w:pPr>
        <w:spacing w:line="480" w:lineRule="auto"/>
      </w:pPr>
      <w:r w:rsidRPr="002E116B">
        <w:tab/>
        <w:t xml:space="preserve">In the amici brief filed by </w:t>
      </w:r>
      <w:r w:rsidR="005E7D78">
        <w:t xml:space="preserve">Dean Erwin </w:t>
      </w:r>
      <w:r w:rsidRPr="002E116B">
        <w:t xml:space="preserve">Chemerinsky and other law professors, they </w:t>
      </w:r>
      <w:r w:rsidR="00E86FE6" w:rsidRPr="002E116B">
        <w:t xml:space="preserve">also </w:t>
      </w:r>
      <w:r w:rsidRPr="002E116B">
        <w:t>focus on the similarly situated language.</w:t>
      </w:r>
      <w:r w:rsidR="00102755" w:rsidRPr="002E116B">
        <w:t xml:space="preserve">  </w:t>
      </w:r>
      <w:r w:rsidR="00E86FE6" w:rsidRPr="002E116B">
        <w:t xml:space="preserve">They </w:t>
      </w:r>
      <w:r w:rsidR="002579D3" w:rsidRPr="002E116B">
        <w:t xml:space="preserve">contend </w:t>
      </w:r>
      <w:r w:rsidR="00A867A5" w:rsidRPr="002E116B">
        <w:t>Petitioner</w:t>
      </w:r>
      <w:r w:rsidR="00102755" w:rsidRPr="002E116B">
        <w:t xml:space="preserve"> was not required to provide exact comparators </w:t>
      </w:r>
      <w:r w:rsidR="00772065" w:rsidRPr="002E116B">
        <w:t xml:space="preserve">to </w:t>
      </w:r>
      <w:r w:rsidR="00102755" w:rsidRPr="002E116B">
        <w:t xml:space="preserve">establish a prima facie case. </w:t>
      </w:r>
      <w:r w:rsidR="00A03FFC" w:rsidRPr="002E116B">
        <w:t xml:space="preserve"> </w:t>
      </w:r>
      <w:r w:rsidR="00102755" w:rsidRPr="002E116B">
        <w:t xml:space="preserve">They do not address the “similar conduct” language.  </w:t>
      </w:r>
      <w:r w:rsidRPr="002E116B">
        <w:t xml:space="preserve">The Korematsu </w:t>
      </w:r>
      <w:r w:rsidR="00102755" w:rsidRPr="002E116B">
        <w:t xml:space="preserve">Center for Law and Equality </w:t>
      </w:r>
      <w:r w:rsidRPr="002E116B">
        <w:t xml:space="preserve">contends that the statistical studies presented by </w:t>
      </w:r>
      <w:r w:rsidR="00A867A5" w:rsidRPr="002E116B">
        <w:t>Petitioner</w:t>
      </w:r>
      <w:r w:rsidRPr="002E116B">
        <w:t xml:space="preserve"> were sufficient to establish a prima facie case.  Korematsu </w:t>
      </w:r>
      <w:r w:rsidR="002579D3" w:rsidRPr="002E116B">
        <w:t xml:space="preserve">argues </w:t>
      </w:r>
      <w:r w:rsidRPr="002E116B">
        <w:t xml:space="preserve">that the trial court “ignored the legislative directive” and imposed a nearly insurmountable barrier to making </w:t>
      </w:r>
      <w:proofErr w:type="gramStart"/>
      <w:r w:rsidRPr="002E116B">
        <w:t>a prima facie</w:t>
      </w:r>
      <w:proofErr w:type="gramEnd"/>
      <w:r w:rsidRPr="002E116B">
        <w:t xml:space="preserve"> showing of a CRJA violation.  They insist that statistical analysis</w:t>
      </w:r>
      <w:r w:rsidR="00AF60B6" w:rsidRPr="002E116B">
        <w:t xml:space="preserve"> of racial disparities alone</w:t>
      </w:r>
      <w:r w:rsidRPr="002E116B">
        <w:t xml:space="preserve"> can show </w:t>
      </w:r>
      <w:r w:rsidR="00527F83" w:rsidRPr="002E116B">
        <w:t xml:space="preserve">more than </w:t>
      </w:r>
      <w:r w:rsidRPr="002E116B">
        <w:t xml:space="preserve">a “mere possibility” of </w:t>
      </w:r>
      <w:r w:rsidR="00527F83" w:rsidRPr="002E116B">
        <w:t>disparate treatment based on race</w:t>
      </w:r>
      <w:r w:rsidR="00E86FE6" w:rsidRPr="002E116B">
        <w:t>,</w:t>
      </w:r>
      <w:r w:rsidR="00D155D8" w:rsidRPr="002E116B">
        <w:t xml:space="preserve"> </w:t>
      </w:r>
      <w:r w:rsidR="00E86FE6" w:rsidRPr="002E116B">
        <w:t xml:space="preserve">and </w:t>
      </w:r>
      <w:r w:rsidRPr="002E116B">
        <w:t>that statistical analysis is enough without knowing the individual circumstances</w:t>
      </w:r>
      <w:r w:rsidR="00102755" w:rsidRPr="002E116B">
        <w:t xml:space="preserve">.  </w:t>
      </w:r>
      <w:r w:rsidR="00075F3C" w:rsidRPr="002E116B">
        <w:t>The studies by Omori, Petersen</w:t>
      </w:r>
      <w:r w:rsidR="00D155D8" w:rsidRPr="002E116B">
        <w:t>,</w:t>
      </w:r>
      <w:r w:rsidR="00075F3C" w:rsidRPr="002E116B">
        <w:t xml:space="preserve"> and Baumgartner were sufficient to show </w:t>
      </w:r>
      <w:r w:rsidR="00527F83" w:rsidRPr="002E116B">
        <w:t xml:space="preserve">more than </w:t>
      </w:r>
      <w:r w:rsidR="00075F3C" w:rsidRPr="002E116B">
        <w:t xml:space="preserve">a “mere possibility” of </w:t>
      </w:r>
      <w:r w:rsidR="00527F83" w:rsidRPr="002E116B">
        <w:t>a violation of subdivision (a) of section 745</w:t>
      </w:r>
      <w:r w:rsidR="00075F3C" w:rsidRPr="002E116B">
        <w:t xml:space="preserve">.  </w:t>
      </w:r>
      <w:r w:rsidR="00E86FE6" w:rsidRPr="002E116B">
        <w:t>However, the</w:t>
      </w:r>
      <w:r w:rsidR="00102755" w:rsidRPr="002E116B">
        <w:t xml:space="preserve"> brief also does not address the “similar conduct” language.</w:t>
      </w:r>
    </w:p>
    <w:p w14:paraId="3B8775D3" w14:textId="4DBC16BB" w:rsidR="00E12649" w:rsidRPr="002E116B" w:rsidRDefault="00B85868" w:rsidP="00CE61ED">
      <w:pPr>
        <w:spacing w:line="480" w:lineRule="auto"/>
        <w:ind w:firstLine="720"/>
        <w:rPr>
          <w:bCs/>
        </w:rPr>
      </w:pPr>
      <w:r w:rsidRPr="002E116B">
        <w:rPr>
          <w:bCs/>
        </w:rPr>
        <w:t xml:space="preserve">At oral argument, Petitioner’s counsel did acknowledge that there is a requirement that the evidence must establish similar conduct. </w:t>
      </w:r>
      <w:r w:rsidR="00222658" w:rsidRPr="002E116B">
        <w:rPr>
          <w:bCs/>
        </w:rPr>
        <w:t xml:space="preserve"> </w:t>
      </w:r>
      <w:r w:rsidRPr="002E116B">
        <w:rPr>
          <w:bCs/>
        </w:rPr>
        <w:t>Petitioner’s counsel also stated that similar conduct could be shown by statistics alone, factual evidence</w:t>
      </w:r>
      <w:r w:rsidR="00222658" w:rsidRPr="002E116B">
        <w:rPr>
          <w:bCs/>
        </w:rPr>
        <w:t>,</w:t>
      </w:r>
      <w:r w:rsidRPr="002E116B">
        <w:rPr>
          <w:bCs/>
        </w:rPr>
        <w:t xml:space="preserve"> or a combination of both types of evidence. </w:t>
      </w:r>
    </w:p>
    <w:p w14:paraId="12610ADD" w14:textId="6B356685" w:rsidR="002579D3" w:rsidRPr="002E116B" w:rsidRDefault="00B85868" w:rsidP="00AF4E20">
      <w:pPr>
        <w:spacing w:line="480" w:lineRule="auto"/>
        <w:rPr>
          <w:bCs/>
          <w:iCs/>
        </w:rPr>
      </w:pPr>
      <w:r w:rsidRPr="002E116B">
        <w:rPr>
          <w:bCs/>
        </w:rPr>
        <w:tab/>
      </w:r>
      <w:r w:rsidR="002955EA" w:rsidRPr="002E116B">
        <w:rPr>
          <w:bCs/>
        </w:rPr>
        <w:t xml:space="preserve">The plain language of the statute </w:t>
      </w:r>
      <w:r w:rsidR="00FE2B31" w:rsidRPr="002E116B">
        <w:rPr>
          <w:bCs/>
        </w:rPr>
        <w:t xml:space="preserve">supports that </w:t>
      </w:r>
      <w:r w:rsidR="002955EA" w:rsidRPr="002E116B">
        <w:rPr>
          <w:bCs/>
        </w:rPr>
        <w:t xml:space="preserve">as part of the prima facie showing, </w:t>
      </w:r>
      <w:r w:rsidR="00FE2B31" w:rsidRPr="002E116B">
        <w:rPr>
          <w:bCs/>
        </w:rPr>
        <w:t xml:space="preserve">a </w:t>
      </w:r>
      <w:r w:rsidR="002955EA" w:rsidRPr="002E116B">
        <w:rPr>
          <w:bCs/>
        </w:rPr>
        <w:t xml:space="preserve">defendant must show that nonminority defendants are engaged in similar conduct.  </w:t>
      </w:r>
      <w:r w:rsidRPr="002E116B">
        <w:rPr>
          <w:bCs/>
        </w:rPr>
        <w:lastRenderedPageBreak/>
        <w:t>“Conduct” is defined as “</w:t>
      </w:r>
      <w:r w:rsidR="008C6169" w:rsidRPr="002E116B">
        <w:rPr>
          <w:bCs/>
        </w:rPr>
        <w:t>a mode or standard of personal behavior especially as based on moral principles.”</w:t>
      </w:r>
      <w:r>
        <w:rPr>
          <w:rStyle w:val="FootnoteReference"/>
          <w:bCs/>
        </w:rPr>
        <w:footnoteReference w:id="8"/>
      </w:r>
      <w:r w:rsidR="008C6169" w:rsidRPr="002E116B">
        <w:rPr>
          <w:bCs/>
        </w:rPr>
        <w:t xml:space="preserve">  </w:t>
      </w:r>
      <w:r w:rsidR="00492F3F" w:rsidRPr="002E116B">
        <w:rPr>
          <w:bCs/>
          <w:iCs/>
        </w:rPr>
        <w:t xml:space="preserve">In criminal cases, Evidence Code sections 1108 and 1109 allow for </w:t>
      </w:r>
      <w:r w:rsidR="00800E4B" w:rsidRPr="002E116B">
        <w:rPr>
          <w:bCs/>
          <w:iCs/>
        </w:rPr>
        <w:t xml:space="preserve">the </w:t>
      </w:r>
      <w:r w:rsidR="00492F3F" w:rsidRPr="002E116B">
        <w:rPr>
          <w:bCs/>
          <w:iCs/>
        </w:rPr>
        <w:t xml:space="preserve">admission of uncharged </w:t>
      </w:r>
      <w:r w:rsidR="00642FEF" w:rsidRPr="002E116B">
        <w:rPr>
          <w:bCs/>
          <w:iCs/>
        </w:rPr>
        <w:t xml:space="preserve">“conduct” that is </w:t>
      </w:r>
      <w:proofErr w:type="gramStart"/>
      <w:r w:rsidR="00642FEF" w:rsidRPr="002E116B">
        <w:rPr>
          <w:bCs/>
          <w:iCs/>
        </w:rPr>
        <w:t>similar to</w:t>
      </w:r>
      <w:proofErr w:type="gramEnd"/>
      <w:r w:rsidR="00642FEF" w:rsidRPr="002E116B">
        <w:rPr>
          <w:bCs/>
          <w:iCs/>
        </w:rPr>
        <w:t xml:space="preserve"> the current</w:t>
      </w:r>
      <w:r w:rsidR="00800E4B" w:rsidRPr="002E116B">
        <w:rPr>
          <w:bCs/>
          <w:iCs/>
        </w:rPr>
        <w:t>ly</w:t>
      </w:r>
      <w:r w:rsidR="00642FEF" w:rsidRPr="002E116B">
        <w:rPr>
          <w:bCs/>
          <w:iCs/>
        </w:rPr>
        <w:t xml:space="preserve"> charged offense to prove that the person did</w:t>
      </w:r>
      <w:r w:rsidR="00120A64" w:rsidRPr="002E116B">
        <w:rPr>
          <w:bCs/>
          <w:iCs/>
        </w:rPr>
        <w:t>,</w:t>
      </w:r>
      <w:r w:rsidR="00642FEF" w:rsidRPr="002E116B">
        <w:rPr>
          <w:bCs/>
          <w:iCs/>
        </w:rPr>
        <w:t xml:space="preserve"> in fact</w:t>
      </w:r>
      <w:r w:rsidR="00120A64" w:rsidRPr="002E116B">
        <w:rPr>
          <w:bCs/>
          <w:iCs/>
        </w:rPr>
        <w:t>,</w:t>
      </w:r>
      <w:r w:rsidR="00642FEF" w:rsidRPr="002E116B">
        <w:rPr>
          <w:bCs/>
          <w:iCs/>
        </w:rPr>
        <w:t xml:space="preserve"> commit the current</w:t>
      </w:r>
      <w:r w:rsidR="00800E4B" w:rsidRPr="002E116B">
        <w:rPr>
          <w:bCs/>
          <w:iCs/>
        </w:rPr>
        <w:t>ly</w:t>
      </w:r>
      <w:r w:rsidR="00642FEF" w:rsidRPr="002E116B">
        <w:rPr>
          <w:bCs/>
          <w:iCs/>
        </w:rPr>
        <w:t xml:space="preserve"> charged acts.  This involves the admission of the facts of the uncharged </w:t>
      </w:r>
      <w:r w:rsidR="002E6126" w:rsidRPr="002E116B">
        <w:rPr>
          <w:bCs/>
          <w:iCs/>
        </w:rPr>
        <w:t xml:space="preserve">similar </w:t>
      </w:r>
      <w:r w:rsidR="00642FEF" w:rsidRPr="002E116B">
        <w:rPr>
          <w:bCs/>
          <w:iCs/>
        </w:rPr>
        <w:t xml:space="preserve">conduct.  (See Evid. Code, §§ 1108, 1109; </w:t>
      </w:r>
      <w:r w:rsidR="00642FEF" w:rsidRPr="002E116B">
        <w:rPr>
          <w:bCs/>
          <w:i/>
        </w:rPr>
        <w:t xml:space="preserve">People v. Nguyen </w:t>
      </w:r>
      <w:r w:rsidR="00642FEF" w:rsidRPr="002E116B">
        <w:rPr>
          <w:bCs/>
          <w:iCs/>
        </w:rPr>
        <w:t xml:space="preserve">(2010) 184 Cal.App.4th 1096, 1115-1118.)  </w:t>
      </w:r>
      <w:r w:rsidR="000354E2" w:rsidRPr="002E116B">
        <w:rPr>
          <w:bCs/>
          <w:iCs/>
        </w:rPr>
        <w:t xml:space="preserve">The </w:t>
      </w:r>
      <w:r w:rsidR="00642FEF" w:rsidRPr="002E116B">
        <w:rPr>
          <w:bCs/>
          <w:iCs/>
        </w:rPr>
        <w:t>Legislature</w:t>
      </w:r>
      <w:r w:rsidR="00120A64" w:rsidRPr="002E116B">
        <w:rPr>
          <w:bCs/>
          <w:iCs/>
        </w:rPr>
        <w:t>,</w:t>
      </w:r>
      <w:r w:rsidR="00642FEF" w:rsidRPr="002E116B">
        <w:rPr>
          <w:bCs/>
          <w:iCs/>
        </w:rPr>
        <w:t xml:space="preserve"> </w:t>
      </w:r>
      <w:r w:rsidR="000354E2" w:rsidRPr="002E116B">
        <w:rPr>
          <w:bCs/>
          <w:iCs/>
        </w:rPr>
        <w:t>prior to using the term “similar conduct</w:t>
      </w:r>
      <w:r w:rsidR="00120A64" w:rsidRPr="002E116B">
        <w:rPr>
          <w:bCs/>
          <w:iCs/>
        </w:rPr>
        <w:t>,</w:t>
      </w:r>
      <w:r w:rsidR="000354E2" w:rsidRPr="002E116B">
        <w:rPr>
          <w:bCs/>
          <w:iCs/>
        </w:rPr>
        <w:t>” used the term “similar offenses</w:t>
      </w:r>
      <w:r w:rsidR="00120A64" w:rsidRPr="002E116B">
        <w:rPr>
          <w:bCs/>
          <w:iCs/>
        </w:rPr>
        <w:t>,</w:t>
      </w:r>
      <w:r w:rsidR="000354E2" w:rsidRPr="002E116B">
        <w:rPr>
          <w:bCs/>
          <w:iCs/>
        </w:rPr>
        <w:t xml:space="preserve">” in addition to the similarly situated language. </w:t>
      </w:r>
      <w:r w:rsidR="00120A64" w:rsidRPr="002E116B">
        <w:rPr>
          <w:bCs/>
          <w:iCs/>
        </w:rPr>
        <w:t xml:space="preserve"> </w:t>
      </w:r>
      <w:r w:rsidR="00AF4E20" w:rsidRPr="002E116B">
        <w:rPr>
          <w:bCs/>
          <w:iCs/>
        </w:rPr>
        <w:t>“</w:t>
      </w:r>
      <w:r w:rsidR="000354E2" w:rsidRPr="002E116B">
        <w:rPr>
          <w:bCs/>
          <w:iCs/>
        </w:rPr>
        <w:t>Similar offense</w:t>
      </w:r>
      <w:r w:rsidR="00AF4E20" w:rsidRPr="002E116B">
        <w:rPr>
          <w:bCs/>
          <w:iCs/>
        </w:rPr>
        <w:t>” language</w:t>
      </w:r>
      <w:r w:rsidR="000354E2" w:rsidRPr="002E116B">
        <w:rPr>
          <w:bCs/>
          <w:iCs/>
        </w:rPr>
        <w:t xml:space="preserve"> has </w:t>
      </w:r>
      <w:r w:rsidR="00AF4E20" w:rsidRPr="002E116B">
        <w:rPr>
          <w:bCs/>
          <w:iCs/>
        </w:rPr>
        <w:t>been used in the discussion of admission of other crimes to help show motive, intent, premeditation</w:t>
      </w:r>
      <w:r w:rsidR="00120A64" w:rsidRPr="002E116B">
        <w:rPr>
          <w:bCs/>
          <w:iCs/>
        </w:rPr>
        <w:t>,</w:t>
      </w:r>
      <w:r w:rsidR="00AF4E20" w:rsidRPr="002E116B">
        <w:rPr>
          <w:bCs/>
          <w:iCs/>
        </w:rPr>
        <w:t xml:space="preserve"> or presence of a common design or plan.  </w:t>
      </w:r>
      <w:r w:rsidR="00033939" w:rsidRPr="002E116B">
        <w:rPr>
          <w:bCs/>
          <w:iCs/>
        </w:rPr>
        <w:t xml:space="preserve">(See </w:t>
      </w:r>
      <w:r w:rsidR="00667B1D" w:rsidRPr="002E116B">
        <w:rPr>
          <w:bCs/>
          <w:i/>
        </w:rPr>
        <w:t xml:space="preserve">People v. Balcom </w:t>
      </w:r>
      <w:r w:rsidR="00667B1D" w:rsidRPr="002E116B">
        <w:rPr>
          <w:bCs/>
          <w:iCs/>
        </w:rPr>
        <w:t>(1994) 7 Cal.4th 414, 423 [“</w:t>
      </w:r>
      <w:r w:rsidR="00667B1D" w:rsidRPr="002E116B">
        <w:t xml:space="preserve">evidence that defendant committed uncharged similar offenses would have some relevance regarding defendant’s intent in the present </w:t>
      </w:r>
      <w:proofErr w:type="gramStart"/>
      <w:r w:rsidR="00667B1D" w:rsidRPr="002E116B">
        <w:t>case.”</w:t>
      </w:r>
      <w:proofErr w:type="gramEnd"/>
      <w:r w:rsidR="00667B1D" w:rsidRPr="002E116B">
        <w:t>].)</w:t>
      </w:r>
      <w:r w:rsidR="00033939" w:rsidRPr="002E116B">
        <w:rPr>
          <w:bCs/>
          <w:iCs/>
        </w:rPr>
        <w:t xml:space="preserve">  </w:t>
      </w:r>
      <w:r w:rsidR="00AF4E20" w:rsidRPr="002E116B">
        <w:rPr>
          <w:bCs/>
          <w:iCs/>
        </w:rPr>
        <w:t>“With particular regard to the determination of relevance, ‘. . . the trial court must look behind the label describing the kind of similarity or relation between the other offense and the charged offense; it must examine the precise elements of similarity between the offenses with respect to the issue for which the evidence is proffered and satisfy itself that each link of the chain of inference between the former and the latter is reasonably strong.’</w:t>
      </w:r>
      <w:r w:rsidR="00530292" w:rsidRPr="002E116B">
        <w:rPr>
          <w:bCs/>
          <w:iCs/>
        </w:rPr>
        <w:t xml:space="preserve"> ”</w:t>
      </w:r>
      <w:r w:rsidR="002A0DCC" w:rsidRPr="002E116B">
        <w:rPr>
          <w:bCs/>
          <w:iCs/>
        </w:rPr>
        <w:t xml:space="preserve"> </w:t>
      </w:r>
      <w:r w:rsidR="00530292" w:rsidRPr="002E116B">
        <w:rPr>
          <w:bCs/>
          <w:iCs/>
        </w:rPr>
        <w:t xml:space="preserve"> (</w:t>
      </w:r>
      <w:r w:rsidR="00AF4E20" w:rsidRPr="002E116B">
        <w:rPr>
          <w:bCs/>
          <w:i/>
        </w:rPr>
        <w:t>People v. Enos</w:t>
      </w:r>
      <w:r w:rsidR="00AF4E20" w:rsidRPr="002E116B">
        <w:rPr>
          <w:bCs/>
          <w:iCs/>
        </w:rPr>
        <w:t xml:space="preserve"> (1973) 34 Cal.App.3d 25, 35.)  While it is unclear as to why the Legislature changed the term “similar offense” to “similar conduct” both traditionally have referred to the underlying facts of the crimes and not simply the charged crimes.  </w:t>
      </w:r>
      <w:r w:rsidR="00033939" w:rsidRPr="002E116B">
        <w:rPr>
          <w:bCs/>
          <w:iCs/>
        </w:rPr>
        <w:t xml:space="preserve">Since the Legislature </w:t>
      </w:r>
      <w:r w:rsidR="00033939" w:rsidRPr="002E116B">
        <w:rPr>
          <w:bCs/>
          <w:iCs/>
        </w:rPr>
        <w:lastRenderedPageBreak/>
        <w:t>did not provide a definition of “similar conduct</w:t>
      </w:r>
      <w:r w:rsidR="00530292" w:rsidRPr="002E116B">
        <w:rPr>
          <w:bCs/>
          <w:iCs/>
        </w:rPr>
        <w:t>,</w:t>
      </w:r>
      <w:r w:rsidR="00033939" w:rsidRPr="002E116B">
        <w:rPr>
          <w:bCs/>
          <w:iCs/>
        </w:rPr>
        <w:t>” we rely on the plain meaning, which refers to “behavior” of a person on a particular occasion</w:t>
      </w:r>
      <w:r w:rsidR="00530292" w:rsidRPr="002E116B">
        <w:rPr>
          <w:bCs/>
          <w:iCs/>
        </w:rPr>
        <w:t xml:space="preserve"> that</w:t>
      </w:r>
      <w:r w:rsidR="00D35A60" w:rsidRPr="002E116B">
        <w:rPr>
          <w:bCs/>
          <w:iCs/>
        </w:rPr>
        <w:t xml:space="preserve"> logically refers to the underlying facts of the crimes</w:t>
      </w:r>
      <w:r w:rsidR="002E6126" w:rsidRPr="002E116B">
        <w:rPr>
          <w:bCs/>
          <w:iCs/>
        </w:rPr>
        <w:t xml:space="preserve"> rather than just a recitation of the charged crime</w:t>
      </w:r>
      <w:r w:rsidR="00033939" w:rsidRPr="002E116B">
        <w:rPr>
          <w:bCs/>
          <w:iCs/>
        </w:rPr>
        <w:t>, and</w:t>
      </w:r>
      <w:r w:rsidR="002E6126" w:rsidRPr="002E116B">
        <w:rPr>
          <w:bCs/>
          <w:iCs/>
        </w:rPr>
        <w:t xml:space="preserve"> as the term has traditionally been defined </w:t>
      </w:r>
      <w:r w:rsidR="00033939" w:rsidRPr="002E116B">
        <w:rPr>
          <w:bCs/>
          <w:iCs/>
        </w:rPr>
        <w:t xml:space="preserve">in other criminal cases.  </w:t>
      </w:r>
    </w:p>
    <w:p w14:paraId="3611292A" w14:textId="111E95B2" w:rsidR="005240BC" w:rsidRPr="002E116B" w:rsidRDefault="00B85868" w:rsidP="00475004">
      <w:pPr>
        <w:spacing w:line="480" w:lineRule="auto"/>
        <w:ind w:firstLine="720"/>
        <w:rPr>
          <w:bCs/>
        </w:rPr>
      </w:pPr>
      <w:r w:rsidRPr="002E116B">
        <w:rPr>
          <w:bCs/>
        </w:rPr>
        <w:t xml:space="preserve">While we may agree with </w:t>
      </w:r>
      <w:r w:rsidR="00A867A5" w:rsidRPr="002E116B">
        <w:rPr>
          <w:bCs/>
        </w:rPr>
        <w:t>Petitioner</w:t>
      </w:r>
      <w:r w:rsidRPr="002E116B">
        <w:rPr>
          <w:bCs/>
        </w:rPr>
        <w:t xml:space="preserve"> that</w:t>
      </w:r>
      <w:r w:rsidR="00A03FFC" w:rsidRPr="002E116B">
        <w:rPr>
          <w:bCs/>
        </w:rPr>
        <w:t xml:space="preserve"> relying on </w:t>
      </w:r>
      <w:r w:rsidRPr="002E116B">
        <w:rPr>
          <w:bCs/>
        </w:rPr>
        <w:t>the word</w:t>
      </w:r>
      <w:r w:rsidR="005E499E">
        <w:rPr>
          <w:bCs/>
        </w:rPr>
        <w:t>s</w:t>
      </w:r>
      <w:r w:rsidRPr="002E116B">
        <w:rPr>
          <w:bCs/>
        </w:rPr>
        <w:t xml:space="preserve"> </w:t>
      </w:r>
      <w:r w:rsidR="00ED214C" w:rsidRPr="002E116B">
        <w:rPr>
          <w:bCs/>
        </w:rPr>
        <w:t>“</w:t>
      </w:r>
      <w:r w:rsidRPr="002E116B">
        <w:rPr>
          <w:bCs/>
        </w:rPr>
        <w:t>similarly situated</w:t>
      </w:r>
      <w:r w:rsidR="00ED214C" w:rsidRPr="002E116B">
        <w:rPr>
          <w:bCs/>
        </w:rPr>
        <w:t>”</w:t>
      </w:r>
      <w:r w:rsidRPr="002E116B">
        <w:rPr>
          <w:bCs/>
        </w:rPr>
        <w:t xml:space="preserve"> and the definition in the Amended CRJA, it may be sufficient to look at similar </w:t>
      </w:r>
      <w:r w:rsidR="00500676" w:rsidRPr="002E116B">
        <w:rPr>
          <w:bCs/>
        </w:rPr>
        <w:t>crimes</w:t>
      </w:r>
      <w:r w:rsidR="00FE2B31" w:rsidRPr="002E116B">
        <w:rPr>
          <w:bCs/>
        </w:rPr>
        <w:t xml:space="preserve"> such as murder</w:t>
      </w:r>
      <w:r w:rsidRPr="002E116B">
        <w:rPr>
          <w:bCs/>
        </w:rPr>
        <w:t>, how a</w:t>
      </w:r>
      <w:r w:rsidR="00EB02DF" w:rsidRPr="002E116B">
        <w:rPr>
          <w:bCs/>
        </w:rPr>
        <w:t xml:space="preserve">n </w:t>
      </w:r>
      <w:proofErr w:type="gramStart"/>
      <w:r w:rsidR="00EB02DF" w:rsidRPr="002E116B">
        <w:t>African-American</w:t>
      </w:r>
      <w:proofErr w:type="gramEnd"/>
      <w:r w:rsidRPr="002E116B">
        <w:rPr>
          <w:bCs/>
        </w:rPr>
        <w:t xml:space="preserve"> person may be charged more harshly</w:t>
      </w:r>
      <w:r w:rsidR="00683535" w:rsidRPr="002E116B">
        <w:rPr>
          <w:bCs/>
        </w:rPr>
        <w:t xml:space="preserve"> than a nonminority defendant</w:t>
      </w:r>
      <w:r w:rsidRPr="002E116B">
        <w:rPr>
          <w:bCs/>
        </w:rPr>
        <w:t xml:space="preserve"> </w:t>
      </w:r>
      <w:r w:rsidR="00FE2B31" w:rsidRPr="002E116B">
        <w:rPr>
          <w:bCs/>
        </w:rPr>
        <w:t xml:space="preserve">on these cases </w:t>
      </w:r>
      <w:r w:rsidRPr="002E116B">
        <w:rPr>
          <w:bCs/>
        </w:rPr>
        <w:t xml:space="preserve">and </w:t>
      </w:r>
      <w:r w:rsidR="00974A78" w:rsidRPr="002E116B">
        <w:rPr>
          <w:bCs/>
        </w:rPr>
        <w:t xml:space="preserve">that this could be </w:t>
      </w:r>
      <w:r w:rsidR="00FE2B31" w:rsidRPr="002E116B">
        <w:rPr>
          <w:bCs/>
        </w:rPr>
        <w:t>show</w:t>
      </w:r>
      <w:r w:rsidR="00974A78" w:rsidRPr="002E116B">
        <w:rPr>
          <w:bCs/>
        </w:rPr>
        <w:t xml:space="preserve">n </w:t>
      </w:r>
      <w:r w:rsidR="00FE2B31" w:rsidRPr="002E116B">
        <w:rPr>
          <w:bCs/>
        </w:rPr>
        <w:t xml:space="preserve">by only </w:t>
      </w:r>
      <w:r w:rsidRPr="002E116B">
        <w:rPr>
          <w:bCs/>
        </w:rPr>
        <w:t xml:space="preserve">statistical evidence.  </w:t>
      </w:r>
      <w:r w:rsidR="000B0DB7" w:rsidRPr="002E116B">
        <w:rPr>
          <w:bCs/>
        </w:rPr>
        <w:t>It seems clear to this court t</w:t>
      </w:r>
      <w:r w:rsidRPr="002E116B">
        <w:rPr>
          <w:bCs/>
        </w:rPr>
        <w:t xml:space="preserve">hat </w:t>
      </w:r>
      <w:r w:rsidR="000B0DB7" w:rsidRPr="002E116B">
        <w:rPr>
          <w:bCs/>
        </w:rPr>
        <w:t xml:space="preserve">this </w:t>
      </w:r>
      <w:r w:rsidRPr="002E116B">
        <w:rPr>
          <w:bCs/>
        </w:rPr>
        <w:t xml:space="preserve">requires </w:t>
      </w:r>
      <w:r w:rsidR="008029BE" w:rsidRPr="002E116B">
        <w:rPr>
          <w:bCs/>
        </w:rPr>
        <w:t xml:space="preserve">some sort of </w:t>
      </w:r>
      <w:r w:rsidRPr="002E116B">
        <w:rPr>
          <w:bCs/>
        </w:rPr>
        <w:t xml:space="preserve">review of the underlying facts of the other cases.  </w:t>
      </w:r>
      <w:bookmarkStart w:id="3" w:name="_Hlk155259988"/>
      <w:r w:rsidR="008029BE" w:rsidRPr="002E116B">
        <w:rPr>
          <w:bCs/>
        </w:rPr>
        <w:t>While there may be a situation in which statistics could somehow show similar conduct and similarly situated</w:t>
      </w:r>
      <w:r w:rsidR="00E12649" w:rsidRPr="002E116B">
        <w:rPr>
          <w:bCs/>
        </w:rPr>
        <w:t xml:space="preserve"> amongst defendants</w:t>
      </w:r>
      <w:r w:rsidR="008029BE" w:rsidRPr="002E116B">
        <w:rPr>
          <w:bCs/>
        </w:rPr>
        <w:t xml:space="preserve">, in this case, Petitioner presented the underlying facts of several cases in which the </w:t>
      </w:r>
      <w:r w:rsidR="00E12649" w:rsidRPr="002E116B">
        <w:rPr>
          <w:bCs/>
        </w:rPr>
        <w:t xml:space="preserve">District Attorney did not seek the death penalty for non-minority defendants. </w:t>
      </w:r>
      <w:r w:rsidR="00222658" w:rsidRPr="002E116B">
        <w:rPr>
          <w:bCs/>
        </w:rPr>
        <w:t xml:space="preserve"> </w:t>
      </w:r>
      <w:r w:rsidR="00E12649" w:rsidRPr="002E116B">
        <w:rPr>
          <w:bCs/>
        </w:rPr>
        <w:t>As such, we need not determine if statistics alone could meet the prima facie burden</w:t>
      </w:r>
      <w:r w:rsidR="00222658" w:rsidRPr="002E116B">
        <w:rPr>
          <w:bCs/>
        </w:rPr>
        <w:t>,</w:t>
      </w:r>
      <w:r w:rsidR="00E12649" w:rsidRPr="002E116B">
        <w:rPr>
          <w:bCs/>
        </w:rPr>
        <w:t xml:space="preserve"> as factual evidence here was presented to establish similar conduct. </w:t>
      </w:r>
      <w:bookmarkEnd w:id="3"/>
    </w:p>
    <w:p w14:paraId="4B64F09F" w14:textId="0DEEB22C" w:rsidR="008E3E4D" w:rsidRPr="002E116B" w:rsidRDefault="00B85868" w:rsidP="00D17921">
      <w:pPr>
        <w:spacing w:line="480" w:lineRule="auto"/>
        <w:rPr>
          <w:bCs/>
        </w:rPr>
      </w:pPr>
      <w:r w:rsidRPr="002E116B">
        <w:rPr>
          <w:bCs/>
        </w:rPr>
        <w:tab/>
      </w:r>
      <w:r w:rsidR="00FE2B31" w:rsidRPr="002E116B">
        <w:rPr>
          <w:bCs/>
        </w:rPr>
        <w:t>As stated, t</w:t>
      </w:r>
      <w:r w:rsidRPr="002E116B">
        <w:rPr>
          <w:bCs/>
        </w:rPr>
        <w:t xml:space="preserve">he language of section 745 does not clarify what must be shown at the prima facie stage and what should be decided at the evidentiary hearing. </w:t>
      </w:r>
      <w:r w:rsidR="00536A93" w:rsidRPr="002E116B">
        <w:rPr>
          <w:bCs/>
        </w:rPr>
        <w:t xml:space="preserve"> However, i</w:t>
      </w:r>
      <w:r w:rsidRPr="002E116B">
        <w:rPr>
          <w:bCs/>
        </w:rPr>
        <w:t xml:space="preserve">t is clear from the language that to prove </w:t>
      </w:r>
      <w:r w:rsidR="00536A93" w:rsidRPr="002E116B">
        <w:rPr>
          <w:bCs/>
        </w:rPr>
        <w:t xml:space="preserve">a prima facie case of a violation </w:t>
      </w:r>
      <w:r w:rsidRPr="002E116B">
        <w:rPr>
          <w:bCs/>
        </w:rPr>
        <w:t>under section 745, subdivision (a)(3</w:t>
      </w:r>
      <w:r w:rsidR="007B487A" w:rsidRPr="002E116B">
        <w:rPr>
          <w:bCs/>
        </w:rPr>
        <w:t>),</w:t>
      </w:r>
      <w:r w:rsidRPr="002E116B">
        <w:rPr>
          <w:bCs/>
        </w:rPr>
        <w:t xml:space="preserve"> </w:t>
      </w:r>
      <w:r w:rsidR="00536A93" w:rsidRPr="002E116B">
        <w:rPr>
          <w:bCs/>
        </w:rPr>
        <w:t xml:space="preserve">the </w:t>
      </w:r>
      <w:r w:rsidRPr="002E116B">
        <w:rPr>
          <w:bCs/>
        </w:rPr>
        <w:t>evidence must establish</w:t>
      </w:r>
      <w:r w:rsidR="00536A93" w:rsidRPr="002E116B">
        <w:rPr>
          <w:bCs/>
        </w:rPr>
        <w:t xml:space="preserve"> </w:t>
      </w:r>
      <w:r w:rsidRPr="002E116B">
        <w:rPr>
          <w:bCs/>
        </w:rPr>
        <w:t xml:space="preserve">that </w:t>
      </w:r>
      <w:r w:rsidR="00A867A5" w:rsidRPr="002E116B">
        <w:rPr>
          <w:bCs/>
        </w:rPr>
        <w:t>Petitioner</w:t>
      </w:r>
      <w:r w:rsidRPr="002E116B">
        <w:rPr>
          <w:bCs/>
        </w:rPr>
        <w:t xml:space="preserve"> was </w:t>
      </w:r>
      <w:r w:rsidRPr="002E116B">
        <w:rPr>
          <w:bCs/>
          <w:i/>
          <w:iCs/>
        </w:rPr>
        <w:t>similarly situated</w:t>
      </w:r>
      <w:r w:rsidRPr="002E116B">
        <w:rPr>
          <w:bCs/>
        </w:rPr>
        <w:t xml:space="preserve"> and engaged in </w:t>
      </w:r>
      <w:r w:rsidRPr="002E116B">
        <w:rPr>
          <w:bCs/>
          <w:i/>
          <w:iCs/>
        </w:rPr>
        <w:t>similar conduct</w:t>
      </w:r>
      <w:r w:rsidRPr="002E116B">
        <w:rPr>
          <w:bCs/>
        </w:rPr>
        <w:t xml:space="preserve"> with other nonminority defendants</w:t>
      </w:r>
      <w:r w:rsidR="00FE2B31" w:rsidRPr="002E116B">
        <w:rPr>
          <w:bCs/>
        </w:rPr>
        <w:t xml:space="preserve"> who were charged with lesser crimes</w:t>
      </w:r>
      <w:r w:rsidR="00536A93" w:rsidRPr="002E116B">
        <w:rPr>
          <w:bCs/>
        </w:rPr>
        <w:t xml:space="preserve">, and </w:t>
      </w:r>
      <w:r w:rsidR="00974A78" w:rsidRPr="002E116B">
        <w:rPr>
          <w:bCs/>
        </w:rPr>
        <w:t xml:space="preserve">that there was </w:t>
      </w:r>
      <w:r w:rsidR="00536A93" w:rsidRPr="002E116B">
        <w:rPr>
          <w:bCs/>
        </w:rPr>
        <w:t xml:space="preserve">racial disparity in the </w:t>
      </w:r>
      <w:r w:rsidR="00A867A5" w:rsidRPr="002E116B">
        <w:rPr>
          <w:bCs/>
        </w:rPr>
        <w:t>District Attorney</w:t>
      </w:r>
      <w:r w:rsidR="00536A93" w:rsidRPr="002E116B">
        <w:rPr>
          <w:bCs/>
        </w:rPr>
        <w:t>’s capital charging system</w:t>
      </w:r>
      <w:bookmarkStart w:id="4" w:name="_Hlk155260062"/>
      <w:r w:rsidR="00222658" w:rsidRPr="002E116B">
        <w:rPr>
          <w:bCs/>
        </w:rPr>
        <w:t xml:space="preserve">.  </w:t>
      </w:r>
      <w:r w:rsidR="00294F4E" w:rsidRPr="002E116B">
        <w:rPr>
          <w:bCs/>
        </w:rPr>
        <w:t xml:space="preserve">Petitioner’s counsel conceded at oral argument that factual evidence </w:t>
      </w:r>
      <w:r w:rsidR="00294F4E" w:rsidRPr="002E116B">
        <w:rPr>
          <w:bCs/>
        </w:rPr>
        <w:lastRenderedPageBreak/>
        <w:t xml:space="preserve">of similar conduct could support a prima facie case. </w:t>
      </w:r>
      <w:bookmarkEnd w:id="4"/>
      <w:r w:rsidR="00222658" w:rsidRPr="002E116B">
        <w:rPr>
          <w:bCs/>
        </w:rPr>
        <w:t xml:space="preserve"> </w:t>
      </w:r>
      <w:r w:rsidRPr="002E116B">
        <w:rPr>
          <w:bCs/>
        </w:rPr>
        <w:t xml:space="preserve">The evidence presented by </w:t>
      </w:r>
      <w:proofErr w:type="gramStart"/>
      <w:r w:rsidR="00A867A5" w:rsidRPr="002E116B">
        <w:rPr>
          <w:bCs/>
        </w:rPr>
        <w:t>Petitioner</w:t>
      </w:r>
      <w:proofErr w:type="gramEnd"/>
      <w:r w:rsidRPr="002E116B">
        <w:rPr>
          <w:bCs/>
        </w:rPr>
        <w:t xml:space="preserve"> </w:t>
      </w:r>
      <w:r w:rsidR="00974A78" w:rsidRPr="002E116B">
        <w:rPr>
          <w:bCs/>
        </w:rPr>
        <w:t xml:space="preserve">in the Second Motion </w:t>
      </w:r>
      <w:r w:rsidRPr="002E116B">
        <w:rPr>
          <w:bCs/>
        </w:rPr>
        <w:t xml:space="preserve">of other current cases involving nonminority defendants </w:t>
      </w:r>
      <w:r w:rsidR="00974A78" w:rsidRPr="002E116B">
        <w:rPr>
          <w:bCs/>
        </w:rPr>
        <w:t xml:space="preserve">was proper evidence of similar conduct. </w:t>
      </w:r>
      <w:bookmarkStart w:id="5" w:name="_Hlk155260088"/>
      <w:r w:rsidR="00222658" w:rsidRPr="002E116B">
        <w:rPr>
          <w:bCs/>
        </w:rPr>
        <w:t xml:space="preserve"> </w:t>
      </w:r>
      <w:r w:rsidR="00294F4E" w:rsidRPr="002E116B">
        <w:rPr>
          <w:bCs/>
        </w:rPr>
        <w:t xml:space="preserve">Based on this factual evidence, we need not determine if mere statistical evidence that compares groups who are engaged in similar conduct and similar situations may be enough to make </w:t>
      </w:r>
      <w:proofErr w:type="gramStart"/>
      <w:r w:rsidR="00294F4E" w:rsidRPr="002E116B">
        <w:rPr>
          <w:bCs/>
        </w:rPr>
        <w:t>a prima facie</w:t>
      </w:r>
      <w:proofErr w:type="gramEnd"/>
      <w:r w:rsidR="00294F4E" w:rsidRPr="002E116B">
        <w:rPr>
          <w:bCs/>
        </w:rPr>
        <w:t xml:space="preserve"> showing under section 745.</w:t>
      </w:r>
    </w:p>
    <w:bookmarkEnd w:id="5"/>
    <w:p w14:paraId="7A6FDEB9" w14:textId="4287B9C9" w:rsidR="000B0DB7" w:rsidRPr="002E116B" w:rsidRDefault="00B85868" w:rsidP="00D17921">
      <w:pPr>
        <w:spacing w:line="480" w:lineRule="auto"/>
        <w:rPr>
          <w:bCs/>
        </w:rPr>
      </w:pPr>
      <w:r w:rsidRPr="002E116B">
        <w:rPr>
          <w:bCs/>
        </w:rPr>
        <w:tab/>
      </w:r>
      <w:r w:rsidRPr="002E116B">
        <w:rPr>
          <w:bCs/>
        </w:rPr>
        <w:tab/>
      </w:r>
      <w:r w:rsidR="008D1AE6" w:rsidRPr="002E116B">
        <w:rPr>
          <w:bCs/>
        </w:rPr>
        <w:t>2.</w:t>
      </w:r>
      <w:r w:rsidR="008D1AE6" w:rsidRPr="002E116B">
        <w:rPr>
          <w:bCs/>
        </w:rPr>
        <w:tab/>
      </w:r>
      <w:r w:rsidR="00536A93" w:rsidRPr="002E116B">
        <w:rPr>
          <w:bCs/>
          <w:i/>
          <w:iCs/>
        </w:rPr>
        <w:t>BURDEN OF SHOWING A PRIMA FACIE CASE</w:t>
      </w:r>
    </w:p>
    <w:p w14:paraId="30C04CAE" w14:textId="4C898705" w:rsidR="004F1D9D" w:rsidRPr="002E116B" w:rsidRDefault="00B85868" w:rsidP="00D17921">
      <w:pPr>
        <w:spacing w:line="480" w:lineRule="auto"/>
        <w:rPr>
          <w:bCs/>
        </w:rPr>
      </w:pPr>
      <w:r w:rsidRPr="002E116B">
        <w:rPr>
          <w:bCs/>
        </w:rPr>
        <w:tab/>
      </w:r>
      <w:r w:rsidR="00FE2B31" w:rsidRPr="002E116B">
        <w:rPr>
          <w:bCs/>
        </w:rPr>
        <w:t xml:space="preserve">The question then remains whether the trial court erred by finding that this </w:t>
      </w:r>
      <w:r w:rsidR="00974A78" w:rsidRPr="002E116B">
        <w:rPr>
          <w:bCs/>
        </w:rPr>
        <w:t xml:space="preserve">evidence was insufficient </w:t>
      </w:r>
      <w:r w:rsidR="00FE2B31" w:rsidRPr="002E116B">
        <w:rPr>
          <w:bCs/>
        </w:rPr>
        <w:t xml:space="preserve">to </w:t>
      </w:r>
      <w:r w:rsidR="004C0146" w:rsidRPr="002E116B">
        <w:rPr>
          <w:bCs/>
        </w:rPr>
        <w:t xml:space="preserve">establish </w:t>
      </w:r>
      <w:r w:rsidR="00FE2B31" w:rsidRPr="002E116B">
        <w:rPr>
          <w:bCs/>
        </w:rPr>
        <w:t xml:space="preserve">a prima facie case by requiring that </w:t>
      </w:r>
      <w:r w:rsidR="00A867A5" w:rsidRPr="002E116B">
        <w:rPr>
          <w:bCs/>
        </w:rPr>
        <w:t>Petitioner</w:t>
      </w:r>
      <w:r w:rsidR="00FE2B31" w:rsidRPr="002E116B">
        <w:rPr>
          <w:bCs/>
        </w:rPr>
        <w:t xml:space="preserve"> provide </w:t>
      </w:r>
      <w:r w:rsidR="004C0146" w:rsidRPr="002E116B">
        <w:rPr>
          <w:bCs/>
        </w:rPr>
        <w:t xml:space="preserve">an </w:t>
      </w:r>
      <w:r w:rsidR="00FE2B31" w:rsidRPr="002E116B">
        <w:rPr>
          <w:bCs/>
        </w:rPr>
        <w:t>explanation of other relevant factors in sentencing at the prima facie stage, such as whether the victim’s family supported seeking the death penalty</w:t>
      </w:r>
      <w:r w:rsidR="004C0146" w:rsidRPr="002E116B">
        <w:rPr>
          <w:bCs/>
        </w:rPr>
        <w:t xml:space="preserve">, to explain the </w:t>
      </w:r>
      <w:r w:rsidR="00974A78" w:rsidRPr="002E116B">
        <w:rPr>
          <w:bCs/>
        </w:rPr>
        <w:t xml:space="preserve">racial </w:t>
      </w:r>
      <w:r w:rsidR="004C0146" w:rsidRPr="002E116B">
        <w:rPr>
          <w:bCs/>
        </w:rPr>
        <w:t>disparity in seeking the death penalty.</w:t>
      </w:r>
      <w:r w:rsidR="00FE2B31" w:rsidRPr="002E116B">
        <w:rPr>
          <w:bCs/>
        </w:rPr>
        <w:t xml:space="preserve"> </w:t>
      </w:r>
      <w:r w:rsidR="004C0146" w:rsidRPr="002E116B">
        <w:rPr>
          <w:bCs/>
        </w:rPr>
        <w:t xml:space="preserve"> I</w:t>
      </w:r>
      <w:r w:rsidR="008E3E4D" w:rsidRPr="002E116B">
        <w:rPr>
          <w:bCs/>
        </w:rPr>
        <w:t>t is not clear from either the plain language of the statute or the legislative history at what stage the trial court considers</w:t>
      </w:r>
      <w:r w:rsidR="00536A93" w:rsidRPr="002E116B">
        <w:rPr>
          <w:bCs/>
        </w:rPr>
        <w:t xml:space="preserve"> </w:t>
      </w:r>
      <w:r w:rsidR="00974A78" w:rsidRPr="002E116B">
        <w:rPr>
          <w:bCs/>
        </w:rPr>
        <w:t xml:space="preserve">this </w:t>
      </w:r>
      <w:r w:rsidR="00536A93" w:rsidRPr="002E116B">
        <w:rPr>
          <w:bCs/>
        </w:rPr>
        <w:t>evidence and what type of evidence is relevant to showing a prima facie case or prov</w:t>
      </w:r>
      <w:r w:rsidRPr="002E116B">
        <w:rPr>
          <w:bCs/>
        </w:rPr>
        <w:t>in</w:t>
      </w:r>
      <w:r w:rsidR="00536A93" w:rsidRPr="002E116B">
        <w:rPr>
          <w:bCs/>
        </w:rPr>
        <w:t xml:space="preserve">g a violation at an evidentiary hearing.  </w:t>
      </w:r>
    </w:p>
    <w:p w14:paraId="5C4A7139" w14:textId="25B05A60" w:rsidR="004F1D9D" w:rsidRPr="002E116B" w:rsidRDefault="00B85868" w:rsidP="00D17921">
      <w:pPr>
        <w:spacing w:line="480" w:lineRule="auto"/>
        <w:rPr>
          <w:bCs/>
        </w:rPr>
      </w:pPr>
      <w:r w:rsidRPr="002E116B">
        <w:tab/>
        <w:t xml:space="preserve">Amici </w:t>
      </w:r>
      <w:r w:rsidR="00FE2B31" w:rsidRPr="002E116B">
        <w:t>curiae</w:t>
      </w:r>
      <w:r w:rsidRPr="002E116B">
        <w:t xml:space="preserve"> </w:t>
      </w:r>
      <w:proofErr w:type="gramStart"/>
      <w:r w:rsidRPr="002E116B">
        <w:t>argue</w:t>
      </w:r>
      <w:proofErr w:type="gramEnd"/>
      <w:r w:rsidRPr="002E116B">
        <w:t xml:space="preserve"> that placing the burden on the section 745 movant to address the nondiscriminatory reasons for charging as part of a prima facie case is inconsistent with existing anti-discrimination law and the process in section 745.  Further, the plain language of the statute places the burden of producing race-neutral reasons on the prosecution.  They further argue that many of the variables cannot be attained by a defendant at the prima facie stage of litigation.  But the briefs provide </w:t>
      </w:r>
      <w:r w:rsidR="009758D2" w:rsidRPr="002E116B">
        <w:rPr>
          <w:bCs/>
        </w:rPr>
        <w:t>little</w:t>
      </w:r>
      <w:r w:rsidRPr="002E116B">
        <w:rPr>
          <w:bCs/>
        </w:rPr>
        <w:t xml:space="preserve"> assistance </w:t>
      </w:r>
      <w:r w:rsidRPr="002E116B">
        <w:rPr>
          <w:bCs/>
        </w:rPr>
        <w:t xml:space="preserve">in helping this court determine what must be shown </w:t>
      </w:r>
      <w:proofErr w:type="gramStart"/>
      <w:r w:rsidRPr="002E116B">
        <w:rPr>
          <w:bCs/>
        </w:rPr>
        <w:t>in order to</w:t>
      </w:r>
      <w:proofErr w:type="gramEnd"/>
      <w:r w:rsidRPr="002E116B">
        <w:rPr>
          <w:bCs/>
        </w:rPr>
        <w:t xml:space="preserve"> establish a prima facie </w:t>
      </w:r>
      <w:r w:rsidRPr="002E116B">
        <w:rPr>
          <w:bCs/>
        </w:rPr>
        <w:lastRenderedPageBreak/>
        <w:t>case.  While the</w:t>
      </w:r>
      <w:r w:rsidR="00781772" w:rsidRPr="002E116B">
        <w:rPr>
          <w:bCs/>
        </w:rPr>
        <w:t xml:space="preserve"> briefs</w:t>
      </w:r>
      <w:r w:rsidRPr="002E116B">
        <w:rPr>
          <w:bCs/>
        </w:rPr>
        <w:t xml:space="preserve"> argue statistics showing that </w:t>
      </w:r>
      <w:r w:rsidR="00A867A5" w:rsidRPr="002E116B">
        <w:rPr>
          <w:bCs/>
        </w:rPr>
        <w:t>Petitioner</w:t>
      </w:r>
      <w:r w:rsidRPr="002E116B">
        <w:rPr>
          <w:bCs/>
        </w:rPr>
        <w:t xml:space="preserve"> was similarly situated to nonminority defendants who</w:t>
      </w:r>
      <w:r w:rsidR="004C0146" w:rsidRPr="002E116B">
        <w:rPr>
          <w:bCs/>
        </w:rPr>
        <w:t xml:space="preserve"> were</w:t>
      </w:r>
      <w:r w:rsidRPr="002E116B">
        <w:rPr>
          <w:bCs/>
        </w:rPr>
        <w:t xml:space="preserve"> charged with less serious crimes</w:t>
      </w:r>
      <w:r w:rsidR="009758D2" w:rsidRPr="002E116B">
        <w:rPr>
          <w:bCs/>
        </w:rPr>
        <w:t xml:space="preserve"> is sufficient</w:t>
      </w:r>
      <w:r w:rsidRPr="002E116B">
        <w:rPr>
          <w:bCs/>
        </w:rPr>
        <w:t xml:space="preserve">, </w:t>
      </w:r>
      <w:r w:rsidR="004C0146" w:rsidRPr="002E116B">
        <w:rPr>
          <w:bCs/>
        </w:rPr>
        <w:t xml:space="preserve">as set forth </w:t>
      </w:r>
      <w:r w:rsidR="004C0146" w:rsidRPr="002E116B">
        <w:rPr>
          <w:bCs/>
          <w:i/>
          <w:iCs/>
        </w:rPr>
        <w:t xml:space="preserve">ante </w:t>
      </w:r>
      <w:r w:rsidR="009758D2" w:rsidRPr="002E116B">
        <w:rPr>
          <w:bCs/>
        </w:rPr>
        <w:t xml:space="preserve">this </w:t>
      </w:r>
      <w:r w:rsidRPr="002E116B">
        <w:rPr>
          <w:bCs/>
        </w:rPr>
        <w:t xml:space="preserve">ignores the plain language of the statute that requires not only a showing of similarly situated defendants but also those engaged in similar conduct. </w:t>
      </w:r>
      <w:r w:rsidR="009758D2" w:rsidRPr="002E116B">
        <w:rPr>
          <w:bCs/>
        </w:rPr>
        <w:t xml:space="preserve"> Further, it ignores that the definition </w:t>
      </w:r>
      <w:r w:rsidR="004C0146" w:rsidRPr="002E116B">
        <w:rPr>
          <w:bCs/>
        </w:rPr>
        <w:t xml:space="preserve">of </w:t>
      </w:r>
      <w:r w:rsidR="009758D2" w:rsidRPr="002E116B">
        <w:rPr>
          <w:bCs/>
        </w:rPr>
        <w:t xml:space="preserve">similarly situated </w:t>
      </w:r>
      <w:r w:rsidR="00592783" w:rsidRPr="002E116B">
        <w:rPr>
          <w:bCs/>
        </w:rPr>
        <w:t>provides that</w:t>
      </w:r>
      <w:r w:rsidR="00974A78" w:rsidRPr="002E116B">
        <w:rPr>
          <w:bCs/>
        </w:rPr>
        <w:t xml:space="preserve"> </w:t>
      </w:r>
      <w:r w:rsidR="009758D2" w:rsidRPr="002E116B">
        <w:rPr>
          <w:bCs/>
        </w:rPr>
        <w:t>“factors that are relevant in charging and sentencing are similar.”  (§ 745, subd. (h)(6).)</w:t>
      </w:r>
    </w:p>
    <w:p w14:paraId="1C7BAB8E" w14:textId="009773D8" w:rsidR="001E6F23" w:rsidRPr="002E116B" w:rsidRDefault="00B85868" w:rsidP="001E6F23">
      <w:pPr>
        <w:spacing w:line="480" w:lineRule="auto"/>
        <w:rPr>
          <w:bCs/>
        </w:rPr>
      </w:pPr>
      <w:r w:rsidRPr="002E116B">
        <w:rPr>
          <w:bCs/>
        </w:rPr>
        <w:tab/>
        <w:t xml:space="preserve">A recent Court of Appeal case from San Francisco looked to habeas corpus law to determine the standard for making a prima facie case.  In </w:t>
      </w:r>
      <w:r w:rsidRPr="002E116B">
        <w:rPr>
          <w:bCs/>
          <w:i/>
          <w:iCs/>
        </w:rPr>
        <w:t xml:space="preserve">Finley v. Superior </w:t>
      </w:r>
      <w:proofErr w:type="gramStart"/>
      <w:r w:rsidRPr="002E116B">
        <w:rPr>
          <w:bCs/>
          <w:i/>
          <w:iCs/>
        </w:rPr>
        <w:t xml:space="preserve">Court </w:t>
      </w:r>
      <w:r w:rsidR="008C5BCA" w:rsidRPr="002E116B">
        <w:rPr>
          <w:bCs/>
          <w:i/>
          <w:iCs/>
        </w:rPr>
        <w:t xml:space="preserve"> </w:t>
      </w:r>
      <w:r w:rsidR="008C5BCA" w:rsidRPr="002E116B">
        <w:rPr>
          <w:bCs/>
        </w:rPr>
        <w:t>(</w:t>
      </w:r>
      <w:proofErr w:type="gramEnd"/>
      <w:r w:rsidR="008C5BCA" w:rsidRPr="002E116B">
        <w:rPr>
          <w:bCs/>
        </w:rPr>
        <w:t>2023)</w:t>
      </w:r>
      <w:r w:rsidR="008C5BCA" w:rsidRPr="002E116B">
        <w:rPr>
          <w:bCs/>
          <w:i/>
          <w:iCs/>
        </w:rPr>
        <w:t xml:space="preserve"> </w:t>
      </w:r>
      <w:r w:rsidR="008C5BCA" w:rsidRPr="002E116B">
        <w:rPr>
          <w:bCs/>
        </w:rPr>
        <w:t xml:space="preserve">95 Cal.App.5th 12 </w:t>
      </w:r>
      <w:r w:rsidRPr="002E116B">
        <w:rPr>
          <w:bCs/>
        </w:rPr>
        <w:t>(</w:t>
      </w:r>
      <w:r w:rsidRPr="002E116B">
        <w:rPr>
          <w:bCs/>
          <w:i/>
          <w:iCs/>
        </w:rPr>
        <w:t>Finley</w:t>
      </w:r>
      <w:r w:rsidRPr="002E116B">
        <w:rPr>
          <w:bCs/>
        </w:rPr>
        <w:t>), a</w:t>
      </w:r>
      <w:r w:rsidR="00EB02DF" w:rsidRPr="002E116B">
        <w:rPr>
          <w:bCs/>
        </w:rPr>
        <w:t>n</w:t>
      </w:r>
      <w:r w:rsidRPr="002E116B">
        <w:rPr>
          <w:bCs/>
        </w:rPr>
        <w:t xml:space="preserve"> </w:t>
      </w:r>
      <w:r w:rsidR="00EB02DF" w:rsidRPr="002E116B">
        <w:t>African-American</w:t>
      </w:r>
      <w:r w:rsidRPr="002E116B">
        <w:rPr>
          <w:bCs/>
        </w:rPr>
        <w:t xml:space="preserve"> defendant brought a motion in the trial court alleging a violation of the CRJA based on his vehicle being searched while he was parked in a known high-crime area.  He provided evidence that the officer had no logical nonracial reason for stopping and searching him and provided statistical evidence that </w:t>
      </w:r>
      <w:proofErr w:type="gramStart"/>
      <w:r w:rsidR="00EB02DF" w:rsidRPr="002E116B">
        <w:t>African-American</w:t>
      </w:r>
      <w:proofErr w:type="gramEnd"/>
      <w:r w:rsidRPr="002E116B">
        <w:rPr>
          <w:bCs/>
        </w:rPr>
        <w:t xml:space="preserve"> persons in San Francisco are far more likely to be stopped by police than other groups.  (</w:t>
      </w:r>
      <w:r w:rsidRPr="002E116B">
        <w:rPr>
          <w:bCs/>
          <w:i/>
          <w:iCs/>
        </w:rPr>
        <w:t xml:space="preserve">Id. </w:t>
      </w:r>
      <w:r w:rsidRPr="002E116B">
        <w:rPr>
          <w:bCs/>
        </w:rPr>
        <w:t xml:space="preserve">at </w:t>
      </w:r>
      <w:r w:rsidR="00C06AC3" w:rsidRPr="002E116B">
        <w:rPr>
          <w:bCs/>
        </w:rPr>
        <w:t xml:space="preserve">pp. </w:t>
      </w:r>
      <w:r w:rsidR="008C5BCA" w:rsidRPr="002E116B">
        <w:rPr>
          <w:bCs/>
        </w:rPr>
        <w:t>17-18</w:t>
      </w:r>
      <w:r w:rsidRPr="002E116B">
        <w:rPr>
          <w:bCs/>
        </w:rPr>
        <w:t>.)</w:t>
      </w:r>
      <w:r>
        <w:rPr>
          <w:rStyle w:val="FootnoteReference"/>
          <w:bCs/>
        </w:rPr>
        <w:footnoteReference w:id="9"/>
      </w:r>
      <w:r w:rsidRPr="002E116B">
        <w:rPr>
          <w:bCs/>
        </w:rPr>
        <w:t xml:space="preserve">  The trial court denied the motion finding that a prima facie case had not been met.  On appeal, the defendant argued that the trial court improperly weighed the evidence in concluding that he did not make a prima facie case.  (</w:t>
      </w:r>
      <w:r w:rsidRPr="002E116B">
        <w:rPr>
          <w:bCs/>
          <w:i/>
          <w:iCs/>
        </w:rPr>
        <w:t xml:space="preserve">Id. </w:t>
      </w:r>
      <w:r w:rsidRPr="002E116B">
        <w:rPr>
          <w:bCs/>
        </w:rPr>
        <w:t xml:space="preserve">at </w:t>
      </w:r>
      <w:r w:rsidR="00C06AC3" w:rsidRPr="002E116B">
        <w:rPr>
          <w:bCs/>
        </w:rPr>
        <w:t>p</w:t>
      </w:r>
      <w:r w:rsidR="008C5BCA" w:rsidRPr="002E116B">
        <w:rPr>
          <w:bCs/>
        </w:rPr>
        <w:t>. 20</w:t>
      </w:r>
      <w:r w:rsidRPr="002E116B">
        <w:rPr>
          <w:bCs/>
        </w:rPr>
        <w:t>.)</w:t>
      </w:r>
    </w:p>
    <w:p w14:paraId="4F7129B9" w14:textId="19C4A03F" w:rsidR="001E6F23" w:rsidRPr="002E116B" w:rsidRDefault="00B85868" w:rsidP="001E6F23">
      <w:pPr>
        <w:spacing w:line="480" w:lineRule="auto"/>
        <w:rPr>
          <w:bCs/>
        </w:rPr>
      </w:pPr>
      <w:r w:rsidRPr="002E116B">
        <w:rPr>
          <w:bCs/>
        </w:rPr>
        <w:tab/>
        <w:t xml:space="preserve">On appeal, the court looked </w:t>
      </w:r>
      <w:proofErr w:type="gramStart"/>
      <w:r w:rsidRPr="002E116B">
        <w:rPr>
          <w:bCs/>
        </w:rPr>
        <w:t>to</w:t>
      </w:r>
      <w:proofErr w:type="gramEnd"/>
      <w:r w:rsidRPr="002E116B">
        <w:rPr>
          <w:bCs/>
        </w:rPr>
        <w:t xml:space="preserve"> the prima facie standard applicable to a petition for </w:t>
      </w:r>
      <w:r w:rsidR="00772065" w:rsidRPr="002E116B">
        <w:rPr>
          <w:bCs/>
        </w:rPr>
        <w:t xml:space="preserve">a </w:t>
      </w:r>
      <w:r w:rsidRPr="002E116B">
        <w:rPr>
          <w:bCs/>
        </w:rPr>
        <w:t xml:space="preserve">writ of habeas corpus, noting that there were no cases interpreting section 745.  It </w:t>
      </w:r>
      <w:r w:rsidRPr="002E116B">
        <w:rPr>
          <w:bCs/>
        </w:rPr>
        <w:lastRenderedPageBreak/>
        <w:t>noted in the habeas context, “[t]o establish a prima facie showing for habeas relief, a petitioner ‘should both (</w:t>
      </w:r>
      <w:proofErr w:type="spellStart"/>
      <w:r w:rsidRPr="002E116B">
        <w:rPr>
          <w:bCs/>
        </w:rPr>
        <w:t>i</w:t>
      </w:r>
      <w:proofErr w:type="spellEnd"/>
      <w:r w:rsidRPr="002E116B">
        <w:rPr>
          <w:bCs/>
        </w:rPr>
        <w:t>) state fully and with particularity the facts on which relief is sought [citations] as well as (ii) include copies of reasonably available documentary evidence supporting the claim, including pertinent portions of trial transcripts and affidavits or dec</w:t>
      </w:r>
      <w:r w:rsidRPr="002E116B">
        <w:rPr>
          <w:bCs/>
        </w:rPr>
        <w:t>larations.</w:t>
      </w:r>
      <w:proofErr w:type="gramStart"/>
      <w:r w:rsidRPr="002E116B">
        <w:rPr>
          <w:bCs/>
        </w:rPr>
        <w:t>’</w:t>
      </w:r>
      <w:r w:rsidR="00F77EBF" w:rsidRPr="002E116B">
        <w:rPr>
          <w:bCs/>
        </w:rPr>
        <w:t xml:space="preserve"> </w:t>
      </w:r>
      <w:r w:rsidRPr="002E116B">
        <w:rPr>
          <w:bCs/>
        </w:rPr>
        <w:t>”</w:t>
      </w:r>
      <w:proofErr w:type="gramEnd"/>
      <w:r w:rsidRPr="002E116B">
        <w:rPr>
          <w:bCs/>
        </w:rPr>
        <w:t xml:space="preserve">  (</w:t>
      </w:r>
      <w:r w:rsidR="008C5BCA" w:rsidRPr="002E116B">
        <w:rPr>
          <w:bCs/>
          <w:i/>
          <w:iCs/>
        </w:rPr>
        <w:t>Finley</w:t>
      </w:r>
      <w:r w:rsidR="008C5BCA" w:rsidRPr="002E116B">
        <w:rPr>
          <w:bCs/>
        </w:rPr>
        <w:t xml:space="preserve">, </w:t>
      </w:r>
      <w:r w:rsidR="008C5BCA" w:rsidRPr="002E116B">
        <w:rPr>
          <w:bCs/>
          <w:i/>
          <w:iCs/>
        </w:rPr>
        <w:t>supra</w:t>
      </w:r>
      <w:r w:rsidR="008C5BCA" w:rsidRPr="002E116B">
        <w:rPr>
          <w:bCs/>
        </w:rPr>
        <w:t>, 95 Cal.App.5th at p. 21</w:t>
      </w:r>
      <w:r w:rsidRPr="002E116B">
        <w:rPr>
          <w:bCs/>
        </w:rPr>
        <w:t xml:space="preserve">.)  It concluded that in order to show a prima case under the CRJA, a defendant “must state fully and with particularity the facts on which relief is </w:t>
      </w:r>
      <w:proofErr w:type="gramStart"/>
      <w:r w:rsidRPr="002E116B">
        <w:rPr>
          <w:bCs/>
        </w:rPr>
        <w:t>sought, and</w:t>
      </w:r>
      <w:proofErr w:type="gramEnd"/>
      <w:r w:rsidRPr="002E116B">
        <w:rPr>
          <w:bCs/>
        </w:rPr>
        <w:t xml:space="preserve"> include copies of reasonably available documentary evidence supporting the claim.  The court should accept the truth of the defendant’s allegations, including expert evidence and statistics, unless the allegations are conclusory, unsupported by the evidence presented in support of the claim, or </w:t>
      </w:r>
      <w:r w:rsidRPr="002E116B">
        <w:rPr>
          <w:bCs/>
        </w:rPr>
        <w:t>demonstrably contradicted by the court’s own records.  [Citation.]  And again, the court should not make credibility determinations at the prima facie stage.”  (</w:t>
      </w:r>
      <w:r w:rsidR="00C06AC3" w:rsidRPr="002E116B">
        <w:rPr>
          <w:bCs/>
          <w:i/>
          <w:iCs/>
        </w:rPr>
        <w:t>Id.</w:t>
      </w:r>
      <w:r w:rsidRPr="002E116B">
        <w:rPr>
          <w:bCs/>
          <w:i/>
          <w:iCs/>
        </w:rPr>
        <w:t xml:space="preserve"> </w:t>
      </w:r>
      <w:r w:rsidRPr="002E116B">
        <w:rPr>
          <w:bCs/>
        </w:rPr>
        <w:t xml:space="preserve">at </w:t>
      </w:r>
      <w:r w:rsidR="00C06AC3" w:rsidRPr="002E116B">
        <w:rPr>
          <w:bCs/>
        </w:rPr>
        <w:t>p</w:t>
      </w:r>
      <w:r w:rsidR="00475004" w:rsidRPr="002E116B">
        <w:rPr>
          <w:bCs/>
        </w:rPr>
        <w:t>. </w:t>
      </w:r>
      <w:r w:rsidR="008C5BCA" w:rsidRPr="002E116B">
        <w:rPr>
          <w:bCs/>
        </w:rPr>
        <w:t>23, fn. omitted</w:t>
      </w:r>
      <w:r w:rsidRPr="002E116B">
        <w:rPr>
          <w:bCs/>
        </w:rPr>
        <w:t xml:space="preserve">.)  </w:t>
      </w:r>
    </w:p>
    <w:p w14:paraId="435A6E75" w14:textId="398056EB" w:rsidR="001E6F23" w:rsidRPr="002E116B" w:rsidRDefault="00B85868" w:rsidP="001E6F23">
      <w:pPr>
        <w:spacing w:line="480" w:lineRule="auto"/>
        <w:rPr>
          <w:bCs/>
        </w:rPr>
      </w:pPr>
      <w:r w:rsidRPr="002E116B">
        <w:rPr>
          <w:bCs/>
        </w:rPr>
        <w:tab/>
        <w:t xml:space="preserve">As we have stated, the Legislature did not provide a standard for making a prima facie case.  However, while it is not possible for this court </w:t>
      </w:r>
      <w:r w:rsidR="00772065" w:rsidRPr="002E116B">
        <w:rPr>
          <w:bCs/>
        </w:rPr>
        <w:t xml:space="preserve">to </w:t>
      </w:r>
      <w:r w:rsidRPr="002E116B">
        <w:rPr>
          <w:bCs/>
        </w:rPr>
        <w:t xml:space="preserve">know the intended standard under section 745, </w:t>
      </w:r>
      <w:r w:rsidRPr="002E116B">
        <w:rPr>
          <w:bCs/>
          <w:i/>
          <w:iCs/>
        </w:rPr>
        <w:t>Finley</w:t>
      </w:r>
      <w:r w:rsidRPr="002E116B">
        <w:rPr>
          <w:bCs/>
        </w:rPr>
        <w:t xml:space="preserve">’s analysis provides a reasonable standard based on long-standing habeas corpus law. </w:t>
      </w:r>
    </w:p>
    <w:p w14:paraId="2EE67286" w14:textId="563C434E" w:rsidR="004F1D9D" w:rsidRPr="002E116B" w:rsidRDefault="00B85868" w:rsidP="00D17921">
      <w:pPr>
        <w:spacing w:line="480" w:lineRule="auto"/>
        <w:rPr>
          <w:bCs/>
        </w:rPr>
      </w:pPr>
      <w:r w:rsidRPr="002E116B">
        <w:rPr>
          <w:bCs/>
        </w:rPr>
        <w:tab/>
        <w:t>Here, i</w:t>
      </w:r>
      <w:r w:rsidR="00536A93" w:rsidRPr="002E116B">
        <w:rPr>
          <w:bCs/>
        </w:rPr>
        <w:t xml:space="preserve">t is </w:t>
      </w:r>
      <w:r w:rsidR="009715C7" w:rsidRPr="002E116B">
        <w:rPr>
          <w:bCs/>
        </w:rPr>
        <w:t>clear</w:t>
      </w:r>
      <w:r w:rsidR="00536A93" w:rsidRPr="002E116B">
        <w:rPr>
          <w:bCs/>
        </w:rPr>
        <w:t xml:space="preserve"> to th</w:t>
      </w:r>
      <w:r w:rsidR="00E85544" w:rsidRPr="002E116B">
        <w:rPr>
          <w:bCs/>
        </w:rPr>
        <w:t>is</w:t>
      </w:r>
      <w:r w:rsidR="00536A93" w:rsidRPr="002E116B">
        <w:rPr>
          <w:bCs/>
        </w:rPr>
        <w:t xml:space="preserve"> court</w:t>
      </w:r>
      <w:r w:rsidR="004C0146" w:rsidRPr="002E116B">
        <w:rPr>
          <w:bCs/>
        </w:rPr>
        <w:t xml:space="preserve"> </w:t>
      </w:r>
      <w:r w:rsidR="00536A93" w:rsidRPr="002E116B">
        <w:rPr>
          <w:bCs/>
        </w:rPr>
        <w:t xml:space="preserve">that the statistical evidence of racial disparity </w:t>
      </w:r>
      <w:r w:rsidR="007F61B1" w:rsidRPr="002E116B">
        <w:rPr>
          <w:bCs/>
        </w:rPr>
        <w:t>presented by way of the studies by Omori, Petersen</w:t>
      </w:r>
      <w:r w:rsidR="00904D70" w:rsidRPr="002E116B">
        <w:rPr>
          <w:bCs/>
        </w:rPr>
        <w:t>,</w:t>
      </w:r>
      <w:r w:rsidR="007F61B1" w:rsidRPr="002E116B">
        <w:rPr>
          <w:bCs/>
        </w:rPr>
        <w:t xml:space="preserve"> and Baumgartner </w:t>
      </w:r>
      <w:r w:rsidRPr="002E116B">
        <w:rPr>
          <w:bCs/>
        </w:rPr>
        <w:t xml:space="preserve">was </w:t>
      </w:r>
      <w:r w:rsidR="00C305FF" w:rsidRPr="002E116B">
        <w:rPr>
          <w:bCs/>
        </w:rPr>
        <w:t xml:space="preserve">sufficient to show a prima facie case of </w:t>
      </w:r>
      <w:r w:rsidR="007F61B1" w:rsidRPr="002E116B">
        <w:rPr>
          <w:bCs/>
        </w:rPr>
        <w:t xml:space="preserve">racial disparity in the charging of the death penalty in Riverside County.  </w:t>
      </w:r>
      <w:r w:rsidR="00C305FF" w:rsidRPr="002E116B">
        <w:rPr>
          <w:bCs/>
        </w:rPr>
        <w:t xml:space="preserve">Moreover, </w:t>
      </w:r>
      <w:r w:rsidR="00A867A5" w:rsidRPr="002E116B">
        <w:rPr>
          <w:bCs/>
        </w:rPr>
        <w:t>Petitioner</w:t>
      </w:r>
      <w:r w:rsidR="00C305FF" w:rsidRPr="002E116B">
        <w:rPr>
          <w:bCs/>
        </w:rPr>
        <w:t xml:space="preserve"> provided </w:t>
      </w:r>
      <w:r w:rsidR="007F0B7B" w:rsidRPr="002E116B">
        <w:rPr>
          <w:bCs/>
        </w:rPr>
        <w:t xml:space="preserve">factual </w:t>
      </w:r>
      <w:r w:rsidR="00C305FF" w:rsidRPr="002E116B">
        <w:rPr>
          <w:bCs/>
        </w:rPr>
        <w:t xml:space="preserve">evidence to show </w:t>
      </w:r>
      <w:r w:rsidR="000D2D77" w:rsidRPr="002E116B">
        <w:rPr>
          <w:bCs/>
        </w:rPr>
        <w:t xml:space="preserve">nonminority defendants in Riverside County were charged with lesser crimes despite being engaged </w:t>
      </w:r>
      <w:r w:rsidR="000D2D77" w:rsidRPr="002E116B">
        <w:rPr>
          <w:bCs/>
        </w:rPr>
        <w:lastRenderedPageBreak/>
        <w:t xml:space="preserve">in similar conduct as </w:t>
      </w:r>
      <w:r w:rsidR="00A867A5" w:rsidRPr="002E116B">
        <w:rPr>
          <w:bCs/>
        </w:rPr>
        <w:t>Petitioner</w:t>
      </w:r>
      <w:r w:rsidR="008B067B" w:rsidRPr="002E116B">
        <w:rPr>
          <w:bCs/>
        </w:rPr>
        <w:t>,</w:t>
      </w:r>
      <w:r w:rsidR="000D2D77" w:rsidRPr="002E116B">
        <w:rPr>
          <w:bCs/>
        </w:rPr>
        <w:t xml:space="preserve"> e.g. drive-by </w:t>
      </w:r>
      <w:proofErr w:type="gramStart"/>
      <w:r w:rsidR="000D2D77" w:rsidRPr="002E116B">
        <w:rPr>
          <w:bCs/>
        </w:rPr>
        <w:t>shootings</w:t>
      </w:r>
      <w:proofErr w:type="gramEnd"/>
      <w:r w:rsidR="000D2D77" w:rsidRPr="002E116B">
        <w:rPr>
          <w:bCs/>
        </w:rPr>
        <w:t xml:space="preserve"> </w:t>
      </w:r>
      <w:r w:rsidR="007F61B1" w:rsidRPr="002E116B">
        <w:rPr>
          <w:bCs/>
        </w:rPr>
        <w:t>or</w:t>
      </w:r>
      <w:r w:rsidR="000D2D77" w:rsidRPr="002E116B">
        <w:rPr>
          <w:bCs/>
        </w:rPr>
        <w:t xml:space="preserve"> murders with prior convictions of murder.  </w:t>
      </w:r>
      <w:r w:rsidR="009758D2" w:rsidRPr="002E116B">
        <w:rPr>
          <w:bCs/>
        </w:rPr>
        <w:t>T</w:t>
      </w:r>
      <w:r w:rsidR="00CA30B1" w:rsidRPr="002E116B">
        <w:rPr>
          <w:bCs/>
        </w:rPr>
        <w:t xml:space="preserve">he trial court found that </w:t>
      </w:r>
      <w:r w:rsidR="00A867A5" w:rsidRPr="002E116B">
        <w:rPr>
          <w:bCs/>
        </w:rPr>
        <w:t>Petitioner</w:t>
      </w:r>
      <w:r w:rsidR="00CA30B1" w:rsidRPr="002E116B">
        <w:rPr>
          <w:bCs/>
        </w:rPr>
        <w:t xml:space="preserve"> had failed to provide cases</w:t>
      </w:r>
      <w:r w:rsidRPr="002E116B">
        <w:rPr>
          <w:bCs/>
        </w:rPr>
        <w:t xml:space="preserve"> that were</w:t>
      </w:r>
      <w:r w:rsidR="00CA30B1" w:rsidRPr="002E116B">
        <w:rPr>
          <w:bCs/>
        </w:rPr>
        <w:t xml:space="preserve"> similarly situated based on </w:t>
      </w:r>
      <w:r w:rsidR="007F61B1" w:rsidRPr="002E116B">
        <w:rPr>
          <w:bCs/>
        </w:rPr>
        <w:t xml:space="preserve">other factors </w:t>
      </w:r>
      <w:r w:rsidR="00CA30B1" w:rsidRPr="002E116B">
        <w:rPr>
          <w:bCs/>
        </w:rPr>
        <w:t>in the cases</w:t>
      </w:r>
      <w:r w:rsidR="007F61B1" w:rsidRPr="002E116B">
        <w:rPr>
          <w:bCs/>
        </w:rPr>
        <w:t xml:space="preserve"> involving nonminority defendants</w:t>
      </w:r>
      <w:r w:rsidR="004C0146" w:rsidRPr="002E116B">
        <w:rPr>
          <w:bCs/>
        </w:rPr>
        <w:t xml:space="preserve">.  It concluded there could be </w:t>
      </w:r>
      <w:r w:rsidR="00CA30B1" w:rsidRPr="002E116B">
        <w:rPr>
          <w:bCs/>
        </w:rPr>
        <w:t xml:space="preserve">other reasons that the death penalty may </w:t>
      </w:r>
      <w:r w:rsidR="009758D2" w:rsidRPr="002E116B">
        <w:rPr>
          <w:bCs/>
        </w:rPr>
        <w:t xml:space="preserve">not </w:t>
      </w:r>
      <w:r w:rsidR="00CA30B1" w:rsidRPr="002E116B">
        <w:rPr>
          <w:bCs/>
        </w:rPr>
        <w:t>have been sought</w:t>
      </w:r>
      <w:r w:rsidR="007F61B1" w:rsidRPr="002E116B">
        <w:rPr>
          <w:bCs/>
        </w:rPr>
        <w:t xml:space="preserve"> in those cases</w:t>
      </w:r>
      <w:r w:rsidR="00CA30B1" w:rsidRPr="002E116B">
        <w:rPr>
          <w:bCs/>
        </w:rPr>
        <w:t xml:space="preserve">.  This included whether the victim’s family wanted the </w:t>
      </w:r>
      <w:r w:rsidR="00A867A5" w:rsidRPr="002E116B">
        <w:rPr>
          <w:bCs/>
        </w:rPr>
        <w:t>District Attorney</w:t>
      </w:r>
      <w:r w:rsidR="00CA30B1" w:rsidRPr="002E116B">
        <w:rPr>
          <w:bCs/>
        </w:rPr>
        <w:t xml:space="preserve"> to pursue the death penalty.  </w:t>
      </w:r>
      <w:r w:rsidR="009758D2" w:rsidRPr="002E116B">
        <w:rPr>
          <w:bCs/>
        </w:rPr>
        <w:t xml:space="preserve">Hence, it placed the burden on </w:t>
      </w:r>
      <w:r w:rsidR="00A867A5" w:rsidRPr="002E116B">
        <w:rPr>
          <w:bCs/>
        </w:rPr>
        <w:t>Petitioner</w:t>
      </w:r>
      <w:r w:rsidR="009758D2" w:rsidRPr="002E116B">
        <w:rPr>
          <w:bCs/>
        </w:rPr>
        <w:t xml:space="preserve"> at the prima facie stage to prove that the factors relevant in charging the nonminority defendants were </w:t>
      </w:r>
      <w:proofErr w:type="gramStart"/>
      <w:r w:rsidR="009758D2" w:rsidRPr="002E116B">
        <w:rPr>
          <w:bCs/>
        </w:rPr>
        <w:t>similar to</w:t>
      </w:r>
      <w:proofErr w:type="gramEnd"/>
      <w:r w:rsidR="009758D2" w:rsidRPr="002E116B">
        <w:rPr>
          <w:bCs/>
        </w:rPr>
        <w:t xml:space="preserve"> his case</w:t>
      </w:r>
      <w:r w:rsidR="007F61B1" w:rsidRPr="002E116B">
        <w:rPr>
          <w:bCs/>
        </w:rPr>
        <w:t>, and arguably, prove there were no race-neutral reasons for the differences in the charges</w:t>
      </w:r>
      <w:r w:rsidR="009758D2" w:rsidRPr="002E116B">
        <w:rPr>
          <w:bCs/>
        </w:rPr>
        <w:t xml:space="preserve">.  </w:t>
      </w:r>
    </w:p>
    <w:p w14:paraId="59C437D9" w14:textId="7E453BDC" w:rsidR="000B0DB7" w:rsidRPr="002E116B" w:rsidRDefault="00B85868" w:rsidP="00D17921">
      <w:pPr>
        <w:spacing w:line="480" w:lineRule="auto"/>
        <w:rPr>
          <w:bCs/>
        </w:rPr>
      </w:pPr>
      <w:r w:rsidRPr="002E116B">
        <w:rPr>
          <w:bCs/>
        </w:rPr>
        <w:tab/>
      </w:r>
      <w:r w:rsidR="007F61B1" w:rsidRPr="002E116B">
        <w:rPr>
          <w:bCs/>
        </w:rPr>
        <w:t>The language of the statute and the legislative history give this court no guidance as to how or when a defendant must prove that “factors that are relevant in charging .</w:t>
      </w:r>
      <w:r w:rsidR="009715C7" w:rsidRPr="002E116B">
        <w:rPr>
          <w:bCs/>
        </w:rPr>
        <w:t xml:space="preserve"> . . </w:t>
      </w:r>
      <w:r w:rsidR="007F61B1" w:rsidRPr="002E116B">
        <w:rPr>
          <w:bCs/>
        </w:rPr>
        <w:t>are similar</w:t>
      </w:r>
      <w:proofErr w:type="gramStart"/>
      <w:r w:rsidR="007F61B1" w:rsidRPr="002E116B">
        <w:rPr>
          <w:bCs/>
        </w:rPr>
        <w:t>.</w:t>
      </w:r>
      <w:r w:rsidR="00475004" w:rsidRPr="002E116B">
        <w:rPr>
          <w:bCs/>
        </w:rPr>
        <w:t> . . .</w:t>
      </w:r>
      <w:proofErr w:type="gramEnd"/>
      <w:r w:rsidR="007F61B1" w:rsidRPr="002E116B">
        <w:rPr>
          <w:bCs/>
        </w:rPr>
        <w:t xml:space="preserve">”  </w:t>
      </w:r>
      <w:r w:rsidR="008D7F0D" w:rsidRPr="002E116B">
        <w:rPr>
          <w:bCs/>
        </w:rPr>
        <w:t xml:space="preserve">(§ 745, </w:t>
      </w:r>
      <w:r w:rsidR="00ED4BFB" w:rsidRPr="002E116B">
        <w:rPr>
          <w:bCs/>
        </w:rPr>
        <w:t xml:space="preserve">subd. (h)(6).)  </w:t>
      </w:r>
      <w:r w:rsidR="007F61B1" w:rsidRPr="002E116B">
        <w:rPr>
          <w:bCs/>
        </w:rPr>
        <w:t>However, s</w:t>
      </w:r>
      <w:r w:rsidR="000D2D77" w:rsidRPr="002E116B">
        <w:rPr>
          <w:bCs/>
        </w:rPr>
        <w:t>ection 745</w:t>
      </w:r>
      <w:r w:rsidR="007F61B1" w:rsidRPr="002E116B">
        <w:rPr>
          <w:bCs/>
        </w:rPr>
        <w:t>, subdivision (h)(1)</w:t>
      </w:r>
      <w:r w:rsidR="009715C7" w:rsidRPr="002E116B">
        <w:rPr>
          <w:bCs/>
        </w:rPr>
        <w:t>,</w:t>
      </w:r>
      <w:r w:rsidR="007F61B1" w:rsidRPr="002E116B">
        <w:rPr>
          <w:bCs/>
        </w:rPr>
        <w:t xml:space="preserve"> </w:t>
      </w:r>
      <w:r w:rsidR="000D2D77" w:rsidRPr="002E116B">
        <w:rPr>
          <w:bCs/>
        </w:rPr>
        <w:t xml:space="preserve">provides that </w:t>
      </w:r>
      <w:r w:rsidR="009715C7" w:rsidRPr="002E116B">
        <w:rPr>
          <w:bCs/>
        </w:rPr>
        <w:t xml:space="preserve">the </w:t>
      </w:r>
      <w:r w:rsidR="00A867A5" w:rsidRPr="002E116B">
        <w:rPr>
          <w:bCs/>
        </w:rPr>
        <w:t xml:space="preserve">District Attorney </w:t>
      </w:r>
      <w:r w:rsidR="009715C7" w:rsidRPr="002E116B">
        <w:rPr>
          <w:bCs/>
        </w:rPr>
        <w:t>is</w:t>
      </w:r>
      <w:r w:rsidR="000D2D77" w:rsidRPr="002E116B">
        <w:rPr>
          <w:bCs/>
        </w:rPr>
        <w:t xml:space="preserve"> responsible for providing race-neutral reasons for </w:t>
      </w:r>
      <w:r w:rsidR="007F0B7B" w:rsidRPr="002E116B">
        <w:rPr>
          <w:bCs/>
        </w:rPr>
        <w:t xml:space="preserve">the disparity in </w:t>
      </w:r>
      <w:r w:rsidR="000D2D77" w:rsidRPr="002E116B">
        <w:rPr>
          <w:bCs/>
        </w:rPr>
        <w:t xml:space="preserve">charging </w:t>
      </w:r>
      <w:r w:rsidR="00A867A5" w:rsidRPr="002E116B">
        <w:rPr>
          <w:bCs/>
        </w:rPr>
        <w:t>Petitioner</w:t>
      </w:r>
      <w:r w:rsidR="007F0B7B" w:rsidRPr="002E116B">
        <w:rPr>
          <w:bCs/>
        </w:rPr>
        <w:t xml:space="preserve"> with the death penalty</w:t>
      </w:r>
      <w:r w:rsidR="000D2D77" w:rsidRPr="002E116B">
        <w:rPr>
          <w:bCs/>
        </w:rPr>
        <w:t xml:space="preserve">.  </w:t>
      </w:r>
      <w:r w:rsidR="00DB6972" w:rsidRPr="002E116B">
        <w:rPr>
          <w:bCs/>
        </w:rPr>
        <w:t>A</w:t>
      </w:r>
      <w:r w:rsidR="00F048EB" w:rsidRPr="002E116B">
        <w:rPr>
          <w:bCs/>
        </w:rPr>
        <w:t>s stated, the definition of section 745, subdivision (h)(1)</w:t>
      </w:r>
      <w:r w:rsidR="009715C7" w:rsidRPr="002E116B">
        <w:rPr>
          <w:bCs/>
        </w:rPr>
        <w:t>,</w:t>
      </w:r>
      <w:r w:rsidR="00F048EB" w:rsidRPr="002E116B">
        <w:rPr>
          <w:bCs/>
        </w:rPr>
        <w:t xml:space="preserve"> provides that “more frequently sought or obtained” means “the totality of the evidence demonstrates a significant difference in seeking or obtaining convictions . . . comparing individuals who have engaged in similar conduct and are similarly situated, and the prosecution cannot establish race-neutral reasons for the disparity.”</w:t>
      </w:r>
      <w:r w:rsidR="00702604" w:rsidRPr="002E116B">
        <w:rPr>
          <w:bCs/>
        </w:rPr>
        <w:t xml:space="preserve"> </w:t>
      </w:r>
    </w:p>
    <w:p w14:paraId="579F7060" w14:textId="09C5724B" w:rsidR="00213EC4" w:rsidRPr="002E116B" w:rsidRDefault="00B85868" w:rsidP="00D17921">
      <w:pPr>
        <w:spacing w:line="480" w:lineRule="auto"/>
        <w:rPr>
          <w:bCs/>
        </w:rPr>
      </w:pPr>
      <w:r w:rsidRPr="002E116B">
        <w:rPr>
          <w:bCs/>
        </w:rPr>
        <w:tab/>
      </w:r>
      <w:r w:rsidR="008E3E4D" w:rsidRPr="002E116B">
        <w:rPr>
          <w:bCs/>
        </w:rPr>
        <w:t>The statute provides that e</w:t>
      </w:r>
      <w:r w:rsidR="008763AC" w:rsidRPr="002E116B">
        <w:rPr>
          <w:bCs/>
        </w:rPr>
        <w:t xml:space="preserve">vidence of race-neutral reasons </w:t>
      </w:r>
      <w:r w:rsidR="00837E9E" w:rsidRPr="002E116B">
        <w:rPr>
          <w:bCs/>
        </w:rPr>
        <w:t xml:space="preserve">for racial disparity </w:t>
      </w:r>
      <w:r w:rsidR="00B70559" w:rsidRPr="002E116B">
        <w:rPr>
          <w:bCs/>
        </w:rPr>
        <w:t xml:space="preserve">is to be presented by </w:t>
      </w:r>
      <w:r w:rsidR="009D338C" w:rsidRPr="002E116B">
        <w:rPr>
          <w:bCs/>
        </w:rPr>
        <w:t xml:space="preserve">the </w:t>
      </w:r>
      <w:r w:rsidR="00A867A5" w:rsidRPr="002E116B">
        <w:rPr>
          <w:bCs/>
        </w:rPr>
        <w:t>District Attorney</w:t>
      </w:r>
      <w:r w:rsidR="00B70559" w:rsidRPr="002E116B">
        <w:rPr>
          <w:bCs/>
        </w:rPr>
        <w:t xml:space="preserve">, not </w:t>
      </w:r>
      <w:proofErr w:type="gramStart"/>
      <w:r w:rsidR="00A867A5" w:rsidRPr="002E116B">
        <w:rPr>
          <w:bCs/>
        </w:rPr>
        <w:t>Petitioner</w:t>
      </w:r>
      <w:proofErr w:type="gramEnd"/>
      <w:r w:rsidR="00B70559" w:rsidRPr="002E116B">
        <w:rPr>
          <w:bCs/>
        </w:rPr>
        <w:t xml:space="preserve">.  </w:t>
      </w:r>
      <w:r w:rsidR="00DB6972" w:rsidRPr="002E116B">
        <w:rPr>
          <w:bCs/>
        </w:rPr>
        <w:t xml:space="preserve">As such, it follows that the presentation of evidence of </w:t>
      </w:r>
      <w:r w:rsidR="00B70559" w:rsidRPr="002E116B">
        <w:rPr>
          <w:bCs/>
        </w:rPr>
        <w:t xml:space="preserve">race-neutral reasons </w:t>
      </w:r>
      <w:r w:rsidR="00DB6972" w:rsidRPr="002E116B">
        <w:rPr>
          <w:bCs/>
        </w:rPr>
        <w:t>is</w:t>
      </w:r>
      <w:r w:rsidR="00B70559" w:rsidRPr="002E116B">
        <w:rPr>
          <w:bCs/>
        </w:rPr>
        <w:t xml:space="preserve"> a defense after the prima facie case </w:t>
      </w:r>
      <w:r w:rsidR="00B70559" w:rsidRPr="002E116B">
        <w:rPr>
          <w:bCs/>
        </w:rPr>
        <w:lastRenderedPageBreak/>
        <w:t xml:space="preserve">has been shown.  </w:t>
      </w:r>
      <w:r w:rsidR="00DB6972" w:rsidRPr="002E116B">
        <w:rPr>
          <w:bCs/>
        </w:rPr>
        <w:t xml:space="preserve">It is not entirely clear if </w:t>
      </w:r>
      <w:r w:rsidR="00E67CD0" w:rsidRPr="002E116B">
        <w:rPr>
          <w:bCs/>
        </w:rPr>
        <w:t xml:space="preserve">the burden also falls on </w:t>
      </w:r>
      <w:r w:rsidR="009D338C" w:rsidRPr="002E116B">
        <w:rPr>
          <w:bCs/>
        </w:rPr>
        <w:t xml:space="preserve">the </w:t>
      </w:r>
      <w:r w:rsidR="00A867A5" w:rsidRPr="002E116B">
        <w:rPr>
          <w:bCs/>
        </w:rPr>
        <w:t>District Attorney</w:t>
      </w:r>
      <w:r w:rsidR="00E67CD0" w:rsidRPr="002E116B">
        <w:rPr>
          <w:bCs/>
        </w:rPr>
        <w:t xml:space="preserve"> to show the relevant factors that were used in deciding to charge both the </w:t>
      </w:r>
      <w:proofErr w:type="gramStart"/>
      <w:r w:rsidR="00E67CD0" w:rsidRPr="002E116B">
        <w:rPr>
          <w:bCs/>
        </w:rPr>
        <w:t>nonminority</w:t>
      </w:r>
      <w:proofErr w:type="gramEnd"/>
      <w:r w:rsidR="00E67CD0" w:rsidRPr="002E116B">
        <w:rPr>
          <w:bCs/>
        </w:rPr>
        <w:t xml:space="preserve"> defendants and </w:t>
      </w:r>
      <w:r w:rsidR="00A867A5" w:rsidRPr="002E116B">
        <w:rPr>
          <w:bCs/>
        </w:rPr>
        <w:t>Petitioner</w:t>
      </w:r>
      <w:r w:rsidR="00E67CD0" w:rsidRPr="002E116B">
        <w:rPr>
          <w:bCs/>
        </w:rPr>
        <w:t>.</w:t>
      </w:r>
      <w:r w:rsidR="00DB6972" w:rsidRPr="002E116B">
        <w:rPr>
          <w:bCs/>
        </w:rPr>
        <w:t xml:space="preserve">  </w:t>
      </w:r>
      <w:r w:rsidR="00837E9E" w:rsidRPr="002E116B">
        <w:rPr>
          <w:bCs/>
        </w:rPr>
        <w:t>As defined, race-neutral reasons “shall be relevant factors to charges, . . . that are not influenced by implicit, system</w:t>
      </w:r>
      <w:r w:rsidR="009D338C" w:rsidRPr="002E116B">
        <w:rPr>
          <w:bCs/>
        </w:rPr>
        <w:t>ic</w:t>
      </w:r>
      <w:r w:rsidR="009715C7" w:rsidRPr="002E116B">
        <w:rPr>
          <w:bCs/>
        </w:rPr>
        <w:t>,</w:t>
      </w:r>
      <w:r w:rsidR="00837E9E" w:rsidRPr="002E116B">
        <w:rPr>
          <w:bCs/>
        </w:rPr>
        <w:t xml:space="preserve"> or institutional bias based on race, ethnicity, or national origin.”  </w:t>
      </w:r>
      <w:r w:rsidR="009D338C" w:rsidRPr="002E116B">
        <w:rPr>
          <w:bCs/>
        </w:rPr>
        <w:t>(§ 745, subd. (h)(1).)</w:t>
      </w:r>
    </w:p>
    <w:p w14:paraId="1AA6E5F9" w14:textId="0650E927" w:rsidR="00AA1EF4" w:rsidRPr="002E116B" w:rsidRDefault="00B85868" w:rsidP="00D17921">
      <w:pPr>
        <w:spacing w:line="480" w:lineRule="auto"/>
        <w:rPr>
          <w:bCs/>
        </w:rPr>
      </w:pPr>
      <w:r w:rsidRPr="002E116B">
        <w:rPr>
          <w:bCs/>
        </w:rPr>
        <w:tab/>
      </w:r>
      <w:r w:rsidR="006D42F2" w:rsidRPr="002E116B">
        <w:rPr>
          <w:bCs/>
        </w:rPr>
        <w:t xml:space="preserve">Based on the foregoing, </w:t>
      </w:r>
      <w:r w:rsidR="00722456" w:rsidRPr="002E116B">
        <w:rPr>
          <w:bCs/>
        </w:rPr>
        <w:t xml:space="preserve">if </w:t>
      </w:r>
      <w:r w:rsidR="00781772" w:rsidRPr="002E116B">
        <w:rPr>
          <w:bCs/>
        </w:rPr>
        <w:t xml:space="preserve">a </w:t>
      </w:r>
      <w:r w:rsidR="00722456" w:rsidRPr="002E116B">
        <w:rPr>
          <w:bCs/>
        </w:rPr>
        <w:t xml:space="preserve">defendant provides </w:t>
      </w:r>
      <w:r w:rsidR="006263C5" w:rsidRPr="002E116B">
        <w:rPr>
          <w:bCs/>
        </w:rPr>
        <w:t xml:space="preserve">statistical </w:t>
      </w:r>
      <w:r w:rsidR="00722456" w:rsidRPr="002E116B">
        <w:rPr>
          <w:bCs/>
        </w:rPr>
        <w:t xml:space="preserve">evidence </w:t>
      </w:r>
      <w:r w:rsidR="006263C5" w:rsidRPr="002E116B">
        <w:rPr>
          <w:bCs/>
        </w:rPr>
        <w:t xml:space="preserve">showing </w:t>
      </w:r>
      <w:r w:rsidR="00722456" w:rsidRPr="002E116B">
        <w:rPr>
          <w:bCs/>
        </w:rPr>
        <w:t xml:space="preserve">a racial disparity in </w:t>
      </w:r>
      <w:r w:rsidR="00772065" w:rsidRPr="002E116B">
        <w:rPr>
          <w:bCs/>
        </w:rPr>
        <w:t xml:space="preserve">the </w:t>
      </w:r>
      <w:r w:rsidR="00722456" w:rsidRPr="002E116B">
        <w:rPr>
          <w:bCs/>
        </w:rPr>
        <w:t xml:space="preserve">charging of nonminority defendants and </w:t>
      </w:r>
      <w:r w:rsidR="00EB02DF" w:rsidRPr="002E116B">
        <w:t>African-American</w:t>
      </w:r>
      <w:r w:rsidR="00722456" w:rsidRPr="002E116B">
        <w:rPr>
          <w:bCs/>
        </w:rPr>
        <w:t xml:space="preserve"> defendants, and provides evidence of nonminority defendant</w:t>
      </w:r>
      <w:r w:rsidR="006263C5" w:rsidRPr="002E116B">
        <w:rPr>
          <w:bCs/>
        </w:rPr>
        <w:t>s</w:t>
      </w:r>
      <w:r w:rsidR="00722456" w:rsidRPr="002E116B">
        <w:rPr>
          <w:bCs/>
        </w:rPr>
        <w:t xml:space="preserve"> who engage in similar conduct and are similarly situated </w:t>
      </w:r>
      <w:r w:rsidR="006263C5" w:rsidRPr="002E116B">
        <w:rPr>
          <w:bCs/>
        </w:rPr>
        <w:t xml:space="preserve">but were charged with lesser crimes than the charged </w:t>
      </w:r>
      <w:r w:rsidR="00EB02DF" w:rsidRPr="002E116B">
        <w:t>African-American</w:t>
      </w:r>
      <w:r w:rsidR="006263C5" w:rsidRPr="002E116B">
        <w:rPr>
          <w:bCs/>
        </w:rPr>
        <w:t xml:space="preserve"> defendant, this is sufficient to show </w:t>
      </w:r>
      <w:r w:rsidR="00E67CD0" w:rsidRPr="002E116B">
        <w:rPr>
          <w:bCs/>
        </w:rPr>
        <w:t>there was m</w:t>
      </w:r>
      <w:r w:rsidR="00722456" w:rsidRPr="002E116B">
        <w:rPr>
          <w:bCs/>
        </w:rPr>
        <w:t>ore than a mere possibility that a violation of section 745, subdivision (a)</w:t>
      </w:r>
      <w:r w:rsidR="009D338C" w:rsidRPr="002E116B">
        <w:rPr>
          <w:bCs/>
        </w:rPr>
        <w:t>,</w:t>
      </w:r>
      <w:r w:rsidR="00722456" w:rsidRPr="002E116B">
        <w:rPr>
          <w:bCs/>
        </w:rPr>
        <w:t xml:space="preserve"> has occurred</w:t>
      </w:r>
      <w:r w:rsidR="006263C5" w:rsidRPr="002E116B">
        <w:rPr>
          <w:bCs/>
        </w:rPr>
        <w:t xml:space="preserve">.  As such, </w:t>
      </w:r>
      <w:r w:rsidR="00E67CD0" w:rsidRPr="002E116B">
        <w:rPr>
          <w:bCs/>
        </w:rPr>
        <w:t xml:space="preserve">a defendant </w:t>
      </w:r>
      <w:r w:rsidR="00722456" w:rsidRPr="002E116B">
        <w:rPr>
          <w:bCs/>
        </w:rPr>
        <w:t xml:space="preserve">has met his burden of establishing a prima facie case.  </w:t>
      </w:r>
      <w:r w:rsidR="006263C5" w:rsidRPr="002E116B">
        <w:rPr>
          <w:bCs/>
        </w:rPr>
        <w:t xml:space="preserve">An evidentiary hearing should be ordered at that </w:t>
      </w:r>
      <w:r w:rsidR="00722456" w:rsidRPr="002E116B">
        <w:rPr>
          <w:bCs/>
        </w:rPr>
        <w:t xml:space="preserve">point to consider </w:t>
      </w:r>
      <w:proofErr w:type="gramStart"/>
      <w:r w:rsidR="00722456" w:rsidRPr="002E116B">
        <w:rPr>
          <w:bCs/>
        </w:rPr>
        <w:t>all of</w:t>
      </w:r>
      <w:proofErr w:type="gramEnd"/>
      <w:r w:rsidR="00722456" w:rsidRPr="002E116B">
        <w:rPr>
          <w:bCs/>
        </w:rPr>
        <w:t xml:space="preserve"> the relevant factors in charging and allow </w:t>
      </w:r>
      <w:r w:rsidR="009D338C" w:rsidRPr="002E116B">
        <w:rPr>
          <w:bCs/>
        </w:rPr>
        <w:t xml:space="preserve">the </w:t>
      </w:r>
      <w:r w:rsidR="00A867A5" w:rsidRPr="002E116B">
        <w:rPr>
          <w:bCs/>
        </w:rPr>
        <w:t>District Attorney</w:t>
      </w:r>
      <w:r w:rsidR="00722456" w:rsidRPr="002E116B">
        <w:rPr>
          <w:bCs/>
        </w:rPr>
        <w:t xml:space="preserve"> to present race-neutral reasons for</w:t>
      </w:r>
      <w:r w:rsidR="006D42F2" w:rsidRPr="002E116B">
        <w:rPr>
          <w:bCs/>
        </w:rPr>
        <w:t xml:space="preserve"> </w:t>
      </w:r>
      <w:r w:rsidR="000420B4" w:rsidRPr="002E116B">
        <w:rPr>
          <w:bCs/>
        </w:rPr>
        <w:t xml:space="preserve">the disparity in </w:t>
      </w:r>
      <w:r w:rsidR="006D42F2" w:rsidRPr="002E116B">
        <w:rPr>
          <w:bCs/>
        </w:rPr>
        <w:t>seeking the death penalty</w:t>
      </w:r>
      <w:r w:rsidR="008D7F0D" w:rsidRPr="002E116B">
        <w:rPr>
          <w:bCs/>
        </w:rPr>
        <w:t>.</w:t>
      </w:r>
    </w:p>
    <w:p w14:paraId="0FD145CB" w14:textId="0AA74D9E" w:rsidR="005B5059" w:rsidRPr="002E116B" w:rsidRDefault="00B85868" w:rsidP="00D17921">
      <w:pPr>
        <w:spacing w:line="480" w:lineRule="auto"/>
        <w:rPr>
          <w:bCs/>
        </w:rPr>
      </w:pPr>
      <w:r w:rsidRPr="002E116B">
        <w:rPr>
          <w:bCs/>
        </w:rPr>
        <w:tab/>
      </w:r>
      <w:r w:rsidR="00837E9E" w:rsidRPr="002E116B">
        <w:rPr>
          <w:bCs/>
        </w:rPr>
        <w:t>While we cannot establish a bright-line rule of what constitutes sufficient evidence of “similar conduct” in all cases, here</w:t>
      </w:r>
      <w:r w:rsidR="00213E78" w:rsidRPr="002E116B">
        <w:rPr>
          <w:bCs/>
        </w:rPr>
        <w:t xml:space="preserve">, </w:t>
      </w:r>
      <w:r w:rsidR="00A867A5" w:rsidRPr="002E116B">
        <w:rPr>
          <w:bCs/>
        </w:rPr>
        <w:t>Petitioner</w:t>
      </w:r>
      <w:r w:rsidR="00837E9E" w:rsidRPr="002E116B">
        <w:rPr>
          <w:bCs/>
        </w:rPr>
        <w:t xml:space="preserve"> in the Second Motion provided the facts of several cases that shared many of the same characteristics </w:t>
      </w:r>
      <w:r w:rsidR="00213E78" w:rsidRPr="002E116B">
        <w:rPr>
          <w:bCs/>
        </w:rPr>
        <w:t xml:space="preserve">as this case, including other drive-by shootings and multiple murders committed by nonminority defendants </w:t>
      </w:r>
      <w:r w:rsidR="00E67CD0" w:rsidRPr="002E116B">
        <w:rPr>
          <w:bCs/>
        </w:rPr>
        <w:t xml:space="preserve">who </w:t>
      </w:r>
      <w:r w:rsidR="00213E78" w:rsidRPr="002E116B">
        <w:rPr>
          <w:bCs/>
        </w:rPr>
        <w:t xml:space="preserve">were not charged with the death penalty.  In addition, </w:t>
      </w:r>
      <w:r w:rsidR="00A867A5" w:rsidRPr="002E116B">
        <w:rPr>
          <w:bCs/>
        </w:rPr>
        <w:t>Petitioner</w:t>
      </w:r>
      <w:r w:rsidR="00213E78" w:rsidRPr="002E116B">
        <w:rPr>
          <w:bCs/>
        </w:rPr>
        <w:t xml:space="preserve"> presented ample evidence that </w:t>
      </w:r>
      <w:r w:rsidR="00D155D8" w:rsidRPr="002E116B">
        <w:rPr>
          <w:bCs/>
        </w:rPr>
        <w:t xml:space="preserve">the </w:t>
      </w:r>
      <w:r w:rsidR="00A867A5" w:rsidRPr="002E116B">
        <w:rPr>
          <w:bCs/>
        </w:rPr>
        <w:t>District Attorney</w:t>
      </w:r>
      <w:r w:rsidR="00213E78" w:rsidRPr="002E116B">
        <w:rPr>
          <w:bCs/>
        </w:rPr>
        <w:t xml:space="preserve">’s capital system more frequently sought convictions for more serious offenses against </w:t>
      </w:r>
      <w:proofErr w:type="gramStart"/>
      <w:r w:rsidR="00EB02DF" w:rsidRPr="002E116B">
        <w:t>African-American</w:t>
      </w:r>
      <w:proofErr w:type="gramEnd"/>
      <w:r w:rsidR="00213E78" w:rsidRPr="002E116B">
        <w:rPr>
          <w:bCs/>
        </w:rPr>
        <w:t xml:space="preserve"> </w:t>
      </w:r>
      <w:r w:rsidR="00213E78" w:rsidRPr="002E116B">
        <w:rPr>
          <w:bCs/>
        </w:rPr>
        <w:lastRenderedPageBreak/>
        <w:t>defendants.  This was enough to provide</w:t>
      </w:r>
      <w:r w:rsidR="00592783" w:rsidRPr="002E116B">
        <w:rPr>
          <w:bCs/>
        </w:rPr>
        <w:t xml:space="preserve"> more than</w:t>
      </w:r>
      <w:r w:rsidR="00213E78" w:rsidRPr="002E116B">
        <w:rPr>
          <w:bCs/>
        </w:rPr>
        <w:t xml:space="preserve"> a “mere possibility” that </w:t>
      </w:r>
      <w:r w:rsidRPr="002E116B">
        <w:rPr>
          <w:bCs/>
        </w:rPr>
        <w:t xml:space="preserve">a </w:t>
      </w:r>
      <w:r w:rsidR="00213E78" w:rsidRPr="002E116B">
        <w:rPr>
          <w:bCs/>
        </w:rPr>
        <w:t>violation of section 745, subdivision (a)</w:t>
      </w:r>
      <w:r w:rsidR="006263C5" w:rsidRPr="002E116B">
        <w:rPr>
          <w:bCs/>
        </w:rPr>
        <w:t>(3)</w:t>
      </w:r>
      <w:r w:rsidR="00781772" w:rsidRPr="002E116B">
        <w:rPr>
          <w:bCs/>
        </w:rPr>
        <w:t>,</w:t>
      </w:r>
      <w:r w:rsidR="00213E78" w:rsidRPr="002E116B">
        <w:rPr>
          <w:bCs/>
        </w:rPr>
        <w:t xml:space="preserve"> had occurred.  The trial court erred by finding </w:t>
      </w:r>
      <w:r w:rsidR="00A867A5" w:rsidRPr="002E116B">
        <w:rPr>
          <w:bCs/>
        </w:rPr>
        <w:t>Petitioner</w:t>
      </w:r>
      <w:r w:rsidR="00213E78" w:rsidRPr="002E116B">
        <w:rPr>
          <w:bCs/>
        </w:rPr>
        <w:t xml:space="preserve"> did not establish </w:t>
      </w:r>
      <w:proofErr w:type="gramStart"/>
      <w:r w:rsidR="00213E78" w:rsidRPr="002E116B">
        <w:rPr>
          <w:bCs/>
        </w:rPr>
        <w:t>a prima facie</w:t>
      </w:r>
      <w:proofErr w:type="gramEnd"/>
      <w:r w:rsidR="00213E78" w:rsidRPr="002E116B">
        <w:rPr>
          <w:bCs/>
        </w:rPr>
        <w:t xml:space="preserve"> showing of a violation.  Once </w:t>
      </w:r>
      <w:r w:rsidR="00A867A5" w:rsidRPr="002E116B">
        <w:rPr>
          <w:bCs/>
        </w:rPr>
        <w:t>Petitioner</w:t>
      </w:r>
      <w:r w:rsidR="00213E78" w:rsidRPr="002E116B">
        <w:rPr>
          <w:bCs/>
        </w:rPr>
        <w:t xml:space="preserve"> presented this evidence, the trial court should have ordered an evidentiary hearing at which the burden shifted to </w:t>
      </w:r>
      <w:r w:rsidR="00E85544" w:rsidRPr="002E116B">
        <w:rPr>
          <w:bCs/>
        </w:rPr>
        <w:t xml:space="preserve">the </w:t>
      </w:r>
      <w:r w:rsidR="00A867A5" w:rsidRPr="002E116B">
        <w:rPr>
          <w:bCs/>
        </w:rPr>
        <w:t>District Attorney</w:t>
      </w:r>
      <w:r w:rsidR="00213E78" w:rsidRPr="002E116B">
        <w:rPr>
          <w:bCs/>
        </w:rPr>
        <w:t xml:space="preserve"> to show the race</w:t>
      </w:r>
      <w:r w:rsidR="006263C5" w:rsidRPr="002E116B">
        <w:rPr>
          <w:bCs/>
        </w:rPr>
        <w:t>-</w:t>
      </w:r>
      <w:r w:rsidR="00213E78" w:rsidRPr="002E116B">
        <w:rPr>
          <w:bCs/>
        </w:rPr>
        <w:t>neutral reason</w:t>
      </w:r>
      <w:r w:rsidR="006263C5" w:rsidRPr="002E116B">
        <w:rPr>
          <w:bCs/>
        </w:rPr>
        <w:t>s</w:t>
      </w:r>
      <w:r w:rsidR="00213E78" w:rsidRPr="002E116B">
        <w:rPr>
          <w:bCs/>
        </w:rPr>
        <w:t xml:space="preserve"> for </w:t>
      </w:r>
      <w:r w:rsidR="000420B4" w:rsidRPr="002E116B">
        <w:rPr>
          <w:bCs/>
        </w:rPr>
        <w:t xml:space="preserve">the disparity in </w:t>
      </w:r>
      <w:r w:rsidR="00D35A60" w:rsidRPr="002E116B">
        <w:rPr>
          <w:bCs/>
        </w:rPr>
        <w:t xml:space="preserve">seeking the death penalty against </w:t>
      </w:r>
      <w:r w:rsidR="00A867A5" w:rsidRPr="002E116B">
        <w:rPr>
          <w:bCs/>
        </w:rPr>
        <w:t>Petitioner</w:t>
      </w:r>
      <w:r w:rsidR="00213E78" w:rsidRPr="002E116B">
        <w:rPr>
          <w:bCs/>
        </w:rPr>
        <w:t xml:space="preserve">, which include the relevant factors to charges </w:t>
      </w:r>
      <w:r w:rsidRPr="002E116B">
        <w:rPr>
          <w:bCs/>
        </w:rPr>
        <w:t>that were not influenced by implicit or systemic ra</w:t>
      </w:r>
      <w:r w:rsidRPr="002E116B">
        <w:rPr>
          <w:bCs/>
        </w:rPr>
        <w:t xml:space="preserve">cial bias.  </w:t>
      </w:r>
      <w:r w:rsidR="006263C5" w:rsidRPr="002E116B">
        <w:rPr>
          <w:bCs/>
        </w:rPr>
        <w:t xml:space="preserve">The trial court, after receiving such evidence, could then </w:t>
      </w:r>
      <w:proofErr w:type="gramStart"/>
      <w:r w:rsidR="006263C5" w:rsidRPr="002E116B">
        <w:rPr>
          <w:bCs/>
        </w:rPr>
        <w:t>make a decision</w:t>
      </w:r>
      <w:proofErr w:type="gramEnd"/>
      <w:r w:rsidR="006263C5" w:rsidRPr="002E116B">
        <w:rPr>
          <w:bCs/>
        </w:rPr>
        <w:t xml:space="preserve"> based on the totality of the evidence. </w:t>
      </w:r>
    </w:p>
    <w:p w14:paraId="6A6F4965" w14:textId="77777777" w:rsidR="00F104A6" w:rsidRPr="002E116B" w:rsidRDefault="00B85868" w:rsidP="00D17921">
      <w:pPr>
        <w:spacing w:line="480" w:lineRule="auto"/>
        <w:jc w:val="center"/>
        <w:rPr>
          <w:b/>
        </w:rPr>
      </w:pPr>
      <w:r w:rsidRPr="002E116B">
        <w:rPr>
          <w:b/>
        </w:rPr>
        <w:t>DISPOSITION</w:t>
      </w:r>
    </w:p>
    <w:p w14:paraId="4A5FA0ED" w14:textId="52997E3C" w:rsidR="00D83FA3" w:rsidRPr="002E116B" w:rsidRDefault="00B85868" w:rsidP="00D17921">
      <w:pPr>
        <w:spacing w:line="480" w:lineRule="auto"/>
      </w:pPr>
      <w:r w:rsidRPr="002E116B">
        <w:tab/>
        <w:t xml:space="preserve">Let a writ of mandate issue directing the Superior Court of </w:t>
      </w:r>
      <w:r w:rsidR="00FD50C3" w:rsidRPr="002E116B">
        <w:t xml:space="preserve">Riverside County </w:t>
      </w:r>
      <w:r w:rsidRPr="002E116B">
        <w:t xml:space="preserve">to vacate its order denying </w:t>
      </w:r>
      <w:r w:rsidR="00A867A5" w:rsidRPr="002E116B">
        <w:t>Petitioner</w:t>
      </w:r>
      <w:r w:rsidRPr="002E116B">
        <w:t xml:space="preserve">’s request for a </w:t>
      </w:r>
      <w:r w:rsidR="00FD50C3" w:rsidRPr="002E116B">
        <w:t>hearing</w:t>
      </w:r>
      <w:r w:rsidR="00052B9D" w:rsidRPr="002E116B">
        <w:t>, and to conduct an evidentiary hearing as set forth in this opinion</w:t>
      </w:r>
      <w:r w:rsidR="005B5059" w:rsidRPr="002E116B">
        <w:t xml:space="preserve">.  </w:t>
      </w:r>
      <w:r w:rsidR="00CE4E2A" w:rsidRPr="002E116B">
        <w:t>The stay ordered on May 4, 2023, is LIFTED.</w:t>
      </w:r>
    </w:p>
    <w:p w14:paraId="51AD79E4" w14:textId="3495251E" w:rsidR="00971B0D" w:rsidRPr="002E116B" w:rsidRDefault="00B85868" w:rsidP="00D17921">
      <w:pPr>
        <w:spacing w:line="480" w:lineRule="auto"/>
      </w:pPr>
      <w:r w:rsidRPr="002E116B">
        <w:tab/>
        <w:t>CERTIFIED FOR PUBLICATION</w:t>
      </w:r>
    </w:p>
    <w:p w14:paraId="2F6D3A91" w14:textId="77777777" w:rsidR="00F468A1" w:rsidRPr="002E116B" w:rsidRDefault="00F468A1" w:rsidP="008D7CFC"/>
    <w:p w14:paraId="0C6C9FDA" w14:textId="77777777" w:rsidR="00F468A1" w:rsidRPr="002E116B" w:rsidRDefault="00B85868" w:rsidP="008D7CFC">
      <w:pPr>
        <w:jc w:val="right"/>
      </w:pPr>
      <w:r w:rsidRPr="002E116B">
        <w:rPr>
          <w:u w:val="single"/>
        </w:rPr>
        <w:t>MILLER</w:t>
      </w:r>
      <w:r w:rsidRPr="002E116B">
        <w:rPr>
          <w:u w:val="single"/>
        </w:rPr>
        <w:tab/>
      </w:r>
      <w:r w:rsidRPr="002E116B">
        <w:rPr>
          <w:u w:val="single"/>
        </w:rPr>
        <w:tab/>
      </w:r>
      <w:r w:rsidRPr="002E116B">
        <w:rPr>
          <w:u w:val="single"/>
        </w:rPr>
        <w:tab/>
      </w:r>
      <w:r w:rsidRPr="002E116B">
        <w:rPr>
          <w:u w:val="single"/>
        </w:rPr>
        <w:tab/>
      </w:r>
    </w:p>
    <w:p w14:paraId="3E3D1323" w14:textId="77777777" w:rsidR="00F468A1" w:rsidRPr="002E116B" w:rsidRDefault="00B85868" w:rsidP="008D7CFC">
      <w:pPr>
        <w:jc w:val="right"/>
      </w:pPr>
      <w:r w:rsidRPr="002E116B">
        <w:t>Acting P. J.</w:t>
      </w:r>
    </w:p>
    <w:p w14:paraId="4813EE3F" w14:textId="77777777" w:rsidR="00F468A1" w:rsidRPr="002E116B" w:rsidRDefault="00F468A1" w:rsidP="008D7CFC"/>
    <w:p w14:paraId="3FA7BA22" w14:textId="77777777" w:rsidR="00F468A1" w:rsidRPr="002E116B" w:rsidRDefault="00F468A1" w:rsidP="008D7CFC"/>
    <w:p w14:paraId="209C7CA0" w14:textId="729F94D9" w:rsidR="00F468A1" w:rsidRPr="002E116B" w:rsidRDefault="00B85868" w:rsidP="008D7CFC">
      <w:r>
        <w:t>I concur</w:t>
      </w:r>
      <w:r w:rsidRPr="002E116B">
        <w:t>:</w:t>
      </w:r>
    </w:p>
    <w:p w14:paraId="2E65CA89" w14:textId="77777777" w:rsidR="00F468A1" w:rsidRPr="002E116B" w:rsidRDefault="00F468A1" w:rsidP="008D7CFC"/>
    <w:p w14:paraId="1217BD65" w14:textId="77777777" w:rsidR="00F468A1" w:rsidRPr="002E116B" w:rsidRDefault="00F468A1" w:rsidP="008D7CFC">
      <w:pPr>
        <w:tabs>
          <w:tab w:val="right" w:pos="2880"/>
        </w:tabs>
        <w:rPr>
          <w:u w:val="single"/>
        </w:rPr>
      </w:pPr>
    </w:p>
    <w:p w14:paraId="33C97414" w14:textId="77777777" w:rsidR="00F468A1" w:rsidRPr="002E116B" w:rsidRDefault="00B85868" w:rsidP="008D7CFC">
      <w:pPr>
        <w:tabs>
          <w:tab w:val="right" w:pos="3600"/>
        </w:tabs>
      </w:pPr>
      <w:r w:rsidRPr="002E116B">
        <w:rPr>
          <w:u w:val="single"/>
        </w:rPr>
        <w:t>CODRINGTON</w:t>
      </w:r>
      <w:r w:rsidRPr="002E116B">
        <w:rPr>
          <w:u w:val="single"/>
        </w:rPr>
        <w:tab/>
      </w:r>
    </w:p>
    <w:p w14:paraId="5276F96F" w14:textId="77777777" w:rsidR="00F468A1" w:rsidRPr="002E116B" w:rsidRDefault="00B85868" w:rsidP="008D7CFC">
      <w:pPr>
        <w:tabs>
          <w:tab w:val="right" w:pos="3600"/>
        </w:tabs>
      </w:pPr>
      <w:r w:rsidRPr="002E116B">
        <w:tab/>
        <w:t>J.</w:t>
      </w:r>
    </w:p>
    <w:p w14:paraId="394BECD1" w14:textId="77777777" w:rsidR="00F468A1" w:rsidRPr="002E116B" w:rsidRDefault="00F468A1" w:rsidP="008D7CFC"/>
    <w:p w14:paraId="30C8F16F" w14:textId="77777777" w:rsidR="00F468A1" w:rsidRPr="002E116B" w:rsidRDefault="00F468A1" w:rsidP="008D7CFC">
      <w:pPr>
        <w:tabs>
          <w:tab w:val="right" w:pos="2880"/>
        </w:tabs>
        <w:rPr>
          <w:u w:val="single"/>
        </w:rPr>
      </w:pPr>
    </w:p>
    <w:p w14:paraId="58BDBDD3" w14:textId="09257985" w:rsidR="00F468A1" w:rsidRPr="002E116B" w:rsidRDefault="00F468A1" w:rsidP="00D17921">
      <w:pPr>
        <w:spacing w:line="480" w:lineRule="auto"/>
      </w:pPr>
    </w:p>
    <w:p w14:paraId="7EF240C4" w14:textId="77777777" w:rsidR="002E116B" w:rsidRDefault="002E116B" w:rsidP="002E116B">
      <w:pPr>
        <w:spacing w:line="480" w:lineRule="auto"/>
        <w:rPr>
          <w:szCs w:val="26"/>
        </w:rPr>
        <w:sectPr w:rsidR="002E116B" w:rsidSect="002E116B">
          <w:pgSz w:w="12240" w:h="15840"/>
          <w:pgMar w:top="1440" w:right="1440" w:bottom="1440" w:left="1440" w:header="720" w:footer="720" w:gutter="144"/>
          <w:pgNumType w:start="1"/>
          <w:cols w:space="720"/>
          <w:docGrid w:linePitch="360"/>
        </w:sectPr>
      </w:pPr>
    </w:p>
    <w:p w14:paraId="6DC97A1F" w14:textId="77777777" w:rsidR="002E116B" w:rsidRPr="002E116B" w:rsidRDefault="00B85868" w:rsidP="002E116B">
      <w:pPr>
        <w:spacing w:line="480" w:lineRule="auto"/>
        <w:rPr>
          <w:szCs w:val="26"/>
        </w:rPr>
      </w:pPr>
      <w:r w:rsidRPr="002E116B">
        <w:rPr>
          <w:szCs w:val="26"/>
        </w:rPr>
        <w:lastRenderedPageBreak/>
        <w:t>[</w:t>
      </w:r>
      <w:r w:rsidRPr="002E116B">
        <w:rPr>
          <w:i/>
          <w:iCs/>
          <w:szCs w:val="26"/>
        </w:rPr>
        <w:t>Mosby v. Superior Court</w:t>
      </w:r>
      <w:r w:rsidRPr="002E116B">
        <w:rPr>
          <w:szCs w:val="26"/>
        </w:rPr>
        <w:t>, E080924]</w:t>
      </w:r>
    </w:p>
    <w:p w14:paraId="655EF42A" w14:textId="77777777" w:rsidR="002E116B" w:rsidRPr="002E116B" w:rsidRDefault="00B85868" w:rsidP="002E116B">
      <w:pPr>
        <w:spacing w:line="480" w:lineRule="auto"/>
        <w:rPr>
          <w:szCs w:val="26"/>
        </w:rPr>
      </w:pPr>
      <w:r w:rsidRPr="002E116B">
        <w:rPr>
          <w:szCs w:val="26"/>
        </w:rPr>
        <w:t>MENETREZ, J., Concurring.</w:t>
      </w:r>
    </w:p>
    <w:p w14:paraId="06C9E7AC" w14:textId="77777777" w:rsidR="002E116B" w:rsidRPr="002E116B" w:rsidRDefault="00B85868" w:rsidP="002E116B">
      <w:pPr>
        <w:spacing w:line="480" w:lineRule="auto"/>
        <w:rPr>
          <w:szCs w:val="26"/>
        </w:rPr>
      </w:pPr>
      <w:r w:rsidRPr="002E116B">
        <w:rPr>
          <w:szCs w:val="26"/>
        </w:rPr>
        <w:tab/>
        <w:t xml:space="preserve">Defendant Michael Earl Mosby III was charged in Riverside County Superior Court with murder with special circumstances, and the prosecution gave notice that it intended to seek the death penalty.  Mosby filed a motion for a hearing under the California Racial Justice Act of 2020 (Stats. 2020, </w:t>
      </w:r>
      <w:proofErr w:type="spellStart"/>
      <w:r w:rsidRPr="002E116B">
        <w:rPr>
          <w:szCs w:val="26"/>
        </w:rPr>
        <w:t>ch.</w:t>
      </w:r>
      <w:proofErr w:type="spellEnd"/>
      <w:r w:rsidRPr="002E116B">
        <w:rPr>
          <w:szCs w:val="26"/>
        </w:rPr>
        <w:t xml:space="preserve"> 317, § 1) (RJA).  Mosby, who is Black, presented statistical evidence showing significant racial disparities concerning the death penalty in Riverside County.  The evidence showed that Black defendants are charged with murder, charged with special circumstances, and subject to death notices at rates far higher than their proportion of the adult population in Riverside County, and that the corresponding rates for White defendants are far lower than their proportion of the adult population.  Mosby’s stati</w:t>
      </w:r>
      <w:r w:rsidRPr="002E116B">
        <w:rPr>
          <w:szCs w:val="26"/>
        </w:rPr>
        <w:t>stical evidence also included regression analyses showing that (1) “[e]</w:t>
      </w:r>
      <w:proofErr w:type="spellStart"/>
      <w:r w:rsidRPr="002E116B">
        <w:rPr>
          <w:szCs w:val="26"/>
        </w:rPr>
        <w:t>ven</w:t>
      </w:r>
      <w:proofErr w:type="spellEnd"/>
      <w:r w:rsidRPr="002E116B">
        <w:rPr>
          <w:szCs w:val="26"/>
        </w:rPr>
        <w:t xml:space="preserve"> after controlling for important legally relevant factors like the presence of multiple victims or a felony, logistic regression results indicate that murders with Black and Hispanic defendants are more likely to involve a special circumstance, a death notice, and a death verdict,” (2) similar disparities occur with respect to Black victims and White victims, and (3) the disparities “are especially pronounced in cases involving White </w:t>
      </w:r>
      <w:r w:rsidRPr="002E116B">
        <w:rPr>
          <w:szCs w:val="26"/>
        </w:rPr>
        <w:t>victims and minority defendants.”</w:t>
      </w:r>
    </w:p>
    <w:p w14:paraId="0AC960FE" w14:textId="77777777" w:rsidR="002E116B" w:rsidRPr="002E116B" w:rsidRDefault="00B85868" w:rsidP="002E116B">
      <w:pPr>
        <w:spacing w:line="480" w:lineRule="auto"/>
        <w:rPr>
          <w:szCs w:val="26"/>
        </w:rPr>
      </w:pPr>
      <w:r w:rsidRPr="002E116B">
        <w:rPr>
          <w:szCs w:val="26"/>
        </w:rPr>
        <w:tab/>
        <w:t xml:space="preserve">The trial court denied Mosby’s motion without prejudice, ruling that more than statistical evidence is required to make a prima facie case under the RJA.  Mosby then filed a second motion seeking the same relief, supported both by the statistical evidence proffered in support of the first motion and by additional, nonstatistical evidence, </w:t>
      </w:r>
      <w:proofErr w:type="gramStart"/>
      <w:r w:rsidRPr="002E116B">
        <w:rPr>
          <w:szCs w:val="26"/>
        </w:rPr>
        <w:t xml:space="preserve">in an </w:t>
      </w:r>
      <w:r w:rsidRPr="002E116B">
        <w:rPr>
          <w:szCs w:val="26"/>
        </w:rPr>
        <w:lastRenderedPageBreak/>
        <w:t>effort to</w:t>
      </w:r>
      <w:proofErr w:type="gramEnd"/>
      <w:r w:rsidRPr="002E116B">
        <w:rPr>
          <w:szCs w:val="26"/>
        </w:rPr>
        <w:t xml:space="preserve"> meet the standard set by the court when it denied the first motion.  The court denied the second motion, concluding that Mosby’s evidence was still not sufficient to make a prima facie case.</w:t>
      </w:r>
    </w:p>
    <w:p w14:paraId="6A9AA9E4" w14:textId="77777777" w:rsidR="002E116B" w:rsidRPr="002E116B" w:rsidRDefault="00B85868" w:rsidP="002E116B">
      <w:pPr>
        <w:spacing w:line="480" w:lineRule="auto"/>
        <w:rPr>
          <w:szCs w:val="26"/>
        </w:rPr>
      </w:pPr>
      <w:r w:rsidRPr="002E116B">
        <w:rPr>
          <w:szCs w:val="26"/>
        </w:rPr>
        <w:tab/>
        <w:t>In his petition for writ review of the trial court’s rulings, Mosby argues that statistical evidence can be sufficient on its own to make a prima facie case of a violation of the RJA, and he argues that his statistical evidence was in fact sufficient.  I agree, and I would grant the petition on that basis.</w:t>
      </w:r>
    </w:p>
    <w:p w14:paraId="4A7483D1" w14:textId="77777777" w:rsidR="002E116B" w:rsidRPr="002E116B" w:rsidRDefault="00B85868" w:rsidP="002E116B">
      <w:pPr>
        <w:spacing w:line="480" w:lineRule="auto"/>
        <w:rPr>
          <w:i/>
          <w:iCs/>
          <w:szCs w:val="26"/>
        </w:rPr>
      </w:pPr>
      <w:r w:rsidRPr="002E116B">
        <w:rPr>
          <w:szCs w:val="26"/>
        </w:rPr>
        <w:tab/>
      </w:r>
      <w:r w:rsidRPr="002E116B">
        <w:rPr>
          <w:szCs w:val="26"/>
        </w:rPr>
        <w:t>A.</w:t>
      </w:r>
      <w:r w:rsidRPr="002E116B">
        <w:rPr>
          <w:szCs w:val="26"/>
        </w:rPr>
        <w:tab/>
      </w:r>
      <w:r w:rsidRPr="002E116B">
        <w:rPr>
          <w:i/>
          <w:iCs/>
          <w:szCs w:val="26"/>
        </w:rPr>
        <w:t>Statutory Background</w:t>
      </w:r>
    </w:p>
    <w:p w14:paraId="72F1C9A8" w14:textId="77777777" w:rsidR="002E116B" w:rsidRPr="002E116B" w:rsidRDefault="00B85868" w:rsidP="002E116B">
      <w:pPr>
        <w:spacing w:line="480" w:lineRule="auto"/>
        <w:rPr>
          <w:szCs w:val="26"/>
        </w:rPr>
      </w:pPr>
      <w:r w:rsidRPr="002E116B">
        <w:rPr>
          <w:szCs w:val="26"/>
        </w:rPr>
        <w:tab/>
        <w:t xml:space="preserve">The RJA provides that “[t]he </w:t>
      </w:r>
      <w:proofErr w:type="gramStart"/>
      <w:r w:rsidRPr="002E116B">
        <w:rPr>
          <w:szCs w:val="26"/>
        </w:rPr>
        <w:t>state</w:t>
      </w:r>
      <w:proofErr w:type="gramEnd"/>
      <w:r w:rsidRPr="002E116B">
        <w:rPr>
          <w:szCs w:val="26"/>
        </w:rPr>
        <w:t xml:space="preserve"> shall not seek or obtain a criminal conviction or seek, obtain, or impose a sentence on the basis of race, ethnicity, or national origin.”  (Pen. Code, § 745, subd. (a); unlabeled statutory citations are to this code.)  The statute further “sets forth four categories of conduct, any of which, if proved, is enough to ‘establish’ a violation of section 745, subdivision (a).”  (</w:t>
      </w:r>
      <w:r w:rsidRPr="002E116B">
        <w:rPr>
          <w:i/>
          <w:iCs/>
          <w:szCs w:val="26"/>
        </w:rPr>
        <w:t>Young v. Superior Court</w:t>
      </w:r>
      <w:r w:rsidRPr="002E116B">
        <w:rPr>
          <w:szCs w:val="26"/>
        </w:rPr>
        <w:t xml:space="preserve"> (2022) 79 Cal.App.5th 138, 147 (</w:t>
      </w:r>
      <w:r w:rsidRPr="002E116B">
        <w:rPr>
          <w:i/>
          <w:iCs/>
          <w:szCs w:val="26"/>
        </w:rPr>
        <w:t>Young</w:t>
      </w:r>
      <w:r w:rsidRPr="002E116B">
        <w:rPr>
          <w:szCs w:val="26"/>
        </w:rPr>
        <w:t>).)  One of the categories under which Mosby seeks relief is subdiv</w:t>
      </w:r>
      <w:r w:rsidRPr="002E116B">
        <w:rPr>
          <w:szCs w:val="26"/>
        </w:rPr>
        <w:t>ision (a)(3) of section 745:  “The defendant was charged or convicted of a more serious offense than defendants of other races, ethnicities, or national origins who commit similar offenses and are similarly situated, and the evidence establishes that the prosecution more frequently sought or obtained convictions for more serious offenses against people who share the defendant’s race, ethnicity, or national origin in the county where the convictions were sought or obtained.”  The statute also explains that “</w:t>
      </w:r>
      <w:r w:rsidRPr="002E116B">
        <w:rPr>
          <w:szCs w:val="26"/>
        </w:rPr>
        <w:t xml:space="preserve">‘[m]ore frequently sought or obtained’ or ‘more frequently imposed’ means that the totality of the evidence demonstrates a significant difference in seeking or obtaining </w:t>
      </w:r>
      <w:r w:rsidRPr="002E116B">
        <w:rPr>
          <w:szCs w:val="26"/>
        </w:rPr>
        <w:lastRenderedPageBreak/>
        <w:t>convictions or in imposing sentences comparing individuals who have engaged in similar conduct and are similarly situated, and the prosecution cannot establish race-neutral reasons for the disparity.”  (§ 745, subd. (h)(1).)</w:t>
      </w:r>
    </w:p>
    <w:p w14:paraId="40D21EFA" w14:textId="77777777" w:rsidR="002E116B" w:rsidRPr="002E116B" w:rsidRDefault="00B85868" w:rsidP="002E116B">
      <w:pPr>
        <w:spacing w:line="480" w:lineRule="auto"/>
        <w:rPr>
          <w:szCs w:val="26"/>
        </w:rPr>
      </w:pPr>
      <w:r w:rsidRPr="002E116B">
        <w:rPr>
          <w:szCs w:val="26"/>
        </w:rPr>
        <w:tab/>
        <w:t xml:space="preserve">If a defendant files a motion alleging a violation of subdivision (a) of section 745, and the defendant “makes </w:t>
      </w:r>
      <w:proofErr w:type="gramStart"/>
      <w:r w:rsidRPr="002E116B">
        <w:rPr>
          <w:szCs w:val="26"/>
        </w:rPr>
        <w:t>a prima facie</w:t>
      </w:r>
      <w:proofErr w:type="gramEnd"/>
      <w:r w:rsidRPr="002E116B">
        <w:rPr>
          <w:szCs w:val="26"/>
        </w:rPr>
        <w:t xml:space="preserve"> showing” of such a violation, then “the trial court shall hold a hearing.”  (§ 745, subd. (c).)  The statute defines “prima facie showing” as follows:  It “means that the defendant produces facts that, if true, establish that there is a substantial likelihood that a violation of subdivision (a) occurred.  For purposes of this section, a ‘substantial likelihood’ requires more than a mere possibility, but less than a standard of more likely than not.”  (§ 745, subd. (h)(2).)</w:t>
      </w:r>
    </w:p>
    <w:p w14:paraId="57FB3ADB" w14:textId="77777777" w:rsidR="002E116B" w:rsidRPr="002E116B" w:rsidRDefault="00B85868" w:rsidP="002E116B">
      <w:pPr>
        <w:spacing w:line="480" w:lineRule="auto"/>
        <w:rPr>
          <w:szCs w:val="26"/>
        </w:rPr>
      </w:pPr>
      <w:r w:rsidRPr="002E116B">
        <w:rPr>
          <w:szCs w:val="26"/>
        </w:rPr>
        <w:tab/>
        <w:t xml:space="preserve">At the subsequent hearing conducted if the defendant makes </w:t>
      </w:r>
      <w:proofErr w:type="gramStart"/>
      <w:r w:rsidRPr="002E116B">
        <w:rPr>
          <w:szCs w:val="26"/>
        </w:rPr>
        <w:t>a prima facie</w:t>
      </w:r>
      <w:proofErr w:type="gramEnd"/>
      <w:r w:rsidRPr="002E116B">
        <w:rPr>
          <w:szCs w:val="26"/>
        </w:rPr>
        <w:t xml:space="preserve"> showing, “evidence may be presented by either party, including, but not limited to, statistical evidence, aggregate data, expert testimony, and the sworn testimony of witnesses.  The court may also appoint an independent expert.  </w:t>
      </w:r>
      <w:proofErr w:type="gramStart"/>
      <w:r w:rsidRPr="002E116B">
        <w:rPr>
          <w:szCs w:val="26"/>
        </w:rPr>
        <w:t>For the purpose of</w:t>
      </w:r>
      <w:proofErr w:type="gramEnd"/>
      <w:r w:rsidRPr="002E116B">
        <w:rPr>
          <w:szCs w:val="26"/>
        </w:rPr>
        <w:t xml:space="preserve"> a motion and hearing under this section, out-of-court statements that the court finds trustworthy and reliable, statistical evidence, and aggregated data are admissible for the limited purpose of determining whether a violation of subdivision (a) ha</w:t>
      </w:r>
      <w:r w:rsidRPr="002E116B">
        <w:rPr>
          <w:szCs w:val="26"/>
        </w:rPr>
        <w:t xml:space="preserve">s occurred.”  (§ 745, subd. (c)(1).)  At the hearing, the defendant bears the burden of proof by a preponderance of the evidence, but “[t]he defendant does not need to prove intentional discrimination” </w:t>
      </w:r>
      <w:proofErr w:type="gramStart"/>
      <w:r w:rsidRPr="002E116B">
        <w:rPr>
          <w:szCs w:val="26"/>
        </w:rPr>
        <w:t>in order to</w:t>
      </w:r>
      <w:proofErr w:type="gramEnd"/>
      <w:r w:rsidRPr="002E116B">
        <w:rPr>
          <w:szCs w:val="26"/>
        </w:rPr>
        <w:t xml:space="preserve"> prevail.  (§ 745, subd. (c)(2).)</w:t>
      </w:r>
    </w:p>
    <w:p w14:paraId="5C0DBBD3" w14:textId="77777777" w:rsidR="002E116B" w:rsidRPr="002E116B" w:rsidRDefault="00B85868" w:rsidP="002E116B">
      <w:pPr>
        <w:keepNext/>
        <w:keepLines/>
        <w:spacing w:line="480" w:lineRule="auto"/>
        <w:rPr>
          <w:i/>
          <w:iCs/>
          <w:szCs w:val="26"/>
        </w:rPr>
      </w:pPr>
      <w:r w:rsidRPr="002E116B">
        <w:rPr>
          <w:szCs w:val="26"/>
        </w:rPr>
        <w:lastRenderedPageBreak/>
        <w:tab/>
        <w:t>B.</w:t>
      </w:r>
      <w:r w:rsidRPr="002E116B">
        <w:rPr>
          <w:szCs w:val="26"/>
        </w:rPr>
        <w:tab/>
        <w:t>McCleskey</w:t>
      </w:r>
      <w:r w:rsidRPr="002E116B">
        <w:rPr>
          <w:i/>
          <w:iCs/>
          <w:szCs w:val="26"/>
        </w:rPr>
        <w:t>, the RJA, and Statistical Evidence</w:t>
      </w:r>
    </w:p>
    <w:p w14:paraId="15EB6672" w14:textId="77777777" w:rsidR="002E116B" w:rsidRPr="002E116B" w:rsidRDefault="00B85868" w:rsidP="002E116B">
      <w:pPr>
        <w:spacing w:line="480" w:lineRule="auto"/>
        <w:rPr>
          <w:szCs w:val="26"/>
        </w:rPr>
      </w:pPr>
      <w:r w:rsidRPr="002E116B">
        <w:rPr>
          <w:szCs w:val="26"/>
        </w:rPr>
        <w:tab/>
        <w:t xml:space="preserve">In my view, the relationship between the RJA and </w:t>
      </w:r>
      <w:r w:rsidRPr="002E116B">
        <w:rPr>
          <w:i/>
          <w:iCs/>
          <w:szCs w:val="26"/>
        </w:rPr>
        <w:t>McCleskey v. Kemp</w:t>
      </w:r>
      <w:r w:rsidRPr="002E116B">
        <w:rPr>
          <w:szCs w:val="26"/>
        </w:rPr>
        <w:t xml:space="preserve"> (1987) 481 U.S. 279 (</w:t>
      </w:r>
      <w:r w:rsidRPr="002E116B">
        <w:rPr>
          <w:i/>
          <w:iCs/>
          <w:szCs w:val="26"/>
        </w:rPr>
        <w:t>McCleskey</w:t>
      </w:r>
      <w:r w:rsidRPr="002E116B">
        <w:rPr>
          <w:szCs w:val="26"/>
        </w:rPr>
        <w:t>) shows that the trial court’s ruling—that statistical evidence cannot be sufficient to make a prima facie case—cannot be correct.</w:t>
      </w:r>
    </w:p>
    <w:p w14:paraId="02C5E043" w14:textId="77777777" w:rsidR="002E116B" w:rsidRPr="002E116B" w:rsidRDefault="00B85868" w:rsidP="002E116B">
      <w:pPr>
        <w:spacing w:line="480" w:lineRule="auto"/>
        <w:rPr>
          <w:szCs w:val="26"/>
        </w:rPr>
      </w:pPr>
      <w:r w:rsidRPr="002E116B">
        <w:rPr>
          <w:szCs w:val="26"/>
        </w:rPr>
        <w:tab/>
        <w:t xml:space="preserve">In </w:t>
      </w:r>
      <w:r w:rsidRPr="002E116B">
        <w:rPr>
          <w:i/>
          <w:iCs/>
          <w:szCs w:val="26"/>
        </w:rPr>
        <w:t>McCleskey</w:t>
      </w:r>
      <w:r w:rsidRPr="002E116B">
        <w:rPr>
          <w:szCs w:val="26"/>
        </w:rPr>
        <w:t>, a defendant who had been sentenced to death in Georgia argued that his conviction and sentence were unconstitutional because statistical evidence “show[ed] a disparity in the imposition of the death sentence in Georgia based on the race of the murder victim and, to a lesser extent, the race of the defendant,” a disparity that persisted “even after taking account of 39 nonracial variables.”  (</w:t>
      </w:r>
      <w:r w:rsidRPr="002E116B">
        <w:rPr>
          <w:i/>
          <w:iCs/>
          <w:szCs w:val="26"/>
        </w:rPr>
        <w:t>McCleskey</w:t>
      </w:r>
      <w:r w:rsidRPr="002E116B">
        <w:rPr>
          <w:szCs w:val="26"/>
        </w:rPr>
        <w:t xml:space="preserve">, </w:t>
      </w:r>
      <w:r w:rsidRPr="002E116B">
        <w:rPr>
          <w:i/>
          <w:iCs/>
          <w:szCs w:val="26"/>
        </w:rPr>
        <w:t>supra</w:t>
      </w:r>
      <w:r w:rsidRPr="002E116B">
        <w:rPr>
          <w:szCs w:val="26"/>
        </w:rPr>
        <w:t>, 481 U.S. at pp. 286-287.)  The Supreme Court rejected the defendant’s constitutional cla</w:t>
      </w:r>
      <w:r w:rsidRPr="002E116B">
        <w:rPr>
          <w:szCs w:val="26"/>
        </w:rPr>
        <w:t>im, concluding that the statistical evidence “[a]t most . . . indicates a discrepancy that appears to correlate with race.”  (</w:t>
      </w:r>
      <w:r w:rsidRPr="002E116B">
        <w:rPr>
          <w:i/>
          <w:iCs/>
          <w:szCs w:val="26"/>
        </w:rPr>
        <w:t>Id.</w:t>
      </w:r>
      <w:r w:rsidRPr="002E116B">
        <w:rPr>
          <w:szCs w:val="26"/>
        </w:rPr>
        <w:t xml:space="preserve"> at p. 312.)  The court reaffirmed “the basic principle that a defendant who alleges an equal protection violation has the burden of proving ‘the existence of purposeful discrimination.’”  (</w:t>
      </w:r>
      <w:r w:rsidRPr="002E116B">
        <w:rPr>
          <w:i/>
          <w:iCs/>
          <w:szCs w:val="26"/>
        </w:rPr>
        <w:t>Id.</w:t>
      </w:r>
      <w:r w:rsidRPr="002E116B">
        <w:rPr>
          <w:szCs w:val="26"/>
        </w:rPr>
        <w:t xml:space="preserve"> at p. 292.)  And the court concluded that the statistical evidence before it was “clearly insufficient to support an inference that any of the decisionmakers in McCleskey’s case acted with </w:t>
      </w:r>
      <w:r w:rsidRPr="002E116B">
        <w:rPr>
          <w:szCs w:val="26"/>
        </w:rPr>
        <w:t>discriminatory purpose.”  (</w:t>
      </w:r>
      <w:r w:rsidRPr="002E116B">
        <w:rPr>
          <w:i/>
          <w:iCs/>
          <w:szCs w:val="26"/>
        </w:rPr>
        <w:t>Id.</w:t>
      </w:r>
      <w:r w:rsidRPr="002E116B">
        <w:rPr>
          <w:szCs w:val="26"/>
        </w:rPr>
        <w:t xml:space="preserve"> at p. 297.)  Four justices dissented, with Justice Brennan observing that the majority’s concern “that recognition of McCleskey’s claim would open the door to widespread challenges to all aspects of criminal sentencing . . . seems to suggest a fear of too much justice.”  (</w:t>
      </w:r>
      <w:r w:rsidRPr="002E116B">
        <w:rPr>
          <w:i/>
          <w:iCs/>
          <w:szCs w:val="26"/>
        </w:rPr>
        <w:t>Id.</w:t>
      </w:r>
      <w:r w:rsidRPr="002E116B">
        <w:rPr>
          <w:szCs w:val="26"/>
        </w:rPr>
        <w:t xml:space="preserve"> at p. 339 (dis. </w:t>
      </w:r>
      <w:proofErr w:type="spellStart"/>
      <w:r w:rsidRPr="002E116B">
        <w:rPr>
          <w:szCs w:val="26"/>
        </w:rPr>
        <w:t>opn</w:t>
      </w:r>
      <w:proofErr w:type="spellEnd"/>
      <w:r w:rsidRPr="002E116B">
        <w:rPr>
          <w:szCs w:val="26"/>
        </w:rPr>
        <w:t>. of Brennan, J.).)</w:t>
      </w:r>
    </w:p>
    <w:p w14:paraId="7C390A55" w14:textId="77777777" w:rsidR="002E116B" w:rsidRPr="002E116B" w:rsidRDefault="00B85868" w:rsidP="002E116B">
      <w:pPr>
        <w:spacing w:line="480" w:lineRule="auto"/>
        <w:rPr>
          <w:szCs w:val="26"/>
        </w:rPr>
      </w:pPr>
      <w:r w:rsidRPr="002E116B">
        <w:rPr>
          <w:szCs w:val="26"/>
        </w:rPr>
        <w:tab/>
        <w:t xml:space="preserve">“There is little doubt which side of the </w:t>
      </w:r>
      <w:r w:rsidRPr="002E116B">
        <w:rPr>
          <w:i/>
          <w:iCs/>
          <w:szCs w:val="26"/>
        </w:rPr>
        <w:t>McCleskey</w:t>
      </w:r>
      <w:r w:rsidRPr="002E116B">
        <w:rPr>
          <w:szCs w:val="26"/>
        </w:rPr>
        <w:t xml:space="preserve"> debate our Legislature has aligned California with by statute.”  (</w:t>
      </w:r>
      <w:r w:rsidRPr="002E116B">
        <w:rPr>
          <w:i/>
          <w:iCs/>
          <w:szCs w:val="26"/>
        </w:rPr>
        <w:t>Young</w:t>
      </w:r>
      <w:r w:rsidRPr="002E116B">
        <w:rPr>
          <w:szCs w:val="26"/>
        </w:rPr>
        <w:t xml:space="preserve">, </w:t>
      </w:r>
      <w:r w:rsidRPr="002E116B">
        <w:rPr>
          <w:i/>
          <w:iCs/>
          <w:szCs w:val="26"/>
        </w:rPr>
        <w:t>supra</w:t>
      </w:r>
      <w:r w:rsidRPr="002E116B">
        <w:rPr>
          <w:szCs w:val="26"/>
        </w:rPr>
        <w:t xml:space="preserve">, 79 Cal.App.5th at p. 152.)  The </w:t>
      </w:r>
      <w:r w:rsidRPr="002E116B">
        <w:rPr>
          <w:szCs w:val="26"/>
        </w:rPr>
        <w:lastRenderedPageBreak/>
        <w:t xml:space="preserve">RJA’s legislative findings cite </w:t>
      </w:r>
      <w:r w:rsidRPr="002E116B">
        <w:rPr>
          <w:i/>
          <w:iCs/>
          <w:szCs w:val="26"/>
        </w:rPr>
        <w:t>McCleskey</w:t>
      </w:r>
      <w:r w:rsidRPr="002E116B">
        <w:rPr>
          <w:szCs w:val="26"/>
        </w:rPr>
        <w:t xml:space="preserve"> for the proposition that “[e]</w:t>
      </w:r>
      <w:proofErr w:type="spellStart"/>
      <w:r w:rsidRPr="002E116B">
        <w:rPr>
          <w:szCs w:val="26"/>
        </w:rPr>
        <w:t>xisting</w:t>
      </w:r>
      <w:proofErr w:type="spellEnd"/>
      <w:r w:rsidRPr="002E116B">
        <w:rPr>
          <w:szCs w:val="26"/>
        </w:rPr>
        <w:t xml:space="preserve"> precedent . . . accepts racial disparities in our criminal justice system as inevitable” (Assem. Bill No. 2542 (2019-2020 Reg. Sess.) § 2, subd. (f) (Assembly Bill 2542)), and the findings then state that “[</w:t>
      </w:r>
      <w:proofErr w:type="spellStart"/>
      <w:r w:rsidRPr="002E116B">
        <w:rPr>
          <w:szCs w:val="26"/>
        </w:rPr>
        <w:t>i</w:t>
      </w:r>
      <w:proofErr w:type="spellEnd"/>
      <w:r w:rsidRPr="002E116B">
        <w:rPr>
          <w:szCs w:val="26"/>
        </w:rPr>
        <w:t>]t is the intent of the Legislature to reject the conclusion that racial disparities within our crimina</w:t>
      </w:r>
      <w:r w:rsidRPr="002E116B">
        <w:rPr>
          <w:szCs w:val="26"/>
        </w:rPr>
        <w:t>l justice are inevitable, and to actively work to eradicate them” (</w:t>
      </w:r>
      <w:r w:rsidRPr="002E116B">
        <w:rPr>
          <w:i/>
          <w:iCs/>
          <w:szCs w:val="26"/>
        </w:rPr>
        <w:t>id</w:t>
      </w:r>
      <w:r w:rsidRPr="002E116B">
        <w:rPr>
          <w:szCs w:val="26"/>
        </w:rPr>
        <w:t>., subd. (</w:t>
      </w:r>
      <w:proofErr w:type="spellStart"/>
      <w:proofErr w:type="gramStart"/>
      <w:r w:rsidRPr="002E116B">
        <w:rPr>
          <w:szCs w:val="26"/>
        </w:rPr>
        <w:t>i</w:t>
      </w:r>
      <w:proofErr w:type="spellEnd"/>
      <w:r w:rsidRPr="002E116B">
        <w:rPr>
          <w:szCs w:val="26"/>
        </w:rPr>
        <w:t>))</w:t>
      </w:r>
      <w:proofErr w:type="gramEnd"/>
      <w:r w:rsidRPr="002E116B">
        <w:rPr>
          <w:szCs w:val="26"/>
        </w:rPr>
        <w:t xml:space="preserve">.  Directly contrary to </w:t>
      </w:r>
      <w:r w:rsidRPr="002E116B">
        <w:rPr>
          <w:i/>
          <w:iCs/>
          <w:szCs w:val="26"/>
        </w:rPr>
        <w:t>McCleskey</w:t>
      </w:r>
      <w:r w:rsidRPr="002E116B">
        <w:rPr>
          <w:szCs w:val="26"/>
        </w:rPr>
        <w:t>’s requirement that an equal protection claimant prove “purposeful discrimination” (</w:t>
      </w:r>
      <w:r w:rsidRPr="002E116B">
        <w:rPr>
          <w:i/>
          <w:iCs/>
          <w:szCs w:val="26"/>
        </w:rPr>
        <w:t>McCleskey</w:t>
      </w:r>
      <w:r w:rsidRPr="002E116B">
        <w:rPr>
          <w:szCs w:val="26"/>
        </w:rPr>
        <w:t xml:space="preserve">, </w:t>
      </w:r>
      <w:r w:rsidRPr="002E116B">
        <w:rPr>
          <w:i/>
          <w:iCs/>
          <w:szCs w:val="26"/>
        </w:rPr>
        <w:t>supra</w:t>
      </w:r>
      <w:r w:rsidRPr="002E116B">
        <w:rPr>
          <w:szCs w:val="26"/>
        </w:rPr>
        <w:t xml:space="preserve">, 481 U.S. at p. 292), the findings acknowledge the existence of “implicit bias,” which is “often unintentional and unconscious,” and the findings express the Legislature’s intent “to remedy the harm to the defendant’s case and to the integrity of the judicial system” caused by such bias (Assem. </w:t>
      </w:r>
      <w:r w:rsidRPr="002E116B">
        <w:rPr>
          <w:szCs w:val="26"/>
        </w:rPr>
        <w:t>Bill 2542, § 2, subd. (</w:t>
      </w:r>
      <w:proofErr w:type="spellStart"/>
      <w:proofErr w:type="gramStart"/>
      <w:r w:rsidRPr="002E116B">
        <w:rPr>
          <w:szCs w:val="26"/>
        </w:rPr>
        <w:t>i</w:t>
      </w:r>
      <w:proofErr w:type="spellEnd"/>
      <w:r w:rsidRPr="002E116B">
        <w:rPr>
          <w:szCs w:val="26"/>
        </w:rPr>
        <w:t>))</w:t>
      </w:r>
      <w:proofErr w:type="gramEnd"/>
      <w:r w:rsidRPr="002E116B">
        <w:rPr>
          <w:szCs w:val="26"/>
        </w:rPr>
        <w:t>.  Accordingly, the RJA provides that “[t]he defendant does not need to prove intentional discrimination.”  (§ 745, subd. (c)(2).)</w:t>
      </w:r>
    </w:p>
    <w:p w14:paraId="334E4E3A" w14:textId="77777777" w:rsidR="002E116B" w:rsidRPr="002E116B" w:rsidRDefault="00B85868" w:rsidP="002E116B">
      <w:pPr>
        <w:spacing w:line="480" w:lineRule="auto"/>
        <w:rPr>
          <w:szCs w:val="26"/>
        </w:rPr>
      </w:pPr>
      <w:r w:rsidRPr="002E116B">
        <w:rPr>
          <w:szCs w:val="26"/>
        </w:rPr>
        <w:tab/>
        <w:t xml:space="preserve">Considered </w:t>
      </w:r>
      <w:proofErr w:type="gramStart"/>
      <w:r w:rsidRPr="002E116B">
        <w:rPr>
          <w:szCs w:val="26"/>
        </w:rPr>
        <w:t>in light of</w:t>
      </w:r>
      <w:proofErr w:type="gramEnd"/>
      <w:r w:rsidRPr="002E116B">
        <w:rPr>
          <w:szCs w:val="26"/>
        </w:rPr>
        <w:t xml:space="preserve"> that background, the trial court’s conclusion that statistical evidence cannot be sufficient to make a prima facie case under the RJA must be mistaken.  </w:t>
      </w:r>
      <w:r w:rsidRPr="002E116B">
        <w:rPr>
          <w:i/>
          <w:iCs/>
          <w:szCs w:val="26"/>
        </w:rPr>
        <w:t>McCleskey</w:t>
      </w:r>
      <w:r w:rsidRPr="002E116B">
        <w:rPr>
          <w:szCs w:val="26"/>
        </w:rPr>
        <w:t xml:space="preserve"> held that statistical evidence cannot be sufficient to prove purposeful discrimination and hence cannot be sufficient </w:t>
      </w:r>
      <w:r w:rsidRPr="002E116B">
        <w:rPr>
          <w:i/>
          <w:iCs/>
          <w:szCs w:val="26"/>
        </w:rPr>
        <w:t>to prevail</w:t>
      </w:r>
      <w:r w:rsidRPr="002E116B">
        <w:rPr>
          <w:szCs w:val="26"/>
        </w:rPr>
        <w:t xml:space="preserve"> on an equal protection claim.  In enacting the RJA, the Legislature expressly rejected </w:t>
      </w:r>
      <w:r w:rsidRPr="002E116B">
        <w:rPr>
          <w:i/>
          <w:iCs/>
          <w:szCs w:val="26"/>
        </w:rPr>
        <w:t>McCleskey</w:t>
      </w:r>
      <w:r w:rsidRPr="002E116B">
        <w:rPr>
          <w:szCs w:val="26"/>
        </w:rPr>
        <w:t xml:space="preserve"> and the requirement to prove intentional discrimination, expressly seeking to provide remedies for implicit bia</w:t>
      </w:r>
      <w:r w:rsidRPr="002E116B">
        <w:rPr>
          <w:szCs w:val="26"/>
        </w:rPr>
        <w:t>s even though it is “often unintentional and unconscious” (Assem. Bill 2542 (2019-2020 Reg. Sess.) § 2, subd. (</w:t>
      </w:r>
      <w:proofErr w:type="spellStart"/>
      <w:proofErr w:type="gramStart"/>
      <w:r w:rsidRPr="002E116B">
        <w:rPr>
          <w:szCs w:val="26"/>
        </w:rPr>
        <w:t>i</w:t>
      </w:r>
      <w:proofErr w:type="spellEnd"/>
      <w:r w:rsidRPr="002E116B">
        <w:rPr>
          <w:szCs w:val="26"/>
        </w:rPr>
        <w:t>))</w:t>
      </w:r>
      <w:proofErr w:type="gramEnd"/>
      <w:r w:rsidRPr="002E116B">
        <w:rPr>
          <w:szCs w:val="26"/>
        </w:rPr>
        <w:t xml:space="preserve">.  Thus, it cannot reasonably be denied that the Legislature intended that relief be more broadly available under the RJA </w:t>
      </w:r>
      <w:r w:rsidRPr="002E116B">
        <w:rPr>
          <w:szCs w:val="26"/>
        </w:rPr>
        <w:lastRenderedPageBreak/>
        <w:t xml:space="preserve">than under </w:t>
      </w:r>
      <w:r w:rsidRPr="002E116B">
        <w:rPr>
          <w:i/>
          <w:iCs/>
          <w:szCs w:val="26"/>
        </w:rPr>
        <w:t>McCleskey</w:t>
      </w:r>
      <w:r w:rsidRPr="002E116B">
        <w:rPr>
          <w:szCs w:val="26"/>
        </w:rPr>
        <w:t xml:space="preserve">.  But if the trial court were right that statistical evidence cannot be sufficient </w:t>
      </w:r>
      <w:r w:rsidRPr="002E116B">
        <w:rPr>
          <w:i/>
          <w:iCs/>
          <w:szCs w:val="26"/>
        </w:rPr>
        <w:t>even for a prima facie case</w:t>
      </w:r>
      <w:r w:rsidRPr="002E116B">
        <w:rPr>
          <w:szCs w:val="26"/>
        </w:rPr>
        <w:t xml:space="preserve"> under the RJA, then the RJA would be </w:t>
      </w:r>
      <w:r w:rsidRPr="002E116B">
        <w:rPr>
          <w:i/>
          <w:iCs/>
          <w:szCs w:val="26"/>
        </w:rPr>
        <w:t>narrower</w:t>
      </w:r>
      <w:r w:rsidRPr="002E116B">
        <w:rPr>
          <w:szCs w:val="26"/>
        </w:rPr>
        <w:t xml:space="preserve"> than </w:t>
      </w:r>
      <w:r w:rsidRPr="002E116B">
        <w:rPr>
          <w:i/>
          <w:iCs/>
          <w:szCs w:val="26"/>
        </w:rPr>
        <w:t>McCleskey</w:t>
      </w:r>
      <w:r w:rsidRPr="002E116B">
        <w:rPr>
          <w:szCs w:val="26"/>
        </w:rPr>
        <w:t xml:space="preserve">, which held only that statistical evidence cannot be sufficient </w:t>
      </w:r>
      <w:r w:rsidRPr="002E116B">
        <w:rPr>
          <w:i/>
          <w:iCs/>
          <w:szCs w:val="26"/>
        </w:rPr>
        <w:t>to prevail</w:t>
      </w:r>
      <w:r w:rsidRPr="002E116B">
        <w:rPr>
          <w:szCs w:val="26"/>
        </w:rPr>
        <w:t>.</w:t>
      </w:r>
    </w:p>
    <w:p w14:paraId="5E1BCE7A" w14:textId="77777777" w:rsidR="002E116B" w:rsidRPr="002E116B" w:rsidRDefault="00B85868" w:rsidP="002E116B">
      <w:pPr>
        <w:spacing w:line="480" w:lineRule="auto"/>
        <w:rPr>
          <w:szCs w:val="26"/>
        </w:rPr>
      </w:pPr>
      <w:r w:rsidRPr="002E116B">
        <w:rPr>
          <w:szCs w:val="26"/>
        </w:rPr>
        <w:tab/>
        <w:t xml:space="preserve">Other aspects of </w:t>
      </w:r>
      <w:proofErr w:type="gramStart"/>
      <w:r w:rsidRPr="002E116B">
        <w:rPr>
          <w:szCs w:val="26"/>
        </w:rPr>
        <w:t>the statutory</w:t>
      </w:r>
      <w:proofErr w:type="gramEnd"/>
      <w:r w:rsidRPr="002E116B">
        <w:rPr>
          <w:szCs w:val="26"/>
        </w:rPr>
        <w:t xml:space="preserve"> language further support that conclusion.  First, the Legislature set a low standard for a prima facie case under the RJA:  The defendant need only show that there is “more than a mere possibility” that subdivision (a) of section 745 has been violated.  (§ 745, subd. (h)(2); see also </w:t>
      </w:r>
      <w:r w:rsidRPr="002E116B">
        <w:rPr>
          <w:i/>
          <w:iCs/>
          <w:szCs w:val="26"/>
        </w:rPr>
        <w:t>Finley v. Superior Court</w:t>
      </w:r>
      <w:r w:rsidRPr="002E116B">
        <w:rPr>
          <w:szCs w:val="26"/>
        </w:rPr>
        <w:t xml:space="preserve"> (2023) 95 Cal.App.5th 12, 21-22 [discussing the standard for a prima facie case under the RJA, which is lower than the prima facie standard for writs of habeas corpus].)  It is hard to see</w:t>
      </w:r>
      <w:r w:rsidRPr="002E116B">
        <w:rPr>
          <w:szCs w:val="26"/>
        </w:rPr>
        <w:t xml:space="preserve"> how the following three propositions can be reconciled</w:t>
      </w:r>
      <w:proofErr w:type="gramStart"/>
      <w:r w:rsidRPr="002E116B">
        <w:rPr>
          <w:szCs w:val="26"/>
        </w:rPr>
        <w:t>:  (</w:t>
      </w:r>
      <w:proofErr w:type="gramEnd"/>
      <w:r w:rsidRPr="002E116B">
        <w:rPr>
          <w:szCs w:val="26"/>
        </w:rPr>
        <w:t xml:space="preserve">1) </w:t>
      </w:r>
      <w:r w:rsidRPr="002E116B">
        <w:rPr>
          <w:i/>
          <w:iCs/>
          <w:szCs w:val="26"/>
        </w:rPr>
        <w:t>McCleskey</w:t>
      </w:r>
      <w:r w:rsidRPr="002E116B">
        <w:rPr>
          <w:szCs w:val="26"/>
        </w:rPr>
        <w:t xml:space="preserve"> held that statistical evidence by itself is not sufficient to prevail; (2) the Legislature intended to create a broader remedial scheme than </w:t>
      </w:r>
      <w:r w:rsidRPr="002E116B">
        <w:rPr>
          <w:i/>
          <w:iCs/>
          <w:szCs w:val="26"/>
        </w:rPr>
        <w:t>McCleskey</w:t>
      </w:r>
      <w:r w:rsidRPr="002E116B">
        <w:rPr>
          <w:szCs w:val="26"/>
        </w:rPr>
        <w:t xml:space="preserve">; but (3) the Legislature provided that statistical evidence by itself is not sufficient even to show </w:t>
      </w:r>
      <w:r w:rsidRPr="002E116B">
        <w:rPr>
          <w:i/>
          <w:iCs/>
          <w:szCs w:val="26"/>
        </w:rPr>
        <w:t>more than a mere possibility</w:t>
      </w:r>
      <w:r w:rsidRPr="002E116B">
        <w:rPr>
          <w:szCs w:val="26"/>
        </w:rPr>
        <w:t xml:space="preserve"> of prevailing.  The reasonable inference is that statistical evidence can be sufficient to make a prima facie case.</w:t>
      </w:r>
    </w:p>
    <w:p w14:paraId="6BCCFC21" w14:textId="77777777" w:rsidR="002E116B" w:rsidRPr="002E116B" w:rsidRDefault="00B85868" w:rsidP="002E116B">
      <w:pPr>
        <w:spacing w:line="480" w:lineRule="auto"/>
        <w:rPr>
          <w:szCs w:val="26"/>
        </w:rPr>
      </w:pPr>
      <w:r w:rsidRPr="002E116B">
        <w:rPr>
          <w:szCs w:val="26"/>
        </w:rPr>
        <w:tab/>
        <w:t xml:space="preserve">Second, the RJA provides that for purposes of a claim of disparate treatment under subdivision (a)(3) of section 745, the burden is on the prosecution to “establish race-neutral reasons for the disparity.”  (§ 745, subd. (h)(1); see § 745, subd. (a)(3).)  It follows that </w:t>
      </w:r>
      <w:proofErr w:type="gramStart"/>
      <w:r w:rsidRPr="002E116B">
        <w:rPr>
          <w:i/>
          <w:iCs/>
          <w:szCs w:val="26"/>
        </w:rPr>
        <w:t>in order to</w:t>
      </w:r>
      <w:proofErr w:type="gramEnd"/>
      <w:r w:rsidRPr="002E116B">
        <w:rPr>
          <w:i/>
          <w:iCs/>
          <w:szCs w:val="26"/>
        </w:rPr>
        <w:t xml:space="preserve"> prevail</w:t>
      </w:r>
      <w:r w:rsidRPr="002E116B">
        <w:rPr>
          <w:szCs w:val="26"/>
        </w:rPr>
        <w:t xml:space="preserve"> on a claim under subdivision (a)(3) of section 745 a defendant is not required to negate every possible race-neutral reason for the disparate treatment.  Rather, the burden is on the prosecution to prove such reasons.  A fortiori, </w:t>
      </w:r>
      <w:r w:rsidRPr="002E116B">
        <w:rPr>
          <w:szCs w:val="26"/>
        </w:rPr>
        <w:lastRenderedPageBreak/>
        <w:t xml:space="preserve">the defendant need not negate every possible race-neutral reason for the disparate treatment </w:t>
      </w:r>
      <w:proofErr w:type="gramStart"/>
      <w:r w:rsidRPr="002E116B">
        <w:rPr>
          <w:i/>
          <w:iCs/>
          <w:szCs w:val="26"/>
        </w:rPr>
        <w:t>in order to</w:t>
      </w:r>
      <w:proofErr w:type="gramEnd"/>
      <w:r w:rsidRPr="002E116B">
        <w:rPr>
          <w:i/>
          <w:iCs/>
          <w:szCs w:val="26"/>
        </w:rPr>
        <w:t xml:space="preserve"> make a prima </w:t>
      </w:r>
      <w:r w:rsidRPr="002E116B">
        <w:rPr>
          <w:i/>
          <w:iCs/>
          <w:szCs w:val="26"/>
        </w:rPr>
        <w:t>facie case</w:t>
      </w:r>
      <w:r w:rsidRPr="002E116B">
        <w:rPr>
          <w:szCs w:val="26"/>
        </w:rPr>
        <w:t>.  Showing the disparate treatment itself—which can be done through statistical evidence—is enough.</w:t>
      </w:r>
    </w:p>
    <w:p w14:paraId="31F167B7" w14:textId="77777777" w:rsidR="002E116B" w:rsidRPr="002E116B" w:rsidRDefault="00B85868" w:rsidP="002E116B">
      <w:pPr>
        <w:spacing w:line="480" w:lineRule="auto"/>
        <w:rPr>
          <w:szCs w:val="26"/>
        </w:rPr>
      </w:pPr>
      <w:r w:rsidRPr="002E116B">
        <w:rPr>
          <w:szCs w:val="26"/>
        </w:rPr>
        <w:tab/>
        <w:t>Nothing in the statutory language requires a contrary conclusion.  The trial court focused on the requirement in subdivision (a)(3) of section 745 that “[t]</w:t>
      </w:r>
      <w:proofErr w:type="gramStart"/>
      <w:r w:rsidRPr="002E116B">
        <w:rPr>
          <w:szCs w:val="26"/>
        </w:rPr>
        <w:t>he</w:t>
      </w:r>
      <w:proofErr w:type="gramEnd"/>
      <w:r w:rsidRPr="002E116B">
        <w:rPr>
          <w:szCs w:val="26"/>
        </w:rPr>
        <w:t xml:space="preserve"> defendant was charged or convicted of a more serious offense than defendants of other races, ethnicities, or national origins who have engaged in similar conduct </w:t>
      </w:r>
      <w:r w:rsidRPr="002E116B">
        <w:rPr>
          <w:i/>
          <w:iCs/>
          <w:szCs w:val="26"/>
        </w:rPr>
        <w:t>and are similarly situated</w:t>
      </w:r>
      <w:r w:rsidRPr="002E116B">
        <w:rPr>
          <w:szCs w:val="26"/>
        </w:rPr>
        <w:t xml:space="preserve">.”  (Italics added.)  The court concluded “that there has to be some showing more than statistical analysis that individually these defendants . . . are being discriminated against, vis-a-vis, nonminority defendants that are similarly situated, with similar cases, charges, and all of the other factors that go into it.” </w:t>
      </w:r>
      <w:r w:rsidRPr="002E116B">
        <w:rPr>
          <w:szCs w:val="26"/>
        </w:rPr>
        <w:t xml:space="preserve"> The court thus appears to have inferred from the statutory language that Mosby needed to produce evidence that there was another defendant who was </w:t>
      </w:r>
      <w:proofErr w:type="gramStart"/>
      <w:r w:rsidRPr="002E116B">
        <w:rPr>
          <w:szCs w:val="26"/>
        </w:rPr>
        <w:t>similar to</w:t>
      </w:r>
      <w:proofErr w:type="gramEnd"/>
      <w:r w:rsidRPr="002E116B">
        <w:rPr>
          <w:szCs w:val="26"/>
        </w:rPr>
        <w:t xml:space="preserve"> Mosby in all material respects (“all of the other factors that go into it”) but as to whom the prosecution did not seek the death penalty.</w:t>
      </w:r>
    </w:p>
    <w:p w14:paraId="15249659" w14:textId="77777777" w:rsidR="002E116B" w:rsidRPr="002E116B" w:rsidRDefault="00B85868" w:rsidP="002E116B">
      <w:pPr>
        <w:spacing w:line="480" w:lineRule="auto"/>
        <w:rPr>
          <w:szCs w:val="26"/>
        </w:rPr>
      </w:pPr>
      <w:r w:rsidRPr="002E116B">
        <w:rPr>
          <w:szCs w:val="26"/>
        </w:rPr>
        <w:tab/>
      </w:r>
      <w:r w:rsidRPr="002E116B">
        <w:rPr>
          <w:szCs w:val="26"/>
        </w:rPr>
        <w:t xml:space="preserve">No such inference is warranted.  Again, if statistical evidence cannot be sufficient for a prima facie case under the RJA, then the RJA is narrower than </w:t>
      </w:r>
      <w:r w:rsidRPr="002E116B">
        <w:rPr>
          <w:i/>
          <w:iCs/>
          <w:szCs w:val="26"/>
        </w:rPr>
        <w:t>McCleskey</w:t>
      </w:r>
      <w:r w:rsidRPr="002E116B">
        <w:rPr>
          <w:szCs w:val="26"/>
        </w:rPr>
        <w:t xml:space="preserve"> despite the Legislature’s expressed intent to make it broader.  The RJA’s inclusion of the words “similarly situated” does not compel such an incongruous interpretation, because an alternative interpretation is readily available:  Statistical techniques such as regression analysis can show that racial disparities exist even when one controls for v</w:t>
      </w:r>
      <w:r w:rsidRPr="002E116B">
        <w:rPr>
          <w:szCs w:val="26"/>
        </w:rPr>
        <w:t xml:space="preserve">arious relevant characteristics, meaning that racial disparities exist </w:t>
      </w:r>
      <w:r w:rsidRPr="002E116B">
        <w:rPr>
          <w:szCs w:val="26"/>
        </w:rPr>
        <w:lastRenderedPageBreak/>
        <w:t xml:space="preserve">among defendants who are similarly situated (i.e., defendants who share those relevant characteristics).  The statute’s reference to defendants who are “similarly situated” thus does not mean that a defendant must prove, at the prima facie stage, that there is at least one other defendant who is </w:t>
      </w:r>
      <w:r w:rsidRPr="002E116B">
        <w:rPr>
          <w:i/>
          <w:iCs/>
          <w:szCs w:val="26"/>
        </w:rPr>
        <w:t>identical</w:t>
      </w:r>
      <w:r w:rsidRPr="002E116B">
        <w:rPr>
          <w:szCs w:val="26"/>
        </w:rPr>
        <w:t xml:space="preserve"> except for race and has an </w:t>
      </w:r>
      <w:r w:rsidRPr="002E116B">
        <w:rPr>
          <w:i/>
          <w:iCs/>
          <w:szCs w:val="26"/>
        </w:rPr>
        <w:t>identical</w:t>
      </w:r>
      <w:r w:rsidRPr="002E116B">
        <w:rPr>
          <w:szCs w:val="26"/>
        </w:rPr>
        <w:t xml:space="preserve"> case except for race but who was treated less harshly.  Moreover, the effect of the trial court’s</w:t>
      </w:r>
      <w:r w:rsidRPr="002E116B">
        <w:rPr>
          <w:szCs w:val="26"/>
        </w:rPr>
        <w:t xml:space="preserve"> interpretation would be to put the burden on the defendant, at the prima facie stage, to negate every possible race-neutral reason for the racial disparities shown by the statistical evidence.  That conflicts with the statutory language, which puts the burden on the prosecution to “establish race-neutral reasons for the disparity.”  (§ 745, subd. (h)(1).)</w:t>
      </w:r>
    </w:p>
    <w:p w14:paraId="37A89705" w14:textId="77777777" w:rsidR="002E116B" w:rsidRPr="002E116B" w:rsidRDefault="00B85868" w:rsidP="002E116B">
      <w:pPr>
        <w:spacing w:line="480" w:lineRule="auto"/>
        <w:rPr>
          <w:szCs w:val="26"/>
        </w:rPr>
      </w:pPr>
      <w:r w:rsidRPr="002E116B">
        <w:rPr>
          <w:szCs w:val="26"/>
        </w:rPr>
        <w:tab/>
        <w:t xml:space="preserve">For </w:t>
      </w:r>
      <w:proofErr w:type="gramStart"/>
      <w:r w:rsidRPr="002E116B">
        <w:rPr>
          <w:szCs w:val="26"/>
        </w:rPr>
        <w:t>all of</w:t>
      </w:r>
      <w:proofErr w:type="gramEnd"/>
      <w:r w:rsidRPr="002E116B">
        <w:rPr>
          <w:szCs w:val="26"/>
        </w:rPr>
        <w:t xml:space="preserve"> the foregoing reasons, I conclude that the trial court erred by ruling that more than statistical evidence is required to make a prima facie case under the RJA.  Moreover, the district attorney does not otherwise challenge the sufficiency of Mosby’s statistical evidence, and the evidence is clearly sufficient to make a prima facie case.  Mosby’s statistical evidence appears to be at least as strong as the statistical evidence at issue in </w:t>
      </w:r>
      <w:proofErr w:type="gramStart"/>
      <w:r w:rsidRPr="002E116B">
        <w:rPr>
          <w:i/>
          <w:iCs/>
          <w:szCs w:val="26"/>
        </w:rPr>
        <w:t>McCleskey</w:t>
      </w:r>
      <w:r w:rsidRPr="002E116B">
        <w:rPr>
          <w:szCs w:val="26"/>
        </w:rPr>
        <w:t>, and</w:t>
      </w:r>
      <w:proofErr w:type="gramEnd"/>
      <w:r w:rsidRPr="002E116B">
        <w:rPr>
          <w:szCs w:val="26"/>
        </w:rPr>
        <w:t xml:space="preserve"> given that statistical evidence can be sufficien</w:t>
      </w:r>
      <w:r w:rsidRPr="002E116B">
        <w:rPr>
          <w:szCs w:val="26"/>
        </w:rPr>
        <w:t>t to make a prima facie case, I see no basis to conclude that Mosby’s evidence fails to show more than a mere possibility of proving a violation of section 745, subdivision (a).</w:t>
      </w:r>
    </w:p>
    <w:p w14:paraId="59B6679E" w14:textId="77777777" w:rsidR="002E116B" w:rsidRPr="002E116B" w:rsidRDefault="00B85868" w:rsidP="002E116B">
      <w:pPr>
        <w:spacing w:line="480" w:lineRule="auto"/>
        <w:rPr>
          <w:szCs w:val="26"/>
        </w:rPr>
      </w:pPr>
      <w:r w:rsidRPr="002E116B">
        <w:rPr>
          <w:szCs w:val="26"/>
        </w:rPr>
        <w:tab/>
        <w:t>Finally, there is an aspect of the People’s argument that I believe should be briefly addressed.  In their return to Mosby’s writ petition, the People claim that Mosby is “accus[</w:t>
      </w:r>
      <w:proofErr w:type="spellStart"/>
      <w:r w:rsidRPr="002E116B">
        <w:rPr>
          <w:szCs w:val="26"/>
        </w:rPr>
        <w:t>ing</w:t>
      </w:r>
      <w:proofErr w:type="spellEnd"/>
      <w:r w:rsidRPr="002E116B">
        <w:rPr>
          <w:szCs w:val="26"/>
        </w:rPr>
        <w:t>] the District Attorney of racism.”  The People made the same claim in the trial court</w:t>
      </w:r>
      <w:proofErr w:type="gramStart"/>
      <w:r w:rsidRPr="002E116B">
        <w:rPr>
          <w:szCs w:val="26"/>
        </w:rPr>
        <w:t>:  “</w:t>
      </w:r>
      <w:proofErr w:type="gramEnd"/>
      <w:r w:rsidRPr="002E116B">
        <w:rPr>
          <w:szCs w:val="26"/>
        </w:rPr>
        <w:t xml:space="preserve">And let’s be very clear.  The defense here is calling all of us racist.”  The </w:t>
      </w:r>
      <w:r w:rsidRPr="002E116B">
        <w:rPr>
          <w:szCs w:val="26"/>
        </w:rPr>
        <w:lastRenderedPageBreak/>
        <w:t xml:space="preserve">People do not elaborate or attempt to defend the claim, and I believe that the claim is mistaken.  Mosby is bringing a claim under the RJA.  Such a claim does not require proof of “intentional discrimination.”  (§ 745, subd. (c)(2).)  Moreover, the RJA was expressly intended to provide remedies for </w:t>
      </w:r>
      <w:proofErr w:type="gramStart"/>
      <w:r w:rsidRPr="002E116B">
        <w:rPr>
          <w:szCs w:val="26"/>
        </w:rPr>
        <w:t>harms</w:t>
      </w:r>
      <w:proofErr w:type="gramEnd"/>
      <w:r w:rsidRPr="002E116B">
        <w:rPr>
          <w:szCs w:val="26"/>
        </w:rPr>
        <w:t xml:space="preserve"> caused by implicit bias, which is “</w:t>
      </w:r>
      <w:r w:rsidRPr="002E116B">
        <w:rPr>
          <w:szCs w:val="26"/>
        </w:rPr>
        <w:t>often unintentional and unconscious” (Assem. Bill 2542 (2019-2020 Reg. Sess.) § 2, subd. (</w:t>
      </w:r>
      <w:proofErr w:type="spellStart"/>
      <w:r w:rsidRPr="002E116B">
        <w:rPr>
          <w:szCs w:val="26"/>
        </w:rPr>
        <w:t>i</w:t>
      </w:r>
      <w:proofErr w:type="spellEnd"/>
      <w:r w:rsidRPr="002E116B">
        <w:rPr>
          <w:szCs w:val="26"/>
        </w:rPr>
        <w:t>)), and “[t]he Legislature has acknowledged that all persons possess implicit biases” (</w:t>
      </w:r>
      <w:r w:rsidRPr="002E116B">
        <w:rPr>
          <w:i/>
          <w:iCs/>
          <w:szCs w:val="26"/>
        </w:rPr>
        <w:t>id</w:t>
      </w:r>
      <w:r w:rsidRPr="002E116B">
        <w:rPr>
          <w:szCs w:val="26"/>
        </w:rPr>
        <w:t>., subd. (</w:t>
      </w:r>
      <w:proofErr w:type="gramStart"/>
      <w:r w:rsidRPr="002E116B">
        <w:rPr>
          <w:szCs w:val="26"/>
        </w:rPr>
        <w:t>g))</w:t>
      </w:r>
      <w:proofErr w:type="gramEnd"/>
      <w:r w:rsidRPr="002E116B">
        <w:rPr>
          <w:szCs w:val="26"/>
        </w:rPr>
        <w:t>.  Nothing in the legislative findings or elsewhere in the RJA suggests that the Legislature was accusing all persons of racism.  Mosby’s motion for relief under the RJA is similar.  He contends that he has introduced sufficient evidence to make a prima facie case under that statute.  The statute does not require—eith</w:t>
      </w:r>
      <w:r w:rsidRPr="002E116B">
        <w:rPr>
          <w:szCs w:val="26"/>
        </w:rPr>
        <w:t>er for a prima facie case or to prevail at a subsequent hearing—that Mosby allege or prove that the prosecutors are racist, and nothing in the record suggests that he is attempting to do so.</w:t>
      </w:r>
    </w:p>
    <w:p w14:paraId="45B1F935" w14:textId="77777777" w:rsidR="002E116B" w:rsidRPr="002E116B" w:rsidRDefault="00B85868" w:rsidP="002E116B">
      <w:pPr>
        <w:spacing w:line="480" w:lineRule="auto"/>
        <w:rPr>
          <w:szCs w:val="26"/>
        </w:rPr>
      </w:pPr>
      <w:r w:rsidRPr="002E116B">
        <w:rPr>
          <w:szCs w:val="26"/>
        </w:rPr>
        <w:tab/>
        <w:t>The trial court erred by concluding that statistical evidence cannot be sufficient to make a prima facie case under the RJA.  Mosby’s statistical evidence was sufficient.  I therefore concur in the judgment granting the petition and directing the trial court to conduct a hearing under subdivision (c) of section 745.</w:t>
      </w:r>
    </w:p>
    <w:p w14:paraId="57B233CE" w14:textId="77777777" w:rsidR="002E116B" w:rsidRPr="002E116B" w:rsidRDefault="00B85868" w:rsidP="002E116B">
      <w:pPr>
        <w:pStyle w:val="SigPage1"/>
        <w:spacing w:line="480" w:lineRule="auto"/>
        <w:jc w:val="right"/>
        <w:rPr>
          <w:rFonts w:ascii="Times New Roman" w:hAnsi="Times New Roman"/>
          <w:sz w:val="26"/>
        </w:rPr>
      </w:pPr>
      <w:r w:rsidRPr="002E116B">
        <w:rPr>
          <w:rFonts w:ascii="Times New Roman" w:hAnsi="Times New Roman"/>
          <w:sz w:val="26"/>
          <w:u w:val="single"/>
        </w:rPr>
        <w:t>MENETREZ</w:t>
      </w:r>
      <w:r w:rsidRPr="002E116B">
        <w:rPr>
          <w:rFonts w:ascii="Times New Roman" w:hAnsi="Times New Roman"/>
          <w:sz w:val="26"/>
          <w:u w:val="single"/>
        </w:rPr>
        <w:tab/>
      </w:r>
    </w:p>
    <w:p w14:paraId="6A7A3F99" w14:textId="77777777" w:rsidR="002E116B" w:rsidRDefault="00B85868" w:rsidP="002E116B">
      <w:pPr>
        <w:pStyle w:val="SigPage1"/>
        <w:spacing w:line="480" w:lineRule="auto"/>
        <w:jc w:val="right"/>
        <w:rPr>
          <w:rFonts w:ascii="Times New Roman" w:hAnsi="Times New Roman"/>
          <w:sz w:val="26"/>
        </w:rPr>
      </w:pPr>
      <w:r w:rsidRPr="002E116B">
        <w:rPr>
          <w:rFonts w:ascii="Times New Roman" w:hAnsi="Times New Roman"/>
          <w:sz w:val="26"/>
        </w:rPr>
        <w:tab/>
        <w:t>J.</w:t>
      </w:r>
    </w:p>
    <w:p w14:paraId="7DB3978A" w14:textId="77777777" w:rsidR="002E116B" w:rsidRPr="00FA6165" w:rsidRDefault="002E116B" w:rsidP="002E116B">
      <w:pPr>
        <w:spacing w:line="480" w:lineRule="auto"/>
      </w:pPr>
    </w:p>
    <w:sectPr w:rsidR="002E116B" w:rsidRPr="00FA6165" w:rsidSect="002E116B">
      <w:pgSz w:w="12240" w:h="15840"/>
      <w:pgMar w:top="1440" w:right="1440" w:bottom="1440" w:left="1440" w:header="720" w:footer="720" w:gutter="144"/>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C430" w14:textId="77777777" w:rsidR="00B85868" w:rsidRDefault="00B85868">
      <w:r>
        <w:separator/>
      </w:r>
    </w:p>
  </w:endnote>
  <w:endnote w:type="continuationSeparator" w:id="0">
    <w:p w14:paraId="29F095EF" w14:textId="77777777" w:rsidR="00B85868" w:rsidRDefault="00B8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004C" w14:textId="77777777" w:rsidR="00971B0D" w:rsidRDefault="00B85868" w:rsidP="00D179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336B62EA" w14:textId="77777777" w:rsidR="00971B0D" w:rsidRDefault="00971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645E" w14:textId="77777777" w:rsidR="00971B0D" w:rsidRDefault="00B85868" w:rsidP="00D179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635620" w14:textId="77777777" w:rsidR="005D53EF" w:rsidRDefault="005D5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2BAD" w14:textId="77777777" w:rsidR="002B6A95" w:rsidRDefault="00B85868" w:rsidP="00DD7FF8">
      <w:r>
        <w:separator/>
      </w:r>
    </w:p>
  </w:footnote>
  <w:footnote w:type="continuationSeparator" w:id="0">
    <w:p w14:paraId="66853898" w14:textId="77777777" w:rsidR="002B6A95" w:rsidRDefault="00B85868" w:rsidP="00DD7FF8">
      <w:r>
        <w:continuationSeparator/>
      </w:r>
    </w:p>
    <w:p w14:paraId="1FD902A7" w14:textId="77777777" w:rsidR="002B6A95" w:rsidRPr="00D17921" w:rsidRDefault="00B85868" w:rsidP="00DD7FF8">
      <w:pPr>
        <w:rPr>
          <w:i/>
          <w:sz w:val="20"/>
        </w:rPr>
      </w:pPr>
      <w:r>
        <w:rPr>
          <w:i/>
          <w:sz w:val="20"/>
        </w:rPr>
        <w:t>[footnote continued from previous page]</w:t>
      </w:r>
    </w:p>
    <w:p w14:paraId="63477591" w14:textId="77777777" w:rsidR="002B6A95" w:rsidRPr="00D17921" w:rsidRDefault="00B85868" w:rsidP="00DD7FF8">
      <w:pPr>
        <w:rPr>
          <w:i/>
          <w:sz w:val="20"/>
        </w:rPr>
      </w:pPr>
      <w:r>
        <w:rPr>
          <w:i/>
          <w:sz w:val="20"/>
        </w:rPr>
        <w:t>[footnote continued from previous page]</w:t>
      </w:r>
    </w:p>
    <w:p w14:paraId="47761EA8" w14:textId="77777777" w:rsidR="002B6A95" w:rsidRPr="00D17921" w:rsidRDefault="00B85868" w:rsidP="00DD7FF8">
      <w:pPr>
        <w:rPr>
          <w:i/>
          <w:sz w:val="20"/>
        </w:rPr>
      </w:pPr>
      <w:r>
        <w:rPr>
          <w:i/>
          <w:sz w:val="20"/>
        </w:rPr>
        <w:t>[footnote continued from previous page]</w:t>
      </w:r>
    </w:p>
    <w:p w14:paraId="1982EADA" w14:textId="77777777" w:rsidR="002B6A95" w:rsidRPr="00D17921" w:rsidRDefault="00B85868" w:rsidP="00DD7FF8">
      <w:pPr>
        <w:rPr>
          <w:i/>
          <w:sz w:val="20"/>
        </w:rPr>
      </w:pPr>
      <w:r>
        <w:rPr>
          <w:i/>
          <w:sz w:val="20"/>
        </w:rPr>
        <w:t>[footnote continued from previous page]</w:t>
      </w:r>
    </w:p>
    <w:p w14:paraId="4E785C2D" w14:textId="77777777" w:rsidR="002B6A95" w:rsidRPr="00971B0D" w:rsidRDefault="00B85868" w:rsidP="00DD7FF8">
      <w:pPr>
        <w:rPr>
          <w:i/>
          <w:sz w:val="20"/>
        </w:rPr>
      </w:pPr>
      <w:r>
        <w:rPr>
          <w:i/>
          <w:sz w:val="20"/>
        </w:rPr>
        <w:t>[footnote continued from previous page]</w:t>
      </w:r>
    </w:p>
    <w:p w14:paraId="7A74FFEA" w14:textId="77777777" w:rsidR="002B6A95" w:rsidRPr="00971B0D" w:rsidRDefault="00B85868" w:rsidP="00DD7FF8">
      <w:pPr>
        <w:rPr>
          <w:i/>
          <w:sz w:val="20"/>
        </w:rPr>
      </w:pPr>
      <w:r>
        <w:rPr>
          <w:i/>
          <w:sz w:val="20"/>
        </w:rPr>
        <w:t>[footnote continued from previous page]</w:t>
      </w:r>
    </w:p>
  </w:footnote>
  <w:footnote w:type="continuationNotice" w:id="1">
    <w:p w14:paraId="61EEB2DE" w14:textId="77777777" w:rsidR="002B6A95" w:rsidRPr="00D17921" w:rsidRDefault="00B85868" w:rsidP="00D17921">
      <w:pPr>
        <w:pStyle w:val="Footer"/>
        <w:jc w:val="right"/>
        <w:rPr>
          <w:i/>
          <w:sz w:val="20"/>
        </w:rPr>
      </w:pPr>
      <w:r>
        <w:rPr>
          <w:i/>
          <w:sz w:val="20"/>
        </w:rPr>
        <w:t xml:space="preserve">[footnote </w:t>
      </w:r>
      <w:proofErr w:type="gramStart"/>
      <w:r>
        <w:rPr>
          <w:i/>
          <w:sz w:val="20"/>
        </w:rPr>
        <w:t>continued on</w:t>
      </w:r>
      <w:proofErr w:type="gramEnd"/>
      <w:r>
        <w:rPr>
          <w:i/>
          <w:sz w:val="20"/>
        </w:rPr>
        <w:t xml:space="preserve"> next page]</w:t>
      </w:r>
    </w:p>
  </w:footnote>
  <w:footnote w:id="2">
    <w:p w14:paraId="10E6089D" w14:textId="14ABA87E" w:rsidR="00B3469E" w:rsidRPr="002E116B" w:rsidRDefault="00B85868" w:rsidP="00E30278">
      <w:pPr>
        <w:pStyle w:val="FootnoteText"/>
      </w:pPr>
      <w:r w:rsidRPr="00FA6165">
        <w:tab/>
      </w:r>
      <w:r w:rsidRPr="002E116B">
        <w:rPr>
          <w:rStyle w:val="FootnoteReference"/>
        </w:rPr>
        <w:footnoteRef/>
      </w:r>
      <w:r w:rsidRPr="002E116B">
        <w:t xml:space="preserve"> </w:t>
      </w:r>
      <w:r w:rsidR="00E30278" w:rsidRPr="002E116B">
        <w:t xml:space="preserve"> </w:t>
      </w:r>
      <w:r w:rsidRPr="002E116B">
        <w:t xml:space="preserve">All </w:t>
      </w:r>
      <w:r w:rsidRPr="002E116B">
        <w:t>further statutory references are to the Penal Code unless otherwise indicated.</w:t>
      </w:r>
    </w:p>
  </w:footnote>
  <w:footnote w:id="3">
    <w:p w14:paraId="10FCD25A" w14:textId="7C49170C" w:rsidR="00871227" w:rsidRPr="002E116B" w:rsidRDefault="00B85868">
      <w:pPr>
        <w:pStyle w:val="FootnoteText"/>
      </w:pPr>
      <w:r w:rsidRPr="002E116B">
        <w:tab/>
      </w:r>
      <w:r w:rsidRPr="002E116B">
        <w:rPr>
          <w:rStyle w:val="FootnoteReference"/>
        </w:rPr>
        <w:footnoteRef/>
      </w:r>
      <w:r w:rsidRPr="002E116B">
        <w:t xml:space="preserve">  The first name of victim Quezada is not found in the record.</w:t>
      </w:r>
    </w:p>
    <w:p w14:paraId="6412280B" w14:textId="77777777" w:rsidR="00871227" w:rsidRPr="002E116B" w:rsidRDefault="00871227">
      <w:pPr>
        <w:pStyle w:val="FootnoteText"/>
      </w:pPr>
    </w:p>
  </w:footnote>
  <w:footnote w:id="4">
    <w:p w14:paraId="6AD0F195" w14:textId="1B0631AE" w:rsidR="00944316" w:rsidRPr="002E116B" w:rsidRDefault="00B85868" w:rsidP="00E30278">
      <w:r w:rsidRPr="002E116B">
        <w:tab/>
      </w:r>
      <w:r w:rsidRPr="002E116B">
        <w:rPr>
          <w:rStyle w:val="FootnoteReference"/>
        </w:rPr>
        <w:footnoteRef/>
      </w:r>
      <w:r w:rsidRPr="002E116B">
        <w:t xml:space="preserve"> </w:t>
      </w:r>
      <w:r w:rsidR="00274085" w:rsidRPr="002E116B">
        <w:t xml:space="preserve"> </w:t>
      </w:r>
      <w:r w:rsidRPr="002E116B">
        <w:t xml:space="preserve">Although </w:t>
      </w:r>
      <w:r w:rsidR="00A867A5" w:rsidRPr="002E116B">
        <w:t>Petitioner</w:t>
      </w:r>
      <w:r w:rsidRPr="002E116B">
        <w:t xml:space="preserve"> admits the convictions, he </w:t>
      </w:r>
      <w:r w:rsidR="00E83AD3" w:rsidRPr="002E116B">
        <w:t>denies</w:t>
      </w:r>
      <w:r w:rsidRPr="002E116B">
        <w:t xml:space="preserve"> the facts of the cases.</w:t>
      </w:r>
    </w:p>
  </w:footnote>
  <w:footnote w:id="5">
    <w:p w14:paraId="6CD0E154" w14:textId="7D746087" w:rsidR="00C73DA0" w:rsidRPr="002E116B" w:rsidRDefault="00B85868" w:rsidP="00E30278">
      <w:pPr>
        <w:pStyle w:val="FootnoteText"/>
      </w:pPr>
      <w:r w:rsidRPr="002E116B">
        <w:tab/>
      </w:r>
      <w:r w:rsidRPr="002E116B">
        <w:rPr>
          <w:rStyle w:val="FootnoteReference"/>
        </w:rPr>
        <w:footnoteRef/>
      </w:r>
      <w:r w:rsidRPr="002E116B">
        <w:t xml:space="preserve"> </w:t>
      </w:r>
      <w:r w:rsidR="00E30278" w:rsidRPr="002E116B">
        <w:t xml:space="preserve"> </w:t>
      </w:r>
      <w:r w:rsidRPr="002E116B">
        <w:t xml:space="preserve">The data was collected by the Riverside County Public Defender’s </w:t>
      </w:r>
      <w:r w:rsidR="004A75E1" w:rsidRPr="002E116B">
        <w:t>O</w:t>
      </w:r>
      <w:r w:rsidRPr="002E116B">
        <w:t xml:space="preserve">ffice.  </w:t>
      </w:r>
    </w:p>
  </w:footnote>
  <w:footnote w:id="6">
    <w:p w14:paraId="5934E04E" w14:textId="4BD157FE" w:rsidR="00222658" w:rsidRPr="002E116B" w:rsidRDefault="00B85868" w:rsidP="00E30278">
      <w:pPr>
        <w:pStyle w:val="FootnoteText"/>
      </w:pPr>
      <w:r w:rsidRPr="002E116B">
        <w:tab/>
      </w:r>
      <w:r w:rsidRPr="002E116B">
        <w:rPr>
          <w:rStyle w:val="FootnoteReference"/>
        </w:rPr>
        <w:footnoteRef/>
      </w:r>
      <w:r w:rsidRPr="002E116B">
        <w:t xml:space="preserve"> </w:t>
      </w:r>
      <w:r w:rsidR="008B067B" w:rsidRPr="002E116B">
        <w:t xml:space="preserve"> </w:t>
      </w:r>
      <w:r w:rsidR="00A867A5" w:rsidRPr="002E116B">
        <w:t>Petitioner</w:t>
      </w:r>
      <w:r w:rsidRPr="002E116B">
        <w:t xml:space="preserve"> and </w:t>
      </w:r>
      <w:r w:rsidR="00791EE3" w:rsidRPr="002E116B">
        <w:t>amici curiae</w:t>
      </w:r>
      <w:r w:rsidRPr="002E116B">
        <w:t xml:space="preserve"> also refer to subdivision (a)(4)</w:t>
      </w:r>
      <w:r w:rsidR="001F208A" w:rsidRPr="002E116B">
        <w:t>(A)</w:t>
      </w:r>
      <w:r w:rsidRPr="002E116B">
        <w:t xml:space="preserve"> of section 745.  It provides, “</w:t>
      </w:r>
      <w:r w:rsidR="0077666E" w:rsidRPr="002E116B">
        <w:t>A</w:t>
      </w:r>
      <w:r w:rsidRPr="002E116B">
        <w:t xml:space="preserve"> longer or more severe sentence was imposed on the defendant than was imposed on other similarly situated individuals convicted of the same offense, and longer or more severe sentences were more frequently imposed for that offense on people that share the defendant</w:t>
      </w:r>
      <w:r w:rsidR="00791EE3" w:rsidRPr="002E116B">
        <w:t>’</w:t>
      </w:r>
      <w:r w:rsidRPr="002E116B">
        <w:t>s race, ethnicity, or national origin than on defendants of other races, ethnicities, or national origins in the county where the sentence was impo</w:t>
      </w:r>
      <w:r w:rsidRPr="002E116B">
        <w:t>sed.”  (§ 745, subd. (a)(4)(A).)  This provision only appl</w:t>
      </w:r>
      <w:r w:rsidR="001F208A" w:rsidRPr="002E116B">
        <w:t>ies</w:t>
      </w:r>
      <w:r w:rsidRPr="002E116B">
        <w:t xml:space="preserve"> to person</w:t>
      </w:r>
      <w:r w:rsidR="00791EE3" w:rsidRPr="002E116B">
        <w:t>s</w:t>
      </w:r>
      <w:r w:rsidRPr="002E116B">
        <w:t xml:space="preserve"> who have been sentenced.  </w:t>
      </w:r>
      <w:r w:rsidR="00B54CDA" w:rsidRPr="002E116B">
        <w:t xml:space="preserve">This is further evidenced by the remedy for a violation of section 745, subdivision (a).  Subdivision (e) of section 745 distinguishes between the remedies prior to judgment and those after the judgment.  </w:t>
      </w:r>
      <w:r w:rsidR="00A867A5" w:rsidRPr="002E116B">
        <w:t>Petitioner</w:t>
      </w:r>
      <w:r w:rsidR="00B54CDA" w:rsidRPr="002E116B">
        <w:t xml:space="preserve"> has only been </w:t>
      </w:r>
      <w:r w:rsidRPr="002E116B">
        <w:t xml:space="preserve">charged in this case. </w:t>
      </w:r>
      <w:r w:rsidR="00B54CDA" w:rsidRPr="002E116B">
        <w:t xml:space="preserve">Accordingly, the proper provision </w:t>
      </w:r>
      <w:r w:rsidR="00791EE3" w:rsidRPr="002E116B">
        <w:t xml:space="preserve">entitling </w:t>
      </w:r>
      <w:r w:rsidR="00A867A5" w:rsidRPr="002E116B">
        <w:t>Petitioner</w:t>
      </w:r>
      <w:r w:rsidR="00791EE3" w:rsidRPr="002E116B">
        <w:t xml:space="preserve"> to relief </w:t>
      </w:r>
      <w:r w:rsidR="00B54CDA" w:rsidRPr="002E116B">
        <w:t>is section 745, subdivision (a)(3).</w:t>
      </w:r>
      <w:r w:rsidR="00683535" w:rsidRPr="002E116B">
        <w:t xml:space="preserve">  We further decline to inter</w:t>
      </w:r>
      <w:r w:rsidR="00385746" w:rsidRPr="002E116B">
        <w:t xml:space="preserve">pret </w:t>
      </w:r>
      <w:r w:rsidR="00683535" w:rsidRPr="002E116B">
        <w:t>section 745, subdivision (a)(4)(A)</w:t>
      </w:r>
      <w:r w:rsidR="00385746" w:rsidRPr="002E116B">
        <w:t>,</w:t>
      </w:r>
      <w:r w:rsidR="00683535" w:rsidRPr="002E116B">
        <w:t xml:space="preserve"> for future courts as requested by </w:t>
      </w:r>
      <w:r w:rsidR="00A867A5" w:rsidRPr="002E116B">
        <w:t>Petitioner</w:t>
      </w:r>
      <w:r w:rsidR="00683535" w:rsidRPr="002E116B">
        <w:t xml:space="preserve"> as the issue is not properly before this court.</w:t>
      </w:r>
    </w:p>
    <w:p w14:paraId="39298410" w14:textId="77777777" w:rsidR="002E116B" w:rsidRPr="002E116B" w:rsidRDefault="002E116B" w:rsidP="00E30278">
      <w:pPr>
        <w:pStyle w:val="FootnoteText"/>
      </w:pPr>
    </w:p>
  </w:footnote>
  <w:footnote w:id="7">
    <w:p w14:paraId="439F198F" w14:textId="5E4C396A" w:rsidR="0015183E" w:rsidRPr="002E116B" w:rsidRDefault="00B85868" w:rsidP="00E30278">
      <w:pPr>
        <w:pStyle w:val="FootnoteText"/>
      </w:pPr>
      <w:r w:rsidRPr="002E116B">
        <w:tab/>
      </w:r>
      <w:r w:rsidRPr="002E116B">
        <w:rPr>
          <w:rStyle w:val="FootnoteReference"/>
        </w:rPr>
        <w:footnoteRef/>
      </w:r>
      <w:r w:rsidRPr="002E116B">
        <w:t xml:space="preserve"> </w:t>
      </w:r>
      <w:r w:rsidR="00274085" w:rsidRPr="002E116B">
        <w:t xml:space="preserve"> </w:t>
      </w:r>
      <w:r w:rsidRPr="002E116B">
        <w:t xml:space="preserve">We highlight those terms </w:t>
      </w:r>
      <w:r w:rsidR="00385746" w:rsidRPr="002E116B">
        <w:t>that</w:t>
      </w:r>
      <w:r w:rsidRPr="002E116B">
        <w:t xml:space="preserve"> are defined in section 745. </w:t>
      </w:r>
    </w:p>
  </w:footnote>
  <w:footnote w:id="8">
    <w:p w14:paraId="0A9E285E" w14:textId="27ABD42A" w:rsidR="00222658" w:rsidRPr="002E116B" w:rsidRDefault="00B85868">
      <w:pPr>
        <w:pStyle w:val="FootnoteText"/>
      </w:pPr>
      <w:r w:rsidRPr="002E116B">
        <w:tab/>
      </w:r>
      <w:r w:rsidRPr="002E116B">
        <w:rPr>
          <w:rStyle w:val="FootnoteReference"/>
        </w:rPr>
        <w:footnoteRef/>
      </w:r>
      <w:r w:rsidRPr="002E116B">
        <w:t xml:space="preserve">  (Merriam–Webster’s Online Dict. (2023) &lt; http://www.merriam-webster.com/dictionary&gt; [as of Jan. </w:t>
      </w:r>
      <w:r w:rsidR="002E116B">
        <w:t>18</w:t>
      </w:r>
      <w:r w:rsidRPr="002E116B">
        <w:t xml:space="preserve">, 2024] definition noun.)  </w:t>
      </w:r>
    </w:p>
  </w:footnote>
  <w:footnote w:id="9">
    <w:p w14:paraId="7F4C4695" w14:textId="43DD7D9D" w:rsidR="001E6F23" w:rsidRPr="00FA6165" w:rsidRDefault="00B85868" w:rsidP="001E6F23">
      <w:pPr>
        <w:pStyle w:val="FootnoteText"/>
      </w:pPr>
      <w:r w:rsidRPr="002E116B">
        <w:tab/>
      </w:r>
      <w:r w:rsidRPr="002E116B">
        <w:rPr>
          <w:rStyle w:val="FootnoteReference"/>
        </w:rPr>
        <w:footnoteRef/>
      </w:r>
      <w:r w:rsidRPr="002E116B">
        <w:t xml:space="preserve">  The defendant in </w:t>
      </w:r>
      <w:r w:rsidRPr="002E116B">
        <w:rPr>
          <w:i/>
          <w:iCs/>
        </w:rPr>
        <w:t xml:space="preserve">Finley </w:t>
      </w:r>
      <w:r w:rsidRPr="002E116B">
        <w:t xml:space="preserve">brought his claim pursuant to section 745, subdivision (a)(1), which provides, “[t]he </w:t>
      </w:r>
      <w:proofErr w:type="gramStart"/>
      <w:r w:rsidRPr="002E116B">
        <w:t>judge</w:t>
      </w:r>
      <w:proofErr w:type="gramEnd"/>
      <w:r w:rsidRPr="002E116B">
        <w:t>, an attorney in the case, a law enforcement officer involved in the case, an expert witness, or juror exhibited bias or animus towards the defendant because of the defendant's race, ethnicity, or national origin.”</w:t>
      </w:r>
      <w:r w:rsidRPr="00FA6165">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20"/>
    <w:rsid w:val="00000B64"/>
    <w:rsid w:val="00005855"/>
    <w:rsid w:val="0001039E"/>
    <w:rsid w:val="00017C22"/>
    <w:rsid w:val="0002776D"/>
    <w:rsid w:val="00033939"/>
    <w:rsid w:val="000354E2"/>
    <w:rsid w:val="00040B14"/>
    <w:rsid w:val="000420B4"/>
    <w:rsid w:val="0005006F"/>
    <w:rsid w:val="00052B9D"/>
    <w:rsid w:val="000543F3"/>
    <w:rsid w:val="00060557"/>
    <w:rsid w:val="00060797"/>
    <w:rsid w:val="00075BF7"/>
    <w:rsid w:val="00075F3C"/>
    <w:rsid w:val="00082622"/>
    <w:rsid w:val="000915E9"/>
    <w:rsid w:val="000A062C"/>
    <w:rsid w:val="000B0DB7"/>
    <w:rsid w:val="000C0095"/>
    <w:rsid w:val="000D2856"/>
    <w:rsid w:val="000D2D77"/>
    <w:rsid w:val="000E18BC"/>
    <w:rsid w:val="000E614F"/>
    <w:rsid w:val="000F091B"/>
    <w:rsid w:val="000F28BD"/>
    <w:rsid w:val="000F4CB1"/>
    <w:rsid w:val="00102755"/>
    <w:rsid w:val="00107BB4"/>
    <w:rsid w:val="00120A64"/>
    <w:rsid w:val="00133C21"/>
    <w:rsid w:val="00143ACB"/>
    <w:rsid w:val="00147C49"/>
    <w:rsid w:val="0015183E"/>
    <w:rsid w:val="001542E6"/>
    <w:rsid w:val="001550F8"/>
    <w:rsid w:val="0015633A"/>
    <w:rsid w:val="00156423"/>
    <w:rsid w:val="0016202D"/>
    <w:rsid w:val="001A4E29"/>
    <w:rsid w:val="001B4B01"/>
    <w:rsid w:val="001C01C9"/>
    <w:rsid w:val="001D5B93"/>
    <w:rsid w:val="001E6F23"/>
    <w:rsid w:val="001F208A"/>
    <w:rsid w:val="0020045B"/>
    <w:rsid w:val="00206D2C"/>
    <w:rsid w:val="002129D4"/>
    <w:rsid w:val="00213E78"/>
    <w:rsid w:val="00213EC4"/>
    <w:rsid w:val="0021506C"/>
    <w:rsid w:val="00216968"/>
    <w:rsid w:val="00222658"/>
    <w:rsid w:val="00232679"/>
    <w:rsid w:val="002410F0"/>
    <w:rsid w:val="0024353C"/>
    <w:rsid w:val="002579D3"/>
    <w:rsid w:val="00262169"/>
    <w:rsid w:val="0026622F"/>
    <w:rsid w:val="00273AF0"/>
    <w:rsid w:val="00274085"/>
    <w:rsid w:val="00282DE7"/>
    <w:rsid w:val="00285065"/>
    <w:rsid w:val="00292D07"/>
    <w:rsid w:val="00294F4E"/>
    <w:rsid w:val="0029517A"/>
    <w:rsid w:val="002955EA"/>
    <w:rsid w:val="002A0DCC"/>
    <w:rsid w:val="002A5691"/>
    <w:rsid w:val="002A5A45"/>
    <w:rsid w:val="002A77EC"/>
    <w:rsid w:val="002B6A95"/>
    <w:rsid w:val="002C1021"/>
    <w:rsid w:val="002D3F73"/>
    <w:rsid w:val="002E116B"/>
    <w:rsid w:val="002E6126"/>
    <w:rsid w:val="002F0740"/>
    <w:rsid w:val="002F1EA4"/>
    <w:rsid w:val="002F21A4"/>
    <w:rsid w:val="002F64BB"/>
    <w:rsid w:val="002F65C8"/>
    <w:rsid w:val="002F6610"/>
    <w:rsid w:val="002F7C5D"/>
    <w:rsid w:val="00301CB0"/>
    <w:rsid w:val="003029F5"/>
    <w:rsid w:val="0031680E"/>
    <w:rsid w:val="003216C5"/>
    <w:rsid w:val="00332C68"/>
    <w:rsid w:val="00342FCC"/>
    <w:rsid w:val="00353E95"/>
    <w:rsid w:val="003624C2"/>
    <w:rsid w:val="00366F31"/>
    <w:rsid w:val="00367462"/>
    <w:rsid w:val="00380B33"/>
    <w:rsid w:val="00385746"/>
    <w:rsid w:val="00390262"/>
    <w:rsid w:val="003918E3"/>
    <w:rsid w:val="003A0674"/>
    <w:rsid w:val="003A0D4C"/>
    <w:rsid w:val="003A17CB"/>
    <w:rsid w:val="003C2D6D"/>
    <w:rsid w:val="003C40FF"/>
    <w:rsid w:val="003D6039"/>
    <w:rsid w:val="003E4F6C"/>
    <w:rsid w:val="00403217"/>
    <w:rsid w:val="00403AA2"/>
    <w:rsid w:val="004053C2"/>
    <w:rsid w:val="00411020"/>
    <w:rsid w:val="00411174"/>
    <w:rsid w:val="0041613C"/>
    <w:rsid w:val="00416CE8"/>
    <w:rsid w:val="00424138"/>
    <w:rsid w:val="00424E43"/>
    <w:rsid w:val="00427007"/>
    <w:rsid w:val="00427B4A"/>
    <w:rsid w:val="00433B70"/>
    <w:rsid w:val="004349C3"/>
    <w:rsid w:val="004403B8"/>
    <w:rsid w:val="00445536"/>
    <w:rsid w:val="00446BDD"/>
    <w:rsid w:val="00456AC1"/>
    <w:rsid w:val="00475004"/>
    <w:rsid w:val="004851D9"/>
    <w:rsid w:val="00492F3F"/>
    <w:rsid w:val="004A3A9F"/>
    <w:rsid w:val="004A6F5E"/>
    <w:rsid w:val="004A747E"/>
    <w:rsid w:val="004A75E1"/>
    <w:rsid w:val="004B287B"/>
    <w:rsid w:val="004B2976"/>
    <w:rsid w:val="004B39E6"/>
    <w:rsid w:val="004C0146"/>
    <w:rsid w:val="004D0170"/>
    <w:rsid w:val="004F1D9D"/>
    <w:rsid w:val="004F2258"/>
    <w:rsid w:val="004F48BB"/>
    <w:rsid w:val="00500676"/>
    <w:rsid w:val="0051139C"/>
    <w:rsid w:val="00512EBF"/>
    <w:rsid w:val="00522F9D"/>
    <w:rsid w:val="005240BC"/>
    <w:rsid w:val="00527BB7"/>
    <w:rsid w:val="00527F83"/>
    <w:rsid w:val="00530292"/>
    <w:rsid w:val="00536A93"/>
    <w:rsid w:val="00542312"/>
    <w:rsid w:val="005424C7"/>
    <w:rsid w:val="005530C8"/>
    <w:rsid w:val="00576822"/>
    <w:rsid w:val="00577346"/>
    <w:rsid w:val="0058029F"/>
    <w:rsid w:val="005903B6"/>
    <w:rsid w:val="00591D46"/>
    <w:rsid w:val="00592783"/>
    <w:rsid w:val="005A0457"/>
    <w:rsid w:val="005A3C34"/>
    <w:rsid w:val="005B4669"/>
    <w:rsid w:val="005B5059"/>
    <w:rsid w:val="005B7733"/>
    <w:rsid w:val="005C3BA6"/>
    <w:rsid w:val="005C3EFB"/>
    <w:rsid w:val="005C53DF"/>
    <w:rsid w:val="005D53EF"/>
    <w:rsid w:val="005E499E"/>
    <w:rsid w:val="005E582C"/>
    <w:rsid w:val="005E7D78"/>
    <w:rsid w:val="005F7DED"/>
    <w:rsid w:val="00606857"/>
    <w:rsid w:val="0061553D"/>
    <w:rsid w:val="006158FF"/>
    <w:rsid w:val="00623E7E"/>
    <w:rsid w:val="00624AD7"/>
    <w:rsid w:val="00625827"/>
    <w:rsid w:val="006263C5"/>
    <w:rsid w:val="00637066"/>
    <w:rsid w:val="00642FEF"/>
    <w:rsid w:val="00650EE3"/>
    <w:rsid w:val="00651938"/>
    <w:rsid w:val="006614D0"/>
    <w:rsid w:val="00662881"/>
    <w:rsid w:val="00664453"/>
    <w:rsid w:val="00667B1D"/>
    <w:rsid w:val="00677E1D"/>
    <w:rsid w:val="00683535"/>
    <w:rsid w:val="006A4491"/>
    <w:rsid w:val="006A6688"/>
    <w:rsid w:val="006B4187"/>
    <w:rsid w:val="006B62B9"/>
    <w:rsid w:val="006C37FF"/>
    <w:rsid w:val="006C3EDD"/>
    <w:rsid w:val="006C72E9"/>
    <w:rsid w:val="006D32A3"/>
    <w:rsid w:val="006D42F2"/>
    <w:rsid w:val="006E4FC3"/>
    <w:rsid w:val="006E75C1"/>
    <w:rsid w:val="006F3A6B"/>
    <w:rsid w:val="00701C0E"/>
    <w:rsid w:val="00702604"/>
    <w:rsid w:val="007048A7"/>
    <w:rsid w:val="00705160"/>
    <w:rsid w:val="00722456"/>
    <w:rsid w:val="007228FC"/>
    <w:rsid w:val="0074233D"/>
    <w:rsid w:val="007428A7"/>
    <w:rsid w:val="00743B0E"/>
    <w:rsid w:val="00747CD4"/>
    <w:rsid w:val="00762A03"/>
    <w:rsid w:val="00772065"/>
    <w:rsid w:val="0077666E"/>
    <w:rsid w:val="00776D6E"/>
    <w:rsid w:val="00780CAF"/>
    <w:rsid w:val="00781772"/>
    <w:rsid w:val="00791EE3"/>
    <w:rsid w:val="007954FA"/>
    <w:rsid w:val="00795E07"/>
    <w:rsid w:val="007A1694"/>
    <w:rsid w:val="007A3013"/>
    <w:rsid w:val="007A6A0A"/>
    <w:rsid w:val="007B39E2"/>
    <w:rsid w:val="007B487A"/>
    <w:rsid w:val="007B5277"/>
    <w:rsid w:val="007D1D21"/>
    <w:rsid w:val="007E4F39"/>
    <w:rsid w:val="007E7DB0"/>
    <w:rsid w:val="007F0B7B"/>
    <w:rsid w:val="007F2E13"/>
    <w:rsid w:val="007F61B1"/>
    <w:rsid w:val="00800E4B"/>
    <w:rsid w:val="008029BE"/>
    <w:rsid w:val="00803C6D"/>
    <w:rsid w:val="008058DA"/>
    <w:rsid w:val="00807693"/>
    <w:rsid w:val="008205E4"/>
    <w:rsid w:val="00823379"/>
    <w:rsid w:val="00826BCB"/>
    <w:rsid w:val="00837E9E"/>
    <w:rsid w:val="008611DC"/>
    <w:rsid w:val="00862CFA"/>
    <w:rsid w:val="008631FF"/>
    <w:rsid w:val="00871227"/>
    <w:rsid w:val="00873808"/>
    <w:rsid w:val="008763AC"/>
    <w:rsid w:val="00891F05"/>
    <w:rsid w:val="008922CD"/>
    <w:rsid w:val="00892655"/>
    <w:rsid w:val="00894FA3"/>
    <w:rsid w:val="008A1913"/>
    <w:rsid w:val="008A30FD"/>
    <w:rsid w:val="008B067B"/>
    <w:rsid w:val="008B0FDA"/>
    <w:rsid w:val="008C1E67"/>
    <w:rsid w:val="008C5BCA"/>
    <w:rsid w:val="008C6169"/>
    <w:rsid w:val="008D1AE6"/>
    <w:rsid w:val="008D7CFC"/>
    <w:rsid w:val="008D7F0D"/>
    <w:rsid w:val="008E0DA9"/>
    <w:rsid w:val="008E3E4D"/>
    <w:rsid w:val="008F244E"/>
    <w:rsid w:val="008F3068"/>
    <w:rsid w:val="008F4304"/>
    <w:rsid w:val="008F62FB"/>
    <w:rsid w:val="00904D70"/>
    <w:rsid w:val="00906C77"/>
    <w:rsid w:val="00915325"/>
    <w:rsid w:val="00926050"/>
    <w:rsid w:val="009359AA"/>
    <w:rsid w:val="00944316"/>
    <w:rsid w:val="0095129E"/>
    <w:rsid w:val="00957C9E"/>
    <w:rsid w:val="009635F9"/>
    <w:rsid w:val="00966FBD"/>
    <w:rsid w:val="009676C6"/>
    <w:rsid w:val="009715C7"/>
    <w:rsid w:val="00971B0D"/>
    <w:rsid w:val="009731C7"/>
    <w:rsid w:val="0097492F"/>
    <w:rsid w:val="00974A78"/>
    <w:rsid w:val="009758D2"/>
    <w:rsid w:val="009778F0"/>
    <w:rsid w:val="00980FDB"/>
    <w:rsid w:val="00983878"/>
    <w:rsid w:val="00983CF8"/>
    <w:rsid w:val="00984253"/>
    <w:rsid w:val="00986D5E"/>
    <w:rsid w:val="00994E08"/>
    <w:rsid w:val="009B23B9"/>
    <w:rsid w:val="009B4B86"/>
    <w:rsid w:val="009C0F88"/>
    <w:rsid w:val="009D1318"/>
    <w:rsid w:val="009D338C"/>
    <w:rsid w:val="009D772F"/>
    <w:rsid w:val="009E1698"/>
    <w:rsid w:val="009F2E9F"/>
    <w:rsid w:val="00A03FFC"/>
    <w:rsid w:val="00A104DB"/>
    <w:rsid w:val="00A25228"/>
    <w:rsid w:val="00A277DE"/>
    <w:rsid w:val="00A30B40"/>
    <w:rsid w:val="00A41406"/>
    <w:rsid w:val="00A4326A"/>
    <w:rsid w:val="00A44174"/>
    <w:rsid w:val="00A4494B"/>
    <w:rsid w:val="00A44B11"/>
    <w:rsid w:val="00A51DD4"/>
    <w:rsid w:val="00A52FFE"/>
    <w:rsid w:val="00A63CE3"/>
    <w:rsid w:val="00A8032C"/>
    <w:rsid w:val="00A81B71"/>
    <w:rsid w:val="00A86597"/>
    <w:rsid w:val="00A867A5"/>
    <w:rsid w:val="00A86FFD"/>
    <w:rsid w:val="00A87A75"/>
    <w:rsid w:val="00AA1054"/>
    <w:rsid w:val="00AA1EF4"/>
    <w:rsid w:val="00AA343B"/>
    <w:rsid w:val="00AA7FBB"/>
    <w:rsid w:val="00AC3ED5"/>
    <w:rsid w:val="00AD5C5E"/>
    <w:rsid w:val="00AD7B97"/>
    <w:rsid w:val="00AE2AA2"/>
    <w:rsid w:val="00AF2039"/>
    <w:rsid w:val="00AF4E20"/>
    <w:rsid w:val="00AF60B6"/>
    <w:rsid w:val="00AF73F2"/>
    <w:rsid w:val="00AF7D4F"/>
    <w:rsid w:val="00B01462"/>
    <w:rsid w:val="00B06BCF"/>
    <w:rsid w:val="00B11C60"/>
    <w:rsid w:val="00B13C0D"/>
    <w:rsid w:val="00B14620"/>
    <w:rsid w:val="00B3341E"/>
    <w:rsid w:val="00B3469E"/>
    <w:rsid w:val="00B434BA"/>
    <w:rsid w:val="00B5482D"/>
    <w:rsid w:val="00B54CDA"/>
    <w:rsid w:val="00B63D94"/>
    <w:rsid w:val="00B70559"/>
    <w:rsid w:val="00B71C42"/>
    <w:rsid w:val="00B85868"/>
    <w:rsid w:val="00BA02F2"/>
    <w:rsid w:val="00BB5137"/>
    <w:rsid w:val="00BC1748"/>
    <w:rsid w:val="00BE0DC2"/>
    <w:rsid w:val="00BE7CDF"/>
    <w:rsid w:val="00BF0A81"/>
    <w:rsid w:val="00BF40C3"/>
    <w:rsid w:val="00C01AC8"/>
    <w:rsid w:val="00C0254B"/>
    <w:rsid w:val="00C06AC3"/>
    <w:rsid w:val="00C11627"/>
    <w:rsid w:val="00C23AC3"/>
    <w:rsid w:val="00C305FF"/>
    <w:rsid w:val="00C47139"/>
    <w:rsid w:val="00C57C03"/>
    <w:rsid w:val="00C66A0C"/>
    <w:rsid w:val="00C73DA0"/>
    <w:rsid w:val="00C918AD"/>
    <w:rsid w:val="00CA30B1"/>
    <w:rsid w:val="00CB2F02"/>
    <w:rsid w:val="00CC297D"/>
    <w:rsid w:val="00CE4E2A"/>
    <w:rsid w:val="00CE61ED"/>
    <w:rsid w:val="00CE75BF"/>
    <w:rsid w:val="00CF0825"/>
    <w:rsid w:val="00CF6E99"/>
    <w:rsid w:val="00D10CA0"/>
    <w:rsid w:val="00D11A7A"/>
    <w:rsid w:val="00D155D8"/>
    <w:rsid w:val="00D17921"/>
    <w:rsid w:val="00D26A82"/>
    <w:rsid w:val="00D27038"/>
    <w:rsid w:val="00D34468"/>
    <w:rsid w:val="00D35A60"/>
    <w:rsid w:val="00D50D50"/>
    <w:rsid w:val="00D63439"/>
    <w:rsid w:val="00D70408"/>
    <w:rsid w:val="00D73673"/>
    <w:rsid w:val="00D80DA8"/>
    <w:rsid w:val="00D82FCD"/>
    <w:rsid w:val="00D83FA3"/>
    <w:rsid w:val="00D867E5"/>
    <w:rsid w:val="00D869ED"/>
    <w:rsid w:val="00D95D58"/>
    <w:rsid w:val="00DA3F0D"/>
    <w:rsid w:val="00DA4671"/>
    <w:rsid w:val="00DA4CB0"/>
    <w:rsid w:val="00DB53D6"/>
    <w:rsid w:val="00DB6972"/>
    <w:rsid w:val="00DB6DF8"/>
    <w:rsid w:val="00DC0730"/>
    <w:rsid w:val="00DC199E"/>
    <w:rsid w:val="00DC31F6"/>
    <w:rsid w:val="00DD0659"/>
    <w:rsid w:val="00DD109D"/>
    <w:rsid w:val="00DD4C42"/>
    <w:rsid w:val="00DD7FF8"/>
    <w:rsid w:val="00DE0169"/>
    <w:rsid w:val="00DE0488"/>
    <w:rsid w:val="00DE1DCA"/>
    <w:rsid w:val="00E12649"/>
    <w:rsid w:val="00E20931"/>
    <w:rsid w:val="00E22567"/>
    <w:rsid w:val="00E2555B"/>
    <w:rsid w:val="00E30278"/>
    <w:rsid w:val="00E44F76"/>
    <w:rsid w:val="00E56A43"/>
    <w:rsid w:val="00E646F8"/>
    <w:rsid w:val="00E67CD0"/>
    <w:rsid w:val="00E83AD3"/>
    <w:rsid w:val="00E85544"/>
    <w:rsid w:val="00E86FE6"/>
    <w:rsid w:val="00E9040A"/>
    <w:rsid w:val="00E93A45"/>
    <w:rsid w:val="00E9790F"/>
    <w:rsid w:val="00EA1411"/>
    <w:rsid w:val="00EA40E8"/>
    <w:rsid w:val="00EA7EF1"/>
    <w:rsid w:val="00EA7F2D"/>
    <w:rsid w:val="00EB02DF"/>
    <w:rsid w:val="00EB12D8"/>
    <w:rsid w:val="00EB2D23"/>
    <w:rsid w:val="00EB7BDD"/>
    <w:rsid w:val="00EC4249"/>
    <w:rsid w:val="00ED122C"/>
    <w:rsid w:val="00ED214C"/>
    <w:rsid w:val="00ED411E"/>
    <w:rsid w:val="00ED4BFB"/>
    <w:rsid w:val="00EE00C3"/>
    <w:rsid w:val="00EE4EBB"/>
    <w:rsid w:val="00EE7798"/>
    <w:rsid w:val="00EE7DC5"/>
    <w:rsid w:val="00F048EB"/>
    <w:rsid w:val="00F06F02"/>
    <w:rsid w:val="00F104A6"/>
    <w:rsid w:val="00F14452"/>
    <w:rsid w:val="00F21151"/>
    <w:rsid w:val="00F30417"/>
    <w:rsid w:val="00F4238E"/>
    <w:rsid w:val="00F468A1"/>
    <w:rsid w:val="00F6279B"/>
    <w:rsid w:val="00F718AE"/>
    <w:rsid w:val="00F77EBF"/>
    <w:rsid w:val="00F97142"/>
    <w:rsid w:val="00FA0B1E"/>
    <w:rsid w:val="00FA6165"/>
    <w:rsid w:val="00FA70CE"/>
    <w:rsid w:val="00FC4969"/>
    <w:rsid w:val="00FC591E"/>
    <w:rsid w:val="00FD41F9"/>
    <w:rsid w:val="00FD50C3"/>
    <w:rsid w:val="00FE2B31"/>
    <w:rsid w:val="00FE6419"/>
    <w:rsid w:val="00FE6C06"/>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E74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9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D7FF8"/>
    <w:rPr>
      <w:szCs w:val="20"/>
    </w:rPr>
  </w:style>
  <w:style w:type="character" w:customStyle="1" w:styleId="FootnoteTextChar">
    <w:name w:val="Footnote Text Char"/>
    <w:link w:val="FootnoteText"/>
    <w:semiHidden/>
    <w:rsid w:val="00DD7FF8"/>
    <w:rPr>
      <w:sz w:val="26"/>
    </w:rPr>
  </w:style>
  <w:style w:type="character" w:styleId="FootnoteReference">
    <w:name w:val="footnote reference"/>
    <w:basedOn w:val="DefaultParagraphFont"/>
    <w:semiHidden/>
    <w:unhideWhenUsed/>
    <w:rsid w:val="00DD7FF8"/>
    <w:rPr>
      <w:b/>
      <w:position w:val="8"/>
      <w:sz w:val="20"/>
      <w:vertAlign w:val="baseline"/>
    </w:rPr>
  </w:style>
  <w:style w:type="paragraph" w:styleId="Header">
    <w:name w:val="header"/>
    <w:basedOn w:val="Normal"/>
    <w:link w:val="HeaderChar"/>
    <w:unhideWhenUsed/>
    <w:rsid w:val="005D53EF"/>
    <w:pPr>
      <w:tabs>
        <w:tab w:val="center" w:pos="4680"/>
        <w:tab w:val="right" w:pos="9360"/>
      </w:tabs>
    </w:pPr>
  </w:style>
  <w:style w:type="character" w:customStyle="1" w:styleId="HeaderChar">
    <w:name w:val="Header Char"/>
    <w:link w:val="Header"/>
    <w:rsid w:val="005D53EF"/>
    <w:rPr>
      <w:sz w:val="26"/>
      <w:szCs w:val="24"/>
    </w:rPr>
  </w:style>
  <w:style w:type="paragraph" w:styleId="Footer">
    <w:name w:val="footer"/>
    <w:basedOn w:val="Normal"/>
    <w:link w:val="FooterChar"/>
    <w:uiPriority w:val="99"/>
    <w:unhideWhenUsed/>
    <w:rsid w:val="005D53EF"/>
    <w:pPr>
      <w:tabs>
        <w:tab w:val="center" w:pos="4680"/>
        <w:tab w:val="right" w:pos="9360"/>
      </w:tabs>
    </w:pPr>
  </w:style>
  <w:style w:type="character" w:customStyle="1" w:styleId="FooterChar">
    <w:name w:val="Footer Char"/>
    <w:link w:val="Footer"/>
    <w:uiPriority w:val="99"/>
    <w:rsid w:val="005D53EF"/>
    <w:rPr>
      <w:sz w:val="26"/>
      <w:szCs w:val="24"/>
    </w:rPr>
  </w:style>
  <w:style w:type="character" w:styleId="PageNumber">
    <w:name w:val="page number"/>
    <w:basedOn w:val="DefaultParagraphFont"/>
    <w:semiHidden/>
    <w:unhideWhenUsed/>
    <w:rsid w:val="00971B0D"/>
  </w:style>
  <w:style w:type="table" w:styleId="TableGrid">
    <w:name w:val="Table Grid"/>
    <w:basedOn w:val="TableNormal"/>
    <w:rsid w:val="00971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0262"/>
    <w:rPr>
      <w:sz w:val="26"/>
      <w:szCs w:val="24"/>
    </w:rPr>
  </w:style>
  <w:style w:type="character" w:styleId="Hyperlink">
    <w:name w:val="Hyperlink"/>
    <w:basedOn w:val="DefaultParagraphFont"/>
    <w:unhideWhenUsed/>
    <w:rsid w:val="00492F3F"/>
    <w:rPr>
      <w:color w:val="0563C1" w:themeColor="hyperlink"/>
      <w:u w:val="single"/>
    </w:rPr>
  </w:style>
  <w:style w:type="character" w:customStyle="1" w:styleId="UnresolvedMention1">
    <w:name w:val="Unresolved Mention1"/>
    <w:basedOn w:val="DefaultParagraphFont"/>
    <w:uiPriority w:val="99"/>
    <w:semiHidden/>
    <w:unhideWhenUsed/>
    <w:rsid w:val="00492F3F"/>
    <w:rPr>
      <w:color w:val="605E5C"/>
      <w:shd w:val="clear" w:color="auto" w:fill="E1DFDD"/>
    </w:rPr>
  </w:style>
  <w:style w:type="paragraph" w:customStyle="1" w:styleId="SigPage1">
    <w:name w:val="Sig.Page.1"/>
    <w:basedOn w:val="Normal"/>
    <w:rsid w:val="002E116B"/>
    <w:pPr>
      <w:tabs>
        <w:tab w:val="left" w:pos="2880"/>
      </w:tabs>
      <w:suppressAutoHyphens/>
      <w:overflowPunct w:val="0"/>
      <w:autoSpaceDE w:val="0"/>
      <w:autoSpaceDN w:val="0"/>
      <w:adjustRightInd w:val="0"/>
      <w:textAlignment w:val="baseline"/>
    </w:pPr>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B14A5-B260-4240-BD13-5B22F161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12471</Words>
  <Characters>67239</Characters>
  <Application>Microsoft Office Word</Application>
  <DocSecurity>0</DocSecurity>
  <Lines>1095</Lines>
  <Paragraphs>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2024-02-09T21:04:00Z</dcterms:created>
  <dcterms:modified xsi:type="dcterms:W3CDTF">2024-02-09T21:04:00Z</dcterms:modified>
  <cp:category/>
</cp:coreProperties>
</file>