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B5E04" w14:textId="77777777" w:rsidR="0072129B" w:rsidRPr="00AA17E7" w:rsidRDefault="0072129B" w:rsidP="009F5E01">
      <w:pPr>
        <w:spacing w:line="240" w:lineRule="auto"/>
        <w:rPr>
          <w:sz w:val="20"/>
        </w:rPr>
      </w:pPr>
      <w:bookmarkStart w:id="0" w:name="PublicationStatus"/>
      <w:r w:rsidRPr="00AA17E7">
        <w:rPr>
          <w:sz w:val="20"/>
        </w:rPr>
        <w:t>Filed 3/1/24</w:t>
      </w:r>
    </w:p>
    <w:p w14:paraId="35128224" w14:textId="77777777" w:rsidR="0072129B" w:rsidRDefault="0072129B" w:rsidP="001951A7">
      <w:pPr>
        <w:spacing w:line="240" w:lineRule="auto"/>
        <w:jc w:val="center"/>
        <w:rPr>
          <w:b/>
          <w:u w:val="single"/>
        </w:rPr>
      </w:pPr>
    </w:p>
    <w:p w14:paraId="22176BE2" w14:textId="77777777" w:rsidR="0072129B" w:rsidRDefault="0072129B" w:rsidP="001951A7">
      <w:pPr>
        <w:spacing w:line="240" w:lineRule="auto"/>
        <w:jc w:val="center"/>
        <w:rPr>
          <w:b/>
          <w:u w:val="single"/>
        </w:rPr>
      </w:pPr>
    </w:p>
    <w:p w14:paraId="7792778B" w14:textId="77777777" w:rsidR="0072129B" w:rsidRDefault="0072129B" w:rsidP="001951A7">
      <w:pPr>
        <w:spacing w:line="240" w:lineRule="auto"/>
        <w:jc w:val="center"/>
        <w:rPr>
          <w:b/>
          <w:u w:val="single"/>
        </w:rPr>
      </w:pPr>
    </w:p>
    <w:p w14:paraId="49010369" w14:textId="77777777" w:rsidR="0072129B" w:rsidRDefault="0072129B" w:rsidP="001951A7">
      <w:pPr>
        <w:spacing w:line="240" w:lineRule="auto"/>
        <w:jc w:val="center"/>
      </w:pPr>
      <w:r>
        <w:rPr>
          <w:b/>
          <w:u w:val="single"/>
        </w:rPr>
        <w:t>CERTIFIED FOR PUBLICATION</w:t>
      </w:r>
      <w:bookmarkEnd w:id="0"/>
    </w:p>
    <w:p w14:paraId="46ECACFC" w14:textId="77777777" w:rsidR="0072129B" w:rsidRDefault="0072129B" w:rsidP="001951A7">
      <w:pPr>
        <w:spacing w:line="240" w:lineRule="auto"/>
        <w:jc w:val="center"/>
      </w:pPr>
    </w:p>
    <w:p w14:paraId="00B51139" w14:textId="77777777" w:rsidR="0072129B" w:rsidRDefault="0072129B" w:rsidP="001951A7">
      <w:pPr>
        <w:spacing w:before="240" w:line="240" w:lineRule="auto"/>
        <w:jc w:val="center"/>
      </w:pPr>
      <w:r>
        <w:t>IN THE COURT OF APPEAL OF THE STATE OF CALIFORNIA</w:t>
      </w:r>
    </w:p>
    <w:p w14:paraId="3D626ABC" w14:textId="77777777" w:rsidR="0072129B" w:rsidRDefault="0072129B" w:rsidP="001951A7">
      <w:pPr>
        <w:spacing w:before="240" w:line="240" w:lineRule="auto"/>
        <w:jc w:val="center"/>
      </w:pPr>
      <w:r>
        <w:t>FIFTH APPELLATE DISTRICT</w:t>
      </w:r>
    </w:p>
    <w:p w14:paraId="03A57C87" w14:textId="77777777" w:rsidR="0072129B" w:rsidRDefault="0072129B" w:rsidP="001951A7">
      <w:pPr>
        <w:spacing w:line="240" w:lineRule="auto"/>
        <w:jc w:val="center"/>
      </w:pPr>
    </w:p>
    <w:tbl>
      <w:tblPr>
        <w:tblW w:w="9504" w:type="dxa"/>
        <w:tblLayout w:type="fixed"/>
        <w:tblLook w:val="0000" w:firstRow="0" w:lastRow="0" w:firstColumn="0" w:lastColumn="0" w:noHBand="0" w:noVBand="0"/>
      </w:tblPr>
      <w:tblGrid>
        <w:gridCol w:w="5400"/>
        <w:gridCol w:w="4104"/>
      </w:tblGrid>
      <w:tr w:rsidR="008B5870" w14:paraId="0FEB90CF" w14:textId="77777777" w:rsidTr="00976001">
        <w:tc>
          <w:tcPr>
            <w:tcW w:w="5400" w:type="dxa"/>
            <w:tcBorders>
              <w:bottom w:val="single" w:sz="6" w:space="0" w:color="auto"/>
              <w:right w:val="single" w:sz="6" w:space="0" w:color="auto"/>
            </w:tcBorders>
            <w:shd w:val="clear" w:color="auto" w:fill="auto"/>
          </w:tcPr>
          <w:p w14:paraId="7EA6F7E5" w14:textId="37EAA973" w:rsidR="0072129B" w:rsidRDefault="0072129B" w:rsidP="00976001">
            <w:pPr>
              <w:spacing w:line="240" w:lineRule="auto"/>
            </w:pPr>
            <w:r>
              <w:t>TRC OPERATING COMPANY</w:t>
            </w:r>
            <w:r>
              <w:t xml:space="preserve"> et al.,</w:t>
            </w:r>
          </w:p>
          <w:p w14:paraId="6680F683" w14:textId="77777777" w:rsidR="0072129B" w:rsidRDefault="0072129B" w:rsidP="00976001">
            <w:pPr>
              <w:spacing w:line="240" w:lineRule="auto"/>
            </w:pPr>
          </w:p>
          <w:p w14:paraId="7C7DF633" w14:textId="77777777" w:rsidR="0072129B" w:rsidRDefault="0072129B" w:rsidP="00976001">
            <w:pPr>
              <w:spacing w:line="240" w:lineRule="auto"/>
              <w:ind w:left="720"/>
            </w:pPr>
            <w:r>
              <w:t>Plaintiff</w:t>
            </w:r>
            <w:r>
              <w:t>s</w:t>
            </w:r>
            <w:r>
              <w:t xml:space="preserve"> and Respondent</w:t>
            </w:r>
            <w:r>
              <w:t>s</w:t>
            </w:r>
            <w:r>
              <w:t>,</w:t>
            </w:r>
          </w:p>
          <w:p w14:paraId="075AF0FA" w14:textId="77777777" w:rsidR="0072129B" w:rsidRDefault="0072129B" w:rsidP="00976001">
            <w:pPr>
              <w:spacing w:line="240" w:lineRule="auto"/>
            </w:pPr>
          </w:p>
          <w:p w14:paraId="46DB5068" w14:textId="77777777" w:rsidR="0072129B" w:rsidRDefault="0072129B" w:rsidP="00976001">
            <w:pPr>
              <w:spacing w:line="240" w:lineRule="auto"/>
            </w:pPr>
            <w:r>
              <w:tab/>
            </w:r>
            <w:r>
              <w:tab/>
              <w:t>v.</w:t>
            </w:r>
          </w:p>
          <w:p w14:paraId="66A8785A" w14:textId="77777777" w:rsidR="0072129B" w:rsidRDefault="0072129B" w:rsidP="00976001">
            <w:pPr>
              <w:spacing w:line="240" w:lineRule="auto"/>
            </w:pPr>
          </w:p>
          <w:p w14:paraId="681DF4FA" w14:textId="77777777" w:rsidR="0072129B" w:rsidRDefault="0072129B" w:rsidP="00976001">
            <w:pPr>
              <w:spacing w:line="240" w:lineRule="auto"/>
            </w:pPr>
            <w:r>
              <w:t>DAVID SHABAZIAN, as Director, etc., et al.,</w:t>
            </w:r>
          </w:p>
          <w:p w14:paraId="604C0451" w14:textId="77777777" w:rsidR="0072129B" w:rsidRDefault="0072129B" w:rsidP="00976001">
            <w:pPr>
              <w:spacing w:line="240" w:lineRule="auto"/>
            </w:pPr>
          </w:p>
          <w:p w14:paraId="5F4E8E09" w14:textId="77777777" w:rsidR="0072129B" w:rsidRDefault="0072129B" w:rsidP="00976001">
            <w:pPr>
              <w:spacing w:line="240" w:lineRule="auto"/>
              <w:ind w:left="720"/>
            </w:pPr>
            <w:r>
              <w:t>Defendant</w:t>
            </w:r>
            <w:r>
              <w:t>s</w:t>
            </w:r>
            <w:r>
              <w:t xml:space="preserve"> and Appellant</w:t>
            </w:r>
            <w:r>
              <w:t>s</w:t>
            </w:r>
            <w:r>
              <w:t>.</w:t>
            </w:r>
          </w:p>
          <w:p w14:paraId="63ABDDB6" w14:textId="77777777" w:rsidR="0072129B" w:rsidRDefault="0072129B" w:rsidP="00976001">
            <w:pPr>
              <w:spacing w:line="240" w:lineRule="auto"/>
            </w:pPr>
          </w:p>
        </w:tc>
        <w:tc>
          <w:tcPr>
            <w:tcW w:w="4104" w:type="dxa"/>
            <w:tcBorders>
              <w:left w:val="single" w:sz="6" w:space="0" w:color="auto"/>
            </w:tcBorders>
          </w:tcPr>
          <w:p w14:paraId="53658547" w14:textId="77777777" w:rsidR="0072129B" w:rsidRDefault="0072129B" w:rsidP="00976001">
            <w:pPr>
              <w:spacing w:line="240" w:lineRule="auto"/>
              <w:jc w:val="center"/>
            </w:pPr>
          </w:p>
          <w:p w14:paraId="78B6DFCA" w14:textId="77777777" w:rsidR="0072129B" w:rsidRDefault="0072129B" w:rsidP="00976001">
            <w:pPr>
              <w:spacing w:line="240" w:lineRule="auto"/>
              <w:jc w:val="center"/>
            </w:pPr>
            <w:r>
              <w:t>F085832</w:t>
            </w:r>
          </w:p>
          <w:p w14:paraId="1AB430E9" w14:textId="77777777" w:rsidR="0072129B" w:rsidRDefault="0072129B" w:rsidP="00976001">
            <w:pPr>
              <w:spacing w:line="240" w:lineRule="auto"/>
              <w:jc w:val="center"/>
            </w:pPr>
          </w:p>
          <w:p w14:paraId="0DC51D1C" w14:textId="77777777" w:rsidR="0072129B" w:rsidRDefault="0072129B" w:rsidP="00976001">
            <w:pPr>
              <w:spacing w:line="240" w:lineRule="auto"/>
              <w:jc w:val="center"/>
            </w:pPr>
            <w:r>
              <w:t>(Super. Ct. No. BCV-21-100386)</w:t>
            </w:r>
          </w:p>
          <w:p w14:paraId="5DFA7311" w14:textId="77777777" w:rsidR="0072129B" w:rsidRDefault="0072129B" w:rsidP="00976001">
            <w:pPr>
              <w:spacing w:line="240" w:lineRule="auto"/>
              <w:jc w:val="center"/>
            </w:pPr>
          </w:p>
          <w:p w14:paraId="6C1D4058" w14:textId="77777777" w:rsidR="0072129B" w:rsidRDefault="0072129B" w:rsidP="00976001">
            <w:pPr>
              <w:spacing w:line="240" w:lineRule="auto"/>
              <w:jc w:val="center"/>
            </w:pPr>
          </w:p>
          <w:p w14:paraId="393A62C2" w14:textId="77777777" w:rsidR="0072129B" w:rsidRPr="001951A7" w:rsidRDefault="0072129B" w:rsidP="00976001">
            <w:pPr>
              <w:spacing w:line="240" w:lineRule="auto"/>
              <w:jc w:val="center"/>
              <w:rPr>
                <w:sz w:val="30"/>
              </w:rPr>
            </w:pPr>
            <w:r w:rsidRPr="001951A7">
              <w:rPr>
                <w:b/>
                <w:sz w:val="30"/>
              </w:rPr>
              <w:t>OPINION</w:t>
            </w:r>
          </w:p>
        </w:tc>
      </w:tr>
    </w:tbl>
    <w:p w14:paraId="5B1F10FE" w14:textId="77777777" w:rsidR="0072129B" w:rsidRDefault="0072129B" w:rsidP="00976001"/>
    <w:p w14:paraId="51DBB82A" w14:textId="77777777" w:rsidR="0072129B" w:rsidRDefault="0072129B" w:rsidP="00976001">
      <w:r>
        <w:tab/>
        <w:t xml:space="preserve">APPEAL from </w:t>
      </w:r>
      <w:r>
        <w:t xml:space="preserve">an order </w:t>
      </w:r>
      <w:r>
        <w:t xml:space="preserve">of the Superior Court of Kern County.  </w:t>
      </w:r>
      <w:r>
        <w:t xml:space="preserve">J. </w:t>
      </w:r>
      <w:r>
        <w:t>Eric Bradshaw, Judge.</w:t>
      </w:r>
    </w:p>
    <w:p w14:paraId="7534FF91" w14:textId="77777777" w:rsidR="0072129B" w:rsidRDefault="0072129B" w:rsidP="00976001">
      <w:r>
        <w:tab/>
      </w:r>
      <w:r>
        <w:t xml:space="preserve">Rob Bonta, Attorney General, Daniel A. Olivas, Senior Assistant Attorney General, Andrew M. Vogel, Wyatt E. Sloan-Tribe, and Matthew T. Struhar, Deputy Attorneys General, for Defendants and Appellants. </w:t>
      </w:r>
    </w:p>
    <w:p w14:paraId="0D3D557D" w14:textId="77777777" w:rsidR="0072129B" w:rsidRDefault="0072129B" w:rsidP="00941327">
      <w:pPr>
        <w:ind w:firstLine="720"/>
      </w:pPr>
      <w:r>
        <w:t>Pledger Law and Jean M. Pledger for Plaintiffs and Respondents.</w:t>
      </w:r>
    </w:p>
    <w:p w14:paraId="050560F9" w14:textId="77777777" w:rsidR="0072129B" w:rsidRDefault="0072129B" w:rsidP="00976001">
      <w:pPr>
        <w:jc w:val="center"/>
      </w:pPr>
      <w:r>
        <w:t>-</w:t>
      </w:r>
      <w:proofErr w:type="spellStart"/>
      <w:r>
        <w:t>ooOoo</w:t>
      </w:r>
      <w:proofErr w:type="spellEnd"/>
      <w:r>
        <w:t>-</w:t>
      </w:r>
    </w:p>
    <w:p w14:paraId="3A65EBA7" w14:textId="77777777" w:rsidR="0072129B" w:rsidRPr="00F82482" w:rsidRDefault="0072129B" w:rsidP="00E00DA7">
      <w:pPr>
        <w:spacing w:line="480" w:lineRule="exact"/>
        <w:ind w:firstLine="720"/>
        <w:rPr>
          <w:color w:val="000000"/>
          <w:szCs w:val="26"/>
        </w:rPr>
      </w:pPr>
      <w:r w:rsidRPr="00E00DA7">
        <w:rPr>
          <w:color w:val="000000"/>
          <w:szCs w:val="26"/>
          <w:bdr w:val="none" w:sz="0" w:space="0" w:color="auto" w:frame="1"/>
        </w:rPr>
        <w:t>California Geologic Energy Management Division (</w:t>
      </w:r>
      <w:proofErr w:type="spellStart"/>
      <w:r w:rsidRPr="00E00DA7">
        <w:rPr>
          <w:color w:val="000000"/>
          <w:szCs w:val="26"/>
          <w:bdr w:val="none" w:sz="0" w:space="0" w:color="auto" w:frame="1"/>
        </w:rPr>
        <w:t>CalGEM</w:t>
      </w:r>
      <w:proofErr w:type="spellEnd"/>
      <w:r w:rsidRPr="00E00DA7">
        <w:rPr>
          <w:color w:val="000000"/>
          <w:szCs w:val="26"/>
          <w:bdr w:val="none" w:sz="0" w:space="0" w:color="auto" w:frame="1"/>
        </w:rPr>
        <w:t xml:space="preserve">) “is </w:t>
      </w:r>
      <w:r>
        <w:rPr>
          <w:color w:val="000000"/>
          <w:szCs w:val="26"/>
          <w:bdr w:val="none" w:sz="0" w:space="0" w:color="auto" w:frame="1"/>
        </w:rPr>
        <w:t xml:space="preserve">a </w:t>
      </w:r>
      <w:r w:rsidRPr="00F82482">
        <w:rPr>
          <w:color w:val="000000"/>
          <w:szCs w:val="26"/>
        </w:rPr>
        <w:t>division of the Department of Conservation and is led by the ‘State Oil and Gas Supervisor</w:t>
      </w:r>
      <w:r>
        <w:rPr>
          <w:color w:val="000000"/>
          <w:szCs w:val="26"/>
        </w:rPr>
        <w:t xml:space="preserve"> [(supervisor)]</w:t>
      </w:r>
      <w:r w:rsidRPr="00F82482">
        <w:rPr>
          <w:color w:val="000000"/>
          <w:szCs w:val="26"/>
        </w:rPr>
        <w:t>.</w:t>
      </w:r>
      <w:proofErr w:type="gramStart"/>
      <w:r w:rsidRPr="00F82482">
        <w:rPr>
          <w:color w:val="000000"/>
          <w:szCs w:val="26"/>
        </w:rPr>
        <w:t>’ ”</w:t>
      </w:r>
      <w:proofErr w:type="gramEnd"/>
      <w:r w:rsidRPr="00F82482">
        <w:rPr>
          <w:color w:val="000000"/>
          <w:szCs w:val="26"/>
        </w:rPr>
        <w:t xml:space="preserve">  </w:t>
      </w:r>
      <w:r w:rsidRPr="00F82482">
        <w:rPr>
          <w:color w:val="3D3D3D"/>
          <w:szCs w:val="26"/>
          <w:bdr w:val="none" w:sz="0" w:space="0" w:color="auto" w:frame="1"/>
        </w:rPr>
        <w:t>(</w:t>
      </w:r>
      <w:r w:rsidRPr="00F82482">
        <w:rPr>
          <w:i/>
          <w:iCs/>
          <w:color w:val="3D3D3D"/>
          <w:szCs w:val="26"/>
          <w:bdr w:val="none" w:sz="0" w:space="0" w:color="auto" w:frame="1"/>
        </w:rPr>
        <w:t>Chevron U.S.A. Inc. v. County of Monterey</w:t>
      </w:r>
      <w:r w:rsidRPr="00F82482">
        <w:rPr>
          <w:color w:val="000000"/>
          <w:szCs w:val="26"/>
        </w:rPr>
        <w:t xml:space="preserve"> (2023) 15 Cal.5th 135, 140, fn. 3 (</w:t>
      </w:r>
      <w:r w:rsidRPr="00F82482">
        <w:rPr>
          <w:i/>
          <w:iCs/>
          <w:color w:val="000000"/>
          <w:szCs w:val="26"/>
        </w:rPr>
        <w:t>Chevron</w:t>
      </w:r>
      <w:r w:rsidRPr="00E00DA7">
        <w:rPr>
          <w:color w:val="000000"/>
          <w:szCs w:val="26"/>
        </w:rPr>
        <w:t>).)</w:t>
      </w:r>
      <w:r w:rsidRPr="00E00DA7">
        <w:rPr>
          <w:color w:val="000000"/>
          <w:szCs w:val="26"/>
          <w:bdr w:val="none" w:sz="0" w:space="0" w:color="auto" w:frame="1"/>
        </w:rPr>
        <w:t xml:space="preserve">  </w:t>
      </w:r>
      <w:proofErr w:type="spellStart"/>
      <w:r w:rsidRPr="00E00DA7">
        <w:rPr>
          <w:color w:val="000000"/>
          <w:szCs w:val="26"/>
          <w:bdr w:val="none" w:sz="0" w:space="0" w:color="auto" w:frame="1"/>
        </w:rPr>
        <w:t>CalGEM</w:t>
      </w:r>
      <w:proofErr w:type="spellEnd"/>
      <w:r w:rsidRPr="00E00DA7">
        <w:rPr>
          <w:color w:val="000000"/>
          <w:szCs w:val="26"/>
          <w:bdr w:val="none" w:sz="0" w:space="0" w:color="auto" w:frame="1"/>
        </w:rPr>
        <w:t xml:space="preserve"> is “</w:t>
      </w:r>
      <w:r w:rsidRPr="00E00DA7">
        <w:rPr>
          <w:color w:val="000000"/>
          <w:szCs w:val="26"/>
        </w:rPr>
        <w:t>tasked</w:t>
      </w:r>
      <w:r w:rsidRPr="00F82482">
        <w:rPr>
          <w:color w:val="000000"/>
          <w:szCs w:val="26"/>
        </w:rPr>
        <w:t xml:space="preserve"> with overseeing the state’s drilling, operation, maintenance, and plugging and abandonment of oil and gas wells.”  (</w:t>
      </w:r>
      <w:r w:rsidRPr="00F82482">
        <w:rPr>
          <w:i/>
          <w:iCs/>
          <w:color w:val="000000"/>
          <w:szCs w:val="26"/>
        </w:rPr>
        <w:t xml:space="preserve">Id. </w:t>
      </w:r>
      <w:r w:rsidRPr="00F82482">
        <w:rPr>
          <w:color w:val="000000"/>
          <w:szCs w:val="26"/>
        </w:rPr>
        <w:t>at p. 140.)</w:t>
      </w:r>
    </w:p>
    <w:p w14:paraId="730E2C2C" w14:textId="77777777" w:rsidR="0072129B" w:rsidRPr="00F82482" w:rsidRDefault="0072129B" w:rsidP="00E00DA7">
      <w:pPr>
        <w:spacing w:line="480" w:lineRule="exact"/>
        <w:ind w:firstLine="720"/>
        <w:rPr>
          <w:color w:val="000000"/>
          <w:szCs w:val="26"/>
        </w:rPr>
      </w:pPr>
      <w:r w:rsidRPr="00F82482">
        <w:rPr>
          <w:color w:val="000000"/>
          <w:szCs w:val="26"/>
        </w:rPr>
        <w:lastRenderedPageBreak/>
        <w:t xml:space="preserve">Our state’s “oil and gas operations are governed by Division 3 of the Public Resources Code </w:t>
      </w:r>
      <w:r w:rsidRPr="00F82482">
        <w:rPr>
          <w:szCs w:val="26"/>
        </w:rPr>
        <w:t>(§ 3000 et seq.) and its implementing regulations (Cal. Code Regs., tit.</w:t>
      </w:r>
      <w:r>
        <w:rPr>
          <w:szCs w:val="26"/>
        </w:rPr>
        <w:t> </w:t>
      </w:r>
      <w:r w:rsidRPr="00F82482">
        <w:rPr>
          <w:szCs w:val="26"/>
        </w:rPr>
        <w:t>14, § 1712 et seq.).”  (</w:t>
      </w:r>
      <w:r w:rsidRPr="00F82482">
        <w:rPr>
          <w:i/>
          <w:iCs/>
          <w:szCs w:val="26"/>
        </w:rPr>
        <w:t xml:space="preserve">Chevron, supra, </w:t>
      </w:r>
      <w:r w:rsidRPr="00F82482">
        <w:rPr>
          <w:szCs w:val="26"/>
        </w:rPr>
        <w:t xml:space="preserve">15 Cal.5th at p. 143.)  </w:t>
      </w:r>
      <w:r>
        <w:rPr>
          <w:szCs w:val="26"/>
        </w:rPr>
        <w:t>Public Resources Code</w:t>
      </w:r>
      <w:r>
        <w:rPr>
          <w:rStyle w:val="FootnoteReference"/>
          <w:color w:val="000000"/>
          <w:szCs w:val="26"/>
        </w:rPr>
        <w:footnoteReference w:id="1"/>
      </w:r>
      <w:r>
        <w:rPr>
          <w:szCs w:val="26"/>
        </w:rPr>
        <w:t xml:space="preserve"> s</w:t>
      </w:r>
      <w:r w:rsidRPr="00F82482">
        <w:rPr>
          <w:szCs w:val="26"/>
        </w:rPr>
        <w:t xml:space="preserve">ection 3106 “directs the </w:t>
      </w:r>
      <w:r w:rsidRPr="00F82482">
        <w:rPr>
          <w:color w:val="000000"/>
          <w:szCs w:val="26"/>
        </w:rPr>
        <w:t xml:space="preserve">supervisor to administer the </w:t>
      </w:r>
      <w:r w:rsidRPr="00F82482">
        <w:rPr>
          <w:color w:val="000000"/>
          <w:szCs w:val="26"/>
        </w:rPr>
        <w:t>state’s regulations in a way that serves the dual purpose of ensuring the state has adequate oil and gas resources, while protecting the environment.”  (</w:t>
      </w:r>
      <w:r>
        <w:rPr>
          <w:i/>
          <w:iCs/>
          <w:color w:val="000000"/>
          <w:szCs w:val="26"/>
        </w:rPr>
        <w:t xml:space="preserve">Chevron, </w:t>
      </w:r>
      <w:r>
        <w:rPr>
          <w:color w:val="000000"/>
          <w:szCs w:val="26"/>
        </w:rPr>
        <w:t>at p. 144.</w:t>
      </w:r>
      <w:r w:rsidRPr="00F82482">
        <w:rPr>
          <w:color w:val="000000"/>
          <w:szCs w:val="26"/>
        </w:rPr>
        <w:t>)</w:t>
      </w:r>
    </w:p>
    <w:p w14:paraId="01C19145" w14:textId="77777777" w:rsidR="0072129B" w:rsidRPr="00F82482" w:rsidRDefault="0072129B" w:rsidP="00E00DA7">
      <w:pPr>
        <w:spacing w:line="480" w:lineRule="exact"/>
        <w:ind w:firstLine="720"/>
        <w:rPr>
          <w:color w:val="000000"/>
          <w:szCs w:val="26"/>
        </w:rPr>
      </w:pPr>
      <w:r>
        <w:rPr>
          <w:color w:val="000000"/>
          <w:szCs w:val="26"/>
        </w:rPr>
        <w:t>Decades</w:t>
      </w:r>
      <w:r w:rsidRPr="00F82482">
        <w:rPr>
          <w:color w:val="000000"/>
          <w:szCs w:val="26"/>
        </w:rPr>
        <w:t xml:space="preserve"> ago, </w:t>
      </w:r>
      <w:r w:rsidRPr="00F511EF">
        <w:rPr>
          <w:color w:val="000000"/>
          <w:szCs w:val="26"/>
        </w:rPr>
        <w:t xml:space="preserve">the </w:t>
      </w:r>
      <w:r w:rsidRPr="00F82482">
        <w:rPr>
          <w:color w:val="000000"/>
          <w:szCs w:val="26"/>
        </w:rPr>
        <w:t>United States Environmental Protection Agency (EPA</w:t>
      </w:r>
      <w:r w:rsidRPr="00F511EF">
        <w:rPr>
          <w:color w:val="000000"/>
          <w:szCs w:val="26"/>
        </w:rPr>
        <w:t>)</w:t>
      </w:r>
      <w:r w:rsidRPr="00F82482">
        <w:rPr>
          <w:color w:val="000000"/>
          <w:szCs w:val="26"/>
        </w:rPr>
        <w:t xml:space="preserve"> authorized </w:t>
      </w:r>
      <w:proofErr w:type="spellStart"/>
      <w:r w:rsidRPr="00F82482">
        <w:rPr>
          <w:color w:val="000000"/>
          <w:szCs w:val="26"/>
        </w:rPr>
        <w:t>CalGEM</w:t>
      </w:r>
      <w:proofErr w:type="spellEnd"/>
      <w:r>
        <w:rPr>
          <w:color w:val="000000"/>
          <w:szCs w:val="26"/>
        </w:rPr>
        <w:t>,</w:t>
      </w:r>
      <w:r>
        <w:rPr>
          <w:rStyle w:val="FootnoteReference"/>
          <w:color w:val="000000"/>
          <w:szCs w:val="26"/>
        </w:rPr>
        <w:footnoteReference w:id="2"/>
      </w:r>
      <w:r>
        <w:rPr>
          <w:color w:val="000000"/>
          <w:szCs w:val="26"/>
        </w:rPr>
        <w:t xml:space="preserve"> under the federal Safe Drinking Water Act,</w:t>
      </w:r>
      <w:r w:rsidRPr="00F82482">
        <w:rPr>
          <w:color w:val="000000"/>
          <w:szCs w:val="26"/>
        </w:rPr>
        <w:t xml:space="preserve"> to protect </w:t>
      </w:r>
      <w:r>
        <w:rPr>
          <w:color w:val="000000"/>
          <w:szCs w:val="26"/>
        </w:rPr>
        <w:t xml:space="preserve">California’s </w:t>
      </w:r>
      <w:r w:rsidRPr="00F82482">
        <w:rPr>
          <w:color w:val="000000"/>
          <w:szCs w:val="26"/>
        </w:rPr>
        <w:t xml:space="preserve">drinking water </w:t>
      </w:r>
      <w:r>
        <w:rPr>
          <w:color w:val="000000"/>
          <w:szCs w:val="26"/>
        </w:rPr>
        <w:t xml:space="preserve">from damage caused by oil operations </w:t>
      </w:r>
      <w:r w:rsidRPr="00F82482">
        <w:rPr>
          <w:color w:val="000000"/>
          <w:szCs w:val="26"/>
        </w:rPr>
        <w:t>(</w:t>
      </w:r>
      <w:r>
        <w:rPr>
          <w:color w:val="000000"/>
          <w:szCs w:val="26"/>
        </w:rPr>
        <w:t xml:space="preserve">42 U.S.C. </w:t>
      </w:r>
      <w:r w:rsidRPr="00F511EF">
        <w:rPr>
          <w:color w:val="000000"/>
          <w:szCs w:val="26"/>
        </w:rPr>
        <w:t xml:space="preserve">§ 300f et seq.; </w:t>
      </w:r>
      <w:r>
        <w:rPr>
          <w:color w:val="000000"/>
          <w:szCs w:val="26"/>
        </w:rPr>
        <w:t xml:space="preserve">40 C.F.R. </w:t>
      </w:r>
      <w:r w:rsidRPr="00F511EF">
        <w:rPr>
          <w:color w:val="000000"/>
          <w:szCs w:val="26"/>
        </w:rPr>
        <w:t>§ 147.250</w:t>
      </w:r>
      <w:r w:rsidRPr="00F82482">
        <w:rPr>
          <w:color w:val="000000"/>
          <w:szCs w:val="26"/>
        </w:rPr>
        <w:t xml:space="preserve">).  </w:t>
      </w:r>
      <w:r>
        <w:rPr>
          <w:color w:val="000000"/>
          <w:szCs w:val="26"/>
        </w:rPr>
        <w:t xml:space="preserve">In response to a 2011 </w:t>
      </w:r>
      <w:r>
        <w:rPr>
          <w:color w:val="000000"/>
          <w:szCs w:val="26"/>
        </w:rPr>
        <w:t xml:space="preserve">EPA </w:t>
      </w:r>
      <w:r>
        <w:rPr>
          <w:color w:val="000000"/>
          <w:szCs w:val="26"/>
        </w:rPr>
        <w:t xml:space="preserve">audit finding </w:t>
      </w:r>
      <w:proofErr w:type="spellStart"/>
      <w:r>
        <w:rPr>
          <w:color w:val="000000"/>
          <w:szCs w:val="26"/>
        </w:rPr>
        <w:t>CalGEM</w:t>
      </w:r>
      <w:proofErr w:type="spellEnd"/>
      <w:r>
        <w:rPr>
          <w:color w:val="000000"/>
          <w:szCs w:val="26"/>
        </w:rPr>
        <w:t xml:space="preserve"> deficient in protecting the state’s drinking water, </w:t>
      </w:r>
      <w:proofErr w:type="spellStart"/>
      <w:r w:rsidRPr="00F82482">
        <w:rPr>
          <w:color w:val="000000"/>
          <w:szCs w:val="26"/>
        </w:rPr>
        <w:t>CalGEM</w:t>
      </w:r>
      <w:proofErr w:type="spellEnd"/>
      <w:r w:rsidRPr="00F82482">
        <w:rPr>
          <w:color w:val="000000"/>
          <w:szCs w:val="26"/>
        </w:rPr>
        <w:t xml:space="preserve"> </w:t>
      </w:r>
      <w:r>
        <w:rPr>
          <w:color w:val="000000"/>
          <w:szCs w:val="26"/>
        </w:rPr>
        <w:t xml:space="preserve">recently </w:t>
      </w:r>
      <w:r w:rsidRPr="00F82482">
        <w:rPr>
          <w:color w:val="000000"/>
          <w:szCs w:val="26"/>
        </w:rPr>
        <w:t xml:space="preserve">promulgated and adopted new regulations.  A few of those </w:t>
      </w:r>
      <w:r>
        <w:rPr>
          <w:color w:val="000000"/>
          <w:szCs w:val="26"/>
        </w:rPr>
        <w:t xml:space="preserve">new </w:t>
      </w:r>
      <w:r w:rsidRPr="00F82482">
        <w:rPr>
          <w:color w:val="000000"/>
          <w:szCs w:val="26"/>
        </w:rPr>
        <w:t>regulations are at issue in this case.</w:t>
      </w:r>
    </w:p>
    <w:p w14:paraId="79EEAC26" w14:textId="77777777" w:rsidR="0072129B" w:rsidRPr="00F82482" w:rsidRDefault="0072129B" w:rsidP="00E00DA7">
      <w:pPr>
        <w:spacing w:line="480" w:lineRule="exact"/>
        <w:ind w:firstLine="720"/>
        <w:rPr>
          <w:color w:val="000000"/>
          <w:szCs w:val="26"/>
        </w:rPr>
      </w:pPr>
      <w:r>
        <w:rPr>
          <w:color w:val="000000"/>
          <w:szCs w:val="26"/>
        </w:rPr>
        <w:t>The challenged regulations</w:t>
      </w:r>
      <w:r w:rsidRPr="00F82482">
        <w:rPr>
          <w:color w:val="000000"/>
          <w:szCs w:val="26"/>
        </w:rPr>
        <w:t xml:space="preserve"> essentially require oil operators to cease operations when a “surface expression”</w:t>
      </w:r>
      <w:r>
        <w:rPr>
          <w:rStyle w:val="FootnoteReference"/>
          <w:szCs w:val="26"/>
        </w:rPr>
        <w:footnoteReference w:id="3"/>
      </w:r>
      <w:r w:rsidRPr="00F82482">
        <w:rPr>
          <w:color w:val="000000"/>
          <w:szCs w:val="26"/>
        </w:rPr>
        <w:t xml:space="preserve"> exists or there is reason to believe </w:t>
      </w:r>
      <w:r>
        <w:rPr>
          <w:color w:val="000000"/>
          <w:szCs w:val="26"/>
        </w:rPr>
        <w:t>a</w:t>
      </w:r>
      <w:r w:rsidRPr="00F82482">
        <w:rPr>
          <w:color w:val="000000"/>
          <w:szCs w:val="26"/>
        </w:rPr>
        <w:t xml:space="preserve"> specific operation is causing a surface expression.  The regulations further demand operations to remain </w:t>
      </w:r>
      <w:r>
        <w:rPr>
          <w:color w:val="000000"/>
          <w:szCs w:val="26"/>
        </w:rPr>
        <w:t>dormant</w:t>
      </w:r>
      <w:r w:rsidRPr="00F82482">
        <w:rPr>
          <w:color w:val="000000"/>
          <w:szCs w:val="26"/>
        </w:rPr>
        <w:t xml:space="preserve"> until </w:t>
      </w:r>
      <w:proofErr w:type="spellStart"/>
      <w:r w:rsidRPr="00F82482">
        <w:rPr>
          <w:color w:val="000000"/>
          <w:szCs w:val="26"/>
        </w:rPr>
        <w:t>CalGEM</w:t>
      </w:r>
      <w:proofErr w:type="spellEnd"/>
      <w:r>
        <w:rPr>
          <w:color w:val="000000"/>
          <w:szCs w:val="26"/>
        </w:rPr>
        <w:t>, in writing,</w:t>
      </w:r>
      <w:r w:rsidRPr="00F82482">
        <w:rPr>
          <w:color w:val="000000"/>
          <w:szCs w:val="26"/>
        </w:rPr>
        <w:t xml:space="preserve"> authorizes</w:t>
      </w:r>
      <w:r>
        <w:rPr>
          <w:color w:val="000000"/>
          <w:szCs w:val="26"/>
        </w:rPr>
        <w:t xml:space="preserve"> </w:t>
      </w:r>
      <w:r w:rsidRPr="00F82482">
        <w:rPr>
          <w:color w:val="000000"/>
          <w:szCs w:val="26"/>
        </w:rPr>
        <w:t>operations to resume.</w:t>
      </w:r>
    </w:p>
    <w:p w14:paraId="544F34D4" w14:textId="77777777" w:rsidR="0072129B" w:rsidRPr="00F82482" w:rsidRDefault="0072129B" w:rsidP="00E00DA7">
      <w:pPr>
        <w:spacing w:line="480" w:lineRule="exact"/>
        <w:ind w:firstLine="720"/>
        <w:rPr>
          <w:color w:val="000000"/>
          <w:szCs w:val="26"/>
        </w:rPr>
      </w:pPr>
      <w:r w:rsidRPr="00F82482">
        <w:rPr>
          <w:color w:val="000000"/>
          <w:szCs w:val="26"/>
        </w:rPr>
        <w:t>TRC,</w:t>
      </w:r>
      <w:r>
        <w:rPr>
          <w:rStyle w:val="FootnoteReference"/>
          <w:color w:val="000000"/>
          <w:szCs w:val="26"/>
        </w:rPr>
        <w:footnoteReference w:id="4"/>
      </w:r>
      <w:r w:rsidRPr="00F82482">
        <w:rPr>
          <w:color w:val="000000"/>
          <w:szCs w:val="26"/>
        </w:rPr>
        <w:t xml:space="preserve"> an oil operator, became subject to a</w:t>
      </w:r>
      <w:r>
        <w:rPr>
          <w:color w:val="000000"/>
          <w:szCs w:val="26"/>
        </w:rPr>
        <w:t xml:space="preserve"> regulatory</w:t>
      </w:r>
      <w:r w:rsidRPr="00F82482">
        <w:rPr>
          <w:color w:val="000000"/>
          <w:szCs w:val="26"/>
        </w:rPr>
        <w:t xml:space="preserve"> notice to cease operations.  After complying </w:t>
      </w:r>
      <w:r>
        <w:rPr>
          <w:color w:val="000000"/>
          <w:szCs w:val="26"/>
        </w:rPr>
        <w:t xml:space="preserve">with the notice </w:t>
      </w:r>
      <w:r w:rsidRPr="00F82482">
        <w:rPr>
          <w:color w:val="000000"/>
          <w:szCs w:val="26"/>
        </w:rPr>
        <w:t xml:space="preserve">but </w:t>
      </w:r>
      <w:r>
        <w:rPr>
          <w:color w:val="000000"/>
          <w:szCs w:val="26"/>
        </w:rPr>
        <w:t>then</w:t>
      </w:r>
      <w:r w:rsidRPr="00F82482">
        <w:rPr>
          <w:color w:val="000000"/>
          <w:szCs w:val="26"/>
        </w:rPr>
        <w:t xml:space="preserve"> never receiving authorization to resume, </w:t>
      </w:r>
      <w:r>
        <w:rPr>
          <w:color w:val="000000"/>
          <w:szCs w:val="26"/>
        </w:rPr>
        <w:t>TRC</w:t>
      </w:r>
      <w:r w:rsidRPr="00F82482">
        <w:rPr>
          <w:color w:val="000000"/>
          <w:szCs w:val="26"/>
        </w:rPr>
        <w:t xml:space="preserve"> sought an administrative appeal.</w:t>
      </w:r>
      <w:r>
        <w:rPr>
          <w:color w:val="000000"/>
          <w:szCs w:val="26"/>
        </w:rPr>
        <w:t xml:space="preserve">  (See </w:t>
      </w:r>
      <w:r w:rsidRPr="00F82482">
        <w:rPr>
          <w:szCs w:val="26"/>
        </w:rPr>
        <w:t>§</w:t>
      </w:r>
      <w:r>
        <w:rPr>
          <w:szCs w:val="26"/>
        </w:rPr>
        <w:t xml:space="preserve"> 3225, subd. (d) [“</w:t>
      </w:r>
      <w:r w:rsidRPr="000F43D1">
        <w:rPr>
          <w:szCs w:val="26"/>
        </w:rPr>
        <w:t xml:space="preserve">When the supervisor or a </w:t>
      </w:r>
      <w:r w:rsidRPr="000F43D1">
        <w:rPr>
          <w:szCs w:val="26"/>
        </w:rPr>
        <w:lastRenderedPageBreak/>
        <w:t xml:space="preserve">district deputy issues a written order concerning an operation, an appeal may be made from the </w:t>
      </w:r>
      <w:proofErr w:type="gramStart"/>
      <w:r w:rsidRPr="000F43D1">
        <w:rPr>
          <w:szCs w:val="26"/>
        </w:rPr>
        <w:t>order</w:t>
      </w:r>
      <w:r>
        <w:rPr>
          <w:szCs w:val="26"/>
        </w:rPr>
        <w:t>”]</w:t>
      </w:r>
      <w:proofErr w:type="gramEnd"/>
      <w:r>
        <w:rPr>
          <w:szCs w:val="26"/>
        </w:rPr>
        <w:t>.)</w:t>
      </w:r>
      <w:r w:rsidRPr="00F82482">
        <w:rPr>
          <w:color w:val="000000"/>
          <w:szCs w:val="26"/>
        </w:rPr>
        <w:t xml:space="preserve">  That appeal </w:t>
      </w:r>
      <w:r>
        <w:rPr>
          <w:color w:val="000000"/>
          <w:szCs w:val="26"/>
        </w:rPr>
        <w:t>went unheard</w:t>
      </w:r>
      <w:r w:rsidRPr="00F82482">
        <w:rPr>
          <w:color w:val="000000"/>
          <w:szCs w:val="26"/>
        </w:rPr>
        <w:t xml:space="preserve"> </w:t>
      </w:r>
      <w:r w:rsidRPr="00075524">
        <w:rPr>
          <w:szCs w:val="26"/>
        </w:rPr>
        <w:t xml:space="preserve">because an “Appeals Officer” within the Department of Conservation </w:t>
      </w:r>
      <w:r w:rsidRPr="00F82482">
        <w:rPr>
          <w:color w:val="000000"/>
          <w:szCs w:val="26"/>
        </w:rPr>
        <w:t xml:space="preserve">determined </w:t>
      </w:r>
      <w:proofErr w:type="spellStart"/>
      <w:r w:rsidRPr="00F82482">
        <w:rPr>
          <w:color w:val="000000"/>
          <w:szCs w:val="26"/>
        </w:rPr>
        <w:t>CalGEM’s</w:t>
      </w:r>
      <w:proofErr w:type="spellEnd"/>
      <w:r w:rsidRPr="00F82482">
        <w:rPr>
          <w:color w:val="000000"/>
          <w:szCs w:val="26"/>
        </w:rPr>
        <w:t xml:space="preserve"> regulatory</w:t>
      </w:r>
      <w:r>
        <w:rPr>
          <w:color w:val="000000"/>
          <w:szCs w:val="26"/>
        </w:rPr>
        <w:t xml:space="preserve"> </w:t>
      </w:r>
      <w:r w:rsidRPr="00F82482">
        <w:rPr>
          <w:color w:val="000000"/>
          <w:szCs w:val="26"/>
        </w:rPr>
        <w:t xml:space="preserve">notice was not an </w:t>
      </w:r>
      <w:r>
        <w:rPr>
          <w:color w:val="000000"/>
          <w:szCs w:val="26"/>
        </w:rPr>
        <w:t xml:space="preserve">administratively </w:t>
      </w:r>
      <w:r>
        <w:rPr>
          <w:color w:val="000000"/>
          <w:szCs w:val="26"/>
        </w:rPr>
        <w:t xml:space="preserve">appealable </w:t>
      </w:r>
      <w:r w:rsidRPr="00F82482">
        <w:rPr>
          <w:color w:val="000000"/>
          <w:szCs w:val="26"/>
        </w:rPr>
        <w:t xml:space="preserve">order under </w:t>
      </w:r>
      <w:r w:rsidRPr="00F82482">
        <w:rPr>
          <w:color w:val="000000"/>
          <w:szCs w:val="26"/>
        </w:rPr>
        <w:t>section 3225</w:t>
      </w:r>
      <w:r>
        <w:rPr>
          <w:color w:val="000000"/>
          <w:szCs w:val="26"/>
        </w:rPr>
        <w:t xml:space="preserve">.  </w:t>
      </w:r>
    </w:p>
    <w:p w14:paraId="7DAA7FB4" w14:textId="77777777" w:rsidR="0072129B" w:rsidRPr="00F82482" w:rsidRDefault="0072129B" w:rsidP="00E00DA7">
      <w:pPr>
        <w:spacing w:line="480" w:lineRule="exact"/>
        <w:ind w:firstLine="720"/>
        <w:rPr>
          <w:color w:val="000000"/>
          <w:szCs w:val="26"/>
        </w:rPr>
      </w:pPr>
      <w:r w:rsidRPr="00F82482">
        <w:rPr>
          <w:color w:val="000000"/>
          <w:szCs w:val="26"/>
        </w:rPr>
        <w:t xml:space="preserve">TRC subsequently </w:t>
      </w:r>
      <w:r>
        <w:rPr>
          <w:color w:val="000000"/>
          <w:szCs w:val="26"/>
        </w:rPr>
        <w:t xml:space="preserve">sought judicial review and </w:t>
      </w:r>
      <w:r w:rsidRPr="00F82482">
        <w:rPr>
          <w:color w:val="000000"/>
          <w:szCs w:val="26"/>
        </w:rPr>
        <w:t xml:space="preserve">challenged the underlying regulations via Government Code section 11350.  Alternatively, it argued </w:t>
      </w:r>
      <w:proofErr w:type="spellStart"/>
      <w:r w:rsidRPr="00F82482">
        <w:rPr>
          <w:color w:val="000000"/>
          <w:szCs w:val="26"/>
        </w:rPr>
        <w:t>CalGEM’s</w:t>
      </w:r>
      <w:proofErr w:type="spellEnd"/>
      <w:r w:rsidRPr="00F82482">
        <w:rPr>
          <w:color w:val="000000"/>
          <w:szCs w:val="26"/>
        </w:rPr>
        <w:t xml:space="preserve"> actions </w:t>
      </w:r>
      <w:r>
        <w:rPr>
          <w:color w:val="000000"/>
          <w:szCs w:val="26"/>
        </w:rPr>
        <w:t xml:space="preserve">relative to TRC </w:t>
      </w:r>
      <w:r w:rsidRPr="00F82482">
        <w:rPr>
          <w:color w:val="000000"/>
          <w:szCs w:val="26"/>
        </w:rPr>
        <w:t>were arbitrary and capricious.  The trial court agreed the regulations were invalid</w:t>
      </w:r>
      <w:r>
        <w:rPr>
          <w:color w:val="000000"/>
          <w:szCs w:val="26"/>
        </w:rPr>
        <w:t>, granted declaratory relief,</w:t>
      </w:r>
      <w:r w:rsidRPr="00F82482">
        <w:rPr>
          <w:color w:val="000000"/>
          <w:szCs w:val="26"/>
        </w:rPr>
        <w:t xml:space="preserve"> </w:t>
      </w:r>
      <w:r>
        <w:rPr>
          <w:color w:val="000000"/>
          <w:szCs w:val="26"/>
        </w:rPr>
        <w:t xml:space="preserve">and issued a writ of mandate </w:t>
      </w:r>
      <w:r w:rsidRPr="00F82482">
        <w:rPr>
          <w:color w:val="000000"/>
          <w:szCs w:val="26"/>
        </w:rPr>
        <w:t>but did not reach TRC’s alternative argument.</w:t>
      </w:r>
      <w:r>
        <w:rPr>
          <w:color w:val="000000"/>
          <w:szCs w:val="26"/>
        </w:rPr>
        <w:t xml:space="preserve">  </w:t>
      </w:r>
    </w:p>
    <w:p w14:paraId="10F222AA" w14:textId="77777777" w:rsidR="0072129B" w:rsidRPr="00CC5A08" w:rsidRDefault="0072129B" w:rsidP="00CC5A08">
      <w:pPr>
        <w:spacing w:line="480" w:lineRule="exact"/>
        <w:ind w:firstLine="720"/>
        <w:rPr>
          <w:color w:val="000000"/>
          <w:szCs w:val="26"/>
        </w:rPr>
      </w:pPr>
      <w:r w:rsidRPr="00F82482">
        <w:rPr>
          <w:color w:val="000000"/>
          <w:szCs w:val="26"/>
        </w:rPr>
        <w:t xml:space="preserve">We conclude the regulations were valid and </w:t>
      </w:r>
      <w:r>
        <w:rPr>
          <w:color w:val="000000"/>
          <w:szCs w:val="26"/>
        </w:rPr>
        <w:t>vacate</w:t>
      </w:r>
      <w:r w:rsidRPr="00F82482">
        <w:rPr>
          <w:color w:val="000000"/>
          <w:szCs w:val="26"/>
        </w:rPr>
        <w:t xml:space="preserve"> the trial court’s </w:t>
      </w:r>
      <w:r>
        <w:rPr>
          <w:color w:val="000000"/>
          <w:szCs w:val="26"/>
        </w:rPr>
        <w:t>writ</w:t>
      </w:r>
      <w:r w:rsidRPr="00F82482">
        <w:rPr>
          <w:color w:val="000000"/>
          <w:szCs w:val="26"/>
        </w:rPr>
        <w:t xml:space="preserve">.  We will remand the matter to the trial court to consider </w:t>
      </w:r>
      <w:r>
        <w:rPr>
          <w:color w:val="000000"/>
          <w:szCs w:val="26"/>
        </w:rPr>
        <w:t xml:space="preserve">in the first instance </w:t>
      </w:r>
      <w:r w:rsidRPr="00F82482">
        <w:rPr>
          <w:color w:val="000000"/>
          <w:szCs w:val="26"/>
        </w:rPr>
        <w:t xml:space="preserve">whether </w:t>
      </w:r>
      <w:proofErr w:type="spellStart"/>
      <w:r w:rsidRPr="00F82482">
        <w:rPr>
          <w:color w:val="000000"/>
          <w:szCs w:val="26"/>
        </w:rPr>
        <w:t>CalGEM’s</w:t>
      </w:r>
      <w:proofErr w:type="spellEnd"/>
      <w:r w:rsidRPr="00F82482">
        <w:rPr>
          <w:color w:val="000000"/>
          <w:szCs w:val="26"/>
        </w:rPr>
        <w:t xml:space="preserve"> action</w:t>
      </w:r>
      <w:r>
        <w:rPr>
          <w:color w:val="000000"/>
          <w:szCs w:val="26"/>
        </w:rPr>
        <w:t>s</w:t>
      </w:r>
      <w:r w:rsidRPr="00F82482">
        <w:rPr>
          <w:color w:val="000000"/>
          <w:szCs w:val="26"/>
        </w:rPr>
        <w:t xml:space="preserve"> in this case were nonetheless arbitrary or capricious</w:t>
      </w:r>
      <w:r>
        <w:rPr>
          <w:color w:val="000000"/>
          <w:szCs w:val="26"/>
        </w:rPr>
        <w:t>.</w:t>
      </w:r>
      <w:r>
        <w:rPr>
          <w:rStyle w:val="FootnoteReference"/>
          <w:color w:val="000000"/>
          <w:szCs w:val="26"/>
        </w:rPr>
        <w:footnoteReference w:id="5"/>
      </w:r>
    </w:p>
    <w:p w14:paraId="34289A6B" w14:textId="77777777" w:rsidR="0072129B" w:rsidRPr="00F82482" w:rsidRDefault="0072129B" w:rsidP="00E00DA7">
      <w:pPr>
        <w:spacing w:line="480" w:lineRule="exact"/>
        <w:jc w:val="center"/>
        <w:rPr>
          <w:color w:val="000000"/>
          <w:szCs w:val="26"/>
        </w:rPr>
      </w:pPr>
      <w:r w:rsidRPr="00F82482">
        <w:rPr>
          <w:b/>
          <w:bCs/>
          <w:color w:val="000000"/>
          <w:szCs w:val="26"/>
          <w:u w:val="single"/>
        </w:rPr>
        <w:t>BACKGROUND</w:t>
      </w:r>
    </w:p>
    <w:p w14:paraId="14B8B95D" w14:textId="77777777" w:rsidR="0072129B" w:rsidRPr="00F82482" w:rsidRDefault="0072129B" w:rsidP="00DA4117">
      <w:pPr>
        <w:spacing w:line="480" w:lineRule="exact"/>
        <w:rPr>
          <w:szCs w:val="26"/>
        </w:rPr>
      </w:pPr>
      <w:r w:rsidRPr="00F82482">
        <w:rPr>
          <w:szCs w:val="26"/>
        </w:rPr>
        <w:tab/>
      </w:r>
      <w:proofErr w:type="spellStart"/>
      <w:r w:rsidRPr="00F82482">
        <w:rPr>
          <w:szCs w:val="26"/>
        </w:rPr>
        <w:t>CalGEM</w:t>
      </w:r>
      <w:proofErr w:type="spellEnd"/>
      <w:r w:rsidRPr="00F82482">
        <w:rPr>
          <w:szCs w:val="26"/>
        </w:rPr>
        <w:t xml:space="preserve"> is responsible for protecting health and safety while </w:t>
      </w:r>
      <w:r>
        <w:rPr>
          <w:szCs w:val="26"/>
        </w:rPr>
        <w:t xml:space="preserve">simultaneously </w:t>
      </w:r>
      <w:r w:rsidRPr="00F82482">
        <w:rPr>
          <w:szCs w:val="26"/>
        </w:rPr>
        <w:t>promoting oil and gas operations.  (</w:t>
      </w:r>
      <w:r w:rsidRPr="00374BCB">
        <w:rPr>
          <w:szCs w:val="26"/>
        </w:rPr>
        <w:t>§</w:t>
      </w:r>
      <w:r>
        <w:rPr>
          <w:szCs w:val="26"/>
        </w:rPr>
        <w:t xml:space="preserve"> </w:t>
      </w:r>
      <w:r w:rsidRPr="00F82482">
        <w:rPr>
          <w:szCs w:val="26"/>
        </w:rPr>
        <w:t>31</w:t>
      </w:r>
      <w:r>
        <w:rPr>
          <w:szCs w:val="26"/>
        </w:rPr>
        <w:t>0</w:t>
      </w:r>
      <w:r w:rsidRPr="00F82482">
        <w:rPr>
          <w:szCs w:val="26"/>
        </w:rPr>
        <w:t>6.)  Through the EPA, it is also charged with protecting drinking water</w:t>
      </w:r>
      <w:r>
        <w:rPr>
          <w:szCs w:val="26"/>
        </w:rPr>
        <w:t xml:space="preserve"> from leaks associated with oil operations</w:t>
      </w:r>
      <w:r w:rsidRPr="00F82482">
        <w:rPr>
          <w:szCs w:val="26"/>
        </w:rPr>
        <w:t xml:space="preserve">.  </w:t>
      </w:r>
    </w:p>
    <w:p w14:paraId="0DABEAFF" w14:textId="77777777" w:rsidR="0072129B" w:rsidRPr="00F82482" w:rsidRDefault="0072129B" w:rsidP="00DA4117">
      <w:pPr>
        <w:spacing w:line="480" w:lineRule="exact"/>
        <w:rPr>
          <w:szCs w:val="26"/>
        </w:rPr>
      </w:pPr>
      <w:r w:rsidRPr="00F82482">
        <w:rPr>
          <w:szCs w:val="26"/>
        </w:rPr>
        <w:tab/>
        <w:t xml:space="preserve">In 2011, an EPA audit found </w:t>
      </w:r>
      <w:proofErr w:type="spellStart"/>
      <w:r w:rsidRPr="00F82482">
        <w:rPr>
          <w:szCs w:val="26"/>
        </w:rPr>
        <w:t>CalGEM</w:t>
      </w:r>
      <w:proofErr w:type="spellEnd"/>
      <w:r w:rsidRPr="00F82482">
        <w:rPr>
          <w:szCs w:val="26"/>
        </w:rPr>
        <w:t xml:space="preserve"> deficient in</w:t>
      </w:r>
      <w:r>
        <w:rPr>
          <w:szCs w:val="26"/>
        </w:rPr>
        <w:t xml:space="preserve"> its role to</w:t>
      </w:r>
      <w:r w:rsidRPr="00F82482">
        <w:rPr>
          <w:szCs w:val="26"/>
        </w:rPr>
        <w:t xml:space="preserve"> protect drinking water.   In the same year, an oil worker was killed by a surface expression.  </w:t>
      </w:r>
      <w:proofErr w:type="spellStart"/>
      <w:r w:rsidRPr="00F82482">
        <w:rPr>
          <w:szCs w:val="26"/>
        </w:rPr>
        <w:t>CalGEM</w:t>
      </w:r>
      <w:proofErr w:type="spellEnd"/>
      <w:r w:rsidRPr="00F82482">
        <w:rPr>
          <w:szCs w:val="26"/>
        </w:rPr>
        <w:t xml:space="preserve"> responded with a “third-party” review for “compliance” with the EPA’s expectations.</w:t>
      </w:r>
    </w:p>
    <w:p w14:paraId="1762F3AF" w14:textId="77777777" w:rsidR="0072129B" w:rsidRPr="00F82482" w:rsidRDefault="0072129B" w:rsidP="00DA4117">
      <w:pPr>
        <w:spacing w:line="480" w:lineRule="exact"/>
        <w:rPr>
          <w:szCs w:val="26"/>
        </w:rPr>
      </w:pPr>
      <w:r w:rsidRPr="00F82482">
        <w:rPr>
          <w:szCs w:val="26"/>
        </w:rPr>
        <w:tab/>
        <w:t xml:space="preserve">The review found, among other things, </w:t>
      </w:r>
      <w:proofErr w:type="spellStart"/>
      <w:r w:rsidRPr="00F82482">
        <w:rPr>
          <w:szCs w:val="26"/>
        </w:rPr>
        <w:t>CalGEM</w:t>
      </w:r>
      <w:proofErr w:type="spellEnd"/>
      <w:r w:rsidRPr="00F82482">
        <w:rPr>
          <w:szCs w:val="26"/>
        </w:rPr>
        <w:t xml:space="preserve"> lacked resources and staff “to initiate adequate numbers of compliance/enforcement actions.”  Separately, </w:t>
      </w:r>
      <w:proofErr w:type="spellStart"/>
      <w:r w:rsidRPr="00F82482">
        <w:rPr>
          <w:szCs w:val="26"/>
        </w:rPr>
        <w:t>CalGEM</w:t>
      </w:r>
      <w:proofErr w:type="spellEnd"/>
      <w:r w:rsidRPr="00F82482">
        <w:rPr>
          <w:szCs w:val="26"/>
        </w:rPr>
        <w:t xml:space="preserve"> recognized its “current regulations [did] not specifically address or prohibit surface expressions,” “although … a surface expression [was] indicative of … rates and pressures above safe levels and” operations</w:t>
      </w:r>
      <w:r>
        <w:rPr>
          <w:szCs w:val="26"/>
        </w:rPr>
        <w:t xml:space="preserve"> not remaining confined to their approved zone</w:t>
      </w:r>
      <w:r w:rsidRPr="00F82482">
        <w:rPr>
          <w:szCs w:val="26"/>
        </w:rPr>
        <w:t xml:space="preserve">.  </w:t>
      </w:r>
    </w:p>
    <w:p w14:paraId="4A2B3925" w14:textId="77777777" w:rsidR="0072129B" w:rsidRPr="00F82482" w:rsidRDefault="0072129B" w:rsidP="00DA4117">
      <w:pPr>
        <w:spacing w:line="480" w:lineRule="exact"/>
        <w:ind w:firstLine="720"/>
        <w:rPr>
          <w:szCs w:val="26"/>
        </w:rPr>
      </w:pPr>
      <w:r w:rsidRPr="00F82482">
        <w:rPr>
          <w:szCs w:val="26"/>
        </w:rPr>
        <w:lastRenderedPageBreak/>
        <w:t xml:space="preserve">A few years later, </w:t>
      </w:r>
      <w:proofErr w:type="spellStart"/>
      <w:r w:rsidRPr="00F82482">
        <w:rPr>
          <w:szCs w:val="26"/>
        </w:rPr>
        <w:t>CalGEM</w:t>
      </w:r>
      <w:proofErr w:type="spellEnd"/>
      <w:r w:rsidRPr="00F82482">
        <w:rPr>
          <w:szCs w:val="26"/>
        </w:rPr>
        <w:t xml:space="preserve"> promulgated new regulations.  The regulations at issue in this case are </w:t>
      </w:r>
      <w:r w:rsidRPr="00AE5693">
        <w:rPr>
          <w:szCs w:val="26"/>
        </w:rPr>
        <w:t xml:space="preserve">California Code of Regulations, title 14, section </w:t>
      </w:r>
      <w:r w:rsidRPr="00F82482">
        <w:rPr>
          <w:szCs w:val="26"/>
        </w:rPr>
        <w:t>1724.11</w:t>
      </w:r>
      <w:r>
        <w:rPr>
          <w:szCs w:val="26"/>
        </w:rPr>
        <w:t>, subdivisions</w:t>
      </w:r>
      <w:r w:rsidRPr="00F82482">
        <w:rPr>
          <w:szCs w:val="26"/>
        </w:rPr>
        <w:t xml:space="preserve"> (d)</w:t>
      </w:r>
      <w:r>
        <w:rPr>
          <w:szCs w:val="26"/>
        </w:rPr>
        <w:t>,</w:t>
      </w:r>
      <w:r w:rsidRPr="00F82482">
        <w:rPr>
          <w:szCs w:val="26"/>
        </w:rPr>
        <w:t xml:space="preserve"> (e)</w:t>
      </w:r>
      <w:r>
        <w:rPr>
          <w:szCs w:val="26"/>
        </w:rPr>
        <w:t>, and</w:t>
      </w:r>
      <w:r w:rsidRPr="00F82482">
        <w:rPr>
          <w:szCs w:val="26"/>
        </w:rPr>
        <w:t xml:space="preserve"> (g), and </w:t>
      </w:r>
      <w:r>
        <w:rPr>
          <w:szCs w:val="26"/>
        </w:rPr>
        <w:t xml:space="preserve">section </w:t>
      </w:r>
      <w:r w:rsidRPr="00F82482">
        <w:rPr>
          <w:szCs w:val="26"/>
        </w:rPr>
        <w:t>1724.13</w:t>
      </w:r>
      <w:r>
        <w:rPr>
          <w:szCs w:val="26"/>
        </w:rPr>
        <w:t>, subdivisions</w:t>
      </w:r>
      <w:r w:rsidRPr="00F82482">
        <w:rPr>
          <w:szCs w:val="26"/>
        </w:rPr>
        <w:t xml:space="preserve"> (a)(9) and (b).</w:t>
      </w:r>
    </w:p>
    <w:p w14:paraId="773C1F99" w14:textId="77777777" w:rsidR="0072129B" w:rsidRPr="00F82482" w:rsidRDefault="0072129B" w:rsidP="00DA4117">
      <w:pPr>
        <w:spacing w:line="480" w:lineRule="exact"/>
        <w:rPr>
          <w:i/>
          <w:iCs/>
          <w:szCs w:val="26"/>
        </w:rPr>
      </w:pPr>
      <w:r w:rsidRPr="00F82482">
        <w:rPr>
          <w:i/>
          <w:iCs/>
          <w:szCs w:val="26"/>
        </w:rPr>
        <w:t xml:space="preserve">New </w:t>
      </w:r>
      <w:r w:rsidRPr="00F82482">
        <w:rPr>
          <w:i/>
          <w:iCs/>
          <w:szCs w:val="26"/>
        </w:rPr>
        <w:t>Regulations</w:t>
      </w:r>
    </w:p>
    <w:p w14:paraId="589524A5" w14:textId="77777777" w:rsidR="0072129B" w:rsidRPr="00F82482" w:rsidRDefault="0072129B" w:rsidP="00DA4117">
      <w:pPr>
        <w:spacing w:line="480" w:lineRule="exact"/>
        <w:ind w:firstLine="720"/>
        <w:rPr>
          <w:szCs w:val="26"/>
        </w:rPr>
      </w:pPr>
      <w:proofErr w:type="spellStart"/>
      <w:r>
        <w:rPr>
          <w:szCs w:val="26"/>
        </w:rPr>
        <w:t>CalGEM’s</w:t>
      </w:r>
      <w:proofErr w:type="spellEnd"/>
      <w:r>
        <w:rPr>
          <w:szCs w:val="26"/>
        </w:rPr>
        <w:t xml:space="preserve"> </w:t>
      </w:r>
      <w:r w:rsidRPr="00F82482">
        <w:rPr>
          <w:szCs w:val="26"/>
        </w:rPr>
        <w:t xml:space="preserve">overarching goals </w:t>
      </w:r>
      <w:r>
        <w:rPr>
          <w:szCs w:val="26"/>
        </w:rPr>
        <w:t>with its</w:t>
      </w:r>
      <w:r w:rsidRPr="00F82482">
        <w:rPr>
          <w:szCs w:val="26"/>
        </w:rPr>
        <w:t xml:space="preserve"> </w:t>
      </w:r>
      <w:r>
        <w:rPr>
          <w:szCs w:val="26"/>
        </w:rPr>
        <w:t xml:space="preserve">new regulations </w:t>
      </w:r>
      <w:r w:rsidRPr="00F82482">
        <w:rPr>
          <w:szCs w:val="26"/>
        </w:rPr>
        <w:t>were to “modernize, clarify, and augment … regulatory standards,” and “increase</w:t>
      </w:r>
      <w:r>
        <w:rPr>
          <w:szCs w:val="26"/>
        </w:rPr>
        <w:t>[d]</w:t>
      </w:r>
      <w:r w:rsidRPr="00F82482">
        <w:rPr>
          <w:szCs w:val="26"/>
        </w:rPr>
        <w:t xml:space="preserve"> transparency” with respect to oil operators.  </w:t>
      </w:r>
      <w:proofErr w:type="spellStart"/>
      <w:r w:rsidRPr="00F82482">
        <w:rPr>
          <w:szCs w:val="26"/>
        </w:rPr>
        <w:t>CalGEM</w:t>
      </w:r>
      <w:proofErr w:type="spellEnd"/>
      <w:r w:rsidRPr="00F82482">
        <w:rPr>
          <w:szCs w:val="26"/>
        </w:rPr>
        <w:t xml:space="preserve"> believed these goals would “aid … in implementing its statutory mandate … to prevent damage to life, health, property, and natural resources.”  </w:t>
      </w:r>
    </w:p>
    <w:p w14:paraId="6CABB5B7" w14:textId="77777777" w:rsidR="0072129B" w:rsidRPr="00F82482" w:rsidRDefault="0072129B" w:rsidP="00DA4117">
      <w:pPr>
        <w:spacing w:line="480" w:lineRule="exact"/>
        <w:ind w:firstLine="720"/>
        <w:rPr>
          <w:szCs w:val="26"/>
        </w:rPr>
      </w:pPr>
      <w:r w:rsidRPr="00F82482">
        <w:rPr>
          <w:szCs w:val="26"/>
        </w:rPr>
        <w:t xml:space="preserve">In an Initial Statement of Reasons (ISOR), </w:t>
      </w:r>
      <w:proofErr w:type="spellStart"/>
      <w:r w:rsidRPr="00F82482">
        <w:rPr>
          <w:szCs w:val="26"/>
        </w:rPr>
        <w:t>CalGEM</w:t>
      </w:r>
      <w:proofErr w:type="spellEnd"/>
      <w:r w:rsidRPr="00F82482">
        <w:rPr>
          <w:szCs w:val="26"/>
        </w:rPr>
        <w:t xml:space="preserve"> promulgated </w:t>
      </w:r>
      <w:r>
        <w:rPr>
          <w:szCs w:val="26"/>
        </w:rPr>
        <w:t>California Code of Regulations, title 14,</w:t>
      </w:r>
      <w:r w:rsidRPr="00F82482">
        <w:rPr>
          <w:szCs w:val="26"/>
        </w:rPr>
        <w:t xml:space="preserve"> </w:t>
      </w:r>
      <w:r>
        <w:rPr>
          <w:szCs w:val="26"/>
        </w:rPr>
        <w:t>section</w:t>
      </w:r>
      <w:r w:rsidRPr="00F82482">
        <w:rPr>
          <w:szCs w:val="26"/>
        </w:rPr>
        <w:t xml:space="preserve"> 1724.11</w:t>
      </w:r>
      <w:r>
        <w:rPr>
          <w:szCs w:val="26"/>
        </w:rPr>
        <w:t xml:space="preserve">, subdivision </w:t>
      </w:r>
      <w:r w:rsidRPr="00F82482">
        <w:rPr>
          <w:szCs w:val="26"/>
        </w:rPr>
        <w:t xml:space="preserve">(d), which “require[d] automatic cessation … at wells … located within a 300-foot radius of a surface expression.”  The radius would increase over time if “the surface expression </w:t>
      </w:r>
      <w:proofErr w:type="gramStart"/>
      <w:r w:rsidRPr="00F82482">
        <w:rPr>
          <w:szCs w:val="26"/>
        </w:rPr>
        <w:t>continue</w:t>
      </w:r>
      <w:proofErr w:type="gramEnd"/>
      <w:r w:rsidRPr="00F82482">
        <w:rPr>
          <w:szCs w:val="26"/>
        </w:rPr>
        <w:t xml:space="preserve">[d] to flow ….”  Similarly, </w:t>
      </w:r>
      <w:r>
        <w:rPr>
          <w:szCs w:val="26"/>
        </w:rPr>
        <w:t>California Code of Regulations, title 14,</w:t>
      </w:r>
      <w:r w:rsidRPr="00F82482">
        <w:rPr>
          <w:szCs w:val="26"/>
        </w:rPr>
        <w:t xml:space="preserve"> </w:t>
      </w:r>
      <w:r>
        <w:rPr>
          <w:szCs w:val="26"/>
        </w:rPr>
        <w:t>section</w:t>
      </w:r>
      <w:r w:rsidRPr="00F82482">
        <w:rPr>
          <w:szCs w:val="26"/>
        </w:rPr>
        <w:t xml:space="preserve"> 1724.11</w:t>
      </w:r>
      <w:r>
        <w:rPr>
          <w:szCs w:val="26"/>
        </w:rPr>
        <w:t xml:space="preserve">, subdivision </w:t>
      </w:r>
      <w:r w:rsidRPr="00F82482">
        <w:rPr>
          <w:szCs w:val="26"/>
        </w:rPr>
        <w:t xml:space="preserve">(e) “preserve[d]” </w:t>
      </w:r>
      <w:proofErr w:type="spellStart"/>
      <w:r w:rsidRPr="00F82482">
        <w:rPr>
          <w:szCs w:val="26"/>
        </w:rPr>
        <w:t>CalGEM’s</w:t>
      </w:r>
      <w:proofErr w:type="spellEnd"/>
      <w:r w:rsidRPr="00F82482">
        <w:rPr>
          <w:szCs w:val="26"/>
        </w:rPr>
        <w:t xml:space="preserve"> “discretionary authority to direct … operations to cease at a well, regardless of its distance from [a] surfa</w:t>
      </w:r>
      <w:r w:rsidRPr="00F82482">
        <w:rPr>
          <w:szCs w:val="26"/>
        </w:rPr>
        <w:t xml:space="preserve">ce expression, if [it found] reason to believe the well [was] causing or contributing to [a] surface expression.”  </w:t>
      </w:r>
    </w:p>
    <w:p w14:paraId="12671D47" w14:textId="77777777" w:rsidR="0072129B" w:rsidRPr="00F82482" w:rsidRDefault="0072129B" w:rsidP="00DA4117">
      <w:pPr>
        <w:spacing w:line="480" w:lineRule="exact"/>
        <w:ind w:firstLine="720"/>
        <w:rPr>
          <w:szCs w:val="26"/>
        </w:rPr>
      </w:pPr>
      <w:proofErr w:type="spellStart"/>
      <w:r w:rsidRPr="00F82482">
        <w:rPr>
          <w:szCs w:val="26"/>
        </w:rPr>
        <w:t>CalGEM</w:t>
      </w:r>
      <w:proofErr w:type="spellEnd"/>
      <w:r w:rsidRPr="00F82482">
        <w:rPr>
          <w:szCs w:val="26"/>
        </w:rPr>
        <w:t xml:space="preserve"> believed these regulations were “necessary to standardize the minimum response actions in the event of a surface expression” because “in many cases, the closer the … well [was] to a surface expression, the more likely that well [was] causing or contributing to its existence.”  These regulations were also “necessary to increase the consequences for causing surface expressions,” “</w:t>
      </w:r>
      <w:proofErr w:type="spellStart"/>
      <w:r w:rsidRPr="00F82482">
        <w:rPr>
          <w:szCs w:val="26"/>
        </w:rPr>
        <w:t>incentiviz</w:t>
      </w:r>
      <w:proofErr w:type="spellEnd"/>
      <w:r w:rsidRPr="00F82482">
        <w:rPr>
          <w:szCs w:val="26"/>
        </w:rPr>
        <w:t>[</w:t>
      </w:r>
      <w:proofErr w:type="spellStart"/>
      <w:r w:rsidRPr="00F82482">
        <w:rPr>
          <w:szCs w:val="26"/>
        </w:rPr>
        <w:t>ing</w:t>
      </w:r>
      <w:proofErr w:type="spellEnd"/>
      <w:r w:rsidRPr="00F82482">
        <w:rPr>
          <w:szCs w:val="26"/>
        </w:rPr>
        <w:t>] safer, more prudent” operations by “discouraging at the outset oilfield practices that can lead to surface express</w:t>
      </w:r>
      <w:r w:rsidRPr="00F82482">
        <w:rPr>
          <w:szCs w:val="26"/>
        </w:rPr>
        <w:t>ions.”</w:t>
      </w:r>
    </w:p>
    <w:p w14:paraId="18DAE092" w14:textId="77777777" w:rsidR="0072129B" w:rsidRPr="00F82482" w:rsidRDefault="0072129B" w:rsidP="00DA4117">
      <w:pPr>
        <w:spacing w:line="480" w:lineRule="exact"/>
        <w:ind w:firstLine="720"/>
        <w:rPr>
          <w:szCs w:val="26"/>
        </w:rPr>
      </w:pPr>
      <w:r>
        <w:rPr>
          <w:szCs w:val="26"/>
        </w:rPr>
        <w:t>California Code of Regulations, title 14,</w:t>
      </w:r>
      <w:r w:rsidRPr="00F82482">
        <w:rPr>
          <w:szCs w:val="26"/>
        </w:rPr>
        <w:t xml:space="preserve"> </w:t>
      </w:r>
      <w:r>
        <w:rPr>
          <w:szCs w:val="26"/>
        </w:rPr>
        <w:t>section</w:t>
      </w:r>
      <w:r w:rsidRPr="00F82482">
        <w:rPr>
          <w:szCs w:val="26"/>
        </w:rPr>
        <w:t xml:space="preserve"> 1724.11</w:t>
      </w:r>
      <w:r>
        <w:rPr>
          <w:szCs w:val="26"/>
        </w:rPr>
        <w:t xml:space="preserve">, subdivision </w:t>
      </w:r>
      <w:r w:rsidRPr="00F82482">
        <w:rPr>
          <w:szCs w:val="26"/>
        </w:rPr>
        <w:t>(g) require</w:t>
      </w:r>
      <w:r>
        <w:rPr>
          <w:szCs w:val="26"/>
        </w:rPr>
        <w:t>d</w:t>
      </w:r>
      <w:r w:rsidRPr="00F82482">
        <w:rPr>
          <w:szCs w:val="26"/>
        </w:rPr>
        <w:t xml:space="preserve"> </w:t>
      </w:r>
      <w:proofErr w:type="spellStart"/>
      <w:r w:rsidRPr="00F82482">
        <w:rPr>
          <w:szCs w:val="26"/>
        </w:rPr>
        <w:t>CalGEM</w:t>
      </w:r>
      <w:proofErr w:type="spellEnd"/>
      <w:r w:rsidRPr="00F82482">
        <w:rPr>
          <w:szCs w:val="26"/>
        </w:rPr>
        <w:t xml:space="preserve"> to approve </w:t>
      </w:r>
      <w:r>
        <w:rPr>
          <w:szCs w:val="26"/>
        </w:rPr>
        <w:t>operations prior to restart</w:t>
      </w:r>
      <w:r>
        <w:rPr>
          <w:szCs w:val="26"/>
        </w:rPr>
        <w:t>ing them</w:t>
      </w:r>
      <w:r w:rsidRPr="00F82482">
        <w:rPr>
          <w:szCs w:val="26"/>
        </w:rPr>
        <w:t xml:space="preserve">.  This regulation was “necessary to facilitate effective … oversight and enforcement of the proposed requirements.”  Elsewhere, </w:t>
      </w:r>
      <w:proofErr w:type="spellStart"/>
      <w:r w:rsidRPr="00F82482">
        <w:rPr>
          <w:szCs w:val="26"/>
        </w:rPr>
        <w:t>CalGEM</w:t>
      </w:r>
      <w:proofErr w:type="spellEnd"/>
      <w:r w:rsidRPr="00F82482">
        <w:rPr>
          <w:szCs w:val="26"/>
        </w:rPr>
        <w:t xml:space="preserve"> explained the regulations codified its policy against surface </w:t>
      </w:r>
      <w:r w:rsidRPr="00F82482">
        <w:rPr>
          <w:szCs w:val="26"/>
        </w:rPr>
        <w:lastRenderedPageBreak/>
        <w:t>expressions</w:t>
      </w:r>
      <w:r>
        <w:rPr>
          <w:szCs w:val="26"/>
        </w:rPr>
        <w:t>, and</w:t>
      </w:r>
      <w:r w:rsidRPr="00F82482">
        <w:rPr>
          <w:szCs w:val="26"/>
        </w:rPr>
        <w:t xml:space="preserve"> “[c]</w:t>
      </w:r>
      <w:proofErr w:type="spellStart"/>
      <w:r w:rsidRPr="00F82482">
        <w:rPr>
          <w:szCs w:val="26"/>
        </w:rPr>
        <w:t>odification</w:t>
      </w:r>
      <w:proofErr w:type="spellEnd"/>
      <w:r w:rsidRPr="00F82482">
        <w:rPr>
          <w:szCs w:val="26"/>
        </w:rPr>
        <w:t xml:space="preserve">” would “promote transparency” </w:t>
      </w:r>
      <w:r>
        <w:rPr>
          <w:szCs w:val="26"/>
        </w:rPr>
        <w:t>which</w:t>
      </w:r>
      <w:r w:rsidRPr="00F82482">
        <w:rPr>
          <w:szCs w:val="26"/>
        </w:rPr>
        <w:t xml:space="preserve"> was </w:t>
      </w:r>
      <w:r>
        <w:rPr>
          <w:szCs w:val="26"/>
        </w:rPr>
        <w:t xml:space="preserve">likewise </w:t>
      </w:r>
      <w:r w:rsidRPr="00F82482">
        <w:rPr>
          <w:szCs w:val="26"/>
        </w:rPr>
        <w:t xml:space="preserve">“necessary </w:t>
      </w:r>
      <w:r>
        <w:rPr>
          <w:szCs w:val="26"/>
        </w:rPr>
        <w:t>[</w:t>
      </w:r>
      <w:r w:rsidRPr="00F82482">
        <w:rPr>
          <w:szCs w:val="26"/>
        </w:rPr>
        <w:t>to</w:t>
      </w:r>
      <w:r>
        <w:rPr>
          <w:szCs w:val="26"/>
        </w:rPr>
        <w:t>]</w:t>
      </w:r>
      <w:r w:rsidRPr="00F82482">
        <w:rPr>
          <w:szCs w:val="26"/>
        </w:rPr>
        <w:t xml:space="preserve"> effectively </w:t>
      </w:r>
      <w:proofErr w:type="gramStart"/>
      <w:r w:rsidRPr="00F82482">
        <w:rPr>
          <w:szCs w:val="26"/>
        </w:rPr>
        <w:t>implement[</w:t>
      </w:r>
      <w:proofErr w:type="gramEnd"/>
      <w:r w:rsidRPr="00F82482">
        <w:rPr>
          <w:szCs w:val="26"/>
        </w:rPr>
        <w:t>]” its statutory mandate to protect health and safety.</w:t>
      </w:r>
    </w:p>
    <w:p w14:paraId="1FE60839" w14:textId="77777777" w:rsidR="0072129B" w:rsidRPr="00F82482" w:rsidRDefault="0072129B" w:rsidP="00DA4117">
      <w:pPr>
        <w:spacing w:line="480" w:lineRule="exact"/>
        <w:ind w:firstLine="720"/>
        <w:rPr>
          <w:szCs w:val="26"/>
        </w:rPr>
      </w:pPr>
      <w:r w:rsidRPr="00F82482">
        <w:rPr>
          <w:szCs w:val="26"/>
        </w:rPr>
        <w:t xml:space="preserve">“As a whole,” </w:t>
      </w:r>
      <w:r>
        <w:rPr>
          <w:szCs w:val="26"/>
        </w:rPr>
        <w:t>California Code of Regulations, title 14,</w:t>
      </w:r>
      <w:r w:rsidRPr="00F82482">
        <w:rPr>
          <w:szCs w:val="26"/>
        </w:rPr>
        <w:t xml:space="preserve"> </w:t>
      </w:r>
      <w:r>
        <w:rPr>
          <w:szCs w:val="26"/>
        </w:rPr>
        <w:t>section</w:t>
      </w:r>
      <w:r w:rsidRPr="00F82482">
        <w:rPr>
          <w:szCs w:val="26"/>
        </w:rPr>
        <w:t xml:space="preserve"> 1724.11 would “improve [</w:t>
      </w:r>
      <w:proofErr w:type="spellStart"/>
      <w:r w:rsidRPr="00F82482">
        <w:rPr>
          <w:szCs w:val="26"/>
        </w:rPr>
        <w:t>CalGEM’s</w:t>
      </w:r>
      <w:proofErr w:type="spellEnd"/>
      <w:r w:rsidRPr="00F82482">
        <w:rPr>
          <w:szCs w:val="26"/>
        </w:rPr>
        <w:t>] effective oversight of surface containment measures by ensuring that operators</w:t>
      </w:r>
      <w:r>
        <w:rPr>
          <w:szCs w:val="26"/>
        </w:rPr>
        <w:t>’</w:t>
      </w:r>
      <w:r w:rsidRPr="00F82482">
        <w:rPr>
          <w:szCs w:val="26"/>
        </w:rPr>
        <w:t xml:space="preserve"> use of surface expression containment measures [are] properly accounted for, and that containment measures meet minimum safety-related standards.”  </w:t>
      </w:r>
      <w:r>
        <w:rPr>
          <w:szCs w:val="26"/>
        </w:rPr>
        <w:t>The section was</w:t>
      </w:r>
      <w:r w:rsidRPr="00F82482">
        <w:rPr>
          <w:szCs w:val="26"/>
        </w:rPr>
        <w:t xml:space="preserve"> “necessary to implement” the statutory mandate to protect health and safety.  </w:t>
      </w:r>
    </w:p>
    <w:p w14:paraId="56D63B9C" w14:textId="77777777" w:rsidR="0072129B" w:rsidRPr="00F82482" w:rsidRDefault="0072129B" w:rsidP="00DA4117">
      <w:pPr>
        <w:spacing w:line="480" w:lineRule="exact"/>
        <w:ind w:firstLine="720"/>
        <w:rPr>
          <w:szCs w:val="26"/>
        </w:rPr>
      </w:pPr>
      <w:r>
        <w:rPr>
          <w:szCs w:val="26"/>
        </w:rPr>
        <w:t>California Code of Regulations, title 14,</w:t>
      </w:r>
      <w:r w:rsidRPr="00F82482">
        <w:rPr>
          <w:szCs w:val="26"/>
        </w:rPr>
        <w:t xml:space="preserve"> </w:t>
      </w:r>
      <w:r>
        <w:rPr>
          <w:szCs w:val="26"/>
        </w:rPr>
        <w:t>section</w:t>
      </w:r>
      <w:r w:rsidRPr="00F82482">
        <w:rPr>
          <w:szCs w:val="26"/>
        </w:rPr>
        <w:t xml:space="preserve"> 1724.13 “</w:t>
      </w:r>
      <w:proofErr w:type="spellStart"/>
      <w:r w:rsidRPr="00F82482">
        <w:rPr>
          <w:szCs w:val="26"/>
        </w:rPr>
        <w:t>specif</w:t>
      </w:r>
      <w:proofErr w:type="spellEnd"/>
      <w:r w:rsidRPr="00F82482">
        <w:rPr>
          <w:szCs w:val="26"/>
        </w:rPr>
        <w:t>[</w:t>
      </w:r>
      <w:proofErr w:type="spellStart"/>
      <w:r w:rsidRPr="00F82482">
        <w:rPr>
          <w:szCs w:val="26"/>
        </w:rPr>
        <w:t>ied</w:t>
      </w:r>
      <w:proofErr w:type="spellEnd"/>
      <w:r w:rsidRPr="00F82482">
        <w:rPr>
          <w:szCs w:val="26"/>
        </w:rPr>
        <w:t>] a list of circumstances that require[d] operators to notify [</w:t>
      </w:r>
      <w:proofErr w:type="spellStart"/>
      <w:r w:rsidRPr="00F82482">
        <w:rPr>
          <w:szCs w:val="26"/>
        </w:rPr>
        <w:t>CalGEM</w:t>
      </w:r>
      <w:proofErr w:type="spellEnd"/>
      <w:r w:rsidRPr="00F82482">
        <w:rPr>
          <w:szCs w:val="26"/>
        </w:rPr>
        <w:t xml:space="preserve">] and cease” operations “until” authorized to resume.  </w:t>
      </w:r>
      <w:proofErr w:type="spellStart"/>
      <w:r w:rsidRPr="00F82482">
        <w:rPr>
          <w:szCs w:val="26"/>
        </w:rPr>
        <w:t>CalGEM</w:t>
      </w:r>
      <w:proofErr w:type="spellEnd"/>
      <w:r w:rsidRPr="00F82482">
        <w:rPr>
          <w:szCs w:val="26"/>
        </w:rPr>
        <w:t xml:space="preserve"> stated “[t]</w:t>
      </w:r>
      <w:proofErr w:type="spellStart"/>
      <w:r w:rsidRPr="00F82482">
        <w:rPr>
          <w:szCs w:val="26"/>
        </w:rPr>
        <w:t>hese</w:t>
      </w:r>
      <w:proofErr w:type="spellEnd"/>
      <w:r w:rsidRPr="00F82482">
        <w:rPr>
          <w:szCs w:val="26"/>
        </w:rPr>
        <w:t xml:space="preserve"> proposed regulations [would] strengthen [its] oversight … and help reduce threats to life, health, property, and natural resources by halting” operations “that are not compliant with legal requirements.”  It also noted, “[u]</w:t>
      </w:r>
      <w:proofErr w:type="spellStart"/>
      <w:r w:rsidRPr="00F82482">
        <w:rPr>
          <w:szCs w:val="26"/>
        </w:rPr>
        <w:t>nder</w:t>
      </w:r>
      <w:proofErr w:type="spellEnd"/>
      <w:r w:rsidRPr="00F82482">
        <w:rPr>
          <w:szCs w:val="26"/>
        </w:rPr>
        <w:t xml:space="preserve"> existing regulations, operators who violate those requirements sometimes continue operations until [</w:t>
      </w:r>
      <w:proofErr w:type="spellStart"/>
      <w:r w:rsidRPr="00F82482">
        <w:rPr>
          <w:szCs w:val="26"/>
        </w:rPr>
        <w:t>CalGEM</w:t>
      </w:r>
      <w:proofErr w:type="spellEnd"/>
      <w:r w:rsidRPr="00F82482">
        <w:rPr>
          <w:szCs w:val="26"/>
        </w:rPr>
        <w:t xml:space="preserve">] </w:t>
      </w:r>
      <w:r w:rsidRPr="00F82482">
        <w:rPr>
          <w:szCs w:val="26"/>
        </w:rPr>
        <w:t>issues a remedial order.  The proposed [regulation] would delineate clear, immediate, and consequential obligations for operators to cease [when] not in compliance with the specified requirements.  Operators who continue … in violation of the proposed [regulation] would be separately liable for violating [the proposed regulation], in addition to the underlying violation … that triggered the obligation to cease ….”  This</w:t>
      </w:r>
      <w:r>
        <w:rPr>
          <w:szCs w:val="26"/>
        </w:rPr>
        <w:t xml:space="preserve">, </w:t>
      </w:r>
      <w:proofErr w:type="spellStart"/>
      <w:r>
        <w:rPr>
          <w:szCs w:val="26"/>
        </w:rPr>
        <w:t>CalGEM</w:t>
      </w:r>
      <w:proofErr w:type="spellEnd"/>
      <w:r>
        <w:rPr>
          <w:szCs w:val="26"/>
        </w:rPr>
        <w:t xml:space="preserve"> asserted,</w:t>
      </w:r>
      <w:r w:rsidRPr="00F82482">
        <w:rPr>
          <w:szCs w:val="26"/>
        </w:rPr>
        <w:t xml:space="preserve"> was necessary to implement </w:t>
      </w:r>
      <w:r>
        <w:rPr>
          <w:szCs w:val="26"/>
        </w:rPr>
        <w:t>the</w:t>
      </w:r>
      <w:r w:rsidRPr="00F82482">
        <w:rPr>
          <w:szCs w:val="26"/>
        </w:rPr>
        <w:t xml:space="preserve"> statutory mandate to protect health and</w:t>
      </w:r>
      <w:r w:rsidRPr="00F82482">
        <w:rPr>
          <w:szCs w:val="26"/>
        </w:rPr>
        <w:t xml:space="preserve"> safety.  </w:t>
      </w:r>
      <w:r>
        <w:rPr>
          <w:szCs w:val="26"/>
        </w:rPr>
        <w:t xml:space="preserve">Overall, the proposed regulations “provide[d] adequate disincentive for noncompliance.”  </w:t>
      </w:r>
    </w:p>
    <w:p w14:paraId="73B9C5C2" w14:textId="77777777" w:rsidR="0072129B" w:rsidRPr="00F82482" w:rsidRDefault="0072129B" w:rsidP="00DA4117">
      <w:pPr>
        <w:spacing w:line="480" w:lineRule="exact"/>
        <w:ind w:firstLine="720"/>
        <w:rPr>
          <w:szCs w:val="26"/>
        </w:rPr>
      </w:pPr>
      <w:r w:rsidRPr="00F82482">
        <w:rPr>
          <w:szCs w:val="26"/>
        </w:rPr>
        <w:t xml:space="preserve">After soliciting public comment on the proposed regulations, </w:t>
      </w:r>
      <w:proofErr w:type="spellStart"/>
      <w:r w:rsidRPr="00F82482">
        <w:rPr>
          <w:szCs w:val="26"/>
        </w:rPr>
        <w:t>CalGEM</w:t>
      </w:r>
      <w:proofErr w:type="spellEnd"/>
      <w:r w:rsidRPr="00F82482">
        <w:rPr>
          <w:szCs w:val="26"/>
        </w:rPr>
        <w:t xml:space="preserve"> issued a Final Statement of Reasons (FSOR).  The FSOR is largely identical to the ISOR, with the noted exception </w:t>
      </w:r>
      <w:proofErr w:type="spellStart"/>
      <w:r w:rsidRPr="00F82482">
        <w:rPr>
          <w:szCs w:val="26"/>
        </w:rPr>
        <w:t>CalGEM</w:t>
      </w:r>
      <w:proofErr w:type="spellEnd"/>
      <w:r>
        <w:rPr>
          <w:szCs w:val="26"/>
        </w:rPr>
        <w:t>, in response to public comment,</w:t>
      </w:r>
      <w:r w:rsidRPr="00F82482">
        <w:rPr>
          <w:szCs w:val="26"/>
        </w:rPr>
        <w:t xml:space="preserve"> reduced the initial radius within which to cease operations near a surface expression to 150 feet.  </w:t>
      </w:r>
    </w:p>
    <w:p w14:paraId="38E48782" w14:textId="77777777" w:rsidR="0072129B" w:rsidRPr="00F82482" w:rsidRDefault="0072129B" w:rsidP="00DA4117">
      <w:pPr>
        <w:spacing w:line="480" w:lineRule="exact"/>
        <w:rPr>
          <w:i/>
          <w:iCs/>
          <w:szCs w:val="26"/>
        </w:rPr>
      </w:pPr>
      <w:r w:rsidRPr="00F82482">
        <w:rPr>
          <w:i/>
          <w:iCs/>
          <w:szCs w:val="26"/>
        </w:rPr>
        <w:t>Notice</w:t>
      </w:r>
    </w:p>
    <w:p w14:paraId="322F4C96" w14:textId="77777777" w:rsidR="0072129B" w:rsidRPr="00F82482" w:rsidRDefault="0072129B" w:rsidP="00DA4117">
      <w:pPr>
        <w:spacing w:line="480" w:lineRule="exact"/>
        <w:rPr>
          <w:szCs w:val="26"/>
        </w:rPr>
      </w:pPr>
      <w:r w:rsidRPr="00F82482">
        <w:rPr>
          <w:szCs w:val="26"/>
        </w:rPr>
        <w:lastRenderedPageBreak/>
        <w:tab/>
      </w:r>
      <w:r w:rsidRPr="00F82482">
        <w:rPr>
          <w:szCs w:val="26"/>
        </w:rPr>
        <w:t xml:space="preserve">After the new regulations were formally adopted, </w:t>
      </w:r>
      <w:proofErr w:type="spellStart"/>
      <w:r w:rsidRPr="00F82482">
        <w:rPr>
          <w:szCs w:val="26"/>
        </w:rPr>
        <w:t>CalGEM</w:t>
      </w:r>
      <w:proofErr w:type="spellEnd"/>
      <w:r w:rsidRPr="00F82482">
        <w:rPr>
          <w:szCs w:val="26"/>
        </w:rPr>
        <w:t xml:space="preserve"> issued a notice to TRC directing it to “[</w:t>
      </w:r>
      <w:proofErr w:type="spellStart"/>
      <w:r w:rsidRPr="00F82482">
        <w:rPr>
          <w:szCs w:val="26"/>
        </w:rPr>
        <w:t>i</w:t>
      </w:r>
      <w:proofErr w:type="spellEnd"/>
      <w:r w:rsidRPr="00F82482">
        <w:rPr>
          <w:szCs w:val="26"/>
        </w:rPr>
        <w:t>]</w:t>
      </w:r>
      <w:proofErr w:type="spellStart"/>
      <w:r w:rsidRPr="00F82482">
        <w:rPr>
          <w:szCs w:val="26"/>
        </w:rPr>
        <w:t>mmediately</w:t>
      </w:r>
      <w:proofErr w:type="spellEnd"/>
      <w:r w:rsidRPr="00F82482">
        <w:rPr>
          <w:szCs w:val="26"/>
        </w:rPr>
        <w:t xml:space="preserve"> cease” its operations near a longstanding surface expression.  </w:t>
      </w:r>
      <w:r>
        <w:rPr>
          <w:szCs w:val="26"/>
        </w:rPr>
        <w:t>The notice made clear TRC’s</w:t>
      </w:r>
      <w:r w:rsidRPr="00F82482">
        <w:rPr>
          <w:szCs w:val="26"/>
        </w:rPr>
        <w:t xml:space="preserve"> operation was “prohibited until</w:t>
      </w:r>
      <w:r>
        <w:rPr>
          <w:szCs w:val="26"/>
        </w:rPr>
        <w:t> </w:t>
      </w:r>
      <w:r w:rsidRPr="00F82482">
        <w:rPr>
          <w:szCs w:val="26"/>
        </w:rPr>
        <w:t xml:space="preserve">… written approval” </w:t>
      </w:r>
      <w:r>
        <w:rPr>
          <w:szCs w:val="26"/>
        </w:rPr>
        <w:t>it could</w:t>
      </w:r>
      <w:r w:rsidRPr="00F82482">
        <w:rPr>
          <w:szCs w:val="26"/>
        </w:rPr>
        <w:t xml:space="preserve"> resume.  </w:t>
      </w:r>
    </w:p>
    <w:p w14:paraId="5B99DF79" w14:textId="77777777" w:rsidR="0072129B" w:rsidRPr="00F82482" w:rsidRDefault="0072129B" w:rsidP="00DA4117">
      <w:pPr>
        <w:spacing w:line="480" w:lineRule="exact"/>
        <w:ind w:firstLine="720"/>
        <w:rPr>
          <w:szCs w:val="26"/>
        </w:rPr>
      </w:pPr>
      <w:r w:rsidRPr="00F82482">
        <w:rPr>
          <w:szCs w:val="26"/>
        </w:rPr>
        <w:t xml:space="preserve">TRC complied </w:t>
      </w:r>
      <w:r>
        <w:rPr>
          <w:szCs w:val="26"/>
        </w:rPr>
        <w:t>while</w:t>
      </w:r>
      <w:r w:rsidRPr="00F82482">
        <w:rPr>
          <w:szCs w:val="26"/>
        </w:rPr>
        <w:t xml:space="preserve"> specifically inquir</w:t>
      </w:r>
      <w:r>
        <w:rPr>
          <w:szCs w:val="26"/>
        </w:rPr>
        <w:t>ing</w:t>
      </w:r>
      <w:r w:rsidRPr="00F82482">
        <w:rPr>
          <w:szCs w:val="26"/>
        </w:rPr>
        <w:t xml:space="preserve"> into “the approved methodology by which an operator may appeal such decisions.”  Finding its efforts to appeal thwarted, TRC filed suit in superior court.  </w:t>
      </w:r>
    </w:p>
    <w:p w14:paraId="391EFBA6" w14:textId="77777777" w:rsidR="0072129B" w:rsidRPr="00F82482" w:rsidRDefault="0072129B" w:rsidP="00DA4117">
      <w:pPr>
        <w:spacing w:line="480" w:lineRule="exact"/>
        <w:rPr>
          <w:szCs w:val="26"/>
        </w:rPr>
      </w:pPr>
      <w:r w:rsidRPr="00F82482">
        <w:rPr>
          <w:i/>
          <w:iCs/>
          <w:szCs w:val="26"/>
        </w:rPr>
        <w:t>Trial Court</w:t>
      </w:r>
      <w:r>
        <w:rPr>
          <w:i/>
          <w:iCs/>
          <w:szCs w:val="26"/>
        </w:rPr>
        <w:t xml:space="preserve"> Proceedings</w:t>
      </w:r>
    </w:p>
    <w:p w14:paraId="74A8EF36" w14:textId="77777777" w:rsidR="0072129B" w:rsidRPr="00F82482" w:rsidRDefault="0072129B" w:rsidP="00DA4117">
      <w:pPr>
        <w:spacing w:line="480" w:lineRule="exact"/>
        <w:rPr>
          <w:szCs w:val="26"/>
        </w:rPr>
      </w:pPr>
      <w:r w:rsidRPr="00F82482">
        <w:rPr>
          <w:szCs w:val="26"/>
        </w:rPr>
        <w:tab/>
        <w:t xml:space="preserve">In court, TRC argued </w:t>
      </w:r>
      <w:proofErr w:type="spellStart"/>
      <w:r w:rsidRPr="00F82482">
        <w:rPr>
          <w:szCs w:val="26"/>
        </w:rPr>
        <w:t>CalGEM’s</w:t>
      </w:r>
      <w:proofErr w:type="spellEnd"/>
      <w:r w:rsidRPr="00F82482">
        <w:rPr>
          <w:szCs w:val="26"/>
        </w:rPr>
        <w:t xml:space="preserve"> regulations were “invalid on the grounds that substantial evidence [did] not support [the] determination that such regulations” were “necessary ….”  </w:t>
      </w:r>
      <w:r>
        <w:rPr>
          <w:szCs w:val="26"/>
        </w:rPr>
        <w:t xml:space="preserve">It also urged they were “in conflict with statutes covering the same area of law.”  </w:t>
      </w:r>
      <w:r w:rsidRPr="00F82482">
        <w:rPr>
          <w:szCs w:val="26"/>
        </w:rPr>
        <w:t xml:space="preserve">Alternatively, TRC suggested </w:t>
      </w:r>
      <w:proofErr w:type="spellStart"/>
      <w:r w:rsidRPr="00F82482">
        <w:rPr>
          <w:szCs w:val="26"/>
        </w:rPr>
        <w:t>CalGEM’s</w:t>
      </w:r>
      <w:proofErr w:type="spellEnd"/>
      <w:r w:rsidRPr="00F82482">
        <w:rPr>
          <w:szCs w:val="26"/>
        </w:rPr>
        <w:t xml:space="preserve"> </w:t>
      </w:r>
      <w:r>
        <w:rPr>
          <w:szCs w:val="26"/>
        </w:rPr>
        <w:t xml:space="preserve">specific </w:t>
      </w:r>
      <w:r w:rsidRPr="00F82482">
        <w:rPr>
          <w:szCs w:val="26"/>
        </w:rPr>
        <w:t xml:space="preserve">actions in this case were arbitrary and capricious.  </w:t>
      </w:r>
    </w:p>
    <w:p w14:paraId="0FEDD7A4" w14:textId="77777777" w:rsidR="0072129B" w:rsidRPr="00F82482" w:rsidRDefault="0072129B" w:rsidP="00DA4117">
      <w:pPr>
        <w:spacing w:line="480" w:lineRule="exact"/>
        <w:rPr>
          <w:szCs w:val="26"/>
        </w:rPr>
      </w:pPr>
      <w:r w:rsidRPr="00F82482">
        <w:rPr>
          <w:i/>
          <w:iCs/>
          <w:szCs w:val="26"/>
        </w:rPr>
        <w:t>Ruling</w:t>
      </w:r>
    </w:p>
    <w:p w14:paraId="32766D25" w14:textId="77777777" w:rsidR="0072129B" w:rsidRPr="00F82482" w:rsidRDefault="0072129B" w:rsidP="00DA4117">
      <w:pPr>
        <w:spacing w:line="480" w:lineRule="exact"/>
        <w:rPr>
          <w:szCs w:val="26"/>
        </w:rPr>
      </w:pPr>
      <w:r w:rsidRPr="00F82482">
        <w:rPr>
          <w:szCs w:val="26"/>
        </w:rPr>
        <w:tab/>
        <w:t xml:space="preserve">The trial court ruled the new regulations were invalid because they conflicted with section 3225 which governs </w:t>
      </w:r>
      <w:proofErr w:type="spellStart"/>
      <w:r w:rsidRPr="00F82482">
        <w:rPr>
          <w:szCs w:val="26"/>
        </w:rPr>
        <w:t>CalGEM’s</w:t>
      </w:r>
      <w:proofErr w:type="spellEnd"/>
      <w:r w:rsidRPr="00F82482">
        <w:rPr>
          <w:szCs w:val="26"/>
        </w:rPr>
        <w:t xml:space="preserve"> authority to issue statutory orders.  </w:t>
      </w:r>
      <w:r>
        <w:rPr>
          <w:szCs w:val="26"/>
        </w:rPr>
        <w:t>The court reasoned a</w:t>
      </w:r>
      <w:r w:rsidRPr="00F82482">
        <w:rPr>
          <w:szCs w:val="26"/>
        </w:rPr>
        <w:t xml:space="preserve">n </w:t>
      </w:r>
      <w:r>
        <w:rPr>
          <w:szCs w:val="26"/>
        </w:rPr>
        <w:t>oil</w:t>
      </w:r>
      <w:r w:rsidRPr="00F82482">
        <w:rPr>
          <w:szCs w:val="26"/>
        </w:rPr>
        <w:t xml:space="preserve"> operator issued an order pursuant to section 3225 ha</w:t>
      </w:r>
      <w:r>
        <w:rPr>
          <w:szCs w:val="26"/>
        </w:rPr>
        <w:t>d</w:t>
      </w:r>
      <w:r w:rsidRPr="00F82482">
        <w:rPr>
          <w:szCs w:val="26"/>
        </w:rPr>
        <w:t xml:space="preserve"> the right to an administrative appeal, but the regulatory-violation notices bypassed the appeal.  </w:t>
      </w:r>
      <w:r>
        <w:rPr>
          <w:szCs w:val="26"/>
        </w:rPr>
        <w:t>It</w:t>
      </w:r>
      <w:r w:rsidRPr="00F82482">
        <w:rPr>
          <w:szCs w:val="26"/>
        </w:rPr>
        <w:t xml:space="preserve"> also found there was no substantial </w:t>
      </w:r>
      <w:proofErr w:type="gramStart"/>
      <w:r w:rsidRPr="00F82482">
        <w:rPr>
          <w:szCs w:val="26"/>
        </w:rPr>
        <w:t>evidence</w:t>
      </w:r>
      <w:proofErr w:type="gramEnd"/>
      <w:r w:rsidRPr="00F82482">
        <w:rPr>
          <w:szCs w:val="26"/>
        </w:rPr>
        <w:t xml:space="preserve"> the regulations were reasonably necessary because the statutes already allowed </w:t>
      </w:r>
      <w:proofErr w:type="spellStart"/>
      <w:r w:rsidRPr="00F82482">
        <w:rPr>
          <w:szCs w:val="26"/>
        </w:rPr>
        <w:t>CalGEM</w:t>
      </w:r>
      <w:proofErr w:type="spellEnd"/>
      <w:r w:rsidRPr="00F82482">
        <w:rPr>
          <w:szCs w:val="26"/>
        </w:rPr>
        <w:t xml:space="preserve"> to order operations to cease.  </w:t>
      </w:r>
    </w:p>
    <w:p w14:paraId="0445F19F" w14:textId="77777777" w:rsidR="0072129B" w:rsidRPr="00F82482" w:rsidRDefault="0072129B" w:rsidP="0049170E">
      <w:pPr>
        <w:keepNext/>
        <w:spacing w:line="480" w:lineRule="exact"/>
        <w:jc w:val="center"/>
        <w:rPr>
          <w:szCs w:val="26"/>
        </w:rPr>
      </w:pPr>
      <w:r w:rsidRPr="00F82482">
        <w:rPr>
          <w:b/>
          <w:bCs/>
          <w:szCs w:val="26"/>
          <w:u w:val="single"/>
        </w:rPr>
        <w:t>DISCUSSION</w:t>
      </w:r>
    </w:p>
    <w:p w14:paraId="0A5317B0" w14:textId="77777777" w:rsidR="0072129B" w:rsidRDefault="0072129B" w:rsidP="00DA4117">
      <w:pPr>
        <w:spacing w:line="480" w:lineRule="exact"/>
        <w:rPr>
          <w:szCs w:val="26"/>
        </w:rPr>
      </w:pPr>
      <w:r>
        <w:rPr>
          <w:szCs w:val="26"/>
        </w:rPr>
        <w:tab/>
      </w:r>
      <w:proofErr w:type="spellStart"/>
      <w:r>
        <w:rPr>
          <w:szCs w:val="26"/>
        </w:rPr>
        <w:t>CalGEM’s</w:t>
      </w:r>
      <w:proofErr w:type="spellEnd"/>
      <w:r>
        <w:rPr>
          <w:szCs w:val="26"/>
        </w:rPr>
        <w:t xml:space="preserve"> appeal presents two questions for review.  One, are the regulations at issue valid?  Two, did </w:t>
      </w:r>
      <w:proofErr w:type="spellStart"/>
      <w:r>
        <w:rPr>
          <w:szCs w:val="26"/>
        </w:rPr>
        <w:t>CalGEM</w:t>
      </w:r>
      <w:proofErr w:type="spellEnd"/>
      <w:r>
        <w:rPr>
          <w:szCs w:val="26"/>
        </w:rPr>
        <w:t xml:space="preserve"> essentially abuse its discretion in issuing the notice to TRC in this case?</w:t>
      </w:r>
    </w:p>
    <w:p w14:paraId="30C073E2" w14:textId="77777777" w:rsidR="0072129B" w:rsidRDefault="0072129B" w:rsidP="00DA4117">
      <w:pPr>
        <w:spacing w:line="480" w:lineRule="exact"/>
        <w:rPr>
          <w:szCs w:val="26"/>
        </w:rPr>
      </w:pPr>
      <w:r>
        <w:rPr>
          <w:szCs w:val="26"/>
        </w:rPr>
        <w:tab/>
        <w:t xml:space="preserve">We conclude the regulations are valid because they are consistent with the overall statutory scheme and are supported by substantial evidence.  </w:t>
      </w:r>
      <w:r>
        <w:rPr>
          <w:szCs w:val="26"/>
        </w:rPr>
        <w:t>However, w</w:t>
      </w:r>
      <w:r>
        <w:rPr>
          <w:szCs w:val="26"/>
        </w:rPr>
        <w:t xml:space="preserve">e will remand to </w:t>
      </w:r>
      <w:r>
        <w:rPr>
          <w:szCs w:val="26"/>
        </w:rPr>
        <w:lastRenderedPageBreak/>
        <w:t xml:space="preserve">the trial court for further proceedings, including to consider whether </w:t>
      </w:r>
      <w:proofErr w:type="spellStart"/>
      <w:r>
        <w:rPr>
          <w:szCs w:val="26"/>
        </w:rPr>
        <w:t>CalGEM’s</w:t>
      </w:r>
      <w:proofErr w:type="spellEnd"/>
      <w:r>
        <w:rPr>
          <w:szCs w:val="26"/>
        </w:rPr>
        <w:t xml:space="preserve"> specific actions relative to TRC were nonetheless inappropriate.</w:t>
      </w:r>
    </w:p>
    <w:p w14:paraId="622A80BD" w14:textId="77777777" w:rsidR="0072129B" w:rsidRDefault="0072129B" w:rsidP="00DA4117">
      <w:pPr>
        <w:spacing w:line="480" w:lineRule="exact"/>
        <w:rPr>
          <w:b/>
          <w:bCs/>
          <w:szCs w:val="26"/>
        </w:rPr>
      </w:pPr>
      <w:r>
        <w:rPr>
          <w:b/>
          <w:bCs/>
          <w:szCs w:val="26"/>
        </w:rPr>
        <w:t>I.  The Regulations Are Valid</w:t>
      </w:r>
    </w:p>
    <w:p w14:paraId="1399B21F" w14:textId="77777777" w:rsidR="0072129B" w:rsidRDefault="0072129B" w:rsidP="00DA4117">
      <w:pPr>
        <w:spacing w:line="480" w:lineRule="exact"/>
        <w:ind w:firstLine="720"/>
        <w:rPr>
          <w:szCs w:val="26"/>
        </w:rPr>
      </w:pPr>
      <w:r>
        <w:rPr>
          <w:szCs w:val="26"/>
        </w:rPr>
        <w:t xml:space="preserve">TRC now argues the regulations conflict with the Public Resources Code and are not otherwise supported by substantial evidence they are reasonably necessary.  </w:t>
      </w:r>
      <w:proofErr w:type="spellStart"/>
      <w:r>
        <w:rPr>
          <w:szCs w:val="26"/>
        </w:rPr>
        <w:t>CalGEM</w:t>
      </w:r>
      <w:proofErr w:type="spellEnd"/>
      <w:r>
        <w:rPr>
          <w:szCs w:val="26"/>
        </w:rPr>
        <w:t xml:space="preserve">, of course, contends its regulations are valid.  As explained below, </w:t>
      </w:r>
      <w:proofErr w:type="spellStart"/>
      <w:r>
        <w:rPr>
          <w:szCs w:val="26"/>
        </w:rPr>
        <w:t>CalGEM</w:t>
      </w:r>
      <w:proofErr w:type="spellEnd"/>
      <w:r>
        <w:rPr>
          <w:szCs w:val="26"/>
        </w:rPr>
        <w:t xml:space="preserve"> has the better argument.</w:t>
      </w:r>
    </w:p>
    <w:p w14:paraId="0A53127A" w14:textId="77777777" w:rsidR="0072129B" w:rsidRPr="00A0628C" w:rsidRDefault="0072129B" w:rsidP="00DA4117">
      <w:pPr>
        <w:spacing w:line="480" w:lineRule="exact"/>
        <w:rPr>
          <w:b/>
          <w:bCs/>
          <w:szCs w:val="26"/>
        </w:rPr>
      </w:pPr>
      <w:r>
        <w:rPr>
          <w:szCs w:val="26"/>
        </w:rPr>
        <w:tab/>
      </w:r>
      <w:r>
        <w:rPr>
          <w:b/>
          <w:bCs/>
          <w:szCs w:val="26"/>
        </w:rPr>
        <w:t>A.  Reviewing Standard</w:t>
      </w:r>
    </w:p>
    <w:p w14:paraId="2FF8832D" w14:textId="77777777" w:rsidR="0072129B" w:rsidRDefault="0072129B" w:rsidP="00DA4117">
      <w:pPr>
        <w:spacing w:line="480" w:lineRule="exact"/>
        <w:rPr>
          <w:szCs w:val="26"/>
        </w:rPr>
      </w:pPr>
      <w:r>
        <w:rPr>
          <w:szCs w:val="26"/>
        </w:rPr>
        <w:tab/>
        <w:t>“</w:t>
      </w:r>
      <w:r w:rsidRPr="00297F82">
        <w:rPr>
          <w:szCs w:val="26"/>
        </w:rPr>
        <w:t>The principles applicable to determining the validity of regulations promulgated by a state agency are well settled.</w:t>
      </w:r>
      <w:r>
        <w:rPr>
          <w:szCs w:val="26"/>
        </w:rPr>
        <w:t>”  (</w:t>
      </w:r>
      <w:r w:rsidRPr="00297F82">
        <w:rPr>
          <w:i/>
          <w:iCs/>
          <w:szCs w:val="26"/>
        </w:rPr>
        <w:t>In re Gadlin</w:t>
      </w:r>
      <w:r w:rsidRPr="00297F82">
        <w:rPr>
          <w:szCs w:val="26"/>
        </w:rPr>
        <w:t xml:space="preserve"> (2020) 10 Cal.5th 915, 925</w:t>
      </w:r>
      <w:r>
        <w:rPr>
          <w:szCs w:val="26"/>
        </w:rPr>
        <w:t xml:space="preserve"> (</w:t>
      </w:r>
      <w:r>
        <w:rPr>
          <w:i/>
          <w:iCs/>
          <w:szCs w:val="26"/>
        </w:rPr>
        <w:t>Gadlin</w:t>
      </w:r>
      <w:r>
        <w:rPr>
          <w:szCs w:val="26"/>
        </w:rPr>
        <w:t>).)  “</w:t>
      </w:r>
      <w:r w:rsidRPr="00693E8F">
        <w:rPr>
          <w:szCs w:val="26"/>
        </w:rPr>
        <w:t xml:space="preserve">In evaluating the validity of a regulation under these principles, we first ask whether the regulation is </w:t>
      </w:r>
      <w:proofErr w:type="gramStart"/>
      <w:r w:rsidRPr="00693E8F">
        <w:rPr>
          <w:szCs w:val="26"/>
        </w:rPr>
        <w:t>‘</w:t>
      </w:r>
      <w:r>
        <w:rPr>
          <w:szCs w:val="26"/>
        </w:rPr>
        <w:t xml:space="preserve"> “</w:t>
      </w:r>
      <w:proofErr w:type="gramEnd"/>
      <w:r w:rsidRPr="00693E8F">
        <w:rPr>
          <w:szCs w:val="26"/>
        </w:rPr>
        <w:t>consistent and not in conflict with</w:t>
      </w:r>
      <w:r>
        <w:rPr>
          <w:szCs w:val="26"/>
        </w:rPr>
        <w:t xml:space="preserve">” </w:t>
      </w:r>
      <w:r w:rsidRPr="00693E8F">
        <w:rPr>
          <w:szCs w:val="26"/>
        </w:rPr>
        <w:t xml:space="preserve">’ the provision that </w:t>
      </w:r>
      <w:r w:rsidRPr="00693E8F">
        <w:rPr>
          <w:szCs w:val="26"/>
        </w:rPr>
        <w:t>authorizes it.</w:t>
      </w:r>
      <w:r>
        <w:rPr>
          <w:szCs w:val="26"/>
        </w:rPr>
        <w:t xml:space="preserve">  [Citation.]  </w:t>
      </w:r>
      <w:r w:rsidRPr="00693E8F">
        <w:rPr>
          <w:szCs w:val="26"/>
        </w:rPr>
        <w:t>We then inquire whether the regulation is reasonably necessary to effectuate the purpose of the authorizing law.</w:t>
      </w:r>
      <w:r>
        <w:rPr>
          <w:szCs w:val="26"/>
        </w:rPr>
        <w:t>”  (</w:t>
      </w:r>
      <w:r>
        <w:rPr>
          <w:i/>
          <w:iCs/>
          <w:szCs w:val="26"/>
        </w:rPr>
        <w:t xml:space="preserve">Id. </w:t>
      </w:r>
      <w:r>
        <w:rPr>
          <w:szCs w:val="26"/>
        </w:rPr>
        <w:t>at p. 926.)  “</w:t>
      </w:r>
      <w:r w:rsidRPr="00204D57">
        <w:rPr>
          <w:szCs w:val="26"/>
        </w:rPr>
        <w:t xml:space="preserve">Our task as a reviewing court </w:t>
      </w:r>
      <w:proofErr w:type="gramStart"/>
      <w:r w:rsidRPr="00204D57">
        <w:rPr>
          <w:szCs w:val="26"/>
        </w:rPr>
        <w:t>‘ “</w:t>
      </w:r>
      <w:proofErr w:type="gramEnd"/>
      <w:r>
        <w:rPr>
          <w:szCs w:val="26"/>
        </w:rPr>
        <w:t xml:space="preserve"> ‘</w:t>
      </w:r>
      <w:r w:rsidRPr="00204D57">
        <w:rPr>
          <w:szCs w:val="26"/>
        </w:rPr>
        <w:t>is to decide whether the [agency] reasonably interpreted [its] mandate.</w:t>
      </w:r>
      <w:r>
        <w:rPr>
          <w:szCs w:val="26"/>
        </w:rPr>
        <w:t xml:space="preserve">’ </w:t>
      </w:r>
      <w:r w:rsidRPr="00204D57">
        <w:rPr>
          <w:szCs w:val="26"/>
        </w:rPr>
        <w:t>” ’ ”</w:t>
      </w:r>
      <w:r>
        <w:rPr>
          <w:szCs w:val="26"/>
        </w:rPr>
        <w:t xml:space="preserve">  (</w:t>
      </w:r>
      <w:r>
        <w:rPr>
          <w:i/>
          <w:iCs/>
          <w:szCs w:val="26"/>
        </w:rPr>
        <w:t>Ibid.</w:t>
      </w:r>
      <w:r>
        <w:rPr>
          <w:szCs w:val="26"/>
        </w:rPr>
        <w:t>)</w:t>
      </w:r>
    </w:p>
    <w:p w14:paraId="6BCD194E" w14:textId="77777777" w:rsidR="0072129B" w:rsidRDefault="0072129B" w:rsidP="00DA4117">
      <w:pPr>
        <w:spacing w:line="480" w:lineRule="exact"/>
        <w:ind w:firstLine="720"/>
        <w:rPr>
          <w:szCs w:val="26"/>
        </w:rPr>
      </w:pPr>
      <w:r>
        <w:rPr>
          <w:szCs w:val="26"/>
        </w:rPr>
        <w:t>“</w:t>
      </w:r>
      <w:r w:rsidRPr="00E81F9E">
        <w:rPr>
          <w:szCs w:val="26"/>
        </w:rPr>
        <w:t>We presume the validity of a regulation promulgated by a state agency.</w:t>
      </w:r>
      <w:r>
        <w:rPr>
          <w:szCs w:val="26"/>
        </w:rPr>
        <w:t xml:space="preserve">  [Citation.]  </w:t>
      </w:r>
      <w:r w:rsidRPr="00E81F9E">
        <w:rPr>
          <w:szCs w:val="26"/>
        </w:rPr>
        <w:t xml:space="preserve">The burden lies with the party challenging the regulation to show its invalidity. </w:t>
      </w:r>
      <w:r>
        <w:rPr>
          <w:szCs w:val="26"/>
        </w:rPr>
        <w:t xml:space="preserve"> [Citation.]  ‘</w:t>
      </w:r>
      <w:r w:rsidRPr="00E81F9E">
        <w:rPr>
          <w:szCs w:val="26"/>
        </w:rPr>
        <w:t>Such a limited scope of review constitutes no judicial interference with the administrative discretion in that aspect of the rulemaking function which requires a high degree of technical skill and expertise.</w:t>
      </w:r>
      <w:proofErr w:type="gramStart"/>
      <w:r>
        <w:rPr>
          <w:szCs w:val="26"/>
        </w:rPr>
        <w:t xml:space="preserve">’ </w:t>
      </w:r>
      <w:r w:rsidRPr="00E81F9E">
        <w:rPr>
          <w:szCs w:val="26"/>
        </w:rPr>
        <w:t>”</w:t>
      </w:r>
      <w:proofErr w:type="gramEnd"/>
      <w:r>
        <w:rPr>
          <w:szCs w:val="26"/>
        </w:rPr>
        <w:t xml:space="preserve">  (</w:t>
      </w:r>
      <w:r>
        <w:rPr>
          <w:i/>
          <w:iCs/>
          <w:szCs w:val="26"/>
        </w:rPr>
        <w:t xml:space="preserve">Gadlin, supra, </w:t>
      </w:r>
      <w:r>
        <w:rPr>
          <w:szCs w:val="26"/>
        </w:rPr>
        <w:t>10 Cal.5th at p.</w:t>
      </w:r>
      <w:r>
        <w:rPr>
          <w:szCs w:val="26"/>
        </w:rPr>
        <w:t> </w:t>
      </w:r>
      <w:r>
        <w:rPr>
          <w:szCs w:val="26"/>
        </w:rPr>
        <w:t xml:space="preserve">926.)  </w:t>
      </w:r>
      <w:proofErr w:type="gramStart"/>
      <w:r w:rsidRPr="00A93D8D">
        <w:rPr>
          <w:szCs w:val="26"/>
        </w:rPr>
        <w:t>“ ‘</w:t>
      </w:r>
      <w:proofErr w:type="gramEnd"/>
      <w:r>
        <w:rPr>
          <w:szCs w:val="26"/>
        </w:rPr>
        <w:t xml:space="preserve"> “</w:t>
      </w:r>
      <w:r w:rsidRPr="00A93D8D">
        <w:rPr>
          <w:szCs w:val="26"/>
        </w:rPr>
        <w:t>Our function is to inquire into the legality of the regulations, not thei</w:t>
      </w:r>
      <w:r w:rsidRPr="00A93D8D">
        <w:rPr>
          <w:szCs w:val="26"/>
        </w:rPr>
        <w:t>r wisdom.</w:t>
      </w:r>
      <w:r>
        <w:rPr>
          <w:szCs w:val="26"/>
        </w:rPr>
        <w:t xml:space="preserve">” </w:t>
      </w:r>
      <w:r w:rsidRPr="00A93D8D">
        <w:rPr>
          <w:szCs w:val="26"/>
        </w:rPr>
        <w:t xml:space="preserve">’ </w:t>
      </w:r>
      <w:r>
        <w:rPr>
          <w:szCs w:val="26"/>
        </w:rPr>
        <w:t xml:space="preserve"> [Citations.] </w:t>
      </w:r>
      <w:r w:rsidRPr="00A93D8D">
        <w:rPr>
          <w:szCs w:val="26"/>
        </w:rPr>
        <w:t xml:space="preserve"> Still, </w:t>
      </w:r>
      <w:proofErr w:type="gramStart"/>
      <w:r w:rsidRPr="00A93D8D">
        <w:rPr>
          <w:szCs w:val="26"/>
        </w:rPr>
        <w:t>‘ “</w:t>
      </w:r>
      <w:proofErr w:type="gramEnd"/>
      <w:r>
        <w:rPr>
          <w:szCs w:val="26"/>
        </w:rPr>
        <w:t xml:space="preserve"> ‘</w:t>
      </w:r>
      <w:r w:rsidRPr="00A93D8D">
        <w:rPr>
          <w:szCs w:val="26"/>
        </w:rPr>
        <w:t>final responsibility for the interpretation of the law rests with the courts.</w:t>
      </w:r>
      <w:r>
        <w:rPr>
          <w:szCs w:val="26"/>
        </w:rPr>
        <w:t xml:space="preserve">’ </w:t>
      </w:r>
      <w:r w:rsidRPr="00A93D8D">
        <w:rPr>
          <w:szCs w:val="26"/>
        </w:rPr>
        <w:t xml:space="preserve"> [Citations.] </w:t>
      </w:r>
      <w:r>
        <w:rPr>
          <w:szCs w:val="26"/>
        </w:rPr>
        <w:t xml:space="preserve"> </w:t>
      </w:r>
      <w:r w:rsidRPr="00A93D8D">
        <w:rPr>
          <w:szCs w:val="26"/>
        </w:rPr>
        <w:t>Administrative regulations that alter or amend the statute or enlarge or impair its scope are void and courts not only may, but it is their obligation to strike down such regulations.</w:t>
      </w:r>
      <w:proofErr w:type="gramStart"/>
      <w:r>
        <w:rPr>
          <w:szCs w:val="26"/>
        </w:rPr>
        <w:t xml:space="preserve">” </w:t>
      </w:r>
      <w:r w:rsidRPr="00A93D8D">
        <w:rPr>
          <w:szCs w:val="26"/>
        </w:rPr>
        <w:t>’</w:t>
      </w:r>
      <w:proofErr w:type="gramEnd"/>
      <w:r w:rsidRPr="00A93D8D">
        <w:rPr>
          <w:szCs w:val="26"/>
        </w:rPr>
        <w:t xml:space="preserve"> ”</w:t>
      </w:r>
      <w:r>
        <w:rPr>
          <w:szCs w:val="26"/>
        </w:rPr>
        <w:t xml:space="preserve">  (</w:t>
      </w:r>
      <w:r>
        <w:rPr>
          <w:i/>
          <w:iCs/>
          <w:szCs w:val="26"/>
        </w:rPr>
        <w:t>Ibid.</w:t>
      </w:r>
      <w:r>
        <w:rPr>
          <w:szCs w:val="26"/>
        </w:rPr>
        <w:t>)</w:t>
      </w:r>
    </w:p>
    <w:p w14:paraId="3650BBE0" w14:textId="77777777" w:rsidR="0072129B" w:rsidRPr="00AE62AF" w:rsidRDefault="0072129B" w:rsidP="00DA4117">
      <w:pPr>
        <w:spacing w:line="480" w:lineRule="exact"/>
        <w:ind w:firstLine="720"/>
        <w:rPr>
          <w:szCs w:val="26"/>
        </w:rPr>
      </w:pPr>
      <w:r>
        <w:rPr>
          <w:szCs w:val="26"/>
        </w:rPr>
        <w:t>“</w:t>
      </w:r>
      <w:r w:rsidRPr="001E65C0">
        <w:rPr>
          <w:szCs w:val="26"/>
        </w:rPr>
        <w:t xml:space="preserve">When a regulation is challenged on the ground that it is not </w:t>
      </w:r>
      <w:r>
        <w:rPr>
          <w:szCs w:val="26"/>
        </w:rPr>
        <w:t>‘</w:t>
      </w:r>
      <w:r w:rsidRPr="001E65C0">
        <w:rPr>
          <w:szCs w:val="26"/>
        </w:rPr>
        <w:t>reasonably necessary to effectuate the purpose of the statute,</w:t>
      </w:r>
      <w:r>
        <w:rPr>
          <w:szCs w:val="26"/>
        </w:rPr>
        <w:t>’</w:t>
      </w:r>
      <w:r w:rsidRPr="001E65C0">
        <w:rPr>
          <w:szCs w:val="26"/>
        </w:rPr>
        <w:t xml:space="preserve"> our inquiry is confined to whether the rule is </w:t>
      </w:r>
      <w:r w:rsidRPr="001E65C0">
        <w:rPr>
          <w:szCs w:val="26"/>
        </w:rPr>
        <w:lastRenderedPageBreak/>
        <w:t xml:space="preserve">arbitrary, capricious, or without rational basis </w:t>
      </w:r>
      <w:r>
        <w:rPr>
          <w:szCs w:val="26"/>
        </w:rPr>
        <w:t>[citation]</w:t>
      </w:r>
      <w:r w:rsidRPr="001E65C0">
        <w:rPr>
          <w:szCs w:val="26"/>
        </w:rPr>
        <w:t xml:space="preserve"> and whether substantial evidence supports the agency</w:t>
      </w:r>
      <w:r>
        <w:rPr>
          <w:szCs w:val="26"/>
        </w:rPr>
        <w:t>’</w:t>
      </w:r>
      <w:r w:rsidRPr="001E65C0">
        <w:rPr>
          <w:szCs w:val="26"/>
        </w:rPr>
        <w:t xml:space="preserve">s determination that the rule is reasonably necessary </w:t>
      </w:r>
      <w:r>
        <w:rPr>
          <w:szCs w:val="26"/>
        </w:rPr>
        <w:t>….”  (</w:t>
      </w:r>
      <w:r w:rsidRPr="00CE6547">
        <w:rPr>
          <w:i/>
          <w:iCs/>
          <w:szCs w:val="26"/>
        </w:rPr>
        <w:t>Western States Petroleum Assn. v. Board of Equalization</w:t>
      </w:r>
      <w:r w:rsidRPr="001E65C0">
        <w:rPr>
          <w:szCs w:val="26"/>
        </w:rPr>
        <w:t xml:space="preserve"> (2013) 57 Cal.4th 401, 415</w:t>
      </w:r>
      <w:r>
        <w:rPr>
          <w:szCs w:val="26"/>
        </w:rPr>
        <w:t xml:space="preserve"> (</w:t>
      </w:r>
      <w:r>
        <w:rPr>
          <w:i/>
          <w:iCs/>
          <w:szCs w:val="26"/>
        </w:rPr>
        <w:t>Western States</w:t>
      </w:r>
      <w:r>
        <w:rPr>
          <w:szCs w:val="26"/>
        </w:rPr>
        <w:t>).)  “</w:t>
      </w:r>
      <w:r w:rsidRPr="00DC06DE">
        <w:rPr>
          <w:szCs w:val="26"/>
        </w:rPr>
        <w:t>At the same time, when an implementing regulation is challenge</w:t>
      </w:r>
      <w:r w:rsidRPr="00DC06DE">
        <w:rPr>
          <w:szCs w:val="26"/>
        </w:rPr>
        <w:t xml:space="preserve">d on the ground that it is </w:t>
      </w:r>
      <w:r>
        <w:rPr>
          <w:szCs w:val="26"/>
        </w:rPr>
        <w:t>‘</w:t>
      </w:r>
      <w:r w:rsidRPr="00DC06DE">
        <w:rPr>
          <w:szCs w:val="26"/>
        </w:rPr>
        <w:t>in conflict with the statute</w:t>
      </w:r>
      <w:r>
        <w:rPr>
          <w:szCs w:val="26"/>
        </w:rPr>
        <w:t>’</w:t>
      </w:r>
      <w:r w:rsidRPr="00DC06DE">
        <w:rPr>
          <w:szCs w:val="26"/>
        </w:rPr>
        <w:t xml:space="preserve"> </w:t>
      </w:r>
      <w:r>
        <w:rPr>
          <w:szCs w:val="26"/>
        </w:rPr>
        <w:t>[citation]</w:t>
      </w:r>
      <w:r w:rsidRPr="00DC06DE">
        <w:rPr>
          <w:szCs w:val="26"/>
        </w:rPr>
        <w:t xml:space="preserve"> or does not </w:t>
      </w:r>
      <w:r>
        <w:rPr>
          <w:szCs w:val="26"/>
        </w:rPr>
        <w:t>‘</w:t>
      </w:r>
      <w:r w:rsidRPr="00DC06DE">
        <w:rPr>
          <w:szCs w:val="26"/>
        </w:rPr>
        <w:t xml:space="preserve">lay within the lawmaking authority delegated by the </w:t>
      </w:r>
      <w:r w:rsidRPr="00DC06DE">
        <w:rPr>
          <w:szCs w:val="26"/>
        </w:rPr>
        <w:t>Legislature</w:t>
      </w:r>
      <w:r>
        <w:rPr>
          <w:szCs w:val="26"/>
        </w:rPr>
        <w:t>’</w:t>
      </w:r>
      <w:r w:rsidRPr="00DC06DE">
        <w:rPr>
          <w:szCs w:val="26"/>
        </w:rPr>
        <w:t xml:space="preserve"> </w:t>
      </w:r>
      <w:r>
        <w:rPr>
          <w:szCs w:val="26"/>
        </w:rPr>
        <w:t>[citation]</w:t>
      </w:r>
      <w:r w:rsidRPr="00DC06DE">
        <w:rPr>
          <w:szCs w:val="26"/>
        </w:rPr>
        <w:t xml:space="preserve">, the issue of statutory construction is a question of law on which a court exercises independent judgment. </w:t>
      </w:r>
      <w:r>
        <w:rPr>
          <w:szCs w:val="26"/>
        </w:rPr>
        <w:t xml:space="preserve"> [Citation.] </w:t>
      </w:r>
      <w:r w:rsidRPr="00DC06DE">
        <w:rPr>
          <w:szCs w:val="26"/>
        </w:rPr>
        <w:t xml:space="preserve"> In determining whether an agency has incorrectly interpreted the statute it purports to implement, a court gives weight to the agency</w:t>
      </w:r>
      <w:r>
        <w:rPr>
          <w:szCs w:val="26"/>
        </w:rPr>
        <w:t>’</w:t>
      </w:r>
      <w:r w:rsidRPr="00DC06DE">
        <w:rPr>
          <w:szCs w:val="26"/>
        </w:rPr>
        <w:t>s construction.</w:t>
      </w:r>
      <w:r>
        <w:rPr>
          <w:szCs w:val="26"/>
        </w:rPr>
        <w:t>”  (</w:t>
      </w:r>
      <w:r>
        <w:rPr>
          <w:i/>
          <w:iCs/>
          <w:szCs w:val="26"/>
        </w:rPr>
        <w:t xml:space="preserve">Id. </w:t>
      </w:r>
      <w:r>
        <w:rPr>
          <w:szCs w:val="26"/>
        </w:rPr>
        <w:t>at p.</w:t>
      </w:r>
      <w:r>
        <w:rPr>
          <w:szCs w:val="26"/>
        </w:rPr>
        <w:t> </w:t>
      </w:r>
      <w:r>
        <w:rPr>
          <w:szCs w:val="26"/>
        </w:rPr>
        <w:t>415.)</w:t>
      </w:r>
    </w:p>
    <w:p w14:paraId="524441A3" w14:textId="77777777" w:rsidR="0072129B" w:rsidRPr="00F82482" w:rsidRDefault="0072129B" w:rsidP="00DA4117">
      <w:pPr>
        <w:spacing w:line="480" w:lineRule="exact"/>
        <w:ind w:firstLine="720"/>
        <w:rPr>
          <w:szCs w:val="26"/>
        </w:rPr>
      </w:pPr>
      <w:r>
        <w:rPr>
          <w:b/>
          <w:bCs/>
          <w:szCs w:val="26"/>
        </w:rPr>
        <w:t>B.  Analysis</w:t>
      </w:r>
    </w:p>
    <w:p w14:paraId="1F96EC13" w14:textId="77777777" w:rsidR="0072129B" w:rsidRDefault="0072129B" w:rsidP="00DA4117">
      <w:pPr>
        <w:spacing w:line="480" w:lineRule="exact"/>
        <w:rPr>
          <w:szCs w:val="26"/>
        </w:rPr>
      </w:pPr>
      <w:r>
        <w:rPr>
          <w:szCs w:val="26"/>
        </w:rPr>
        <w:tab/>
        <w:t xml:space="preserve">As noted, TRC argues the regulations in this case are invalid because they conflict with the Public Resources Code and, alternatively, they are not supported by substantial evidence they are reasonably necessary.  We address each </w:t>
      </w:r>
      <w:r>
        <w:rPr>
          <w:szCs w:val="26"/>
        </w:rPr>
        <w:t xml:space="preserve">argument </w:t>
      </w:r>
      <w:r>
        <w:rPr>
          <w:szCs w:val="26"/>
        </w:rPr>
        <w:t>in turn.</w:t>
      </w:r>
    </w:p>
    <w:p w14:paraId="7BEB50EB" w14:textId="77777777" w:rsidR="0072129B" w:rsidRDefault="0072129B" w:rsidP="00DA4117">
      <w:pPr>
        <w:spacing w:line="480" w:lineRule="exact"/>
        <w:rPr>
          <w:szCs w:val="26"/>
        </w:rPr>
      </w:pPr>
      <w:r>
        <w:rPr>
          <w:szCs w:val="26"/>
        </w:rPr>
        <w:tab/>
      </w:r>
      <w:r>
        <w:rPr>
          <w:szCs w:val="26"/>
        </w:rPr>
        <w:tab/>
      </w:r>
      <w:proofErr w:type="spellStart"/>
      <w:r>
        <w:rPr>
          <w:b/>
          <w:bCs/>
          <w:szCs w:val="26"/>
        </w:rPr>
        <w:t>i</w:t>
      </w:r>
      <w:proofErr w:type="spellEnd"/>
      <w:r>
        <w:rPr>
          <w:b/>
          <w:bCs/>
          <w:szCs w:val="26"/>
        </w:rPr>
        <w:t xml:space="preserve">.  The Regulations Are Consistent </w:t>
      </w:r>
      <w:proofErr w:type="gramStart"/>
      <w:r>
        <w:rPr>
          <w:b/>
          <w:bCs/>
          <w:szCs w:val="26"/>
        </w:rPr>
        <w:t>With</w:t>
      </w:r>
      <w:proofErr w:type="gramEnd"/>
      <w:r>
        <w:rPr>
          <w:b/>
          <w:bCs/>
          <w:szCs w:val="26"/>
        </w:rPr>
        <w:t xml:space="preserve"> the Public Resources Code</w:t>
      </w:r>
      <w:r w:rsidRPr="00F82482">
        <w:rPr>
          <w:szCs w:val="26"/>
        </w:rPr>
        <w:tab/>
      </w:r>
    </w:p>
    <w:p w14:paraId="0D8C342C" w14:textId="77777777" w:rsidR="0072129B" w:rsidRPr="00F82482" w:rsidRDefault="0072129B" w:rsidP="00DA4117">
      <w:pPr>
        <w:spacing w:line="480" w:lineRule="exact"/>
        <w:ind w:firstLine="720"/>
        <w:rPr>
          <w:szCs w:val="26"/>
        </w:rPr>
      </w:pPr>
      <w:r w:rsidRPr="00F82482">
        <w:rPr>
          <w:szCs w:val="26"/>
        </w:rPr>
        <w:t xml:space="preserve">Section 3013 requires </w:t>
      </w:r>
      <w:r>
        <w:rPr>
          <w:szCs w:val="26"/>
        </w:rPr>
        <w:t>us</w:t>
      </w:r>
      <w:r w:rsidRPr="00F82482">
        <w:rPr>
          <w:szCs w:val="26"/>
        </w:rPr>
        <w:t xml:space="preserve"> to “liberally </w:t>
      </w:r>
      <w:proofErr w:type="gramStart"/>
      <w:r w:rsidRPr="00F82482">
        <w:rPr>
          <w:szCs w:val="26"/>
        </w:rPr>
        <w:t>construe[</w:t>
      </w:r>
      <w:proofErr w:type="gramEnd"/>
      <w:r w:rsidRPr="00F82482">
        <w:rPr>
          <w:szCs w:val="26"/>
        </w:rPr>
        <w:t>]” the statutes governing oil and gas regulation in California.  It also explicitly states the Director of Conservation and the State Oil and Gas Supervisor “have all powers, including the authority to adopt rules and regulations, which may be necessary to carry out the purposes of</w:t>
      </w:r>
      <w:r>
        <w:rPr>
          <w:szCs w:val="26"/>
        </w:rPr>
        <w:t xml:space="preserve"> this division,” i.e.,</w:t>
      </w:r>
      <w:r w:rsidRPr="00F82482">
        <w:rPr>
          <w:szCs w:val="26"/>
        </w:rPr>
        <w:t xml:space="preserve"> sections 3000</w:t>
      </w:r>
      <w:r>
        <w:rPr>
          <w:szCs w:val="26"/>
        </w:rPr>
        <w:t xml:space="preserve"> through </w:t>
      </w:r>
      <w:r w:rsidRPr="00F82482">
        <w:rPr>
          <w:szCs w:val="26"/>
        </w:rPr>
        <w:t>3865.</w:t>
      </w:r>
    </w:p>
    <w:p w14:paraId="56BA2592" w14:textId="77777777" w:rsidR="0072129B" w:rsidRPr="00F82482" w:rsidRDefault="0072129B" w:rsidP="00DA4117">
      <w:pPr>
        <w:spacing w:line="480" w:lineRule="exact"/>
        <w:rPr>
          <w:szCs w:val="26"/>
        </w:rPr>
      </w:pPr>
      <w:r w:rsidRPr="00F82482">
        <w:rPr>
          <w:szCs w:val="26"/>
        </w:rPr>
        <w:tab/>
        <w:t>Section 3</w:t>
      </w:r>
      <w:r>
        <w:rPr>
          <w:szCs w:val="26"/>
        </w:rPr>
        <w:t>1</w:t>
      </w:r>
      <w:r w:rsidRPr="00F82482">
        <w:rPr>
          <w:szCs w:val="26"/>
        </w:rPr>
        <w:t xml:space="preserve">06 demands </w:t>
      </w:r>
      <w:r>
        <w:rPr>
          <w:szCs w:val="26"/>
        </w:rPr>
        <w:t>“</w:t>
      </w:r>
      <w:proofErr w:type="spellStart"/>
      <w:r>
        <w:rPr>
          <w:szCs w:val="26"/>
        </w:rPr>
        <w:t>supervis</w:t>
      </w:r>
      <w:proofErr w:type="spellEnd"/>
      <w:r>
        <w:rPr>
          <w:szCs w:val="26"/>
        </w:rPr>
        <w:t>[</w:t>
      </w:r>
      <w:proofErr w:type="spellStart"/>
      <w:r>
        <w:rPr>
          <w:szCs w:val="26"/>
        </w:rPr>
        <w:t>ing</w:t>
      </w:r>
      <w:proofErr w:type="spellEnd"/>
      <w:r>
        <w:rPr>
          <w:szCs w:val="26"/>
        </w:rPr>
        <w:t>]</w:t>
      </w:r>
      <w:r w:rsidRPr="00F82482">
        <w:rPr>
          <w:szCs w:val="26"/>
        </w:rPr>
        <w:t xml:space="preserve"> the drilling, operation, maintenance, and abandonment of wells … so as to prevent, as far as possible, damage to life, health, property, and natural resources[.]”  Section 3236.5, subdivision (a) provides for “civil </w:t>
      </w:r>
      <w:proofErr w:type="spellStart"/>
      <w:r w:rsidRPr="00F82482">
        <w:rPr>
          <w:szCs w:val="26"/>
        </w:rPr>
        <w:t>penalt</w:t>
      </w:r>
      <w:proofErr w:type="spellEnd"/>
      <w:r w:rsidRPr="00F82482">
        <w:rPr>
          <w:szCs w:val="26"/>
        </w:rPr>
        <w:t>[</w:t>
      </w:r>
      <w:proofErr w:type="spellStart"/>
      <w:r w:rsidRPr="00F82482">
        <w:rPr>
          <w:szCs w:val="26"/>
        </w:rPr>
        <w:t>ies</w:t>
      </w:r>
      <w:proofErr w:type="spellEnd"/>
      <w:r w:rsidRPr="00F82482">
        <w:rPr>
          <w:szCs w:val="26"/>
        </w:rPr>
        <w:t xml:space="preserve">]” “imposed by an order of the supervisor pursuant to Section 3225” against any “person who violates </w:t>
      </w:r>
      <w:r>
        <w:rPr>
          <w:szCs w:val="26"/>
        </w:rPr>
        <w:t xml:space="preserve">… </w:t>
      </w:r>
      <w:r w:rsidRPr="00F82482">
        <w:rPr>
          <w:szCs w:val="26"/>
        </w:rPr>
        <w:t>a regulation” adopted pursuant to sections 3000 through 3473.</w:t>
      </w:r>
    </w:p>
    <w:p w14:paraId="3E40249C" w14:textId="77777777" w:rsidR="0072129B" w:rsidRDefault="0072129B" w:rsidP="00DA4117">
      <w:pPr>
        <w:spacing w:line="480" w:lineRule="exact"/>
        <w:rPr>
          <w:szCs w:val="26"/>
        </w:rPr>
      </w:pPr>
      <w:r w:rsidRPr="00F82482">
        <w:rPr>
          <w:szCs w:val="26"/>
        </w:rPr>
        <w:tab/>
      </w:r>
      <w:r>
        <w:rPr>
          <w:szCs w:val="26"/>
        </w:rPr>
        <w:t>It is clear the</w:t>
      </w:r>
      <w:r w:rsidRPr="00F82482">
        <w:rPr>
          <w:szCs w:val="26"/>
        </w:rPr>
        <w:t xml:space="preserve"> Legislature envisioned a</w:t>
      </w:r>
      <w:r>
        <w:rPr>
          <w:szCs w:val="26"/>
        </w:rPr>
        <w:t xml:space="preserve"> three-step</w:t>
      </w:r>
      <w:r w:rsidRPr="00F82482">
        <w:rPr>
          <w:szCs w:val="26"/>
        </w:rPr>
        <w:t xml:space="preserve"> framework </w:t>
      </w:r>
      <w:r>
        <w:rPr>
          <w:szCs w:val="26"/>
        </w:rPr>
        <w:t xml:space="preserve">permitting </w:t>
      </w:r>
      <w:proofErr w:type="spellStart"/>
      <w:r>
        <w:rPr>
          <w:szCs w:val="26"/>
        </w:rPr>
        <w:t>CalGEM</w:t>
      </w:r>
      <w:proofErr w:type="spellEnd"/>
      <w:r>
        <w:rPr>
          <w:szCs w:val="26"/>
        </w:rPr>
        <w:t xml:space="preserve"> to impose penalties for regulatory violations.  First,</w:t>
      </w:r>
      <w:r w:rsidRPr="00F82482">
        <w:rPr>
          <w:szCs w:val="26"/>
        </w:rPr>
        <w:t xml:space="preserve"> the supervisor would adopt regulations to prevent damage to life, health, and property</w:t>
      </w:r>
      <w:r>
        <w:rPr>
          <w:szCs w:val="26"/>
        </w:rPr>
        <w:t>.  (</w:t>
      </w:r>
      <w:r w:rsidRPr="00FC2355">
        <w:rPr>
          <w:szCs w:val="26"/>
        </w:rPr>
        <w:t>§§</w:t>
      </w:r>
      <w:r>
        <w:rPr>
          <w:szCs w:val="26"/>
        </w:rPr>
        <w:t xml:space="preserve"> 3013 &amp; 31</w:t>
      </w:r>
      <w:r>
        <w:rPr>
          <w:szCs w:val="26"/>
        </w:rPr>
        <w:t>0</w:t>
      </w:r>
      <w:r>
        <w:rPr>
          <w:szCs w:val="26"/>
        </w:rPr>
        <w:t>6.)  Second,</w:t>
      </w:r>
      <w:r w:rsidRPr="00F82482">
        <w:rPr>
          <w:szCs w:val="26"/>
        </w:rPr>
        <w:t xml:space="preserve"> </w:t>
      </w:r>
      <w:r w:rsidRPr="00F82482">
        <w:rPr>
          <w:szCs w:val="26"/>
        </w:rPr>
        <w:lastRenderedPageBreak/>
        <w:t xml:space="preserve">the supervisor </w:t>
      </w:r>
      <w:r w:rsidRPr="00092D45">
        <w:rPr>
          <w:i/>
          <w:iCs/>
          <w:szCs w:val="26"/>
        </w:rPr>
        <w:t>could</w:t>
      </w:r>
      <w:r w:rsidRPr="00F82482">
        <w:rPr>
          <w:szCs w:val="26"/>
        </w:rPr>
        <w:t xml:space="preserve"> </w:t>
      </w:r>
      <w:r>
        <w:rPr>
          <w:szCs w:val="26"/>
        </w:rPr>
        <w:t>enforce a regulatory violation via</w:t>
      </w:r>
      <w:r w:rsidRPr="00F82482">
        <w:rPr>
          <w:szCs w:val="26"/>
        </w:rPr>
        <w:t xml:space="preserve"> an order</w:t>
      </w:r>
      <w:r>
        <w:rPr>
          <w:szCs w:val="26"/>
        </w:rPr>
        <w:t>.  (</w:t>
      </w:r>
      <w:r w:rsidRPr="00FC2355">
        <w:rPr>
          <w:szCs w:val="26"/>
        </w:rPr>
        <w:t>§</w:t>
      </w:r>
      <w:r>
        <w:rPr>
          <w:szCs w:val="26"/>
        </w:rPr>
        <w:t xml:space="preserve"> 3236.5.) </w:t>
      </w:r>
      <w:r w:rsidRPr="00F82482">
        <w:rPr>
          <w:szCs w:val="26"/>
        </w:rPr>
        <w:t xml:space="preserve"> </w:t>
      </w:r>
      <w:r>
        <w:rPr>
          <w:szCs w:val="26"/>
        </w:rPr>
        <w:t xml:space="preserve">Third, </w:t>
      </w:r>
      <w:r>
        <w:rPr>
          <w:i/>
          <w:iCs/>
          <w:szCs w:val="26"/>
        </w:rPr>
        <w:t xml:space="preserve">if </w:t>
      </w:r>
      <w:r>
        <w:rPr>
          <w:szCs w:val="26"/>
        </w:rPr>
        <w:t>imposed, t</w:t>
      </w:r>
      <w:r w:rsidRPr="00F82482">
        <w:rPr>
          <w:szCs w:val="26"/>
        </w:rPr>
        <w:t xml:space="preserve">hat order would </w:t>
      </w:r>
      <w:proofErr w:type="gramStart"/>
      <w:r w:rsidRPr="00F82482">
        <w:rPr>
          <w:szCs w:val="26"/>
        </w:rPr>
        <w:t>issue</w:t>
      </w:r>
      <w:proofErr w:type="gramEnd"/>
      <w:r w:rsidRPr="00F82482">
        <w:rPr>
          <w:szCs w:val="26"/>
        </w:rPr>
        <w:t xml:space="preserve"> pursuant to section 3225.</w:t>
      </w:r>
      <w:r>
        <w:rPr>
          <w:szCs w:val="26"/>
        </w:rPr>
        <w:t xml:space="preserve">  </w:t>
      </w:r>
      <w:r w:rsidRPr="00F82482">
        <w:rPr>
          <w:szCs w:val="26"/>
        </w:rPr>
        <w:t xml:space="preserve">Section 3225, in turn, requires an enforcement order to “provide a clear and concise recitation of the acts or omissions with which the operator is charged” and to “provide references to the [statutes] and the </w:t>
      </w:r>
      <w:r w:rsidRPr="00107BE4">
        <w:rPr>
          <w:i/>
          <w:szCs w:val="26"/>
        </w:rPr>
        <w:t>regulations</w:t>
      </w:r>
      <w:r w:rsidRPr="00F82482">
        <w:rPr>
          <w:szCs w:val="26"/>
        </w:rPr>
        <w:t xml:space="preserve"> that support” the action.  (</w:t>
      </w:r>
      <w:r w:rsidRPr="00FC2355">
        <w:rPr>
          <w:szCs w:val="26"/>
        </w:rPr>
        <w:t>§</w:t>
      </w:r>
      <w:r>
        <w:rPr>
          <w:szCs w:val="26"/>
        </w:rPr>
        <w:t xml:space="preserve"> </w:t>
      </w:r>
      <w:r w:rsidRPr="00F82482">
        <w:rPr>
          <w:szCs w:val="26"/>
        </w:rPr>
        <w:t>3225, subd. (a)</w:t>
      </w:r>
      <w:r>
        <w:rPr>
          <w:szCs w:val="26"/>
        </w:rPr>
        <w:t>, emphasis added</w:t>
      </w:r>
      <w:r w:rsidRPr="00F82482">
        <w:rPr>
          <w:szCs w:val="26"/>
        </w:rPr>
        <w:t>.</w:t>
      </w:r>
      <w:r>
        <w:rPr>
          <w:szCs w:val="26"/>
        </w:rPr>
        <w:t>)</w:t>
      </w:r>
    </w:p>
    <w:p w14:paraId="3DC954F5" w14:textId="77777777" w:rsidR="0072129B" w:rsidRDefault="0072129B" w:rsidP="00DA4117">
      <w:pPr>
        <w:spacing w:line="480" w:lineRule="exact"/>
        <w:ind w:firstLine="720"/>
        <w:rPr>
          <w:szCs w:val="26"/>
        </w:rPr>
      </w:pPr>
      <w:r>
        <w:rPr>
          <w:szCs w:val="26"/>
        </w:rPr>
        <w:t xml:space="preserve">The regulations at issue in this case are </w:t>
      </w:r>
      <w:proofErr w:type="gramStart"/>
      <w:r>
        <w:rPr>
          <w:szCs w:val="26"/>
        </w:rPr>
        <w:t>compatible, and</w:t>
      </w:r>
      <w:proofErr w:type="gramEnd"/>
      <w:r>
        <w:rPr>
          <w:szCs w:val="26"/>
        </w:rPr>
        <w:t xml:space="preserve"> </w:t>
      </w:r>
      <w:r>
        <w:rPr>
          <w:szCs w:val="26"/>
        </w:rPr>
        <w:t xml:space="preserve">are not in </w:t>
      </w:r>
      <w:r>
        <w:rPr>
          <w:szCs w:val="26"/>
        </w:rPr>
        <w:t xml:space="preserve">conflict with this framework.  There is no doubt </w:t>
      </w:r>
      <w:proofErr w:type="spellStart"/>
      <w:r>
        <w:rPr>
          <w:szCs w:val="26"/>
        </w:rPr>
        <w:t>CalGEM</w:t>
      </w:r>
      <w:proofErr w:type="spellEnd"/>
      <w:r>
        <w:rPr>
          <w:szCs w:val="26"/>
        </w:rPr>
        <w:t xml:space="preserve"> is permitted to adopt regulations to protect health and safety.  There </w:t>
      </w:r>
      <w:proofErr w:type="gramStart"/>
      <w:r>
        <w:rPr>
          <w:szCs w:val="26"/>
        </w:rPr>
        <w:t>is</w:t>
      </w:r>
      <w:proofErr w:type="gramEnd"/>
      <w:r>
        <w:rPr>
          <w:szCs w:val="26"/>
        </w:rPr>
        <w:t xml:space="preserve"> no doubt regulatory violations are enforceable by order.  There </w:t>
      </w:r>
      <w:proofErr w:type="gramStart"/>
      <w:r>
        <w:rPr>
          <w:szCs w:val="26"/>
        </w:rPr>
        <w:t>is</w:t>
      </w:r>
      <w:proofErr w:type="gramEnd"/>
      <w:r>
        <w:rPr>
          <w:szCs w:val="26"/>
        </w:rPr>
        <w:t xml:space="preserve"> no doubt orders enforcing regulatory violations are pursued through section</w:t>
      </w:r>
      <w:r>
        <w:rPr>
          <w:szCs w:val="26"/>
        </w:rPr>
        <w:t> </w:t>
      </w:r>
      <w:r>
        <w:rPr>
          <w:szCs w:val="26"/>
        </w:rPr>
        <w:t>3225.</w:t>
      </w:r>
    </w:p>
    <w:p w14:paraId="6FCCFE23" w14:textId="77777777" w:rsidR="0072129B" w:rsidRDefault="0072129B" w:rsidP="00DA4117">
      <w:pPr>
        <w:spacing w:line="480" w:lineRule="exact"/>
        <w:ind w:firstLine="720"/>
        <w:rPr>
          <w:szCs w:val="26"/>
        </w:rPr>
      </w:pPr>
      <w:r>
        <w:rPr>
          <w:szCs w:val="26"/>
        </w:rPr>
        <w:t xml:space="preserve">Based on this construction, </w:t>
      </w:r>
      <w:proofErr w:type="spellStart"/>
      <w:r w:rsidRPr="00CB26E5">
        <w:rPr>
          <w:szCs w:val="26"/>
        </w:rPr>
        <w:t>CalGEM</w:t>
      </w:r>
      <w:proofErr w:type="spellEnd"/>
      <w:r w:rsidRPr="00CB26E5">
        <w:rPr>
          <w:szCs w:val="26"/>
        </w:rPr>
        <w:t xml:space="preserve"> </w:t>
      </w:r>
      <w:r>
        <w:rPr>
          <w:szCs w:val="26"/>
        </w:rPr>
        <w:t>suggests a</w:t>
      </w:r>
      <w:r w:rsidRPr="00CB26E5">
        <w:rPr>
          <w:szCs w:val="26"/>
        </w:rPr>
        <w:t xml:space="preserve"> regulatory notice issued to an operator, including a notice to cease, is not appealable until it is enforced.  </w:t>
      </w:r>
      <w:r>
        <w:rPr>
          <w:szCs w:val="26"/>
        </w:rPr>
        <w:t>Admittedly</w:t>
      </w:r>
      <w:r w:rsidRPr="00CB26E5">
        <w:rPr>
          <w:szCs w:val="26"/>
        </w:rPr>
        <w:t xml:space="preserve">, as TRC points out, this </w:t>
      </w:r>
      <w:r>
        <w:rPr>
          <w:szCs w:val="26"/>
        </w:rPr>
        <w:t>would</w:t>
      </w:r>
      <w:r w:rsidRPr="00CB26E5">
        <w:rPr>
          <w:szCs w:val="26"/>
        </w:rPr>
        <w:t xml:space="preserve"> require an operator to choose between complying with a notice or to essentially ignore it</w:t>
      </w:r>
      <w:r>
        <w:rPr>
          <w:szCs w:val="26"/>
        </w:rPr>
        <w:t>,</w:t>
      </w:r>
      <w:r w:rsidRPr="00CB26E5">
        <w:rPr>
          <w:szCs w:val="26"/>
        </w:rPr>
        <w:t xml:space="preserve"> force </w:t>
      </w:r>
      <w:proofErr w:type="spellStart"/>
      <w:r w:rsidRPr="00CB26E5">
        <w:rPr>
          <w:szCs w:val="26"/>
        </w:rPr>
        <w:t>CalGEM</w:t>
      </w:r>
      <w:proofErr w:type="spellEnd"/>
      <w:r w:rsidRPr="00CB26E5">
        <w:rPr>
          <w:szCs w:val="26"/>
        </w:rPr>
        <w:t xml:space="preserve"> to issue a statutory order (§ 3225)</w:t>
      </w:r>
      <w:r>
        <w:rPr>
          <w:szCs w:val="26"/>
        </w:rPr>
        <w:t>, and risk additional penalties to invoke a statutory right to appeal.</w:t>
      </w:r>
    </w:p>
    <w:p w14:paraId="263E7B54" w14:textId="77777777" w:rsidR="0072129B" w:rsidRPr="00CB26E5" w:rsidRDefault="0072129B" w:rsidP="00DA4117">
      <w:pPr>
        <w:spacing w:line="480" w:lineRule="exact"/>
        <w:ind w:firstLine="720"/>
        <w:rPr>
          <w:szCs w:val="26"/>
        </w:rPr>
      </w:pPr>
      <w:r w:rsidRPr="004F2EFD">
        <w:rPr>
          <w:szCs w:val="26"/>
        </w:rPr>
        <w:t xml:space="preserve">We lend credence to </w:t>
      </w:r>
      <w:proofErr w:type="spellStart"/>
      <w:r w:rsidRPr="004F2EFD">
        <w:rPr>
          <w:szCs w:val="26"/>
        </w:rPr>
        <w:t>CalGEM’s</w:t>
      </w:r>
      <w:proofErr w:type="spellEnd"/>
      <w:r w:rsidRPr="004F2EFD">
        <w:rPr>
          <w:szCs w:val="26"/>
        </w:rPr>
        <w:t xml:space="preserve"> interpretation because it comports with our interpretation.  (</w:t>
      </w:r>
      <w:r w:rsidRPr="004F2EFD">
        <w:rPr>
          <w:i/>
          <w:iCs/>
          <w:szCs w:val="26"/>
        </w:rPr>
        <w:t xml:space="preserve">Western States, supra, </w:t>
      </w:r>
      <w:r>
        <w:rPr>
          <w:szCs w:val="26"/>
        </w:rPr>
        <w:t>57 Cal.4th</w:t>
      </w:r>
      <w:r w:rsidRPr="004F2EFD">
        <w:rPr>
          <w:szCs w:val="26"/>
        </w:rPr>
        <w:t xml:space="preserve"> at p. 416.)  </w:t>
      </w:r>
      <w:r w:rsidRPr="00620DD7">
        <w:rPr>
          <w:szCs w:val="26"/>
        </w:rPr>
        <w:t xml:space="preserve">Although arguably inefficient, the statutes’ plain language establishes the Legislature intended </w:t>
      </w:r>
      <w:proofErr w:type="spellStart"/>
      <w:r w:rsidRPr="00620DD7">
        <w:rPr>
          <w:szCs w:val="26"/>
        </w:rPr>
        <w:t>CalGEM</w:t>
      </w:r>
      <w:proofErr w:type="spellEnd"/>
      <w:r w:rsidRPr="00620DD7">
        <w:rPr>
          <w:szCs w:val="26"/>
        </w:rPr>
        <w:t xml:space="preserve"> to adopt regulations, assess penalties against those who violate regulations, and to assess those penalties pursuant to section 3225.  In other words, </w:t>
      </w:r>
      <w:r w:rsidRPr="00620DD7">
        <w:rPr>
          <w:i/>
          <w:iCs/>
          <w:szCs w:val="26"/>
        </w:rPr>
        <w:t>only when</w:t>
      </w:r>
      <w:r w:rsidRPr="00620DD7">
        <w:rPr>
          <w:szCs w:val="26"/>
        </w:rPr>
        <w:t xml:space="preserve"> those penalties are </w:t>
      </w:r>
      <w:r w:rsidRPr="00620DD7">
        <w:rPr>
          <w:i/>
          <w:iCs/>
          <w:szCs w:val="26"/>
        </w:rPr>
        <w:t xml:space="preserve">enforced </w:t>
      </w:r>
      <w:r w:rsidRPr="00620DD7">
        <w:rPr>
          <w:szCs w:val="26"/>
        </w:rPr>
        <w:t>do operators have a statutory right to an administrative appeal.  For better or worse, this is exact</w:t>
      </w:r>
      <w:r w:rsidRPr="00620DD7">
        <w:rPr>
          <w:szCs w:val="26"/>
        </w:rPr>
        <w:t xml:space="preserve">ly what the Legislature </w:t>
      </w:r>
      <w:r>
        <w:rPr>
          <w:szCs w:val="26"/>
        </w:rPr>
        <w:t>envisioned</w:t>
      </w:r>
      <w:r w:rsidRPr="00620DD7">
        <w:rPr>
          <w:szCs w:val="26"/>
        </w:rPr>
        <w:t xml:space="preserve"> </w:t>
      </w:r>
      <w:r>
        <w:rPr>
          <w:szCs w:val="26"/>
        </w:rPr>
        <w:t>when</w:t>
      </w:r>
      <w:r w:rsidRPr="00620DD7">
        <w:rPr>
          <w:szCs w:val="26"/>
        </w:rPr>
        <w:t xml:space="preserve"> enacting these statutes</w:t>
      </w:r>
      <w:r>
        <w:rPr>
          <w:szCs w:val="26"/>
        </w:rPr>
        <w:t>—</w:t>
      </w:r>
      <w:proofErr w:type="gramStart"/>
      <w:r>
        <w:rPr>
          <w:szCs w:val="26"/>
        </w:rPr>
        <w:t xml:space="preserve">a </w:t>
      </w:r>
      <w:r w:rsidRPr="00620DD7">
        <w:rPr>
          <w:szCs w:val="26"/>
        </w:rPr>
        <w:t xml:space="preserve"> regulatory</w:t>
      </w:r>
      <w:proofErr w:type="gramEnd"/>
      <w:r w:rsidRPr="00620DD7">
        <w:rPr>
          <w:szCs w:val="26"/>
        </w:rPr>
        <w:t xml:space="preserve"> violation</w:t>
      </w:r>
      <w:r>
        <w:rPr>
          <w:szCs w:val="26"/>
        </w:rPr>
        <w:t xml:space="preserve"> </w:t>
      </w:r>
      <w:r w:rsidRPr="00620DD7">
        <w:rPr>
          <w:szCs w:val="26"/>
        </w:rPr>
        <w:t xml:space="preserve">necessarily must precede its enforcement.  </w:t>
      </w:r>
      <w:proofErr w:type="spellStart"/>
      <w:r w:rsidRPr="00620DD7">
        <w:rPr>
          <w:szCs w:val="26"/>
        </w:rPr>
        <w:t>CalGEM’s</w:t>
      </w:r>
      <w:proofErr w:type="spellEnd"/>
      <w:r w:rsidRPr="00620DD7">
        <w:rPr>
          <w:szCs w:val="26"/>
        </w:rPr>
        <w:t xml:space="preserve"> adopted regulations in this case do not conflict with this framework</w:t>
      </w:r>
      <w:r>
        <w:rPr>
          <w:szCs w:val="26"/>
        </w:rPr>
        <w:t>.</w:t>
      </w:r>
    </w:p>
    <w:p w14:paraId="460E0DAC" w14:textId="77777777" w:rsidR="0072129B" w:rsidRDefault="0072129B" w:rsidP="00DA4117">
      <w:pPr>
        <w:spacing w:line="480" w:lineRule="exact"/>
        <w:ind w:firstLine="720"/>
        <w:rPr>
          <w:szCs w:val="26"/>
        </w:rPr>
      </w:pPr>
      <w:r>
        <w:rPr>
          <w:szCs w:val="26"/>
        </w:rPr>
        <w:t xml:space="preserve">Contrary to TRC’s argument and the trial court’s position, </w:t>
      </w:r>
      <w:proofErr w:type="spellStart"/>
      <w:r>
        <w:rPr>
          <w:szCs w:val="26"/>
        </w:rPr>
        <w:t>CalGEM’s</w:t>
      </w:r>
      <w:proofErr w:type="spellEnd"/>
      <w:r>
        <w:rPr>
          <w:szCs w:val="26"/>
        </w:rPr>
        <w:t xml:space="preserve"> regulations neither bypass an appeal nor deny due process.  Because regulatory violations are only enforceable pursuant to section 3225, they remain appealable when </w:t>
      </w:r>
      <w:r>
        <w:rPr>
          <w:i/>
          <w:iCs/>
          <w:szCs w:val="26"/>
        </w:rPr>
        <w:t>enforced</w:t>
      </w:r>
      <w:r>
        <w:rPr>
          <w:szCs w:val="26"/>
        </w:rPr>
        <w:t>.  (</w:t>
      </w:r>
      <w:r w:rsidRPr="00FC2355">
        <w:rPr>
          <w:szCs w:val="26"/>
        </w:rPr>
        <w:t>§</w:t>
      </w:r>
      <w:r>
        <w:rPr>
          <w:szCs w:val="26"/>
        </w:rPr>
        <w:t xml:space="preserve"> 3225, </w:t>
      </w:r>
      <w:r>
        <w:rPr>
          <w:szCs w:val="26"/>
        </w:rPr>
        <w:lastRenderedPageBreak/>
        <w:t>subd. (d) [“</w:t>
      </w:r>
      <w:r w:rsidRPr="00262D45">
        <w:rPr>
          <w:szCs w:val="26"/>
        </w:rPr>
        <w:t xml:space="preserve">When the supervisor or a district deputy issues a written order concerning an operation, an appeal may be made from the </w:t>
      </w:r>
      <w:proofErr w:type="gramStart"/>
      <w:r w:rsidRPr="00262D45">
        <w:rPr>
          <w:szCs w:val="26"/>
        </w:rPr>
        <w:t>order</w:t>
      </w:r>
      <w:r>
        <w:rPr>
          <w:szCs w:val="26"/>
        </w:rPr>
        <w:t>”]</w:t>
      </w:r>
      <w:proofErr w:type="gramEnd"/>
      <w:r>
        <w:rPr>
          <w:szCs w:val="26"/>
        </w:rPr>
        <w:t>.)</w:t>
      </w:r>
    </w:p>
    <w:p w14:paraId="242F5641" w14:textId="77777777" w:rsidR="0072129B" w:rsidRDefault="0072129B" w:rsidP="00DA4117">
      <w:pPr>
        <w:spacing w:line="480" w:lineRule="exact"/>
        <w:ind w:firstLine="720"/>
        <w:rPr>
          <w:szCs w:val="26"/>
        </w:rPr>
      </w:pPr>
      <w:r>
        <w:rPr>
          <w:szCs w:val="26"/>
        </w:rPr>
        <w:t xml:space="preserve">Similarly, TRC points out section 3225 demands “a </w:t>
      </w:r>
      <w:r w:rsidRPr="00242F95">
        <w:rPr>
          <w:szCs w:val="26"/>
        </w:rPr>
        <w:t>detailed explanation of the steps that the operator shall take before the supervisor will permit the operations to resume.</w:t>
      </w:r>
      <w:r>
        <w:rPr>
          <w:szCs w:val="26"/>
        </w:rPr>
        <w:t>”  (</w:t>
      </w:r>
      <w:r w:rsidRPr="00C520B1">
        <w:rPr>
          <w:szCs w:val="26"/>
        </w:rPr>
        <w:t>§</w:t>
      </w:r>
      <w:r>
        <w:rPr>
          <w:szCs w:val="26"/>
        </w:rPr>
        <w:t xml:space="preserve"> 3225, subd. (b).)  Because </w:t>
      </w:r>
      <w:proofErr w:type="spellStart"/>
      <w:r>
        <w:rPr>
          <w:szCs w:val="26"/>
        </w:rPr>
        <w:t>CalGEM’s</w:t>
      </w:r>
      <w:proofErr w:type="spellEnd"/>
      <w:r>
        <w:rPr>
          <w:szCs w:val="26"/>
        </w:rPr>
        <w:t xml:space="preserve"> regulatory notices to cease do not also require the same “detailed explanation,” TRC contends the new regulations conflict with this statute.  We disagree.</w:t>
      </w:r>
    </w:p>
    <w:p w14:paraId="470CBC20" w14:textId="77777777" w:rsidR="0072129B" w:rsidRDefault="0072129B" w:rsidP="00DA4117">
      <w:pPr>
        <w:spacing w:line="480" w:lineRule="exact"/>
        <w:ind w:firstLine="720"/>
        <w:rPr>
          <w:szCs w:val="26"/>
        </w:rPr>
      </w:pPr>
      <w:r>
        <w:rPr>
          <w:szCs w:val="26"/>
        </w:rPr>
        <w:t xml:space="preserve">The detailed explanation required by section 3225 applies only to orders issued pursuant to section 3270.3, which deals with “minimum facility </w:t>
      </w:r>
      <w:r>
        <w:rPr>
          <w:szCs w:val="26"/>
        </w:rPr>
        <w:t xml:space="preserve">maintenance </w:t>
      </w:r>
      <w:r>
        <w:rPr>
          <w:szCs w:val="26"/>
        </w:rPr>
        <w:t>standards</w:t>
      </w:r>
      <w:r>
        <w:rPr>
          <w:szCs w:val="26"/>
        </w:rPr>
        <w:t> </w:t>
      </w:r>
      <w:r>
        <w:rPr>
          <w:szCs w:val="26"/>
        </w:rPr>
        <w:t>….”  (</w:t>
      </w:r>
      <w:r w:rsidRPr="00011B20">
        <w:rPr>
          <w:szCs w:val="26"/>
        </w:rPr>
        <w:t>§</w:t>
      </w:r>
      <w:r>
        <w:rPr>
          <w:szCs w:val="26"/>
        </w:rPr>
        <w:t> </w:t>
      </w:r>
      <w:r>
        <w:rPr>
          <w:szCs w:val="26"/>
        </w:rPr>
        <w:t>3270, subd. (a) [</w:t>
      </w:r>
      <w:proofErr w:type="spellStart"/>
      <w:r>
        <w:rPr>
          <w:szCs w:val="26"/>
        </w:rPr>
        <w:t>CalGEM</w:t>
      </w:r>
      <w:proofErr w:type="spellEnd"/>
      <w:r>
        <w:rPr>
          <w:szCs w:val="26"/>
        </w:rPr>
        <w:t xml:space="preserve"> “</w:t>
      </w:r>
      <w:r w:rsidRPr="00D10DEE">
        <w:rPr>
          <w:szCs w:val="26"/>
        </w:rPr>
        <w:t>shall, by regulation, prescribe minimum facility maintenance standards</w:t>
      </w:r>
      <w:r>
        <w:rPr>
          <w:szCs w:val="26"/>
        </w:rPr>
        <w:t xml:space="preserve">”]; </w:t>
      </w:r>
      <w:r w:rsidRPr="00011B20">
        <w:rPr>
          <w:szCs w:val="26"/>
        </w:rPr>
        <w:t>§</w:t>
      </w:r>
      <w:r>
        <w:rPr>
          <w:szCs w:val="26"/>
        </w:rPr>
        <w:t xml:space="preserve"> 3270.3 [“</w:t>
      </w:r>
      <w:r w:rsidRPr="00AC00AA">
        <w:rPr>
          <w:szCs w:val="26"/>
        </w:rPr>
        <w:t>the supervisor, upon his or her determination or that of the district deputy that a production facility is being operated in violation of the standards prescribed in subdivision (a) of Section 3270, may issue a cease-and-desist order to a production facility operator requiring the operator to cease operation</w:t>
      </w:r>
      <w:r>
        <w:rPr>
          <w:szCs w:val="26"/>
        </w:rPr>
        <w:t>”].)  It is simply not applicable to all statutory orders.</w:t>
      </w:r>
      <w:r>
        <w:rPr>
          <w:rStyle w:val="FootnoteReference"/>
          <w:szCs w:val="26"/>
        </w:rPr>
        <w:footnoteReference w:id="6"/>
      </w:r>
    </w:p>
    <w:p w14:paraId="4E9A0086" w14:textId="77777777" w:rsidR="0072129B" w:rsidRDefault="0072129B" w:rsidP="00DA4117">
      <w:pPr>
        <w:spacing w:line="480" w:lineRule="exact"/>
        <w:ind w:firstLine="720"/>
        <w:rPr>
          <w:szCs w:val="26"/>
        </w:rPr>
      </w:pPr>
      <w:r w:rsidRPr="00B70E6C">
        <w:rPr>
          <w:szCs w:val="26"/>
        </w:rPr>
        <w:t xml:space="preserve">Finally, TRC, and the trial court, </w:t>
      </w:r>
      <w:r>
        <w:rPr>
          <w:szCs w:val="26"/>
        </w:rPr>
        <w:t>note</w:t>
      </w:r>
      <w:r w:rsidRPr="00B70E6C">
        <w:rPr>
          <w:szCs w:val="26"/>
        </w:rPr>
        <w:t xml:space="preserve"> </w:t>
      </w:r>
      <w:proofErr w:type="spellStart"/>
      <w:r w:rsidRPr="00B70E6C">
        <w:rPr>
          <w:szCs w:val="26"/>
        </w:rPr>
        <w:t>CalGEM</w:t>
      </w:r>
      <w:proofErr w:type="spellEnd"/>
      <w:r w:rsidRPr="00B70E6C">
        <w:rPr>
          <w:szCs w:val="26"/>
        </w:rPr>
        <w:t xml:space="preserve"> is</w:t>
      </w:r>
      <w:r>
        <w:rPr>
          <w:szCs w:val="26"/>
        </w:rPr>
        <w:t xml:space="preserve"> already</w:t>
      </w:r>
      <w:r w:rsidRPr="00B70E6C">
        <w:rPr>
          <w:szCs w:val="26"/>
        </w:rPr>
        <w:t xml:space="preserve"> empowered to issue emergency orders.  Under section 3226, subdivision (b), “if the supervisor determines that an emergency exists, the supervisor may order or undertake the actions the supervisor deems necessary to protect life, health, property, or natural resources.”  The regulations at issue here </w:t>
      </w:r>
      <w:r>
        <w:rPr>
          <w:szCs w:val="26"/>
        </w:rPr>
        <w:t xml:space="preserve">also </w:t>
      </w:r>
      <w:r w:rsidRPr="00B70E6C">
        <w:rPr>
          <w:szCs w:val="26"/>
        </w:rPr>
        <w:t xml:space="preserve">do not conflict with this statute because they permit </w:t>
      </w:r>
      <w:proofErr w:type="spellStart"/>
      <w:r w:rsidRPr="00B70E6C">
        <w:rPr>
          <w:szCs w:val="26"/>
        </w:rPr>
        <w:t>CalGEM</w:t>
      </w:r>
      <w:proofErr w:type="spellEnd"/>
      <w:r w:rsidRPr="00B70E6C">
        <w:rPr>
          <w:szCs w:val="26"/>
        </w:rPr>
        <w:t xml:space="preserve"> to protect health and safety by ordering oil operations to cease even if </w:t>
      </w:r>
      <w:r>
        <w:rPr>
          <w:szCs w:val="26"/>
        </w:rPr>
        <w:t>a</w:t>
      </w:r>
      <w:r w:rsidRPr="00B70E6C">
        <w:rPr>
          <w:szCs w:val="26"/>
        </w:rPr>
        <w:t xml:space="preserve"> surface expression is not an emergency.</w:t>
      </w:r>
      <w:r>
        <w:rPr>
          <w:szCs w:val="26"/>
          <w:vertAlign w:val="superscript"/>
        </w:rPr>
        <w:footnoteReference w:id="7"/>
      </w:r>
    </w:p>
    <w:p w14:paraId="0512F9E9" w14:textId="77777777" w:rsidR="0072129B" w:rsidRDefault="0072129B" w:rsidP="00DA4117">
      <w:pPr>
        <w:spacing w:line="480" w:lineRule="exact"/>
        <w:ind w:firstLine="720"/>
        <w:rPr>
          <w:szCs w:val="26"/>
        </w:rPr>
      </w:pPr>
      <w:r>
        <w:rPr>
          <w:szCs w:val="26"/>
        </w:rPr>
        <w:lastRenderedPageBreak/>
        <w:t xml:space="preserve">In sum, we reject TRC’s </w:t>
      </w:r>
      <w:proofErr w:type="gramStart"/>
      <w:r>
        <w:rPr>
          <w:szCs w:val="26"/>
        </w:rPr>
        <w:t>argument</w:t>
      </w:r>
      <w:proofErr w:type="gramEnd"/>
      <w:r>
        <w:rPr>
          <w:szCs w:val="26"/>
        </w:rPr>
        <w:t xml:space="preserve"> the regulations in this case conflict with the Public Resources Code.  TRC has failed to discharge its burden </w:t>
      </w:r>
      <w:r>
        <w:rPr>
          <w:szCs w:val="26"/>
        </w:rPr>
        <w:t xml:space="preserve">to prove </w:t>
      </w:r>
      <w:r>
        <w:rPr>
          <w:szCs w:val="26"/>
        </w:rPr>
        <w:t>the challenged regulations conflict with their authorizing statute.  (</w:t>
      </w:r>
      <w:r>
        <w:rPr>
          <w:i/>
          <w:iCs/>
          <w:szCs w:val="26"/>
        </w:rPr>
        <w:t xml:space="preserve">Gadlin, supra, </w:t>
      </w:r>
      <w:r>
        <w:rPr>
          <w:szCs w:val="26"/>
        </w:rPr>
        <w:t xml:space="preserve">10 Cal.5th at p. 925.)  Most importantly, </w:t>
      </w:r>
      <w:proofErr w:type="spellStart"/>
      <w:r>
        <w:rPr>
          <w:szCs w:val="26"/>
        </w:rPr>
        <w:t>CalGEM’s</w:t>
      </w:r>
      <w:proofErr w:type="spellEnd"/>
      <w:r>
        <w:rPr>
          <w:szCs w:val="26"/>
        </w:rPr>
        <w:t xml:space="preserve"> regulations are consistent with its legislative mandate to protect health and safety.  Reading a right to appeal a </w:t>
      </w:r>
      <w:proofErr w:type="gramStart"/>
      <w:r>
        <w:rPr>
          <w:szCs w:val="26"/>
        </w:rPr>
        <w:t>regulatory-violation</w:t>
      </w:r>
      <w:proofErr w:type="gramEnd"/>
      <w:r>
        <w:rPr>
          <w:szCs w:val="26"/>
        </w:rPr>
        <w:t xml:space="preserve"> notice into section 3225 would require us to rewrite the law.</w:t>
      </w:r>
    </w:p>
    <w:p w14:paraId="440A2255" w14:textId="77777777" w:rsidR="0072129B" w:rsidRDefault="0072129B" w:rsidP="00DA4117">
      <w:pPr>
        <w:spacing w:line="480" w:lineRule="exact"/>
        <w:ind w:firstLine="720"/>
        <w:rPr>
          <w:szCs w:val="26"/>
        </w:rPr>
      </w:pPr>
      <w:r>
        <w:rPr>
          <w:szCs w:val="26"/>
        </w:rPr>
        <w:t>We note, however,</w:t>
      </w:r>
      <w:r>
        <w:rPr>
          <w:szCs w:val="26"/>
        </w:rPr>
        <w:t xml:space="preserve"> under the regulations at issue in this case, </w:t>
      </w:r>
      <w:proofErr w:type="spellStart"/>
      <w:r>
        <w:rPr>
          <w:szCs w:val="26"/>
        </w:rPr>
        <w:t>CalGEM</w:t>
      </w:r>
      <w:proofErr w:type="spellEnd"/>
      <w:r>
        <w:rPr>
          <w:szCs w:val="26"/>
        </w:rPr>
        <w:t xml:space="preserve"> may only issue a regulatory notice to cease if an operation is within a certain distance to a surface expression, or </w:t>
      </w:r>
      <w:proofErr w:type="spellStart"/>
      <w:r>
        <w:rPr>
          <w:szCs w:val="26"/>
        </w:rPr>
        <w:t>CalGEM</w:t>
      </w:r>
      <w:proofErr w:type="spellEnd"/>
      <w:r>
        <w:rPr>
          <w:szCs w:val="26"/>
        </w:rPr>
        <w:t xml:space="preserve"> has reason to believe the operation is causing or contributing to a surface expression.</w:t>
      </w:r>
      <w:r>
        <w:rPr>
          <w:szCs w:val="26"/>
        </w:rPr>
        <w:t xml:space="preserve">  (</w:t>
      </w:r>
      <w:r>
        <w:rPr>
          <w:szCs w:val="26"/>
        </w:rPr>
        <w:t xml:space="preserve">See </w:t>
      </w:r>
      <w:r w:rsidRPr="002E4DF0">
        <w:rPr>
          <w:szCs w:val="26"/>
        </w:rPr>
        <w:t>Cal. Code Regs., tit. 14, § 1724.1</w:t>
      </w:r>
      <w:r>
        <w:rPr>
          <w:szCs w:val="26"/>
        </w:rPr>
        <w:t>1, subds. (d), (e)</w:t>
      </w:r>
      <w:r>
        <w:rPr>
          <w:szCs w:val="26"/>
        </w:rPr>
        <w:t>, &amp; (g).)</w:t>
      </w:r>
      <w:r>
        <w:rPr>
          <w:szCs w:val="26"/>
        </w:rPr>
        <w:t xml:space="preserve">  </w:t>
      </w:r>
      <w:proofErr w:type="spellStart"/>
      <w:r>
        <w:rPr>
          <w:szCs w:val="26"/>
        </w:rPr>
        <w:t>CalGEM</w:t>
      </w:r>
      <w:proofErr w:type="spellEnd"/>
      <w:r>
        <w:rPr>
          <w:szCs w:val="26"/>
        </w:rPr>
        <w:t xml:space="preserve"> has no authority</w:t>
      </w:r>
      <w:r>
        <w:rPr>
          <w:szCs w:val="26"/>
        </w:rPr>
        <w:t>, as pertinent,</w:t>
      </w:r>
      <w:r>
        <w:rPr>
          <w:szCs w:val="26"/>
        </w:rPr>
        <w:t xml:space="preserve"> to direct an operation to cease absent a surface expression.</w:t>
      </w:r>
    </w:p>
    <w:p w14:paraId="53D3E3AE" w14:textId="77777777" w:rsidR="0072129B" w:rsidRPr="003C2EAB" w:rsidRDefault="0072129B" w:rsidP="00DA4117">
      <w:pPr>
        <w:spacing w:line="480" w:lineRule="exact"/>
        <w:ind w:firstLine="720"/>
        <w:rPr>
          <w:szCs w:val="26"/>
        </w:rPr>
      </w:pPr>
      <w:r>
        <w:rPr>
          <w:szCs w:val="26"/>
        </w:rPr>
        <w:t>Accordingly, a</w:t>
      </w:r>
      <w:r>
        <w:rPr>
          <w:szCs w:val="26"/>
        </w:rPr>
        <w:t>n operator choosing to defend itself against one these regulatory violations may</w:t>
      </w:r>
      <w:r>
        <w:rPr>
          <w:szCs w:val="26"/>
        </w:rPr>
        <w:t xml:space="preserve"> </w:t>
      </w:r>
      <w:r>
        <w:rPr>
          <w:szCs w:val="26"/>
        </w:rPr>
        <w:t xml:space="preserve">always dispute that it caused or contributed to </w:t>
      </w:r>
      <w:r>
        <w:rPr>
          <w:szCs w:val="26"/>
        </w:rPr>
        <w:t>a</w:t>
      </w:r>
      <w:r>
        <w:rPr>
          <w:szCs w:val="26"/>
        </w:rPr>
        <w:t xml:space="preserve"> surface expression.</w:t>
      </w:r>
      <w:r>
        <w:rPr>
          <w:rStyle w:val="FootnoteReference"/>
          <w:szCs w:val="26"/>
        </w:rPr>
        <w:footnoteReference w:id="8"/>
      </w:r>
      <w:r>
        <w:rPr>
          <w:szCs w:val="26"/>
        </w:rPr>
        <w:t xml:space="preserve">  </w:t>
      </w:r>
      <w:r w:rsidRPr="00601766">
        <w:rPr>
          <w:szCs w:val="26"/>
        </w:rPr>
        <w:t xml:space="preserve">Whether an operator </w:t>
      </w:r>
      <w:proofErr w:type="gramStart"/>
      <w:r>
        <w:rPr>
          <w:szCs w:val="26"/>
        </w:rPr>
        <w:t xml:space="preserve">actually </w:t>
      </w:r>
      <w:r w:rsidRPr="00601766">
        <w:rPr>
          <w:szCs w:val="26"/>
        </w:rPr>
        <w:t>cause</w:t>
      </w:r>
      <w:r>
        <w:rPr>
          <w:szCs w:val="26"/>
        </w:rPr>
        <w:t>s</w:t>
      </w:r>
      <w:proofErr w:type="gramEnd"/>
      <w:r w:rsidRPr="00601766">
        <w:rPr>
          <w:szCs w:val="26"/>
        </w:rPr>
        <w:t xml:space="preserve"> or contribute</w:t>
      </w:r>
      <w:r>
        <w:rPr>
          <w:szCs w:val="26"/>
        </w:rPr>
        <w:t>s</w:t>
      </w:r>
      <w:r w:rsidRPr="00601766">
        <w:rPr>
          <w:szCs w:val="26"/>
        </w:rPr>
        <w:t xml:space="preserve"> to </w:t>
      </w:r>
      <w:r>
        <w:rPr>
          <w:szCs w:val="26"/>
        </w:rPr>
        <w:t>the</w:t>
      </w:r>
      <w:r w:rsidRPr="00601766">
        <w:rPr>
          <w:szCs w:val="26"/>
        </w:rPr>
        <w:t xml:space="preserve"> surface expression is relevant and material to whether it is liable for violating </w:t>
      </w:r>
      <w:r>
        <w:rPr>
          <w:szCs w:val="26"/>
        </w:rPr>
        <w:t>a</w:t>
      </w:r>
      <w:r w:rsidRPr="00601766">
        <w:rPr>
          <w:szCs w:val="26"/>
        </w:rPr>
        <w:t xml:space="preserve"> regulation</w:t>
      </w:r>
      <w:r>
        <w:rPr>
          <w:szCs w:val="26"/>
        </w:rPr>
        <w:t>.</w:t>
      </w:r>
    </w:p>
    <w:p w14:paraId="02D26B06" w14:textId="77777777" w:rsidR="0072129B" w:rsidRPr="00070C74" w:rsidRDefault="0072129B" w:rsidP="00DA4117">
      <w:pPr>
        <w:spacing w:line="480" w:lineRule="exact"/>
        <w:ind w:firstLine="720"/>
        <w:rPr>
          <w:b/>
          <w:bCs/>
          <w:szCs w:val="26"/>
        </w:rPr>
      </w:pPr>
      <w:r>
        <w:rPr>
          <w:szCs w:val="26"/>
        </w:rPr>
        <w:tab/>
      </w:r>
      <w:r>
        <w:rPr>
          <w:b/>
          <w:bCs/>
          <w:szCs w:val="26"/>
        </w:rPr>
        <w:t xml:space="preserve">ii.  The Regulations Are Supported </w:t>
      </w:r>
      <w:proofErr w:type="gramStart"/>
      <w:r>
        <w:rPr>
          <w:b/>
          <w:bCs/>
          <w:szCs w:val="26"/>
        </w:rPr>
        <w:t>By</w:t>
      </w:r>
      <w:proofErr w:type="gramEnd"/>
      <w:r>
        <w:rPr>
          <w:b/>
          <w:bCs/>
          <w:szCs w:val="26"/>
        </w:rPr>
        <w:t xml:space="preserve"> Substantial Evidence</w:t>
      </w:r>
    </w:p>
    <w:p w14:paraId="5D606C5E" w14:textId="77777777" w:rsidR="0072129B" w:rsidRDefault="0072129B" w:rsidP="00DA4117">
      <w:pPr>
        <w:spacing w:line="480" w:lineRule="exact"/>
        <w:ind w:firstLine="720"/>
        <w:rPr>
          <w:szCs w:val="26"/>
        </w:rPr>
      </w:pPr>
      <w:r>
        <w:rPr>
          <w:szCs w:val="26"/>
        </w:rPr>
        <w:t xml:space="preserve">The remaining question is whether the regulations are supported by substantial </w:t>
      </w:r>
      <w:proofErr w:type="gramStart"/>
      <w:r>
        <w:rPr>
          <w:szCs w:val="26"/>
        </w:rPr>
        <w:t>evidence</w:t>
      </w:r>
      <w:proofErr w:type="gramEnd"/>
      <w:r>
        <w:rPr>
          <w:szCs w:val="26"/>
        </w:rPr>
        <w:t xml:space="preserve"> they are reasonably necessary.  (Gov. Code, </w:t>
      </w:r>
      <w:r w:rsidRPr="00D6682C">
        <w:rPr>
          <w:szCs w:val="26"/>
        </w:rPr>
        <w:t>§</w:t>
      </w:r>
      <w:r>
        <w:rPr>
          <w:szCs w:val="26"/>
        </w:rPr>
        <w:t xml:space="preserve"> 11350, subd. (b)(1); see </w:t>
      </w:r>
      <w:r>
        <w:rPr>
          <w:i/>
          <w:iCs/>
          <w:szCs w:val="26"/>
        </w:rPr>
        <w:t xml:space="preserve">Western </w:t>
      </w:r>
      <w:r>
        <w:rPr>
          <w:i/>
          <w:iCs/>
          <w:szCs w:val="26"/>
        </w:rPr>
        <w:lastRenderedPageBreak/>
        <w:t xml:space="preserve">States, supra, </w:t>
      </w:r>
      <w:r>
        <w:rPr>
          <w:szCs w:val="26"/>
        </w:rPr>
        <w:t>57 Cal.4th at p. 415.)  We conclude that they are supported by substantial evidence.</w:t>
      </w:r>
    </w:p>
    <w:p w14:paraId="572A2BEA" w14:textId="77777777" w:rsidR="0072129B" w:rsidRPr="00FA7527" w:rsidRDefault="0072129B" w:rsidP="00DA4117">
      <w:pPr>
        <w:spacing w:line="480" w:lineRule="exact"/>
        <w:ind w:firstLine="720"/>
        <w:rPr>
          <w:szCs w:val="26"/>
        </w:rPr>
      </w:pPr>
      <w:r>
        <w:rPr>
          <w:szCs w:val="26"/>
        </w:rPr>
        <w:t>“</w:t>
      </w:r>
      <w:r w:rsidRPr="00FA7527">
        <w:rPr>
          <w:szCs w:val="26"/>
        </w:rPr>
        <w:t xml:space="preserve">When inquiring into whether a regulation is arbitrary, capricious, or lacking in evidentiary support, the </w:t>
      </w:r>
      <w:proofErr w:type="gramStart"/>
      <w:r w:rsidRPr="00FA7527">
        <w:rPr>
          <w:szCs w:val="26"/>
        </w:rPr>
        <w:t>“ ‘</w:t>
      </w:r>
      <w:proofErr w:type="gramEnd"/>
      <w:r w:rsidRPr="00FA7527">
        <w:rPr>
          <w:szCs w:val="26"/>
        </w:rPr>
        <w:t xml:space="preserve"> “ ‘ “</w:t>
      </w:r>
      <w:r>
        <w:rPr>
          <w:szCs w:val="26"/>
        </w:rPr>
        <w:t xml:space="preserve"> ‘</w:t>
      </w:r>
      <w:r w:rsidRPr="00FA7527">
        <w:rPr>
          <w:szCs w:val="26"/>
        </w:rPr>
        <w:t>court must ensure that an agency has adequately considered all relevant factors, and has demonstrated a rational connection between those factors, the choice made, and the purposes of the enabling statute.</w:t>
      </w:r>
      <w:r>
        <w:rPr>
          <w:szCs w:val="26"/>
        </w:rPr>
        <w:t xml:space="preserve">’ </w:t>
      </w:r>
      <w:r w:rsidRPr="00FA7527">
        <w:rPr>
          <w:szCs w:val="26"/>
        </w:rPr>
        <w:t>”</w:t>
      </w:r>
      <w:r>
        <w:rPr>
          <w:szCs w:val="26"/>
        </w:rPr>
        <w:t xml:space="preserve"> </w:t>
      </w:r>
      <w:r w:rsidRPr="00FA7527">
        <w:rPr>
          <w:szCs w:val="26"/>
        </w:rPr>
        <w:t>’ ”</w:t>
      </w:r>
      <w:r>
        <w:rPr>
          <w:szCs w:val="26"/>
        </w:rPr>
        <w:t xml:space="preserve"> ’</w:t>
      </w:r>
      <w:r w:rsidRPr="00FA7527">
        <w:rPr>
          <w:szCs w:val="26"/>
        </w:rPr>
        <w:t xml:space="preserve"> ”</w:t>
      </w:r>
      <w:r>
        <w:rPr>
          <w:szCs w:val="26"/>
        </w:rPr>
        <w:t xml:space="preserve">  (</w:t>
      </w:r>
      <w:r w:rsidRPr="00FA7527">
        <w:rPr>
          <w:i/>
          <w:iCs/>
          <w:szCs w:val="26"/>
        </w:rPr>
        <w:t>American Coatings Assn. v. South Coast Air Quality Management Dist.</w:t>
      </w:r>
      <w:r w:rsidRPr="00FA7527">
        <w:rPr>
          <w:szCs w:val="26"/>
        </w:rPr>
        <w:t xml:space="preserve"> (2012) 54 Cal.4th 446, 460</w:t>
      </w:r>
      <w:r>
        <w:rPr>
          <w:szCs w:val="26"/>
        </w:rPr>
        <w:t xml:space="preserve"> (</w:t>
      </w:r>
      <w:r>
        <w:rPr>
          <w:i/>
          <w:iCs/>
          <w:szCs w:val="26"/>
        </w:rPr>
        <w:t>American Coatings</w:t>
      </w:r>
      <w:r>
        <w:rPr>
          <w:szCs w:val="26"/>
        </w:rPr>
        <w:t>.)  “</w:t>
      </w:r>
      <w:r w:rsidRPr="006A654F">
        <w:rPr>
          <w:szCs w:val="26"/>
        </w:rPr>
        <w:t xml:space="preserve">It is worth noting that </w:t>
      </w:r>
      <w:r>
        <w:rPr>
          <w:szCs w:val="26"/>
        </w:rPr>
        <w:t>‘</w:t>
      </w:r>
      <w:r w:rsidRPr="006A654F">
        <w:rPr>
          <w:szCs w:val="26"/>
        </w:rPr>
        <w:t>the question whether agency actio</w:t>
      </w:r>
      <w:r w:rsidRPr="006A654F">
        <w:rPr>
          <w:szCs w:val="26"/>
        </w:rPr>
        <w:t xml:space="preserve">n is </w:t>
      </w:r>
      <w:r>
        <w:rPr>
          <w:szCs w:val="26"/>
        </w:rPr>
        <w:t>“</w:t>
      </w:r>
      <w:r w:rsidRPr="006A654F">
        <w:rPr>
          <w:szCs w:val="26"/>
        </w:rPr>
        <w:t>entirely lacking in evidentiary support</w:t>
      </w:r>
      <w:r>
        <w:rPr>
          <w:szCs w:val="26"/>
        </w:rPr>
        <w:t>”</w:t>
      </w:r>
      <w:r w:rsidRPr="006A654F">
        <w:rPr>
          <w:szCs w:val="26"/>
        </w:rPr>
        <w:t xml:space="preserve"> is not the same as a substantial evidence test.</w:t>
      </w:r>
      <w:proofErr w:type="gramStart"/>
      <w:r>
        <w:rPr>
          <w:szCs w:val="26"/>
        </w:rPr>
        <w:t xml:space="preserve">’ </w:t>
      </w:r>
      <w:r w:rsidRPr="006A654F">
        <w:rPr>
          <w:szCs w:val="26"/>
        </w:rPr>
        <w:t>”</w:t>
      </w:r>
      <w:proofErr w:type="gramEnd"/>
      <w:r>
        <w:rPr>
          <w:szCs w:val="26"/>
        </w:rPr>
        <w:t xml:space="preserve">  (</w:t>
      </w:r>
      <w:r>
        <w:rPr>
          <w:i/>
          <w:iCs/>
          <w:szCs w:val="26"/>
        </w:rPr>
        <w:t xml:space="preserve">Id. </w:t>
      </w:r>
      <w:r>
        <w:rPr>
          <w:szCs w:val="26"/>
        </w:rPr>
        <w:t xml:space="preserve">at p. 461.)  </w:t>
      </w:r>
    </w:p>
    <w:p w14:paraId="07E391B8" w14:textId="77777777" w:rsidR="0072129B" w:rsidRDefault="0072129B" w:rsidP="00DA4117">
      <w:pPr>
        <w:spacing w:line="480" w:lineRule="exact"/>
        <w:ind w:firstLine="720"/>
        <w:rPr>
          <w:szCs w:val="26"/>
        </w:rPr>
      </w:pPr>
      <w:r>
        <w:rPr>
          <w:szCs w:val="26"/>
        </w:rPr>
        <w:t>“[A]</w:t>
      </w:r>
      <w:r w:rsidRPr="00F43B3F">
        <w:rPr>
          <w:szCs w:val="26"/>
        </w:rPr>
        <w:t xml:space="preserve"> court may find that </w:t>
      </w:r>
      <w:r>
        <w:rPr>
          <w:szCs w:val="26"/>
        </w:rPr>
        <w:t>‘</w:t>
      </w:r>
      <w:r w:rsidRPr="00F43B3F">
        <w:rPr>
          <w:szCs w:val="26"/>
        </w:rPr>
        <w:t>the Legislature has </w:t>
      </w:r>
      <w:r w:rsidRPr="00F43B3F">
        <w:rPr>
          <w:i/>
          <w:iCs/>
          <w:szCs w:val="26"/>
        </w:rPr>
        <w:t>delegated</w:t>
      </w:r>
      <w:r w:rsidRPr="00F43B3F">
        <w:rPr>
          <w:szCs w:val="26"/>
        </w:rPr>
        <w:t> the task of interpreting or elaborating on a statute to an administrative agency,</w:t>
      </w:r>
      <w:r>
        <w:rPr>
          <w:szCs w:val="26"/>
        </w:rPr>
        <w:t>’</w:t>
      </w:r>
      <w:r w:rsidRPr="00F43B3F">
        <w:rPr>
          <w:szCs w:val="26"/>
        </w:rPr>
        <w:t xml:space="preserve"> for example, when the Legislature </w:t>
      </w:r>
      <w:r>
        <w:rPr>
          <w:szCs w:val="26"/>
        </w:rPr>
        <w:t>‘</w:t>
      </w:r>
      <w:r w:rsidRPr="00F43B3F">
        <w:rPr>
          <w:szCs w:val="26"/>
        </w:rPr>
        <w:t xml:space="preserve">employs open-ended statutory language that an agency is authorized to apply or </w:t>
      </w:r>
      <w:r>
        <w:rPr>
          <w:szCs w:val="26"/>
        </w:rPr>
        <w:t>“</w:t>
      </w:r>
      <w:r w:rsidRPr="00F43B3F">
        <w:rPr>
          <w:szCs w:val="26"/>
        </w:rPr>
        <w:t>when an issue of interpretation is heavily freighted with policy choices which the agency is empowered to make.</w:t>
      </w:r>
      <w:proofErr w:type="gramStart"/>
      <w:r>
        <w:rPr>
          <w:szCs w:val="26"/>
        </w:rPr>
        <w:t xml:space="preserve">” </w:t>
      </w:r>
      <w:r w:rsidRPr="00F43B3F">
        <w:rPr>
          <w:szCs w:val="26"/>
        </w:rPr>
        <w:t>’</w:t>
      </w:r>
      <w:proofErr w:type="gramEnd"/>
      <w:r w:rsidRPr="00F43B3F">
        <w:rPr>
          <w:szCs w:val="26"/>
        </w:rPr>
        <w:t xml:space="preserve"> ”</w:t>
      </w:r>
      <w:r>
        <w:rPr>
          <w:szCs w:val="26"/>
        </w:rPr>
        <w:t xml:space="preserve">  (</w:t>
      </w:r>
      <w:r>
        <w:rPr>
          <w:i/>
          <w:iCs/>
          <w:szCs w:val="26"/>
        </w:rPr>
        <w:t xml:space="preserve">American Coatings, supra, </w:t>
      </w:r>
      <w:r>
        <w:rPr>
          <w:szCs w:val="26"/>
        </w:rPr>
        <w:t>54 Cal.4th at p. 461.)  This is such a case.</w:t>
      </w:r>
    </w:p>
    <w:p w14:paraId="4059EDED" w14:textId="77777777" w:rsidR="0072129B" w:rsidRDefault="0072129B" w:rsidP="00DA4117">
      <w:pPr>
        <w:spacing w:line="480" w:lineRule="exact"/>
        <w:ind w:firstLine="720"/>
        <w:rPr>
          <w:szCs w:val="26"/>
        </w:rPr>
      </w:pPr>
      <w:r>
        <w:rPr>
          <w:szCs w:val="26"/>
        </w:rPr>
        <w:t xml:space="preserve">The Legislature mandated </w:t>
      </w:r>
      <w:proofErr w:type="spellStart"/>
      <w:r>
        <w:rPr>
          <w:szCs w:val="26"/>
        </w:rPr>
        <w:t>CalGEM</w:t>
      </w:r>
      <w:proofErr w:type="spellEnd"/>
      <w:r>
        <w:rPr>
          <w:szCs w:val="26"/>
        </w:rPr>
        <w:t xml:space="preserve"> to protect health and safety (</w:t>
      </w:r>
      <w:r w:rsidRPr="00A6255F">
        <w:rPr>
          <w:szCs w:val="26"/>
        </w:rPr>
        <w:t>§</w:t>
      </w:r>
      <w:r>
        <w:rPr>
          <w:szCs w:val="26"/>
        </w:rPr>
        <w:t xml:space="preserve"> 31</w:t>
      </w:r>
      <w:r>
        <w:rPr>
          <w:szCs w:val="26"/>
        </w:rPr>
        <w:t>0</w:t>
      </w:r>
      <w:r>
        <w:rPr>
          <w:szCs w:val="26"/>
        </w:rPr>
        <w:t>6</w:t>
      </w:r>
      <w:proofErr w:type="gramStart"/>
      <w:r>
        <w:rPr>
          <w:szCs w:val="26"/>
        </w:rPr>
        <w:t>), and</w:t>
      </w:r>
      <w:proofErr w:type="gramEnd"/>
      <w:r>
        <w:rPr>
          <w:szCs w:val="26"/>
        </w:rPr>
        <w:t xml:space="preserve"> authorized it to adopt regulations (</w:t>
      </w:r>
      <w:r w:rsidRPr="00A6255F">
        <w:rPr>
          <w:szCs w:val="26"/>
        </w:rPr>
        <w:t>§</w:t>
      </w:r>
      <w:r>
        <w:rPr>
          <w:szCs w:val="26"/>
        </w:rPr>
        <w:t xml:space="preserve"> 3013).  The general language used in these statutes </w:t>
      </w:r>
      <w:proofErr w:type="gramStart"/>
      <w:r>
        <w:rPr>
          <w:szCs w:val="26"/>
        </w:rPr>
        <w:t>evidences</w:t>
      </w:r>
      <w:proofErr w:type="gramEnd"/>
      <w:r>
        <w:rPr>
          <w:szCs w:val="26"/>
        </w:rPr>
        <w:t xml:space="preserve"> delegation.  Delegation demands considerable deference.  (</w:t>
      </w:r>
      <w:r>
        <w:rPr>
          <w:i/>
          <w:iCs/>
          <w:szCs w:val="26"/>
        </w:rPr>
        <w:t xml:space="preserve">American Coatings, supra, </w:t>
      </w:r>
      <w:r>
        <w:rPr>
          <w:szCs w:val="26"/>
        </w:rPr>
        <w:t>54 Cal.4th at p. 461 [</w:t>
      </w:r>
      <w:r w:rsidRPr="00D12850">
        <w:rPr>
          <w:szCs w:val="26"/>
        </w:rPr>
        <w:t>“an agency [exercising statutorily delegated policymaking discretion] adopts generally applicable rules through an administrative process in which ‘the demarcation between facts, reasoning, policy and discretion is quite vague.</w:t>
      </w:r>
      <w:proofErr w:type="gramStart"/>
      <w:r w:rsidRPr="00D12850">
        <w:rPr>
          <w:szCs w:val="26"/>
        </w:rPr>
        <w:t>’ ”</w:t>
      </w:r>
      <w:proofErr w:type="gramEnd"/>
      <w:r w:rsidRPr="00D12850">
        <w:rPr>
          <w:szCs w:val="26"/>
        </w:rPr>
        <w:t>]</w:t>
      </w:r>
      <w:r>
        <w:rPr>
          <w:szCs w:val="26"/>
        </w:rPr>
        <w:t>.)</w:t>
      </w:r>
    </w:p>
    <w:p w14:paraId="55096BC5" w14:textId="77777777" w:rsidR="0072129B" w:rsidRPr="00320B98" w:rsidRDefault="0072129B" w:rsidP="00DA4117">
      <w:pPr>
        <w:spacing w:line="480" w:lineRule="exact"/>
        <w:ind w:firstLine="720"/>
        <w:rPr>
          <w:szCs w:val="26"/>
        </w:rPr>
      </w:pPr>
      <w:proofErr w:type="gramStart"/>
      <w:r w:rsidRPr="00E87834">
        <w:rPr>
          <w:szCs w:val="26"/>
        </w:rPr>
        <w:t>“ ‘</w:t>
      </w:r>
      <w:proofErr w:type="gramEnd"/>
      <w:r w:rsidRPr="00E87834">
        <w:rPr>
          <w:szCs w:val="26"/>
        </w:rPr>
        <w:t xml:space="preserve"> “Our function is to inquire into the legality of the regulations, not their wisdom.” ’ ”  (</w:t>
      </w:r>
      <w:r w:rsidRPr="00E87834">
        <w:rPr>
          <w:i/>
          <w:iCs/>
          <w:szCs w:val="26"/>
        </w:rPr>
        <w:t xml:space="preserve">Gadlin, supra, </w:t>
      </w:r>
      <w:r w:rsidRPr="00E87834">
        <w:rPr>
          <w:szCs w:val="26"/>
        </w:rPr>
        <w:t>10 Cal.5th at p. 926.)  The regulations in this case are not arbitrary, capricious, or irrational.  (</w:t>
      </w:r>
      <w:r w:rsidRPr="00E87834">
        <w:rPr>
          <w:i/>
          <w:iCs/>
          <w:szCs w:val="26"/>
        </w:rPr>
        <w:t xml:space="preserve">Western States, supra, </w:t>
      </w:r>
      <w:r w:rsidRPr="00E87834">
        <w:rPr>
          <w:szCs w:val="26"/>
        </w:rPr>
        <w:t>57 Cal.4th at p. 415.)</w:t>
      </w:r>
    </w:p>
    <w:p w14:paraId="65785A20" w14:textId="77777777" w:rsidR="0072129B" w:rsidRDefault="0072129B" w:rsidP="00DA4117">
      <w:pPr>
        <w:spacing w:line="480" w:lineRule="exact"/>
        <w:ind w:firstLine="720"/>
        <w:rPr>
          <w:szCs w:val="26"/>
        </w:rPr>
      </w:pPr>
      <w:r>
        <w:rPr>
          <w:szCs w:val="26"/>
        </w:rPr>
        <w:t xml:space="preserve">Both in the ISOR and FSOR, </w:t>
      </w:r>
      <w:proofErr w:type="spellStart"/>
      <w:r>
        <w:rPr>
          <w:szCs w:val="26"/>
        </w:rPr>
        <w:t>CalGEM</w:t>
      </w:r>
      <w:proofErr w:type="spellEnd"/>
      <w:r>
        <w:rPr>
          <w:szCs w:val="26"/>
        </w:rPr>
        <w:t xml:space="preserve"> made clear the reasons it believed the regulations were reasonably necessary.  (See Gov. Code, </w:t>
      </w:r>
      <w:r w:rsidRPr="00A6255F">
        <w:rPr>
          <w:szCs w:val="26"/>
        </w:rPr>
        <w:t>§§</w:t>
      </w:r>
      <w:r>
        <w:rPr>
          <w:szCs w:val="26"/>
        </w:rPr>
        <w:t xml:space="preserve"> 11346.2 &amp; 11346.9.)  </w:t>
      </w:r>
      <w:proofErr w:type="spellStart"/>
      <w:r>
        <w:rPr>
          <w:szCs w:val="26"/>
        </w:rPr>
        <w:lastRenderedPageBreak/>
        <w:t>CalGEM’s</w:t>
      </w:r>
      <w:proofErr w:type="spellEnd"/>
      <w:r>
        <w:rPr>
          <w:szCs w:val="26"/>
        </w:rPr>
        <w:t xml:space="preserve"> primary reason was that the regulations were necessary to protect health and safety as mandated by section 31</w:t>
      </w:r>
      <w:r>
        <w:rPr>
          <w:szCs w:val="26"/>
        </w:rPr>
        <w:t>0</w:t>
      </w:r>
      <w:r>
        <w:rPr>
          <w:szCs w:val="26"/>
        </w:rPr>
        <w:t>6.</w:t>
      </w:r>
    </w:p>
    <w:p w14:paraId="55267D9A" w14:textId="77777777" w:rsidR="0072129B" w:rsidRDefault="0072129B" w:rsidP="00DA4117">
      <w:pPr>
        <w:spacing w:line="480" w:lineRule="exact"/>
        <w:ind w:firstLine="720"/>
        <w:rPr>
          <w:szCs w:val="26"/>
        </w:rPr>
      </w:pPr>
      <w:r>
        <w:rPr>
          <w:szCs w:val="26"/>
        </w:rPr>
        <w:t xml:space="preserve">More specifically, </w:t>
      </w:r>
      <w:proofErr w:type="spellStart"/>
      <w:r>
        <w:rPr>
          <w:szCs w:val="26"/>
        </w:rPr>
        <w:t>CalGEM</w:t>
      </w:r>
      <w:proofErr w:type="spellEnd"/>
      <w:r>
        <w:rPr>
          <w:szCs w:val="26"/>
        </w:rPr>
        <w:t xml:space="preserve"> noted operators in the past ignored regulatory violations and the new regulations wrought additional penalties that were necessary to both ensure operator compliance and to standardize industry response to surface expressions.  These regulations, </w:t>
      </w:r>
      <w:proofErr w:type="spellStart"/>
      <w:r>
        <w:rPr>
          <w:szCs w:val="26"/>
        </w:rPr>
        <w:t>CalGEM</w:t>
      </w:r>
      <w:proofErr w:type="spellEnd"/>
      <w:r>
        <w:rPr>
          <w:szCs w:val="26"/>
        </w:rPr>
        <w:t xml:space="preserve"> believed, “provide[d] adequate disincentive for noncompliance.”  We are not in a position to </w:t>
      </w:r>
      <w:proofErr w:type="gramStart"/>
      <w:r>
        <w:rPr>
          <w:szCs w:val="26"/>
        </w:rPr>
        <w:t>disagree:</w:t>
      </w:r>
      <w:proofErr w:type="gramEnd"/>
      <w:r>
        <w:rPr>
          <w:szCs w:val="26"/>
        </w:rPr>
        <w:t xml:space="preserve"> n</w:t>
      </w:r>
      <w:r w:rsidRPr="00EB0833">
        <w:rPr>
          <w:szCs w:val="26"/>
        </w:rPr>
        <w:t>oncompliance resulting in surface expressions</w:t>
      </w:r>
      <w:r>
        <w:rPr>
          <w:szCs w:val="26"/>
        </w:rPr>
        <w:t xml:space="preserve"> rationally </w:t>
      </w:r>
      <w:r w:rsidRPr="00EB0833">
        <w:rPr>
          <w:szCs w:val="26"/>
        </w:rPr>
        <w:t xml:space="preserve">endangers life.  </w:t>
      </w:r>
    </w:p>
    <w:p w14:paraId="40AD6013" w14:textId="77777777" w:rsidR="0072129B" w:rsidRDefault="0072129B" w:rsidP="00DA4117">
      <w:pPr>
        <w:spacing w:line="480" w:lineRule="exact"/>
        <w:ind w:firstLine="720"/>
        <w:rPr>
          <w:szCs w:val="26"/>
        </w:rPr>
      </w:pPr>
      <w:r>
        <w:rPr>
          <w:szCs w:val="26"/>
        </w:rPr>
        <w:t xml:space="preserve">For example, </w:t>
      </w:r>
      <w:proofErr w:type="spellStart"/>
      <w:r>
        <w:rPr>
          <w:szCs w:val="26"/>
        </w:rPr>
        <w:t>CalGEM</w:t>
      </w:r>
      <w:proofErr w:type="spellEnd"/>
      <w:r>
        <w:rPr>
          <w:szCs w:val="26"/>
        </w:rPr>
        <w:t xml:space="preserve"> explained surface expressions are “indicative of [operations] being performed at rates and pressures above safe levels,” or that operations are “not confined to the approved … zone.”  The explanation is persuasive because it involves technical expertise to which we typically defer.  (</w:t>
      </w:r>
      <w:r>
        <w:rPr>
          <w:i/>
          <w:iCs/>
          <w:szCs w:val="26"/>
        </w:rPr>
        <w:t xml:space="preserve">Gadlin, supra, </w:t>
      </w:r>
      <w:r>
        <w:rPr>
          <w:szCs w:val="26"/>
        </w:rPr>
        <w:t>10 Cal.5th at p.</w:t>
      </w:r>
      <w:r>
        <w:rPr>
          <w:szCs w:val="26"/>
        </w:rPr>
        <w:t> </w:t>
      </w:r>
      <w:r>
        <w:rPr>
          <w:szCs w:val="26"/>
        </w:rPr>
        <w:t>926.)</w:t>
      </w:r>
    </w:p>
    <w:p w14:paraId="564B9EA7" w14:textId="77777777" w:rsidR="0072129B" w:rsidRDefault="0072129B" w:rsidP="00DA4117">
      <w:pPr>
        <w:spacing w:line="480" w:lineRule="exact"/>
        <w:ind w:firstLine="720"/>
        <w:rPr>
          <w:szCs w:val="26"/>
        </w:rPr>
      </w:pPr>
      <w:r>
        <w:rPr>
          <w:szCs w:val="26"/>
        </w:rPr>
        <w:t xml:space="preserve">Similarly, </w:t>
      </w:r>
      <w:proofErr w:type="spellStart"/>
      <w:r>
        <w:rPr>
          <w:szCs w:val="26"/>
        </w:rPr>
        <w:t>CalGEM</w:t>
      </w:r>
      <w:proofErr w:type="spellEnd"/>
      <w:r>
        <w:rPr>
          <w:szCs w:val="26"/>
        </w:rPr>
        <w:t xml:space="preserve"> believed its distance-based regulation, i.e., to cease operations within 150 feet of a surface expression, was important because “</w:t>
      </w:r>
      <w:r w:rsidRPr="000E26F5">
        <w:rPr>
          <w:szCs w:val="26"/>
        </w:rPr>
        <w:t>the closer the … well [was] to a surface expression, the more likely that well [was] causing or contributing to its existence.”</w:t>
      </w:r>
      <w:r>
        <w:rPr>
          <w:szCs w:val="26"/>
        </w:rPr>
        <w:t xml:space="preserve">  We agree that makes sense—and it goes without stating that surface expressions are dangerous to life, having already claimed one person’s life</w:t>
      </w:r>
      <w:r>
        <w:rPr>
          <w:szCs w:val="26"/>
        </w:rPr>
        <w:t>,</w:t>
      </w:r>
      <w:r>
        <w:rPr>
          <w:szCs w:val="26"/>
        </w:rPr>
        <w:t xml:space="preserve"> let alone logically endangering both drinking water and damaging oil resources.  </w:t>
      </w:r>
      <w:proofErr w:type="spellStart"/>
      <w:r>
        <w:rPr>
          <w:szCs w:val="26"/>
        </w:rPr>
        <w:t>CalGEM’s</w:t>
      </w:r>
      <w:proofErr w:type="spellEnd"/>
      <w:r>
        <w:rPr>
          <w:szCs w:val="26"/>
        </w:rPr>
        <w:t xml:space="preserve"> regulations to cease operations upon notice to operators are reasonably necessary to implement the statutory mandate to protect health and safety.</w:t>
      </w:r>
    </w:p>
    <w:p w14:paraId="2E126022" w14:textId="77777777" w:rsidR="0072129B" w:rsidRDefault="0072129B" w:rsidP="00DA4117">
      <w:pPr>
        <w:spacing w:line="480" w:lineRule="exact"/>
        <w:ind w:firstLine="720"/>
        <w:rPr>
          <w:szCs w:val="26"/>
        </w:rPr>
      </w:pPr>
      <w:r>
        <w:rPr>
          <w:szCs w:val="26"/>
        </w:rPr>
        <w:t xml:space="preserve">Because substantial evidence supports </w:t>
      </w:r>
      <w:proofErr w:type="spellStart"/>
      <w:r>
        <w:rPr>
          <w:szCs w:val="26"/>
        </w:rPr>
        <w:t>CalGEM’s</w:t>
      </w:r>
      <w:proofErr w:type="spellEnd"/>
      <w:r>
        <w:rPr>
          <w:szCs w:val="26"/>
        </w:rPr>
        <w:t xml:space="preserve"> determination these regulations are reasonably necessary to protect health and safety, and there is a rational connection between the regulations and that goal, our inquiry is at an end.  (</w:t>
      </w:r>
      <w:r>
        <w:rPr>
          <w:i/>
          <w:iCs/>
          <w:szCs w:val="26"/>
        </w:rPr>
        <w:t xml:space="preserve">American Coatings, supra, </w:t>
      </w:r>
      <w:r>
        <w:rPr>
          <w:szCs w:val="26"/>
        </w:rPr>
        <w:t>54 Cal.4th at p. 460;</w:t>
      </w:r>
      <w:r>
        <w:rPr>
          <w:i/>
          <w:iCs/>
          <w:szCs w:val="26"/>
        </w:rPr>
        <w:t xml:space="preserve"> Western States, supra, </w:t>
      </w:r>
      <w:r>
        <w:rPr>
          <w:szCs w:val="26"/>
        </w:rPr>
        <w:t xml:space="preserve">57 Cal.4th at p. 415.)  We cannot find </w:t>
      </w:r>
      <w:proofErr w:type="spellStart"/>
      <w:r>
        <w:rPr>
          <w:szCs w:val="26"/>
        </w:rPr>
        <w:t>CalGEM</w:t>
      </w:r>
      <w:proofErr w:type="spellEnd"/>
      <w:r>
        <w:rPr>
          <w:szCs w:val="26"/>
        </w:rPr>
        <w:t xml:space="preserve"> unreasonably interpreted its mandate to protect health and safety.  (</w:t>
      </w:r>
      <w:r>
        <w:rPr>
          <w:i/>
          <w:iCs/>
          <w:szCs w:val="26"/>
        </w:rPr>
        <w:t xml:space="preserve">Gadlin, supra, </w:t>
      </w:r>
      <w:r>
        <w:rPr>
          <w:szCs w:val="26"/>
        </w:rPr>
        <w:t>10 Cal.5th at p. 926 [</w:t>
      </w:r>
      <w:r w:rsidRPr="00D04305">
        <w:rPr>
          <w:szCs w:val="26"/>
        </w:rPr>
        <w:t xml:space="preserve">“Our task as a reviewing court </w:t>
      </w:r>
      <w:proofErr w:type="gramStart"/>
      <w:r w:rsidRPr="00D04305">
        <w:rPr>
          <w:szCs w:val="26"/>
        </w:rPr>
        <w:t>‘ “</w:t>
      </w:r>
      <w:proofErr w:type="gramEnd"/>
      <w:r w:rsidRPr="00D04305">
        <w:rPr>
          <w:szCs w:val="26"/>
        </w:rPr>
        <w:t xml:space="preserve"> ‘is to decide whether the </w:t>
      </w:r>
      <w:r w:rsidRPr="00D04305">
        <w:rPr>
          <w:szCs w:val="26"/>
        </w:rPr>
        <w:lastRenderedPageBreak/>
        <w:t>[agency] reasonably interprete</w:t>
      </w:r>
      <w:r w:rsidRPr="00D04305">
        <w:rPr>
          <w:szCs w:val="26"/>
        </w:rPr>
        <w:t>d [its] mandate.’ ” ’ ”</w:t>
      </w:r>
      <w:r>
        <w:rPr>
          <w:szCs w:val="26"/>
        </w:rPr>
        <w:t xml:space="preserve">].)  TRC has not proven </w:t>
      </w:r>
      <w:proofErr w:type="gramStart"/>
      <w:r>
        <w:rPr>
          <w:szCs w:val="26"/>
        </w:rPr>
        <w:t>otherwise</w:t>
      </w:r>
      <w:proofErr w:type="gramEnd"/>
      <w:r>
        <w:rPr>
          <w:szCs w:val="26"/>
        </w:rPr>
        <w:t xml:space="preserve"> and we reject its argument.</w:t>
      </w:r>
    </w:p>
    <w:p w14:paraId="11FECEAC" w14:textId="77777777" w:rsidR="0072129B" w:rsidRDefault="0072129B" w:rsidP="00A56C15">
      <w:pPr>
        <w:keepNext/>
        <w:spacing w:line="480" w:lineRule="exact"/>
        <w:rPr>
          <w:szCs w:val="26"/>
        </w:rPr>
      </w:pPr>
      <w:r>
        <w:rPr>
          <w:b/>
          <w:bCs/>
          <w:szCs w:val="26"/>
        </w:rPr>
        <w:t xml:space="preserve">II.  Remand </w:t>
      </w:r>
      <w:proofErr w:type="gramStart"/>
      <w:r>
        <w:rPr>
          <w:b/>
          <w:bCs/>
          <w:szCs w:val="26"/>
        </w:rPr>
        <w:t>For</w:t>
      </w:r>
      <w:proofErr w:type="gramEnd"/>
      <w:r>
        <w:rPr>
          <w:b/>
          <w:bCs/>
          <w:szCs w:val="26"/>
        </w:rPr>
        <w:t xml:space="preserve"> Further Proceedings</w:t>
      </w:r>
    </w:p>
    <w:p w14:paraId="774B598C" w14:textId="77777777" w:rsidR="0072129B" w:rsidRDefault="0072129B" w:rsidP="00DA4117">
      <w:pPr>
        <w:spacing w:line="480" w:lineRule="exact"/>
        <w:rPr>
          <w:szCs w:val="26"/>
        </w:rPr>
      </w:pPr>
      <w:r>
        <w:rPr>
          <w:szCs w:val="26"/>
        </w:rPr>
        <w:tab/>
        <w:t xml:space="preserve">Because the trial court determined </w:t>
      </w:r>
      <w:proofErr w:type="spellStart"/>
      <w:r>
        <w:rPr>
          <w:szCs w:val="26"/>
        </w:rPr>
        <w:t>CalGEM’s</w:t>
      </w:r>
      <w:proofErr w:type="spellEnd"/>
      <w:r>
        <w:rPr>
          <w:szCs w:val="26"/>
        </w:rPr>
        <w:t xml:space="preserve"> regulations at issue in this case were invalid, it did not decide whether </w:t>
      </w:r>
      <w:proofErr w:type="spellStart"/>
      <w:r>
        <w:rPr>
          <w:szCs w:val="26"/>
        </w:rPr>
        <w:t>CalGEM’s</w:t>
      </w:r>
      <w:proofErr w:type="spellEnd"/>
      <w:r>
        <w:rPr>
          <w:szCs w:val="26"/>
        </w:rPr>
        <w:t xml:space="preserve"> actions relative to TRC were nonetheless arbitrary or capricious.  As we now determine the regulations were valid, the trial court on remand should in the first instance determine whether </w:t>
      </w:r>
      <w:proofErr w:type="spellStart"/>
      <w:r>
        <w:rPr>
          <w:szCs w:val="26"/>
        </w:rPr>
        <w:t>CalGEM’s</w:t>
      </w:r>
      <w:proofErr w:type="spellEnd"/>
      <w:r>
        <w:rPr>
          <w:szCs w:val="26"/>
        </w:rPr>
        <w:t xml:space="preserve"> actions were arbitrary or capricious.</w:t>
      </w:r>
      <w:r>
        <w:rPr>
          <w:rStyle w:val="FootnoteReference"/>
          <w:szCs w:val="26"/>
        </w:rPr>
        <w:footnoteReference w:id="9"/>
      </w:r>
    </w:p>
    <w:p w14:paraId="20B7517D" w14:textId="77777777" w:rsidR="0072129B" w:rsidRDefault="0072129B" w:rsidP="00DA4117">
      <w:pPr>
        <w:spacing w:line="480" w:lineRule="exact"/>
        <w:jc w:val="center"/>
        <w:rPr>
          <w:szCs w:val="26"/>
        </w:rPr>
      </w:pPr>
      <w:r>
        <w:rPr>
          <w:b/>
          <w:bCs/>
          <w:szCs w:val="26"/>
          <w:u w:val="single"/>
        </w:rPr>
        <w:t>DISPOSITION</w:t>
      </w:r>
    </w:p>
    <w:p w14:paraId="33BDE52E" w14:textId="77777777" w:rsidR="0072129B" w:rsidRDefault="0072129B" w:rsidP="0004547A">
      <w:pPr>
        <w:spacing w:line="480" w:lineRule="exact"/>
        <w:rPr>
          <w:szCs w:val="26"/>
        </w:rPr>
      </w:pPr>
      <w:r>
        <w:rPr>
          <w:szCs w:val="26"/>
        </w:rPr>
        <w:tab/>
        <w:t xml:space="preserve">Both the trial court’s declaratory relief grant and issued writ are vacated.  On remand, the trial court is directed to conduct further proceedings consistent with this opinion.  Each party </w:t>
      </w:r>
      <w:proofErr w:type="gramStart"/>
      <w:r>
        <w:rPr>
          <w:szCs w:val="26"/>
        </w:rPr>
        <w:t>to bear</w:t>
      </w:r>
      <w:proofErr w:type="gramEnd"/>
      <w:r>
        <w:rPr>
          <w:szCs w:val="26"/>
        </w:rPr>
        <w:t xml:space="preserve"> its costs.</w:t>
      </w:r>
      <w:r>
        <w:rPr>
          <w:szCs w:val="26"/>
        </w:rPr>
        <w:t xml:space="preserve">  </w:t>
      </w:r>
      <w:proofErr w:type="spellStart"/>
      <w:r>
        <w:rPr>
          <w:szCs w:val="26"/>
        </w:rPr>
        <w:t>CalGEM’s</w:t>
      </w:r>
      <w:proofErr w:type="spellEnd"/>
      <w:r>
        <w:rPr>
          <w:szCs w:val="26"/>
        </w:rPr>
        <w:t xml:space="preserve"> July 7, 2023, request for judicial notice is denied.</w:t>
      </w:r>
    </w:p>
    <w:p w14:paraId="170DD51A" w14:textId="77777777" w:rsidR="0072129B" w:rsidRDefault="0072129B" w:rsidP="0004547A">
      <w:pPr>
        <w:spacing w:line="480" w:lineRule="exact"/>
        <w:rPr>
          <w:szCs w:val="26"/>
        </w:rPr>
      </w:pPr>
    </w:p>
    <w:p w14:paraId="08B5138D" w14:textId="77777777" w:rsidR="0072129B" w:rsidRDefault="0072129B" w:rsidP="0004547A">
      <w:pPr>
        <w:spacing w:line="480" w:lineRule="exact"/>
        <w:rPr>
          <w:szCs w:val="26"/>
        </w:rPr>
      </w:pPr>
    </w:p>
    <w:p w14:paraId="25BBB82E" w14:textId="77777777" w:rsidR="0072129B" w:rsidRDefault="0072129B" w:rsidP="00F8791A">
      <w:pPr>
        <w:keepNext/>
        <w:tabs>
          <w:tab w:val="left" w:pos="6480"/>
          <w:tab w:val="left" w:pos="9360"/>
        </w:tabs>
        <w:spacing w:line="240" w:lineRule="auto"/>
      </w:pPr>
      <w:r>
        <w:tab/>
      </w:r>
      <w:r>
        <w:tab/>
      </w:r>
    </w:p>
    <w:p w14:paraId="2D9579C7" w14:textId="77777777" w:rsidR="0072129B" w:rsidRDefault="0072129B" w:rsidP="00F8791A">
      <w:pPr>
        <w:keepNext/>
        <w:tabs>
          <w:tab w:val="left" w:pos="6480"/>
          <w:tab w:val="left" w:pos="9360"/>
        </w:tabs>
        <w:spacing w:line="240" w:lineRule="auto"/>
        <w:jc w:val="right"/>
      </w:pPr>
      <w:r>
        <w:t>SNAUFFER, J.</w:t>
      </w:r>
    </w:p>
    <w:p w14:paraId="5A6DA28E" w14:textId="77777777" w:rsidR="0072129B" w:rsidRDefault="0072129B" w:rsidP="00F8791A">
      <w:pPr>
        <w:keepNext/>
        <w:tabs>
          <w:tab w:val="left" w:pos="2880"/>
        </w:tabs>
        <w:spacing w:line="240" w:lineRule="auto"/>
      </w:pPr>
      <w:r>
        <w:t>I CONCUR:</w:t>
      </w:r>
    </w:p>
    <w:p w14:paraId="3B020491" w14:textId="77777777" w:rsidR="0072129B" w:rsidRDefault="0072129B" w:rsidP="00F8791A">
      <w:pPr>
        <w:keepNext/>
        <w:tabs>
          <w:tab w:val="left" w:pos="2880"/>
        </w:tabs>
        <w:spacing w:line="240" w:lineRule="auto"/>
      </w:pPr>
    </w:p>
    <w:p w14:paraId="5776067E" w14:textId="77777777" w:rsidR="0072129B" w:rsidRDefault="0072129B" w:rsidP="00F8791A">
      <w:pPr>
        <w:keepNext/>
        <w:tabs>
          <w:tab w:val="left" w:pos="2880"/>
        </w:tabs>
        <w:spacing w:line="240" w:lineRule="auto"/>
      </w:pPr>
    </w:p>
    <w:p w14:paraId="65E3E51D" w14:textId="77777777" w:rsidR="0072129B" w:rsidRDefault="0072129B" w:rsidP="00F8791A">
      <w:pPr>
        <w:keepNext/>
        <w:tabs>
          <w:tab w:val="left" w:pos="2880"/>
        </w:tabs>
        <w:spacing w:line="240" w:lineRule="auto"/>
      </w:pPr>
      <w:r>
        <w:tab/>
      </w:r>
    </w:p>
    <w:p w14:paraId="72D98577" w14:textId="77777777" w:rsidR="0072129B" w:rsidRDefault="0072129B" w:rsidP="00F8791A">
      <w:pPr>
        <w:keepNext/>
        <w:tabs>
          <w:tab w:val="left" w:pos="2880"/>
        </w:tabs>
        <w:spacing w:line="240" w:lineRule="auto"/>
      </w:pPr>
      <w:r>
        <w:tab/>
      </w:r>
    </w:p>
    <w:p w14:paraId="1DE210B5" w14:textId="77777777" w:rsidR="0072129B" w:rsidRDefault="0072129B" w:rsidP="00F8791A">
      <w:pPr>
        <w:keepNext/>
        <w:tabs>
          <w:tab w:val="left" w:pos="2880"/>
        </w:tabs>
        <w:spacing w:line="240" w:lineRule="auto"/>
      </w:pPr>
      <w:r>
        <w:t>DE SANTOS, J.</w:t>
      </w:r>
    </w:p>
    <w:p w14:paraId="04A7A794" w14:textId="77777777" w:rsidR="0072129B" w:rsidRDefault="0072129B" w:rsidP="00F8791A">
      <w:pPr>
        <w:keepNext/>
        <w:tabs>
          <w:tab w:val="left" w:pos="2880"/>
        </w:tabs>
        <w:spacing w:line="240" w:lineRule="auto"/>
      </w:pPr>
    </w:p>
    <w:p w14:paraId="2ED4989B" w14:textId="77777777" w:rsidR="0072129B" w:rsidRDefault="0072129B" w:rsidP="00F8791A">
      <w:pPr>
        <w:keepNext/>
        <w:tabs>
          <w:tab w:val="left" w:pos="2880"/>
        </w:tabs>
        <w:spacing w:line="240" w:lineRule="auto"/>
        <w:sectPr w:rsidR="00604F23" w:rsidSect="00976001">
          <w:footerReference w:type="default" r:id="rId7"/>
          <w:footerReference w:type="first" r:id="rId8"/>
          <w:pgSz w:w="12240" w:h="15840"/>
          <w:pgMar w:top="1440" w:right="1440" w:bottom="1440" w:left="1440" w:header="720" w:footer="720" w:gutter="0"/>
          <w:cols w:space="720"/>
          <w:titlePg/>
          <w:docGrid w:linePitch="360"/>
        </w:sectPr>
      </w:pPr>
    </w:p>
    <w:p w14:paraId="2CEF42DC" w14:textId="77777777" w:rsidR="0072129B" w:rsidRDefault="0072129B" w:rsidP="00587B2B">
      <w:r>
        <w:lastRenderedPageBreak/>
        <w:t>POOCHIGIAN, Acting P. J., dissenting.</w:t>
      </w:r>
    </w:p>
    <w:p w14:paraId="71E4AF83" w14:textId="77777777" w:rsidR="0072129B" w:rsidRPr="00DA7784" w:rsidRDefault="0072129B" w:rsidP="0042762B">
      <w:pPr>
        <w:ind w:firstLine="720"/>
      </w:pPr>
      <w:r>
        <w:t xml:space="preserve">By statute, the Legislature has provided that a government agency can order well operations to cease, and that well operators can appeal such an order.  By regulation, the same government agency currently claims the power, in certain cases, to issue directives for well operations to cease that are </w:t>
      </w:r>
      <w:r>
        <w:rPr>
          <w:i/>
          <w:iCs/>
        </w:rPr>
        <w:t xml:space="preserve">not </w:t>
      </w:r>
      <w:r>
        <w:t>appealable.  The incompatibility between the statutory scheme and the agency’s regulatory position is plain, and the statutory right to appeal prevails.  The trial court’s judgment was correct and should be affirmed.</w:t>
      </w:r>
    </w:p>
    <w:p w14:paraId="6D2E1A44" w14:textId="77777777" w:rsidR="0072129B" w:rsidRPr="000108F7" w:rsidRDefault="0072129B" w:rsidP="000108F7">
      <w:pPr>
        <w:keepNext/>
        <w:ind w:firstLine="720"/>
        <w:rPr>
          <w:b/>
          <w:bCs/>
          <w:i/>
          <w:iCs/>
        </w:rPr>
      </w:pPr>
      <w:r w:rsidRPr="000108F7">
        <w:rPr>
          <w:b/>
          <w:bCs/>
          <w:i/>
          <w:iCs/>
        </w:rPr>
        <w:t>The Statutory Scheme</w:t>
      </w:r>
    </w:p>
    <w:p w14:paraId="1CB28F47" w14:textId="77777777" w:rsidR="0072129B" w:rsidRDefault="0072129B" w:rsidP="006B6EC4">
      <w:pPr>
        <w:ind w:firstLine="720"/>
      </w:pPr>
      <w:r>
        <w:t xml:space="preserve">By statute, </w:t>
      </w:r>
      <w:r w:rsidRPr="00E00DA7">
        <w:rPr>
          <w:color w:val="000000"/>
          <w:szCs w:val="26"/>
          <w:bdr w:val="none" w:sz="0" w:space="0" w:color="auto" w:frame="1"/>
        </w:rPr>
        <w:t xml:space="preserve">California Geologic Energy Management Division </w:t>
      </w:r>
      <w:r>
        <w:rPr>
          <w:color w:val="000000"/>
          <w:szCs w:val="26"/>
          <w:bdr w:val="none" w:sz="0" w:space="0" w:color="auto" w:frame="1"/>
        </w:rPr>
        <w:t>(</w:t>
      </w:r>
      <w:proofErr w:type="spellStart"/>
      <w:r>
        <w:t>CalGEM</w:t>
      </w:r>
      <w:proofErr w:type="spellEnd"/>
      <w:r>
        <w:t>) has broad authority to adopt rules and regulations concerning oil and gas extraction.  (</w:t>
      </w:r>
      <w:r>
        <w:rPr>
          <w:szCs w:val="26"/>
        </w:rPr>
        <w:t>Pub. Resources Code</w:t>
      </w:r>
      <w:r>
        <w:t>, §§ 3013, 3106.)</w:t>
      </w:r>
      <w:r>
        <w:rPr>
          <w:rStyle w:val="FootnoteReference"/>
        </w:rPr>
        <w:footnoteReference w:id="10"/>
      </w:r>
      <w:r>
        <w:t xml:space="preserve">  However, their regulations – like all administrative regulations – must not conflict with state statutes.  (See </w:t>
      </w:r>
      <w:r>
        <w:rPr>
          <w:i/>
          <w:iCs/>
        </w:rPr>
        <w:t xml:space="preserve">City of San Jose v. Department of Health Services </w:t>
      </w:r>
      <w:r>
        <w:t>(1998) 66 Cal.App.4th 35, 41.)</w:t>
      </w:r>
    </w:p>
    <w:p w14:paraId="092F51EA" w14:textId="77777777" w:rsidR="0072129B" w:rsidRDefault="0072129B" w:rsidP="00285321">
      <w:pPr>
        <w:ind w:firstLine="720"/>
      </w:pPr>
      <w:r>
        <w:t xml:space="preserve">Chapter 1 of division 3 of the Public Resources Code grants </w:t>
      </w:r>
      <w:proofErr w:type="spellStart"/>
      <w:r>
        <w:t>CalGEM</w:t>
      </w:r>
      <w:proofErr w:type="spellEnd"/>
      <w:r>
        <w:t xml:space="preserve"> the statutory </w:t>
      </w:r>
      <w:r>
        <w:t xml:space="preserve">authority to order an operator to cease its operations.  (§§ 3224; 3270.3; 3225, subd. (b); 3226, subd. (b); 3270.3.)  All such orders may be </w:t>
      </w:r>
      <w:proofErr w:type="gramStart"/>
      <w:r>
        <w:t>appealed</w:t>
      </w:r>
      <w:proofErr w:type="gramEnd"/>
      <w:r>
        <w:t xml:space="preserve"> by the operator.  (§ 3350.)  Upon appeal, operators are afforded </w:t>
      </w:r>
      <w:proofErr w:type="gramStart"/>
      <w:r>
        <w:t>either a</w:t>
      </w:r>
      <w:proofErr w:type="gramEnd"/>
      <w:r>
        <w:t xml:space="preserve"> formal hearing (§ 3351, subd. (a)) or a hearing before the director (</w:t>
      </w:r>
      <w:r>
        <w:rPr>
          <w:i/>
          <w:iCs/>
        </w:rPr>
        <w:t>id.</w:t>
      </w:r>
      <w:r>
        <w:t>, subd. (c)), even in the case of emergency orders.</w:t>
      </w:r>
      <w:r>
        <w:rPr>
          <w:rStyle w:val="FootnoteReference"/>
        </w:rPr>
        <w:footnoteReference w:id="11"/>
      </w:r>
      <w:r>
        <w:t xml:space="preserve">  (</w:t>
      </w:r>
      <w:r>
        <w:rPr>
          <w:i/>
          <w:iCs/>
        </w:rPr>
        <w:t>id.</w:t>
      </w:r>
      <w:r>
        <w:t>, subd. (d).)  Hearings must be conducted within specified timeframes.  (§ 3352, subd. (a).)  Operators have the right to present oral and documentary evidence at the hearing.  (</w:t>
      </w:r>
      <w:proofErr w:type="gramStart"/>
      <w:r>
        <w:rPr>
          <w:i/>
          <w:iCs/>
        </w:rPr>
        <w:t>id</w:t>
      </w:r>
      <w:proofErr w:type="gramEnd"/>
      <w:r>
        <w:rPr>
          <w:i/>
          <w:iCs/>
        </w:rPr>
        <w:t>.</w:t>
      </w:r>
      <w:r>
        <w:t>, subd. (c) [hearings before director]; Gov. Code, § 11513, subd. (b) [formal hearings].)  The outcome of the hearing is itself subject to judicial review.  (§ 3354.)</w:t>
      </w:r>
    </w:p>
    <w:p w14:paraId="77663D8B" w14:textId="77777777" w:rsidR="0072129B" w:rsidRPr="000108F7" w:rsidRDefault="0072129B" w:rsidP="000108F7">
      <w:pPr>
        <w:keepNext/>
        <w:ind w:firstLine="720"/>
        <w:rPr>
          <w:b/>
          <w:bCs/>
          <w:i/>
          <w:iCs/>
        </w:rPr>
      </w:pPr>
      <w:r w:rsidRPr="000108F7">
        <w:rPr>
          <w:b/>
          <w:bCs/>
          <w:i/>
          <w:iCs/>
        </w:rPr>
        <w:lastRenderedPageBreak/>
        <w:t>The Regulatory Scheme</w:t>
      </w:r>
    </w:p>
    <w:p w14:paraId="2853FEE6" w14:textId="77777777" w:rsidR="0072129B" w:rsidRDefault="0072129B" w:rsidP="006B6EC4">
      <w:pPr>
        <w:ind w:firstLine="720"/>
      </w:pPr>
      <w:proofErr w:type="spellStart"/>
      <w:r>
        <w:t>CalGEM</w:t>
      </w:r>
      <w:proofErr w:type="spellEnd"/>
      <w:r>
        <w:t xml:space="preserve"> has issued regulations granting itself the power to “direct injection to cease at any injection well, regardless of its distance from a surface expression, if the Division finds reason to believe that the injection well is causing or contributing to a surface expression.”  (</w:t>
      </w:r>
      <w:r w:rsidRPr="006A290E">
        <w:rPr>
          <w:szCs w:val="26"/>
        </w:rPr>
        <w:t>Cal. Code Regs., tit.</w:t>
      </w:r>
      <w:r>
        <w:rPr>
          <w:szCs w:val="26"/>
        </w:rPr>
        <w:t> </w:t>
      </w:r>
      <w:r w:rsidRPr="006A290E">
        <w:rPr>
          <w:szCs w:val="26"/>
        </w:rPr>
        <w:t>14,</w:t>
      </w:r>
      <w:r>
        <w:t xml:space="preserve"> § 1724.11, subd. (e).)  When </w:t>
      </w:r>
      <w:proofErr w:type="spellStart"/>
      <w:r>
        <w:t>CalGEM</w:t>
      </w:r>
      <w:proofErr w:type="spellEnd"/>
      <w:r>
        <w:t xml:space="preserve"> has issued a directive pursuant to this regulation, the well may not resume injection (i.e., business operations) until written approval is issued.  (</w:t>
      </w:r>
      <w:r>
        <w:rPr>
          <w:i/>
          <w:iCs/>
        </w:rPr>
        <w:t>Id</w:t>
      </w:r>
      <w:r>
        <w:t>., § 1724.11, subd. (g</w:t>
      </w:r>
      <w:r>
        <w:t>).)</w:t>
      </w:r>
    </w:p>
    <w:p w14:paraId="39668BB5" w14:textId="77777777" w:rsidR="0072129B" w:rsidRDefault="0072129B" w:rsidP="006B6EC4">
      <w:pPr>
        <w:ind w:firstLine="720"/>
      </w:pPr>
      <w:r>
        <w:t xml:space="preserve">Here, </w:t>
      </w:r>
      <w:proofErr w:type="spellStart"/>
      <w:r>
        <w:t>CalGEM</w:t>
      </w:r>
      <w:proofErr w:type="spellEnd"/>
      <w:r>
        <w:t xml:space="preserve"> transmitted a communication to TRC stating “TRC is required to perform the following actions</w:t>
      </w:r>
      <w:proofErr w:type="gramStart"/>
      <w:r>
        <w:t>:  [</w:t>
      </w:r>
      <w:proofErr w:type="gramEnd"/>
      <w:r>
        <w:t xml:space="preserve">¶] 1. Immediately cease steam injection operations within a 600 ft radius around the surface expression….”  The directive further emphasized that injection could not be restarted until </w:t>
      </w:r>
      <w:proofErr w:type="spellStart"/>
      <w:r>
        <w:t>CalGEM</w:t>
      </w:r>
      <w:proofErr w:type="spellEnd"/>
      <w:r>
        <w:t xml:space="preserve"> was “satisfied” that the cause of the surface expression had been remediated.  </w:t>
      </w:r>
      <w:proofErr w:type="spellStart"/>
      <w:r>
        <w:t>CalGEM</w:t>
      </w:r>
      <w:proofErr w:type="spellEnd"/>
      <w:r>
        <w:t xml:space="preserve"> contends this directive was not appealable, in that it does not trigger the due process procedures of article 6, chapter 1, divisio</w:t>
      </w:r>
      <w:r>
        <w:t>n 3 of the Public Resources Code.</w:t>
      </w:r>
    </w:p>
    <w:p w14:paraId="2E0A638A" w14:textId="77777777" w:rsidR="0072129B" w:rsidRPr="00367DD0" w:rsidRDefault="0072129B" w:rsidP="00367DD0">
      <w:pPr>
        <w:keepNext/>
        <w:ind w:left="720"/>
        <w:rPr>
          <w:b/>
          <w:bCs/>
          <w:i/>
          <w:iCs/>
        </w:rPr>
      </w:pPr>
      <w:r w:rsidRPr="00367DD0">
        <w:rPr>
          <w:b/>
          <w:bCs/>
          <w:i/>
          <w:iCs/>
        </w:rPr>
        <w:t xml:space="preserve">The Statutory and Regulatory Scheme </w:t>
      </w:r>
      <w:r>
        <w:rPr>
          <w:b/>
          <w:bCs/>
          <w:i/>
          <w:iCs/>
        </w:rPr>
        <w:t>A</w:t>
      </w:r>
      <w:r w:rsidRPr="00367DD0">
        <w:rPr>
          <w:b/>
          <w:bCs/>
          <w:i/>
          <w:iCs/>
        </w:rPr>
        <w:t>re in Conflict</w:t>
      </w:r>
    </w:p>
    <w:p w14:paraId="5F99753B" w14:textId="77777777" w:rsidR="0072129B" w:rsidRDefault="0072129B" w:rsidP="00367DD0">
      <w:pPr>
        <w:ind w:firstLine="720"/>
      </w:pPr>
      <w:r>
        <w:t xml:space="preserve">There is a straightforward conflict between the statutory and regulatory schemes described above.  The statutes say </w:t>
      </w:r>
      <w:proofErr w:type="spellStart"/>
      <w:r>
        <w:t>CalGEM</w:t>
      </w:r>
      <w:proofErr w:type="spellEnd"/>
      <w:r>
        <w:t xml:space="preserve"> can order operations to stop, but that such an order is appealable.  In contrast, </w:t>
      </w:r>
      <w:proofErr w:type="spellStart"/>
      <w:r>
        <w:t>CalGEM</w:t>
      </w:r>
      <w:proofErr w:type="spellEnd"/>
      <w:r>
        <w:t xml:space="preserve"> argues they can order operations to stop (in the case of surface expressions), but that such an order is not appealable.</w:t>
      </w:r>
    </w:p>
    <w:p w14:paraId="1D3338F2" w14:textId="77777777" w:rsidR="0072129B" w:rsidRDefault="0072129B" w:rsidP="00BC00C6">
      <w:pPr>
        <w:ind w:firstLine="720"/>
      </w:pPr>
      <w:proofErr w:type="spellStart"/>
      <w:r>
        <w:t>CalGEM</w:t>
      </w:r>
      <w:proofErr w:type="spellEnd"/>
      <w:r>
        <w:t xml:space="preserve"> tries to avoid this obvious conflict by clearly mischaracterizing its regulation.  It argues that the regulation does not provide for an “</w:t>
      </w:r>
      <w:r>
        <w:rPr>
          <w:i/>
          <w:iCs/>
        </w:rPr>
        <w:t>order</w:t>
      </w:r>
      <w:r>
        <w:t xml:space="preserve"> requiring suspension of injection” but rather a </w:t>
      </w:r>
      <w:r>
        <w:rPr>
          <w:i/>
          <w:iCs/>
        </w:rPr>
        <w:t>notice</w:t>
      </w:r>
      <w:r>
        <w:t xml:space="preserve"> that continued injection </w:t>
      </w:r>
      <w:r>
        <w:rPr>
          <w:i/>
          <w:iCs/>
        </w:rPr>
        <w:t xml:space="preserve">would </w:t>
      </w:r>
      <w:r>
        <w:t xml:space="preserve">violate the law.  In fact, the opposite is true.  The regulation says that </w:t>
      </w:r>
      <w:proofErr w:type="spellStart"/>
      <w:r>
        <w:t>CalGEM</w:t>
      </w:r>
      <w:proofErr w:type="spellEnd"/>
      <w:r>
        <w:t xml:space="preserve"> can “direct injection to cease.”  (</w:t>
      </w:r>
      <w:r w:rsidRPr="006A290E">
        <w:rPr>
          <w:szCs w:val="26"/>
        </w:rPr>
        <w:t>Cal. Code Regs., tit.</w:t>
      </w:r>
      <w:r>
        <w:rPr>
          <w:szCs w:val="26"/>
        </w:rPr>
        <w:t> </w:t>
      </w:r>
      <w:r w:rsidRPr="006A290E">
        <w:rPr>
          <w:szCs w:val="26"/>
        </w:rPr>
        <w:t>14,</w:t>
      </w:r>
      <w:r>
        <w:t xml:space="preserve"> § 1724.11, subd. (e).)  As a matter of plain language, there is no difference between a “directive” requiring injection to “cease” and an </w:t>
      </w:r>
      <w:r>
        <w:t xml:space="preserve">“order” requiring “suspension” of injection. </w:t>
      </w:r>
    </w:p>
    <w:p w14:paraId="511C4D97" w14:textId="77777777" w:rsidR="0072129B" w:rsidRDefault="0072129B" w:rsidP="00BC00C6">
      <w:pPr>
        <w:ind w:firstLine="720"/>
      </w:pPr>
      <w:proofErr w:type="spellStart"/>
      <w:r>
        <w:lastRenderedPageBreak/>
        <w:t>CalGEM</w:t>
      </w:r>
      <w:proofErr w:type="spellEnd"/>
      <w:r>
        <w:t xml:space="preserve"> directives under California Code of Regulations </w:t>
      </w:r>
      <w:r>
        <w:t xml:space="preserve">section 1724.11, subdivision (e) are not just “orders” as a matter of semantics, but in substance and effect as well.  Complying with a </w:t>
      </w:r>
      <w:proofErr w:type="spellStart"/>
      <w:r>
        <w:t>CalGEM</w:t>
      </w:r>
      <w:proofErr w:type="spellEnd"/>
      <w:r>
        <w:t xml:space="preserve"> directive is not optional, as injection operations must cease until written approval to resume is issued.  (</w:t>
      </w:r>
      <w:r w:rsidRPr="006A290E">
        <w:rPr>
          <w:szCs w:val="26"/>
        </w:rPr>
        <w:t>Cal. Code Regs., tit.</w:t>
      </w:r>
      <w:r>
        <w:rPr>
          <w:szCs w:val="26"/>
        </w:rPr>
        <w:t> </w:t>
      </w:r>
      <w:r w:rsidRPr="006A290E">
        <w:rPr>
          <w:szCs w:val="26"/>
        </w:rPr>
        <w:t>14,</w:t>
      </w:r>
      <w:r>
        <w:t xml:space="preserve"> § 1724.11, subd. (g).)  In other words, a </w:t>
      </w:r>
      <w:proofErr w:type="spellStart"/>
      <w:r>
        <w:t>CalGEM</w:t>
      </w:r>
      <w:proofErr w:type="spellEnd"/>
      <w:r>
        <w:t xml:space="preserve"> directive to cease injection has a direct and immediate real-world effect and is not merely informative in nature.  It is, in word and deed, an order requiring suspension of injection.</w:t>
      </w:r>
    </w:p>
    <w:p w14:paraId="45D9841B" w14:textId="77777777" w:rsidR="0072129B" w:rsidRPr="001918C5" w:rsidRDefault="0072129B" w:rsidP="00BC00C6">
      <w:pPr>
        <w:ind w:firstLine="720"/>
      </w:pPr>
      <w:r>
        <w:t xml:space="preserve">In its reply brief, </w:t>
      </w:r>
      <w:proofErr w:type="spellStart"/>
      <w:r>
        <w:t>CalGEM</w:t>
      </w:r>
      <w:proofErr w:type="spellEnd"/>
      <w:r>
        <w:t xml:space="preserve"> tries to suggest that its directives cannot be “violated,” and that only the underlying regulations can be “violated.”  This contention is unpersuasive.  California Code of Regulations section 1724.11, subdivision (f) requires compliance with directives issued under subdivision (e), by providing</w:t>
      </w:r>
      <w:proofErr w:type="gramStart"/>
      <w:r>
        <w:t>:  “</w:t>
      </w:r>
      <w:proofErr w:type="gramEnd"/>
      <w:r>
        <w:t xml:space="preserve">Wells that have ceased injecting pursuant to subdivisions (d) </w:t>
      </w:r>
      <w:r w:rsidRPr="001918C5">
        <w:rPr>
          <w:i/>
          <w:iCs/>
          <w:u w:val="single"/>
        </w:rPr>
        <w:t>or (e)</w:t>
      </w:r>
      <w:r>
        <w:t xml:space="preserve"> may not resume injection until … [written authorization to resume is issued].”  In situations where the well has ceased injecting pursua</w:t>
      </w:r>
      <w:r>
        <w:t xml:space="preserve">nt to subdivision (e), it is the issuance of </w:t>
      </w:r>
      <w:proofErr w:type="spellStart"/>
      <w:r>
        <w:t>CalGEM’s</w:t>
      </w:r>
      <w:proofErr w:type="spellEnd"/>
      <w:r>
        <w:t xml:space="preserve"> directive that has made it illegal to conduct injection operations under subdivision (f).  In other words, it</w:t>
      </w:r>
      <w:r w:rsidRPr="006A2FF2">
        <w:rPr>
          <w:i/>
          <w:iCs/>
        </w:rPr>
        <w:t xml:space="preserve"> </w:t>
      </w:r>
      <w:r w:rsidRPr="000727D9">
        <w:t>is</w:t>
      </w:r>
      <w:r>
        <w:t xml:space="preserve"> the disobeying of the directive that constitutes a regulatory violation.  Consequently, </w:t>
      </w:r>
      <w:proofErr w:type="spellStart"/>
      <w:r>
        <w:t>CalGEM</w:t>
      </w:r>
      <w:proofErr w:type="spellEnd"/>
      <w:r>
        <w:t xml:space="preserve"> is quite wrong to say that subsequent penalties would not “flow” </w:t>
      </w:r>
      <w:r w:rsidRPr="001918C5">
        <w:t xml:space="preserve">from </w:t>
      </w:r>
      <w:proofErr w:type="spellStart"/>
      <w:r w:rsidRPr="001918C5">
        <w:t>CalGEM’s</w:t>
      </w:r>
      <w:proofErr w:type="spellEnd"/>
      <w:r w:rsidRPr="001918C5">
        <w:t xml:space="preserve"> directive to cease injection</w:t>
      </w:r>
      <w:r>
        <w:t>.</w:t>
      </w:r>
    </w:p>
    <w:p w14:paraId="44ADC903" w14:textId="77777777" w:rsidR="0072129B" w:rsidRPr="00C85CC8" w:rsidRDefault="0072129B" w:rsidP="00C85CC8">
      <w:pPr>
        <w:keepNext/>
        <w:ind w:firstLine="720"/>
        <w:rPr>
          <w:b/>
          <w:bCs/>
          <w:i/>
          <w:iCs/>
        </w:rPr>
      </w:pPr>
      <w:r w:rsidRPr="00C85CC8">
        <w:rPr>
          <w:b/>
          <w:bCs/>
          <w:i/>
          <w:iCs/>
        </w:rPr>
        <w:t>Conclusion</w:t>
      </w:r>
    </w:p>
    <w:p w14:paraId="5A0563B0" w14:textId="77777777" w:rsidR="0072129B" w:rsidRDefault="0072129B" w:rsidP="00B0228E">
      <w:pPr>
        <w:ind w:firstLine="720"/>
      </w:pPr>
      <w:r>
        <w:t xml:space="preserve">A system that provides for temporary measures to address immediate health and safety concerns makes sense.  But the statutory scheme already provides for that without </w:t>
      </w:r>
      <w:proofErr w:type="spellStart"/>
      <w:r>
        <w:t>CalGEM’s</w:t>
      </w:r>
      <w:proofErr w:type="spellEnd"/>
      <w:r>
        <w:t xml:space="preserve"> </w:t>
      </w:r>
      <w:proofErr w:type="spellStart"/>
      <w:r>
        <w:t>nonappealable</w:t>
      </w:r>
      <w:proofErr w:type="spellEnd"/>
      <w:r>
        <w:t xml:space="preserve"> “notice” theory.  </w:t>
      </w:r>
      <w:proofErr w:type="spellStart"/>
      <w:r>
        <w:t>CalGEM</w:t>
      </w:r>
      <w:proofErr w:type="spellEnd"/>
      <w:r>
        <w:t xml:space="preserve"> can issue emergency orders, with which operators must immediately comply.  (See § 3350, subd. (b)(2).)  But even with emergency orders, operators </w:t>
      </w:r>
      <w:proofErr w:type="gramStart"/>
      <w:r>
        <w:t>have the opportunity to</w:t>
      </w:r>
      <w:proofErr w:type="gramEnd"/>
      <w:r>
        <w:t xml:space="preserve"> seek review (</w:t>
      </w:r>
      <w:r>
        <w:rPr>
          <w:i/>
          <w:iCs/>
        </w:rPr>
        <w:t>id</w:t>
      </w:r>
      <w:r>
        <w:t>., subd. (b)(4)), and they are compensated for costs incurred by improper orders (</w:t>
      </w:r>
      <w:r>
        <w:rPr>
          <w:i/>
          <w:iCs/>
        </w:rPr>
        <w:t>id</w:t>
      </w:r>
      <w:r>
        <w:t xml:space="preserve">., subd. (b)(2)).  However, under the scheme devised by </w:t>
      </w:r>
      <w:proofErr w:type="spellStart"/>
      <w:r>
        <w:t>CalGEM</w:t>
      </w:r>
      <w:proofErr w:type="spellEnd"/>
      <w:r>
        <w:t>, the government can threaten substantial legal and financial consequences without due process as envisioned by statute and without a</w:t>
      </w:r>
      <w:r>
        <w:t xml:space="preserve">ny </w:t>
      </w:r>
      <w:r>
        <w:lastRenderedPageBreak/>
        <w:t>binding timeline for resolution.  Consequently, the agency can hold up operations indefinitely – leaving the operator with the choice of abandoning operations or violating the government agency’s clear directive to “[</w:t>
      </w:r>
      <w:proofErr w:type="spellStart"/>
      <w:r>
        <w:t>i</w:t>
      </w:r>
      <w:proofErr w:type="spellEnd"/>
      <w:r>
        <w:t>]</w:t>
      </w:r>
      <w:proofErr w:type="spellStart"/>
      <w:r>
        <w:t>mmediately</w:t>
      </w:r>
      <w:proofErr w:type="spellEnd"/>
      <w:r>
        <w:t xml:space="preserve"> cease steam injection operations.”  Adhering to the statutory scheme alleviates </w:t>
      </w:r>
      <w:proofErr w:type="gramStart"/>
      <w:r>
        <w:t>all of</w:t>
      </w:r>
      <w:proofErr w:type="gramEnd"/>
      <w:r>
        <w:t xml:space="preserve"> these problems while leaving </w:t>
      </w:r>
      <w:proofErr w:type="spellStart"/>
      <w:r>
        <w:t>CalGEM</w:t>
      </w:r>
      <w:proofErr w:type="spellEnd"/>
      <w:r>
        <w:t xml:space="preserve"> with the ability to protect health, safety and the environment.</w:t>
      </w:r>
    </w:p>
    <w:p w14:paraId="1BCE2A7C" w14:textId="77777777" w:rsidR="0072129B" w:rsidRDefault="0072129B" w:rsidP="00BC00C6">
      <w:pPr>
        <w:ind w:firstLine="720"/>
      </w:pPr>
      <w:r>
        <w:t xml:space="preserve">Because </w:t>
      </w:r>
      <w:proofErr w:type="spellStart"/>
      <w:r>
        <w:t>CalGEM’s</w:t>
      </w:r>
      <w:proofErr w:type="spellEnd"/>
      <w:r>
        <w:t xml:space="preserve"> assumption of authority to issue </w:t>
      </w:r>
      <w:proofErr w:type="spellStart"/>
      <w:r>
        <w:t>nonappealable</w:t>
      </w:r>
      <w:proofErr w:type="spellEnd"/>
      <w:r>
        <w:t xml:space="preserve"> orders to cease operations in certain cases is contrary to the statutory scheme, the trial court was correct to invalidate the regulation, and I respectfully dissent from the majority’s contrary conclusion.</w:t>
      </w:r>
    </w:p>
    <w:p w14:paraId="4F409ED4" w14:textId="77777777" w:rsidR="0072129B" w:rsidRDefault="0072129B" w:rsidP="001046CC">
      <w:pPr>
        <w:spacing w:line="240" w:lineRule="auto"/>
        <w:ind w:firstLine="720"/>
      </w:pPr>
    </w:p>
    <w:p w14:paraId="7D1A054D" w14:textId="77777777" w:rsidR="0072129B" w:rsidRDefault="0072129B" w:rsidP="001046CC">
      <w:pPr>
        <w:spacing w:line="240" w:lineRule="auto"/>
        <w:ind w:firstLine="720"/>
      </w:pPr>
    </w:p>
    <w:p w14:paraId="6A4A5674" w14:textId="77777777" w:rsidR="0072129B" w:rsidRDefault="0072129B" w:rsidP="001046CC">
      <w:pPr>
        <w:spacing w:line="240" w:lineRule="auto"/>
        <w:ind w:firstLine="720"/>
      </w:pPr>
    </w:p>
    <w:p w14:paraId="40E3872B" w14:textId="77777777" w:rsidR="0072129B" w:rsidRDefault="0072129B" w:rsidP="001046CC">
      <w:pPr>
        <w:spacing w:line="240" w:lineRule="auto"/>
        <w:ind w:firstLine="720"/>
        <w:jc w:val="right"/>
      </w:pPr>
      <w:r>
        <w:t>POOCHIGIAN, Acting P. J.</w:t>
      </w:r>
    </w:p>
    <w:p w14:paraId="73C54D17" w14:textId="77777777" w:rsidR="0072129B" w:rsidRPr="0004547A" w:rsidRDefault="0072129B" w:rsidP="00F8791A">
      <w:pPr>
        <w:keepNext/>
        <w:tabs>
          <w:tab w:val="left" w:pos="2880"/>
        </w:tabs>
        <w:spacing w:line="240" w:lineRule="auto"/>
      </w:pPr>
    </w:p>
    <w:sectPr w:rsidR="00604F23" w:rsidRPr="0004547A" w:rsidSect="00604F23">
      <w:headerReference w:type="default" r:id="rId9"/>
      <w:footerReference w:type="default" r:id="rId10"/>
      <w:headerReference w:type="first" r:id="rId11"/>
      <w:footerReference w:type="first" r:id="rId12"/>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E82F7" w14:textId="77777777" w:rsidR="0072129B" w:rsidRDefault="0072129B">
      <w:pPr>
        <w:spacing w:line="240" w:lineRule="auto"/>
      </w:pPr>
      <w:r>
        <w:separator/>
      </w:r>
    </w:p>
  </w:endnote>
  <w:endnote w:type="continuationSeparator" w:id="0">
    <w:p w14:paraId="190FE044" w14:textId="77777777" w:rsidR="0072129B" w:rsidRDefault="00721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45296" w14:textId="77777777" w:rsidR="0072129B" w:rsidRDefault="0072129B" w:rsidP="00976001">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D25CF" w14:textId="77777777" w:rsidR="0072129B" w:rsidRPr="00604F23" w:rsidRDefault="0072129B" w:rsidP="00604F23">
    <w:pPr>
      <w:pStyle w:val="Footer"/>
      <w:jc w:val="center"/>
      <w:rPr>
        <w:b/>
        <w:bCs/>
      </w:rPr>
    </w:pPr>
    <w:r>
      <w:rPr>
        <w:b/>
        <w:bCs/>
      </w:rPr>
      <w:t>SEE DISSENTING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B4109" w14:textId="77777777" w:rsidR="0072129B" w:rsidRDefault="0072129B" w:rsidP="00F33F91">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A6A1E" w14:textId="77777777" w:rsidR="0072129B" w:rsidRPr="00604F23" w:rsidRDefault="0072129B" w:rsidP="00604F23">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97FAB" w14:textId="77777777" w:rsidR="0072129B" w:rsidRDefault="0072129B" w:rsidP="00976001">
      <w:pPr>
        <w:spacing w:line="240" w:lineRule="auto"/>
      </w:pPr>
      <w:r>
        <w:separator/>
      </w:r>
    </w:p>
  </w:footnote>
  <w:footnote w:type="continuationSeparator" w:id="0">
    <w:p w14:paraId="3471AE09" w14:textId="77777777" w:rsidR="0072129B" w:rsidRDefault="0072129B" w:rsidP="00976001">
      <w:pPr>
        <w:spacing w:line="240" w:lineRule="auto"/>
      </w:pPr>
      <w:r>
        <w:continuationSeparator/>
      </w:r>
    </w:p>
  </w:footnote>
  <w:footnote w:id="1">
    <w:p w14:paraId="32D566DE" w14:textId="77777777" w:rsidR="0072129B" w:rsidRPr="006A290E" w:rsidRDefault="0072129B" w:rsidP="00DA4117">
      <w:pPr>
        <w:pStyle w:val="FootnoteText"/>
        <w:ind w:firstLine="720"/>
        <w:rPr>
          <w:szCs w:val="26"/>
        </w:rPr>
      </w:pPr>
      <w:r w:rsidRPr="006A290E">
        <w:rPr>
          <w:rStyle w:val="FootnoteReference"/>
          <w:szCs w:val="26"/>
        </w:rPr>
        <w:footnoteRef/>
      </w:r>
      <w:r w:rsidRPr="006A290E">
        <w:rPr>
          <w:szCs w:val="26"/>
        </w:rPr>
        <w:t xml:space="preserve"> Undesignated statutory references are to the Public Resources Code.</w:t>
      </w:r>
    </w:p>
  </w:footnote>
  <w:footnote w:id="2">
    <w:p w14:paraId="3FD81ABB" w14:textId="77777777" w:rsidR="0072129B" w:rsidRPr="006A290E" w:rsidRDefault="0072129B" w:rsidP="00DA4117">
      <w:pPr>
        <w:pStyle w:val="FootnoteText"/>
        <w:ind w:firstLine="720"/>
        <w:rPr>
          <w:szCs w:val="26"/>
        </w:rPr>
      </w:pPr>
      <w:r w:rsidRPr="006A290E">
        <w:rPr>
          <w:rStyle w:val="FootnoteReference"/>
          <w:szCs w:val="26"/>
        </w:rPr>
        <w:footnoteRef/>
      </w:r>
      <w:r w:rsidRPr="006A290E">
        <w:rPr>
          <w:szCs w:val="26"/>
        </w:rPr>
        <w:t xml:space="preserve"> At the time, “</w:t>
      </w:r>
      <w:proofErr w:type="spellStart"/>
      <w:r w:rsidRPr="006A290E">
        <w:rPr>
          <w:szCs w:val="26"/>
        </w:rPr>
        <w:t>CalGEM</w:t>
      </w:r>
      <w:proofErr w:type="spellEnd"/>
      <w:r w:rsidRPr="006A290E">
        <w:rPr>
          <w:szCs w:val="26"/>
        </w:rPr>
        <w:t xml:space="preserve"> was known as the Division of Oil, Gas, and Geothermal Resources, DOGGR.”  (</w:t>
      </w:r>
      <w:r w:rsidRPr="006A290E">
        <w:rPr>
          <w:i/>
          <w:iCs/>
          <w:szCs w:val="26"/>
        </w:rPr>
        <w:t xml:space="preserve">Chevron, supra, </w:t>
      </w:r>
      <w:r w:rsidRPr="006A290E">
        <w:rPr>
          <w:szCs w:val="26"/>
        </w:rPr>
        <w:t>15 Cal.5th at p. 140, fn. 3.)</w:t>
      </w:r>
      <w:r>
        <w:rPr>
          <w:szCs w:val="26"/>
        </w:rPr>
        <w:t xml:space="preserve"> </w:t>
      </w:r>
    </w:p>
  </w:footnote>
  <w:footnote w:id="3">
    <w:p w14:paraId="608647BB" w14:textId="77777777" w:rsidR="0072129B" w:rsidRPr="006A290E" w:rsidRDefault="0072129B" w:rsidP="00DA4117">
      <w:pPr>
        <w:pStyle w:val="FootnoteText"/>
        <w:ind w:firstLine="720"/>
        <w:rPr>
          <w:szCs w:val="26"/>
        </w:rPr>
      </w:pPr>
      <w:r w:rsidRPr="006A290E">
        <w:rPr>
          <w:rStyle w:val="FootnoteReference"/>
          <w:szCs w:val="26"/>
        </w:rPr>
        <w:footnoteRef/>
      </w:r>
      <w:r w:rsidRPr="006A290E">
        <w:rPr>
          <w:szCs w:val="26"/>
        </w:rPr>
        <w:t xml:space="preserve"> A surface expression is defined as “a flow, movement, or release from the subsurface to the surface of fluid or other material such as oil, water, steam, gas, formation solids, formation debris, material, or any combination thereof, that is outside of a wellbore and that appears to be caused by injection operations.”  (Cal. Code Regs., tit.</w:t>
      </w:r>
      <w:r>
        <w:rPr>
          <w:szCs w:val="26"/>
        </w:rPr>
        <w:t> </w:t>
      </w:r>
      <w:r w:rsidRPr="006A290E">
        <w:rPr>
          <w:szCs w:val="26"/>
        </w:rPr>
        <w:t>14, § 1720.1, subd. (n).)</w:t>
      </w:r>
    </w:p>
  </w:footnote>
  <w:footnote w:id="4">
    <w:p w14:paraId="1A7ABBEF" w14:textId="77777777" w:rsidR="0072129B" w:rsidRPr="006A290E" w:rsidRDefault="0072129B" w:rsidP="00DA4117">
      <w:pPr>
        <w:pStyle w:val="FootnoteText"/>
        <w:ind w:firstLine="720"/>
        <w:rPr>
          <w:szCs w:val="26"/>
        </w:rPr>
      </w:pPr>
      <w:r w:rsidRPr="006A290E">
        <w:rPr>
          <w:rStyle w:val="FootnoteReference"/>
          <w:szCs w:val="26"/>
        </w:rPr>
        <w:footnoteRef/>
      </w:r>
      <w:r w:rsidRPr="006A290E">
        <w:rPr>
          <w:szCs w:val="26"/>
        </w:rPr>
        <w:t xml:space="preserve"> TRC Operating Company, Inc. and TRC Cypress Group, LLC.</w:t>
      </w:r>
    </w:p>
  </w:footnote>
  <w:footnote w:id="5">
    <w:p w14:paraId="718881FC" w14:textId="77777777" w:rsidR="0072129B" w:rsidRDefault="0072129B" w:rsidP="00CC5A08">
      <w:pPr>
        <w:pStyle w:val="FootnoteText"/>
        <w:ind w:firstLine="720"/>
      </w:pPr>
      <w:r>
        <w:rPr>
          <w:rStyle w:val="FootnoteReference"/>
        </w:rPr>
        <w:footnoteRef/>
      </w:r>
      <w:r>
        <w:t xml:space="preserve"> </w:t>
      </w:r>
      <w:proofErr w:type="spellStart"/>
      <w:r>
        <w:t>CalGEM</w:t>
      </w:r>
      <w:proofErr w:type="spellEnd"/>
      <w:r>
        <w:t xml:space="preserve"> also requested us to judicially notice a document already contained in the record.  Because it is already in the record, we deny the request in the disposition.</w:t>
      </w:r>
    </w:p>
  </w:footnote>
  <w:footnote w:id="6">
    <w:p w14:paraId="1CEF894D" w14:textId="77777777" w:rsidR="0072129B" w:rsidRPr="006A290E" w:rsidRDefault="0072129B" w:rsidP="0014370C">
      <w:pPr>
        <w:pStyle w:val="FootnoteText"/>
        <w:ind w:firstLine="720"/>
        <w:rPr>
          <w:szCs w:val="26"/>
        </w:rPr>
      </w:pPr>
      <w:r w:rsidRPr="006A290E">
        <w:rPr>
          <w:rStyle w:val="FootnoteReference"/>
          <w:szCs w:val="26"/>
        </w:rPr>
        <w:footnoteRef/>
      </w:r>
      <w:r w:rsidRPr="006A290E">
        <w:rPr>
          <w:szCs w:val="26"/>
        </w:rPr>
        <w:t xml:space="preserve"> “An order requiring an operator to cease and desist operations pursuant to Section 3270.3 shall specify the operations that the operator is required to cease and desist and shall provide a detailed explanation of the steps that the operator shall take before the supervisor will permit the operations to resume.”  (§ 3225, subd. (b).)</w:t>
      </w:r>
    </w:p>
  </w:footnote>
  <w:footnote w:id="7">
    <w:p w14:paraId="2C73000D" w14:textId="77777777" w:rsidR="0072129B" w:rsidRPr="006A290E" w:rsidRDefault="0072129B" w:rsidP="0014370C">
      <w:pPr>
        <w:pStyle w:val="FootnoteText"/>
        <w:ind w:firstLine="720"/>
        <w:rPr>
          <w:szCs w:val="26"/>
        </w:rPr>
      </w:pPr>
      <w:r w:rsidRPr="006A290E">
        <w:rPr>
          <w:rStyle w:val="FootnoteReference"/>
          <w:szCs w:val="26"/>
        </w:rPr>
        <w:footnoteRef/>
      </w:r>
      <w:r w:rsidRPr="006A290E">
        <w:rPr>
          <w:szCs w:val="26"/>
        </w:rPr>
        <w:t xml:space="preserve"> It does not appear “emergency” is defined by statute.  The absence of a definition demonstrates </w:t>
      </w:r>
      <w:proofErr w:type="spellStart"/>
      <w:r w:rsidRPr="006A290E">
        <w:rPr>
          <w:szCs w:val="26"/>
        </w:rPr>
        <w:t>CalGEM’s</w:t>
      </w:r>
      <w:proofErr w:type="spellEnd"/>
      <w:r w:rsidRPr="006A290E">
        <w:rPr>
          <w:szCs w:val="26"/>
        </w:rPr>
        <w:t xml:space="preserve"> desire to promote transparency by adopting clear, standardized responses to surface expressions, rather than regulating on a case-by-case basis.  Indeed, as the regulations recognize, not all surface expressions are emergencies.  (</w:t>
      </w:r>
      <w:r>
        <w:rPr>
          <w:szCs w:val="26"/>
        </w:rPr>
        <w:t xml:space="preserve">E.g., </w:t>
      </w:r>
      <w:r w:rsidRPr="006A290E">
        <w:rPr>
          <w:szCs w:val="26"/>
        </w:rPr>
        <w:t>Cal. Code Regs., tit. 14, § 1724.12, subd. (b) [“low-energy seep” is not subject to certain regulations].)</w:t>
      </w:r>
    </w:p>
  </w:footnote>
  <w:footnote w:id="8">
    <w:p w14:paraId="52D5CB96" w14:textId="77777777" w:rsidR="0072129B" w:rsidRDefault="0072129B" w:rsidP="00C86482">
      <w:pPr>
        <w:pStyle w:val="FootnoteText"/>
        <w:ind w:firstLine="720"/>
      </w:pPr>
      <w:r>
        <w:rPr>
          <w:rStyle w:val="FootnoteReference"/>
        </w:rPr>
        <w:footnoteRef/>
      </w:r>
      <w:r>
        <w:t xml:space="preserve"> At oral argument, counsel for TRC suggested it was impossible </w:t>
      </w:r>
      <w:r>
        <w:t xml:space="preserve">to defend against </w:t>
      </w:r>
      <w:r>
        <w:t xml:space="preserve">a </w:t>
      </w:r>
      <w:proofErr w:type="gramStart"/>
      <w:r>
        <w:t>regulatory-violation</w:t>
      </w:r>
      <w:proofErr w:type="gramEnd"/>
      <w:r>
        <w:t xml:space="preserve"> notice because</w:t>
      </w:r>
      <w:r>
        <w:t xml:space="preserve"> </w:t>
      </w:r>
      <w:r>
        <w:t>an operator</w:t>
      </w:r>
      <w:r>
        <w:t>, by not complying,</w:t>
      </w:r>
      <w:r>
        <w:t xml:space="preserve"> necessarily </w:t>
      </w:r>
      <w:r>
        <w:t xml:space="preserve">violates the regulation </w:t>
      </w:r>
      <w:r>
        <w:t xml:space="preserve">to cease upon written direction from </w:t>
      </w:r>
      <w:proofErr w:type="spellStart"/>
      <w:r>
        <w:t>CalGEM</w:t>
      </w:r>
      <w:proofErr w:type="spellEnd"/>
      <w:r>
        <w:t>.</w:t>
      </w:r>
      <w:r>
        <w:t xml:space="preserve">  We disagree because</w:t>
      </w:r>
      <w:r>
        <w:t>, as stated,</w:t>
      </w:r>
      <w:r>
        <w:t xml:space="preserve"> the cause underlying a surface expression is an indispensable element </w:t>
      </w:r>
      <w:r>
        <w:t>for any statutory order pursuant to these regulations</w:t>
      </w:r>
      <w:r>
        <w:t>.</w:t>
      </w:r>
      <w:r>
        <w:t xml:space="preserve">  </w:t>
      </w:r>
      <w:proofErr w:type="spellStart"/>
      <w:r>
        <w:t>CalGEM’s</w:t>
      </w:r>
      <w:proofErr w:type="spellEnd"/>
      <w:r>
        <w:t xml:space="preserve"> actions may otherwise, if appropriate, be challenged by administrative mandamus.</w:t>
      </w:r>
    </w:p>
  </w:footnote>
  <w:footnote w:id="9">
    <w:p w14:paraId="6EF023AA" w14:textId="77777777" w:rsidR="0072129B" w:rsidRPr="006A290E" w:rsidRDefault="0072129B" w:rsidP="00CE35AA">
      <w:pPr>
        <w:pStyle w:val="FootnoteText"/>
        <w:ind w:firstLine="720"/>
        <w:rPr>
          <w:szCs w:val="26"/>
        </w:rPr>
      </w:pPr>
      <w:r w:rsidRPr="006A290E">
        <w:rPr>
          <w:rStyle w:val="FootnoteReference"/>
          <w:szCs w:val="26"/>
        </w:rPr>
        <w:footnoteRef/>
      </w:r>
      <w:r w:rsidRPr="006A290E">
        <w:rPr>
          <w:szCs w:val="26"/>
        </w:rPr>
        <w:t xml:space="preserve"> The Attorney General, representing </w:t>
      </w:r>
      <w:proofErr w:type="spellStart"/>
      <w:r w:rsidRPr="006A290E">
        <w:rPr>
          <w:szCs w:val="26"/>
        </w:rPr>
        <w:t>CalGEM</w:t>
      </w:r>
      <w:proofErr w:type="spellEnd"/>
      <w:r w:rsidRPr="006A290E">
        <w:rPr>
          <w:szCs w:val="26"/>
        </w:rPr>
        <w:t>, endorses this approach.  TRC, in its complaint, had also alleged an inverse condemnation claim.  The status of that claim is unclear.</w:t>
      </w:r>
    </w:p>
  </w:footnote>
  <w:footnote w:id="10">
    <w:p w14:paraId="0D95195C" w14:textId="77777777" w:rsidR="0072129B" w:rsidRDefault="0072129B" w:rsidP="000108F7">
      <w:pPr>
        <w:pStyle w:val="FootnoteText"/>
        <w:spacing w:after="0"/>
        <w:ind w:firstLine="720"/>
      </w:pPr>
      <w:r>
        <w:rPr>
          <w:rStyle w:val="FootnoteReference"/>
        </w:rPr>
        <w:footnoteRef/>
      </w:r>
      <w:r>
        <w:t xml:space="preserve"> All further undesignated statutory references are to the Public Resources Code unless otherwise stated.</w:t>
      </w:r>
    </w:p>
  </w:footnote>
  <w:footnote w:id="11">
    <w:p w14:paraId="2BFAA7C7" w14:textId="77777777" w:rsidR="0072129B" w:rsidRDefault="0072129B" w:rsidP="000108F7">
      <w:pPr>
        <w:pStyle w:val="FootnoteText"/>
        <w:spacing w:after="0"/>
        <w:ind w:firstLine="720"/>
      </w:pPr>
      <w:r>
        <w:rPr>
          <w:rStyle w:val="FootnoteReference"/>
        </w:rPr>
        <w:footnoteRef/>
      </w:r>
      <w:r>
        <w:t xml:space="preserve"> If an emergency order is set aside on appeal, </w:t>
      </w:r>
      <w:proofErr w:type="spellStart"/>
      <w:r>
        <w:t>CalGEM</w:t>
      </w:r>
      <w:proofErr w:type="spellEnd"/>
      <w:r>
        <w:t xml:space="preserve"> must reimburse the operator for costs.  (§ 3350, subd. (b)(2).)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FF260" w14:textId="77777777" w:rsidR="0072129B" w:rsidRPr="001046CC" w:rsidRDefault="0072129B">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E69D" w14:textId="77777777" w:rsidR="0072129B" w:rsidRPr="000108F7" w:rsidRDefault="0072129B">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num w:numId="1" w16cid:durableId="1431311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0"/>
    <w:rsid w:val="0072129B"/>
    <w:rsid w:val="008A6958"/>
    <w:rsid w:val="008B5870"/>
    <w:rsid w:val="009D2CFD"/>
    <w:rsid w:val="00AA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15143"/>
    <w:pPr>
      <w:spacing w:line="480" w:lineRule="atLeast"/>
    </w:pPr>
    <w:rPr>
      <w:rFonts w:ascii="Times New Roman" w:hAnsi="Times New Roman"/>
      <w:szCs w:val="20"/>
    </w:rPr>
  </w:style>
  <w:style w:type="paragraph" w:styleId="Heading1">
    <w:name w:val="heading 1"/>
    <w:basedOn w:val="Normal"/>
    <w:next w:val="Normal"/>
    <w:link w:val="Heading1Char"/>
    <w:qFormat/>
    <w:rsid w:val="00215143"/>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215143"/>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215143"/>
    <w:pPr>
      <w:keepNext/>
      <w:spacing w:before="240" w:after="60"/>
      <w:outlineLvl w:val="2"/>
    </w:pPr>
    <w:rPr>
      <w:b/>
    </w:rPr>
  </w:style>
  <w:style w:type="paragraph" w:styleId="Heading4">
    <w:name w:val="heading 4"/>
    <w:basedOn w:val="Normal"/>
    <w:next w:val="Normal"/>
    <w:link w:val="Heading4Char"/>
    <w:qFormat/>
    <w:rsid w:val="00215143"/>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215143"/>
    <w:pPr>
      <w:spacing w:before="240" w:after="60"/>
      <w:outlineLvl w:val="4"/>
    </w:pPr>
    <w:rPr>
      <w:sz w:val="22"/>
    </w:rPr>
  </w:style>
  <w:style w:type="paragraph" w:styleId="Heading6">
    <w:name w:val="heading 6"/>
    <w:basedOn w:val="Normal"/>
    <w:next w:val="Normal"/>
    <w:link w:val="Heading6Char"/>
    <w:uiPriority w:val="9"/>
    <w:semiHidden/>
    <w:unhideWhenUsed/>
    <w:qFormat/>
    <w:rsid w:val="0021514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15143"/>
    <w:pPr>
      <w:spacing w:before="240" w:after="60"/>
      <w:outlineLvl w:val="6"/>
    </w:pPr>
    <w:rPr>
      <w:sz w:val="24"/>
    </w:rPr>
  </w:style>
  <w:style w:type="paragraph" w:styleId="Heading8">
    <w:name w:val="heading 8"/>
    <w:basedOn w:val="Normal"/>
    <w:next w:val="Normal"/>
    <w:link w:val="Heading8Char"/>
    <w:uiPriority w:val="9"/>
    <w:semiHidden/>
    <w:unhideWhenUsed/>
    <w:qFormat/>
    <w:rsid w:val="0021514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1514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43"/>
    <w:rPr>
      <w:rFonts w:ascii="Times New Roman" w:eastAsia="Times New Roman" w:hAnsi="Times New Roman"/>
      <w:b/>
      <w:szCs w:val="20"/>
    </w:rPr>
  </w:style>
  <w:style w:type="character" w:customStyle="1" w:styleId="Heading2Char">
    <w:name w:val="Heading 2 Char"/>
    <w:basedOn w:val="DefaultParagraphFont"/>
    <w:link w:val="Heading2"/>
    <w:rsid w:val="00215143"/>
    <w:rPr>
      <w:rFonts w:ascii="Times New Roman" w:eastAsia="Times New Roman" w:hAnsi="Times New Roman"/>
      <w:b/>
      <w:szCs w:val="20"/>
    </w:rPr>
  </w:style>
  <w:style w:type="character" w:customStyle="1" w:styleId="Heading3Char">
    <w:name w:val="Heading 3 Char"/>
    <w:basedOn w:val="DefaultParagraphFont"/>
    <w:link w:val="Heading3"/>
    <w:rsid w:val="00215143"/>
    <w:rPr>
      <w:rFonts w:ascii="Times New Roman" w:eastAsia="Times New Roman" w:hAnsi="Times New Roman"/>
      <w:b/>
      <w:szCs w:val="20"/>
    </w:rPr>
  </w:style>
  <w:style w:type="character" w:customStyle="1" w:styleId="Heading4Char">
    <w:name w:val="Heading 4 Char"/>
    <w:basedOn w:val="DefaultParagraphFont"/>
    <w:link w:val="Heading4"/>
    <w:rsid w:val="00215143"/>
    <w:rPr>
      <w:rFonts w:ascii="Times New Roman" w:eastAsia="Times New Roman" w:hAnsi="Times New Roman"/>
      <w:b/>
      <w:szCs w:val="20"/>
    </w:rPr>
  </w:style>
  <w:style w:type="character" w:customStyle="1" w:styleId="Heading5Char">
    <w:name w:val="Heading 5 Char"/>
    <w:basedOn w:val="DefaultParagraphFont"/>
    <w:link w:val="Heading5"/>
    <w:rsid w:val="00215143"/>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21514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21514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21514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215143"/>
    <w:rPr>
      <w:rFonts w:asciiTheme="majorHAnsi" w:eastAsiaTheme="majorEastAsia" w:hAnsiTheme="majorHAnsi"/>
    </w:rPr>
  </w:style>
  <w:style w:type="paragraph" w:styleId="Title">
    <w:name w:val="Title"/>
    <w:basedOn w:val="Normal"/>
    <w:link w:val="TitleChar"/>
    <w:qFormat/>
    <w:rsid w:val="00215143"/>
    <w:pPr>
      <w:keepNext/>
      <w:keepLines/>
      <w:jc w:val="center"/>
      <w:outlineLvl w:val="0"/>
    </w:pPr>
    <w:rPr>
      <w:b/>
      <w:caps/>
    </w:rPr>
  </w:style>
  <w:style w:type="character" w:customStyle="1" w:styleId="TitleChar">
    <w:name w:val="Title Char"/>
    <w:basedOn w:val="DefaultParagraphFont"/>
    <w:link w:val="Title"/>
    <w:rsid w:val="00215143"/>
    <w:rPr>
      <w:rFonts w:ascii="Times New Roman" w:eastAsia="Times New Roman" w:hAnsi="Times New Roman"/>
      <w:b/>
      <w:caps/>
      <w:szCs w:val="20"/>
    </w:rPr>
  </w:style>
  <w:style w:type="paragraph" w:styleId="Subtitle">
    <w:name w:val="Subtitle"/>
    <w:basedOn w:val="Normal"/>
    <w:next w:val="Normal"/>
    <w:link w:val="SubtitleChar"/>
    <w:uiPriority w:val="11"/>
    <w:qFormat/>
    <w:rsid w:val="0021514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1514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215143"/>
    <w:pPr>
      <w:outlineLvl w:val="9"/>
    </w:pPr>
  </w:style>
  <w:style w:type="character" w:styleId="Strong">
    <w:name w:val="Strong"/>
    <w:basedOn w:val="DefaultParagraphFont"/>
    <w:uiPriority w:val="22"/>
    <w:rsid w:val="00215143"/>
    <w:rPr>
      <w:b/>
      <w:bCs/>
    </w:rPr>
  </w:style>
  <w:style w:type="character" w:styleId="Emphasis">
    <w:name w:val="Emphasis"/>
    <w:basedOn w:val="DefaultParagraphFont"/>
    <w:uiPriority w:val="20"/>
    <w:rsid w:val="00215143"/>
    <w:rPr>
      <w:rFonts w:asciiTheme="minorHAnsi" w:hAnsiTheme="minorHAnsi"/>
      <w:b/>
      <w:i/>
      <w:iCs/>
    </w:rPr>
  </w:style>
  <w:style w:type="paragraph" w:styleId="NoSpacing">
    <w:name w:val="No Spacing"/>
    <w:basedOn w:val="Normal"/>
    <w:uiPriority w:val="1"/>
    <w:rsid w:val="00215143"/>
    <w:rPr>
      <w:szCs w:val="32"/>
    </w:rPr>
  </w:style>
  <w:style w:type="paragraph" w:styleId="ListParagraph">
    <w:name w:val="List Paragraph"/>
    <w:basedOn w:val="Normal"/>
    <w:uiPriority w:val="34"/>
    <w:rsid w:val="00215143"/>
    <w:pPr>
      <w:ind w:left="720"/>
      <w:contextualSpacing/>
    </w:pPr>
  </w:style>
  <w:style w:type="paragraph" w:styleId="Quote">
    <w:name w:val="Quote"/>
    <w:basedOn w:val="Normal"/>
    <w:next w:val="Normal"/>
    <w:link w:val="QuoteChar"/>
    <w:uiPriority w:val="29"/>
    <w:rsid w:val="00215143"/>
    <w:rPr>
      <w:i/>
    </w:rPr>
  </w:style>
  <w:style w:type="character" w:customStyle="1" w:styleId="QuoteChar">
    <w:name w:val="Quote Char"/>
    <w:basedOn w:val="DefaultParagraphFont"/>
    <w:link w:val="Quote"/>
    <w:uiPriority w:val="29"/>
    <w:rsid w:val="00215143"/>
    <w:rPr>
      <w:rFonts w:ascii="Times New Roman" w:eastAsia="Times New Roman" w:hAnsi="Times New Roman"/>
      <w:i/>
      <w:szCs w:val="20"/>
    </w:rPr>
  </w:style>
  <w:style w:type="paragraph" w:styleId="IntenseQuote">
    <w:name w:val="Intense Quote"/>
    <w:basedOn w:val="Normal"/>
    <w:next w:val="Normal"/>
    <w:link w:val="IntenseQuoteChar"/>
    <w:uiPriority w:val="30"/>
    <w:rsid w:val="00215143"/>
    <w:pPr>
      <w:ind w:left="720" w:right="720"/>
    </w:pPr>
    <w:rPr>
      <w:b/>
      <w:i/>
      <w:szCs w:val="22"/>
    </w:rPr>
  </w:style>
  <w:style w:type="character" w:customStyle="1" w:styleId="IntenseQuoteChar">
    <w:name w:val="Intense Quote Char"/>
    <w:basedOn w:val="DefaultParagraphFont"/>
    <w:link w:val="IntenseQuote"/>
    <w:uiPriority w:val="30"/>
    <w:rsid w:val="00215143"/>
    <w:rPr>
      <w:rFonts w:ascii="Times New Roman" w:eastAsia="Times New Roman" w:hAnsi="Times New Roman"/>
      <w:b/>
      <w:i/>
      <w:szCs w:val="22"/>
    </w:rPr>
  </w:style>
  <w:style w:type="character" w:styleId="SubtleEmphasis">
    <w:name w:val="Subtle Emphasis"/>
    <w:uiPriority w:val="19"/>
    <w:rsid w:val="00215143"/>
    <w:rPr>
      <w:i/>
      <w:color w:val="5A5A5A" w:themeColor="text1" w:themeTint="A5"/>
    </w:rPr>
  </w:style>
  <w:style w:type="character" w:styleId="IntenseEmphasis">
    <w:name w:val="Intense Emphasis"/>
    <w:basedOn w:val="DefaultParagraphFont"/>
    <w:uiPriority w:val="21"/>
    <w:rsid w:val="00215143"/>
    <w:rPr>
      <w:b/>
      <w:i/>
      <w:sz w:val="24"/>
      <w:szCs w:val="24"/>
      <w:u w:val="single"/>
    </w:rPr>
  </w:style>
  <w:style w:type="character" w:styleId="SubtleReference">
    <w:name w:val="Subtle Reference"/>
    <w:basedOn w:val="DefaultParagraphFont"/>
    <w:uiPriority w:val="31"/>
    <w:rsid w:val="00215143"/>
    <w:rPr>
      <w:sz w:val="24"/>
      <w:szCs w:val="24"/>
      <w:u w:val="single"/>
    </w:rPr>
  </w:style>
  <w:style w:type="character" w:styleId="IntenseReference">
    <w:name w:val="Intense Reference"/>
    <w:basedOn w:val="DefaultParagraphFont"/>
    <w:uiPriority w:val="32"/>
    <w:rsid w:val="00215143"/>
    <w:rPr>
      <w:b/>
      <w:sz w:val="24"/>
      <w:u w:val="single"/>
    </w:rPr>
  </w:style>
  <w:style w:type="character" w:styleId="BookTitle">
    <w:name w:val="Book Title"/>
    <w:basedOn w:val="DefaultParagraphFont"/>
    <w:uiPriority w:val="33"/>
    <w:rsid w:val="00215143"/>
    <w:rPr>
      <w:rFonts w:asciiTheme="majorHAnsi" w:eastAsiaTheme="majorEastAsia" w:hAnsiTheme="majorHAnsi"/>
      <w:b/>
      <w:i/>
      <w:sz w:val="24"/>
      <w:szCs w:val="24"/>
    </w:rPr>
  </w:style>
  <w:style w:type="paragraph" w:styleId="EnvelopeAddress">
    <w:name w:val="envelope address"/>
    <w:basedOn w:val="Normal"/>
    <w:rsid w:val="00215143"/>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215143"/>
    <w:pPr>
      <w:spacing w:line="240" w:lineRule="atLeast"/>
    </w:pPr>
    <w:rPr>
      <w:rFonts w:ascii="Arial" w:hAnsi="Arial"/>
      <w:sz w:val="20"/>
    </w:rPr>
  </w:style>
  <w:style w:type="paragraph" w:styleId="Footer">
    <w:name w:val="footer"/>
    <w:basedOn w:val="Normal"/>
    <w:link w:val="FooterChar"/>
    <w:rsid w:val="00215143"/>
    <w:pPr>
      <w:tabs>
        <w:tab w:val="center" w:pos="4320"/>
        <w:tab w:val="right" w:pos="8640"/>
      </w:tabs>
    </w:pPr>
  </w:style>
  <w:style w:type="character" w:customStyle="1" w:styleId="FooterChar">
    <w:name w:val="Footer Char"/>
    <w:basedOn w:val="DefaultParagraphFont"/>
    <w:link w:val="Footer"/>
    <w:rsid w:val="00215143"/>
    <w:rPr>
      <w:rFonts w:ascii="Times New Roman" w:eastAsia="Times New Roman" w:hAnsi="Times New Roman"/>
      <w:szCs w:val="20"/>
    </w:rPr>
  </w:style>
  <w:style w:type="character" w:styleId="FootnoteReference">
    <w:name w:val="footnote reference"/>
    <w:basedOn w:val="DefaultParagraphFont"/>
    <w:uiPriority w:val="99"/>
    <w:rsid w:val="00215143"/>
    <w:rPr>
      <w:b/>
      <w:position w:val="8"/>
      <w:sz w:val="20"/>
      <w:vertAlign w:val="baseline"/>
    </w:rPr>
  </w:style>
  <w:style w:type="paragraph" w:styleId="FootnoteText">
    <w:name w:val="footnote text"/>
    <w:basedOn w:val="Normal"/>
    <w:link w:val="FootnoteTextChar"/>
    <w:uiPriority w:val="99"/>
    <w:rsid w:val="00215143"/>
    <w:pPr>
      <w:spacing w:after="120" w:line="240" w:lineRule="auto"/>
    </w:pPr>
  </w:style>
  <w:style w:type="character" w:customStyle="1" w:styleId="FootnoteTextChar">
    <w:name w:val="Footnote Text Char"/>
    <w:basedOn w:val="DefaultParagraphFont"/>
    <w:link w:val="FootnoteText"/>
    <w:uiPriority w:val="99"/>
    <w:rsid w:val="00215143"/>
    <w:rPr>
      <w:rFonts w:ascii="Times New Roman" w:eastAsia="Times New Roman" w:hAnsi="Times New Roman"/>
      <w:szCs w:val="20"/>
    </w:rPr>
  </w:style>
  <w:style w:type="paragraph" w:styleId="Header">
    <w:name w:val="header"/>
    <w:basedOn w:val="Normal"/>
    <w:link w:val="HeaderChar"/>
    <w:rsid w:val="00215143"/>
    <w:pPr>
      <w:tabs>
        <w:tab w:val="center" w:pos="4320"/>
        <w:tab w:val="right" w:pos="8640"/>
      </w:tabs>
    </w:pPr>
  </w:style>
  <w:style w:type="character" w:customStyle="1" w:styleId="HeaderChar">
    <w:name w:val="Header Char"/>
    <w:basedOn w:val="DefaultParagraphFont"/>
    <w:link w:val="Header"/>
    <w:rsid w:val="00215143"/>
    <w:rPr>
      <w:rFonts w:ascii="Times New Roman" w:eastAsia="Times New Roman" w:hAnsi="Times New Roman"/>
      <w:szCs w:val="20"/>
    </w:rPr>
  </w:style>
  <w:style w:type="paragraph" w:customStyle="1" w:styleId="IndentedQuote">
    <w:name w:val="IndentedQuote"/>
    <w:basedOn w:val="Normal"/>
    <w:rsid w:val="00215143"/>
    <w:pPr>
      <w:spacing w:line="260" w:lineRule="exact"/>
      <w:ind w:left="1080" w:right="1080"/>
    </w:pPr>
  </w:style>
  <w:style w:type="paragraph" w:styleId="MacroText">
    <w:name w:val="macro"/>
    <w:link w:val="MacroTextChar"/>
    <w:semiHidden/>
    <w:rsid w:val="00215143"/>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215143"/>
    <w:rPr>
      <w:rFonts w:ascii="Courier New" w:eastAsia="Times New Roman" w:hAnsi="Courier New"/>
      <w:sz w:val="20"/>
      <w:szCs w:val="20"/>
    </w:rPr>
  </w:style>
  <w:style w:type="character" w:styleId="PageNumber">
    <w:name w:val="page number"/>
    <w:basedOn w:val="DefaultParagraphFont"/>
    <w:rsid w:val="00215143"/>
  </w:style>
  <w:style w:type="paragraph" w:styleId="BodyText">
    <w:name w:val="Body Text"/>
    <w:basedOn w:val="Normal"/>
    <w:link w:val="BodyTextChar"/>
    <w:rsid w:val="00215143"/>
    <w:pPr>
      <w:spacing w:after="120"/>
    </w:pPr>
  </w:style>
  <w:style w:type="character" w:customStyle="1" w:styleId="BodyTextChar">
    <w:name w:val="Body Text Char"/>
    <w:basedOn w:val="DefaultParagraphFont"/>
    <w:link w:val="BodyText"/>
    <w:rsid w:val="00215143"/>
    <w:rPr>
      <w:rFonts w:ascii="Times New Roman" w:eastAsia="Times New Roman" w:hAnsi="Times New Roman"/>
      <w:szCs w:val="20"/>
    </w:rPr>
  </w:style>
  <w:style w:type="paragraph" w:styleId="Closing">
    <w:name w:val="Closing"/>
    <w:basedOn w:val="BodyText"/>
    <w:link w:val="ClosingChar"/>
    <w:rsid w:val="00215143"/>
    <w:pPr>
      <w:keepNext/>
      <w:spacing w:after="160" w:line="240" w:lineRule="auto"/>
      <w:ind w:left="5040"/>
    </w:pPr>
    <w:rPr>
      <w:sz w:val="24"/>
    </w:rPr>
  </w:style>
  <w:style w:type="character" w:customStyle="1" w:styleId="ClosingChar">
    <w:name w:val="Closing Char"/>
    <w:basedOn w:val="DefaultParagraphFont"/>
    <w:link w:val="Closing"/>
    <w:rsid w:val="00215143"/>
    <w:rPr>
      <w:rFonts w:ascii="Times New Roman" w:eastAsia="Times New Roman" w:hAnsi="Times New Roman"/>
      <w:sz w:val="24"/>
      <w:szCs w:val="20"/>
    </w:rPr>
  </w:style>
  <w:style w:type="paragraph" w:styleId="CommentText">
    <w:name w:val="annotation text"/>
    <w:basedOn w:val="Normal"/>
    <w:link w:val="CommentTextChar"/>
    <w:semiHidden/>
    <w:rsid w:val="00215143"/>
    <w:rPr>
      <w:sz w:val="20"/>
    </w:rPr>
  </w:style>
  <w:style w:type="character" w:customStyle="1" w:styleId="CommentTextChar">
    <w:name w:val="Comment Text Char"/>
    <w:basedOn w:val="DefaultParagraphFont"/>
    <w:link w:val="CommentText"/>
    <w:semiHidden/>
    <w:rsid w:val="00215143"/>
    <w:rPr>
      <w:rFonts w:ascii="Times New Roman" w:eastAsia="Times New Roman" w:hAnsi="Times New Roman"/>
      <w:sz w:val="20"/>
      <w:szCs w:val="20"/>
    </w:rPr>
  </w:style>
  <w:style w:type="paragraph" w:customStyle="1" w:styleId="CoSigners">
    <w:name w:val="CoSigners"/>
    <w:basedOn w:val="Normal"/>
    <w:rsid w:val="00215143"/>
    <w:pPr>
      <w:tabs>
        <w:tab w:val="left" w:pos="5760"/>
      </w:tabs>
      <w:spacing w:line="240" w:lineRule="auto"/>
    </w:pPr>
  </w:style>
  <w:style w:type="paragraph" w:customStyle="1" w:styleId="CourierNormal">
    <w:name w:val="CourierNormal"/>
    <w:basedOn w:val="Normal"/>
    <w:rsid w:val="00215143"/>
  </w:style>
  <w:style w:type="paragraph" w:customStyle="1" w:styleId="DateNameAttySec">
    <w:name w:val="Date/Name/Atty/Sec"/>
    <w:basedOn w:val="Normal"/>
    <w:rsid w:val="00215143"/>
    <w:pPr>
      <w:spacing w:line="240" w:lineRule="auto"/>
      <w:ind w:left="5760" w:hanging="360"/>
    </w:pPr>
  </w:style>
  <w:style w:type="paragraph" w:styleId="DocumentMap">
    <w:name w:val="Document Map"/>
    <w:basedOn w:val="Normal"/>
    <w:link w:val="DocumentMapChar"/>
    <w:semiHidden/>
    <w:rsid w:val="00215143"/>
    <w:pPr>
      <w:shd w:val="clear" w:color="auto" w:fill="000080"/>
    </w:pPr>
    <w:rPr>
      <w:rFonts w:ascii="Tahoma" w:hAnsi="Tahoma"/>
    </w:rPr>
  </w:style>
  <w:style w:type="character" w:customStyle="1" w:styleId="DocumentMapChar">
    <w:name w:val="Document Map Char"/>
    <w:basedOn w:val="DefaultParagraphFont"/>
    <w:link w:val="DocumentMap"/>
    <w:semiHidden/>
    <w:rsid w:val="00215143"/>
    <w:rPr>
      <w:rFonts w:ascii="Tahoma" w:eastAsia="Times New Roman" w:hAnsi="Tahoma"/>
      <w:szCs w:val="20"/>
      <w:shd w:val="clear" w:color="auto" w:fill="000080"/>
    </w:rPr>
  </w:style>
  <w:style w:type="paragraph" w:customStyle="1" w:styleId="Enclosure">
    <w:name w:val="Enclosure"/>
    <w:basedOn w:val="BodyText"/>
    <w:next w:val="Normal"/>
    <w:rsid w:val="00215143"/>
    <w:pPr>
      <w:keepLines/>
      <w:spacing w:after="160" w:line="240" w:lineRule="auto"/>
    </w:pPr>
    <w:rPr>
      <w:rFonts w:ascii="Garamond" w:hAnsi="Garamond"/>
      <w:sz w:val="24"/>
    </w:rPr>
  </w:style>
  <w:style w:type="paragraph" w:customStyle="1" w:styleId="IndentedQuote0">
    <w:name w:val="Indented Quote"/>
    <w:basedOn w:val="Normal"/>
    <w:rsid w:val="00215143"/>
    <w:pPr>
      <w:spacing w:before="240" w:line="240" w:lineRule="auto"/>
      <w:ind w:left="720" w:right="720"/>
    </w:pPr>
  </w:style>
  <w:style w:type="paragraph" w:customStyle="1" w:styleId="InsideAddress">
    <w:name w:val="InsideAddress"/>
    <w:basedOn w:val="Normal"/>
    <w:rsid w:val="00215143"/>
    <w:pPr>
      <w:spacing w:before="360"/>
    </w:pPr>
    <w:rPr>
      <w:sz w:val="24"/>
    </w:rPr>
  </w:style>
  <w:style w:type="paragraph" w:styleId="List3">
    <w:name w:val="List 3"/>
    <w:basedOn w:val="Normal"/>
    <w:rsid w:val="00215143"/>
    <w:pPr>
      <w:spacing w:line="240" w:lineRule="atLeast"/>
      <w:ind w:left="1080" w:hanging="360"/>
    </w:pPr>
  </w:style>
  <w:style w:type="paragraph" w:styleId="ListNumber3">
    <w:name w:val="List Number 3"/>
    <w:basedOn w:val="Normal"/>
    <w:rsid w:val="00215143"/>
    <w:pPr>
      <w:numPr>
        <w:numId w:val="1"/>
      </w:numPr>
      <w:spacing w:line="240" w:lineRule="atLeast"/>
    </w:pPr>
  </w:style>
  <w:style w:type="paragraph" w:styleId="PlainText">
    <w:name w:val="Plain Text"/>
    <w:basedOn w:val="Normal"/>
    <w:link w:val="PlainTextChar"/>
    <w:rsid w:val="00215143"/>
    <w:pPr>
      <w:spacing w:line="240" w:lineRule="atLeast"/>
    </w:pPr>
    <w:rPr>
      <w:rFonts w:ascii="Arial" w:hAnsi="Arial"/>
      <w:sz w:val="20"/>
    </w:rPr>
  </w:style>
  <w:style w:type="character" w:customStyle="1" w:styleId="PlainTextChar">
    <w:name w:val="Plain Text Char"/>
    <w:basedOn w:val="DefaultParagraphFont"/>
    <w:link w:val="PlainText"/>
    <w:rsid w:val="00215143"/>
    <w:rPr>
      <w:rFonts w:ascii="Arial" w:eastAsia="Times New Roman" w:hAnsi="Arial"/>
      <w:sz w:val="20"/>
      <w:szCs w:val="20"/>
    </w:rPr>
  </w:style>
  <w:style w:type="paragraph" w:customStyle="1" w:styleId="Separator">
    <w:name w:val="Separator"/>
    <w:basedOn w:val="Normal"/>
    <w:rsid w:val="00215143"/>
    <w:pPr>
      <w:spacing w:line="240" w:lineRule="atLeast"/>
    </w:pPr>
    <w:rPr>
      <w:sz w:val="24"/>
    </w:rPr>
  </w:style>
  <w:style w:type="paragraph" w:customStyle="1" w:styleId="Sidehead">
    <w:name w:val="Sidehead"/>
    <w:basedOn w:val="Normal"/>
    <w:rsid w:val="00215143"/>
    <w:pPr>
      <w:keepNext/>
    </w:pPr>
    <w:rPr>
      <w:b/>
      <w:smallCaps/>
    </w:rPr>
  </w:style>
  <w:style w:type="paragraph" w:styleId="Signature">
    <w:name w:val="Signature"/>
    <w:basedOn w:val="Normal"/>
    <w:link w:val="SignatureChar"/>
    <w:rsid w:val="00215143"/>
    <w:pPr>
      <w:ind w:left="4320"/>
    </w:pPr>
  </w:style>
  <w:style w:type="character" w:customStyle="1" w:styleId="SignatureChar">
    <w:name w:val="Signature Char"/>
    <w:basedOn w:val="DefaultParagraphFont"/>
    <w:link w:val="Signature"/>
    <w:rsid w:val="00215143"/>
    <w:rPr>
      <w:rFonts w:ascii="Times New Roman" w:eastAsia="Times New Roman" w:hAnsi="Times New Roman"/>
      <w:szCs w:val="20"/>
    </w:rPr>
  </w:style>
  <w:style w:type="paragraph" w:customStyle="1" w:styleId="SignatureName">
    <w:name w:val="Signature Name"/>
    <w:basedOn w:val="Signature"/>
    <w:next w:val="Normal"/>
    <w:rsid w:val="00215143"/>
  </w:style>
  <w:style w:type="paragraph" w:customStyle="1" w:styleId="ToJustices">
    <w:name w:val="ToJustices"/>
    <w:basedOn w:val="Normal"/>
    <w:rsid w:val="00215143"/>
    <w:pPr>
      <w:tabs>
        <w:tab w:val="left" w:pos="5400"/>
      </w:tabs>
      <w:spacing w:line="240" w:lineRule="auto"/>
    </w:pPr>
  </w:style>
  <w:style w:type="paragraph" w:customStyle="1" w:styleId="Default">
    <w:name w:val="Default"/>
    <w:rsid w:val="00941327"/>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4763</Words>
  <Characters>26733</Characters>
  <Application>Microsoft Office Word</Application>
  <DocSecurity>0</DocSecurity>
  <Lines>451</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2024-03-01T23:37:00Z</dcterms:created>
  <dcterms:modified xsi:type="dcterms:W3CDTF">2024-03-01T23:37:00Z</dcterms:modified>
  <cp:category/>
</cp:coreProperties>
</file>