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1543B" w:rsidRPr="00CB3D48" w:rsidP="0041543B" w14:paraId="14301DC2" w14:textId="4929B0E2">
      <w:pPr>
        <w:rPr>
          <w:sz w:val="20"/>
          <w:szCs w:val="20"/>
        </w:rPr>
      </w:pPr>
      <w:r w:rsidRPr="00CB3D48">
        <w:rPr>
          <w:sz w:val="20"/>
          <w:szCs w:val="20"/>
        </w:rPr>
        <w:t>Filed 1</w:t>
      </w:r>
      <w:r w:rsidRPr="00CB3D48" w:rsidR="00CB3D48">
        <w:rPr>
          <w:sz w:val="20"/>
          <w:szCs w:val="20"/>
        </w:rPr>
        <w:t>/</w:t>
      </w:r>
      <w:r w:rsidRPr="00CB3D48">
        <w:rPr>
          <w:sz w:val="20"/>
          <w:szCs w:val="20"/>
        </w:rPr>
        <w:t>11</w:t>
      </w:r>
      <w:r w:rsidRPr="00CB3D48" w:rsidR="00CB3D48">
        <w:rPr>
          <w:sz w:val="20"/>
          <w:szCs w:val="20"/>
        </w:rPr>
        <w:t>/</w:t>
      </w:r>
      <w:r w:rsidRPr="00CB3D48">
        <w:rPr>
          <w:sz w:val="20"/>
          <w:szCs w:val="20"/>
        </w:rPr>
        <w:t>24</w:t>
      </w:r>
      <w:r w:rsidR="00CB2F55">
        <w:rPr>
          <w:sz w:val="20"/>
          <w:szCs w:val="20"/>
        </w:rPr>
        <w:t>; Certified for Publication 2/5/24</w:t>
      </w:r>
      <w:r w:rsidR="00FA1E2D">
        <w:rPr>
          <w:sz w:val="20"/>
          <w:szCs w:val="20"/>
        </w:rPr>
        <w:t xml:space="preserve"> (order attached)</w:t>
      </w:r>
    </w:p>
    <w:p w:rsidR="008F4FBF" w:rsidP="0041543B" w14:paraId="772B3091" w14:textId="4EF31898"/>
    <w:p w:rsidR="008F4FBF" w:rsidP="0041543B" w14:paraId="5F036B0A" w14:textId="212E4716"/>
    <w:p w:rsidR="008F4FBF" w:rsidP="0041543B" w14:paraId="0769D26A" w14:textId="01B9E190"/>
    <w:p w:rsidR="008F4FBF" w:rsidP="0041543B" w14:paraId="530EF581" w14:textId="77777777"/>
    <w:p w:rsidR="0041543B" w:rsidP="0041543B" w14:paraId="14F266EF" w14:textId="77777777"/>
    <w:p w:rsidR="0041543B" w:rsidP="0041543B" w14:paraId="32638EEE" w14:textId="7FED2570"/>
    <w:p w:rsidR="008F4FBF" w:rsidP="0041543B" w14:paraId="47C226C8" w14:textId="77777777"/>
    <w:p w:rsidR="005358D9" w:rsidP="0041543B" w14:paraId="5F27C057" w14:textId="77777777">
      <w:pPr>
        <w:jc w:val="center"/>
      </w:pPr>
    </w:p>
    <w:p w:rsidR="005358D9" w:rsidP="0041543B" w14:paraId="1B43F18B" w14:textId="77777777">
      <w:pPr>
        <w:jc w:val="center"/>
      </w:pPr>
    </w:p>
    <w:p w:rsidR="005358D9" w:rsidP="0041543B" w14:paraId="53F3E07F" w14:textId="77777777">
      <w:pPr>
        <w:jc w:val="center"/>
      </w:pPr>
    </w:p>
    <w:p w:rsidR="0041543B" w:rsidP="0041543B" w14:paraId="66572F7F" w14:textId="18962AC7">
      <w:pPr>
        <w:jc w:val="center"/>
      </w:pPr>
      <w:r>
        <w:t>IN THE COURT OF APPEAL OF THE STATE OF CALIFORNIA</w:t>
      </w:r>
    </w:p>
    <w:p w:rsidR="0041543B" w:rsidP="0041543B" w14:paraId="39C61AD1" w14:textId="77777777">
      <w:pPr>
        <w:jc w:val="center"/>
      </w:pPr>
    </w:p>
    <w:p w:rsidR="0041543B" w:rsidP="0041543B" w14:paraId="7FFF8B2E" w14:textId="77777777">
      <w:pPr>
        <w:jc w:val="center"/>
      </w:pPr>
      <w:r>
        <w:t>FOURTH APPELLATE DISTRICT</w:t>
      </w:r>
    </w:p>
    <w:p w:rsidR="0041543B" w:rsidP="0041543B" w14:paraId="098B59F4" w14:textId="77777777">
      <w:pPr>
        <w:jc w:val="center"/>
      </w:pPr>
    </w:p>
    <w:p w:rsidR="0041543B" w:rsidP="0041543B" w14:paraId="42068B08" w14:textId="77777777">
      <w:pPr>
        <w:jc w:val="center"/>
      </w:pPr>
      <w:r>
        <w:t>DIVISION THREE</w:t>
      </w:r>
    </w:p>
    <w:p w:rsidR="0041543B" w:rsidP="0041543B" w14:paraId="10107DE3" w14:textId="77777777">
      <w:pPr>
        <w:jc w:val="center"/>
      </w:pPr>
    </w:p>
    <w:p w:rsidR="0041543B" w:rsidP="0041543B" w14:paraId="63BA27FB" w14:textId="77777777">
      <w:pPr>
        <w:jc w:val="center"/>
      </w:pPr>
    </w:p>
    <w:tbl>
      <w:tblPr>
        <w:tblW w:w="0" w:type="auto"/>
        <w:tblLayout w:type="fixed"/>
        <w:tblLook w:val="0000"/>
      </w:tblPr>
      <w:tblGrid>
        <w:gridCol w:w="4680"/>
        <w:gridCol w:w="4680"/>
      </w:tblGrid>
      <w:tr w14:paraId="4406B99E" w14:textId="77777777">
        <w:tblPrEx>
          <w:tblW w:w="0" w:type="auto"/>
          <w:tblLayout w:type="fixed"/>
          <w:tblLook w:val="0000"/>
        </w:tblPrEx>
        <w:tc>
          <w:tcPr>
            <w:tcW w:w="4680" w:type="dxa"/>
            <w:tcBorders>
              <w:bottom w:val="single" w:sz="4" w:space="0" w:color="auto"/>
              <w:right w:val="single" w:sz="4" w:space="0" w:color="auto"/>
            </w:tcBorders>
            <w:shd w:val="clear" w:color="auto" w:fill="auto"/>
          </w:tcPr>
          <w:p w:rsidR="0041543B" w14:paraId="779CC310" w14:textId="77777777">
            <w:r>
              <w:t>AMANDA NEEBLE-DIAMOND,</w:t>
            </w:r>
          </w:p>
          <w:p w:rsidR="0041543B" w14:paraId="53F438D1" w14:textId="77777777"/>
          <w:p w:rsidR="0041543B" w14:paraId="5B349B71" w14:textId="77777777">
            <w:r>
              <w:t xml:space="preserve">      Plaintiff and Appellant,</w:t>
            </w:r>
          </w:p>
          <w:p w:rsidR="0041543B" w14:paraId="0C3C1F03" w14:textId="77777777"/>
          <w:p w:rsidR="0041543B" w14:paraId="797E6B36" w14:textId="77777777">
            <w:r>
              <w:tab/>
              <w:t>v.</w:t>
            </w:r>
          </w:p>
          <w:p w:rsidR="0041543B" w14:paraId="01E3EE82" w14:textId="77777777"/>
          <w:p w:rsidR="0041543B" w14:paraId="20419651" w14:textId="77777777">
            <w:r>
              <w:t>HOTEL CALIFORNIA BY THE SEA, LLC,</w:t>
            </w:r>
          </w:p>
          <w:p w:rsidR="0041543B" w14:paraId="0F3077E6" w14:textId="77777777"/>
          <w:p w:rsidR="0041543B" w14:paraId="51746E32" w14:textId="77777777">
            <w:r>
              <w:t xml:space="preserve">      Defendant and Respondent.</w:t>
            </w:r>
          </w:p>
          <w:p w:rsidR="0041543B" w14:paraId="7AB4647A" w14:textId="77777777"/>
        </w:tc>
        <w:tc>
          <w:tcPr>
            <w:tcW w:w="4680" w:type="dxa"/>
            <w:tcBorders>
              <w:left w:val="single" w:sz="4" w:space="0" w:color="auto"/>
            </w:tcBorders>
            <w:shd w:val="clear" w:color="auto" w:fill="auto"/>
          </w:tcPr>
          <w:p w:rsidR="0041543B" w14:paraId="757FA73C" w14:textId="77777777"/>
          <w:p w:rsidR="0041543B" w14:paraId="3D3FA002" w14:textId="77777777"/>
          <w:p w:rsidR="0041543B" w14:paraId="4CEA4644" w14:textId="510F1557">
            <w:r>
              <w:t xml:space="preserve">         G</w:t>
            </w:r>
            <w:r w:rsidR="000E252A">
              <w:t>061425</w:t>
            </w:r>
          </w:p>
          <w:p w:rsidR="0041543B" w14:paraId="52967ADD" w14:textId="77777777"/>
          <w:p w:rsidR="0041543B" w14:paraId="71F45A28" w14:textId="77777777">
            <w:r>
              <w:t xml:space="preserve">         (Super. Ct. No. 30-2019-01058756)</w:t>
            </w:r>
          </w:p>
          <w:p w:rsidR="0041543B" w14:paraId="4633A39F" w14:textId="77777777"/>
          <w:p w:rsidR="0041543B" w14:paraId="4618E49A" w14:textId="6D54BC73">
            <w:r>
              <w:t xml:space="preserve">         </w:t>
            </w:r>
            <w:r w:rsidR="00340A25">
              <w:t>O</w:t>
            </w:r>
            <w:r w:rsidR="008F4FBF">
              <w:t xml:space="preserve"> </w:t>
            </w:r>
            <w:r w:rsidR="00340A25">
              <w:t>P</w:t>
            </w:r>
            <w:r w:rsidR="008F4FBF">
              <w:t xml:space="preserve"> </w:t>
            </w:r>
            <w:r w:rsidR="00340A25">
              <w:t>I</w:t>
            </w:r>
            <w:r w:rsidR="008F4FBF">
              <w:t xml:space="preserve"> </w:t>
            </w:r>
            <w:r w:rsidR="00340A25">
              <w:t>N I O N</w:t>
            </w:r>
          </w:p>
        </w:tc>
      </w:tr>
    </w:tbl>
    <w:p w:rsidR="0041543B" w:rsidP="008F4FBF" w14:paraId="510BBBCA" w14:textId="21757D49">
      <w:pPr>
        <w:tabs>
          <w:tab w:val="left" w:pos="1440"/>
          <w:tab w:val="left" w:pos="2880"/>
          <w:tab w:val="left" w:pos="4320"/>
          <w:tab w:val="left" w:pos="5760"/>
          <w:tab w:val="left" w:pos="7200"/>
          <w:tab w:val="left" w:pos="8640"/>
        </w:tabs>
        <w:spacing w:before="240" w:line="480" w:lineRule="atLeast"/>
      </w:pPr>
      <w:r>
        <w:tab/>
        <w:t>Appeal from a</w:t>
      </w:r>
      <w:r w:rsidR="00AA22C2">
        <w:t xml:space="preserve"> postjudgment </w:t>
      </w:r>
      <w:r w:rsidR="007315C8">
        <w:t>order</w:t>
      </w:r>
      <w:r>
        <w:t xml:space="preserve"> of the Superior Court of Orange County, Deborah </w:t>
      </w:r>
      <w:r w:rsidR="008C1AF4">
        <w:t>C</w:t>
      </w:r>
      <w:r>
        <w:t xml:space="preserve">. Servino, Judge.  </w:t>
      </w:r>
      <w:r w:rsidR="00CB7CCE">
        <w:t>Revers</w:t>
      </w:r>
      <w:r>
        <w:t xml:space="preserve">ed.  </w:t>
      </w:r>
    </w:p>
    <w:p w:rsidR="0041543B" w:rsidP="005C64A5" w14:paraId="4A30029C" w14:textId="4DDEB34E">
      <w:pPr>
        <w:tabs>
          <w:tab w:val="left" w:pos="1440"/>
          <w:tab w:val="left" w:pos="2880"/>
          <w:tab w:val="left" w:pos="4320"/>
          <w:tab w:val="left" w:pos="5760"/>
          <w:tab w:val="left" w:pos="7200"/>
          <w:tab w:val="left" w:pos="8640"/>
        </w:tabs>
        <w:spacing w:line="480" w:lineRule="atLeast"/>
      </w:pPr>
      <w:r>
        <w:tab/>
      </w:r>
      <w:r w:rsidRPr="00375511">
        <w:t>Employee Justice Legal Group, Kaveh S. Elihu</w:t>
      </w:r>
      <w:r w:rsidR="008F4FBF">
        <w:t>,</w:t>
      </w:r>
      <w:r w:rsidRPr="00375511">
        <w:t xml:space="preserve"> and Samuel J. Moorhead for </w:t>
      </w:r>
      <w:r>
        <w:t xml:space="preserve">Plaintiff and </w:t>
      </w:r>
      <w:r w:rsidRPr="00375511">
        <w:t>Appellant</w:t>
      </w:r>
      <w:r>
        <w:t>.</w:t>
      </w:r>
    </w:p>
    <w:p w:rsidR="0041543B" w:rsidP="005C64A5" w14:paraId="2EE0E66D" w14:textId="1F69A5B8">
      <w:pPr>
        <w:keepNext/>
        <w:tabs>
          <w:tab w:val="left" w:pos="1440"/>
          <w:tab w:val="left" w:pos="2880"/>
          <w:tab w:val="left" w:pos="4320"/>
          <w:tab w:val="left" w:pos="5760"/>
          <w:tab w:val="left" w:pos="7200"/>
          <w:tab w:val="left" w:pos="8640"/>
        </w:tabs>
        <w:spacing w:line="480" w:lineRule="atLeast"/>
      </w:pPr>
      <w:r>
        <w:tab/>
      </w:r>
      <w:r w:rsidRPr="00227ECF">
        <w:t>Buchalter, Joshua M. Robbins</w:t>
      </w:r>
      <w:r w:rsidR="008F4FBF">
        <w:t>,</w:t>
      </w:r>
      <w:r w:rsidRPr="00227ECF">
        <w:t xml:space="preserve"> and </w:t>
      </w:r>
      <w:r w:rsidR="0029445E">
        <w:t>Adam Sechooler</w:t>
      </w:r>
      <w:r w:rsidR="00F24160">
        <w:t xml:space="preserve"> </w:t>
      </w:r>
      <w:r w:rsidRPr="00227ECF">
        <w:t xml:space="preserve">for </w:t>
      </w:r>
      <w:r>
        <w:t xml:space="preserve">Defendant and </w:t>
      </w:r>
      <w:r w:rsidRPr="00227ECF">
        <w:t>Respondent.</w:t>
      </w:r>
    </w:p>
    <w:p w:rsidR="0041543B" w:rsidP="005C64A5" w14:paraId="04F4AF94" w14:textId="77777777">
      <w:pPr>
        <w:tabs>
          <w:tab w:val="left" w:pos="1440"/>
          <w:tab w:val="left" w:pos="2880"/>
          <w:tab w:val="left" w:pos="4320"/>
          <w:tab w:val="left" w:pos="5760"/>
          <w:tab w:val="left" w:pos="7200"/>
          <w:tab w:val="left" w:pos="8640"/>
        </w:tabs>
        <w:spacing w:line="480" w:lineRule="atLeast"/>
        <w:jc w:val="center"/>
      </w:pPr>
      <w:r>
        <w:t>*               *               *</w:t>
      </w:r>
    </w:p>
    <w:p w:rsidR="00AB0F7B" w:rsidP="008F4FBF" w14:paraId="1DD84AE5" w14:textId="139C26D0">
      <w:pPr>
        <w:tabs>
          <w:tab w:val="left" w:pos="1440"/>
          <w:tab w:val="left" w:pos="2880"/>
          <w:tab w:val="left" w:pos="4320"/>
          <w:tab w:val="left" w:pos="5760"/>
          <w:tab w:val="left" w:pos="7200"/>
          <w:tab w:val="left" w:pos="8640"/>
        </w:tabs>
        <w:spacing w:line="480" w:lineRule="atLeast"/>
      </w:pPr>
      <w:r>
        <w:tab/>
        <w:t>Amanda Neeble</w:t>
      </w:r>
      <w:r w:rsidR="00353123">
        <w:noBreakHyphen/>
      </w:r>
      <w:r>
        <w:t xml:space="preserve">Diamond </w:t>
      </w:r>
      <w:r w:rsidR="0065596F">
        <w:t xml:space="preserve">appeals from an order awarding </w:t>
      </w:r>
      <w:r w:rsidR="001A0436">
        <w:t>costs</w:t>
      </w:r>
      <w:r w:rsidR="0052556B">
        <w:t xml:space="preserve"> in e</w:t>
      </w:r>
      <w:r w:rsidR="00B23FD2">
        <w:t>xcess of $180,000</w:t>
      </w:r>
      <w:r w:rsidR="001A0436">
        <w:t xml:space="preserve"> to prevailing defendan</w:t>
      </w:r>
      <w:r w:rsidR="00097181">
        <w:t>t</w:t>
      </w:r>
      <w:r w:rsidR="001A0436">
        <w:t xml:space="preserve"> </w:t>
      </w:r>
      <w:r>
        <w:t>Hotel California By the Sea (</w:t>
      </w:r>
      <w:r w:rsidR="005C64A5">
        <w:t>Hotel California)</w:t>
      </w:r>
      <w:r w:rsidR="00376B65">
        <w:t xml:space="preserve">. </w:t>
      </w:r>
      <w:r w:rsidR="00DB2FAC">
        <w:t xml:space="preserve"> She argues the </w:t>
      </w:r>
      <w:r w:rsidR="005A70DA">
        <w:t xml:space="preserve">award must be reversed because </w:t>
      </w:r>
      <w:r w:rsidR="006E61A3">
        <w:t xml:space="preserve">her complaint </w:t>
      </w:r>
      <w:r w:rsidR="00D90405">
        <w:t xml:space="preserve">alleged causes of action </w:t>
      </w:r>
      <w:r w:rsidR="00934817">
        <w:t xml:space="preserve">based on the </w:t>
      </w:r>
      <w:r w:rsidR="008C1AF4">
        <w:t>California Fair</w:t>
      </w:r>
      <w:r w:rsidR="00934817">
        <w:t xml:space="preserve"> Employment </w:t>
      </w:r>
      <w:r w:rsidR="008C1AF4">
        <w:t xml:space="preserve">and Housing </w:t>
      </w:r>
      <w:r w:rsidR="00934817">
        <w:t xml:space="preserve">Act </w:t>
      </w:r>
      <w:r w:rsidR="008C1AF4">
        <w:t xml:space="preserve">(FEHA) </w:t>
      </w:r>
      <w:r w:rsidR="000A088A">
        <w:t>(Gov. Code, § 12900 et. seq.</w:t>
      </w:r>
      <w:r w:rsidR="00B45305">
        <w:t>)</w:t>
      </w:r>
      <w:r w:rsidR="00A10F4B">
        <w:t>, and</w:t>
      </w:r>
      <w:r w:rsidR="00A817AD">
        <w:t xml:space="preserve"> the court</w:t>
      </w:r>
      <w:r w:rsidR="00A10F4B">
        <w:t xml:space="preserve"> </w:t>
      </w:r>
      <w:r w:rsidR="00A817AD">
        <w:t>can</w:t>
      </w:r>
      <w:r w:rsidR="007D7CDF">
        <w:t xml:space="preserve">not </w:t>
      </w:r>
      <w:r w:rsidR="00A817AD">
        <w:t xml:space="preserve">award costs to a defendant </w:t>
      </w:r>
      <w:r w:rsidR="007D7CDF">
        <w:t xml:space="preserve">unless it makes a finding </w:t>
      </w:r>
      <w:r w:rsidR="00393A9F">
        <w:t xml:space="preserve">that the FEHA claims were </w:t>
      </w:r>
      <w:r w:rsidR="00A035B5">
        <w:t>objectively frivolous.</w:t>
      </w:r>
      <w:r w:rsidR="008668A3">
        <w:t xml:space="preserve">  We agree and </w:t>
      </w:r>
      <w:r w:rsidR="00A10F4B">
        <w:t xml:space="preserve">therefore </w:t>
      </w:r>
      <w:r w:rsidR="008668A3">
        <w:t xml:space="preserve">reverse the order. </w:t>
      </w:r>
    </w:p>
    <w:p w:rsidR="00BE3E74" w:rsidP="008F4FBF" w14:paraId="11EEC359" w14:textId="49B3CBBB">
      <w:pPr>
        <w:tabs>
          <w:tab w:val="left" w:pos="1440"/>
          <w:tab w:val="left" w:pos="2880"/>
          <w:tab w:val="left" w:pos="4320"/>
          <w:tab w:val="left" w:pos="5760"/>
          <w:tab w:val="left" w:pos="7200"/>
          <w:tab w:val="left" w:pos="8640"/>
        </w:tabs>
        <w:spacing w:line="480" w:lineRule="atLeast"/>
      </w:pPr>
      <w:r>
        <w:tab/>
        <w:t xml:space="preserve">Hotel California argues </w:t>
      </w:r>
      <w:r w:rsidR="00353123">
        <w:t>Neeble</w:t>
      </w:r>
      <w:r w:rsidR="00353123">
        <w:noBreakHyphen/>
        <w:t>Diamond</w:t>
      </w:r>
      <w:r w:rsidR="00227A16">
        <w:t xml:space="preserve"> </w:t>
      </w:r>
      <w:r w:rsidR="001E0A34">
        <w:t>forfeited her argument by failing to file a timely motion to tax costs</w:t>
      </w:r>
      <w:r w:rsidR="00A10F4B">
        <w:t>.  W</w:t>
      </w:r>
      <w:r w:rsidR="001E0A34">
        <w:t xml:space="preserve">e disagree.  </w:t>
      </w:r>
      <w:r w:rsidR="0094504D">
        <w:t xml:space="preserve">While the prevailing defendant in an ordinary civil case is entitled to </w:t>
      </w:r>
      <w:r w:rsidR="000C16D4">
        <w:t>a</w:t>
      </w:r>
      <w:r w:rsidR="0054126B">
        <w:t>n award of statutory</w:t>
      </w:r>
      <w:r w:rsidR="000C16D4">
        <w:t xml:space="preserve"> cost</w:t>
      </w:r>
      <w:r w:rsidR="0054126B">
        <w:t xml:space="preserve">s </w:t>
      </w:r>
      <w:r w:rsidR="000C16D4">
        <w:t xml:space="preserve">as </w:t>
      </w:r>
      <w:r w:rsidR="00A10F4B">
        <w:t xml:space="preserve">a </w:t>
      </w:r>
      <w:r w:rsidR="000C16D4">
        <w:t>matter of right</w:t>
      </w:r>
      <w:r w:rsidR="00276FAB">
        <w:t xml:space="preserve">—and </w:t>
      </w:r>
      <w:r w:rsidR="004818E3">
        <w:t>the filing of</w:t>
      </w:r>
      <w:r w:rsidR="00276FAB">
        <w:t xml:space="preserve"> a cost memorandum is the proper </w:t>
      </w:r>
      <w:r w:rsidR="0054126B">
        <w:t>means of securing</w:t>
      </w:r>
      <w:r w:rsidR="002C0F18">
        <w:t xml:space="preserve"> a cost award</w:t>
      </w:r>
      <w:r w:rsidR="00BF45FA">
        <w:t xml:space="preserve"> in such cases</w:t>
      </w:r>
      <w:r w:rsidR="002C0F18">
        <w:t xml:space="preserve">—a </w:t>
      </w:r>
      <w:r w:rsidR="000C16D4">
        <w:t>different rule applies to a defendant in a FEHA case</w:t>
      </w:r>
      <w:r w:rsidR="00A10F4B">
        <w:t xml:space="preserve">: </w:t>
      </w:r>
      <w:r w:rsidR="002C0F18">
        <w:t xml:space="preserve"> </w:t>
      </w:r>
      <w:r w:rsidR="00F97674">
        <w:t>t</w:t>
      </w:r>
      <w:r w:rsidR="00BB287A">
        <w:t xml:space="preserve">he court </w:t>
      </w:r>
      <w:r w:rsidR="002A6BF3">
        <w:t xml:space="preserve">has </w:t>
      </w:r>
      <w:r w:rsidRPr="00A84EC2" w:rsidR="002A6BF3">
        <w:t>discretion</w:t>
      </w:r>
      <w:r w:rsidR="002A6BF3">
        <w:t xml:space="preserve"> to </w:t>
      </w:r>
      <w:r w:rsidR="00BB287A">
        <w:t xml:space="preserve">make such an award, </w:t>
      </w:r>
      <w:r w:rsidR="002F0F62">
        <w:t xml:space="preserve">but </w:t>
      </w:r>
      <w:r w:rsidR="00A10F4B">
        <w:t xml:space="preserve">it </w:t>
      </w:r>
      <w:r w:rsidR="00B55749">
        <w:t>must</w:t>
      </w:r>
      <w:r w:rsidR="00A10F4B">
        <w:t xml:space="preserve"> first</w:t>
      </w:r>
      <w:r w:rsidR="00B55749">
        <w:t xml:space="preserve"> make a </w:t>
      </w:r>
      <w:r w:rsidR="00BB287A">
        <w:t xml:space="preserve">finding that the </w:t>
      </w:r>
      <w:r w:rsidR="00B55749">
        <w:t>plaintiff</w:t>
      </w:r>
      <w:r w:rsidR="00FE5B61">
        <w:t>’</w:t>
      </w:r>
      <w:r w:rsidR="00B55749">
        <w:t xml:space="preserve">s </w:t>
      </w:r>
      <w:r w:rsidR="00445EFB">
        <w:t xml:space="preserve">FEHA claims are frivolous. </w:t>
      </w:r>
      <w:r w:rsidR="002C0F18">
        <w:t xml:space="preserve"> </w:t>
      </w:r>
    </w:p>
    <w:p w:rsidR="00F855E1" w:rsidRPr="00B23FD2" w:rsidP="008F4FBF" w14:paraId="3C8D1AC0" w14:textId="56C93A3A">
      <w:pPr>
        <w:tabs>
          <w:tab w:val="left" w:pos="1440"/>
          <w:tab w:val="left" w:pos="2880"/>
          <w:tab w:val="left" w:pos="4320"/>
          <w:tab w:val="left" w:pos="5760"/>
          <w:tab w:val="left" w:pos="7200"/>
          <w:tab w:val="left" w:pos="8640"/>
        </w:tabs>
        <w:spacing w:line="480" w:lineRule="atLeast"/>
      </w:pPr>
      <w:r>
        <w:tab/>
        <w:t xml:space="preserve">Here, Hotel California </w:t>
      </w:r>
      <w:r w:rsidR="00184422">
        <w:t xml:space="preserve">recognized it needed to </w:t>
      </w:r>
      <w:r w:rsidR="00A10F4B">
        <w:t>file</w:t>
      </w:r>
      <w:r>
        <w:t xml:space="preserve"> a </w:t>
      </w:r>
      <w:r w:rsidR="00F00F59">
        <w:t xml:space="preserve">noticed </w:t>
      </w:r>
      <w:r>
        <w:t xml:space="preserve">motion </w:t>
      </w:r>
      <w:r w:rsidR="00CA658A">
        <w:t xml:space="preserve">asking the court to </w:t>
      </w:r>
      <w:r w:rsidR="00F203D5">
        <w:t>award it</w:t>
      </w:r>
      <w:r w:rsidR="00CA658A">
        <w:t xml:space="preserve"> discretion</w:t>
      </w:r>
      <w:r w:rsidR="00F203D5">
        <w:t>ary</w:t>
      </w:r>
      <w:r w:rsidR="00CA658A">
        <w:t xml:space="preserve"> </w:t>
      </w:r>
      <w:r w:rsidR="009530DD">
        <w:t>a</w:t>
      </w:r>
      <w:r>
        <w:t>ttorney fees,</w:t>
      </w:r>
      <w:r w:rsidR="00A10F4B">
        <w:t xml:space="preserve"> but</w:t>
      </w:r>
      <w:r>
        <w:t xml:space="preserve"> it made no similar motion </w:t>
      </w:r>
      <w:r w:rsidR="00F00F59">
        <w:t xml:space="preserve">to obtain an </w:t>
      </w:r>
      <w:r>
        <w:t xml:space="preserve">award of </w:t>
      </w:r>
      <w:r w:rsidR="00572063">
        <w:t xml:space="preserve">discretionary </w:t>
      </w:r>
      <w:r>
        <w:t>costs</w:t>
      </w:r>
      <w:r w:rsidR="00165130">
        <w:t xml:space="preserve">.  </w:t>
      </w:r>
      <w:r w:rsidR="00902532">
        <w:t xml:space="preserve">Instead, </w:t>
      </w:r>
      <w:r w:rsidR="00A84EC2">
        <w:t>Hotel California</w:t>
      </w:r>
      <w:r w:rsidR="00902532">
        <w:t xml:space="preserve"> filed a cost memorandum</w:t>
      </w:r>
      <w:r w:rsidR="00964EBD">
        <w:t>, which</w:t>
      </w:r>
      <w:r w:rsidR="00902532">
        <w:t xml:space="preserve"> </w:t>
      </w:r>
      <w:r w:rsidR="00EA025B">
        <w:t>operate</w:t>
      </w:r>
      <w:r w:rsidR="00964EBD">
        <w:t xml:space="preserve">d </w:t>
      </w:r>
      <w:r w:rsidR="00EA025B">
        <w:t>as</w:t>
      </w:r>
      <w:r w:rsidR="00902532">
        <w:t xml:space="preserve"> </w:t>
      </w:r>
      <w:r w:rsidR="005C6467">
        <w:t xml:space="preserve">a request </w:t>
      </w:r>
      <w:r w:rsidR="00510AD6">
        <w:t xml:space="preserve">for </w:t>
      </w:r>
      <w:r w:rsidR="00471B99">
        <w:t>the court clerk to enter a mandatory cost award</w:t>
      </w:r>
      <w:r w:rsidR="00964EBD">
        <w:t xml:space="preserve"> and </w:t>
      </w:r>
      <w:r w:rsidRPr="001559B7" w:rsidR="00964EBD">
        <w:t>provided</w:t>
      </w:r>
      <w:r w:rsidR="00964EBD">
        <w:t xml:space="preserve"> </w:t>
      </w:r>
      <w:r w:rsidR="00532EA4">
        <w:t xml:space="preserve">no </w:t>
      </w:r>
      <w:r w:rsidR="004C44C0">
        <w:t xml:space="preserve">opportunity for </w:t>
      </w:r>
      <w:r w:rsidR="00DB4498">
        <w:t>the court to exercise its d</w:t>
      </w:r>
      <w:r w:rsidR="004C44C0">
        <w:t>iscretion</w:t>
      </w:r>
      <w:r w:rsidR="00F80BB8">
        <w:t xml:space="preserve">. </w:t>
      </w:r>
      <w:r w:rsidR="00D66E22">
        <w:t xml:space="preserve"> </w:t>
      </w:r>
      <w:r w:rsidR="00A84EC2">
        <w:t>The</w:t>
      </w:r>
      <w:r w:rsidR="00E768DF">
        <w:t xml:space="preserve"> cost memorandum was an </w:t>
      </w:r>
      <w:r w:rsidR="00244050">
        <w:t xml:space="preserve">ineffective means of </w:t>
      </w:r>
      <w:r w:rsidR="00861D29">
        <w:t xml:space="preserve">requesting a discretionary award of costs, </w:t>
      </w:r>
      <w:r w:rsidR="00A84EC2">
        <w:t xml:space="preserve">and </w:t>
      </w:r>
      <w:r w:rsidR="00353123">
        <w:t>Neeble</w:t>
      </w:r>
      <w:r w:rsidR="00353123">
        <w:noBreakHyphen/>
        <w:t>Diamond</w:t>
      </w:r>
      <w:r w:rsidR="004A4A2A">
        <w:t xml:space="preserve"> </w:t>
      </w:r>
      <w:r w:rsidR="0037513A">
        <w:t xml:space="preserve">was </w:t>
      </w:r>
      <w:r w:rsidR="00964EBD">
        <w:t>under no obligation</w:t>
      </w:r>
      <w:r w:rsidR="00D61A11">
        <w:t xml:space="preserve"> </w:t>
      </w:r>
      <w:r w:rsidR="00AC142E">
        <w:t xml:space="preserve">respond to it.  </w:t>
      </w:r>
      <w:r w:rsidR="00A84EC2">
        <w:t xml:space="preserve">Since Hotel California failed to file </w:t>
      </w:r>
      <w:r w:rsidR="00882CB6">
        <w:t xml:space="preserve">a noticed motion </w:t>
      </w:r>
      <w:r w:rsidR="00A84EC2">
        <w:t xml:space="preserve">requesting a discretionary </w:t>
      </w:r>
      <w:r w:rsidR="00D14516">
        <w:t>cost</w:t>
      </w:r>
      <w:r w:rsidR="00A84EC2">
        <w:t xml:space="preserve"> award</w:t>
      </w:r>
      <w:r w:rsidR="00B65D21">
        <w:t>, t</w:t>
      </w:r>
      <w:r w:rsidR="004271E4">
        <w:t xml:space="preserve">he </w:t>
      </w:r>
      <w:r w:rsidR="00A84EC2">
        <w:t xml:space="preserve">trial </w:t>
      </w:r>
      <w:r w:rsidR="004271E4">
        <w:t xml:space="preserve">court erred </w:t>
      </w:r>
      <w:r w:rsidR="00C531DE">
        <w:t>when it</w:t>
      </w:r>
      <w:r w:rsidR="004271E4">
        <w:t xml:space="preserve"> order</w:t>
      </w:r>
      <w:r w:rsidR="00C531DE">
        <w:t>ed</w:t>
      </w:r>
      <w:r w:rsidR="004271E4">
        <w:t xml:space="preserve"> </w:t>
      </w:r>
      <w:r w:rsidR="0015057E">
        <w:t>th</w:t>
      </w:r>
      <w:r w:rsidR="00A84EC2">
        <w:t>at</w:t>
      </w:r>
      <w:r w:rsidR="0015057E">
        <w:t xml:space="preserve"> costs</w:t>
      </w:r>
      <w:r w:rsidR="00C531DE">
        <w:t xml:space="preserve"> be</w:t>
      </w:r>
      <w:r w:rsidR="004271E4">
        <w:t xml:space="preserve"> added to the ju</w:t>
      </w:r>
      <w:r w:rsidR="0015057E">
        <w:t>d</w:t>
      </w:r>
      <w:r w:rsidR="004271E4">
        <w:t>gment.</w:t>
      </w:r>
      <w:r w:rsidR="00D61A11">
        <w:t xml:space="preserve"> </w:t>
      </w:r>
      <w:r w:rsidR="00BF68B1">
        <w:t xml:space="preserve"> </w:t>
      </w:r>
    </w:p>
    <w:p w:rsidR="00514F47" w:rsidP="008F4FBF" w14:paraId="1FF9AF20" w14:textId="283F9050">
      <w:pPr>
        <w:keepNext/>
        <w:spacing w:before="240" w:line="480" w:lineRule="atLeast"/>
        <w:jc w:val="center"/>
      </w:pPr>
      <w:r>
        <w:rPr>
          <w:b/>
          <w:bCs/>
        </w:rPr>
        <w:t>FACTS</w:t>
      </w:r>
    </w:p>
    <w:p w:rsidR="00CC4C09" w:rsidRPr="008C76E5" w:rsidP="00926C1C" w14:paraId="27D75113" w14:textId="164BDB67">
      <w:pPr>
        <w:keepLines/>
        <w:tabs>
          <w:tab w:val="left" w:pos="1440"/>
          <w:tab w:val="left" w:pos="2880"/>
          <w:tab w:val="left" w:pos="4320"/>
          <w:tab w:val="left" w:pos="5760"/>
          <w:tab w:val="left" w:pos="7200"/>
          <w:tab w:val="left" w:pos="8640"/>
        </w:tabs>
        <w:spacing w:line="480" w:lineRule="atLeast"/>
      </w:pPr>
      <w:r>
        <w:tab/>
      </w:r>
      <w:r w:rsidR="00353123">
        <w:t>Neeble</w:t>
      </w:r>
      <w:r w:rsidR="00353123">
        <w:noBreakHyphen/>
        <w:t>Diamond</w:t>
      </w:r>
      <w:r w:rsidR="00FE5B61">
        <w:t>’</w:t>
      </w:r>
      <w:r>
        <w:t xml:space="preserve">s lawsuit against Hotel California stated both statutory and nonstatutory causes of action arising out of her alleged </w:t>
      </w:r>
      <w:r w:rsidR="008C1AF4">
        <w:t>s</w:t>
      </w:r>
      <w:r>
        <w:t xml:space="preserve">tatus as an employee of Hotel California.  The </w:t>
      </w:r>
      <w:r w:rsidR="00A84EC2">
        <w:t xml:space="preserve">trial </w:t>
      </w:r>
      <w:r>
        <w:t xml:space="preserve">court entered judgment </w:t>
      </w:r>
      <w:r w:rsidR="00CF74B0">
        <w:t xml:space="preserve">in favor of Hotel California </w:t>
      </w:r>
      <w:r>
        <w:t xml:space="preserve">after a jury concluded </w:t>
      </w:r>
      <w:r w:rsidR="00353123">
        <w:t>Neeble</w:t>
      </w:r>
      <w:r w:rsidR="00353123">
        <w:noBreakHyphen/>
        <w:t>Diamond</w:t>
      </w:r>
      <w:r>
        <w:t xml:space="preserve"> was an independent contractor, rather than an employee.  The judgment provided </w:t>
      </w:r>
      <w:r w:rsidR="00FE5B61">
        <w:t>“</w:t>
      </w:r>
      <w:r w:rsidR="008C1AF4">
        <w:t>[</w:t>
      </w:r>
      <w:r>
        <w:t>c</w:t>
      </w:r>
      <w:r w:rsidR="008C1AF4">
        <w:t>]</w:t>
      </w:r>
      <w:r>
        <w:t>osts to be determined pursuant to any timely-filed memorandum and/or motions.</w:t>
      </w:r>
      <w:r w:rsidR="00FE5B61">
        <w:t>”</w:t>
      </w:r>
      <w:r>
        <w:t xml:space="preserve"> </w:t>
      </w:r>
    </w:p>
    <w:p w:rsidR="00A14A6F" w:rsidRPr="007C1EB9" w:rsidP="008F4FBF" w14:paraId="41AEF26E" w14:textId="56D01B4F">
      <w:pPr>
        <w:tabs>
          <w:tab w:val="left" w:pos="1440"/>
          <w:tab w:val="left" w:pos="2880"/>
          <w:tab w:val="left" w:pos="4320"/>
          <w:tab w:val="left" w:pos="5760"/>
          <w:tab w:val="left" w:pos="7200"/>
          <w:tab w:val="left" w:pos="8640"/>
        </w:tabs>
        <w:spacing w:line="480" w:lineRule="atLeast"/>
      </w:pPr>
      <w:r>
        <w:tab/>
        <w:t xml:space="preserve">Hotel California then filed a cost memorandum as well as a separate motion seeking an award of attorney fees.  </w:t>
      </w:r>
      <w:r w:rsidR="00353123">
        <w:t>Neeble</w:t>
      </w:r>
      <w:r w:rsidR="00353123">
        <w:noBreakHyphen/>
        <w:t>Diamond</w:t>
      </w:r>
      <w:r w:rsidR="00E73814">
        <w:t xml:space="preserve"> opposed the motion for attorney fees,</w:t>
      </w:r>
      <w:r w:rsidR="00CD4917">
        <w:t xml:space="preserve"> but filed no motion to tax costs until after she was served with </w:t>
      </w:r>
      <w:r w:rsidR="006357DD">
        <w:t>a proposed amended judgment</w:t>
      </w:r>
      <w:r w:rsidR="0048193B">
        <w:t xml:space="preserve"> which</w:t>
      </w:r>
      <w:r w:rsidR="006357DD">
        <w:t xml:space="preserve"> </w:t>
      </w:r>
      <w:r w:rsidR="007C1EB9">
        <w:t>includ</w:t>
      </w:r>
      <w:r w:rsidR="0048193B">
        <w:t>ed</w:t>
      </w:r>
      <w:r w:rsidR="007C1EB9">
        <w:t xml:space="preserve"> the costs. </w:t>
      </w:r>
    </w:p>
    <w:p w:rsidR="00CC4C09" w:rsidP="008F4FBF" w14:paraId="0A4E193A" w14:textId="75D793C3">
      <w:pPr>
        <w:tabs>
          <w:tab w:val="left" w:pos="1440"/>
          <w:tab w:val="left" w:pos="2880"/>
          <w:tab w:val="left" w:pos="4320"/>
          <w:tab w:val="left" w:pos="5760"/>
          <w:tab w:val="left" w:pos="7200"/>
          <w:tab w:val="left" w:pos="8640"/>
        </w:tabs>
        <w:spacing w:line="480" w:lineRule="atLeast"/>
      </w:pPr>
      <w:r>
        <w:tab/>
        <w:t xml:space="preserve">The </w:t>
      </w:r>
      <w:r w:rsidR="00A84EC2">
        <w:t xml:space="preserve">trial </w:t>
      </w:r>
      <w:r>
        <w:t xml:space="preserve">court denied the </w:t>
      </w:r>
      <w:r w:rsidR="00E566F9">
        <w:t>motion for attorney fees</w:t>
      </w:r>
      <w:r>
        <w:t xml:space="preserve">, explaining that as a prevailing defendant in a case seeking recovery under FEHA, Hotel California was entitled to attorney fees only if </w:t>
      </w:r>
      <w:r w:rsidR="00353123">
        <w:t>Neeble</w:t>
      </w:r>
      <w:r w:rsidR="00353123">
        <w:noBreakHyphen/>
        <w:t>Diamond</w:t>
      </w:r>
      <w:r w:rsidR="00FE5B61">
        <w:t>’</w:t>
      </w:r>
      <w:r>
        <w:t xml:space="preserve">s FEHA claims were objectively frivolous, and it had made no such </w:t>
      </w:r>
      <w:r w:rsidR="00C842A5">
        <w:t>showing</w:t>
      </w:r>
      <w:r>
        <w:t xml:space="preserve"> in its moving papers. </w:t>
      </w:r>
      <w:r w:rsidR="00B85541">
        <w:t xml:space="preserve"> In its ruling</w:t>
      </w:r>
      <w:r w:rsidR="000076F6">
        <w:t>,</w:t>
      </w:r>
      <w:r w:rsidR="00B85541">
        <w:t xml:space="preserve"> the court </w:t>
      </w:r>
      <w:r w:rsidR="0048193B">
        <w:t>noted</w:t>
      </w:r>
      <w:r w:rsidR="00B85541">
        <w:t xml:space="preserve"> the </w:t>
      </w:r>
      <w:r w:rsidR="008A6041">
        <w:t xml:space="preserve">same rule applied to both </w:t>
      </w:r>
      <w:r w:rsidR="00802A8A">
        <w:t>attorney fee and cost awards in a FEHA case</w:t>
      </w:r>
      <w:r w:rsidR="00B1247F">
        <w:t xml:space="preserve">, citing </w:t>
      </w:r>
      <w:bookmarkStart w:id="0" w:name="dabmci_c20bfb33452c4761b4efc17bfa6fbcbf"/>
      <w:r w:rsidR="00B1247F">
        <w:rPr>
          <w:i/>
          <w:iCs/>
        </w:rPr>
        <w:t xml:space="preserve">Williams v. Chino Valley Independent Fire Dist. </w:t>
      </w:r>
      <w:r w:rsidR="008C1AF4">
        <w:t>(</w:t>
      </w:r>
      <w:r w:rsidR="00FE4AA7">
        <w:t xml:space="preserve">2015) 61 </w:t>
      </w:r>
      <w:r w:rsidR="00C26973">
        <w:t>Cal</w:t>
      </w:r>
      <w:r w:rsidR="00EB0706">
        <w:t>.</w:t>
      </w:r>
      <w:r w:rsidR="00C26973">
        <w:t>4th</w:t>
      </w:r>
      <w:r w:rsidR="00EB0706">
        <w:t>, 97,</w:t>
      </w:r>
      <w:r w:rsidR="00A84EC2">
        <w:t xml:space="preserve"> </w:t>
      </w:r>
      <w:r w:rsidR="00EB0706">
        <w:t>115</w:t>
      </w:r>
      <w:r w:rsidR="008C1AF4">
        <w:t xml:space="preserve"> (</w:t>
      </w:r>
      <w:r w:rsidRPr="008C1AF4" w:rsidR="008C1AF4">
        <w:rPr>
          <w:i/>
          <w:iCs/>
        </w:rPr>
        <w:t>Williams</w:t>
      </w:r>
      <w:r w:rsidR="008C1AF4">
        <w:t>)</w:t>
      </w:r>
      <w:bookmarkEnd w:id="0"/>
      <w:r w:rsidR="00CA780C">
        <w:t xml:space="preserve"> [</w:t>
      </w:r>
      <w:r w:rsidR="00FE5B61">
        <w:t>“</w:t>
      </w:r>
      <w:r w:rsidR="00BB1C58">
        <w:t>[a]</w:t>
      </w:r>
      <w:r w:rsidR="008D127B">
        <w:t xml:space="preserve"> prevailing </w:t>
      </w:r>
      <w:r w:rsidRPr="008C1AF4" w:rsidR="00BB1C58">
        <w:rPr>
          <w:i/>
          <w:iCs/>
        </w:rPr>
        <w:t>defendant</w:t>
      </w:r>
      <w:r w:rsidR="001A100C">
        <w:t xml:space="preserve"> </w:t>
      </w:r>
      <w:r w:rsidR="00263FF3">
        <w:t xml:space="preserve">. . . should not be awarded fees and costs unless the court finds the action was objectively without </w:t>
      </w:r>
      <w:r w:rsidR="00053335">
        <w:t>foundation when brought</w:t>
      </w:r>
      <w:r w:rsidR="00771884">
        <w:t xml:space="preserve">, or the plaintiff </w:t>
      </w:r>
      <w:r w:rsidR="00AA3034">
        <w:t>continued to litigate after it clearly became so</w:t>
      </w:r>
      <w:r w:rsidR="00FE5B61">
        <w:t>”</w:t>
      </w:r>
      <w:r w:rsidR="00603D47">
        <w:t>].</w:t>
      </w:r>
    </w:p>
    <w:p w:rsidR="00CC4C09" w:rsidRPr="0067524D" w:rsidP="00A84EC2" w14:paraId="712A78F2" w14:textId="61C78D0A">
      <w:pPr>
        <w:spacing w:line="480" w:lineRule="atLeast"/>
        <w:ind w:firstLine="720"/>
      </w:pPr>
      <w:r>
        <w:tab/>
      </w:r>
      <w:r w:rsidR="00353123">
        <w:t>Neeble</w:t>
      </w:r>
      <w:r w:rsidR="00353123">
        <w:noBreakHyphen/>
        <w:t>Diamond</w:t>
      </w:r>
      <w:r w:rsidR="0005071F">
        <w:t xml:space="preserve"> </w:t>
      </w:r>
      <w:r w:rsidR="004B40DE">
        <w:t>attempted to file a</w:t>
      </w:r>
      <w:r w:rsidR="00EB6F55">
        <w:t>n untimely</w:t>
      </w:r>
      <w:r w:rsidR="004B40DE">
        <w:t xml:space="preserve"> motion to tax costs, </w:t>
      </w:r>
      <w:r w:rsidR="00EE519F">
        <w:t xml:space="preserve">claiming </w:t>
      </w:r>
      <w:r w:rsidR="00974871">
        <w:t>her</w:t>
      </w:r>
      <w:r w:rsidR="00EE519F">
        <w:t xml:space="preserve"> failure to </w:t>
      </w:r>
      <w:r w:rsidR="00BF7204">
        <w:t xml:space="preserve">have done </w:t>
      </w:r>
      <w:r w:rsidR="001559B7">
        <w:t xml:space="preserve">so </w:t>
      </w:r>
      <w:r w:rsidR="00EB6F55">
        <w:t>earlier</w:t>
      </w:r>
      <w:r w:rsidR="00974871">
        <w:t xml:space="preserve"> </w:t>
      </w:r>
      <w:r w:rsidR="004A08C4">
        <w:t>was</w:t>
      </w:r>
      <w:r w:rsidR="002D4FA6">
        <w:t xml:space="preserve"> </w:t>
      </w:r>
      <w:r w:rsidR="00092355">
        <w:t xml:space="preserve">the result of excusable attorney error.  </w:t>
      </w:r>
      <w:r w:rsidR="009B0884">
        <w:t xml:space="preserve">The </w:t>
      </w:r>
      <w:r w:rsidR="00A84EC2">
        <w:t xml:space="preserve">trial </w:t>
      </w:r>
      <w:r w:rsidR="009B0884">
        <w:t xml:space="preserve">court denied relief from the late filing, concluding </w:t>
      </w:r>
      <w:r w:rsidR="006C0C23">
        <w:t>the attorney neglect was not excusable</w:t>
      </w:r>
      <w:r w:rsidR="002208E2">
        <w:t xml:space="preserve">, and denied the motion to tax </w:t>
      </w:r>
      <w:r w:rsidR="00A84EC2">
        <w:t xml:space="preserve">costs </w:t>
      </w:r>
      <w:r w:rsidR="00142ADB">
        <w:t>as untimely</w:t>
      </w:r>
      <w:r w:rsidR="006C0C23">
        <w:t xml:space="preserve">. </w:t>
      </w:r>
      <w:r w:rsidR="00A84EC2">
        <w:t xml:space="preserve"> </w:t>
      </w:r>
      <w:r w:rsidR="00D40F97">
        <w:t xml:space="preserve">The court then signed </w:t>
      </w:r>
      <w:r w:rsidR="00D36806">
        <w:t xml:space="preserve">an </w:t>
      </w:r>
      <w:r w:rsidR="00FE5B61">
        <w:t>“</w:t>
      </w:r>
      <w:r w:rsidR="00D36806">
        <w:t>amended judgment</w:t>
      </w:r>
      <w:r w:rsidR="00FE5B61">
        <w:t>”</w:t>
      </w:r>
      <w:r w:rsidR="00D36806">
        <w:t xml:space="preserve"> that included an award of $180,369.41</w:t>
      </w:r>
      <w:r w:rsidR="00762108">
        <w:t xml:space="preserve"> in costs </w:t>
      </w:r>
      <w:r w:rsidR="0046643C">
        <w:t xml:space="preserve">to Hotel California.  </w:t>
      </w:r>
      <w:r w:rsidR="00917A5C">
        <w:t xml:space="preserve"> </w:t>
      </w:r>
    </w:p>
    <w:p w:rsidR="00267FAD" w:rsidP="00353123" w14:paraId="5E5DD6C6" w14:textId="39B48663">
      <w:pPr>
        <w:keepNext/>
        <w:spacing w:before="240" w:line="480" w:lineRule="atLeast"/>
        <w:jc w:val="center"/>
      </w:pPr>
      <w:r>
        <w:rPr>
          <w:b/>
          <w:bCs/>
        </w:rPr>
        <w:t>DISCUSSION</w:t>
      </w:r>
    </w:p>
    <w:p w:rsidR="00470A4F" w:rsidRPr="00353123" w:rsidP="00353123" w14:paraId="5283D866" w14:textId="061D9607">
      <w:pPr>
        <w:pStyle w:val="ListParagraph"/>
        <w:keepNext/>
        <w:numPr>
          <w:ilvl w:val="0"/>
          <w:numId w:val="1"/>
        </w:numPr>
        <w:spacing w:line="480" w:lineRule="atLeast"/>
        <w:ind w:left="1440" w:hanging="720"/>
        <w:rPr>
          <w:i/>
          <w:iCs/>
        </w:rPr>
      </w:pPr>
      <w:r w:rsidRPr="00353123">
        <w:rPr>
          <w:i/>
          <w:iCs/>
        </w:rPr>
        <w:t>Cost Award</w:t>
      </w:r>
      <w:r w:rsidRPr="00353123" w:rsidR="00EF3AB5">
        <w:rPr>
          <w:i/>
          <w:iCs/>
        </w:rPr>
        <w:t>s</w:t>
      </w:r>
    </w:p>
    <w:p w:rsidR="00F0553E" w:rsidP="008F4FBF" w14:paraId="04399A0F" w14:textId="114CBC0A">
      <w:pPr>
        <w:tabs>
          <w:tab w:val="left" w:pos="1440"/>
          <w:tab w:val="left" w:pos="2880"/>
          <w:tab w:val="left" w:pos="4320"/>
          <w:tab w:val="left" w:pos="5760"/>
          <w:tab w:val="left" w:pos="7200"/>
          <w:tab w:val="left" w:pos="8640"/>
        </w:tabs>
        <w:spacing w:line="480" w:lineRule="atLeast"/>
      </w:pPr>
      <w:r>
        <w:tab/>
      </w:r>
      <w:r w:rsidR="00D16E5E">
        <w:t>As a</w:t>
      </w:r>
      <w:r w:rsidR="00BF7A93">
        <w:t xml:space="preserve"> general rule</w:t>
      </w:r>
      <w:r w:rsidR="0066426F">
        <w:t xml:space="preserve">, </w:t>
      </w:r>
      <w:r w:rsidRPr="00BF7A93" w:rsidR="00BF7A93">
        <w:t>the prevailing party in a lawsuit is</w:t>
      </w:r>
      <w:r w:rsidR="000C6259">
        <w:t xml:space="preserve"> </w:t>
      </w:r>
      <w:r w:rsidRPr="00BF7A93" w:rsidR="00BF7A93">
        <w:t>entitled to recover allowable costs</w:t>
      </w:r>
      <w:r w:rsidR="0066426F">
        <w:t>.  (Code Civ. Proc., §</w:t>
      </w:r>
      <w:r w:rsidR="009F13F6">
        <w:t xml:space="preserve"> </w:t>
      </w:r>
      <w:r w:rsidRPr="00BF7A93" w:rsidR="00BF7A93">
        <w:t>1032, subd</w:t>
      </w:r>
      <w:r w:rsidR="00C51258">
        <w:t>.</w:t>
      </w:r>
      <w:r w:rsidRPr="00BF7A93" w:rsidR="00BF7A93">
        <w:t xml:space="preserve"> (b)</w:t>
      </w:r>
      <w:r w:rsidR="00145BDC">
        <w:t xml:space="preserve"> [</w:t>
      </w:r>
      <w:r w:rsidR="00FE5B61">
        <w:t>“</w:t>
      </w:r>
      <w:r w:rsidR="00570F0D">
        <w:t>[e]</w:t>
      </w:r>
      <w:r w:rsidRPr="00BF7A93" w:rsidR="00BF7A93">
        <w:t>xcept as otherwise expressly provided by statute, a prevailing party is entitled as a matter of right to recover costs in any action or proceeding</w:t>
      </w:r>
      <w:r w:rsidR="00FE5B61">
        <w:t>”</w:t>
      </w:r>
      <w:r w:rsidR="0002746C">
        <w:t>].)</w:t>
      </w:r>
      <w:r>
        <w:rPr>
          <w:rStyle w:val="FootnoteReference"/>
          <w:color w:val="auto"/>
          <w:sz w:val="26"/>
          <w:szCs w:val="26"/>
          <w:vertAlign w:val="superscript"/>
        </w:rPr>
        <w:footnoteReference w:id="3"/>
      </w:r>
      <w:r w:rsidR="007B553C">
        <w:t xml:space="preserve">  Section</w:t>
      </w:r>
      <w:r w:rsidR="00B01656">
        <w:t xml:space="preserve"> 1033.5 </w:t>
      </w:r>
      <w:r w:rsidRPr="00B01656" w:rsidR="00B01656">
        <w:t xml:space="preserve">specifies the items that are </w:t>
      </w:r>
      <w:r w:rsidR="00FE5B61">
        <w:t>“</w:t>
      </w:r>
      <w:r w:rsidRPr="00B01656" w:rsidR="00B01656">
        <w:t>allowable as costs under Section 1032.</w:t>
      </w:r>
      <w:r w:rsidR="00FE5B61">
        <w:t>”</w:t>
      </w:r>
      <w:r w:rsidRPr="00B01656" w:rsidR="00B01656">
        <w:t xml:space="preserve"> (§ 1033.5, subd. (a).)</w:t>
      </w:r>
    </w:p>
    <w:p w:rsidR="00FB3D67" w:rsidP="008F4FBF" w14:paraId="1796416E" w14:textId="7AD55D23">
      <w:pPr>
        <w:tabs>
          <w:tab w:val="left" w:pos="1440"/>
          <w:tab w:val="left" w:pos="2880"/>
          <w:tab w:val="left" w:pos="4320"/>
          <w:tab w:val="left" w:pos="5760"/>
          <w:tab w:val="left" w:pos="7200"/>
          <w:tab w:val="left" w:pos="8640"/>
        </w:tabs>
        <w:spacing w:line="480" w:lineRule="atLeast"/>
      </w:pPr>
      <w:r>
        <w:tab/>
      </w:r>
      <w:r w:rsidR="00281CC4">
        <w:t xml:space="preserve">The </w:t>
      </w:r>
      <w:r w:rsidR="00A84EC2">
        <w:t xml:space="preserve">established </w:t>
      </w:r>
      <w:r w:rsidR="00281CC4">
        <w:t>procedure for recovering</w:t>
      </w:r>
      <w:r w:rsidR="006C0B48">
        <w:t xml:space="preserve"> </w:t>
      </w:r>
      <w:r w:rsidR="002F59C7">
        <w:t>the</w:t>
      </w:r>
      <w:r w:rsidR="00BB1320">
        <w:t xml:space="preserve"> costs </w:t>
      </w:r>
      <w:r w:rsidR="002F59C7">
        <w:t xml:space="preserve">allowed under </w:t>
      </w:r>
      <w:r w:rsidR="009F13F6">
        <w:t xml:space="preserve">section 1032 </w:t>
      </w:r>
      <w:r w:rsidR="001A2F9B">
        <w:t xml:space="preserve">is to file a </w:t>
      </w:r>
      <w:r w:rsidR="00FA2640">
        <w:t>cost memorandum</w:t>
      </w:r>
      <w:r w:rsidR="004A6A27">
        <w:t>, supported by a</w:t>
      </w:r>
      <w:r w:rsidR="00C970F3">
        <w:t xml:space="preserve"> verified statement of counsel.</w:t>
      </w:r>
      <w:r w:rsidR="00B31BE5">
        <w:t xml:space="preserve">  </w:t>
      </w:r>
      <w:r w:rsidRPr="00B31BE5" w:rsidR="00B31BE5">
        <w:t>(</w:t>
      </w:r>
      <w:r w:rsidR="0074460A">
        <w:t>§ </w:t>
      </w:r>
      <w:r w:rsidR="007849C5">
        <w:t>1034</w:t>
      </w:r>
      <w:r w:rsidR="00C51258">
        <w:t>, subd. (a)</w:t>
      </w:r>
      <w:r w:rsidR="00A81DA1">
        <w:t xml:space="preserve"> [</w:t>
      </w:r>
      <w:r w:rsidR="00FE5B61">
        <w:t>“</w:t>
      </w:r>
      <w:r w:rsidRPr="00AA5665" w:rsidR="00AA5665">
        <w:t>[p]rejudgment costs allowable under this chapter shall be claimed and contested in accordance with rules adopted by the Judicial Council</w:t>
      </w:r>
      <w:r w:rsidR="00FE5B61">
        <w:t>”</w:t>
      </w:r>
      <w:r w:rsidR="00AA5665">
        <w:t xml:space="preserve">]; </w:t>
      </w:r>
      <w:bookmarkStart w:id="1" w:name="dabmci_7509d137c7f0475dbc677bde0b8d4baf"/>
      <w:r w:rsidR="00C53554">
        <w:t xml:space="preserve">California </w:t>
      </w:r>
      <w:r w:rsidR="00B41FC5">
        <w:t>R</w:t>
      </w:r>
      <w:r w:rsidR="00C53554">
        <w:t xml:space="preserve">ules of </w:t>
      </w:r>
      <w:r w:rsidR="00B41FC5">
        <w:t xml:space="preserve">Court, </w:t>
      </w:r>
      <w:r w:rsidR="006676D4">
        <w:t>r</w:t>
      </w:r>
      <w:r w:rsidRPr="00B31BE5" w:rsidR="00B31BE5">
        <w:t>ule</w:t>
      </w:r>
      <w:r>
        <w:t> </w:t>
      </w:r>
      <w:r w:rsidRPr="00B31BE5" w:rsidR="00B31BE5">
        <w:t>3.1700(a)(1)</w:t>
      </w:r>
      <w:r w:rsidR="006676D4">
        <w:t xml:space="preserve"> (</w:t>
      </w:r>
      <w:r w:rsidR="00C51258">
        <w:t>r</w:t>
      </w:r>
      <w:r w:rsidR="006676D4">
        <w:t>ule</w:t>
      </w:r>
      <w:r w:rsidR="00315DED">
        <w:t xml:space="preserve"> 3.1</w:t>
      </w:r>
      <w:r w:rsidR="00225602">
        <w:t>700</w:t>
      </w:r>
      <w:bookmarkEnd w:id="1"/>
      <w:r w:rsidR="00403E95">
        <w:t>)</w:t>
      </w:r>
      <w:r w:rsidR="00003AEC">
        <w:t>.)</w:t>
      </w:r>
      <w:r>
        <w:rPr>
          <w:rStyle w:val="FootnoteReference"/>
          <w:color w:val="auto"/>
          <w:sz w:val="26"/>
          <w:szCs w:val="26"/>
          <w:vertAlign w:val="superscript"/>
        </w:rPr>
        <w:footnoteReference w:id="4"/>
      </w:r>
      <w:r w:rsidR="00003AEC">
        <w:t xml:space="preserve">  </w:t>
      </w:r>
      <w:r w:rsidR="0070592C">
        <w:t xml:space="preserve">In such cases, </w:t>
      </w:r>
      <w:r w:rsidR="00FE5B61">
        <w:t>“</w:t>
      </w:r>
      <w:r w:rsidRPr="0070592C" w:rsidR="0070592C">
        <w:t>If the items on a verified cost bill appear proper charges, they are prima facie evidence that the costs, expenses and services therein listed were necessarily incurred</w:t>
      </w:r>
      <w:r w:rsidR="00C51258">
        <w:t>,</w:t>
      </w:r>
      <w:r w:rsidR="00FE5B61">
        <w:t>”</w:t>
      </w:r>
      <w:r w:rsidR="00DF2B56">
        <w:t xml:space="preserve"> </w:t>
      </w:r>
      <w:r w:rsidR="00946EDA">
        <w:t xml:space="preserve">and </w:t>
      </w:r>
      <w:r w:rsidR="00FE5B61">
        <w:t>“</w:t>
      </w:r>
      <w:r w:rsidR="00FE19D0">
        <w:t>[t]</w:t>
      </w:r>
      <w:r w:rsidR="00D651AC">
        <w:t xml:space="preserve">he </w:t>
      </w:r>
      <w:r w:rsidRPr="00946EDA" w:rsidR="00946EDA">
        <w:t>normal procedure to challenge individual items is by a motion to tax costs.</w:t>
      </w:r>
      <w:r w:rsidR="00C51258">
        <w:t>”</w:t>
      </w:r>
      <w:r w:rsidR="00DF2B56">
        <w:t xml:space="preserve"> </w:t>
      </w:r>
      <w:r w:rsidR="00353123">
        <w:t xml:space="preserve"> </w:t>
      </w:r>
      <w:r w:rsidR="00DF2B56">
        <w:t>(</w:t>
      </w:r>
      <w:bookmarkStart w:id="2" w:name="dabmci_d6e1ac4509e94a8698c51168ed4751ab"/>
      <w:r w:rsidRPr="00CC134E" w:rsidR="00935B0C">
        <w:rPr>
          <w:i/>
          <w:iCs/>
        </w:rPr>
        <w:t>Rappenecker v. Sea-Land Service, Inc</w:t>
      </w:r>
      <w:r w:rsidR="00491A4F">
        <w:t>. (</w:t>
      </w:r>
      <w:r w:rsidRPr="00162D74" w:rsidR="00162D74">
        <w:t>1979</w:t>
      </w:r>
      <w:r w:rsidR="00436F1F">
        <w:t xml:space="preserve">) </w:t>
      </w:r>
      <w:r w:rsidRPr="00162D74" w:rsidR="00162D74">
        <w:t>93 Cal.App.3d 256</w:t>
      </w:r>
      <w:r w:rsidR="00436F1F">
        <w:t>,</w:t>
      </w:r>
      <w:r w:rsidR="00946EDA">
        <w:t xml:space="preserve"> 266</w:t>
      </w:r>
      <w:bookmarkEnd w:id="2"/>
      <w:r w:rsidR="00946EDA">
        <w:t>.)</w:t>
      </w:r>
      <w:r w:rsidR="00C53554">
        <w:t xml:space="preserve">  </w:t>
      </w:r>
      <w:r w:rsidR="005A4EFA">
        <w:t>I</w:t>
      </w:r>
      <w:r w:rsidR="00875B21">
        <w:t xml:space="preserve">f no </w:t>
      </w:r>
      <w:r w:rsidR="006D76AF">
        <w:t xml:space="preserve">timely </w:t>
      </w:r>
      <w:r w:rsidR="00875B21">
        <w:t>motion to tax costs is filed,</w:t>
      </w:r>
      <w:r w:rsidR="006D76AF">
        <w:t xml:space="preserve"> </w:t>
      </w:r>
      <w:r w:rsidR="0007025D">
        <w:t xml:space="preserve">the court has no involvement with the cost award.  Instead, </w:t>
      </w:r>
      <w:bookmarkStart w:id="3" w:name="dabmci_2026853614814ff8b509ed2d585b15cf"/>
      <w:r w:rsidR="00E4408E">
        <w:t>rule 3</w:t>
      </w:r>
      <w:r w:rsidRPr="000256A8" w:rsidR="00E4408E">
        <w:t>.1700</w:t>
      </w:r>
      <w:r w:rsidR="00E4408E">
        <w:t>(b)(4)</w:t>
      </w:r>
      <w:bookmarkEnd w:id="3"/>
      <w:r w:rsidR="00E4408E">
        <w:t xml:space="preserve"> </w:t>
      </w:r>
      <w:r w:rsidR="00A675E5">
        <w:t>stat</w:t>
      </w:r>
      <w:r w:rsidR="002E45B2">
        <w:t xml:space="preserve">es </w:t>
      </w:r>
      <w:r w:rsidR="00FE5B61">
        <w:t>“</w:t>
      </w:r>
      <w:r w:rsidRPr="00611455">
        <w:t>the clerk must immediately enter the costs on the judgment</w:t>
      </w:r>
      <w:r>
        <w:t>.</w:t>
      </w:r>
      <w:r w:rsidR="00FE5B61">
        <w:t>”</w:t>
      </w:r>
      <w:r w:rsidR="0007025D">
        <w:t xml:space="preserve"> </w:t>
      </w:r>
    </w:p>
    <w:p w:rsidR="00501D55" w:rsidP="00353123" w14:paraId="3D0146DF" w14:textId="407824CE">
      <w:pPr>
        <w:pStyle w:val="ListParagraph"/>
        <w:keepNext/>
        <w:numPr>
          <w:ilvl w:val="0"/>
          <w:numId w:val="1"/>
        </w:numPr>
        <w:spacing w:line="480" w:lineRule="atLeast"/>
        <w:ind w:left="1440" w:hanging="720"/>
      </w:pPr>
      <w:r>
        <w:rPr>
          <w:i/>
          <w:iCs/>
        </w:rPr>
        <w:t>Cost Award to a Defendant in a FEHA Case</w:t>
      </w:r>
    </w:p>
    <w:p w:rsidR="00B777C0" w:rsidP="00260EE6" w14:paraId="50ACC13B" w14:textId="77777777">
      <w:pPr>
        <w:keepNext/>
        <w:tabs>
          <w:tab w:val="left" w:pos="1440"/>
          <w:tab w:val="left" w:pos="2880"/>
          <w:tab w:val="left" w:pos="4320"/>
          <w:tab w:val="left" w:pos="5760"/>
          <w:tab w:val="left" w:pos="7200"/>
          <w:tab w:val="left" w:pos="8640"/>
        </w:tabs>
        <w:spacing w:line="480" w:lineRule="atLeast"/>
      </w:pPr>
      <w:r>
        <w:tab/>
        <w:t xml:space="preserve">A different rule, however, applies in FEHA cases.  </w:t>
      </w:r>
    </w:p>
    <w:p w:rsidR="006E5CCF" w:rsidRPr="00C51258" w:rsidP="00353123" w14:paraId="7587C4F5" w14:textId="2FEF13A7">
      <w:pPr>
        <w:tabs>
          <w:tab w:val="left" w:pos="1440"/>
          <w:tab w:val="left" w:pos="2880"/>
          <w:tab w:val="left" w:pos="4320"/>
          <w:tab w:val="left" w:pos="5760"/>
          <w:tab w:val="left" w:pos="7200"/>
          <w:tab w:val="left" w:pos="8640"/>
        </w:tabs>
        <w:spacing w:line="480" w:lineRule="atLeast"/>
      </w:pPr>
      <w:r>
        <w:tab/>
      </w:r>
      <w:r w:rsidR="007F453F">
        <w:t xml:space="preserve">In </w:t>
      </w:r>
      <w:bookmarkStart w:id="4" w:name="dabmci_c35b31b0b76f41729c82143e81720050"/>
      <w:r w:rsidRPr="00A42828" w:rsidR="007F453F">
        <w:rPr>
          <w:i/>
          <w:iCs/>
        </w:rPr>
        <w:t>Williams</w:t>
      </w:r>
      <w:bookmarkEnd w:id="4"/>
      <w:r w:rsidR="00524678">
        <w:t xml:space="preserve">, </w:t>
      </w:r>
      <w:r w:rsidR="00861EB2">
        <w:t>our Supreme Court</w:t>
      </w:r>
      <w:r w:rsidR="000619D6">
        <w:t xml:space="preserve"> held that </w:t>
      </w:r>
      <w:r w:rsidRPr="007F453F" w:rsidR="007F453F">
        <w:t>Government Code section 12965</w:t>
      </w:r>
      <w:r w:rsidR="00C51258">
        <w:t>, subdivision (b),</w:t>
      </w:r>
      <w:r w:rsidR="00BD138B">
        <w:t xml:space="preserve"> </w:t>
      </w:r>
      <w:r w:rsidR="00FE5B61">
        <w:t>“</w:t>
      </w:r>
      <w:r w:rsidRPr="007F453F" w:rsidR="007F453F">
        <w:t>governs cost awards in FEHA actions, allowing trial courts discretion in awards of both attorney fees and costs to prevailing FEHA parties.</w:t>
      </w:r>
      <w:r w:rsidR="00FE5B61">
        <w:t>”</w:t>
      </w:r>
      <w:r w:rsidR="00E137EB">
        <w:t xml:space="preserve">  </w:t>
      </w:r>
      <w:r w:rsidR="00C51258">
        <w:t>(</w:t>
      </w:r>
      <w:bookmarkStart w:id="5" w:name="dabmci_d9f500e330cc4ec6a604818ae0aefca6"/>
      <w:r w:rsidR="00C51258">
        <w:rPr>
          <w:i/>
          <w:iCs/>
        </w:rPr>
        <w:t>Williams, supra</w:t>
      </w:r>
      <w:r w:rsidR="00C51258">
        <w:t>, 61 Cal.4th at p. 99</w:t>
      </w:r>
      <w:bookmarkEnd w:id="5"/>
      <w:r w:rsidR="00C51258">
        <w:t>.)</w:t>
      </w:r>
    </w:p>
    <w:p w:rsidR="005556BE" w:rsidP="00353123" w14:paraId="25FC8946" w14:textId="0FBFC759">
      <w:pPr>
        <w:tabs>
          <w:tab w:val="left" w:pos="1440"/>
          <w:tab w:val="left" w:pos="2880"/>
          <w:tab w:val="left" w:pos="4320"/>
          <w:tab w:val="left" w:pos="5760"/>
          <w:tab w:val="left" w:pos="7200"/>
          <w:tab w:val="left" w:pos="8640"/>
        </w:tabs>
        <w:spacing w:line="480" w:lineRule="atLeast"/>
      </w:pPr>
      <w:r>
        <w:tab/>
      </w:r>
      <w:r w:rsidR="00283CC4">
        <w:t>T</w:t>
      </w:r>
      <w:r w:rsidRPr="00C603A7" w:rsidR="00C603A7">
        <w:t xml:space="preserve">he </w:t>
      </w:r>
      <w:r w:rsidRPr="006D5A5F" w:rsidR="00C603A7">
        <w:rPr>
          <w:i/>
          <w:iCs/>
        </w:rPr>
        <w:t>Williams</w:t>
      </w:r>
      <w:r w:rsidRPr="00C603A7" w:rsidR="00C603A7">
        <w:t xml:space="preserve"> court explained that Government Code section 12965, subdivision (b), </w:t>
      </w:r>
      <w:r w:rsidR="00FE5B61">
        <w:t>“</w:t>
      </w:r>
      <w:r w:rsidRPr="00C603A7" w:rsidR="00C603A7">
        <w:t>is an express exception to Code of Civil Procedure section 1032</w:t>
      </w:r>
      <w:r w:rsidR="00C51258">
        <w:t>[</w:t>
      </w:r>
      <w:r w:rsidRPr="00C603A7" w:rsidR="00C603A7">
        <w:t xml:space="preserve">, subdivision </w:t>
      </w:r>
      <w:r w:rsidR="00C51258">
        <w:t>]</w:t>
      </w:r>
      <w:r w:rsidRPr="00C603A7" w:rsidR="00C603A7">
        <w:t xml:space="preserve">(b). </w:t>
      </w:r>
      <w:r w:rsidR="00C51258">
        <w:t xml:space="preserve"> </w:t>
      </w:r>
      <w:r w:rsidRPr="00C603A7" w:rsidR="00C603A7">
        <w:t>Government Code section 12965</w:t>
      </w:r>
      <w:r w:rsidR="00C51258">
        <w:t>[</w:t>
      </w:r>
      <w:r w:rsidRPr="00C603A7" w:rsidR="00C603A7">
        <w:t xml:space="preserve">, subdivision </w:t>
      </w:r>
      <w:r w:rsidR="00C51258">
        <w:t>]</w:t>
      </w:r>
      <w:r w:rsidRPr="00C603A7" w:rsidR="00C603A7">
        <w:t>(b), rather than being silent as to either party</w:t>
      </w:r>
      <w:r w:rsidR="00FE5B61">
        <w:t>’</w:t>
      </w:r>
      <w:r w:rsidRPr="00C603A7" w:rsidR="00C603A7">
        <w:t>s recovery of costs, expressly states that both parties are allowed costs in the trial court</w:t>
      </w:r>
      <w:r w:rsidR="00FE5B61">
        <w:t>’</w:t>
      </w:r>
      <w:r w:rsidRPr="00C603A7" w:rsidR="00C603A7">
        <w:t>s discretion, a standard expressly differing from the entitlement to costs provided under Code of Civil Procedure section 1032</w:t>
      </w:r>
      <w:r w:rsidR="00C51258">
        <w:t>[</w:t>
      </w:r>
      <w:r w:rsidRPr="00C603A7" w:rsidR="00C603A7">
        <w:t xml:space="preserve">, subdivision </w:t>
      </w:r>
      <w:r w:rsidR="00C51258">
        <w:t>]</w:t>
      </w:r>
      <w:r w:rsidRPr="00C603A7" w:rsidR="00C603A7">
        <w:t>(b).</w:t>
      </w:r>
      <w:r w:rsidR="00FE5B61">
        <w:t>”</w:t>
      </w:r>
      <w:r w:rsidRPr="00C603A7" w:rsidR="00C603A7">
        <w:t xml:space="preserve"> (</w:t>
      </w:r>
      <w:bookmarkStart w:id="6" w:name="dabmci_000111ddae9c4a7796a92ab82bc48fa1"/>
      <w:r w:rsidR="00C51258">
        <w:rPr>
          <w:i/>
          <w:iCs/>
        </w:rPr>
        <w:t>Williams, supra</w:t>
      </w:r>
      <w:r w:rsidRPr="00C51258" w:rsidR="00C51258">
        <w:t>,</w:t>
      </w:r>
      <w:r w:rsidR="00C51258">
        <w:t xml:space="preserve"> 61 Cal.4th</w:t>
      </w:r>
      <w:r w:rsidR="00B227C3">
        <w:t xml:space="preserve"> at p. </w:t>
      </w:r>
      <w:r w:rsidRPr="00C603A7" w:rsidR="00C603A7">
        <w:t>105</w:t>
      </w:r>
      <w:bookmarkEnd w:id="6"/>
      <w:r w:rsidR="00B227C3">
        <w:t>.)</w:t>
      </w:r>
      <w:r w:rsidR="00CF5FE9">
        <w:t xml:space="preserve">  </w:t>
      </w:r>
      <w:r w:rsidR="00E15323">
        <w:t xml:space="preserve"> </w:t>
      </w:r>
    </w:p>
    <w:p w:rsidR="00656952" w:rsidP="00353123" w14:paraId="7A091AA3" w14:textId="02219FD3">
      <w:pPr>
        <w:tabs>
          <w:tab w:val="left" w:pos="1440"/>
          <w:tab w:val="left" w:pos="2880"/>
          <w:tab w:val="left" w:pos="4320"/>
          <w:tab w:val="left" w:pos="5760"/>
          <w:tab w:val="left" w:pos="7200"/>
          <w:tab w:val="left" w:pos="8640"/>
        </w:tabs>
        <w:spacing w:line="480" w:lineRule="atLeast"/>
      </w:pPr>
      <w:r>
        <w:tab/>
      </w:r>
      <w:r w:rsidR="00A84EC2">
        <w:t xml:space="preserve">In </w:t>
      </w:r>
      <w:r w:rsidR="00A84EC2">
        <w:rPr>
          <w:i/>
          <w:iCs/>
        </w:rPr>
        <w:t>Williams</w:t>
      </w:r>
      <w:r w:rsidR="00A84EC2">
        <w:t>,</w:t>
      </w:r>
      <w:r w:rsidR="00A46DED">
        <w:t xml:space="preserve"> t</w:t>
      </w:r>
      <w:r w:rsidR="00C1511B">
        <w:t>he court</w:t>
      </w:r>
      <w:r w:rsidR="00316B3A">
        <w:t xml:space="preserve"> </w:t>
      </w:r>
      <w:r w:rsidR="0044331F">
        <w:t>explaine</w:t>
      </w:r>
      <w:r w:rsidR="00316B3A">
        <w:t xml:space="preserve">d </w:t>
      </w:r>
      <w:r w:rsidR="00FE5B61">
        <w:t>“</w:t>
      </w:r>
      <w:r w:rsidRPr="007F453F" w:rsidR="007F453F">
        <w:t>that in awarding attorney fees and costs, the trial court</w:t>
      </w:r>
      <w:r w:rsidR="00FE5B61">
        <w:t>’</w:t>
      </w:r>
      <w:r w:rsidRPr="007F453F" w:rsidR="007F453F">
        <w:t xml:space="preserve">s discretion is bounded by the rule of </w:t>
      </w:r>
      <w:r w:rsidRPr="004317A7" w:rsidR="007F453F">
        <w:rPr>
          <w:i/>
          <w:iCs/>
        </w:rPr>
        <w:t>Christiansburg</w:t>
      </w:r>
      <w:r w:rsidR="00973FBC">
        <w:t xml:space="preserve"> [</w:t>
      </w:r>
      <w:bookmarkStart w:id="7" w:name="dabmci_264266d4cd1643f58ea6baab47bac5a7"/>
      <w:r w:rsidRPr="004317A7" w:rsidR="006C75F2">
        <w:rPr>
          <w:i/>
          <w:iCs/>
        </w:rPr>
        <w:t>Garment Co. v. EEOC</w:t>
      </w:r>
      <w:r w:rsidRPr="006C75F2" w:rsidR="006C75F2">
        <w:t xml:space="preserve"> (1978) 434 U.S. 412</w:t>
      </w:r>
      <w:bookmarkEnd w:id="7"/>
      <w:r w:rsidR="00A55B3B">
        <w:t>]</w:t>
      </w:r>
      <w:r w:rsidR="001B03FD">
        <w:t>” (</w:t>
      </w:r>
      <w:r w:rsidR="001B03FD">
        <w:rPr>
          <w:i/>
          <w:iCs/>
        </w:rPr>
        <w:t xml:space="preserve">Williams, supra, </w:t>
      </w:r>
      <w:r w:rsidR="001B03FD">
        <w:t>61 Cal.4th at p. 99)</w:t>
      </w:r>
      <w:r w:rsidR="007C5D79">
        <w:t>;</w:t>
      </w:r>
      <w:r>
        <w:rPr>
          <w:rStyle w:val="FootnoteReference"/>
          <w:color w:val="auto"/>
          <w:sz w:val="26"/>
          <w:szCs w:val="26"/>
          <w:vertAlign w:val="superscript"/>
        </w:rPr>
        <w:footnoteReference w:id="5"/>
      </w:r>
      <w:r w:rsidR="007B4111">
        <w:t xml:space="preserve"> </w:t>
      </w:r>
      <w:r w:rsidR="00160337">
        <w:t>t</w:t>
      </w:r>
      <w:r w:rsidR="007B4111">
        <w:t xml:space="preserve">hus, </w:t>
      </w:r>
      <w:r w:rsidR="00FE5B61">
        <w:t>“</w:t>
      </w:r>
      <w:r w:rsidRPr="007F453F" w:rsidR="007F453F">
        <w:t>an unsuccessful FEHA plaintiff should not be ordered to pay the defendant</w:t>
      </w:r>
      <w:r w:rsidR="00FE5B61">
        <w:t>’</w:t>
      </w:r>
      <w:r w:rsidRPr="007F453F" w:rsidR="007F453F">
        <w:t>s fees or costs unless the plaintiff brought or continued litigating the action without an objective basis for believing it had potential merit</w:t>
      </w:r>
      <w:r w:rsidR="00FE5B61">
        <w:t>”</w:t>
      </w:r>
      <w:r w:rsidR="007F3F01">
        <w:t xml:space="preserve"> (</w:t>
      </w:r>
      <w:bookmarkStart w:id="10" w:name="dabmci_dfeca969b8224f9ba5dad5bb7061a6fd"/>
      <w:r w:rsidRPr="000330C0" w:rsidR="007F3F01">
        <w:rPr>
          <w:i/>
          <w:iCs/>
        </w:rPr>
        <w:t>Williams, supra</w:t>
      </w:r>
      <w:r w:rsidR="007F3F01">
        <w:t xml:space="preserve">, at p. </w:t>
      </w:r>
      <w:r w:rsidR="000330C0">
        <w:t>99</w:t>
      </w:r>
      <w:r w:rsidR="00C51258">
        <w:noBreakHyphen/>
        <w:t>100</w:t>
      </w:r>
      <w:bookmarkEnd w:id="10"/>
      <w:r w:rsidR="000330C0">
        <w:t>)</w:t>
      </w:r>
      <w:r w:rsidR="001B03FD">
        <w:t>.</w:t>
      </w:r>
    </w:p>
    <w:p w:rsidR="00B81028" w:rsidP="00353123" w14:paraId="4FD1A2C1" w14:textId="5EFD0A1D">
      <w:pPr>
        <w:tabs>
          <w:tab w:val="left" w:pos="1440"/>
          <w:tab w:val="left" w:pos="2880"/>
          <w:tab w:val="left" w:pos="4320"/>
          <w:tab w:val="left" w:pos="5760"/>
          <w:tab w:val="left" w:pos="7200"/>
          <w:tab w:val="left" w:pos="8640"/>
        </w:tabs>
        <w:spacing w:line="480" w:lineRule="atLeast"/>
      </w:pPr>
      <w:r>
        <w:tab/>
        <w:t>Government Code section 12965, subd</w:t>
      </w:r>
      <w:r w:rsidR="00C51258">
        <w:t>ivision </w:t>
      </w:r>
      <w:r>
        <w:t xml:space="preserve">(c)(6), </w:t>
      </w:r>
      <w:r w:rsidR="00322CFD">
        <w:t>codifies</w:t>
      </w:r>
      <w:r>
        <w:t xml:space="preserve"> </w:t>
      </w:r>
      <w:r w:rsidR="009A622F">
        <w:t>th</w:t>
      </w:r>
      <w:r w:rsidR="00562290">
        <w:t xml:space="preserve">e </w:t>
      </w:r>
      <w:r w:rsidR="001502B4">
        <w:rPr>
          <w:i/>
          <w:iCs/>
        </w:rPr>
        <w:t xml:space="preserve">Williams </w:t>
      </w:r>
      <w:r w:rsidR="001502B4">
        <w:t>rule</w:t>
      </w:r>
      <w:r w:rsidR="009A622F">
        <w:t xml:space="preserve">:  </w:t>
      </w:r>
      <w:r w:rsidR="00FE5B61">
        <w:t>“</w:t>
      </w:r>
      <w:r w:rsidRPr="00EC1D4F">
        <w:t>In civil actions brought under this section, the court, in its discretion, may award to the prevailing party, including the department, reasonable attorney</w:t>
      </w:r>
      <w:r w:rsidR="00FE5B61">
        <w:t>’</w:t>
      </w:r>
      <w:r w:rsidRPr="00EC1D4F">
        <w:t>s fees and costs, including expert witness fees, except that, notwithstanding Section 998 of the Code of Civil Procedure, a prevailing defendant shall not be awarded fees and costs unless the court finds the action was frivolous, unreasonable, or groundless when brought, or the plaintiff continued to litigate after it clearly became so.</w:t>
      </w:r>
      <w:r w:rsidR="00FE5B61">
        <w:t>”</w:t>
      </w:r>
    </w:p>
    <w:p w:rsidR="00B81028" w:rsidP="00353123" w14:paraId="37B25773" w14:textId="2D69034F">
      <w:pPr>
        <w:tabs>
          <w:tab w:val="left" w:pos="1440"/>
          <w:tab w:val="left" w:pos="2880"/>
          <w:tab w:val="left" w:pos="4320"/>
          <w:tab w:val="left" w:pos="5760"/>
          <w:tab w:val="left" w:pos="7200"/>
          <w:tab w:val="left" w:pos="8640"/>
        </w:tabs>
        <w:spacing w:line="480" w:lineRule="atLeast"/>
      </w:pPr>
      <w:r>
        <w:tab/>
      </w:r>
      <w:r w:rsidR="00E216C9">
        <w:t xml:space="preserve">Thus, when </w:t>
      </w:r>
      <w:r w:rsidR="001B03FD">
        <w:t>the</w:t>
      </w:r>
      <w:r w:rsidR="00E216C9">
        <w:t xml:space="preserve"> defen</w:t>
      </w:r>
      <w:r w:rsidR="001B03FD">
        <w:t>se</w:t>
      </w:r>
      <w:r w:rsidR="00E216C9">
        <w:t xml:space="preserve"> prevails in a FEHA action, it</w:t>
      </w:r>
      <w:r w:rsidR="00671F47">
        <w:t xml:space="preserve"> ha</w:t>
      </w:r>
      <w:r w:rsidR="00376497">
        <w:t>s</w:t>
      </w:r>
      <w:r w:rsidR="00671F47">
        <w:t xml:space="preserve"> no </w:t>
      </w:r>
      <w:r w:rsidR="00376497">
        <w:t xml:space="preserve">automatic </w:t>
      </w:r>
      <w:r w:rsidR="00671F47">
        <w:t xml:space="preserve">right to </w:t>
      </w:r>
      <w:r w:rsidR="001F48F2">
        <w:t xml:space="preserve">recover </w:t>
      </w:r>
      <w:r w:rsidR="00376497">
        <w:t>costs</w:t>
      </w:r>
      <w:r w:rsidR="00671F47">
        <w:t xml:space="preserve"> under </w:t>
      </w:r>
      <w:r w:rsidR="000D7E17">
        <w:t>section 1032</w:t>
      </w:r>
      <w:r w:rsidR="000B7ADA">
        <w:t xml:space="preserve">; </w:t>
      </w:r>
      <w:r w:rsidR="008A1C40">
        <w:t xml:space="preserve">instead, </w:t>
      </w:r>
      <w:r w:rsidR="009279B7">
        <w:t xml:space="preserve">it must </w:t>
      </w:r>
      <w:r w:rsidR="00DD39CE">
        <w:t>move</w:t>
      </w:r>
      <w:r w:rsidR="009279B7">
        <w:t xml:space="preserve"> the court </w:t>
      </w:r>
      <w:r w:rsidR="00293E46">
        <w:t xml:space="preserve">to </w:t>
      </w:r>
      <w:r w:rsidR="00E865EC">
        <w:t>make a discretionary award of s</w:t>
      </w:r>
      <w:r w:rsidR="00431D34">
        <w:t>uch costs, based in part on a specific finding that the action</w:t>
      </w:r>
      <w:r w:rsidR="00C553AD">
        <w:t xml:space="preserve"> was frivo</w:t>
      </w:r>
      <w:r w:rsidR="002136E8">
        <w:t xml:space="preserve">lous.  </w:t>
      </w:r>
      <w:r w:rsidR="000B7ADA">
        <w:t xml:space="preserve"> </w:t>
      </w:r>
    </w:p>
    <w:p w:rsidR="00656952" w:rsidRPr="00B62E1C" w:rsidP="00353123" w14:paraId="72CB19C1" w14:textId="0D849711">
      <w:pPr>
        <w:pStyle w:val="ListParagraph"/>
        <w:keepNext/>
        <w:numPr>
          <w:ilvl w:val="0"/>
          <w:numId w:val="1"/>
        </w:numPr>
        <w:spacing w:line="480" w:lineRule="atLeast"/>
        <w:ind w:left="1440" w:hanging="720"/>
        <w:rPr>
          <w:i/>
          <w:iCs/>
        </w:rPr>
      </w:pPr>
      <w:r>
        <w:rPr>
          <w:i/>
          <w:iCs/>
        </w:rPr>
        <w:t>Hotel California</w:t>
      </w:r>
      <w:r w:rsidR="00FE5B61">
        <w:rPr>
          <w:i/>
          <w:iCs/>
        </w:rPr>
        <w:t>’</w:t>
      </w:r>
      <w:r>
        <w:rPr>
          <w:i/>
          <w:iCs/>
        </w:rPr>
        <w:t xml:space="preserve">s </w:t>
      </w:r>
      <w:r w:rsidR="005E6F90">
        <w:rPr>
          <w:i/>
          <w:iCs/>
        </w:rPr>
        <w:t>Request for Costs</w:t>
      </w:r>
    </w:p>
    <w:p w:rsidR="00656952" w:rsidP="00353123" w14:paraId="6A56089E" w14:textId="2E3D2358">
      <w:pPr>
        <w:tabs>
          <w:tab w:val="left" w:pos="1440"/>
          <w:tab w:val="left" w:pos="2880"/>
          <w:tab w:val="left" w:pos="4320"/>
          <w:tab w:val="left" w:pos="5760"/>
          <w:tab w:val="left" w:pos="7200"/>
          <w:tab w:val="left" w:pos="8640"/>
        </w:tabs>
        <w:spacing w:line="480" w:lineRule="atLeast"/>
      </w:pPr>
      <w:r>
        <w:tab/>
      </w:r>
      <w:r w:rsidR="00D40A69">
        <w:t xml:space="preserve">Hotel California filed </w:t>
      </w:r>
      <w:r w:rsidR="00230742">
        <w:t>a noticed motion seeking an award of attorney fees in this case</w:t>
      </w:r>
      <w:r w:rsidR="000403C6">
        <w:t xml:space="preserve">.  In denying that motion, the </w:t>
      </w:r>
      <w:r w:rsidR="001B03FD">
        <w:t xml:space="preserve">trial </w:t>
      </w:r>
      <w:r w:rsidR="000403C6">
        <w:t xml:space="preserve">court </w:t>
      </w:r>
      <w:r w:rsidR="009B40E4">
        <w:t xml:space="preserve">explained </w:t>
      </w:r>
      <w:r>
        <w:t>Neeble</w:t>
      </w:r>
      <w:r>
        <w:noBreakHyphen/>
        <w:t>Diamond</w:t>
      </w:r>
      <w:r w:rsidR="003351F1">
        <w:t xml:space="preserve"> had correctly pointed out </w:t>
      </w:r>
      <w:r w:rsidR="002151E8">
        <w:t xml:space="preserve">Government Code section </w:t>
      </w:r>
      <w:r w:rsidR="009378FA">
        <w:t xml:space="preserve">12965 governed </w:t>
      </w:r>
      <w:r w:rsidR="008B23A1">
        <w:t>such an award</w:t>
      </w:r>
      <w:r w:rsidR="00FA59AE">
        <w:t xml:space="preserve"> because the complaint alleged FEHA causes of action</w:t>
      </w:r>
      <w:r w:rsidR="00624EF0">
        <w:t xml:space="preserve">, and </w:t>
      </w:r>
      <w:r w:rsidR="00DD39CE">
        <w:t>H</w:t>
      </w:r>
      <w:r w:rsidR="006C6664">
        <w:t>otel California</w:t>
      </w:r>
      <w:r w:rsidR="000765B0">
        <w:t xml:space="preserve"> had</w:t>
      </w:r>
      <w:r w:rsidR="006C6664">
        <w:t xml:space="preserve"> failed to make the showing</w:t>
      </w:r>
      <w:r w:rsidR="00FB0B43">
        <w:t xml:space="preserve"> required by that statute</w:t>
      </w:r>
      <w:r w:rsidR="00FA59AE">
        <w:t xml:space="preserve">. </w:t>
      </w:r>
    </w:p>
    <w:p w:rsidR="00374009" w:rsidP="00353123" w14:paraId="6C0F9456" w14:textId="4A637922">
      <w:pPr>
        <w:tabs>
          <w:tab w:val="left" w:pos="1440"/>
          <w:tab w:val="left" w:pos="2880"/>
          <w:tab w:val="left" w:pos="4320"/>
          <w:tab w:val="left" w:pos="5760"/>
          <w:tab w:val="left" w:pos="7200"/>
          <w:tab w:val="left" w:pos="8640"/>
        </w:tabs>
        <w:spacing w:line="480" w:lineRule="atLeast"/>
      </w:pPr>
      <w:r>
        <w:tab/>
        <w:t xml:space="preserve">But </w:t>
      </w:r>
      <w:r w:rsidR="00C25DCF">
        <w:t>despite the fact</w:t>
      </w:r>
      <w:r w:rsidR="00536857">
        <w:t xml:space="preserve"> that </w:t>
      </w:r>
      <w:r w:rsidR="00FE5B61">
        <w:t>“</w:t>
      </w:r>
      <w:r w:rsidR="008F3193">
        <w:t>t</w:t>
      </w:r>
      <w:r w:rsidRPr="006D03D4" w:rsidR="00607D07">
        <w:t>he language and history of Government Code section 12965</w:t>
      </w:r>
      <w:r w:rsidR="00C51258">
        <w:t>[</w:t>
      </w:r>
      <w:r w:rsidRPr="006D03D4" w:rsidR="00607D07">
        <w:t xml:space="preserve">, subdivision </w:t>
      </w:r>
      <w:r w:rsidR="00C51258">
        <w:t>]</w:t>
      </w:r>
      <w:r w:rsidRPr="006D03D4" w:rsidR="00607D07">
        <w:t>(b), persuade us the Legislature intended a trial court</w:t>
      </w:r>
      <w:r w:rsidR="00FE5B61">
        <w:t>’</w:t>
      </w:r>
      <w:r w:rsidRPr="006D03D4" w:rsidR="00607D07">
        <w:t>s discretion to be exercised in the same manner for costs as for attorney fees</w:t>
      </w:r>
      <w:r w:rsidR="00DD39CE">
        <w:t>”</w:t>
      </w:r>
      <w:r w:rsidR="00607D07">
        <w:t xml:space="preserve"> (</w:t>
      </w:r>
      <w:bookmarkStart w:id="11" w:name="dabmci_76308e946ac142db8bb9b2e7bb62ac2a"/>
      <w:r w:rsidRPr="00485415" w:rsidR="00607D07">
        <w:rPr>
          <w:i/>
          <w:iCs/>
        </w:rPr>
        <w:t>Williams, supra</w:t>
      </w:r>
      <w:r w:rsidR="00607D07">
        <w:t xml:space="preserve">, </w:t>
      </w:r>
      <w:r w:rsidR="00C51258">
        <w:t xml:space="preserve">61 Cal.4th </w:t>
      </w:r>
      <w:r w:rsidR="00607D07">
        <w:t>at p. 114</w:t>
      </w:r>
      <w:bookmarkEnd w:id="11"/>
      <w:r w:rsidR="00607D07">
        <w:t>)</w:t>
      </w:r>
      <w:r w:rsidR="00C65776">
        <w:t>, Hotel California made no motion for an award of</w:t>
      </w:r>
      <w:r w:rsidR="00B61011">
        <w:t xml:space="preserve"> </w:t>
      </w:r>
      <w:r w:rsidR="0003003F">
        <w:t xml:space="preserve">discretionary </w:t>
      </w:r>
      <w:r w:rsidR="00B61011">
        <w:t>costs</w:t>
      </w:r>
      <w:r w:rsidR="00311B9D">
        <w:t>.</w:t>
      </w:r>
      <w:r w:rsidR="00787777">
        <w:t xml:space="preserve">  Instead, it </w:t>
      </w:r>
      <w:r w:rsidR="00414686">
        <w:t xml:space="preserve">filed a cost memorandum that </w:t>
      </w:r>
      <w:r w:rsidR="00F813E5">
        <w:t>amounts to</w:t>
      </w:r>
      <w:r w:rsidR="00386C14">
        <w:t xml:space="preserve"> a request for </w:t>
      </w:r>
      <w:r w:rsidRPr="00DD39CE" w:rsidR="00386C14">
        <w:t>the clerk</w:t>
      </w:r>
      <w:r w:rsidR="00386C14">
        <w:t xml:space="preserve"> to </w:t>
      </w:r>
      <w:r w:rsidR="00240F42">
        <w:t>award</w:t>
      </w:r>
      <w:r w:rsidR="00985F45">
        <w:t xml:space="preserve"> the costs </w:t>
      </w:r>
      <w:r w:rsidR="006B590B">
        <w:t>a prevailing party</w:t>
      </w:r>
      <w:r w:rsidR="00386C14">
        <w:t xml:space="preserve"> would be entitled to as a matter of right under section 1032.</w:t>
      </w:r>
      <w:r w:rsidR="00A11CA5">
        <w:t xml:space="preserve">  </w:t>
      </w:r>
    </w:p>
    <w:p w:rsidR="00457619" w:rsidP="00353123" w14:paraId="36DE1D0E" w14:textId="6A053D2C">
      <w:pPr>
        <w:tabs>
          <w:tab w:val="left" w:pos="1440"/>
          <w:tab w:val="left" w:pos="2880"/>
          <w:tab w:val="left" w:pos="4320"/>
          <w:tab w:val="left" w:pos="5760"/>
          <w:tab w:val="left" w:pos="7200"/>
          <w:tab w:val="left" w:pos="8640"/>
        </w:tabs>
        <w:spacing w:line="480" w:lineRule="atLeast"/>
      </w:pPr>
      <w:r>
        <w:tab/>
      </w:r>
      <w:r w:rsidR="001B03FD">
        <w:t>T</w:t>
      </w:r>
      <w:r w:rsidR="00B76997">
        <w:t xml:space="preserve">he clerk </w:t>
      </w:r>
      <w:r w:rsidR="007D1BB3">
        <w:t xml:space="preserve">has no authority to exercise discretion in awarding costs, let alone to make </w:t>
      </w:r>
      <w:r w:rsidR="00464E81">
        <w:t xml:space="preserve">the frivolousness finding </w:t>
      </w:r>
      <w:r w:rsidR="007D1BB3">
        <w:t xml:space="preserve">required </w:t>
      </w:r>
      <w:r w:rsidR="00464E81">
        <w:t xml:space="preserve">by </w:t>
      </w:r>
      <w:r w:rsidR="00EE7C9B">
        <w:t>section 12965</w:t>
      </w:r>
      <w:r w:rsidR="001B03FD">
        <w:t>;</w:t>
      </w:r>
      <w:r w:rsidR="00EE7C9B">
        <w:t xml:space="preserve"> th</w:t>
      </w:r>
      <w:r w:rsidR="00B36AEB">
        <w:t xml:space="preserve">e </w:t>
      </w:r>
      <w:r w:rsidR="00AA69CE">
        <w:t xml:space="preserve">cost </w:t>
      </w:r>
      <w:r w:rsidR="00B36AEB">
        <w:t xml:space="preserve">memorandum was </w:t>
      </w:r>
      <w:r w:rsidR="001B03FD">
        <w:t xml:space="preserve">therefore </w:t>
      </w:r>
      <w:r w:rsidR="00B36AEB">
        <w:t>an in</w:t>
      </w:r>
      <w:r w:rsidR="00CC6248">
        <w:t>effective</w:t>
      </w:r>
      <w:r w:rsidR="00B36AEB">
        <w:t xml:space="preserve"> means of seeking costs</w:t>
      </w:r>
      <w:r w:rsidR="00097619">
        <w:t xml:space="preserve"> in this FEHA case.</w:t>
      </w:r>
      <w:r w:rsidR="00B8139C">
        <w:t xml:space="preserve">  </w:t>
      </w:r>
      <w:r w:rsidR="00D26F90">
        <w:t>T</w:t>
      </w:r>
      <w:r w:rsidR="00C31F46">
        <w:t xml:space="preserve">his same </w:t>
      </w:r>
      <w:r w:rsidR="00A7018B">
        <w:t>conclusion</w:t>
      </w:r>
      <w:r w:rsidR="00D26F90">
        <w:t xml:space="preserve"> </w:t>
      </w:r>
      <w:r w:rsidR="00C31F46">
        <w:t xml:space="preserve">was </w:t>
      </w:r>
      <w:r w:rsidR="00D430CE">
        <w:t>drawn</w:t>
      </w:r>
      <w:r w:rsidR="00C31F46">
        <w:t xml:space="preserve"> in </w:t>
      </w:r>
      <w:bookmarkStart w:id="12" w:name="dabmci_0adec39a336148079324c2b9234fa594"/>
      <w:r w:rsidRPr="00C31F46" w:rsidR="00BF0E8A">
        <w:rPr>
          <w:i/>
          <w:iCs/>
        </w:rPr>
        <w:t>Anthony v. City of Los Angeles</w:t>
      </w:r>
      <w:r w:rsidR="00BF0E8A">
        <w:t xml:space="preserve"> (2008) </w:t>
      </w:r>
      <w:r w:rsidRPr="00BF0E8A" w:rsidR="00BF0E8A">
        <w:t>166 Cal.App.4th 1011</w:t>
      </w:r>
      <w:r w:rsidR="00A20EEC">
        <w:t>, 1015-1016</w:t>
      </w:r>
      <w:r w:rsidR="00EA6678">
        <w:t xml:space="preserve"> (</w:t>
      </w:r>
      <w:r w:rsidRPr="00EA6678" w:rsidR="00EA6678">
        <w:rPr>
          <w:i/>
          <w:iCs/>
        </w:rPr>
        <w:t>Anthony</w:t>
      </w:r>
      <w:r w:rsidR="00EA6678">
        <w:t>)</w:t>
      </w:r>
      <w:bookmarkEnd w:id="12"/>
      <w:r w:rsidR="00EA6678">
        <w:t xml:space="preserve">.  In </w:t>
      </w:r>
      <w:bookmarkStart w:id="13" w:name="dabmci_8de0d449564949c9a284e93f45431599"/>
      <w:r w:rsidRPr="00EA6678" w:rsidR="00EA6678">
        <w:rPr>
          <w:i/>
          <w:iCs/>
        </w:rPr>
        <w:t>Anthony</w:t>
      </w:r>
      <w:bookmarkEnd w:id="13"/>
      <w:r w:rsidR="00EA6678">
        <w:t xml:space="preserve">, </w:t>
      </w:r>
      <w:r w:rsidR="005E5D55">
        <w:t>the court con</w:t>
      </w:r>
      <w:r w:rsidR="004A3432">
        <w:t xml:space="preserve">cluded </w:t>
      </w:r>
      <w:r w:rsidR="009A166E">
        <w:t xml:space="preserve">the </w:t>
      </w:r>
      <w:r w:rsidR="003F7966">
        <w:t>appellant</w:t>
      </w:r>
      <w:r w:rsidR="009A166E">
        <w:t xml:space="preserve"> was not required to file a timely cost memorandum to </w:t>
      </w:r>
      <w:r w:rsidR="00D647D4">
        <w:t>preserve its right to seek</w:t>
      </w:r>
      <w:r w:rsidR="00FF07FD">
        <w:t xml:space="preserve"> expert costs </w:t>
      </w:r>
      <w:r w:rsidR="00CD12FC">
        <w:t>that</w:t>
      </w:r>
      <w:r w:rsidR="00E15189">
        <w:t xml:space="preserve"> were</w:t>
      </w:r>
      <w:r w:rsidR="00FF07FD">
        <w:t xml:space="preserve"> not recoverable as a matter of right under Code of Civil Procedure section 1032.  As the court </w:t>
      </w:r>
      <w:r w:rsidR="00AB52DE">
        <w:t>pointe</w:t>
      </w:r>
      <w:r w:rsidR="00FF07FD">
        <w:t>d</w:t>
      </w:r>
      <w:r w:rsidR="00BE639F">
        <w:t xml:space="preserve"> out</w:t>
      </w:r>
      <w:r w:rsidR="00FF07FD">
        <w:t xml:space="preserve">, </w:t>
      </w:r>
      <w:r w:rsidR="00CB60E0">
        <w:t>the cost memorandum</w:t>
      </w:r>
      <w:r w:rsidR="009F1E6F">
        <w:t xml:space="preserve"> </w:t>
      </w:r>
      <w:r w:rsidR="00280C5C">
        <w:t xml:space="preserve">applies </w:t>
      </w:r>
      <w:r w:rsidR="00105238">
        <w:t xml:space="preserve">only to </w:t>
      </w:r>
      <w:r w:rsidR="00FE5B61">
        <w:t>“</w:t>
      </w:r>
      <w:r w:rsidRPr="00280C5C" w:rsidR="00280C5C">
        <w:t xml:space="preserve">cost items to which a party is entitled </w:t>
      </w:r>
      <w:r w:rsidR="00C51258">
        <w:t>‘</w:t>
      </w:r>
      <w:r w:rsidRPr="00280C5C" w:rsidR="00280C5C">
        <w:t>as a matter of right</w:t>
      </w:r>
      <w:r w:rsidR="00C51258">
        <w:t>’”</w:t>
      </w:r>
      <w:r w:rsidR="00105238">
        <w:t xml:space="preserve"> (</w:t>
      </w:r>
      <w:bookmarkStart w:id="14" w:name="dabmci_a95afba836c64cdd849fc266a6fbd342"/>
      <w:r w:rsidR="00C51258">
        <w:rPr>
          <w:i/>
          <w:iCs/>
        </w:rPr>
        <w:t>Anthony,</w:t>
      </w:r>
      <w:r w:rsidR="00105238">
        <w:t xml:space="preserve"> at p. </w:t>
      </w:r>
      <w:r w:rsidR="004A4920">
        <w:t>1015</w:t>
      </w:r>
      <w:bookmarkEnd w:id="14"/>
      <w:r w:rsidR="004A4920">
        <w:t>)</w:t>
      </w:r>
      <w:r w:rsidR="00570F06">
        <w:t>,</w:t>
      </w:r>
      <w:r w:rsidR="00D20C4E">
        <w:t xml:space="preserve"> because </w:t>
      </w:r>
      <w:r w:rsidR="00FE5B61">
        <w:t>“</w:t>
      </w:r>
      <w:bookmarkStart w:id="15" w:name="dabmci_d19653a2345544c0b1e4b056f31104e7"/>
      <w:r w:rsidRPr="00B665D0" w:rsidR="00B665D0">
        <w:t>rule</w:t>
      </w:r>
      <w:r>
        <w:t> </w:t>
      </w:r>
      <w:r w:rsidRPr="00B665D0" w:rsidR="00B665D0">
        <w:t>3.1700</w:t>
      </w:r>
      <w:bookmarkEnd w:id="15"/>
      <w:r w:rsidRPr="00B665D0" w:rsidR="00B665D0">
        <w:t>,</w:t>
      </w:r>
      <w:r>
        <w:t> </w:t>
      </w:r>
      <w:r w:rsidR="003F362A">
        <w:t>.</w:t>
      </w:r>
      <w:r>
        <w:t> </w:t>
      </w:r>
      <w:r w:rsidR="003F362A">
        <w:t>.</w:t>
      </w:r>
      <w:r>
        <w:t> </w:t>
      </w:r>
      <w:r w:rsidR="003F362A">
        <w:t xml:space="preserve">. </w:t>
      </w:r>
      <w:r w:rsidRPr="00B665D0" w:rsidR="00B665D0">
        <w:t xml:space="preserve"> requires the clerk of the court to </w:t>
      </w:r>
      <w:r w:rsidR="00FE5B61">
        <w:t>‘</w:t>
      </w:r>
      <w:r w:rsidRPr="00B665D0" w:rsidR="00B665D0">
        <w:t>immediately enter the costs on the judgment</w:t>
      </w:r>
      <w:r w:rsidR="00FE5B61">
        <w:t>’</w:t>
      </w:r>
      <w:r w:rsidRPr="00B665D0" w:rsidR="00B665D0">
        <w:t xml:space="preserve"> if the opposing party does not move to strike </w:t>
      </w:r>
      <w:r w:rsidR="00C51258">
        <w:t xml:space="preserve">or </w:t>
      </w:r>
      <w:r w:rsidRPr="00B665D0" w:rsidR="00B665D0">
        <w:t xml:space="preserve">tax costs. </w:t>
      </w:r>
      <w:r w:rsidR="00C51258">
        <w:t xml:space="preserve"> [Citation.]</w:t>
      </w:r>
      <w:r w:rsidRPr="00B665D0" w:rsidR="00B665D0">
        <w:t xml:space="preserve">  By contrast, costs such as expert witness fees not ordered by the court, or attorney fees that require a court determination, may not be </w:t>
      </w:r>
      <w:r w:rsidR="00FE5B61">
        <w:t>‘</w:t>
      </w:r>
      <w:r w:rsidRPr="00B665D0" w:rsidR="00B665D0">
        <w:t>immediately enter[ed]</w:t>
      </w:r>
      <w:r w:rsidR="00FE5B61">
        <w:t>’</w:t>
      </w:r>
      <w:r w:rsidRPr="00B665D0" w:rsidR="00B665D0">
        <w:t xml:space="preserve"> by the clerk, and instead necessitate a decision by the trial court, exercising its discretion.</w:t>
      </w:r>
      <w:r w:rsidR="00C1219E">
        <w:t xml:space="preserve"> </w:t>
      </w:r>
      <w:r w:rsidRPr="00B665D0" w:rsidR="00B665D0">
        <w:t xml:space="preserve"> In short, </w:t>
      </w:r>
      <w:r w:rsidRPr="001B03FD" w:rsidR="00B665D0">
        <w:t xml:space="preserve">there would be no point in requiring a party to include in its memorandum of costs those cost items which are awarded in the discretion of the court and thus </w:t>
      </w:r>
      <w:r w:rsidRPr="00FA5260" w:rsidR="00B665D0">
        <w:rPr>
          <w:i/>
          <w:iCs/>
        </w:rPr>
        <w:t>cannot</w:t>
      </w:r>
      <w:r w:rsidRPr="001B03FD" w:rsidR="00B665D0">
        <w:t xml:space="preserve"> be entered by the clerk of the court under </w:t>
      </w:r>
      <w:bookmarkStart w:id="16" w:name="dabmci_791026bcb81d4a9e8b7e7a5fb64ab53c"/>
      <w:r w:rsidRPr="001B03FD" w:rsidR="00B665D0">
        <w:t>rule 3.1700</w:t>
      </w:r>
      <w:bookmarkEnd w:id="16"/>
      <w:r w:rsidR="00FE5B61">
        <w:t>”</w:t>
      </w:r>
      <w:r w:rsidR="00C92A9C">
        <w:t xml:space="preserve"> (</w:t>
      </w:r>
      <w:bookmarkStart w:id="17" w:name="dabmci_f7f2ad5a88f7442aba60f30cd24382d4"/>
      <w:r w:rsidR="001B03FD">
        <w:rPr>
          <w:i/>
          <w:iCs/>
        </w:rPr>
        <w:t>Anthony,</w:t>
      </w:r>
      <w:r w:rsidR="00C92A9C">
        <w:t xml:space="preserve"> at pp.</w:t>
      </w:r>
      <w:r w:rsidR="001B03FD">
        <w:t> </w:t>
      </w:r>
      <w:r w:rsidR="00C92A9C">
        <w:t>1015</w:t>
      </w:r>
      <w:r w:rsidR="001B03FD">
        <w:noBreakHyphen/>
      </w:r>
      <w:r w:rsidR="00C92A9C">
        <w:t>1016</w:t>
      </w:r>
      <w:bookmarkEnd w:id="17"/>
      <w:r w:rsidR="00C92A9C">
        <w:t>)</w:t>
      </w:r>
      <w:r w:rsidR="00C51258">
        <w:t>.</w:t>
      </w:r>
      <w:r w:rsidR="00F44FF2">
        <w:t xml:space="preserve">  We agree. </w:t>
      </w:r>
    </w:p>
    <w:p w:rsidR="00626CE6" w:rsidP="00353123" w14:paraId="3B94E9F0" w14:textId="761146A8">
      <w:pPr>
        <w:tabs>
          <w:tab w:val="left" w:pos="1440"/>
          <w:tab w:val="left" w:pos="2880"/>
          <w:tab w:val="left" w:pos="4320"/>
          <w:tab w:val="left" w:pos="5760"/>
          <w:tab w:val="left" w:pos="7200"/>
          <w:tab w:val="left" w:pos="8640"/>
        </w:tabs>
        <w:spacing w:line="480" w:lineRule="atLeast"/>
      </w:pPr>
      <w:r>
        <w:tab/>
      </w:r>
      <w:r w:rsidR="008C1926">
        <w:t xml:space="preserve">Because Hotel California failed to </w:t>
      </w:r>
      <w:r w:rsidR="00640FE4">
        <w:t xml:space="preserve">file </w:t>
      </w:r>
      <w:r w:rsidR="00A7018B">
        <w:t>the necessary</w:t>
      </w:r>
      <w:r w:rsidR="00640FE4">
        <w:t xml:space="preserve"> motion for </w:t>
      </w:r>
      <w:r w:rsidR="00BD12E7">
        <w:t>costs</w:t>
      </w:r>
      <w:r w:rsidR="00E4038A">
        <w:t xml:space="preserve">, as it </w:t>
      </w:r>
      <w:r w:rsidR="00A7018B">
        <w:t>had</w:t>
      </w:r>
      <w:r w:rsidR="00F90A08">
        <w:t xml:space="preserve"> for </w:t>
      </w:r>
      <w:r w:rsidR="00E4038A">
        <w:t>attorney fees, it forfeited any such claim</w:t>
      </w:r>
      <w:r w:rsidR="000E5B88">
        <w:t xml:space="preserve"> </w:t>
      </w:r>
      <w:r w:rsidR="0022404B">
        <w:t xml:space="preserve">and </w:t>
      </w:r>
      <w:r>
        <w:t>Neeble</w:t>
      </w:r>
      <w:r>
        <w:noBreakHyphen/>
        <w:t>Diamond</w:t>
      </w:r>
      <w:r w:rsidR="0022404B">
        <w:t xml:space="preserve"> had no obligation to respond to its ineffective cost memorandum. </w:t>
      </w:r>
      <w:r w:rsidR="001634D8">
        <w:t xml:space="preserve">  We</w:t>
      </w:r>
      <w:r w:rsidR="00044F28">
        <w:t xml:space="preserve"> consequently conclude the court erred by </w:t>
      </w:r>
      <w:r w:rsidR="008E1AD6">
        <w:t xml:space="preserve">signing an </w:t>
      </w:r>
      <w:r w:rsidR="00FE5B61">
        <w:t>“</w:t>
      </w:r>
      <w:r w:rsidR="008E1AD6">
        <w:t>amended judgment</w:t>
      </w:r>
      <w:r w:rsidR="00FE5B61">
        <w:t>”</w:t>
      </w:r>
      <w:r w:rsidR="008E1AD6">
        <w:t xml:space="preserve"> that included an award of $180,369.41 in costs to Hotel California</w:t>
      </w:r>
      <w:r>
        <w:t>.</w:t>
      </w:r>
    </w:p>
    <w:p w:rsidR="00CE4E58" w:rsidP="00353123" w14:paraId="791EF9DB" w14:textId="0A751A2F">
      <w:pPr>
        <w:keepNext/>
        <w:spacing w:before="240" w:line="480" w:lineRule="atLeast"/>
        <w:jc w:val="center"/>
      </w:pPr>
      <w:r>
        <w:rPr>
          <w:b/>
          <w:bCs/>
        </w:rPr>
        <w:t>DISPOSITION</w:t>
      </w:r>
    </w:p>
    <w:p w:rsidR="00626CE6" w:rsidP="00353123" w14:paraId="6F8E63ED" w14:textId="37823492">
      <w:pPr>
        <w:keepNext/>
        <w:tabs>
          <w:tab w:val="left" w:pos="1440"/>
          <w:tab w:val="left" w:pos="2880"/>
          <w:tab w:val="left" w:pos="4320"/>
          <w:tab w:val="left" w:pos="5760"/>
          <w:tab w:val="left" w:pos="7200"/>
          <w:tab w:val="left" w:pos="8640"/>
        </w:tabs>
        <w:spacing w:line="480" w:lineRule="atLeast"/>
      </w:pPr>
      <w:r>
        <w:tab/>
      </w:r>
      <w:r w:rsidR="008F48D0">
        <w:t>The postjudgment order</w:t>
      </w:r>
      <w:r w:rsidR="00984DFF">
        <w:t xml:space="preserve"> awarding costs to Hotel California</w:t>
      </w:r>
      <w:r w:rsidR="0034440E">
        <w:t xml:space="preserve">, styled </w:t>
      </w:r>
      <w:r w:rsidR="00C51258">
        <w:t xml:space="preserve">as </w:t>
      </w:r>
      <w:r w:rsidR="0034440E">
        <w:t xml:space="preserve">an </w:t>
      </w:r>
      <w:r w:rsidR="00FE5B61">
        <w:t>“</w:t>
      </w:r>
      <w:r w:rsidR="0034440E">
        <w:t>amended judgment</w:t>
      </w:r>
      <w:r w:rsidR="008A64A5">
        <w:t>,</w:t>
      </w:r>
      <w:r w:rsidR="00FE5B61">
        <w:t>”</w:t>
      </w:r>
      <w:r w:rsidR="008F48D0">
        <w:t xml:space="preserve"> </w:t>
      </w:r>
      <w:r w:rsidR="00E70E1A">
        <w:t>is reversed.</w:t>
      </w:r>
      <w:r w:rsidR="009E36AF">
        <w:t xml:space="preserve">  </w:t>
      </w:r>
      <w:r>
        <w:t>Neeble</w:t>
      </w:r>
      <w:r>
        <w:noBreakHyphen/>
        <w:t>Diamond</w:t>
      </w:r>
      <w:r w:rsidR="009E36AF">
        <w:t xml:space="preserve"> is entitled to her costs on appeal.</w:t>
      </w:r>
    </w:p>
    <w:p w:rsidR="001438A4" w:rsidP="00FE5B61" w14:paraId="6399508F" w14:textId="11FF6754">
      <w:pPr>
        <w:keepNext/>
        <w:tabs>
          <w:tab w:val="left" w:pos="5040"/>
        </w:tabs>
      </w:pPr>
    </w:p>
    <w:p w:rsidR="00926C1C" w:rsidP="00FE5B61" w14:paraId="0E2BB1FF" w14:textId="77777777">
      <w:pPr>
        <w:keepNext/>
        <w:tabs>
          <w:tab w:val="left" w:pos="5040"/>
        </w:tabs>
      </w:pPr>
    </w:p>
    <w:p w:rsidR="00353123" w:rsidP="00FE5B61" w14:paraId="15744453" w14:textId="77777777">
      <w:pPr>
        <w:keepNext/>
        <w:tabs>
          <w:tab w:val="left" w:pos="5040"/>
        </w:tabs>
      </w:pPr>
    </w:p>
    <w:p w:rsidR="00FE5B61" w:rsidP="00FE5B61" w14:paraId="5B7CD7FB" w14:textId="1028E8B2">
      <w:pPr>
        <w:keepNext/>
        <w:tabs>
          <w:tab w:val="left" w:pos="5040"/>
        </w:tabs>
      </w:pPr>
      <w:r>
        <w:tab/>
      </w:r>
    </w:p>
    <w:p w:rsidR="00FE5B61" w:rsidP="00FE5B61" w14:paraId="63F7675E" w14:textId="764F4D90">
      <w:pPr>
        <w:keepNext/>
        <w:tabs>
          <w:tab w:val="left" w:pos="5040"/>
        </w:tabs>
      </w:pPr>
      <w:r>
        <w:tab/>
        <w:t>GOETHALS, ACTING P. J.</w:t>
      </w:r>
    </w:p>
    <w:p w:rsidR="00FE5B61" w:rsidP="00FE5B61" w14:paraId="7AB3BEE8" w14:textId="77777777">
      <w:pPr>
        <w:keepNext/>
        <w:tabs>
          <w:tab w:val="left" w:pos="5040"/>
        </w:tabs>
      </w:pPr>
    </w:p>
    <w:p w:rsidR="00FE5B61" w:rsidP="00FE5B61" w14:paraId="60145C10" w14:textId="081CC727">
      <w:pPr>
        <w:keepNext/>
        <w:tabs>
          <w:tab w:val="left" w:pos="5040"/>
        </w:tabs>
      </w:pPr>
      <w:r>
        <w:t>WE CONCUR:</w:t>
      </w:r>
    </w:p>
    <w:p w:rsidR="00FE5B61" w:rsidP="00FE5B61" w14:paraId="4A9C6BDE" w14:textId="77777777">
      <w:pPr>
        <w:keepNext/>
        <w:tabs>
          <w:tab w:val="left" w:pos="5040"/>
        </w:tabs>
      </w:pPr>
    </w:p>
    <w:p w:rsidR="00FE5B61" w:rsidP="00FE5B61" w14:paraId="39C16376" w14:textId="77777777">
      <w:pPr>
        <w:keepNext/>
        <w:tabs>
          <w:tab w:val="left" w:pos="5040"/>
        </w:tabs>
      </w:pPr>
    </w:p>
    <w:p w:rsidR="00FE5B61" w:rsidP="00FE5B61" w14:paraId="769FB3FA" w14:textId="56B92CC8">
      <w:pPr>
        <w:keepNext/>
        <w:tabs>
          <w:tab w:val="left" w:pos="5040"/>
        </w:tabs>
      </w:pPr>
    </w:p>
    <w:p w:rsidR="00FE5B61" w:rsidP="00FE5B61" w14:paraId="6BD4FE4D" w14:textId="652CC04A">
      <w:pPr>
        <w:keepNext/>
        <w:tabs>
          <w:tab w:val="left" w:pos="5040"/>
        </w:tabs>
      </w:pPr>
      <w:r>
        <w:t>SANCHEZ, J.</w:t>
      </w:r>
    </w:p>
    <w:p w:rsidR="00FE5B61" w:rsidP="00FE5B61" w14:paraId="3BFB6842" w14:textId="77777777">
      <w:pPr>
        <w:keepNext/>
        <w:tabs>
          <w:tab w:val="left" w:pos="5040"/>
        </w:tabs>
      </w:pPr>
    </w:p>
    <w:p w:rsidR="00FE5B61" w:rsidP="00FE5B61" w14:paraId="1BE65FE1" w14:textId="77777777">
      <w:pPr>
        <w:keepNext/>
        <w:tabs>
          <w:tab w:val="left" w:pos="5040"/>
        </w:tabs>
      </w:pPr>
    </w:p>
    <w:p w:rsidR="00FE5B61" w:rsidP="00FE5B61" w14:paraId="3D055813" w14:textId="3703C425">
      <w:pPr>
        <w:keepNext/>
        <w:tabs>
          <w:tab w:val="left" w:pos="5040"/>
        </w:tabs>
      </w:pPr>
    </w:p>
    <w:p w:rsidR="00AA7ED2" w:rsidP="00FE5B61" w14:paraId="6305AA3C" w14:textId="76F83489">
      <w:pPr>
        <w:keepNext/>
        <w:tabs>
          <w:tab w:val="left" w:pos="5040"/>
        </w:tabs>
      </w:pPr>
      <w:r>
        <w:t>MOTOIKE, J.</w:t>
      </w:r>
    </w:p>
    <w:p w:rsidR="006817A5" w:rsidP="00FE5B61" w14:paraId="26586547" w14:textId="77777777">
      <w:pPr>
        <w:keepNext/>
        <w:tabs>
          <w:tab w:val="left" w:pos="5040"/>
        </w:tabs>
      </w:pPr>
    </w:p>
    <w:p w:rsidR="006817A5" w:rsidP="00FE5B61" w14:paraId="27B27458" w14:textId="77777777">
      <w:pPr>
        <w:keepNext/>
        <w:tabs>
          <w:tab w:val="left" w:pos="5040"/>
        </w:tabs>
      </w:pPr>
    </w:p>
    <w:p w:rsidR="006817A5" w:rsidP="00FE5B61" w14:paraId="08325632" w14:textId="77777777">
      <w:pPr>
        <w:keepNext/>
        <w:tabs>
          <w:tab w:val="left" w:pos="5040"/>
        </w:tabs>
        <w:sectPr w:rsidSect="001559B7">
          <w:footerReference w:type="default" r:id="rId6"/>
          <w:pgSz w:w="12240" w:h="15840"/>
          <w:pgMar w:top="1440" w:right="1440" w:bottom="1440" w:left="1440" w:header="720" w:footer="720" w:gutter="0"/>
          <w:cols w:space="720"/>
          <w:titlePg/>
          <w:docGrid w:linePitch="360"/>
        </w:sectPr>
      </w:pPr>
    </w:p>
    <w:p w:rsidR="006817A5" w:rsidRPr="00F07AF9" w:rsidP="006817A5" w14:paraId="490922B5" w14:textId="77777777">
      <w:pPr>
        <w:rPr>
          <w:sz w:val="20"/>
          <w:szCs w:val="16"/>
        </w:rPr>
      </w:pPr>
      <w:r w:rsidRPr="00F07AF9">
        <w:rPr>
          <w:sz w:val="20"/>
          <w:szCs w:val="16"/>
        </w:rPr>
        <w:t>Filed 2</w:t>
      </w:r>
      <w:r>
        <w:rPr>
          <w:sz w:val="20"/>
          <w:szCs w:val="16"/>
        </w:rPr>
        <w:t>/</w:t>
      </w:r>
      <w:r w:rsidRPr="00F07AF9">
        <w:rPr>
          <w:sz w:val="20"/>
          <w:szCs w:val="16"/>
        </w:rPr>
        <w:t>5</w:t>
      </w:r>
      <w:r>
        <w:rPr>
          <w:sz w:val="20"/>
          <w:szCs w:val="16"/>
        </w:rPr>
        <w:t>/</w:t>
      </w:r>
      <w:r w:rsidRPr="00F07AF9">
        <w:rPr>
          <w:sz w:val="20"/>
          <w:szCs w:val="16"/>
        </w:rPr>
        <w:t>24</w:t>
      </w:r>
    </w:p>
    <w:p w:rsidR="006817A5" w:rsidP="006817A5" w14:paraId="7E855DDB" w14:textId="77777777"/>
    <w:p w:rsidR="006817A5" w:rsidP="006817A5" w14:paraId="5D6E8E2C" w14:textId="77777777">
      <w:pPr>
        <w:jc w:val="center"/>
        <w:rPr>
          <w:b/>
        </w:rPr>
      </w:pPr>
      <w:r w:rsidRPr="004009B9">
        <w:rPr>
          <w:b/>
        </w:rPr>
        <w:t>CERTIFIED FOR PUBLICATION</w:t>
      </w:r>
    </w:p>
    <w:p w:rsidR="006817A5" w:rsidRPr="004009B9" w:rsidP="006817A5" w14:paraId="7551124F" w14:textId="77777777">
      <w:pPr>
        <w:jc w:val="center"/>
        <w:rPr>
          <w:b/>
        </w:rPr>
      </w:pPr>
    </w:p>
    <w:p w:rsidR="006817A5" w:rsidP="006817A5" w14:paraId="42386938" w14:textId="77777777">
      <w:pPr>
        <w:jc w:val="center"/>
      </w:pPr>
      <w:r>
        <w:t>IN THE COURT OF APPEAL OF THE STATE OF CALIFORNIA</w:t>
      </w:r>
    </w:p>
    <w:p w:rsidR="006817A5" w:rsidP="006817A5" w14:paraId="09296163" w14:textId="77777777">
      <w:pPr>
        <w:jc w:val="center"/>
      </w:pPr>
    </w:p>
    <w:p w:rsidR="006817A5" w:rsidP="006817A5" w14:paraId="1389D6DA" w14:textId="77777777">
      <w:pPr>
        <w:jc w:val="center"/>
      </w:pPr>
      <w:r>
        <w:t>FOURTH APPELLATE DISTRICT</w:t>
      </w:r>
    </w:p>
    <w:p w:rsidR="006817A5" w:rsidP="006817A5" w14:paraId="2A043267" w14:textId="77777777">
      <w:pPr>
        <w:jc w:val="center"/>
      </w:pPr>
    </w:p>
    <w:p w:rsidR="006817A5" w:rsidP="006817A5" w14:paraId="7E0E5EA6" w14:textId="77777777">
      <w:pPr>
        <w:jc w:val="center"/>
      </w:pPr>
      <w:r>
        <w:t>DIVISION THREE</w:t>
      </w:r>
    </w:p>
    <w:p w:rsidR="006817A5" w:rsidP="006817A5" w14:paraId="08520037" w14:textId="77777777">
      <w:pPr>
        <w:jc w:val="center"/>
      </w:pPr>
    </w:p>
    <w:p w:rsidR="006817A5" w:rsidP="006817A5" w14:paraId="4CDF05D6" w14:textId="77777777">
      <w:pPr>
        <w:jc w:val="center"/>
      </w:pPr>
    </w:p>
    <w:tbl>
      <w:tblPr>
        <w:tblW w:w="0" w:type="auto"/>
        <w:tblLayout w:type="fixed"/>
        <w:tblLook w:val="0000"/>
      </w:tblPr>
      <w:tblGrid>
        <w:gridCol w:w="4680"/>
        <w:gridCol w:w="4680"/>
      </w:tblGrid>
      <w:tr w14:paraId="17FF3995" w14:textId="77777777" w:rsidTr="00CB43AD">
        <w:tblPrEx>
          <w:tblW w:w="0" w:type="auto"/>
          <w:tblLayout w:type="fixed"/>
          <w:tblLook w:val="0000"/>
        </w:tblPrEx>
        <w:tc>
          <w:tcPr>
            <w:tcW w:w="4680" w:type="dxa"/>
            <w:tcBorders>
              <w:bottom w:val="single" w:sz="4" w:space="0" w:color="auto"/>
              <w:right w:val="single" w:sz="4" w:space="0" w:color="auto"/>
            </w:tcBorders>
            <w:shd w:val="clear" w:color="auto" w:fill="auto"/>
          </w:tcPr>
          <w:p w:rsidR="006817A5" w:rsidP="00CB43AD" w14:paraId="22EFC400" w14:textId="77777777">
            <w:r>
              <w:t>AMANDA NEEBLE-DIAMOND,</w:t>
            </w:r>
          </w:p>
          <w:p w:rsidR="006817A5" w:rsidP="00CB43AD" w14:paraId="633F04FF" w14:textId="77777777"/>
          <w:p w:rsidR="006817A5" w:rsidP="00CB43AD" w14:paraId="03AF920B" w14:textId="77777777">
            <w:r>
              <w:t xml:space="preserve">      Plaintiff and Appellant,</w:t>
            </w:r>
          </w:p>
          <w:p w:rsidR="006817A5" w:rsidP="00CB43AD" w14:paraId="01825697" w14:textId="77777777"/>
          <w:p w:rsidR="006817A5" w:rsidP="00CB43AD" w14:paraId="004080E1" w14:textId="77777777">
            <w:r>
              <w:tab/>
              <w:t>v.</w:t>
            </w:r>
          </w:p>
          <w:p w:rsidR="006817A5" w:rsidP="00CB43AD" w14:paraId="459CD6AF" w14:textId="77777777"/>
          <w:p w:rsidR="006817A5" w:rsidP="00CB43AD" w14:paraId="2CE4DD97" w14:textId="77777777">
            <w:r>
              <w:t>HOTEL CALIFORNIA BY THE SEA, LLC,</w:t>
            </w:r>
          </w:p>
          <w:p w:rsidR="006817A5" w:rsidP="00CB43AD" w14:paraId="6315A80B" w14:textId="77777777"/>
          <w:p w:rsidR="006817A5" w:rsidP="00CB43AD" w14:paraId="50DCA50E" w14:textId="77777777">
            <w:r>
              <w:t xml:space="preserve">      Defendant and Respondent.</w:t>
            </w:r>
          </w:p>
          <w:p w:rsidR="006817A5" w:rsidP="00CB43AD" w14:paraId="3BB4FBFA" w14:textId="77777777"/>
        </w:tc>
        <w:tc>
          <w:tcPr>
            <w:tcW w:w="4680" w:type="dxa"/>
            <w:tcBorders>
              <w:left w:val="single" w:sz="4" w:space="0" w:color="auto"/>
            </w:tcBorders>
            <w:shd w:val="clear" w:color="auto" w:fill="auto"/>
          </w:tcPr>
          <w:p w:rsidR="006817A5" w:rsidP="00CB43AD" w14:paraId="29338342" w14:textId="77777777"/>
          <w:p w:rsidR="006817A5" w:rsidP="00CB43AD" w14:paraId="383F41DC" w14:textId="77777777"/>
          <w:p w:rsidR="006817A5" w:rsidP="00CB43AD" w14:paraId="6DCE6851" w14:textId="77777777">
            <w:r>
              <w:t xml:space="preserve">         G061425</w:t>
            </w:r>
          </w:p>
          <w:p w:rsidR="006817A5" w:rsidP="00CB43AD" w14:paraId="2284CBA3" w14:textId="77777777"/>
          <w:p w:rsidR="006817A5" w:rsidP="00CB43AD" w14:paraId="5B84E862" w14:textId="77777777">
            <w:r>
              <w:t xml:space="preserve">         (Super. Ct. No. 30-2019-01058756)</w:t>
            </w:r>
          </w:p>
          <w:p w:rsidR="006817A5" w:rsidP="00CB43AD" w14:paraId="14D3CBF9" w14:textId="77777777"/>
          <w:p w:rsidR="006817A5" w:rsidP="00CB43AD" w14:paraId="1C44D72A" w14:textId="77777777">
            <w:r>
              <w:t xml:space="preserve">         O R D E R</w:t>
            </w:r>
          </w:p>
        </w:tc>
      </w:tr>
    </w:tbl>
    <w:p w:rsidR="006817A5" w:rsidP="006817A5" w14:paraId="3550BC02" w14:textId="77777777">
      <w:pPr>
        <w:tabs>
          <w:tab w:val="left" w:pos="1440"/>
        </w:tabs>
        <w:spacing w:before="120" w:line="480" w:lineRule="atLeast"/>
      </w:pPr>
      <w:r>
        <w:tab/>
        <w:t xml:space="preserve">Appellant has requested that our opinion filed on January 11, 2024, be certified for publication.  It appears that our opinion meets the standards set forth in California Rules of Court, rule 8.1105(c).  The request is GRANTED.  </w:t>
      </w:r>
    </w:p>
    <w:p w:rsidR="006817A5" w:rsidP="006817A5" w14:paraId="19E8C273" w14:textId="5D32FCBA">
      <w:pPr>
        <w:tabs>
          <w:tab w:val="left" w:pos="1440"/>
        </w:tabs>
        <w:spacing w:line="480" w:lineRule="atLeast"/>
      </w:pPr>
      <w:r>
        <w:tab/>
        <w:t xml:space="preserve">The opinion is ordered published in the Official Reports.  </w:t>
      </w:r>
    </w:p>
    <w:p w:rsidR="006817A5" w:rsidP="006817A5" w14:paraId="11788115" w14:textId="77777777">
      <w:pPr>
        <w:keepNext/>
        <w:tabs>
          <w:tab w:val="left" w:pos="5040"/>
        </w:tabs>
      </w:pPr>
    </w:p>
    <w:p w:rsidR="006817A5" w:rsidP="006817A5" w14:paraId="56FCCB29" w14:textId="77777777">
      <w:pPr>
        <w:keepNext/>
        <w:tabs>
          <w:tab w:val="left" w:pos="5040"/>
        </w:tabs>
      </w:pPr>
      <w:r>
        <w:tab/>
      </w:r>
    </w:p>
    <w:p w:rsidR="006817A5" w:rsidP="006817A5" w14:paraId="3B0AB724" w14:textId="77777777">
      <w:pPr>
        <w:keepNext/>
        <w:tabs>
          <w:tab w:val="left" w:pos="5040"/>
        </w:tabs>
      </w:pPr>
      <w:r>
        <w:tab/>
        <w:t>GOETHALS, ACTING P. J.</w:t>
      </w:r>
    </w:p>
    <w:p w:rsidR="006817A5" w:rsidP="006817A5" w14:paraId="2520B25A" w14:textId="77777777">
      <w:pPr>
        <w:keepNext/>
        <w:tabs>
          <w:tab w:val="left" w:pos="5040"/>
        </w:tabs>
      </w:pPr>
    </w:p>
    <w:p w:rsidR="006817A5" w:rsidP="006817A5" w14:paraId="7266EB1A" w14:textId="77777777">
      <w:pPr>
        <w:keepNext/>
        <w:tabs>
          <w:tab w:val="left" w:pos="5040"/>
        </w:tabs>
      </w:pPr>
      <w:r>
        <w:t>WE CONCUR:</w:t>
      </w:r>
    </w:p>
    <w:p w:rsidR="006817A5" w:rsidP="006817A5" w14:paraId="71563E6D" w14:textId="77777777">
      <w:pPr>
        <w:keepNext/>
        <w:tabs>
          <w:tab w:val="left" w:pos="5040"/>
        </w:tabs>
      </w:pPr>
    </w:p>
    <w:p w:rsidR="006817A5" w:rsidP="006817A5" w14:paraId="14A5D0B7" w14:textId="77777777">
      <w:pPr>
        <w:keepNext/>
        <w:tabs>
          <w:tab w:val="left" w:pos="5040"/>
        </w:tabs>
      </w:pPr>
    </w:p>
    <w:p w:rsidR="006817A5" w:rsidP="006817A5" w14:paraId="3844AC5C" w14:textId="77777777">
      <w:pPr>
        <w:keepNext/>
        <w:tabs>
          <w:tab w:val="left" w:pos="5040"/>
        </w:tabs>
      </w:pPr>
    </w:p>
    <w:p w:rsidR="006817A5" w:rsidP="006817A5" w14:paraId="3D9521E2" w14:textId="77777777">
      <w:pPr>
        <w:keepNext/>
        <w:tabs>
          <w:tab w:val="left" w:pos="5040"/>
        </w:tabs>
      </w:pPr>
      <w:r>
        <w:t>SANCHEZ, J.</w:t>
      </w:r>
    </w:p>
    <w:p w:rsidR="006817A5" w:rsidP="006817A5" w14:paraId="1D41BA7D" w14:textId="77777777">
      <w:pPr>
        <w:keepNext/>
        <w:tabs>
          <w:tab w:val="left" w:pos="5040"/>
        </w:tabs>
      </w:pPr>
    </w:p>
    <w:p w:rsidR="006817A5" w:rsidP="006817A5" w14:paraId="7D9C09A6" w14:textId="77777777">
      <w:pPr>
        <w:keepNext/>
        <w:tabs>
          <w:tab w:val="left" w:pos="5040"/>
        </w:tabs>
      </w:pPr>
    </w:p>
    <w:p w:rsidR="006817A5" w:rsidP="006817A5" w14:paraId="662B2701" w14:textId="77777777">
      <w:pPr>
        <w:keepNext/>
        <w:tabs>
          <w:tab w:val="left" w:pos="5040"/>
        </w:tabs>
      </w:pPr>
    </w:p>
    <w:p w:rsidR="006817A5" w:rsidP="006817A5" w14:paraId="20843B64" w14:textId="77777777">
      <w:pPr>
        <w:keepNext/>
        <w:tabs>
          <w:tab w:val="left" w:pos="5040"/>
        </w:tabs>
      </w:pPr>
      <w:r>
        <w:t>MOTOIKE, J.</w:t>
      </w:r>
    </w:p>
    <w:p w:rsidR="006817A5" w:rsidP="00FE5B61" w14:paraId="46B29BA4" w14:textId="77777777">
      <w:pPr>
        <w:keepNext/>
        <w:tabs>
          <w:tab w:val="left" w:pos="5040"/>
        </w:tabs>
      </w:pPr>
    </w:p>
    <w:sectPr w:rsidSect="006817A5">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358920"/>
      <w:docPartObj>
        <w:docPartGallery w:val="Page Numbers (Bottom of Page)"/>
        <w:docPartUnique/>
      </w:docPartObj>
    </w:sdtPr>
    <w:sdtEndPr>
      <w:rPr>
        <w:noProof/>
      </w:rPr>
    </w:sdtEndPr>
    <w:sdtContent>
      <w:p w:rsidR="00F46955" w14:paraId="28F390F5" w14:textId="154649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6955" w14:paraId="61B39E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99407465"/>
      <w:docPartObj>
        <w:docPartGallery w:val="Page Numbers (Bottom of Page)"/>
        <w:docPartUnique/>
      </w:docPartObj>
    </w:sdtPr>
    <w:sdtEndPr>
      <w:rPr>
        <w:noProof/>
      </w:rPr>
    </w:sdtEndPr>
    <w:sdtContent>
      <w:p w:rsidR="00F46955" w14:paraId="0EC25F6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6955" w14:paraId="51D337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3260" w:rsidP="007436AC" w14:paraId="563A4298" w14:textId="77777777">
      <w:r>
        <w:separator/>
      </w:r>
    </w:p>
  </w:footnote>
  <w:footnote w:type="continuationSeparator" w:id="1">
    <w:p w:rsidR="007F3260" w:rsidP="007436AC" w14:paraId="38A89A3B" w14:textId="77777777">
      <w:r>
        <w:continuationSeparator/>
      </w:r>
    </w:p>
  </w:footnote>
  <w:footnote w:type="continuationNotice" w:id="2">
    <w:p w:rsidR="007F3260" w14:paraId="0385C64F" w14:textId="77777777"/>
  </w:footnote>
  <w:footnote w:id="3">
    <w:p w:rsidR="00DF284C" w:rsidP="00353123" w14:paraId="49C7BA64" w14:textId="0356474A">
      <w:pPr>
        <w:pStyle w:val="FootnoteText"/>
        <w:keepLines w:val="0"/>
        <w:spacing w:after="240" w:line="240" w:lineRule="auto"/>
        <w:ind w:firstLine="720"/>
      </w:pPr>
      <w:r w:rsidRPr="00353123">
        <w:rPr>
          <w:rStyle w:val="FootnoteReference"/>
          <w:color w:val="auto"/>
          <w:sz w:val="26"/>
          <w:szCs w:val="26"/>
          <w:vertAlign w:val="superscript"/>
        </w:rPr>
        <w:footnoteRef/>
      </w:r>
      <w:r>
        <w:t xml:space="preserve"> </w:t>
      </w:r>
      <w:r>
        <w:tab/>
      </w:r>
      <w:r w:rsidR="003629FA">
        <w:t>All further statutory references are to th</w:t>
      </w:r>
      <w:r w:rsidR="00C51258">
        <w:t>e</w:t>
      </w:r>
      <w:r w:rsidR="003629FA">
        <w:t xml:space="preserve"> Code</w:t>
      </w:r>
      <w:r w:rsidR="00C51258">
        <w:t xml:space="preserve"> of Civil Procedure</w:t>
      </w:r>
      <w:r w:rsidR="003629FA">
        <w:t>, unless otherwise indicated.</w:t>
      </w:r>
    </w:p>
  </w:footnote>
  <w:footnote w:id="4">
    <w:p w:rsidR="00E01788" w:rsidP="00353123" w14:paraId="0D5F82F0" w14:textId="4309716F">
      <w:pPr>
        <w:pStyle w:val="FootnoteText"/>
        <w:keepLines w:val="0"/>
        <w:spacing w:after="240" w:line="240" w:lineRule="auto"/>
        <w:ind w:firstLine="720"/>
      </w:pPr>
      <w:r w:rsidRPr="00353123">
        <w:rPr>
          <w:rStyle w:val="FootnoteReference"/>
          <w:color w:val="auto"/>
          <w:sz w:val="26"/>
          <w:szCs w:val="26"/>
          <w:vertAlign w:val="superscript"/>
        </w:rPr>
        <w:footnoteRef/>
      </w:r>
      <w:r>
        <w:t xml:space="preserve"> </w:t>
      </w:r>
      <w:r>
        <w:tab/>
        <w:t>Section</w:t>
      </w:r>
      <w:r w:rsidR="00C85B23">
        <w:t>s 1032</w:t>
      </w:r>
      <w:r w:rsidR="009757FB">
        <w:t>-1034</w:t>
      </w:r>
      <w:r w:rsidR="009F04ED">
        <w:t xml:space="preserve"> are contained within </w:t>
      </w:r>
      <w:r w:rsidR="001C0CCB">
        <w:t xml:space="preserve">Chapter </w:t>
      </w:r>
      <w:r w:rsidR="00D25EDA">
        <w:t xml:space="preserve">6 </w:t>
      </w:r>
      <w:r w:rsidR="00C11DF5">
        <w:t>(</w:t>
      </w:r>
      <w:r w:rsidR="00FE5B61">
        <w:t>“</w:t>
      </w:r>
      <w:r w:rsidR="00C11DF5">
        <w:t>Of Costs</w:t>
      </w:r>
      <w:r w:rsidR="00FE5B61">
        <w:t>”</w:t>
      </w:r>
      <w:r w:rsidR="00C11DF5">
        <w:t>)</w:t>
      </w:r>
      <w:r w:rsidR="00D97E09">
        <w:t xml:space="preserve"> </w:t>
      </w:r>
      <w:r w:rsidR="00D25EDA">
        <w:t>of Title 14</w:t>
      </w:r>
      <w:r w:rsidR="004737E3">
        <w:t xml:space="preserve"> (</w:t>
      </w:r>
      <w:r w:rsidR="00FE5B61">
        <w:t>“</w:t>
      </w:r>
      <w:r w:rsidR="004737E3">
        <w:t>Of Miscellaneous Provisions</w:t>
      </w:r>
      <w:r w:rsidR="00FE5B61">
        <w:t>”</w:t>
      </w:r>
      <w:r w:rsidR="004737E3">
        <w:t>)</w:t>
      </w:r>
      <w:r w:rsidR="00D25EDA">
        <w:t xml:space="preserve"> of Part 2 of the Code of Civil Procedure.  That Chapter spans</w:t>
      </w:r>
      <w:r w:rsidR="004126A2">
        <w:t xml:space="preserve"> sections</w:t>
      </w:r>
      <w:r w:rsidR="00BE7BC1">
        <w:t xml:space="preserve"> 1</w:t>
      </w:r>
      <w:r>
        <w:t>0</w:t>
      </w:r>
      <w:r w:rsidR="0011782F">
        <w:t>21</w:t>
      </w:r>
      <w:r w:rsidR="00B64AE2">
        <w:t>-103</w:t>
      </w:r>
      <w:r w:rsidR="00C51258">
        <w:t>8</w:t>
      </w:r>
      <w:r w:rsidR="00B64AE2">
        <w:t>.</w:t>
      </w:r>
    </w:p>
  </w:footnote>
  <w:footnote w:id="5">
    <w:p w:rsidR="007F359F" w:rsidP="00353123" w14:paraId="1D463FDA" w14:textId="5F8E9663">
      <w:pPr>
        <w:pStyle w:val="FootnoteText"/>
        <w:keepLines w:val="0"/>
        <w:spacing w:after="240" w:line="240" w:lineRule="auto"/>
        <w:ind w:firstLine="720"/>
      </w:pPr>
      <w:r w:rsidRPr="00353123">
        <w:rPr>
          <w:rStyle w:val="FootnoteReference"/>
          <w:color w:val="auto"/>
          <w:sz w:val="26"/>
          <w:szCs w:val="26"/>
          <w:vertAlign w:val="superscript"/>
        </w:rPr>
        <w:footnoteRef/>
      </w:r>
      <w:r>
        <w:t xml:space="preserve"> </w:t>
      </w:r>
      <w:r>
        <w:tab/>
      </w:r>
      <w:bookmarkStart w:id="8" w:name="dabmci_5db84709100b4d718ba4f81be8c1bad9"/>
      <w:r w:rsidRPr="00322CFD" w:rsidR="007229A8">
        <w:rPr>
          <w:i/>
          <w:iCs/>
        </w:rPr>
        <w:t>Christiansburg Garment Co v. EEO</w:t>
      </w:r>
      <w:r w:rsidRPr="00DD39CE" w:rsidR="007229A8">
        <w:rPr>
          <w:i/>
          <w:iCs/>
        </w:rPr>
        <w:t>C</w:t>
      </w:r>
      <w:r w:rsidRPr="00DD39CE" w:rsidR="00AE2E8E">
        <w:rPr>
          <w:i/>
          <w:iCs/>
        </w:rPr>
        <w:t>,</w:t>
      </w:r>
      <w:r w:rsidRPr="00DD39CE" w:rsidR="00AE2E8E">
        <w:t xml:space="preserve"> </w:t>
      </w:r>
      <w:r w:rsidRPr="001559B7" w:rsidR="00AE2E8E">
        <w:rPr>
          <w:i/>
          <w:iCs/>
        </w:rPr>
        <w:t>supra</w:t>
      </w:r>
      <w:r w:rsidRPr="00DD39CE" w:rsidR="00AE2E8E">
        <w:t xml:space="preserve">, </w:t>
      </w:r>
      <w:r w:rsidRPr="00DD39CE" w:rsidR="00EF4003">
        <w:t>434</w:t>
      </w:r>
      <w:r w:rsidR="00EF4003">
        <w:t xml:space="preserve"> U.S.</w:t>
      </w:r>
      <w:r w:rsidR="00F06EA8">
        <w:t xml:space="preserve"> 412</w:t>
      </w:r>
      <w:bookmarkEnd w:id="8"/>
      <w:r w:rsidR="00F06EA8">
        <w:t xml:space="preserve">, is </w:t>
      </w:r>
      <w:r w:rsidR="00FE5B61">
        <w:t>“</w:t>
      </w:r>
      <w:r w:rsidRPr="00CC3205" w:rsidR="00CC3205">
        <w:t>the rule applicable to attorney fee awards in certain federal civil rights actions</w:t>
      </w:r>
      <w:r w:rsidR="0094186C">
        <w:t>.</w:t>
      </w:r>
      <w:r w:rsidR="00FE5B61">
        <w:t>”</w:t>
      </w:r>
      <w:r w:rsidR="0094186C">
        <w:t xml:space="preserve">  (</w:t>
      </w:r>
      <w:bookmarkStart w:id="9" w:name="dabmci_fe277cae1752460dacb97261e14244de"/>
      <w:r w:rsidRPr="0094186C" w:rsidR="0094186C">
        <w:rPr>
          <w:i/>
          <w:iCs/>
        </w:rPr>
        <w:t>Williams, supra</w:t>
      </w:r>
      <w:r w:rsidR="0094186C">
        <w:t xml:space="preserve">, </w:t>
      </w:r>
      <w:r w:rsidR="00C51258">
        <w:t xml:space="preserve">61 Cal.4th </w:t>
      </w:r>
      <w:r w:rsidR="0094186C">
        <w:t>at p. 99</w:t>
      </w:r>
      <w:bookmarkEnd w:id="9"/>
      <w:r w:rsidR="00353123">
        <w:t>.</w:t>
      </w:r>
      <w:r w:rsidR="0094186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B1E135E"/>
    <w:multiLevelType w:val="hybridMultilevel"/>
    <w:tmpl w:val="50F2B96E"/>
    <w:lvl w:ilvl="0">
      <w:start w:val="1"/>
      <w:numFmt w:val="decimal"/>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3B"/>
    <w:rsid w:val="0000068E"/>
    <w:rsid w:val="000013F9"/>
    <w:rsid w:val="00003AEC"/>
    <w:rsid w:val="0000424A"/>
    <w:rsid w:val="000076F6"/>
    <w:rsid w:val="00015BA7"/>
    <w:rsid w:val="000256A8"/>
    <w:rsid w:val="00026C0D"/>
    <w:rsid w:val="0002746C"/>
    <w:rsid w:val="0003003F"/>
    <w:rsid w:val="000330C0"/>
    <w:rsid w:val="000403C6"/>
    <w:rsid w:val="00044F28"/>
    <w:rsid w:val="0005071F"/>
    <w:rsid w:val="00050915"/>
    <w:rsid w:val="000523AA"/>
    <w:rsid w:val="00053335"/>
    <w:rsid w:val="000619D6"/>
    <w:rsid w:val="00065FA2"/>
    <w:rsid w:val="00066A0D"/>
    <w:rsid w:val="0007025D"/>
    <w:rsid w:val="00070687"/>
    <w:rsid w:val="000765B0"/>
    <w:rsid w:val="00086411"/>
    <w:rsid w:val="00092355"/>
    <w:rsid w:val="00094285"/>
    <w:rsid w:val="000948C4"/>
    <w:rsid w:val="00097181"/>
    <w:rsid w:val="00097619"/>
    <w:rsid w:val="00097835"/>
    <w:rsid w:val="000A088A"/>
    <w:rsid w:val="000A3FB2"/>
    <w:rsid w:val="000A62BD"/>
    <w:rsid w:val="000A65D5"/>
    <w:rsid w:val="000A6C11"/>
    <w:rsid w:val="000B7ADA"/>
    <w:rsid w:val="000C16D4"/>
    <w:rsid w:val="000C6259"/>
    <w:rsid w:val="000D7E17"/>
    <w:rsid w:val="000E252A"/>
    <w:rsid w:val="000E46CC"/>
    <w:rsid w:val="000E5B88"/>
    <w:rsid w:val="000F100D"/>
    <w:rsid w:val="00100B6C"/>
    <w:rsid w:val="00102B67"/>
    <w:rsid w:val="00105238"/>
    <w:rsid w:val="0011782F"/>
    <w:rsid w:val="00127AF0"/>
    <w:rsid w:val="00132532"/>
    <w:rsid w:val="00135E17"/>
    <w:rsid w:val="001404DA"/>
    <w:rsid w:val="00142ADB"/>
    <w:rsid w:val="001438A4"/>
    <w:rsid w:val="00145BDC"/>
    <w:rsid w:val="0014629D"/>
    <w:rsid w:val="001502B4"/>
    <w:rsid w:val="0015057E"/>
    <w:rsid w:val="0015130B"/>
    <w:rsid w:val="00153F7F"/>
    <w:rsid w:val="001559B7"/>
    <w:rsid w:val="00160337"/>
    <w:rsid w:val="0016149B"/>
    <w:rsid w:val="00162891"/>
    <w:rsid w:val="00162D74"/>
    <w:rsid w:val="001634D8"/>
    <w:rsid w:val="00165130"/>
    <w:rsid w:val="00184422"/>
    <w:rsid w:val="00192467"/>
    <w:rsid w:val="0019508E"/>
    <w:rsid w:val="00195512"/>
    <w:rsid w:val="001A0436"/>
    <w:rsid w:val="001A100C"/>
    <w:rsid w:val="001A2F9B"/>
    <w:rsid w:val="001A5F07"/>
    <w:rsid w:val="001B03FD"/>
    <w:rsid w:val="001B1B40"/>
    <w:rsid w:val="001C0CCB"/>
    <w:rsid w:val="001C25DF"/>
    <w:rsid w:val="001C30C6"/>
    <w:rsid w:val="001E0A34"/>
    <w:rsid w:val="001E6000"/>
    <w:rsid w:val="001E7C5A"/>
    <w:rsid w:val="001F48F2"/>
    <w:rsid w:val="001F550E"/>
    <w:rsid w:val="002002A1"/>
    <w:rsid w:val="00202AF4"/>
    <w:rsid w:val="00203D85"/>
    <w:rsid w:val="002136E8"/>
    <w:rsid w:val="00213B27"/>
    <w:rsid w:val="002151E8"/>
    <w:rsid w:val="002208E2"/>
    <w:rsid w:val="0022404B"/>
    <w:rsid w:val="00225602"/>
    <w:rsid w:val="00227A16"/>
    <w:rsid w:val="00227ECF"/>
    <w:rsid w:val="00230742"/>
    <w:rsid w:val="00231D92"/>
    <w:rsid w:val="0023354A"/>
    <w:rsid w:val="00233EF5"/>
    <w:rsid w:val="002351B4"/>
    <w:rsid w:val="002363B3"/>
    <w:rsid w:val="00237AD2"/>
    <w:rsid w:val="00240F42"/>
    <w:rsid w:val="00244050"/>
    <w:rsid w:val="00260EE6"/>
    <w:rsid w:val="0026303F"/>
    <w:rsid w:val="00263FF3"/>
    <w:rsid w:val="00267FAD"/>
    <w:rsid w:val="00272010"/>
    <w:rsid w:val="00276FAB"/>
    <w:rsid w:val="00280C5C"/>
    <w:rsid w:val="00281CC4"/>
    <w:rsid w:val="00283CC4"/>
    <w:rsid w:val="002919BD"/>
    <w:rsid w:val="00293E46"/>
    <w:rsid w:val="0029445E"/>
    <w:rsid w:val="002A6BF3"/>
    <w:rsid w:val="002B0278"/>
    <w:rsid w:val="002C0F18"/>
    <w:rsid w:val="002C6A8F"/>
    <w:rsid w:val="002D4FA6"/>
    <w:rsid w:val="002E45B2"/>
    <w:rsid w:val="002F0F62"/>
    <w:rsid w:val="002F1DCC"/>
    <w:rsid w:val="002F34E3"/>
    <w:rsid w:val="002F59C7"/>
    <w:rsid w:val="00311B9D"/>
    <w:rsid w:val="0031305D"/>
    <w:rsid w:val="003153A2"/>
    <w:rsid w:val="00315DED"/>
    <w:rsid w:val="00316B3A"/>
    <w:rsid w:val="00322CFD"/>
    <w:rsid w:val="003351F1"/>
    <w:rsid w:val="00340A25"/>
    <w:rsid w:val="0034440E"/>
    <w:rsid w:val="003524F4"/>
    <w:rsid w:val="00353123"/>
    <w:rsid w:val="003629FA"/>
    <w:rsid w:val="00370AF1"/>
    <w:rsid w:val="00374009"/>
    <w:rsid w:val="0037513A"/>
    <w:rsid w:val="00375511"/>
    <w:rsid w:val="00375D6B"/>
    <w:rsid w:val="00376497"/>
    <w:rsid w:val="00376B65"/>
    <w:rsid w:val="00380FF7"/>
    <w:rsid w:val="00383480"/>
    <w:rsid w:val="00386C14"/>
    <w:rsid w:val="00391854"/>
    <w:rsid w:val="00393A9F"/>
    <w:rsid w:val="003A0EC9"/>
    <w:rsid w:val="003A4F1F"/>
    <w:rsid w:val="003D288C"/>
    <w:rsid w:val="003F362A"/>
    <w:rsid w:val="003F6D7B"/>
    <w:rsid w:val="003F7966"/>
    <w:rsid w:val="004009B9"/>
    <w:rsid w:val="00401AB9"/>
    <w:rsid w:val="00402364"/>
    <w:rsid w:val="00403E95"/>
    <w:rsid w:val="00404630"/>
    <w:rsid w:val="004126A2"/>
    <w:rsid w:val="00414686"/>
    <w:rsid w:val="0041543B"/>
    <w:rsid w:val="00417665"/>
    <w:rsid w:val="00420385"/>
    <w:rsid w:val="0042343B"/>
    <w:rsid w:val="00423611"/>
    <w:rsid w:val="004271E4"/>
    <w:rsid w:val="004303FC"/>
    <w:rsid w:val="004317A7"/>
    <w:rsid w:val="00431D34"/>
    <w:rsid w:val="00436F1F"/>
    <w:rsid w:val="0044331F"/>
    <w:rsid w:val="00443639"/>
    <w:rsid w:val="00445EFB"/>
    <w:rsid w:val="00457619"/>
    <w:rsid w:val="00457EE9"/>
    <w:rsid w:val="00464E81"/>
    <w:rsid w:val="0046643C"/>
    <w:rsid w:val="00470A4F"/>
    <w:rsid w:val="00471B99"/>
    <w:rsid w:val="004737E3"/>
    <w:rsid w:val="004818E3"/>
    <w:rsid w:val="0048193B"/>
    <w:rsid w:val="00484BC6"/>
    <w:rsid w:val="00485415"/>
    <w:rsid w:val="00491A4F"/>
    <w:rsid w:val="004A08C4"/>
    <w:rsid w:val="004A1F99"/>
    <w:rsid w:val="004A3432"/>
    <w:rsid w:val="004A4920"/>
    <w:rsid w:val="004A4A2A"/>
    <w:rsid w:val="004A6A27"/>
    <w:rsid w:val="004B40DE"/>
    <w:rsid w:val="004C1101"/>
    <w:rsid w:val="004C44C0"/>
    <w:rsid w:val="004C5EA1"/>
    <w:rsid w:val="004C74A9"/>
    <w:rsid w:val="004D7BA3"/>
    <w:rsid w:val="004F0511"/>
    <w:rsid w:val="004F21DA"/>
    <w:rsid w:val="004F6197"/>
    <w:rsid w:val="00500595"/>
    <w:rsid w:val="00501D55"/>
    <w:rsid w:val="00501E72"/>
    <w:rsid w:val="005040A4"/>
    <w:rsid w:val="005051F6"/>
    <w:rsid w:val="005108CE"/>
    <w:rsid w:val="00510AD6"/>
    <w:rsid w:val="00514F47"/>
    <w:rsid w:val="00524678"/>
    <w:rsid w:val="0052556B"/>
    <w:rsid w:val="00532EA4"/>
    <w:rsid w:val="005358D9"/>
    <w:rsid w:val="00536857"/>
    <w:rsid w:val="0054126B"/>
    <w:rsid w:val="00542186"/>
    <w:rsid w:val="005456C6"/>
    <w:rsid w:val="00545D6B"/>
    <w:rsid w:val="005556BE"/>
    <w:rsid w:val="00562290"/>
    <w:rsid w:val="00570F06"/>
    <w:rsid w:val="00570F0D"/>
    <w:rsid w:val="00572063"/>
    <w:rsid w:val="005752AF"/>
    <w:rsid w:val="00581B07"/>
    <w:rsid w:val="005827F7"/>
    <w:rsid w:val="00592F0F"/>
    <w:rsid w:val="005A3C2E"/>
    <w:rsid w:val="005A4E65"/>
    <w:rsid w:val="005A4EFA"/>
    <w:rsid w:val="005A70DA"/>
    <w:rsid w:val="005B0485"/>
    <w:rsid w:val="005C6467"/>
    <w:rsid w:val="005C64A5"/>
    <w:rsid w:val="005C783E"/>
    <w:rsid w:val="005E596F"/>
    <w:rsid w:val="005E5D55"/>
    <w:rsid w:val="005E69D9"/>
    <w:rsid w:val="005E6DB7"/>
    <w:rsid w:val="005E6F90"/>
    <w:rsid w:val="005F0C28"/>
    <w:rsid w:val="005F1047"/>
    <w:rsid w:val="00603D47"/>
    <w:rsid w:val="00607D07"/>
    <w:rsid w:val="00611455"/>
    <w:rsid w:val="00613014"/>
    <w:rsid w:val="00622886"/>
    <w:rsid w:val="0062386D"/>
    <w:rsid w:val="00624529"/>
    <w:rsid w:val="00624EF0"/>
    <w:rsid w:val="00626CE6"/>
    <w:rsid w:val="00632F24"/>
    <w:rsid w:val="006357DD"/>
    <w:rsid w:val="00640FE4"/>
    <w:rsid w:val="00645B96"/>
    <w:rsid w:val="0065596F"/>
    <w:rsid w:val="00656952"/>
    <w:rsid w:val="0066426F"/>
    <w:rsid w:val="006676D4"/>
    <w:rsid w:val="00671F47"/>
    <w:rsid w:val="0067524D"/>
    <w:rsid w:val="006817A5"/>
    <w:rsid w:val="00682920"/>
    <w:rsid w:val="00683EC5"/>
    <w:rsid w:val="00685825"/>
    <w:rsid w:val="00685FF7"/>
    <w:rsid w:val="006A019B"/>
    <w:rsid w:val="006B590B"/>
    <w:rsid w:val="006B6642"/>
    <w:rsid w:val="006C0B48"/>
    <w:rsid w:val="006C0C23"/>
    <w:rsid w:val="006C3311"/>
    <w:rsid w:val="006C457F"/>
    <w:rsid w:val="006C46EB"/>
    <w:rsid w:val="006C4944"/>
    <w:rsid w:val="006C6664"/>
    <w:rsid w:val="006C75F2"/>
    <w:rsid w:val="006D03D4"/>
    <w:rsid w:val="006D0FD0"/>
    <w:rsid w:val="006D2E42"/>
    <w:rsid w:val="006D457A"/>
    <w:rsid w:val="006D5A5F"/>
    <w:rsid w:val="006D76AF"/>
    <w:rsid w:val="006E29DB"/>
    <w:rsid w:val="006E5CCF"/>
    <w:rsid w:val="006E61A3"/>
    <w:rsid w:val="006E65B0"/>
    <w:rsid w:val="006F1EAC"/>
    <w:rsid w:val="00702DA8"/>
    <w:rsid w:val="0070592C"/>
    <w:rsid w:val="007104CF"/>
    <w:rsid w:val="00710FBA"/>
    <w:rsid w:val="007174A4"/>
    <w:rsid w:val="007229A8"/>
    <w:rsid w:val="00723F8C"/>
    <w:rsid w:val="007315C8"/>
    <w:rsid w:val="00736EF3"/>
    <w:rsid w:val="00740FD7"/>
    <w:rsid w:val="007436AC"/>
    <w:rsid w:val="0074460A"/>
    <w:rsid w:val="007604AE"/>
    <w:rsid w:val="00762108"/>
    <w:rsid w:val="00764669"/>
    <w:rsid w:val="00771884"/>
    <w:rsid w:val="00772CF7"/>
    <w:rsid w:val="0077783A"/>
    <w:rsid w:val="007801F9"/>
    <w:rsid w:val="007849C5"/>
    <w:rsid w:val="00787777"/>
    <w:rsid w:val="00796BC2"/>
    <w:rsid w:val="00797DBA"/>
    <w:rsid w:val="007B4111"/>
    <w:rsid w:val="007B553C"/>
    <w:rsid w:val="007C1EB9"/>
    <w:rsid w:val="007C5D79"/>
    <w:rsid w:val="007D05F8"/>
    <w:rsid w:val="007D1BB3"/>
    <w:rsid w:val="007D4102"/>
    <w:rsid w:val="007D79C9"/>
    <w:rsid w:val="007D7CDF"/>
    <w:rsid w:val="007F3110"/>
    <w:rsid w:val="007F3260"/>
    <w:rsid w:val="007F359F"/>
    <w:rsid w:val="007F3F01"/>
    <w:rsid w:val="007F453F"/>
    <w:rsid w:val="00802A8A"/>
    <w:rsid w:val="008064B6"/>
    <w:rsid w:val="00820D2D"/>
    <w:rsid w:val="008376FE"/>
    <w:rsid w:val="0084206C"/>
    <w:rsid w:val="00844EAB"/>
    <w:rsid w:val="00850A1E"/>
    <w:rsid w:val="0085335F"/>
    <w:rsid w:val="00854076"/>
    <w:rsid w:val="00860505"/>
    <w:rsid w:val="00861D29"/>
    <w:rsid w:val="00861EB2"/>
    <w:rsid w:val="0086457B"/>
    <w:rsid w:val="00866232"/>
    <w:rsid w:val="008668A3"/>
    <w:rsid w:val="008710D0"/>
    <w:rsid w:val="00875B21"/>
    <w:rsid w:val="00876ACB"/>
    <w:rsid w:val="00880AFF"/>
    <w:rsid w:val="00882CB6"/>
    <w:rsid w:val="00884833"/>
    <w:rsid w:val="00892B85"/>
    <w:rsid w:val="00893774"/>
    <w:rsid w:val="00893E10"/>
    <w:rsid w:val="008A1C40"/>
    <w:rsid w:val="008A6041"/>
    <w:rsid w:val="008A64A5"/>
    <w:rsid w:val="008B1325"/>
    <w:rsid w:val="008B23A1"/>
    <w:rsid w:val="008B4E07"/>
    <w:rsid w:val="008C0248"/>
    <w:rsid w:val="008C09D5"/>
    <w:rsid w:val="008C1926"/>
    <w:rsid w:val="008C1AF4"/>
    <w:rsid w:val="008C76E5"/>
    <w:rsid w:val="008C7BBC"/>
    <w:rsid w:val="008D11E8"/>
    <w:rsid w:val="008D127B"/>
    <w:rsid w:val="008D760C"/>
    <w:rsid w:val="008E16C5"/>
    <w:rsid w:val="008E1AD6"/>
    <w:rsid w:val="008E23CA"/>
    <w:rsid w:val="008F3193"/>
    <w:rsid w:val="008F3D77"/>
    <w:rsid w:val="008F48D0"/>
    <w:rsid w:val="008F4FBF"/>
    <w:rsid w:val="00901F50"/>
    <w:rsid w:val="00902532"/>
    <w:rsid w:val="00902E55"/>
    <w:rsid w:val="00910B02"/>
    <w:rsid w:val="00917A5C"/>
    <w:rsid w:val="00926C1C"/>
    <w:rsid w:val="009279B7"/>
    <w:rsid w:val="0093171F"/>
    <w:rsid w:val="00934817"/>
    <w:rsid w:val="00935B0C"/>
    <w:rsid w:val="009378FA"/>
    <w:rsid w:val="009417CC"/>
    <w:rsid w:val="0094186C"/>
    <w:rsid w:val="00942014"/>
    <w:rsid w:val="0094504D"/>
    <w:rsid w:val="00946DA2"/>
    <w:rsid w:val="00946EDA"/>
    <w:rsid w:val="0095008C"/>
    <w:rsid w:val="00951545"/>
    <w:rsid w:val="009530DD"/>
    <w:rsid w:val="00957193"/>
    <w:rsid w:val="009578C7"/>
    <w:rsid w:val="00964EBD"/>
    <w:rsid w:val="00967A0F"/>
    <w:rsid w:val="00973FBC"/>
    <w:rsid w:val="00974871"/>
    <w:rsid w:val="009757FB"/>
    <w:rsid w:val="0097673D"/>
    <w:rsid w:val="00977FBA"/>
    <w:rsid w:val="00984DFF"/>
    <w:rsid w:val="00985F45"/>
    <w:rsid w:val="009869D4"/>
    <w:rsid w:val="009A134A"/>
    <w:rsid w:val="009A166E"/>
    <w:rsid w:val="009A622F"/>
    <w:rsid w:val="009A74CC"/>
    <w:rsid w:val="009B0884"/>
    <w:rsid w:val="009B40E4"/>
    <w:rsid w:val="009B69D7"/>
    <w:rsid w:val="009D1FB2"/>
    <w:rsid w:val="009E2A54"/>
    <w:rsid w:val="009E3041"/>
    <w:rsid w:val="009E3556"/>
    <w:rsid w:val="009E36AF"/>
    <w:rsid w:val="009E5D4E"/>
    <w:rsid w:val="009E65BB"/>
    <w:rsid w:val="009F04ED"/>
    <w:rsid w:val="009F13F6"/>
    <w:rsid w:val="009F1E6F"/>
    <w:rsid w:val="009F4A06"/>
    <w:rsid w:val="00A02032"/>
    <w:rsid w:val="00A035B5"/>
    <w:rsid w:val="00A10F4B"/>
    <w:rsid w:val="00A11CA5"/>
    <w:rsid w:val="00A122DA"/>
    <w:rsid w:val="00A13345"/>
    <w:rsid w:val="00A13DB8"/>
    <w:rsid w:val="00A143D7"/>
    <w:rsid w:val="00A14A6F"/>
    <w:rsid w:val="00A14D67"/>
    <w:rsid w:val="00A20EEC"/>
    <w:rsid w:val="00A231C7"/>
    <w:rsid w:val="00A42828"/>
    <w:rsid w:val="00A46DED"/>
    <w:rsid w:val="00A52A4D"/>
    <w:rsid w:val="00A55A86"/>
    <w:rsid w:val="00A55B3B"/>
    <w:rsid w:val="00A600E1"/>
    <w:rsid w:val="00A603FA"/>
    <w:rsid w:val="00A675E5"/>
    <w:rsid w:val="00A7018B"/>
    <w:rsid w:val="00A817AD"/>
    <w:rsid w:val="00A81DA1"/>
    <w:rsid w:val="00A84168"/>
    <w:rsid w:val="00A84EC2"/>
    <w:rsid w:val="00A91CA2"/>
    <w:rsid w:val="00A967A1"/>
    <w:rsid w:val="00AA13A3"/>
    <w:rsid w:val="00AA22C2"/>
    <w:rsid w:val="00AA3034"/>
    <w:rsid w:val="00AA5665"/>
    <w:rsid w:val="00AA69CE"/>
    <w:rsid w:val="00AA7ED2"/>
    <w:rsid w:val="00AB0F7B"/>
    <w:rsid w:val="00AB52DE"/>
    <w:rsid w:val="00AC142E"/>
    <w:rsid w:val="00AE2E8E"/>
    <w:rsid w:val="00AF1727"/>
    <w:rsid w:val="00AF1779"/>
    <w:rsid w:val="00AF30E4"/>
    <w:rsid w:val="00AF447F"/>
    <w:rsid w:val="00AF6A27"/>
    <w:rsid w:val="00AF7EB4"/>
    <w:rsid w:val="00B01656"/>
    <w:rsid w:val="00B1247F"/>
    <w:rsid w:val="00B2232F"/>
    <w:rsid w:val="00B227C3"/>
    <w:rsid w:val="00B23FD2"/>
    <w:rsid w:val="00B2502D"/>
    <w:rsid w:val="00B31BE5"/>
    <w:rsid w:val="00B3394A"/>
    <w:rsid w:val="00B36AEB"/>
    <w:rsid w:val="00B41FC5"/>
    <w:rsid w:val="00B45305"/>
    <w:rsid w:val="00B55749"/>
    <w:rsid w:val="00B61011"/>
    <w:rsid w:val="00B62E1C"/>
    <w:rsid w:val="00B64AE2"/>
    <w:rsid w:val="00B651B1"/>
    <w:rsid w:val="00B65D21"/>
    <w:rsid w:val="00B66400"/>
    <w:rsid w:val="00B665D0"/>
    <w:rsid w:val="00B66659"/>
    <w:rsid w:val="00B66B6E"/>
    <w:rsid w:val="00B74F5B"/>
    <w:rsid w:val="00B76242"/>
    <w:rsid w:val="00B76919"/>
    <w:rsid w:val="00B76997"/>
    <w:rsid w:val="00B76F24"/>
    <w:rsid w:val="00B777C0"/>
    <w:rsid w:val="00B8000B"/>
    <w:rsid w:val="00B81028"/>
    <w:rsid w:val="00B8139C"/>
    <w:rsid w:val="00B85541"/>
    <w:rsid w:val="00B92277"/>
    <w:rsid w:val="00BA5872"/>
    <w:rsid w:val="00BA677A"/>
    <w:rsid w:val="00BB1320"/>
    <w:rsid w:val="00BB1C58"/>
    <w:rsid w:val="00BB287A"/>
    <w:rsid w:val="00BB4D8C"/>
    <w:rsid w:val="00BC3EFC"/>
    <w:rsid w:val="00BC523A"/>
    <w:rsid w:val="00BC5753"/>
    <w:rsid w:val="00BD01B2"/>
    <w:rsid w:val="00BD12E7"/>
    <w:rsid w:val="00BD138B"/>
    <w:rsid w:val="00BE3E74"/>
    <w:rsid w:val="00BE639F"/>
    <w:rsid w:val="00BE6F3B"/>
    <w:rsid w:val="00BE7BC1"/>
    <w:rsid w:val="00BF0E8A"/>
    <w:rsid w:val="00BF45FA"/>
    <w:rsid w:val="00BF68B1"/>
    <w:rsid w:val="00BF7204"/>
    <w:rsid w:val="00BF7A93"/>
    <w:rsid w:val="00C024E7"/>
    <w:rsid w:val="00C05197"/>
    <w:rsid w:val="00C11DF5"/>
    <w:rsid w:val="00C1219E"/>
    <w:rsid w:val="00C1511B"/>
    <w:rsid w:val="00C25DCF"/>
    <w:rsid w:val="00C26973"/>
    <w:rsid w:val="00C27413"/>
    <w:rsid w:val="00C31F46"/>
    <w:rsid w:val="00C33957"/>
    <w:rsid w:val="00C41FF0"/>
    <w:rsid w:val="00C47610"/>
    <w:rsid w:val="00C51258"/>
    <w:rsid w:val="00C531DE"/>
    <w:rsid w:val="00C53554"/>
    <w:rsid w:val="00C553AD"/>
    <w:rsid w:val="00C57B92"/>
    <w:rsid w:val="00C603A7"/>
    <w:rsid w:val="00C65776"/>
    <w:rsid w:val="00C75AA7"/>
    <w:rsid w:val="00C841BD"/>
    <w:rsid w:val="00C842A5"/>
    <w:rsid w:val="00C85B23"/>
    <w:rsid w:val="00C92A9C"/>
    <w:rsid w:val="00C96FDB"/>
    <w:rsid w:val="00C970F3"/>
    <w:rsid w:val="00CA639D"/>
    <w:rsid w:val="00CA658A"/>
    <w:rsid w:val="00CA780C"/>
    <w:rsid w:val="00CB2BE2"/>
    <w:rsid w:val="00CB2F55"/>
    <w:rsid w:val="00CB3D48"/>
    <w:rsid w:val="00CB43AD"/>
    <w:rsid w:val="00CB60E0"/>
    <w:rsid w:val="00CB642E"/>
    <w:rsid w:val="00CB7CCE"/>
    <w:rsid w:val="00CC134E"/>
    <w:rsid w:val="00CC3205"/>
    <w:rsid w:val="00CC3763"/>
    <w:rsid w:val="00CC3DC6"/>
    <w:rsid w:val="00CC4C09"/>
    <w:rsid w:val="00CC6248"/>
    <w:rsid w:val="00CD12FC"/>
    <w:rsid w:val="00CD1957"/>
    <w:rsid w:val="00CD4917"/>
    <w:rsid w:val="00CD6115"/>
    <w:rsid w:val="00CE2D6B"/>
    <w:rsid w:val="00CE4E58"/>
    <w:rsid w:val="00CF39D0"/>
    <w:rsid w:val="00CF5FE9"/>
    <w:rsid w:val="00CF74B0"/>
    <w:rsid w:val="00D12DB4"/>
    <w:rsid w:val="00D132A1"/>
    <w:rsid w:val="00D14516"/>
    <w:rsid w:val="00D16E5E"/>
    <w:rsid w:val="00D20C4E"/>
    <w:rsid w:val="00D25EDA"/>
    <w:rsid w:val="00D26F90"/>
    <w:rsid w:val="00D30A47"/>
    <w:rsid w:val="00D36806"/>
    <w:rsid w:val="00D40A69"/>
    <w:rsid w:val="00D40F97"/>
    <w:rsid w:val="00D430CE"/>
    <w:rsid w:val="00D61A11"/>
    <w:rsid w:val="00D647D4"/>
    <w:rsid w:val="00D651AC"/>
    <w:rsid w:val="00D65226"/>
    <w:rsid w:val="00D66E22"/>
    <w:rsid w:val="00D82F08"/>
    <w:rsid w:val="00D90405"/>
    <w:rsid w:val="00D95038"/>
    <w:rsid w:val="00D97E09"/>
    <w:rsid w:val="00DB2FAC"/>
    <w:rsid w:val="00DB4498"/>
    <w:rsid w:val="00DC2BCD"/>
    <w:rsid w:val="00DC6401"/>
    <w:rsid w:val="00DD39CE"/>
    <w:rsid w:val="00DE1B9D"/>
    <w:rsid w:val="00DE4E7E"/>
    <w:rsid w:val="00DF284C"/>
    <w:rsid w:val="00DF2B56"/>
    <w:rsid w:val="00DF5A46"/>
    <w:rsid w:val="00DF6C91"/>
    <w:rsid w:val="00E01788"/>
    <w:rsid w:val="00E01C2A"/>
    <w:rsid w:val="00E137EB"/>
    <w:rsid w:val="00E15189"/>
    <w:rsid w:val="00E15323"/>
    <w:rsid w:val="00E216C9"/>
    <w:rsid w:val="00E24C24"/>
    <w:rsid w:val="00E4038A"/>
    <w:rsid w:val="00E4408E"/>
    <w:rsid w:val="00E546DC"/>
    <w:rsid w:val="00E566F9"/>
    <w:rsid w:val="00E70E1A"/>
    <w:rsid w:val="00E7273A"/>
    <w:rsid w:val="00E73814"/>
    <w:rsid w:val="00E768DF"/>
    <w:rsid w:val="00E8126F"/>
    <w:rsid w:val="00E865EC"/>
    <w:rsid w:val="00E964F9"/>
    <w:rsid w:val="00EA025B"/>
    <w:rsid w:val="00EA05BF"/>
    <w:rsid w:val="00EA3CCE"/>
    <w:rsid w:val="00EA6678"/>
    <w:rsid w:val="00EB0706"/>
    <w:rsid w:val="00EB6F55"/>
    <w:rsid w:val="00EC1D4F"/>
    <w:rsid w:val="00EC4F56"/>
    <w:rsid w:val="00ED1E12"/>
    <w:rsid w:val="00ED7A7B"/>
    <w:rsid w:val="00EE519F"/>
    <w:rsid w:val="00EE7C9B"/>
    <w:rsid w:val="00EF1F8F"/>
    <w:rsid w:val="00EF3AB5"/>
    <w:rsid w:val="00EF4003"/>
    <w:rsid w:val="00EF42E7"/>
    <w:rsid w:val="00F00F59"/>
    <w:rsid w:val="00F020E1"/>
    <w:rsid w:val="00F0553E"/>
    <w:rsid w:val="00F06EA8"/>
    <w:rsid w:val="00F07AF9"/>
    <w:rsid w:val="00F11A8F"/>
    <w:rsid w:val="00F203D5"/>
    <w:rsid w:val="00F22144"/>
    <w:rsid w:val="00F24160"/>
    <w:rsid w:val="00F30120"/>
    <w:rsid w:val="00F36066"/>
    <w:rsid w:val="00F44FF2"/>
    <w:rsid w:val="00F46955"/>
    <w:rsid w:val="00F527CC"/>
    <w:rsid w:val="00F56CFE"/>
    <w:rsid w:val="00F62E73"/>
    <w:rsid w:val="00F80BB8"/>
    <w:rsid w:val="00F813E5"/>
    <w:rsid w:val="00F83FAE"/>
    <w:rsid w:val="00F83FE7"/>
    <w:rsid w:val="00F855E1"/>
    <w:rsid w:val="00F865F6"/>
    <w:rsid w:val="00F90A08"/>
    <w:rsid w:val="00F90C84"/>
    <w:rsid w:val="00F96395"/>
    <w:rsid w:val="00F97674"/>
    <w:rsid w:val="00FA1E2D"/>
    <w:rsid w:val="00FA2640"/>
    <w:rsid w:val="00FA31E1"/>
    <w:rsid w:val="00FA5260"/>
    <w:rsid w:val="00FA59AE"/>
    <w:rsid w:val="00FB0B43"/>
    <w:rsid w:val="00FB3D67"/>
    <w:rsid w:val="00FB614F"/>
    <w:rsid w:val="00FE19D0"/>
    <w:rsid w:val="00FE43D3"/>
    <w:rsid w:val="00FE4AA7"/>
    <w:rsid w:val="00FE5B61"/>
    <w:rsid w:val="00FF07FD"/>
    <w:rsid w:val="00FF0C6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43B"/>
    <w:rPr>
      <w:rFonts w:ascii="Times New Roman" w:hAnsi="Times New Roman" w:eastAsiaTheme="minorHAnsi" w:cstheme="minorBidi"/>
      <w:szCs w:val="22"/>
    </w:rPr>
  </w:style>
  <w:style w:type="paragraph" w:styleId="Heading1">
    <w:name w:val="heading 1"/>
    <w:basedOn w:val="Normal"/>
    <w:next w:val="Normal"/>
    <w:link w:val="Heading1Char"/>
    <w:uiPriority w:val="9"/>
    <w:qFormat/>
    <w:rsid w:val="00AF1727"/>
    <w:pPr>
      <w:keepNext/>
      <w:spacing w:before="240" w:after="60" w:line="480" w:lineRule="exact"/>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qFormat/>
    <w:rsid w:val="00AF1727"/>
    <w:pPr>
      <w:keepNext/>
      <w:spacing w:before="240" w:after="60" w:line="480" w:lineRule="exact"/>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qFormat/>
    <w:rsid w:val="00AF1727"/>
    <w:pPr>
      <w:keepNext/>
      <w:spacing w:before="240" w:after="60" w:line="480" w:lineRule="exact"/>
      <w:outlineLvl w:val="2"/>
    </w:pPr>
    <w:rPr>
      <w:rFonts w:asciiTheme="majorHAnsi" w:eastAsiaTheme="majorEastAsia" w:hAnsiTheme="majorHAnsi" w:cs="Times New Roman"/>
      <w:b/>
      <w:bCs/>
      <w:szCs w:val="26"/>
    </w:rPr>
  </w:style>
  <w:style w:type="paragraph" w:styleId="Heading4">
    <w:name w:val="heading 4"/>
    <w:basedOn w:val="Normal"/>
    <w:next w:val="Normal"/>
    <w:link w:val="Heading4Char"/>
    <w:uiPriority w:val="9"/>
    <w:semiHidden/>
    <w:unhideWhenUsed/>
    <w:rsid w:val="00AF1727"/>
    <w:pPr>
      <w:keepNext/>
      <w:spacing w:before="240" w:after="60" w:line="480" w:lineRule="exact"/>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rsid w:val="00AF1727"/>
    <w:pPr>
      <w:spacing w:before="240" w:after="60" w:line="480" w:lineRule="exact"/>
      <w:outlineLvl w:val="4"/>
    </w:pPr>
    <w:rPr>
      <w:rFonts w:eastAsia="Times New Roman" w:cs="Times New Roman"/>
      <w:b/>
      <w:bCs/>
      <w:i/>
      <w:iCs/>
      <w:szCs w:val="26"/>
    </w:rPr>
  </w:style>
  <w:style w:type="paragraph" w:styleId="Heading6">
    <w:name w:val="heading 6"/>
    <w:basedOn w:val="Normal"/>
    <w:next w:val="Normal"/>
    <w:link w:val="Heading6Char"/>
    <w:uiPriority w:val="9"/>
    <w:semiHidden/>
    <w:unhideWhenUsed/>
    <w:qFormat/>
    <w:rsid w:val="00AF1727"/>
    <w:pPr>
      <w:spacing w:before="240" w:after="60" w:line="480" w:lineRule="exact"/>
      <w:outlineLvl w:val="5"/>
    </w:pPr>
    <w:rPr>
      <w:rFonts w:eastAsia="Times New Roman" w:cs="Times New Roman"/>
      <w:b/>
      <w:bCs/>
      <w:szCs w:val="26"/>
    </w:rPr>
  </w:style>
  <w:style w:type="paragraph" w:styleId="Heading7">
    <w:name w:val="heading 7"/>
    <w:basedOn w:val="Normal"/>
    <w:next w:val="Normal"/>
    <w:link w:val="Heading7Char"/>
    <w:uiPriority w:val="9"/>
    <w:semiHidden/>
    <w:unhideWhenUsed/>
    <w:qFormat/>
    <w:rsid w:val="00AF1727"/>
    <w:pPr>
      <w:spacing w:before="240" w:after="60" w:line="480" w:lineRule="exact"/>
      <w:outlineLvl w:val="6"/>
    </w:pPr>
    <w:rPr>
      <w:rFonts w:eastAsia="Times New Roman" w:cs="Times New Roman"/>
      <w:sz w:val="24"/>
      <w:szCs w:val="20"/>
    </w:rPr>
  </w:style>
  <w:style w:type="paragraph" w:styleId="Heading8">
    <w:name w:val="heading 8"/>
    <w:basedOn w:val="Normal"/>
    <w:next w:val="Normal"/>
    <w:link w:val="Heading8Char"/>
    <w:uiPriority w:val="9"/>
    <w:semiHidden/>
    <w:unhideWhenUsed/>
    <w:qFormat/>
    <w:rsid w:val="00AF1727"/>
    <w:pPr>
      <w:spacing w:before="240" w:after="60" w:line="480" w:lineRule="exact"/>
      <w:outlineLvl w:val="7"/>
    </w:pPr>
    <w:rPr>
      <w:rFonts w:eastAsia="Times New Roman" w:cs="Times New Roman"/>
      <w:i/>
      <w:iCs/>
      <w:sz w:val="24"/>
      <w:szCs w:val="20"/>
    </w:rPr>
  </w:style>
  <w:style w:type="paragraph" w:styleId="Heading9">
    <w:name w:val="heading 9"/>
    <w:basedOn w:val="Normal"/>
    <w:next w:val="Normal"/>
    <w:link w:val="Heading9Char"/>
    <w:uiPriority w:val="9"/>
    <w:semiHidden/>
    <w:unhideWhenUsed/>
    <w:qFormat/>
    <w:rsid w:val="00AF1727"/>
    <w:pPr>
      <w:spacing w:before="240" w:after="60" w:line="480" w:lineRule="exact"/>
      <w:outlineLvl w:val="8"/>
    </w:pPr>
    <w:rPr>
      <w:rFonts w:asciiTheme="majorHAnsi" w:eastAsiaTheme="majorEastAsia" w:hAnsiTheme="majorHAnsi" w:cs="Times New Roman"/>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72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F172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F1727"/>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AF1727"/>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AF1727"/>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AF1727"/>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AF1727"/>
    <w:rPr>
      <w:rFonts w:asciiTheme="majorHAnsi" w:eastAsiaTheme="majorEastAsia" w:hAnsiTheme="majorHAnsi"/>
    </w:rPr>
  </w:style>
  <w:style w:type="paragraph" w:styleId="Title">
    <w:name w:val="Title"/>
    <w:basedOn w:val="Normal"/>
    <w:next w:val="Normal"/>
    <w:link w:val="TitleChar"/>
    <w:uiPriority w:val="10"/>
    <w:qFormat/>
    <w:rsid w:val="00AF1727"/>
    <w:pPr>
      <w:spacing w:before="240" w:after="60" w:line="480" w:lineRule="exact"/>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F172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F1727"/>
    <w:pPr>
      <w:spacing w:after="60" w:line="480" w:lineRule="exact"/>
      <w:jc w:val="center"/>
      <w:outlineLvl w:val="1"/>
    </w:pPr>
    <w:rPr>
      <w:rFonts w:asciiTheme="majorHAnsi" w:eastAsiaTheme="majorEastAsia" w:hAnsiTheme="majorHAnsi" w:cs="Times New Roman"/>
      <w:sz w:val="24"/>
      <w:szCs w:val="20"/>
    </w:rPr>
  </w:style>
  <w:style w:type="character" w:customStyle="1" w:styleId="SubtitleChar">
    <w:name w:val="Subtitle Char"/>
    <w:basedOn w:val="DefaultParagraphFont"/>
    <w:link w:val="Subtitle"/>
    <w:uiPriority w:val="11"/>
    <w:rsid w:val="00AF1727"/>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AF1727"/>
    <w:pPr>
      <w:outlineLvl w:val="9"/>
    </w:pPr>
  </w:style>
  <w:style w:type="character" w:customStyle="1" w:styleId="Heading4Char">
    <w:name w:val="Heading 4 Char"/>
    <w:basedOn w:val="DefaultParagraphFont"/>
    <w:link w:val="Heading4"/>
    <w:uiPriority w:val="9"/>
    <w:semiHidden/>
    <w:rsid w:val="00AF1727"/>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AF1727"/>
    <w:rPr>
      <w:rFonts w:ascii="Times New Roman" w:eastAsia="Times New Roman" w:hAnsi="Times New Roman"/>
      <w:b/>
      <w:bCs/>
      <w:i/>
      <w:iCs/>
    </w:rPr>
  </w:style>
  <w:style w:type="character" w:styleId="Strong">
    <w:name w:val="Strong"/>
    <w:basedOn w:val="DefaultParagraphFont"/>
    <w:uiPriority w:val="22"/>
    <w:rsid w:val="00AF1727"/>
    <w:rPr>
      <w:b/>
      <w:bCs/>
    </w:rPr>
  </w:style>
  <w:style w:type="character" w:styleId="Emphasis">
    <w:name w:val="Emphasis"/>
    <w:basedOn w:val="DefaultParagraphFont"/>
    <w:uiPriority w:val="20"/>
    <w:rsid w:val="00AF1727"/>
    <w:rPr>
      <w:rFonts w:asciiTheme="minorHAnsi" w:hAnsiTheme="minorHAnsi"/>
      <w:b/>
      <w:i/>
      <w:iCs/>
    </w:rPr>
  </w:style>
  <w:style w:type="paragraph" w:styleId="NoSpacing">
    <w:name w:val="No Spacing"/>
    <w:basedOn w:val="Normal"/>
    <w:uiPriority w:val="1"/>
    <w:rsid w:val="00AF1727"/>
    <w:pPr>
      <w:spacing w:line="480" w:lineRule="exact"/>
    </w:pPr>
    <w:rPr>
      <w:rFonts w:eastAsia="Times New Roman" w:cs="Times New Roman"/>
      <w:szCs w:val="32"/>
    </w:rPr>
  </w:style>
  <w:style w:type="paragraph" w:styleId="ListParagraph">
    <w:name w:val="List Paragraph"/>
    <w:basedOn w:val="Normal"/>
    <w:uiPriority w:val="34"/>
    <w:rsid w:val="00AF1727"/>
    <w:pPr>
      <w:spacing w:line="480" w:lineRule="exact"/>
      <w:ind w:left="720"/>
      <w:contextualSpacing/>
    </w:pPr>
    <w:rPr>
      <w:rFonts w:eastAsia="Times New Roman" w:cs="Times New Roman"/>
      <w:szCs w:val="20"/>
    </w:rPr>
  </w:style>
  <w:style w:type="paragraph" w:styleId="Quote">
    <w:name w:val="Quote"/>
    <w:basedOn w:val="Normal"/>
    <w:next w:val="Normal"/>
    <w:link w:val="QuoteChar"/>
    <w:uiPriority w:val="29"/>
    <w:rsid w:val="00AF1727"/>
    <w:pPr>
      <w:spacing w:line="480" w:lineRule="exact"/>
    </w:pPr>
    <w:rPr>
      <w:rFonts w:eastAsia="Times New Roman" w:cs="Times New Roman"/>
      <w:i/>
      <w:szCs w:val="20"/>
    </w:rPr>
  </w:style>
  <w:style w:type="character" w:customStyle="1" w:styleId="QuoteChar">
    <w:name w:val="Quote Char"/>
    <w:basedOn w:val="DefaultParagraphFont"/>
    <w:link w:val="Quote"/>
    <w:uiPriority w:val="29"/>
    <w:rsid w:val="00AF1727"/>
    <w:rPr>
      <w:rFonts w:ascii="Times New Roman" w:eastAsia="Times New Roman" w:hAnsi="Times New Roman"/>
      <w:i/>
      <w:szCs w:val="20"/>
    </w:rPr>
  </w:style>
  <w:style w:type="paragraph" w:styleId="IntenseQuote">
    <w:name w:val="Intense Quote"/>
    <w:basedOn w:val="Normal"/>
    <w:next w:val="Normal"/>
    <w:link w:val="IntenseQuoteChar"/>
    <w:uiPriority w:val="30"/>
    <w:rsid w:val="00AF1727"/>
    <w:pPr>
      <w:spacing w:line="480" w:lineRule="exact"/>
      <w:ind w:left="720" w:right="720"/>
    </w:pPr>
    <w:rPr>
      <w:rFonts w:eastAsia="Times New Roman" w:cs="Times New Roman"/>
      <w:b/>
      <w:i/>
    </w:rPr>
  </w:style>
  <w:style w:type="character" w:customStyle="1" w:styleId="IntenseQuoteChar">
    <w:name w:val="Intense Quote Char"/>
    <w:basedOn w:val="DefaultParagraphFont"/>
    <w:link w:val="IntenseQuote"/>
    <w:uiPriority w:val="30"/>
    <w:rsid w:val="00AF1727"/>
    <w:rPr>
      <w:rFonts w:ascii="Times New Roman" w:eastAsia="Times New Roman" w:hAnsi="Times New Roman"/>
      <w:b/>
      <w:i/>
      <w:szCs w:val="22"/>
    </w:rPr>
  </w:style>
  <w:style w:type="character" w:styleId="SubtleEmphasis">
    <w:name w:val="Subtle Emphasis"/>
    <w:uiPriority w:val="19"/>
    <w:rsid w:val="00AF1727"/>
    <w:rPr>
      <w:i/>
      <w:color w:val="5A5A5A" w:themeColor="text1" w:themeTint="A5"/>
    </w:rPr>
  </w:style>
  <w:style w:type="character" w:styleId="IntenseEmphasis">
    <w:name w:val="Intense Emphasis"/>
    <w:basedOn w:val="DefaultParagraphFont"/>
    <w:uiPriority w:val="21"/>
    <w:rsid w:val="00AF1727"/>
    <w:rPr>
      <w:b/>
      <w:i/>
      <w:sz w:val="24"/>
      <w:szCs w:val="24"/>
      <w:u w:val="single"/>
    </w:rPr>
  </w:style>
  <w:style w:type="character" w:styleId="SubtleReference">
    <w:name w:val="Subtle Reference"/>
    <w:basedOn w:val="DefaultParagraphFont"/>
    <w:uiPriority w:val="31"/>
    <w:rsid w:val="00AF1727"/>
    <w:rPr>
      <w:sz w:val="24"/>
      <w:szCs w:val="24"/>
      <w:u w:val="single"/>
    </w:rPr>
  </w:style>
  <w:style w:type="character" w:styleId="IntenseReference">
    <w:name w:val="Intense Reference"/>
    <w:basedOn w:val="DefaultParagraphFont"/>
    <w:uiPriority w:val="32"/>
    <w:rsid w:val="00AF1727"/>
    <w:rPr>
      <w:b/>
      <w:sz w:val="24"/>
      <w:u w:val="single"/>
    </w:rPr>
  </w:style>
  <w:style w:type="character" w:styleId="BookTitle">
    <w:name w:val="Book Title"/>
    <w:basedOn w:val="DefaultParagraphFont"/>
    <w:uiPriority w:val="33"/>
    <w:rsid w:val="00AF1727"/>
    <w:rPr>
      <w:rFonts w:asciiTheme="majorHAnsi" w:eastAsiaTheme="majorEastAsia" w:hAnsiTheme="majorHAnsi"/>
      <w:b/>
      <w:i/>
      <w:sz w:val="24"/>
      <w:szCs w:val="24"/>
    </w:rPr>
  </w:style>
  <w:style w:type="paragraph" w:styleId="EnvelopeAddress">
    <w:name w:val="envelope address"/>
    <w:basedOn w:val="Normal"/>
    <w:rsid w:val="00AF1727"/>
    <w:pPr>
      <w:framePr w:w="7920" w:h="1980" w:hRule="exact" w:hSpace="180" w:wrap="auto" w:hAnchor="page" w:xAlign="center" w:yAlign="bottom"/>
      <w:spacing w:line="480" w:lineRule="exact"/>
      <w:ind w:left="2880"/>
    </w:pPr>
    <w:rPr>
      <w:rFonts w:eastAsia="Times New Roman" w:cs="Times New Roman"/>
      <w:szCs w:val="20"/>
    </w:rPr>
  </w:style>
  <w:style w:type="paragraph" w:styleId="EnvelopeReturn">
    <w:name w:val="envelope return"/>
    <w:basedOn w:val="Normal"/>
    <w:rsid w:val="00AF1727"/>
    <w:pPr>
      <w:spacing w:line="480" w:lineRule="exact"/>
    </w:pPr>
    <w:rPr>
      <w:rFonts w:eastAsia="Times New Roman" w:cs="Times New Roman"/>
      <w:szCs w:val="20"/>
    </w:rPr>
  </w:style>
  <w:style w:type="paragraph" w:styleId="Footer">
    <w:name w:val="footer"/>
    <w:basedOn w:val="Normal"/>
    <w:link w:val="FooterChar"/>
    <w:uiPriority w:val="99"/>
    <w:rsid w:val="00AF1727"/>
    <w:pPr>
      <w:tabs>
        <w:tab w:val="center" w:pos="4320"/>
        <w:tab w:val="right" w:pos="8640"/>
      </w:tabs>
      <w:spacing w:line="520" w:lineRule="exact"/>
    </w:pPr>
    <w:rPr>
      <w:rFonts w:eastAsia="Times New Roman" w:cs="Times New Roman"/>
      <w:szCs w:val="20"/>
    </w:rPr>
  </w:style>
  <w:style w:type="character" w:customStyle="1" w:styleId="FooterChar">
    <w:name w:val="Footer Char"/>
    <w:basedOn w:val="DefaultParagraphFont"/>
    <w:link w:val="Footer"/>
    <w:uiPriority w:val="99"/>
    <w:rsid w:val="00AF1727"/>
    <w:rPr>
      <w:rFonts w:ascii="Times New Roman" w:eastAsia="Times New Roman" w:hAnsi="Times New Roman"/>
      <w:szCs w:val="20"/>
    </w:rPr>
  </w:style>
  <w:style w:type="character" w:styleId="FootnoteReference">
    <w:name w:val="footnote reference"/>
    <w:basedOn w:val="DefaultParagraphFont"/>
    <w:rsid w:val="00AF1727"/>
    <w:rPr>
      <w:rFonts w:ascii="Times New Roman" w:hAnsi="Times New Roman"/>
      <w:b w:val="0"/>
      <w:color w:val="FF0000"/>
      <w:position w:val="6"/>
      <w:sz w:val="20"/>
    </w:rPr>
  </w:style>
  <w:style w:type="paragraph" w:styleId="FootnoteText">
    <w:name w:val="footnote text"/>
    <w:basedOn w:val="Normal"/>
    <w:link w:val="FootnoteTextChar"/>
    <w:rsid w:val="00AF1727"/>
    <w:pPr>
      <w:keepLines/>
      <w:widowControl w:val="0"/>
      <w:spacing w:line="480" w:lineRule="exact"/>
    </w:pPr>
    <w:rPr>
      <w:rFonts w:eastAsia="Times New Roman" w:cs="Times New Roman"/>
      <w:szCs w:val="20"/>
    </w:rPr>
  </w:style>
  <w:style w:type="character" w:customStyle="1" w:styleId="FootnoteTextChar">
    <w:name w:val="Footnote Text Char"/>
    <w:basedOn w:val="DefaultParagraphFont"/>
    <w:link w:val="FootnoteText"/>
    <w:rsid w:val="00AF1727"/>
    <w:rPr>
      <w:rFonts w:ascii="Times New Roman" w:eastAsia="Times New Roman" w:hAnsi="Times New Roman"/>
      <w:szCs w:val="20"/>
    </w:rPr>
  </w:style>
  <w:style w:type="paragraph" w:styleId="Header">
    <w:name w:val="header"/>
    <w:basedOn w:val="Normal"/>
    <w:link w:val="HeaderChar"/>
    <w:rsid w:val="00AF1727"/>
    <w:pPr>
      <w:tabs>
        <w:tab w:val="center" w:pos="4320"/>
        <w:tab w:val="right" w:pos="8640"/>
      </w:tabs>
      <w:spacing w:line="480" w:lineRule="exact"/>
    </w:pPr>
    <w:rPr>
      <w:rFonts w:eastAsia="Times New Roman" w:cs="Times New Roman"/>
      <w:szCs w:val="20"/>
    </w:rPr>
  </w:style>
  <w:style w:type="character" w:customStyle="1" w:styleId="HeaderChar">
    <w:name w:val="Header Char"/>
    <w:basedOn w:val="DefaultParagraphFont"/>
    <w:link w:val="Header"/>
    <w:rsid w:val="00AF1727"/>
    <w:rPr>
      <w:rFonts w:ascii="Times New Roman" w:eastAsia="Times New Roman" w:hAnsi="Times New Roman"/>
      <w:szCs w:val="20"/>
    </w:rPr>
  </w:style>
  <w:style w:type="paragraph" w:customStyle="1" w:styleId="IndentedQuote">
    <w:name w:val="IndentedQuote"/>
    <w:basedOn w:val="Normal"/>
    <w:rsid w:val="00AF1727"/>
    <w:pPr>
      <w:spacing w:line="260" w:lineRule="exact"/>
      <w:ind w:left="1080" w:right="1080"/>
    </w:pPr>
  </w:style>
  <w:style w:type="paragraph" w:styleId="Macro">
    <w:name w:val="macro"/>
    <w:link w:val="MacroTextChar"/>
    <w:semiHidden/>
    <w:rsid w:val="00AF1727"/>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
    <w:semiHidden/>
    <w:rsid w:val="00AF1727"/>
    <w:rPr>
      <w:rFonts w:ascii="Times New Roman" w:eastAsia="Times New Roman" w:hAnsi="Times New Roman"/>
      <w:sz w:val="22"/>
      <w:szCs w:val="20"/>
    </w:rPr>
  </w:style>
  <w:style w:type="character" w:styleId="PageNumber">
    <w:name w:val="page number"/>
    <w:basedOn w:val="DefaultParagraphFont"/>
    <w:rsid w:val="00AF1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E25A-5C86-4FFB-A6A5-C54A1055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2024-02-05T23:55:38Z</dcterms:created>
  <dcterms:modified xsi:type="dcterms:W3CDTF">2024-02-05T23:55:38Z</dcterms:modified>
</cp:coreProperties>
</file>