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28E5" w14:textId="5E85597E" w:rsidR="00C914E2" w:rsidRPr="007351DC" w:rsidRDefault="00C914E2" w:rsidP="00387F9A">
      <w:pPr>
        <w:rPr>
          <w:sz w:val="20"/>
        </w:rPr>
      </w:pPr>
      <w:r w:rsidRPr="007351DC">
        <w:rPr>
          <w:sz w:val="20"/>
        </w:rPr>
        <w:t>Filed 2</w:t>
      </w:r>
      <w:r w:rsidR="007351DC">
        <w:rPr>
          <w:sz w:val="20"/>
        </w:rPr>
        <w:t>/</w:t>
      </w:r>
      <w:r w:rsidRPr="007351DC">
        <w:rPr>
          <w:sz w:val="20"/>
        </w:rPr>
        <w:t>9</w:t>
      </w:r>
      <w:r w:rsidR="007351DC">
        <w:rPr>
          <w:sz w:val="20"/>
        </w:rPr>
        <w:t>/</w:t>
      </w:r>
      <w:r w:rsidRPr="007351DC">
        <w:rPr>
          <w:sz w:val="20"/>
        </w:rPr>
        <w:t>24</w:t>
      </w:r>
      <w:r w:rsidR="007351DC">
        <w:rPr>
          <w:sz w:val="20"/>
        </w:rPr>
        <w:t xml:space="preserve"> Opinion following rehearing</w:t>
      </w:r>
    </w:p>
    <w:p w14:paraId="2A219E94" w14:textId="77777777" w:rsidR="00C914E2" w:rsidRDefault="00C914E2" w:rsidP="00387F9A"/>
    <w:p w14:paraId="66CD4EE2" w14:textId="77777777" w:rsidR="00C914E2" w:rsidRDefault="00C914E2" w:rsidP="00387F9A"/>
    <w:p w14:paraId="6D581A00" w14:textId="77777777" w:rsidR="00C914E2" w:rsidRDefault="00C914E2" w:rsidP="00387F9A"/>
    <w:p w14:paraId="67EA7366" w14:textId="77777777" w:rsidR="00C914E2" w:rsidRDefault="00C914E2" w:rsidP="00387F9A"/>
    <w:p w14:paraId="285A0492" w14:textId="77777777" w:rsidR="00C914E2" w:rsidRDefault="00C914E2" w:rsidP="00387F9A"/>
    <w:p w14:paraId="206E19D3" w14:textId="77777777" w:rsidR="00C914E2" w:rsidRDefault="00C914E2" w:rsidP="00387F9A"/>
    <w:p w14:paraId="3AE183C0" w14:textId="77777777" w:rsidR="00C914E2" w:rsidRPr="008E4EF7" w:rsidRDefault="00C914E2" w:rsidP="00387F9A">
      <w:pPr>
        <w:jc w:val="center"/>
        <w:rPr>
          <w:b/>
          <w:bCs/>
        </w:rPr>
      </w:pPr>
      <w:r w:rsidRPr="008E4EF7">
        <w:rPr>
          <w:b/>
          <w:bCs/>
        </w:rPr>
        <w:t>CERTIFIED FOR PUBLICATION</w:t>
      </w:r>
    </w:p>
    <w:p w14:paraId="78883D41" w14:textId="77777777" w:rsidR="00C914E2" w:rsidRDefault="00C914E2" w:rsidP="00387F9A">
      <w:pPr>
        <w:jc w:val="center"/>
      </w:pPr>
    </w:p>
    <w:p w14:paraId="1DA2E505" w14:textId="77777777" w:rsidR="00C914E2" w:rsidRDefault="00C914E2" w:rsidP="00387F9A">
      <w:pPr>
        <w:jc w:val="center"/>
      </w:pPr>
      <w:r>
        <w:t>IN THE COURT OF APPEAL OF THE STATE OF CALIFORNIA</w:t>
      </w:r>
    </w:p>
    <w:p w14:paraId="0D38B4C8" w14:textId="77777777" w:rsidR="00C914E2" w:rsidRDefault="00C914E2" w:rsidP="00387F9A">
      <w:pPr>
        <w:jc w:val="center"/>
      </w:pPr>
    </w:p>
    <w:p w14:paraId="537C0677" w14:textId="77777777" w:rsidR="00C914E2" w:rsidRDefault="00C914E2" w:rsidP="00387F9A">
      <w:pPr>
        <w:jc w:val="center"/>
      </w:pPr>
      <w:r>
        <w:t>FOURTH APPELLATE DISTRICT</w:t>
      </w:r>
    </w:p>
    <w:p w14:paraId="5810EAB5" w14:textId="77777777" w:rsidR="00C914E2" w:rsidRDefault="00C914E2" w:rsidP="00387F9A">
      <w:pPr>
        <w:jc w:val="center"/>
      </w:pPr>
    </w:p>
    <w:p w14:paraId="1C08F5AD" w14:textId="77777777" w:rsidR="00C914E2" w:rsidRDefault="00C914E2" w:rsidP="00387F9A">
      <w:pPr>
        <w:jc w:val="center"/>
      </w:pPr>
      <w:r>
        <w:t>DIVISION THREE</w:t>
      </w:r>
    </w:p>
    <w:p w14:paraId="1EC5B21C" w14:textId="77777777" w:rsidR="00C914E2" w:rsidRDefault="00C914E2" w:rsidP="00387F9A">
      <w:pPr>
        <w:jc w:val="center"/>
      </w:pPr>
    </w:p>
    <w:p w14:paraId="214EA1DB" w14:textId="77777777" w:rsidR="00C914E2" w:rsidRDefault="00C914E2" w:rsidP="00387F9A">
      <w:pPr>
        <w:jc w:val="center"/>
      </w:pPr>
    </w:p>
    <w:tbl>
      <w:tblPr>
        <w:tblW w:w="0" w:type="auto"/>
        <w:tblLayout w:type="fixed"/>
        <w:tblLook w:val="0000" w:firstRow="0" w:lastRow="0" w:firstColumn="0" w:lastColumn="0" w:noHBand="0" w:noVBand="0"/>
      </w:tblPr>
      <w:tblGrid>
        <w:gridCol w:w="4680"/>
        <w:gridCol w:w="4680"/>
      </w:tblGrid>
      <w:tr w:rsidR="00837609" w14:paraId="6B8E9890" w14:textId="77777777" w:rsidTr="00387F9A">
        <w:tc>
          <w:tcPr>
            <w:tcW w:w="4680" w:type="dxa"/>
            <w:tcBorders>
              <w:bottom w:val="single" w:sz="4" w:space="0" w:color="auto"/>
              <w:right w:val="single" w:sz="4" w:space="0" w:color="auto"/>
            </w:tcBorders>
            <w:shd w:val="clear" w:color="auto" w:fill="auto"/>
          </w:tcPr>
          <w:p w14:paraId="60A4258C" w14:textId="77777777" w:rsidR="00C914E2" w:rsidRDefault="00C914E2" w:rsidP="00387F9A">
            <w:r>
              <w:t>BIOCORRX, INC.</w:t>
            </w:r>
            <w:r>
              <w:t>,</w:t>
            </w:r>
            <w:r>
              <w:t xml:space="preserve"> et al.,</w:t>
            </w:r>
          </w:p>
          <w:p w14:paraId="144167A5" w14:textId="77777777" w:rsidR="00C914E2" w:rsidRDefault="00C914E2" w:rsidP="00387F9A"/>
          <w:p w14:paraId="2C31DB1E" w14:textId="77777777" w:rsidR="00C914E2" w:rsidRDefault="00C914E2" w:rsidP="00387F9A">
            <w:r>
              <w:t xml:space="preserve">      Plaintiffs and Respondents,</w:t>
            </w:r>
          </w:p>
          <w:p w14:paraId="0FAFCDE4" w14:textId="77777777" w:rsidR="00C914E2" w:rsidRDefault="00C914E2" w:rsidP="00387F9A"/>
          <w:p w14:paraId="667A5BF3" w14:textId="77777777" w:rsidR="00C914E2" w:rsidRDefault="00C914E2" w:rsidP="00387F9A">
            <w:r>
              <w:tab/>
              <w:t>v.</w:t>
            </w:r>
          </w:p>
          <w:p w14:paraId="7F2654FC" w14:textId="77777777" w:rsidR="00C914E2" w:rsidRDefault="00C914E2" w:rsidP="00387F9A"/>
          <w:p w14:paraId="7C975455" w14:textId="77777777" w:rsidR="00C914E2" w:rsidRDefault="00C914E2" w:rsidP="00387F9A">
            <w:r>
              <w:t>VDM BIOCHEMICALS, INC.</w:t>
            </w:r>
            <w:r>
              <w:t>,</w:t>
            </w:r>
            <w:r>
              <w:t xml:space="preserve"> et al.,</w:t>
            </w:r>
          </w:p>
          <w:p w14:paraId="548B4CC5" w14:textId="77777777" w:rsidR="00C914E2" w:rsidRDefault="00C914E2" w:rsidP="00387F9A"/>
          <w:p w14:paraId="7F0D0033" w14:textId="77777777" w:rsidR="00C914E2" w:rsidRDefault="00C914E2" w:rsidP="00387F9A">
            <w:r>
              <w:t xml:space="preserve">      Defendants and Appellants.</w:t>
            </w:r>
          </w:p>
          <w:p w14:paraId="30CD8E2D" w14:textId="77777777" w:rsidR="00C914E2" w:rsidRDefault="00C914E2" w:rsidP="00387F9A"/>
        </w:tc>
        <w:tc>
          <w:tcPr>
            <w:tcW w:w="4680" w:type="dxa"/>
            <w:tcBorders>
              <w:left w:val="single" w:sz="4" w:space="0" w:color="auto"/>
            </w:tcBorders>
            <w:shd w:val="clear" w:color="auto" w:fill="auto"/>
          </w:tcPr>
          <w:p w14:paraId="58D432AE" w14:textId="77777777" w:rsidR="00C914E2" w:rsidRDefault="00C914E2" w:rsidP="00387F9A"/>
          <w:p w14:paraId="5FA93159" w14:textId="77777777" w:rsidR="00C914E2" w:rsidRDefault="00C914E2" w:rsidP="00387F9A"/>
          <w:p w14:paraId="78D711FF" w14:textId="77777777" w:rsidR="00C914E2" w:rsidRDefault="00C914E2" w:rsidP="00387F9A">
            <w:r>
              <w:t xml:space="preserve">         G061535</w:t>
            </w:r>
          </w:p>
          <w:p w14:paraId="6DDA6EB3" w14:textId="77777777" w:rsidR="00C914E2" w:rsidRDefault="00C914E2" w:rsidP="00387F9A"/>
          <w:p w14:paraId="6FD5CE06" w14:textId="77777777" w:rsidR="00C914E2" w:rsidRDefault="00C914E2" w:rsidP="00387F9A">
            <w:r>
              <w:t xml:space="preserve">         (Super. Ct. No. 30-2021-01195606)</w:t>
            </w:r>
          </w:p>
          <w:p w14:paraId="784DA5E7" w14:textId="77777777" w:rsidR="00C914E2" w:rsidRDefault="00C914E2" w:rsidP="00387F9A"/>
          <w:p w14:paraId="55E27425" w14:textId="77777777" w:rsidR="00C914E2" w:rsidRDefault="00C914E2" w:rsidP="00387F9A">
            <w:r>
              <w:t xml:space="preserve">         </w:t>
            </w:r>
            <w:r>
              <w:t>O P I N I O N</w:t>
            </w:r>
          </w:p>
        </w:tc>
      </w:tr>
    </w:tbl>
    <w:p w14:paraId="587FC672" w14:textId="77777777" w:rsidR="00C914E2" w:rsidRDefault="00C914E2" w:rsidP="00387F9A">
      <w:pPr>
        <w:tabs>
          <w:tab w:val="left" w:pos="1440"/>
          <w:tab w:val="left" w:pos="2880"/>
          <w:tab w:val="left" w:pos="4320"/>
          <w:tab w:val="left" w:pos="5760"/>
          <w:tab w:val="left" w:pos="7200"/>
          <w:tab w:val="left" w:pos="8640"/>
        </w:tabs>
        <w:spacing w:line="480" w:lineRule="atLeast"/>
      </w:pPr>
    </w:p>
    <w:p w14:paraId="38ECE040" w14:textId="77777777" w:rsidR="00C914E2" w:rsidRDefault="00C914E2" w:rsidP="00387F9A">
      <w:pPr>
        <w:tabs>
          <w:tab w:val="left" w:pos="1440"/>
          <w:tab w:val="left" w:pos="2880"/>
          <w:tab w:val="left" w:pos="4320"/>
          <w:tab w:val="left" w:pos="5760"/>
          <w:tab w:val="left" w:pos="7200"/>
          <w:tab w:val="left" w:pos="8640"/>
        </w:tabs>
        <w:spacing w:line="480" w:lineRule="atLeast"/>
      </w:pPr>
      <w:r>
        <w:tab/>
        <w:t>Appeal from a</w:t>
      </w:r>
      <w:r>
        <w:t>n order</w:t>
      </w:r>
      <w:r>
        <w:t xml:space="preserve"> of the Superior Court of Orange County, Martha K. Gooding, Judge.  </w:t>
      </w:r>
      <w:r>
        <w:t>Affirmed in part and r</w:t>
      </w:r>
      <w:r>
        <w:t>eversed</w:t>
      </w:r>
      <w:r>
        <w:t xml:space="preserve"> in part</w:t>
      </w:r>
      <w:r>
        <w:t>.</w:t>
      </w:r>
    </w:p>
    <w:p w14:paraId="7263D31C" w14:textId="77777777" w:rsidR="00C914E2" w:rsidRDefault="00C914E2" w:rsidP="00387F9A">
      <w:pPr>
        <w:tabs>
          <w:tab w:val="left" w:pos="1440"/>
          <w:tab w:val="left" w:pos="2880"/>
          <w:tab w:val="left" w:pos="4320"/>
          <w:tab w:val="left" w:pos="5760"/>
          <w:tab w:val="left" w:pos="7200"/>
          <w:tab w:val="left" w:pos="8640"/>
        </w:tabs>
        <w:spacing w:line="480" w:lineRule="atLeast"/>
      </w:pPr>
      <w:r>
        <w:tab/>
        <w:t>Vegh IP Legal, Stephen Z. Vegh; Amin Talati Wasserman and William P</w:t>
      </w:r>
      <w:r>
        <w:t>aul</w:t>
      </w:r>
      <w:r>
        <w:t xml:space="preserve"> Cole for Defendants and Appellants.</w:t>
      </w:r>
    </w:p>
    <w:p w14:paraId="7AA6CD88" w14:textId="77777777" w:rsidR="00C914E2" w:rsidRDefault="00C914E2" w:rsidP="00387F9A">
      <w:pPr>
        <w:tabs>
          <w:tab w:val="left" w:pos="1440"/>
          <w:tab w:val="left" w:pos="2880"/>
          <w:tab w:val="left" w:pos="4320"/>
          <w:tab w:val="left" w:pos="5760"/>
          <w:tab w:val="left" w:pos="7200"/>
          <w:tab w:val="left" w:pos="8640"/>
        </w:tabs>
        <w:spacing w:line="480" w:lineRule="atLeast"/>
      </w:pPr>
      <w:r>
        <w:tab/>
      </w:r>
      <w:bookmarkStart w:id="0" w:name="_Hlk147480766"/>
      <w:r>
        <w:t xml:space="preserve">Samini Baric Katz, Michael I. </w:t>
      </w:r>
      <w:proofErr w:type="gramStart"/>
      <w:r>
        <w:t>Katz</w:t>
      </w:r>
      <w:proofErr w:type="gramEnd"/>
      <w:r>
        <w:t xml:space="preserve"> and Ignacio J. Lazo; </w:t>
      </w:r>
      <w:r>
        <w:t>Katz Law Office</w:t>
      </w:r>
      <w:r>
        <w:t xml:space="preserve">, </w:t>
      </w:r>
      <w:r>
        <w:t>Michael I. Katz</w:t>
      </w:r>
      <w:r>
        <w:t xml:space="preserve"> and Byron </w:t>
      </w:r>
      <w:r>
        <w:t xml:space="preserve">H. </w:t>
      </w:r>
      <w:r>
        <w:t>Ruby</w:t>
      </w:r>
      <w:r>
        <w:t xml:space="preserve"> for Plaintiffs and Respondents.</w:t>
      </w:r>
    </w:p>
    <w:bookmarkEnd w:id="0"/>
    <w:p w14:paraId="6C27DE0E" w14:textId="77777777" w:rsidR="00C914E2" w:rsidRDefault="00C914E2">
      <w:pPr>
        <w:tabs>
          <w:tab w:val="left" w:pos="1440"/>
          <w:tab w:val="left" w:leader="underscore" w:pos="5040"/>
        </w:tabs>
        <w:spacing w:line="480" w:lineRule="atLeast"/>
        <w:jc w:val="center"/>
      </w:pPr>
      <w:r>
        <w:t>*                *                *</w:t>
      </w:r>
    </w:p>
    <w:p w14:paraId="507E9E78" w14:textId="77777777" w:rsidR="00C914E2" w:rsidRDefault="00C914E2">
      <w:r>
        <w:br w:type="page"/>
      </w:r>
    </w:p>
    <w:p w14:paraId="24924447" w14:textId="77777777" w:rsidR="00C914E2" w:rsidRDefault="00C914E2" w:rsidP="004062DB">
      <w:pPr>
        <w:keepNext/>
        <w:tabs>
          <w:tab w:val="left" w:pos="1440"/>
        </w:tabs>
        <w:spacing w:line="480" w:lineRule="exact"/>
      </w:pPr>
      <w:r>
        <w:lastRenderedPageBreak/>
        <w:tab/>
      </w:r>
      <w:r>
        <w:t xml:space="preserve">The Legislature enacted </w:t>
      </w:r>
      <w:r>
        <w:t>Code of Civil Procedure section 425.16, commonly known as the anti-SLAPP statute,</w:t>
      </w:r>
      <w:r>
        <w:t xml:space="preserve"> </w:t>
      </w:r>
      <w:r>
        <w:t xml:space="preserve">to prevent powerful plaintiffs from chilling </w:t>
      </w:r>
      <w:r>
        <w:t xml:space="preserve">a </w:t>
      </w:r>
      <w:r>
        <w:t>defendant</w:t>
      </w:r>
      <w:r>
        <w:t>’</w:t>
      </w:r>
      <w:r>
        <w:t xml:space="preserve">s </w:t>
      </w:r>
      <w:r>
        <w:t>valid exercise of free speech rights.</w:t>
      </w:r>
      <w:r>
        <w:rPr>
          <w:rStyle w:val="FootnoteReference"/>
        </w:rPr>
        <w:footnoteReference w:id="1"/>
      </w:r>
      <w:r>
        <w:t xml:space="preserve"> </w:t>
      </w:r>
      <w:r>
        <w:t xml:space="preserve"> </w:t>
      </w:r>
      <w:r>
        <w:t>But</w:t>
      </w:r>
      <w:r>
        <w:t xml:space="preserve"> the Legislature later observed that </w:t>
      </w:r>
      <w:r>
        <w:t xml:space="preserve">commercial defendants were </w:t>
      </w:r>
      <w:r>
        <w:t xml:space="preserve">abusing </w:t>
      </w:r>
      <w:r>
        <w:t>“</w:t>
      </w:r>
      <w:r>
        <w:t xml:space="preserve">the </w:t>
      </w:r>
      <w:r>
        <w:t xml:space="preserve">anti-SLAPP statute </w:t>
      </w:r>
      <w:r>
        <w:t xml:space="preserve">by </w:t>
      </w:r>
      <w:r w:rsidRPr="004062DB">
        <w:t xml:space="preserve">claiming their advertising impacted the public </w:t>
      </w:r>
      <w:r w:rsidRPr="004062DB">
        <w:t>interest</w:t>
      </w:r>
      <w:r>
        <w:t>.”  (</w:t>
      </w:r>
      <w:r w:rsidRPr="004062DB">
        <w:rPr>
          <w:i/>
          <w:iCs/>
        </w:rPr>
        <w:t>Metcalf v. U-Haul Internat</w:t>
      </w:r>
      <w:r>
        <w:rPr>
          <w:i/>
          <w:iCs/>
        </w:rPr>
        <w:t>ional</w:t>
      </w:r>
      <w:r w:rsidRPr="004062DB">
        <w:rPr>
          <w:i/>
          <w:iCs/>
        </w:rPr>
        <w:t>, Inc.</w:t>
      </w:r>
      <w:r>
        <w:t xml:space="preserve"> (2004) 118 Cal.App.4th 1261, 1267.)  To combat this abuse, the Legislature enacted </w:t>
      </w:r>
      <w:r>
        <w:t xml:space="preserve">the commercial speech exemption, </w:t>
      </w:r>
      <w:r>
        <w:t xml:space="preserve">found </w:t>
      </w:r>
      <w:r>
        <w:t xml:space="preserve">in </w:t>
      </w:r>
      <w:r>
        <w:t>section 425.17</w:t>
      </w:r>
      <w:r>
        <w:t>, subdivision (c)</w:t>
      </w:r>
      <w:r>
        <w:t xml:space="preserve">.  When this exemption applies, the </w:t>
      </w:r>
      <w:r>
        <w:t>challenge</w:t>
      </w:r>
      <w:r>
        <w:t>d</w:t>
      </w:r>
      <w:r>
        <w:t xml:space="preserve"> </w:t>
      </w:r>
      <w:r>
        <w:t>speech or conduct is not protected by the anti-SLAPP statute</w:t>
      </w:r>
      <w:r>
        <w:t>.  (</w:t>
      </w:r>
      <w:r>
        <w:rPr>
          <w:i/>
          <w:iCs/>
        </w:rPr>
        <w:t>Metcalf</w:t>
      </w:r>
      <w:r w:rsidRPr="00973B93">
        <w:t>,</w:t>
      </w:r>
      <w:r>
        <w:t xml:space="preserve"> at p. 1265.</w:t>
      </w:r>
      <w:r>
        <w:t>)</w:t>
      </w:r>
    </w:p>
    <w:p w14:paraId="1A5213BD" w14:textId="77777777" w:rsidR="00C914E2" w:rsidRDefault="00C914E2" w:rsidP="00864D74">
      <w:pPr>
        <w:tabs>
          <w:tab w:val="left" w:pos="1440"/>
        </w:tabs>
        <w:spacing w:line="480" w:lineRule="exact"/>
      </w:pPr>
      <w:r>
        <w:tab/>
      </w:r>
      <w:r>
        <w:t>Here</w:t>
      </w:r>
      <w:r>
        <w:t xml:space="preserve">, </w:t>
      </w:r>
      <w:proofErr w:type="spellStart"/>
      <w:r w:rsidRPr="00EF79EB">
        <w:t>BioCorRx</w:t>
      </w:r>
      <w:proofErr w:type="spellEnd"/>
      <w:r w:rsidRPr="00EF79EB">
        <w:t>, Inc. (</w:t>
      </w:r>
      <w:proofErr w:type="spellStart"/>
      <w:r w:rsidRPr="00EF79EB">
        <w:t>BioCorRx</w:t>
      </w:r>
      <w:proofErr w:type="spellEnd"/>
      <w:r w:rsidRPr="00EF79EB">
        <w:t xml:space="preserve">) is a publicly traded </w:t>
      </w:r>
      <w:r>
        <w:t xml:space="preserve">company </w:t>
      </w:r>
      <w:r>
        <w:t xml:space="preserve">that is </w:t>
      </w:r>
      <w:r>
        <w:t xml:space="preserve">primarily engaged in the business of providing addiction </w:t>
      </w:r>
      <w:r>
        <w:t xml:space="preserve">treatment services and </w:t>
      </w:r>
      <w:r>
        <w:t xml:space="preserve">related medication.  It </w:t>
      </w:r>
      <w:r>
        <w:t>issued several press releases that</w:t>
      </w:r>
      <w:r>
        <w:t xml:space="preserve"> </w:t>
      </w:r>
      <w:r>
        <w:t>allegedly made misrepresentations and improperly disclosed confidential information</w:t>
      </w:r>
      <w:r>
        <w:t xml:space="preserve"> about a treatment it was developing for opioid overdose.</w:t>
      </w:r>
      <w:r>
        <w:t xml:space="preserve">  </w:t>
      </w:r>
      <w:r>
        <w:t xml:space="preserve">We </w:t>
      </w:r>
      <w:r>
        <w:t xml:space="preserve">find </w:t>
      </w:r>
      <w:r>
        <w:t xml:space="preserve">these statements </w:t>
      </w:r>
      <w:r>
        <w:t xml:space="preserve">fall within the commercial speech exemption because they </w:t>
      </w:r>
      <w:r>
        <w:t xml:space="preserve">were </w:t>
      </w:r>
      <w:r>
        <w:t xml:space="preserve">representations about </w:t>
      </w:r>
      <w:proofErr w:type="spellStart"/>
      <w:r>
        <w:t>BioCorRx’s</w:t>
      </w:r>
      <w:proofErr w:type="spellEnd"/>
      <w:r>
        <w:t xml:space="preserve"> business operations that were </w:t>
      </w:r>
      <w:r>
        <w:t xml:space="preserve">made to </w:t>
      </w:r>
      <w:r>
        <w:t xml:space="preserve">investors to </w:t>
      </w:r>
      <w:r>
        <w:t xml:space="preserve">promote </w:t>
      </w:r>
      <w:r>
        <w:t>its</w:t>
      </w:r>
      <w:r>
        <w:t xml:space="preserve"> goods and services through</w:t>
      </w:r>
      <w:r>
        <w:t xml:space="preserve"> </w:t>
      </w:r>
      <w:r>
        <w:t xml:space="preserve">the sale of </w:t>
      </w:r>
      <w:r>
        <w:t xml:space="preserve">its </w:t>
      </w:r>
      <w:r>
        <w:t>secur</w:t>
      </w:r>
      <w:r>
        <w:t>ities.</w:t>
      </w:r>
      <w:r>
        <w:rPr>
          <w:rStyle w:val="FootnoteReference"/>
        </w:rPr>
        <w:footnoteReference w:id="2"/>
      </w:r>
      <w:r>
        <w:t xml:space="preserve">  Since </w:t>
      </w:r>
      <w:r>
        <w:t>th</w:t>
      </w:r>
      <w:r>
        <w:t>ese</w:t>
      </w:r>
      <w:r>
        <w:t xml:space="preserve"> </w:t>
      </w:r>
      <w:r>
        <w:t xml:space="preserve">statements are </w:t>
      </w:r>
      <w:r>
        <w:t xml:space="preserve">not </w:t>
      </w:r>
      <w:r>
        <w:t>protected by the anti</w:t>
      </w:r>
      <w:r>
        <w:t xml:space="preserve">-SLAPP </w:t>
      </w:r>
      <w:r>
        <w:t>statute</w:t>
      </w:r>
      <w:r>
        <w:t xml:space="preserve">, we reverse the </w:t>
      </w:r>
      <w:r>
        <w:t xml:space="preserve">part of the </w:t>
      </w:r>
      <w:r>
        <w:t>trial court’s order granting the anti-SLAPP motion</w:t>
      </w:r>
      <w:r>
        <w:t xml:space="preserve"> as to the press releases</w:t>
      </w:r>
      <w:r>
        <w:t>.</w:t>
      </w:r>
      <w:r>
        <w:t xml:space="preserve">  We affirm the unchallenged portion of the order</w:t>
      </w:r>
      <w:r>
        <w:t xml:space="preserve"> striking unrelated allegations</w:t>
      </w:r>
      <w:r>
        <w:t xml:space="preserve">.  We also affirm the order granting the anti-SLAPP motion as to Brady Granier, </w:t>
      </w:r>
      <w:proofErr w:type="spellStart"/>
      <w:r>
        <w:t>BioCorRx’s</w:t>
      </w:r>
      <w:proofErr w:type="spellEnd"/>
      <w:r>
        <w:t xml:space="preserve"> </w:t>
      </w:r>
      <w:r>
        <w:t>president</w:t>
      </w:r>
      <w:r>
        <w:t xml:space="preserve"> and director</w:t>
      </w:r>
      <w:r>
        <w:t>.</w:t>
      </w:r>
    </w:p>
    <w:p w14:paraId="59CBF920" w14:textId="77777777" w:rsidR="00C914E2" w:rsidRPr="003B694E" w:rsidRDefault="00C914E2" w:rsidP="00973B93">
      <w:pPr>
        <w:keepNext/>
        <w:tabs>
          <w:tab w:val="center" w:pos="4680"/>
          <w:tab w:val="left" w:pos="5040"/>
        </w:tabs>
        <w:spacing w:before="480" w:line="480" w:lineRule="exact"/>
      </w:pPr>
      <w:r>
        <w:lastRenderedPageBreak/>
        <w:tab/>
      </w:r>
      <w:r w:rsidRPr="003B694E">
        <w:t>I</w:t>
      </w:r>
    </w:p>
    <w:p w14:paraId="012114B3" w14:textId="77777777" w:rsidR="00C914E2" w:rsidRPr="003B694E" w:rsidRDefault="00C914E2" w:rsidP="008A02EB">
      <w:pPr>
        <w:keepNext/>
        <w:tabs>
          <w:tab w:val="left" w:pos="5040"/>
        </w:tabs>
        <w:spacing w:line="480" w:lineRule="exact"/>
        <w:jc w:val="center"/>
      </w:pPr>
      <w:r w:rsidRPr="003B694E">
        <w:t>FACTS AND PROCEDURAL HISTORY</w:t>
      </w:r>
    </w:p>
    <w:p w14:paraId="6D23C2DC" w14:textId="77777777" w:rsidR="00C914E2" w:rsidRDefault="00C914E2" w:rsidP="008A02EB">
      <w:pPr>
        <w:tabs>
          <w:tab w:val="left" w:pos="1440"/>
        </w:tabs>
        <w:spacing w:line="480" w:lineRule="exact"/>
      </w:pPr>
      <w:r>
        <w:tab/>
      </w:r>
      <w:r>
        <w:t>VDM</w:t>
      </w:r>
      <w:r>
        <w:t xml:space="preserve"> Biochemicals, Inc. (VDM)</w:t>
      </w:r>
      <w:r>
        <w:t xml:space="preserve"> </w:t>
      </w:r>
      <w:r>
        <w:t xml:space="preserve">specializes in </w:t>
      </w:r>
      <w:r>
        <w:t xml:space="preserve">the </w:t>
      </w:r>
      <w:r>
        <w:t xml:space="preserve">synthesis and distribution of chemicals, </w:t>
      </w:r>
      <w:r>
        <w:t xml:space="preserve">reagents, and other specialty products for life science research. </w:t>
      </w:r>
      <w:r>
        <w:t xml:space="preserve"> </w:t>
      </w:r>
      <w:r>
        <w:t xml:space="preserve">It owns </w:t>
      </w:r>
      <w:r>
        <w:t xml:space="preserve">a patent </w:t>
      </w:r>
      <w:r>
        <w:t xml:space="preserve">(the patent) </w:t>
      </w:r>
      <w:r>
        <w:t xml:space="preserve">for </w:t>
      </w:r>
      <w:r>
        <w:t xml:space="preserve">VDM-001, a compound </w:t>
      </w:r>
      <w:r>
        <w:t xml:space="preserve">with potential use </w:t>
      </w:r>
      <w:r>
        <w:t xml:space="preserve">as a treatment for opioid overdose. </w:t>
      </w:r>
      <w:r>
        <w:t xml:space="preserve"> </w:t>
      </w:r>
      <w:r>
        <w:t>“</w:t>
      </w:r>
      <w:r>
        <w:t>VDM-001 is a</w:t>
      </w:r>
      <w:r>
        <w:t xml:space="preserve"> ‘drug product candidate’ at a pre-clinical sta</w:t>
      </w:r>
      <w:r>
        <w:t xml:space="preserve">ge </w:t>
      </w:r>
      <w:r>
        <w:t>of</w:t>
      </w:r>
      <w:r>
        <w:t xml:space="preserve"> its development</w:t>
      </w:r>
      <w:r>
        <w:t>”</w:t>
      </w:r>
      <w:r>
        <w:t xml:space="preserve"> that still requires further pre-clinical development and clinical development </w:t>
      </w:r>
      <w:r>
        <w:t>before it can be utilized commercially.</w:t>
      </w:r>
    </w:p>
    <w:p w14:paraId="0FF755BB" w14:textId="77777777" w:rsidR="00C914E2" w:rsidRDefault="00C914E2" w:rsidP="008A02EB">
      <w:pPr>
        <w:tabs>
          <w:tab w:val="left" w:pos="1440"/>
        </w:tabs>
        <w:spacing w:line="480" w:lineRule="exact"/>
      </w:pPr>
      <w:r>
        <w:tab/>
      </w:r>
      <w:proofErr w:type="spellStart"/>
      <w:r>
        <w:t>BioCorRx</w:t>
      </w:r>
      <w:proofErr w:type="spellEnd"/>
      <w:r>
        <w:t xml:space="preserve"> </w:t>
      </w:r>
      <w:r>
        <w:t>is a publicly traded corporation located in Anaheim</w:t>
      </w:r>
      <w:r>
        <w:t xml:space="preserve"> </w:t>
      </w:r>
      <w:r>
        <w:t xml:space="preserve">that </w:t>
      </w:r>
      <w:r>
        <w:t>provid</w:t>
      </w:r>
      <w:r>
        <w:t>es</w:t>
      </w:r>
      <w:r>
        <w:t xml:space="preserve"> addiction treatment services</w:t>
      </w:r>
      <w:r>
        <w:t xml:space="preserve"> </w:t>
      </w:r>
      <w:r>
        <w:t xml:space="preserve">and </w:t>
      </w:r>
      <w:r>
        <w:t>medications for treating addiction</w:t>
      </w:r>
      <w:r>
        <w:t>.</w:t>
      </w:r>
      <w:r>
        <w:t xml:space="preserve"> </w:t>
      </w:r>
      <w:r>
        <w:t xml:space="preserve"> </w:t>
      </w:r>
      <w:proofErr w:type="spellStart"/>
      <w:r>
        <w:t>BioCorRx</w:t>
      </w:r>
      <w:proofErr w:type="spellEnd"/>
      <w:r>
        <w:t xml:space="preserve"> explained its business model i</w:t>
      </w:r>
      <w:r>
        <w:t xml:space="preserve">n </w:t>
      </w:r>
      <w:r>
        <w:t>a</w:t>
      </w:r>
      <w:r>
        <w:t xml:space="preserve">n </w:t>
      </w:r>
      <w:r>
        <w:t xml:space="preserve">Investor Presentation </w:t>
      </w:r>
      <w:r>
        <w:t xml:space="preserve">filed </w:t>
      </w:r>
      <w:r>
        <w:t>with the Securities and Exchange Commission</w:t>
      </w:r>
      <w:r>
        <w:t xml:space="preserve"> </w:t>
      </w:r>
      <w:r>
        <w:t xml:space="preserve">(SEC) </w:t>
      </w:r>
      <w:r>
        <w:t>in November 2018</w:t>
      </w:r>
      <w:r>
        <w:t xml:space="preserve"> </w:t>
      </w:r>
      <w:r>
        <w:t xml:space="preserve">(the </w:t>
      </w:r>
      <w:r>
        <w:t>investor presentation</w:t>
      </w:r>
      <w:r>
        <w:t>)</w:t>
      </w:r>
      <w:r>
        <w:t>.</w:t>
      </w:r>
      <w:r>
        <w:t xml:space="preserve">  The investor presentation </w:t>
      </w:r>
      <w:r>
        <w:t xml:space="preserve">noted </w:t>
      </w:r>
      <w:r>
        <w:t xml:space="preserve">that </w:t>
      </w:r>
      <w:r>
        <w:t>“[t]he addiction treatment market represents a multi-billion dollar industry</w:t>
      </w:r>
      <w:r>
        <w:t xml:space="preserve"> </w:t>
      </w:r>
      <w:proofErr w:type="gramStart"/>
      <w:r>
        <w:t>.</w:t>
      </w:r>
      <w:r>
        <w:t xml:space="preserve"> . . .</w:t>
      </w:r>
      <w:proofErr w:type="gramEnd"/>
      <w:r>
        <w:t xml:space="preserve">”  </w:t>
      </w:r>
      <w:r>
        <w:t xml:space="preserve">It then explained </w:t>
      </w:r>
      <w:proofErr w:type="spellStart"/>
      <w:r>
        <w:t>BioCorRx</w:t>
      </w:r>
      <w:r>
        <w:t>’s</w:t>
      </w:r>
      <w:proofErr w:type="spellEnd"/>
      <w:r>
        <w:t xml:space="preserve"> two</w:t>
      </w:r>
      <w:r>
        <w:t>-prong</w:t>
      </w:r>
      <w:r>
        <w:t xml:space="preserve"> </w:t>
      </w:r>
      <w:r>
        <w:t xml:space="preserve">approach </w:t>
      </w:r>
      <w:r>
        <w:t xml:space="preserve">for operating in </w:t>
      </w:r>
      <w:r>
        <w:t>that</w:t>
      </w:r>
      <w:r>
        <w:t xml:space="preserve"> </w:t>
      </w:r>
      <w:r>
        <w:t>market</w:t>
      </w:r>
      <w:r>
        <w:t xml:space="preserve">.  </w:t>
      </w:r>
      <w:r>
        <w:t xml:space="preserve">First, </w:t>
      </w:r>
      <w:r>
        <w:t xml:space="preserve">it </w:t>
      </w:r>
      <w:r>
        <w:t>“[s]eek</w:t>
      </w:r>
      <w:r>
        <w:t>[s]</w:t>
      </w:r>
      <w:r>
        <w:t xml:space="preserve"> FDA approval of new medications to treat alcohol and </w:t>
      </w:r>
      <w:r>
        <w:t>opioid</w:t>
      </w:r>
      <w:r>
        <w:t xml:space="preserve"> use disorder</w:t>
      </w:r>
      <w:r>
        <w:t>s</w:t>
      </w:r>
      <w:r>
        <w:t xml:space="preserve">.”  Second, </w:t>
      </w:r>
      <w:r>
        <w:t xml:space="preserve">it operates the </w:t>
      </w:r>
      <w:r>
        <w:t xml:space="preserve">“revenue generating </w:t>
      </w:r>
      <w:proofErr w:type="spellStart"/>
      <w:proofErr w:type="gramStart"/>
      <w:r>
        <w:t>BioCo</w:t>
      </w:r>
      <w:r>
        <w:t>r</w:t>
      </w:r>
      <w:r>
        <w:t>Rx</w:t>
      </w:r>
      <w:proofErr w:type="spellEnd"/>
      <w:r>
        <w:t>[</w:t>
      </w:r>
      <w:proofErr w:type="gramEnd"/>
      <w:r>
        <w:t xml:space="preserve">] Recovery Program </w:t>
      </w:r>
      <w:r>
        <w:t xml:space="preserve">[that] </w:t>
      </w:r>
      <w:proofErr w:type="spellStart"/>
      <w:r>
        <w:t>combin</w:t>
      </w:r>
      <w:proofErr w:type="spellEnd"/>
      <w:r>
        <w:t>[es]</w:t>
      </w:r>
      <w:r>
        <w:t xml:space="preserve"> </w:t>
      </w:r>
      <w:r>
        <w:t>medication and therapy.”</w:t>
      </w:r>
    </w:p>
    <w:p w14:paraId="1EA0A3DA" w14:textId="77777777" w:rsidR="00C914E2" w:rsidRDefault="00C914E2" w:rsidP="008A02EB">
      <w:pPr>
        <w:tabs>
          <w:tab w:val="left" w:pos="1440"/>
        </w:tabs>
        <w:spacing w:line="480" w:lineRule="exact"/>
      </w:pPr>
      <w:r>
        <w:tab/>
      </w:r>
      <w:r>
        <w:t xml:space="preserve">In September 2018, VDM and </w:t>
      </w:r>
      <w:proofErr w:type="spellStart"/>
      <w:r>
        <w:t>BioCorRx</w:t>
      </w:r>
      <w:proofErr w:type="spellEnd"/>
      <w:r>
        <w:t xml:space="preserve"> entered into a Mutual Non</w:t>
      </w:r>
      <w:r>
        <w:t>d</w:t>
      </w:r>
      <w:r>
        <w:t>isclosure &amp; Confidentiality Agreement (the NDA)</w:t>
      </w:r>
      <w:r>
        <w:t xml:space="preserve">, which restricted </w:t>
      </w:r>
      <w:r>
        <w:t xml:space="preserve">each party’s </w:t>
      </w:r>
      <w:r>
        <w:t>disclosure of confidential information</w:t>
      </w:r>
      <w:r>
        <w:t xml:space="preserve"> as the</w:t>
      </w:r>
      <w:r>
        <w:t>y</w:t>
      </w:r>
      <w:r>
        <w:t xml:space="preserve"> discussed forming a business relationship</w:t>
      </w:r>
      <w:r>
        <w:t>.</w:t>
      </w:r>
    </w:p>
    <w:p w14:paraId="13BAAF86" w14:textId="77777777" w:rsidR="00C914E2" w:rsidRPr="00B57D3C" w:rsidRDefault="00C914E2" w:rsidP="008A02EB">
      <w:pPr>
        <w:tabs>
          <w:tab w:val="left" w:pos="1440"/>
        </w:tabs>
        <w:spacing w:line="480" w:lineRule="exact"/>
      </w:pPr>
      <w:r>
        <w:tab/>
      </w:r>
      <w:r>
        <w:t>A month later</w:t>
      </w:r>
      <w:r>
        <w:t xml:space="preserve">, </w:t>
      </w:r>
      <w:r>
        <w:t xml:space="preserve">VDM and </w:t>
      </w:r>
      <w:proofErr w:type="spellStart"/>
      <w:r>
        <w:t>BioCorRx</w:t>
      </w:r>
      <w:proofErr w:type="spellEnd"/>
      <w:r>
        <w:t xml:space="preserve"> signed a Letter of Intent to Enter </w:t>
      </w:r>
      <w:proofErr w:type="gramStart"/>
      <w:r>
        <w:t>Definitive</w:t>
      </w:r>
      <w:proofErr w:type="gramEnd"/>
      <w:r>
        <w:t xml:space="preserve"> Agreement to Acquire Stake in Intellectual Property (the letter of intent).  </w:t>
      </w:r>
      <w:r>
        <w:t xml:space="preserve">The letter of intent </w:t>
      </w:r>
      <w:r>
        <w:t>memorialized the parties</w:t>
      </w:r>
      <w:r>
        <w:t>’</w:t>
      </w:r>
      <w:r>
        <w:t xml:space="preserve"> “shared desire to sincerely explore the entering into a formal agreement whereby </w:t>
      </w:r>
      <w:proofErr w:type="spellStart"/>
      <w:r>
        <w:t>BioCorRx</w:t>
      </w:r>
      <w:proofErr w:type="spellEnd"/>
      <w:r>
        <w:t xml:space="preserve"> shall partner [with VDM] to develop and commercialize”</w:t>
      </w:r>
      <w:r>
        <w:t xml:space="preserve"> </w:t>
      </w:r>
      <w:r>
        <w:t xml:space="preserve">VDM-001 </w:t>
      </w:r>
      <w:r>
        <w:t xml:space="preserve">as </w:t>
      </w:r>
      <w:r>
        <w:t xml:space="preserve">a </w:t>
      </w:r>
      <w:r>
        <w:t>treatment</w:t>
      </w:r>
      <w:r>
        <w:t xml:space="preserve"> for opioid overdose</w:t>
      </w:r>
      <w:r>
        <w:t>.</w:t>
      </w:r>
      <w:r>
        <w:t xml:space="preserve"> </w:t>
      </w:r>
      <w:r>
        <w:t xml:space="preserve"> The parties agreed </w:t>
      </w:r>
      <w:r>
        <w:t>“</w:t>
      </w:r>
      <w:r>
        <w:t>to use best efforts to enter into a definitive agreement within 6 months from” the letter of intent.</w:t>
      </w:r>
      <w:r>
        <w:t xml:space="preserve">  </w:t>
      </w:r>
      <w:r>
        <w:lastRenderedPageBreak/>
        <w:t>T</w:t>
      </w:r>
      <w:r>
        <w:t xml:space="preserve">he letter of intent </w:t>
      </w:r>
      <w:r>
        <w:t>also gra</w:t>
      </w:r>
      <w:r>
        <w:t xml:space="preserve">nted </w:t>
      </w:r>
      <w:proofErr w:type="spellStart"/>
      <w:r>
        <w:t>BioCorRx</w:t>
      </w:r>
      <w:proofErr w:type="spellEnd"/>
      <w:r>
        <w:t xml:space="preserve"> </w:t>
      </w:r>
      <w:r>
        <w:t xml:space="preserve">a </w:t>
      </w:r>
      <w:r>
        <w:t>“</w:t>
      </w:r>
      <w:r>
        <w:t xml:space="preserve">right of first refusal </w:t>
      </w:r>
      <w:r>
        <w:t xml:space="preserve">to acquire up to </w:t>
      </w:r>
      <w:r>
        <w:t xml:space="preserve">a </w:t>
      </w:r>
      <w:r>
        <w:t>49%</w:t>
      </w:r>
      <w:r>
        <w:t>”</w:t>
      </w:r>
      <w:r>
        <w:t xml:space="preserve"> equity stake in the </w:t>
      </w:r>
      <w:r w:rsidRPr="00B57D3C">
        <w:t>patent.</w:t>
      </w:r>
    </w:p>
    <w:p w14:paraId="7BEC6C89" w14:textId="77777777" w:rsidR="00C914E2" w:rsidRDefault="00C914E2" w:rsidP="008A02EB">
      <w:pPr>
        <w:tabs>
          <w:tab w:val="left" w:pos="1440"/>
        </w:tabs>
        <w:spacing w:line="480" w:lineRule="exact"/>
      </w:pPr>
      <w:r w:rsidRPr="00B57D3C">
        <w:tab/>
      </w:r>
      <w:r>
        <w:t xml:space="preserve">A declaration from VDM’s chief executive officer states that </w:t>
      </w:r>
      <w:r w:rsidRPr="00B57D3C">
        <w:t xml:space="preserve">VDM understood </w:t>
      </w:r>
      <w:proofErr w:type="spellStart"/>
      <w:r w:rsidRPr="00B57D3C">
        <w:t>BioCorRx</w:t>
      </w:r>
      <w:proofErr w:type="spellEnd"/>
      <w:r w:rsidRPr="00B57D3C">
        <w:t xml:space="preserve"> needed to validate </w:t>
      </w:r>
      <w:r w:rsidRPr="00B57D3C">
        <w:t>some of the information in the patent</w:t>
      </w:r>
      <w:r w:rsidRPr="00B57D3C">
        <w:t xml:space="preserve"> and confirm </w:t>
      </w:r>
      <w:r>
        <w:t xml:space="preserve">that </w:t>
      </w:r>
      <w:r w:rsidRPr="00B57D3C">
        <w:t xml:space="preserve">VDM-001 </w:t>
      </w:r>
      <w:r w:rsidRPr="00B57D3C">
        <w:t xml:space="preserve">could </w:t>
      </w:r>
      <w:r w:rsidRPr="00B57D3C">
        <w:t>treat opioid overdose</w:t>
      </w:r>
      <w:r w:rsidRPr="00B57D3C">
        <w:t xml:space="preserve">. </w:t>
      </w:r>
      <w:r w:rsidRPr="00B57D3C">
        <w:t xml:space="preserve"> </w:t>
      </w:r>
      <w:r>
        <w:t xml:space="preserve">Evidence in the </w:t>
      </w:r>
      <w:r w:rsidRPr="00B57D3C">
        <w:t xml:space="preserve">record </w:t>
      </w:r>
      <w:r>
        <w:t xml:space="preserve">also </w:t>
      </w:r>
      <w:r w:rsidRPr="00B57D3C">
        <w:t xml:space="preserve">shows </w:t>
      </w:r>
      <w:proofErr w:type="spellStart"/>
      <w:r w:rsidRPr="00B57D3C">
        <w:t>BioCorRx</w:t>
      </w:r>
      <w:proofErr w:type="spellEnd"/>
      <w:r w:rsidRPr="00B57D3C">
        <w:t xml:space="preserve"> provided funds </w:t>
      </w:r>
      <w:r>
        <w:t xml:space="preserve">from April 2019 to October 2020 </w:t>
      </w:r>
      <w:r w:rsidRPr="00B57D3C">
        <w:t xml:space="preserve">to </w:t>
      </w:r>
      <w:r w:rsidRPr="00B57D3C">
        <w:t xml:space="preserve">conduct </w:t>
      </w:r>
      <w:r w:rsidRPr="00B57D3C">
        <w:t xml:space="preserve">preclinical </w:t>
      </w:r>
      <w:r w:rsidRPr="00B57D3C">
        <w:t xml:space="preserve">studies, </w:t>
      </w:r>
      <w:r w:rsidRPr="00B57D3C">
        <w:t>engage consultants, and provide other resources to develop</w:t>
      </w:r>
      <w:r w:rsidRPr="00B57D3C">
        <w:t xml:space="preserve"> VDM-001.</w:t>
      </w:r>
    </w:p>
    <w:p w14:paraId="380CC133" w14:textId="77777777" w:rsidR="00C914E2" w:rsidRPr="00127431" w:rsidRDefault="00C914E2" w:rsidP="00C037D9">
      <w:pPr>
        <w:tabs>
          <w:tab w:val="left" w:pos="1440"/>
        </w:tabs>
        <w:spacing w:line="480" w:lineRule="exact"/>
      </w:pPr>
      <w:r>
        <w:tab/>
      </w:r>
      <w:proofErr w:type="spellStart"/>
      <w:r>
        <w:t>BioCorRx</w:t>
      </w:r>
      <w:proofErr w:type="spellEnd"/>
      <w:r>
        <w:t xml:space="preserve"> issued press releases </w:t>
      </w:r>
      <w:r>
        <w:t xml:space="preserve">concerning VDM and VDM-001 </w:t>
      </w:r>
      <w:r>
        <w:t xml:space="preserve">in October </w:t>
      </w:r>
      <w:r>
        <w:t>2018</w:t>
      </w:r>
      <w:r>
        <w:t>, December 2019</w:t>
      </w:r>
      <w:r>
        <w:t>,</w:t>
      </w:r>
      <w:r>
        <w:t xml:space="preserve"> and </w:t>
      </w:r>
      <w:r>
        <w:t xml:space="preserve">March, May, August, and November </w:t>
      </w:r>
      <w:r>
        <w:t xml:space="preserve">2020 (together, the press releases).  </w:t>
      </w:r>
      <w:r>
        <w:t xml:space="preserve">The initial </w:t>
      </w:r>
      <w:r>
        <w:t xml:space="preserve">press release in </w:t>
      </w:r>
      <w:r>
        <w:t>October 2018</w:t>
      </w:r>
      <w:r>
        <w:t xml:space="preserve">, </w:t>
      </w:r>
      <w:r>
        <w:t>“</w:t>
      </w:r>
      <w:r>
        <w:t xml:space="preserve">announced </w:t>
      </w:r>
      <w:r>
        <w:t>the execution of a</w:t>
      </w:r>
      <w:r>
        <w:t xml:space="preserve"> letter of intent (LOI) with [VDM], </w:t>
      </w:r>
      <w:r>
        <w:t>subject to execution of a definitive agreement, whereby the companies would partner to further develop and commercialize VDM’s new opioid antagonist molecule, VDM-001</w:t>
      </w:r>
      <w:r>
        <w:t xml:space="preserve"> </w:t>
      </w:r>
      <w:proofErr w:type="gramStart"/>
      <w:r>
        <w:t>. . . .</w:t>
      </w:r>
      <w:proofErr w:type="gramEnd"/>
      <w:r>
        <w:t xml:space="preserve">  </w:t>
      </w:r>
      <w:r>
        <w:t xml:space="preserve">Under the agreement, </w:t>
      </w:r>
      <w:proofErr w:type="spellStart"/>
      <w:r>
        <w:t>BioCorRx</w:t>
      </w:r>
      <w:proofErr w:type="spellEnd"/>
      <w:r>
        <w:t xml:space="preserve"> has the right of first refusal to</w:t>
      </w:r>
      <w:r>
        <w:t xml:space="preserve"> acquire up to a 49% ownership stake in VDM-001 </w:t>
      </w:r>
      <w:proofErr w:type="gramStart"/>
      <w:r>
        <w:t>. . . .</w:t>
      </w:r>
      <w:proofErr w:type="gramEnd"/>
      <w:r>
        <w:t xml:space="preserve">  Both parties have agreed to use best efforts to enter into a definitive agreement within 6 months from the date of the LOI execution on October 1, 2018.”</w:t>
      </w:r>
      <w:r>
        <w:t xml:space="preserve">  </w:t>
      </w:r>
      <w:r>
        <w:t xml:space="preserve">The subsequent press releases provided general updates on </w:t>
      </w:r>
      <w:proofErr w:type="spellStart"/>
      <w:r>
        <w:t>BioCorRx’s</w:t>
      </w:r>
      <w:proofErr w:type="spellEnd"/>
      <w:r>
        <w:t xml:space="preserve"> </w:t>
      </w:r>
      <w:r>
        <w:t>develop</w:t>
      </w:r>
      <w:r>
        <w:t>ment of</w:t>
      </w:r>
      <w:r>
        <w:t xml:space="preserve"> </w:t>
      </w:r>
      <w:r>
        <w:t xml:space="preserve">VDM-001 </w:t>
      </w:r>
      <w:r>
        <w:t>as a treatment for opioid overdose</w:t>
      </w:r>
      <w:r>
        <w:t>.</w:t>
      </w:r>
    </w:p>
    <w:p w14:paraId="5C5C9E10" w14:textId="77777777" w:rsidR="00C914E2" w:rsidRDefault="00C914E2" w:rsidP="008A02EB">
      <w:pPr>
        <w:tabs>
          <w:tab w:val="left" w:pos="1440"/>
        </w:tabs>
        <w:spacing w:line="480" w:lineRule="exact"/>
      </w:pPr>
      <w:r>
        <w:tab/>
      </w:r>
      <w:r>
        <w:t xml:space="preserve">After </w:t>
      </w:r>
      <w:r>
        <w:t xml:space="preserve">signing the </w:t>
      </w:r>
      <w:r>
        <w:t xml:space="preserve">letter of intent, </w:t>
      </w:r>
      <w:proofErr w:type="spellStart"/>
      <w:r>
        <w:t>BioCorRx</w:t>
      </w:r>
      <w:proofErr w:type="spellEnd"/>
      <w:r>
        <w:t xml:space="preserve"> and VDM </w:t>
      </w:r>
      <w:r>
        <w:t>apparently exchanged numerous e</w:t>
      </w:r>
      <w:r>
        <w:t>-</w:t>
      </w:r>
      <w:r>
        <w:t xml:space="preserve">mails and draft agreements </w:t>
      </w:r>
      <w:r>
        <w:t xml:space="preserve">but </w:t>
      </w:r>
      <w:r>
        <w:t xml:space="preserve">never signed a </w:t>
      </w:r>
      <w:r>
        <w:t xml:space="preserve">formal </w:t>
      </w:r>
      <w:r>
        <w:t xml:space="preserve">contract </w:t>
      </w:r>
      <w:r>
        <w:t>concerning VDM</w:t>
      </w:r>
      <w:r>
        <w:t>-001</w:t>
      </w:r>
      <w:r>
        <w:t>.</w:t>
      </w:r>
      <w:r>
        <w:t xml:space="preserve"> </w:t>
      </w:r>
      <w:r>
        <w:t xml:space="preserve"> </w:t>
      </w:r>
      <w:r>
        <w:t>T</w:t>
      </w:r>
      <w:r>
        <w:t>heir relationship eventually soured.</w:t>
      </w:r>
    </w:p>
    <w:p w14:paraId="6828B22A" w14:textId="77777777" w:rsidR="00C914E2" w:rsidRPr="004B3335" w:rsidRDefault="00C914E2" w:rsidP="008A02EB">
      <w:pPr>
        <w:tabs>
          <w:tab w:val="left" w:pos="1440"/>
        </w:tabs>
        <w:spacing w:line="480" w:lineRule="exact"/>
      </w:pPr>
      <w:r>
        <w:tab/>
      </w:r>
      <w:proofErr w:type="spellStart"/>
      <w:r>
        <w:t>BioCorRx</w:t>
      </w:r>
      <w:proofErr w:type="spellEnd"/>
      <w:r>
        <w:t xml:space="preserve"> </w:t>
      </w:r>
      <w:r>
        <w:t>filed a complaint (the complaint) against</w:t>
      </w:r>
      <w:r>
        <w:t xml:space="preserve"> </w:t>
      </w:r>
      <w:r>
        <w:t>VDM</w:t>
      </w:r>
      <w:r>
        <w:t xml:space="preserve"> in March 2022</w:t>
      </w:r>
      <w:r>
        <w:t xml:space="preserve">.  </w:t>
      </w:r>
      <w:r>
        <w:t>Among other things</w:t>
      </w:r>
      <w:r>
        <w:t xml:space="preserve">, </w:t>
      </w:r>
      <w:proofErr w:type="spellStart"/>
      <w:r>
        <w:t>BioCorRx</w:t>
      </w:r>
      <w:proofErr w:type="spellEnd"/>
      <w:r>
        <w:t xml:space="preserve"> </w:t>
      </w:r>
      <w:r>
        <w:t xml:space="preserve">alleged </w:t>
      </w:r>
      <w:r>
        <w:t xml:space="preserve">that </w:t>
      </w:r>
      <w:r>
        <w:t xml:space="preserve">although the parties had not signed a formal </w:t>
      </w:r>
      <w:r>
        <w:t>contract</w:t>
      </w:r>
      <w:r>
        <w:t xml:space="preserve">, they </w:t>
      </w:r>
      <w:r>
        <w:t xml:space="preserve">had </w:t>
      </w:r>
      <w:r>
        <w:t xml:space="preserve">reached an agreement </w:t>
      </w:r>
      <w:r>
        <w:t>via e</w:t>
      </w:r>
      <w:r>
        <w:t>-</w:t>
      </w:r>
      <w:r>
        <w:t>mail</w:t>
      </w:r>
      <w:r>
        <w:t xml:space="preserve"> </w:t>
      </w:r>
      <w:r>
        <w:t xml:space="preserve">concerning VDM-001’s development </w:t>
      </w:r>
      <w:r>
        <w:t xml:space="preserve">in March 2019 </w:t>
      </w:r>
      <w:r>
        <w:t xml:space="preserve">(the </w:t>
      </w:r>
      <w:r>
        <w:t xml:space="preserve">alleged </w:t>
      </w:r>
      <w:r>
        <w:t>agreement)</w:t>
      </w:r>
      <w:r>
        <w:t xml:space="preserve">.  Under </w:t>
      </w:r>
      <w:r>
        <w:t xml:space="preserve">the </w:t>
      </w:r>
      <w:r>
        <w:t xml:space="preserve">alleged </w:t>
      </w:r>
      <w:r>
        <w:t xml:space="preserve">agreement, </w:t>
      </w:r>
      <w:proofErr w:type="spellStart"/>
      <w:r>
        <w:t>BioCorRx</w:t>
      </w:r>
      <w:proofErr w:type="spellEnd"/>
      <w:r>
        <w:t xml:space="preserve"> obtain</w:t>
      </w:r>
      <w:r>
        <w:t>ed</w:t>
      </w:r>
      <w:r>
        <w:t xml:space="preserve"> an ownership interest in VDM-001 </w:t>
      </w:r>
      <w:r>
        <w:t>based on the</w:t>
      </w:r>
      <w:r>
        <w:t xml:space="preserve"> amount </w:t>
      </w:r>
      <w:r>
        <w:t xml:space="preserve">of </w:t>
      </w:r>
      <w:r>
        <w:t xml:space="preserve">research and development </w:t>
      </w:r>
      <w:r>
        <w:t>funding it provide</w:t>
      </w:r>
      <w:r>
        <w:t>d</w:t>
      </w:r>
      <w:r>
        <w:t xml:space="preserve">.  It also retained its right to purchase an additional </w:t>
      </w:r>
      <w:r>
        <w:lastRenderedPageBreak/>
        <w:t xml:space="preserve">interest in VDM-001 </w:t>
      </w:r>
      <w:r>
        <w:t xml:space="preserve">of </w:t>
      </w:r>
      <w:r>
        <w:t>up to 49 percent</w:t>
      </w:r>
      <w:r>
        <w:t xml:space="preserve">.  </w:t>
      </w:r>
      <w:r>
        <w:t xml:space="preserve">But </w:t>
      </w:r>
      <w:r>
        <w:t xml:space="preserve">after </w:t>
      </w:r>
      <w:proofErr w:type="spellStart"/>
      <w:r>
        <w:t>BioCorRx</w:t>
      </w:r>
      <w:proofErr w:type="spellEnd"/>
      <w:r>
        <w:t xml:space="preserve"> </w:t>
      </w:r>
      <w:r>
        <w:t xml:space="preserve">informed VDM of </w:t>
      </w:r>
      <w:r>
        <w:t xml:space="preserve">its </w:t>
      </w:r>
      <w:r>
        <w:t xml:space="preserve">preclinical studies’ </w:t>
      </w:r>
      <w:r>
        <w:t>findings</w:t>
      </w:r>
      <w:r>
        <w:t xml:space="preserve">, </w:t>
      </w:r>
      <w:r>
        <w:t>VDM</w:t>
      </w:r>
      <w:r>
        <w:t xml:space="preserve"> </w:t>
      </w:r>
      <w:r>
        <w:t xml:space="preserve">purportedly </w:t>
      </w:r>
      <w:r>
        <w:t xml:space="preserve">repudiated </w:t>
      </w:r>
      <w:r>
        <w:t>th</w:t>
      </w:r>
      <w:r>
        <w:t xml:space="preserve">e </w:t>
      </w:r>
      <w:r>
        <w:t xml:space="preserve">alleged </w:t>
      </w:r>
      <w:r>
        <w:t>agreement</w:t>
      </w:r>
      <w:r>
        <w:t xml:space="preserve"> and </w:t>
      </w:r>
      <w:r>
        <w:t xml:space="preserve">interfered with </w:t>
      </w:r>
      <w:proofErr w:type="spellStart"/>
      <w:r>
        <w:t>BioCorRx’s</w:t>
      </w:r>
      <w:proofErr w:type="spellEnd"/>
      <w:r>
        <w:t xml:space="preserve"> right to purchase an additional ownership interest in VDM-001, </w:t>
      </w:r>
      <w:r>
        <w:t xml:space="preserve">among other </w:t>
      </w:r>
      <w:r>
        <w:t>things</w:t>
      </w:r>
      <w:r>
        <w:t>.</w:t>
      </w:r>
    </w:p>
    <w:p w14:paraId="7C47D3BD" w14:textId="77777777" w:rsidR="00C914E2" w:rsidRDefault="00C914E2" w:rsidP="00CB03A6">
      <w:pPr>
        <w:tabs>
          <w:tab w:val="left" w:pos="1440"/>
        </w:tabs>
        <w:spacing w:line="480" w:lineRule="exact"/>
      </w:pPr>
      <w:r>
        <w:tab/>
      </w:r>
      <w:r>
        <w:t xml:space="preserve">VDM filed a cross-complaint </w:t>
      </w:r>
      <w:r>
        <w:t xml:space="preserve">(the cross-complaint) </w:t>
      </w:r>
      <w:r>
        <w:t xml:space="preserve">against </w:t>
      </w:r>
      <w:proofErr w:type="spellStart"/>
      <w:r>
        <w:t>BioCorRx</w:t>
      </w:r>
      <w:proofErr w:type="spellEnd"/>
      <w:r>
        <w:t xml:space="preserve"> and </w:t>
      </w:r>
      <w:r>
        <w:t xml:space="preserve">its president and director, </w:t>
      </w:r>
      <w:r>
        <w:t>Brady Granier</w:t>
      </w:r>
      <w:r>
        <w:t>.</w:t>
      </w:r>
      <w:r>
        <w:rPr>
          <w:rStyle w:val="FootnoteReference"/>
        </w:rPr>
        <w:footnoteReference w:id="3"/>
      </w:r>
      <w:r>
        <w:t xml:space="preserve"> </w:t>
      </w:r>
      <w:r>
        <w:t xml:space="preserve"> Generally, </w:t>
      </w:r>
      <w:r>
        <w:t xml:space="preserve">it </w:t>
      </w:r>
      <w:r>
        <w:t xml:space="preserve">alleged </w:t>
      </w:r>
      <w:proofErr w:type="spellStart"/>
      <w:r>
        <w:t>BioCorRx</w:t>
      </w:r>
      <w:proofErr w:type="spellEnd"/>
      <w:r>
        <w:t xml:space="preserve"> </w:t>
      </w:r>
      <w:r>
        <w:t xml:space="preserve">had </w:t>
      </w:r>
      <w:r>
        <w:t xml:space="preserve">induced </w:t>
      </w:r>
      <w:r>
        <w:t>VDM</w:t>
      </w:r>
      <w:r>
        <w:t xml:space="preserve"> to disclose confidential information under the NDA</w:t>
      </w:r>
      <w:r>
        <w:t xml:space="preserve"> and to enter the letter of intent. </w:t>
      </w:r>
      <w:r>
        <w:t xml:space="preserve"> </w:t>
      </w:r>
      <w:r>
        <w:t xml:space="preserve">VDM claimed </w:t>
      </w:r>
      <w:proofErr w:type="spellStart"/>
      <w:r>
        <w:t>BioCorRx</w:t>
      </w:r>
      <w:proofErr w:type="spellEnd"/>
      <w:r>
        <w:t xml:space="preserve"> never intended to </w:t>
      </w:r>
      <w:r>
        <w:t xml:space="preserve">abide by the NDA or to </w:t>
      </w:r>
      <w:r>
        <w:t>enter into a formal agreement</w:t>
      </w:r>
      <w:r>
        <w:t xml:space="preserve"> concerning VDM-001</w:t>
      </w:r>
      <w:r>
        <w:t xml:space="preserve">.  </w:t>
      </w:r>
      <w:r>
        <w:t xml:space="preserve">Rather, </w:t>
      </w:r>
      <w:r>
        <w:t xml:space="preserve">it </w:t>
      </w:r>
      <w:proofErr w:type="gramStart"/>
      <w:r>
        <w:t>entered</w:t>
      </w:r>
      <w:proofErr w:type="gramEnd"/>
      <w:r>
        <w:t xml:space="preserve"> </w:t>
      </w:r>
      <w:r>
        <w:t>these agreements</w:t>
      </w:r>
      <w:r>
        <w:t xml:space="preserve"> to attract </w:t>
      </w:r>
      <w:r>
        <w:t xml:space="preserve">investors </w:t>
      </w:r>
      <w:r>
        <w:t xml:space="preserve">and boost </w:t>
      </w:r>
      <w:r>
        <w:t xml:space="preserve">its </w:t>
      </w:r>
      <w:r>
        <w:t xml:space="preserve">stock price.  </w:t>
      </w:r>
      <w:proofErr w:type="spellStart"/>
      <w:r>
        <w:t>BioCorRx</w:t>
      </w:r>
      <w:proofErr w:type="spellEnd"/>
      <w:r>
        <w:t xml:space="preserve"> </w:t>
      </w:r>
      <w:r>
        <w:t xml:space="preserve">allegedly </w:t>
      </w:r>
      <w:r>
        <w:t xml:space="preserve">perpetrated this </w:t>
      </w:r>
      <w:r>
        <w:t xml:space="preserve">scheme </w:t>
      </w:r>
      <w:r>
        <w:t xml:space="preserve">by issuing </w:t>
      </w:r>
      <w:proofErr w:type="gramStart"/>
      <w:r>
        <w:t xml:space="preserve">the </w:t>
      </w:r>
      <w:r>
        <w:t>press</w:t>
      </w:r>
      <w:proofErr w:type="gramEnd"/>
      <w:r>
        <w:t xml:space="preserve"> releases</w:t>
      </w:r>
      <w:r>
        <w:t xml:space="preserve">, which contained certain </w:t>
      </w:r>
      <w:r>
        <w:t>quotes from Granier</w:t>
      </w:r>
      <w:r>
        <w:t xml:space="preserve">.  The press releases purportedly included </w:t>
      </w:r>
      <w:r>
        <w:t>confidential inform</w:t>
      </w:r>
      <w:r>
        <w:t xml:space="preserve">ation and </w:t>
      </w:r>
      <w:r>
        <w:t xml:space="preserve">misrepresentations about </w:t>
      </w:r>
      <w:proofErr w:type="spellStart"/>
      <w:r>
        <w:t>BioCorRx’s</w:t>
      </w:r>
      <w:proofErr w:type="spellEnd"/>
      <w:r>
        <w:t xml:space="preserve"> relationship with VDM and </w:t>
      </w:r>
      <w:r>
        <w:t xml:space="preserve">VDM-001’s </w:t>
      </w:r>
      <w:r>
        <w:t>development</w:t>
      </w:r>
      <w:r>
        <w:t>.</w:t>
      </w:r>
      <w:r>
        <w:t xml:space="preserve"> </w:t>
      </w:r>
      <w:r>
        <w:t xml:space="preserve"> VDM also asserted </w:t>
      </w:r>
      <w:proofErr w:type="spellStart"/>
      <w:r>
        <w:t>BioCorRx</w:t>
      </w:r>
      <w:proofErr w:type="spellEnd"/>
      <w:r>
        <w:t xml:space="preserve"> </w:t>
      </w:r>
      <w:r>
        <w:t xml:space="preserve">improperly </w:t>
      </w:r>
      <w:r>
        <w:t>fail</w:t>
      </w:r>
      <w:r>
        <w:t>ed</w:t>
      </w:r>
      <w:r>
        <w:t xml:space="preserve"> to redact </w:t>
      </w:r>
      <w:r>
        <w:t>confidential information</w:t>
      </w:r>
      <w:r>
        <w:t xml:space="preserve"> in the complaint</w:t>
      </w:r>
      <w:r>
        <w:t xml:space="preserve"> (the unredacted statements)</w:t>
      </w:r>
      <w:r>
        <w:t>.</w:t>
      </w:r>
      <w:r>
        <w:t xml:space="preserve"> </w:t>
      </w:r>
      <w:r>
        <w:t xml:space="preserve"> </w:t>
      </w:r>
      <w:r>
        <w:t xml:space="preserve">Based on these </w:t>
      </w:r>
      <w:r>
        <w:t>allegations, t</w:t>
      </w:r>
      <w:r>
        <w:t xml:space="preserve">he cross-complaint set forth </w:t>
      </w:r>
      <w:r>
        <w:t xml:space="preserve">causes of action </w:t>
      </w:r>
      <w:r>
        <w:t>for breach of the NDA, breach of the letter of intent, breach of the implied covenant of good faith and fair dealing, fraud, misappropriation of trade secrets, unjust enrichment, and violations of Business and Professions Code section 17200.</w:t>
      </w:r>
    </w:p>
    <w:p w14:paraId="6A92FBBC" w14:textId="77777777" w:rsidR="00C914E2" w:rsidRPr="003F46FD" w:rsidRDefault="00C914E2" w:rsidP="008A02EB">
      <w:pPr>
        <w:tabs>
          <w:tab w:val="left" w:pos="1440"/>
        </w:tabs>
        <w:spacing w:line="480" w:lineRule="exact"/>
      </w:pPr>
      <w:r>
        <w:tab/>
      </w:r>
      <w:r>
        <w:t xml:space="preserve">In response, </w:t>
      </w:r>
      <w:proofErr w:type="spellStart"/>
      <w:r>
        <w:t>BioCorRx</w:t>
      </w:r>
      <w:proofErr w:type="spellEnd"/>
      <w:r>
        <w:t xml:space="preserve"> </w:t>
      </w:r>
      <w:r>
        <w:t xml:space="preserve">and Granier </w:t>
      </w:r>
      <w:r>
        <w:t>filed an anti-SLAPP motion</w:t>
      </w:r>
      <w:r>
        <w:t xml:space="preserve"> </w:t>
      </w:r>
      <w:r>
        <w:t xml:space="preserve">seeking </w:t>
      </w:r>
      <w:r>
        <w:t xml:space="preserve">to strike all </w:t>
      </w:r>
      <w:r>
        <w:t xml:space="preserve">the </w:t>
      </w:r>
      <w:r>
        <w:t xml:space="preserve">allegations </w:t>
      </w:r>
      <w:r>
        <w:t xml:space="preserve">from the cross-complaint </w:t>
      </w:r>
      <w:r>
        <w:t>concerning the press releases</w:t>
      </w:r>
      <w:r>
        <w:t xml:space="preserve">.  </w:t>
      </w:r>
      <w:r>
        <w:t xml:space="preserve">They </w:t>
      </w:r>
      <w:r>
        <w:t xml:space="preserve">claimed these statements </w:t>
      </w:r>
      <w:r>
        <w:t xml:space="preserve">were </w:t>
      </w:r>
      <w:r>
        <w:t>matter</w:t>
      </w:r>
      <w:r>
        <w:t>s</w:t>
      </w:r>
      <w:r>
        <w:t xml:space="preserve"> of public interest </w:t>
      </w:r>
      <w:r>
        <w:t>under section 425</w:t>
      </w:r>
      <w:r>
        <w:t>.</w:t>
      </w:r>
      <w:r>
        <w:t>16, subdivisions (e)(3) or (4).</w:t>
      </w:r>
      <w:r>
        <w:t xml:space="preserve"> </w:t>
      </w:r>
      <w:r>
        <w:t xml:space="preserve"> </w:t>
      </w:r>
      <w:r>
        <w:t xml:space="preserve">They </w:t>
      </w:r>
      <w:r>
        <w:t xml:space="preserve">also sought to strike </w:t>
      </w:r>
      <w:r>
        <w:t xml:space="preserve">the cross-complaint’s </w:t>
      </w:r>
      <w:r>
        <w:t xml:space="preserve">allegations concerning </w:t>
      </w:r>
      <w:r>
        <w:t xml:space="preserve">the </w:t>
      </w:r>
      <w:r>
        <w:t>unredacted statements</w:t>
      </w:r>
      <w:r>
        <w:t>.</w:t>
      </w:r>
    </w:p>
    <w:p w14:paraId="23D041BA" w14:textId="77777777" w:rsidR="00C914E2" w:rsidRPr="00F014D4" w:rsidRDefault="00C914E2" w:rsidP="00F014D4">
      <w:pPr>
        <w:tabs>
          <w:tab w:val="left" w:pos="1440"/>
        </w:tabs>
        <w:spacing w:line="480" w:lineRule="exact"/>
      </w:pPr>
      <w:r>
        <w:tab/>
      </w:r>
      <w:r>
        <w:t>VDM</w:t>
      </w:r>
      <w:r>
        <w:t xml:space="preserve"> </w:t>
      </w:r>
      <w:r>
        <w:t xml:space="preserve">filed a motion </w:t>
      </w:r>
      <w:r>
        <w:t xml:space="preserve">to take </w:t>
      </w:r>
      <w:r>
        <w:t xml:space="preserve">discovery to oppose the anti-SLAPP motion.  </w:t>
      </w:r>
      <w:r>
        <w:t xml:space="preserve">Generally, </w:t>
      </w:r>
      <w:r>
        <w:t xml:space="preserve">it </w:t>
      </w:r>
      <w:r>
        <w:t xml:space="preserve">sought </w:t>
      </w:r>
      <w:r>
        <w:t xml:space="preserve">to </w:t>
      </w:r>
      <w:r>
        <w:t xml:space="preserve">depose a </w:t>
      </w:r>
      <w:proofErr w:type="spellStart"/>
      <w:r>
        <w:t>BioCorRx</w:t>
      </w:r>
      <w:proofErr w:type="spellEnd"/>
      <w:r>
        <w:t xml:space="preserve"> representative on </w:t>
      </w:r>
      <w:r>
        <w:t xml:space="preserve">various </w:t>
      </w:r>
      <w:r>
        <w:t xml:space="preserve">topics concerning </w:t>
      </w:r>
      <w:r>
        <w:lastRenderedPageBreak/>
        <w:t xml:space="preserve">the </w:t>
      </w:r>
      <w:r>
        <w:t>press releases</w:t>
      </w:r>
      <w:r>
        <w:t xml:space="preserve">, and it </w:t>
      </w:r>
      <w:r>
        <w:t xml:space="preserve">also sought documents related to </w:t>
      </w:r>
      <w:r>
        <w:t xml:space="preserve">those </w:t>
      </w:r>
      <w:r>
        <w:t>topics</w:t>
      </w:r>
      <w:r>
        <w:t xml:space="preserve">. </w:t>
      </w:r>
      <w:r>
        <w:t xml:space="preserve"> The trial court </w:t>
      </w:r>
      <w:r>
        <w:t xml:space="preserve">found VDM had failed to establish good cause to conduct discovery </w:t>
      </w:r>
      <w:r>
        <w:t xml:space="preserve">and </w:t>
      </w:r>
      <w:r>
        <w:t>denied the motion</w:t>
      </w:r>
      <w:r>
        <w:t>.</w:t>
      </w:r>
    </w:p>
    <w:p w14:paraId="07763BAA" w14:textId="77777777" w:rsidR="00C914E2" w:rsidRPr="00DE15C1" w:rsidRDefault="00C914E2" w:rsidP="008A02EB">
      <w:pPr>
        <w:tabs>
          <w:tab w:val="left" w:pos="1440"/>
        </w:tabs>
        <w:spacing w:line="480" w:lineRule="exact"/>
      </w:pPr>
      <w:r>
        <w:tab/>
      </w:r>
      <w:r>
        <w:t xml:space="preserve">After its discovery motion was denied, </w:t>
      </w:r>
      <w:r>
        <w:t>VDM</w:t>
      </w:r>
      <w:r>
        <w:t xml:space="preserve"> </w:t>
      </w:r>
      <w:r>
        <w:t xml:space="preserve">filed an </w:t>
      </w:r>
      <w:r>
        <w:t xml:space="preserve">opposition </w:t>
      </w:r>
      <w:r>
        <w:t>to the anti-SLAPP motion</w:t>
      </w:r>
      <w:r>
        <w:t xml:space="preserve">.  Primarily, it argued </w:t>
      </w:r>
      <w:r>
        <w:t xml:space="preserve">the </w:t>
      </w:r>
      <w:r>
        <w:t xml:space="preserve">press release </w:t>
      </w:r>
      <w:r>
        <w:t xml:space="preserve">statements </w:t>
      </w:r>
      <w:r>
        <w:t xml:space="preserve">were </w:t>
      </w:r>
      <w:r>
        <w:t xml:space="preserve">exempt from the anti-SLAPP statute under </w:t>
      </w:r>
      <w:r>
        <w:t>the commercial speech exemption</w:t>
      </w:r>
      <w:r>
        <w:t xml:space="preserve">.  It also </w:t>
      </w:r>
      <w:r>
        <w:t xml:space="preserve">asserted </w:t>
      </w:r>
      <w:r>
        <w:t>the</w:t>
      </w:r>
      <w:r>
        <w:t>se</w:t>
      </w:r>
      <w:r>
        <w:t xml:space="preserve"> </w:t>
      </w:r>
      <w:r>
        <w:t xml:space="preserve">statements </w:t>
      </w:r>
      <w:r>
        <w:t xml:space="preserve">were not protected activity </w:t>
      </w:r>
      <w:r>
        <w:t>under section 425.16</w:t>
      </w:r>
      <w:r>
        <w:t>,</w:t>
      </w:r>
      <w:r>
        <w:t xml:space="preserve"> because they did not concern a matter of public interest</w:t>
      </w:r>
      <w:r>
        <w:t xml:space="preserve">. </w:t>
      </w:r>
      <w:r>
        <w:t xml:space="preserve"> It only offered token opposition to </w:t>
      </w:r>
      <w:r>
        <w:t xml:space="preserve">a </w:t>
      </w:r>
      <w:r>
        <w:t>portion of the anti-SLAPP motion directed to the unredacted statements.</w:t>
      </w:r>
    </w:p>
    <w:p w14:paraId="5DDB99FC" w14:textId="77777777" w:rsidR="00C914E2" w:rsidRPr="00FE6CD4" w:rsidRDefault="00C914E2" w:rsidP="008A02EB">
      <w:pPr>
        <w:tabs>
          <w:tab w:val="left" w:pos="1440"/>
        </w:tabs>
        <w:spacing w:line="480" w:lineRule="exact"/>
      </w:pPr>
      <w:r>
        <w:tab/>
      </w:r>
      <w:r>
        <w:t xml:space="preserve">The trial court granted </w:t>
      </w:r>
      <w:r>
        <w:t xml:space="preserve">the </w:t>
      </w:r>
      <w:r>
        <w:t>anti-SLAPP motion</w:t>
      </w:r>
      <w:r>
        <w:t xml:space="preserve"> as to both </w:t>
      </w:r>
      <w:proofErr w:type="spellStart"/>
      <w:r>
        <w:t>BioCorRx</w:t>
      </w:r>
      <w:proofErr w:type="spellEnd"/>
      <w:r>
        <w:t xml:space="preserve"> and Granier</w:t>
      </w:r>
      <w:r>
        <w:t>.</w:t>
      </w:r>
      <w:r>
        <w:t xml:space="preserve">  </w:t>
      </w:r>
      <w:r>
        <w:t>As to the press release</w:t>
      </w:r>
      <w:r>
        <w:t xml:space="preserve"> statements</w:t>
      </w:r>
      <w:r>
        <w:t>, i</w:t>
      </w:r>
      <w:r>
        <w:t xml:space="preserve">t found </w:t>
      </w:r>
      <w:r>
        <w:t>VDM</w:t>
      </w:r>
      <w:r>
        <w:t xml:space="preserve"> had failed to </w:t>
      </w:r>
      <w:r>
        <w:t xml:space="preserve">establish </w:t>
      </w:r>
      <w:r>
        <w:t xml:space="preserve">all the </w:t>
      </w:r>
      <w:r>
        <w:t xml:space="preserve">elements of the </w:t>
      </w:r>
      <w:r>
        <w:t xml:space="preserve">commercial speech exemption. </w:t>
      </w:r>
      <w:r w:rsidRPr="00C759D8">
        <w:t xml:space="preserve"> </w:t>
      </w:r>
      <w:r>
        <w:t xml:space="preserve">It </w:t>
      </w:r>
      <w:r>
        <w:t xml:space="preserve">also held </w:t>
      </w:r>
      <w:r>
        <w:t>the</w:t>
      </w:r>
      <w:r>
        <w:t xml:space="preserve">se </w:t>
      </w:r>
      <w:r>
        <w:t xml:space="preserve">statements </w:t>
      </w:r>
      <w:r>
        <w:t>were protected speech under section 425.16</w:t>
      </w:r>
      <w:r>
        <w:t>,</w:t>
      </w:r>
      <w:r>
        <w:t xml:space="preserve"> </w:t>
      </w:r>
      <w:r>
        <w:t xml:space="preserve">based on authority finding </w:t>
      </w:r>
      <w:r>
        <w:t xml:space="preserve">medical care and treatment </w:t>
      </w:r>
      <w:r>
        <w:t xml:space="preserve">to be </w:t>
      </w:r>
      <w:r>
        <w:t xml:space="preserve">topics of public interest. </w:t>
      </w:r>
      <w:r>
        <w:t xml:space="preserve"> </w:t>
      </w:r>
      <w:r>
        <w:t xml:space="preserve">As </w:t>
      </w:r>
      <w:r>
        <w:t xml:space="preserve">for </w:t>
      </w:r>
      <w:r>
        <w:t>the unredacted statements, t</w:t>
      </w:r>
      <w:r>
        <w:t xml:space="preserve">he court </w:t>
      </w:r>
      <w:r>
        <w:t xml:space="preserve">ruled </w:t>
      </w:r>
      <w:r>
        <w:t xml:space="preserve">they </w:t>
      </w:r>
      <w:r>
        <w:t>were protected activity and privileged.</w:t>
      </w:r>
    </w:p>
    <w:p w14:paraId="4CAF3F59" w14:textId="77777777" w:rsidR="00C914E2" w:rsidRDefault="00C914E2" w:rsidP="00060BE1">
      <w:pPr>
        <w:tabs>
          <w:tab w:val="left" w:pos="1440"/>
        </w:tabs>
        <w:spacing w:line="480" w:lineRule="exact"/>
      </w:pPr>
      <w:r>
        <w:tab/>
      </w:r>
      <w:r>
        <w:t>VDM</w:t>
      </w:r>
      <w:r>
        <w:t xml:space="preserve"> </w:t>
      </w:r>
      <w:r>
        <w:t xml:space="preserve">appeals the ruling.  It </w:t>
      </w:r>
      <w:r>
        <w:t>makes three arguments.  First,</w:t>
      </w:r>
      <w:r>
        <w:t xml:space="preserve"> the </w:t>
      </w:r>
      <w:r>
        <w:t xml:space="preserve">anti-SLAPP statute does not apply </w:t>
      </w:r>
      <w:r>
        <w:t xml:space="preserve">to </w:t>
      </w:r>
      <w:r>
        <w:t xml:space="preserve">the </w:t>
      </w:r>
      <w:r>
        <w:t xml:space="preserve">press release </w:t>
      </w:r>
      <w:r>
        <w:t xml:space="preserve">statements </w:t>
      </w:r>
      <w:r>
        <w:t xml:space="preserve">because they </w:t>
      </w:r>
      <w:r>
        <w:t xml:space="preserve">fall within the </w:t>
      </w:r>
      <w:r>
        <w:t>commercial speech</w:t>
      </w:r>
      <w:r>
        <w:t xml:space="preserve"> exemption</w:t>
      </w:r>
      <w:r>
        <w:t xml:space="preserve">.  Second, </w:t>
      </w:r>
      <w:r>
        <w:t xml:space="preserve">the </w:t>
      </w:r>
      <w:r>
        <w:t xml:space="preserve">press release </w:t>
      </w:r>
      <w:r>
        <w:t xml:space="preserve">statements </w:t>
      </w:r>
      <w:r>
        <w:t xml:space="preserve">are not protected activity under </w:t>
      </w:r>
      <w:r>
        <w:t xml:space="preserve">the anti-SLAPP statute </w:t>
      </w:r>
      <w:r>
        <w:t>and</w:t>
      </w:r>
      <w:r>
        <w:t xml:space="preserve">, </w:t>
      </w:r>
      <w:r>
        <w:t xml:space="preserve">even </w:t>
      </w:r>
      <w:r>
        <w:t xml:space="preserve">if they are, </w:t>
      </w:r>
      <w:r>
        <w:t xml:space="preserve">VDM </w:t>
      </w:r>
      <w:r>
        <w:t xml:space="preserve">has </w:t>
      </w:r>
      <w:r>
        <w:t xml:space="preserve">shown </w:t>
      </w:r>
      <w:r>
        <w:t xml:space="preserve">a probability of prevailing on </w:t>
      </w:r>
      <w:r>
        <w:t xml:space="preserve">its </w:t>
      </w:r>
      <w:r>
        <w:t xml:space="preserve">claims.  </w:t>
      </w:r>
      <w:r>
        <w:t>Third</w:t>
      </w:r>
      <w:r>
        <w:t xml:space="preserve">, the </w:t>
      </w:r>
      <w:r>
        <w:t xml:space="preserve">trial </w:t>
      </w:r>
      <w:r>
        <w:t xml:space="preserve">court erred by denying </w:t>
      </w:r>
      <w:r>
        <w:t xml:space="preserve">VDM’s </w:t>
      </w:r>
      <w:r>
        <w:t xml:space="preserve">motion to take </w:t>
      </w:r>
      <w:r>
        <w:t>discovery.</w:t>
      </w:r>
      <w:r>
        <w:t xml:space="preserve">  </w:t>
      </w:r>
      <w:r>
        <w:t xml:space="preserve">As to the portion of the order concerning </w:t>
      </w:r>
      <w:proofErr w:type="spellStart"/>
      <w:r>
        <w:t>BioCorRx</w:t>
      </w:r>
      <w:proofErr w:type="spellEnd"/>
      <w:r>
        <w:t xml:space="preserve">, </w:t>
      </w:r>
      <w:r>
        <w:t>w</w:t>
      </w:r>
      <w:r>
        <w:t xml:space="preserve">e </w:t>
      </w:r>
      <w:r>
        <w:t>agree with VDM</w:t>
      </w:r>
      <w:r>
        <w:t>’s first argument</w:t>
      </w:r>
      <w:r>
        <w:t xml:space="preserve"> and</w:t>
      </w:r>
      <w:r>
        <w:t xml:space="preserve">, </w:t>
      </w:r>
      <w:r>
        <w:t>therefore</w:t>
      </w:r>
      <w:r>
        <w:t xml:space="preserve">, </w:t>
      </w:r>
      <w:r>
        <w:t xml:space="preserve">do not </w:t>
      </w:r>
      <w:r>
        <w:t xml:space="preserve">address </w:t>
      </w:r>
      <w:r>
        <w:t xml:space="preserve">the </w:t>
      </w:r>
      <w:r>
        <w:t xml:space="preserve">remaining </w:t>
      </w:r>
      <w:r>
        <w:t>contentions</w:t>
      </w:r>
      <w:r>
        <w:t>.</w:t>
      </w:r>
      <w:r>
        <w:t xml:space="preserve">  As to the portion of the order concerning Granier, VDM has not shown any error.</w:t>
      </w:r>
      <w:r w:rsidRPr="009B5789">
        <w:rPr>
          <w:rStyle w:val="FootnoteReference"/>
        </w:rPr>
        <w:t xml:space="preserve"> </w:t>
      </w:r>
      <w:r>
        <w:rPr>
          <w:rStyle w:val="FootnoteReference"/>
        </w:rPr>
        <w:footnoteReference w:id="4"/>
      </w:r>
    </w:p>
    <w:p w14:paraId="7A1E1B43" w14:textId="77777777" w:rsidR="00C914E2" w:rsidRDefault="00C914E2" w:rsidP="00060BE1">
      <w:pPr>
        <w:keepNext/>
        <w:tabs>
          <w:tab w:val="left" w:pos="5040"/>
        </w:tabs>
        <w:spacing w:before="480" w:line="480" w:lineRule="exact"/>
        <w:jc w:val="center"/>
      </w:pPr>
      <w:r>
        <w:lastRenderedPageBreak/>
        <w:t>II</w:t>
      </w:r>
    </w:p>
    <w:p w14:paraId="7008C2B0" w14:textId="77777777" w:rsidR="00C914E2" w:rsidRDefault="00C914E2" w:rsidP="008A02EB">
      <w:pPr>
        <w:keepNext/>
        <w:tabs>
          <w:tab w:val="left" w:pos="5040"/>
        </w:tabs>
        <w:spacing w:line="480" w:lineRule="exact"/>
        <w:jc w:val="center"/>
      </w:pPr>
      <w:r>
        <w:t>DISCUSSION</w:t>
      </w:r>
    </w:p>
    <w:p w14:paraId="1B21C2C4" w14:textId="77777777" w:rsidR="00C914E2" w:rsidRPr="00341173" w:rsidRDefault="00C914E2" w:rsidP="00341173">
      <w:pPr>
        <w:tabs>
          <w:tab w:val="left" w:pos="5040"/>
        </w:tabs>
        <w:spacing w:line="480" w:lineRule="exact"/>
        <w:rPr>
          <w:i/>
          <w:iCs/>
        </w:rPr>
      </w:pPr>
      <w:bookmarkStart w:id="1" w:name="_Hlk157516475"/>
      <w:r>
        <w:rPr>
          <w:i/>
          <w:iCs/>
        </w:rPr>
        <w:t xml:space="preserve">A.  </w:t>
      </w:r>
      <w:r w:rsidRPr="00341173">
        <w:rPr>
          <w:i/>
          <w:iCs/>
        </w:rPr>
        <w:t xml:space="preserve">The </w:t>
      </w:r>
      <w:r w:rsidRPr="00341173">
        <w:rPr>
          <w:i/>
          <w:iCs/>
        </w:rPr>
        <w:t xml:space="preserve">Anti-SLAPP </w:t>
      </w:r>
      <w:r w:rsidRPr="00341173">
        <w:rPr>
          <w:i/>
          <w:iCs/>
        </w:rPr>
        <w:t>Statute</w:t>
      </w:r>
    </w:p>
    <w:bookmarkEnd w:id="1"/>
    <w:p w14:paraId="7939912C" w14:textId="77777777" w:rsidR="00C914E2" w:rsidRDefault="00C914E2" w:rsidP="00725142">
      <w:pPr>
        <w:tabs>
          <w:tab w:val="left" w:pos="1440"/>
        </w:tabs>
        <w:spacing w:line="480" w:lineRule="exact"/>
      </w:pPr>
      <w:r>
        <w:tab/>
      </w:r>
      <w:r>
        <w:t xml:space="preserve">Section 425.16 was enacted </w:t>
      </w:r>
      <w:r>
        <w:t>“‘to prevent and deter “lawsuits .</w:t>
      </w:r>
      <w:r>
        <w:t xml:space="preserve"> </w:t>
      </w:r>
      <w:r>
        <w:t>.</w:t>
      </w:r>
      <w:r>
        <w:t xml:space="preserve"> </w:t>
      </w:r>
      <w:r>
        <w:t xml:space="preserve">. brought primarily to chill the valid exercise of the constitutional rights of freedom of speech and petition for the redress of grievances.” </w:t>
      </w:r>
      <w:r>
        <w:t xml:space="preserve"> </w:t>
      </w:r>
      <w:r>
        <w:t xml:space="preserve">[Citation.] </w:t>
      </w:r>
      <w:r>
        <w:t xml:space="preserve"> </w:t>
      </w:r>
      <w:r>
        <w:t xml:space="preserve">Because these meritless lawsuits seek to deplete “the defendant’s energy” and drain “his or her resources” [citation], the Legislature sought “‘to prevent SLAPPs by ending them early and without great cost to the SLAPP target’” [citation]. </w:t>
      </w:r>
      <w:r>
        <w:t xml:space="preserve"> </w:t>
      </w:r>
      <w:r>
        <w:t>Section 425.16 therefore establishes a procedure w</w:t>
      </w:r>
      <w:r>
        <w:t>here the trial court evaluates the merits of the lawsuit using a summary-judgment-like procedure at an early stage of the litigation.</w:t>
      </w:r>
      <w:r>
        <w:t>’</w:t>
      </w:r>
      <w:r>
        <w:t>”  (</w:t>
      </w:r>
      <w:r w:rsidRPr="002B4B89">
        <w:rPr>
          <w:i/>
          <w:iCs/>
        </w:rPr>
        <w:t>Bonni</w:t>
      </w:r>
      <w:r>
        <w:t xml:space="preserve">, </w:t>
      </w:r>
      <w:r>
        <w:rPr>
          <w:i/>
          <w:iCs/>
        </w:rPr>
        <w:t>supra</w:t>
      </w:r>
      <w:r>
        <w:t xml:space="preserve">, </w:t>
      </w:r>
      <w:r>
        <w:t xml:space="preserve">83 Cal.App.5th </w:t>
      </w:r>
      <w:r>
        <w:t>at p.</w:t>
      </w:r>
      <w:r>
        <w:t xml:space="preserve"> 298.)</w:t>
      </w:r>
    </w:p>
    <w:p w14:paraId="30833920" w14:textId="77777777" w:rsidR="00C914E2" w:rsidRDefault="00C914E2" w:rsidP="007C7629">
      <w:pPr>
        <w:tabs>
          <w:tab w:val="left" w:pos="1440"/>
        </w:tabs>
        <w:spacing w:line="480" w:lineRule="exact"/>
      </w:pPr>
      <w:r>
        <w:tab/>
        <w:t xml:space="preserve">“Anti-SLAPP motions are reviewed through a two-step process. </w:t>
      </w:r>
      <w:r>
        <w:t xml:space="preserve"> </w:t>
      </w:r>
      <w:r>
        <w:t>‘First, the court must determine “whether the defendant has made a threshold showing that the challenged cause of action” arises from an act in furtherance of the right of petition or free speech in connection with a public issue.  [Citation.]  Second, the court must “determine whether the plaintiff has demonstrated a probability of prevailing on the claim.”  [Citation.]  If the defendant makes a threshold showing that the cause of action arises from an act in furtherance of the right of petition or free s</w:t>
      </w:r>
      <w:r>
        <w:t xml:space="preserve">peech in connection with a public issue and the plaintiff fails to demonstrate a probability of prevailing, then the court must strike the cause of action </w:t>
      </w:r>
      <w:r>
        <w:t>[citation]</w:t>
      </w:r>
      <w:r>
        <w:t xml:space="preserve"> and award the defendant </w:t>
      </w:r>
      <w:r>
        <w:t>“</w:t>
      </w:r>
      <w:r>
        <w:t>attorney</w:t>
      </w:r>
      <w:r>
        <w:t>’</w:t>
      </w:r>
      <w:r>
        <w:t>s fees and costs</w:t>
      </w:r>
      <w:r>
        <w:t>.</w:t>
      </w:r>
      <w:r>
        <w:t>”’</w:t>
      </w:r>
      <w:r>
        <w:t>”</w:t>
      </w:r>
      <w:r>
        <w:t xml:space="preserve">  (</w:t>
      </w:r>
      <w:r w:rsidRPr="002B4B89">
        <w:rPr>
          <w:i/>
          <w:iCs/>
        </w:rPr>
        <w:t>Bonni</w:t>
      </w:r>
      <w:r>
        <w:t xml:space="preserve">, </w:t>
      </w:r>
      <w:r>
        <w:rPr>
          <w:i/>
          <w:iCs/>
        </w:rPr>
        <w:t>supra</w:t>
      </w:r>
      <w:r>
        <w:t xml:space="preserve">, </w:t>
      </w:r>
      <w:r>
        <w:t xml:space="preserve">83 Cal.App.5th </w:t>
      </w:r>
      <w:r>
        <w:t>at p.</w:t>
      </w:r>
      <w:r>
        <w:t xml:space="preserve"> 298</w:t>
      </w:r>
      <w:r>
        <w:t>.)</w:t>
      </w:r>
    </w:p>
    <w:p w14:paraId="35334915" w14:textId="77777777" w:rsidR="00C914E2" w:rsidRDefault="00C914E2" w:rsidP="007C7629">
      <w:pPr>
        <w:tabs>
          <w:tab w:val="left" w:pos="1440"/>
        </w:tabs>
        <w:spacing w:line="480" w:lineRule="exact"/>
      </w:pPr>
      <w:r>
        <w:tab/>
        <w:t xml:space="preserve">We begin by analyzing the </w:t>
      </w:r>
      <w:r>
        <w:t xml:space="preserve">ruling as to </w:t>
      </w:r>
      <w:proofErr w:type="spellStart"/>
      <w:r>
        <w:t>BioCorRx</w:t>
      </w:r>
      <w:proofErr w:type="spellEnd"/>
      <w:r>
        <w:t xml:space="preserve"> and then turn to Granier.</w:t>
      </w:r>
    </w:p>
    <w:p w14:paraId="0B8776E9" w14:textId="77777777" w:rsidR="00C914E2" w:rsidRDefault="00C914E2">
      <w:r>
        <w:br w:type="page"/>
      </w:r>
    </w:p>
    <w:p w14:paraId="66E978AC" w14:textId="77777777" w:rsidR="00C914E2" w:rsidRPr="00341173" w:rsidRDefault="00C914E2" w:rsidP="00341173">
      <w:pPr>
        <w:keepNext/>
        <w:tabs>
          <w:tab w:val="left" w:pos="5040"/>
        </w:tabs>
        <w:spacing w:before="480" w:line="480" w:lineRule="exact"/>
        <w:rPr>
          <w:i/>
          <w:iCs/>
        </w:rPr>
      </w:pPr>
      <w:r>
        <w:rPr>
          <w:i/>
          <w:iCs/>
        </w:rPr>
        <w:lastRenderedPageBreak/>
        <w:t xml:space="preserve">B.  </w:t>
      </w:r>
      <w:r w:rsidRPr="00341173">
        <w:rPr>
          <w:i/>
          <w:iCs/>
        </w:rPr>
        <w:t xml:space="preserve">The </w:t>
      </w:r>
      <w:r w:rsidRPr="00341173">
        <w:rPr>
          <w:i/>
          <w:iCs/>
        </w:rPr>
        <w:t>Commercial Speech Exemption</w:t>
      </w:r>
      <w:r>
        <w:rPr>
          <w:i/>
          <w:iCs/>
        </w:rPr>
        <w:t xml:space="preserve"> Applied to </w:t>
      </w:r>
      <w:proofErr w:type="spellStart"/>
      <w:r>
        <w:rPr>
          <w:i/>
          <w:iCs/>
        </w:rPr>
        <w:t>BioCorRx</w:t>
      </w:r>
      <w:proofErr w:type="spellEnd"/>
    </w:p>
    <w:p w14:paraId="25C748E2" w14:textId="77777777" w:rsidR="00C914E2" w:rsidRDefault="00C914E2" w:rsidP="00BE2121">
      <w:pPr>
        <w:tabs>
          <w:tab w:val="left" w:pos="1440"/>
        </w:tabs>
        <w:spacing w:line="480" w:lineRule="exact"/>
      </w:pPr>
      <w:r>
        <w:tab/>
        <w:t>The Legislature later became “‘concerned about the “disturbing abuse” of the anti-SLAPP statute.’”</w:t>
      </w:r>
      <w:r w:rsidRPr="00BE2121">
        <w:t xml:space="preserve"> </w:t>
      </w:r>
      <w:r>
        <w:t xml:space="preserve"> (</w:t>
      </w:r>
      <w:r w:rsidRPr="00A82B1D">
        <w:rPr>
          <w:i/>
          <w:iCs/>
        </w:rPr>
        <w:t xml:space="preserve">JAMS, Inc. v. </w:t>
      </w:r>
      <w:r w:rsidRPr="00A82B1D">
        <w:rPr>
          <w:i/>
          <w:iCs/>
        </w:rPr>
        <w:t>Superior Court</w:t>
      </w:r>
      <w:r>
        <w:t xml:space="preserve"> (2016) 1 Cal.App.5th 984, 992.)  </w:t>
      </w:r>
      <w:r>
        <w:t>To curb this abuse</w:t>
      </w:r>
      <w:r>
        <w:t xml:space="preserve">, </w:t>
      </w:r>
      <w:r>
        <w:t xml:space="preserve">the Legislature </w:t>
      </w:r>
      <w:r>
        <w:t xml:space="preserve">enacted section 425.17 </w:t>
      </w:r>
      <w:r>
        <w:t xml:space="preserve">to exempt certain actions from </w:t>
      </w:r>
      <w:r>
        <w:t xml:space="preserve">the anti-SLAPP statute, </w:t>
      </w:r>
      <w:r>
        <w:t xml:space="preserve">including a specific exemption for </w:t>
      </w:r>
      <w:r>
        <w:t>commercial speech.</w:t>
      </w:r>
      <w:r>
        <w:t xml:space="preserve">  (</w:t>
      </w:r>
      <w:r w:rsidRPr="00BE2121">
        <w:rPr>
          <w:i/>
          <w:iCs/>
        </w:rPr>
        <w:t>Ibid</w:t>
      </w:r>
      <w:r>
        <w:t>.)</w:t>
      </w:r>
    </w:p>
    <w:p w14:paraId="6943DD3E" w14:textId="77777777" w:rsidR="00C914E2" w:rsidRDefault="00C914E2" w:rsidP="00BE2121">
      <w:pPr>
        <w:tabs>
          <w:tab w:val="left" w:pos="1440"/>
        </w:tabs>
        <w:spacing w:line="480" w:lineRule="exact"/>
      </w:pPr>
      <w:r>
        <w:tab/>
      </w:r>
      <w:r>
        <w:t>Th</w:t>
      </w:r>
      <w:r>
        <w:t xml:space="preserve">e commercial speech </w:t>
      </w:r>
      <w:r>
        <w:t xml:space="preserve">exemption </w:t>
      </w:r>
      <w:r>
        <w:t>applies “when (1) the cause of action is against a person primarily engaged in the business of selling or leasing goods or services; (2) the cause of action arises from a statement or conduct by that person consisting of representations of fact about that person</w:t>
      </w:r>
      <w:r>
        <w:t>’</w:t>
      </w:r>
      <w:r>
        <w:t>s or a business competitor</w:t>
      </w:r>
      <w:r>
        <w:t>’</w:t>
      </w:r>
      <w:r>
        <w:t>s business operations, goods, or services; (3) the statement or conduct was made either for the purpose of obtaining approval for, promoting, or securing sales or leases of, or commercial tr</w:t>
      </w:r>
      <w:r>
        <w:t>ansactions in, the person</w:t>
      </w:r>
      <w:r>
        <w:t>’</w:t>
      </w:r>
      <w:r>
        <w:t>s goods or services or in the course of delivering the person</w:t>
      </w:r>
      <w:r>
        <w:t>’</w:t>
      </w:r>
      <w:r>
        <w:t>s goods or services; and (4) the intended audience for the statement or conduct meets the definition set forth in section 425.17(c)(2).”  (</w:t>
      </w:r>
      <w:r w:rsidRPr="00E508CE">
        <w:rPr>
          <w:i/>
          <w:iCs/>
        </w:rPr>
        <w:t>Simpson Strong-Tie Co., Inc. v. Gore</w:t>
      </w:r>
      <w:r>
        <w:t xml:space="preserve"> (2010) 49 Cal.4th 12, 30</w:t>
      </w:r>
      <w:r>
        <w:t xml:space="preserve"> (</w:t>
      </w:r>
      <w:r w:rsidRPr="004374FF">
        <w:rPr>
          <w:i/>
          <w:iCs/>
        </w:rPr>
        <w:t>Simpson</w:t>
      </w:r>
      <w:r>
        <w:t>)</w:t>
      </w:r>
      <w:r>
        <w:t>.)</w:t>
      </w:r>
    </w:p>
    <w:p w14:paraId="6B8B76E0" w14:textId="77777777" w:rsidR="00C914E2" w:rsidRDefault="00C914E2" w:rsidP="00491020">
      <w:pPr>
        <w:tabs>
          <w:tab w:val="left" w:pos="1440"/>
        </w:tabs>
        <w:spacing w:line="480" w:lineRule="exact"/>
      </w:pPr>
      <w:r>
        <w:tab/>
      </w:r>
      <w:r>
        <w:t>T</w:t>
      </w:r>
      <w:r>
        <w:t xml:space="preserve">he commercial speech exemption is a threshold issue.  If applicable, the </w:t>
      </w:r>
      <w:r>
        <w:t xml:space="preserve">challenged </w:t>
      </w:r>
      <w:r>
        <w:t xml:space="preserve">speech or conduct is </w:t>
      </w:r>
      <w:r>
        <w:t xml:space="preserve">not protected by </w:t>
      </w:r>
      <w:r>
        <w:t>the anti-SLAPP statute.  (</w:t>
      </w:r>
      <w:r w:rsidRPr="00E1550A">
        <w:rPr>
          <w:i/>
          <w:iCs/>
        </w:rPr>
        <w:t>Xu v. Huang</w:t>
      </w:r>
      <w:r>
        <w:t xml:space="preserve"> (2021) 73 Cal.App.5th 802, 806-807.)</w:t>
      </w:r>
    </w:p>
    <w:p w14:paraId="605C6A08" w14:textId="77777777" w:rsidR="00C914E2" w:rsidRDefault="00C914E2" w:rsidP="00491020">
      <w:pPr>
        <w:tabs>
          <w:tab w:val="left" w:pos="1440"/>
        </w:tabs>
        <w:spacing w:line="480" w:lineRule="exact"/>
      </w:pPr>
      <w:r>
        <w:tab/>
      </w:r>
      <w:r>
        <w:t xml:space="preserve">We review </w:t>
      </w:r>
      <w:r>
        <w:t xml:space="preserve">de novo </w:t>
      </w:r>
      <w:r>
        <w:t xml:space="preserve">the trial </w:t>
      </w:r>
      <w:r>
        <w:t>court’s ruling</w:t>
      </w:r>
      <w:r>
        <w:t xml:space="preserve"> on the commercial speech exemption</w:t>
      </w:r>
      <w:r>
        <w:t xml:space="preserve">.  </w:t>
      </w:r>
      <w:r>
        <w:t>(</w:t>
      </w:r>
      <w:r w:rsidRPr="00EF2BE5">
        <w:rPr>
          <w:i/>
          <w:iCs/>
        </w:rPr>
        <w:t>Xu v. Huang</w:t>
      </w:r>
      <w:r>
        <w:t xml:space="preserve">, </w:t>
      </w:r>
      <w:r w:rsidRPr="000A4D71">
        <w:rPr>
          <w:i/>
          <w:iCs/>
        </w:rPr>
        <w:t>supra</w:t>
      </w:r>
      <w:r>
        <w:t>,</w:t>
      </w:r>
      <w:r>
        <w:t xml:space="preserve"> 73 Cal.App.5th </w:t>
      </w:r>
      <w:r>
        <w:t xml:space="preserve">at p. </w:t>
      </w:r>
      <w:r>
        <w:t>811.)</w:t>
      </w:r>
      <w:r>
        <w:t xml:space="preserve">  </w:t>
      </w:r>
      <w:r>
        <w:t xml:space="preserve">The exemption is narrowly </w:t>
      </w:r>
      <w:r>
        <w:t>construed</w:t>
      </w:r>
      <w:r>
        <w:t xml:space="preserve">.  </w:t>
      </w:r>
      <w:r>
        <w:t>(</w:t>
      </w:r>
      <w:r w:rsidRPr="00B40363">
        <w:rPr>
          <w:i/>
          <w:iCs/>
        </w:rPr>
        <w:t>Id</w:t>
      </w:r>
      <w:r>
        <w:t xml:space="preserve">. at p. 813.)  </w:t>
      </w:r>
      <w:r>
        <w:t xml:space="preserve">VDM has the burden of establishing each element, </w:t>
      </w:r>
      <w:r>
        <w:t xml:space="preserve">and </w:t>
      </w:r>
      <w:r>
        <w:t>w</w:t>
      </w:r>
      <w:r>
        <w:t>e accept as true the evidence favorable to VDM.  (</w:t>
      </w:r>
      <w:r w:rsidRPr="00A4032F">
        <w:rPr>
          <w:i/>
          <w:iCs/>
        </w:rPr>
        <w:t>Id</w:t>
      </w:r>
      <w:r>
        <w:t xml:space="preserve">. </w:t>
      </w:r>
      <w:r w:rsidRPr="00A4032F">
        <w:t>at</w:t>
      </w:r>
      <w:r>
        <w:t xml:space="preserve"> p</w:t>
      </w:r>
      <w:r>
        <w:t>p</w:t>
      </w:r>
      <w:r>
        <w:t xml:space="preserve">. </w:t>
      </w:r>
      <w:r>
        <w:t xml:space="preserve">813, </w:t>
      </w:r>
      <w:r>
        <w:t xml:space="preserve">815.)  </w:t>
      </w:r>
      <w:r>
        <w:t>W</w:t>
      </w:r>
      <w:r>
        <w:t xml:space="preserve">e do not consider the merits of </w:t>
      </w:r>
      <w:r>
        <w:t>VDM</w:t>
      </w:r>
      <w:r>
        <w:t>’</w:t>
      </w:r>
      <w:r>
        <w:t>s</w:t>
      </w:r>
      <w:r>
        <w:t xml:space="preserve"> </w:t>
      </w:r>
      <w:r>
        <w:t>claims w</w:t>
      </w:r>
      <w:r>
        <w:t xml:space="preserve">hen </w:t>
      </w:r>
      <w:r>
        <w:t xml:space="preserve">analyzing </w:t>
      </w:r>
      <w:r>
        <w:t xml:space="preserve">whether </w:t>
      </w:r>
      <w:r>
        <w:t>the exemption</w:t>
      </w:r>
      <w:r>
        <w:t xml:space="preserve"> applies</w:t>
      </w:r>
      <w:r>
        <w:t xml:space="preserve">.  </w:t>
      </w:r>
      <w:r>
        <w:t>(</w:t>
      </w:r>
      <w:r w:rsidRPr="00A82B1D">
        <w:rPr>
          <w:i/>
          <w:iCs/>
        </w:rPr>
        <w:t>JAMS, Inc. v. Superior Court</w:t>
      </w:r>
      <w:r>
        <w:t xml:space="preserve">, </w:t>
      </w:r>
      <w:r w:rsidRPr="002F2287">
        <w:rPr>
          <w:i/>
          <w:iCs/>
        </w:rPr>
        <w:t>supra</w:t>
      </w:r>
      <w:r>
        <w:t>,</w:t>
      </w:r>
      <w:r>
        <w:t xml:space="preserve"> 1 Cal.App.5th </w:t>
      </w:r>
      <w:r>
        <w:t xml:space="preserve">at p. </w:t>
      </w:r>
      <w:r>
        <w:t>993.)</w:t>
      </w:r>
    </w:p>
    <w:p w14:paraId="545C9C15" w14:textId="77777777" w:rsidR="00C914E2" w:rsidRDefault="00C914E2">
      <w:r>
        <w:br w:type="page"/>
      </w:r>
    </w:p>
    <w:p w14:paraId="7FDCB009" w14:textId="77777777" w:rsidR="00C914E2" w:rsidRDefault="00C914E2" w:rsidP="00214F39">
      <w:pPr>
        <w:pStyle w:val="ListParagraph"/>
        <w:numPr>
          <w:ilvl w:val="1"/>
          <w:numId w:val="1"/>
        </w:numPr>
        <w:tabs>
          <w:tab w:val="left" w:pos="5040"/>
        </w:tabs>
        <w:spacing w:before="480" w:line="480" w:lineRule="exact"/>
        <w:contextualSpacing w:val="0"/>
        <w:rPr>
          <w:i/>
          <w:iCs/>
        </w:rPr>
      </w:pPr>
      <w:proofErr w:type="spellStart"/>
      <w:r>
        <w:rPr>
          <w:i/>
          <w:iCs/>
        </w:rPr>
        <w:lastRenderedPageBreak/>
        <w:t>BioCorRx’s</w:t>
      </w:r>
      <w:proofErr w:type="spellEnd"/>
      <w:r>
        <w:rPr>
          <w:i/>
          <w:iCs/>
        </w:rPr>
        <w:t xml:space="preserve"> primary business</w:t>
      </w:r>
    </w:p>
    <w:p w14:paraId="505A4460" w14:textId="77777777" w:rsidR="00C914E2" w:rsidRPr="007C786A" w:rsidRDefault="00C914E2" w:rsidP="00BF3217">
      <w:pPr>
        <w:tabs>
          <w:tab w:val="left" w:pos="1440"/>
        </w:tabs>
        <w:spacing w:line="480" w:lineRule="exact"/>
      </w:pPr>
      <w:r>
        <w:tab/>
        <w:t xml:space="preserve">Under this prong, we must </w:t>
      </w:r>
      <w:r>
        <w:t xml:space="preserve">determine whether </w:t>
      </w:r>
      <w:proofErr w:type="spellStart"/>
      <w:r>
        <w:t>BioCorRx</w:t>
      </w:r>
      <w:proofErr w:type="spellEnd"/>
      <w:r>
        <w:t xml:space="preserve"> is “</w:t>
      </w:r>
      <w:r w:rsidRPr="007D05DE">
        <w:t xml:space="preserve">a person </w:t>
      </w:r>
      <w:r w:rsidRPr="0028573E">
        <w:rPr>
          <w:i/>
          <w:iCs/>
        </w:rPr>
        <w:t>primarily</w:t>
      </w:r>
      <w:r w:rsidRPr="007D05DE">
        <w:t xml:space="preserve"> engaged in the business of selling or leasing goods or services</w:t>
      </w:r>
      <w:r>
        <w:t>.”  (§ 425.17, subd. (c)</w:t>
      </w:r>
      <w:r>
        <w:t>, italics added</w:t>
      </w:r>
      <w:r>
        <w:t xml:space="preserve">.)  </w:t>
      </w:r>
      <w:r w:rsidRPr="006C4E74">
        <w:t xml:space="preserve">VDM argues </w:t>
      </w:r>
      <w:proofErr w:type="spellStart"/>
      <w:r w:rsidRPr="006C4E74">
        <w:t>BioCorRx</w:t>
      </w:r>
      <w:proofErr w:type="spellEnd"/>
      <w:r w:rsidRPr="006C4E74">
        <w:t xml:space="preserve"> is primarily engaged in the business of providing addiction treatment services and selling related medications.  It also contends </w:t>
      </w:r>
      <w:proofErr w:type="spellStart"/>
      <w:r w:rsidRPr="006C4E74">
        <w:t>BioCorRx</w:t>
      </w:r>
      <w:proofErr w:type="spellEnd"/>
      <w:r w:rsidRPr="006C4E74">
        <w:t xml:space="preserve"> sells and promotes its securities.  In response, </w:t>
      </w:r>
      <w:proofErr w:type="spellStart"/>
      <w:r w:rsidRPr="006C4E74">
        <w:t>BioCorRx</w:t>
      </w:r>
      <w:proofErr w:type="spellEnd"/>
      <w:r w:rsidRPr="006C4E74">
        <w:t xml:space="preserve"> maintains it is primarily engaged in research and development.  It cites evidence showing nearly all its revenues from 2019 to 2021 were fr</w:t>
      </w:r>
      <w:r w:rsidRPr="006C4E74">
        <w:t xml:space="preserve">om research and development grants.  Likewise, nearly all its expenditures in these years were on research and development, with only a small fraction of funds spent on other costs of sales.  </w:t>
      </w:r>
      <w:r>
        <w:t xml:space="preserve">There are no similar cases </w:t>
      </w:r>
      <w:r>
        <w:t xml:space="preserve">in which a company argued this prong was not met because </w:t>
      </w:r>
      <w:r>
        <w:t>it</w:t>
      </w:r>
      <w:r>
        <w:t xml:space="preserve"> obtained most of its </w:t>
      </w:r>
      <w:r>
        <w:t xml:space="preserve">funds through grants </w:t>
      </w:r>
      <w:r>
        <w:t xml:space="preserve">that were </w:t>
      </w:r>
      <w:r>
        <w:t xml:space="preserve">used to </w:t>
      </w:r>
      <w:r>
        <w:t>research and develop new</w:t>
      </w:r>
      <w:r>
        <w:t xml:space="preserve"> commercial</w:t>
      </w:r>
      <w:r>
        <w:t xml:space="preserve"> products.  </w:t>
      </w:r>
      <w:r>
        <w:t>W</w:t>
      </w:r>
      <w:r>
        <w:t xml:space="preserve">e are not persuaded by </w:t>
      </w:r>
      <w:r>
        <w:t>this novel argument</w:t>
      </w:r>
      <w:r>
        <w:t xml:space="preserve">.  </w:t>
      </w:r>
      <w:r>
        <w:t>As explained below, i</w:t>
      </w:r>
      <w:r>
        <w:t>n analyzing this prong w</w:t>
      </w:r>
      <w:r>
        <w:t xml:space="preserve">e cannot simply look at </w:t>
      </w:r>
      <w:r>
        <w:t xml:space="preserve">the </w:t>
      </w:r>
      <w:r>
        <w:t>percent</w:t>
      </w:r>
      <w:r>
        <w:t xml:space="preserve">age of funds </w:t>
      </w:r>
      <w:proofErr w:type="spellStart"/>
      <w:r>
        <w:t>BioCorRx</w:t>
      </w:r>
      <w:proofErr w:type="spellEnd"/>
      <w:r>
        <w:t xml:space="preserve"> allocat</w:t>
      </w:r>
      <w:r>
        <w:t>es</w:t>
      </w:r>
      <w:r>
        <w:t xml:space="preserve"> to </w:t>
      </w:r>
      <w:r>
        <w:t xml:space="preserve">or obtains from </w:t>
      </w:r>
      <w:r>
        <w:t xml:space="preserve">research and development.  </w:t>
      </w:r>
      <w:r>
        <w:t>W</w:t>
      </w:r>
      <w:r>
        <w:t>e must look at the business purpose behind these activities.</w:t>
      </w:r>
    </w:p>
    <w:p w14:paraId="31FE0180" w14:textId="77777777" w:rsidR="00C914E2" w:rsidRDefault="00C914E2" w:rsidP="00325411">
      <w:pPr>
        <w:tabs>
          <w:tab w:val="left" w:pos="1440"/>
        </w:tabs>
        <w:spacing w:line="480" w:lineRule="exact"/>
      </w:pPr>
      <w:r>
        <w:tab/>
      </w:r>
      <w:r>
        <w:t xml:space="preserve">The record shows </w:t>
      </w:r>
      <w:proofErr w:type="spellStart"/>
      <w:r>
        <w:t>BioCorRx</w:t>
      </w:r>
      <w:proofErr w:type="spellEnd"/>
      <w:r>
        <w:t xml:space="preserve"> is primarily engaged in the </w:t>
      </w:r>
      <w:r>
        <w:t xml:space="preserve">business </w:t>
      </w:r>
      <w:r>
        <w:t xml:space="preserve">of </w:t>
      </w:r>
      <w:r>
        <w:t xml:space="preserve">providing medication and </w:t>
      </w:r>
      <w:r>
        <w:t xml:space="preserve">treatment services </w:t>
      </w:r>
      <w:r>
        <w:t xml:space="preserve">to people </w:t>
      </w:r>
      <w:r>
        <w:t xml:space="preserve">struggling with alcohol, opioid, and other addictive disorders.  </w:t>
      </w:r>
      <w:r>
        <w:t>For example, i</w:t>
      </w:r>
      <w:r>
        <w:t xml:space="preserve">n </w:t>
      </w:r>
      <w:r>
        <w:t xml:space="preserve">the </w:t>
      </w:r>
      <w:r>
        <w:t xml:space="preserve">press </w:t>
      </w:r>
      <w:r>
        <w:t>releases</w:t>
      </w:r>
      <w:r>
        <w:t xml:space="preserve">, </w:t>
      </w:r>
      <w:proofErr w:type="spellStart"/>
      <w:r>
        <w:t>BioCorRx</w:t>
      </w:r>
      <w:proofErr w:type="spellEnd"/>
      <w:r>
        <w:t xml:space="preserve"> </w:t>
      </w:r>
      <w:r>
        <w:t xml:space="preserve">consistently </w:t>
      </w:r>
      <w:r>
        <w:t>describe</w:t>
      </w:r>
      <w:r>
        <w:t>s</w:t>
      </w:r>
      <w:r>
        <w:t xml:space="preserve"> </w:t>
      </w:r>
      <w:r>
        <w:t xml:space="preserve">itself as </w:t>
      </w:r>
      <w:r>
        <w:t xml:space="preserve">“an addiction treatment </w:t>
      </w:r>
      <w:r>
        <w:t xml:space="preserve">solutions </w:t>
      </w:r>
      <w:r>
        <w:t xml:space="preserve">company offering a unique approach to the treatment of substance </w:t>
      </w:r>
      <w:r>
        <w:t>use and other related disorders</w:t>
      </w:r>
      <w:r>
        <w:t xml:space="preserve">.” </w:t>
      </w:r>
      <w:r>
        <w:t xml:space="preserve"> </w:t>
      </w:r>
      <w:r>
        <w:t xml:space="preserve">In </w:t>
      </w:r>
      <w:r>
        <w:t xml:space="preserve">one </w:t>
      </w:r>
      <w:r>
        <w:t xml:space="preserve">press release, </w:t>
      </w:r>
      <w:r>
        <w:t xml:space="preserve">it </w:t>
      </w:r>
      <w:r>
        <w:t xml:space="preserve">calls itself </w:t>
      </w:r>
      <w:r>
        <w:t>“a leader, developer and provider of advanced solutions in the treatment of addiction and related disorders.”</w:t>
      </w:r>
    </w:p>
    <w:p w14:paraId="788C512E" w14:textId="77777777" w:rsidR="00C914E2" w:rsidRDefault="00C914E2" w:rsidP="002B69C1">
      <w:pPr>
        <w:tabs>
          <w:tab w:val="left" w:pos="1440"/>
        </w:tabs>
        <w:spacing w:line="480" w:lineRule="exact"/>
      </w:pPr>
      <w:r>
        <w:tab/>
      </w:r>
      <w:r>
        <w:t>Likewise, t</w:t>
      </w:r>
      <w:r>
        <w:t xml:space="preserve">he </w:t>
      </w:r>
      <w:r>
        <w:t>investor presentation</w:t>
      </w:r>
      <w:r>
        <w:t xml:space="preserve"> describes </w:t>
      </w:r>
      <w:proofErr w:type="spellStart"/>
      <w:r>
        <w:t>BioCorRx’s</w:t>
      </w:r>
      <w:proofErr w:type="spellEnd"/>
      <w:r>
        <w:t xml:space="preserve"> business as providing addiction treatment services and developing </w:t>
      </w:r>
      <w:r>
        <w:t>commercial</w:t>
      </w:r>
      <w:r>
        <w:t xml:space="preserve"> medication to treat substance abuse.  </w:t>
      </w:r>
      <w:r>
        <w:t>For instance</w:t>
      </w:r>
      <w:r>
        <w:t xml:space="preserve">, </w:t>
      </w:r>
      <w:r>
        <w:t xml:space="preserve">the investor presentation </w:t>
      </w:r>
      <w:r>
        <w:t>states that “[t]he addiction treatment market represents a multi-</w:t>
      </w:r>
      <w:proofErr w:type="gramStart"/>
      <w:r>
        <w:t>billion dollar</w:t>
      </w:r>
      <w:proofErr w:type="gramEnd"/>
      <w:r>
        <w:t xml:space="preserve"> industry which is undergoing a radical transformation to new treatment modalities involving medications.”  </w:t>
      </w:r>
      <w:r>
        <w:t xml:space="preserve">It </w:t>
      </w:r>
      <w:r>
        <w:t xml:space="preserve">then explains </w:t>
      </w:r>
      <w:r>
        <w:t xml:space="preserve">that </w:t>
      </w:r>
      <w:r>
        <w:lastRenderedPageBreak/>
        <w:t>“</w:t>
      </w:r>
      <w:proofErr w:type="spellStart"/>
      <w:r>
        <w:t>BioCorRx</w:t>
      </w:r>
      <w:proofErr w:type="spellEnd"/>
      <w:r>
        <w:t xml:space="preserve"> has two </w:t>
      </w:r>
      <w:r>
        <w:t xml:space="preserve">business </w:t>
      </w:r>
      <w:r>
        <w:t>models for treating addiction aligned with this change</w:t>
      </w:r>
      <w:proofErr w:type="gramStart"/>
      <w:r>
        <w:t>:”  (</w:t>
      </w:r>
      <w:proofErr w:type="gramEnd"/>
      <w:r>
        <w:t xml:space="preserve">1) “Seeking FDA approval of new medications to treat alcohol and opioid use disorders”; and (2) </w:t>
      </w:r>
      <w:r>
        <w:t>“</w:t>
      </w:r>
      <w:r>
        <w:t>[r]</w:t>
      </w:r>
      <w:proofErr w:type="spellStart"/>
      <w:r>
        <w:t>evenue</w:t>
      </w:r>
      <w:proofErr w:type="spellEnd"/>
      <w:r>
        <w:t xml:space="preserve"> generating </w:t>
      </w:r>
      <w:proofErr w:type="spellStart"/>
      <w:r>
        <w:t>BioCorRx</w:t>
      </w:r>
      <w:proofErr w:type="spellEnd"/>
      <w:r>
        <w:t>® Recovery Program combining medication and therapy.”</w:t>
      </w:r>
    </w:p>
    <w:p w14:paraId="3A134F11" w14:textId="77777777" w:rsidR="00C914E2" w:rsidRDefault="00C914E2" w:rsidP="002B69C1">
      <w:pPr>
        <w:tabs>
          <w:tab w:val="left" w:pos="1440"/>
        </w:tabs>
        <w:spacing w:line="480" w:lineRule="exact"/>
      </w:pPr>
      <w:r>
        <w:tab/>
      </w:r>
      <w:r>
        <w:t>T</w:t>
      </w:r>
      <w:r>
        <w:t xml:space="preserve">he </w:t>
      </w:r>
      <w:proofErr w:type="spellStart"/>
      <w:r>
        <w:t>BioCorRx</w:t>
      </w:r>
      <w:proofErr w:type="spellEnd"/>
      <w:r>
        <w:t>® Recovery Program</w:t>
      </w:r>
      <w:r>
        <w:t xml:space="preserve"> is “</w:t>
      </w:r>
      <w:r>
        <w:t>a non-addictive, medication-assisted treatment . . . program</w:t>
      </w:r>
      <w:r>
        <w:t>”</w:t>
      </w:r>
      <w:r>
        <w:t xml:space="preserve"> that consists of two components</w:t>
      </w:r>
      <w:proofErr w:type="gramStart"/>
      <w:r>
        <w:t>:  (</w:t>
      </w:r>
      <w:proofErr w:type="gramEnd"/>
      <w:r>
        <w:t>A</w:t>
      </w:r>
      <w:r>
        <w:t xml:space="preserve">) an </w:t>
      </w:r>
      <w:r>
        <w:t xml:space="preserve">implant </w:t>
      </w:r>
      <w:r>
        <w:t xml:space="preserve">that </w:t>
      </w:r>
      <w:r>
        <w:t>deliver</w:t>
      </w:r>
      <w:r>
        <w:t>s</w:t>
      </w:r>
      <w:r>
        <w:t xml:space="preserve"> </w:t>
      </w:r>
      <w:r>
        <w:t xml:space="preserve">naltrexone, a </w:t>
      </w:r>
      <w:r>
        <w:t>nonaddi</w:t>
      </w:r>
      <w:r>
        <w:t>cti</w:t>
      </w:r>
      <w:r>
        <w:t>ve me</w:t>
      </w:r>
      <w:r>
        <w:t xml:space="preserve">dicine that reduces alcohol and opioid </w:t>
      </w:r>
      <w:r>
        <w:t>cravings</w:t>
      </w:r>
      <w:r>
        <w:t>, and (</w:t>
      </w:r>
      <w:r>
        <w:t>B</w:t>
      </w:r>
      <w:r>
        <w:t xml:space="preserve">) </w:t>
      </w:r>
      <w:r>
        <w:t>one-on-one counseling</w:t>
      </w:r>
      <w:r>
        <w:t xml:space="preserve">.  </w:t>
      </w:r>
      <w:r>
        <w:t xml:space="preserve">The </w:t>
      </w:r>
      <w:r>
        <w:t>“</w:t>
      </w:r>
      <w:r>
        <w:t xml:space="preserve">Recovery Program is distributed at partner clinics across the US.”  “Fees are paid to </w:t>
      </w:r>
      <w:proofErr w:type="spellStart"/>
      <w:r>
        <w:t>BioCorRx</w:t>
      </w:r>
      <w:proofErr w:type="spellEnd"/>
      <w:r>
        <w:t xml:space="preserve"> per program sold by independent treatment providers.”  </w:t>
      </w:r>
      <w:r>
        <w:t xml:space="preserve">Around the time of the investor presentation, </w:t>
      </w:r>
      <w:proofErr w:type="spellStart"/>
      <w:r>
        <w:t>BioCorRx</w:t>
      </w:r>
      <w:proofErr w:type="spellEnd"/>
      <w:r>
        <w:t xml:space="preserve"> </w:t>
      </w:r>
      <w:r>
        <w:t xml:space="preserve">also </w:t>
      </w:r>
      <w:r>
        <w:t xml:space="preserve">began offering </w:t>
      </w:r>
      <w:r>
        <w:t xml:space="preserve">a </w:t>
      </w:r>
      <w:r>
        <w:t>medication</w:t>
      </w:r>
      <w:r>
        <w:t xml:space="preserve">-assisted weight loss program called “The </w:t>
      </w:r>
      <w:proofErr w:type="spellStart"/>
      <w:r>
        <w:t>UnCraveRx</w:t>
      </w:r>
      <w:proofErr w:type="spellEnd"/>
      <w:r>
        <w:t>™ Weight Loss Program.”</w:t>
      </w:r>
    </w:p>
    <w:p w14:paraId="11CD14AC" w14:textId="77777777" w:rsidR="00C914E2" w:rsidRDefault="00C914E2" w:rsidP="002B69C1">
      <w:pPr>
        <w:tabs>
          <w:tab w:val="left" w:pos="1440"/>
        </w:tabs>
        <w:spacing w:line="480" w:lineRule="exact"/>
      </w:pPr>
      <w:r>
        <w:tab/>
      </w:r>
      <w:proofErr w:type="spellStart"/>
      <w:r>
        <w:t>BioCorRx</w:t>
      </w:r>
      <w:proofErr w:type="spellEnd"/>
      <w:r>
        <w:t xml:space="preserve"> argue</w:t>
      </w:r>
      <w:r>
        <w:t xml:space="preserve">s it </w:t>
      </w:r>
      <w:r>
        <w:t xml:space="preserve">is </w:t>
      </w:r>
      <w:r>
        <w:t>primarily a research and development company</w:t>
      </w:r>
      <w:r>
        <w:t xml:space="preserve"> </w:t>
      </w:r>
      <w:r>
        <w:t xml:space="preserve">given </w:t>
      </w:r>
      <w:r>
        <w:t xml:space="preserve">the amount </w:t>
      </w:r>
      <w:r>
        <w:t xml:space="preserve">of funds </w:t>
      </w:r>
      <w:r>
        <w:t>it expends on and receives from such activities</w:t>
      </w:r>
      <w:r>
        <w:t xml:space="preserve">.  But this argument relies on a narrow interpretation of </w:t>
      </w:r>
      <w:r>
        <w:t xml:space="preserve">the word </w:t>
      </w:r>
      <w:r>
        <w:t xml:space="preserve">“primarily” that </w:t>
      </w:r>
      <w:r>
        <w:t xml:space="preserve">only </w:t>
      </w:r>
      <w:r>
        <w:t xml:space="preserve">focuses </w:t>
      </w:r>
      <w:r>
        <w:t xml:space="preserve">on a company’s finances.  </w:t>
      </w:r>
      <w:r>
        <w:t xml:space="preserve">We cannot solely look at the amount of money </w:t>
      </w:r>
      <w:proofErr w:type="spellStart"/>
      <w:r>
        <w:t>BioCorRx</w:t>
      </w:r>
      <w:proofErr w:type="spellEnd"/>
      <w:r>
        <w:t xml:space="preserve"> spends on research and development or the amount it obtains from such </w:t>
      </w:r>
      <w:r>
        <w:t>activities</w:t>
      </w:r>
      <w:r>
        <w:t xml:space="preserve">.  Rather, we must look at the </w:t>
      </w:r>
      <w:r>
        <w:t xml:space="preserve">entire </w:t>
      </w:r>
      <w:r>
        <w:t xml:space="preserve">context of </w:t>
      </w:r>
      <w:r>
        <w:t xml:space="preserve">its </w:t>
      </w:r>
      <w:r>
        <w:t xml:space="preserve">research and development efforts when analyzing whether it is “primarily engaged in the business of selling” goods or services.  </w:t>
      </w:r>
      <w:r>
        <w:t xml:space="preserve">(§ 425.17, subd. (c).)  </w:t>
      </w:r>
      <w:r>
        <w:t>Put differently, what is the purpose of its research and development</w:t>
      </w:r>
      <w:r>
        <w:t>?</w:t>
      </w:r>
    </w:p>
    <w:p w14:paraId="039EC7A1" w14:textId="77777777" w:rsidR="00C914E2" w:rsidRDefault="00C914E2" w:rsidP="002B69C1">
      <w:pPr>
        <w:tabs>
          <w:tab w:val="left" w:pos="1440"/>
        </w:tabs>
        <w:spacing w:line="480" w:lineRule="exact"/>
      </w:pPr>
      <w:r>
        <w:tab/>
        <w:t xml:space="preserve">Here, </w:t>
      </w:r>
      <w:r>
        <w:t xml:space="preserve">the record shows </w:t>
      </w:r>
      <w:proofErr w:type="spellStart"/>
      <w:r>
        <w:t>BioCorRx</w:t>
      </w:r>
      <w:proofErr w:type="spellEnd"/>
      <w:r>
        <w:t xml:space="preserve"> conducts research and development to create commercial products either for sale or for use in its treatment services.  </w:t>
      </w:r>
      <w:r>
        <w:t xml:space="preserve">As explained above, </w:t>
      </w:r>
      <w:r>
        <w:t xml:space="preserve">one of </w:t>
      </w:r>
      <w:proofErr w:type="spellStart"/>
      <w:r>
        <w:t>BioCorRx’s</w:t>
      </w:r>
      <w:proofErr w:type="spellEnd"/>
      <w:r>
        <w:t xml:space="preserve"> </w:t>
      </w:r>
      <w:r>
        <w:t xml:space="preserve">core businesses </w:t>
      </w:r>
      <w:r>
        <w:t>involves “[s]</w:t>
      </w:r>
      <w:proofErr w:type="spellStart"/>
      <w:r w:rsidRPr="00F25CEC">
        <w:t>eeking</w:t>
      </w:r>
      <w:proofErr w:type="spellEnd"/>
      <w:r w:rsidRPr="00F25CEC">
        <w:t xml:space="preserve"> FDA approval of new medications to treat alcohol and opioid use disorders</w:t>
      </w:r>
      <w:r>
        <w:t xml:space="preserve">.” </w:t>
      </w:r>
      <w:r>
        <w:t xml:space="preserve"> </w:t>
      </w:r>
      <w:r>
        <w:t>T</w:t>
      </w:r>
      <w:r>
        <w:t xml:space="preserve">he </w:t>
      </w:r>
      <w:r>
        <w:t>investor presentation</w:t>
      </w:r>
      <w:r>
        <w:t xml:space="preserve"> </w:t>
      </w:r>
      <w:r>
        <w:t xml:space="preserve">also </w:t>
      </w:r>
      <w:r>
        <w:t>explain</w:t>
      </w:r>
      <w:r>
        <w:t>s</w:t>
      </w:r>
      <w:r>
        <w:t xml:space="preserve"> </w:t>
      </w:r>
      <w:r>
        <w:t xml:space="preserve">that </w:t>
      </w:r>
      <w:proofErr w:type="spellStart"/>
      <w:r>
        <w:t>BioCorRx’s</w:t>
      </w:r>
      <w:proofErr w:type="spellEnd"/>
      <w:r>
        <w:t xml:space="preserve"> research and development subsidiary, </w:t>
      </w:r>
      <w:proofErr w:type="spellStart"/>
      <w:r w:rsidRPr="00A31B4D">
        <w:t>BioCorRx</w:t>
      </w:r>
      <w:proofErr w:type="spellEnd"/>
      <w:r w:rsidRPr="00A31B4D">
        <w:t xml:space="preserve"> Pharmaceuticals</w:t>
      </w:r>
      <w:r>
        <w:t xml:space="preserve">, </w:t>
      </w:r>
      <w:r>
        <w:t xml:space="preserve">was developing several </w:t>
      </w:r>
      <w:r>
        <w:t xml:space="preserve">commercial </w:t>
      </w:r>
      <w:r>
        <w:t xml:space="preserve">drugs to treat </w:t>
      </w:r>
      <w:r>
        <w:t xml:space="preserve">these </w:t>
      </w:r>
      <w:r>
        <w:t>disorders</w:t>
      </w:r>
      <w:r>
        <w:t xml:space="preserve"> as part of </w:t>
      </w:r>
      <w:proofErr w:type="spellStart"/>
      <w:r>
        <w:t>BioCorRx’s</w:t>
      </w:r>
      <w:proofErr w:type="spellEnd"/>
      <w:r>
        <w:t xml:space="preserve"> “Product P</w:t>
      </w:r>
      <w:r>
        <w:t>ipeline.”</w:t>
      </w:r>
      <w:r>
        <w:t xml:space="preserve">  </w:t>
      </w:r>
      <w:r>
        <w:t xml:space="preserve">Further, </w:t>
      </w:r>
      <w:proofErr w:type="spellStart"/>
      <w:r>
        <w:t>BioCorRx’s</w:t>
      </w:r>
      <w:proofErr w:type="spellEnd"/>
      <w:r>
        <w:t xml:space="preserve"> weight loss program uses</w:t>
      </w:r>
      <w:r w:rsidRPr="00A31B4D">
        <w:t xml:space="preserve"> </w:t>
      </w:r>
      <w:r>
        <w:t xml:space="preserve">a </w:t>
      </w:r>
      <w:r w:rsidRPr="00A31B4D">
        <w:lastRenderedPageBreak/>
        <w:t xml:space="preserve">proprietary </w:t>
      </w:r>
      <w:r>
        <w:t>n</w:t>
      </w:r>
      <w:r w:rsidRPr="00A31B4D">
        <w:t xml:space="preserve">altrexone </w:t>
      </w:r>
      <w:r>
        <w:t>i</w:t>
      </w:r>
      <w:r w:rsidRPr="00A31B4D">
        <w:t>mplant</w:t>
      </w:r>
      <w:r>
        <w:t xml:space="preserve"> developed </w:t>
      </w:r>
      <w:r>
        <w:t xml:space="preserve">by </w:t>
      </w:r>
      <w:proofErr w:type="spellStart"/>
      <w:r w:rsidRPr="00A31B4D">
        <w:t>BioCorRx</w:t>
      </w:r>
      <w:proofErr w:type="spellEnd"/>
      <w:r w:rsidRPr="00A31B4D">
        <w:t xml:space="preserve"> Pharmaceuticals</w:t>
      </w:r>
      <w:r>
        <w:t>.</w:t>
      </w:r>
      <w:r>
        <w:t xml:space="preserve">  </w:t>
      </w:r>
      <w:r>
        <w:t xml:space="preserve">We also note that </w:t>
      </w:r>
      <w:r>
        <w:t xml:space="preserve">during oral argument, </w:t>
      </w:r>
      <w:proofErr w:type="spellStart"/>
      <w:r>
        <w:t>BioCorRx</w:t>
      </w:r>
      <w:proofErr w:type="spellEnd"/>
      <w:r>
        <w:t xml:space="preserve"> conceded it conducts research and development to create commercial products.</w:t>
      </w:r>
    </w:p>
    <w:p w14:paraId="7D5D275A" w14:textId="77777777" w:rsidR="00C914E2" w:rsidRDefault="00C914E2" w:rsidP="006C4475">
      <w:pPr>
        <w:tabs>
          <w:tab w:val="left" w:pos="1440"/>
        </w:tabs>
        <w:spacing w:line="480" w:lineRule="exact"/>
      </w:pPr>
      <w:r>
        <w:tab/>
      </w:r>
      <w:proofErr w:type="spellStart"/>
      <w:r>
        <w:t>BioCorRx</w:t>
      </w:r>
      <w:proofErr w:type="spellEnd"/>
      <w:r>
        <w:t xml:space="preserve"> is not a research and development company.  It is a </w:t>
      </w:r>
      <w:r>
        <w:t xml:space="preserve">health services company that conducts research and development </w:t>
      </w:r>
      <w:r>
        <w:t xml:space="preserve">to </w:t>
      </w:r>
      <w:r>
        <w:t xml:space="preserve">further </w:t>
      </w:r>
      <w:r>
        <w:t>its treatment programs</w:t>
      </w:r>
      <w:r>
        <w:t xml:space="preserve"> and </w:t>
      </w:r>
      <w:r>
        <w:t xml:space="preserve">line of </w:t>
      </w:r>
      <w:r>
        <w:t>commercial medications</w:t>
      </w:r>
      <w:r>
        <w:t>.</w:t>
      </w:r>
      <w:r>
        <w:t xml:space="preserve">  Thus, it is primarily engaged in the business of selling goods or services.</w:t>
      </w:r>
    </w:p>
    <w:p w14:paraId="79BBACEA" w14:textId="77777777" w:rsidR="00C914E2" w:rsidRDefault="00C914E2" w:rsidP="000A4A49">
      <w:pPr>
        <w:pStyle w:val="ListParagraph"/>
        <w:numPr>
          <w:ilvl w:val="1"/>
          <w:numId w:val="1"/>
        </w:numPr>
        <w:tabs>
          <w:tab w:val="left" w:pos="5040"/>
        </w:tabs>
        <w:spacing w:before="480" w:line="480" w:lineRule="exact"/>
        <w:contextualSpacing w:val="0"/>
        <w:rPr>
          <w:i/>
          <w:iCs/>
        </w:rPr>
      </w:pPr>
      <w:r>
        <w:rPr>
          <w:i/>
          <w:iCs/>
        </w:rPr>
        <w:t>Nature of the representations</w:t>
      </w:r>
    </w:p>
    <w:p w14:paraId="2FE58BB6" w14:textId="77777777" w:rsidR="00C914E2" w:rsidRDefault="00C914E2" w:rsidP="009D6CD0">
      <w:pPr>
        <w:tabs>
          <w:tab w:val="left" w:pos="1440"/>
        </w:tabs>
        <w:spacing w:line="480" w:lineRule="exact"/>
      </w:pPr>
      <w:r>
        <w:tab/>
        <w:t xml:space="preserve">Next, </w:t>
      </w:r>
      <w:r>
        <w:t xml:space="preserve">VDM </w:t>
      </w:r>
      <w:r>
        <w:t xml:space="preserve">argues </w:t>
      </w:r>
      <w:r w:rsidRPr="00B86A4F">
        <w:t xml:space="preserve">the </w:t>
      </w:r>
      <w:r w:rsidRPr="00B86A4F">
        <w:t xml:space="preserve">statements </w:t>
      </w:r>
      <w:r w:rsidRPr="00B86A4F">
        <w:t xml:space="preserve">at issue </w:t>
      </w:r>
      <w:r w:rsidRPr="00B86A4F">
        <w:t xml:space="preserve">are </w:t>
      </w:r>
      <w:r w:rsidRPr="00B86A4F">
        <w:t xml:space="preserve">representations of fact about </w:t>
      </w:r>
      <w:proofErr w:type="spellStart"/>
      <w:r w:rsidRPr="00B86A4F">
        <w:t>BioCorRx’</w:t>
      </w:r>
      <w:r w:rsidRPr="00B86A4F">
        <w:t>s</w:t>
      </w:r>
      <w:proofErr w:type="spellEnd"/>
      <w:r w:rsidRPr="00B86A4F">
        <w:t xml:space="preserve"> </w:t>
      </w:r>
      <w:r w:rsidRPr="00B86A4F">
        <w:t>business operations.  (</w:t>
      </w:r>
      <w:r>
        <w:t xml:space="preserve">See </w:t>
      </w:r>
      <w:r w:rsidRPr="00B86A4F">
        <w:rPr>
          <w:i/>
          <w:iCs/>
        </w:rPr>
        <w:t>Simpson</w:t>
      </w:r>
      <w:r w:rsidRPr="00B86A4F">
        <w:t xml:space="preserve">, </w:t>
      </w:r>
      <w:r w:rsidRPr="00B86A4F">
        <w:rPr>
          <w:i/>
          <w:iCs/>
        </w:rPr>
        <w:t>supra</w:t>
      </w:r>
      <w:r w:rsidRPr="00B86A4F">
        <w:t>, 49 Cal.4th at p. 30.)</w:t>
      </w:r>
      <w:r>
        <w:t xml:space="preserve">  </w:t>
      </w:r>
      <w:r>
        <w:t>We agree.</w:t>
      </w:r>
    </w:p>
    <w:p w14:paraId="142DA4F4" w14:textId="77777777" w:rsidR="00C914E2" w:rsidRDefault="00C914E2" w:rsidP="00784756">
      <w:pPr>
        <w:tabs>
          <w:tab w:val="left" w:pos="1440"/>
        </w:tabs>
        <w:spacing w:line="480" w:lineRule="exact"/>
      </w:pPr>
      <w:r>
        <w:tab/>
        <w:t xml:space="preserve">The portions of the press releases </w:t>
      </w:r>
      <w:r>
        <w:t xml:space="preserve">at issue allege </w:t>
      </w:r>
      <w:proofErr w:type="spellStart"/>
      <w:r>
        <w:t>BioCorRx</w:t>
      </w:r>
      <w:proofErr w:type="spellEnd"/>
      <w:r>
        <w:t xml:space="preserve"> </w:t>
      </w:r>
      <w:r>
        <w:t xml:space="preserve">disclosed confidential information </w:t>
      </w:r>
      <w:r>
        <w:t xml:space="preserve">about </w:t>
      </w:r>
      <w:r>
        <w:t xml:space="preserve">VDM-001’s </w:t>
      </w:r>
      <w:r>
        <w:t xml:space="preserve">test </w:t>
      </w:r>
      <w:r>
        <w:t xml:space="preserve">results </w:t>
      </w:r>
      <w:r>
        <w:t xml:space="preserve">and </w:t>
      </w:r>
      <w:r>
        <w:t xml:space="preserve">made </w:t>
      </w:r>
      <w:r>
        <w:t>mis</w:t>
      </w:r>
      <w:r>
        <w:t xml:space="preserve">representations </w:t>
      </w:r>
      <w:r>
        <w:t>(1)</w:t>
      </w:r>
      <w:r>
        <w:t> </w:t>
      </w:r>
      <w:r>
        <w:t xml:space="preserve">about </w:t>
      </w:r>
      <w:proofErr w:type="spellStart"/>
      <w:r>
        <w:t>BioCorRx’s</w:t>
      </w:r>
      <w:proofErr w:type="spellEnd"/>
      <w:r>
        <w:t xml:space="preserve"> </w:t>
      </w:r>
      <w:r>
        <w:t xml:space="preserve">role in the “development” of VDM-001, </w:t>
      </w:r>
      <w:r>
        <w:t xml:space="preserve">(2) </w:t>
      </w:r>
      <w:r>
        <w:t xml:space="preserve">about </w:t>
      </w:r>
      <w:r>
        <w:t xml:space="preserve">the progress of VDM-001’s “development,” </w:t>
      </w:r>
      <w:r>
        <w:t xml:space="preserve">(3) </w:t>
      </w:r>
      <w:r>
        <w:t xml:space="preserve">about </w:t>
      </w:r>
      <w:proofErr w:type="spellStart"/>
      <w:r>
        <w:t>BioCorRx’s</w:t>
      </w:r>
      <w:proofErr w:type="spellEnd"/>
      <w:r>
        <w:t xml:space="preserve"> </w:t>
      </w:r>
      <w:r>
        <w:t xml:space="preserve">business </w:t>
      </w:r>
      <w:r>
        <w:t>relationship with VDM</w:t>
      </w:r>
      <w:r>
        <w:t xml:space="preserve">, </w:t>
      </w:r>
      <w:r>
        <w:t xml:space="preserve">and </w:t>
      </w:r>
      <w:r>
        <w:t>(4)</w:t>
      </w:r>
      <w:r>
        <w:t> </w:t>
      </w:r>
      <w:r>
        <w:t xml:space="preserve">that it owned </w:t>
      </w:r>
      <w:r>
        <w:t>VDM-001</w:t>
      </w:r>
      <w:r>
        <w:t>.</w:t>
      </w:r>
      <w:r>
        <w:rPr>
          <w:rStyle w:val="FootnoteReference"/>
        </w:rPr>
        <w:footnoteReference w:id="5"/>
      </w:r>
      <w:r>
        <w:t xml:space="preserve"> </w:t>
      </w:r>
      <w:r>
        <w:t xml:space="preserve"> </w:t>
      </w:r>
      <w:r>
        <w:t xml:space="preserve">Since there are only a few statements at issue, we include them </w:t>
      </w:r>
      <w:r>
        <w:t>below.</w:t>
      </w:r>
    </w:p>
    <w:p w14:paraId="361DE455" w14:textId="77777777" w:rsidR="00C914E2" w:rsidRPr="002768EE" w:rsidRDefault="00C914E2" w:rsidP="002768EE">
      <w:pPr>
        <w:numPr>
          <w:ilvl w:val="0"/>
          <w:numId w:val="3"/>
        </w:numPr>
        <w:tabs>
          <w:tab w:val="left" w:pos="1440"/>
        </w:tabs>
        <w:spacing w:line="480" w:lineRule="exact"/>
      </w:pPr>
      <w:r w:rsidRPr="002768EE">
        <w:t>March 2020</w:t>
      </w:r>
      <w:r>
        <w:t xml:space="preserve"> press release</w:t>
      </w:r>
      <w:proofErr w:type="gramStart"/>
      <w:r w:rsidRPr="002768EE">
        <w:t>:  “</w:t>
      </w:r>
      <w:proofErr w:type="gramEnd"/>
      <w:r w:rsidRPr="002768EE">
        <w:t xml:space="preserve">‘We </w:t>
      </w:r>
      <w:r>
        <w:t>[(</w:t>
      </w:r>
      <w:proofErr w:type="spellStart"/>
      <w:r>
        <w:t>BioCorRx</w:t>
      </w:r>
      <w:proofErr w:type="spellEnd"/>
      <w:r>
        <w:t xml:space="preserve">)] </w:t>
      </w:r>
      <w:r w:rsidRPr="002768EE">
        <w:t xml:space="preserve">also continue to move ahead with VDM-001, a new molecule being developed to </w:t>
      </w:r>
      <w:r w:rsidRPr="002768EE">
        <w:t xml:space="preserve">reverse opioid overdose through our partnership with [VDM].  Preclinical studies are currently ongoing, and we anticipate having minimal delays due to COVID-19.  VDM-001 may represent an effective alternative to naloxone in the overdose reversal market.  Early preclinical </w:t>
      </w:r>
      <w:r w:rsidRPr="002768EE">
        <w:lastRenderedPageBreak/>
        <w:t>data showed that the effects of fentanyl, which is responsible for thousands of deaths annually, may be prevented by VDM-001.’”</w:t>
      </w:r>
    </w:p>
    <w:p w14:paraId="33CD537E" w14:textId="77777777" w:rsidR="00C914E2" w:rsidRPr="002768EE" w:rsidRDefault="00C914E2" w:rsidP="002768EE">
      <w:pPr>
        <w:numPr>
          <w:ilvl w:val="0"/>
          <w:numId w:val="3"/>
        </w:numPr>
        <w:tabs>
          <w:tab w:val="left" w:pos="1440"/>
        </w:tabs>
        <w:spacing w:line="480" w:lineRule="exact"/>
      </w:pPr>
      <w:r w:rsidRPr="002768EE">
        <w:t>May 2020</w:t>
      </w:r>
      <w:r>
        <w:t xml:space="preserve"> press release</w:t>
      </w:r>
      <w:proofErr w:type="gramStart"/>
      <w:r w:rsidRPr="002768EE">
        <w:t>:  “</w:t>
      </w:r>
      <w:proofErr w:type="gramEnd"/>
      <w:r w:rsidRPr="002768EE">
        <w:t xml:space="preserve">‘We </w:t>
      </w:r>
      <w:r>
        <w:t>[(</w:t>
      </w:r>
      <w:proofErr w:type="spellStart"/>
      <w:r>
        <w:t>BioCorRx</w:t>
      </w:r>
      <w:proofErr w:type="spellEnd"/>
      <w:r>
        <w:t xml:space="preserve">)] </w:t>
      </w:r>
      <w:r w:rsidRPr="002768EE">
        <w:t xml:space="preserve">also continue to advance our preclinical studies with VDM-001, a new molecule being developed to reverse opioid overdose through our partnership with [VDM].  VDM-001 may represent an effective alternative to naloxone in the overdose reversal market.  Early preclinical data was promising as the effects of fentanyl, which is responsible for thousands of deaths annually, may be prevented by VDM-001.  We are currently conducting more preclinical studies to gain more knowledge </w:t>
      </w:r>
      <w:r w:rsidRPr="002768EE">
        <w:t>about the viability of this novel molecule.’”</w:t>
      </w:r>
    </w:p>
    <w:p w14:paraId="6708CE9B" w14:textId="77777777" w:rsidR="00C914E2" w:rsidRPr="002768EE" w:rsidRDefault="00C914E2" w:rsidP="002768EE">
      <w:pPr>
        <w:numPr>
          <w:ilvl w:val="0"/>
          <w:numId w:val="3"/>
        </w:numPr>
        <w:tabs>
          <w:tab w:val="left" w:pos="1440"/>
        </w:tabs>
        <w:spacing w:line="480" w:lineRule="exact"/>
      </w:pPr>
      <w:r w:rsidRPr="002768EE">
        <w:t>August 2020</w:t>
      </w:r>
      <w:r>
        <w:t xml:space="preserve"> press release</w:t>
      </w:r>
      <w:proofErr w:type="gramStart"/>
      <w:r w:rsidRPr="002768EE">
        <w:t>:  “</w:t>
      </w:r>
      <w:proofErr w:type="gramEnd"/>
      <w:r w:rsidRPr="002768EE">
        <w:t>‘</w:t>
      </w:r>
      <w:proofErr w:type="spellStart"/>
      <w:r w:rsidRPr="002768EE">
        <w:t>BioCorRx</w:t>
      </w:r>
      <w:proofErr w:type="spellEnd"/>
      <w:r w:rsidRPr="002768EE">
        <w:t xml:space="preserve"> Pharmaceuticals continues to work on preclinical studies of VDM-001, a new molecule being developed to reverse opioid overdose through our partnership with </w:t>
      </w:r>
      <w:r>
        <w:t>[</w:t>
      </w:r>
      <w:r w:rsidRPr="002768EE">
        <w:t>VDM</w:t>
      </w:r>
      <w:r>
        <w:t>]</w:t>
      </w:r>
      <w:r w:rsidRPr="002768EE">
        <w:t>.  There are a few small preclinical studies currently underway and VDM-001 may represent an effective alternative to naloxone in the overdose reversal market.</w:t>
      </w:r>
      <w:r>
        <w:t xml:space="preserve">  Fentanyl has become a major driving force behind the opioid epidemic in the U.S.  In 2018 alone, 31,000 people died from synthetic opioid overdoses.  </w:t>
      </w:r>
      <w:r w:rsidRPr="002768EE">
        <w:t xml:space="preserve">We are very </w:t>
      </w:r>
      <w:r w:rsidRPr="002768EE">
        <w:t>encouraged by some early preclinical data that showed the ability of VDM-001 to block analgesic effects of fentanyl in vivo.  The current studies that are currently underway will hopefully allow us to gain more insight into VDM-001 and its viability to progress to further development.’”</w:t>
      </w:r>
    </w:p>
    <w:p w14:paraId="57EAF53C" w14:textId="77777777" w:rsidR="00C914E2" w:rsidRPr="002768EE" w:rsidRDefault="00C914E2" w:rsidP="009B12A6">
      <w:pPr>
        <w:numPr>
          <w:ilvl w:val="0"/>
          <w:numId w:val="3"/>
        </w:numPr>
        <w:tabs>
          <w:tab w:val="left" w:pos="1440"/>
        </w:tabs>
        <w:spacing w:line="480" w:lineRule="exact"/>
      </w:pPr>
      <w:r w:rsidRPr="002768EE">
        <w:t>November 2020</w:t>
      </w:r>
      <w:r>
        <w:t xml:space="preserve"> press release</w:t>
      </w:r>
      <w:proofErr w:type="gramStart"/>
      <w:r w:rsidRPr="002768EE">
        <w:t>:  “</w:t>
      </w:r>
      <w:proofErr w:type="gramEnd"/>
      <w:r w:rsidRPr="002768EE">
        <w:t>‘Our subsidiary</w:t>
      </w:r>
      <w:r>
        <w:t xml:space="preserve">, </w:t>
      </w:r>
      <w:proofErr w:type="spellStart"/>
      <w:r>
        <w:t>BioCorRx</w:t>
      </w:r>
      <w:proofErr w:type="spellEnd"/>
      <w:r>
        <w:t xml:space="preserve"> Pharmaceuticals Inc., . . .  also </w:t>
      </w:r>
      <w:r w:rsidRPr="002768EE">
        <w:t>continues to work on preclinical studies of VDM-001, a new molecule being developed to reverse opioid overdose.</w:t>
      </w:r>
      <w:r>
        <w:t xml:space="preserve">  Fentanyl has become a major driving force behind the opioid epidemic in the US which continues to be exacerbated by the COVID-19 pandemic.</w:t>
      </w:r>
      <w:r w:rsidRPr="002768EE">
        <w:t xml:space="preserve"> </w:t>
      </w:r>
      <w:r>
        <w:t xml:space="preserve"> </w:t>
      </w:r>
      <w:r w:rsidRPr="002768EE">
        <w:t xml:space="preserve">We are very encouraged by some early preclinical data </w:t>
      </w:r>
      <w:r w:rsidRPr="002768EE">
        <w:lastRenderedPageBreak/>
        <w:t>that demonstrated the ability of VDM-001 to block analgesic effects of fentanyl in vivo.’”</w:t>
      </w:r>
    </w:p>
    <w:p w14:paraId="6BCEF255" w14:textId="77777777" w:rsidR="00C914E2" w:rsidRDefault="00C914E2" w:rsidP="00A36206">
      <w:pPr>
        <w:tabs>
          <w:tab w:val="left" w:pos="1440"/>
        </w:tabs>
        <w:spacing w:line="480" w:lineRule="exact"/>
      </w:pPr>
      <w:r>
        <w:tab/>
      </w:r>
      <w:r>
        <w:t>T</w:t>
      </w:r>
      <w:r>
        <w:t xml:space="preserve">he above statements are representations of fact.  They provide </w:t>
      </w:r>
      <w:r>
        <w:t xml:space="preserve">updates concerning </w:t>
      </w:r>
      <w:proofErr w:type="spellStart"/>
      <w:r>
        <w:t>BioCorRx’s</w:t>
      </w:r>
      <w:proofErr w:type="spellEnd"/>
      <w:r>
        <w:t xml:space="preserve"> </w:t>
      </w:r>
      <w:r>
        <w:t xml:space="preserve">relationship </w:t>
      </w:r>
      <w:r>
        <w:t>with VDM</w:t>
      </w:r>
      <w:r>
        <w:t xml:space="preserve"> and </w:t>
      </w:r>
      <w:r>
        <w:t>VDM-001’s</w:t>
      </w:r>
      <w:r>
        <w:t xml:space="preserve"> development</w:t>
      </w:r>
      <w:r>
        <w:t>, including that preclinical studies are underway and early data from those studies</w:t>
      </w:r>
      <w:r>
        <w:t>.</w:t>
      </w:r>
    </w:p>
    <w:p w14:paraId="7D33AA86" w14:textId="77777777" w:rsidR="00C914E2" w:rsidRDefault="00C914E2" w:rsidP="00FF0303">
      <w:pPr>
        <w:tabs>
          <w:tab w:val="left" w:pos="1440"/>
        </w:tabs>
        <w:spacing w:line="480" w:lineRule="exact"/>
      </w:pPr>
      <w:r>
        <w:tab/>
      </w:r>
      <w:r>
        <w:t>T</w:t>
      </w:r>
      <w:r>
        <w:t xml:space="preserve">he </w:t>
      </w:r>
      <w:r>
        <w:t xml:space="preserve">representations </w:t>
      </w:r>
      <w:r>
        <w:t xml:space="preserve">at issue </w:t>
      </w:r>
      <w:r>
        <w:t xml:space="preserve">also </w:t>
      </w:r>
      <w:r>
        <w:t xml:space="preserve">directly concern </w:t>
      </w:r>
      <w:proofErr w:type="spellStart"/>
      <w:r>
        <w:t>BioCorRx’s</w:t>
      </w:r>
      <w:proofErr w:type="spellEnd"/>
      <w:r>
        <w:t xml:space="preserve"> business operations</w:t>
      </w:r>
      <w:r>
        <w:t xml:space="preserve">.  </w:t>
      </w:r>
      <w:r>
        <w:t xml:space="preserve">The March, August, and November 2020 press releases are </w:t>
      </w:r>
      <w:r>
        <w:t xml:space="preserve">each </w:t>
      </w:r>
      <w:r>
        <w:t xml:space="preserve">labeled as </w:t>
      </w:r>
      <w:r>
        <w:t xml:space="preserve">a </w:t>
      </w:r>
      <w:r>
        <w:t>“Business Update</w:t>
      </w:r>
      <w:r>
        <w:t>,</w:t>
      </w:r>
      <w:r>
        <w:t>” while the May 2020 press release is labeled as an “Update on Current Business Operations.”</w:t>
      </w:r>
    </w:p>
    <w:p w14:paraId="4221DC6D" w14:textId="77777777" w:rsidR="00C914E2" w:rsidRPr="009E4350" w:rsidRDefault="00C914E2" w:rsidP="00FF0303">
      <w:pPr>
        <w:tabs>
          <w:tab w:val="left" w:pos="1440"/>
        </w:tabs>
        <w:spacing w:line="480" w:lineRule="exact"/>
      </w:pPr>
      <w:r>
        <w:tab/>
      </w:r>
      <w:r>
        <w:t>We also conclude the</w:t>
      </w:r>
      <w:r>
        <w:t>se</w:t>
      </w:r>
      <w:r>
        <w:t xml:space="preserve"> statements concern </w:t>
      </w:r>
      <w:proofErr w:type="spellStart"/>
      <w:r>
        <w:t>BioCorRx’s</w:t>
      </w:r>
      <w:proofErr w:type="spellEnd"/>
      <w:r>
        <w:t xml:space="preserve"> business operations based on their content.  </w:t>
      </w:r>
      <w:r>
        <w:t xml:space="preserve">In conducting our analysis, </w:t>
      </w:r>
      <w:r>
        <w:t xml:space="preserve">we </w:t>
      </w:r>
      <w:r>
        <w:t xml:space="preserve">must </w:t>
      </w:r>
      <w:r>
        <w:t>consider</w:t>
      </w:r>
      <w:r>
        <w:t xml:space="preserve"> </w:t>
      </w:r>
      <w:r>
        <w:t xml:space="preserve">the </w:t>
      </w:r>
      <w:r>
        <w:t xml:space="preserve">above </w:t>
      </w:r>
      <w:r>
        <w:t xml:space="preserve">statements </w:t>
      </w:r>
      <w:r>
        <w:t xml:space="preserve">in the context of </w:t>
      </w:r>
      <w:r>
        <w:t xml:space="preserve">the </w:t>
      </w:r>
      <w:r>
        <w:t>prior press releases.</w:t>
      </w:r>
      <w:r>
        <w:t xml:space="preserve">  </w:t>
      </w:r>
      <w:proofErr w:type="spellStart"/>
      <w:r>
        <w:t>BioCorRx</w:t>
      </w:r>
      <w:r>
        <w:t>’s</w:t>
      </w:r>
      <w:proofErr w:type="spellEnd"/>
      <w:r>
        <w:t xml:space="preserve"> </w:t>
      </w:r>
      <w:r>
        <w:t xml:space="preserve">initial </w:t>
      </w:r>
      <w:r>
        <w:t xml:space="preserve">press release </w:t>
      </w:r>
      <w:r>
        <w:t>in October 2018</w:t>
      </w:r>
      <w:r>
        <w:t xml:space="preserve">, </w:t>
      </w:r>
      <w:r>
        <w:t>stated</w:t>
      </w:r>
      <w:r>
        <w:t xml:space="preserve"> that</w:t>
      </w:r>
      <w:r>
        <w:t xml:space="preserve"> </w:t>
      </w:r>
      <w:r>
        <w:t>“</w:t>
      </w:r>
      <w:proofErr w:type="spellStart"/>
      <w:r>
        <w:t>BioCorRx</w:t>
      </w:r>
      <w:proofErr w:type="spellEnd"/>
      <w:r>
        <w:t xml:space="preserve"> ha</w:t>
      </w:r>
      <w:r>
        <w:t>[d]</w:t>
      </w:r>
      <w:r>
        <w:t xml:space="preserve"> the right of first refusal to acquire up to a 49% ownership stake in VDM-001.” </w:t>
      </w:r>
      <w:r>
        <w:t xml:space="preserve"> It also stated that VDM and </w:t>
      </w:r>
      <w:proofErr w:type="spellStart"/>
      <w:r>
        <w:t>BioCorRx</w:t>
      </w:r>
      <w:proofErr w:type="spellEnd"/>
      <w:r>
        <w:t xml:space="preserve"> were </w:t>
      </w:r>
      <w:r>
        <w:t xml:space="preserve">planning to partner </w:t>
      </w:r>
      <w:r>
        <w:t xml:space="preserve">“to develop and </w:t>
      </w:r>
      <w:r w:rsidRPr="00E70067">
        <w:rPr>
          <w:i/>
          <w:iCs/>
        </w:rPr>
        <w:t>commercialize</w:t>
      </w:r>
      <w:r>
        <w:t xml:space="preserve"> VDM-001.”  (Italics added.) </w:t>
      </w:r>
      <w:r>
        <w:t xml:space="preserve"> </w:t>
      </w:r>
      <w:r>
        <w:t xml:space="preserve">Given </w:t>
      </w:r>
      <w:r>
        <w:t xml:space="preserve">this context, </w:t>
      </w:r>
      <w:r>
        <w:t xml:space="preserve">the </w:t>
      </w:r>
      <w:r>
        <w:t xml:space="preserve">statements </w:t>
      </w:r>
      <w:r>
        <w:t xml:space="preserve">at issue </w:t>
      </w:r>
      <w:r>
        <w:t xml:space="preserve">provided </w:t>
      </w:r>
      <w:r>
        <w:t xml:space="preserve">investors </w:t>
      </w:r>
      <w:r>
        <w:t xml:space="preserve">with updates </w:t>
      </w:r>
      <w:r>
        <w:t xml:space="preserve">on </w:t>
      </w:r>
      <w:proofErr w:type="spellStart"/>
      <w:r>
        <w:t>BioCorRx</w:t>
      </w:r>
      <w:r>
        <w:t>’s</w:t>
      </w:r>
      <w:proofErr w:type="spellEnd"/>
      <w:r>
        <w:t xml:space="preserve"> </w:t>
      </w:r>
      <w:r>
        <w:t>develop</w:t>
      </w:r>
      <w:r>
        <w:t>ment of</w:t>
      </w:r>
      <w:r>
        <w:t xml:space="preserve"> a commercial </w:t>
      </w:r>
      <w:r>
        <w:t xml:space="preserve">treatment </w:t>
      </w:r>
      <w:r>
        <w:t xml:space="preserve">for </w:t>
      </w:r>
      <w:r>
        <w:t>opioid overdose</w:t>
      </w:r>
      <w:r>
        <w:t xml:space="preserve">.  </w:t>
      </w:r>
      <w:r>
        <w:t xml:space="preserve">And, based on the initial press release, </w:t>
      </w:r>
      <w:proofErr w:type="spellStart"/>
      <w:r>
        <w:t>BioCorRx</w:t>
      </w:r>
      <w:proofErr w:type="spellEnd"/>
      <w:r>
        <w:t xml:space="preserve"> </w:t>
      </w:r>
      <w:r>
        <w:t xml:space="preserve">could </w:t>
      </w:r>
      <w:r>
        <w:t>share in any future profits generated from VDM-001 given its right to acquire an ownershi</w:t>
      </w:r>
      <w:r>
        <w:t>p stake</w:t>
      </w:r>
      <w:r>
        <w:t xml:space="preserve">. </w:t>
      </w:r>
      <w:r>
        <w:t xml:space="preserve"> </w:t>
      </w:r>
      <w:r>
        <w:t xml:space="preserve">In other words, </w:t>
      </w:r>
      <w:r>
        <w:t xml:space="preserve">the statements at issue are about a business opportunity in line with one of </w:t>
      </w:r>
      <w:proofErr w:type="spellStart"/>
      <w:r>
        <w:t>BioCorRx</w:t>
      </w:r>
      <w:r>
        <w:t>’s</w:t>
      </w:r>
      <w:proofErr w:type="spellEnd"/>
      <w:r>
        <w:t xml:space="preserve"> core </w:t>
      </w:r>
      <w:r>
        <w:t>business</w:t>
      </w:r>
      <w:r>
        <w:t xml:space="preserve"> </w:t>
      </w:r>
      <w:r>
        <w:t>purposes</w:t>
      </w:r>
      <w:r>
        <w:t xml:space="preserve">:  </w:t>
      </w:r>
      <w:r>
        <w:t>D</w:t>
      </w:r>
      <w:r>
        <w:t xml:space="preserve">eveloping medications to treat </w:t>
      </w:r>
      <w:r>
        <w:t>opioid addiction.</w:t>
      </w:r>
    </w:p>
    <w:p w14:paraId="28122448" w14:textId="77777777" w:rsidR="00C914E2" w:rsidRDefault="00C914E2" w:rsidP="00C3760B">
      <w:pPr>
        <w:tabs>
          <w:tab w:val="left" w:pos="1440"/>
        </w:tabs>
        <w:spacing w:line="480" w:lineRule="exact"/>
      </w:pPr>
      <w:r>
        <w:tab/>
      </w:r>
      <w:r>
        <w:t xml:space="preserve">We are unpersuaded by </w:t>
      </w:r>
      <w:proofErr w:type="spellStart"/>
      <w:r>
        <w:t>BioCorRx’s</w:t>
      </w:r>
      <w:proofErr w:type="spellEnd"/>
      <w:r>
        <w:t xml:space="preserve"> citation to </w:t>
      </w:r>
      <w:proofErr w:type="spellStart"/>
      <w:r w:rsidRPr="003A32B5">
        <w:rPr>
          <w:i/>
          <w:iCs/>
        </w:rPr>
        <w:t>Hawran</w:t>
      </w:r>
      <w:proofErr w:type="spellEnd"/>
      <w:r w:rsidRPr="003A32B5">
        <w:rPr>
          <w:i/>
          <w:iCs/>
        </w:rPr>
        <w:t xml:space="preserve"> v. Hixson</w:t>
      </w:r>
      <w:r>
        <w:t xml:space="preserve"> (2012) 209 Cal.App.4th 256.  </w:t>
      </w:r>
      <w:r>
        <w:t xml:space="preserve">In </w:t>
      </w:r>
      <w:proofErr w:type="spellStart"/>
      <w:r w:rsidRPr="00C3760B">
        <w:rPr>
          <w:i/>
          <w:iCs/>
        </w:rPr>
        <w:t>Hawran</w:t>
      </w:r>
      <w:proofErr w:type="spellEnd"/>
      <w:r>
        <w:t xml:space="preserve">, a publicly traded </w:t>
      </w:r>
      <w:r>
        <w:t>genetic</w:t>
      </w:r>
      <w:r>
        <w:t xml:space="preserve"> diagnostic</w:t>
      </w:r>
      <w:r>
        <w:t xml:space="preserve"> </w:t>
      </w:r>
      <w:r>
        <w:t xml:space="preserve">testing company admitted </w:t>
      </w:r>
      <w:r>
        <w:t xml:space="preserve">the results </w:t>
      </w:r>
      <w:r>
        <w:t xml:space="preserve">of </w:t>
      </w:r>
      <w:r>
        <w:t xml:space="preserve">a </w:t>
      </w:r>
      <w:r>
        <w:t xml:space="preserve">certain </w:t>
      </w:r>
      <w:r>
        <w:t>test</w:t>
      </w:r>
      <w:r>
        <w:t xml:space="preserve"> it was developing</w:t>
      </w:r>
      <w:r>
        <w:t xml:space="preserve"> had been mishandled</w:t>
      </w:r>
      <w:r>
        <w:t xml:space="preserve">.  </w:t>
      </w:r>
      <w:r>
        <w:t>N</w:t>
      </w:r>
      <w:r>
        <w:t xml:space="preserve">umerous lawsuits were filed against </w:t>
      </w:r>
      <w:r>
        <w:t>the company, and its stock price dropped</w:t>
      </w:r>
      <w:r>
        <w:t>.  (</w:t>
      </w:r>
      <w:r w:rsidRPr="00AA46E1">
        <w:rPr>
          <w:i/>
          <w:iCs/>
        </w:rPr>
        <w:t>Id</w:t>
      </w:r>
      <w:r>
        <w:t xml:space="preserve">. at pp. 263-264.)  </w:t>
      </w:r>
      <w:proofErr w:type="spellStart"/>
      <w:r>
        <w:t>Hawran</w:t>
      </w:r>
      <w:proofErr w:type="spellEnd"/>
      <w:r>
        <w:t>, t</w:t>
      </w:r>
      <w:r>
        <w:t>he company’s chief financial officer, resigned based on an agreement with the company that he would not be associated with the mishandling.  (</w:t>
      </w:r>
      <w:r w:rsidRPr="00C3760B">
        <w:rPr>
          <w:i/>
          <w:iCs/>
        </w:rPr>
        <w:t>Id</w:t>
      </w:r>
      <w:r>
        <w:t>. at p. 264.)</w:t>
      </w:r>
      <w:r>
        <w:t xml:space="preserve">  </w:t>
      </w:r>
      <w:r>
        <w:lastRenderedPageBreak/>
        <w:t>T</w:t>
      </w:r>
      <w:r>
        <w:t xml:space="preserve">he company issued a press release explaining the </w:t>
      </w:r>
      <w:r>
        <w:t>errors</w:t>
      </w:r>
      <w:r>
        <w:t xml:space="preserve"> </w:t>
      </w:r>
      <w:proofErr w:type="gramStart"/>
      <w:r>
        <w:t>with</w:t>
      </w:r>
      <w:proofErr w:type="gramEnd"/>
      <w:r>
        <w:t xml:space="preserve"> the te</w:t>
      </w:r>
      <w:r>
        <w:t>st</w:t>
      </w:r>
      <w:r>
        <w:t xml:space="preserve"> and </w:t>
      </w:r>
      <w:r>
        <w:t>new remedial measures</w:t>
      </w:r>
      <w:r>
        <w:t xml:space="preserve"> to prevent future mistakes</w:t>
      </w:r>
      <w:r>
        <w:t xml:space="preserve">.  </w:t>
      </w:r>
      <w:r>
        <w:t>T</w:t>
      </w:r>
      <w:r>
        <w:t xml:space="preserve">he press release also announced </w:t>
      </w:r>
      <w:proofErr w:type="spellStart"/>
      <w:r>
        <w:t>Hawran</w:t>
      </w:r>
      <w:r>
        <w:t>’s</w:t>
      </w:r>
      <w:proofErr w:type="spellEnd"/>
      <w:r>
        <w:t xml:space="preserve"> resignation</w:t>
      </w:r>
      <w:r>
        <w:t xml:space="preserve"> </w:t>
      </w:r>
      <w:r>
        <w:t xml:space="preserve">and stated </w:t>
      </w:r>
      <w:r>
        <w:t xml:space="preserve">that </w:t>
      </w:r>
      <w:r>
        <w:t xml:space="preserve">the company’s board of directors had lost confidence in him following </w:t>
      </w:r>
      <w:r>
        <w:t xml:space="preserve">an </w:t>
      </w:r>
      <w:r>
        <w:t>investigation of the incident</w:t>
      </w:r>
      <w:r>
        <w:t>.  (</w:t>
      </w:r>
      <w:r w:rsidRPr="00522442">
        <w:rPr>
          <w:i/>
          <w:iCs/>
        </w:rPr>
        <w:t>Ibid</w:t>
      </w:r>
      <w:r>
        <w:t xml:space="preserve">.)  </w:t>
      </w:r>
      <w:proofErr w:type="spellStart"/>
      <w:r>
        <w:t>Hawran</w:t>
      </w:r>
      <w:proofErr w:type="spellEnd"/>
      <w:r>
        <w:t xml:space="preserve"> sued </w:t>
      </w:r>
      <w:r>
        <w:t xml:space="preserve">the company </w:t>
      </w:r>
      <w:r>
        <w:t>on grounds the press release painted him in a false light</w:t>
      </w:r>
      <w:r>
        <w:t>.  (</w:t>
      </w:r>
      <w:r w:rsidRPr="00A2192B">
        <w:rPr>
          <w:i/>
          <w:iCs/>
        </w:rPr>
        <w:t>Id</w:t>
      </w:r>
      <w:r>
        <w:t>. at pp. 264-26</w:t>
      </w:r>
      <w:r>
        <w:t>5</w:t>
      </w:r>
      <w:r>
        <w:t>.)</w:t>
      </w:r>
    </w:p>
    <w:p w14:paraId="5B069A19" w14:textId="77777777" w:rsidR="00C914E2" w:rsidRDefault="00C914E2" w:rsidP="00C3760B">
      <w:pPr>
        <w:tabs>
          <w:tab w:val="left" w:pos="1440"/>
        </w:tabs>
        <w:spacing w:line="480" w:lineRule="exact"/>
      </w:pPr>
      <w:r>
        <w:tab/>
      </w:r>
      <w:r>
        <w:t>T</w:t>
      </w:r>
      <w:r>
        <w:t xml:space="preserve">he </w:t>
      </w:r>
      <w:r>
        <w:t>company</w:t>
      </w:r>
      <w:r>
        <w:t xml:space="preserve"> filed an </w:t>
      </w:r>
      <w:r>
        <w:t>anti-SLAPP motion</w:t>
      </w:r>
      <w:r>
        <w:t>,</w:t>
      </w:r>
      <w:r>
        <w:t xml:space="preserve"> </w:t>
      </w:r>
      <w:r>
        <w:t xml:space="preserve">and </w:t>
      </w:r>
      <w:proofErr w:type="spellStart"/>
      <w:r>
        <w:t>Hawran</w:t>
      </w:r>
      <w:proofErr w:type="spellEnd"/>
      <w:r>
        <w:t xml:space="preserve"> </w:t>
      </w:r>
      <w:r>
        <w:t xml:space="preserve">asserted </w:t>
      </w:r>
      <w:r>
        <w:t xml:space="preserve">his claims fell within </w:t>
      </w:r>
      <w:r>
        <w:t>the commercial speech exemption.</w:t>
      </w:r>
      <w:r>
        <w:t xml:space="preserve">  </w:t>
      </w:r>
      <w:r>
        <w:t>(</w:t>
      </w:r>
      <w:proofErr w:type="spellStart"/>
      <w:r w:rsidRPr="003A32B5">
        <w:rPr>
          <w:i/>
          <w:iCs/>
        </w:rPr>
        <w:t>Hawran</w:t>
      </w:r>
      <w:proofErr w:type="spellEnd"/>
      <w:r>
        <w:t xml:space="preserve">, </w:t>
      </w:r>
      <w:r w:rsidRPr="009E2923">
        <w:rPr>
          <w:i/>
          <w:iCs/>
        </w:rPr>
        <w:t>supra</w:t>
      </w:r>
      <w:r>
        <w:t xml:space="preserve">, 209 Cal.App.4th at p. 271.)  </w:t>
      </w:r>
      <w:r>
        <w:t xml:space="preserve">The court </w:t>
      </w:r>
      <w:r>
        <w:t>disagreed</w:t>
      </w:r>
      <w:r>
        <w:t xml:space="preserve">, finding he had failed to show </w:t>
      </w:r>
      <w:r>
        <w:t xml:space="preserve">the statements arose from representations of fact about the company’s business operations, goods, or services.  </w:t>
      </w:r>
      <w:proofErr w:type="spellStart"/>
      <w:r>
        <w:t>Hawran</w:t>
      </w:r>
      <w:proofErr w:type="spellEnd"/>
      <w:r>
        <w:t xml:space="preserve"> argued </w:t>
      </w:r>
      <w:r>
        <w:t xml:space="preserve">his claims arose from the press release, which concerned the </w:t>
      </w:r>
      <w:r>
        <w:t xml:space="preserve">mishandling of the new </w:t>
      </w:r>
      <w:r>
        <w:t xml:space="preserve">test </w:t>
      </w:r>
      <w:r>
        <w:t xml:space="preserve">and the operational steps taken to address the problem.  </w:t>
      </w:r>
      <w:r>
        <w:t>(</w:t>
      </w:r>
      <w:r w:rsidRPr="003D620A">
        <w:rPr>
          <w:i/>
          <w:iCs/>
        </w:rPr>
        <w:t>Id</w:t>
      </w:r>
      <w:r>
        <w:t>. at p. 271.)</w:t>
      </w:r>
      <w:r>
        <w:t xml:space="preserve">  </w:t>
      </w:r>
      <w:r>
        <w:t>But, a</w:t>
      </w:r>
      <w:r>
        <w:t xml:space="preserve">s </w:t>
      </w:r>
      <w:r>
        <w:t>t</w:t>
      </w:r>
      <w:r>
        <w:t xml:space="preserve">he court </w:t>
      </w:r>
      <w:r>
        <w:t>explained</w:t>
      </w:r>
      <w:r>
        <w:t>,</w:t>
      </w:r>
      <w:r>
        <w:t xml:space="preserve"> </w:t>
      </w:r>
      <w:proofErr w:type="spellStart"/>
      <w:r>
        <w:t>Hawran’s</w:t>
      </w:r>
      <w:proofErr w:type="spellEnd"/>
      <w:r>
        <w:t xml:space="preserve"> </w:t>
      </w:r>
      <w:r>
        <w:t xml:space="preserve">claims </w:t>
      </w:r>
      <w:r>
        <w:t xml:space="preserve">did not arise from </w:t>
      </w:r>
      <w:r>
        <w:t xml:space="preserve">those </w:t>
      </w:r>
      <w:r>
        <w:t xml:space="preserve">portions of the press release.  Rather, they were based on the </w:t>
      </w:r>
      <w:r>
        <w:t>press release</w:t>
      </w:r>
      <w:r>
        <w:t>’s statements</w:t>
      </w:r>
      <w:r>
        <w:t xml:space="preserve"> </w:t>
      </w:r>
      <w:r>
        <w:t xml:space="preserve">about </w:t>
      </w:r>
      <w:r>
        <w:t>his resignation</w:t>
      </w:r>
      <w:r>
        <w:t xml:space="preserve">, which </w:t>
      </w:r>
      <w:r>
        <w:t xml:space="preserve">were </w:t>
      </w:r>
      <w:r>
        <w:t>not sufficiently related to the company’s business operations, goods</w:t>
      </w:r>
      <w:r>
        <w:t>,</w:t>
      </w:r>
      <w:r>
        <w:t xml:space="preserve"> or services.  (</w:t>
      </w:r>
      <w:r w:rsidRPr="007E091E">
        <w:rPr>
          <w:i/>
          <w:iCs/>
        </w:rPr>
        <w:t>Id</w:t>
      </w:r>
      <w:r>
        <w:t xml:space="preserve">. at </w:t>
      </w:r>
      <w:r>
        <w:t>p</w:t>
      </w:r>
      <w:r>
        <w:t xml:space="preserve">p. </w:t>
      </w:r>
      <w:r>
        <w:t>272-</w:t>
      </w:r>
      <w:r>
        <w:t>273.)</w:t>
      </w:r>
    </w:p>
    <w:p w14:paraId="275296E9" w14:textId="77777777" w:rsidR="00C914E2" w:rsidRPr="00601E7E" w:rsidRDefault="00C914E2" w:rsidP="00C3760B">
      <w:pPr>
        <w:tabs>
          <w:tab w:val="left" w:pos="1440"/>
        </w:tabs>
        <w:spacing w:line="480" w:lineRule="exact"/>
      </w:pPr>
      <w:r>
        <w:tab/>
      </w:r>
      <w:r>
        <w:t xml:space="preserve">Unlike </w:t>
      </w:r>
      <w:proofErr w:type="spellStart"/>
      <w:r w:rsidRPr="00BE7578">
        <w:rPr>
          <w:i/>
          <w:iCs/>
        </w:rPr>
        <w:t>Hawran</w:t>
      </w:r>
      <w:proofErr w:type="spellEnd"/>
      <w:r>
        <w:t xml:space="preserve">, </w:t>
      </w:r>
      <w:r>
        <w:t xml:space="preserve">the statements at issue </w:t>
      </w:r>
      <w:r>
        <w:t xml:space="preserve">are not tangential to </w:t>
      </w:r>
      <w:proofErr w:type="spellStart"/>
      <w:r>
        <w:t>BioCorRx’s</w:t>
      </w:r>
      <w:proofErr w:type="spellEnd"/>
      <w:r>
        <w:t xml:space="preserve"> </w:t>
      </w:r>
      <w:r w:rsidRPr="00DE6145">
        <w:t xml:space="preserve">business </w:t>
      </w:r>
      <w:r>
        <w:t>operations</w:t>
      </w:r>
      <w:r w:rsidRPr="00DE6145">
        <w:t xml:space="preserve">.  </w:t>
      </w:r>
      <w:r>
        <w:t>Rather</w:t>
      </w:r>
      <w:r>
        <w:t>,</w:t>
      </w:r>
      <w:r>
        <w:t xml:space="preserve"> they </w:t>
      </w:r>
      <w:r>
        <w:t xml:space="preserve">directly </w:t>
      </w:r>
      <w:r>
        <w:t xml:space="preserve">concern </w:t>
      </w:r>
      <w:r>
        <w:t xml:space="preserve">a business opportunity aligned with </w:t>
      </w:r>
      <w:r>
        <w:t xml:space="preserve">ones of </w:t>
      </w:r>
      <w:proofErr w:type="spellStart"/>
      <w:r>
        <w:t>BioCorRx’s</w:t>
      </w:r>
      <w:proofErr w:type="spellEnd"/>
      <w:r>
        <w:t xml:space="preserve"> </w:t>
      </w:r>
      <w:r>
        <w:t>core business</w:t>
      </w:r>
      <w:r>
        <w:t>es</w:t>
      </w:r>
      <w:r>
        <w:t>.</w:t>
      </w:r>
    </w:p>
    <w:p w14:paraId="26743CB7" w14:textId="77777777" w:rsidR="00C914E2" w:rsidRPr="00601E7E" w:rsidRDefault="00C914E2" w:rsidP="00C3760B">
      <w:pPr>
        <w:tabs>
          <w:tab w:val="left" w:pos="1440"/>
        </w:tabs>
        <w:spacing w:line="480" w:lineRule="exact"/>
      </w:pPr>
    </w:p>
    <w:p w14:paraId="544A0AAD" w14:textId="77777777" w:rsidR="00C914E2" w:rsidRPr="00601E7E" w:rsidRDefault="00C914E2" w:rsidP="00400B94">
      <w:pPr>
        <w:pStyle w:val="ListParagraph"/>
        <w:keepNext/>
        <w:numPr>
          <w:ilvl w:val="1"/>
          <w:numId w:val="1"/>
        </w:numPr>
        <w:tabs>
          <w:tab w:val="left" w:pos="1440"/>
        </w:tabs>
        <w:spacing w:line="480" w:lineRule="exact"/>
        <w:rPr>
          <w:i/>
          <w:iCs/>
        </w:rPr>
      </w:pPr>
      <w:r w:rsidRPr="00601E7E">
        <w:rPr>
          <w:i/>
          <w:iCs/>
        </w:rPr>
        <w:t>Purpose of the representations</w:t>
      </w:r>
      <w:r w:rsidRPr="00601E7E">
        <w:rPr>
          <w:i/>
          <w:iCs/>
        </w:rPr>
        <w:t xml:space="preserve"> and </w:t>
      </w:r>
      <w:r>
        <w:rPr>
          <w:i/>
          <w:iCs/>
        </w:rPr>
        <w:t>i</w:t>
      </w:r>
      <w:r w:rsidRPr="00601E7E">
        <w:rPr>
          <w:i/>
          <w:iCs/>
        </w:rPr>
        <w:t xml:space="preserve">ntended </w:t>
      </w:r>
      <w:r>
        <w:rPr>
          <w:i/>
          <w:iCs/>
        </w:rPr>
        <w:t>a</w:t>
      </w:r>
      <w:r w:rsidRPr="00601E7E">
        <w:rPr>
          <w:i/>
          <w:iCs/>
        </w:rPr>
        <w:t>udience</w:t>
      </w:r>
    </w:p>
    <w:p w14:paraId="378872A7" w14:textId="77777777" w:rsidR="00C914E2" w:rsidRDefault="00C914E2" w:rsidP="00400B94">
      <w:pPr>
        <w:tabs>
          <w:tab w:val="left" w:pos="1440"/>
        </w:tabs>
        <w:spacing w:line="480" w:lineRule="exact"/>
      </w:pPr>
      <w:r>
        <w:tab/>
      </w:r>
      <w:r>
        <w:t xml:space="preserve">We address the third and fourth elements together.  </w:t>
      </w:r>
      <w:r w:rsidRPr="00601E7E">
        <w:t xml:space="preserve">The </w:t>
      </w:r>
      <w:r w:rsidRPr="00601E7E">
        <w:t xml:space="preserve">third </w:t>
      </w:r>
      <w:r w:rsidRPr="00601E7E">
        <w:t xml:space="preserve">element asks whether “the statements at issue were made either for the purpose of obtaining approval for, promoting, or securing sales </w:t>
      </w:r>
      <w:proofErr w:type="gramStart"/>
      <w:r>
        <w:t xml:space="preserve">. . . </w:t>
      </w:r>
      <w:r w:rsidRPr="00601E7E">
        <w:t>,</w:t>
      </w:r>
      <w:proofErr w:type="gramEnd"/>
      <w:r w:rsidRPr="00601E7E">
        <w:t xml:space="preserve"> or commercial transactions in, the person’s goods or services or in the course of delivering the person</w:t>
      </w:r>
      <w:r>
        <w:t>’</w:t>
      </w:r>
      <w:r w:rsidRPr="00601E7E">
        <w:t>s goods or services.”  (</w:t>
      </w:r>
      <w:r w:rsidRPr="00601E7E">
        <w:rPr>
          <w:i/>
          <w:iCs/>
        </w:rPr>
        <w:t>Simpson</w:t>
      </w:r>
      <w:r w:rsidRPr="00601E7E">
        <w:t xml:space="preserve">, </w:t>
      </w:r>
      <w:r w:rsidRPr="00601E7E">
        <w:rPr>
          <w:i/>
          <w:iCs/>
        </w:rPr>
        <w:t>supra</w:t>
      </w:r>
      <w:r w:rsidRPr="00601E7E">
        <w:t>, 49 Cal.4th</w:t>
      </w:r>
      <w:r>
        <w:t xml:space="preserve"> at p. 30.)  </w:t>
      </w:r>
      <w:r>
        <w:t>The</w:t>
      </w:r>
      <w:r w:rsidRPr="001F73FB">
        <w:t xml:space="preserve"> </w:t>
      </w:r>
      <w:r>
        <w:t xml:space="preserve">fourth </w:t>
      </w:r>
      <w:r>
        <w:t xml:space="preserve">asks whether </w:t>
      </w:r>
      <w:r w:rsidRPr="001F73FB">
        <w:t xml:space="preserve">the </w:t>
      </w:r>
      <w:r>
        <w:t>“</w:t>
      </w:r>
      <w:r w:rsidRPr="00592F18">
        <w:t>intended audience is an actual or potential buyer or customer, or a person likely to repeat the statement to, o</w:t>
      </w:r>
      <w:r w:rsidRPr="00592F18">
        <w:t>r otherwise influence, an actual or potential buyer or customer</w:t>
      </w:r>
      <w:r>
        <w:t>.</w:t>
      </w:r>
      <w:r>
        <w:t>”</w:t>
      </w:r>
      <w:r>
        <w:t xml:space="preserve">  (§ 425.17, subd. (c)(2); </w:t>
      </w:r>
      <w:r w:rsidRPr="00E508CE">
        <w:rPr>
          <w:i/>
          <w:iCs/>
        </w:rPr>
        <w:t>Simpson</w:t>
      </w:r>
      <w:r>
        <w:t xml:space="preserve">, at </w:t>
      </w:r>
      <w:r>
        <w:lastRenderedPageBreak/>
        <w:t>p. 30.)</w:t>
      </w:r>
      <w:r>
        <w:t xml:space="preserve">  </w:t>
      </w:r>
      <w:r>
        <w:t xml:space="preserve">We find </w:t>
      </w:r>
      <w:r>
        <w:t>both elements have been met</w:t>
      </w:r>
      <w:r>
        <w:t xml:space="preserve"> </w:t>
      </w:r>
      <w:r>
        <w:t xml:space="preserve">primarily </w:t>
      </w:r>
      <w:r>
        <w:t xml:space="preserve">based on </w:t>
      </w:r>
      <w:r>
        <w:t>this District’s decision in</w:t>
      </w:r>
      <w:r w:rsidRPr="00C209EA">
        <w:rPr>
          <w:i/>
          <w:iCs/>
        </w:rPr>
        <w:t xml:space="preserve"> </w:t>
      </w:r>
      <w:proofErr w:type="spellStart"/>
      <w:r w:rsidRPr="00683BE3">
        <w:rPr>
          <w:i/>
          <w:iCs/>
        </w:rPr>
        <w:t>Neurelis</w:t>
      </w:r>
      <w:proofErr w:type="spellEnd"/>
      <w:r w:rsidRPr="00683BE3">
        <w:rPr>
          <w:i/>
          <w:iCs/>
        </w:rPr>
        <w:t xml:space="preserve">, Inc. v. </w:t>
      </w:r>
      <w:proofErr w:type="spellStart"/>
      <w:r w:rsidRPr="00683BE3">
        <w:rPr>
          <w:i/>
          <w:iCs/>
        </w:rPr>
        <w:t>Aquestive</w:t>
      </w:r>
      <w:proofErr w:type="spellEnd"/>
      <w:r w:rsidRPr="00683BE3">
        <w:rPr>
          <w:i/>
          <w:iCs/>
        </w:rPr>
        <w:t xml:space="preserve"> Therapeutics, Inc.</w:t>
      </w:r>
      <w:r>
        <w:t xml:space="preserve"> (2021) 71 Cal.App.5th 769 (</w:t>
      </w:r>
      <w:proofErr w:type="spellStart"/>
      <w:r w:rsidRPr="00683BE3">
        <w:rPr>
          <w:i/>
          <w:iCs/>
        </w:rPr>
        <w:t>Neurelis</w:t>
      </w:r>
      <w:proofErr w:type="spellEnd"/>
      <w:r>
        <w:t>).)</w:t>
      </w:r>
    </w:p>
    <w:p w14:paraId="08A3486A" w14:textId="77777777" w:rsidR="00C914E2" w:rsidRDefault="00C914E2" w:rsidP="00400B94">
      <w:pPr>
        <w:tabs>
          <w:tab w:val="left" w:pos="1440"/>
        </w:tabs>
        <w:spacing w:line="480" w:lineRule="exact"/>
      </w:pPr>
      <w:r>
        <w:tab/>
      </w:r>
      <w:r w:rsidRPr="00D0764B">
        <w:t xml:space="preserve">In </w:t>
      </w:r>
      <w:proofErr w:type="spellStart"/>
      <w:r w:rsidRPr="00D0764B">
        <w:rPr>
          <w:i/>
          <w:iCs/>
        </w:rPr>
        <w:t>Neurelis</w:t>
      </w:r>
      <w:proofErr w:type="spellEnd"/>
      <w:r w:rsidRPr="00D0764B">
        <w:t xml:space="preserve">, </w:t>
      </w:r>
      <w:proofErr w:type="spellStart"/>
      <w:r w:rsidRPr="00D0764B">
        <w:t>Neurelis</w:t>
      </w:r>
      <w:proofErr w:type="spellEnd"/>
      <w:r w:rsidRPr="00D0764B">
        <w:t>, Inc.</w:t>
      </w:r>
      <w:r>
        <w:t>,</w:t>
      </w:r>
      <w:r w:rsidRPr="00D0764B">
        <w:t xml:space="preserve"> and </w:t>
      </w:r>
      <w:proofErr w:type="spellStart"/>
      <w:r w:rsidRPr="00D0764B">
        <w:t>Aquestive</w:t>
      </w:r>
      <w:proofErr w:type="spellEnd"/>
      <w:r w:rsidRPr="00D0764B">
        <w:t xml:space="preserve"> Therapeutics, Inc.</w:t>
      </w:r>
      <w:r>
        <w:t>,</w:t>
      </w:r>
      <w:r w:rsidRPr="00D0764B">
        <w:t xml:space="preserve"> were </w:t>
      </w:r>
      <w:r w:rsidRPr="00D0764B">
        <w:t xml:space="preserve">each </w:t>
      </w:r>
      <w:r w:rsidRPr="00D0764B">
        <w:t xml:space="preserve">developing </w:t>
      </w:r>
      <w:r>
        <w:t xml:space="preserve">competing </w:t>
      </w:r>
      <w:r w:rsidRPr="00D0764B">
        <w:t>medication</w:t>
      </w:r>
      <w:r>
        <w:t>s</w:t>
      </w:r>
      <w:r>
        <w:t xml:space="preserve"> for the same seizure condition</w:t>
      </w:r>
      <w:r w:rsidRPr="00D0764B">
        <w:t>.  (</w:t>
      </w:r>
      <w:proofErr w:type="spellStart"/>
      <w:r w:rsidRPr="00D0764B">
        <w:rPr>
          <w:i/>
          <w:iCs/>
        </w:rPr>
        <w:t>Neurelis</w:t>
      </w:r>
      <w:proofErr w:type="spellEnd"/>
      <w:r w:rsidRPr="00D0764B">
        <w:t xml:space="preserve">, </w:t>
      </w:r>
      <w:r w:rsidRPr="00D0764B">
        <w:rPr>
          <w:i/>
          <w:iCs/>
        </w:rPr>
        <w:t>supra</w:t>
      </w:r>
      <w:r w:rsidRPr="00D0764B">
        <w:t>, 71 Cal.App.5th at p. 778.)</w:t>
      </w:r>
      <w:r w:rsidRPr="00D0764B">
        <w:t xml:space="preserve">  </w:t>
      </w:r>
      <w:proofErr w:type="spellStart"/>
      <w:r w:rsidRPr="00D0764B">
        <w:t>Neurelis</w:t>
      </w:r>
      <w:r>
        <w:t>’s</w:t>
      </w:r>
      <w:proofErr w:type="spellEnd"/>
      <w:r>
        <w:t xml:space="preserve"> </w:t>
      </w:r>
      <w:r w:rsidRPr="00D0764B">
        <w:t xml:space="preserve">medication </w:t>
      </w:r>
      <w:r>
        <w:t xml:space="preserve">was </w:t>
      </w:r>
      <w:r w:rsidRPr="00D0764B">
        <w:t xml:space="preserve">administered </w:t>
      </w:r>
      <w:r w:rsidRPr="00D0764B">
        <w:t>nasal</w:t>
      </w:r>
      <w:r w:rsidRPr="00D0764B">
        <w:t>ly</w:t>
      </w:r>
      <w:r w:rsidRPr="00D0764B">
        <w:t xml:space="preserve">, while </w:t>
      </w:r>
      <w:proofErr w:type="spellStart"/>
      <w:r w:rsidRPr="00D0764B">
        <w:t>Aquestive</w:t>
      </w:r>
      <w:r>
        <w:t>’s</w:t>
      </w:r>
      <w:proofErr w:type="spellEnd"/>
      <w:r w:rsidRPr="00D0764B">
        <w:t xml:space="preserve"> </w:t>
      </w:r>
      <w:r w:rsidRPr="00D0764B">
        <w:t xml:space="preserve">was </w:t>
      </w:r>
      <w:r>
        <w:t xml:space="preserve">administered </w:t>
      </w:r>
      <w:r w:rsidRPr="00D0764B">
        <w:t>oral</w:t>
      </w:r>
      <w:r>
        <w:t>ly</w:t>
      </w:r>
      <w:r w:rsidRPr="00D0764B">
        <w:t>.  (</w:t>
      </w:r>
      <w:r w:rsidRPr="00D0764B">
        <w:rPr>
          <w:i/>
          <w:iCs/>
        </w:rPr>
        <w:t>Id</w:t>
      </w:r>
      <w:r w:rsidRPr="00D0764B">
        <w:t>. at pp. 778-779.)</w:t>
      </w:r>
      <w:r>
        <w:t xml:space="preserve">  </w:t>
      </w:r>
      <w:proofErr w:type="spellStart"/>
      <w:r>
        <w:t>Aquestive</w:t>
      </w:r>
      <w:proofErr w:type="spellEnd"/>
      <w:r>
        <w:t xml:space="preserve"> </w:t>
      </w:r>
      <w:r>
        <w:t xml:space="preserve">made various statements to investors about its drug.  It </w:t>
      </w:r>
      <w:r>
        <w:t>filed a Form S-1 with the SEC</w:t>
      </w:r>
      <w:r>
        <w:t xml:space="preserve">, </w:t>
      </w:r>
      <w:r>
        <w:t xml:space="preserve">which </w:t>
      </w:r>
      <w:r>
        <w:t>stat</w:t>
      </w:r>
      <w:r>
        <w:t>ed</w:t>
      </w:r>
      <w:r>
        <w:t xml:space="preserve"> </w:t>
      </w:r>
      <w:r>
        <w:t xml:space="preserve">its drug was further along than other </w:t>
      </w:r>
      <w:r>
        <w:t>competing drugs in development</w:t>
      </w:r>
      <w:r>
        <w:t>.  (</w:t>
      </w:r>
      <w:r w:rsidRPr="004D533D">
        <w:rPr>
          <w:i/>
          <w:iCs/>
        </w:rPr>
        <w:t>Id</w:t>
      </w:r>
      <w:r>
        <w:t xml:space="preserve">. at p. 780.)  </w:t>
      </w:r>
      <w:proofErr w:type="spellStart"/>
      <w:r>
        <w:t>Aquestive’s</w:t>
      </w:r>
      <w:proofErr w:type="spellEnd"/>
      <w:r>
        <w:t xml:space="preserve"> </w:t>
      </w:r>
      <w:r>
        <w:t>chief executive officer</w:t>
      </w:r>
      <w:r>
        <w:t xml:space="preserve"> </w:t>
      </w:r>
      <w:r>
        <w:t xml:space="preserve">also </w:t>
      </w:r>
      <w:r>
        <w:t xml:space="preserve">stated </w:t>
      </w:r>
      <w:r>
        <w:t xml:space="preserve">during an investor call that </w:t>
      </w:r>
      <w:r>
        <w:t>survey</w:t>
      </w:r>
      <w:r>
        <w:t xml:space="preserve"> data</w:t>
      </w:r>
      <w:r>
        <w:t xml:space="preserve"> showed </w:t>
      </w:r>
      <w:r>
        <w:t xml:space="preserve">its drug was preferred by more than 80 percent of patients </w:t>
      </w:r>
      <w:r>
        <w:t xml:space="preserve">over </w:t>
      </w:r>
      <w:r>
        <w:t>nasal sprays.  (</w:t>
      </w:r>
      <w:r w:rsidRPr="00065FF1">
        <w:rPr>
          <w:i/>
          <w:iCs/>
        </w:rPr>
        <w:t>Id</w:t>
      </w:r>
      <w:r>
        <w:t>.</w:t>
      </w:r>
      <w:r>
        <w:t> </w:t>
      </w:r>
      <w:r>
        <w:t>at pp. 781-782.)</w:t>
      </w:r>
      <w:r>
        <w:t xml:space="preserve">  </w:t>
      </w:r>
      <w:proofErr w:type="spellStart"/>
      <w:r>
        <w:t>Neurelis</w:t>
      </w:r>
      <w:proofErr w:type="spellEnd"/>
      <w:r>
        <w:t xml:space="preserve"> sued </w:t>
      </w:r>
      <w:proofErr w:type="spellStart"/>
      <w:r>
        <w:t>Aquestive</w:t>
      </w:r>
      <w:proofErr w:type="spellEnd"/>
      <w:r>
        <w:t xml:space="preserve"> </w:t>
      </w:r>
      <w:r>
        <w:t xml:space="preserve">on various theories </w:t>
      </w:r>
      <w:r>
        <w:t>based on these investor statements.  (</w:t>
      </w:r>
      <w:r w:rsidRPr="00410307">
        <w:rPr>
          <w:i/>
          <w:iCs/>
        </w:rPr>
        <w:t>Id</w:t>
      </w:r>
      <w:r>
        <w:t>. at p. 782.)</w:t>
      </w:r>
    </w:p>
    <w:p w14:paraId="7B1DB284" w14:textId="77777777" w:rsidR="00C914E2" w:rsidRDefault="00C914E2" w:rsidP="00496BCF">
      <w:pPr>
        <w:tabs>
          <w:tab w:val="left" w:pos="1440"/>
        </w:tabs>
        <w:spacing w:line="480" w:lineRule="exact"/>
      </w:pPr>
      <w:r>
        <w:tab/>
      </w:r>
      <w:proofErr w:type="spellStart"/>
      <w:r>
        <w:t>Aquestive</w:t>
      </w:r>
      <w:proofErr w:type="spellEnd"/>
      <w:r>
        <w:t xml:space="preserve"> filed an anti-SLAPP motion</w:t>
      </w:r>
      <w:r>
        <w:t xml:space="preserve">, </w:t>
      </w:r>
      <w:r>
        <w:t xml:space="preserve">which </w:t>
      </w:r>
      <w:proofErr w:type="spellStart"/>
      <w:r>
        <w:t>Neurelis</w:t>
      </w:r>
      <w:proofErr w:type="spellEnd"/>
      <w:r>
        <w:t xml:space="preserve"> </w:t>
      </w:r>
      <w:r>
        <w:t xml:space="preserve">opposed </w:t>
      </w:r>
      <w:r>
        <w:t xml:space="preserve">based on </w:t>
      </w:r>
      <w:r>
        <w:t>the commercial speech exemption</w:t>
      </w:r>
      <w:r>
        <w:t xml:space="preserve">.  </w:t>
      </w:r>
      <w:r>
        <w:t>(</w:t>
      </w:r>
      <w:proofErr w:type="spellStart"/>
      <w:r w:rsidRPr="001376FD">
        <w:rPr>
          <w:i/>
          <w:iCs/>
        </w:rPr>
        <w:t>Neurelis</w:t>
      </w:r>
      <w:proofErr w:type="spellEnd"/>
      <w:r>
        <w:t xml:space="preserve">, </w:t>
      </w:r>
      <w:r w:rsidRPr="001376FD">
        <w:rPr>
          <w:i/>
          <w:iCs/>
        </w:rPr>
        <w:t>supra</w:t>
      </w:r>
      <w:r>
        <w:t xml:space="preserve">, </w:t>
      </w:r>
      <w:r w:rsidRPr="001376FD">
        <w:t>71</w:t>
      </w:r>
      <w:r>
        <w:t xml:space="preserve"> Cal.App.5th at p. </w:t>
      </w:r>
      <w:r>
        <w:t>782.)</w:t>
      </w:r>
      <w:r>
        <w:t xml:space="preserve">  </w:t>
      </w:r>
      <w:proofErr w:type="spellStart"/>
      <w:r>
        <w:t>Aquestive</w:t>
      </w:r>
      <w:proofErr w:type="spellEnd"/>
      <w:r>
        <w:t xml:space="preserve"> argue</w:t>
      </w:r>
      <w:r>
        <w:t>d</w:t>
      </w:r>
      <w:r>
        <w:t xml:space="preserve"> </w:t>
      </w:r>
      <w:r>
        <w:t xml:space="preserve">the </w:t>
      </w:r>
      <w:r>
        <w:t xml:space="preserve">exemption did not apply because the </w:t>
      </w:r>
      <w:r>
        <w:t xml:space="preserve">statements </w:t>
      </w:r>
      <w:r>
        <w:t xml:space="preserve">at issue </w:t>
      </w:r>
      <w:r>
        <w:t xml:space="preserve">were made to </w:t>
      </w:r>
      <w:r>
        <w:t xml:space="preserve">investors </w:t>
      </w:r>
      <w:r>
        <w:t xml:space="preserve">and </w:t>
      </w:r>
      <w:r>
        <w:t xml:space="preserve">not to </w:t>
      </w:r>
      <w:r>
        <w:t xml:space="preserve">potential customers of </w:t>
      </w:r>
      <w:r>
        <w:t xml:space="preserve">either </w:t>
      </w:r>
      <w:r>
        <w:t>seizure medication</w:t>
      </w:r>
      <w:r>
        <w:t xml:space="preserve"> </w:t>
      </w:r>
      <w:r>
        <w:t>under development</w:t>
      </w:r>
      <w:r>
        <w:t xml:space="preserve">.  </w:t>
      </w:r>
      <w:r>
        <w:t>(</w:t>
      </w:r>
      <w:r>
        <w:rPr>
          <w:i/>
          <w:iCs/>
        </w:rPr>
        <w:t>Id</w:t>
      </w:r>
      <w:r>
        <w:t xml:space="preserve">. </w:t>
      </w:r>
      <w:r>
        <w:t>at p. 787.)</w:t>
      </w:r>
      <w:r>
        <w:t xml:space="preserve">  </w:t>
      </w:r>
      <w:r>
        <w:t xml:space="preserve">It </w:t>
      </w:r>
      <w:r>
        <w:t xml:space="preserve">claimed </w:t>
      </w:r>
      <w:r>
        <w:t xml:space="preserve">the </w:t>
      </w:r>
      <w:r>
        <w:t xml:space="preserve">exemption </w:t>
      </w:r>
      <w:r>
        <w:t xml:space="preserve">would </w:t>
      </w:r>
      <w:r>
        <w:t xml:space="preserve">only </w:t>
      </w:r>
      <w:r>
        <w:t xml:space="preserve">apply </w:t>
      </w:r>
      <w:r>
        <w:t xml:space="preserve">to </w:t>
      </w:r>
      <w:r>
        <w:t xml:space="preserve">statements </w:t>
      </w:r>
      <w:r>
        <w:t xml:space="preserve">made </w:t>
      </w:r>
      <w:r>
        <w:t>to “</w:t>
      </w:r>
      <w:r>
        <w:t xml:space="preserve">customers or potential customers of its </w:t>
      </w:r>
      <w:r>
        <w:t xml:space="preserve">[drugs] </w:t>
      </w:r>
      <w:r>
        <w:t xml:space="preserve">and not investors, who only buy its stock.  </w:t>
      </w:r>
      <w:proofErr w:type="spellStart"/>
      <w:r>
        <w:t>Aquestive</w:t>
      </w:r>
      <w:proofErr w:type="spellEnd"/>
      <w:r>
        <w:t xml:space="preserve"> further point[ed] out that it </w:t>
      </w:r>
      <w:r>
        <w:t xml:space="preserve">is </w:t>
      </w:r>
      <w:r>
        <w:t xml:space="preserve">not in the business of selling securities and securities </w:t>
      </w:r>
      <w:r>
        <w:t>are</w:t>
      </w:r>
      <w:r>
        <w:t xml:space="preserve"> just a means by which it finds investment for its ‘tru</w:t>
      </w:r>
      <w:r>
        <w:t>e</w:t>
      </w:r>
      <w:r>
        <w:t xml:space="preserve"> business’ of ‘selling . . . pharmaceuticals for medical conditions.’”  (</w:t>
      </w:r>
      <w:r w:rsidRPr="0021522B">
        <w:rPr>
          <w:i/>
          <w:iCs/>
        </w:rPr>
        <w:t>I</w:t>
      </w:r>
      <w:r w:rsidRPr="0021522B">
        <w:rPr>
          <w:i/>
          <w:iCs/>
        </w:rPr>
        <w:t>d</w:t>
      </w:r>
      <w:r>
        <w:t>. at p. 789.)</w:t>
      </w:r>
    </w:p>
    <w:p w14:paraId="3D567202" w14:textId="77777777" w:rsidR="00C914E2" w:rsidRDefault="00C914E2" w:rsidP="00496BCF">
      <w:pPr>
        <w:tabs>
          <w:tab w:val="left" w:pos="1440"/>
        </w:tabs>
        <w:spacing w:line="480" w:lineRule="exact"/>
      </w:pPr>
      <w:r>
        <w:tab/>
      </w:r>
      <w:r>
        <w:t xml:space="preserve">The court rejected </w:t>
      </w:r>
      <w:proofErr w:type="spellStart"/>
      <w:r>
        <w:t>Aquestive’s</w:t>
      </w:r>
      <w:proofErr w:type="spellEnd"/>
      <w:r>
        <w:t xml:space="preserve"> </w:t>
      </w:r>
      <w:r>
        <w:t xml:space="preserve">argument.  It </w:t>
      </w:r>
      <w:r>
        <w:t xml:space="preserve">noted that </w:t>
      </w:r>
      <w:proofErr w:type="spellStart"/>
      <w:r>
        <w:t>Aquestive’s</w:t>
      </w:r>
      <w:proofErr w:type="spellEnd"/>
      <w:r>
        <w:t xml:space="preserve"> seizure medication was still in development </w:t>
      </w:r>
      <w:r>
        <w:t xml:space="preserve">when </w:t>
      </w:r>
      <w:r>
        <w:t>the</w:t>
      </w:r>
      <w:r>
        <w:t xml:space="preserve"> investor</w:t>
      </w:r>
      <w:r>
        <w:t xml:space="preserve"> statements were made.  </w:t>
      </w:r>
      <w:r>
        <w:t>“</w:t>
      </w:r>
      <w:r>
        <w:t>Thus, there were no consumers that would have been able to purchase [</w:t>
      </w:r>
      <w:proofErr w:type="spellStart"/>
      <w:r>
        <w:t>Aquestive’s</w:t>
      </w:r>
      <w:proofErr w:type="spellEnd"/>
      <w:r>
        <w:t xml:space="preserve"> drug] when the comments were made.  However, clearly the audience of </w:t>
      </w:r>
      <w:proofErr w:type="spellStart"/>
      <w:r>
        <w:t>Aquestive’s</w:t>
      </w:r>
      <w:proofErr w:type="spellEnd"/>
      <w:r>
        <w:t xml:space="preserve"> statements was in a position to ‘otherwise influence’ a ‘potential buyer’ of [the drug] by investing in </w:t>
      </w:r>
      <w:proofErr w:type="spellStart"/>
      <w:r>
        <w:lastRenderedPageBreak/>
        <w:t>Aquestive</w:t>
      </w:r>
      <w:proofErr w:type="spellEnd"/>
      <w:r>
        <w:t xml:space="preserve"> to help ensure that company brought </w:t>
      </w:r>
      <w:r>
        <w:t xml:space="preserve">[the drug] </w:t>
      </w:r>
      <w:r>
        <w:t>to market before other competing drugs</w:t>
      </w:r>
      <w:r>
        <w:t xml:space="preserve"> </w:t>
      </w:r>
      <w:proofErr w:type="gramStart"/>
      <w:r>
        <w:t>. . . </w:t>
      </w:r>
      <w:r>
        <w:t>.</w:t>
      </w:r>
      <w:proofErr w:type="gramEnd"/>
      <w:r>
        <w:t>”</w:t>
      </w:r>
      <w:r>
        <w:t xml:space="preserve">  </w:t>
      </w:r>
      <w:r>
        <w:t>(</w:t>
      </w:r>
      <w:proofErr w:type="spellStart"/>
      <w:r w:rsidRPr="001376FD">
        <w:rPr>
          <w:i/>
          <w:iCs/>
        </w:rPr>
        <w:t>Neurelis</w:t>
      </w:r>
      <w:proofErr w:type="spellEnd"/>
      <w:r>
        <w:t xml:space="preserve">, </w:t>
      </w:r>
      <w:r w:rsidRPr="001376FD">
        <w:rPr>
          <w:i/>
          <w:iCs/>
        </w:rPr>
        <w:t>supra</w:t>
      </w:r>
      <w:r>
        <w:t xml:space="preserve">, </w:t>
      </w:r>
      <w:r w:rsidRPr="001376FD">
        <w:t>71</w:t>
      </w:r>
      <w:r>
        <w:t xml:space="preserve"> Cal.App.5th at p. 790.)</w:t>
      </w:r>
    </w:p>
    <w:p w14:paraId="38607A8A" w14:textId="77777777" w:rsidR="00C914E2" w:rsidRDefault="00C914E2" w:rsidP="00A50149">
      <w:pPr>
        <w:tabs>
          <w:tab w:val="left" w:pos="1440"/>
        </w:tabs>
        <w:spacing w:line="480" w:lineRule="exact"/>
      </w:pPr>
      <w:r>
        <w:tab/>
      </w:r>
      <w:r w:rsidRPr="00616172">
        <w:t xml:space="preserve">While the statements at issue here pertained to a developing drug that was not available for purchase, they were made to promote the sales of </w:t>
      </w:r>
      <w:proofErr w:type="spellStart"/>
      <w:r w:rsidRPr="00616172">
        <w:t>BioCorRx’s</w:t>
      </w:r>
      <w:proofErr w:type="spellEnd"/>
      <w:r w:rsidRPr="00616172">
        <w:t xml:space="preserve"> goods and services through the sale of its securities.  </w:t>
      </w:r>
      <w:proofErr w:type="gramStart"/>
      <w:r w:rsidRPr="00616172">
        <w:t>Similar to</w:t>
      </w:r>
      <w:proofErr w:type="gramEnd"/>
      <w:r w:rsidRPr="00616172">
        <w:t xml:space="preserve"> </w:t>
      </w:r>
      <w:proofErr w:type="spellStart"/>
      <w:r w:rsidRPr="00616172">
        <w:rPr>
          <w:i/>
          <w:iCs/>
        </w:rPr>
        <w:t>Neurelis</w:t>
      </w:r>
      <w:proofErr w:type="spellEnd"/>
      <w:r w:rsidRPr="00616172">
        <w:t xml:space="preserve">, </w:t>
      </w:r>
      <w:proofErr w:type="spellStart"/>
      <w:r w:rsidRPr="00616172">
        <w:t>BioCorRx</w:t>
      </w:r>
      <w:proofErr w:type="spellEnd"/>
      <w:r w:rsidRPr="00616172">
        <w:t xml:space="preserve"> sought investment to fund its business of providing addiction treatment services and selling related medications.  (See </w:t>
      </w:r>
      <w:proofErr w:type="spellStart"/>
      <w:r w:rsidRPr="00616172">
        <w:rPr>
          <w:i/>
          <w:iCs/>
        </w:rPr>
        <w:t>Neurelis</w:t>
      </w:r>
      <w:proofErr w:type="spellEnd"/>
      <w:r w:rsidRPr="00616172">
        <w:t xml:space="preserve">, </w:t>
      </w:r>
      <w:r w:rsidRPr="00616172">
        <w:rPr>
          <w:i/>
          <w:iCs/>
        </w:rPr>
        <w:t>supra</w:t>
      </w:r>
      <w:r w:rsidRPr="00616172">
        <w:t>, 71 Cal.App.5th at p. 790.)</w:t>
      </w:r>
      <w:r>
        <w:rPr>
          <w:rStyle w:val="FootnoteReference"/>
        </w:rPr>
        <w:footnoteReference w:id="6"/>
      </w:r>
      <w:r>
        <w:t xml:space="preserve"> </w:t>
      </w:r>
      <w:r>
        <w:t xml:space="preserve"> </w:t>
      </w:r>
      <w:r>
        <w:t>A</w:t>
      </w:r>
      <w:r>
        <w:t xml:space="preserve">s stated above, </w:t>
      </w:r>
      <w:r>
        <w:t xml:space="preserve">the October 2018 </w:t>
      </w:r>
      <w:r>
        <w:t>press release state</w:t>
      </w:r>
      <w:r>
        <w:t>d</w:t>
      </w:r>
      <w:r>
        <w:t xml:space="preserve"> </w:t>
      </w:r>
      <w:proofErr w:type="spellStart"/>
      <w:r>
        <w:t>BioCorRx</w:t>
      </w:r>
      <w:proofErr w:type="spellEnd"/>
      <w:r>
        <w:t xml:space="preserve"> </w:t>
      </w:r>
      <w:r>
        <w:t xml:space="preserve">was planning to </w:t>
      </w:r>
      <w:r>
        <w:t xml:space="preserve">partner with VDM </w:t>
      </w:r>
      <w:r>
        <w:t>“</w:t>
      </w:r>
      <w:r>
        <w:t xml:space="preserve">to </w:t>
      </w:r>
      <w:r w:rsidRPr="00775C34">
        <w:t>develop and commercialize VDM-00</w:t>
      </w:r>
      <w:r>
        <w:t>1</w:t>
      </w:r>
      <w:r>
        <w:t>”</w:t>
      </w:r>
      <w:r>
        <w:t xml:space="preserve"> and that </w:t>
      </w:r>
      <w:proofErr w:type="spellStart"/>
      <w:r>
        <w:t>BioCorRx</w:t>
      </w:r>
      <w:proofErr w:type="spellEnd"/>
      <w:r>
        <w:t xml:space="preserve"> had the right to purchase an ownership interest in VDM</w:t>
      </w:r>
      <w:r>
        <w:t>.</w:t>
      </w:r>
      <w:r>
        <w:t xml:space="preserve">  </w:t>
      </w:r>
      <w:r>
        <w:t>T</w:t>
      </w:r>
      <w:r>
        <w:t xml:space="preserve">he March, May, August, and November 2020 press releases generally </w:t>
      </w:r>
      <w:r>
        <w:t xml:space="preserve">stated VDM-001 was </w:t>
      </w:r>
      <w:r>
        <w:t>“</w:t>
      </w:r>
      <w:r>
        <w:t xml:space="preserve">being developed to </w:t>
      </w:r>
      <w:r w:rsidRPr="00F02A55">
        <w:t>reverse opioid overdos</w:t>
      </w:r>
      <w:r>
        <w:t>e.</w:t>
      </w:r>
      <w:r>
        <w:t>”</w:t>
      </w:r>
      <w:r>
        <w:t xml:space="preserve"> </w:t>
      </w:r>
      <w:r>
        <w:t xml:space="preserve"> </w:t>
      </w:r>
      <w:r>
        <w:t>T</w:t>
      </w:r>
      <w:r>
        <w:t xml:space="preserve">hree of these </w:t>
      </w:r>
      <w:r>
        <w:t xml:space="preserve">press releases </w:t>
      </w:r>
      <w:r>
        <w:t xml:space="preserve">compared VDM-001 to competing drugs on the market, stating </w:t>
      </w:r>
      <w:r>
        <w:t xml:space="preserve">it could </w:t>
      </w:r>
      <w:r>
        <w:t>“‘</w:t>
      </w:r>
      <w:r>
        <w:t>represent an effective alternative to naloxone in the overdose reversal market.</w:t>
      </w:r>
      <w:r>
        <w:t>’</w:t>
      </w:r>
      <w:r>
        <w:t xml:space="preserve">”  Several press releases also highlight the fentanyl problem in the United States and stated that </w:t>
      </w:r>
      <w:r>
        <w:t>VDM-00</w:t>
      </w:r>
      <w:r>
        <w:t xml:space="preserve">1 may prevent </w:t>
      </w:r>
      <w:r>
        <w:t>“‘the effects of fentanyl, which is responsible for thousands of deaths annually.’”</w:t>
      </w:r>
    </w:p>
    <w:p w14:paraId="6849C25E" w14:textId="77777777" w:rsidR="00C914E2" w:rsidRDefault="00C914E2" w:rsidP="00A50149">
      <w:pPr>
        <w:tabs>
          <w:tab w:val="left" w:pos="1440"/>
        </w:tabs>
        <w:spacing w:line="480" w:lineRule="exact"/>
      </w:pPr>
      <w:r>
        <w:tab/>
        <w:t xml:space="preserve">The implication from the above statements is that there is a market for medication to combat </w:t>
      </w:r>
      <w:r>
        <w:t xml:space="preserve">opioid </w:t>
      </w:r>
      <w:r>
        <w:t>overdose</w:t>
      </w:r>
      <w:r>
        <w:t xml:space="preserve">, </w:t>
      </w:r>
      <w:proofErr w:type="spellStart"/>
      <w:r>
        <w:t>BioCorRx</w:t>
      </w:r>
      <w:proofErr w:type="spellEnd"/>
      <w:r>
        <w:t xml:space="preserve"> was developing </w:t>
      </w:r>
      <w:r>
        <w:t xml:space="preserve">such </w:t>
      </w:r>
      <w:r>
        <w:t>a medication</w:t>
      </w:r>
      <w:r>
        <w:t>, and investors should provide funds to continue that development</w:t>
      </w:r>
      <w:r>
        <w:t xml:space="preserve">.  </w:t>
      </w:r>
      <w:r>
        <w:t xml:space="preserve">Thus, </w:t>
      </w:r>
      <w:r>
        <w:t>we conclud</w:t>
      </w:r>
      <w:r>
        <w:t xml:space="preserve">e </w:t>
      </w:r>
      <w:r w:rsidRPr="00B52906">
        <w:t xml:space="preserve">the press releases </w:t>
      </w:r>
      <w:r>
        <w:t xml:space="preserve">at issue </w:t>
      </w:r>
      <w:r w:rsidRPr="00B52906">
        <w:t xml:space="preserve">were intended to attract </w:t>
      </w:r>
      <w:r>
        <w:t xml:space="preserve">investors that </w:t>
      </w:r>
      <w:proofErr w:type="gramStart"/>
      <w:r>
        <w:t xml:space="preserve">could </w:t>
      </w:r>
      <w:r>
        <w:t>“‘</w:t>
      </w:r>
      <w:proofErr w:type="gramEnd"/>
      <w:r w:rsidRPr="00C164D4">
        <w:t>otherwise influence</w:t>
      </w:r>
      <w:r>
        <w:t>’</w:t>
      </w:r>
      <w:r w:rsidRPr="00C164D4">
        <w:t xml:space="preserve"> </w:t>
      </w:r>
      <w:r w:rsidRPr="00C164D4">
        <w:lastRenderedPageBreak/>
        <w:t xml:space="preserve">a </w:t>
      </w:r>
      <w:r>
        <w:t>‘</w:t>
      </w:r>
      <w:r w:rsidRPr="00C164D4">
        <w:t>potential buyer</w:t>
      </w:r>
      <w:r>
        <w:t>’</w:t>
      </w:r>
      <w:r w:rsidRPr="00C164D4">
        <w:t xml:space="preserve">” by investing in </w:t>
      </w:r>
      <w:proofErr w:type="spellStart"/>
      <w:r w:rsidRPr="00C164D4">
        <w:t>BioCorRx</w:t>
      </w:r>
      <w:proofErr w:type="spellEnd"/>
      <w:r w:rsidRPr="00C164D4">
        <w:t xml:space="preserve"> to help it continue to develop VDM-001 for commercialization.</w:t>
      </w:r>
      <w:r>
        <w:t xml:space="preserve">  </w:t>
      </w:r>
      <w:r w:rsidRPr="00552A51">
        <w:t>(</w:t>
      </w:r>
      <w:r>
        <w:t xml:space="preserve">See </w:t>
      </w:r>
      <w:proofErr w:type="spellStart"/>
      <w:r w:rsidRPr="00552A51">
        <w:rPr>
          <w:i/>
          <w:iCs/>
        </w:rPr>
        <w:t>Neurelis</w:t>
      </w:r>
      <w:proofErr w:type="spellEnd"/>
      <w:r w:rsidRPr="00552A51">
        <w:t xml:space="preserve">, </w:t>
      </w:r>
      <w:r w:rsidRPr="00552A51">
        <w:rPr>
          <w:i/>
          <w:iCs/>
        </w:rPr>
        <w:t>supra</w:t>
      </w:r>
      <w:r w:rsidRPr="00552A51">
        <w:t>, 71 Cal.App.5th at p. 790.)</w:t>
      </w:r>
    </w:p>
    <w:p w14:paraId="70B27FDD" w14:textId="77777777" w:rsidR="00C914E2" w:rsidRDefault="00C914E2" w:rsidP="003C5A9C">
      <w:pPr>
        <w:tabs>
          <w:tab w:val="left" w:pos="1440"/>
        </w:tabs>
        <w:spacing w:line="480" w:lineRule="exact"/>
      </w:pPr>
      <w:r>
        <w:tab/>
      </w:r>
      <w:proofErr w:type="spellStart"/>
      <w:r w:rsidRPr="00604CE3">
        <w:t>BioCorRx</w:t>
      </w:r>
      <w:proofErr w:type="spellEnd"/>
      <w:r w:rsidRPr="00604CE3">
        <w:t xml:space="preserve"> attempts to distinguish </w:t>
      </w:r>
      <w:proofErr w:type="spellStart"/>
      <w:r w:rsidRPr="00604CE3">
        <w:rPr>
          <w:i/>
          <w:iCs/>
        </w:rPr>
        <w:t>Neurelis</w:t>
      </w:r>
      <w:proofErr w:type="spellEnd"/>
      <w:r w:rsidRPr="00604CE3">
        <w:t xml:space="preserve"> by arguing the statements </w:t>
      </w:r>
      <w:r>
        <w:t xml:space="preserve">at issue </w:t>
      </w:r>
      <w:r>
        <w:t xml:space="preserve">were </w:t>
      </w:r>
      <w:r>
        <w:t>made to the public</w:t>
      </w:r>
      <w:r>
        <w:t xml:space="preserve"> at large</w:t>
      </w:r>
      <w:r>
        <w:t xml:space="preserve"> </w:t>
      </w:r>
      <w:r>
        <w:t xml:space="preserve">and </w:t>
      </w:r>
      <w:r w:rsidRPr="00604CE3">
        <w:t xml:space="preserve">not </w:t>
      </w:r>
      <w:r>
        <w:t xml:space="preserve">directly to </w:t>
      </w:r>
      <w:r w:rsidRPr="00604CE3">
        <w:t xml:space="preserve">investors.  However, </w:t>
      </w:r>
      <w:r>
        <w:t>we can infer from the record that investors were the intended audience.</w:t>
      </w:r>
    </w:p>
    <w:p w14:paraId="0AE03AD3" w14:textId="77777777" w:rsidR="00C914E2" w:rsidRDefault="00C914E2" w:rsidP="003C5A9C">
      <w:pPr>
        <w:tabs>
          <w:tab w:val="left" w:pos="1440"/>
        </w:tabs>
        <w:spacing w:line="480" w:lineRule="exact"/>
      </w:pPr>
      <w:r>
        <w:tab/>
        <w:t xml:space="preserve">First, </w:t>
      </w:r>
      <w:proofErr w:type="spellStart"/>
      <w:r w:rsidRPr="00D56D87">
        <w:t>BioCorRx</w:t>
      </w:r>
      <w:proofErr w:type="spellEnd"/>
      <w:r w:rsidRPr="00D56D87">
        <w:t xml:space="preserve"> is a for</w:t>
      </w:r>
      <w:r>
        <w:t xml:space="preserve"> </w:t>
      </w:r>
      <w:r w:rsidRPr="00D56D87">
        <w:t>profit, publicly traded company</w:t>
      </w:r>
      <w:r>
        <w:t xml:space="preserve"> </w:t>
      </w:r>
      <w:r>
        <w:t>that sells and promotes the sale of its securities.  T</w:t>
      </w:r>
      <w:r>
        <w:t xml:space="preserve">he press releases </w:t>
      </w:r>
      <w:r>
        <w:t xml:space="preserve">all </w:t>
      </w:r>
      <w:r>
        <w:t xml:space="preserve">contain </w:t>
      </w:r>
      <w:proofErr w:type="spellStart"/>
      <w:r>
        <w:t>BioCorRx’s</w:t>
      </w:r>
      <w:proofErr w:type="spellEnd"/>
      <w:r>
        <w:t xml:space="preserve"> ticker symbol (BICX) in bold.  Thus, readers of the press releases could easily look up and purchase shares of </w:t>
      </w:r>
      <w:proofErr w:type="spellStart"/>
      <w:r>
        <w:t>BioCorRx</w:t>
      </w:r>
      <w:proofErr w:type="spellEnd"/>
      <w:r>
        <w:t xml:space="preserve">.  (See Koegler, </w:t>
      </w:r>
      <w:r w:rsidRPr="00FC5390">
        <w:rPr>
          <w:i/>
          <w:iCs/>
        </w:rPr>
        <w:t xml:space="preserve">Here Come the Cybercops 2: Who Should Police </w:t>
      </w:r>
      <w:proofErr w:type="spellStart"/>
      <w:r w:rsidRPr="00FC5390">
        <w:rPr>
          <w:i/>
          <w:iCs/>
        </w:rPr>
        <w:t>Cybermarks</w:t>
      </w:r>
      <w:proofErr w:type="spellEnd"/>
      <w:r w:rsidRPr="00FC5390">
        <w:rPr>
          <w:i/>
          <w:iCs/>
        </w:rPr>
        <w:t>?</w:t>
      </w:r>
      <w:r>
        <w:t xml:space="preserve"> (1998) 22 Nova </w:t>
      </w:r>
      <w:proofErr w:type="spellStart"/>
      <w:r>
        <w:t>L.Rev</w:t>
      </w:r>
      <w:proofErr w:type="spellEnd"/>
      <w:r>
        <w:t>. 531, 5</w:t>
      </w:r>
      <w:r>
        <w:t>35,</w:t>
      </w:r>
      <w:r>
        <w:t xml:space="preserve"> fn. 30</w:t>
      </w:r>
      <w:r>
        <w:t xml:space="preserve"> [ticker symbols “represent stocks on the market”]</w:t>
      </w:r>
      <w:r>
        <w:t>.</w:t>
      </w:r>
      <w:r>
        <w:t>)</w:t>
      </w:r>
    </w:p>
    <w:p w14:paraId="573D55BE" w14:textId="77777777" w:rsidR="00C914E2" w:rsidRPr="00870C79" w:rsidRDefault="00C914E2" w:rsidP="003C5A9C">
      <w:pPr>
        <w:tabs>
          <w:tab w:val="left" w:pos="1440"/>
        </w:tabs>
        <w:spacing w:line="480" w:lineRule="exact"/>
      </w:pPr>
      <w:r>
        <w:tab/>
        <w:t xml:space="preserve">Second, the press releases include safe harbor statements that inform investors of certain investing risks.  </w:t>
      </w:r>
      <w:r w:rsidRPr="003F0B5D">
        <w:rPr>
          <w:bCs/>
          <w:iCs/>
          <w:szCs w:val="26"/>
        </w:rPr>
        <w:t>(</w:t>
      </w:r>
      <w:r>
        <w:rPr>
          <w:bCs/>
          <w:iCs/>
          <w:szCs w:val="26"/>
        </w:rPr>
        <w:t xml:space="preserve">See </w:t>
      </w:r>
      <w:r w:rsidRPr="003F0B5D">
        <w:rPr>
          <w:bCs/>
          <w:i/>
          <w:szCs w:val="26"/>
        </w:rPr>
        <w:t>In re Copper Mountain Securities Litigation</w:t>
      </w:r>
      <w:r w:rsidRPr="003F0B5D">
        <w:rPr>
          <w:bCs/>
          <w:iCs/>
          <w:szCs w:val="26"/>
        </w:rPr>
        <w:t xml:space="preserve"> (N.D. Cal. 2004) 311 F.Supp.2d 857, 866</w:t>
      </w:r>
      <w:r>
        <w:rPr>
          <w:bCs/>
          <w:iCs/>
          <w:szCs w:val="26"/>
        </w:rPr>
        <w:t xml:space="preserve"> [safe harbor statements can shield companies from securities fraud claims].)  </w:t>
      </w:r>
      <w:r>
        <w:t xml:space="preserve">For </w:t>
      </w:r>
      <w:r>
        <w:t>instance</w:t>
      </w:r>
      <w:r>
        <w:t xml:space="preserve">, they state </w:t>
      </w:r>
      <w:r>
        <w:t>“[</w:t>
      </w:r>
      <w:r>
        <w:t>t</w:t>
      </w:r>
      <w:r>
        <w:t>]</w:t>
      </w:r>
      <w:proofErr w:type="gramStart"/>
      <w:r>
        <w:t>he</w:t>
      </w:r>
      <w:proofErr w:type="gramEnd"/>
      <w:r>
        <w:t xml:space="preserve"> information in this release includes forward-looking statements” that “involve known and unknown risks as well as uncertainties.  Although [</w:t>
      </w:r>
      <w:proofErr w:type="spellStart"/>
      <w:r>
        <w:t>BioCorR</w:t>
      </w:r>
      <w:r>
        <w:t>x</w:t>
      </w:r>
      <w:proofErr w:type="spellEnd"/>
      <w:r>
        <w:t>] believes that its expectations are based on reasonable assumptions, the actual results that [</w:t>
      </w:r>
      <w:proofErr w:type="spellStart"/>
      <w:r>
        <w:t>BioCorRx</w:t>
      </w:r>
      <w:proofErr w:type="spellEnd"/>
      <w:r>
        <w:t>] may achieve may differ materially from any forward-looking s</w:t>
      </w:r>
      <w:r>
        <w:t xml:space="preserve">tatements, which reflect the opinions of the management of </w:t>
      </w:r>
      <w:r>
        <w:t>[</w:t>
      </w:r>
      <w:proofErr w:type="spellStart"/>
      <w:r>
        <w:t>BioCorRx</w:t>
      </w:r>
      <w:proofErr w:type="spellEnd"/>
      <w:r>
        <w:t>] only as of the date hereof.”</w:t>
      </w:r>
      <w:r>
        <w:t xml:space="preserve">  (Italics omitted.)</w:t>
      </w:r>
    </w:p>
    <w:p w14:paraId="670F307D" w14:textId="77777777" w:rsidR="00C914E2" w:rsidRDefault="00C914E2" w:rsidP="003C5A9C">
      <w:pPr>
        <w:tabs>
          <w:tab w:val="left" w:pos="1440"/>
        </w:tabs>
        <w:spacing w:line="480" w:lineRule="exact"/>
      </w:pPr>
      <w:r>
        <w:tab/>
      </w:r>
      <w:r>
        <w:t xml:space="preserve">Third, all the press releases </w:t>
      </w:r>
      <w:r>
        <w:t xml:space="preserve">at issue </w:t>
      </w:r>
      <w:r>
        <w:t xml:space="preserve">contain investor-specific contact information for </w:t>
      </w:r>
      <w:proofErr w:type="spellStart"/>
      <w:r>
        <w:t>BioCorRx</w:t>
      </w:r>
      <w:proofErr w:type="spellEnd"/>
      <w:r>
        <w:t xml:space="preserve">.  They list </w:t>
      </w:r>
      <w:proofErr w:type="spellStart"/>
      <w:r>
        <w:t>BioCorRx’s</w:t>
      </w:r>
      <w:proofErr w:type="spellEnd"/>
      <w:r>
        <w:t xml:space="preserve"> e</w:t>
      </w:r>
      <w:r>
        <w:t>-</w:t>
      </w:r>
      <w:r>
        <w:t>mail address as “</w:t>
      </w:r>
      <w:r w:rsidRPr="00062F67">
        <w:rPr>
          <w:i/>
          <w:iCs/>
        </w:rPr>
        <w:t>investors</w:t>
      </w:r>
      <w:r>
        <w:t xml:space="preserve">@BioCorRx.com.”  (Italics added.)  They also include the e-mail address and phone number for </w:t>
      </w:r>
      <w:proofErr w:type="spellStart"/>
      <w:r>
        <w:t>BioCorRx’s</w:t>
      </w:r>
      <w:proofErr w:type="spellEnd"/>
      <w:r>
        <w:t xml:space="preserve"> “</w:t>
      </w:r>
      <w:r>
        <w:t>I</w:t>
      </w:r>
      <w:r>
        <w:t xml:space="preserve">nvestor </w:t>
      </w:r>
      <w:r>
        <w:t>R</w:t>
      </w:r>
      <w:r>
        <w:t xml:space="preserve">elations” firm.  </w:t>
      </w:r>
      <w:r>
        <w:t xml:space="preserve">(Boldfacing omitted.)  </w:t>
      </w:r>
      <w:r>
        <w:t xml:space="preserve">Thus, the press releases invite investors to contact </w:t>
      </w:r>
      <w:proofErr w:type="spellStart"/>
      <w:r>
        <w:t>BioCorRx</w:t>
      </w:r>
      <w:proofErr w:type="spellEnd"/>
      <w:r>
        <w:t xml:space="preserve">.  </w:t>
      </w:r>
      <w:r>
        <w:t xml:space="preserve">In contrast, </w:t>
      </w:r>
      <w:r>
        <w:t xml:space="preserve">nothing in the press releases encourages scientists, researchers, or other members of the public to contact </w:t>
      </w:r>
      <w:proofErr w:type="spellStart"/>
      <w:r>
        <w:t>BioCorRx</w:t>
      </w:r>
      <w:proofErr w:type="spellEnd"/>
      <w:r>
        <w:t xml:space="preserve"> if they are in</w:t>
      </w:r>
      <w:r>
        <w:t>terested in its research efforts.</w:t>
      </w:r>
    </w:p>
    <w:p w14:paraId="4CC41CC7" w14:textId="77777777" w:rsidR="00C914E2" w:rsidRDefault="00C914E2" w:rsidP="003C5A9C">
      <w:pPr>
        <w:tabs>
          <w:tab w:val="left" w:pos="1440"/>
        </w:tabs>
        <w:spacing w:line="480" w:lineRule="exact"/>
      </w:pPr>
      <w:r>
        <w:lastRenderedPageBreak/>
        <w:tab/>
        <w:t>Fourth,</w:t>
      </w:r>
      <w:r w:rsidRPr="00E774D4">
        <w:t xml:space="preserve"> </w:t>
      </w:r>
      <w:r>
        <w:t xml:space="preserve">the statements </w:t>
      </w:r>
      <w:r>
        <w:t xml:space="preserve">about VDM-001 </w:t>
      </w:r>
      <w:r>
        <w:t xml:space="preserve">were made in the context of </w:t>
      </w:r>
      <w:r>
        <w:t xml:space="preserve">press releases labeled as </w:t>
      </w:r>
      <w:r>
        <w:t>“</w:t>
      </w:r>
      <w:r>
        <w:t>B</w:t>
      </w:r>
      <w:r>
        <w:t xml:space="preserve">usiness </w:t>
      </w:r>
      <w:r>
        <w:t>U</w:t>
      </w:r>
      <w:r>
        <w:t>pdate</w:t>
      </w:r>
      <w:r>
        <w:t>[</w:t>
      </w:r>
      <w:r>
        <w:t>s</w:t>
      </w:r>
      <w:r>
        <w:t>]</w:t>
      </w:r>
      <w:r>
        <w:t>.</w:t>
      </w:r>
      <w:r>
        <w:t>”</w:t>
      </w:r>
      <w:r>
        <w:t xml:space="preserve">  These “</w:t>
      </w:r>
      <w:r>
        <w:t>B</w:t>
      </w:r>
      <w:r>
        <w:t xml:space="preserve">usiness </w:t>
      </w:r>
      <w:r>
        <w:t>U</w:t>
      </w:r>
      <w:r>
        <w:t>pdate</w:t>
      </w:r>
      <w:r>
        <w:t>[</w:t>
      </w:r>
      <w:r>
        <w:t>s</w:t>
      </w:r>
      <w:r>
        <w:t>]</w:t>
      </w:r>
      <w:r>
        <w:t>”</w:t>
      </w:r>
      <w:r>
        <w:t xml:space="preserve"> include news about </w:t>
      </w:r>
      <w:proofErr w:type="spellStart"/>
      <w:r>
        <w:t>BioCorRx’s</w:t>
      </w:r>
      <w:proofErr w:type="spellEnd"/>
      <w:r>
        <w:t xml:space="preserve"> business operations and product pipeline</w:t>
      </w:r>
      <w:r>
        <w:t xml:space="preserve"> </w:t>
      </w:r>
      <w:r>
        <w:t>and, as such,</w:t>
      </w:r>
      <w:r>
        <w:t xml:space="preserve"> </w:t>
      </w:r>
      <w:r>
        <w:t xml:space="preserve">appear tailored to investors. </w:t>
      </w:r>
      <w:r>
        <w:t xml:space="preserve"> (Boldfacing omitted.) </w:t>
      </w:r>
      <w:r>
        <w:t xml:space="preserve"> For </w:t>
      </w:r>
      <w:r>
        <w:t>instance</w:t>
      </w:r>
      <w:r>
        <w:t xml:space="preserve">, the press releases from March, May, August, and November 2020, contain not only updates about VDM-001 but on </w:t>
      </w:r>
      <w:proofErr w:type="spellStart"/>
      <w:r>
        <w:t>BioCorRx’s</w:t>
      </w:r>
      <w:proofErr w:type="spellEnd"/>
      <w:r>
        <w:t xml:space="preserve"> development of a new naltrexone implant for treating opioid and alcohol use disorders.  The March and May</w:t>
      </w:r>
      <w:r>
        <w:t xml:space="preserve"> 2020 press releases include updates on </w:t>
      </w:r>
      <w:proofErr w:type="spellStart"/>
      <w:r>
        <w:t>BioCorRx’s</w:t>
      </w:r>
      <w:proofErr w:type="spellEnd"/>
      <w:r>
        <w:t xml:space="preserve"> drug treatment and weight loss programs.  The March 2020 press release states that </w:t>
      </w:r>
      <w:proofErr w:type="spellStart"/>
      <w:r>
        <w:t>BioCorRx</w:t>
      </w:r>
      <w:proofErr w:type="spellEnd"/>
      <w:r>
        <w:t xml:space="preserve"> obtained a grant that would “substantially cover [its] financial costs towards FDA approval” of </w:t>
      </w:r>
      <w:r>
        <w:t xml:space="preserve">a </w:t>
      </w:r>
      <w:r>
        <w:t xml:space="preserve">naltrexone implant in development.  Finally, the November 2020 press release </w:t>
      </w:r>
      <w:r>
        <w:t xml:space="preserve">reports </w:t>
      </w:r>
      <w:r>
        <w:t xml:space="preserve">the appointment of </w:t>
      </w:r>
      <w:proofErr w:type="spellStart"/>
      <w:r>
        <w:t>BioCorRx’s</w:t>
      </w:r>
      <w:proofErr w:type="spellEnd"/>
      <w:r>
        <w:t xml:space="preserve"> new chief operating officer</w:t>
      </w:r>
      <w:r>
        <w:t xml:space="preserve">.  It also </w:t>
      </w:r>
      <w:r>
        <w:t xml:space="preserve">announces </w:t>
      </w:r>
      <w:r>
        <w:t xml:space="preserve">a </w:t>
      </w:r>
      <w:r>
        <w:t xml:space="preserve">new </w:t>
      </w:r>
      <w:r>
        <w:t>partnership with “</w:t>
      </w:r>
      <w:proofErr w:type="spellStart"/>
      <w:r>
        <w:t>Truusight</w:t>
      </w:r>
      <w:proofErr w:type="spellEnd"/>
      <w:r>
        <w:t xml:space="preserve"> Health, a healthcare solutions and care navigation and management company,</w:t>
      </w:r>
      <w:r>
        <w:t xml:space="preserve"> to bring the [</w:t>
      </w:r>
      <w:proofErr w:type="spellStart"/>
      <w:r>
        <w:t>BioCorRx’s</w:t>
      </w:r>
      <w:proofErr w:type="spellEnd"/>
      <w:r>
        <w:t>] Recovery Program to self-funded health plans.”</w:t>
      </w:r>
    </w:p>
    <w:p w14:paraId="1A90D151" w14:textId="77777777" w:rsidR="00C914E2" w:rsidRPr="00600984" w:rsidRDefault="00C914E2" w:rsidP="003C5A9C">
      <w:pPr>
        <w:tabs>
          <w:tab w:val="left" w:pos="1440"/>
        </w:tabs>
        <w:spacing w:line="480" w:lineRule="exact"/>
      </w:pPr>
      <w:r>
        <w:tab/>
        <w:t>Fifth, the press releases were distributed by Global Newswire.  The record indicates Global Newswire “</w:t>
      </w:r>
      <w:proofErr w:type="spellStart"/>
      <w:r>
        <w:t>specializ</w:t>
      </w:r>
      <w:proofErr w:type="spellEnd"/>
      <w:r>
        <w:t xml:space="preserve">[es] in the delivery of corporate press </w:t>
      </w:r>
      <w:proofErr w:type="gramStart"/>
      <w:r>
        <w:t>releases[</w:t>
      </w:r>
      <w:proofErr w:type="gramEnd"/>
      <w:r>
        <w:t xml:space="preserve">,] financial disclosure[,] and multimedia content to the media, </w:t>
      </w:r>
      <w:r w:rsidRPr="0072429E">
        <w:rPr>
          <w:i/>
          <w:iCs/>
        </w:rPr>
        <w:t>investment community</w:t>
      </w:r>
      <w:r>
        <w:t xml:space="preserve">, </w:t>
      </w:r>
      <w:r w:rsidRPr="0072429E">
        <w:rPr>
          <w:i/>
          <w:iCs/>
        </w:rPr>
        <w:t>individual investors</w:t>
      </w:r>
      <w:r>
        <w:t>, and the general public.</w:t>
      </w:r>
      <w:r>
        <w:t>”</w:t>
      </w:r>
      <w:r>
        <w:t xml:space="preserve">  (Italics added.)</w:t>
      </w:r>
    </w:p>
    <w:p w14:paraId="40BACDCB" w14:textId="77777777" w:rsidR="00C914E2" w:rsidRDefault="00C914E2" w:rsidP="00B903AB">
      <w:pPr>
        <w:tabs>
          <w:tab w:val="left" w:pos="1440"/>
        </w:tabs>
        <w:spacing w:line="480" w:lineRule="exact"/>
      </w:pPr>
      <w:r>
        <w:tab/>
      </w:r>
      <w:proofErr w:type="spellStart"/>
      <w:r>
        <w:t>BioCorRx</w:t>
      </w:r>
      <w:proofErr w:type="spellEnd"/>
      <w:r>
        <w:t xml:space="preserve"> also </w:t>
      </w:r>
      <w:r>
        <w:t xml:space="preserve">contends </w:t>
      </w:r>
      <w:r>
        <w:t xml:space="preserve">the third element is not met when </w:t>
      </w:r>
      <w:r>
        <w:t>a publicly trade</w:t>
      </w:r>
      <w:r>
        <w:t>d</w:t>
      </w:r>
      <w:r>
        <w:t xml:space="preserve"> company promot</w:t>
      </w:r>
      <w:r>
        <w:t>es</w:t>
      </w:r>
      <w:r>
        <w:t xml:space="preserve"> its own securities.  </w:t>
      </w:r>
      <w:r>
        <w:t xml:space="preserve">It </w:t>
      </w:r>
      <w:r>
        <w:t xml:space="preserve">claims </w:t>
      </w:r>
      <w:r>
        <w:t xml:space="preserve">such an interpretation would </w:t>
      </w:r>
      <w:r>
        <w:t xml:space="preserve">make </w:t>
      </w:r>
      <w:r>
        <w:t>every publicly trade</w:t>
      </w:r>
      <w:r>
        <w:t>d</w:t>
      </w:r>
      <w:r>
        <w:t xml:space="preserve"> company “subject </w:t>
      </w:r>
      <w:r>
        <w:t xml:space="preserve">to the commercial speech exemption whenever it issued a press release.”  </w:t>
      </w:r>
      <w:r>
        <w:t>We disagree.</w:t>
      </w:r>
    </w:p>
    <w:p w14:paraId="5975B584" w14:textId="77777777" w:rsidR="00C914E2" w:rsidRDefault="00C914E2" w:rsidP="00B903AB">
      <w:pPr>
        <w:tabs>
          <w:tab w:val="left" w:pos="1440"/>
        </w:tabs>
        <w:spacing w:line="480" w:lineRule="exact"/>
      </w:pPr>
      <w:r>
        <w:tab/>
      </w:r>
      <w:r>
        <w:t>I</w:t>
      </w:r>
      <w:r>
        <w:t xml:space="preserve">n </w:t>
      </w:r>
      <w:proofErr w:type="spellStart"/>
      <w:r w:rsidRPr="00BE64B5">
        <w:rPr>
          <w:i/>
          <w:iCs/>
        </w:rPr>
        <w:t>Neurelis</w:t>
      </w:r>
      <w:proofErr w:type="spellEnd"/>
      <w:r>
        <w:t xml:space="preserve">, </w:t>
      </w:r>
      <w:proofErr w:type="spellStart"/>
      <w:r>
        <w:t>Aquestive’s</w:t>
      </w:r>
      <w:proofErr w:type="spellEnd"/>
      <w:r>
        <w:t xml:space="preserve"> statements also promoted the sale of its securities because its</w:t>
      </w:r>
      <w:r>
        <w:t xml:space="preserve"> seizure</w:t>
      </w:r>
      <w:r>
        <w:t xml:space="preserve"> medication was still in development and not available for purchase.  </w:t>
      </w:r>
      <w:r>
        <w:t xml:space="preserve">(See </w:t>
      </w:r>
      <w:proofErr w:type="spellStart"/>
      <w:r w:rsidRPr="001376FD">
        <w:rPr>
          <w:i/>
          <w:iCs/>
        </w:rPr>
        <w:t>Neurelis</w:t>
      </w:r>
      <w:proofErr w:type="spellEnd"/>
      <w:r>
        <w:t xml:space="preserve">, </w:t>
      </w:r>
      <w:r w:rsidRPr="001376FD">
        <w:rPr>
          <w:i/>
          <w:iCs/>
        </w:rPr>
        <w:t>supra</w:t>
      </w:r>
      <w:r>
        <w:t xml:space="preserve">, </w:t>
      </w:r>
      <w:r w:rsidRPr="001376FD">
        <w:t>71</w:t>
      </w:r>
      <w:r>
        <w:t xml:space="preserve"> Cal.App.5th at pp. 789-790.)</w:t>
      </w:r>
      <w:r>
        <w:t xml:space="preserve">  Press releases only become subject to the commercial speech exemption when all four elements set forth above are met.</w:t>
      </w:r>
      <w:r>
        <w:t xml:space="preserve">  </w:t>
      </w:r>
    </w:p>
    <w:p w14:paraId="13C181D1" w14:textId="77777777" w:rsidR="00C914E2" w:rsidRDefault="00C914E2" w:rsidP="007951E4">
      <w:pPr>
        <w:tabs>
          <w:tab w:val="left" w:pos="1440"/>
        </w:tabs>
        <w:spacing w:line="480" w:lineRule="exact"/>
      </w:pPr>
      <w:r>
        <w:lastRenderedPageBreak/>
        <w:tab/>
      </w:r>
      <w:r>
        <w:t>Further, a</w:t>
      </w:r>
      <w:r>
        <w:t xml:space="preserve">s this Division previously explained, the </w:t>
      </w:r>
      <w:r>
        <w:t xml:space="preserve">Legislature enacted </w:t>
      </w:r>
      <w:r>
        <w:t xml:space="preserve">the commercial speech </w:t>
      </w:r>
      <w:r>
        <w:t xml:space="preserve">exemption because </w:t>
      </w:r>
      <w:r>
        <w:t>“commercial defendants were invoking the procedural protections of the anti-SLAPP statute by claiming their advertising impacted the public interest</w:t>
      </w:r>
      <w:r>
        <w:t>.</w:t>
      </w:r>
      <w:r>
        <w:t>”</w:t>
      </w:r>
      <w:r>
        <w:t xml:space="preserve">  (</w:t>
      </w:r>
      <w:r w:rsidRPr="006A6693">
        <w:rPr>
          <w:i/>
          <w:iCs/>
        </w:rPr>
        <w:t>Metcalf v. U-Haul Internat</w:t>
      </w:r>
      <w:r>
        <w:rPr>
          <w:i/>
          <w:iCs/>
        </w:rPr>
        <w:t>ional</w:t>
      </w:r>
      <w:r w:rsidRPr="006A6693">
        <w:rPr>
          <w:i/>
          <w:iCs/>
        </w:rPr>
        <w:t>, Inc.</w:t>
      </w:r>
      <w:r>
        <w:t xml:space="preserve">, </w:t>
      </w:r>
      <w:r w:rsidRPr="008D7D14">
        <w:rPr>
          <w:i/>
          <w:iCs/>
        </w:rPr>
        <w:t>supra</w:t>
      </w:r>
      <w:r>
        <w:t>,</w:t>
      </w:r>
      <w:r>
        <w:t xml:space="preserve"> 118 Cal.App.4th </w:t>
      </w:r>
      <w:r>
        <w:t xml:space="preserve">at p. </w:t>
      </w:r>
      <w:r>
        <w:t xml:space="preserve">1267.)  </w:t>
      </w:r>
      <w:r>
        <w:t xml:space="preserve">The exemption was intended to curb </w:t>
      </w:r>
      <w:r>
        <w:t xml:space="preserve">this </w:t>
      </w:r>
      <w:r>
        <w:t>“‘</w:t>
      </w:r>
      <w:r>
        <w:t>disturbing abuse</w:t>
      </w:r>
      <w:r>
        <w:t xml:space="preserve">’ </w:t>
      </w:r>
      <w:r>
        <w:t xml:space="preserve">of the </w:t>
      </w:r>
      <w:r>
        <w:t xml:space="preserve">[anti-SLAPP] </w:t>
      </w:r>
      <w:r>
        <w:t>statute.</w:t>
      </w:r>
      <w:r>
        <w:t xml:space="preserve">”  </w:t>
      </w:r>
      <w:r>
        <w:t>(</w:t>
      </w:r>
      <w:r w:rsidRPr="007072EF">
        <w:rPr>
          <w:i/>
          <w:iCs/>
        </w:rPr>
        <w:t>Ibid</w:t>
      </w:r>
      <w:r>
        <w:t>.)</w:t>
      </w:r>
      <w:r>
        <w:t xml:space="preserve">  </w:t>
      </w:r>
      <w:r>
        <w:t xml:space="preserve">A company’s promotion of its securities is </w:t>
      </w:r>
      <w:r>
        <w:t xml:space="preserve">simply another </w:t>
      </w:r>
      <w:r>
        <w:t>form</w:t>
      </w:r>
      <w:r>
        <w:t xml:space="preserve"> of</w:t>
      </w:r>
      <w:r>
        <w:t xml:space="preserve"> </w:t>
      </w:r>
      <w:r>
        <w:t xml:space="preserve">advertising. </w:t>
      </w:r>
      <w:r>
        <w:t xml:space="preserve"> </w:t>
      </w:r>
      <w:r>
        <w:t>For instance, i</w:t>
      </w:r>
      <w:r>
        <w:t xml:space="preserve">f a company makes misrepresentations while promoting </w:t>
      </w:r>
      <w:r>
        <w:t>its securities</w:t>
      </w:r>
      <w:r>
        <w:t xml:space="preserve"> </w:t>
      </w:r>
      <w:r>
        <w:t>sale</w:t>
      </w:r>
      <w:r>
        <w:t>s</w:t>
      </w:r>
      <w:r>
        <w:t xml:space="preserve"> </w:t>
      </w:r>
      <w:r>
        <w:t xml:space="preserve">and is sued, the </w:t>
      </w:r>
      <w:r>
        <w:t xml:space="preserve">resulting </w:t>
      </w:r>
      <w:r>
        <w:t xml:space="preserve">lawsuit </w:t>
      </w:r>
      <w:r>
        <w:t>“</w:t>
      </w:r>
      <w:r w:rsidRPr="007951E4">
        <w:t xml:space="preserve">does not involve a plaintiff attempting to limit a </w:t>
      </w:r>
      <w:proofErr w:type="gramStart"/>
      <w:r w:rsidRPr="007951E4">
        <w:t>defendant</w:t>
      </w:r>
      <w:r>
        <w:t>’</w:t>
      </w:r>
      <w:r w:rsidRPr="007951E4">
        <w:t>s</w:t>
      </w:r>
      <w:proofErr w:type="gramEnd"/>
      <w:r w:rsidRPr="007951E4">
        <w:t xml:space="preserve"> constitutionally protected free speech rights</w:t>
      </w:r>
      <w:r>
        <w:t>.</w:t>
      </w:r>
      <w:r>
        <w:t xml:space="preserve">” </w:t>
      </w:r>
      <w:r>
        <w:t xml:space="preserve"> (See </w:t>
      </w:r>
      <w:proofErr w:type="spellStart"/>
      <w:r w:rsidRPr="007951E4">
        <w:rPr>
          <w:i/>
          <w:iCs/>
        </w:rPr>
        <w:t>Neurelis</w:t>
      </w:r>
      <w:proofErr w:type="spellEnd"/>
      <w:r>
        <w:t xml:space="preserve">, </w:t>
      </w:r>
      <w:r w:rsidRPr="007951E4">
        <w:rPr>
          <w:i/>
          <w:iCs/>
        </w:rPr>
        <w:t>supra</w:t>
      </w:r>
      <w:r>
        <w:t>, 71 Cal.App.5th at p. 790.)</w:t>
      </w:r>
      <w:r w:rsidRPr="003A37E3">
        <w:t xml:space="preserve"> </w:t>
      </w:r>
      <w:r>
        <w:t xml:space="preserve"> </w:t>
      </w:r>
      <w:r>
        <w:t>Rather, i</w:t>
      </w:r>
      <w:r>
        <w:t xml:space="preserve">t </w:t>
      </w:r>
      <w:r>
        <w:t xml:space="preserve">involves </w:t>
      </w:r>
      <w:r>
        <w:t xml:space="preserve">bad </w:t>
      </w:r>
      <w:r>
        <w:t xml:space="preserve">advertising.  </w:t>
      </w:r>
      <w:r>
        <w:t>Such lawsuit</w:t>
      </w:r>
      <w:r>
        <w:t>s</w:t>
      </w:r>
      <w:r>
        <w:t xml:space="preserve"> </w:t>
      </w:r>
      <w:r>
        <w:t xml:space="preserve">are </w:t>
      </w:r>
      <w:r>
        <w:t>“</w:t>
      </w:r>
      <w:r w:rsidRPr="007951E4">
        <w:t>not the type of case</w:t>
      </w:r>
      <w:r>
        <w:t>[s]</w:t>
      </w:r>
      <w:r w:rsidRPr="007951E4">
        <w:t xml:space="preserve"> for which the anti-SLAPP statute was intended.</w:t>
      </w:r>
      <w:r>
        <w:t xml:space="preserve">”  (See </w:t>
      </w:r>
      <w:r>
        <w:rPr>
          <w:i/>
          <w:iCs/>
        </w:rPr>
        <w:t>ibid</w:t>
      </w:r>
      <w:r>
        <w:t>.)</w:t>
      </w:r>
    </w:p>
    <w:p w14:paraId="019DE1E2" w14:textId="77777777" w:rsidR="00C914E2" w:rsidRDefault="00C914E2" w:rsidP="003C5A9C">
      <w:pPr>
        <w:tabs>
          <w:tab w:val="left" w:pos="1440"/>
        </w:tabs>
        <w:spacing w:line="480" w:lineRule="exact"/>
      </w:pPr>
      <w:r>
        <w:tab/>
        <w:t xml:space="preserve">Finally, </w:t>
      </w:r>
      <w:proofErr w:type="spellStart"/>
      <w:r>
        <w:t>BioCorRx</w:t>
      </w:r>
      <w:proofErr w:type="spellEnd"/>
      <w:r>
        <w:t xml:space="preserve"> argues </w:t>
      </w:r>
      <w:proofErr w:type="spellStart"/>
      <w:r w:rsidRPr="00933821">
        <w:rPr>
          <w:i/>
          <w:iCs/>
        </w:rPr>
        <w:t>Neurelis</w:t>
      </w:r>
      <w:proofErr w:type="spellEnd"/>
      <w:r>
        <w:t xml:space="preserve"> is distinguishable because </w:t>
      </w:r>
      <w:proofErr w:type="spellStart"/>
      <w:r>
        <w:t>Aquestive</w:t>
      </w:r>
      <w:proofErr w:type="spellEnd"/>
      <w:r>
        <w:t xml:space="preserve"> made </w:t>
      </w:r>
      <w:r>
        <w:t xml:space="preserve">statements </w:t>
      </w:r>
      <w:r>
        <w:t xml:space="preserve">about a </w:t>
      </w:r>
      <w:r>
        <w:t xml:space="preserve">direct </w:t>
      </w:r>
      <w:r>
        <w:t xml:space="preserve">competitor’s </w:t>
      </w:r>
      <w:r>
        <w:t>(</w:t>
      </w:r>
      <w:proofErr w:type="spellStart"/>
      <w:r>
        <w:t>Neurelis</w:t>
      </w:r>
      <w:r>
        <w:t>’s</w:t>
      </w:r>
      <w:proofErr w:type="spellEnd"/>
      <w:r>
        <w:t xml:space="preserve">) </w:t>
      </w:r>
      <w:r>
        <w:t>product, and no such statements were made here.  But the commercial speech exemption can be applied if a company makes statements about its own product</w:t>
      </w:r>
      <w:r>
        <w:t>s</w:t>
      </w:r>
      <w:r>
        <w:t>, service</w:t>
      </w:r>
      <w:r>
        <w:t>s</w:t>
      </w:r>
      <w:r>
        <w:t>, or business operations.  (</w:t>
      </w:r>
      <w:r w:rsidRPr="00E508CE">
        <w:rPr>
          <w:i/>
          <w:iCs/>
        </w:rPr>
        <w:t>Simpson</w:t>
      </w:r>
      <w:r w:rsidRPr="0072473B">
        <w:t>,</w:t>
      </w:r>
      <w:r>
        <w:rPr>
          <w:i/>
          <w:iCs/>
        </w:rPr>
        <w:t xml:space="preserve"> supra</w:t>
      </w:r>
      <w:r>
        <w:t>, 49 Cal.4th at p. 30.)</w:t>
      </w:r>
    </w:p>
    <w:p w14:paraId="20EF3BFF" w14:textId="77777777" w:rsidR="00C914E2" w:rsidRDefault="00C914E2" w:rsidP="00477F20">
      <w:pPr>
        <w:keepNext/>
        <w:tabs>
          <w:tab w:val="left" w:pos="5040"/>
        </w:tabs>
        <w:spacing w:before="480" w:line="480" w:lineRule="exact"/>
        <w:rPr>
          <w:i/>
          <w:iCs/>
        </w:rPr>
      </w:pPr>
      <w:r>
        <w:rPr>
          <w:i/>
          <w:iCs/>
        </w:rPr>
        <w:t>C</w:t>
      </w:r>
      <w:r w:rsidRPr="00477F20">
        <w:rPr>
          <w:i/>
          <w:iCs/>
        </w:rPr>
        <w:t xml:space="preserve">.  </w:t>
      </w:r>
      <w:r>
        <w:rPr>
          <w:i/>
          <w:iCs/>
        </w:rPr>
        <w:t>Granier</w:t>
      </w:r>
    </w:p>
    <w:p w14:paraId="14DD7584" w14:textId="77777777" w:rsidR="00C914E2" w:rsidRDefault="00C914E2" w:rsidP="0020087B">
      <w:pPr>
        <w:tabs>
          <w:tab w:val="left" w:pos="1440"/>
        </w:tabs>
        <w:spacing w:line="480" w:lineRule="exact"/>
      </w:pPr>
      <w:r>
        <w:tab/>
      </w:r>
      <w:r>
        <w:t xml:space="preserve">VDM has the burden of </w:t>
      </w:r>
      <w:r>
        <w:t xml:space="preserve">showing </w:t>
      </w:r>
      <w:r>
        <w:t xml:space="preserve">the court erred by granting </w:t>
      </w:r>
      <w:r>
        <w:t xml:space="preserve">the </w:t>
      </w:r>
      <w:r>
        <w:t>anti-SLAPP motion</w:t>
      </w:r>
      <w:r>
        <w:t xml:space="preserve"> as to Granier</w:t>
      </w:r>
      <w:r>
        <w:t>.  “</w:t>
      </w:r>
      <w:r w:rsidRPr="00107E42">
        <w:t>This burden remains the same whether or not the respondent files a brief or provides argument or authority on an issue.”  (</w:t>
      </w:r>
      <w:r w:rsidRPr="00107E42">
        <w:rPr>
          <w:i/>
          <w:iCs/>
        </w:rPr>
        <w:t>Doe v. McLaughlin</w:t>
      </w:r>
      <w:r w:rsidRPr="00107E42">
        <w:t xml:space="preserve"> (2022) 83 Cal.App.5th 640, 655.)</w:t>
      </w:r>
      <w:r>
        <w:t xml:space="preserve">  </w:t>
      </w:r>
      <w:r>
        <w:t xml:space="preserve">As explained below, </w:t>
      </w:r>
      <w:r>
        <w:t>VDM</w:t>
      </w:r>
      <w:r>
        <w:t>’s opening bri</w:t>
      </w:r>
      <w:r>
        <w:t>e</w:t>
      </w:r>
      <w:r>
        <w:t>f</w:t>
      </w:r>
      <w:r>
        <w:t xml:space="preserve"> fail</w:t>
      </w:r>
      <w:r>
        <w:t>s</w:t>
      </w:r>
      <w:r>
        <w:t xml:space="preserve"> to make any </w:t>
      </w:r>
      <w:r>
        <w:t xml:space="preserve">reasoned </w:t>
      </w:r>
      <w:r>
        <w:t xml:space="preserve">argument </w:t>
      </w:r>
      <w:r>
        <w:t xml:space="preserve">showing the court erred </w:t>
      </w:r>
      <w:r>
        <w:t xml:space="preserve">by </w:t>
      </w:r>
      <w:r>
        <w:t>ruling in favor of Granier</w:t>
      </w:r>
      <w:r>
        <w:t>.  Thus, the argument has been forfeited.  (</w:t>
      </w:r>
      <w:r w:rsidRPr="00175CDC">
        <w:rPr>
          <w:i/>
          <w:iCs/>
        </w:rPr>
        <w:t>Id</w:t>
      </w:r>
      <w:r>
        <w:t>. at pp. 65</w:t>
      </w:r>
      <w:r>
        <w:t>3 [“A</w:t>
      </w:r>
      <w:r w:rsidRPr="00175CDC">
        <w:t>n appellant abandons an issue by failing to raise it in the opening brief</w:t>
      </w:r>
      <w:r>
        <w:t xml:space="preserve">”]; </w:t>
      </w:r>
      <w:r w:rsidRPr="00C954F5">
        <w:rPr>
          <w:i/>
          <w:iCs/>
        </w:rPr>
        <w:t>City of Riverside v. Horspool</w:t>
      </w:r>
      <w:r w:rsidRPr="00781749">
        <w:t xml:space="preserve"> (2014) 223 Cal.App.4th 670, 679</w:t>
      </w:r>
      <w:r>
        <w:t>,</w:t>
      </w:r>
      <w:r w:rsidRPr="00781749">
        <w:t xml:space="preserve"> fn.</w:t>
      </w:r>
      <w:r>
        <w:t xml:space="preserve"> 8 [</w:t>
      </w:r>
      <w:r>
        <w:t>“</w:t>
      </w:r>
      <w:r w:rsidRPr="00781749">
        <w:t>An appellate court is not required to examine undeveloped claims or to make arguments for the parties</w:t>
      </w:r>
      <w:r>
        <w:t>”</w:t>
      </w:r>
      <w:r>
        <w:t>]</w:t>
      </w:r>
      <w:r>
        <w:t>.)</w:t>
      </w:r>
    </w:p>
    <w:p w14:paraId="0EF1F9B3" w14:textId="77777777" w:rsidR="00C914E2" w:rsidRPr="00760C98" w:rsidRDefault="00C914E2" w:rsidP="005C13F9">
      <w:pPr>
        <w:tabs>
          <w:tab w:val="left" w:pos="1440"/>
        </w:tabs>
        <w:spacing w:line="480" w:lineRule="exact"/>
      </w:pPr>
      <w:r>
        <w:lastRenderedPageBreak/>
        <w:tab/>
        <w:t xml:space="preserve">First, VDM has </w:t>
      </w:r>
      <w:r>
        <w:t xml:space="preserve">not made any reasoned argument that the </w:t>
      </w:r>
      <w:r>
        <w:t xml:space="preserve">commercial speech exemption applies to Granier.  As set forth above, </w:t>
      </w:r>
      <w:r>
        <w:t xml:space="preserve">this exemption </w:t>
      </w:r>
      <w:r>
        <w:t xml:space="preserve">only applies when the </w:t>
      </w:r>
      <w:r>
        <w:t xml:space="preserve">relevant </w:t>
      </w:r>
      <w:r>
        <w:t xml:space="preserve">cause of action is asserted “against a person primarily engaged in the business of selling or leasing goods or services.”  </w:t>
      </w:r>
      <w:r w:rsidRPr="00DD733E">
        <w:t>(</w:t>
      </w:r>
      <w:r w:rsidRPr="00DD733E">
        <w:rPr>
          <w:i/>
          <w:iCs/>
        </w:rPr>
        <w:t>Simpson</w:t>
      </w:r>
      <w:r>
        <w:t xml:space="preserve">, </w:t>
      </w:r>
      <w:r w:rsidRPr="00DD733E">
        <w:rPr>
          <w:i/>
          <w:iCs/>
        </w:rPr>
        <w:t>supra</w:t>
      </w:r>
      <w:r>
        <w:t xml:space="preserve">, </w:t>
      </w:r>
      <w:r w:rsidRPr="00DD733E">
        <w:t xml:space="preserve">49 Cal.4th </w:t>
      </w:r>
      <w:r>
        <w:t xml:space="preserve">at p. </w:t>
      </w:r>
      <w:r w:rsidRPr="00DD733E">
        <w:t>30.)</w:t>
      </w:r>
      <w:r>
        <w:t xml:space="preserve"> </w:t>
      </w:r>
      <w:r>
        <w:t>VDM</w:t>
      </w:r>
      <w:r>
        <w:t>’s opening brief</w:t>
      </w:r>
      <w:r>
        <w:t xml:space="preserve"> </w:t>
      </w:r>
      <w:r>
        <w:t xml:space="preserve">asserts </w:t>
      </w:r>
      <w:r>
        <w:t xml:space="preserve">its </w:t>
      </w:r>
      <w:r>
        <w:t>“claims are against persons (</w:t>
      </w:r>
      <w:proofErr w:type="spellStart"/>
      <w:r>
        <w:t>BioCorRx</w:t>
      </w:r>
      <w:proofErr w:type="spellEnd"/>
      <w:r>
        <w:t xml:space="preserve"> and Granier) primarily engaged in the business of selling goods or services.”  </w:t>
      </w:r>
      <w:r>
        <w:t xml:space="preserve">While </w:t>
      </w:r>
      <w:r>
        <w:t xml:space="preserve">it then </w:t>
      </w:r>
      <w:r>
        <w:t xml:space="preserve">explains </w:t>
      </w:r>
      <w:r>
        <w:t xml:space="preserve">how </w:t>
      </w:r>
      <w:proofErr w:type="spellStart"/>
      <w:r>
        <w:t>BioCorRx</w:t>
      </w:r>
      <w:proofErr w:type="spellEnd"/>
      <w:r>
        <w:t xml:space="preserve"> </w:t>
      </w:r>
      <w:r>
        <w:t xml:space="preserve">meets </w:t>
      </w:r>
      <w:r>
        <w:t>this</w:t>
      </w:r>
      <w:r>
        <w:t xml:space="preserve"> element</w:t>
      </w:r>
      <w:r>
        <w:t xml:space="preserve">, </w:t>
      </w:r>
      <w:r>
        <w:t xml:space="preserve">it </w:t>
      </w:r>
      <w:r>
        <w:t xml:space="preserve">fails to make any argument that Granier is primarily engaged in the </w:t>
      </w:r>
      <w:r>
        <w:t xml:space="preserve">requisite </w:t>
      </w:r>
      <w:r>
        <w:t xml:space="preserve">business </w:t>
      </w:r>
      <w:r>
        <w:t>activities</w:t>
      </w:r>
      <w:r>
        <w:t xml:space="preserve">.  </w:t>
      </w:r>
      <w:r>
        <w:t xml:space="preserve">Rather, </w:t>
      </w:r>
      <w:r>
        <w:t xml:space="preserve">the opening brief </w:t>
      </w:r>
      <w:r>
        <w:t xml:space="preserve">only </w:t>
      </w:r>
      <w:r>
        <w:t xml:space="preserve">contends </w:t>
      </w:r>
      <w:r>
        <w:t xml:space="preserve">he </w:t>
      </w:r>
      <w:r>
        <w:t xml:space="preserve">“made the challenged press-release statements in his capacity as </w:t>
      </w:r>
      <w:proofErr w:type="spellStart"/>
      <w:r>
        <w:t>BioCorRx’s</w:t>
      </w:r>
      <w:proofErr w:type="spellEnd"/>
      <w:r>
        <w:t xml:space="preserve"> CEO and/or Director</w:t>
      </w:r>
      <w:r>
        <w:t>,</w:t>
      </w:r>
      <w:r>
        <w:t>”</w:t>
      </w:r>
      <w:r>
        <w:t xml:space="preserve"> with no further analysis. </w:t>
      </w:r>
      <w:r>
        <w:t xml:space="preserve"> </w:t>
      </w:r>
      <w:r>
        <w:t>T</w:t>
      </w:r>
      <w:r>
        <w:t xml:space="preserve">his statement does not explain why </w:t>
      </w:r>
      <w:proofErr w:type="spellStart"/>
      <w:r>
        <w:t>BioCorRx</w:t>
      </w:r>
      <w:proofErr w:type="spellEnd"/>
      <w:r>
        <w:t xml:space="preserve"> and Granier should be treated </w:t>
      </w:r>
      <w:r>
        <w:t xml:space="preserve">identically </w:t>
      </w:r>
      <w:r>
        <w:t xml:space="preserve">for purposes of the commercial speech exemption.  </w:t>
      </w:r>
      <w:r>
        <w:t xml:space="preserve">VDM has sued Granier </w:t>
      </w:r>
      <w:r>
        <w:t xml:space="preserve">as an </w:t>
      </w:r>
      <w:r>
        <w:t>individual</w:t>
      </w:r>
      <w:r>
        <w:t>, and,</w:t>
      </w:r>
      <w:r>
        <w:t xml:space="preserve"> </w:t>
      </w:r>
      <w:r>
        <w:t>g</w:t>
      </w:r>
      <w:r>
        <w:t>enerally, a corporation is distinct from its officers and dire</w:t>
      </w:r>
      <w:r>
        <w:t xml:space="preserve">ctors.  (See </w:t>
      </w:r>
      <w:r w:rsidRPr="00841254">
        <w:rPr>
          <w:i/>
          <w:iCs/>
        </w:rPr>
        <w:t>Curci Investments, LLC v. Baldwin</w:t>
      </w:r>
      <w:r>
        <w:t xml:space="preserve"> (2017) 14 Cal.App.5th 214, 220.)  </w:t>
      </w:r>
      <w:r>
        <w:t>As such</w:t>
      </w:r>
      <w:r>
        <w:t xml:space="preserve">, it is unclear whether </w:t>
      </w:r>
      <w:proofErr w:type="spellStart"/>
      <w:r>
        <w:t>BioCorRx’s</w:t>
      </w:r>
      <w:proofErr w:type="spellEnd"/>
      <w:r>
        <w:t xml:space="preserve"> business activities can be imputed </w:t>
      </w:r>
      <w:r>
        <w:t>on</w:t>
      </w:r>
      <w:r>
        <w:t xml:space="preserve">to Granier </w:t>
      </w:r>
      <w:r>
        <w:t xml:space="preserve">when applying the </w:t>
      </w:r>
      <w:r>
        <w:t>commercial speech exemption.  V</w:t>
      </w:r>
      <w:r>
        <w:t>D</w:t>
      </w:r>
      <w:r>
        <w:t>M</w:t>
      </w:r>
      <w:r>
        <w:t>’s opening brief</w:t>
      </w:r>
      <w:r>
        <w:t xml:space="preserve"> simply assumes they can but </w:t>
      </w:r>
      <w:r>
        <w:t>fail</w:t>
      </w:r>
      <w:r>
        <w:t xml:space="preserve">s </w:t>
      </w:r>
      <w:r>
        <w:t xml:space="preserve">to provide any authority or argument for doing so.  </w:t>
      </w:r>
      <w:r>
        <w:t xml:space="preserve">We will not make </w:t>
      </w:r>
      <w:r>
        <w:t>this</w:t>
      </w:r>
      <w:r>
        <w:t xml:space="preserve"> argument </w:t>
      </w:r>
      <w:r>
        <w:t>on its behalf</w:t>
      </w:r>
      <w:r>
        <w:t xml:space="preserve">.  </w:t>
      </w:r>
      <w:r w:rsidRPr="00781749">
        <w:t>(</w:t>
      </w:r>
      <w:r w:rsidRPr="00C954F5">
        <w:rPr>
          <w:i/>
          <w:iCs/>
        </w:rPr>
        <w:t>City of Riverside v. Horspool</w:t>
      </w:r>
      <w:r>
        <w:t xml:space="preserve">, </w:t>
      </w:r>
      <w:r w:rsidRPr="0098695C">
        <w:rPr>
          <w:i/>
          <w:iCs/>
        </w:rPr>
        <w:t>supra</w:t>
      </w:r>
      <w:r>
        <w:t xml:space="preserve">, </w:t>
      </w:r>
      <w:r w:rsidRPr="00781749">
        <w:t xml:space="preserve">223 Cal.App.4th </w:t>
      </w:r>
      <w:r>
        <w:t xml:space="preserve">at p. </w:t>
      </w:r>
      <w:r w:rsidRPr="00781749">
        <w:t>679</w:t>
      </w:r>
      <w:r>
        <w:t>,</w:t>
      </w:r>
      <w:r w:rsidRPr="00781749">
        <w:t xml:space="preserve"> fn.</w:t>
      </w:r>
      <w:r>
        <w:t xml:space="preserve"> 8</w:t>
      </w:r>
      <w:r>
        <w:t>.)</w:t>
      </w:r>
    </w:p>
    <w:p w14:paraId="7404EE5A" w14:textId="77777777" w:rsidR="00C914E2" w:rsidRDefault="00C914E2" w:rsidP="0061083F">
      <w:pPr>
        <w:tabs>
          <w:tab w:val="left" w:pos="1440"/>
        </w:tabs>
        <w:spacing w:line="480" w:lineRule="exact"/>
      </w:pPr>
      <w:r>
        <w:tab/>
        <w:t xml:space="preserve">Second, VDM has not </w:t>
      </w:r>
      <w:r>
        <w:t>show</w:t>
      </w:r>
      <w:r>
        <w:t>n</w:t>
      </w:r>
      <w:r>
        <w:t xml:space="preserve"> </w:t>
      </w:r>
      <w:r>
        <w:t>Granier</w:t>
      </w:r>
      <w:r>
        <w:t xml:space="preserve"> </w:t>
      </w:r>
      <w:r>
        <w:t xml:space="preserve">fails to </w:t>
      </w:r>
      <w:r>
        <w:t xml:space="preserve">meet either prong of the two-step </w:t>
      </w:r>
      <w:r>
        <w:t>anti-SLAPP analysis.</w:t>
      </w:r>
      <w:r>
        <w:t xml:space="preserve">  (See </w:t>
      </w:r>
      <w:r w:rsidRPr="002B4B89">
        <w:rPr>
          <w:i/>
          <w:iCs/>
        </w:rPr>
        <w:t>Bonni</w:t>
      </w:r>
      <w:r>
        <w:t xml:space="preserve">, </w:t>
      </w:r>
      <w:r>
        <w:rPr>
          <w:i/>
          <w:iCs/>
        </w:rPr>
        <w:t>supra</w:t>
      </w:r>
      <w:r>
        <w:t>, 83 Cal.App.5th at p. 298.)</w:t>
      </w:r>
      <w:r>
        <w:t xml:space="preserve">  </w:t>
      </w:r>
      <w:r>
        <w:t>Again</w:t>
      </w:r>
      <w:r>
        <w:t>, VDM</w:t>
      </w:r>
      <w:r>
        <w:t>’s arguments</w:t>
      </w:r>
      <w:r>
        <w:t xml:space="preserve"> conflate </w:t>
      </w:r>
      <w:proofErr w:type="spellStart"/>
      <w:r>
        <w:t>BioCorRx</w:t>
      </w:r>
      <w:proofErr w:type="spellEnd"/>
      <w:r>
        <w:t xml:space="preserve"> and Granier.  </w:t>
      </w:r>
      <w:r>
        <w:t>But t</w:t>
      </w:r>
      <w:r>
        <w:t>hey are not</w:t>
      </w:r>
      <w:r>
        <w:t xml:space="preserve"> </w:t>
      </w:r>
      <w:r>
        <w:t>synonymous</w:t>
      </w:r>
      <w:r>
        <w:t xml:space="preserve">.  </w:t>
      </w:r>
      <w:r>
        <w:t>As set forth above</w:t>
      </w:r>
      <w:r>
        <w:t xml:space="preserve">, a corporation is </w:t>
      </w:r>
      <w:r>
        <w:t xml:space="preserve">generally </w:t>
      </w:r>
      <w:r>
        <w:t xml:space="preserve">distinct from its officers and directors.  </w:t>
      </w:r>
      <w:r>
        <w:t>(</w:t>
      </w:r>
      <w:r>
        <w:t xml:space="preserve">See </w:t>
      </w:r>
      <w:r w:rsidRPr="00841254">
        <w:rPr>
          <w:i/>
          <w:iCs/>
        </w:rPr>
        <w:t>Curci Investments, LLC v. Baldwin</w:t>
      </w:r>
      <w:r>
        <w:t xml:space="preserve">, </w:t>
      </w:r>
      <w:r w:rsidRPr="00E575FB">
        <w:rPr>
          <w:i/>
          <w:iCs/>
        </w:rPr>
        <w:t>supra</w:t>
      </w:r>
      <w:r>
        <w:t>,</w:t>
      </w:r>
      <w:r>
        <w:t xml:space="preserve"> 14 Cal.App.5th </w:t>
      </w:r>
      <w:r>
        <w:t xml:space="preserve">at p. </w:t>
      </w:r>
      <w:r>
        <w:t>220.)</w:t>
      </w:r>
      <w:r>
        <w:t xml:space="preserve">  VDM </w:t>
      </w:r>
      <w:r>
        <w:t xml:space="preserve">has not explained why statements Granier made on behalf of </w:t>
      </w:r>
      <w:proofErr w:type="spellStart"/>
      <w:r>
        <w:t>BioCorRx</w:t>
      </w:r>
      <w:proofErr w:type="spellEnd"/>
      <w:r>
        <w:t xml:space="preserve"> subject him to individual liability.</w:t>
      </w:r>
    </w:p>
    <w:p w14:paraId="7C38DC3A" w14:textId="77777777" w:rsidR="00C914E2" w:rsidRDefault="00C914E2">
      <w:r>
        <w:br w:type="page"/>
      </w:r>
    </w:p>
    <w:p w14:paraId="2C65AA76" w14:textId="77777777" w:rsidR="00C914E2" w:rsidRDefault="00C914E2" w:rsidP="00326BB5">
      <w:pPr>
        <w:tabs>
          <w:tab w:val="left" w:pos="1440"/>
        </w:tabs>
        <w:spacing w:line="480" w:lineRule="exact"/>
      </w:pPr>
      <w:r>
        <w:lastRenderedPageBreak/>
        <w:tab/>
      </w:r>
      <w:r>
        <w:t>Besides</w:t>
      </w:r>
      <w:r>
        <w:t xml:space="preserve">, the statements made by Granier and </w:t>
      </w:r>
      <w:proofErr w:type="spellStart"/>
      <w:r>
        <w:t>BioCorRx</w:t>
      </w:r>
      <w:proofErr w:type="spellEnd"/>
      <w:r>
        <w:t xml:space="preserve"> do not </w:t>
      </w:r>
      <w:r>
        <w:t>entirely</w:t>
      </w:r>
      <w:r>
        <w:t xml:space="preserve"> overlap.  While</w:t>
      </w:r>
      <w:r>
        <w:t xml:space="preserve"> </w:t>
      </w:r>
      <w:r>
        <w:t xml:space="preserve">Granier was quoted in several press releases, the press releases also contain statements that </w:t>
      </w:r>
      <w:r>
        <w:t xml:space="preserve">were </w:t>
      </w:r>
      <w:r w:rsidRPr="00475DB1">
        <w:rPr>
          <w:i/>
          <w:iCs/>
        </w:rPr>
        <w:t>not</w:t>
      </w:r>
      <w:r>
        <w:t xml:space="preserve"> made by </w:t>
      </w:r>
      <w:r>
        <w:t xml:space="preserve">Granier.  </w:t>
      </w:r>
      <w:r>
        <w:t xml:space="preserve">Put differently, the press releases are composed of Granier’s statements and other statements </w:t>
      </w:r>
      <w:r>
        <w:t xml:space="preserve">that ostensibly are only </w:t>
      </w:r>
      <w:r>
        <w:t xml:space="preserve">attributable to </w:t>
      </w:r>
      <w:proofErr w:type="spellStart"/>
      <w:r>
        <w:t>BioCorRx</w:t>
      </w:r>
      <w:proofErr w:type="spellEnd"/>
      <w:r>
        <w:t xml:space="preserve">.  </w:t>
      </w:r>
      <w:r>
        <w:t xml:space="preserve">VDM’s </w:t>
      </w:r>
      <w:r>
        <w:t xml:space="preserve">opening </w:t>
      </w:r>
      <w:r>
        <w:t xml:space="preserve">brief </w:t>
      </w:r>
      <w:r>
        <w:t xml:space="preserve">only discusses </w:t>
      </w:r>
      <w:proofErr w:type="spellStart"/>
      <w:r>
        <w:t>BioCorRx’s</w:t>
      </w:r>
      <w:proofErr w:type="spellEnd"/>
      <w:r>
        <w:t xml:space="preserve"> </w:t>
      </w:r>
      <w:r>
        <w:t>statements generally</w:t>
      </w:r>
      <w:r>
        <w:t>.</w:t>
      </w:r>
      <w:r>
        <w:t xml:space="preserve">  </w:t>
      </w:r>
      <w:r>
        <w:t xml:space="preserve">Indeed, as </w:t>
      </w:r>
      <w:r>
        <w:t xml:space="preserve">the </w:t>
      </w:r>
      <w:r>
        <w:t xml:space="preserve">opening brief explains, “this case concerns </w:t>
      </w:r>
      <w:r w:rsidRPr="0061083F">
        <w:rPr>
          <w:i/>
          <w:iCs/>
        </w:rPr>
        <w:t xml:space="preserve">statements made by </w:t>
      </w:r>
      <w:proofErr w:type="spellStart"/>
      <w:r w:rsidRPr="0061083F">
        <w:rPr>
          <w:i/>
          <w:iCs/>
        </w:rPr>
        <w:t>BioCorRx</w:t>
      </w:r>
      <w:proofErr w:type="spellEnd"/>
      <w:r>
        <w:t xml:space="preserve"> about the </w:t>
      </w:r>
      <w:r w:rsidRPr="00041334">
        <w:rPr>
          <w:i/>
          <w:iCs/>
        </w:rPr>
        <w:t>o</w:t>
      </w:r>
      <w:r w:rsidRPr="00041334">
        <w:rPr>
          <w:i/>
          <w:iCs/>
        </w:rPr>
        <w:t>wnership</w:t>
      </w:r>
      <w:r>
        <w:t xml:space="preserve">, development, and control of a single, specific product, VDM-001—statements made to promote </w:t>
      </w:r>
      <w:proofErr w:type="spellStart"/>
      <w:r>
        <w:t>BioCorRx’s</w:t>
      </w:r>
      <w:proofErr w:type="spellEnd"/>
      <w:r>
        <w:t xml:space="preserve"> </w:t>
      </w:r>
      <w:r w:rsidRPr="00041334">
        <w:rPr>
          <w:i/>
          <w:iCs/>
        </w:rPr>
        <w:t>business</w:t>
      </w:r>
      <w:r>
        <w:t>.”</w:t>
      </w:r>
      <w:r>
        <w:t xml:space="preserve"> </w:t>
      </w:r>
      <w:r>
        <w:t xml:space="preserve"> (</w:t>
      </w:r>
      <w:r>
        <w:t>First i</w:t>
      </w:r>
      <w:r>
        <w:t xml:space="preserve">talics added.)  </w:t>
      </w:r>
      <w:r>
        <w:t xml:space="preserve">The opening brief </w:t>
      </w:r>
      <w:r>
        <w:t>fails to</w:t>
      </w:r>
      <w:r>
        <w:t xml:space="preserve"> </w:t>
      </w:r>
      <w:r>
        <w:t xml:space="preserve">include </w:t>
      </w:r>
      <w:r>
        <w:t xml:space="preserve">any </w:t>
      </w:r>
      <w:r>
        <w:t xml:space="preserve">analysis of Granier’s </w:t>
      </w:r>
      <w:r>
        <w:t xml:space="preserve">individual </w:t>
      </w:r>
      <w:r>
        <w:t xml:space="preserve">statements, </w:t>
      </w:r>
      <w:r>
        <w:t xml:space="preserve">nor does it explain why such an analysis is unnecessary.  </w:t>
      </w:r>
      <w:r>
        <w:t xml:space="preserve">In fact, </w:t>
      </w:r>
      <w:r>
        <w:t xml:space="preserve">Granier is not even mentioned in the opening brief’s </w:t>
      </w:r>
      <w:r>
        <w:t xml:space="preserve">discussion </w:t>
      </w:r>
      <w:r>
        <w:t xml:space="preserve">of the </w:t>
      </w:r>
      <w:r>
        <w:t>two</w:t>
      </w:r>
      <w:r>
        <w:t>-prong</w:t>
      </w:r>
      <w:r>
        <w:t xml:space="preserve"> </w:t>
      </w:r>
      <w:r>
        <w:t xml:space="preserve">anti-SLAPP </w:t>
      </w:r>
      <w:r>
        <w:t>test</w:t>
      </w:r>
      <w:r>
        <w:t>.</w:t>
      </w:r>
    </w:p>
    <w:p w14:paraId="5349416A" w14:textId="77777777" w:rsidR="00C914E2" w:rsidRDefault="00C914E2" w:rsidP="003C5597">
      <w:pPr>
        <w:tabs>
          <w:tab w:val="left" w:pos="1440"/>
        </w:tabs>
        <w:spacing w:line="480" w:lineRule="exact"/>
      </w:pPr>
      <w:r>
        <w:tab/>
      </w:r>
      <w:r>
        <w:t xml:space="preserve">In supplemental briefing, </w:t>
      </w:r>
      <w:r>
        <w:t xml:space="preserve">VDM contends the trial court failed to distinguish between </w:t>
      </w:r>
      <w:proofErr w:type="spellStart"/>
      <w:r>
        <w:t>BioCorRx</w:t>
      </w:r>
      <w:proofErr w:type="spellEnd"/>
      <w:r>
        <w:t xml:space="preserve"> and Granier in its analysis</w:t>
      </w:r>
      <w:r>
        <w:t>, so it did not address the two separately</w:t>
      </w:r>
      <w:r>
        <w:t xml:space="preserve">.  </w:t>
      </w:r>
      <w:r>
        <w:t>But</w:t>
      </w:r>
      <w:r>
        <w:t xml:space="preserve"> we review the </w:t>
      </w:r>
      <w:r>
        <w:t xml:space="preserve">court’s </w:t>
      </w:r>
      <w:r>
        <w:t xml:space="preserve">ruling not </w:t>
      </w:r>
      <w:r>
        <w:t xml:space="preserve">its </w:t>
      </w:r>
      <w:r>
        <w:t>analysis</w:t>
      </w:r>
      <w:r>
        <w:t>.  (</w:t>
      </w:r>
      <w:r w:rsidRPr="00B2640F">
        <w:rPr>
          <w:i/>
          <w:iCs/>
        </w:rPr>
        <w:t>Doe v. McLaughlin</w:t>
      </w:r>
      <w:r>
        <w:t xml:space="preserve">, </w:t>
      </w:r>
      <w:r w:rsidRPr="00475DB1">
        <w:rPr>
          <w:i/>
          <w:iCs/>
        </w:rPr>
        <w:t>supra</w:t>
      </w:r>
      <w:r>
        <w:t xml:space="preserve">, </w:t>
      </w:r>
      <w:r w:rsidRPr="00475DB1">
        <w:t xml:space="preserve">83 Cal.App.5th </w:t>
      </w:r>
      <w:r>
        <w:t xml:space="preserve">at p. </w:t>
      </w:r>
      <w:r w:rsidRPr="00475DB1">
        <w:t>654</w:t>
      </w:r>
      <w:r>
        <w:t xml:space="preserve">.)  </w:t>
      </w:r>
      <w:r>
        <w:t xml:space="preserve">Thus, our review is limited to whether the trial court correctly ruled in favor of Granier, and VDM had the burden of showing that ruling was wrong.  </w:t>
      </w:r>
      <w:r>
        <w:t>(</w:t>
      </w:r>
      <w:r w:rsidRPr="00E63F0A">
        <w:rPr>
          <w:i/>
          <w:iCs/>
        </w:rPr>
        <w:t>Id</w:t>
      </w:r>
      <w:r>
        <w:t xml:space="preserve">. at pp. 654-655.)  </w:t>
      </w:r>
      <w:r>
        <w:t xml:space="preserve">It </w:t>
      </w:r>
      <w:r>
        <w:t xml:space="preserve">did not meet that burden because it failed to provide any </w:t>
      </w:r>
      <w:r>
        <w:t>analysis of Granier’s statements</w:t>
      </w:r>
      <w:r>
        <w:t xml:space="preserve">.  Rather, its analysis </w:t>
      </w:r>
      <w:r>
        <w:t>focuse</w:t>
      </w:r>
      <w:r>
        <w:t>d</w:t>
      </w:r>
      <w:r>
        <w:t xml:space="preserve"> </w:t>
      </w:r>
      <w:r>
        <w:t xml:space="preserve">on </w:t>
      </w:r>
      <w:proofErr w:type="spellStart"/>
      <w:r>
        <w:t>BioCorRx’s</w:t>
      </w:r>
      <w:proofErr w:type="spellEnd"/>
      <w:r>
        <w:t xml:space="preserve"> statements without explaining how that same analysis applied to Granier</w:t>
      </w:r>
      <w:r>
        <w:t>.</w:t>
      </w:r>
    </w:p>
    <w:p w14:paraId="3C5F6376" w14:textId="77777777" w:rsidR="00C914E2" w:rsidRDefault="00C914E2" w:rsidP="00C145C5">
      <w:pPr>
        <w:keepNext/>
        <w:tabs>
          <w:tab w:val="left" w:pos="5040"/>
        </w:tabs>
        <w:spacing w:before="480" w:line="480" w:lineRule="exact"/>
        <w:jc w:val="center"/>
      </w:pPr>
      <w:r>
        <w:lastRenderedPageBreak/>
        <w:t>III</w:t>
      </w:r>
    </w:p>
    <w:p w14:paraId="32778B8C" w14:textId="77777777" w:rsidR="00C914E2" w:rsidRDefault="00C914E2" w:rsidP="008A02EB">
      <w:pPr>
        <w:keepNext/>
        <w:tabs>
          <w:tab w:val="left" w:pos="5040"/>
        </w:tabs>
        <w:spacing w:line="480" w:lineRule="exact"/>
        <w:jc w:val="center"/>
      </w:pPr>
      <w:r>
        <w:t>DISPOSITION</w:t>
      </w:r>
    </w:p>
    <w:p w14:paraId="2F313FFE" w14:textId="77777777" w:rsidR="00C914E2" w:rsidRDefault="00C914E2" w:rsidP="00CC3F17">
      <w:pPr>
        <w:keepLines/>
        <w:tabs>
          <w:tab w:val="left" w:pos="1440"/>
        </w:tabs>
        <w:spacing w:line="480" w:lineRule="exact"/>
      </w:pPr>
      <w:r>
        <w:tab/>
      </w:r>
      <w:r>
        <w:t xml:space="preserve">We reverse the portion of the trial court’s order striking the allegations from the cross-complaint </w:t>
      </w:r>
      <w:r>
        <w:t xml:space="preserve">concerning the press releases.  </w:t>
      </w:r>
      <w:r>
        <w:t xml:space="preserve">We affirm the portion of the order striking the allegations </w:t>
      </w:r>
      <w:r>
        <w:t>concerning the unredacted statements</w:t>
      </w:r>
      <w:r>
        <w:t xml:space="preserve">, which </w:t>
      </w:r>
      <w:r>
        <w:t xml:space="preserve">VDM did not challenge </w:t>
      </w:r>
      <w:r>
        <w:t xml:space="preserve">on appeal.  </w:t>
      </w:r>
      <w:r w:rsidRPr="00C177AB">
        <w:t xml:space="preserve">Likewise, we affirm the </w:t>
      </w:r>
      <w:r>
        <w:t xml:space="preserve">portion of the </w:t>
      </w:r>
      <w:r w:rsidRPr="00C177AB">
        <w:t xml:space="preserve">order </w:t>
      </w:r>
      <w:r>
        <w:t xml:space="preserve">granting </w:t>
      </w:r>
      <w:r w:rsidRPr="00C177AB">
        <w:t>Granier</w:t>
      </w:r>
      <w:r>
        <w:t>’s anti-SLAPP motion</w:t>
      </w:r>
      <w:r w:rsidRPr="00C177AB">
        <w:t>.</w:t>
      </w:r>
      <w:r>
        <w:t xml:space="preserve">  </w:t>
      </w:r>
      <w:r>
        <w:t>T</w:t>
      </w:r>
      <w:r>
        <w:t xml:space="preserve">he matter is </w:t>
      </w:r>
      <w:r w:rsidRPr="00922C76">
        <w:t>remand</w:t>
      </w:r>
      <w:r>
        <w:t>ed</w:t>
      </w:r>
      <w:r w:rsidRPr="00922C76">
        <w:t xml:space="preserve"> for further proceedings</w:t>
      </w:r>
      <w:r>
        <w:t xml:space="preserve">. </w:t>
      </w:r>
      <w:r w:rsidRPr="00922C76">
        <w:t xml:space="preserve"> </w:t>
      </w:r>
      <w:r>
        <w:t xml:space="preserve">Each party shall bear </w:t>
      </w:r>
      <w:r>
        <w:t>their</w:t>
      </w:r>
      <w:r>
        <w:t xml:space="preserve"> </w:t>
      </w:r>
      <w:r>
        <w:t xml:space="preserve">own </w:t>
      </w:r>
      <w:r>
        <w:t>costs on appeal.</w:t>
      </w:r>
      <w:r>
        <w:rPr>
          <w:rStyle w:val="FootnoteReference"/>
        </w:rPr>
        <w:footnoteReference w:id="7"/>
      </w:r>
    </w:p>
    <w:p w14:paraId="0F70CDB7" w14:textId="77777777" w:rsidR="00C914E2" w:rsidRDefault="00C914E2" w:rsidP="0072399E">
      <w:pPr>
        <w:keepNext/>
        <w:tabs>
          <w:tab w:val="left" w:pos="5040"/>
        </w:tabs>
      </w:pPr>
    </w:p>
    <w:p w14:paraId="7590A22B" w14:textId="77777777" w:rsidR="00C914E2" w:rsidRDefault="00C914E2" w:rsidP="0072399E">
      <w:pPr>
        <w:keepNext/>
        <w:tabs>
          <w:tab w:val="left" w:pos="5040"/>
        </w:tabs>
      </w:pPr>
    </w:p>
    <w:p w14:paraId="48AA50C5" w14:textId="77777777" w:rsidR="00C914E2" w:rsidRDefault="00C914E2" w:rsidP="0072399E">
      <w:pPr>
        <w:keepNext/>
        <w:tabs>
          <w:tab w:val="left" w:pos="5040"/>
        </w:tabs>
      </w:pPr>
    </w:p>
    <w:p w14:paraId="48E966DD" w14:textId="77777777" w:rsidR="00C914E2" w:rsidRDefault="00C914E2" w:rsidP="0072399E">
      <w:pPr>
        <w:keepNext/>
        <w:tabs>
          <w:tab w:val="left" w:pos="5040"/>
        </w:tabs>
      </w:pPr>
      <w:r>
        <w:tab/>
        <w:t>MOORE, ACTING P. J.</w:t>
      </w:r>
    </w:p>
    <w:p w14:paraId="3D1C0932" w14:textId="77777777" w:rsidR="00C914E2" w:rsidRDefault="00C914E2" w:rsidP="0072399E">
      <w:pPr>
        <w:keepNext/>
        <w:tabs>
          <w:tab w:val="left" w:pos="5040"/>
        </w:tabs>
      </w:pPr>
    </w:p>
    <w:p w14:paraId="7799A5FE" w14:textId="77777777" w:rsidR="00C914E2" w:rsidRDefault="00C914E2" w:rsidP="0072399E">
      <w:pPr>
        <w:keepNext/>
        <w:tabs>
          <w:tab w:val="left" w:pos="5040"/>
        </w:tabs>
      </w:pPr>
      <w:r>
        <w:t>WE CONCUR:</w:t>
      </w:r>
    </w:p>
    <w:p w14:paraId="5C81F184" w14:textId="77777777" w:rsidR="00C914E2" w:rsidRDefault="00C914E2" w:rsidP="0072399E">
      <w:pPr>
        <w:keepNext/>
        <w:tabs>
          <w:tab w:val="left" w:pos="5040"/>
        </w:tabs>
      </w:pPr>
    </w:p>
    <w:p w14:paraId="001B32B1" w14:textId="77777777" w:rsidR="00C914E2" w:rsidRDefault="00C914E2" w:rsidP="0072399E">
      <w:pPr>
        <w:keepNext/>
        <w:tabs>
          <w:tab w:val="left" w:pos="5040"/>
        </w:tabs>
      </w:pPr>
    </w:p>
    <w:p w14:paraId="2E746CB2" w14:textId="77777777" w:rsidR="00C914E2" w:rsidRDefault="00C914E2" w:rsidP="0072399E">
      <w:pPr>
        <w:keepNext/>
        <w:tabs>
          <w:tab w:val="left" w:pos="5040"/>
        </w:tabs>
      </w:pPr>
    </w:p>
    <w:p w14:paraId="437AAB94" w14:textId="77777777" w:rsidR="00C914E2" w:rsidRDefault="00C914E2" w:rsidP="0072399E">
      <w:pPr>
        <w:keepNext/>
        <w:tabs>
          <w:tab w:val="left" w:pos="5040"/>
        </w:tabs>
      </w:pPr>
      <w:r>
        <w:t>SANCHEZ, J.</w:t>
      </w:r>
    </w:p>
    <w:p w14:paraId="5415167F" w14:textId="77777777" w:rsidR="00C914E2" w:rsidRDefault="00C914E2" w:rsidP="0072399E">
      <w:pPr>
        <w:keepNext/>
        <w:tabs>
          <w:tab w:val="left" w:pos="5040"/>
        </w:tabs>
      </w:pPr>
    </w:p>
    <w:p w14:paraId="480CD5C9" w14:textId="77777777" w:rsidR="00C914E2" w:rsidRDefault="00C914E2" w:rsidP="0072399E">
      <w:pPr>
        <w:keepNext/>
        <w:tabs>
          <w:tab w:val="left" w:pos="5040"/>
        </w:tabs>
      </w:pPr>
    </w:p>
    <w:p w14:paraId="2F725D15" w14:textId="77777777" w:rsidR="00C914E2" w:rsidRDefault="00C914E2" w:rsidP="0072399E">
      <w:pPr>
        <w:keepNext/>
        <w:tabs>
          <w:tab w:val="left" w:pos="5040"/>
        </w:tabs>
      </w:pPr>
    </w:p>
    <w:p w14:paraId="5169B908" w14:textId="77777777" w:rsidR="00C914E2" w:rsidRDefault="00C914E2" w:rsidP="0072399E">
      <w:pPr>
        <w:keepNext/>
        <w:tabs>
          <w:tab w:val="left" w:pos="5040"/>
        </w:tabs>
      </w:pPr>
      <w:r>
        <w:t>MOTOIKE, J.</w:t>
      </w:r>
    </w:p>
    <w:sectPr w:rsidR="0072399E" w:rsidSect="00387F9A">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2D8B" w14:textId="77777777" w:rsidR="00C914E2" w:rsidRDefault="00C914E2">
      <w:r>
        <w:separator/>
      </w:r>
    </w:p>
  </w:endnote>
  <w:endnote w:type="continuationSeparator" w:id="0">
    <w:p w14:paraId="6E3ECCCA" w14:textId="77777777" w:rsidR="00C914E2" w:rsidRDefault="00C9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524C" w14:textId="77777777" w:rsidR="00C914E2" w:rsidRDefault="00C914E2" w:rsidP="00B736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73D540" w14:textId="77777777" w:rsidR="00C914E2" w:rsidRDefault="00C91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A6C" w14:textId="77777777" w:rsidR="00C914E2" w:rsidRDefault="00C914E2" w:rsidP="00B736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5250FE" w14:textId="77777777" w:rsidR="00C914E2" w:rsidRDefault="00C91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F2A7" w14:textId="77777777" w:rsidR="00C914E2" w:rsidRDefault="00C914E2" w:rsidP="00387F9A">
      <w:r>
        <w:separator/>
      </w:r>
    </w:p>
  </w:footnote>
  <w:footnote w:type="continuationSeparator" w:id="0">
    <w:p w14:paraId="4DAE7C25" w14:textId="77777777" w:rsidR="00C914E2" w:rsidRDefault="00C914E2" w:rsidP="00387F9A">
      <w:r>
        <w:continuationSeparator/>
      </w:r>
    </w:p>
  </w:footnote>
  <w:footnote w:id="1">
    <w:p w14:paraId="60A54AFD" w14:textId="77777777" w:rsidR="00C914E2" w:rsidRDefault="00C914E2" w:rsidP="002406B3">
      <w:pPr>
        <w:pStyle w:val="FootnoteText"/>
      </w:pPr>
      <w:r>
        <w:rPr>
          <w:rStyle w:val="FootnoteReference"/>
        </w:rPr>
        <w:footnoteRef/>
      </w:r>
      <w:r>
        <w:t xml:space="preserve">  All further undesignated references are to the Code of Civil Procedure.  “‘SLAPP’ is short for ‘strategic lawsuit against public participation.’”  (</w:t>
      </w:r>
      <w:r w:rsidRPr="00CC0929">
        <w:rPr>
          <w:i/>
          <w:iCs/>
        </w:rPr>
        <w:t>Bonni v. St. Joseph Health System</w:t>
      </w:r>
      <w:r>
        <w:t xml:space="preserve"> (2022) 83 Cal.App.5th 288, 293</w:t>
      </w:r>
      <w:r>
        <w:t xml:space="preserve">, </w:t>
      </w:r>
      <w:r>
        <w:t>fn. 1</w:t>
      </w:r>
      <w:r>
        <w:t xml:space="preserve"> (</w:t>
      </w:r>
      <w:r>
        <w:rPr>
          <w:i/>
          <w:iCs/>
        </w:rPr>
        <w:t>Bonni</w:t>
      </w:r>
      <w:r>
        <w:t>)</w:t>
      </w:r>
      <w:r>
        <w:t>.)</w:t>
      </w:r>
    </w:p>
  </w:footnote>
  <w:footnote w:id="2">
    <w:p w14:paraId="403AB45C" w14:textId="77777777" w:rsidR="00C914E2" w:rsidRDefault="00C914E2" w:rsidP="00DF00EC">
      <w:pPr>
        <w:pStyle w:val="FootnoteText"/>
        <w:spacing w:before="240"/>
      </w:pPr>
      <w:r>
        <w:rPr>
          <w:rStyle w:val="FootnoteReference"/>
        </w:rPr>
        <w:footnoteRef/>
      </w:r>
      <w:r>
        <w:t xml:space="preserve">  </w:t>
      </w:r>
      <w:r>
        <w:t xml:space="preserve">When used in relation to </w:t>
      </w:r>
      <w:proofErr w:type="spellStart"/>
      <w:r>
        <w:t>BioCorRx</w:t>
      </w:r>
      <w:proofErr w:type="spellEnd"/>
      <w:r>
        <w:t xml:space="preserve">, </w:t>
      </w:r>
      <w:r>
        <w:t xml:space="preserve">the term “investors” </w:t>
      </w:r>
      <w:r>
        <w:t xml:space="preserve">includes </w:t>
      </w:r>
      <w:r>
        <w:t>persons</w:t>
      </w:r>
      <w:r>
        <w:t xml:space="preserve"> </w:t>
      </w:r>
      <w:r>
        <w:t xml:space="preserve">or entities </w:t>
      </w:r>
      <w:r>
        <w:t xml:space="preserve">that had already invested in </w:t>
      </w:r>
      <w:proofErr w:type="spellStart"/>
      <w:r>
        <w:t>BioCorRx</w:t>
      </w:r>
      <w:proofErr w:type="spellEnd"/>
      <w:r>
        <w:t xml:space="preserve"> </w:t>
      </w:r>
      <w:r>
        <w:t xml:space="preserve">as well as </w:t>
      </w:r>
      <w:r>
        <w:t>potential investors.</w:t>
      </w:r>
    </w:p>
  </w:footnote>
  <w:footnote w:id="3">
    <w:p w14:paraId="27260F35" w14:textId="77777777" w:rsidR="00C914E2" w:rsidRPr="00B46367" w:rsidRDefault="00C914E2" w:rsidP="00872659">
      <w:pPr>
        <w:pStyle w:val="FootnoteText"/>
      </w:pPr>
      <w:r>
        <w:rPr>
          <w:rStyle w:val="FootnoteReference"/>
        </w:rPr>
        <w:footnoteRef/>
      </w:r>
      <w:r>
        <w:t xml:space="preserve">  VDM’s chief executive officer, David Martirosyan, was also a cross-complainant.</w:t>
      </w:r>
    </w:p>
  </w:footnote>
  <w:footnote w:id="4">
    <w:p w14:paraId="7A22194D" w14:textId="77777777" w:rsidR="00C914E2" w:rsidRDefault="00C914E2" w:rsidP="009B5789">
      <w:pPr>
        <w:pStyle w:val="FootnoteText"/>
      </w:pPr>
      <w:r>
        <w:rPr>
          <w:rStyle w:val="FootnoteReference"/>
        </w:rPr>
        <w:footnoteRef/>
      </w:r>
      <w:r>
        <w:t xml:space="preserve">  VDM does not challenge the portion of the court’s order striking the cross-complaint’s allegations concerning the unredacted statements.</w:t>
      </w:r>
    </w:p>
  </w:footnote>
  <w:footnote w:id="5">
    <w:p w14:paraId="09318FE5" w14:textId="77777777" w:rsidR="00C914E2" w:rsidRPr="005C0CCF" w:rsidRDefault="00C914E2">
      <w:pPr>
        <w:pStyle w:val="FootnoteText"/>
      </w:pPr>
      <w:r>
        <w:rPr>
          <w:rStyle w:val="FootnoteReference"/>
        </w:rPr>
        <w:footnoteRef/>
      </w:r>
      <w:r>
        <w:t xml:space="preserve">  We put the word “development” in quotes since VDM alleges </w:t>
      </w:r>
      <w:proofErr w:type="spellStart"/>
      <w:r>
        <w:t>BioCorRx</w:t>
      </w:r>
      <w:proofErr w:type="spellEnd"/>
      <w:r>
        <w:t xml:space="preserve"> misrepresented that </w:t>
      </w:r>
      <w:r>
        <w:t xml:space="preserve">VDM-001 was </w:t>
      </w:r>
      <w:r>
        <w:t xml:space="preserve">being </w:t>
      </w:r>
      <w:r>
        <w:t>developed</w:t>
      </w:r>
      <w:r>
        <w:t xml:space="preserve">.  VDM </w:t>
      </w:r>
      <w:r>
        <w:t xml:space="preserve">claims </w:t>
      </w:r>
      <w:proofErr w:type="spellStart"/>
      <w:r>
        <w:t>BioCorRx</w:t>
      </w:r>
      <w:proofErr w:type="spellEnd"/>
      <w:r>
        <w:t xml:space="preserve"> was only</w:t>
      </w:r>
      <w:r>
        <w:t xml:space="preserve"> validat</w:t>
      </w:r>
      <w:r>
        <w:t xml:space="preserve">ing the results of </w:t>
      </w:r>
      <w:r>
        <w:t xml:space="preserve">prior </w:t>
      </w:r>
      <w:r>
        <w:t>preclinical studies conducted by VDM</w:t>
      </w:r>
      <w:r>
        <w:t>-001’s inventor</w:t>
      </w:r>
      <w:r>
        <w:t xml:space="preserve"> in another country</w:t>
      </w:r>
      <w:r>
        <w:t>.</w:t>
      </w:r>
      <w:r>
        <w:t xml:space="preserve"> </w:t>
      </w:r>
      <w:r>
        <w:t xml:space="preserve"> We do not address this dispute in this opinion.</w:t>
      </w:r>
    </w:p>
  </w:footnote>
  <w:footnote w:id="6">
    <w:p w14:paraId="4D69ED7A" w14:textId="77777777" w:rsidR="00C914E2" w:rsidRDefault="00C914E2" w:rsidP="00A767A1">
      <w:pPr>
        <w:pStyle w:val="FootnoteText"/>
      </w:pPr>
      <w:r>
        <w:rPr>
          <w:rStyle w:val="FootnoteReference"/>
        </w:rPr>
        <w:footnoteRef/>
      </w:r>
      <w:r>
        <w:t xml:space="preserve">  </w:t>
      </w:r>
      <w:proofErr w:type="spellStart"/>
      <w:r w:rsidRPr="00616172">
        <w:t>BioCorRx</w:t>
      </w:r>
      <w:proofErr w:type="spellEnd"/>
      <w:r w:rsidRPr="00616172">
        <w:t xml:space="preserve"> contends </w:t>
      </w:r>
      <w:proofErr w:type="spellStart"/>
      <w:r w:rsidRPr="00616172">
        <w:rPr>
          <w:i/>
          <w:iCs/>
        </w:rPr>
        <w:t>Neurelis</w:t>
      </w:r>
      <w:proofErr w:type="spellEnd"/>
      <w:r w:rsidRPr="00616172">
        <w:t xml:space="preserve"> is distinguishable because </w:t>
      </w:r>
      <w:proofErr w:type="spellStart"/>
      <w:r w:rsidRPr="00616172">
        <w:t>Aquestive</w:t>
      </w:r>
      <w:proofErr w:type="spellEnd"/>
      <w:r w:rsidRPr="00616172">
        <w:t xml:space="preserve"> conceded it was primarily engaged in the business of selling pharmaceuticals and securities.  (See </w:t>
      </w:r>
      <w:proofErr w:type="spellStart"/>
      <w:r w:rsidRPr="00616172">
        <w:rPr>
          <w:i/>
          <w:iCs/>
        </w:rPr>
        <w:t>Neurelis</w:t>
      </w:r>
      <w:proofErr w:type="spellEnd"/>
      <w:r w:rsidRPr="00616172">
        <w:t xml:space="preserve">, </w:t>
      </w:r>
      <w:r w:rsidRPr="00616172">
        <w:rPr>
          <w:i/>
          <w:iCs/>
        </w:rPr>
        <w:t>supra</w:t>
      </w:r>
      <w:r w:rsidRPr="00616172">
        <w:t xml:space="preserve">, 71 Cal.App.5th at p. 790.)  We are unpersuaded by this argument.  As we read </w:t>
      </w:r>
      <w:proofErr w:type="spellStart"/>
      <w:r w:rsidRPr="00616172">
        <w:rPr>
          <w:i/>
          <w:iCs/>
        </w:rPr>
        <w:t>Neurelis</w:t>
      </w:r>
      <w:proofErr w:type="spellEnd"/>
      <w:r w:rsidRPr="00616172">
        <w:t xml:space="preserve">, the appellate court was concerned that </w:t>
      </w:r>
      <w:proofErr w:type="spellStart"/>
      <w:r w:rsidRPr="00616172">
        <w:t>Aquestive</w:t>
      </w:r>
      <w:proofErr w:type="spellEnd"/>
      <w:r w:rsidRPr="00616172">
        <w:t xml:space="preserve"> had allegedly made representations to increase its investment so it could “fund its ‘true business’ of ‘selling .</w:t>
      </w:r>
      <w:r>
        <w:t> </w:t>
      </w:r>
      <w:r w:rsidRPr="00616172">
        <w:t>.</w:t>
      </w:r>
      <w:r>
        <w:t> </w:t>
      </w:r>
      <w:r w:rsidRPr="00616172">
        <w:t xml:space="preserve">. pharmaceuticals for medical conditions.’”  (See </w:t>
      </w:r>
      <w:r w:rsidRPr="00616172">
        <w:rPr>
          <w:i/>
          <w:iCs/>
        </w:rPr>
        <w:t>id.</w:t>
      </w:r>
      <w:r w:rsidRPr="00616172">
        <w:t xml:space="preserve"> at p. 790.)  We find thi</w:t>
      </w:r>
      <w:r w:rsidRPr="00616172">
        <w:t xml:space="preserve">s akin to the situation here.  </w:t>
      </w:r>
      <w:r>
        <w:t xml:space="preserve">Like </w:t>
      </w:r>
      <w:proofErr w:type="spellStart"/>
      <w:r>
        <w:t>Aquestive</w:t>
      </w:r>
      <w:proofErr w:type="spellEnd"/>
      <w:r>
        <w:t xml:space="preserve">, the record shows </w:t>
      </w:r>
      <w:proofErr w:type="spellStart"/>
      <w:r>
        <w:t>BioCorRx</w:t>
      </w:r>
      <w:proofErr w:type="spellEnd"/>
      <w:r>
        <w:t xml:space="preserve"> operates in a similar field to pharmaceuticals and seeks investment to fund its primary business of providing addiction treatment </w:t>
      </w:r>
      <w:r>
        <w:t xml:space="preserve">services </w:t>
      </w:r>
      <w:r>
        <w:t xml:space="preserve">and </w:t>
      </w:r>
      <w:r>
        <w:t xml:space="preserve">related </w:t>
      </w:r>
      <w:r>
        <w:t>medication</w:t>
      </w:r>
      <w:r>
        <w:t>s</w:t>
      </w:r>
      <w:r>
        <w:t>.</w:t>
      </w:r>
    </w:p>
  </w:footnote>
  <w:footnote w:id="7">
    <w:p w14:paraId="73C83E61" w14:textId="77777777" w:rsidR="00C914E2" w:rsidRDefault="00C914E2">
      <w:pPr>
        <w:pStyle w:val="FootnoteText"/>
      </w:pPr>
      <w:r>
        <w:rPr>
          <w:rStyle w:val="FootnoteReference"/>
        </w:rPr>
        <w:footnoteRef/>
      </w:r>
      <w:r>
        <w:t xml:space="preserve">  </w:t>
      </w:r>
      <w:r>
        <w:t>VDM’s request</w:t>
      </w:r>
      <w:r>
        <w:t>s</w:t>
      </w:r>
      <w:r>
        <w:t xml:space="preserve"> for judicial </w:t>
      </w:r>
      <w:r>
        <w:t xml:space="preserve">notice </w:t>
      </w:r>
      <w:r>
        <w:t xml:space="preserve">are </w:t>
      </w:r>
      <w:r>
        <w:t xml:space="preserve">denied </w:t>
      </w:r>
      <w:r>
        <w:t xml:space="preserve">as </w:t>
      </w:r>
      <w:r>
        <w:t xml:space="preserve">immaterial to our analysis.  </w:t>
      </w:r>
      <w:r w:rsidRPr="00387A23">
        <w:t>(</w:t>
      </w:r>
      <w:r w:rsidRPr="00387A23">
        <w:rPr>
          <w:i/>
          <w:iCs/>
        </w:rPr>
        <w:t xml:space="preserve">Jordache Enterprises, Inc. v. Brobeck, </w:t>
      </w:r>
      <w:proofErr w:type="spellStart"/>
      <w:r w:rsidRPr="00387A23">
        <w:rPr>
          <w:i/>
          <w:iCs/>
        </w:rPr>
        <w:t>Phleger</w:t>
      </w:r>
      <w:proofErr w:type="spellEnd"/>
      <w:r w:rsidRPr="00387A23">
        <w:rPr>
          <w:i/>
          <w:iCs/>
        </w:rPr>
        <w:t xml:space="preserve"> &amp; Harrison</w:t>
      </w:r>
      <w:r w:rsidRPr="00387A23">
        <w:t xml:space="preserve"> (1998) 18 Cal.4th 739, 748</w:t>
      </w:r>
      <w:r>
        <w:t>,</w:t>
      </w:r>
      <w:r w:rsidRPr="00387A23">
        <w:t xml:space="preserve"> fn. 6 [declining to take judicial notice of materials not “necessary, helpful, or relevant”].)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DF9"/>
    <w:multiLevelType w:val="hybridMultilevel"/>
    <w:tmpl w:val="A32EB932"/>
    <w:lvl w:ilvl="0" w:tplc="C7CEAE40">
      <w:start w:val="1"/>
      <w:numFmt w:val="bullet"/>
      <w:lvlText w:val=""/>
      <w:lvlJc w:val="left"/>
      <w:pPr>
        <w:ind w:left="720" w:hanging="360"/>
      </w:pPr>
      <w:rPr>
        <w:rFonts w:ascii="Symbol" w:hAnsi="Symbol" w:hint="default"/>
      </w:rPr>
    </w:lvl>
    <w:lvl w:ilvl="1" w:tplc="3D42777C" w:tentative="1">
      <w:start w:val="1"/>
      <w:numFmt w:val="bullet"/>
      <w:lvlText w:val="o"/>
      <w:lvlJc w:val="left"/>
      <w:pPr>
        <w:ind w:left="1440" w:hanging="360"/>
      </w:pPr>
      <w:rPr>
        <w:rFonts w:ascii="Courier New" w:hAnsi="Courier New" w:cs="Courier New" w:hint="default"/>
      </w:rPr>
    </w:lvl>
    <w:lvl w:ilvl="2" w:tplc="3E467C8E" w:tentative="1">
      <w:start w:val="1"/>
      <w:numFmt w:val="bullet"/>
      <w:lvlText w:val=""/>
      <w:lvlJc w:val="left"/>
      <w:pPr>
        <w:ind w:left="2160" w:hanging="360"/>
      </w:pPr>
      <w:rPr>
        <w:rFonts w:ascii="Wingdings" w:hAnsi="Wingdings" w:hint="default"/>
      </w:rPr>
    </w:lvl>
    <w:lvl w:ilvl="3" w:tplc="BDD40DAE" w:tentative="1">
      <w:start w:val="1"/>
      <w:numFmt w:val="bullet"/>
      <w:lvlText w:val=""/>
      <w:lvlJc w:val="left"/>
      <w:pPr>
        <w:ind w:left="2880" w:hanging="360"/>
      </w:pPr>
      <w:rPr>
        <w:rFonts w:ascii="Symbol" w:hAnsi="Symbol" w:hint="default"/>
      </w:rPr>
    </w:lvl>
    <w:lvl w:ilvl="4" w:tplc="4140946A" w:tentative="1">
      <w:start w:val="1"/>
      <w:numFmt w:val="bullet"/>
      <w:lvlText w:val="o"/>
      <w:lvlJc w:val="left"/>
      <w:pPr>
        <w:ind w:left="3600" w:hanging="360"/>
      </w:pPr>
      <w:rPr>
        <w:rFonts w:ascii="Courier New" w:hAnsi="Courier New" w:cs="Courier New" w:hint="default"/>
      </w:rPr>
    </w:lvl>
    <w:lvl w:ilvl="5" w:tplc="104458B6" w:tentative="1">
      <w:start w:val="1"/>
      <w:numFmt w:val="bullet"/>
      <w:lvlText w:val=""/>
      <w:lvlJc w:val="left"/>
      <w:pPr>
        <w:ind w:left="4320" w:hanging="360"/>
      </w:pPr>
      <w:rPr>
        <w:rFonts w:ascii="Wingdings" w:hAnsi="Wingdings" w:hint="default"/>
      </w:rPr>
    </w:lvl>
    <w:lvl w:ilvl="6" w:tplc="BCA2489E" w:tentative="1">
      <w:start w:val="1"/>
      <w:numFmt w:val="bullet"/>
      <w:lvlText w:val=""/>
      <w:lvlJc w:val="left"/>
      <w:pPr>
        <w:ind w:left="5040" w:hanging="360"/>
      </w:pPr>
      <w:rPr>
        <w:rFonts w:ascii="Symbol" w:hAnsi="Symbol" w:hint="default"/>
      </w:rPr>
    </w:lvl>
    <w:lvl w:ilvl="7" w:tplc="3AB6A61A" w:tentative="1">
      <w:start w:val="1"/>
      <w:numFmt w:val="bullet"/>
      <w:lvlText w:val="o"/>
      <w:lvlJc w:val="left"/>
      <w:pPr>
        <w:ind w:left="5760" w:hanging="360"/>
      </w:pPr>
      <w:rPr>
        <w:rFonts w:ascii="Courier New" w:hAnsi="Courier New" w:cs="Courier New" w:hint="default"/>
      </w:rPr>
    </w:lvl>
    <w:lvl w:ilvl="8" w:tplc="A3EAC59C" w:tentative="1">
      <w:start w:val="1"/>
      <w:numFmt w:val="bullet"/>
      <w:lvlText w:val=""/>
      <w:lvlJc w:val="left"/>
      <w:pPr>
        <w:ind w:left="6480" w:hanging="360"/>
      </w:pPr>
      <w:rPr>
        <w:rFonts w:ascii="Wingdings" w:hAnsi="Wingdings" w:hint="default"/>
      </w:rPr>
    </w:lvl>
  </w:abstractNum>
  <w:abstractNum w:abstractNumId="1" w15:restartNumberingAfterBreak="0">
    <w:nsid w:val="1F007702"/>
    <w:multiLevelType w:val="hybridMultilevel"/>
    <w:tmpl w:val="BD7243AA"/>
    <w:lvl w:ilvl="0" w:tplc="A0E28F0A">
      <w:start w:val="1"/>
      <w:numFmt w:val="bullet"/>
      <w:lvlText w:val=""/>
      <w:lvlJc w:val="left"/>
      <w:pPr>
        <w:ind w:left="720" w:hanging="360"/>
      </w:pPr>
      <w:rPr>
        <w:rFonts w:ascii="Symbol" w:hAnsi="Symbol" w:hint="default"/>
      </w:rPr>
    </w:lvl>
    <w:lvl w:ilvl="1" w:tplc="09E4BB62" w:tentative="1">
      <w:start w:val="1"/>
      <w:numFmt w:val="bullet"/>
      <w:lvlText w:val="o"/>
      <w:lvlJc w:val="left"/>
      <w:pPr>
        <w:ind w:left="1440" w:hanging="360"/>
      </w:pPr>
      <w:rPr>
        <w:rFonts w:ascii="Courier New" w:hAnsi="Courier New" w:cs="Courier New" w:hint="default"/>
      </w:rPr>
    </w:lvl>
    <w:lvl w:ilvl="2" w:tplc="36B4F99C" w:tentative="1">
      <w:start w:val="1"/>
      <w:numFmt w:val="bullet"/>
      <w:lvlText w:val=""/>
      <w:lvlJc w:val="left"/>
      <w:pPr>
        <w:ind w:left="2160" w:hanging="360"/>
      </w:pPr>
      <w:rPr>
        <w:rFonts w:ascii="Wingdings" w:hAnsi="Wingdings" w:hint="default"/>
      </w:rPr>
    </w:lvl>
    <w:lvl w:ilvl="3" w:tplc="60F033C2" w:tentative="1">
      <w:start w:val="1"/>
      <w:numFmt w:val="bullet"/>
      <w:lvlText w:val=""/>
      <w:lvlJc w:val="left"/>
      <w:pPr>
        <w:ind w:left="2880" w:hanging="360"/>
      </w:pPr>
      <w:rPr>
        <w:rFonts w:ascii="Symbol" w:hAnsi="Symbol" w:hint="default"/>
      </w:rPr>
    </w:lvl>
    <w:lvl w:ilvl="4" w:tplc="0CCE9246" w:tentative="1">
      <w:start w:val="1"/>
      <w:numFmt w:val="bullet"/>
      <w:lvlText w:val="o"/>
      <w:lvlJc w:val="left"/>
      <w:pPr>
        <w:ind w:left="3600" w:hanging="360"/>
      </w:pPr>
      <w:rPr>
        <w:rFonts w:ascii="Courier New" w:hAnsi="Courier New" w:cs="Courier New" w:hint="default"/>
      </w:rPr>
    </w:lvl>
    <w:lvl w:ilvl="5" w:tplc="FFB42336" w:tentative="1">
      <w:start w:val="1"/>
      <w:numFmt w:val="bullet"/>
      <w:lvlText w:val=""/>
      <w:lvlJc w:val="left"/>
      <w:pPr>
        <w:ind w:left="4320" w:hanging="360"/>
      </w:pPr>
      <w:rPr>
        <w:rFonts w:ascii="Wingdings" w:hAnsi="Wingdings" w:hint="default"/>
      </w:rPr>
    </w:lvl>
    <w:lvl w:ilvl="6" w:tplc="50CCF848" w:tentative="1">
      <w:start w:val="1"/>
      <w:numFmt w:val="bullet"/>
      <w:lvlText w:val=""/>
      <w:lvlJc w:val="left"/>
      <w:pPr>
        <w:ind w:left="5040" w:hanging="360"/>
      </w:pPr>
      <w:rPr>
        <w:rFonts w:ascii="Symbol" w:hAnsi="Symbol" w:hint="default"/>
      </w:rPr>
    </w:lvl>
    <w:lvl w:ilvl="7" w:tplc="70667F44" w:tentative="1">
      <w:start w:val="1"/>
      <w:numFmt w:val="bullet"/>
      <w:lvlText w:val="o"/>
      <w:lvlJc w:val="left"/>
      <w:pPr>
        <w:ind w:left="5760" w:hanging="360"/>
      </w:pPr>
      <w:rPr>
        <w:rFonts w:ascii="Courier New" w:hAnsi="Courier New" w:cs="Courier New" w:hint="default"/>
      </w:rPr>
    </w:lvl>
    <w:lvl w:ilvl="8" w:tplc="CD745CD0" w:tentative="1">
      <w:start w:val="1"/>
      <w:numFmt w:val="bullet"/>
      <w:lvlText w:val=""/>
      <w:lvlJc w:val="left"/>
      <w:pPr>
        <w:ind w:left="6480" w:hanging="360"/>
      </w:pPr>
      <w:rPr>
        <w:rFonts w:ascii="Wingdings" w:hAnsi="Wingdings" w:hint="default"/>
      </w:rPr>
    </w:lvl>
  </w:abstractNum>
  <w:abstractNum w:abstractNumId="2" w15:restartNumberingAfterBreak="0">
    <w:nsid w:val="1F843A1A"/>
    <w:multiLevelType w:val="hybridMultilevel"/>
    <w:tmpl w:val="0E94915E"/>
    <w:lvl w:ilvl="0" w:tplc="0D8275BC">
      <w:start w:val="1"/>
      <w:numFmt w:val="upperLetter"/>
      <w:lvlText w:val="%1."/>
      <w:lvlJc w:val="left"/>
      <w:pPr>
        <w:ind w:left="720" w:hanging="360"/>
      </w:pPr>
    </w:lvl>
    <w:lvl w:ilvl="1" w:tplc="4A2E476C">
      <w:start w:val="1"/>
      <w:numFmt w:val="decimal"/>
      <w:lvlText w:val="%2."/>
      <w:lvlJc w:val="left"/>
      <w:pPr>
        <w:ind w:left="1440" w:hanging="360"/>
      </w:pPr>
    </w:lvl>
    <w:lvl w:ilvl="2" w:tplc="55EE059A" w:tentative="1">
      <w:start w:val="1"/>
      <w:numFmt w:val="lowerRoman"/>
      <w:lvlText w:val="%3."/>
      <w:lvlJc w:val="right"/>
      <w:pPr>
        <w:ind w:left="2160" w:hanging="180"/>
      </w:pPr>
    </w:lvl>
    <w:lvl w:ilvl="3" w:tplc="222A1F36" w:tentative="1">
      <w:start w:val="1"/>
      <w:numFmt w:val="decimal"/>
      <w:lvlText w:val="%4."/>
      <w:lvlJc w:val="left"/>
      <w:pPr>
        <w:ind w:left="2880" w:hanging="360"/>
      </w:pPr>
    </w:lvl>
    <w:lvl w:ilvl="4" w:tplc="D9F41B28" w:tentative="1">
      <w:start w:val="1"/>
      <w:numFmt w:val="lowerLetter"/>
      <w:lvlText w:val="%5."/>
      <w:lvlJc w:val="left"/>
      <w:pPr>
        <w:ind w:left="3600" w:hanging="360"/>
      </w:pPr>
    </w:lvl>
    <w:lvl w:ilvl="5" w:tplc="48066FC8" w:tentative="1">
      <w:start w:val="1"/>
      <w:numFmt w:val="lowerRoman"/>
      <w:lvlText w:val="%6."/>
      <w:lvlJc w:val="right"/>
      <w:pPr>
        <w:ind w:left="4320" w:hanging="180"/>
      </w:pPr>
    </w:lvl>
    <w:lvl w:ilvl="6" w:tplc="A9BE73BE" w:tentative="1">
      <w:start w:val="1"/>
      <w:numFmt w:val="decimal"/>
      <w:lvlText w:val="%7."/>
      <w:lvlJc w:val="left"/>
      <w:pPr>
        <w:ind w:left="5040" w:hanging="360"/>
      </w:pPr>
    </w:lvl>
    <w:lvl w:ilvl="7" w:tplc="B4DCFB1C" w:tentative="1">
      <w:start w:val="1"/>
      <w:numFmt w:val="lowerLetter"/>
      <w:lvlText w:val="%8."/>
      <w:lvlJc w:val="left"/>
      <w:pPr>
        <w:ind w:left="5760" w:hanging="360"/>
      </w:pPr>
    </w:lvl>
    <w:lvl w:ilvl="8" w:tplc="F7A88DE0" w:tentative="1">
      <w:start w:val="1"/>
      <w:numFmt w:val="lowerRoman"/>
      <w:lvlText w:val="%9."/>
      <w:lvlJc w:val="right"/>
      <w:pPr>
        <w:ind w:left="6480" w:hanging="180"/>
      </w:pPr>
    </w:lvl>
  </w:abstractNum>
  <w:abstractNum w:abstractNumId="3" w15:restartNumberingAfterBreak="0">
    <w:nsid w:val="334F204B"/>
    <w:multiLevelType w:val="hybridMultilevel"/>
    <w:tmpl w:val="3648C808"/>
    <w:lvl w:ilvl="0" w:tplc="0608DAEE">
      <w:start w:val="1"/>
      <w:numFmt w:val="upperLetter"/>
      <w:lvlText w:val="%1."/>
      <w:lvlJc w:val="left"/>
      <w:pPr>
        <w:ind w:left="720" w:hanging="360"/>
      </w:pPr>
    </w:lvl>
    <w:lvl w:ilvl="1" w:tplc="9CF61B3C" w:tentative="1">
      <w:start w:val="1"/>
      <w:numFmt w:val="lowerLetter"/>
      <w:lvlText w:val="%2."/>
      <w:lvlJc w:val="left"/>
      <w:pPr>
        <w:ind w:left="1440" w:hanging="360"/>
      </w:pPr>
    </w:lvl>
    <w:lvl w:ilvl="2" w:tplc="3CF26D9A" w:tentative="1">
      <w:start w:val="1"/>
      <w:numFmt w:val="lowerRoman"/>
      <w:lvlText w:val="%3."/>
      <w:lvlJc w:val="right"/>
      <w:pPr>
        <w:ind w:left="2160" w:hanging="180"/>
      </w:pPr>
    </w:lvl>
    <w:lvl w:ilvl="3" w:tplc="2C16BF6A" w:tentative="1">
      <w:start w:val="1"/>
      <w:numFmt w:val="decimal"/>
      <w:lvlText w:val="%4."/>
      <w:lvlJc w:val="left"/>
      <w:pPr>
        <w:ind w:left="2880" w:hanging="360"/>
      </w:pPr>
    </w:lvl>
    <w:lvl w:ilvl="4" w:tplc="C39496B0" w:tentative="1">
      <w:start w:val="1"/>
      <w:numFmt w:val="lowerLetter"/>
      <w:lvlText w:val="%5."/>
      <w:lvlJc w:val="left"/>
      <w:pPr>
        <w:ind w:left="3600" w:hanging="360"/>
      </w:pPr>
    </w:lvl>
    <w:lvl w:ilvl="5" w:tplc="8B34E46C" w:tentative="1">
      <w:start w:val="1"/>
      <w:numFmt w:val="lowerRoman"/>
      <w:lvlText w:val="%6."/>
      <w:lvlJc w:val="right"/>
      <w:pPr>
        <w:ind w:left="4320" w:hanging="180"/>
      </w:pPr>
    </w:lvl>
    <w:lvl w:ilvl="6" w:tplc="A296F044" w:tentative="1">
      <w:start w:val="1"/>
      <w:numFmt w:val="decimal"/>
      <w:lvlText w:val="%7."/>
      <w:lvlJc w:val="left"/>
      <w:pPr>
        <w:ind w:left="5040" w:hanging="360"/>
      </w:pPr>
    </w:lvl>
    <w:lvl w:ilvl="7" w:tplc="EA8ED60C" w:tentative="1">
      <w:start w:val="1"/>
      <w:numFmt w:val="lowerLetter"/>
      <w:lvlText w:val="%8."/>
      <w:lvlJc w:val="left"/>
      <w:pPr>
        <w:ind w:left="5760" w:hanging="360"/>
      </w:pPr>
    </w:lvl>
    <w:lvl w:ilvl="8" w:tplc="16D66D92" w:tentative="1">
      <w:start w:val="1"/>
      <w:numFmt w:val="lowerRoman"/>
      <w:lvlText w:val="%9."/>
      <w:lvlJc w:val="right"/>
      <w:pPr>
        <w:ind w:left="6480" w:hanging="180"/>
      </w:pPr>
    </w:lvl>
  </w:abstractNum>
  <w:abstractNum w:abstractNumId="4" w15:restartNumberingAfterBreak="0">
    <w:nsid w:val="765E32C6"/>
    <w:multiLevelType w:val="hybridMultilevel"/>
    <w:tmpl w:val="CA081EFC"/>
    <w:lvl w:ilvl="0" w:tplc="040E05FE">
      <w:start w:val="1"/>
      <w:numFmt w:val="upperLetter"/>
      <w:lvlText w:val="%1."/>
      <w:lvlJc w:val="left"/>
      <w:pPr>
        <w:ind w:left="720" w:hanging="360"/>
      </w:pPr>
      <w:rPr>
        <w:rFonts w:hint="default"/>
      </w:rPr>
    </w:lvl>
    <w:lvl w:ilvl="1" w:tplc="1EBC9BBC" w:tentative="1">
      <w:start w:val="1"/>
      <w:numFmt w:val="lowerLetter"/>
      <w:lvlText w:val="%2."/>
      <w:lvlJc w:val="left"/>
      <w:pPr>
        <w:ind w:left="1440" w:hanging="360"/>
      </w:pPr>
    </w:lvl>
    <w:lvl w:ilvl="2" w:tplc="E65CDE0C" w:tentative="1">
      <w:start w:val="1"/>
      <w:numFmt w:val="lowerRoman"/>
      <w:lvlText w:val="%3."/>
      <w:lvlJc w:val="right"/>
      <w:pPr>
        <w:ind w:left="2160" w:hanging="180"/>
      </w:pPr>
    </w:lvl>
    <w:lvl w:ilvl="3" w:tplc="11C65E7A" w:tentative="1">
      <w:start w:val="1"/>
      <w:numFmt w:val="decimal"/>
      <w:lvlText w:val="%4."/>
      <w:lvlJc w:val="left"/>
      <w:pPr>
        <w:ind w:left="2880" w:hanging="360"/>
      </w:pPr>
    </w:lvl>
    <w:lvl w:ilvl="4" w:tplc="EA28A1DA" w:tentative="1">
      <w:start w:val="1"/>
      <w:numFmt w:val="lowerLetter"/>
      <w:lvlText w:val="%5."/>
      <w:lvlJc w:val="left"/>
      <w:pPr>
        <w:ind w:left="3600" w:hanging="360"/>
      </w:pPr>
    </w:lvl>
    <w:lvl w:ilvl="5" w:tplc="D8664838" w:tentative="1">
      <w:start w:val="1"/>
      <w:numFmt w:val="lowerRoman"/>
      <w:lvlText w:val="%6."/>
      <w:lvlJc w:val="right"/>
      <w:pPr>
        <w:ind w:left="4320" w:hanging="180"/>
      </w:pPr>
    </w:lvl>
    <w:lvl w:ilvl="6" w:tplc="E59C4F82" w:tentative="1">
      <w:start w:val="1"/>
      <w:numFmt w:val="decimal"/>
      <w:lvlText w:val="%7."/>
      <w:lvlJc w:val="left"/>
      <w:pPr>
        <w:ind w:left="5040" w:hanging="360"/>
      </w:pPr>
    </w:lvl>
    <w:lvl w:ilvl="7" w:tplc="A5E01DD6" w:tentative="1">
      <w:start w:val="1"/>
      <w:numFmt w:val="lowerLetter"/>
      <w:lvlText w:val="%8."/>
      <w:lvlJc w:val="left"/>
      <w:pPr>
        <w:ind w:left="5760" w:hanging="360"/>
      </w:pPr>
    </w:lvl>
    <w:lvl w:ilvl="8" w:tplc="09009AA8" w:tentative="1">
      <w:start w:val="1"/>
      <w:numFmt w:val="lowerRoman"/>
      <w:lvlText w:val="%9."/>
      <w:lvlJc w:val="right"/>
      <w:pPr>
        <w:ind w:left="6480" w:hanging="180"/>
      </w:pPr>
    </w:lvl>
  </w:abstractNum>
  <w:num w:numId="1" w16cid:durableId="560025051">
    <w:abstractNumId w:val="2"/>
  </w:num>
  <w:num w:numId="2" w16cid:durableId="2104493965">
    <w:abstractNumId w:val="0"/>
  </w:num>
  <w:num w:numId="3" w16cid:durableId="726417410">
    <w:abstractNumId w:val="1"/>
  </w:num>
  <w:num w:numId="4" w16cid:durableId="2006204498">
    <w:abstractNumId w:val="4"/>
  </w:num>
  <w:num w:numId="5" w16cid:durableId="596134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09"/>
    <w:rsid w:val="003B63DC"/>
    <w:rsid w:val="007351DC"/>
    <w:rsid w:val="00837609"/>
    <w:rsid w:val="00C914E2"/>
    <w:rsid w:val="00D6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7F20"/>
    <w:rPr>
      <w:rFonts w:ascii="Times New Roman" w:hAnsi="Times New Roman"/>
      <w:szCs w:val="20"/>
    </w:rPr>
  </w:style>
  <w:style w:type="paragraph" w:styleId="Heading1">
    <w:name w:val="heading 1"/>
    <w:basedOn w:val="Normal"/>
    <w:next w:val="Normal"/>
    <w:link w:val="Heading1Char"/>
    <w:uiPriority w:val="9"/>
    <w:qFormat/>
    <w:rsid w:val="00C328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C328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C3287B"/>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C328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C3287B"/>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C3287B"/>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C3287B"/>
    <w:pPr>
      <w:spacing w:before="240" w:after="60"/>
      <w:outlineLvl w:val="6"/>
    </w:pPr>
    <w:rPr>
      <w:sz w:val="24"/>
    </w:rPr>
  </w:style>
  <w:style w:type="paragraph" w:styleId="Heading8">
    <w:name w:val="heading 8"/>
    <w:basedOn w:val="Normal"/>
    <w:next w:val="Normal"/>
    <w:link w:val="Heading8Char"/>
    <w:uiPriority w:val="9"/>
    <w:semiHidden/>
    <w:unhideWhenUsed/>
    <w:qFormat/>
    <w:rsid w:val="00C3287B"/>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C3287B"/>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328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3287B"/>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C3287B"/>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C3287B"/>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C3287B"/>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C3287B"/>
    <w:rPr>
      <w:rFonts w:asciiTheme="majorHAnsi" w:eastAsiaTheme="majorEastAsia" w:hAnsiTheme="majorHAnsi"/>
    </w:rPr>
  </w:style>
  <w:style w:type="paragraph" w:styleId="Title">
    <w:name w:val="Title"/>
    <w:basedOn w:val="Normal"/>
    <w:next w:val="Normal"/>
    <w:link w:val="TitleChar"/>
    <w:uiPriority w:val="10"/>
    <w:qFormat/>
    <w:rsid w:val="00C328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28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287B"/>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C3287B"/>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C3287B"/>
    <w:pPr>
      <w:outlineLvl w:val="9"/>
    </w:pPr>
  </w:style>
  <w:style w:type="character" w:customStyle="1" w:styleId="Heading4Char">
    <w:name w:val="Heading 4 Char"/>
    <w:basedOn w:val="DefaultParagraphFont"/>
    <w:link w:val="Heading4"/>
    <w:uiPriority w:val="9"/>
    <w:semiHidden/>
    <w:rsid w:val="00C3287B"/>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C3287B"/>
    <w:rPr>
      <w:rFonts w:ascii="Times New Roman" w:eastAsia="Times New Roman" w:hAnsi="Times New Roman"/>
      <w:b/>
      <w:bCs/>
      <w:i/>
      <w:iCs/>
    </w:rPr>
  </w:style>
  <w:style w:type="character" w:styleId="Strong">
    <w:name w:val="Strong"/>
    <w:basedOn w:val="DefaultParagraphFont"/>
    <w:uiPriority w:val="22"/>
    <w:rsid w:val="00C3287B"/>
    <w:rPr>
      <w:b/>
      <w:bCs/>
    </w:rPr>
  </w:style>
  <w:style w:type="character" w:styleId="Emphasis">
    <w:name w:val="Emphasis"/>
    <w:basedOn w:val="DefaultParagraphFont"/>
    <w:uiPriority w:val="20"/>
    <w:rsid w:val="00C3287B"/>
    <w:rPr>
      <w:rFonts w:asciiTheme="minorHAnsi" w:hAnsiTheme="minorHAnsi"/>
      <w:b/>
      <w:i/>
      <w:iCs/>
    </w:rPr>
  </w:style>
  <w:style w:type="paragraph" w:styleId="NoSpacing">
    <w:name w:val="No Spacing"/>
    <w:basedOn w:val="Normal"/>
    <w:uiPriority w:val="1"/>
    <w:rsid w:val="00C3287B"/>
    <w:rPr>
      <w:szCs w:val="32"/>
    </w:rPr>
  </w:style>
  <w:style w:type="paragraph" w:styleId="ListParagraph">
    <w:name w:val="List Paragraph"/>
    <w:basedOn w:val="Normal"/>
    <w:uiPriority w:val="34"/>
    <w:rsid w:val="00C3287B"/>
    <w:pPr>
      <w:ind w:left="720"/>
      <w:contextualSpacing/>
    </w:pPr>
  </w:style>
  <w:style w:type="paragraph" w:styleId="Quote">
    <w:name w:val="Quote"/>
    <w:basedOn w:val="Normal"/>
    <w:next w:val="Normal"/>
    <w:link w:val="QuoteChar"/>
    <w:uiPriority w:val="29"/>
    <w:rsid w:val="00C3287B"/>
    <w:rPr>
      <w:i/>
    </w:rPr>
  </w:style>
  <w:style w:type="character" w:customStyle="1" w:styleId="QuoteChar">
    <w:name w:val="Quote Char"/>
    <w:basedOn w:val="DefaultParagraphFont"/>
    <w:link w:val="Quote"/>
    <w:uiPriority w:val="29"/>
    <w:rsid w:val="00C3287B"/>
    <w:rPr>
      <w:rFonts w:ascii="Times New Roman" w:eastAsia="Times New Roman" w:hAnsi="Times New Roman"/>
      <w:i/>
      <w:szCs w:val="20"/>
    </w:rPr>
  </w:style>
  <w:style w:type="paragraph" w:styleId="IntenseQuote">
    <w:name w:val="Intense Quote"/>
    <w:basedOn w:val="Normal"/>
    <w:next w:val="Normal"/>
    <w:link w:val="IntenseQuoteChar"/>
    <w:uiPriority w:val="30"/>
    <w:rsid w:val="00C3287B"/>
    <w:pPr>
      <w:ind w:left="720" w:right="720"/>
    </w:pPr>
    <w:rPr>
      <w:b/>
      <w:i/>
      <w:szCs w:val="22"/>
    </w:rPr>
  </w:style>
  <w:style w:type="character" w:customStyle="1" w:styleId="IntenseQuoteChar">
    <w:name w:val="Intense Quote Char"/>
    <w:basedOn w:val="DefaultParagraphFont"/>
    <w:link w:val="IntenseQuote"/>
    <w:uiPriority w:val="30"/>
    <w:rsid w:val="00C3287B"/>
    <w:rPr>
      <w:rFonts w:ascii="Times New Roman" w:eastAsia="Times New Roman" w:hAnsi="Times New Roman"/>
      <w:b/>
      <w:i/>
      <w:szCs w:val="22"/>
    </w:rPr>
  </w:style>
  <w:style w:type="character" w:styleId="SubtleEmphasis">
    <w:name w:val="Subtle Emphasis"/>
    <w:uiPriority w:val="19"/>
    <w:rsid w:val="00C3287B"/>
    <w:rPr>
      <w:i/>
      <w:color w:val="5A5A5A" w:themeColor="text1" w:themeTint="A5"/>
    </w:rPr>
  </w:style>
  <w:style w:type="character" w:styleId="IntenseEmphasis">
    <w:name w:val="Intense Emphasis"/>
    <w:basedOn w:val="DefaultParagraphFont"/>
    <w:uiPriority w:val="21"/>
    <w:rsid w:val="00C3287B"/>
    <w:rPr>
      <w:b/>
      <w:i/>
      <w:sz w:val="24"/>
      <w:szCs w:val="24"/>
      <w:u w:val="single"/>
    </w:rPr>
  </w:style>
  <w:style w:type="character" w:styleId="SubtleReference">
    <w:name w:val="Subtle Reference"/>
    <w:basedOn w:val="DefaultParagraphFont"/>
    <w:uiPriority w:val="31"/>
    <w:rsid w:val="00C3287B"/>
    <w:rPr>
      <w:sz w:val="24"/>
      <w:szCs w:val="24"/>
      <w:u w:val="single"/>
    </w:rPr>
  </w:style>
  <w:style w:type="character" w:styleId="IntenseReference">
    <w:name w:val="Intense Reference"/>
    <w:basedOn w:val="DefaultParagraphFont"/>
    <w:uiPriority w:val="32"/>
    <w:rsid w:val="00C3287B"/>
    <w:rPr>
      <w:b/>
      <w:sz w:val="24"/>
      <w:u w:val="single"/>
    </w:rPr>
  </w:style>
  <w:style w:type="character" w:styleId="BookTitle">
    <w:name w:val="Book Title"/>
    <w:basedOn w:val="DefaultParagraphFont"/>
    <w:uiPriority w:val="33"/>
    <w:rsid w:val="00C3287B"/>
    <w:rPr>
      <w:rFonts w:asciiTheme="majorHAnsi" w:eastAsiaTheme="majorEastAsia" w:hAnsiTheme="majorHAnsi"/>
      <w:b/>
      <w:i/>
      <w:sz w:val="24"/>
      <w:szCs w:val="24"/>
    </w:rPr>
  </w:style>
  <w:style w:type="paragraph" w:styleId="EnvelopeAddress">
    <w:name w:val="envelope address"/>
    <w:basedOn w:val="Normal"/>
    <w:rsid w:val="00C3287B"/>
    <w:pPr>
      <w:framePr w:w="7920" w:h="1980" w:hRule="exact" w:hSpace="180" w:wrap="auto" w:hAnchor="page" w:xAlign="center" w:yAlign="bottom"/>
      <w:ind w:left="2880"/>
    </w:pPr>
  </w:style>
  <w:style w:type="paragraph" w:styleId="EnvelopeReturn">
    <w:name w:val="envelope return"/>
    <w:basedOn w:val="Normal"/>
    <w:rsid w:val="00C3287B"/>
  </w:style>
  <w:style w:type="paragraph" w:styleId="Footer">
    <w:name w:val="footer"/>
    <w:basedOn w:val="Normal"/>
    <w:link w:val="FooterChar"/>
    <w:rsid w:val="00C3287B"/>
    <w:pPr>
      <w:tabs>
        <w:tab w:val="center" w:pos="4320"/>
        <w:tab w:val="right" w:pos="8640"/>
      </w:tabs>
      <w:spacing w:line="520" w:lineRule="exact"/>
    </w:pPr>
  </w:style>
  <w:style w:type="character" w:customStyle="1" w:styleId="FooterChar">
    <w:name w:val="Footer Char"/>
    <w:basedOn w:val="DefaultParagraphFont"/>
    <w:link w:val="Footer"/>
    <w:rsid w:val="00C3287B"/>
    <w:rPr>
      <w:rFonts w:ascii="Times New Roman" w:eastAsia="Times New Roman" w:hAnsi="Times New Roman"/>
      <w:szCs w:val="20"/>
    </w:rPr>
  </w:style>
  <w:style w:type="character" w:styleId="FootnoteReference">
    <w:name w:val="footnote reference"/>
    <w:basedOn w:val="DefaultParagraphFont"/>
    <w:rsid w:val="00346358"/>
    <w:rPr>
      <w:rFonts w:ascii="Times New Roman" w:hAnsi="Times New Roman"/>
      <w:b w:val="0"/>
      <w:caps w:val="0"/>
      <w:smallCaps w:val="0"/>
      <w:strike w:val="0"/>
      <w:dstrike w:val="0"/>
      <w:vanish w:val="0"/>
      <w:color w:val="auto"/>
      <w:position w:val="6"/>
      <w:sz w:val="20"/>
      <w:vertAlign w:val="superscript"/>
    </w:rPr>
  </w:style>
  <w:style w:type="paragraph" w:styleId="FootnoteText">
    <w:name w:val="footnote text"/>
    <w:basedOn w:val="Normal"/>
    <w:link w:val="FootnoteTextChar"/>
    <w:rsid w:val="00346358"/>
    <w:pPr>
      <w:keepLines/>
      <w:widowControl w:val="0"/>
    </w:pPr>
  </w:style>
  <w:style w:type="character" w:customStyle="1" w:styleId="FootnoteTextChar">
    <w:name w:val="Footnote Text Char"/>
    <w:basedOn w:val="DefaultParagraphFont"/>
    <w:link w:val="FootnoteText"/>
    <w:rsid w:val="00346358"/>
    <w:rPr>
      <w:rFonts w:ascii="Times New Roman" w:eastAsia="Times New Roman" w:hAnsi="Times New Roman"/>
      <w:szCs w:val="20"/>
    </w:rPr>
  </w:style>
  <w:style w:type="paragraph" w:styleId="Header">
    <w:name w:val="header"/>
    <w:basedOn w:val="Normal"/>
    <w:link w:val="HeaderChar"/>
    <w:rsid w:val="00C3287B"/>
    <w:pPr>
      <w:tabs>
        <w:tab w:val="center" w:pos="4320"/>
        <w:tab w:val="right" w:pos="8640"/>
      </w:tabs>
    </w:pPr>
  </w:style>
  <w:style w:type="character" w:customStyle="1" w:styleId="HeaderChar">
    <w:name w:val="Header Char"/>
    <w:basedOn w:val="DefaultParagraphFont"/>
    <w:link w:val="Header"/>
    <w:rsid w:val="00C3287B"/>
    <w:rPr>
      <w:rFonts w:ascii="Times New Roman" w:eastAsia="Times New Roman" w:hAnsi="Times New Roman"/>
      <w:szCs w:val="20"/>
    </w:rPr>
  </w:style>
  <w:style w:type="paragraph" w:customStyle="1" w:styleId="IndentedQuote">
    <w:name w:val="IndentedQuote"/>
    <w:basedOn w:val="Normal"/>
    <w:rsid w:val="00C3287B"/>
    <w:pPr>
      <w:spacing w:line="260" w:lineRule="exact"/>
      <w:ind w:left="1080" w:right="1080"/>
    </w:pPr>
  </w:style>
  <w:style w:type="paragraph" w:styleId="MacroText">
    <w:name w:val="macro"/>
    <w:link w:val="MacroTextChar"/>
    <w:semiHidden/>
    <w:rsid w:val="00C3287B"/>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Text"/>
    <w:semiHidden/>
    <w:rsid w:val="00C3287B"/>
    <w:rPr>
      <w:rFonts w:ascii="Times New Roman" w:eastAsia="Times New Roman" w:hAnsi="Times New Roman"/>
      <w:sz w:val="22"/>
      <w:szCs w:val="20"/>
    </w:rPr>
  </w:style>
  <w:style w:type="character" w:styleId="PageNumber">
    <w:name w:val="page number"/>
    <w:basedOn w:val="DefaultParagraphFont"/>
    <w:rsid w:val="00C3287B"/>
  </w:style>
  <w:style w:type="table" w:styleId="TableGrid">
    <w:name w:val="Table Grid"/>
    <w:basedOn w:val="TableNormal"/>
    <w:uiPriority w:val="39"/>
    <w:rsid w:val="0057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B43"/>
    <w:rPr>
      <w:color w:val="0000FF" w:themeColor="hyperlink"/>
      <w:u w:val="single"/>
    </w:rPr>
  </w:style>
  <w:style w:type="character" w:customStyle="1" w:styleId="UnresolvedMention1">
    <w:name w:val="Unresolved Mention1"/>
    <w:basedOn w:val="DefaultParagraphFont"/>
    <w:uiPriority w:val="99"/>
    <w:semiHidden/>
    <w:unhideWhenUsed/>
    <w:rsid w:val="00E25B43"/>
    <w:rPr>
      <w:color w:val="605E5C"/>
      <w:shd w:val="clear" w:color="auto" w:fill="E1DFDD"/>
    </w:rPr>
  </w:style>
  <w:style w:type="character" w:styleId="CommentReference">
    <w:name w:val="annotation reference"/>
    <w:basedOn w:val="DefaultParagraphFont"/>
    <w:uiPriority w:val="99"/>
    <w:semiHidden/>
    <w:unhideWhenUsed/>
    <w:rsid w:val="00E975D1"/>
    <w:rPr>
      <w:sz w:val="16"/>
      <w:szCs w:val="16"/>
    </w:rPr>
  </w:style>
  <w:style w:type="paragraph" w:styleId="CommentText">
    <w:name w:val="annotation text"/>
    <w:basedOn w:val="Normal"/>
    <w:link w:val="CommentTextChar"/>
    <w:uiPriority w:val="99"/>
    <w:unhideWhenUsed/>
    <w:rsid w:val="00E975D1"/>
    <w:rPr>
      <w:sz w:val="20"/>
    </w:rPr>
  </w:style>
  <w:style w:type="character" w:customStyle="1" w:styleId="CommentTextChar">
    <w:name w:val="Comment Text Char"/>
    <w:basedOn w:val="DefaultParagraphFont"/>
    <w:link w:val="CommentText"/>
    <w:uiPriority w:val="99"/>
    <w:rsid w:val="00E975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75D1"/>
    <w:rPr>
      <w:b/>
      <w:bCs/>
    </w:rPr>
  </w:style>
  <w:style w:type="character" w:customStyle="1" w:styleId="CommentSubjectChar">
    <w:name w:val="Comment Subject Char"/>
    <w:basedOn w:val="CommentTextChar"/>
    <w:link w:val="CommentSubject"/>
    <w:uiPriority w:val="99"/>
    <w:semiHidden/>
    <w:rsid w:val="00E975D1"/>
    <w:rPr>
      <w:rFonts w:ascii="Times New Roman" w:hAnsi="Times New Roman"/>
      <w:b/>
      <w:bCs/>
      <w:sz w:val="20"/>
      <w:szCs w:val="20"/>
    </w:rPr>
  </w:style>
  <w:style w:type="paragraph" w:styleId="Revision">
    <w:name w:val="Revision"/>
    <w:hidden/>
    <w:uiPriority w:val="99"/>
    <w:semiHidden/>
    <w:rsid w:val="00D324F6"/>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5963</Words>
  <Characters>33276</Characters>
  <Application>Microsoft Office Word</Application>
  <DocSecurity>0</DocSecurity>
  <Lines>557</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2024-02-09T21:16:00Z</dcterms:created>
  <dcterms:modified xsi:type="dcterms:W3CDTF">2024-02-09T21:16:00Z</dcterms:modified>
  <cp:category/>
</cp:coreProperties>
</file>