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537C6" w:rsidRPr="006F09EB" w:rsidP="005C0B4B" w14:paraId="0747E28A" w14:textId="144962E3">
      <w:pPr>
        <w:spacing w:line="240" w:lineRule="auto"/>
        <w:rPr>
          <w:sz w:val="20"/>
          <w:szCs w:val="20"/>
        </w:rPr>
      </w:pPr>
      <w:r w:rsidRPr="006F09EB">
        <w:rPr>
          <w:sz w:val="20"/>
          <w:szCs w:val="20"/>
        </w:rPr>
        <w:t>Filed 2/23/24</w:t>
      </w:r>
    </w:p>
    <w:p w:rsidR="00D537C6" w:rsidP="00D537C6" w14:paraId="6BCA7636" w14:textId="77777777">
      <w:pPr>
        <w:spacing w:line="240" w:lineRule="auto"/>
      </w:pPr>
    </w:p>
    <w:p w:rsidR="00D537C6" w:rsidP="00D537C6" w14:paraId="5125EAA8" w14:textId="77777777">
      <w:pPr>
        <w:spacing w:line="240" w:lineRule="auto"/>
      </w:pPr>
    </w:p>
    <w:p w:rsidR="00D537C6" w:rsidP="00D537C6" w14:paraId="36A7FE62" w14:textId="77777777">
      <w:pPr>
        <w:spacing w:line="240" w:lineRule="auto"/>
      </w:pPr>
    </w:p>
    <w:p w:rsidR="00D537C6" w:rsidP="00D537C6" w14:paraId="65D6B6CA" w14:textId="77777777">
      <w:pPr>
        <w:spacing w:line="240" w:lineRule="auto"/>
      </w:pPr>
    </w:p>
    <w:p w:rsidR="00D537C6" w:rsidP="00D537C6" w14:paraId="792F3E45" w14:textId="77777777">
      <w:pPr>
        <w:spacing w:line="240" w:lineRule="auto"/>
      </w:pPr>
    </w:p>
    <w:p w:rsidR="00D537C6" w:rsidP="00D537C6" w14:paraId="2474C392" w14:textId="77777777">
      <w:pPr>
        <w:spacing w:line="240" w:lineRule="auto"/>
      </w:pPr>
    </w:p>
    <w:p w:rsidR="00BA7A08" w:rsidP="00D537C6" w14:paraId="6ACF9549" w14:textId="77777777">
      <w:pPr>
        <w:spacing w:line="240" w:lineRule="auto"/>
      </w:pPr>
    </w:p>
    <w:p w:rsidR="00BA7A08" w:rsidP="00D537C6" w14:paraId="48CE1F82" w14:textId="77777777">
      <w:pPr>
        <w:spacing w:line="240" w:lineRule="auto"/>
      </w:pPr>
    </w:p>
    <w:p w:rsidR="00F34AB0" w:rsidP="00F34AB0" w14:paraId="49FBB0D8" w14:textId="77777777">
      <w:pPr>
        <w:spacing w:line="240" w:lineRule="auto"/>
        <w:jc w:val="center"/>
      </w:pPr>
      <w:r>
        <w:rPr>
          <w:b/>
        </w:rPr>
        <w:t>CERTIFIED FOR PUBLICATION</w:t>
      </w:r>
    </w:p>
    <w:p w:rsidR="00D537C6" w:rsidP="00D537C6" w14:paraId="4A63278A" w14:textId="77777777">
      <w:pPr>
        <w:spacing w:line="240" w:lineRule="auto"/>
        <w:jc w:val="center"/>
      </w:pPr>
    </w:p>
    <w:p w:rsidR="00D537C6" w:rsidP="00D537C6" w14:paraId="58F0B4D8" w14:textId="77777777">
      <w:pPr>
        <w:spacing w:line="240" w:lineRule="auto"/>
        <w:jc w:val="center"/>
      </w:pPr>
      <w:r>
        <w:t>IN THE COURT OF APPEAL OF THE STATE OF CALIFORNIA</w:t>
      </w:r>
    </w:p>
    <w:p w:rsidR="00D537C6" w:rsidP="00D537C6" w14:paraId="2556A8E6" w14:textId="77777777">
      <w:pPr>
        <w:spacing w:line="240" w:lineRule="auto"/>
        <w:jc w:val="center"/>
      </w:pPr>
    </w:p>
    <w:p w:rsidR="00D537C6" w:rsidP="00D537C6" w14:paraId="089A3EA6" w14:textId="77777777">
      <w:pPr>
        <w:spacing w:line="240" w:lineRule="auto"/>
        <w:jc w:val="center"/>
      </w:pPr>
      <w:r>
        <w:t>FOURTH APPELLATE DISTRICT</w:t>
      </w:r>
    </w:p>
    <w:p w:rsidR="00D537C6" w:rsidP="00D537C6" w14:paraId="20621789" w14:textId="77777777">
      <w:pPr>
        <w:spacing w:line="240" w:lineRule="auto"/>
        <w:jc w:val="center"/>
      </w:pPr>
    </w:p>
    <w:p w:rsidR="00D537C6" w:rsidP="00D537C6" w14:paraId="6E2DA335" w14:textId="77777777">
      <w:pPr>
        <w:spacing w:line="240" w:lineRule="auto"/>
        <w:jc w:val="center"/>
      </w:pPr>
      <w:r>
        <w:t>DIVISION THREE</w:t>
      </w:r>
    </w:p>
    <w:p w:rsidR="00D537C6" w:rsidP="00D537C6" w14:paraId="67DB0A2F" w14:textId="77777777">
      <w:pPr>
        <w:spacing w:line="240" w:lineRule="auto"/>
        <w:jc w:val="center"/>
      </w:pPr>
    </w:p>
    <w:p w:rsidR="00D537C6" w:rsidP="00D537C6" w14:paraId="5922967F" w14:textId="77777777">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14:paraId="6840CE26" w14:textId="77777777" w:rsidTr="00E9559C">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D537C6" w:rsidP="00E9559C" w14:paraId="1EF475C8" w14:textId="77777777">
            <w:pPr>
              <w:spacing w:line="240" w:lineRule="auto"/>
              <w:rPr>
                <w:rStyle w:val="DefaultParagraphFont"/>
                <w:rFonts w:asciiTheme="minorHAnsi" w:hAnsiTheme="minorHAnsi"/>
                <w:position w:val="0"/>
                <w:sz w:val="26"/>
                <w:szCs w:val="26"/>
                <w:lang w:val="en-US" w:eastAsia="en-US" w:bidi="ar-SA"/>
              </w:rPr>
            </w:pPr>
            <w:r>
              <w:rPr>
                <w:rFonts w:asciiTheme="minorHAnsi" w:hAnsiTheme="minorHAnsi"/>
                <w:position w:val="0"/>
                <w:sz w:val="26"/>
                <w:szCs w:val="26"/>
                <w:lang w:val="en-US" w:eastAsia="en-US" w:bidi="ar-SA"/>
              </w:rPr>
              <w:t>THE PEOPLE,</w:t>
            </w:r>
          </w:p>
          <w:p w:rsidR="00D537C6" w:rsidP="00E9559C" w14:paraId="235745DC" w14:textId="77777777">
            <w:pPr>
              <w:spacing w:line="240" w:lineRule="auto"/>
              <w:rPr>
                <w:rStyle w:val="DefaultParagraphFont"/>
                <w:rFonts w:asciiTheme="minorHAnsi" w:hAnsiTheme="minorHAnsi"/>
                <w:position w:val="0"/>
                <w:sz w:val="26"/>
                <w:szCs w:val="26"/>
                <w:lang w:val="en-US" w:eastAsia="en-US" w:bidi="ar-SA"/>
              </w:rPr>
            </w:pPr>
          </w:p>
          <w:p w:rsidR="00D537C6" w:rsidP="00E9559C" w14:paraId="661FD858" w14:textId="77777777">
            <w:pPr>
              <w:spacing w:line="240" w:lineRule="auto"/>
              <w:rPr>
                <w:rStyle w:val="DefaultParagraphFont"/>
                <w:rFonts w:asciiTheme="minorHAnsi" w:hAnsiTheme="minorHAnsi"/>
                <w:position w:val="0"/>
                <w:sz w:val="26"/>
                <w:szCs w:val="26"/>
                <w:lang w:val="en-US" w:eastAsia="en-US" w:bidi="ar-SA"/>
              </w:rPr>
            </w:pPr>
            <w:r>
              <w:rPr>
                <w:rFonts w:asciiTheme="minorHAnsi" w:hAnsiTheme="minorHAnsi"/>
                <w:position w:val="0"/>
                <w:sz w:val="26"/>
                <w:szCs w:val="26"/>
                <w:lang w:val="en-US" w:eastAsia="en-US" w:bidi="ar-SA"/>
              </w:rPr>
              <w:t xml:space="preserve">      Plaintiff and Respondent,</w:t>
            </w:r>
          </w:p>
          <w:p w:rsidR="00D537C6" w:rsidP="00E9559C" w14:paraId="6EBB967C" w14:textId="77777777">
            <w:pPr>
              <w:spacing w:line="240" w:lineRule="auto"/>
              <w:rPr>
                <w:rStyle w:val="DefaultParagraphFont"/>
                <w:rFonts w:asciiTheme="minorHAnsi" w:hAnsiTheme="minorHAnsi"/>
                <w:position w:val="0"/>
                <w:sz w:val="26"/>
                <w:szCs w:val="26"/>
                <w:lang w:val="en-US" w:eastAsia="en-US" w:bidi="ar-SA"/>
              </w:rPr>
            </w:pPr>
          </w:p>
          <w:p w:rsidR="00D537C6" w:rsidP="00E9559C" w14:paraId="2D89102E" w14:textId="77777777">
            <w:pPr>
              <w:spacing w:line="240" w:lineRule="auto"/>
              <w:rPr>
                <w:rStyle w:val="DefaultParagraphFont"/>
                <w:rFonts w:asciiTheme="minorHAnsi" w:hAnsiTheme="minorHAnsi"/>
                <w:position w:val="0"/>
                <w:sz w:val="26"/>
                <w:szCs w:val="26"/>
                <w:lang w:val="en-US" w:eastAsia="en-US" w:bidi="ar-SA"/>
              </w:rPr>
            </w:pPr>
            <w:r>
              <w:rPr>
                <w:rFonts w:asciiTheme="minorHAnsi" w:hAnsiTheme="minorHAnsi"/>
                <w:position w:val="0"/>
                <w:sz w:val="26"/>
                <w:szCs w:val="26"/>
                <w:lang w:val="en-US" w:eastAsia="en-US" w:bidi="ar-SA"/>
              </w:rPr>
              <w:tab/>
              <w:t>v.</w:t>
            </w:r>
          </w:p>
          <w:p w:rsidR="00D537C6" w:rsidP="00E9559C" w14:paraId="7E3E755F" w14:textId="77777777">
            <w:pPr>
              <w:spacing w:line="240" w:lineRule="auto"/>
              <w:rPr>
                <w:rStyle w:val="DefaultParagraphFont"/>
                <w:rFonts w:asciiTheme="minorHAnsi" w:hAnsiTheme="minorHAnsi"/>
                <w:position w:val="0"/>
                <w:sz w:val="26"/>
                <w:szCs w:val="26"/>
                <w:lang w:val="en-US" w:eastAsia="en-US" w:bidi="ar-SA"/>
              </w:rPr>
            </w:pPr>
          </w:p>
          <w:p w:rsidR="00D537C6" w:rsidP="00E9559C" w14:paraId="3D29B459" w14:textId="38BC790E">
            <w:pPr>
              <w:spacing w:line="240" w:lineRule="auto"/>
              <w:rPr>
                <w:rStyle w:val="DefaultParagraphFont"/>
                <w:rFonts w:asciiTheme="minorHAnsi" w:hAnsiTheme="minorHAnsi"/>
                <w:position w:val="0"/>
                <w:sz w:val="26"/>
                <w:szCs w:val="26"/>
                <w:lang w:val="en-US" w:eastAsia="en-US" w:bidi="ar-SA"/>
              </w:rPr>
            </w:pPr>
            <w:r>
              <w:rPr>
                <w:rFonts w:asciiTheme="minorHAnsi" w:hAnsiTheme="minorHAnsi"/>
                <w:position w:val="0"/>
                <w:sz w:val="26"/>
                <w:szCs w:val="26"/>
                <w:lang w:val="en-US" w:eastAsia="en-US" w:bidi="ar-SA"/>
              </w:rPr>
              <w:t>WESLEY M</w:t>
            </w:r>
            <w:r w:rsidRPr="00D537C6">
              <w:rPr>
                <w:rFonts w:asciiTheme="minorHAnsi" w:hAnsiTheme="minorHAnsi"/>
                <w:smallCaps/>
                <w:position w:val="0"/>
                <w:sz w:val="26"/>
                <w:szCs w:val="26"/>
                <w:lang w:val="en-US" w:eastAsia="en-US" w:bidi="ar-SA"/>
              </w:rPr>
              <w:t>c</w:t>
            </w:r>
            <w:r>
              <w:rPr>
                <w:rFonts w:asciiTheme="minorHAnsi" w:hAnsiTheme="minorHAnsi"/>
                <w:position w:val="0"/>
                <w:sz w:val="26"/>
                <w:szCs w:val="26"/>
                <w:lang w:val="en-US" w:eastAsia="en-US" w:bidi="ar-SA"/>
              </w:rPr>
              <w:t>DOWELL</w:t>
            </w:r>
            <w:r w:rsidR="003712E5">
              <w:rPr>
                <w:rFonts w:asciiTheme="minorHAnsi" w:hAnsiTheme="minorHAnsi"/>
                <w:position w:val="0"/>
                <w:sz w:val="26"/>
                <w:szCs w:val="26"/>
                <w:lang w:val="en-US" w:eastAsia="en-US" w:bidi="ar-SA"/>
              </w:rPr>
              <w:t>,</w:t>
            </w:r>
            <w:r>
              <w:rPr>
                <w:rFonts w:asciiTheme="minorHAnsi" w:hAnsiTheme="minorHAnsi"/>
                <w:position w:val="0"/>
                <w:sz w:val="26"/>
                <w:szCs w:val="26"/>
                <w:lang w:val="en-US" w:eastAsia="en-US" w:bidi="ar-SA"/>
              </w:rPr>
              <w:t xml:space="preserve"> JR.,</w:t>
            </w:r>
          </w:p>
          <w:p w:rsidR="00D537C6" w:rsidP="00E9559C" w14:paraId="03F89779" w14:textId="77777777">
            <w:pPr>
              <w:spacing w:line="240" w:lineRule="auto"/>
              <w:rPr>
                <w:rStyle w:val="DefaultParagraphFont"/>
                <w:rFonts w:asciiTheme="minorHAnsi" w:hAnsiTheme="minorHAnsi"/>
                <w:position w:val="0"/>
                <w:sz w:val="26"/>
                <w:szCs w:val="26"/>
                <w:lang w:val="en-US" w:eastAsia="en-US" w:bidi="ar-SA"/>
              </w:rPr>
            </w:pPr>
          </w:p>
          <w:p w:rsidR="00D537C6" w:rsidP="00E9559C" w14:paraId="72D7A7F7" w14:textId="77777777">
            <w:pPr>
              <w:spacing w:line="240" w:lineRule="auto"/>
              <w:rPr>
                <w:rStyle w:val="DefaultParagraphFont"/>
                <w:rFonts w:asciiTheme="minorHAnsi" w:hAnsiTheme="minorHAnsi"/>
                <w:position w:val="0"/>
                <w:sz w:val="26"/>
                <w:szCs w:val="26"/>
                <w:lang w:val="en-US" w:eastAsia="en-US" w:bidi="ar-SA"/>
              </w:rPr>
            </w:pPr>
            <w:r>
              <w:rPr>
                <w:rFonts w:asciiTheme="minorHAnsi" w:hAnsiTheme="minorHAnsi"/>
                <w:position w:val="0"/>
                <w:sz w:val="26"/>
                <w:szCs w:val="26"/>
                <w:lang w:val="en-US" w:eastAsia="en-US" w:bidi="ar-SA"/>
              </w:rPr>
              <w:t xml:space="preserve">      Defendant and Appellant.</w:t>
            </w:r>
          </w:p>
          <w:p w:rsidR="00D537C6" w:rsidP="00E9559C" w14:paraId="5653929C" w14:textId="77777777">
            <w:pPr>
              <w:spacing w:line="240" w:lineRule="auto"/>
              <w:rPr>
                <w:rStyle w:val="DefaultParagraphFont"/>
                <w:rFonts w:asciiTheme="minorHAnsi" w:hAnsiTheme="minorHAnsi"/>
                <w:position w:val="0"/>
                <w:sz w:val="26"/>
                <w:szCs w:val="26"/>
                <w:lang w:val="en-US" w:eastAsia="en-US" w:bidi="ar-SA"/>
              </w:rPr>
            </w:pPr>
          </w:p>
        </w:tc>
        <w:tc>
          <w:tcPr>
            <w:tcW w:w="4680" w:type="dxa"/>
            <w:tcBorders>
              <w:left w:val="single" w:sz="4" w:space="0" w:color="auto"/>
            </w:tcBorders>
            <w:shd w:val="clear" w:color="auto" w:fill="auto"/>
          </w:tcPr>
          <w:p w:rsidR="00D537C6" w:rsidP="00E9559C" w14:paraId="5F2C4974" w14:textId="77777777">
            <w:pPr>
              <w:spacing w:line="240" w:lineRule="auto"/>
              <w:rPr>
                <w:rStyle w:val="DefaultParagraphFont"/>
                <w:rFonts w:asciiTheme="minorHAnsi" w:hAnsiTheme="minorHAnsi"/>
                <w:position w:val="0"/>
                <w:sz w:val="26"/>
                <w:szCs w:val="26"/>
                <w:lang w:val="en-US" w:eastAsia="en-US" w:bidi="ar-SA"/>
              </w:rPr>
            </w:pPr>
          </w:p>
          <w:p w:rsidR="00D537C6" w:rsidP="00E9559C" w14:paraId="410ADEBA" w14:textId="77777777">
            <w:pPr>
              <w:spacing w:line="240" w:lineRule="auto"/>
              <w:rPr>
                <w:rStyle w:val="DefaultParagraphFont"/>
                <w:rFonts w:asciiTheme="minorHAnsi" w:hAnsiTheme="minorHAnsi"/>
                <w:position w:val="0"/>
                <w:sz w:val="26"/>
                <w:szCs w:val="26"/>
                <w:lang w:val="en-US" w:eastAsia="en-US" w:bidi="ar-SA"/>
              </w:rPr>
            </w:pPr>
          </w:p>
          <w:p w:rsidR="00D537C6" w:rsidP="00E9559C" w14:paraId="590F5B83" w14:textId="77777777">
            <w:pPr>
              <w:spacing w:line="240" w:lineRule="auto"/>
              <w:rPr>
                <w:rStyle w:val="DefaultParagraphFont"/>
                <w:rFonts w:asciiTheme="minorHAnsi" w:hAnsiTheme="minorHAnsi"/>
                <w:position w:val="0"/>
                <w:sz w:val="26"/>
                <w:szCs w:val="26"/>
                <w:lang w:val="en-US" w:eastAsia="en-US" w:bidi="ar-SA"/>
              </w:rPr>
            </w:pPr>
            <w:r>
              <w:rPr>
                <w:rFonts w:asciiTheme="minorHAnsi" w:hAnsiTheme="minorHAnsi"/>
                <w:position w:val="0"/>
                <w:sz w:val="26"/>
                <w:szCs w:val="26"/>
                <w:lang w:val="en-US" w:eastAsia="en-US" w:bidi="ar-SA"/>
              </w:rPr>
              <w:t xml:space="preserve">         </w:t>
            </w:r>
            <w:bookmarkStart w:id="0" w:name="_Hlk159583061"/>
            <w:r>
              <w:rPr>
                <w:rFonts w:asciiTheme="minorHAnsi" w:hAnsiTheme="minorHAnsi"/>
                <w:position w:val="0"/>
                <w:sz w:val="26"/>
                <w:szCs w:val="26"/>
                <w:lang w:val="en-US" w:eastAsia="en-US" w:bidi="ar-SA"/>
              </w:rPr>
              <w:t>G062263</w:t>
            </w:r>
            <w:bookmarkEnd w:id="0"/>
          </w:p>
          <w:p w:rsidR="00D537C6" w:rsidP="00E9559C" w14:paraId="3D36978B" w14:textId="77777777">
            <w:pPr>
              <w:spacing w:line="240" w:lineRule="auto"/>
              <w:rPr>
                <w:rStyle w:val="DefaultParagraphFont"/>
                <w:rFonts w:asciiTheme="minorHAnsi" w:hAnsiTheme="minorHAnsi"/>
                <w:position w:val="0"/>
                <w:sz w:val="26"/>
                <w:szCs w:val="26"/>
                <w:lang w:val="en-US" w:eastAsia="en-US" w:bidi="ar-SA"/>
              </w:rPr>
            </w:pPr>
          </w:p>
          <w:p w:rsidR="00D537C6" w:rsidP="00E9559C" w14:paraId="726078FF" w14:textId="77777777">
            <w:pPr>
              <w:spacing w:line="240" w:lineRule="auto"/>
              <w:rPr>
                <w:rStyle w:val="DefaultParagraphFont"/>
                <w:rFonts w:asciiTheme="minorHAnsi" w:hAnsiTheme="minorHAnsi"/>
                <w:position w:val="0"/>
                <w:sz w:val="26"/>
                <w:szCs w:val="26"/>
                <w:lang w:val="en-US" w:eastAsia="en-US" w:bidi="ar-SA"/>
              </w:rPr>
            </w:pPr>
            <w:r>
              <w:rPr>
                <w:rFonts w:asciiTheme="minorHAnsi" w:hAnsiTheme="minorHAnsi"/>
                <w:position w:val="0"/>
                <w:sz w:val="26"/>
                <w:szCs w:val="26"/>
                <w:lang w:val="en-US" w:eastAsia="en-US" w:bidi="ar-SA"/>
              </w:rPr>
              <w:t xml:space="preserve">         (Super. Ct. No. 18CF0916)</w:t>
            </w:r>
          </w:p>
          <w:p w:rsidR="00D537C6" w:rsidP="00E9559C" w14:paraId="7A0ED61B" w14:textId="77777777">
            <w:pPr>
              <w:spacing w:line="240" w:lineRule="auto"/>
              <w:rPr>
                <w:rStyle w:val="DefaultParagraphFont"/>
                <w:rFonts w:asciiTheme="minorHAnsi" w:hAnsiTheme="minorHAnsi"/>
                <w:position w:val="0"/>
                <w:sz w:val="26"/>
                <w:szCs w:val="26"/>
                <w:lang w:val="en-US" w:eastAsia="en-US" w:bidi="ar-SA"/>
              </w:rPr>
            </w:pPr>
          </w:p>
          <w:p w:rsidR="00D537C6" w:rsidP="00E9559C" w14:paraId="2638B33C" w14:textId="75DD6E57">
            <w:pPr>
              <w:spacing w:line="240" w:lineRule="auto"/>
              <w:rPr>
                <w:rStyle w:val="DefaultParagraphFont"/>
                <w:rFonts w:asciiTheme="minorHAnsi" w:hAnsiTheme="minorHAnsi"/>
                <w:position w:val="0"/>
                <w:sz w:val="26"/>
                <w:szCs w:val="26"/>
                <w:lang w:val="en-US" w:eastAsia="en-US" w:bidi="ar-SA"/>
              </w:rPr>
            </w:pPr>
            <w:r>
              <w:rPr>
                <w:rFonts w:asciiTheme="minorHAnsi" w:hAnsiTheme="minorHAnsi"/>
                <w:position w:val="0"/>
                <w:sz w:val="26"/>
                <w:szCs w:val="26"/>
                <w:lang w:val="en-US" w:eastAsia="en-US" w:bidi="ar-SA"/>
              </w:rPr>
              <w:t xml:space="preserve">         </w:t>
            </w:r>
            <w:r w:rsidR="00ED5AE1">
              <w:rPr>
                <w:rFonts w:asciiTheme="minorHAnsi" w:hAnsiTheme="minorHAnsi"/>
                <w:position w:val="0"/>
                <w:sz w:val="26"/>
                <w:szCs w:val="26"/>
                <w:lang w:val="en-US" w:eastAsia="en-US" w:bidi="ar-SA"/>
              </w:rPr>
              <w:t>O</w:t>
            </w:r>
            <w:r>
              <w:rPr>
                <w:rFonts w:asciiTheme="minorHAnsi" w:hAnsiTheme="minorHAnsi"/>
                <w:position w:val="0"/>
                <w:sz w:val="26"/>
                <w:szCs w:val="26"/>
                <w:lang w:val="en-US" w:eastAsia="en-US" w:bidi="ar-SA"/>
              </w:rPr>
              <w:t xml:space="preserve"> </w:t>
            </w:r>
            <w:r w:rsidR="00ED5AE1">
              <w:rPr>
                <w:rFonts w:asciiTheme="minorHAnsi" w:hAnsiTheme="minorHAnsi"/>
                <w:position w:val="0"/>
                <w:sz w:val="26"/>
                <w:szCs w:val="26"/>
                <w:lang w:val="en-US" w:eastAsia="en-US" w:bidi="ar-SA"/>
              </w:rPr>
              <w:t>P</w:t>
            </w:r>
            <w:r>
              <w:rPr>
                <w:rFonts w:asciiTheme="minorHAnsi" w:hAnsiTheme="minorHAnsi"/>
                <w:position w:val="0"/>
                <w:sz w:val="26"/>
                <w:szCs w:val="26"/>
                <w:lang w:val="en-US" w:eastAsia="en-US" w:bidi="ar-SA"/>
              </w:rPr>
              <w:t xml:space="preserve"> </w:t>
            </w:r>
            <w:r w:rsidR="00ED5AE1">
              <w:rPr>
                <w:rFonts w:asciiTheme="minorHAnsi" w:hAnsiTheme="minorHAnsi"/>
                <w:position w:val="0"/>
                <w:sz w:val="26"/>
                <w:szCs w:val="26"/>
                <w:lang w:val="en-US" w:eastAsia="en-US" w:bidi="ar-SA"/>
              </w:rPr>
              <w:t>I</w:t>
            </w:r>
            <w:r>
              <w:rPr>
                <w:rFonts w:asciiTheme="minorHAnsi" w:hAnsiTheme="minorHAnsi"/>
                <w:position w:val="0"/>
                <w:sz w:val="26"/>
                <w:szCs w:val="26"/>
                <w:lang w:val="en-US" w:eastAsia="en-US" w:bidi="ar-SA"/>
              </w:rPr>
              <w:t xml:space="preserve"> </w:t>
            </w:r>
            <w:r w:rsidR="00ED5AE1">
              <w:rPr>
                <w:rFonts w:asciiTheme="minorHAnsi" w:hAnsiTheme="minorHAnsi"/>
                <w:position w:val="0"/>
                <w:sz w:val="26"/>
                <w:szCs w:val="26"/>
                <w:lang w:val="en-US" w:eastAsia="en-US" w:bidi="ar-SA"/>
              </w:rPr>
              <w:t>N</w:t>
            </w:r>
            <w:r>
              <w:rPr>
                <w:rFonts w:asciiTheme="minorHAnsi" w:hAnsiTheme="minorHAnsi"/>
                <w:position w:val="0"/>
                <w:sz w:val="26"/>
                <w:szCs w:val="26"/>
                <w:lang w:val="en-US" w:eastAsia="en-US" w:bidi="ar-SA"/>
              </w:rPr>
              <w:t xml:space="preserve"> </w:t>
            </w:r>
            <w:r w:rsidR="00ED5AE1">
              <w:rPr>
                <w:rFonts w:asciiTheme="minorHAnsi" w:hAnsiTheme="minorHAnsi"/>
                <w:position w:val="0"/>
                <w:sz w:val="26"/>
                <w:szCs w:val="26"/>
                <w:lang w:val="en-US" w:eastAsia="en-US" w:bidi="ar-SA"/>
              </w:rPr>
              <w:t>I</w:t>
            </w:r>
            <w:r>
              <w:rPr>
                <w:rFonts w:asciiTheme="minorHAnsi" w:hAnsiTheme="minorHAnsi"/>
                <w:position w:val="0"/>
                <w:sz w:val="26"/>
                <w:szCs w:val="26"/>
                <w:lang w:val="en-US" w:eastAsia="en-US" w:bidi="ar-SA"/>
              </w:rPr>
              <w:t xml:space="preserve"> </w:t>
            </w:r>
            <w:r w:rsidR="00ED5AE1">
              <w:rPr>
                <w:rFonts w:asciiTheme="minorHAnsi" w:hAnsiTheme="minorHAnsi"/>
                <w:position w:val="0"/>
                <w:sz w:val="26"/>
                <w:szCs w:val="26"/>
                <w:lang w:val="en-US" w:eastAsia="en-US" w:bidi="ar-SA"/>
              </w:rPr>
              <w:t>O</w:t>
            </w:r>
            <w:r>
              <w:rPr>
                <w:rFonts w:asciiTheme="minorHAnsi" w:hAnsiTheme="minorHAnsi"/>
                <w:position w:val="0"/>
                <w:sz w:val="26"/>
                <w:szCs w:val="26"/>
                <w:lang w:val="en-US" w:eastAsia="en-US" w:bidi="ar-SA"/>
              </w:rPr>
              <w:t xml:space="preserve"> </w:t>
            </w:r>
            <w:r w:rsidR="00ED5AE1">
              <w:rPr>
                <w:rFonts w:asciiTheme="minorHAnsi" w:hAnsiTheme="minorHAnsi"/>
                <w:position w:val="0"/>
                <w:sz w:val="26"/>
                <w:szCs w:val="26"/>
                <w:lang w:val="en-US" w:eastAsia="en-US" w:bidi="ar-SA"/>
              </w:rPr>
              <w:t>N</w:t>
            </w:r>
          </w:p>
        </w:tc>
      </w:tr>
    </w:tbl>
    <w:p w:rsidR="00D537C6" w:rsidP="00D537C6" w14:paraId="19318157" w14:textId="77777777">
      <w:pPr>
        <w:tabs>
          <w:tab w:val="left" w:pos="1440"/>
          <w:tab w:val="left" w:pos="2880"/>
          <w:tab w:val="left" w:pos="4320"/>
          <w:tab w:val="left" w:pos="5760"/>
          <w:tab w:val="left" w:pos="7200"/>
          <w:tab w:val="left" w:pos="8640"/>
        </w:tabs>
      </w:pPr>
    </w:p>
    <w:p w:rsidR="00D537C6" w:rsidP="00D537C6" w14:paraId="1B3BB1E9" w14:textId="77777777">
      <w:pPr>
        <w:tabs>
          <w:tab w:val="left" w:pos="1440"/>
          <w:tab w:val="left" w:pos="2880"/>
          <w:tab w:val="left" w:pos="4320"/>
          <w:tab w:val="left" w:pos="5760"/>
          <w:tab w:val="left" w:pos="7200"/>
          <w:tab w:val="left" w:pos="8640"/>
        </w:tabs>
      </w:pPr>
      <w:r>
        <w:tab/>
        <w:t>Appeal from a judgment of the Superior Court of Orange County, Maria D. Hernandez, Judge.  Affirmed.</w:t>
      </w:r>
    </w:p>
    <w:p w:rsidR="00D537C6" w:rsidP="00D537C6" w14:paraId="5C25002C" w14:textId="77777777">
      <w:pPr>
        <w:tabs>
          <w:tab w:val="left" w:pos="1440"/>
          <w:tab w:val="left" w:pos="2880"/>
          <w:tab w:val="left" w:pos="4320"/>
          <w:tab w:val="left" w:pos="5760"/>
          <w:tab w:val="left" w:pos="7200"/>
          <w:tab w:val="left" w:pos="8640"/>
        </w:tabs>
      </w:pPr>
      <w:r>
        <w:tab/>
        <w:t>Mark D. Johnson, under appointment by the Court of Appeal, for Defendant and Appellant.</w:t>
      </w:r>
    </w:p>
    <w:p w:rsidR="0096495D" w:rsidP="00D537C6" w14:paraId="570CA34A" w14:textId="60C3D723">
      <w:r>
        <w:tab/>
      </w:r>
      <w:r w:rsidR="00A34E14">
        <w:tab/>
      </w:r>
      <w:r>
        <w:t>Rob Bonta, Attorney General, Lance E. Winters, Chief Assistant Attorney General, C</w:t>
      </w:r>
      <w:r w:rsidRPr="00E97E67">
        <w:t xml:space="preserve">harles </w:t>
      </w:r>
      <w:r>
        <w:t>C</w:t>
      </w:r>
      <w:r w:rsidRPr="00E97E67">
        <w:t>. Ragland</w:t>
      </w:r>
      <w:r>
        <w:t>, Assistant Attorney General, Daniel J. Hilton and Steve Oetting, Deputy Attorneys General, for Plaintiff and Respondent.</w:t>
      </w:r>
      <w:r w:rsidRPr="0096495D">
        <w:t xml:space="preserve"> </w:t>
      </w:r>
    </w:p>
    <w:p w:rsidR="009A212E" w:rsidP="00C36FE0" w14:paraId="10F9A97E" w14:textId="23F7655C">
      <w:pPr>
        <w:pStyle w:val="Body"/>
      </w:pPr>
      <w:r>
        <w:t>Wesley McDowell</w:t>
      </w:r>
      <w:r w:rsidR="003712E5">
        <w:t>,</w:t>
      </w:r>
      <w:r>
        <w:t xml:space="preserve"> Jr.</w:t>
      </w:r>
      <w:r w:rsidR="00A34E14">
        <w:t>,</w:t>
      </w:r>
      <w:r>
        <w:t xml:space="preserve"> </w:t>
      </w:r>
      <w:r w:rsidR="008E2FA1">
        <w:t>challenges his sentence totaling</w:t>
      </w:r>
      <w:r>
        <w:t xml:space="preserve"> 23 years to life in prison</w:t>
      </w:r>
      <w:r w:rsidR="00383BAC">
        <w:t xml:space="preserve"> for human trafficking of a minor </w:t>
      </w:r>
      <w:r w:rsidR="008E2FA1">
        <w:t>(</w:t>
      </w:r>
      <w:r w:rsidR="0095109C">
        <w:t xml:space="preserve">Pen. Code, </w:t>
      </w:r>
      <w:r w:rsidRPr="0067193B" w:rsidR="008E2FA1">
        <w:t>§ </w:t>
      </w:r>
      <w:r w:rsidR="008E2FA1">
        <w:t xml:space="preserve">236.1, subd. (c)) (section </w:t>
      </w:r>
      <w:r w:rsidR="00C36FE0">
        <w:t>236.1(c)</w:t>
      </w:r>
      <w:r w:rsidR="00ED5AE1">
        <w:t>)</w:t>
      </w:r>
      <w:r w:rsidR="00C36FE0">
        <w:t xml:space="preserve">, </w:t>
      </w:r>
      <w:r w:rsidR="00383BAC">
        <w:t>and other offenses</w:t>
      </w:r>
      <w:r>
        <w:t>.  Citing newly enacted Senate Bill No. 81 (</w:t>
      </w:r>
      <w:r w:rsidRPr="009A212E">
        <w:t>2021-20</w:t>
      </w:r>
      <w:r w:rsidR="00ED5AE1">
        <w:t>2</w:t>
      </w:r>
      <w:r w:rsidRPr="009A212E">
        <w:t>2 Reg. Sess.) (S</w:t>
      </w:r>
      <w:r w:rsidR="00ED5AE1">
        <w:t xml:space="preserve">enate </w:t>
      </w:r>
      <w:r w:rsidRPr="009A212E">
        <w:t>B</w:t>
      </w:r>
      <w:r w:rsidR="00ED5AE1">
        <w:t>ill</w:t>
      </w:r>
      <w:r w:rsidRPr="009A212E">
        <w:t xml:space="preserve"> 81)</w:t>
      </w:r>
      <w:r>
        <w:t xml:space="preserve">, </w:t>
      </w:r>
      <w:r w:rsidR="008E2FA1">
        <w:t>McDowell</w:t>
      </w:r>
      <w:r>
        <w:t xml:space="preserve"> contends the trial court erred </w:t>
      </w:r>
      <w:r w:rsidR="00A34E14">
        <w:t>by</w:t>
      </w:r>
      <w:r>
        <w:t xml:space="preserve"> refusing to dismiss his elevated sentence of 15 years to li</w:t>
      </w:r>
      <w:r w:rsidR="002138A2">
        <w:t>f</w:t>
      </w:r>
      <w:r>
        <w:t xml:space="preserve">e under </w:t>
      </w:r>
      <w:r w:rsidR="00383BAC">
        <w:t>section 236.1(c)(2), dealing with human trafficking of a minor</w:t>
      </w:r>
      <w:r w:rsidR="008E2FA1">
        <w:t xml:space="preserve"> with aggravating circumstances</w:t>
      </w:r>
      <w:r w:rsidR="00383BAC">
        <w:t>.</w:t>
      </w:r>
      <w:r>
        <w:rPr>
          <w:rStyle w:val="FootnoteReference"/>
        </w:rPr>
        <w:footnoteReference w:id="2"/>
      </w:r>
      <w:r w:rsidR="00383BAC">
        <w:t xml:space="preserve">  </w:t>
      </w:r>
      <w:r w:rsidR="00C2017F">
        <w:t>He claims</w:t>
      </w:r>
      <w:r w:rsidR="00383BAC">
        <w:t xml:space="preserve"> </w:t>
      </w:r>
      <w:r w:rsidR="002138A2">
        <w:t>S</w:t>
      </w:r>
      <w:r w:rsidR="00ED5AE1">
        <w:t xml:space="preserve">enate </w:t>
      </w:r>
      <w:r w:rsidR="002138A2">
        <w:t>B</w:t>
      </w:r>
      <w:r w:rsidR="00ED5AE1">
        <w:t>ill</w:t>
      </w:r>
      <w:r w:rsidR="002138A2">
        <w:t xml:space="preserve"> 81</w:t>
      </w:r>
      <w:r w:rsidR="00101FD9">
        <w:t xml:space="preserve"> </w:t>
      </w:r>
      <w:r w:rsidR="002138A2">
        <w:t xml:space="preserve">categorically </w:t>
      </w:r>
      <w:r w:rsidR="00383BAC">
        <w:t>compel</w:t>
      </w:r>
      <w:r w:rsidR="00C2017F">
        <w:t>s</w:t>
      </w:r>
      <w:r w:rsidR="00383BAC">
        <w:t xml:space="preserve"> sentencing courts to dismiss enhancements</w:t>
      </w:r>
      <w:r w:rsidR="00C2017F">
        <w:t xml:space="preserve"> under specified circumstances</w:t>
      </w:r>
      <w:r w:rsidR="00383BAC">
        <w:t xml:space="preserve">, </w:t>
      </w:r>
      <w:r w:rsidR="00C2017F">
        <w:t xml:space="preserve">applicable to his elevated </w:t>
      </w:r>
      <w:r w:rsidR="00383BAC">
        <w:t>sentence.</w:t>
      </w:r>
      <w:r w:rsidR="002138A2">
        <w:t xml:space="preserve">  Alternatively, he asserts S</w:t>
      </w:r>
      <w:r w:rsidR="00ED5AE1">
        <w:t xml:space="preserve">enate </w:t>
      </w:r>
      <w:r w:rsidR="002138A2">
        <w:t>B</w:t>
      </w:r>
      <w:r w:rsidR="00ED5AE1">
        <w:t>ill </w:t>
      </w:r>
      <w:r w:rsidR="002138A2">
        <w:t xml:space="preserve">81 greatly limits sentencing courts’ discretion not to strike enhancements under </w:t>
      </w:r>
      <w:r w:rsidR="00C2017F">
        <w:t>specified</w:t>
      </w:r>
      <w:r w:rsidR="002138A2">
        <w:t xml:space="preserve"> circumstances, and he argues the court’s refusal to dismiss his elevated sentence was an abuse of discretion under this new legislation.</w:t>
      </w:r>
    </w:p>
    <w:p w:rsidR="002138A2" w:rsidP="00C2017F" w14:paraId="668F6C23" w14:textId="0B4E09CB">
      <w:pPr>
        <w:pStyle w:val="Body"/>
      </w:pPr>
      <w:r>
        <w:t xml:space="preserve">As explained below, we </w:t>
      </w:r>
      <w:r w:rsidR="00C06E14">
        <w:t>hold</w:t>
      </w:r>
      <w:r>
        <w:t xml:space="preserve"> that </w:t>
      </w:r>
      <w:r w:rsidR="004E5013">
        <w:t xml:space="preserve">by its terms, </w:t>
      </w:r>
      <w:r>
        <w:t>S</w:t>
      </w:r>
      <w:r w:rsidR="00ED5AE1">
        <w:t xml:space="preserve">enate </w:t>
      </w:r>
      <w:r>
        <w:t>B</w:t>
      </w:r>
      <w:r w:rsidR="00ED5AE1">
        <w:t>ill</w:t>
      </w:r>
      <w:r>
        <w:t xml:space="preserve"> 81 applies only to enhancements—additional terms of imprisonment added to the base term</w:t>
      </w:r>
      <w:r w:rsidR="00C2017F">
        <w:t>.  As McDowell concedes, s</w:t>
      </w:r>
      <w:r>
        <w:t>ection 236.1(c)(2) provides an alternative punishment for the underlying offense</w:t>
      </w:r>
      <w:r w:rsidR="00C2017F">
        <w:t xml:space="preserve"> and is therefore not an enhancement</w:t>
      </w:r>
      <w:r>
        <w:t>.</w:t>
      </w:r>
      <w:r w:rsidR="00C2017F">
        <w:t xml:space="preserve">  Thus, S</w:t>
      </w:r>
      <w:r w:rsidR="00ED5AE1">
        <w:t xml:space="preserve">enate </w:t>
      </w:r>
      <w:r w:rsidR="00C2017F">
        <w:t>B</w:t>
      </w:r>
      <w:r w:rsidR="00ED5AE1">
        <w:t>ill</w:t>
      </w:r>
      <w:r w:rsidR="00C2017F">
        <w:t xml:space="preserve"> 81 did not apply to McDowell’s elevated sentence under section 236.1(c)(2).</w:t>
      </w:r>
      <w:r>
        <w:rPr>
          <w:rStyle w:val="FootnoteReference"/>
        </w:rPr>
        <w:footnoteReference w:id="3"/>
      </w:r>
      <w:r w:rsidR="00C06E14">
        <w:t xml:space="preserve">  Accordingly, we affirm.</w:t>
      </w:r>
    </w:p>
    <w:p w:rsidR="0096495D" w:rsidP="0096495D" w14:paraId="585E2E2D" w14:textId="40B7A422">
      <w:pPr>
        <w:pStyle w:val="Body"/>
        <w:ind w:firstLine="0"/>
        <w:jc w:val="center"/>
      </w:pPr>
      <w:r w:rsidRPr="003907EA">
        <w:t>FACTS</w:t>
      </w:r>
    </w:p>
    <w:p w:rsidR="00336B65" w:rsidRPr="00336B65" w:rsidP="00336B65" w14:paraId="72627F89" w14:textId="096EB4A4">
      <w:pPr>
        <w:pStyle w:val="Body"/>
        <w:ind w:firstLine="0"/>
        <w:rPr>
          <w:i/>
          <w:iCs/>
        </w:rPr>
      </w:pPr>
      <w:r>
        <w:t xml:space="preserve">I.  </w:t>
      </w:r>
      <w:r w:rsidRPr="007D36BA" w:rsidR="007D36BA">
        <w:rPr>
          <w:i/>
          <w:iCs/>
        </w:rPr>
        <w:t>McDowell’s Convictions and Initial Sentence</w:t>
      </w:r>
    </w:p>
    <w:p w:rsidR="00AB1454" w:rsidP="00AB1454" w14:paraId="02CCB963" w14:textId="3B994159">
      <w:pPr>
        <w:ind w:firstLine="1440"/>
      </w:pPr>
      <w:r w:rsidRPr="00AB1454">
        <w:t xml:space="preserve">In </w:t>
      </w:r>
      <w:r w:rsidR="00566D58">
        <w:t>2019</w:t>
      </w:r>
      <w:r>
        <w:t>, a jury convicted McDowell of human trafficking of a minor (</w:t>
      </w:r>
      <w:r w:rsidRPr="0067193B">
        <w:t>§ </w:t>
      </w:r>
      <w:r>
        <w:t>236.1(c)), rape (</w:t>
      </w:r>
      <w:r w:rsidR="0095109C">
        <w:t xml:space="preserve">Pen. Code, </w:t>
      </w:r>
      <w:r w:rsidRPr="0067193B">
        <w:t>§ </w:t>
      </w:r>
      <w:r>
        <w:t>261, subd. (a)(2)), and other offenses.  The jury also found true various sentencing allegations, including that McDowell used force</w:t>
      </w:r>
      <w:r w:rsidR="00566D58">
        <w:t>,</w:t>
      </w:r>
      <w:r>
        <w:t xml:space="preserve"> fear</w:t>
      </w:r>
      <w:r w:rsidR="00566D58">
        <w:t>,</w:t>
      </w:r>
      <w:r>
        <w:t xml:space="preserve"> </w:t>
      </w:r>
      <w:r w:rsidR="00566D58">
        <w:t xml:space="preserve">or other similar means </w:t>
      </w:r>
      <w:r>
        <w:t>to commit the human trafficking offense (</w:t>
      </w:r>
      <w:r w:rsidRPr="0067193B">
        <w:t>§ </w:t>
      </w:r>
      <w:r>
        <w:t>236.1(c)(2)), and was armed with a firearm in the commission of some of the offenses (</w:t>
      </w:r>
      <w:r w:rsidR="0095109C">
        <w:t xml:space="preserve">Pen. Code, </w:t>
      </w:r>
      <w:r w:rsidRPr="0067193B">
        <w:t>§ </w:t>
      </w:r>
      <w:r>
        <w:t xml:space="preserve">12022, subd. (a)(1)).  </w:t>
      </w:r>
    </w:p>
    <w:p w:rsidR="00AB1454" w:rsidP="004E5013" w14:paraId="55BDEA9D" w14:textId="6E648C99">
      <w:pPr>
        <w:ind w:firstLine="1440"/>
      </w:pPr>
      <w:r>
        <w:t xml:space="preserve">As relevant here, the trial court initially sentenced McDowell to </w:t>
      </w:r>
      <w:r w:rsidR="001F1B0D">
        <w:t>a total of 25</w:t>
      </w:r>
      <w:r>
        <w:t xml:space="preserve"> years to life in prison.  </w:t>
      </w:r>
      <w:r w:rsidR="003E693C">
        <w:t xml:space="preserve">This sentence included an indeterminate term of 15 years to life under the alternative penalty provision of section 236.1(c)(2), and a one-year firearm enhancement under </w:t>
      </w:r>
      <w:bookmarkStart w:id="1" w:name="_Hlk158201716"/>
      <w:r w:rsidR="0095109C">
        <w:t xml:space="preserve">Penal Code </w:t>
      </w:r>
      <w:bookmarkEnd w:id="1"/>
      <w:r w:rsidR="003E693C">
        <w:t>section 12022, subdivision (a)(1).</w:t>
      </w:r>
      <w:r>
        <w:rPr>
          <w:rStyle w:val="FootnoteReference"/>
        </w:rPr>
        <w:footnoteReference w:id="4"/>
      </w:r>
      <w:r w:rsidR="003E693C">
        <w:t xml:space="preserve">  </w:t>
      </w:r>
      <w:r>
        <w:t xml:space="preserve">On appeal, we remanded </w:t>
      </w:r>
      <w:r w:rsidR="004E5013">
        <w:t xml:space="preserve">for resentencing because of an </w:t>
      </w:r>
      <w:r w:rsidR="00C36FE0">
        <w:t>error not pertinent here</w:t>
      </w:r>
      <w:r>
        <w:t xml:space="preserve">.  </w:t>
      </w:r>
    </w:p>
    <w:p w:rsidR="00AB1454" w:rsidP="009A212E" w14:paraId="7E050034" w14:textId="21D2A479">
      <w:r w:rsidRPr="009A212E">
        <w:t xml:space="preserve">II.  </w:t>
      </w:r>
      <w:r w:rsidRPr="009A212E">
        <w:rPr>
          <w:i/>
          <w:iCs/>
        </w:rPr>
        <w:t>Resentencing</w:t>
      </w:r>
      <w:r w:rsidRPr="009A212E">
        <w:t xml:space="preserve"> </w:t>
      </w:r>
    </w:p>
    <w:p w:rsidR="002433CD" w:rsidP="004E5013" w14:paraId="12BC715B" w14:textId="2272B9FA">
      <w:pPr>
        <w:ind w:firstLine="1440"/>
      </w:pPr>
      <w:r>
        <w:t xml:space="preserve">On remand, McDowell argued that newly enacted </w:t>
      </w:r>
      <w:r w:rsidR="00ED5AE1">
        <w:t>Senate Bill 81</w:t>
      </w:r>
      <w:r w:rsidR="00C06E14">
        <w:t xml:space="preserve"> </w:t>
      </w:r>
      <w:r>
        <w:t>required the trial court to dismiss the elevated sentence of 15 years to life under section 236.1(c)(2), which he characterized as an “enhancement.”</w:t>
      </w:r>
      <w:r>
        <w:rPr>
          <w:rStyle w:val="FootnoteReference"/>
        </w:rPr>
        <w:footnoteReference w:id="5"/>
      </w:r>
      <w:r>
        <w:t xml:space="preserve"> </w:t>
      </w:r>
      <w:r w:rsidR="00980BE4">
        <w:t xml:space="preserve"> Alternatively, he contended </w:t>
      </w:r>
      <w:r w:rsidR="00E359B1">
        <w:t xml:space="preserve">that </w:t>
      </w:r>
      <w:r w:rsidR="00980BE4">
        <w:t xml:space="preserve">even if the court had discretion whether to dismiss this elevated sentence, </w:t>
      </w:r>
      <w:r w:rsidR="00ED5AE1">
        <w:t>Senate Bill 81</w:t>
      </w:r>
      <w:r w:rsidR="00980BE4">
        <w:t xml:space="preserve"> required it to afford great weight to </w:t>
      </w:r>
      <w:r w:rsidR="000D2211">
        <w:t xml:space="preserve">applicable mitigating circumstances listed in the statute.  </w:t>
      </w:r>
    </w:p>
    <w:p w:rsidR="00D537C6" w:rsidRPr="001F1B0D" w:rsidP="00AD4697" w14:paraId="5D88E59B" w14:textId="11253AD5">
      <w:pPr>
        <w:ind w:firstLine="1440"/>
        <w:rPr>
          <w:highlight w:val="magenta"/>
        </w:rPr>
      </w:pPr>
      <w:r>
        <w:t>The trial court declined to dismiss the elevated sentence</w:t>
      </w:r>
      <w:r w:rsidR="00DA5D11">
        <w:t xml:space="preserve"> under section 236.1(c)(2)</w:t>
      </w:r>
      <w:r>
        <w:t xml:space="preserve">.  </w:t>
      </w:r>
      <w:r w:rsidR="00A95CFE">
        <w:t>The court</w:t>
      </w:r>
      <w:r>
        <w:t xml:space="preserve"> concluded </w:t>
      </w:r>
      <w:r w:rsidR="00ED5AE1">
        <w:t>Senate Bill 81</w:t>
      </w:r>
      <w:r>
        <w:t xml:space="preserve"> </w:t>
      </w:r>
      <w:r w:rsidR="00A95CFE">
        <w:t xml:space="preserve">did not </w:t>
      </w:r>
      <w:r w:rsidR="00AD4697">
        <w:t xml:space="preserve">categorically </w:t>
      </w:r>
      <w:r w:rsidR="00A95CFE">
        <w:t xml:space="preserve">require it to dismiss any enhancement. </w:t>
      </w:r>
      <w:r w:rsidR="00DA5D11">
        <w:t xml:space="preserve"> And it found that dismissing McDowell’s elevated sentence would endanger public safety, stating it had “grave concerns” in light of McDowell’s violent and coercive conduct against </w:t>
      </w:r>
      <w:r w:rsidR="00AD4697">
        <w:t>his</w:t>
      </w:r>
      <w:r w:rsidR="00DA5D11">
        <w:t xml:space="preserve"> minor victim over a lengthy period.  Thus, the court sentenced McDowell to </w:t>
      </w:r>
      <w:r w:rsidR="001F1B0D">
        <w:t>a total of 23</w:t>
      </w:r>
      <w:r w:rsidRPr="00AB1454" w:rsidR="00AB1454">
        <w:t xml:space="preserve"> years to life </w:t>
      </w:r>
      <w:r w:rsidR="001F1B0D">
        <w:t>in prison, which included the elevated sentence and the</w:t>
      </w:r>
      <w:r w:rsidRPr="00AB1454" w:rsidR="00AB1454">
        <w:t xml:space="preserve"> one-year firearm enhancement</w:t>
      </w:r>
      <w:r w:rsidR="00AD4697">
        <w:t>, among other elements</w:t>
      </w:r>
      <w:r w:rsidR="001F1B0D">
        <w:t>.</w:t>
      </w:r>
      <w:r>
        <w:rPr>
          <w:rStyle w:val="FootnoteReference"/>
        </w:rPr>
        <w:footnoteReference w:id="6"/>
      </w:r>
      <w:r w:rsidR="001F1B0D">
        <w:t xml:space="preserve">  It also </w:t>
      </w:r>
      <w:r w:rsidR="00AD4697">
        <w:t>corrected the error that triggered the resentencing</w:t>
      </w:r>
      <w:r w:rsidR="001F1B0D">
        <w:t xml:space="preserve">.  McDowell timely appealed. </w:t>
      </w:r>
    </w:p>
    <w:p w:rsidR="0096495D" w:rsidP="00C06E14" w14:paraId="45BB5EA1" w14:textId="1E176889">
      <w:pPr>
        <w:pStyle w:val="Body"/>
        <w:keepNext/>
        <w:ind w:firstLine="0"/>
        <w:jc w:val="center"/>
      </w:pPr>
      <w:r>
        <w:t>DISCUSSION</w:t>
      </w:r>
    </w:p>
    <w:p w:rsidR="004154CD" w:rsidP="007D36BA" w14:paraId="334DFE54" w14:textId="7B80E7F1">
      <w:pPr>
        <w:pStyle w:val="Body"/>
      </w:pPr>
      <w:r>
        <w:t xml:space="preserve">McDowell contends the trial court erred </w:t>
      </w:r>
      <w:r w:rsidR="00A34E14">
        <w:t>by</w:t>
      </w:r>
      <w:r>
        <w:t xml:space="preserve"> failing to dismiss his elevated punishment under section 236.1(c)(2).  He asserts </w:t>
      </w:r>
      <w:r w:rsidR="007D36BA">
        <w:t xml:space="preserve">that </w:t>
      </w:r>
      <w:r w:rsidR="00ED5AE1">
        <w:t>Senate Bill 81</w:t>
      </w:r>
      <w:r w:rsidR="007D36BA">
        <w:t xml:space="preserve"> </w:t>
      </w:r>
      <w:r>
        <w:t>required the court to strike this heightened penalty, either as a categorical mandate or because it was an abuse of discretion not to do so in his case</w:t>
      </w:r>
      <w:r w:rsidR="002277E3">
        <w:t xml:space="preserve"> </w:t>
      </w:r>
      <w:r w:rsidR="00B43AE1">
        <w:t>given</w:t>
      </w:r>
      <w:r w:rsidR="002277E3">
        <w:t xml:space="preserve"> the new legislation</w:t>
      </w:r>
      <w:r>
        <w:t xml:space="preserve">.  </w:t>
      </w:r>
    </w:p>
    <w:p w:rsidR="004154CD" w:rsidP="007D36BA" w14:paraId="19A20965" w14:textId="51371AFD">
      <w:pPr>
        <w:pStyle w:val="Body"/>
      </w:pPr>
      <w:r>
        <w:t xml:space="preserve">The Attorney General responds that </w:t>
      </w:r>
      <w:r w:rsidR="00ED5AE1">
        <w:t>Senate Bill 81</w:t>
      </w:r>
      <w:r>
        <w:t xml:space="preserve"> applies only to enhancements—additional terms of imprisonment added to the base term—and thus does not apply to the penalty provision in section 236.1(c)(2), which provides an alternative punishment for the underlying offense.  As explained below, we agree with the Attorney General and therefore affirm.</w:t>
      </w:r>
      <w:r>
        <w:rPr>
          <w:rStyle w:val="FootnoteReference"/>
        </w:rPr>
        <w:footnoteReference w:id="7"/>
      </w:r>
      <w:r>
        <w:t xml:space="preserve"> </w:t>
      </w:r>
    </w:p>
    <w:p w:rsidR="00D339A0" w:rsidP="006B2747" w14:paraId="3FB48D27" w14:textId="0E096630">
      <w:pPr>
        <w:pStyle w:val="Body"/>
        <w:keepNext/>
        <w:ind w:firstLine="0"/>
      </w:pPr>
      <w:r>
        <w:t xml:space="preserve">I.  </w:t>
      </w:r>
      <w:r w:rsidR="00D537C6">
        <w:rPr>
          <w:i/>
          <w:iCs/>
        </w:rPr>
        <w:t>Governing Principles</w:t>
      </w:r>
    </w:p>
    <w:p w:rsidR="002C577D" w:rsidRPr="002C577D" w:rsidP="006B2747" w14:paraId="0AB07186" w14:textId="6F7DA51F">
      <w:pPr>
        <w:pStyle w:val="Body"/>
        <w:keepNext/>
        <w:ind w:firstLine="0"/>
      </w:pPr>
      <w:r>
        <w:t xml:space="preserve">A.  </w:t>
      </w:r>
      <w:r w:rsidR="00ED5AE1">
        <w:rPr>
          <w:i/>
          <w:iCs/>
        </w:rPr>
        <w:t>Senate Bill 81</w:t>
      </w:r>
    </w:p>
    <w:p w:rsidR="007E4829" w:rsidP="00FB2B0A" w14:paraId="38F05A0B" w14:textId="0409592C">
      <w:pPr>
        <w:pStyle w:val="Body"/>
      </w:pPr>
      <w:r>
        <w:t>Enacted i</w:t>
      </w:r>
      <w:r w:rsidR="003F4249">
        <w:t xml:space="preserve">n </w:t>
      </w:r>
      <w:r w:rsidRPr="002138A2" w:rsidR="003F4249">
        <w:t xml:space="preserve">2021, </w:t>
      </w:r>
      <w:r w:rsidR="00ED5AE1">
        <w:t>Senate Bill 81</w:t>
      </w:r>
      <w:r w:rsidRPr="002138A2" w:rsidR="003F4249">
        <w:t xml:space="preserve"> amended </w:t>
      </w:r>
      <w:r w:rsidR="0095109C">
        <w:t xml:space="preserve">Penal Code </w:t>
      </w:r>
      <w:r w:rsidRPr="002138A2" w:rsidR="003F4249">
        <w:t xml:space="preserve">section 1385 to </w:t>
      </w:r>
      <w:r w:rsidRPr="002138A2" w:rsidR="0059519B">
        <w:t>guide</w:t>
      </w:r>
      <w:r w:rsidRPr="002138A2" w:rsidR="003F4249">
        <w:t xml:space="preserve"> sentencing courts</w:t>
      </w:r>
      <w:r w:rsidRPr="002138A2" w:rsidR="0059519B">
        <w:t xml:space="preserve"> in deciding whether</w:t>
      </w:r>
      <w:r w:rsidRPr="002138A2" w:rsidR="003F4249">
        <w:t xml:space="preserve"> to </w:t>
      </w:r>
      <w:r w:rsidRPr="002138A2">
        <w:t xml:space="preserve">dismiss </w:t>
      </w:r>
      <w:r w:rsidRPr="002138A2" w:rsidR="003F4249">
        <w:t>an enhancement</w:t>
      </w:r>
      <w:r w:rsidRPr="002138A2">
        <w:t xml:space="preserve">. </w:t>
      </w:r>
      <w:r w:rsidRPr="002138A2" w:rsidR="00861C6C">
        <w:t xml:space="preserve"> </w:t>
      </w:r>
      <w:r w:rsidRPr="002138A2" w:rsidR="0059519B">
        <w:t>(</w:t>
      </w:r>
      <w:r w:rsidRPr="002138A2" w:rsidR="0059519B">
        <w:rPr>
          <w:i/>
          <w:iCs/>
        </w:rPr>
        <w:t>People v. Lipscomb</w:t>
      </w:r>
      <w:r w:rsidRPr="002138A2" w:rsidR="0059519B">
        <w:t xml:space="preserve"> (2022</w:t>
      </w:r>
      <w:r w:rsidR="0059519B">
        <w:t xml:space="preserve">) 87 Cal.App.5th 9, 16.)  </w:t>
      </w:r>
      <w:r w:rsidR="00AC6751">
        <w:t xml:space="preserve">Under new </w:t>
      </w:r>
      <w:r w:rsidR="00555F3F">
        <w:t>section 1385</w:t>
      </w:r>
      <w:r w:rsidR="00AC6751">
        <w:t xml:space="preserve">(c), </w:t>
      </w:r>
      <w:r w:rsidRPr="00AC6751" w:rsidR="00AC6751">
        <w:t>a court “shall dismiss an enhancement if it is in the furtherance of justice to do so</w:t>
      </w:r>
      <w:r w:rsidR="00FB2B0A">
        <w:t>, except if dismissal of that enhancement is prohibited by any initiative statute.</w:t>
      </w:r>
      <w:r w:rsidRPr="00AC6751" w:rsidR="00AC6751">
        <w:t xml:space="preserve">” </w:t>
      </w:r>
      <w:r w:rsidR="00AC6751">
        <w:t xml:space="preserve"> </w:t>
      </w:r>
      <w:r w:rsidRPr="00AC6751" w:rsidR="00AC6751">
        <w:t>(§</w:t>
      </w:r>
      <w:r w:rsidR="00AC6751">
        <w:t> </w:t>
      </w:r>
      <w:r w:rsidRPr="00AC6751" w:rsidR="00AC6751">
        <w:t>1385(c)(1)</w:t>
      </w:r>
      <w:r w:rsidR="00AD3F84">
        <w:t>.</w:t>
      </w:r>
      <w:r w:rsidRPr="00AC6751" w:rsidR="00AC6751">
        <w:t xml:space="preserve">) </w:t>
      </w:r>
      <w:r w:rsidR="00AD3F84">
        <w:t xml:space="preserve"> </w:t>
      </w:r>
      <w:r w:rsidR="00AC6751">
        <w:t>I</w:t>
      </w:r>
      <w:r w:rsidR="00413E51">
        <w:t>n</w:t>
      </w:r>
      <w:r w:rsidRPr="00AC6751" w:rsidR="00AC6751">
        <w:t xml:space="preserve"> </w:t>
      </w:r>
      <w:r w:rsidR="00413E51">
        <w:t>deciding whether to strike the enhancement</w:t>
      </w:r>
      <w:r w:rsidRPr="00AC6751" w:rsidR="00AC6751">
        <w:t xml:space="preserve">, “the court shall consider and afford great weight to evidence </w:t>
      </w:r>
      <w:r w:rsidR="00413E51">
        <w:t>. . .</w:t>
      </w:r>
      <w:r w:rsidRPr="00AC6751" w:rsidR="00AC6751">
        <w:t xml:space="preserve"> that any of [nine enumerated] mitigating circumstances </w:t>
      </w:r>
      <w:r w:rsidR="00413E51">
        <w:t>. . .</w:t>
      </w:r>
      <w:r w:rsidRPr="00AC6751" w:rsidR="00AC6751">
        <w:t xml:space="preserve"> are present</w:t>
      </w:r>
      <w:r w:rsidR="00413E51">
        <w:t>.</w:t>
      </w:r>
      <w:r w:rsidRPr="00AC6751" w:rsidR="00AC6751">
        <w:t>”</w:t>
      </w:r>
      <w:r>
        <w:rPr>
          <w:rStyle w:val="FootnoteReference"/>
        </w:rPr>
        <w:footnoteReference w:id="8"/>
      </w:r>
      <w:r w:rsidRPr="00AC6751" w:rsidR="00AC6751">
        <w:t xml:space="preserve"> </w:t>
      </w:r>
      <w:r w:rsidR="00413E51">
        <w:t xml:space="preserve"> </w:t>
      </w:r>
      <w:r w:rsidRPr="00AC6751" w:rsidR="00AC6751">
        <w:t>(</w:t>
      </w:r>
      <w:r w:rsidRPr="0067193B" w:rsidR="00413E51">
        <w:t>§ </w:t>
      </w:r>
      <w:r w:rsidR="00413E51">
        <w:t>1385</w:t>
      </w:r>
      <w:r w:rsidRPr="00AC6751" w:rsidR="00AC6751">
        <w:t>(c)(2)</w:t>
      </w:r>
      <w:r w:rsidR="00836258">
        <w:t>.</w:t>
      </w:r>
      <w:r w:rsidRPr="00AC6751" w:rsidR="00AC6751">
        <w:t xml:space="preserve">) </w:t>
      </w:r>
      <w:r w:rsidR="00413E51">
        <w:t xml:space="preserve"> </w:t>
      </w:r>
      <w:r w:rsidRPr="00AC6751" w:rsidR="00AC6751">
        <w:t>“Proof of the presence of one or more of these circumstances weighs greatly in favor of dismissing the enhancement, unless the court finds that dismissal of the enhancement would endanger public safety.” (</w:t>
      </w:r>
      <w:r w:rsidRPr="00413E51" w:rsidR="00AC6751">
        <w:rPr>
          <w:i/>
          <w:iCs/>
        </w:rPr>
        <w:t>Ibid.</w:t>
      </w:r>
      <w:r w:rsidRPr="00AC6751" w:rsidR="00AC6751">
        <w:t>)</w:t>
      </w:r>
      <w:r w:rsidR="00555F3F">
        <w:t xml:space="preserve">  </w:t>
      </w:r>
      <w:r w:rsidR="00413E51">
        <w:t>Alongside two of the enumerated circumstances, the Legislature included additional</w:t>
      </w:r>
      <w:r w:rsidR="00836258">
        <w:t>, mandatory</w:t>
      </w:r>
      <w:r w:rsidR="00413E51">
        <w:t xml:space="preserve"> language:  </w:t>
      </w:r>
      <w:r w:rsidR="001F2D58">
        <w:t>when m</w:t>
      </w:r>
      <w:r w:rsidRPr="001F2D58" w:rsidR="001F2D58">
        <w:t>ultiple enhancements are alleged</w:t>
      </w:r>
      <w:r w:rsidR="001F2D58">
        <w:t>,</w:t>
      </w:r>
      <w:r w:rsidRPr="001F2D58" w:rsidR="001F2D58">
        <w:t xml:space="preserve"> </w:t>
      </w:r>
      <w:r w:rsidR="001F2D58">
        <w:t>“</w:t>
      </w:r>
      <w:r w:rsidRPr="001F2D58" w:rsidR="001F2D58">
        <w:t>all enhancements beyond a single enhancement shall be dismissed</w:t>
      </w:r>
      <w:r w:rsidR="001F2D58">
        <w:t>” (</w:t>
      </w:r>
      <w:r w:rsidRPr="0067193B" w:rsidR="001F2D58">
        <w:t>§ </w:t>
      </w:r>
      <w:r w:rsidR="001F2D58">
        <w:t>138</w:t>
      </w:r>
      <w:r w:rsidR="002C577D">
        <w:t>5</w:t>
      </w:r>
      <w:r w:rsidR="001F2D58">
        <w:t xml:space="preserve">(c)(2)(B)), and when </w:t>
      </w:r>
      <w:r w:rsidRPr="001F2D58" w:rsidR="001F2D58">
        <w:t>an enhancement could result in a sentence of over 20 years</w:t>
      </w:r>
      <w:r w:rsidR="002C577D">
        <w:t>, “the enhancement shall be dismissed” (</w:t>
      </w:r>
      <w:r w:rsidRPr="0067193B" w:rsidR="002C577D">
        <w:t>§ </w:t>
      </w:r>
      <w:r w:rsidR="002C577D">
        <w:t>1385(c)(2)(C)).</w:t>
      </w:r>
      <w:r>
        <w:t xml:space="preserve">  </w:t>
      </w:r>
    </w:p>
    <w:p w:rsidR="00AD3F84" w:rsidRPr="002C577D" w:rsidP="00BB5E85" w14:paraId="04A06ED6" w14:textId="140C68ED">
      <w:pPr>
        <w:pStyle w:val="Body"/>
        <w:keepNext/>
        <w:ind w:firstLine="0"/>
      </w:pPr>
      <w:r>
        <w:t xml:space="preserve">B.  </w:t>
      </w:r>
      <w:r>
        <w:rPr>
          <w:i/>
          <w:iCs/>
        </w:rPr>
        <w:t>Penalt</w:t>
      </w:r>
      <w:r w:rsidR="00BB5E85">
        <w:rPr>
          <w:i/>
          <w:iCs/>
        </w:rPr>
        <w:t>ies</w:t>
      </w:r>
      <w:r>
        <w:rPr>
          <w:i/>
          <w:iCs/>
        </w:rPr>
        <w:t xml:space="preserve"> for Human Trafficking </w:t>
      </w:r>
      <w:r w:rsidR="00BB5E85">
        <w:rPr>
          <w:i/>
          <w:iCs/>
        </w:rPr>
        <w:t>of a Minor Under Section 236.1(c)</w:t>
      </w:r>
    </w:p>
    <w:p w:rsidR="006F6C0B" w:rsidP="00BC56AA" w14:paraId="6E1E8E47" w14:textId="18EB814A">
      <w:pPr>
        <w:pStyle w:val="Body"/>
      </w:pPr>
      <w:r w:rsidRPr="00BB5E85">
        <w:t xml:space="preserve">Section 236.1 proscribes </w:t>
      </w:r>
      <w:r w:rsidR="00C15DAE">
        <w:t xml:space="preserve">and sets forth </w:t>
      </w:r>
      <w:r w:rsidR="00602926">
        <w:t xml:space="preserve">the penalties for </w:t>
      </w:r>
      <w:r w:rsidRPr="00BB5E85">
        <w:t xml:space="preserve">different </w:t>
      </w:r>
      <w:r w:rsidR="005A0A2D">
        <w:t>kinds</w:t>
      </w:r>
      <w:r w:rsidRPr="00BB5E85">
        <w:t xml:space="preserve"> of human trafficking</w:t>
      </w:r>
      <w:r w:rsidR="00BB12A2">
        <w:t xml:space="preserve"> offenses</w:t>
      </w:r>
      <w:r w:rsidR="005A0A2D">
        <w:t xml:space="preserve">.  As relevant here, section 236.1(c), which deals with </w:t>
      </w:r>
      <w:r w:rsidRPr="005A0A2D" w:rsidR="005A0A2D">
        <w:t xml:space="preserve">causing </w:t>
      </w:r>
      <w:r w:rsidR="005A0A2D">
        <w:t>a</w:t>
      </w:r>
      <w:r w:rsidRPr="005A0A2D" w:rsidR="005A0A2D">
        <w:t xml:space="preserve"> minor to engage in a commercial sex act</w:t>
      </w:r>
      <w:r w:rsidR="005A0A2D">
        <w:t>, provides for a sentence of 5, 8, or 12 years.  (</w:t>
      </w:r>
      <w:r w:rsidRPr="0067193B" w:rsidR="005A0A2D">
        <w:t>§ </w:t>
      </w:r>
      <w:r w:rsidR="005A0A2D">
        <w:t xml:space="preserve">236.1(c)(1).)  But when </w:t>
      </w:r>
      <w:r w:rsidR="006A0705">
        <w:t xml:space="preserve">a </w:t>
      </w:r>
      <w:r w:rsidR="002349BF">
        <w:t>perpetrator</w:t>
      </w:r>
      <w:r w:rsidR="005A0A2D">
        <w:t xml:space="preserve"> </w:t>
      </w:r>
      <w:r w:rsidR="00602926">
        <w:t>use</w:t>
      </w:r>
      <w:r w:rsidR="00765E3B">
        <w:t>s</w:t>
      </w:r>
      <w:r w:rsidR="00602926">
        <w:t xml:space="preserve"> </w:t>
      </w:r>
      <w:r w:rsidRPr="005A0A2D" w:rsidR="005A0A2D">
        <w:t xml:space="preserve">force, fear, </w:t>
      </w:r>
      <w:r w:rsidR="00C15DAE">
        <w:t xml:space="preserve">or one of several other </w:t>
      </w:r>
      <w:r w:rsidR="00602926">
        <w:t xml:space="preserve">aggravating </w:t>
      </w:r>
      <w:r w:rsidR="002349BF">
        <w:t xml:space="preserve">means to accomplish </w:t>
      </w:r>
      <w:r w:rsidR="006A0705">
        <w:t>his or her</w:t>
      </w:r>
      <w:r w:rsidR="002349BF">
        <w:t xml:space="preserve"> aims</w:t>
      </w:r>
      <w:r w:rsidR="00C15DAE">
        <w:t xml:space="preserve">, </w:t>
      </w:r>
      <w:r w:rsidR="00836258">
        <w:t>subdivision (c)(2)</w:t>
      </w:r>
      <w:r w:rsidR="00602926">
        <w:t xml:space="preserve"> provides for a </w:t>
      </w:r>
      <w:r w:rsidR="005C681E">
        <w:t xml:space="preserve">harsher </w:t>
      </w:r>
      <w:r w:rsidR="00602926">
        <w:t xml:space="preserve">sentence of 15 years to life. </w:t>
      </w:r>
      <w:r w:rsidR="00C15DAE">
        <w:t xml:space="preserve"> </w:t>
      </w:r>
      <w:r w:rsidR="00602926">
        <w:t>(</w:t>
      </w:r>
      <w:r w:rsidRPr="0067193B" w:rsidR="00602926">
        <w:t>§ </w:t>
      </w:r>
      <w:r w:rsidR="00602926">
        <w:t>236.1(c)(2).)</w:t>
      </w:r>
      <w:r w:rsidR="00BC56AA">
        <w:t xml:space="preserve">  </w:t>
      </w:r>
    </w:p>
    <w:p w:rsidR="00BC56AA" w:rsidRPr="002C577D" w:rsidP="00BC56AA" w14:paraId="1F3CC7F0" w14:textId="53E13D42">
      <w:pPr>
        <w:pStyle w:val="Body"/>
        <w:keepNext/>
        <w:ind w:firstLine="0"/>
      </w:pPr>
      <w:r>
        <w:t xml:space="preserve">C.  </w:t>
      </w:r>
      <w:r w:rsidRPr="00BC56AA">
        <w:rPr>
          <w:i/>
          <w:iCs/>
        </w:rPr>
        <w:t>Standard of Review and Principles of</w:t>
      </w:r>
      <w:r>
        <w:t xml:space="preserve"> </w:t>
      </w:r>
      <w:r>
        <w:rPr>
          <w:i/>
          <w:iCs/>
        </w:rPr>
        <w:t>Statutory Interpretation</w:t>
      </w:r>
    </w:p>
    <w:p w:rsidR="006A0705" w:rsidP="006A0705" w14:paraId="0418E9DF" w14:textId="0C3FA81D">
      <w:pPr>
        <w:pStyle w:val="Body"/>
      </w:pPr>
      <w:r>
        <w:t xml:space="preserve">Whether </w:t>
      </w:r>
      <w:r w:rsidR="00ED5AE1">
        <w:t>Senate Bill 81</w:t>
      </w:r>
      <w:r>
        <w:t xml:space="preserve"> applies to a sentence under section 236.1(c)(2) is a question of statutory interpretation, which we review de novo.  (</w:t>
      </w:r>
      <w:r w:rsidRPr="002163F1">
        <w:rPr>
          <w:i/>
          <w:iCs/>
        </w:rPr>
        <w:t xml:space="preserve">People v. Tirado </w:t>
      </w:r>
      <w:r w:rsidRPr="002163F1">
        <w:t>(2022) 12 Cal.5th 688, 694.)</w:t>
      </w:r>
      <w:r w:rsidR="00AA6B8F">
        <w:t xml:space="preserve">  “‘[I]n construing a statute, a court [must] ascertain the intent of the Legislature so as to effectuate the purpose of the law.’  [Citation.]  In determining that intent, we first examine the words of the respective statutes:  ‘If there is no ambiguity in the language of the statute, “then the Legislature is presumed to have meant what it said, and the plain meaning of the language governs.”  [Citation.]’”  (</w:t>
      </w:r>
      <w:r w:rsidRPr="00AA6B8F" w:rsidR="00AA6B8F">
        <w:rPr>
          <w:i/>
          <w:iCs/>
        </w:rPr>
        <w:t>People v. Coronado</w:t>
      </w:r>
      <w:r w:rsidR="00AA6B8F">
        <w:t xml:space="preserve"> (1995) 12 Cal.4th 145, 151.)  </w:t>
      </w:r>
      <w:r>
        <w:t>“If, however, the terms of a statute provide no definitive answer, then courts may resort to extrinsic sources, including the ostensible objects to be achieved and the legislative history.  [Citation.]”  (</w:t>
      </w:r>
      <w:r>
        <w:rPr>
          <w:i/>
          <w:iCs/>
        </w:rPr>
        <w:t>Ibid.</w:t>
      </w:r>
      <w:r>
        <w:t xml:space="preserve">)  </w:t>
      </w:r>
    </w:p>
    <w:p w:rsidR="00BC6B02" w:rsidP="00C631D9" w14:paraId="33BC4B21" w14:textId="419CAB09">
      <w:pPr>
        <w:pStyle w:val="Body"/>
      </w:pPr>
      <w:r>
        <w:t xml:space="preserve">“When . . . a term has developed a particular meaning in the law, we generally presume the legislative body used the term in that sense rather than relying on ordinary usage.  ‘It is a well-recognized rule of construction that after the courts have construed the meaning of any particular word, or expression, and the legislature subsequently undertakes to use these exact words in the same connection, the presumption is almost irresistible that it </w:t>
      </w:r>
      <w:r w:rsidRPr="002163F1">
        <w:t>used them in the precise and technical sense which had been placed upon them by the courts.’</w:t>
      </w:r>
      <w:r w:rsidR="00B43AE1">
        <w:t xml:space="preserve">  [Citations.]</w:t>
      </w:r>
      <w:r w:rsidRPr="002163F1">
        <w:t>”  (</w:t>
      </w:r>
      <w:r w:rsidRPr="002163F1">
        <w:rPr>
          <w:i/>
          <w:iCs/>
        </w:rPr>
        <w:t>In re Friend</w:t>
      </w:r>
      <w:r w:rsidRPr="002163F1" w:rsidR="002163F1">
        <w:t xml:space="preserve"> (20</w:t>
      </w:r>
      <w:r w:rsidR="00B43AE1">
        <w:t>2</w:t>
      </w:r>
      <w:r w:rsidRPr="002163F1" w:rsidR="002163F1">
        <w:t>1)</w:t>
      </w:r>
      <w:r w:rsidRPr="002163F1">
        <w:t xml:space="preserve"> 11</w:t>
      </w:r>
      <w:r w:rsidR="00A34E14">
        <w:t> </w:t>
      </w:r>
      <w:r w:rsidRPr="002163F1">
        <w:t xml:space="preserve">Cal.5th </w:t>
      </w:r>
      <w:r w:rsidRPr="002163F1" w:rsidR="002163F1">
        <w:t xml:space="preserve">720, </w:t>
      </w:r>
      <w:r w:rsidRPr="002163F1">
        <w:t>730</w:t>
      </w:r>
      <w:r w:rsidRPr="002163F1" w:rsidR="00C631D9">
        <w:t xml:space="preserve">.)  </w:t>
      </w:r>
      <w:r w:rsidR="0095109C">
        <w:t>Penal Code s</w:t>
      </w:r>
      <w:r w:rsidRPr="002163F1" w:rsidR="00C631D9">
        <w:t>ection 7, subdivision (16), similarly instructs</w:t>
      </w:r>
      <w:r w:rsidR="00C631D9">
        <w:t xml:space="preserve">, </w:t>
      </w:r>
      <w:r>
        <w:t>“Words and phrases . . . as may have acquired a peculiar and appropriate meaning in law, must be construed according to such peculiar and appropriate meaning</w:t>
      </w:r>
      <w:r w:rsidR="00C631D9">
        <w:t>.</w:t>
      </w:r>
      <w:r>
        <w:t>”</w:t>
      </w:r>
    </w:p>
    <w:p w:rsidR="00592BFB" w:rsidP="00592BFB" w14:paraId="1A5DA6A0" w14:textId="62BA63CE">
      <w:pPr>
        <w:pStyle w:val="Body"/>
        <w:ind w:firstLine="0"/>
      </w:pPr>
      <w:r>
        <w:t xml:space="preserve">II.  </w:t>
      </w:r>
      <w:r w:rsidR="00D537C6">
        <w:rPr>
          <w:i/>
          <w:iCs/>
        </w:rPr>
        <w:t>Analysis</w:t>
      </w:r>
    </w:p>
    <w:p w:rsidR="009B32C3" w:rsidP="002163F1" w14:paraId="78287D20" w14:textId="59149872">
      <w:pPr>
        <w:pStyle w:val="Body"/>
      </w:pPr>
      <w:r w:rsidRPr="00803886">
        <w:t xml:space="preserve">We agree with the Attorney General that </w:t>
      </w:r>
      <w:r w:rsidR="00ED5AE1">
        <w:t>Senate Bill 81</w:t>
      </w:r>
      <w:r w:rsidR="0096095B">
        <w:t xml:space="preserve"> </w:t>
      </w:r>
      <w:r>
        <w:t>does</w:t>
      </w:r>
      <w:r w:rsidRPr="00803886" w:rsidR="00154C29">
        <w:t xml:space="preserve"> not apply to McDowell’s sentence under section 236.1(c)(2).</w:t>
      </w:r>
      <w:r>
        <w:t xml:space="preserve"> </w:t>
      </w:r>
      <w:r w:rsidR="00B67260">
        <w:t xml:space="preserve"> </w:t>
      </w:r>
      <w:r w:rsidR="006A0705">
        <w:t xml:space="preserve">By its terms, section 1385(c) applies only to an “enhancement.”  </w:t>
      </w:r>
      <w:r w:rsidR="00006534">
        <w:t>(</w:t>
      </w:r>
      <w:r w:rsidRPr="00B43AE1" w:rsidR="00B43AE1">
        <w:t>A</w:t>
      </w:r>
      <w:r w:rsidR="00006534">
        <w:t xml:space="preserve">ccord, </w:t>
      </w:r>
      <w:r w:rsidRPr="001B75B6" w:rsidR="00006534">
        <w:rPr>
          <w:i/>
          <w:iCs/>
        </w:rPr>
        <w:t>People v. Burke</w:t>
      </w:r>
      <w:r w:rsidR="00006534">
        <w:t xml:space="preserve"> (2023) 89 Cal.App.5th 237, 243 (</w:t>
      </w:r>
      <w:r w:rsidRPr="00103F8D" w:rsidR="00006534">
        <w:rPr>
          <w:i/>
          <w:iCs/>
        </w:rPr>
        <w:t>Burke</w:t>
      </w:r>
      <w:r w:rsidR="00006534">
        <w:t>)</w:t>
      </w:r>
      <w:r w:rsidR="002163F1">
        <w:t xml:space="preserve">.)  </w:t>
      </w:r>
      <w:r w:rsidR="006A0705">
        <w:t>“</w:t>
      </w:r>
      <w:r w:rsidRPr="0041622C" w:rsidR="006A0705">
        <w:t xml:space="preserve">The term </w:t>
      </w:r>
      <w:r w:rsidR="006A0705">
        <w:t>‘</w:t>
      </w:r>
      <w:r w:rsidRPr="0041622C" w:rsidR="006A0705">
        <w:t>enhancement</w:t>
      </w:r>
      <w:r w:rsidR="006A0705">
        <w:t>’</w:t>
      </w:r>
      <w:r w:rsidRPr="0041622C" w:rsidR="006A0705">
        <w:t xml:space="preserve"> has a well-established technical meaning in California law</w:t>
      </w:r>
      <w:r w:rsidR="006A0705">
        <w:t>”:</w:t>
      </w:r>
      <w:r w:rsidRPr="0041622C" w:rsidR="006A0705">
        <w:t xml:space="preserve"> </w:t>
      </w:r>
      <w:r w:rsidR="006A0705">
        <w:t xml:space="preserve"> it </w:t>
      </w:r>
      <w:r w:rsidRPr="0041622C" w:rsidR="006A0705">
        <w:t xml:space="preserve">is </w:t>
      </w:r>
      <w:r w:rsidR="006A0705">
        <w:t>“</w:t>
      </w:r>
      <w:r w:rsidRPr="0041622C" w:rsidR="006A0705">
        <w:t>‘</w:t>
      </w:r>
      <w:r w:rsidR="006A0705">
        <w:t>“</w:t>
      </w:r>
      <w:r w:rsidRPr="0041622C" w:rsidR="006A0705">
        <w:t>an additional term of imprisonment added to the base term.</w:t>
      </w:r>
      <w:r w:rsidR="006A0705">
        <w:t>”</w:t>
      </w:r>
      <w:r w:rsidRPr="0041622C" w:rsidR="006A0705">
        <w:t>’</w:t>
      </w:r>
      <w:r w:rsidR="006A0705">
        <w:t xml:space="preserve">  [Citations.]”  (</w:t>
      </w:r>
      <w:r w:rsidRPr="001B75B6" w:rsidR="00006534">
        <w:rPr>
          <w:i/>
          <w:iCs/>
        </w:rPr>
        <w:t>Burke</w:t>
      </w:r>
      <w:r w:rsidRPr="00B43AE1" w:rsidR="00006534">
        <w:t>,</w:t>
      </w:r>
      <w:r w:rsidR="00006534">
        <w:t xml:space="preserve"> at p. 243</w:t>
      </w:r>
      <w:r w:rsidR="006A0705">
        <w:t xml:space="preserve">; </w:t>
      </w:r>
      <w:r w:rsidR="004762E6">
        <w:t xml:space="preserve">accord, </w:t>
      </w:r>
      <w:r w:rsidRPr="0059519B" w:rsidR="006A0705">
        <w:rPr>
          <w:i/>
          <w:iCs/>
        </w:rPr>
        <w:t>Jones</w:t>
      </w:r>
      <w:r w:rsidRPr="00B43AE1" w:rsidR="002433CD">
        <w:rPr>
          <w:i/>
          <w:iCs/>
        </w:rPr>
        <w:t>,</w:t>
      </w:r>
      <w:r w:rsidR="002433CD">
        <w:t xml:space="preserve"> </w:t>
      </w:r>
      <w:r w:rsidRPr="00976545" w:rsidR="002433CD">
        <w:rPr>
          <w:i/>
          <w:iCs/>
        </w:rPr>
        <w:t>supra</w:t>
      </w:r>
      <w:r w:rsidRPr="00976545" w:rsidR="002433CD">
        <w:t>,</w:t>
      </w:r>
      <w:r w:rsidR="006A0705">
        <w:t xml:space="preserve"> 47 Cal.4th </w:t>
      </w:r>
      <w:r w:rsidR="002433CD">
        <w:t>at p.</w:t>
      </w:r>
      <w:r w:rsidR="006A0705">
        <w:t xml:space="preserve"> 578 [enhancement is “a punishment added to the base term”].)  And section 236.1(c)(2) is a penalty provision—not an enhancement—because it prescribes an alternate penalty for the underlying felony, rather than an addition to the base term.  (See </w:t>
      </w:r>
      <w:r w:rsidRPr="00BC56AA" w:rsidR="006A0705">
        <w:rPr>
          <w:i/>
          <w:iCs/>
        </w:rPr>
        <w:t>Jones</w:t>
      </w:r>
      <w:r w:rsidRPr="002163F1" w:rsidR="002163F1">
        <w:t>, at p.</w:t>
      </w:r>
      <w:r w:rsidR="006A0705">
        <w:t xml:space="preserve"> 578 [“‘Unlike an enhancement, which provides for an </w:t>
      </w:r>
      <w:r w:rsidRPr="00BC56AA" w:rsidR="006A0705">
        <w:rPr>
          <w:i/>
          <w:iCs/>
        </w:rPr>
        <w:t>additional term</w:t>
      </w:r>
      <w:r w:rsidR="006A0705">
        <w:t xml:space="preserve"> of imprisonment, [a penalty provision] sets forth an alternate penalty </w:t>
      </w:r>
      <w:r w:rsidRPr="00BC56AA" w:rsidR="006A0705">
        <w:rPr>
          <w:i/>
          <w:iCs/>
        </w:rPr>
        <w:t>for the underlying felony itself</w:t>
      </w:r>
      <w:r w:rsidR="006A0705">
        <w:t>, when the jury has determined that the defendant has satisfied the conditions specified in the statute’”].)</w:t>
      </w:r>
      <w:r>
        <w:t xml:space="preserve"> </w:t>
      </w:r>
      <w:r w:rsidR="006A0705">
        <w:t xml:space="preserve"> </w:t>
      </w:r>
      <w:r>
        <w:t xml:space="preserve">Accordingly, the provisions of section 1385(c) have no application to sentences under section 236.1(c)(2).  </w:t>
      </w:r>
    </w:p>
    <w:p w:rsidR="004B0909" w:rsidP="009F2FAE" w14:paraId="3B612FEF" w14:textId="4A134662">
      <w:pPr>
        <w:pStyle w:val="Body"/>
      </w:pPr>
      <w:r w:rsidRPr="00154C29">
        <w:t>M</w:t>
      </w:r>
      <w:r>
        <w:t>c</w:t>
      </w:r>
      <w:r w:rsidRPr="00154C29">
        <w:t>Dowell</w:t>
      </w:r>
      <w:r>
        <w:t xml:space="preserve"> does not contend that section 236.1(c)(2) is an enhancement.  He claims, however, that the Legislature intended the term “enhancement” in section 1385(c) to include </w:t>
      </w:r>
      <w:r w:rsidR="002B639B">
        <w:t>alternative sentencing schemes</w:t>
      </w:r>
      <w:r w:rsidR="002B2599">
        <w:t>, in addition to true enhancements under the traditional definition</w:t>
      </w:r>
      <w:r w:rsidR="002B639B">
        <w:t xml:space="preserve">.  </w:t>
      </w:r>
    </w:p>
    <w:p w:rsidR="009F2FAE" w:rsidP="003B6493" w14:paraId="26365766" w14:textId="2D09FE84">
      <w:pPr>
        <w:pStyle w:val="Body"/>
      </w:pPr>
      <w:r>
        <w:t xml:space="preserve">In support, </w:t>
      </w:r>
      <w:r w:rsidRPr="00154C29">
        <w:t>M</w:t>
      </w:r>
      <w:r>
        <w:t>c</w:t>
      </w:r>
      <w:r w:rsidRPr="00154C29">
        <w:t>Dowell</w:t>
      </w:r>
      <w:r>
        <w:t xml:space="preserve"> argues that applying the established definition of enhancement would render two provisions of the section 1385(c) surplusage.  First, </w:t>
      </w:r>
      <w:r w:rsidRPr="00154C29">
        <w:t>M</w:t>
      </w:r>
      <w:r>
        <w:t>c</w:t>
      </w:r>
      <w:r w:rsidRPr="00154C29">
        <w:t>Dowell</w:t>
      </w:r>
      <w:r>
        <w:t xml:space="preserve"> notes that section 1385(c)(1) provides for dismissal of an enhancement in the furtherance of justice, “except if dismissal of that enhancement is prohibited by any initiative statute.”  (</w:t>
      </w:r>
      <w:r w:rsidR="00277D63">
        <w:rPr>
          <w:i/>
          <w:iCs/>
        </w:rPr>
        <w:t>Ibid</w:t>
      </w:r>
      <w:r w:rsidRPr="00277D63">
        <w:rPr>
          <w:i/>
          <w:iCs/>
        </w:rPr>
        <w:t>.</w:t>
      </w:r>
      <w:r>
        <w:t>)  Second, he notes that under section 1385(c)(2)(G), in deciding whether to strike an enhancement, a court must give great weight to a finding that a defendant “was a juvenile when they committed . . . prior offenses, including . . . juvenile adjudications, that trigger the enhancement.”  (</w:t>
      </w:r>
      <w:r w:rsidR="00277D63">
        <w:rPr>
          <w:i/>
          <w:iCs/>
        </w:rPr>
        <w:t>Ibid</w:t>
      </w:r>
      <w:r w:rsidRPr="00277D63">
        <w:rPr>
          <w:i/>
          <w:iCs/>
        </w:rPr>
        <w:t>.</w:t>
      </w:r>
      <w:r>
        <w:t xml:space="preserve">)  </w:t>
      </w:r>
      <w:r w:rsidRPr="00154C29">
        <w:t>M</w:t>
      </w:r>
      <w:r>
        <w:t>c</w:t>
      </w:r>
      <w:r w:rsidRPr="00154C29">
        <w:t>Dowell</w:t>
      </w:r>
      <w:r>
        <w:t xml:space="preserve"> represents that he is unaware of any traditional enhancements </w:t>
      </w:r>
      <w:r w:rsidR="00277D63">
        <w:t xml:space="preserve">for which </w:t>
      </w:r>
      <w:r>
        <w:t xml:space="preserve">dismissal is prohibited by </w:t>
      </w:r>
      <w:r w:rsidR="00277D63">
        <w:t>an</w:t>
      </w:r>
      <w:r>
        <w:t xml:space="preserve"> initiative statute or of any juvenile adjudication that can increase a defendant’s sentence other than a </w:t>
      </w:r>
      <w:r w:rsidR="00277D63">
        <w:t xml:space="preserve">prior </w:t>
      </w:r>
      <w:r w:rsidR="000B2A83">
        <w:t xml:space="preserve">strike conviction </w:t>
      </w:r>
      <w:r w:rsidR="00277D63">
        <w:t>under the “</w:t>
      </w:r>
      <w:r>
        <w:t>Three Strikes</w:t>
      </w:r>
      <w:r w:rsidR="00277D63">
        <w:t>”</w:t>
      </w:r>
      <w:r>
        <w:t xml:space="preserve"> </w:t>
      </w:r>
      <w:r w:rsidR="00277D63">
        <w:t>law (</w:t>
      </w:r>
      <w:r w:rsidR="0095109C">
        <w:t xml:space="preserve">Pen. Code, </w:t>
      </w:r>
      <w:r w:rsidRPr="00277D63" w:rsidR="00277D63">
        <w:t>§§</w:t>
      </w:r>
      <w:r w:rsidR="00277D63">
        <w:t> </w:t>
      </w:r>
      <w:r w:rsidRPr="00277D63" w:rsidR="00277D63">
        <w:t>667, subds. (b)-(i), 1170.12, subds. (a)-(d))</w:t>
      </w:r>
      <w:r w:rsidR="00EC2E89">
        <w:t>, which provides for alternative penalties and is not a traditional enhancement</w:t>
      </w:r>
      <w:r w:rsidR="000B2A83">
        <w:t>.</w:t>
      </w:r>
      <w:r w:rsidR="003B6493">
        <w:t xml:space="preserve">  </w:t>
      </w:r>
      <w:r>
        <w:t xml:space="preserve">He </w:t>
      </w:r>
      <w:r w:rsidR="004B0909">
        <w:t>cites</w:t>
      </w:r>
      <w:r>
        <w:t xml:space="preserve"> the cannon against surplusage, under which we look to “‘accord[] significance, if possible, to every word, phrase</w:t>
      </w:r>
      <w:r w:rsidR="00277D63">
        <w:t>[,]</w:t>
      </w:r>
      <w:r>
        <w:t xml:space="preserve"> and sentence in pursuance of the legislative purpose’” and to avoid a construction that makes some words surplusage.  (</w:t>
      </w:r>
      <w:r w:rsidRPr="0015496A">
        <w:rPr>
          <w:i/>
          <w:iCs/>
        </w:rPr>
        <w:t>People v. Valencia</w:t>
      </w:r>
      <w:r>
        <w:t xml:space="preserve"> (2017) 3 Cal.5th 347, 357.)  </w:t>
      </w:r>
    </w:p>
    <w:p w:rsidR="009F2FAE" w:rsidP="009F2FAE" w14:paraId="53A91746" w14:textId="7EF7AB2D">
      <w:pPr>
        <w:pStyle w:val="Body"/>
      </w:pPr>
      <w:r>
        <w:t xml:space="preserve">Even assuming the phrases </w:t>
      </w:r>
      <w:r w:rsidRPr="00154C29">
        <w:t>M</w:t>
      </w:r>
      <w:r>
        <w:t>c</w:t>
      </w:r>
      <w:r w:rsidRPr="00154C29">
        <w:t>Dowell</w:t>
      </w:r>
      <w:r>
        <w:t xml:space="preserve"> references would be rendered surplusage if section 1385(c) applied only to traditional enhancements, our reading of the statute remains unchanged.  The canon against surplusage, like </w:t>
      </w:r>
      <w:r w:rsidR="00FC211B">
        <w:t xml:space="preserve">other </w:t>
      </w:r>
      <w:r>
        <w:t xml:space="preserve">canons of construction, is </w:t>
      </w:r>
      <w:r w:rsidR="00FC211B">
        <w:t xml:space="preserve">an </w:t>
      </w:r>
      <w:r>
        <w:t>interpretative aid; it is not absolute and “‘“</w:t>
      </w:r>
      <w:r w:rsidRPr="0054107C">
        <w:t xml:space="preserve">will be applied only if it results in a </w:t>
      </w:r>
      <w:r w:rsidRPr="0054107C">
        <w:rPr>
          <w:i/>
          <w:iCs/>
        </w:rPr>
        <w:t>reasonable</w:t>
      </w:r>
      <w:r w:rsidRPr="0054107C">
        <w:t xml:space="preserve"> reading of the legislation” [citation].’</w:t>
      </w:r>
      <w:r w:rsidR="00277D63">
        <w:t xml:space="preserve">  [Citations.]</w:t>
      </w:r>
      <w:r w:rsidRPr="0054107C">
        <w:t>”</w:t>
      </w:r>
      <w:r>
        <w:t xml:space="preserve">  (</w:t>
      </w:r>
      <w:r w:rsidRPr="005B5650">
        <w:rPr>
          <w:i/>
          <w:iCs/>
        </w:rPr>
        <w:t>MCI Communications Services, Inc. v. California Dept. of Tax &amp; Fee Administration</w:t>
      </w:r>
      <w:r>
        <w:t xml:space="preserve"> (2018) 28 Cal.App.5th 635, 650.)  </w:t>
      </w:r>
      <w:r w:rsidRPr="00154C29">
        <w:t>M</w:t>
      </w:r>
      <w:r>
        <w:t>c</w:t>
      </w:r>
      <w:r w:rsidRPr="00154C29">
        <w:t>Dowell</w:t>
      </w:r>
      <w:r>
        <w:t xml:space="preserve">’s proposed interpretation—reading “enhancement” to mean </w:t>
      </w:r>
      <w:r w:rsidRPr="009F4FCF">
        <w:t>any</w:t>
      </w:r>
      <w:r>
        <w:t xml:space="preserve"> statutory mechanism that provides for a harsher sentence—is at odds with the term’s established legal meaning and the Penal Code’s instruction that we follow that established meaning.  </w:t>
      </w:r>
    </w:p>
    <w:p w:rsidR="005432AE" w:rsidP="009F2FAE" w14:paraId="48D02C6B" w14:textId="49ED39A6">
      <w:pPr>
        <w:pStyle w:val="Body"/>
      </w:pPr>
      <w:r>
        <w:t>California</w:t>
      </w:r>
      <w:r w:rsidR="001B75B6">
        <w:t xml:space="preserve"> courts have used the </w:t>
      </w:r>
      <w:r w:rsidR="009F2FAE">
        <w:t xml:space="preserve">same </w:t>
      </w:r>
      <w:r w:rsidR="001B75B6">
        <w:t>definition of enhancement</w:t>
      </w:r>
      <w:r w:rsidR="009F2FAE">
        <w:t>—</w:t>
      </w:r>
      <w:r w:rsidRPr="0041622C" w:rsidR="009F2FAE">
        <w:t xml:space="preserve">an additional </w:t>
      </w:r>
      <w:r w:rsidR="009F2FAE">
        <w:t>punishment</w:t>
      </w:r>
      <w:r w:rsidRPr="0041622C" w:rsidR="009F2FAE">
        <w:t xml:space="preserve"> added to the base term</w:t>
      </w:r>
      <w:r w:rsidR="009F2FAE">
        <w:t>—</w:t>
      </w:r>
      <w:r w:rsidR="001B75B6">
        <w:t xml:space="preserve">for decades.  (See, e.g., </w:t>
      </w:r>
      <w:r w:rsidRPr="002B2599" w:rsidR="001B75B6">
        <w:rPr>
          <w:i/>
          <w:iCs/>
        </w:rPr>
        <w:t>In re Anthony R.</w:t>
      </w:r>
      <w:r w:rsidR="001B75B6">
        <w:t xml:space="preserve"> (1984) 154 Cal.App.3d 772, 776 [</w:t>
      </w:r>
      <w:r>
        <w:t>describing</w:t>
      </w:r>
      <w:r w:rsidR="001B75B6">
        <w:t xml:space="preserve"> </w:t>
      </w:r>
      <w:r>
        <w:t xml:space="preserve">this </w:t>
      </w:r>
      <w:r w:rsidR="001B75B6">
        <w:t>“well-established meaning” of enhancement</w:t>
      </w:r>
      <w:r w:rsidRPr="005432AE" w:rsidR="001B75B6">
        <w:t>].)  As noted, the presumption that the Legislature</w:t>
      </w:r>
      <w:r>
        <w:t xml:space="preserve"> used words according to the meaning courts have given them </w:t>
      </w:r>
      <w:r w:rsidR="00C631D9">
        <w:t>has been described by our Supreme Court as</w:t>
      </w:r>
      <w:r>
        <w:t xml:space="preserve"> “almost irresistible.”  (</w:t>
      </w:r>
      <w:r w:rsidRPr="00BC6B02">
        <w:rPr>
          <w:i/>
          <w:iCs/>
        </w:rPr>
        <w:t>In re Friend</w:t>
      </w:r>
      <w:r w:rsidRPr="00277D63">
        <w:rPr>
          <w:i/>
          <w:iCs/>
        </w:rPr>
        <w:t>,</w:t>
      </w:r>
      <w:r>
        <w:t xml:space="preserve"> </w:t>
      </w:r>
      <w:r w:rsidRPr="005432AE">
        <w:rPr>
          <w:i/>
          <w:iCs/>
        </w:rPr>
        <w:t>supra</w:t>
      </w:r>
      <w:r>
        <w:t>, 11 Cal.</w:t>
      </w:r>
      <w:r w:rsidRPr="005432AE">
        <w:t>5th at p. 730</w:t>
      </w:r>
      <w:r w:rsidR="00C631D9">
        <w:t>.)  And the Penal Code itself instructs that w</w:t>
      </w:r>
      <w:r>
        <w:t xml:space="preserve">ords </w:t>
      </w:r>
      <w:r w:rsidR="00C631D9">
        <w:t xml:space="preserve">with a </w:t>
      </w:r>
      <w:r w:rsidR="00B8215A">
        <w:t>special</w:t>
      </w:r>
      <w:r>
        <w:t xml:space="preserve"> meaning in law </w:t>
      </w:r>
      <w:r w:rsidR="00B8215A">
        <w:t>“</w:t>
      </w:r>
      <w:r>
        <w:t>must be construed</w:t>
      </w:r>
      <w:r w:rsidR="00B8215A">
        <w:t>”</w:t>
      </w:r>
      <w:r>
        <w:t xml:space="preserve"> according to </w:t>
      </w:r>
      <w:r w:rsidR="00B8215A">
        <w:t>that</w:t>
      </w:r>
      <w:r>
        <w:t xml:space="preserve"> meaning</w:t>
      </w:r>
      <w:r w:rsidR="00C631D9">
        <w:t>.  (</w:t>
      </w:r>
      <w:r w:rsidR="0095109C">
        <w:t xml:space="preserve">Pen. Code, </w:t>
      </w:r>
      <w:r w:rsidR="00C631D9">
        <w:t xml:space="preserve">§ 7, subd. (16).)  </w:t>
      </w:r>
      <w:r w:rsidR="00B8215A">
        <w:t>Given these controlling principles, we will not conclude that the Legislature intended to give the word “enhancement” a different</w:t>
      </w:r>
      <w:r w:rsidR="00025ED5">
        <w:t xml:space="preserve"> and </w:t>
      </w:r>
      <w:r w:rsidR="00B8215A">
        <w:t xml:space="preserve">much broader meaning without </w:t>
      </w:r>
      <w:r w:rsidR="006E186D">
        <w:t xml:space="preserve">any express indication </w:t>
      </w:r>
      <w:r w:rsidR="00B8215A">
        <w:t>in the text of the statute.</w:t>
      </w:r>
    </w:p>
    <w:p w:rsidR="005432AE" w:rsidRPr="003712E5" w:rsidP="00EC2E89" w14:paraId="3275A98D" w14:textId="577BBA60">
      <w:pPr>
        <w:pStyle w:val="Body"/>
      </w:pPr>
      <w:r w:rsidRPr="003712E5">
        <w:t>Based on this analysis, c</w:t>
      </w:r>
      <w:r w:rsidRPr="003712E5" w:rsidR="00354CDC">
        <w:t>ourts addressing the issue in the context of the Three Strikes law reach</w:t>
      </w:r>
      <w:r w:rsidRPr="003712E5">
        <w:t>ed</w:t>
      </w:r>
      <w:r w:rsidRPr="003712E5" w:rsidR="00354CDC">
        <w:t xml:space="preserve"> a similar conclusion, holding that Senate Bill 81 did not apply to prior strike convictions.  (</w:t>
      </w:r>
      <w:r w:rsidRPr="003712E5" w:rsidR="00354CDC">
        <w:rPr>
          <w:i/>
          <w:iCs/>
        </w:rPr>
        <w:t>People v. Dain</w:t>
      </w:r>
      <w:r w:rsidRPr="003712E5" w:rsidR="00354CDC">
        <w:t xml:space="preserve"> (Jan. 31, 2024, A168286) ___ Cal.App.5th ___</w:t>
      </w:r>
      <w:r w:rsidRPr="003712E5">
        <w:t xml:space="preserve">, petn. for rehg. pending; </w:t>
      </w:r>
      <w:r w:rsidRPr="003712E5">
        <w:rPr>
          <w:i/>
          <w:iCs/>
        </w:rPr>
        <w:t>People v. Olay</w:t>
      </w:r>
      <w:r w:rsidRPr="003712E5">
        <w:t>, 98 Cal.App.5th 60, 67</w:t>
      </w:r>
      <w:r w:rsidRPr="003712E5" w:rsidR="000265A1">
        <w:t xml:space="preserve"> (</w:t>
      </w:r>
      <w:r w:rsidRPr="003712E5" w:rsidR="000265A1">
        <w:rPr>
          <w:i/>
          <w:iCs/>
        </w:rPr>
        <w:t>Olay</w:t>
      </w:r>
      <w:r w:rsidRPr="003712E5" w:rsidR="000265A1">
        <w:t>)</w:t>
      </w:r>
      <w:r w:rsidRPr="003712E5">
        <w:t xml:space="preserve">, petn. for review pending; </w:t>
      </w:r>
      <w:r w:rsidRPr="003712E5" w:rsidR="00354CDC">
        <w:rPr>
          <w:i/>
          <w:iCs/>
        </w:rPr>
        <w:t>Burke,</w:t>
      </w:r>
      <w:r w:rsidRPr="003712E5" w:rsidR="00354CDC">
        <w:t xml:space="preserve"> </w:t>
      </w:r>
      <w:r w:rsidRPr="003712E5" w:rsidR="00354CDC">
        <w:rPr>
          <w:i/>
          <w:iCs/>
        </w:rPr>
        <w:t>supra</w:t>
      </w:r>
      <w:r w:rsidRPr="003712E5" w:rsidR="00354CDC">
        <w:t xml:space="preserve">, 89 Cal.App.5th at p. 243.) </w:t>
      </w:r>
      <w:r w:rsidRPr="003712E5">
        <w:t xml:space="preserve"> </w:t>
      </w:r>
      <w:r w:rsidRPr="003712E5" w:rsidR="00EC2E89">
        <w:t>T</w:t>
      </w:r>
      <w:r w:rsidRPr="003712E5">
        <w:t xml:space="preserve">he court in </w:t>
      </w:r>
      <w:r w:rsidRPr="003712E5">
        <w:rPr>
          <w:i/>
          <w:iCs/>
        </w:rPr>
        <w:t>Burke</w:t>
      </w:r>
      <w:r w:rsidRPr="003712E5" w:rsidR="00EC2E89">
        <w:t>, for example,</w:t>
      </w:r>
      <w:r w:rsidRPr="003712E5">
        <w:rPr>
          <w:i/>
          <w:iCs/>
        </w:rPr>
        <w:t xml:space="preserve"> </w:t>
      </w:r>
      <w:r w:rsidRPr="003712E5" w:rsidR="00EC2E89">
        <w:t xml:space="preserve">applied the presumption that </w:t>
      </w:r>
      <w:r w:rsidRPr="003712E5" w:rsidR="000846B4">
        <w:t>“</w:t>
      </w:r>
      <w:r w:rsidRPr="003712E5">
        <w:t>the Legislature was aware of, and acquiesced in, both th[e] established judicial definition of enhancement and the distinction between an enhancement and an alternative sentencing scheme</w:t>
      </w:r>
      <w:r w:rsidRPr="003712E5" w:rsidR="000846B4">
        <w:t xml:space="preserve">” and </w:t>
      </w:r>
      <w:r w:rsidRPr="003712E5" w:rsidR="00EC2E89">
        <w:t>noted</w:t>
      </w:r>
      <w:r w:rsidRPr="003712E5" w:rsidR="000846B4">
        <w:t xml:space="preserve"> that “[t]</w:t>
      </w:r>
      <w:r w:rsidRPr="003712E5">
        <w:t xml:space="preserve">he Legislature did not otherwise define the word ‘enhancement’ in </w:t>
      </w:r>
      <w:r w:rsidRPr="003712E5" w:rsidR="0095109C">
        <w:t xml:space="preserve">[Penal Code] </w:t>
      </w:r>
      <w:r w:rsidRPr="003712E5">
        <w:t>section 1385</w:t>
      </w:r>
      <w:r w:rsidRPr="003712E5" w:rsidR="00EC2E89">
        <w:t>.</w:t>
      </w:r>
      <w:r w:rsidRPr="003712E5" w:rsidR="000846B4">
        <w:t xml:space="preserve">” </w:t>
      </w:r>
      <w:r w:rsidRPr="003712E5" w:rsidR="00EC2E89">
        <w:t xml:space="preserve"> (</w:t>
      </w:r>
      <w:r w:rsidRPr="003712E5" w:rsidR="00EC2E89">
        <w:rPr>
          <w:i/>
          <w:iCs/>
        </w:rPr>
        <w:t>Burke,</w:t>
      </w:r>
      <w:r w:rsidRPr="003712E5" w:rsidR="00EC2E89">
        <w:t xml:space="preserve"> at p. 243.)  It therefore </w:t>
      </w:r>
      <w:r w:rsidRPr="003712E5" w:rsidR="000846B4">
        <w:t xml:space="preserve">concluded </w:t>
      </w:r>
      <w:r w:rsidRPr="003712E5" w:rsidR="00EC2E89">
        <w:t xml:space="preserve">that </w:t>
      </w:r>
      <w:r w:rsidRPr="003712E5" w:rsidR="000846B4">
        <w:t xml:space="preserve">section 1385(c)’s reference to enhancement did not include Three Strike priors. </w:t>
      </w:r>
      <w:r w:rsidRPr="003712E5">
        <w:t xml:space="preserve"> </w:t>
      </w:r>
      <w:bookmarkStart w:id="2" w:name="_Hlk158213299"/>
      <w:r w:rsidRPr="003712E5" w:rsidR="000846B4">
        <w:t>(</w:t>
      </w:r>
      <w:r w:rsidRPr="003712E5" w:rsidR="000846B4">
        <w:rPr>
          <w:i/>
          <w:iCs/>
        </w:rPr>
        <w:t>Burke,</w:t>
      </w:r>
      <w:r w:rsidRPr="003712E5" w:rsidR="000846B4">
        <w:t xml:space="preserve"> at p. 243.)  </w:t>
      </w:r>
      <w:bookmarkEnd w:id="2"/>
    </w:p>
    <w:p w:rsidR="00AC3BB7" w:rsidRPr="003712E5" w:rsidP="00190F75" w14:paraId="76D9392E" w14:textId="7E560A97">
      <w:pPr>
        <w:pStyle w:val="Body"/>
      </w:pPr>
      <w:r w:rsidRPr="003712E5">
        <w:t xml:space="preserve">McDowell draws our attention to </w:t>
      </w:r>
      <w:r w:rsidRPr="003712E5" w:rsidR="00ED5AE1">
        <w:t>Senate Bill 81</w:t>
      </w:r>
      <w:r w:rsidRPr="003712E5">
        <w:t xml:space="preserve">’s legislative history, but that legislative history cannot carry the day for him.  True, </w:t>
      </w:r>
      <w:r w:rsidRPr="003712E5" w:rsidR="00D10773">
        <w:t>two</w:t>
      </w:r>
      <w:r w:rsidRPr="003712E5" w:rsidR="002D4C4E">
        <w:t xml:space="preserve"> legislative report</w:t>
      </w:r>
      <w:r w:rsidRPr="003712E5" w:rsidR="00B67260">
        <w:t>s</w:t>
      </w:r>
      <w:r w:rsidRPr="003712E5" w:rsidR="002D4C4E">
        <w:t xml:space="preserve"> characterized </w:t>
      </w:r>
      <w:r w:rsidRPr="003712E5" w:rsidR="00B67260">
        <w:t>alternative penalties</w:t>
      </w:r>
      <w:r w:rsidRPr="003712E5" w:rsidR="002D4C4E">
        <w:t xml:space="preserve"> as enhancements</w:t>
      </w:r>
      <w:r w:rsidRPr="003712E5" w:rsidR="00FF7E65">
        <w:t>.</w:t>
      </w:r>
      <w:r w:rsidRPr="003712E5" w:rsidR="002D4C4E">
        <w:t xml:space="preserve"> </w:t>
      </w:r>
      <w:r w:rsidRPr="003712E5" w:rsidR="00FF7E65">
        <w:t xml:space="preserve"> </w:t>
      </w:r>
      <w:r w:rsidRPr="003712E5" w:rsidR="000A1B3A">
        <w:t>(</w:t>
      </w:r>
      <w:r w:rsidRPr="003712E5" w:rsidR="00103F8D">
        <w:t xml:space="preserve">Sen. Com. on Public Safety, Rep. on </w:t>
      </w:r>
      <w:r w:rsidRPr="003712E5" w:rsidR="00ED5AE1">
        <w:t>Sen</w:t>
      </w:r>
      <w:r w:rsidR="003712E5">
        <w:t>.</w:t>
      </w:r>
      <w:r w:rsidRPr="003712E5" w:rsidR="00ED5AE1">
        <w:t xml:space="preserve"> Bill 81</w:t>
      </w:r>
      <w:r w:rsidRPr="003712E5" w:rsidR="00D0439A">
        <w:t>, p. 3</w:t>
      </w:r>
      <w:r w:rsidRPr="003712E5" w:rsidR="00103F8D">
        <w:t>.)  [</w:t>
      </w:r>
      <w:r w:rsidRPr="003712E5" w:rsidR="00385044">
        <w:t>enhancements “can range from adding a specified number of years to a person’s sentence . . . [to] converting a determinate sentence into a life sentence”]</w:t>
      </w:r>
      <w:r w:rsidRPr="003712E5" w:rsidR="00D10773">
        <w:t>; Sen. Com. on Appropriations, Rep. on Sen</w:t>
      </w:r>
      <w:r w:rsidR="003712E5">
        <w:t>.</w:t>
      </w:r>
      <w:r w:rsidRPr="003712E5" w:rsidR="00D10773">
        <w:t xml:space="preserve"> Bill 81, p. 1 [</w:t>
      </w:r>
      <w:r w:rsidRPr="003712E5">
        <w:t xml:space="preserve">similar].) </w:t>
      </w:r>
      <w:r w:rsidRPr="003712E5" w:rsidR="00FF7E65">
        <w:t xml:space="preserve"> And several included a statement from the bill’s author that </w:t>
      </w:r>
      <w:r w:rsidRPr="003712E5" w:rsidR="00ED5AE1">
        <w:t>Senate Bill 81</w:t>
      </w:r>
      <w:r w:rsidRPr="003712E5" w:rsidR="00FF7E65">
        <w:t xml:space="preserve"> codified a recommendation by the Committee on the Revision of the Penal Code.  (E.g., Sen. Rules Com., Off. of Sen. Floor Analyses, 3d reading analysis of </w:t>
      </w:r>
      <w:r w:rsidRPr="003712E5" w:rsidR="00ED5AE1">
        <w:t>Sen</w:t>
      </w:r>
      <w:r w:rsidR="003712E5">
        <w:t>.</w:t>
      </w:r>
      <w:r w:rsidR="00ED5AE1">
        <w:t xml:space="preserve"> Bill 81</w:t>
      </w:r>
      <w:r w:rsidR="00D0439A">
        <w:t>,</w:t>
      </w:r>
      <w:r w:rsidRPr="00D0439A" w:rsidR="00FF7E65">
        <w:t xml:space="preserve"> </w:t>
      </w:r>
      <w:r w:rsidR="00D0439A">
        <w:t>May</w:t>
      </w:r>
      <w:r w:rsidRPr="00D0439A" w:rsidR="00FF7E65">
        <w:t xml:space="preserve"> 2</w:t>
      </w:r>
      <w:r w:rsidR="00D0439A">
        <w:t>5</w:t>
      </w:r>
      <w:r w:rsidRPr="00D0439A" w:rsidR="00FF7E65">
        <w:t>, 2021</w:t>
      </w:r>
      <w:r w:rsidR="00D0439A">
        <w:t>, p. 4</w:t>
      </w:r>
      <w:r w:rsidRPr="00D0439A" w:rsidR="00FF7E65">
        <w:t xml:space="preserve">.)  </w:t>
      </w:r>
      <w:r w:rsidRPr="00D0439A" w:rsidR="00144676">
        <w:t xml:space="preserve">In turn, the report </w:t>
      </w:r>
      <w:r w:rsidR="00B67260">
        <w:t>in which</w:t>
      </w:r>
      <w:r w:rsidRPr="00D0439A" w:rsidR="00144676">
        <w:t xml:space="preserve"> that </w:t>
      </w:r>
      <w:r w:rsidRPr="00D0439A" w:rsidR="00FF7E65">
        <w:t>committee</w:t>
      </w:r>
      <w:r w:rsidR="00B67260">
        <w:t xml:space="preserve"> presented its</w:t>
      </w:r>
      <w:r w:rsidR="00144676">
        <w:t xml:space="preserve"> recommendations</w:t>
      </w:r>
      <w:r w:rsidR="00FF7E65">
        <w:t xml:space="preserve"> </w:t>
      </w:r>
      <w:r w:rsidR="00DB29DE">
        <w:t xml:space="preserve">repeatedly </w:t>
      </w:r>
      <w:r w:rsidRPr="00FF7E65" w:rsidR="00FF7E65">
        <w:t>refer</w:t>
      </w:r>
      <w:r w:rsidR="00FF7E65">
        <w:t>red</w:t>
      </w:r>
      <w:r w:rsidRPr="00FF7E65" w:rsidR="00FF7E65">
        <w:t xml:space="preserve"> to </w:t>
      </w:r>
      <w:r w:rsidR="00B67260">
        <w:t xml:space="preserve">Three Strikes </w:t>
      </w:r>
      <w:r w:rsidR="00FC211B">
        <w:t>priors</w:t>
      </w:r>
      <w:r w:rsidR="00B67260">
        <w:t xml:space="preserve"> </w:t>
      </w:r>
      <w:r w:rsidRPr="00FF7E65" w:rsidR="00FF7E65">
        <w:t xml:space="preserve">as enhancements. </w:t>
      </w:r>
      <w:r w:rsidR="00144676">
        <w:t xml:space="preserve"> </w:t>
      </w:r>
      <w:r w:rsidRPr="00DB29DE" w:rsidR="00FF7E65">
        <w:t>(Com. on the Revision of Pen. Code, 2020 Annual Report and Recommendations (Feb. 2021)</w:t>
      </w:r>
      <w:r w:rsidR="00DB29DE">
        <w:t>,</w:t>
      </w:r>
      <w:r w:rsidRPr="00DB29DE" w:rsidR="00FF7E65">
        <w:t xml:space="preserve"> pp. </w:t>
      </w:r>
      <w:r w:rsidRPr="00DB29DE" w:rsidR="00DB29DE">
        <w:t>38-</w:t>
      </w:r>
      <w:r w:rsidRPr="00DB29DE" w:rsidR="00FF7E65">
        <w:t>40</w:t>
      </w:r>
      <w:r w:rsidRPr="003712E5" w:rsidR="00FF7E65">
        <w:t>, 42.)</w:t>
      </w:r>
      <w:r w:rsidRPr="003712E5" w:rsidR="00144676">
        <w:t xml:space="preserve">  </w:t>
      </w:r>
      <w:r w:rsidRPr="003712E5">
        <w:t>But</w:t>
      </w:r>
      <w:r w:rsidRPr="003712E5" w:rsidR="00144676">
        <w:t xml:space="preserve"> a June 2021 report of the Assembly Committee on Public Safety—the only legislative report expressly addressing the </w:t>
      </w:r>
      <w:r w:rsidRPr="003712E5" w:rsidR="00B67260">
        <w:t>question before us</w:t>
      </w:r>
      <w:r w:rsidRPr="003712E5" w:rsidR="00144676">
        <w:t>—provided the established definition</w:t>
      </w:r>
      <w:r w:rsidR="00144676">
        <w:t xml:space="preserve"> of an </w:t>
      </w:r>
      <w:r w:rsidRPr="00D0439A" w:rsidR="00144676">
        <w:t>“</w:t>
      </w:r>
      <w:r w:rsidRPr="00D0439A" w:rsidR="00D0439A">
        <w:t>‘</w:t>
      </w:r>
      <w:r w:rsidRPr="00D0439A" w:rsidR="00144676">
        <w:t>enhancement</w:t>
      </w:r>
      <w:r w:rsidRPr="00D0439A" w:rsidR="00D0439A">
        <w:t>’</w:t>
      </w:r>
      <w:r w:rsidRPr="00D0439A" w:rsidR="00144676">
        <w:t>”</w:t>
      </w:r>
      <w:r w:rsidR="00144676">
        <w:t xml:space="preserve"> and stated that “[t]he presumption created by [</w:t>
      </w:r>
      <w:r w:rsidR="00ED5AE1">
        <w:t>Senate Bill 81</w:t>
      </w:r>
      <w:r w:rsidR="00144676">
        <w:t xml:space="preserve">] applies to enhancements, </w:t>
      </w:r>
      <w:r w:rsidRPr="000A1B3A" w:rsidR="00144676">
        <w:t>but does not encompass alternative penalty schemes</w:t>
      </w:r>
      <w:r w:rsidR="00144676">
        <w:t>.”  (</w:t>
      </w:r>
      <w:r w:rsidRPr="00D0439A" w:rsidR="00D0439A">
        <w:t>Assem. Com. on Pub</w:t>
      </w:r>
      <w:r w:rsidR="000B2A83">
        <w:t>lic</w:t>
      </w:r>
      <w:r w:rsidRPr="00D0439A" w:rsidR="00D0439A">
        <w:t xml:space="preserve"> Safety, Analysis of </w:t>
      </w:r>
      <w:r w:rsidR="00ED5AE1">
        <w:t>Sen</w:t>
      </w:r>
      <w:r w:rsidR="003712E5">
        <w:t>.</w:t>
      </w:r>
      <w:r w:rsidR="00ED5AE1">
        <w:t xml:space="preserve"> Bill 81</w:t>
      </w:r>
      <w:r w:rsidR="00DB29DE">
        <w:t>, pp. 5-6</w:t>
      </w:r>
      <w:r w:rsidRPr="003712E5" w:rsidR="00D0439A">
        <w:t>.</w:t>
      </w:r>
      <w:r w:rsidRPr="003712E5" w:rsidR="00144676">
        <w:t xml:space="preserve">)  </w:t>
      </w:r>
      <w:r w:rsidRPr="003712E5" w:rsidR="00190F75">
        <w:t xml:space="preserve">We agree with the </w:t>
      </w:r>
      <w:r w:rsidRPr="003712E5" w:rsidR="00190F75">
        <w:rPr>
          <w:i/>
          <w:iCs/>
        </w:rPr>
        <w:t>Olay</w:t>
      </w:r>
      <w:r w:rsidRPr="003712E5" w:rsidR="00190F75">
        <w:t xml:space="preserve"> court’s analysis of this legislative history:  </w:t>
      </w:r>
      <w:r w:rsidRPr="003712E5">
        <w:t>“</w:t>
      </w:r>
      <w:r w:rsidRPr="003712E5" w:rsidR="00190F75">
        <w:t>I</w:t>
      </w:r>
      <w:r w:rsidRPr="003712E5">
        <w:t>f . . . the Legislature intended to depart from existing law by adopting a more expansive understanding of th[e] term [enhancement], presumably, the legislative history would have expressed this intent far less obliquely.  [Citation.]  More notably, the legislative history would not have expressed the exact opposite:  an intent to adopt the narrower, legal meaning of the term enhancement for purposes of section 1385[(c)].  [Citation.]”</w:t>
      </w:r>
      <w:r w:rsidRPr="003712E5" w:rsidR="00190F75">
        <w:t xml:space="preserve">  (</w:t>
      </w:r>
      <w:r w:rsidRPr="003712E5" w:rsidR="003712E5">
        <w:rPr>
          <w:i/>
          <w:iCs/>
        </w:rPr>
        <w:t>Olay,</w:t>
      </w:r>
      <w:r w:rsidR="003712E5">
        <w:t xml:space="preserve"> </w:t>
      </w:r>
      <w:r w:rsidR="003712E5">
        <w:rPr>
          <w:i/>
          <w:iCs/>
        </w:rPr>
        <w:t>s</w:t>
      </w:r>
      <w:r w:rsidRPr="003712E5" w:rsidR="00190F75">
        <w:rPr>
          <w:i/>
          <w:iCs/>
        </w:rPr>
        <w:t>upra</w:t>
      </w:r>
      <w:r w:rsidRPr="003712E5" w:rsidR="00190F75">
        <w:t>, 98 Cal.App.5th at p. 69.)</w:t>
      </w:r>
    </w:p>
    <w:p w:rsidR="00763DCD" w:rsidP="00763DCD" w14:paraId="740A64A9" w14:textId="142A882E">
      <w:pPr>
        <w:pStyle w:val="Body"/>
      </w:pPr>
      <w:r w:rsidRPr="003712E5">
        <w:t xml:space="preserve">Finally, </w:t>
      </w:r>
      <w:r w:rsidRPr="003712E5" w:rsidR="004B0909">
        <w:t>McDowell contends we must apply the rule of lenity, under</w:t>
      </w:r>
      <w:r w:rsidR="004B0909">
        <w:t xml:space="preserve"> which courts resolve doubts as to the meaning of a statute in a criminal defendant’s favor.  (</w:t>
      </w:r>
      <w:r w:rsidRPr="004B0909" w:rsidR="004B0909">
        <w:rPr>
          <w:i/>
          <w:iCs/>
        </w:rPr>
        <w:t>People v. Nettles</w:t>
      </w:r>
      <w:r w:rsidR="004B0909">
        <w:t xml:space="preserve"> (2015) 240 Cal.App.4th 402, 407.)  </w:t>
      </w:r>
      <w:r w:rsidR="00F76F8F">
        <w:t xml:space="preserve">But “‘that rule applies “only </w:t>
      </w:r>
      <w:r w:rsidRPr="00F76F8F" w:rsidR="00F76F8F">
        <w:t>if two reasonable interpretations of the statute stand in relative equipoise.</w:t>
      </w:r>
      <w:r w:rsidR="00F76F8F">
        <w:t>”</w:t>
      </w:r>
      <w:r w:rsidRPr="00F76F8F" w:rsidR="00F76F8F">
        <w:t xml:space="preserve"> </w:t>
      </w:r>
      <w:r w:rsidR="00F76F8F">
        <w:t xml:space="preserve"> </w:t>
      </w:r>
      <w:r w:rsidRPr="00F76F8F" w:rsidR="00F76F8F">
        <w:t>[Citation.]</w:t>
      </w:r>
      <w:r w:rsidR="00F76F8F">
        <w:t>’  [Citations.]”  (</w:t>
      </w:r>
      <w:r w:rsidRPr="00F76F8F" w:rsidR="00F76F8F">
        <w:rPr>
          <w:i/>
          <w:iCs/>
        </w:rPr>
        <w:t>People v. Soria</w:t>
      </w:r>
      <w:r w:rsidR="00F76F8F">
        <w:t xml:space="preserve"> (2010) 48 Cal.4th 58, 65.)  “It has no application where, ‘as here, a court “can fairly discern a contrary legislative intent.”’  [Citation.]”  (</w:t>
      </w:r>
      <w:r w:rsidRPr="00F76F8F" w:rsidR="00F76F8F">
        <w:rPr>
          <w:i/>
          <w:iCs/>
        </w:rPr>
        <w:t>Lexin v. Superior Court</w:t>
      </w:r>
      <w:r w:rsidR="00F76F8F">
        <w:t xml:space="preserve"> (2010) 47 Cal.4th 1050, 1102, fn. 30.)  </w:t>
      </w:r>
      <w:r w:rsidR="00F464A0">
        <w:t xml:space="preserve">In light of the principles discussed above, McDowell’s expansive </w:t>
      </w:r>
      <w:r>
        <w:t>construction</w:t>
      </w:r>
      <w:r w:rsidR="00F464A0">
        <w:t xml:space="preserve"> of the term </w:t>
      </w:r>
      <w:r>
        <w:t>“enhancement” in section 1385(c)</w:t>
      </w:r>
      <w:r w:rsidR="00F464A0">
        <w:t xml:space="preserve"> is not in </w:t>
      </w:r>
      <w:r w:rsidRPr="002525E9" w:rsidR="002525E9">
        <w:t xml:space="preserve">relative equipoise with </w:t>
      </w:r>
      <w:r w:rsidR="00F464A0">
        <w:t xml:space="preserve">a reading that uses </w:t>
      </w:r>
      <w:r w:rsidR="00B67260">
        <w:t>the term’s</w:t>
      </w:r>
      <w:r>
        <w:t xml:space="preserve"> </w:t>
      </w:r>
      <w:r w:rsidR="00F464A0">
        <w:t>established meaning</w:t>
      </w:r>
      <w:r>
        <w:t xml:space="preserve">.  </w:t>
      </w:r>
    </w:p>
    <w:p w:rsidR="00D537C6" w:rsidP="00006534" w14:paraId="5220CF18" w14:textId="61E794D4">
      <w:pPr>
        <w:pStyle w:val="Body"/>
      </w:pPr>
      <w:r>
        <w:t>Accordingly</w:t>
      </w:r>
      <w:r w:rsidR="00025ED5">
        <w:t xml:space="preserve">, we conclude that section 1385(c) did not apply to </w:t>
      </w:r>
      <w:r>
        <w:t xml:space="preserve">McDowell’s </w:t>
      </w:r>
      <w:r w:rsidR="00C06E14">
        <w:t>sentence</w:t>
      </w:r>
      <w:r>
        <w:t xml:space="preserve"> under section 236.1(c)(2).  </w:t>
      </w:r>
      <w:r w:rsidRPr="00A078AA">
        <w:t xml:space="preserve">As McDowell provides no other basis for his </w:t>
      </w:r>
      <w:r w:rsidRPr="00A078AA" w:rsidR="00006534">
        <w:t xml:space="preserve">argument that the trial court was required to dismiss his elevated sentence under this provision, </w:t>
      </w:r>
      <w:r w:rsidRPr="00A078AA">
        <w:t>we</w:t>
      </w:r>
      <w:r>
        <w:t xml:space="preserve"> affirm.</w:t>
      </w:r>
      <w:r>
        <w:rPr>
          <w:rStyle w:val="FootnoteReference"/>
        </w:rPr>
        <w:footnoteReference w:id="9"/>
      </w:r>
      <w:r>
        <w:t xml:space="preserve"> </w:t>
      </w:r>
    </w:p>
    <w:p w:rsidR="005F5B29" w:rsidP="003712E5" w14:paraId="39EBF946" w14:textId="65CA0F19">
      <w:pPr>
        <w:pStyle w:val="Body"/>
        <w:keepNext/>
        <w:ind w:firstLine="0"/>
        <w:jc w:val="center"/>
      </w:pPr>
      <w:r>
        <w:t>DISPOSITION</w:t>
      </w:r>
    </w:p>
    <w:p w:rsidR="005F5B29" w:rsidP="003712E5" w14:paraId="5E6F8914" w14:textId="1B1495F2">
      <w:pPr>
        <w:pStyle w:val="Body"/>
        <w:keepNext/>
      </w:pPr>
      <w:r>
        <w:t xml:space="preserve">The </w:t>
      </w:r>
      <w:r w:rsidR="00D537C6">
        <w:t>judgment</w:t>
      </w:r>
      <w:r w:rsidR="004B58B7">
        <w:t xml:space="preserve"> </w:t>
      </w:r>
      <w:r w:rsidR="00D537C6">
        <w:t>is</w:t>
      </w:r>
      <w:r w:rsidR="004B58B7">
        <w:t xml:space="preserve"> affirmed.</w:t>
      </w:r>
    </w:p>
    <w:p w:rsidR="004B58B7" w:rsidP="00DB6F16" w14:paraId="74FDD749" w14:textId="493914CA">
      <w:pPr>
        <w:pStyle w:val="Body"/>
        <w:keepNext/>
        <w:tabs>
          <w:tab w:val="clear" w:pos="1440"/>
          <w:tab w:val="clear" w:pos="2880"/>
          <w:tab w:val="clear" w:pos="4320"/>
          <w:tab w:val="left" w:pos="5040"/>
          <w:tab w:val="clear" w:pos="5760"/>
          <w:tab w:val="clear" w:pos="7200"/>
          <w:tab w:val="clear" w:pos="8640"/>
        </w:tabs>
        <w:spacing w:line="240" w:lineRule="auto"/>
        <w:ind w:firstLine="0"/>
      </w:pPr>
    </w:p>
    <w:p w:rsidR="00567C21" w:rsidP="00DB6F16" w14:paraId="447569DF" w14:textId="77777777">
      <w:pPr>
        <w:pStyle w:val="Body"/>
        <w:keepNext/>
        <w:tabs>
          <w:tab w:val="clear" w:pos="1440"/>
          <w:tab w:val="clear" w:pos="2880"/>
          <w:tab w:val="clear" w:pos="4320"/>
          <w:tab w:val="left" w:pos="5040"/>
          <w:tab w:val="clear" w:pos="5760"/>
          <w:tab w:val="clear" w:pos="7200"/>
          <w:tab w:val="clear" w:pos="8640"/>
        </w:tabs>
        <w:spacing w:line="240" w:lineRule="auto"/>
        <w:ind w:firstLine="0"/>
      </w:pPr>
    </w:p>
    <w:p w:rsidR="004B58B7" w:rsidP="00DB6F16" w14:paraId="2DDF5A3B" w14:textId="53B802A9">
      <w:pPr>
        <w:pStyle w:val="Body"/>
        <w:keepNext/>
        <w:tabs>
          <w:tab w:val="clear" w:pos="1440"/>
          <w:tab w:val="clear" w:pos="2880"/>
          <w:tab w:val="clear" w:pos="4320"/>
          <w:tab w:val="left" w:pos="5040"/>
          <w:tab w:val="clear" w:pos="5760"/>
          <w:tab w:val="clear" w:pos="7200"/>
          <w:tab w:val="clear" w:pos="8640"/>
        </w:tabs>
        <w:spacing w:line="240" w:lineRule="auto"/>
        <w:ind w:firstLine="0"/>
      </w:pPr>
      <w:r>
        <w:tab/>
      </w:r>
    </w:p>
    <w:p w:rsidR="004B58B7" w:rsidP="004B58B7" w14:paraId="29441B75" w14:textId="26E6C9D1">
      <w:pPr>
        <w:pStyle w:val="Body"/>
        <w:keepNext/>
        <w:tabs>
          <w:tab w:val="clear" w:pos="1440"/>
          <w:tab w:val="clear" w:pos="2880"/>
          <w:tab w:val="clear" w:pos="4320"/>
          <w:tab w:val="left" w:pos="5040"/>
          <w:tab w:val="clear" w:pos="5760"/>
          <w:tab w:val="clear" w:pos="7200"/>
          <w:tab w:val="clear" w:pos="8640"/>
        </w:tabs>
        <w:spacing w:line="240" w:lineRule="auto"/>
      </w:pPr>
      <w:r>
        <w:tab/>
        <w:t>O’LEARY, P. J.</w:t>
      </w:r>
    </w:p>
    <w:p w:rsidR="004B58B7" w:rsidP="00DB6F16" w14:paraId="21A9B0AE" w14:textId="05EBCE85">
      <w:pPr>
        <w:pStyle w:val="Body"/>
        <w:keepNext/>
        <w:tabs>
          <w:tab w:val="clear" w:pos="1440"/>
          <w:tab w:val="clear" w:pos="2880"/>
          <w:tab w:val="clear" w:pos="4320"/>
          <w:tab w:val="left" w:pos="5040"/>
          <w:tab w:val="clear" w:pos="5760"/>
          <w:tab w:val="clear" w:pos="7200"/>
          <w:tab w:val="clear" w:pos="8640"/>
        </w:tabs>
        <w:spacing w:line="240" w:lineRule="auto"/>
        <w:ind w:firstLine="0"/>
      </w:pPr>
    </w:p>
    <w:p w:rsidR="004B58B7" w:rsidP="004B58B7" w14:paraId="425E667C" w14:textId="065CED85">
      <w:pPr>
        <w:pStyle w:val="Body"/>
        <w:keepNext/>
        <w:tabs>
          <w:tab w:val="clear" w:pos="1440"/>
          <w:tab w:val="clear" w:pos="2880"/>
          <w:tab w:val="clear" w:pos="4320"/>
          <w:tab w:val="left" w:pos="5040"/>
          <w:tab w:val="clear" w:pos="5760"/>
          <w:tab w:val="clear" w:pos="7200"/>
          <w:tab w:val="clear" w:pos="8640"/>
        </w:tabs>
        <w:spacing w:line="240" w:lineRule="auto"/>
        <w:ind w:firstLine="0"/>
      </w:pPr>
      <w:r>
        <w:t>WE CONCUR:</w:t>
      </w:r>
    </w:p>
    <w:p w:rsidR="004B58B7" w:rsidP="00DB6F16" w14:paraId="3610CBBA" w14:textId="3D647231">
      <w:pPr>
        <w:pStyle w:val="Body"/>
        <w:keepNext/>
        <w:tabs>
          <w:tab w:val="clear" w:pos="1440"/>
          <w:tab w:val="clear" w:pos="2880"/>
          <w:tab w:val="clear" w:pos="4320"/>
          <w:tab w:val="left" w:pos="5040"/>
          <w:tab w:val="clear" w:pos="5760"/>
          <w:tab w:val="clear" w:pos="7200"/>
          <w:tab w:val="clear" w:pos="8640"/>
        </w:tabs>
        <w:spacing w:line="240" w:lineRule="auto"/>
        <w:ind w:firstLine="0"/>
      </w:pPr>
    </w:p>
    <w:p w:rsidR="004B58B7" w:rsidP="00DB6F16" w14:paraId="517D908D" w14:textId="591F4764">
      <w:pPr>
        <w:pStyle w:val="Body"/>
        <w:keepNext/>
        <w:tabs>
          <w:tab w:val="clear" w:pos="1440"/>
          <w:tab w:val="clear" w:pos="2880"/>
          <w:tab w:val="clear" w:pos="4320"/>
          <w:tab w:val="left" w:pos="5040"/>
          <w:tab w:val="clear" w:pos="5760"/>
          <w:tab w:val="clear" w:pos="7200"/>
          <w:tab w:val="clear" w:pos="8640"/>
        </w:tabs>
        <w:spacing w:line="240" w:lineRule="auto"/>
        <w:ind w:firstLine="0"/>
      </w:pPr>
    </w:p>
    <w:p w:rsidR="004B58B7" w:rsidP="004B58B7" w14:paraId="20029CD3" w14:textId="554AE2D0">
      <w:pPr>
        <w:pStyle w:val="Body"/>
        <w:keepNext/>
        <w:tabs>
          <w:tab w:val="clear" w:pos="1440"/>
          <w:tab w:val="clear" w:pos="2880"/>
          <w:tab w:val="clear" w:pos="4320"/>
          <w:tab w:val="left" w:pos="5040"/>
          <w:tab w:val="clear" w:pos="5760"/>
          <w:tab w:val="clear" w:pos="7200"/>
          <w:tab w:val="clear" w:pos="8640"/>
        </w:tabs>
        <w:spacing w:line="240" w:lineRule="auto"/>
        <w:ind w:firstLine="0"/>
      </w:pPr>
    </w:p>
    <w:p w:rsidR="004B58B7" w:rsidP="004B58B7" w14:paraId="1F4ACDAF" w14:textId="7D35AC3D">
      <w:pPr>
        <w:pStyle w:val="Body"/>
        <w:keepNext/>
        <w:tabs>
          <w:tab w:val="clear" w:pos="1440"/>
          <w:tab w:val="clear" w:pos="2880"/>
          <w:tab w:val="clear" w:pos="4320"/>
          <w:tab w:val="left" w:pos="5040"/>
          <w:tab w:val="clear" w:pos="5760"/>
          <w:tab w:val="clear" w:pos="7200"/>
          <w:tab w:val="clear" w:pos="8640"/>
        </w:tabs>
        <w:spacing w:line="240" w:lineRule="auto"/>
        <w:ind w:firstLine="0"/>
      </w:pPr>
      <w:r>
        <w:t>BEDSWORTH, J.</w:t>
      </w:r>
    </w:p>
    <w:p w:rsidR="004B58B7" w:rsidP="00DB6F16" w14:paraId="0F1DA4C9" w14:textId="7F4779F9">
      <w:pPr>
        <w:pStyle w:val="Body"/>
        <w:keepNext/>
        <w:tabs>
          <w:tab w:val="clear" w:pos="1440"/>
          <w:tab w:val="clear" w:pos="2880"/>
          <w:tab w:val="clear" w:pos="4320"/>
          <w:tab w:val="left" w:pos="5040"/>
          <w:tab w:val="clear" w:pos="5760"/>
          <w:tab w:val="clear" w:pos="7200"/>
          <w:tab w:val="clear" w:pos="8640"/>
        </w:tabs>
        <w:spacing w:line="240" w:lineRule="auto"/>
        <w:ind w:firstLine="0"/>
      </w:pPr>
    </w:p>
    <w:p w:rsidR="004B58B7" w:rsidP="00DB6F16" w14:paraId="741F462E" w14:textId="6ED4554F">
      <w:pPr>
        <w:pStyle w:val="Body"/>
        <w:keepNext/>
        <w:tabs>
          <w:tab w:val="clear" w:pos="1440"/>
          <w:tab w:val="clear" w:pos="2880"/>
          <w:tab w:val="clear" w:pos="4320"/>
          <w:tab w:val="left" w:pos="5040"/>
          <w:tab w:val="clear" w:pos="5760"/>
          <w:tab w:val="clear" w:pos="7200"/>
          <w:tab w:val="clear" w:pos="8640"/>
        </w:tabs>
        <w:spacing w:line="240" w:lineRule="auto"/>
        <w:ind w:firstLine="0"/>
      </w:pPr>
    </w:p>
    <w:p w:rsidR="004B58B7" w:rsidP="004B58B7" w14:paraId="62D9A89D" w14:textId="34EC221A">
      <w:pPr>
        <w:pStyle w:val="Body"/>
        <w:keepNext/>
        <w:tabs>
          <w:tab w:val="clear" w:pos="1440"/>
          <w:tab w:val="clear" w:pos="2880"/>
          <w:tab w:val="clear" w:pos="4320"/>
          <w:tab w:val="left" w:pos="5040"/>
          <w:tab w:val="clear" w:pos="5760"/>
          <w:tab w:val="clear" w:pos="7200"/>
          <w:tab w:val="clear" w:pos="8640"/>
        </w:tabs>
        <w:spacing w:line="240" w:lineRule="auto"/>
        <w:ind w:firstLine="0"/>
      </w:pPr>
    </w:p>
    <w:p w:rsidR="005F5B29" w:rsidP="00BA7A08" w14:paraId="33132C1F" w14:textId="3C05A040">
      <w:pPr>
        <w:pStyle w:val="Body"/>
        <w:keepNext/>
        <w:tabs>
          <w:tab w:val="clear" w:pos="1440"/>
          <w:tab w:val="clear" w:pos="2880"/>
          <w:tab w:val="clear" w:pos="4320"/>
          <w:tab w:val="left" w:pos="5040"/>
          <w:tab w:val="clear" w:pos="5760"/>
          <w:tab w:val="clear" w:pos="7200"/>
          <w:tab w:val="clear" w:pos="8640"/>
        </w:tabs>
        <w:spacing w:line="240" w:lineRule="auto"/>
        <w:ind w:firstLine="0"/>
      </w:pPr>
      <w:r>
        <w:t>GOODING, J.</w:t>
      </w:r>
    </w:p>
    <w:sectPr w:rsidSect="000A7C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C8C" w:rsidP="00FB2474" w14:paraId="41B221D7" w14:textId="48885D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67C21">
      <w:rPr>
        <w:rStyle w:val="PageNumber"/>
        <w:noProof/>
      </w:rPr>
      <w:t>2</w:t>
    </w:r>
    <w:r>
      <w:rPr>
        <w:rStyle w:val="PageNumber"/>
      </w:rPr>
      <w:fldChar w:fldCharType="end"/>
    </w:r>
  </w:p>
  <w:p w:rsidR="000A7C8C" w14:paraId="69C91D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C8C" w:rsidP="00FB2474" w14:paraId="30FDB654"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A7C8C" w14:paraId="10487C7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301" w14:paraId="44DD57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3E37" w:rsidP="000A7C8C" w14:paraId="755A69BF" w14:textId="77777777">
      <w:pPr>
        <w:spacing w:line="240" w:lineRule="auto"/>
      </w:pPr>
      <w:r>
        <w:separator/>
      </w:r>
    </w:p>
  </w:footnote>
  <w:footnote w:type="continuationSeparator" w:id="1">
    <w:p w:rsidR="005D3E37" w:rsidP="000A7C8C" w14:paraId="5E4A0A09" w14:textId="77777777">
      <w:pPr>
        <w:spacing w:line="240" w:lineRule="auto"/>
      </w:pPr>
      <w:r>
        <w:continuationSeparator/>
      </w:r>
    </w:p>
  </w:footnote>
  <w:footnote w:id="2">
    <w:p w:rsidR="00383BAC" w:rsidP="008E2FA1" w14:paraId="4221D15E" w14:textId="3602E781">
      <w:pPr>
        <w:pStyle w:val="FootnoteText"/>
      </w:pPr>
      <w:r>
        <w:rPr>
          <w:rStyle w:val="FootnoteReference"/>
        </w:rPr>
        <w:footnoteRef/>
      </w:r>
      <w:r>
        <w:t xml:space="preserve"> </w:t>
      </w:r>
      <w:r>
        <w:tab/>
      </w:r>
      <w:r>
        <w:tab/>
      </w:r>
      <w:r w:rsidR="008E2FA1">
        <w:t>As discussed below, human trafficking of a minor is generally punishable by 5, 8, or 12 years in prison.  (</w:t>
      </w:r>
      <w:r w:rsidRPr="0067193B" w:rsidR="008E2FA1">
        <w:t>§ </w:t>
      </w:r>
      <w:r w:rsidR="008E2FA1">
        <w:t xml:space="preserve">236.1(c)(1).)  </w:t>
      </w:r>
    </w:p>
    <w:p w:rsidR="00BB12A2" w14:paraId="48D28EA9" w14:textId="77777777">
      <w:pPr>
        <w:pStyle w:val="FootnoteText"/>
      </w:pPr>
    </w:p>
  </w:footnote>
  <w:footnote w:id="3">
    <w:p w:rsidR="00BB12A2" w14:paraId="3196F436" w14:textId="5E71CF6C">
      <w:pPr>
        <w:pStyle w:val="FootnoteText"/>
      </w:pPr>
      <w:r>
        <w:rPr>
          <w:rStyle w:val="FootnoteReference"/>
        </w:rPr>
        <w:footnoteRef/>
      </w:r>
      <w:r>
        <w:t xml:space="preserve"> </w:t>
      </w:r>
      <w:r>
        <w:tab/>
      </w:r>
      <w:r>
        <w:tab/>
        <w:t xml:space="preserve">Given our conclusion, we need not decide whether and under what circumstances </w:t>
      </w:r>
      <w:r w:rsidR="00ED5AE1">
        <w:t>Senate Bill 81</w:t>
      </w:r>
      <w:r>
        <w:t xml:space="preserve"> compels the dismissal of enhancements. </w:t>
      </w:r>
    </w:p>
  </w:footnote>
  <w:footnote w:id="4">
    <w:p w:rsidR="002433CD" w:rsidP="002433CD" w14:paraId="3B4B4C86" w14:textId="243FBBB1">
      <w:pPr>
        <w:pStyle w:val="FootnoteText"/>
      </w:pPr>
      <w:r>
        <w:rPr>
          <w:rStyle w:val="FootnoteReference"/>
        </w:rPr>
        <w:footnoteRef/>
      </w:r>
      <w:r>
        <w:t xml:space="preserve"> </w:t>
      </w:r>
      <w:r>
        <w:tab/>
      </w:r>
      <w:r>
        <w:tab/>
        <w:t>As discussed below, a penalty provision “</w:t>
      </w:r>
      <w:r w:rsidR="00E359B1">
        <w:t>‘</w:t>
      </w:r>
      <w:r>
        <w:t>sets forth an alternate penalty for the underlying felony itself, when the jury has determined that the defendant has satisfied the conditions specified in the statute.</w:t>
      </w:r>
      <w:r w:rsidR="00E359B1">
        <w:t>’  [Citation.]</w:t>
      </w:r>
      <w:r>
        <w:t>”  (</w:t>
      </w:r>
      <w:r w:rsidRPr="002433CD">
        <w:rPr>
          <w:i/>
          <w:iCs/>
        </w:rPr>
        <w:t>People v. Jones</w:t>
      </w:r>
      <w:r>
        <w:t xml:space="preserve"> (2009) 47 Cal.4th 566, 578 (</w:t>
      </w:r>
      <w:r w:rsidRPr="002433CD">
        <w:rPr>
          <w:i/>
          <w:iCs/>
        </w:rPr>
        <w:t>Jones</w:t>
      </w:r>
      <w:r>
        <w:t>)</w:t>
      </w:r>
      <w:r w:rsidR="00E359B1">
        <w:t>,</w:t>
      </w:r>
      <w:r w:rsidR="00B43AE1">
        <w:t xml:space="preserve"> </w:t>
      </w:r>
      <w:r w:rsidR="00E359B1">
        <w:t>italics omitted</w:t>
      </w:r>
      <w:r>
        <w:t xml:space="preserve">.)  </w:t>
      </w:r>
    </w:p>
    <w:p w:rsidR="00C36FE0" w:rsidP="002433CD" w14:paraId="41389E21" w14:textId="77777777">
      <w:pPr>
        <w:pStyle w:val="FootnoteText"/>
      </w:pPr>
    </w:p>
  </w:footnote>
  <w:footnote w:id="5">
    <w:p w:rsidR="004E5013" w:rsidRPr="000D2211" w:rsidP="000D2211" w14:paraId="7A89D11A" w14:textId="5BA5D1FF">
      <w:pPr>
        <w:pStyle w:val="FootnoteText"/>
        <w:rPr>
          <w:i/>
          <w:iCs/>
        </w:rPr>
      </w:pPr>
      <w:r>
        <w:rPr>
          <w:rStyle w:val="FootnoteReference"/>
        </w:rPr>
        <w:footnoteRef/>
      </w:r>
      <w:r>
        <w:t xml:space="preserve"> </w:t>
      </w:r>
      <w:r>
        <w:tab/>
      </w:r>
      <w:r>
        <w:tab/>
        <w:t xml:space="preserve">As explained below, </w:t>
      </w:r>
      <w:r w:rsidR="00ED5AE1">
        <w:t>Senate Bill 81</w:t>
      </w:r>
      <w:r>
        <w:t xml:space="preserve"> added </w:t>
      </w:r>
      <w:r w:rsidR="0095109C">
        <w:t xml:space="preserve">Penal Code </w:t>
      </w:r>
      <w:r>
        <w:t xml:space="preserve">section 1385, subdivision (c) (section 1385(c)), which provides that </w:t>
      </w:r>
      <w:r w:rsidRPr="00AC6751">
        <w:t>a court “shall dismiss an enhancement if it is in the furtherance of justice to do so</w:t>
      </w:r>
      <w:r>
        <w:t xml:space="preserve"> . . . .</w:t>
      </w:r>
      <w:r w:rsidRPr="00AC6751">
        <w:t xml:space="preserve">” </w:t>
      </w:r>
      <w:r>
        <w:t xml:space="preserve"> </w:t>
      </w:r>
      <w:r w:rsidRPr="00AC6751">
        <w:t>(§</w:t>
      </w:r>
      <w:r>
        <w:t> </w:t>
      </w:r>
      <w:r w:rsidRPr="00AC6751">
        <w:t>1385(c)(1)</w:t>
      </w:r>
      <w:r w:rsidR="00B43AE1">
        <w:t xml:space="preserve">, amended by Stats. 2021, ch. 721, </w:t>
      </w:r>
      <w:r w:rsidRPr="0067193B" w:rsidR="00B43AE1">
        <w:t>§ </w:t>
      </w:r>
      <w:r w:rsidR="00B43AE1">
        <w:t>1</w:t>
      </w:r>
      <w:r>
        <w:t>.</w:t>
      </w:r>
      <w:r w:rsidRPr="00AC6751">
        <w:t xml:space="preserve">) </w:t>
      </w:r>
      <w:r>
        <w:t xml:space="preserve"> </w:t>
      </w:r>
      <w:r w:rsidR="000D2211">
        <w:t>That provision further instructs that i</w:t>
      </w:r>
      <w:r>
        <w:t>n</w:t>
      </w:r>
      <w:r w:rsidRPr="00AC6751">
        <w:t xml:space="preserve"> </w:t>
      </w:r>
      <w:r>
        <w:t xml:space="preserve">deciding whether to </w:t>
      </w:r>
      <w:r w:rsidR="000D2211">
        <w:t>dismiss</w:t>
      </w:r>
      <w:r>
        <w:t xml:space="preserve"> the enhancement</w:t>
      </w:r>
      <w:r w:rsidRPr="00AC6751">
        <w:t xml:space="preserve">, the court </w:t>
      </w:r>
      <w:r w:rsidR="000D2211">
        <w:t>must</w:t>
      </w:r>
      <w:r w:rsidRPr="00AC6751">
        <w:t xml:space="preserve"> consider and afford great weight to </w:t>
      </w:r>
      <w:r w:rsidR="000D2211">
        <w:t>certain</w:t>
      </w:r>
      <w:r w:rsidRPr="00AC6751">
        <w:t xml:space="preserve"> mitigating circumstances</w:t>
      </w:r>
      <w:r w:rsidR="000D2211">
        <w:t xml:space="preserve">, unless dismissing the enhancement would endanger public safety.  </w:t>
      </w:r>
      <w:r w:rsidRPr="00AC6751" w:rsidR="000D2211">
        <w:t>(</w:t>
      </w:r>
      <w:r w:rsidRPr="0067193B" w:rsidR="000D2211">
        <w:t>§ </w:t>
      </w:r>
      <w:r w:rsidR="000D2211">
        <w:t>1385</w:t>
      </w:r>
      <w:r w:rsidRPr="00AC6751" w:rsidR="000D2211">
        <w:t>(c)(2)</w:t>
      </w:r>
      <w:r w:rsidR="000D2211">
        <w:t>.</w:t>
      </w:r>
      <w:r w:rsidRPr="00AC6751" w:rsidR="000D2211">
        <w:t xml:space="preserve">) </w:t>
      </w:r>
      <w:r w:rsidR="000D2211">
        <w:t xml:space="preserve"> Two of the mitigating circumstances—that the enhancement could </w:t>
      </w:r>
      <w:r w:rsidR="00AD4697">
        <w:t>result in</w:t>
      </w:r>
      <w:r w:rsidR="000D2211">
        <w:t xml:space="preserve"> a sentence of over 20 years and that multiple enhancements were alleged—also included additional mandatory language, which we note below.  </w:t>
      </w:r>
      <w:r w:rsidRPr="00AC6751" w:rsidR="000D2211">
        <w:t>(</w:t>
      </w:r>
      <w:r w:rsidRPr="0067193B" w:rsidR="000D2211">
        <w:t>§ </w:t>
      </w:r>
      <w:r w:rsidR="000D2211">
        <w:t>1385</w:t>
      </w:r>
      <w:r w:rsidRPr="00AC6751" w:rsidR="000D2211">
        <w:t>(c)(2)</w:t>
      </w:r>
      <w:r w:rsidR="000D2211">
        <w:t>(B) &amp; (C).</w:t>
      </w:r>
      <w:r w:rsidRPr="00AC6751" w:rsidR="000D2211">
        <w:t>)</w:t>
      </w:r>
    </w:p>
  </w:footnote>
  <w:footnote w:id="6">
    <w:p w:rsidR="00BC1513" w:rsidP="002277E3" w14:paraId="4805DDB2" w14:textId="2C1E345E">
      <w:pPr>
        <w:pStyle w:val="FootnoteText"/>
      </w:pPr>
      <w:r>
        <w:rPr>
          <w:rStyle w:val="FootnoteReference"/>
        </w:rPr>
        <w:footnoteRef/>
      </w:r>
      <w:r>
        <w:t xml:space="preserve"> </w:t>
      </w:r>
      <w:r>
        <w:tab/>
      </w:r>
      <w:r>
        <w:tab/>
        <w:t>The trial court’s original sentence included the middle term of nine years in prison for McDowell’s rape conviction.  On resentencing, the court selected the low term of seven years for th</w:t>
      </w:r>
      <w:r w:rsidR="002277E3">
        <w:t>at</w:t>
      </w:r>
      <w:r>
        <w:t xml:space="preserve"> offense</w:t>
      </w:r>
      <w:r w:rsidR="002277E3">
        <w:t xml:space="preserve">. </w:t>
      </w:r>
      <w:r w:rsidRPr="002277E3">
        <w:t xml:space="preserve"> </w:t>
      </w:r>
    </w:p>
    <w:p w:rsidR="00BC1513" w14:paraId="18FB46DC" w14:textId="77777777">
      <w:pPr>
        <w:pStyle w:val="FootnoteText"/>
      </w:pPr>
    </w:p>
  </w:footnote>
  <w:footnote w:id="7">
    <w:p w:rsidR="0058735E" w:rsidP="0058735E" w14:paraId="26FDBAC5" w14:textId="1FB04DF8">
      <w:pPr>
        <w:pStyle w:val="FootnoteText"/>
        <w:rPr>
          <w:rtl/>
          <w:lang w:bidi="he-IL"/>
        </w:rPr>
      </w:pPr>
      <w:r>
        <w:rPr>
          <w:rStyle w:val="FootnoteReference"/>
        </w:rPr>
        <w:footnoteRef/>
      </w:r>
      <w:r>
        <w:t xml:space="preserve"> </w:t>
      </w:r>
      <w:r>
        <w:tab/>
      </w:r>
      <w:r>
        <w:tab/>
        <w:t>Although the trial court declined to dismiss McDowell’s elevated sentence on a different ground, “we review the trial judge’s ruling, not his [or her] reasons for so ruling.”  (</w:t>
      </w:r>
      <w:r w:rsidRPr="0058735E">
        <w:rPr>
          <w:i/>
          <w:iCs/>
        </w:rPr>
        <w:t>People v. Ross</w:t>
      </w:r>
      <w:r>
        <w:t xml:space="preserve"> (1994) 28 Cal.App.4th 1151, 1157.)  </w:t>
      </w:r>
    </w:p>
  </w:footnote>
  <w:footnote w:id="8">
    <w:p w:rsidR="001F2D58" w:rsidP="001F2D58" w14:paraId="7EA23AD7" w14:textId="03C050B0">
      <w:pPr>
        <w:pStyle w:val="FootnoteText"/>
      </w:pPr>
      <w:r>
        <w:rPr>
          <w:rStyle w:val="FootnoteReference"/>
        </w:rPr>
        <w:footnoteRef/>
      </w:r>
      <w:r>
        <w:t xml:space="preserve"> </w:t>
      </w:r>
      <w:r>
        <w:tab/>
      </w:r>
      <w:r>
        <w:tab/>
        <w:t xml:space="preserve">The enumerated circumstances are:  “(A) Application of the enhancement would result in a discriminatory racial impact . . . .  [¶] (B) Multiple enhancements are alleged in a single case.  In this instance, all enhancements beyond a single enhancement shall be dismissed.  [¶] (C) The application of an enhancement could result in a sentence of over 20 years.  In this instance, the enhancement shall be dismissed.  [¶] (D) The current offense is connected to mental illness.  [¶] (E) The current offense is connected to prior victimization or childhood trauma.  (F) The current offense is not a violent felony . . . .  [¶] (G) The defendant was a juvenile when they committed the current offense or any prior offenses, including </w:t>
      </w:r>
      <w:r w:rsidR="0003265C">
        <w:t>. . .</w:t>
      </w:r>
      <w:r>
        <w:t xml:space="preserve"> juvenile adjudications, that trigger the enhancement </w:t>
      </w:r>
      <w:r w:rsidR="0003265C">
        <w:t>. . . </w:t>
      </w:r>
      <w:r>
        <w:t>.  [¶] (H) The enhancement is based on a prior conviction that is over five years old.  [¶] (I) Though a firearm was used in the current offense, it was inoperable or unloaded.”  (</w:t>
      </w:r>
      <w:r w:rsidRPr="0067193B">
        <w:t>§ </w:t>
      </w:r>
      <w:r>
        <w:t>1385(c)(2)</w:t>
      </w:r>
      <w:r w:rsidR="00B43AE1">
        <w:t>(A)-(I)</w:t>
      </w:r>
      <w:r>
        <w:t xml:space="preserve">.)  </w:t>
      </w:r>
    </w:p>
    <w:p w:rsidR="0095109C" w:rsidP="001F2D58" w14:paraId="641E1A05" w14:textId="77777777">
      <w:pPr>
        <w:pStyle w:val="FootnoteText"/>
      </w:pPr>
    </w:p>
    <w:p w:rsidR="00413E51" w:rsidP="001F2D58" w14:paraId="4B0145EC" w14:textId="4715D249">
      <w:pPr>
        <w:pStyle w:val="FootnoteText"/>
        <w:mirrorIndents/>
      </w:pPr>
      <w:r>
        <w:tab/>
      </w:r>
      <w:r>
        <w:tab/>
      </w:r>
      <w:r w:rsidR="00ED5AE1">
        <w:t>Senate Bill 81</w:t>
      </w:r>
      <w:r>
        <w:t xml:space="preserve"> initially listed these circumstances under </w:t>
      </w:r>
      <w:r w:rsidR="00FC211B">
        <w:t>section 1385</w:t>
      </w:r>
      <w:r>
        <w:t>(c)(3), apparently because of a clerical error.  (</w:t>
      </w:r>
      <w:r w:rsidRPr="001F2D58">
        <w:rPr>
          <w:i/>
          <w:iCs/>
        </w:rPr>
        <w:t>People v. Sek</w:t>
      </w:r>
      <w:r>
        <w:t xml:space="preserve"> (2022) 74 Cal.App.5th 657, 674, fn. 7.). A </w:t>
      </w:r>
      <w:r w:rsidR="0003265C">
        <w:t>later</w:t>
      </w:r>
      <w:r>
        <w:t xml:space="preserve"> amendment moved them to </w:t>
      </w:r>
      <w:r w:rsidR="00B43AE1">
        <w:t>section 1385</w:t>
      </w:r>
      <w:r>
        <w:t>(c)(2), with no change in substance.  (</w:t>
      </w:r>
      <w:r w:rsidRPr="001F2D58">
        <w:rPr>
          <w:i/>
          <w:iCs/>
        </w:rPr>
        <w:t>People v. Lipscomb</w:t>
      </w:r>
      <w:r w:rsidRPr="00B43AE1" w:rsidR="00FC211B">
        <w:rPr>
          <w:i/>
          <w:iCs/>
        </w:rPr>
        <w:t>,</w:t>
      </w:r>
      <w:r w:rsidR="00FC211B">
        <w:t xml:space="preserve"> </w:t>
      </w:r>
      <w:r w:rsidRPr="00976545" w:rsidR="00FC211B">
        <w:rPr>
          <w:i/>
          <w:iCs/>
        </w:rPr>
        <w:t>supra</w:t>
      </w:r>
      <w:r w:rsidRPr="00976545" w:rsidR="00FC211B">
        <w:t>,</w:t>
      </w:r>
      <w:r>
        <w:t xml:space="preserve"> 87 Cal.App.5th </w:t>
      </w:r>
      <w:r w:rsidR="00FC211B">
        <w:t>at p.</w:t>
      </w:r>
      <w:r>
        <w:t xml:space="preserve"> 16, fn. 3.)</w:t>
      </w:r>
    </w:p>
  </w:footnote>
  <w:footnote w:id="9">
    <w:p w:rsidR="00763DCD" w:rsidP="00A078AA" w14:paraId="3DF4C96D" w14:textId="1DCBBD10">
      <w:pPr>
        <w:pStyle w:val="FootnoteText"/>
      </w:pPr>
      <w:r>
        <w:rPr>
          <w:rStyle w:val="FootnoteReference"/>
        </w:rPr>
        <w:footnoteRef/>
      </w:r>
      <w:r>
        <w:t xml:space="preserve"> </w:t>
      </w:r>
      <w:r>
        <w:tab/>
      </w:r>
      <w:r>
        <w:tab/>
      </w:r>
      <w:r w:rsidRPr="00A078AA" w:rsidR="00A078AA">
        <w:t>McDowell</w:t>
      </w:r>
      <w:r w:rsidR="00A078AA">
        <w:t xml:space="preserve">’s argument that the trial court abused its discretion rests on his incorrect assumption that section 1385(c) constrained the court’s discretion.  </w:t>
      </w:r>
      <w:r w:rsidR="00C2017F">
        <w:t xml:space="preserve">He asserts no abuse of discretion independent from this provision.  </w:t>
      </w:r>
      <w:r w:rsidRPr="00A078AA" w:rsidR="00A078AA">
        <w:t>McDowell</w:t>
      </w:r>
      <w:r w:rsidR="00A078AA">
        <w:t xml:space="preserve"> </w:t>
      </w:r>
      <w:r w:rsidR="009C6D22">
        <w:t xml:space="preserve">also </w:t>
      </w:r>
      <w:r>
        <w:t>does not argue</w:t>
      </w:r>
      <w:r w:rsidR="00B676F8">
        <w:t xml:space="preserve"> that section 1385(c) required the trial court to dismiss his one-year firearm enhancement under </w:t>
      </w:r>
      <w:r w:rsidR="0095109C">
        <w:t xml:space="preserve">Penal Code </w:t>
      </w:r>
      <w:r w:rsidR="00B676F8">
        <w:t xml:space="preserve">section </w:t>
      </w:r>
      <w:r w:rsidRPr="00B676F8" w:rsidR="00B676F8">
        <w:t>12022</w:t>
      </w:r>
      <w:r w:rsidR="00B676F8">
        <w:t xml:space="preserve">, subdivision </w:t>
      </w:r>
      <w:r w:rsidRPr="00B676F8" w:rsidR="00B676F8">
        <w:t>(a)(1)</w:t>
      </w:r>
      <w:r w:rsidR="00B676F8">
        <w:t xml:space="preserve">.  </w:t>
      </w:r>
      <w:r w:rsidR="00C2017F">
        <w:t>We therefore do not consider these issues.</w:t>
      </w:r>
      <w:r w:rsidR="00B676F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301" w14:paraId="55B6D45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301" w14:paraId="54AE701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301" w14:paraId="2399D55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8C"/>
    <w:rsid w:val="00006534"/>
    <w:rsid w:val="00010653"/>
    <w:rsid w:val="00025ED5"/>
    <w:rsid w:val="000265A1"/>
    <w:rsid w:val="0003265C"/>
    <w:rsid w:val="00056D13"/>
    <w:rsid w:val="000846B4"/>
    <w:rsid w:val="000A0C87"/>
    <w:rsid w:val="000A1B3A"/>
    <w:rsid w:val="000A33D5"/>
    <w:rsid w:val="000A7C8C"/>
    <w:rsid w:val="000B2A83"/>
    <w:rsid w:val="000C7D84"/>
    <w:rsid w:val="000D2211"/>
    <w:rsid w:val="000E0A34"/>
    <w:rsid w:val="000F028F"/>
    <w:rsid w:val="001000E3"/>
    <w:rsid w:val="00101FD9"/>
    <w:rsid w:val="00103F8D"/>
    <w:rsid w:val="001058F0"/>
    <w:rsid w:val="0010692C"/>
    <w:rsid w:val="001106FF"/>
    <w:rsid w:val="0014433A"/>
    <w:rsid w:val="00144676"/>
    <w:rsid w:val="0015496A"/>
    <w:rsid w:val="00154C29"/>
    <w:rsid w:val="00190F75"/>
    <w:rsid w:val="001B2169"/>
    <w:rsid w:val="001B2B23"/>
    <w:rsid w:val="001B75B6"/>
    <w:rsid w:val="001E469F"/>
    <w:rsid w:val="001F1B0D"/>
    <w:rsid w:val="001F1F83"/>
    <w:rsid w:val="001F2D58"/>
    <w:rsid w:val="001F3C67"/>
    <w:rsid w:val="00200E69"/>
    <w:rsid w:val="002122F3"/>
    <w:rsid w:val="002123C9"/>
    <w:rsid w:val="002138A2"/>
    <w:rsid w:val="002163F1"/>
    <w:rsid w:val="00221787"/>
    <w:rsid w:val="002277E3"/>
    <w:rsid w:val="00234228"/>
    <w:rsid w:val="002349BF"/>
    <w:rsid w:val="00240274"/>
    <w:rsid w:val="002433CD"/>
    <w:rsid w:val="00243545"/>
    <w:rsid w:val="002525E9"/>
    <w:rsid w:val="00252D59"/>
    <w:rsid w:val="0025386D"/>
    <w:rsid w:val="002624FB"/>
    <w:rsid w:val="00272C56"/>
    <w:rsid w:val="002758E5"/>
    <w:rsid w:val="00277D63"/>
    <w:rsid w:val="0029070E"/>
    <w:rsid w:val="00291F99"/>
    <w:rsid w:val="002A420E"/>
    <w:rsid w:val="002A55AF"/>
    <w:rsid w:val="002B2599"/>
    <w:rsid w:val="002B32A9"/>
    <w:rsid w:val="002B639B"/>
    <w:rsid w:val="002C577D"/>
    <w:rsid w:val="002D2A87"/>
    <w:rsid w:val="002D4C4E"/>
    <w:rsid w:val="002E465B"/>
    <w:rsid w:val="0030155B"/>
    <w:rsid w:val="00310ADE"/>
    <w:rsid w:val="00320B52"/>
    <w:rsid w:val="00336B65"/>
    <w:rsid w:val="00341741"/>
    <w:rsid w:val="003438A6"/>
    <w:rsid w:val="00354CDC"/>
    <w:rsid w:val="003712E5"/>
    <w:rsid w:val="00383BAC"/>
    <w:rsid w:val="00385044"/>
    <w:rsid w:val="00386FAF"/>
    <w:rsid w:val="003907EA"/>
    <w:rsid w:val="003B6493"/>
    <w:rsid w:val="003D27C2"/>
    <w:rsid w:val="003D41BC"/>
    <w:rsid w:val="003E693C"/>
    <w:rsid w:val="003F4249"/>
    <w:rsid w:val="00406C89"/>
    <w:rsid w:val="00413E51"/>
    <w:rsid w:val="0041535B"/>
    <w:rsid w:val="004154CD"/>
    <w:rsid w:val="0041622C"/>
    <w:rsid w:val="00420A96"/>
    <w:rsid w:val="00430F3B"/>
    <w:rsid w:val="00432799"/>
    <w:rsid w:val="00440402"/>
    <w:rsid w:val="00464513"/>
    <w:rsid w:val="00466986"/>
    <w:rsid w:val="00467155"/>
    <w:rsid w:val="0047162A"/>
    <w:rsid w:val="00473765"/>
    <w:rsid w:val="004762E6"/>
    <w:rsid w:val="004B0909"/>
    <w:rsid w:val="004B40DB"/>
    <w:rsid w:val="004B429B"/>
    <w:rsid w:val="004B529D"/>
    <w:rsid w:val="004B58B7"/>
    <w:rsid w:val="004C683D"/>
    <w:rsid w:val="004D42D1"/>
    <w:rsid w:val="004D7567"/>
    <w:rsid w:val="004E5013"/>
    <w:rsid w:val="00511798"/>
    <w:rsid w:val="00514487"/>
    <w:rsid w:val="005164E9"/>
    <w:rsid w:val="00517BE2"/>
    <w:rsid w:val="005273D0"/>
    <w:rsid w:val="0054107C"/>
    <w:rsid w:val="005432AE"/>
    <w:rsid w:val="00555F3F"/>
    <w:rsid w:val="00566D58"/>
    <w:rsid w:val="00567C21"/>
    <w:rsid w:val="00572156"/>
    <w:rsid w:val="005763CD"/>
    <w:rsid w:val="00586FC0"/>
    <w:rsid w:val="0058735E"/>
    <w:rsid w:val="00587BE1"/>
    <w:rsid w:val="00592BFB"/>
    <w:rsid w:val="0059519B"/>
    <w:rsid w:val="005A0A2D"/>
    <w:rsid w:val="005B5650"/>
    <w:rsid w:val="005C0B4B"/>
    <w:rsid w:val="005C4C88"/>
    <w:rsid w:val="005C681E"/>
    <w:rsid w:val="005D3E37"/>
    <w:rsid w:val="005D506F"/>
    <w:rsid w:val="005E77E6"/>
    <w:rsid w:val="005F261C"/>
    <w:rsid w:val="005F5B29"/>
    <w:rsid w:val="00602926"/>
    <w:rsid w:val="00604732"/>
    <w:rsid w:val="006123FE"/>
    <w:rsid w:val="00630B43"/>
    <w:rsid w:val="00637F00"/>
    <w:rsid w:val="00644C11"/>
    <w:rsid w:val="006457DD"/>
    <w:rsid w:val="0065161D"/>
    <w:rsid w:val="006625EE"/>
    <w:rsid w:val="00665643"/>
    <w:rsid w:val="0067193B"/>
    <w:rsid w:val="00687893"/>
    <w:rsid w:val="00694DDA"/>
    <w:rsid w:val="006A0705"/>
    <w:rsid w:val="006B1F5E"/>
    <w:rsid w:val="006B2747"/>
    <w:rsid w:val="006D43A7"/>
    <w:rsid w:val="006E186D"/>
    <w:rsid w:val="006F09EB"/>
    <w:rsid w:val="006F1705"/>
    <w:rsid w:val="006F23F2"/>
    <w:rsid w:val="006F6C0B"/>
    <w:rsid w:val="0075451F"/>
    <w:rsid w:val="00760AE9"/>
    <w:rsid w:val="00763DCD"/>
    <w:rsid w:val="00765E3B"/>
    <w:rsid w:val="007A414E"/>
    <w:rsid w:val="007A4FF4"/>
    <w:rsid w:val="007B4962"/>
    <w:rsid w:val="007B63EB"/>
    <w:rsid w:val="007D36BA"/>
    <w:rsid w:val="007E4829"/>
    <w:rsid w:val="00803886"/>
    <w:rsid w:val="00814147"/>
    <w:rsid w:val="008178F3"/>
    <w:rsid w:val="00836258"/>
    <w:rsid w:val="00850D3B"/>
    <w:rsid w:val="00851AB9"/>
    <w:rsid w:val="00861C6C"/>
    <w:rsid w:val="0086711A"/>
    <w:rsid w:val="00885F87"/>
    <w:rsid w:val="008967C0"/>
    <w:rsid w:val="008A2DBC"/>
    <w:rsid w:val="008B19A5"/>
    <w:rsid w:val="008E2FA1"/>
    <w:rsid w:val="008F40C9"/>
    <w:rsid w:val="009216C5"/>
    <w:rsid w:val="00930F5F"/>
    <w:rsid w:val="00942B74"/>
    <w:rsid w:val="0095109C"/>
    <w:rsid w:val="009510F8"/>
    <w:rsid w:val="009522EB"/>
    <w:rsid w:val="0096095B"/>
    <w:rsid w:val="00960CD8"/>
    <w:rsid w:val="00960E0E"/>
    <w:rsid w:val="0096495D"/>
    <w:rsid w:val="00976545"/>
    <w:rsid w:val="00980BE4"/>
    <w:rsid w:val="00982230"/>
    <w:rsid w:val="009A208D"/>
    <w:rsid w:val="009A212E"/>
    <w:rsid w:val="009B32C3"/>
    <w:rsid w:val="009C44ED"/>
    <w:rsid w:val="009C6D22"/>
    <w:rsid w:val="009D68F0"/>
    <w:rsid w:val="009F2FAE"/>
    <w:rsid w:val="009F4FCF"/>
    <w:rsid w:val="00A02AAE"/>
    <w:rsid w:val="00A078AA"/>
    <w:rsid w:val="00A34E14"/>
    <w:rsid w:val="00A87C14"/>
    <w:rsid w:val="00A9286D"/>
    <w:rsid w:val="00A93427"/>
    <w:rsid w:val="00A95CFE"/>
    <w:rsid w:val="00AA6B8F"/>
    <w:rsid w:val="00AB1454"/>
    <w:rsid w:val="00AB5DEA"/>
    <w:rsid w:val="00AC3BB7"/>
    <w:rsid w:val="00AC6751"/>
    <w:rsid w:val="00AD1189"/>
    <w:rsid w:val="00AD139E"/>
    <w:rsid w:val="00AD3F84"/>
    <w:rsid w:val="00AD4697"/>
    <w:rsid w:val="00AF7AAA"/>
    <w:rsid w:val="00B14B54"/>
    <w:rsid w:val="00B14EEE"/>
    <w:rsid w:val="00B3025A"/>
    <w:rsid w:val="00B305F9"/>
    <w:rsid w:val="00B43AE1"/>
    <w:rsid w:val="00B43FDC"/>
    <w:rsid w:val="00B60C18"/>
    <w:rsid w:val="00B67260"/>
    <w:rsid w:val="00B676F8"/>
    <w:rsid w:val="00B72301"/>
    <w:rsid w:val="00B774B8"/>
    <w:rsid w:val="00B8215A"/>
    <w:rsid w:val="00B974E8"/>
    <w:rsid w:val="00BA7A08"/>
    <w:rsid w:val="00BB12A2"/>
    <w:rsid w:val="00BB5E85"/>
    <w:rsid w:val="00BC0054"/>
    <w:rsid w:val="00BC1513"/>
    <w:rsid w:val="00BC56AA"/>
    <w:rsid w:val="00BC6B02"/>
    <w:rsid w:val="00BF1F97"/>
    <w:rsid w:val="00C02166"/>
    <w:rsid w:val="00C06E14"/>
    <w:rsid w:val="00C13C3C"/>
    <w:rsid w:val="00C15DAE"/>
    <w:rsid w:val="00C2017F"/>
    <w:rsid w:val="00C36FE0"/>
    <w:rsid w:val="00C564B1"/>
    <w:rsid w:val="00C631D9"/>
    <w:rsid w:val="00C85D95"/>
    <w:rsid w:val="00CC11A0"/>
    <w:rsid w:val="00CE64F8"/>
    <w:rsid w:val="00CF178D"/>
    <w:rsid w:val="00D0439A"/>
    <w:rsid w:val="00D10773"/>
    <w:rsid w:val="00D22E85"/>
    <w:rsid w:val="00D339A0"/>
    <w:rsid w:val="00D42B76"/>
    <w:rsid w:val="00D537C6"/>
    <w:rsid w:val="00D57794"/>
    <w:rsid w:val="00D63E57"/>
    <w:rsid w:val="00D677C0"/>
    <w:rsid w:val="00D75159"/>
    <w:rsid w:val="00DA3671"/>
    <w:rsid w:val="00DA414E"/>
    <w:rsid w:val="00DA5D11"/>
    <w:rsid w:val="00DB29DE"/>
    <w:rsid w:val="00DB6F16"/>
    <w:rsid w:val="00DE3547"/>
    <w:rsid w:val="00DF1798"/>
    <w:rsid w:val="00DF32C8"/>
    <w:rsid w:val="00DF6E04"/>
    <w:rsid w:val="00E27502"/>
    <w:rsid w:val="00E32C4D"/>
    <w:rsid w:val="00E34D9B"/>
    <w:rsid w:val="00E359B1"/>
    <w:rsid w:val="00E63F42"/>
    <w:rsid w:val="00E87A0A"/>
    <w:rsid w:val="00E9559C"/>
    <w:rsid w:val="00E97E67"/>
    <w:rsid w:val="00EC2E89"/>
    <w:rsid w:val="00ED5AE1"/>
    <w:rsid w:val="00ED7D92"/>
    <w:rsid w:val="00F0022A"/>
    <w:rsid w:val="00F25052"/>
    <w:rsid w:val="00F34AB0"/>
    <w:rsid w:val="00F464A0"/>
    <w:rsid w:val="00F538E6"/>
    <w:rsid w:val="00F76F8F"/>
    <w:rsid w:val="00F83FD1"/>
    <w:rsid w:val="00FA5C57"/>
    <w:rsid w:val="00FB1D02"/>
    <w:rsid w:val="00FB2474"/>
    <w:rsid w:val="00FB2B0A"/>
    <w:rsid w:val="00FC211B"/>
    <w:rsid w:val="00FC2B80"/>
    <w:rsid w:val="00FD5C75"/>
    <w:rsid w:val="00FE4409"/>
    <w:rsid w:val="00FF0209"/>
    <w:rsid w:val="00FF7E6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position w:val="6"/>
        <w:lang w:val="en-US" w:eastAsia="en-US" w:bidi="ar-SA"/>
      </w:rPr>
    </w:rPrDefault>
    <w:pPrDefault>
      <w:pPr>
        <w:spacing w:line="4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A5"/>
    <w:rPr>
      <w:rFonts w:asciiTheme="minorHAnsi" w:hAnsiTheme="minorHAnsi"/>
      <w:position w:val="0"/>
      <w:sz w:val="26"/>
      <w:szCs w:val="26"/>
    </w:rPr>
  </w:style>
  <w:style w:type="paragraph" w:styleId="Heading1">
    <w:name w:val="heading 1"/>
    <w:basedOn w:val="Normal"/>
    <w:next w:val="Normal"/>
    <w:link w:val="Heading1Char"/>
    <w:uiPriority w:val="9"/>
    <w:qFormat/>
    <w:rsid w:val="0075451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5451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5451F"/>
    <w:pPr>
      <w:keepNext/>
      <w:spacing w:before="240" w:after="60"/>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rsid w:val="0075451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75451F"/>
    <w:pPr>
      <w:spacing w:before="240" w:after="60"/>
      <w:outlineLvl w:val="4"/>
    </w:pPr>
    <w:rPr>
      <w:b/>
      <w:bCs/>
      <w:i/>
      <w:iCs/>
    </w:rPr>
  </w:style>
  <w:style w:type="paragraph" w:styleId="Heading6">
    <w:name w:val="heading 6"/>
    <w:basedOn w:val="Normal"/>
    <w:next w:val="Normal"/>
    <w:link w:val="Heading6Char"/>
    <w:uiPriority w:val="9"/>
    <w:semiHidden/>
    <w:unhideWhenUsed/>
    <w:qFormat/>
    <w:rsid w:val="0075451F"/>
    <w:pPr>
      <w:spacing w:before="240" w:after="60"/>
      <w:outlineLvl w:val="5"/>
    </w:pPr>
    <w:rPr>
      <w:b/>
      <w:bCs/>
    </w:rPr>
  </w:style>
  <w:style w:type="paragraph" w:styleId="Heading7">
    <w:name w:val="heading 7"/>
    <w:basedOn w:val="Normal"/>
    <w:next w:val="Normal"/>
    <w:link w:val="Heading7Char"/>
    <w:uiPriority w:val="9"/>
    <w:semiHidden/>
    <w:unhideWhenUsed/>
    <w:qFormat/>
    <w:rsid w:val="0075451F"/>
    <w:pPr>
      <w:spacing w:before="240" w:after="60"/>
      <w:outlineLvl w:val="6"/>
    </w:pPr>
    <w:rPr>
      <w:sz w:val="24"/>
    </w:rPr>
  </w:style>
  <w:style w:type="paragraph" w:styleId="Heading8">
    <w:name w:val="heading 8"/>
    <w:basedOn w:val="Normal"/>
    <w:next w:val="Normal"/>
    <w:link w:val="Heading8Char"/>
    <w:uiPriority w:val="9"/>
    <w:semiHidden/>
    <w:unhideWhenUsed/>
    <w:qFormat/>
    <w:rsid w:val="0075451F"/>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5451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51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5451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5451F"/>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75451F"/>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75451F"/>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75451F"/>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75451F"/>
    <w:rPr>
      <w:rFonts w:asciiTheme="majorHAnsi" w:eastAsiaTheme="majorEastAsia" w:hAnsiTheme="majorHAnsi"/>
    </w:rPr>
  </w:style>
  <w:style w:type="paragraph" w:styleId="Title">
    <w:name w:val="Title"/>
    <w:basedOn w:val="Normal"/>
    <w:next w:val="Normal"/>
    <w:link w:val="TitleChar"/>
    <w:uiPriority w:val="10"/>
    <w:qFormat/>
    <w:rsid w:val="0075451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5451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5451F"/>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5451F"/>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75451F"/>
    <w:pPr>
      <w:outlineLvl w:val="9"/>
    </w:pPr>
  </w:style>
  <w:style w:type="character" w:customStyle="1" w:styleId="Heading4Char">
    <w:name w:val="Heading 4 Char"/>
    <w:basedOn w:val="DefaultParagraphFont"/>
    <w:link w:val="Heading4"/>
    <w:uiPriority w:val="9"/>
    <w:semiHidden/>
    <w:rsid w:val="0075451F"/>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75451F"/>
    <w:rPr>
      <w:rFonts w:ascii="Times New Roman" w:eastAsia="Times New Roman" w:hAnsi="Times New Roman"/>
      <w:b/>
      <w:bCs/>
      <w:i/>
      <w:iCs/>
    </w:rPr>
  </w:style>
  <w:style w:type="character" w:styleId="Strong">
    <w:name w:val="Strong"/>
    <w:basedOn w:val="DefaultParagraphFont"/>
    <w:uiPriority w:val="22"/>
    <w:rsid w:val="0075451F"/>
    <w:rPr>
      <w:b/>
      <w:bCs/>
    </w:rPr>
  </w:style>
  <w:style w:type="character" w:styleId="Emphasis">
    <w:name w:val="Emphasis"/>
    <w:basedOn w:val="DefaultParagraphFont"/>
    <w:uiPriority w:val="20"/>
    <w:rsid w:val="0075451F"/>
    <w:rPr>
      <w:rFonts w:asciiTheme="minorHAnsi" w:hAnsiTheme="minorHAnsi"/>
      <w:b/>
      <w:i/>
      <w:iCs/>
    </w:rPr>
  </w:style>
  <w:style w:type="paragraph" w:styleId="NoSpacing">
    <w:name w:val="No Spacing"/>
    <w:basedOn w:val="Normal"/>
    <w:uiPriority w:val="1"/>
    <w:rsid w:val="0075451F"/>
    <w:rPr>
      <w:szCs w:val="32"/>
    </w:rPr>
  </w:style>
  <w:style w:type="paragraph" w:styleId="ListParagraph">
    <w:name w:val="List Paragraph"/>
    <w:basedOn w:val="Normal"/>
    <w:uiPriority w:val="34"/>
    <w:rsid w:val="0075451F"/>
    <w:pPr>
      <w:ind w:left="720"/>
      <w:contextualSpacing/>
    </w:pPr>
  </w:style>
  <w:style w:type="paragraph" w:styleId="Quote">
    <w:name w:val="Quote"/>
    <w:basedOn w:val="Normal"/>
    <w:next w:val="Normal"/>
    <w:link w:val="QuoteChar"/>
    <w:uiPriority w:val="29"/>
    <w:rsid w:val="0075451F"/>
    <w:rPr>
      <w:i/>
    </w:rPr>
  </w:style>
  <w:style w:type="character" w:customStyle="1" w:styleId="QuoteChar">
    <w:name w:val="Quote Char"/>
    <w:basedOn w:val="DefaultParagraphFont"/>
    <w:link w:val="Quote"/>
    <w:uiPriority w:val="29"/>
    <w:rsid w:val="0075451F"/>
    <w:rPr>
      <w:rFonts w:ascii="Times New Roman" w:eastAsia="Times New Roman" w:hAnsi="Times New Roman"/>
      <w:i/>
      <w:szCs w:val="20"/>
    </w:rPr>
  </w:style>
  <w:style w:type="paragraph" w:styleId="IntenseQuote">
    <w:name w:val="Intense Quote"/>
    <w:basedOn w:val="Normal"/>
    <w:next w:val="Normal"/>
    <w:link w:val="IntenseQuoteChar"/>
    <w:uiPriority w:val="30"/>
    <w:rsid w:val="0075451F"/>
    <w:pPr>
      <w:ind w:left="720" w:right="720"/>
    </w:pPr>
    <w:rPr>
      <w:b/>
      <w:i/>
      <w:szCs w:val="22"/>
    </w:rPr>
  </w:style>
  <w:style w:type="character" w:customStyle="1" w:styleId="IntenseQuoteChar">
    <w:name w:val="Intense Quote Char"/>
    <w:basedOn w:val="DefaultParagraphFont"/>
    <w:link w:val="IntenseQuote"/>
    <w:uiPriority w:val="30"/>
    <w:rsid w:val="0075451F"/>
    <w:rPr>
      <w:rFonts w:ascii="Times New Roman" w:eastAsia="Times New Roman" w:hAnsi="Times New Roman"/>
      <w:b/>
      <w:i/>
      <w:szCs w:val="22"/>
    </w:rPr>
  </w:style>
  <w:style w:type="character" w:styleId="SubtleEmphasis">
    <w:name w:val="Subtle Emphasis"/>
    <w:uiPriority w:val="19"/>
    <w:rsid w:val="0075451F"/>
    <w:rPr>
      <w:i/>
      <w:color w:val="5A5A5A" w:themeColor="text1" w:themeTint="A5"/>
    </w:rPr>
  </w:style>
  <w:style w:type="character" w:styleId="IntenseEmphasis">
    <w:name w:val="Intense Emphasis"/>
    <w:basedOn w:val="DefaultParagraphFont"/>
    <w:uiPriority w:val="21"/>
    <w:rsid w:val="0075451F"/>
    <w:rPr>
      <w:b/>
      <w:i/>
      <w:sz w:val="24"/>
      <w:szCs w:val="24"/>
      <w:u w:val="single"/>
    </w:rPr>
  </w:style>
  <w:style w:type="character" w:styleId="SubtleReference">
    <w:name w:val="Subtle Reference"/>
    <w:basedOn w:val="DefaultParagraphFont"/>
    <w:uiPriority w:val="31"/>
    <w:rsid w:val="0075451F"/>
    <w:rPr>
      <w:sz w:val="24"/>
      <w:szCs w:val="24"/>
      <w:u w:val="single"/>
    </w:rPr>
  </w:style>
  <w:style w:type="character" w:styleId="IntenseReference">
    <w:name w:val="Intense Reference"/>
    <w:basedOn w:val="DefaultParagraphFont"/>
    <w:uiPriority w:val="32"/>
    <w:rsid w:val="0075451F"/>
    <w:rPr>
      <w:b/>
      <w:sz w:val="24"/>
      <w:u w:val="single"/>
    </w:rPr>
  </w:style>
  <w:style w:type="character" w:styleId="BookTitle">
    <w:name w:val="Book Title"/>
    <w:basedOn w:val="DefaultParagraphFont"/>
    <w:uiPriority w:val="33"/>
    <w:rsid w:val="0075451F"/>
    <w:rPr>
      <w:rFonts w:asciiTheme="majorHAnsi" w:eastAsiaTheme="majorEastAsia" w:hAnsiTheme="majorHAnsi"/>
      <w:b/>
      <w:i/>
      <w:sz w:val="24"/>
      <w:szCs w:val="24"/>
    </w:rPr>
  </w:style>
  <w:style w:type="paragraph" w:styleId="EnvelopeAddress">
    <w:name w:val="envelope address"/>
    <w:basedOn w:val="Normal"/>
    <w:rsid w:val="0075451F"/>
    <w:pPr>
      <w:framePr w:w="7920" w:h="1980" w:hRule="exact" w:hSpace="180" w:wrap="auto" w:hAnchor="page" w:xAlign="center" w:yAlign="bottom"/>
      <w:ind w:left="2880"/>
    </w:pPr>
  </w:style>
  <w:style w:type="paragraph" w:styleId="EnvelopeReturn">
    <w:name w:val="envelope return"/>
    <w:basedOn w:val="Normal"/>
    <w:rsid w:val="0075451F"/>
  </w:style>
  <w:style w:type="paragraph" w:styleId="Footer">
    <w:name w:val="footer"/>
    <w:basedOn w:val="Normal"/>
    <w:link w:val="FooterChar"/>
    <w:rsid w:val="0075451F"/>
    <w:pPr>
      <w:tabs>
        <w:tab w:val="center" w:pos="4320"/>
        <w:tab w:val="right" w:pos="8640"/>
      </w:tabs>
      <w:spacing w:line="520" w:lineRule="exact"/>
    </w:pPr>
  </w:style>
  <w:style w:type="character" w:customStyle="1" w:styleId="FooterChar">
    <w:name w:val="Footer Char"/>
    <w:basedOn w:val="DefaultParagraphFont"/>
    <w:link w:val="Footer"/>
    <w:rsid w:val="0075451F"/>
    <w:rPr>
      <w:rFonts w:ascii="Times New Roman" w:eastAsia="Times New Roman" w:hAnsi="Times New Roman"/>
      <w:szCs w:val="20"/>
    </w:rPr>
  </w:style>
  <w:style w:type="character" w:styleId="FootnoteReference">
    <w:name w:val="footnote reference"/>
    <w:basedOn w:val="FooterChar"/>
    <w:rsid w:val="000C7D84"/>
    <w:rPr>
      <w:rFonts w:ascii="Times New Roman" w:eastAsia="Times New Roman" w:hAnsi="Times New Roman" w:cs="Times New Roman"/>
      <w:b w:val="0"/>
      <w:bCs w:val="0"/>
      <w:iCs w:val="0"/>
      <w:caps w:val="0"/>
      <w:smallCaps w:val="0"/>
      <w:strike w:val="0"/>
      <w:dstrike w:val="0"/>
      <w:outline w:val="0"/>
      <w:shadow w:val="0"/>
      <w:emboss w:val="0"/>
      <w:imprint w:val="0"/>
      <w:vanish w:val="0"/>
      <w:color w:val="000000" w:themeColor="text1"/>
      <w:kern w:val="0"/>
      <w:position w:val="0"/>
      <w:sz w:val="26"/>
      <w:szCs w:val="26"/>
      <w:vertAlign w:val="superscript"/>
    </w:rPr>
  </w:style>
  <w:style w:type="paragraph" w:styleId="FootnoteText">
    <w:name w:val="footnote text"/>
    <w:basedOn w:val="Normal"/>
    <w:link w:val="FootnoteTextChar"/>
    <w:autoRedefine/>
    <w:rsid w:val="001F2D58"/>
    <w:pPr>
      <w:keepLines/>
      <w:widowControl w:val="0"/>
      <w:spacing w:line="240" w:lineRule="auto"/>
    </w:pPr>
    <w:rPr>
      <w:rFonts w:ascii="Times New Roman" w:hAnsi="Times New Roman"/>
      <w:color w:val="000000" w:themeColor="text1"/>
      <w:szCs w:val="20"/>
    </w:rPr>
  </w:style>
  <w:style w:type="character" w:customStyle="1" w:styleId="FootnoteTextChar">
    <w:name w:val="Footnote Text Char"/>
    <w:basedOn w:val="DefaultParagraphFont"/>
    <w:link w:val="FootnoteText"/>
    <w:rsid w:val="001F2D58"/>
    <w:rPr>
      <w:color w:val="000000" w:themeColor="text1"/>
      <w:position w:val="0"/>
      <w:sz w:val="26"/>
    </w:rPr>
  </w:style>
  <w:style w:type="paragraph" w:styleId="Header">
    <w:name w:val="header"/>
    <w:basedOn w:val="Normal"/>
    <w:link w:val="HeaderChar"/>
    <w:rsid w:val="0075451F"/>
    <w:pPr>
      <w:tabs>
        <w:tab w:val="center" w:pos="4320"/>
        <w:tab w:val="right" w:pos="8640"/>
      </w:tabs>
    </w:pPr>
  </w:style>
  <w:style w:type="character" w:customStyle="1" w:styleId="HeaderChar">
    <w:name w:val="Header Char"/>
    <w:basedOn w:val="DefaultParagraphFont"/>
    <w:link w:val="Header"/>
    <w:rsid w:val="0075451F"/>
    <w:rPr>
      <w:rFonts w:ascii="Times New Roman" w:eastAsia="Times New Roman" w:hAnsi="Times New Roman"/>
      <w:szCs w:val="20"/>
    </w:rPr>
  </w:style>
  <w:style w:type="paragraph" w:customStyle="1" w:styleId="IndentedQuote">
    <w:name w:val="IndentedQuote"/>
    <w:basedOn w:val="Normal"/>
    <w:rsid w:val="0075451F"/>
    <w:pPr>
      <w:spacing w:line="260" w:lineRule="exact"/>
      <w:ind w:left="1080" w:right="1080"/>
    </w:pPr>
  </w:style>
  <w:style w:type="paragraph" w:styleId="Macro">
    <w:name w:val="macro"/>
    <w:link w:val="MacroTextChar"/>
    <w:semiHidden/>
    <w:rsid w:val="0075451F"/>
    <w:pPr>
      <w:tabs>
        <w:tab w:val="left" w:pos="480"/>
        <w:tab w:val="left" w:pos="960"/>
        <w:tab w:val="left" w:pos="1440"/>
        <w:tab w:val="left" w:pos="1920"/>
        <w:tab w:val="left" w:pos="2400"/>
        <w:tab w:val="left" w:pos="2880"/>
        <w:tab w:val="left" w:pos="3360"/>
        <w:tab w:val="left" w:pos="3840"/>
        <w:tab w:val="left" w:pos="4320"/>
      </w:tabs>
    </w:pPr>
    <w:rPr>
      <w:sz w:val="22"/>
    </w:rPr>
  </w:style>
  <w:style w:type="character" w:customStyle="1" w:styleId="MacroTextChar">
    <w:name w:val="Macro Text Char"/>
    <w:basedOn w:val="DefaultParagraphFont"/>
    <w:link w:val="Macro"/>
    <w:semiHidden/>
    <w:rsid w:val="0075451F"/>
    <w:rPr>
      <w:rFonts w:ascii="Times New Roman" w:eastAsia="Times New Roman" w:hAnsi="Times New Roman"/>
      <w:sz w:val="22"/>
      <w:szCs w:val="20"/>
    </w:rPr>
  </w:style>
  <w:style w:type="character" w:styleId="PageNumber">
    <w:name w:val="page number"/>
    <w:basedOn w:val="DefaultParagraphFont"/>
    <w:rsid w:val="0075451F"/>
  </w:style>
  <w:style w:type="paragraph" w:styleId="BodyText">
    <w:name w:val="Body Text"/>
    <w:basedOn w:val="Normal"/>
    <w:link w:val="BodyTextChar"/>
    <w:autoRedefine/>
    <w:uiPriority w:val="99"/>
    <w:semiHidden/>
    <w:unhideWhenUsed/>
    <w:qFormat/>
    <w:rsid w:val="008A2DBC"/>
    <w:pPr>
      <w:ind w:firstLine="1440"/>
    </w:pPr>
    <w:rPr>
      <w:rFonts w:ascii="Times New Roman" w:hAnsi="Times New Roman"/>
      <w:position w:val="6"/>
      <w:sz w:val="20"/>
      <w:szCs w:val="20"/>
    </w:rPr>
  </w:style>
  <w:style w:type="character" w:customStyle="1" w:styleId="BodyTextChar">
    <w:name w:val="Body Text Char"/>
    <w:basedOn w:val="DefaultParagraphFont"/>
    <w:link w:val="BodyText"/>
    <w:uiPriority w:val="99"/>
    <w:semiHidden/>
    <w:rsid w:val="008A2DBC"/>
  </w:style>
  <w:style w:type="paragraph" w:customStyle="1" w:styleId="Body">
    <w:name w:val="Body"/>
    <w:basedOn w:val="Normal"/>
    <w:link w:val="BodyChar"/>
    <w:qFormat/>
    <w:rsid w:val="008B19A5"/>
    <w:pPr>
      <w:tabs>
        <w:tab w:val="left" w:pos="1440"/>
        <w:tab w:val="left" w:pos="2880"/>
        <w:tab w:val="left" w:pos="4320"/>
        <w:tab w:val="left" w:pos="5760"/>
        <w:tab w:val="left" w:pos="7200"/>
        <w:tab w:val="left" w:pos="8640"/>
      </w:tabs>
      <w:ind w:firstLine="1440"/>
    </w:pPr>
    <w:rPr>
      <w:lang w:bidi="he-IL"/>
    </w:rPr>
  </w:style>
  <w:style w:type="character" w:customStyle="1" w:styleId="BodyChar">
    <w:name w:val="Body Char"/>
    <w:basedOn w:val="DefaultParagraphFont"/>
    <w:link w:val="Body"/>
    <w:rsid w:val="008B19A5"/>
    <w:rPr>
      <w:rFonts w:asciiTheme="minorHAnsi" w:hAnsiTheme="minorHAnsi"/>
      <w:position w:val="0"/>
      <w:sz w:val="26"/>
      <w:szCs w:val="26"/>
      <w:lang w:bidi="he-IL"/>
    </w:rPr>
  </w:style>
  <w:style w:type="character" w:customStyle="1" w:styleId="costarpage">
    <w:name w:val="co_starpage"/>
    <w:basedOn w:val="DefaultParagraphFont"/>
    <w:rsid w:val="0046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2A73A-1D23-4DD0-985A-998B5262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2024-02-23T20:27:49Z</dcterms:created>
  <dcterms:modified xsi:type="dcterms:W3CDTF">2024-02-23T20:27:49Z</dcterms:modified>
</cp:coreProperties>
</file>