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105AD7" w:rsidRPr="002A1A2E" w:rsidP="00D57432" w14:paraId="412624AB" w14:textId="189BA0C2">
      <w:pPr>
        <w:spacing w:after="0" w:line="240" w:lineRule="auto"/>
        <w:rPr>
          <w:rFonts w:ascii="Times New Roman" w:eastAsia="Times New Roman" w:hAnsi="Times New Roman" w:cs="Times New Roman"/>
          <w:kern w:val="0"/>
          <w:sz w:val="20"/>
          <w:szCs w:val="20"/>
          <w14:ligatures w14:val="none"/>
        </w:rPr>
      </w:pPr>
      <w:r w:rsidRPr="002A1A2E">
        <w:rPr>
          <w:rFonts w:ascii="Times New Roman" w:eastAsia="Times New Roman" w:hAnsi="Times New Roman" w:cs="Times New Roman"/>
          <w:kern w:val="0"/>
          <w:sz w:val="20"/>
          <w:szCs w:val="20"/>
          <w14:ligatures w14:val="none"/>
        </w:rPr>
        <w:t>Filed 4/18/24</w:t>
      </w:r>
    </w:p>
    <w:p w:rsidR="00780910" w:rsidP="00105AD7" w14:paraId="5A49404F" w14:textId="77777777">
      <w:pPr>
        <w:spacing w:after="0" w:line="240" w:lineRule="auto"/>
        <w:jc w:val="center"/>
        <w:rPr>
          <w:rFonts w:ascii="Times New Roman" w:eastAsia="Times New Roman" w:hAnsi="Times New Roman" w:cs="Times New Roman"/>
          <w:kern w:val="0"/>
          <w:sz w:val="26"/>
          <w:szCs w:val="20"/>
          <w14:ligatures w14:val="none"/>
        </w:rPr>
      </w:pPr>
    </w:p>
    <w:p w:rsidR="00780910" w:rsidP="00105AD7" w14:paraId="5441D836" w14:textId="77777777">
      <w:pPr>
        <w:spacing w:after="0" w:line="240" w:lineRule="auto"/>
        <w:jc w:val="center"/>
        <w:rPr>
          <w:rFonts w:ascii="Times New Roman" w:eastAsia="Times New Roman" w:hAnsi="Times New Roman" w:cs="Times New Roman"/>
          <w:kern w:val="0"/>
          <w:sz w:val="26"/>
          <w:szCs w:val="20"/>
          <w14:ligatures w14:val="none"/>
        </w:rPr>
      </w:pPr>
    </w:p>
    <w:p w:rsidR="00780910" w:rsidRPr="00105AD7" w:rsidP="00105AD7" w14:paraId="797F611D" w14:textId="77777777">
      <w:pPr>
        <w:spacing w:after="0" w:line="240" w:lineRule="auto"/>
        <w:jc w:val="center"/>
        <w:rPr>
          <w:rFonts w:ascii="Times New Roman" w:eastAsia="Times New Roman" w:hAnsi="Times New Roman" w:cs="Times New Roman"/>
          <w:kern w:val="0"/>
          <w:sz w:val="26"/>
          <w:szCs w:val="20"/>
          <w14:ligatures w14:val="none"/>
        </w:rPr>
      </w:pPr>
    </w:p>
    <w:p w:rsidR="00FA01F8" w:rsidP="00105AD7" w14:paraId="422AD5D6" w14:textId="77777777">
      <w:pPr>
        <w:spacing w:after="0" w:line="240" w:lineRule="auto"/>
        <w:jc w:val="center"/>
        <w:rPr>
          <w:rFonts w:ascii="Times New Roman" w:eastAsia="Times New Roman" w:hAnsi="Times New Roman" w:cs="Times New Roman"/>
          <w:kern w:val="0"/>
          <w:sz w:val="26"/>
          <w:szCs w:val="20"/>
          <w14:ligatures w14:val="none"/>
        </w:rPr>
      </w:pPr>
    </w:p>
    <w:p w:rsidR="00677203" w:rsidP="00105AD7" w14:paraId="4D914B82" w14:textId="77777777">
      <w:pPr>
        <w:spacing w:after="0" w:line="240" w:lineRule="auto"/>
        <w:jc w:val="center"/>
        <w:rPr>
          <w:rFonts w:ascii="Times New Roman" w:eastAsia="Times New Roman" w:hAnsi="Times New Roman" w:cs="Times New Roman"/>
          <w:kern w:val="0"/>
          <w:sz w:val="26"/>
          <w:szCs w:val="20"/>
          <w14:ligatures w14:val="none"/>
        </w:rPr>
      </w:pPr>
    </w:p>
    <w:p w:rsidR="00691C23" w:rsidP="00105AD7" w14:paraId="7A70B972" w14:textId="77777777">
      <w:pPr>
        <w:spacing w:after="0" w:line="240" w:lineRule="auto"/>
        <w:jc w:val="center"/>
        <w:rPr>
          <w:rFonts w:ascii="Times New Roman" w:eastAsia="Times New Roman" w:hAnsi="Times New Roman" w:cs="Times New Roman"/>
          <w:kern w:val="0"/>
          <w:sz w:val="26"/>
          <w:szCs w:val="20"/>
          <w14:ligatures w14:val="none"/>
        </w:rPr>
      </w:pPr>
    </w:p>
    <w:p w:rsidR="00677203" w:rsidP="00105AD7" w14:paraId="61D0EE01" w14:textId="77777777">
      <w:pPr>
        <w:spacing w:after="0" w:line="240" w:lineRule="auto"/>
        <w:jc w:val="center"/>
        <w:rPr>
          <w:rFonts w:ascii="Times New Roman" w:eastAsia="Times New Roman" w:hAnsi="Times New Roman" w:cs="Times New Roman"/>
          <w:kern w:val="0"/>
          <w:sz w:val="26"/>
          <w:szCs w:val="20"/>
          <w14:ligatures w14:val="none"/>
        </w:rPr>
      </w:pPr>
    </w:p>
    <w:p w:rsidR="00691C23" w:rsidRPr="00691C23" w:rsidP="00105AD7" w14:paraId="64F6B009" w14:textId="0255759D">
      <w:pPr>
        <w:spacing w:after="0" w:line="240" w:lineRule="auto"/>
        <w:jc w:val="center"/>
        <w:rPr>
          <w:rFonts w:ascii="Times New Roman" w:eastAsia="Times New Roman" w:hAnsi="Times New Roman" w:cs="Times New Roman"/>
          <w:b/>
          <w:bCs/>
          <w:kern w:val="0"/>
          <w:sz w:val="26"/>
          <w:szCs w:val="20"/>
          <w14:ligatures w14:val="none"/>
        </w:rPr>
      </w:pPr>
      <w:r>
        <w:rPr>
          <w:rFonts w:ascii="Times New Roman" w:eastAsia="Times New Roman" w:hAnsi="Times New Roman" w:cs="Times New Roman"/>
          <w:b/>
          <w:bCs/>
          <w:kern w:val="0"/>
          <w:sz w:val="26"/>
          <w:szCs w:val="20"/>
          <w14:ligatures w14:val="none"/>
        </w:rPr>
        <w:t>CERTIFIED FOR PUBLICATION</w:t>
      </w:r>
    </w:p>
    <w:p w:rsidR="00691C23" w:rsidP="00105AD7" w14:paraId="460BDA0D" w14:textId="77777777">
      <w:pPr>
        <w:spacing w:after="0" w:line="240" w:lineRule="auto"/>
        <w:jc w:val="center"/>
        <w:rPr>
          <w:rFonts w:ascii="Times New Roman" w:eastAsia="Times New Roman" w:hAnsi="Times New Roman" w:cs="Times New Roman"/>
          <w:kern w:val="0"/>
          <w:sz w:val="26"/>
          <w:szCs w:val="20"/>
          <w14:ligatures w14:val="none"/>
        </w:rPr>
      </w:pPr>
    </w:p>
    <w:p w:rsidR="00677203" w:rsidRPr="00677203" w:rsidP="00677203" w14:paraId="59B3C6F3" w14:textId="77777777">
      <w:pPr>
        <w:spacing w:after="0" w:line="240" w:lineRule="auto"/>
        <w:jc w:val="center"/>
        <w:rPr>
          <w:rFonts w:ascii="Times New Roman" w:eastAsia="Times New Roman" w:hAnsi="Times New Roman" w:cs="Times New Roman"/>
          <w:kern w:val="0"/>
          <w:sz w:val="26"/>
          <w:szCs w:val="20"/>
          <w14:ligatures w14:val="none"/>
        </w:rPr>
      </w:pPr>
      <w:r w:rsidRPr="00677203">
        <w:rPr>
          <w:rFonts w:ascii="Times New Roman" w:eastAsia="Times New Roman" w:hAnsi="Times New Roman" w:cs="Times New Roman"/>
          <w:kern w:val="0"/>
          <w:sz w:val="26"/>
          <w:szCs w:val="20"/>
          <w14:ligatures w14:val="none"/>
        </w:rPr>
        <w:t>IN THE COURT OF APPEAL OF THE STATE OF CALIFORNIA</w:t>
      </w:r>
    </w:p>
    <w:p w:rsidR="00105AD7" w:rsidRPr="00105AD7" w:rsidP="00105AD7" w14:paraId="57D35D1E" w14:textId="77777777">
      <w:pPr>
        <w:spacing w:after="0" w:line="240" w:lineRule="auto"/>
        <w:jc w:val="center"/>
        <w:rPr>
          <w:rFonts w:ascii="Times New Roman" w:eastAsia="Times New Roman" w:hAnsi="Times New Roman" w:cs="Times New Roman"/>
          <w:kern w:val="0"/>
          <w:sz w:val="26"/>
          <w:szCs w:val="20"/>
          <w14:ligatures w14:val="none"/>
        </w:rPr>
      </w:pPr>
    </w:p>
    <w:p w:rsidR="00105AD7" w:rsidRPr="00105AD7" w:rsidP="00105AD7" w14:paraId="62A834EB" w14:textId="77777777">
      <w:pPr>
        <w:spacing w:after="0" w:line="240" w:lineRule="auto"/>
        <w:jc w:val="center"/>
        <w:rPr>
          <w:rFonts w:ascii="Times New Roman" w:eastAsia="Times New Roman" w:hAnsi="Times New Roman" w:cs="Times New Roman"/>
          <w:kern w:val="0"/>
          <w:sz w:val="26"/>
          <w:szCs w:val="20"/>
          <w14:ligatures w14:val="none"/>
        </w:rPr>
      </w:pPr>
      <w:r w:rsidRPr="00105AD7">
        <w:rPr>
          <w:rFonts w:ascii="Times New Roman" w:eastAsia="Times New Roman" w:hAnsi="Times New Roman" w:cs="Times New Roman"/>
          <w:kern w:val="0"/>
          <w:sz w:val="26"/>
          <w:szCs w:val="20"/>
          <w14:ligatures w14:val="none"/>
        </w:rPr>
        <w:t>FOURTH APPELLATE DISTRICT</w:t>
      </w:r>
    </w:p>
    <w:p w:rsidR="00105AD7" w:rsidRPr="00105AD7" w:rsidP="00105AD7" w14:paraId="6A030039" w14:textId="77777777">
      <w:pPr>
        <w:spacing w:after="0" w:line="240" w:lineRule="auto"/>
        <w:jc w:val="center"/>
        <w:rPr>
          <w:rFonts w:ascii="Times New Roman" w:eastAsia="Times New Roman" w:hAnsi="Times New Roman" w:cs="Times New Roman"/>
          <w:kern w:val="0"/>
          <w:sz w:val="26"/>
          <w:szCs w:val="20"/>
          <w14:ligatures w14:val="none"/>
        </w:rPr>
      </w:pPr>
    </w:p>
    <w:p w:rsidR="00105AD7" w:rsidRPr="00105AD7" w:rsidP="00105AD7" w14:paraId="102C7748" w14:textId="77777777">
      <w:pPr>
        <w:spacing w:after="0" w:line="240" w:lineRule="auto"/>
        <w:jc w:val="center"/>
        <w:rPr>
          <w:rFonts w:ascii="Times New Roman" w:eastAsia="Times New Roman" w:hAnsi="Times New Roman" w:cs="Times New Roman"/>
          <w:kern w:val="0"/>
          <w:sz w:val="26"/>
          <w:szCs w:val="20"/>
          <w14:ligatures w14:val="none"/>
        </w:rPr>
      </w:pPr>
      <w:r w:rsidRPr="00105AD7">
        <w:rPr>
          <w:rFonts w:ascii="Times New Roman" w:eastAsia="Times New Roman" w:hAnsi="Times New Roman" w:cs="Times New Roman"/>
          <w:kern w:val="0"/>
          <w:sz w:val="26"/>
          <w:szCs w:val="20"/>
          <w14:ligatures w14:val="none"/>
        </w:rPr>
        <w:t>DIVISION THREE</w:t>
      </w:r>
    </w:p>
    <w:p w:rsidR="00105AD7" w:rsidRPr="00105AD7" w:rsidP="00105AD7" w14:paraId="14E8C034" w14:textId="77777777">
      <w:pPr>
        <w:spacing w:after="0" w:line="240" w:lineRule="auto"/>
        <w:jc w:val="center"/>
        <w:rPr>
          <w:rFonts w:ascii="Times New Roman" w:eastAsia="Times New Roman" w:hAnsi="Times New Roman" w:cs="Times New Roman"/>
          <w:kern w:val="0"/>
          <w:sz w:val="26"/>
          <w:szCs w:val="20"/>
          <w14:ligatures w14:val="none"/>
        </w:rPr>
      </w:pPr>
    </w:p>
    <w:p w:rsidR="00105AD7" w:rsidRPr="00105AD7" w:rsidP="00105AD7" w14:paraId="40224376" w14:textId="77777777">
      <w:pPr>
        <w:spacing w:after="0" w:line="240" w:lineRule="auto"/>
        <w:jc w:val="center"/>
        <w:rPr>
          <w:rFonts w:ascii="Times New Roman" w:eastAsia="Times New Roman" w:hAnsi="Times New Roman" w:cs="Times New Roman"/>
          <w:kern w:val="0"/>
          <w:sz w:val="26"/>
          <w:szCs w:val="20"/>
          <w14:ligatures w14:val="none"/>
        </w:rPr>
      </w:pPr>
    </w:p>
    <w:tbl>
      <w:tblPr>
        <w:tblW w:w="0" w:type="auto"/>
        <w:tblLayout w:type="fixed"/>
        <w:tblLook w:val="0000"/>
      </w:tblPr>
      <w:tblGrid>
        <w:gridCol w:w="4680"/>
        <w:gridCol w:w="4680"/>
      </w:tblGrid>
      <w:tr w14:paraId="49D11D66" w14:textId="77777777" w:rsidTr="000025B5">
        <w:tblPrEx>
          <w:tblW w:w="0" w:type="auto"/>
          <w:tblLayout w:type="fixed"/>
          <w:tblLook w:val="0000"/>
        </w:tblPrEx>
        <w:tc>
          <w:tcPr>
            <w:tcW w:w="4680" w:type="dxa"/>
            <w:tcBorders>
              <w:bottom w:val="single" w:sz="4" w:space="0" w:color="auto"/>
              <w:right w:val="single" w:sz="4" w:space="0" w:color="auto"/>
            </w:tcBorders>
            <w:shd w:val="clear" w:color="auto" w:fill="auto"/>
          </w:tcPr>
          <w:p w:rsidR="00105AD7" w:rsidRPr="00105AD7" w:rsidP="00105AD7" w14:paraId="7D82E506" w14:textId="5E018DF9">
            <w:pPr>
              <w:spacing w:after="0" w:line="240" w:lineRule="auto"/>
              <w:rPr>
                <w:rFonts w:ascii="Times New Roman" w:eastAsia="Times New Roman" w:hAnsi="Times New Roman" w:cs="Times New Roman"/>
                <w:kern w:val="0"/>
                <w:sz w:val="26"/>
                <w:szCs w:val="20"/>
                <w14:ligatures w14:val="none"/>
              </w:rPr>
            </w:pPr>
            <w:r w:rsidRPr="00105AD7">
              <w:rPr>
                <w:rFonts w:ascii="Times New Roman" w:eastAsia="Times New Roman" w:hAnsi="Times New Roman" w:cs="Times New Roman"/>
                <w:kern w:val="0"/>
                <w:sz w:val="26"/>
                <w:szCs w:val="20"/>
                <w14:ligatures w14:val="none"/>
              </w:rPr>
              <w:t>JOSEPH SEMPRINI et al.,</w:t>
            </w:r>
          </w:p>
          <w:p w:rsidR="00105AD7" w:rsidRPr="00105AD7" w:rsidP="00105AD7" w14:paraId="21990B3F" w14:textId="77777777">
            <w:pPr>
              <w:spacing w:after="0" w:line="240" w:lineRule="auto"/>
              <w:rPr>
                <w:rFonts w:ascii="Times New Roman" w:eastAsia="Times New Roman" w:hAnsi="Times New Roman" w:cs="Times New Roman"/>
                <w:kern w:val="0"/>
                <w:sz w:val="26"/>
                <w:szCs w:val="20"/>
                <w14:ligatures w14:val="none"/>
              </w:rPr>
            </w:pPr>
          </w:p>
          <w:p w:rsidR="00105AD7" w:rsidRPr="00105AD7" w:rsidP="00105AD7" w14:paraId="0751314E" w14:textId="76753CE3">
            <w:pPr>
              <w:spacing w:after="0" w:line="240" w:lineRule="auto"/>
              <w:rPr>
                <w:rFonts w:ascii="Times New Roman" w:eastAsia="Times New Roman" w:hAnsi="Times New Roman" w:cs="Times New Roman"/>
                <w:kern w:val="0"/>
                <w:sz w:val="26"/>
                <w:szCs w:val="20"/>
                <w14:ligatures w14:val="none"/>
              </w:rPr>
            </w:pPr>
            <w:r w:rsidRPr="00105AD7">
              <w:rPr>
                <w:rFonts w:ascii="Times New Roman" w:eastAsia="Times New Roman" w:hAnsi="Times New Roman" w:cs="Times New Roman"/>
                <w:kern w:val="0"/>
                <w:sz w:val="26"/>
                <w:szCs w:val="20"/>
                <w14:ligatures w14:val="none"/>
              </w:rPr>
              <w:t xml:space="preserve">      Plaintiffs and </w:t>
            </w:r>
            <w:r w:rsidR="00780910">
              <w:rPr>
                <w:rFonts w:ascii="Times New Roman" w:eastAsia="Times New Roman" w:hAnsi="Times New Roman" w:cs="Times New Roman"/>
                <w:kern w:val="0"/>
                <w:sz w:val="26"/>
                <w:szCs w:val="20"/>
                <w14:ligatures w14:val="none"/>
              </w:rPr>
              <w:t>Respondents</w:t>
            </w:r>
            <w:r w:rsidRPr="00105AD7">
              <w:rPr>
                <w:rFonts w:ascii="Times New Roman" w:eastAsia="Times New Roman" w:hAnsi="Times New Roman" w:cs="Times New Roman"/>
                <w:kern w:val="0"/>
                <w:sz w:val="26"/>
                <w:szCs w:val="20"/>
                <w14:ligatures w14:val="none"/>
              </w:rPr>
              <w:t>,</w:t>
            </w:r>
          </w:p>
          <w:p w:rsidR="00105AD7" w:rsidRPr="00105AD7" w:rsidP="00105AD7" w14:paraId="50DD2067" w14:textId="77777777">
            <w:pPr>
              <w:spacing w:after="0" w:line="240" w:lineRule="auto"/>
              <w:rPr>
                <w:rFonts w:ascii="Times New Roman" w:eastAsia="Times New Roman" w:hAnsi="Times New Roman" w:cs="Times New Roman"/>
                <w:kern w:val="0"/>
                <w:sz w:val="26"/>
                <w:szCs w:val="20"/>
                <w14:ligatures w14:val="none"/>
              </w:rPr>
            </w:pPr>
          </w:p>
          <w:p w:rsidR="00105AD7" w:rsidRPr="00105AD7" w:rsidP="00105AD7" w14:paraId="4E30E98E" w14:textId="77777777">
            <w:pPr>
              <w:spacing w:after="0" w:line="240" w:lineRule="auto"/>
              <w:rPr>
                <w:rFonts w:ascii="Times New Roman" w:eastAsia="Times New Roman" w:hAnsi="Times New Roman" w:cs="Times New Roman"/>
                <w:kern w:val="0"/>
                <w:sz w:val="26"/>
                <w:szCs w:val="20"/>
                <w14:ligatures w14:val="none"/>
              </w:rPr>
            </w:pPr>
            <w:r w:rsidRPr="00105AD7">
              <w:rPr>
                <w:rFonts w:ascii="Times New Roman" w:eastAsia="Times New Roman" w:hAnsi="Times New Roman" w:cs="Times New Roman"/>
                <w:kern w:val="0"/>
                <w:sz w:val="26"/>
                <w:szCs w:val="20"/>
                <w14:ligatures w14:val="none"/>
              </w:rPr>
              <w:tab/>
              <w:t>v.</w:t>
            </w:r>
          </w:p>
          <w:p w:rsidR="00105AD7" w:rsidRPr="00105AD7" w:rsidP="00105AD7" w14:paraId="457CDA22" w14:textId="77777777">
            <w:pPr>
              <w:spacing w:after="0" w:line="240" w:lineRule="auto"/>
              <w:rPr>
                <w:rFonts w:ascii="Times New Roman" w:eastAsia="Times New Roman" w:hAnsi="Times New Roman" w:cs="Times New Roman"/>
                <w:kern w:val="0"/>
                <w:sz w:val="26"/>
                <w:szCs w:val="20"/>
                <w14:ligatures w14:val="none"/>
              </w:rPr>
            </w:pPr>
          </w:p>
          <w:p w:rsidR="00105AD7" w:rsidRPr="00105AD7" w:rsidP="00105AD7" w14:paraId="61C91341" w14:textId="73FC5536">
            <w:pPr>
              <w:spacing w:after="0" w:line="240" w:lineRule="auto"/>
              <w:rPr>
                <w:rFonts w:ascii="Times New Roman" w:eastAsia="Times New Roman" w:hAnsi="Times New Roman" w:cs="Times New Roman"/>
                <w:kern w:val="0"/>
                <w:sz w:val="26"/>
                <w:szCs w:val="20"/>
                <w14:ligatures w14:val="none"/>
              </w:rPr>
            </w:pPr>
            <w:r w:rsidRPr="00105AD7">
              <w:rPr>
                <w:rFonts w:ascii="Times New Roman" w:eastAsia="Times New Roman" w:hAnsi="Times New Roman" w:cs="Times New Roman"/>
                <w:kern w:val="0"/>
                <w:sz w:val="26"/>
                <w:szCs w:val="20"/>
                <w14:ligatures w14:val="none"/>
              </w:rPr>
              <w:t>WEDBUSH SECURITIES INC.,</w:t>
            </w:r>
          </w:p>
          <w:p w:rsidR="00105AD7" w:rsidRPr="00105AD7" w:rsidP="00105AD7" w14:paraId="79F49AB2" w14:textId="77777777">
            <w:pPr>
              <w:spacing w:after="0" w:line="240" w:lineRule="auto"/>
              <w:rPr>
                <w:rFonts w:ascii="Times New Roman" w:eastAsia="Times New Roman" w:hAnsi="Times New Roman" w:cs="Times New Roman"/>
                <w:kern w:val="0"/>
                <w:sz w:val="26"/>
                <w:szCs w:val="20"/>
                <w14:ligatures w14:val="none"/>
              </w:rPr>
            </w:pPr>
          </w:p>
          <w:p w:rsidR="00105AD7" w:rsidRPr="00105AD7" w:rsidP="00105AD7" w14:paraId="37DFA90F" w14:textId="7F84FD29">
            <w:pPr>
              <w:spacing w:after="0" w:line="240" w:lineRule="auto"/>
              <w:rPr>
                <w:rFonts w:ascii="Times New Roman" w:eastAsia="Times New Roman" w:hAnsi="Times New Roman" w:cs="Times New Roman"/>
                <w:kern w:val="0"/>
                <w:sz w:val="26"/>
                <w:szCs w:val="20"/>
                <w14:ligatures w14:val="none"/>
              </w:rPr>
            </w:pPr>
            <w:r w:rsidRPr="00105AD7">
              <w:rPr>
                <w:rFonts w:ascii="Times New Roman" w:eastAsia="Times New Roman" w:hAnsi="Times New Roman" w:cs="Times New Roman"/>
                <w:kern w:val="0"/>
                <w:sz w:val="26"/>
                <w:szCs w:val="20"/>
                <w14:ligatures w14:val="none"/>
              </w:rPr>
              <w:t xml:space="preserve">      Defendant and </w:t>
            </w:r>
            <w:r w:rsidR="00780910">
              <w:rPr>
                <w:rFonts w:ascii="Times New Roman" w:eastAsia="Times New Roman" w:hAnsi="Times New Roman" w:cs="Times New Roman"/>
                <w:kern w:val="0"/>
                <w:sz w:val="26"/>
                <w:szCs w:val="20"/>
                <w14:ligatures w14:val="none"/>
              </w:rPr>
              <w:t>Appellant</w:t>
            </w:r>
            <w:r w:rsidRPr="00105AD7">
              <w:rPr>
                <w:rFonts w:ascii="Times New Roman" w:eastAsia="Times New Roman" w:hAnsi="Times New Roman" w:cs="Times New Roman"/>
                <w:kern w:val="0"/>
                <w:sz w:val="26"/>
                <w:szCs w:val="20"/>
                <w14:ligatures w14:val="none"/>
              </w:rPr>
              <w:t>.</w:t>
            </w:r>
          </w:p>
          <w:p w:rsidR="00105AD7" w:rsidRPr="00105AD7" w:rsidP="00105AD7" w14:paraId="1A656ACF" w14:textId="77777777">
            <w:pPr>
              <w:spacing w:after="0" w:line="240" w:lineRule="auto"/>
              <w:rPr>
                <w:rFonts w:ascii="Times New Roman" w:eastAsia="Times New Roman" w:hAnsi="Times New Roman" w:cs="Times New Roman"/>
                <w:kern w:val="0"/>
                <w:sz w:val="26"/>
                <w:szCs w:val="20"/>
                <w14:ligatures w14:val="none"/>
              </w:rPr>
            </w:pPr>
          </w:p>
        </w:tc>
        <w:tc>
          <w:tcPr>
            <w:tcW w:w="4680" w:type="dxa"/>
            <w:tcBorders>
              <w:left w:val="single" w:sz="4" w:space="0" w:color="auto"/>
            </w:tcBorders>
            <w:shd w:val="clear" w:color="auto" w:fill="auto"/>
          </w:tcPr>
          <w:p w:rsidR="00105AD7" w:rsidRPr="00105AD7" w:rsidP="00105AD7" w14:paraId="3FBF502E" w14:textId="77777777">
            <w:pPr>
              <w:spacing w:after="0" w:line="240" w:lineRule="auto"/>
              <w:rPr>
                <w:rFonts w:ascii="Times New Roman" w:eastAsia="Times New Roman" w:hAnsi="Times New Roman" w:cs="Times New Roman"/>
                <w:kern w:val="0"/>
                <w:sz w:val="26"/>
                <w:szCs w:val="20"/>
                <w14:ligatures w14:val="none"/>
              </w:rPr>
            </w:pPr>
          </w:p>
          <w:p w:rsidR="00105AD7" w:rsidRPr="00105AD7" w:rsidP="00105AD7" w14:paraId="2973CB68" w14:textId="77777777">
            <w:pPr>
              <w:spacing w:after="0" w:line="240" w:lineRule="auto"/>
              <w:rPr>
                <w:rFonts w:ascii="Times New Roman" w:eastAsia="Times New Roman" w:hAnsi="Times New Roman" w:cs="Times New Roman"/>
                <w:kern w:val="0"/>
                <w:sz w:val="26"/>
                <w:szCs w:val="20"/>
                <w14:ligatures w14:val="none"/>
              </w:rPr>
            </w:pPr>
          </w:p>
          <w:p w:rsidR="00105AD7" w:rsidRPr="00105AD7" w:rsidP="00105AD7" w14:paraId="5A4F0E53" w14:textId="3E49D124">
            <w:pPr>
              <w:spacing w:after="0" w:line="240" w:lineRule="auto"/>
              <w:rPr>
                <w:rFonts w:ascii="Times New Roman" w:eastAsia="Times New Roman" w:hAnsi="Times New Roman" w:cs="Times New Roman"/>
                <w:kern w:val="0"/>
                <w:sz w:val="26"/>
                <w:szCs w:val="20"/>
                <w14:ligatures w14:val="none"/>
              </w:rPr>
            </w:pPr>
            <w:r w:rsidRPr="00105AD7">
              <w:rPr>
                <w:rFonts w:ascii="Times New Roman" w:eastAsia="Times New Roman" w:hAnsi="Times New Roman" w:cs="Times New Roman"/>
                <w:kern w:val="0"/>
                <w:sz w:val="26"/>
                <w:szCs w:val="20"/>
                <w14:ligatures w14:val="none"/>
              </w:rPr>
              <w:t xml:space="preserve">         G0</w:t>
            </w:r>
            <w:r w:rsidR="00677203">
              <w:rPr>
                <w:rFonts w:ascii="Times New Roman" w:eastAsia="Times New Roman" w:hAnsi="Times New Roman" w:cs="Times New Roman"/>
                <w:kern w:val="0"/>
                <w:sz w:val="26"/>
                <w:szCs w:val="20"/>
                <w14:ligatures w14:val="none"/>
              </w:rPr>
              <w:t>62622</w:t>
            </w:r>
          </w:p>
          <w:p w:rsidR="00105AD7" w:rsidRPr="00105AD7" w:rsidP="00105AD7" w14:paraId="25E5732D" w14:textId="77777777">
            <w:pPr>
              <w:spacing w:after="0" w:line="240" w:lineRule="auto"/>
              <w:rPr>
                <w:rFonts w:ascii="Times New Roman" w:eastAsia="Times New Roman" w:hAnsi="Times New Roman" w:cs="Times New Roman"/>
                <w:kern w:val="0"/>
                <w:sz w:val="26"/>
                <w:szCs w:val="20"/>
                <w14:ligatures w14:val="none"/>
              </w:rPr>
            </w:pPr>
          </w:p>
          <w:p w:rsidR="00105AD7" w:rsidRPr="00105AD7" w:rsidP="00105AD7" w14:paraId="6E8043D6" w14:textId="77777777">
            <w:pPr>
              <w:spacing w:after="0" w:line="240" w:lineRule="auto"/>
              <w:rPr>
                <w:rFonts w:ascii="Times New Roman" w:eastAsia="Times New Roman" w:hAnsi="Times New Roman" w:cs="Times New Roman"/>
                <w:kern w:val="0"/>
                <w:sz w:val="26"/>
                <w:szCs w:val="20"/>
                <w14:ligatures w14:val="none"/>
              </w:rPr>
            </w:pPr>
            <w:r w:rsidRPr="00105AD7">
              <w:rPr>
                <w:rFonts w:ascii="Times New Roman" w:eastAsia="Times New Roman" w:hAnsi="Times New Roman" w:cs="Times New Roman"/>
                <w:kern w:val="0"/>
                <w:sz w:val="26"/>
                <w:szCs w:val="20"/>
                <w14:ligatures w14:val="none"/>
              </w:rPr>
              <w:t xml:space="preserve">         (Super. Ct. No. 30-2015-00776114)</w:t>
            </w:r>
          </w:p>
          <w:p w:rsidR="00105AD7" w:rsidRPr="00105AD7" w:rsidP="00105AD7" w14:paraId="49B75550" w14:textId="77777777">
            <w:pPr>
              <w:spacing w:after="0" w:line="240" w:lineRule="auto"/>
              <w:rPr>
                <w:rFonts w:ascii="Times New Roman" w:eastAsia="Times New Roman" w:hAnsi="Times New Roman" w:cs="Times New Roman"/>
                <w:kern w:val="0"/>
                <w:sz w:val="26"/>
                <w:szCs w:val="20"/>
                <w14:ligatures w14:val="none"/>
              </w:rPr>
            </w:pPr>
          </w:p>
          <w:p w:rsidR="00105AD7" w:rsidRPr="00105AD7" w:rsidP="00105AD7" w14:paraId="1950BF8C" w14:textId="20A9E7C8">
            <w:pPr>
              <w:spacing w:after="0" w:line="240" w:lineRule="auto"/>
              <w:rPr>
                <w:rFonts w:ascii="Times New Roman" w:eastAsia="Times New Roman" w:hAnsi="Times New Roman" w:cs="Times New Roman"/>
                <w:kern w:val="0"/>
                <w:sz w:val="26"/>
                <w:szCs w:val="20"/>
                <w14:ligatures w14:val="none"/>
              </w:rPr>
            </w:pPr>
            <w:r w:rsidRPr="00105AD7">
              <w:rPr>
                <w:rFonts w:ascii="Times New Roman" w:eastAsia="Times New Roman" w:hAnsi="Times New Roman" w:cs="Times New Roman"/>
                <w:kern w:val="0"/>
                <w:sz w:val="26"/>
                <w:szCs w:val="20"/>
                <w14:ligatures w14:val="none"/>
              </w:rPr>
              <w:t xml:space="preserve">         </w:t>
            </w:r>
            <w:r w:rsidR="00FC52A9">
              <w:rPr>
                <w:rFonts w:ascii="Times New Roman" w:eastAsia="Times New Roman" w:hAnsi="Times New Roman" w:cs="Times New Roman"/>
                <w:kern w:val="0"/>
                <w:sz w:val="26"/>
                <w:szCs w:val="20"/>
                <w14:ligatures w14:val="none"/>
              </w:rPr>
              <w:t>O P I N I O N</w:t>
            </w:r>
          </w:p>
        </w:tc>
      </w:tr>
    </w:tbl>
    <w:p w:rsidR="00105AD7" w:rsidRPr="00105AD7" w:rsidP="00105AD7" w14:paraId="7661AD17" w14:textId="77777777">
      <w:pPr>
        <w:tabs>
          <w:tab w:val="left" w:pos="1440"/>
          <w:tab w:val="left" w:pos="2880"/>
          <w:tab w:val="left" w:pos="4320"/>
          <w:tab w:val="left" w:pos="5760"/>
          <w:tab w:val="left" w:pos="7200"/>
          <w:tab w:val="left" w:pos="8640"/>
        </w:tabs>
        <w:spacing w:after="0" w:line="480" w:lineRule="atLeast"/>
        <w:rPr>
          <w:rFonts w:ascii="Times New Roman" w:eastAsia="Times New Roman" w:hAnsi="Times New Roman" w:cs="Times New Roman"/>
          <w:kern w:val="0"/>
          <w:sz w:val="26"/>
          <w:szCs w:val="20"/>
          <w14:ligatures w14:val="none"/>
        </w:rPr>
      </w:pPr>
    </w:p>
    <w:p w:rsidR="00105AD7" w:rsidRPr="00105AD7" w:rsidP="00105AD7" w14:paraId="1C3A3FCC" w14:textId="37C70C84">
      <w:pPr>
        <w:tabs>
          <w:tab w:val="left" w:pos="1440"/>
          <w:tab w:val="left" w:pos="2880"/>
          <w:tab w:val="left" w:pos="4320"/>
          <w:tab w:val="left" w:pos="5760"/>
          <w:tab w:val="left" w:pos="7200"/>
          <w:tab w:val="left" w:pos="8640"/>
        </w:tabs>
        <w:spacing w:after="0" w:line="480" w:lineRule="atLeast"/>
        <w:rPr>
          <w:rFonts w:ascii="Times New Roman" w:eastAsia="Times New Roman" w:hAnsi="Times New Roman" w:cs="Times New Roman"/>
          <w:kern w:val="0"/>
          <w:sz w:val="26"/>
          <w:szCs w:val="20"/>
          <w14:ligatures w14:val="none"/>
        </w:rPr>
      </w:pPr>
      <w:r w:rsidRPr="00105AD7">
        <w:rPr>
          <w:rFonts w:ascii="Times New Roman" w:eastAsia="Times New Roman" w:hAnsi="Times New Roman" w:cs="Times New Roman"/>
          <w:kern w:val="0"/>
          <w:sz w:val="26"/>
          <w:szCs w:val="20"/>
          <w14:ligatures w14:val="none"/>
        </w:rPr>
        <w:tab/>
        <w:t xml:space="preserve">Appeal from </w:t>
      </w:r>
      <w:r>
        <w:rPr>
          <w:rFonts w:ascii="Times New Roman" w:eastAsia="Times New Roman" w:hAnsi="Times New Roman" w:cs="Times New Roman"/>
          <w:kern w:val="0"/>
          <w:sz w:val="26"/>
          <w:szCs w:val="20"/>
          <w14:ligatures w14:val="none"/>
        </w:rPr>
        <w:t xml:space="preserve">an order </w:t>
      </w:r>
      <w:r w:rsidRPr="00105AD7">
        <w:rPr>
          <w:rFonts w:ascii="Times New Roman" w:eastAsia="Times New Roman" w:hAnsi="Times New Roman" w:cs="Times New Roman"/>
          <w:kern w:val="0"/>
          <w:sz w:val="26"/>
          <w:szCs w:val="20"/>
          <w14:ligatures w14:val="none"/>
        </w:rPr>
        <w:t xml:space="preserve">of the Superior Court of Orange County, Randall J. Sherman, Judge.  </w:t>
      </w:r>
      <w:r w:rsidR="00802E28">
        <w:rPr>
          <w:rFonts w:ascii="Times New Roman" w:eastAsia="Times New Roman" w:hAnsi="Times New Roman" w:cs="Times New Roman"/>
          <w:kern w:val="0"/>
          <w:sz w:val="26"/>
          <w:szCs w:val="20"/>
          <w14:ligatures w14:val="none"/>
        </w:rPr>
        <w:t>Affirmed</w:t>
      </w:r>
      <w:r w:rsidRPr="00105AD7" w:rsidR="00802E28">
        <w:rPr>
          <w:rFonts w:ascii="Times New Roman" w:eastAsia="Times New Roman" w:hAnsi="Times New Roman" w:cs="Times New Roman"/>
          <w:kern w:val="0"/>
          <w:sz w:val="26"/>
          <w:szCs w:val="20"/>
          <w14:ligatures w14:val="none"/>
        </w:rPr>
        <w:t>.</w:t>
      </w:r>
      <w:r w:rsidR="00802E28">
        <w:rPr>
          <w:rFonts w:ascii="Times New Roman" w:eastAsia="Times New Roman" w:hAnsi="Times New Roman" w:cs="Times New Roman"/>
          <w:kern w:val="0"/>
          <w:sz w:val="26"/>
          <w:szCs w:val="20"/>
          <w14:ligatures w14:val="none"/>
        </w:rPr>
        <w:t xml:space="preserve">  </w:t>
      </w:r>
      <w:r>
        <w:rPr>
          <w:rFonts w:ascii="Times New Roman" w:eastAsia="Times New Roman" w:hAnsi="Times New Roman" w:cs="Times New Roman"/>
          <w:kern w:val="0"/>
          <w:sz w:val="26"/>
          <w:szCs w:val="20"/>
          <w14:ligatures w14:val="none"/>
        </w:rPr>
        <w:t xml:space="preserve">Motion to dismiss denied.  </w:t>
      </w:r>
    </w:p>
    <w:p w:rsidR="00802E28" w:rsidP="00105AD7" w14:paraId="7A0756EF" w14:textId="119B49EE">
      <w:pPr>
        <w:tabs>
          <w:tab w:val="left" w:pos="1440"/>
          <w:tab w:val="left" w:pos="2880"/>
          <w:tab w:val="left" w:pos="4320"/>
          <w:tab w:val="left" w:pos="5760"/>
          <w:tab w:val="left" w:pos="7200"/>
          <w:tab w:val="left" w:pos="8640"/>
        </w:tabs>
        <w:spacing w:after="0" w:line="480" w:lineRule="atLeast"/>
        <w:rPr>
          <w:rFonts w:ascii="Times New Roman" w:eastAsia="Times New Roman" w:hAnsi="Times New Roman" w:cs="Times New Roman"/>
          <w:kern w:val="0"/>
          <w:sz w:val="26"/>
          <w:szCs w:val="20"/>
          <w14:ligatures w14:val="none"/>
        </w:rPr>
      </w:pPr>
      <w:r w:rsidRPr="00105AD7">
        <w:rPr>
          <w:rFonts w:ascii="Times New Roman" w:eastAsia="Times New Roman" w:hAnsi="Times New Roman" w:cs="Times New Roman"/>
          <w:kern w:val="0"/>
          <w:sz w:val="26"/>
          <w:szCs w:val="20"/>
          <w14:ligatures w14:val="none"/>
        </w:rPr>
        <w:tab/>
      </w:r>
      <w:r w:rsidR="00903F7B">
        <w:rPr>
          <w:rFonts w:ascii="Times New Roman" w:eastAsia="Times New Roman" w:hAnsi="Times New Roman" w:cs="Times New Roman"/>
          <w:kern w:val="0"/>
          <w:sz w:val="26"/>
          <w:szCs w:val="20"/>
          <w14:ligatures w14:val="none"/>
        </w:rPr>
        <w:t>Loeb &amp; Loeb, Michelle M. La Mar, Terr</w:t>
      </w:r>
      <w:r w:rsidR="00780910">
        <w:rPr>
          <w:rFonts w:ascii="Times New Roman" w:eastAsia="Times New Roman" w:hAnsi="Times New Roman" w:cs="Times New Roman"/>
          <w:kern w:val="0"/>
          <w:sz w:val="26"/>
          <w:szCs w:val="20"/>
          <w14:ligatures w14:val="none"/>
        </w:rPr>
        <w:t>ance</w:t>
      </w:r>
      <w:r w:rsidR="00903F7B">
        <w:rPr>
          <w:rFonts w:ascii="Times New Roman" w:eastAsia="Times New Roman" w:hAnsi="Times New Roman" w:cs="Times New Roman"/>
          <w:kern w:val="0"/>
          <w:sz w:val="26"/>
          <w:szCs w:val="20"/>
          <w14:ligatures w14:val="none"/>
        </w:rPr>
        <w:t xml:space="preserve"> D. Garnett, Devin A. Donohue, and Andrew M. Hutchison </w:t>
      </w:r>
      <w:r w:rsidRPr="00105AD7">
        <w:rPr>
          <w:rFonts w:ascii="Times New Roman" w:eastAsia="Times New Roman" w:hAnsi="Times New Roman" w:cs="Times New Roman"/>
          <w:kern w:val="0"/>
          <w:sz w:val="26"/>
          <w:szCs w:val="20"/>
          <w14:ligatures w14:val="none"/>
        </w:rPr>
        <w:t xml:space="preserve">for Defendant and </w:t>
      </w:r>
      <w:r w:rsidR="00903F7B">
        <w:rPr>
          <w:rFonts w:ascii="Times New Roman" w:eastAsia="Times New Roman" w:hAnsi="Times New Roman" w:cs="Times New Roman"/>
          <w:kern w:val="0"/>
          <w:sz w:val="26"/>
          <w:szCs w:val="20"/>
          <w14:ligatures w14:val="none"/>
        </w:rPr>
        <w:t>Appellant</w:t>
      </w:r>
      <w:r w:rsidRPr="00105AD7">
        <w:rPr>
          <w:rFonts w:ascii="Times New Roman" w:eastAsia="Times New Roman" w:hAnsi="Times New Roman" w:cs="Times New Roman"/>
          <w:kern w:val="0"/>
          <w:sz w:val="26"/>
          <w:szCs w:val="20"/>
          <w14:ligatures w14:val="none"/>
        </w:rPr>
        <w:t xml:space="preserve">. </w:t>
      </w:r>
    </w:p>
    <w:p w:rsidR="00105AD7" w:rsidRPr="00105AD7" w:rsidP="00DA7D2A" w14:paraId="12EA4210" w14:textId="0D6FE770">
      <w:pPr>
        <w:keepNext/>
        <w:tabs>
          <w:tab w:val="left" w:pos="1440"/>
          <w:tab w:val="left" w:pos="2880"/>
          <w:tab w:val="left" w:pos="4320"/>
          <w:tab w:val="left" w:pos="5760"/>
          <w:tab w:val="left" w:pos="7200"/>
          <w:tab w:val="left" w:pos="8640"/>
        </w:tabs>
        <w:spacing w:after="0" w:line="480" w:lineRule="atLeast"/>
        <w:rPr>
          <w:rFonts w:ascii="Times New Roman" w:eastAsia="Times New Roman" w:hAnsi="Times New Roman" w:cs="Times New Roman"/>
          <w:kern w:val="0"/>
          <w:sz w:val="26"/>
          <w:szCs w:val="20"/>
          <w14:ligatures w14:val="none"/>
        </w:rPr>
      </w:pPr>
      <w:r>
        <w:rPr>
          <w:rFonts w:ascii="Times New Roman" w:eastAsia="Times New Roman" w:hAnsi="Times New Roman" w:cs="Times New Roman"/>
          <w:kern w:val="0"/>
          <w:sz w:val="26"/>
          <w:szCs w:val="20"/>
          <w14:ligatures w14:val="none"/>
        </w:rPr>
        <w:tab/>
      </w:r>
      <w:r w:rsidRPr="00105AD7">
        <w:rPr>
          <w:rFonts w:ascii="Times New Roman" w:eastAsia="Times New Roman" w:hAnsi="Times New Roman" w:cs="Times New Roman"/>
          <w:kern w:val="0"/>
          <w:sz w:val="26"/>
          <w:szCs w:val="20"/>
          <w14:ligatures w14:val="none"/>
        </w:rPr>
        <w:t>Callahan, Thompson, Sherman &amp; Caudill, Robert W. Thompson</w:t>
      </w:r>
      <w:r w:rsidR="00780910">
        <w:rPr>
          <w:rFonts w:ascii="Times New Roman" w:eastAsia="Times New Roman" w:hAnsi="Times New Roman" w:cs="Times New Roman"/>
          <w:kern w:val="0"/>
          <w:sz w:val="26"/>
          <w:szCs w:val="20"/>
          <w14:ligatures w14:val="none"/>
        </w:rPr>
        <w:t>,</w:t>
      </w:r>
      <w:r w:rsidRPr="00105AD7">
        <w:rPr>
          <w:rFonts w:ascii="Times New Roman" w:eastAsia="Times New Roman" w:hAnsi="Times New Roman" w:cs="Times New Roman"/>
          <w:kern w:val="0"/>
          <w:sz w:val="26"/>
          <w:szCs w:val="20"/>
          <w14:ligatures w14:val="none"/>
        </w:rPr>
        <w:t xml:space="preserve"> and Charles S. Russell for Plaintiffs and </w:t>
      </w:r>
      <w:r>
        <w:rPr>
          <w:rFonts w:ascii="Times New Roman" w:eastAsia="Times New Roman" w:hAnsi="Times New Roman" w:cs="Times New Roman"/>
          <w:kern w:val="0"/>
          <w:sz w:val="26"/>
          <w:szCs w:val="20"/>
          <w14:ligatures w14:val="none"/>
        </w:rPr>
        <w:t>Respondents</w:t>
      </w:r>
      <w:r w:rsidRPr="00105AD7">
        <w:rPr>
          <w:rFonts w:ascii="Times New Roman" w:eastAsia="Times New Roman" w:hAnsi="Times New Roman" w:cs="Times New Roman"/>
          <w:kern w:val="0"/>
          <w:sz w:val="26"/>
          <w:szCs w:val="20"/>
          <w14:ligatures w14:val="none"/>
        </w:rPr>
        <w:t>.</w:t>
      </w:r>
    </w:p>
    <w:p w:rsidR="00105AD7" w:rsidRPr="00105AD7" w:rsidP="00105AD7" w14:paraId="3FF51158" w14:textId="77777777">
      <w:pPr>
        <w:tabs>
          <w:tab w:val="left" w:pos="1440"/>
          <w:tab w:val="left" w:pos="2880"/>
          <w:tab w:val="left" w:pos="4320"/>
          <w:tab w:val="left" w:pos="5760"/>
          <w:tab w:val="left" w:pos="7200"/>
          <w:tab w:val="left" w:pos="8640"/>
        </w:tabs>
        <w:spacing w:after="0" w:line="480" w:lineRule="atLeast"/>
        <w:jc w:val="center"/>
        <w:rPr>
          <w:rFonts w:ascii="Times New Roman" w:eastAsia="Times New Roman" w:hAnsi="Times New Roman" w:cs="Times New Roman"/>
          <w:kern w:val="0"/>
          <w:sz w:val="26"/>
          <w:szCs w:val="20"/>
          <w14:ligatures w14:val="none"/>
        </w:rPr>
      </w:pPr>
      <w:r w:rsidRPr="00105AD7">
        <w:rPr>
          <w:rFonts w:ascii="Times New Roman" w:eastAsia="Times New Roman" w:hAnsi="Times New Roman" w:cs="Times New Roman"/>
          <w:kern w:val="0"/>
          <w:sz w:val="26"/>
          <w:szCs w:val="20"/>
          <w14:ligatures w14:val="none"/>
        </w:rPr>
        <w:t>*               *               *</w:t>
      </w:r>
    </w:p>
    <w:p w:rsidR="00D813C5" w:rsidP="00370B88" w14:paraId="30FF7B34" w14:textId="70E90F4B">
      <w:pPr>
        <w:keepLines/>
        <w:spacing w:after="0" w:line="480" w:lineRule="atLeast"/>
        <w:ind w:firstLine="1440"/>
        <w:rPr>
          <w:rFonts w:ascii="Times New Roman" w:hAnsi="Times New Roman" w:cs="Times New Roman"/>
          <w:sz w:val="26"/>
          <w:szCs w:val="26"/>
        </w:rPr>
      </w:pPr>
      <w:r>
        <w:rPr>
          <w:rFonts w:ascii="Times New Roman" w:hAnsi="Times New Roman" w:cs="Times New Roman"/>
          <w:sz w:val="26"/>
          <w:szCs w:val="26"/>
        </w:rPr>
        <w:t xml:space="preserve">This </w:t>
      </w:r>
      <w:r w:rsidR="00023AB4">
        <w:rPr>
          <w:rFonts w:ascii="Times New Roman" w:hAnsi="Times New Roman" w:cs="Times New Roman"/>
          <w:sz w:val="26"/>
          <w:szCs w:val="26"/>
        </w:rPr>
        <w:t xml:space="preserve">is an appeal from an order denying an employer’s motion </w:t>
      </w:r>
      <w:r>
        <w:rPr>
          <w:rFonts w:ascii="Times New Roman" w:hAnsi="Times New Roman" w:cs="Times New Roman"/>
          <w:sz w:val="26"/>
          <w:szCs w:val="26"/>
        </w:rPr>
        <w:t>to compel certain claims</w:t>
      </w:r>
      <w:r w:rsidR="00561CAF">
        <w:rPr>
          <w:rFonts w:ascii="Times New Roman" w:hAnsi="Times New Roman" w:cs="Times New Roman"/>
          <w:sz w:val="26"/>
          <w:szCs w:val="26"/>
        </w:rPr>
        <w:t xml:space="preserve"> and parties</w:t>
      </w:r>
      <w:r>
        <w:rPr>
          <w:rFonts w:ascii="Times New Roman" w:hAnsi="Times New Roman" w:cs="Times New Roman"/>
          <w:sz w:val="26"/>
          <w:szCs w:val="26"/>
        </w:rPr>
        <w:t xml:space="preserve"> to arbitration in a </w:t>
      </w:r>
      <w:r w:rsidR="00561CAF">
        <w:rPr>
          <w:rFonts w:ascii="Times New Roman" w:hAnsi="Times New Roman" w:cs="Times New Roman"/>
          <w:sz w:val="26"/>
          <w:szCs w:val="26"/>
        </w:rPr>
        <w:t xml:space="preserve">certified </w:t>
      </w:r>
      <w:r>
        <w:rPr>
          <w:rFonts w:ascii="Times New Roman" w:hAnsi="Times New Roman" w:cs="Times New Roman"/>
          <w:sz w:val="26"/>
          <w:szCs w:val="26"/>
        </w:rPr>
        <w:t xml:space="preserve">wage and hour class action.  </w:t>
      </w:r>
      <w:r w:rsidR="00EB5AF9">
        <w:rPr>
          <w:rFonts w:ascii="Times New Roman" w:hAnsi="Times New Roman" w:cs="Times New Roman"/>
          <w:sz w:val="26"/>
          <w:szCs w:val="26"/>
        </w:rPr>
        <w:t>Finding</w:t>
      </w:r>
      <w:r w:rsidR="00023AB4">
        <w:rPr>
          <w:rFonts w:ascii="Times New Roman" w:hAnsi="Times New Roman" w:cs="Times New Roman"/>
          <w:sz w:val="26"/>
          <w:szCs w:val="26"/>
        </w:rPr>
        <w:t xml:space="preserve"> </w:t>
      </w:r>
      <w:r>
        <w:rPr>
          <w:rFonts w:ascii="Times New Roman" w:hAnsi="Times New Roman" w:cs="Times New Roman"/>
          <w:sz w:val="26"/>
          <w:szCs w:val="26"/>
        </w:rPr>
        <w:t>the employer waived its right to arbitrate those claims</w:t>
      </w:r>
      <w:r w:rsidR="006A1935">
        <w:rPr>
          <w:rFonts w:ascii="Times New Roman" w:hAnsi="Times New Roman" w:cs="Times New Roman"/>
          <w:sz w:val="26"/>
          <w:szCs w:val="26"/>
        </w:rPr>
        <w:t xml:space="preserve"> </w:t>
      </w:r>
      <w:r w:rsidR="00023AB4">
        <w:rPr>
          <w:rFonts w:ascii="Times New Roman" w:hAnsi="Times New Roman" w:cs="Times New Roman"/>
          <w:sz w:val="26"/>
          <w:szCs w:val="26"/>
        </w:rPr>
        <w:t>by unreasonably delaying its motion to compel</w:t>
      </w:r>
      <w:r w:rsidR="00EB5AF9">
        <w:rPr>
          <w:rFonts w:ascii="Times New Roman" w:hAnsi="Times New Roman" w:cs="Times New Roman"/>
          <w:sz w:val="26"/>
          <w:szCs w:val="26"/>
        </w:rPr>
        <w:t>, we affirm</w:t>
      </w:r>
      <w:r w:rsidR="006A1935">
        <w:rPr>
          <w:rFonts w:ascii="Times New Roman" w:hAnsi="Times New Roman" w:cs="Times New Roman"/>
          <w:sz w:val="26"/>
          <w:szCs w:val="26"/>
        </w:rPr>
        <w:t>.</w:t>
      </w:r>
    </w:p>
    <w:p w:rsidR="00B4374E" w:rsidP="000B1982" w14:paraId="424AE594" w14:textId="6300B28A">
      <w:pPr>
        <w:spacing w:after="0" w:line="480" w:lineRule="atLeast"/>
        <w:ind w:firstLine="1440"/>
        <w:rPr>
          <w:rFonts w:ascii="Times New Roman" w:hAnsi="Times New Roman" w:cs="Times New Roman"/>
          <w:sz w:val="26"/>
          <w:szCs w:val="26"/>
        </w:rPr>
      </w:pPr>
      <w:r w:rsidRPr="006072FF">
        <w:rPr>
          <w:rFonts w:ascii="Times New Roman" w:hAnsi="Times New Roman" w:cs="Times New Roman"/>
          <w:sz w:val="26"/>
          <w:szCs w:val="26"/>
        </w:rPr>
        <w:t>Joseph Semprini</w:t>
      </w:r>
      <w:r>
        <w:rPr>
          <w:rFonts w:ascii="Times New Roman" w:hAnsi="Times New Roman" w:cs="Times New Roman"/>
          <w:sz w:val="26"/>
          <w:szCs w:val="26"/>
        </w:rPr>
        <w:t xml:space="preserve"> filed this lawsuit against his employer, </w:t>
      </w:r>
      <w:r w:rsidRPr="006072FF">
        <w:rPr>
          <w:rFonts w:ascii="Times New Roman" w:hAnsi="Times New Roman" w:cs="Times New Roman"/>
          <w:sz w:val="26"/>
          <w:szCs w:val="26"/>
        </w:rPr>
        <w:t>Wedbush Securities, Inc. (Wedbush)</w:t>
      </w:r>
      <w:r>
        <w:rPr>
          <w:rFonts w:ascii="Times New Roman" w:hAnsi="Times New Roman" w:cs="Times New Roman"/>
          <w:sz w:val="26"/>
          <w:szCs w:val="26"/>
        </w:rPr>
        <w:t xml:space="preserve">, in March 2015, alleging 11 </w:t>
      </w:r>
      <w:r w:rsidR="00D813C5">
        <w:rPr>
          <w:rFonts w:ascii="Times New Roman" w:hAnsi="Times New Roman" w:cs="Times New Roman"/>
          <w:sz w:val="26"/>
          <w:szCs w:val="26"/>
        </w:rPr>
        <w:t>causes of action</w:t>
      </w:r>
      <w:r>
        <w:rPr>
          <w:rFonts w:ascii="Times New Roman" w:hAnsi="Times New Roman" w:cs="Times New Roman"/>
          <w:sz w:val="26"/>
          <w:szCs w:val="26"/>
        </w:rPr>
        <w:t xml:space="preserve"> unique to him (e.g., for wrongful termination and discrimination)</w:t>
      </w:r>
      <w:r w:rsidR="00C911A7">
        <w:rPr>
          <w:rFonts w:ascii="Times New Roman" w:hAnsi="Times New Roman" w:cs="Times New Roman"/>
          <w:sz w:val="26"/>
          <w:szCs w:val="26"/>
        </w:rPr>
        <w:t xml:space="preserve"> and</w:t>
      </w:r>
      <w:r>
        <w:rPr>
          <w:rFonts w:ascii="Times New Roman" w:hAnsi="Times New Roman" w:cs="Times New Roman"/>
          <w:sz w:val="26"/>
          <w:szCs w:val="26"/>
        </w:rPr>
        <w:t xml:space="preserve"> </w:t>
      </w:r>
      <w:r w:rsidR="00561CAF">
        <w:rPr>
          <w:rFonts w:ascii="Times New Roman" w:hAnsi="Times New Roman" w:cs="Times New Roman"/>
          <w:sz w:val="26"/>
          <w:szCs w:val="26"/>
        </w:rPr>
        <w:t>seven</w:t>
      </w:r>
      <w:r>
        <w:rPr>
          <w:rFonts w:ascii="Times New Roman" w:hAnsi="Times New Roman" w:cs="Times New Roman"/>
          <w:sz w:val="26"/>
          <w:szCs w:val="26"/>
        </w:rPr>
        <w:t xml:space="preserve"> putative class claims for alleged wage and hour violations</w:t>
      </w:r>
      <w:r w:rsidR="00C911A7">
        <w:rPr>
          <w:rFonts w:ascii="Times New Roman" w:hAnsi="Times New Roman" w:cs="Times New Roman"/>
          <w:sz w:val="26"/>
          <w:szCs w:val="26"/>
        </w:rPr>
        <w:t xml:space="preserve">. </w:t>
      </w:r>
      <w:r>
        <w:rPr>
          <w:rFonts w:ascii="Times New Roman" w:hAnsi="Times New Roman" w:cs="Times New Roman"/>
          <w:sz w:val="26"/>
          <w:szCs w:val="26"/>
        </w:rPr>
        <w:t xml:space="preserve"> </w:t>
      </w:r>
      <w:r w:rsidR="00E702DB">
        <w:rPr>
          <w:rFonts w:ascii="Times New Roman" w:hAnsi="Times New Roman" w:cs="Times New Roman"/>
          <w:sz w:val="26"/>
          <w:szCs w:val="26"/>
        </w:rPr>
        <w:t>In April 2015</w:t>
      </w:r>
      <w:r w:rsidR="00140E4F">
        <w:rPr>
          <w:rFonts w:ascii="Times New Roman" w:hAnsi="Times New Roman" w:cs="Times New Roman"/>
          <w:sz w:val="26"/>
          <w:szCs w:val="26"/>
        </w:rPr>
        <w:t>, Semprini amended</w:t>
      </w:r>
      <w:r w:rsidR="00E702DB">
        <w:rPr>
          <w:rFonts w:ascii="Times New Roman" w:hAnsi="Times New Roman" w:cs="Times New Roman"/>
          <w:sz w:val="26"/>
          <w:szCs w:val="26"/>
        </w:rPr>
        <w:t xml:space="preserve"> his complaint to add a</w:t>
      </w:r>
      <w:r>
        <w:rPr>
          <w:rFonts w:ascii="Times New Roman" w:hAnsi="Times New Roman" w:cs="Times New Roman"/>
          <w:sz w:val="26"/>
          <w:szCs w:val="26"/>
        </w:rPr>
        <w:t xml:space="preserve"> representative cause of action under the </w:t>
      </w:r>
      <w:r w:rsidRPr="006072FF">
        <w:rPr>
          <w:rFonts w:ascii="Times New Roman" w:hAnsi="Times New Roman" w:cs="Times New Roman"/>
          <w:sz w:val="26"/>
          <w:szCs w:val="26"/>
        </w:rPr>
        <w:t>Private Attorneys General Act of 2004 (PAGA) (Lab. Code, § 2698 et seq.</w:t>
      </w:r>
      <w:r>
        <w:rPr>
          <w:rFonts w:ascii="Times New Roman" w:hAnsi="Times New Roman" w:cs="Times New Roman"/>
          <w:sz w:val="26"/>
          <w:szCs w:val="26"/>
        </w:rPr>
        <w:t xml:space="preserve">).  </w:t>
      </w:r>
      <w:r w:rsidR="00C911A7">
        <w:rPr>
          <w:rFonts w:ascii="Times New Roman" w:hAnsi="Times New Roman" w:cs="Times New Roman"/>
          <w:sz w:val="26"/>
          <w:szCs w:val="26"/>
        </w:rPr>
        <w:t>In May 2015</w:t>
      </w:r>
      <w:r>
        <w:rPr>
          <w:rFonts w:ascii="Times New Roman" w:hAnsi="Times New Roman" w:cs="Times New Roman"/>
          <w:sz w:val="26"/>
          <w:szCs w:val="26"/>
        </w:rPr>
        <w:t xml:space="preserve">, Semprini and Wedbush stipulated that Semprini’s 11 personal claims would be arbitrated, </w:t>
      </w:r>
      <w:r w:rsidR="00FC52A9">
        <w:rPr>
          <w:rFonts w:ascii="Times New Roman" w:hAnsi="Times New Roman" w:cs="Times New Roman"/>
          <w:sz w:val="26"/>
          <w:szCs w:val="26"/>
        </w:rPr>
        <w:t>while</w:t>
      </w:r>
      <w:r>
        <w:rPr>
          <w:rFonts w:ascii="Times New Roman" w:hAnsi="Times New Roman" w:cs="Times New Roman"/>
          <w:sz w:val="26"/>
          <w:szCs w:val="26"/>
        </w:rPr>
        <w:t xml:space="preserve"> the remaining</w:t>
      </w:r>
      <w:r w:rsidR="00561CAF">
        <w:rPr>
          <w:rFonts w:ascii="Times New Roman" w:hAnsi="Times New Roman" w:cs="Times New Roman"/>
          <w:sz w:val="26"/>
          <w:szCs w:val="26"/>
        </w:rPr>
        <w:t xml:space="preserve"> eight</w:t>
      </w:r>
      <w:r>
        <w:rPr>
          <w:rFonts w:ascii="Times New Roman" w:hAnsi="Times New Roman" w:cs="Times New Roman"/>
          <w:sz w:val="26"/>
          <w:szCs w:val="26"/>
        </w:rPr>
        <w:t xml:space="preserve"> causes of action would proceed in the trial court.  The class was certified in 2017</w:t>
      </w:r>
      <w:r w:rsidR="00D813C5">
        <w:rPr>
          <w:rFonts w:ascii="Times New Roman" w:hAnsi="Times New Roman" w:cs="Times New Roman"/>
          <w:sz w:val="26"/>
          <w:szCs w:val="26"/>
        </w:rPr>
        <w:t xml:space="preserve">, and </w:t>
      </w:r>
      <w:r w:rsidR="00561CAF">
        <w:rPr>
          <w:rFonts w:ascii="Times New Roman" w:hAnsi="Times New Roman" w:cs="Times New Roman"/>
          <w:sz w:val="26"/>
          <w:szCs w:val="26"/>
        </w:rPr>
        <w:t>the parties litigat</w:t>
      </w:r>
      <w:r w:rsidR="00023AB4">
        <w:rPr>
          <w:rFonts w:ascii="Times New Roman" w:hAnsi="Times New Roman" w:cs="Times New Roman"/>
          <w:sz w:val="26"/>
          <w:szCs w:val="26"/>
        </w:rPr>
        <w:t>ed</w:t>
      </w:r>
      <w:r w:rsidR="00561CAF">
        <w:rPr>
          <w:rFonts w:ascii="Times New Roman" w:hAnsi="Times New Roman" w:cs="Times New Roman"/>
          <w:sz w:val="26"/>
          <w:szCs w:val="26"/>
        </w:rPr>
        <w:t xml:space="preserve"> </w:t>
      </w:r>
      <w:r w:rsidR="000A2D23">
        <w:rPr>
          <w:rFonts w:ascii="Times New Roman" w:hAnsi="Times New Roman" w:cs="Times New Roman"/>
          <w:sz w:val="26"/>
          <w:szCs w:val="26"/>
        </w:rPr>
        <w:t xml:space="preserve">Semprini’s </w:t>
      </w:r>
      <w:r w:rsidR="00561CAF">
        <w:rPr>
          <w:rFonts w:ascii="Times New Roman" w:hAnsi="Times New Roman" w:cs="Times New Roman"/>
          <w:sz w:val="26"/>
          <w:szCs w:val="26"/>
        </w:rPr>
        <w:t>class and PAGA claims</w:t>
      </w:r>
      <w:r w:rsidR="00D813C5">
        <w:rPr>
          <w:rFonts w:ascii="Times New Roman" w:hAnsi="Times New Roman" w:cs="Times New Roman"/>
          <w:sz w:val="26"/>
          <w:szCs w:val="26"/>
        </w:rPr>
        <w:t xml:space="preserve"> </w:t>
      </w:r>
      <w:r w:rsidR="00322C21">
        <w:rPr>
          <w:rFonts w:ascii="Times New Roman" w:hAnsi="Times New Roman" w:cs="Times New Roman"/>
          <w:sz w:val="26"/>
          <w:szCs w:val="26"/>
        </w:rPr>
        <w:t xml:space="preserve">in the trial court </w:t>
      </w:r>
      <w:r w:rsidR="00561CAF">
        <w:rPr>
          <w:rFonts w:ascii="Times New Roman" w:hAnsi="Times New Roman" w:cs="Times New Roman"/>
          <w:sz w:val="26"/>
          <w:szCs w:val="26"/>
        </w:rPr>
        <w:t xml:space="preserve">over the next several years, conducting </w:t>
      </w:r>
      <w:r w:rsidR="00D813C5">
        <w:rPr>
          <w:rFonts w:ascii="Times New Roman" w:hAnsi="Times New Roman" w:cs="Times New Roman"/>
          <w:sz w:val="26"/>
          <w:szCs w:val="26"/>
        </w:rPr>
        <w:t>extensive discovery, motion practice, and trial preparation</w:t>
      </w:r>
      <w:r>
        <w:rPr>
          <w:rFonts w:ascii="Times New Roman" w:hAnsi="Times New Roman" w:cs="Times New Roman"/>
          <w:sz w:val="26"/>
          <w:szCs w:val="26"/>
        </w:rPr>
        <w:t xml:space="preserve">.  </w:t>
      </w:r>
    </w:p>
    <w:p w:rsidR="00322C21" w:rsidP="000B1982" w14:paraId="649C9185" w14:textId="2A8430FF">
      <w:pPr>
        <w:spacing w:after="0" w:line="480" w:lineRule="atLeast"/>
        <w:ind w:firstLine="1440"/>
        <w:rPr>
          <w:rFonts w:ascii="Times New Roman" w:hAnsi="Times New Roman" w:cs="Times New Roman"/>
          <w:sz w:val="26"/>
          <w:szCs w:val="26"/>
        </w:rPr>
      </w:pPr>
      <w:r>
        <w:rPr>
          <w:rFonts w:ascii="Times New Roman" w:hAnsi="Times New Roman" w:cs="Times New Roman"/>
          <w:sz w:val="26"/>
          <w:szCs w:val="26"/>
        </w:rPr>
        <w:t xml:space="preserve">Two </w:t>
      </w:r>
      <w:r w:rsidR="00C911A7">
        <w:rPr>
          <w:rFonts w:ascii="Times New Roman" w:hAnsi="Times New Roman" w:cs="Times New Roman"/>
          <w:sz w:val="26"/>
          <w:szCs w:val="26"/>
        </w:rPr>
        <w:t>events occurred</w:t>
      </w:r>
      <w:r>
        <w:rPr>
          <w:rFonts w:ascii="Times New Roman" w:hAnsi="Times New Roman" w:cs="Times New Roman"/>
          <w:sz w:val="26"/>
          <w:szCs w:val="26"/>
        </w:rPr>
        <w:t xml:space="preserve"> in 2022 that, according to Wedbush, afforded it a new right to compel </w:t>
      </w:r>
      <w:r w:rsidR="004C51A9">
        <w:rPr>
          <w:rFonts w:ascii="Times New Roman" w:hAnsi="Times New Roman" w:cs="Times New Roman"/>
          <w:sz w:val="26"/>
          <w:szCs w:val="26"/>
        </w:rPr>
        <w:t xml:space="preserve">certain claims to </w:t>
      </w:r>
      <w:r>
        <w:rPr>
          <w:rFonts w:ascii="Times New Roman" w:hAnsi="Times New Roman" w:cs="Times New Roman"/>
          <w:sz w:val="26"/>
          <w:szCs w:val="26"/>
        </w:rPr>
        <w:t>arbitration, notwithstanding its 2015 stipulation.  First, i</w:t>
      </w:r>
      <w:r w:rsidR="00B4374E">
        <w:rPr>
          <w:rFonts w:ascii="Times New Roman" w:hAnsi="Times New Roman" w:cs="Times New Roman"/>
          <w:sz w:val="26"/>
          <w:szCs w:val="26"/>
        </w:rPr>
        <w:t>n June 2022, the United States Supreme Court issued its decision in</w:t>
      </w:r>
      <w:r w:rsidRPr="006072FF" w:rsidR="00B4374E">
        <w:rPr>
          <w:rFonts w:ascii="Times New Roman" w:hAnsi="Times New Roman" w:cs="Times New Roman"/>
          <w:i/>
          <w:iCs/>
          <w:sz w:val="26"/>
          <w:szCs w:val="26"/>
        </w:rPr>
        <w:t xml:space="preserve"> </w:t>
      </w:r>
      <w:bookmarkStart w:id="0" w:name="dabmci_592fd62d9992406eac7bd629c05542b3"/>
      <w:r w:rsidRPr="006072FF" w:rsidR="00B4374E">
        <w:rPr>
          <w:rFonts w:ascii="Times New Roman" w:hAnsi="Times New Roman" w:cs="Times New Roman"/>
          <w:i/>
          <w:iCs/>
          <w:sz w:val="26"/>
          <w:szCs w:val="26"/>
        </w:rPr>
        <w:t xml:space="preserve">Viking River Cruises, Inc. v. Moriana </w:t>
      </w:r>
      <w:r w:rsidRPr="006072FF" w:rsidR="00B4374E">
        <w:rPr>
          <w:rFonts w:ascii="Times New Roman" w:hAnsi="Times New Roman" w:cs="Times New Roman"/>
          <w:sz w:val="26"/>
          <w:szCs w:val="26"/>
        </w:rPr>
        <w:t>(2022) 5</w:t>
      </w:r>
      <w:r w:rsidR="00780910">
        <w:rPr>
          <w:rFonts w:ascii="Times New Roman" w:hAnsi="Times New Roman" w:cs="Times New Roman"/>
          <w:sz w:val="26"/>
          <w:szCs w:val="26"/>
        </w:rPr>
        <w:t>96</w:t>
      </w:r>
      <w:r w:rsidRPr="006072FF" w:rsidR="00B4374E">
        <w:rPr>
          <w:rFonts w:ascii="Times New Roman" w:hAnsi="Times New Roman" w:cs="Times New Roman"/>
          <w:sz w:val="26"/>
          <w:szCs w:val="26"/>
        </w:rPr>
        <w:t xml:space="preserve"> U.S. 639 (</w:t>
      </w:r>
      <w:r w:rsidRPr="006072FF" w:rsidR="00B4374E">
        <w:rPr>
          <w:rFonts w:ascii="Times New Roman" w:hAnsi="Times New Roman" w:cs="Times New Roman"/>
          <w:i/>
          <w:iCs/>
          <w:sz w:val="26"/>
          <w:szCs w:val="26"/>
        </w:rPr>
        <w:t>Viking River</w:t>
      </w:r>
      <w:r w:rsidRPr="006072FF" w:rsidR="00B4374E">
        <w:rPr>
          <w:rFonts w:ascii="Times New Roman" w:hAnsi="Times New Roman" w:cs="Times New Roman"/>
          <w:sz w:val="26"/>
          <w:szCs w:val="26"/>
        </w:rPr>
        <w:t>)</w:t>
      </w:r>
      <w:bookmarkEnd w:id="0"/>
      <w:r w:rsidR="00B4374E">
        <w:rPr>
          <w:rFonts w:ascii="Times New Roman" w:hAnsi="Times New Roman" w:cs="Times New Roman"/>
          <w:sz w:val="26"/>
          <w:szCs w:val="26"/>
        </w:rPr>
        <w:t xml:space="preserve">, holding </w:t>
      </w:r>
      <w:r w:rsidRPr="006072FF" w:rsidR="00B4374E">
        <w:rPr>
          <w:rFonts w:ascii="Times New Roman" w:hAnsi="Times New Roman" w:cs="Times New Roman"/>
          <w:sz w:val="26"/>
          <w:szCs w:val="26"/>
        </w:rPr>
        <w:t>that</w:t>
      </w:r>
      <w:r>
        <w:rPr>
          <w:rFonts w:ascii="Times New Roman" w:hAnsi="Times New Roman" w:cs="Times New Roman"/>
          <w:sz w:val="26"/>
          <w:szCs w:val="26"/>
        </w:rPr>
        <w:t>,</w:t>
      </w:r>
      <w:r w:rsidRPr="006072FF" w:rsidR="00B4374E">
        <w:rPr>
          <w:rFonts w:ascii="Times New Roman" w:hAnsi="Times New Roman" w:cs="Times New Roman"/>
          <w:sz w:val="26"/>
          <w:szCs w:val="26"/>
        </w:rPr>
        <w:t xml:space="preserve"> </w:t>
      </w:r>
      <w:r w:rsidR="00B4374E">
        <w:rPr>
          <w:rFonts w:ascii="Times New Roman" w:hAnsi="Times New Roman" w:cs="Times New Roman"/>
          <w:sz w:val="26"/>
          <w:szCs w:val="26"/>
        </w:rPr>
        <w:t>contrary to pr</w:t>
      </w:r>
      <w:r w:rsidR="00EB5AF9">
        <w:rPr>
          <w:rFonts w:ascii="Times New Roman" w:hAnsi="Times New Roman" w:cs="Times New Roman"/>
          <w:sz w:val="26"/>
          <w:szCs w:val="26"/>
        </w:rPr>
        <w:t>ior</w:t>
      </w:r>
      <w:r>
        <w:rPr>
          <w:rFonts w:ascii="Times New Roman" w:hAnsi="Times New Roman" w:cs="Times New Roman"/>
          <w:sz w:val="26"/>
          <w:szCs w:val="26"/>
        </w:rPr>
        <w:t xml:space="preserve"> California Supreme Court</w:t>
      </w:r>
      <w:r w:rsidR="00B4374E">
        <w:rPr>
          <w:rFonts w:ascii="Times New Roman" w:hAnsi="Times New Roman" w:cs="Times New Roman"/>
          <w:sz w:val="26"/>
          <w:szCs w:val="26"/>
        </w:rPr>
        <w:t xml:space="preserve"> authority, </w:t>
      </w:r>
      <w:r w:rsidRPr="006072FF" w:rsidR="00B4374E">
        <w:rPr>
          <w:rFonts w:ascii="Times New Roman" w:hAnsi="Times New Roman" w:cs="Times New Roman"/>
          <w:sz w:val="26"/>
          <w:szCs w:val="26"/>
        </w:rPr>
        <w:t xml:space="preserve">an employer </w:t>
      </w:r>
      <w:r w:rsidRPr="00FC52A9" w:rsidR="00B4374E">
        <w:rPr>
          <w:rFonts w:ascii="Times New Roman" w:hAnsi="Times New Roman" w:cs="Times New Roman"/>
          <w:sz w:val="26"/>
          <w:szCs w:val="26"/>
        </w:rPr>
        <w:t>may</w:t>
      </w:r>
      <w:r w:rsidRPr="006072FF" w:rsidR="00B4374E">
        <w:rPr>
          <w:rFonts w:ascii="Times New Roman" w:hAnsi="Times New Roman" w:cs="Times New Roman"/>
          <w:sz w:val="26"/>
          <w:szCs w:val="26"/>
        </w:rPr>
        <w:t xml:space="preserve"> enforce an employee’s agreement to arbitrate </w:t>
      </w:r>
      <w:r w:rsidRPr="00EB5AF9" w:rsidR="00B4374E">
        <w:rPr>
          <w:rFonts w:ascii="Times New Roman" w:hAnsi="Times New Roman" w:cs="Times New Roman"/>
          <w:sz w:val="26"/>
          <w:szCs w:val="26"/>
        </w:rPr>
        <w:t>individual</w:t>
      </w:r>
      <w:r w:rsidRPr="006072FF" w:rsidR="00B4374E">
        <w:rPr>
          <w:rFonts w:ascii="Times New Roman" w:hAnsi="Times New Roman" w:cs="Times New Roman"/>
          <w:sz w:val="26"/>
          <w:szCs w:val="26"/>
        </w:rPr>
        <w:t xml:space="preserve"> PAGA claims</w:t>
      </w:r>
      <w:r w:rsidR="00B4374E">
        <w:rPr>
          <w:rFonts w:ascii="Times New Roman" w:hAnsi="Times New Roman" w:cs="Times New Roman"/>
          <w:sz w:val="26"/>
          <w:szCs w:val="26"/>
        </w:rPr>
        <w:t>.  Se</w:t>
      </w:r>
      <w:r>
        <w:rPr>
          <w:rFonts w:ascii="Times New Roman" w:hAnsi="Times New Roman" w:cs="Times New Roman"/>
          <w:sz w:val="26"/>
          <w:szCs w:val="26"/>
        </w:rPr>
        <w:t>cond,</w:t>
      </w:r>
      <w:r>
        <w:rPr>
          <w:rFonts w:ascii="Times New Roman" w:hAnsi="Times New Roman" w:cs="Times New Roman"/>
          <w:i/>
          <w:iCs/>
          <w:sz w:val="26"/>
          <w:szCs w:val="26"/>
        </w:rPr>
        <w:t xml:space="preserve"> </w:t>
      </w:r>
      <w:r w:rsidR="00257AAC">
        <w:rPr>
          <w:rFonts w:ascii="Times New Roman" w:hAnsi="Times New Roman" w:cs="Times New Roman"/>
          <w:sz w:val="26"/>
          <w:szCs w:val="26"/>
        </w:rPr>
        <w:t xml:space="preserve">in the wake of </w:t>
      </w:r>
      <w:r w:rsidR="00257AAC">
        <w:rPr>
          <w:rFonts w:ascii="Times New Roman" w:hAnsi="Times New Roman" w:cs="Times New Roman"/>
          <w:i/>
          <w:iCs/>
          <w:sz w:val="26"/>
          <w:szCs w:val="26"/>
        </w:rPr>
        <w:t>Viking River</w:t>
      </w:r>
      <w:r w:rsidR="00257AAC">
        <w:rPr>
          <w:rFonts w:ascii="Times New Roman" w:hAnsi="Times New Roman" w:cs="Times New Roman"/>
          <w:sz w:val="26"/>
          <w:szCs w:val="26"/>
        </w:rPr>
        <w:t xml:space="preserve">, </w:t>
      </w:r>
      <w:r w:rsidR="00B4374E">
        <w:rPr>
          <w:rFonts w:ascii="Times New Roman" w:hAnsi="Times New Roman" w:cs="Times New Roman"/>
          <w:sz w:val="26"/>
          <w:szCs w:val="26"/>
        </w:rPr>
        <w:t xml:space="preserve">Wedbush asked its </w:t>
      </w:r>
      <w:r w:rsidR="00924315">
        <w:rPr>
          <w:rFonts w:ascii="Times New Roman" w:hAnsi="Times New Roman" w:cs="Times New Roman"/>
          <w:sz w:val="26"/>
          <w:szCs w:val="26"/>
        </w:rPr>
        <w:t xml:space="preserve">workforce </w:t>
      </w:r>
      <w:r w:rsidR="00B4374E">
        <w:rPr>
          <w:rFonts w:ascii="Times New Roman" w:hAnsi="Times New Roman" w:cs="Times New Roman"/>
          <w:sz w:val="26"/>
          <w:szCs w:val="26"/>
        </w:rPr>
        <w:t>to sign arbitration agreements</w:t>
      </w:r>
      <w:r w:rsidR="00257AAC">
        <w:rPr>
          <w:rFonts w:ascii="Times New Roman" w:hAnsi="Times New Roman" w:cs="Times New Roman"/>
          <w:sz w:val="26"/>
          <w:szCs w:val="26"/>
        </w:rPr>
        <w:t>,</w:t>
      </w:r>
      <w:r w:rsidRPr="004E458E" w:rsidR="004E458E">
        <w:rPr>
          <w:rFonts w:ascii="Times New Roman" w:hAnsi="Times New Roman" w:cs="Times New Roman"/>
          <w:sz w:val="26"/>
          <w:szCs w:val="26"/>
        </w:rPr>
        <w:t xml:space="preserve"> </w:t>
      </w:r>
      <w:r w:rsidR="00B4374E">
        <w:rPr>
          <w:rFonts w:ascii="Times New Roman" w:hAnsi="Times New Roman" w:cs="Times New Roman"/>
          <w:sz w:val="26"/>
          <w:szCs w:val="26"/>
        </w:rPr>
        <w:t>and two dozen class members</w:t>
      </w:r>
      <w:r>
        <w:rPr>
          <w:rFonts w:ascii="Times New Roman" w:hAnsi="Times New Roman" w:cs="Times New Roman"/>
          <w:sz w:val="26"/>
          <w:szCs w:val="26"/>
        </w:rPr>
        <w:t xml:space="preserve">, including </w:t>
      </w:r>
      <w:r w:rsidR="00561F14">
        <w:rPr>
          <w:rFonts w:ascii="Times New Roman" w:hAnsi="Times New Roman" w:cs="Times New Roman"/>
          <w:sz w:val="26"/>
          <w:szCs w:val="26"/>
        </w:rPr>
        <w:t xml:space="preserve">the </w:t>
      </w:r>
      <w:r>
        <w:rPr>
          <w:rFonts w:ascii="Times New Roman" w:hAnsi="Times New Roman" w:cs="Times New Roman"/>
          <w:sz w:val="26"/>
          <w:szCs w:val="26"/>
        </w:rPr>
        <w:t>second named plaintiff</w:t>
      </w:r>
      <w:r w:rsidR="00561F14">
        <w:rPr>
          <w:rFonts w:ascii="Times New Roman" w:hAnsi="Times New Roman" w:cs="Times New Roman"/>
          <w:sz w:val="26"/>
          <w:szCs w:val="26"/>
        </w:rPr>
        <w:t>,</w:t>
      </w:r>
      <w:r>
        <w:rPr>
          <w:rFonts w:ascii="Times New Roman" w:hAnsi="Times New Roman" w:cs="Times New Roman"/>
          <w:sz w:val="26"/>
          <w:szCs w:val="26"/>
        </w:rPr>
        <w:t xml:space="preserve"> Bradley Swain, </w:t>
      </w:r>
      <w:r w:rsidR="00C911A7">
        <w:rPr>
          <w:rFonts w:ascii="Times New Roman" w:hAnsi="Times New Roman" w:cs="Times New Roman"/>
          <w:sz w:val="26"/>
          <w:szCs w:val="26"/>
        </w:rPr>
        <w:t>agreed to do</w:t>
      </w:r>
      <w:r w:rsidR="00B4374E">
        <w:rPr>
          <w:rFonts w:ascii="Times New Roman" w:hAnsi="Times New Roman" w:cs="Times New Roman"/>
          <w:sz w:val="26"/>
          <w:szCs w:val="26"/>
        </w:rPr>
        <w:t xml:space="preserve"> so</w:t>
      </w:r>
      <w:r>
        <w:rPr>
          <w:rFonts w:ascii="Times New Roman" w:hAnsi="Times New Roman" w:cs="Times New Roman"/>
          <w:sz w:val="26"/>
          <w:szCs w:val="26"/>
        </w:rPr>
        <w:t xml:space="preserve"> in </w:t>
      </w:r>
      <w:r w:rsidR="008170F7">
        <w:rPr>
          <w:rFonts w:ascii="Times New Roman" w:hAnsi="Times New Roman" w:cs="Times New Roman"/>
          <w:sz w:val="26"/>
          <w:szCs w:val="26"/>
        </w:rPr>
        <w:t xml:space="preserve">September and </w:t>
      </w:r>
      <w:r>
        <w:rPr>
          <w:rFonts w:ascii="Times New Roman" w:hAnsi="Times New Roman" w:cs="Times New Roman"/>
          <w:sz w:val="26"/>
          <w:szCs w:val="26"/>
        </w:rPr>
        <w:t>October 2022</w:t>
      </w:r>
      <w:r w:rsidR="00B4374E">
        <w:rPr>
          <w:rFonts w:ascii="Times New Roman" w:hAnsi="Times New Roman" w:cs="Times New Roman"/>
          <w:sz w:val="26"/>
          <w:szCs w:val="26"/>
        </w:rPr>
        <w:t>.</w:t>
      </w:r>
      <w:r w:rsidR="00AD0398">
        <w:rPr>
          <w:rFonts w:ascii="Times New Roman" w:hAnsi="Times New Roman" w:cs="Times New Roman"/>
          <w:sz w:val="26"/>
          <w:szCs w:val="26"/>
        </w:rPr>
        <w:t xml:space="preserve">  </w:t>
      </w:r>
    </w:p>
    <w:p w:rsidR="00AD0398" w:rsidP="000B1982" w14:paraId="4E4B957D" w14:textId="56072BB9">
      <w:pPr>
        <w:spacing w:after="0" w:line="480" w:lineRule="atLeast"/>
        <w:ind w:firstLine="1440"/>
        <w:rPr>
          <w:rFonts w:ascii="Times New Roman" w:hAnsi="Times New Roman" w:cs="Times New Roman"/>
          <w:sz w:val="26"/>
          <w:szCs w:val="26"/>
        </w:rPr>
      </w:pPr>
      <w:r>
        <w:rPr>
          <w:rFonts w:ascii="Times New Roman" w:hAnsi="Times New Roman" w:cs="Times New Roman"/>
          <w:sz w:val="26"/>
          <w:szCs w:val="26"/>
        </w:rPr>
        <w:t xml:space="preserve">In March 2023, just </w:t>
      </w:r>
      <w:r w:rsidR="008170F7">
        <w:rPr>
          <w:rFonts w:ascii="Times New Roman" w:hAnsi="Times New Roman" w:cs="Times New Roman"/>
          <w:sz w:val="26"/>
          <w:szCs w:val="26"/>
        </w:rPr>
        <w:t xml:space="preserve">five </w:t>
      </w:r>
      <w:r>
        <w:rPr>
          <w:rFonts w:ascii="Times New Roman" w:hAnsi="Times New Roman" w:cs="Times New Roman"/>
          <w:sz w:val="26"/>
          <w:szCs w:val="26"/>
        </w:rPr>
        <w:t>months before trial, Wedbush filed a</w:t>
      </w:r>
      <w:r w:rsidRPr="00AD0398">
        <w:rPr>
          <w:rFonts w:ascii="Times New Roman" w:hAnsi="Times New Roman" w:cs="Times New Roman"/>
          <w:sz w:val="26"/>
          <w:szCs w:val="26"/>
        </w:rPr>
        <w:t xml:space="preserve"> </w:t>
      </w:r>
      <w:r w:rsidRPr="006072FF">
        <w:rPr>
          <w:rFonts w:ascii="Times New Roman" w:hAnsi="Times New Roman" w:cs="Times New Roman"/>
          <w:sz w:val="26"/>
          <w:szCs w:val="26"/>
        </w:rPr>
        <w:t>motion to (1)</w:t>
      </w:r>
      <w:r w:rsidR="00FC52A9">
        <w:rPr>
          <w:rFonts w:ascii="Times New Roman" w:hAnsi="Times New Roman" w:cs="Times New Roman"/>
          <w:sz w:val="26"/>
          <w:szCs w:val="26"/>
        </w:rPr>
        <w:t> </w:t>
      </w:r>
      <w:r w:rsidRPr="006072FF">
        <w:rPr>
          <w:rFonts w:ascii="Times New Roman" w:hAnsi="Times New Roman" w:cs="Times New Roman"/>
          <w:sz w:val="26"/>
          <w:szCs w:val="26"/>
        </w:rPr>
        <w:t xml:space="preserve">compel </w:t>
      </w:r>
      <w:r w:rsidR="00361CAD">
        <w:rPr>
          <w:rFonts w:ascii="Times New Roman" w:hAnsi="Times New Roman" w:cs="Times New Roman"/>
          <w:sz w:val="26"/>
          <w:szCs w:val="26"/>
        </w:rPr>
        <w:t xml:space="preserve">the named plaintiffs </w:t>
      </w:r>
      <w:r w:rsidRPr="006072FF">
        <w:rPr>
          <w:rFonts w:ascii="Times New Roman" w:hAnsi="Times New Roman" w:cs="Times New Roman"/>
          <w:sz w:val="26"/>
          <w:szCs w:val="26"/>
        </w:rPr>
        <w:t>to arbitrate their individual PAGA claims</w:t>
      </w:r>
      <w:r w:rsidR="003B63D0">
        <w:rPr>
          <w:rFonts w:ascii="Times New Roman" w:hAnsi="Times New Roman" w:cs="Times New Roman"/>
          <w:sz w:val="26"/>
          <w:szCs w:val="26"/>
        </w:rPr>
        <w:t xml:space="preserve"> under</w:t>
      </w:r>
      <w:r w:rsidR="00561CAF">
        <w:rPr>
          <w:rFonts w:ascii="Times New Roman" w:hAnsi="Times New Roman" w:cs="Times New Roman"/>
          <w:sz w:val="26"/>
          <w:szCs w:val="26"/>
        </w:rPr>
        <w:t xml:space="preserve"> </w:t>
      </w:r>
      <w:r>
        <w:rPr>
          <w:rFonts w:ascii="Times New Roman" w:hAnsi="Times New Roman" w:cs="Times New Roman"/>
          <w:i/>
          <w:iCs/>
          <w:sz w:val="26"/>
          <w:szCs w:val="26"/>
        </w:rPr>
        <w:t>Viking River</w:t>
      </w:r>
      <w:r w:rsidRPr="006072FF">
        <w:rPr>
          <w:rFonts w:ascii="Times New Roman" w:hAnsi="Times New Roman" w:cs="Times New Roman"/>
          <w:sz w:val="26"/>
          <w:szCs w:val="26"/>
        </w:rPr>
        <w:t xml:space="preserve">, and (2) compel to arbitration </w:t>
      </w:r>
      <w:r w:rsidR="00561F14">
        <w:rPr>
          <w:rFonts w:ascii="Times New Roman" w:hAnsi="Times New Roman" w:cs="Times New Roman"/>
          <w:sz w:val="26"/>
          <w:szCs w:val="26"/>
        </w:rPr>
        <w:t xml:space="preserve">Swain and </w:t>
      </w:r>
      <w:r w:rsidRPr="006072FF">
        <w:rPr>
          <w:rFonts w:ascii="Times New Roman" w:hAnsi="Times New Roman" w:cs="Times New Roman"/>
          <w:sz w:val="26"/>
          <w:szCs w:val="26"/>
        </w:rPr>
        <w:t>the 2</w:t>
      </w:r>
      <w:r w:rsidR="00561F14">
        <w:rPr>
          <w:rFonts w:ascii="Times New Roman" w:hAnsi="Times New Roman" w:cs="Times New Roman"/>
          <w:sz w:val="26"/>
          <w:szCs w:val="26"/>
        </w:rPr>
        <w:t>3 other</w:t>
      </w:r>
      <w:r w:rsidRPr="006072FF">
        <w:rPr>
          <w:rFonts w:ascii="Times New Roman" w:hAnsi="Times New Roman" w:cs="Times New Roman"/>
          <w:sz w:val="26"/>
          <w:szCs w:val="26"/>
        </w:rPr>
        <w:t xml:space="preserve"> class members who signed arbitration agreements in </w:t>
      </w:r>
      <w:r w:rsidR="00FC52A9">
        <w:rPr>
          <w:rFonts w:ascii="Times New Roman" w:hAnsi="Times New Roman" w:cs="Times New Roman"/>
          <w:sz w:val="26"/>
          <w:szCs w:val="26"/>
        </w:rPr>
        <w:t xml:space="preserve">the </w:t>
      </w:r>
      <w:r w:rsidRPr="006072FF">
        <w:rPr>
          <w:rFonts w:ascii="Times New Roman" w:hAnsi="Times New Roman" w:cs="Times New Roman"/>
          <w:sz w:val="26"/>
          <w:szCs w:val="26"/>
        </w:rPr>
        <w:t>fall</w:t>
      </w:r>
      <w:r w:rsidR="00FC52A9">
        <w:rPr>
          <w:rFonts w:ascii="Times New Roman" w:hAnsi="Times New Roman" w:cs="Times New Roman"/>
          <w:sz w:val="26"/>
          <w:szCs w:val="26"/>
        </w:rPr>
        <w:t xml:space="preserve"> of</w:t>
      </w:r>
      <w:r w:rsidRPr="006072FF">
        <w:rPr>
          <w:rFonts w:ascii="Times New Roman" w:hAnsi="Times New Roman" w:cs="Times New Roman"/>
          <w:sz w:val="26"/>
          <w:szCs w:val="26"/>
        </w:rPr>
        <w:t xml:space="preserve"> 2022</w:t>
      </w:r>
      <w:r>
        <w:rPr>
          <w:rFonts w:ascii="Times New Roman" w:hAnsi="Times New Roman" w:cs="Times New Roman"/>
          <w:sz w:val="26"/>
          <w:szCs w:val="26"/>
        </w:rPr>
        <w:t>.  The trial court denied Wedbush’s motion, finding it had waived its right to compel arbitration by entering into the 2015 stipulation.</w:t>
      </w:r>
    </w:p>
    <w:p w:rsidR="00AD0398" w:rsidRPr="00AD0398" w:rsidP="000B1982" w14:paraId="34D8FDC0" w14:textId="4DC12FB1">
      <w:pPr>
        <w:spacing w:after="0" w:line="480" w:lineRule="atLeast"/>
        <w:ind w:firstLine="1440"/>
        <w:rPr>
          <w:rFonts w:ascii="Times New Roman" w:hAnsi="Times New Roman" w:cs="Times New Roman"/>
          <w:sz w:val="26"/>
          <w:szCs w:val="26"/>
        </w:rPr>
      </w:pPr>
      <w:r>
        <w:rPr>
          <w:rFonts w:ascii="Times New Roman" w:hAnsi="Times New Roman" w:cs="Times New Roman"/>
          <w:sz w:val="26"/>
          <w:szCs w:val="26"/>
        </w:rPr>
        <w:t>A</w:t>
      </w:r>
      <w:r w:rsidR="00561CAF">
        <w:rPr>
          <w:rFonts w:ascii="Times New Roman" w:hAnsi="Times New Roman" w:cs="Times New Roman"/>
          <w:sz w:val="26"/>
          <w:szCs w:val="26"/>
        </w:rPr>
        <w:t xml:space="preserve">lthough </w:t>
      </w:r>
      <w:r w:rsidR="00EB5AF9">
        <w:rPr>
          <w:rFonts w:ascii="Times New Roman" w:hAnsi="Times New Roman" w:cs="Times New Roman"/>
          <w:sz w:val="26"/>
          <w:szCs w:val="26"/>
        </w:rPr>
        <w:t xml:space="preserve">we rely on a different analysis than that </w:t>
      </w:r>
      <w:r w:rsidR="00FC52A9">
        <w:rPr>
          <w:rFonts w:ascii="Times New Roman" w:hAnsi="Times New Roman" w:cs="Times New Roman"/>
          <w:sz w:val="26"/>
          <w:szCs w:val="26"/>
        </w:rPr>
        <w:t xml:space="preserve">relied on by </w:t>
      </w:r>
      <w:r w:rsidR="00561CAF">
        <w:rPr>
          <w:rFonts w:ascii="Times New Roman" w:hAnsi="Times New Roman" w:cs="Times New Roman"/>
          <w:sz w:val="26"/>
          <w:szCs w:val="26"/>
        </w:rPr>
        <w:t>the trial court</w:t>
      </w:r>
      <w:r>
        <w:rPr>
          <w:rFonts w:ascii="Times New Roman" w:hAnsi="Times New Roman" w:cs="Times New Roman"/>
          <w:sz w:val="26"/>
          <w:szCs w:val="26"/>
        </w:rPr>
        <w:t>, we affirm</w:t>
      </w:r>
      <w:r w:rsidR="00D813C5">
        <w:rPr>
          <w:rFonts w:ascii="Times New Roman" w:hAnsi="Times New Roman" w:cs="Times New Roman"/>
          <w:sz w:val="26"/>
          <w:szCs w:val="26"/>
        </w:rPr>
        <w:t xml:space="preserve">.  As we explain below, </w:t>
      </w:r>
      <w:r w:rsidR="00322C21">
        <w:rPr>
          <w:rFonts w:ascii="Times New Roman" w:hAnsi="Times New Roman" w:cs="Times New Roman"/>
          <w:sz w:val="26"/>
          <w:szCs w:val="26"/>
        </w:rPr>
        <w:t xml:space="preserve">even </w:t>
      </w:r>
      <w:r w:rsidR="00E3770A">
        <w:rPr>
          <w:rFonts w:ascii="Times New Roman" w:hAnsi="Times New Roman" w:cs="Times New Roman"/>
          <w:sz w:val="26"/>
          <w:szCs w:val="26"/>
        </w:rPr>
        <w:t>if</w:t>
      </w:r>
      <w:r w:rsidR="00561F14">
        <w:rPr>
          <w:rFonts w:ascii="Times New Roman" w:hAnsi="Times New Roman" w:cs="Times New Roman"/>
          <w:sz w:val="26"/>
          <w:szCs w:val="26"/>
        </w:rPr>
        <w:t xml:space="preserve"> </w:t>
      </w:r>
      <w:r>
        <w:rPr>
          <w:rFonts w:ascii="Times New Roman" w:hAnsi="Times New Roman" w:cs="Times New Roman"/>
          <w:i/>
          <w:iCs/>
          <w:sz w:val="26"/>
          <w:szCs w:val="26"/>
        </w:rPr>
        <w:t xml:space="preserve">Viking River </w:t>
      </w:r>
      <w:r w:rsidR="00E3770A">
        <w:rPr>
          <w:rFonts w:ascii="Times New Roman" w:hAnsi="Times New Roman" w:cs="Times New Roman"/>
          <w:sz w:val="26"/>
          <w:szCs w:val="26"/>
        </w:rPr>
        <w:t>or</w:t>
      </w:r>
      <w:r w:rsidR="00561F14">
        <w:rPr>
          <w:rFonts w:ascii="Times New Roman" w:hAnsi="Times New Roman" w:cs="Times New Roman"/>
          <w:sz w:val="26"/>
          <w:szCs w:val="26"/>
        </w:rPr>
        <w:t xml:space="preserve"> the </w:t>
      </w:r>
      <w:r w:rsidR="00F81FA6">
        <w:rPr>
          <w:rFonts w:ascii="Times New Roman" w:hAnsi="Times New Roman" w:cs="Times New Roman"/>
          <w:sz w:val="26"/>
          <w:szCs w:val="26"/>
        </w:rPr>
        <w:t xml:space="preserve">fall 2022 </w:t>
      </w:r>
      <w:r w:rsidR="00D813C5">
        <w:rPr>
          <w:rFonts w:ascii="Times New Roman" w:hAnsi="Times New Roman" w:cs="Times New Roman"/>
          <w:sz w:val="26"/>
          <w:szCs w:val="26"/>
        </w:rPr>
        <w:t xml:space="preserve">arbitration agreements </w:t>
      </w:r>
      <w:r w:rsidR="00561CAF">
        <w:rPr>
          <w:rFonts w:ascii="Times New Roman" w:hAnsi="Times New Roman" w:cs="Times New Roman"/>
          <w:sz w:val="26"/>
          <w:szCs w:val="26"/>
        </w:rPr>
        <w:t>gave Wedbush a new right to</w:t>
      </w:r>
      <w:r w:rsidR="00FC52A9">
        <w:rPr>
          <w:rFonts w:ascii="Times New Roman" w:hAnsi="Times New Roman" w:cs="Times New Roman"/>
          <w:sz w:val="26"/>
          <w:szCs w:val="26"/>
        </w:rPr>
        <w:t xml:space="preserve"> move to</w:t>
      </w:r>
      <w:r w:rsidR="00561CAF">
        <w:rPr>
          <w:rFonts w:ascii="Times New Roman" w:hAnsi="Times New Roman" w:cs="Times New Roman"/>
          <w:sz w:val="26"/>
          <w:szCs w:val="26"/>
        </w:rPr>
        <w:t xml:space="preserve"> c</w:t>
      </w:r>
      <w:r w:rsidR="00D813C5">
        <w:rPr>
          <w:rFonts w:ascii="Times New Roman" w:hAnsi="Times New Roman" w:cs="Times New Roman"/>
          <w:sz w:val="26"/>
          <w:szCs w:val="26"/>
        </w:rPr>
        <w:t xml:space="preserve">ompel </w:t>
      </w:r>
      <w:r w:rsidR="00561F14">
        <w:rPr>
          <w:rFonts w:ascii="Times New Roman" w:hAnsi="Times New Roman" w:cs="Times New Roman"/>
          <w:sz w:val="26"/>
          <w:szCs w:val="26"/>
        </w:rPr>
        <w:t>certain claims to arbitration</w:t>
      </w:r>
      <w:r w:rsidR="00322C21">
        <w:rPr>
          <w:rFonts w:ascii="Times New Roman" w:hAnsi="Times New Roman" w:cs="Times New Roman"/>
          <w:sz w:val="26"/>
          <w:szCs w:val="26"/>
        </w:rPr>
        <w:t xml:space="preserve">, </w:t>
      </w:r>
      <w:r w:rsidR="00D813C5">
        <w:rPr>
          <w:rFonts w:ascii="Times New Roman" w:hAnsi="Times New Roman" w:cs="Times New Roman"/>
          <w:sz w:val="26"/>
          <w:szCs w:val="26"/>
        </w:rPr>
        <w:t xml:space="preserve">Wedbush waited too long </w:t>
      </w:r>
      <w:r w:rsidR="00EB5AF9">
        <w:rPr>
          <w:rFonts w:ascii="Times New Roman" w:hAnsi="Times New Roman" w:cs="Times New Roman"/>
          <w:sz w:val="26"/>
          <w:szCs w:val="26"/>
        </w:rPr>
        <w:t>to make its motion</w:t>
      </w:r>
      <w:r w:rsidR="00561F14">
        <w:rPr>
          <w:rFonts w:ascii="Times New Roman" w:hAnsi="Times New Roman" w:cs="Times New Roman"/>
          <w:sz w:val="26"/>
          <w:szCs w:val="26"/>
        </w:rPr>
        <w:t>,</w:t>
      </w:r>
      <w:r w:rsidR="00D813C5">
        <w:rPr>
          <w:rFonts w:ascii="Times New Roman" w:hAnsi="Times New Roman" w:cs="Times New Roman"/>
          <w:sz w:val="26"/>
          <w:szCs w:val="26"/>
        </w:rPr>
        <w:t xml:space="preserve"> particularly in light of the looming trial date.  </w:t>
      </w:r>
      <w:r w:rsidR="00561CAF">
        <w:rPr>
          <w:rFonts w:ascii="Times New Roman" w:hAnsi="Times New Roman" w:cs="Times New Roman"/>
          <w:i/>
          <w:iCs/>
          <w:sz w:val="26"/>
          <w:szCs w:val="26"/>
        </w:rPr>
        <w:t xml:space="preserve">Viking River </w:t>
      </w:r>
      <w:r w:rsidR="00561CAF">
        <w:rPr>
          <w:rFonts w:ascii="Times New Roman" w:hAnsi="Times New Roman" w:cs="Times New Roman"/>
          <w:sz w:val="26"/>
          <w:szCs w:val="26"/>
        </w:rPr>
        <w:t>was decided in June 2022</w:t>
      </w:r>
      <w:r>
        <w:rPr>
          <w:rFonts w:ascii="Times New Roman" w:hAnsi="Times New Roman" w:cs="Times New Roman"/>
          <w:sz w:val="26"/>
          <w:szCs w:val="26"/>
        </w:rPr>
        <w:t>;</w:t>
      </w:r>
      <w:r w:rsidR="00561CAF">
        <w:rPr>
          <w:rFonts w:ascii="Times New Roman" w:hAnsi="Times New Roman" w:cs="Times New Roman"/>
          <w:sz w:val="26"/>
          <w:szCs w:val="26"/>
        </w:rPr>
        <w:t xml:space="preserve"> the 24 class members signed </w:t>
      </w:r>
      <w:r w:rsidR="00000553">
        <w:rPr>
          <w:rFonts w:ascii="Times New Roman" w:hAnsi="Times New Roman" w:cs="Times New Roman"/>
          <w:sz w:val="26"/>
          <w:szCs w:val="26"/>
        </w:rPr>
        <w:t xml:space="preserve">arbitration agreements in </w:t>
      </w:r>
      <w:r w:rsidR="00221FF7">
        <w:rPr>
          <w:rFonts w:ascii="Times New Roman" w:hAnsi="Times New Roman" w:cs="Times New Roman"/>
          <w:sz w:val="26"/>
          <w:szCs w:val="26"/>
        </w:rPr>
        <w:t xml:space="preserve">September and </w:t>
      </w:r>
      <w:r w:rsidR="00000553">
        <w:rPr>
          <w:rFonts w:ascii="Times New Roman" w:hAnsi="Times New Roman" w:cs="Times New Roman"/>
          <w:sz w:val="26"/>
          <w:szCs w:val="26"/>
        </w:rPr>
        <w:t>October 2022</w:t>
      </w:r>
      <w:r>
        <w:rPr>
          <w:rFonts w:ascii="Times New Roman" w:hAnsi="Times New Roman" w:cs="Times New Roman"/>
          <w:sz w:val="26"/>
          <w:szCs w:val="26"/>
        </w:rPr>
        <w:t>;</w:t>
      </w:r>
      <w:r w:rsidR="00511DA7">
        <w:rPr>
          <w:rFonts w:ascii="Times New Roman" w:hAnsi="Times New Roman" w:cs="Times New Roman"/>
          <w:sz w:val="26"/>
          <w:szCs w:val="26"/>
        </w:rPr>
        <w:t xml:space="preserve"> </w:t>
      </w:r>
      <w:r w:rsidR="00EB5AF9">
        <w:rPr>
          <w:rFonts w:ascii="Times New Roman" w:hAnsi="Times New Roman" w:cs="Times New Roman"/>
          <w:sz w:val="26"/>
          <w:szCs w:val="26"/>
        </w:rPr>
        <w:t>bu</w:t>
      </w:r>
      <w:r w:rsidR="00000553">
        <w:rPr>
          <w:rFonts w:ascii="Times New Roman" w:hAnsi="Times New Roman" w:cs="Times New Roman"/>
          <w:sz w:val="26"/>
          <w:szCs w:val="26"/>
        </w:rPr>
        <w:t xml:space="preserve">t </w:t>
      </w:r>
      <w:r w:rsidR="00322C21">
        <w:rPr>
          <w:rFonts w:ascii="Times New Roman" w:hAnsi="Times New Roman" w:cs="Times New Roman"/>
          <w:sz w:val="26"/>
          <w:szCs w:val="26"/>
        </w:rPr>
        <w:t xml:space="preserve">Wedbush </w:t>
      </w:r>
      <w:r w:rsidR="00000553">
        <w:rPr>
          <w:rFonts w:ascii="Times New Roman" w:hAnsi="Times New Roman" w:cs="Times New Roman"/>
          <w:sz w:val="26"/>
          <w:szCs w:val="26"/>
        </w:rPr>
        <w:t>wait</w:t>
      </w:r>
      <w:r>
        <w:rPr>
          <w:rFonts w:ascii="Times New Roman" w:hAnsi="Times New Roman" w:cs="Times New Roman"/>
          <w:sz w:val="26"/>
          <w:szCs w:val="26"/>
        </w:rPr>
        <w:t>ed</w:t>
      </w:r>
      <w:r w:rsidR="00000553">
        <w:rPr>
          <w:rFonts w:ascii="Times New Roman" w:hAnsi="Times New Roman" w:cs="Times New Roman"/>
          <w:sz w:val="26"/>
          <w:szCs w:val="26"/>
        </w:rPr>
        <w:t xml:space="preserve"> until March 2023 to f</w:t>
      </w:r>
      <w:r w:rsidR="00322C21">
        <w:rPr>
          <w:rFonts w:ascii="Times New Roman" w:hAnsi="Times New Roman" w:cs="Times New Roman"/>
          <w:sz w:val="26"/>
          <w:szCs w:val="26"/>
        </w:rPr>
        <w:t>ile</w:t>
      </w:r>
      <w:r>
        <w:rPr>
          <w:rFonts w:ascii="Times New Roman" w:hAnsi="Times New Roman" w:cs="Times New Roman"/>
          <w:sz w:val="26"/>
          <w:szCs w:val="26"/>
        </w:rPr>
        <w:t xml:space="preserve"> its motion to compel arbitration</w:t>
      </w:r>
      <w:r w:rsidR="00000553">
        <w:rPr>
          <w:rFonts w:ascii="Times New Roman" w:hAnsi="Times New Roman" w:cs="Times New Roman"/>
          <w:sz w:val="26"/>
          <w:szCs w:val="26"/>
        </w:rPr>
        <w:t xml:space="preserve">.  </w:t>
      </w:r>
      <w:r>
        <w:rPr>
          <w:rFonts w:ascii="Times New Roman" w:hAnsi="Times New Roman" w:cs="Times New Roman"/>
          <w:sz w:val="26"/>
          <w:szCs w:val="26"/>
        </w:rPr>
        <w:t xml:space="preserve">During that interim period Wedbush propounded discovery and filed other motions.  </w:t>
      </w:r>
      <w:r w:rsidR="00000553">
        <w:rPr>
          <w:rFonts w:ascii="Times New Roman" w:hAnsi="Times New Roman" w:cs="Times New Roman"/>
          <w:sz w:val="26"/>
          <w:szCs w:val="26"/>
        </w:rPr>
        <w:t xml:space="preserve">Wedbush did not </w:t>
      </w:r>
      <w:r w:rsidR="00561F14">
        <w:rPr>
          <w:rFonts w:ascii="Times New Roman" w:hAnsi="Times New Roman" w:cs="Times New Roman"/>
          <w:sz w:val="26"/>
          <w:szCs w:val="26"/>
        </w:rPr>
        <w:t xml:space="preserve">attempt to enforce </w:t>
      </w:r>
      <w:r w:rsidR="00FC52A9">
        <w:rPr>
          <w:rFonts w:ascii="Times New Roman" w:hAnsi="Times New Roman" w:cs="Times New Roman"/>
          <w:sz w:val="26"/>
          <w:szCs w:val="26"/>
        </w:rPr>
        <w:t xml:space="preserve">its </w:t>
      </w:r>
      <w:r w:rsidR="00FB4C7E">
        <w:rPr>
          <w:rFonts w:ascii="Times New Roman" w:hAnsi="Times New Roman" w:cs="Times New Roman"/>
          <w:sz w:val="26"/>
          <w:szCs w:val="26"/>
        </w:rPr>
        <w:t xml:space="preserve">alleged </w:t>
      </w:r>
      <w:r w:rsidR="00561F14">
        <w:rPr>
          <w:rFonts w:ascii="Times New Roman" w:hAnsi="Times New Roman" w:cs="Times New Roman"/>
          <w:sz w:val="26"/>
          <w:szCs w:val="26"/>
        </w:rPr>
        <w:t>arbitration rights</w:t>
      </w:r>
      <w:r w:rsidR="00000553">
        <w:rPr>
          <w:rFonts w:ascii="Times New Roman" w:hAnsi="Times New Roman" w:cs="Times New Roman"/>
          <w:sz w:val="26"/>
          <w:szCs w:val="26"/>
        </w:rPr>
        <w:t xml:space="preserve"> until </w:t>
      </w:r>
      <w:r>
        <w:rPr>
          <w:rFonts w:ascii="Times New Roman" w:hAnsi="Times New Roman" w:cs="Times New Roman"/>
          <w:sz w:val="26"/>
          <w:szCs w:val="26"/>
        </w:rPr>
        <w:t>nine months post-</w:t>
      </w:r>
      <w:r>
        <w:rPr>
          <w:rFonts w:ascii="Times New Roman" w:hAnsi="Times New Roman" w:cs="Times New Roman"/>
          <w:i/>
          <w:iCs/>
          <w:sz w:val="26"/>
          <w:szCs w:val="26"/>
        </w:rPr>
        <w:t>Viking River</w:t>
      </w:r>
      <w:r w:rsidR="008E2B95">
        <w:rPr>
          <w:rFonts w:ascii="Times New Roman" w:hAnsi="Times New Roman" w:cs="Times New Roman"/>
          <w:i/>
          <w:iCs/>
          <w:sz w:val="26"/>
          <w:szCs w:val="26"/>
        </w:rPr>
        <w:t xml:space="preserve"> </w:t>
      </w:r>
      <w:r w:rsidR="008E2B95">
        <w:rPr>
          <w:rFonts w:ascii="Times New Roman" w:hAnsi="Times New Roman" w:cs="Times New Roman"/>
          <w:sz w:val="26"/>
          <w:szCs w:val="26"/>
        </w:rPr>
        <w:t xml:space="preserve">and </w:t>
      </w:r>
      <w:r>
        <w:rPr>
          <w:rFonts w:ascii="Times New Roman" w:hAnsi="Times New Roman" w:cs="Times New Roman"/>
          <w:sz w:val="26"/>
          <w:szCs w:val="26"/>
        </w:rPr>
        <w:t>five</w:t>
      </w:r>
      <w:r w:rsidR="00511DA7">
        <w:rPr>
          <w:rFonts w:ascii="Times New Roman" w:hAnsi="Times New Roman" w:cs="Times New Roman"/>
          <w:sz w:val="26"/>
          <w:szCs w:val="26"/>
        </w:rPr>
        <w:t xml:space="preserve"> to six</w:t>
      </w:r>
      <w:r>
        <w:rPr>
          <w:rFonts w:ascii="Times New Roman" w:hAnsi="Times New Roman" w:cs="Times New Roman"/>
          <w:sz w:val="26"/>
          <w:szCs w:val="26"/>
        </w:rPr>
        <w:t xml:space="preserve"> months after select class members signed the new arbitration agreements.  T</w:t>
      </w:r>
      <w:r w:rsidR="00000553">
        <w:rPr>
          <w:rFonts w:ascii="Times New Roman" w:hAnsi="Times New Roman" w:cs="Times New Roman"/>
          <w:sz w:val="26"/>
          <w:szCs w:val="26"/>
        </w:rPr>
        <w:t xml:space="preserve">he record </w:t>
      </w:r>
      <w:r w:rsidR="00EB5AF9">
        <w:rPr>
          <w:rFonts w:ascii="Times New Roman" w:hAnsi="Times New Roman" w:cs="Times New Roman"/>
          <w:sz w:val="26"/>
          <w:szCs w:val="26"/>
        </w:rPr>
        <w:t xml:space="preserve">therefore </w:t>
      </w:r>
      <w:r w:rsidR="00000553">
        <w:rPr>
          <w:rFonts w:ascii="Times New Roman" w:hAnsi="Times New Roman" w:cs="Times New Roman"/>
          <w:sz w:val="26"/>
          <w:szCs w:val="26"/>
        </w:rPr>
        <w:t xml:space="preserve">supports </w:t>
      </w:r>
      <w:r w:rsidR="00011B22">
        <w:rPr>
          <w:rFonts w:ascii="Times New Roman" w:hAnsi="Times New Roman" w:cs="Times New Roman"/>
          <w:sz w:val="26"/>
          <w:szCs w:val="26"/>
        </w:rPr>
        <w:t>the trial court’s</w:t>
      </w:r>
      <w:r w:rsidR="00000553">
        <w:rPr>
          <w:rFonts w:ascii="Times New Roman" w:hAnsi="Times New Roman" w:cs="Times New Roman"/>
          <w:sz w:val="26"/>
          <w:szCs w:val="26"/>
        </w:rPr>
        <w:t xml:space="preserve"> finding that Wedbush waived</w:t>
      </w:r>
      <w:r w:rsidR="005E56FC">
        <w:rPr>
          <w:rFonts w:ascii="Times New Roman" w:hAnsi="Times New Roman" w:cs="Times New Roman"/>
          <w:sz w:val="26"/>
          <w:szCs w:val="26"/>
        </w:rPr>
        <w:t xml:space="preserve"> </w:t>
      </w:r>
      <w:r>
        <w:rPr>
          <w:rFonts w:ascii="Times New Roman" w:hAnsi="Times New Roman" w:cs="Times New Roman"/>
          <w:sz w:val="26"/>
          <w:szCs w:val="26"/>
        </w:rPr>
        <w:t xml:space="preserve">its right </w:t>
      </w:r>
      <w:r w:rsidR="00780910">
        <w:rPr>
          <w:rFonts w:ascii="Times New Roman" w:hAnsi="Times New Roman" w:cs="Times New Roman"/>
          <w:sz w:val="26"/>
          <w:szCs w:val="26"/>
        </w:rPr>
        <w:t xml:space="preserve">to </w:t>
      </w:r>
      <w:r>
        <w:rPr>
          <w:rFonts w:ascii="Times New Roman" w:hAnsi="Times New Roman" w:cs="Times New Roman"/>
          <w:sz w:val="26"/>
          <w:szCs w:val="26"/>
        </w:rPr>
        <w:t xml:space="preserve">compel arbitration.  </w:t>
      </w:r>
    </w:p>
    <w:p w:rsidR="00B73E07" w:rsidRPr="006072FF" w:rsidP="00DA7D2A" w14:paraId="05ECC7A4" w14:textId="1C47E1E7">
      <w:pPr>
        <w:keepNext/>
        <w:spacing w:before="120" w:after="0" w:line="480" w:lineRule="atLeast"/>
        <w:jc w:val="center"/>
        <w:rPr>
          <w:rFonts w:ascii="Times New Roman" w:hAnsi="Times New Roman" w:cs="Times New Roman"/>
          <w:b/>
          <w:bCs/>
          <w:sz w:val="26"/>
          <w:szCs w:val="26"/>
        </w:rPr>
      </w:pPr>
      <w:r w:rsidRPr="00041B73">
        <w:rPr>
          <w:rFonts w:ascii="Times New Roman" w:hAnsi="Times New Roman" w:cs="Times New Roman"/>
          <w:b/>
          <w:bCs/>
          <w:sz w:val="26"/>
          <w:szCs w:val="26"/>
        </w:rPr>
        <w:t>FACTS</w:t>
      </w:r>
    </w:p>
    <w:p w:rsidR="00506398" w:rsidRPr="005E56FC" w:rsidP="000B1982" w14:paraId="744C6C04" w14:textId="074F8B0C">
      <w:pPr>
        <w:spacing w:after="0" w:line="480" w:lineRule="atLeast"/>
        <w:ind w:firstLine="1440"/>
        <w:rPr>
          <w:rFonts w:ascii="Times New Roman" w:hAnsi="Times New Roman" w:cs="Times New Roman"/>
          <w:sz w:val="26"/>
          <w:szCs w:val="26"/>
        </w:rPr>
      </w:pPr>
      <w:r w:rsidRPr="005E56FC">
        <w:rPr>
          <w:rFonts w:ascii="Times New Roman" w:hAnsi="Times New Roman" w:cs="Times New Roman"/>
          <w:sz w:val="26"/>
          <w:szCs w:val="26"/>
        </w:rPr>
        <w:t xml:space="preserve">Wedbush is a securities broker-dealer firm that provides financial planning and investment products through its financial advisors.  It classifies its California financial advisors as exempt.  </w:t>
      </w:r>
    </w:p>
    <w:p w:rsidR="00FF75D0" w:rsidRPr="005E56FC" w:rsidP="000B1982" w14:paraId="618D820A" w14:textId="1195F480">
      <w:pPr>
        <w:spacing w:after="0" w:line="480" w:lineRule="atLeast"/>
        <w:ind w:firstLine="1440"/>
        <w:rPr>
          <w:rFonts w:ascii="Times New Roman" w:hAnsi="Times New Roman" w:cs="Times New Roman"/>
          <w:sz w:val="26"/>
          <w:szCs w:val="26"/>
        </w:rPr>
      </w:pPr>
      <w:r w:rsidRPr="005E56FC">
        <w:rPr>
          <w:rFonts w:ascii="Times New Roman" w:hAnsi="Times New Roman" w:cs="Times New Roman"/>
          <w:sz w:val="26"/>
          <w:szCs w:val="26"/>
        </w:rPr>
        <w:t>I</w:t>
      </w:r>
      <w:r w:rsidRPr="005E56FC" w:rsidR="00A529DD">
        <w:rPr>
          <w:rFonts w:ascii="Times New Roman" w:hAnsi="Times New Roman" w:cs="Times New Roman"/>
          <w:sz w:val="26"/>
          <w:szCs w:val="26"/>
        </w:rPr>
        <w:t>n March 201</w:t>
      </w:r>
      <w:r w:rsidRPr="005E56FC" w:rsidR="00BE595F">
        <w:rPr>
          <w:rFonts w:ascii="Times New Roman" w:hAnsi="Times New Roman" w:cs="Times New Roman"/>
          <w:sz w:val="26"/>
          <w:szCs w:val="26"/>
        </w:rPr>
        <w:t>5</w:t>
      </w:r>
      <w:r w:rsidRPr="005E56FC" w:rsidR="00A529DD">
        <w:rPr>
          <w:rFonts w:ascii="Times New Roman" w:hAnsi="Times New Roman" w:cs="Times New Roman"/>
          <w:sz w:val="26"/>
          <w:szCs w:val="26"/>
        </w:rPr>
        <w:t xml:space="preserve">, </w:t>
      </w:r>
      <w:r w:rsidRPr="005E56FC" w:rsidR="007D41CF">
        <w:rPr>
          <w:rFonts w:ascii="Times New Roman" w:hAnsi="Times New Roman" w:cs="Times New Roman"/>
          <w:sz w:val="26"/>
          <w:szCs w:val="26"/>
        </w:rPr>
        <w:t xml:space="preserve">Joseph </w:t>
      </w:r>
      <w:r w:rsidRPr="005E56FC" w:rsidR="00A529DD">
        <w:rPr>
          <w:rFonts w:ascii="Times New Roman" w:hAnsi="Times New Roman" w:cs="Times New Roman"/>
          <w:sz w:val="26"/>
          <w:szCs w:val="26"/>
        </w:rPr>
        <w:t>Semprini</w:t>
      </w:r>
      <w:r w:rsidRPr="005E56FC" w:rsidR="007D41CF">
        <w:rPr>
          <w:rFonts w:ascii="Times New Roman" w:hAnsi="Times New Roman" w:cs="Times New Roman"/>
          <w:sz w:val="26"/>
          <w:szCs w:val="26"/>
        </w:rPr>
        <w:t>, a Wedbush financial advisor</w:t>
      </w:r>
      <w:r w:rsidRPr="005E56FC" w:rsidR="00DB4754">
        <w:rPr>
          <w:rFonts w:ascii="Times New Roman" w:hAnsi="Times New Roman" w:cs="Times New Roman"/>
          <w:sz w:val="26"/>
          <w:szCs w:val="26"/>
        </w:rPr>
        <w:t>,</w:t>
      </w:r>
      <w:r w:rsidRPr="005E56FC" w:rsidR="00BA7B1D">
        <w:rPr>
          <w:rFonts w:ascii="Times New Roman" w:hAnsi="Times New Roman" w:cs="Times New Roman"/>
          <w:sz w:val="26"/>
          <w:szCs w:val="26"/>
        </w:rPr>
        <w:t xml:space="preserve"> filed a complaint </w:t>
      </w:r>
      <w:r w:rsidRPr="005E56FC" w:rsidR="00D74DC3">
        <w:rPr>
          <w:rFonts w:ascii="Times New Roman" w:hAnsi="Times New Roman" w:cs="Times New Roman"/>
          <w:sz w:val="26"/>
          <w:szCs w:val="26"/>
        </w:rPr>
        <w:t xml:space="preserve">against Wedbush </w:t>
      </w:r>
      <w:r w:rsidRPr="005E56FC" w:rsidR="00BA7B1D">
        <w:rPr>
          <w:rFonts w:ascii="Times New Roman" w:hAnsi="Times New Roman" w:cs="Times New Roman"/>
          <w:sz w:val="26"/>
          <w:szCs w:val="26"/>
        </w:rPr>
        <w:t>individually and on behalf of a proposed class</w:t>
      </w:r>
      <w:r w:rsidRPr="005E56FC" w:rsidR="00D74DC3">
        <w:rPr>
          <w:rFonts w:ascii="Times New Roman" w:hAnsi="Times New Roman" w:cs="Times New Roman"/>
          <w:sz w:val="26"/>
          <w:szCs w:val="26"/>
        </w:rPr>
        <w:t>.</w:t>
      </w:r>
      <w:r w:rsidR="00780910">
        <w:rPr>
          <w:rFonts w:ascii="Times New Roman" w:hAnsi="Times New Roman" w:cs="Times New Roman"/>
          <w:sz w:val="26"/>
          <w:szCs w:val="26"/>
        </w:rPr>
        <w:t xml:space="preserve">  </w:t>
      </w:r>
      <w:r w:rsidRPr="005E56FC" w:rsidR="005A1A81">
        <w:rPr>
          <w:rFonts w:ascii="Times New Roman" w:hAnsi="Times New Roman" w:cs="Times New Roman"/>
          <w:sz w:val="26"/>
          <w:szCs w:val="26"/>
        </w:rPr>
        <w:t xml:space="preserve">In causes of action </w:t>
      </w:r>
      <w:r w:rsidR="00780910">
        <w:rPr>
          <w:rFonts w:ascii="Times New Roman" w:hAnsi="Times New Roman" w:cs="Times New Roman"/>
          <w:sz w:val="26"/>
          <w:szCs w:val="26"/>
        </w:rPr>
        <w:t>one</w:t>
      </w:r>
      <w:r w:rsidRPr="005E56FC" w:rsidR="005A1A81">
        <w:rPr>
          <w:rFonts w:ascii="Times New Roman" w:hAnsi="Times New Roman" w:cs="Times New Roman"/>
          <w:sz w:val="26"/>
          <w:szCs w:val="26"/>
        </w:rPr>
        <w:t xml:space="preserve"> through </w:t>
      </w:r>
      <w:r w:rsidR="00780910">
        <w:rPr>
          <w:rFonts w:ascii="Times New Roman" w:hAnsi="Times New Roman" w:cs="Times New Roman"/>
          <w:sz w:val="26"/>
          <w:szCs w:val="26"/>
        </w:rPr>
        <w:t>seven</w:t>
      </w:r>
      <w:r w:rsidRPr="005E56FC" w:rsidR="005A1A81">
        <w:rPr>
          <w:rFonts w:ascii="Times New Roman" w:hAnsi="Times New Roman" w:cs="Times New Roman"/>
          <w:sz w:val="26"/>
          <w:szCs w:val="26"/>
        </w:rPr>
        <w:t xml:space="preserve">, Semprini </w:t>
      </w:r>
      <w:r w:rsidRPr="005E56FC" w:rsidR="00DB4754">
        <w:rPr>
          <w:rFonts w:ascii="Times New Roman" w:hAnsi="Times New Roman" w:cs="Times New Roman"/>
          <w:sz w:val="26"/>
          <w:szCs w:val="26"/>
        </w:rPr>
        <w:t>alleg</w:t>
      </w:r>
      <w:r w:rsidRPr="005E56FC" w:rsidR="005A1A81">
        <w:rPr>
          <w:rFonts w:ascii="Times New Roman" w:hAnsi="Times New Roman" w:cs="Times New Roman"/>
          <w:sz w:val="26"/>
          <w:szCs w:val="26"/>
        </w:rPr>
        <w:t>ed</w:t>
      </w:r>
      <w:r w:rsidRPr="005E56FC" w:rsidR="00EC7B2E">
        <w:rPr>
          <w:rFonts w:ascii="Times New Roman" w:hAnsi="Times New Roman" w:cs="Times New Roman"/>
          <w:sz w:val="26"/>
          <w:szCs w:val="26"/>
        </w:rPr>
        <w:t xml:space="preserve"> </w:t>
      </w:r>
      <w:r w:rsidRPr="005E56FC" w:rsidR="00475FA8">
        <w:rPr>
          <w:rFonts w:ascii="Times New Roman" w:hAnsi="Times New Roman" w:cs="Times New Roman"/>
          <w:sz w:val="26"/>
          <w:szCs w:val="26"/>
        </w:rPr>
        <w:t xml:space="preserve">Wedbush misclassified </w:t>
      </w:r>
      <w:r w:rsidRPr="005E56FC" w:rsidR="00EC7B2E">
        <w:rPr>
          <w:rFonts w:ascii="Times New Roman" w:hAnsi="Times New Roman" w:cs="Times New Roman"/>
          <w:sz w:val="26"/>
          <w:szCs w:val="26"/>
        </w:rPr>
        <w:t>him and his fellow employees a</w:t>
      </w:r>
      <w:r w:rsidRPr="005E56FC" w:rsidR="00475FA8">
        <w:rPr>
          <w:rFonts w:ascii="Times New Roman" w:hAnsi="Times New Roman" w:cs="Times New Roman"/>
          <w:sz w:val="26"/>
          <w:szCs w:val="26"/>
        </w:rPr>
        <w:t xml:space="preserve">s exempt and therefore </w:t>
      </w:r>
      <w:r w:rsidRPr="005E56FC" w:rsidR="00F60BDB">
        <w:rPr>
          <w:rFonts w:ascii="Times New Roman" w:hAnsi="Times New Roman" w:cs="Times New Roman"/>
          <w:sz w:val="26"/>
          <w:szCs w:val="26"/>
        </w:rPr>
        <w:t>committed various Labor Code violations, including failu</w:t>
      </w:r>
      <w:r w:rsidRPr="005E56FC" w:rsidR="00DA42F7">
        <w:rPr>
          <w:rFonts w:ascii="Times New Roman" w:hAnsi="Times New Roman" w:cs="Times New Roman"/>
          <w:sz w:val="26"/>
          <w:szCs w:val="26"/>
        </w:rPr>
        <w:t>re to pay minimum wa</w:t>
      </w:r>
      <w:r w:rsidRPr="005E56FC" w:rsidR="00EE1FA8">
        <w:rPr>
          <w:rFonts w:ascii="Times New Roman" w:hAnsi="Times New Roman" w:cs="Times New Roman"/>
          <w:sz w:val="26"/>
          <w:szCs w:val="26"/>
        </w:rPr>
        <w:t>ge</w:t>
      </w:r>
      <w:r w:rsidRPr="005E56FC" w:rsidR="00DA42F7">
        <w:rPr>
          <w:rFonts w:ascii="Times New Roman" w:hAnsi="Times New Roman" w:cs="Times New Roman"/>
          <w:sz w:val="26"/>
          <w:szCs w:val="26"/>
        </w:rPr>
        <w:t>, failure to pay overtime, and failure to provide meal and rest periods</w:t>
      </w:r>
      <w:r w:rsidRPr="005E56FC" w:rsidR="00BE595F">
        <w:rPr>
          <w:rFonts w:ascii="Times New Roman" w:hAnsi="Times New Roman" w:cs="Times New Roman"/>
          <w:sz w:val="26"/>
          <w:szCs w:val="26"/>
        </w:rPr>
        <w:t>.</w:t>
      </w:r>
      <w:r w:rsidRPr="005E56FC" w:rsidR="005E44E7">
        <w:rPr>
          <w:rFonts w:ascii="Times New Roman" w:hAnsi="Times New Roman" w:cs="Times New Roman"/>
          <w:sz w:val="26"/>
          <w:szCs w:val="26"/>
        </w:rPr>
        <w:t xml:space="preserve"> </w:t>
      </w:r>
      <w:r w:rsidR="00780910">
        <w:rPr>
          <w:rFonts w:ascii="Times New Roman" w:hAnsi="Times New Roman" w:cs="Times New Roman"/>
          <w:sz w:val="26"/>
          <w:szCs w:val="26"/>
        </w:rPr>
        <w:t xml:space="preserve"> </w:t>
      </w:r>
      <w:r w:rsidRPr="005E56FC" w:rsidR="00D5060A">
        <w:rPr>
          <w:rFonts w:ascii="Times New Roman" w:hAnsi="Times New Roman" w:cs="Times New Roman"/>
          <w:sz w:val="26"/>
          <w:szCs w:val="26"/>
        </w:rPr>
        <w:t xml:space="preserve">In causes of action </w:t>
      </w:r>
      <w:r w:rsidR="00780910">
        <w:rPr>
          <w:rFonts w:ascii="Times New Roman" w:hAnsi="Times New Roman" w:cs="Times New Roman"/>
          <w:sz w:val="26"/>
          <w:szCs w:val="26"/>
        </w:rPr>
        <w:t>eight</w:t>
      </w:r>
      <w:r w:rsidRPr="005E56FC" w:rsidR="00D5060A">
        <w:rPr>
          <w:rFonts w:ascii="Times New Roman" w:hAnsi="Times New Roman" w:cs="Times New Roman"/>
          <w:sz w:val="26"/>
          <w:szCs w:val="26"/>
        </w:rPr>
        <w:t xml:space="preserve"> through 18, Semprini asserted </w:t>
      </w:r>
      <w:r w:rsidR="00C27441">
        <w:rPr>
          <w:rFonts w:ascii="Times New Roman" w:hAnsi="Times New Roman" w:cs="Times New Roman"/>
          <w:sz w:val="26"/>
          <w:szCs w:val="26"/>
        </w:rPr>
        <w:t>claims</w:t>
      </w:r>
      <w:r w:rsidRPr="005E56FC" w:rsidR="00D5060A">
        <w:rPr>
          <w:rFonts w:ascii="Times New Roman" w:hAnsi="Times New Roman" w:cs="Times New Roman"/>
          <w:sz w:val="26"/>
          <w:szCs w:val="26"/>
        </w:rPr>
        <w:t xml:space="preserve"> that were personal to him, such as </w:t>
      </w:r>
      <w:r w:rsidRPr="005E56FC">
        <w:rPr>
          <w:rFonts w:ascii="Times New Roman" w:hAnsi="Times New Roman" w:cs="Times New Roman"/>
          <w:sz w:val="26"/>
          <w:szCs w:val="26"/>
        </w:rPr>
        <w:t>disability</w:t>
      </w:r>
      <w:r w:rsidRPr="005E56FC" w:rsidR="00D5060A">
        <w:rPr>
          <w:rFonts w:ascii="Times New Roman" w:hAnsi="Times New Roman" w:cs="Times New Roman"/>
          <w:sz w:val="26"/>
          <w:szCs w:val="26"/>
        </w:rPr>
        <w:t xml:space="preserve"> discrimination, failure to accommodate, retaliation, </w:t>
      </w:r>
      <w:r w:rsidR="009446CE">
        <w:rPr>
          <w:rFonts w:ascii="Times New Roman" w:hAnsi="Times New Roman" w:cs="Times New Roman"/>
          <w:sz w:val="26"/>
          <w:szCs w:val="26"/>
        </w:rPr>
        <w:t xml:space="preserve">and </w:t>
      </w:r>
      <w:r w:rsidRPr="005E56FC" w:rsidR="00D5060A">
        <w:rPr>
          <w:rFonts w:ascii="Times New Roman" w:hAnsi="Times New Roman" w:cs="Times New Roman"/>
          <w:sz w:val="26"/>
          <w:szCs w:val="26"/>
        </w:rPr>
        <w:t>wrongful termination.</w:t>
      </w:r>
    </w:p>
    <w:p w:rsidR="00FE4FA4" w:rsidRPr="005E56FC" w:rsidP="000B1982" w14:paraId="1D8E2565" w14:textId="10F03E34">
      <w:pPr>
        <w:spacing w:after="0" w:line="480" w:lineRule="atLeast"/>
        <w:ind w:firstLine="1440"/>
        <w:rPr>
          <w:rFonts w:ascii="Times New Roman" w:hAnsi="Times New Roman" w:cs="Times New Roman"/>
          <w:sz w:val="26"/>
          <w:szCs w:val="26"/>
        </w:rPr>
      </w:pPr>
      <w:r w:rsidRPr="005E56FC">
        <w:rPr>
          <w:rFonts w:ascii="Times New Roman" w:hAnsi="Times New Roman" w:cs="Times New Roman"/>
          <w:sz w:val="26"/>
          <w:szCs w:val="26"/>
        </w:rPr>
        <w:t>One</w:t>
      </w:r>
      <w:r w:rsidRPr="005E56FC" w:rsidR="005E44E7">
        <w:rPr>
          <w:rFonts w:ascii="Times New Roman" w:hAnsi="Times New Roman" w:cs="Times New Roman"/>
          <w:sz w:val="26"/>
          <w:szCs w:val="26"/>
        </w:rPr>
        <w:t xml:space="preserve"> month later, </w:t>
      </w:r>
      <w:r w:rsidRPr="005E56FC">
        <w:rPr>
          <w:rFonts w:ascii="Times New Roman" w:hAnsi="Times New Roman" w:cs="Times New Roman"/>
          <w:sz w:val="26"/>
          <w:szCs w:val="26"/>
        </w:rPr>
        <w:t xml:space="preserve">before Wedbush had filed a responsive pleading, </w:t>
      </w:r>
      <w:r w:rsidRPr="005E56FC" w:rsidR="005E44E7">
        <w:rPr>
          <w:rFonts w:ascii="Times New Roman" w:hAnsi="Times New Roman" w:cs="Times New Roman"/>
          <w:sz w:val="26"/>
          <w:szCs w:val="26"/>
        </w:rPr>
        <w:t>Semprini filed a first amended complaint adding a</w:t>
      </w:r>
      <w:r w:rsidRPr="005E56FC" w:rsidR="005848F8">
        <w:rPr>
          <w:rFonts w:ascii="Times New Roman" w:hAnsi="Times New Roman" w:cs="Times New Roman"/>
          <w:sz w:val="26"/>
          <w:szCs w:val="26"/>
        </w:rPr>
        <w:t xml:space="preserve"> </w:t>
      </w:r>
      <w:r w:rsidR="00C23D60">
        <w:rPr>
          <w:rFonts w:ascii="Times New Roman" w:hAnsi="Times New Roman" w:cs="Times New Roman"/>
          <w:sz w:val="26"/>
          <w:szCs w:val="26"/>
        </w:rPr>
        <w:t>19</w:t>
      </w:r>
      <w:r w:rsidRPr="005E56FC" w:rsidR="005848F8">
        <w:rPr>
          <w:rFonts w:ascii="Times New Roman" w:hAnsi="Times New Roman" w:cs="Times New Roman"/>
          <w:sz w:val="26"/>
          <w:szCs w:val="26"/>
        </w:rPr>
        <w:t>th</w:t>
      </w:r>
      <w:r w:rsidRPr="005E56FC" w:rsidR="000403A9">
        <w:rPr>
          <w:rFonts w:ascii="Times New Roman" w:hAnsi="Times New Roman" w:cs="Times New Roman"/>
          <w:sz w:val="26"/>
          <w:szCs w:val="26"/>
        </w:rPr>
        <w:t xml:space="preserve"> cause of action</w:t>
      </w:r>
      <w:r w:rsidRPr="005E56FC" w:rsidR="009136BD">
        <w:rPr>
          <w:rFonts w:ascii="Times New Roman" w:hAnsi="Times New Roman" w:cs="Times New Roman"/>
          <w:sz w:val="26"/>
          <w:szCs w:val="26"/>
        </w:rPr>
        <w:t xml:space="preserve"> </w:t>
      </w:r>
      <w:r w:rsidR="00691C23">
        <w:rPr>
          <w:rFonts w:ascii="Times New Roman" w:hAnsi="Times New Roman" w:cs="Times New Roman"/>
          <w:sz w:val="26"/>
          <w:szCs w:val="26"/>
        </w:rPr>
        <w:t>under</w:t>
      </w:r>
      <w:r w:rsidRPr="005E56FC" w:rsidR="00691C23">
        <w:rPr>
          <w:rFonts w:ascii="Times New Roman" w:hAnsi="Times New Roman" w:cs="Times New Roman"/>
          <w:sz w:val="26"/>
          <w:szCs w:val="26"/>
        </w:rPr>
        <w:t xml:space="preserve"> </w:t>
      </w:r>
      <w:r w:rsidRPr="005E56FC" w:rsidR="00A069FE">
        <w:rPr>
          <w:rFonts w:ascii="Times New Roman" w:hAnsi="Times New Roman" w:cs="Times New Roman"/>
          <w:sz w:val="26"/>
          <w:szCs w:val="26"/>
        </w:rPr>
        <w:t>PAGA</w:t>
      </w:r>
      <w:r w:rsidRPr="005E56FC" w:rsidR="008220DF">
        <w:rPr>
          <w:rFonts w:ascii="Times New Roman" w:hAnsi="Times New Roman" w:cs="Times New Roman"/>
          <w:sz w:val="26"/>
          <w:szCs w:val="26"/>
        </w:rPr>
        <w:t>.</w:t>
      </w:r>
      <w:r w:rsidR="00780910">
        <w:rPr>
          <w:rFonts w:ascii="Times New Roman" w:hAnsi="Times New Roman" w:cs="Times New Roman"/>
          <w:sz w:val="26"/>
          <w:szCs w:val="26"/>
        </w:rPr>
        <w:t xml:space="preserve">  </w:t>
      </w:r>
      <w:r w:rsidRPr="005E56FC" w:rsidR="005848F8">
        <w:rPr>
          <w:rFonts w:ascii="Times New Roman" w:hAnsi="Times New Roman" w:cs="Times New Roman"/>
          <w:sz w:val="26"/>
          <w:szCs w:val="26"/>
        </w:rPr>
        <w:t xml:space="preserve">PAGA </w:t>
      </w:r>
      <w:r w:rsidRPr="005E56FC" w:rsidR="00A069FE">
        <w:rPr>
          <w:rFonts w:ascii="Times New Roman" w:hAnsi="Times New Roman" w:cs="Times New Roman"/>
          <w:sz w:val="26"/>
          <w:szCs w:val="26"/>
        </w:rPr>
        <w:t xml:space="preserve">is a 2004 statute that </w:t>
      </w:r>
      <w:r w:rsidRPr="005E56FC" w:rsidR="005848F8">
        <w:rPr>
          <w:rFonts w:ascii="Times New Roman" w:hAnsi="Times New Roman" w:cs="Times New Roman"/>
          <w:sz w:val="26"/>
          <w:szCs w:val="26"/>
        </w:rPr>
        <w:t xml:space="preserve">permits private plaintiffs to sue their employers on behalf of the </w:t>
      </w:r>
      <w:r w:rsidR="00780910">
        <w:rPr>
          <w:rFonts w:ascii="Times New Roman" w:hAnsi="Times New Roman" w:cs="Times New Roman"/>
          <w:sz w:val="26"/>
          <w:szCs w:val="26"/>
        </w:rPr>
        <w:t>S</w:t>
      </w:r>
      <w:r w:rsidRPr="005E56FC" w:rsidR="005848F8">
        <w:rPr>
          <w:rFonts w:ascii="Times New Roman" w:hAnsi="Times New Roman" w:cs="Times New Roman"/>
          <w:sz w:val="26"/>
          <w:szCs w:val="26"/>
        </w:rPr>
        <w:t>tate of California and collect civil penalties for Labor Code violations committed against them and other aggrieved employees.  Semprini</w:t>
      </w:r>
      <w:r w:rsidRPr="005E56FC" w:rsidR="008220DF">
        <w:rPr>
          <w:rFonts w:ascii="Times New Roman" w:hAnsi="Times New Roman" w:cs="Times New Roman"/>
          <w:sz w:val="26"/>
          <w:szCs w:val="26"/>
        </w:rPr>
        <w:t xml:space="preserve"> brought his PAGA </w:t>
      </w:r>
      <w:r w:rsidRPr="005E56FC" w:rsidR="00151DF6">
        <w:rPr>
          <w:rFonts w:ascii="Times New Roman" w:hAnsi="Times New Roman" w:cs="Times New Roman"/>
          <w:sz w:val="26"/>
          <w:szCs w:val="26"/>
        </w:rPr>
        <w:t>claim</w:t>
      </w:r>
      <w:r w:rsidRPr="005E56FC" w:rsidR="008220DF">
        <w:rPr>
          <w:rFonts w:ascii="Times New Roman" w:hAnsi="Times New Roman" w:cs="Times New Roman"/>
          <w:sz w:val="26"/>
          <w:szCs w:val="26"/>
        </w:rPr>
        <w:t xml:space="preserve"> both </w:t>
      </w:r>
      <w:r w:rsidRPr="005E56FC" w:rsidR="00CD3D96">
        <w:rPr>
          <w:rFonts w:ascii="Times New Roman" w:hAnsi="Times New Roman" w:cs="Times New Roman"/>
          <w:sz w:val="26"/>
          <w:szCs w:val="26"/>
        </w:rPr>
        <w:t>as an indi</w:t>
      </w:r>
      <w:r w:rsidRPr="005E56FC" w:rsidR="00F13B95">
        <w:rPr>
          <w:rFonts w:ascii="Times New Roman" w:hAnsi="Times New Roman" w:cs="Times New Roman"/>
          <w:sz w:val="26"/>
          <w:szCs w:val="26"/>
        </w:rPr>
        <w:t>vidual and as a representative</w:t>
      </w:r>
      <w:r w:rsidRPr="005E56FC" w:rsidR="00E941A7">
        <w:rPr>
          <w:rFonts w:ascii="Times New Roman" w:hAnsi="Times New Roman" w:cs="Times New Roman"/>
          <w:sz w:val="26"/>
          <w:szCs w:val="26"/>
        </w:rPr>
        <w:t>.</w:t>
      </w:r>
    </w:p>
    <w:p w:rsidR="00BE595F" w:rsidRPr="00797373" w:rsidP="00797373" w14:paraId="09CA9F5A" w14:textId="159824D2">
      <w:pPr>
        <w:spacing w:after="0" w:line="480" w:lineRule="atLeast"/>
        <w:ind w:firstLine="1440"/>
        <w:rPr>
          <w:rFonts w:ascii="Times New Roman" w:hAnsi="Times New Roman" w:cs="Times New Roman"/>
          <w:sz w:val="26"/>
          <w:szCs w:val="26"/>
        </w:rPr>
      </w:pPr>
      <w:r w:rsidRPr="005E56FC">
        <w:rPr>
          <w:rFonts w:ascii="Times New Roman" w:hAnsi="Times New Roman" w:cs="Times New Roman"/>
          <w:sz w:val="26"/>
          <w:szCs w:val="26"/>
        </w:rPr>
        <w:t xml:space="preserve">In May 2015, Semprini and Wedbush </w:t>
      </w:r>
      <w:r w:rsidRPr="005E56FC" w:rsidR="00F13B95">
        <w:rPr>
          <w:rFonts w:ascii="Times New Roman" w:hAnsi="Times New Roman" w:cs="Times New Roman"/>
          <w:sz w:val="26"/>
          <w:szCs w:val="26"/>
        </w:rPr>
        <w:t>stipulated</w:t>
      </w:r>
      <w:r w:rsidRPr="005E56FC" w:rsidR="008F1E1B">
        <w:rPr>
          <w:rFonts w:ascii="Times New Roman" w:hAnsi="Times New Roman" w:cs="Times New Roman"/>
          <w:sz w:val="26"/>
          <w:szCs w:val="26"/>
        </w:rPr>
        <w:t xml:space="preserve"> that </w:t>
      </w:r>
      <w:r w:rsidRPr="005E56FC" w:rsidR="00A66E6B">
        <w:rPr>
          <w:rFonts w:ascii="Times New Roman" w:hAnsi="Times New Roman" w:cs="Times New Roman"/>
          <w:sz w:val="26"/>
          <w:szCs w:val="26"/>
        </w:rPr>
        <w:t xml:space="preserve">Semprini’s personal claims </w:t>
      </w:r>
      <w:r w:rsidR="00607F1F">
        <w:rPr>
          <w:rFonts w:ascii="Times New Roman" w:hAnsi="Times New Roman" w:cs="Times New Roman"/>
          <w:sz w:val="26"/>
          <w:szCs w:val="26"/>
        </w:rPr>
        <w:t>would be arbitrated</w:t>
      </w:r>
      <w:r w:rsidRPr="00496FAC" w:rsidR="00496FAC">
        <w:rPr>
          <w:rFonts w:ascii="Times New Roman" w:hAnsi="Times New Roman" w:cs="Times New Roman"/>
          <w:sz w:val="26"/>
          <w:szCs w:val="26"/>
        </w:rPr>
        <w:t xml:space="preserve"> </w:t>
      </w:r>
      <w:r w:rsidR="00496FAC">
        <w:rPr>
          <w:rFonts w:ascii="Times New Roman" w:hAnsi="Times New Roman" w:cs="Times New Roman"/>
          <w:sz w:val="26"/>
          <w:szCs w:val="26"/>
        </w:rPr>
        <w:t xml:space="preserve">in accordance with an </w:t>
      </w:r>
      <w:r w:rsidR="00C911A7">
        <w:rPr>
          <w:rFonts w:ascii="Times New Roman" w:hAnsi="Times New Roman" w:cs="Times New Roman"/>
          <w:sz w:val="26"/>
          <w:szCs w:val="26"/>
        </w:rPr>
        <w:t xml:space="preserve">earlier </w:t>
      </w:r>
      <w:r w:rsidR="00496FAC">
        <w:rPr>
          <w:rFonts w:ascii="Times New Roman" w:hAnsi="Times New Roman" w:cs="Times New Roman"/>
          <w:sz w:val="26"/>
          <w:szCs w:val="26"/>
        </w:rPr>
        <w:t xml:space="preserve">agreement </w:t>
      </w:r>
      <w:r w:rsidR="00C911A7">
        <w:rPr>
          <w:rFonts w:ascii="Times New Roman" w:hAnsi="Times New Roman" w:cs="Times New Roman"/>
          <w:sz w:val="26"/>
          <w:szCs w:val="26"/>
        </w:rPr>
        <w:t xml:space="preserve">between Wedbush and </w:t>
      </w:r>
      <w:r w:rsidR="00496FAC">
        <w:rPr>
          <w:rFonts w:ascii="Times New Roman" w:hAnsi="Times New Roman" w:cs="Times New Roman"/>
          <w:sz w:val="26"/>
          <w:szCs w:val="26"/>
        </w:rPr>
        <w:t>Semprini</w:t>
      </w:r>
      <w:r w:rsidR="00607F1F">
        <w:rPr>
          <w:rFonts w:ascii="Times New Roman" w:hAnsi="Times New Roman" w:cs="Times New Roman"/>
          <w:sz w:val="26"/>
          <w:szCs w:val="26"/>
        </w:rPr>
        <w:t xml:space="preserve">, and </w:t>
      </w:r>
      <w:r w:rsidR="00C911A7">
        <w:rPr>
          <w:rFonts w:ascii="Times New Roman" w:hAnsi="Times New Roman" w:cs="Times New Roman"/>
          <w:sz w:val="26"/>
          <w:szCs w:val="26"/>
        </w:rPr>
        <w:t>Semprini’s</w:t>
      </w:r>
      <w:r w:rsidRPr="005E56FC" w:rsidR="00A66E6B">
        <w:rPr>
          <w:rFonts w:ascii="Times New Roman" w:hAnsi="Times New Roman" w:cs="Times New Roman"/>
          <w:sz w:val="26"/>
          <w:szCs w:val="26"/>
        </w:rPr>
        <w:t xml:space="preserve"> remaining claims (i.e., his wage and hour claims and PAGA claim)</w:t>
      </w:r>
      <w:r w:rsidR="00607F1F">
        <w:rPr>
          <w:rFonts w:ascii="Times New Roman" w:hAnsi="Times New Roman" w:cs="Times New Roman"/>
          <w:sz w:val="26"/>
          <w:szCs w:val="26"/>
        </w:rPr>
        <w:t xml:space="preserve"> would proceed</w:t>
      </w:r>
      <w:r w:rsidRPr="005E56FC" w:rsidR="00A66E6B">
        <w:rPr>
          <w:rFonts w:ascii="Times New Roman" w:hAnsi="Times New Roman" w:cs="Times New Roman"/>
          <w:sz w:val="26"/>
          <w:szCs w:val="26"/>
        </w:rPr>
        <w:t xml:space="preserve"> in the trial court</w:t>
      </w:r>
      <w:r w:rsidR="00C73021">
        <w:rPr>
          <w:rFonts w:ascii="Times New Roman" w:hAnsi="Times New Roman" w:cs="Times New Roman"/>
          <w:sz w:val="26"/>
          <w:szCs w:val="26"/>
        </w:rPr>
        <w:t>.</w:t>
      </w:r>
      <w:r>
        <w:rPr>
          <w:rStyle w:val="FootnoteReference"/>
          <w:rFonts w:ascii="Times New Roman" w:hAnsi="Times New Roman" w:cs="Times New Roman"/>
          <w:sz w:val="26"/>
          <w:szCs w:val="26"/>
        </w:rPr>
        <w:footnoteReference w:id="2"/>
      </w:r>
      <w:r w:rsidR="00780910">
        <w:rPr>
          <w:rFonts w:ascii="Times New Roman" w:hAnsi="Times New Roman" w:cs="Times New Roman"/>
          <w:sz w:val="26"/>
          <w:szCs w:val="26"/>
        </w:rPr>
        <w:t xml:space="preserve"> </w:t>
      </w:r>
      <w:r w:rsidR="00C73021">
        <w:rPr>
          <w:rFonts w:ascii="Times New Roman" w:hAnsi="Times New Roman" w:cs="Times New Roman"/>
          <w:sz w:val="26"/>
          <w:szCs w:val="26"/>
        </w:rPr>
        <w:t xml:space="preserve"> </w:t>
      </w:r>
      <w:r w:rsidRPr="005E56FC" w:rsidR="008E5B72">
        <w:rPr>
          <w:rFonts w:ascii="Times New Roman" w:hAnsi="Times New Roman" w:cs="Times New Roman"/>
          <w:sz w:val="26"/>
          <w:szCs w:val="26"/>
        </w:rPr>
        <w:t xml:space="preserve">The stipulation recited that </w:t>
      </w:r>
      <w:r w:rsidRPr="005E56FC" w:rsidR="002320C9">
        <w:rPr>
          <w:rFonts w:ascii="Times New Roman" w:hAnsi="Times New Roman" w:cs="Times New Roman"/>
          <w:sz w:val="26"/>
          <w:szCs w:val="26"/>
        </w:rPr>
        <w:t xml:space="preserve">“there is a written agreement between [Semprini and Wedbush] </w:t>
      </w:r>
      <w:r w:rsidRPr="005E56FC" w:rsidR="003B2F9F">
        <w:rPr>
          <w:rFonts w:ascii="Times New Roman" w:hAnsi="Times New Roman" w:cs="Times New Roman"/>
          <w:sz w:val="26"/>
          <w:szCs w:val="26"/>
        </w:rPr>
        <w:t>whereby</w:t>
      </w:r>
      <w:r w:rsidRPr="005E56FC" w:rsidR="002320C9">
        <w:rPr>
          <w:rFonts w:ascii="Times New Roman" w:hAnsi="Times New Roman" w:cs="Times New Roman"/>
          <w:sz w:val="26"/>
          <w:szCs w:val="26"/>
        </w:rPr>
        <w:t xml:space="preserve"> they agreed that non</w:t>
      </w:r>
      <w:r w:rsidR="00780910">
        <w:rPr>
          <w:rFonts w:ascii="Times New Roman" w:hAnsi="Times New Roman" w:cs="Times New Roman"/>
          <w:sz w:val="26"/>
          <w:szCs w:val="26"/>
        </w:rPr>
        <w:noBreakHyphen/>
      </w:r>
      <w:r w:rsidRPr="005E56FC" w:rsidR="002320C9">
        <w:rPr>
          <w:rFonts w:ascii="Times New Roman" w:hAnsi="Times New Roman" w:cs="Times New Roman"/>
          <w:sz w:val="26"/>
          <w:szCs w:val="26"/>
        </w:rPr>
        <w:t>class and non</w:t>
      </w:r>
      <w:r w:rsidR="00C911A7">
        <w:rPr>
          <w:rFonts w:ascii="Times New Roman" w:hAnsi="Times New Roman" w:cs="Times New Roman"/>
          <w:sz w:val="26"/>
          <w:szCs w:val="26"/>
        </w:rPr>
        <w:noBreakHyphen/>
      </w:r>
      <w:r w:rsidRPr="005E56FC" w:rsidR="002320C9">
        <w:rPr>
          <w:rFonts w:ascii="Times New Roman" w:hAnsi="Times New Roman" w:cs="Times New Roman"/>
          <w:sz w:val="26"/>
          <w:szCs w:val="26"/>
        </w:rPr>
        <w:t>putative class disputes between them sh</w:t>
      </w:r>
      <w:r w:rsidRPr="005E56FC" w:rsidR="003342B4">
        <w:rPr>
          <w:rFonts w:ascii="Times New Roman" w:hAnsi="Times New Roman" w:cs="Times New Roman"/>
          <w:sz w:val="26"/>
          <w:szCs w:val="26"/>
        </w:rPr>
        <w:t>all be resolved by arbitration before the [FINRA].”</w:t>
      </w:r>
      <w:r w:rsidR="00780910">
        <w:rPr>
          <w:rFonts w:ascii="Times New Roman" w:hAnsi="Times New Roman" w:cs="Times New Roman"/>
          <w:sz w:val="26"/>
          <w:szCs w:val="26"/>
        </w:rPr>
        <w:t xml:space="preserve"> </w:t>
      </w:r>
      <w:r w:rsidRPr="005E56FC" w:rsidR="003342B4">
        <w:rPr>
          <w:rFonts w:ascii="Times New Roman" w:hAnsi="Times New Roman" w:cs="Times New Roman"/>
          <w:sz w:val="26"/>
          <w:szCs w:val="26"/>
        </w:rPr>
        <w:t xml:space="preserve"> </w:t>
      </w:r>
      <w:r w:rsidR="00C911A7">
        <w:rPr>
          <w:rFonts w:ascii="Times New Roman" w:hAnsi="Times New Roman" w:cs="Times New Roman"/>
          <w:sz w:val="26"/>
          <w:szCs w:val="26"/>
        </w:rPr>
        <w:t>The parties</w:t>
      </w:r>
      <w:r w:rsidRPr="005E56FC" w:rsidR="008E5B72">
        <w:rPr>
          <w:rFonts w:ascii="Times New Roman" w:hAnsi="Times New Roman" w:cs="Times New Roman"/>
          <w:sz w:val="26"/>
          <w:szCs w:val="26"/>
        </w:rPr>
        <w:t xml:space="preserve"> stipulated </w:t>
      </w:r>
      <w:r w:rsidRPr="005E56FC" w:rsidR="003B2F9F">
        <w:rPr>
          <w:rFonts w:ascii="Times New Roman" w:hAnsi="Times New Roman" w:cs="Times New Roman"/>
          <w:sz w:val="26"/>
          <w:szCs w:val="26"/>
        </w:rPr>
        <w:t>(1)</w:t>
      </w:r>
      <w:r w:rsidRPr="005E56FC" w:rsidR="00E772EC">
        <w:rPr>
          <w:rFonts w:ascii="Times New Roman" w:hAnsi="Times New Roman" w:cs="Times New Roman"/>
          <w:sz w:val="26"/>
          <w:szCs w:val="26"/>
        </w:rPr>
        <w:t xml:space="preserve"> Semprini’s “purely individual claims (causes of action 8</w:t>
      </w:r>
      <w:r w:rsidR="00780910">
        <w:rPr>
          <w:rFonts w:ascii="Times New Roman" w:hAnsi="Times New Roman" w:cs="Times New Roman"/>
          <w:sz w:val="26"/>
          <w:szCs w:val="26"/>
        </w:rPr>
        <w:noBreakHyphen/>
      </w:r>
      <w:r w:rsidRPr="005E56FC" w:rsidR="00E772EC">
        <w:rPr>
          <w:rFonts w:ascii="Times New Roman" w:hAnsi="Times New Roman" w:cs="Times New Roman"/>
          <w:sz w:val="26"/>
          <w:szCs w:val="26"/>
        </w:rPr>
        <w:t>18) shall be resolved by FINRA arbitration,</w:t>
      </w:r>
      <w:r w:rsidRPr="005E56FC" w:rsidR="0039236D">
        <w:rPr>
          <w:rFonts w:ascii="Times New Roman" w:hAnsi="Times New Roman" w:cs="Times New Roman"/>
          <w:sz w:val="26"/>
          <w:szCs w:val="26"/>
        </w:rPr>
        <w:t xml:space="preserve">” </w:t>
      </w:r>
      <w:r w:rsidRPr="005E56FC" w:rsidR="003B2F9F">
        <w:rPr>
          <w:rFonts w:ascii="Times New Roman" w:hAnsi="Times New Roman" w:cs="Times New Roman"/>
          <w:sz w:val="26"/>
          <w:szCs w:val="26"/>
        </w:rPr>
        <w:t xml:space="preserve">(2) </w:t>
      </w:r>
      <w:r w:rsidR="00C911A7">
        <w:rPr>
          <w:rFonts w:ascii="Times New Roman" w:hAnsi="Times New Roman" w:cs="Times New Roman"/>
          <w:sz w:val="26"/>
          <w:szCs w:val="26"/>
        </w:rPr>
        <w:t>Semprini’s</w:t>
      </w:r>
      <w:r w:rsidRPr="005E56FC" w:rsidR="0039236D">
        <w:rPr>
          <w:rFonts w:ascii="Times New Roman" w:hAnsi="Times New Roman" w:cs="Times New Roman"/>
          <w:sz w:val="26"/>
          <w:szCs w:val="26"/>
        </w:rPr>
        <w:t xml:space="preserve"> “purely individual claims (causes of action 8</w:t>
      </w:r>
      <w:r w:rsidR="00780910">
        <w:rPr>
          <w:rFonts w:ascii="Times New Roman" w:hAnsi="Times New Roman" w:cs="Times New Roman"/>
          <w:sz w:val="26"/>
          <w:szCs w:val="26"/>
        </w:rPr>
        <w:noBreakHyphen/>
      </w:r>
      <w:r w:rsidRPr="005E56FC" w:rsidR="0039236D">
        <w:rPr>
          <w:rFonts w:ascii="Times New Roman" w:hAnsi="Times New Roman" w:cs="Times New Roman"/>
          <w:sz w:val="26"/>
          <w:szCs w:val="26"/>
        </w:rPr>
        <w:t xml:space="preserve">18) in this action </w:t>
      </w:r>
      <w:r w:rsidRPr="005E56FC" w:rsidR="00CE02F2">
        <w:rPr>
          <w:rFonts w:ascii="Times New Roman" w:hAnsi="Times New Roman" w:cs="Times New Roman"/>
          <w:sz w:val="26"/>
          <w:szCs w:val="26"/>
        </w:rPr>
        <w:t xml:space="preserve">should be stayed, pursuant to </w:t>
      </w:r>
      <w:bookmarkStart w:id="1" w:name="dabmci_a586e6805e3545609c38f814ad1c6bbc"/>
      <w:r w:rsidRPr="005E56FC" w:rsidR="00CE02F2">
        <w:rPr>
          <w:rFonts w:ascii="Times New Roman" w:hAnsi="Times New Roman" w:cs="Times New Roman"/>
          <w:sz w:val="26"/>
          <w:szCs w:val="26"/>
        </w:rPr>
        <w:t>California Code of Civil Procedure section 1281.4</w:t>
      </w:r>
      <w:bookmarkEnd w:id="1"/>
      <w:r w:rsidRPr="005E56FC" w:rsidR="00CE02F2">
        <w:rPr>
          <w:rFonts w:ascii="Times New Roman" w:hAnsi="Times New Roman" w:cs="Times New Roman"/>
          <w:sz w:val="26"/>
          <w:szCs w:val="26"/>
        </w:rPr>
        <w:t>, pending the resolution of the FINRA arbitration</w:t>
      </w:r>
      <w:r w:rsidRPr="005E56FC" w:rsidR="003B2F9F">
        <w:rPr>
          <w:rFonts w:ascii="Times New Roman" w:hAnsi="Times New Roman" w:cs="Times New Roman"/>
          <w:sz w:val="26"/>
          <w:szCs w:val="26"/>
        </w:rPr>
        <w:t>,” and (3)</w:t>
      </w:r>
      <w:r w:rsidR="00780910">
        <w:rPr>
          <w:rFonts w:ascii="Times New Roman" w:hAnsi="Times New Roman" w:cs="Times New Roman"/>
          <w:sz w:val="26"/>
          <w:szCs w:val="26"/>
        </w:rPr>
        <w:t> </w:t>
      </w:r>
      <w:r w:rsidRPr="005E56FC" w:rsidR="003B2F9F">
        <w:rPr>
          <w:rFonts w:ascii="Times New Roman" w:hAnsi="Times New Roman" w:cs="Times New Roman"/>
          <w:sz w:val="26"/>
          <w:szCs w:val="26"/>
        </w:rPr>
        <w:t>“</w:t>
      </w:r>
      <w:r w:rsidRPr="005E56FC" w:rsidR="00CE02F2">
        <w:rPr>
          <w:rFonts w:ascii="Times New Roman" w:hAnsi="Times New Roman" w:cs="Times New Roman"/>
          <w:sz w:val="26"/>
          <w:szCs w:val="26"/>
        </w:rPr>
        <w:t>all other causes of action will proceed before this Court.”</w:t>
      </w:r>
      <w:r w:rsidR="00780910">
        <w:rPr>
          <w:rFonts w:ascii="Times New Roman" w:hAnsi="Times New Roman" w:cs="Times New Roman"/>
          <w:sz w:val="26"/>
          <w:szCs w:val="26"/>
        </w:rPr>
        <w:t xml:space="preserve"> </w:t>
      </w:r>
      <w:r w:rsidRPr="005E56FC" w:rsidR="00220FFE">
        <w:rPr>
          <w:rFonts w:ascii="Times New Roman" w:hAnsi="Times New Roman" w:cs="Times New Roman"/>
          <w:sz w:val="26"/>
          <w:szCs w:val="26"/>
        </w:rPr>
        <w:t xml:space="preserve"> The trial court signed the stipulation as an order in June 2015.</w:t>
      </w:r>
      <w:r w:rsidRPr="005E56FC" w:rsidR="00E615F9">
        <w:rPr>
          <w:rFonts w:ascii="Times New Roman" w:hAnsi="Times New Roman" w:cs="Times New Roman"/>
          <w:sz w:val="26"/>
          <w:szCs w:val="26"/>
        </w:rPr>
        <w:t xml:space="preserve"> </w:t>
      </w:r>
    </w:p>
    <w:p w:rsidR="00F70C31" w:rsidRPr="005E56FC" w:rsidP="000B1982" w14:paraId="387739B3" w14:textId="2761E345">
      <w:pPr>
        <w:spacing w:after="0" w:line="480" w:lineRule="atLeast"/>
        <w:ind w:firstLine="1440"/>
        <w:rPr>
          <w:rFonts w:ascii="Times New Roman" w:hAnsi="Times New Roman" w:cs="Times New Roman"/>
          <w:sz w:val="26"/>
          <w:szCs w:val="26"/>
        </w:rPr>
      </w:pPr>
      <w:r w:rsidRPr="005E56FC">
        <w:rPr>
          <w:rFonts w:ascii="Times New Roman" w:hAnsi="Times New Roman" w:cs="Times New Roman"/>
          <w:sz w:val="26"/>
          <w:szCs w:val="26"/>
        </w:rPr>
        <w:t xml:space="preserve">Semprini initiated </w:t>
      </w:r>
      <w:r w:rsidR="004F705E">
        <w:rPr>
          <w:rFonts w:ascii="Times New Roman" w:hAnsi="Times New Roman" w:cs="Times New Roman"/>
          <w:sz w:val="26"/>
          <w:szCs w:val="26"/>
        </w:rPr>
        <w:t>the</w:t>
      </w:r>
      <w:r w:rsidRPr="005E56FC">
        <w:rPr>
          <w:rFonts w:ascii="Times New Roman" w:hAnsi="Times New Roman" w:cs="Times New Roman"/>
          <w:sz w:val="26"/>
          <w:szCs w:val="26"/>
        </w:rPr>
        <w:t xml:space="preserve"> FINRA arbitration</w:t>
      </w:r>
      <w:r w:rsidRPr="005E56FC" w:rsidR="00AB00CA">
        <w:rPr>
          <w:rFonts w:ascii="Times New Roman" w:hAnsi="Times New Roman" w:cs="Times New Roman"/>
          <w:sz w:val="26"/>
          <w:szCs w:val="26"/>
        </w:rPr>
        <w:t xml:space="preserve"> of his personal claims</w:t>
      </w:r>
      <w:r w:rsidRPr="005E56FC">
        <w:rPr>
          <w:rFonts w:ascii="Times New Roman" w:hAnsi="Times New Roman" w:cs="Times New Roman"/>
          <w:sz w:val="26"/>
          <w:szCs w:val="26"/>
        </w:rPr>
        <w:t xml:space="preserve"> in July 2015.</w:t>
      </w:r>
      <w:r w:rsidR="00780910">
        <w:rPr>
          <w:rFonts w:ascii="Times New Roman" w:hAnsi="Times New Roman" w:cs="Times New Roman"/>
          <w:sz w:val="26"/>
          <w:szCs w:val="26"/>
        </w:rPr>
        <w:t xml:space="preserve"> </w:t>
      </w:r>
      <w:r w:rsidRPr="005E56FC">
        <w:rPr>
          <w:rFonts w:ascii="Times New Roman" w:hAnsi="Times New Roman" w:cs="Times New Roman"/>
          <w:sz w:val="26"/>
          <w:szCs w:val="26"/>
        </w:rPr>
        <w:t xml:space="preserve"> Several years later, </w:t>
      </w:r>
      <w:r w:rsidRPr="005E56FC" w:rsidR="00923E7C">
        <w:rPr>
          <w:rFonts w:ascii="Times New Roman" w:hAnsi="Times New Roman" w:cs="Times New Roman"/>
          <w:sz w:val="26"/>
          <w:szCs w:val="26"/>
        </w:rPr>
        <w:t>a three</w:t>
      </w:r>
      <w:r w:rsidR="00FC52A9">
        <w:rPr>
          <w:rFonts w:ascii="Times New Roman" w:hAnsi="Times New Roman" w:cs="Times New Roman"/>
          <w:sz w:val="26"/>
          <w:szCs w:val="26"/>
        </w:rPr>
        <w:noBreakHyphen/>
        <w:t>member arbitration</w:t>
      </w:r>
      <w:r w:rsidRPr="005E56FC" w:rsidR="00923E7C">
        <w:rPr>
          <w:rFonts w:ascii="Times New Roman" w:hAnsi="Times New Roman" w:cs="Times New Roman"/>
          <w:sz w:val="26"/>
          <w:szCs w:val="26"/>
        </w:rPr>
        <w:t xml:space="preserve"> panel issued an award in favor of Semprini on some claims and in favor of Wedbush on others. </w:t>
      </w:r>
    </w:p>
    <w:p w:rsidR="00E079B6" w:rsidRPr="00C8573A" w:rsidP="000B1982" w14:paraId="0A671AEF" w14:textId="180F1015">
      <w:pPr>
        <w:spacing w:after="0" w:line="480" w:lineRule="atLeast"/>
        <w:ind w:firstLine="1440"/>
        <w:rPr>
          <w:rFonts w:ascii="Times New Roman" w:hAnsi="Times New Roman" w:cs="Times New Roman"/>
          <w:b/>
          <w:bCs/>
          <w:sz w:val="26"/>
          <w:szCs w:val="26"/>
        </w:rPr>
      </w:pPr>
      <w:r w:rsidRPr="005E56FC">
        <w:rPr>
          <w:rFonts w:ascii="Times New Roman" w:hAnsi="Times New Roman" w:cs="Times New Roman"/>
          <w:sz w:val="26"/>
          <w:szCs w:val="26"/>
        </w:rPr>
        <w:t>Meanwhile</w:t>
      </w:r>
      <w:r w:rsidR="00F22E8D">
        <w:rPr>
          <w:rFonts w:ascii="Times New Roman" w:hAnsi="Times New Roman" w:cs="Times New Roman"/>
          <w:sz w:val="26"/>
          <w:szCs w:val="26"/>
        </w:rPr>
        <w:t>,</w:t>
      </w:r>
      <w:r w:rsidR="00FC52A9">
        <w:rPr>
          <w:rFonts w:ascii="Times New Roman" w:hAnsi="Times New Roman" w:cs="Times New Roman"/>
          <w:sz w:val="26"/>
          <w:szCs w:val="26"/>
        </w:rPr>
        <w:t xml:space="preserve"> back in the trial court</w:t>
      </w:r>
      <w:r w:rsidRPr="005E56FC">
        <w:rPr>
          <w:rFonts w:ascii="Times New Roman" w:hAnsi="Times New Roman" w:cs="Times New Roman"/>
          <w:sz w:val="26"/>
          <w:szCs w:val="26"/>
        </w:rPr>
        <w:t xml:space="preserve">, the parties litigated </w:t>
      </w:r>
      <w:r w:rsidRPr="005E56FC" w:rsidR="00250412">
        <w:rPr>
          <w:rFonts w:ascii="Times New Roman" w:hAnsi="Times New Roman" w:cs="Times New Roman"/>
          <w:sz w:val="26"/>
          <w:szCs w:val="26"/>
        </w:rPr>
        <w:t>Semprini’s wage and hour</w:t>
      </w:r>
      <w:r w:rsidRPr="005E56FC">
        <w:rPr>
          <w:rFonts w:ascii="Times New Roman" w:hAnsi="Times New Roman" w:cs="Times New Roman"/>
          <w:sz w:val="26"/>
          <w:szCs w:val="26"/>
        </w:rPr>
        <w:t xml:space="preserve"> claims.  </w:t>
      </w:r>
      <w:r w:rsidRPr="005E56FC" w:rsidR="00BB0976">
        <w:rPr>
          <w:rFonts w:ascii="Times New Roman" w:hAnsi="Times New Roman" w:cs="Times New Roman"/>
          <w:sz w:val="26"/>
          <w:szCs w:val="26"/>
        </w:rPr>
        <w:t>Semprini moved to certify a class in 2016</w:t>
      </w:r>
      <w:r w:rsidR="00C911A7">
        <w:rPr>
          <w:rFonts w:ascii="Times New Roman" w:hAnsi="Times New Roman" w:cs="Times New Roman"/>
          <w:sz w:val="26"/>
          <w:szCs w:val="26"/>
        </w:rPr>
        <w:t>;</w:t>
      </w:r>
      <w:r w:rsidRPr="005E56FC" w:rsidR="00BB0976">
        <w:rPr>
          <w:rFonts w:ascii="Times New Roman" w:hAnsi="Times New Roman" w:cs="Times New Roman"/>
          <w:sz w:val="26"/>
          <w:szCs w:val="26"/>
        </w:rPr>
        <w:t xml:space="preserve"> in June 2017, the court certified a class of </w:t>
      </w:r>
      <w:r w:rsidRPr="005E56FC" w:rsidR="004F1351">
        <w:rPr>
          <w:rFonts w:ascii="Times New Roman" w:hAnsi="Times New Roman" w:cs="Times New Roman"/>
          <w:sz w:val="26"/>
          <w:szCs w:val="26"/>
        </w:rPr>
        <w:t xml:space="preserve">about 105 </w:t>
      </w:r>
      <w:r w:rsidRPr="005E56FC" w:rsidR="00BB0976">
        <w:rPr>
          <w:rFonts w:ascii="Times New Roman" w:hAnsi="Times New Roman" w:cs="Times New Roman"/>
          <w:sz w:val="26"/>
          <w:szCs w:val="26"/>
        </w:rPr>
        <w:t xml:space="preserve">current and former Wedbush </w:t>
      </w:r>
      <w:r w:rsidRPr="005E56FC" w:rsidR="004B3895">
        <w:rPr>
          <w:rFonts w:ascii="Times New Roman" w:hAnsi="Times New Roman" w:cs="Times New Roman"/>
          <w:sz w:val="26"/>
          <w:szCs w:val="26"/>
        </w:rPr>
        <w:t>employees</w:t>
      </w:r>
      <w:r w:rsidRPr="005E56FC" w:rsidR="000867FD">
        <w:rPr>
          <w:rFonts w:ascii="Times New Roman" w:hAnsi="Times New Roman" w:cs="Times New Roman"/>
          <w:sz w:val="26"/>
          <w:szCs w:val="26"/>
        </w:rPr>
        <w:t xml:space="preserve"> who were paid once per month and who earned commissions</w:t>
      </w:r>
      <w:r w:rsidRPr="005E56FC" w:rsidR="00BB0976">
        <w:rPr>
          <w:rFonts w:ascii="Times New Roman" w:hAnsi="Times New Roman" w:cs="Times New Roman"/>
          <w:sz w:val="26"/>
          <w:szCs w:val="26"/>
        </w:rPr>
        <w:t>.</w:t>
      </w:r>
      <w:r w:rsidR="00780910">
        <w:rPr>
          <w:rFonts w:ascii="Times New Roman" w:hAnsi="Times New Roman" w:cs="Times New Roman"/>
          <w:sz w:val="26"/>
          <w:szCs w:val="26"/>
        </w:rPr>
        <w:t xml:space="preserve"> </w:t>
      </w:r>
      <w:r w:rsidRPr="005E56FC" w:rsidR="00E615F9">
        <w:rPr>
          <w:rFonts w:ascii="Times New Roman" w:hAnsi="Times New Roman" w:cs="Times New Roman"/>
          <w:sz w:val="26"/>
          <w:szCs w:val="26"/>
        </w:rPr>
        <w:t xml:space="preserve"> </w:t>
      </w:r>
      <w:r w:rsidRPr="005E56FC" w:rsidR="00A3505A">
        <w:rPr>
          <w:rFonts w:ascii="Times New Roman" w:hAnsi="Times New Roman" w:cs="Times New Roman"/>
          <w:sz w:val="26"/>
          <w:szCs w:val="26"/>
        </w:rPr>
        <w:t xml:space="preserve">Notice of the </w:t>
      </w:r>
      <w:r w:rsidRPr="005E56FC" w:rsidR="007365D0">
        <w:rPr>
          <w:rFonts w:ascii="Times New Roman" w:hAnsi="Times New Roman" w:cs="Times New Roman"/>
          <w:sz w:val="26"/>
          <w:szCs w:val="26"/>
        </w:rPr>
        <w:t xml:space="preserve">class action was sent to persons identified as meeting the class definition. </w:t>
      </w:r>
    </w:p>
    <w:p w:rsidR="00220FFE" w:rsidRPr="005E56FC" w:rsidP="000B1982" w14:paraId="5F1DBBBE" w14:textId="4AE6F704">
      <w:pPr>
        <w:spacing w:after="0" w:line="480" w:lineRule="atLeast"/>
        <w:ind w:firstLine="1440"/>
        <w:rPr>
          <w:rFonts w:ascii="Times New Roman" w:hAnsi="Times New Roman" w:cs="Times New Roman"/>
          <w:sz w:val="26"/>
          <w:szCs w:val="26"/>
        </w:rPr>
      </w:pPr>
      <w:r w:rsidRPr="005E56FC">
        <w:rPr>
          <w:rFonts w:ascii="Times New Roman" w:hAnsi="Times New Roman" w:cs="Times New Roman"/>
          <w:sz w:val="26"/>
          <w:szCs w:val="26"/>
        </w:rPr>
        <w:t>I</w:t>
      </w:r>
      <w:r w:rsidRPr="005E56FC" w:rsidR="005C74B4">
        <w:rPr>
          <w:rFonts w:ascii="Times New Roman" w:hAnsi="Times New Roman" w:cs="Times New Roman"/>
          <w:sz w:val="26"/>
          <w:szCs w:val="26"/>
        </w:rPr>
        <w:t>n</w:t>
      </w:r>
      <w:r w:rsidRPr="005E56FC">
        <w:rPr>
          <w:rFonts w:ascii="Times New Roman" w:hAnsi="Times New Roman" w:cs="Times New Roman"/>
          <w:sz w:val="26"/>
          <w:szCs w:val="26"/>
        </w:rPr>
        <w:t xml:space="preserve"> November 2017, </w:t>
      </w:r>
      <w:r w:rsidR="00530327">
        <w:rPr>
          <w:rFonts w:ascii="Times New Roman" w:hAnsi="Times New Roman" w:cs="Times New Roman"/>
          <w:sz w:val="26"/>
          <w:szCs w:val="26"/>
        </w:rPr>
        <w:t>with</w:t>
      </w:r>
      <w:r w:rsidRPr="005E56FC" w:rsidR="005C74B4">
        <w:rPr>
          <w:rFonts w:ascii="Times New Roman" w:hAnsi="Times New Roman" w:cs="Times New Roman"/>
          <w:sz w:val="26"/>
          <w:szCs w:val="26"/>
        </w:rPr>
        <w:t xml:space="preserve"> Semprini’s health</w:t>
      </w:r>
      <w:r w:rsidRPr="005E56FC" w:rsidR="000867FD">
        <w:rPr>
          <w:rFonts w:ascii="Times New Roman" w:hAnsi="Times New Roman" w:cs="Times New Roman"/>
          <w:sz w:val="26"/>
          <w:szCs w:val="26"/>
        </w:rPr>
        <w:t xml:space="preserve"> in</w:t>
      </w:r>
      <w:r w:rsidRPr="005E56FC" w:rsidR="005C74B4">
        <w:rPr>
          <w:rFonts w:ascii="Times New Roman" w:hAnsi="Times New Roman" w:cs="Times New Roman"/>
          <w:sz w:val="26"/>
          <w:szCs w:val="26"/>
        </w:rPr>
        <w:t xml:space="preserve"> declin</w:t>
      </w:r>
      <w:r w:rsidRPr="005E56FC" w:rsidR="000867FD">
        <w:rPr>
          <w:rFonts w:ascii="Times New Roman" w:hAnsi="Times New Roman" w:cs="Times New Roman"/>
          <w:sz w:val="26"/>
          <w:szCs w:val="26"/>
        </w:rPr>
        <w:t>e</w:t>
      </w:r>
      <w:r w:rsidRPr="005E56FC" w:rsidR="004F7A3F">
        <w:rPr>
          <w:rFonts w:ascii="Times New Roman" w:hAnsi="Times New Roman" w:cs="Times New Roman"/>
          <w:sz w:val="26"/>
          <w:szCs w:val="26"/>
        </w:rPr>
        <w:t xml:space="preserve">, </w:t>
      </w:r>
      <w:r w:rsidRPr="005E56FC">
        <w:rPr>
          <w:rFonts w:ascii="Times New Roman" w:hAnsi="Times New Roman" w:cs="Times New Roman"/>
          <w:sz w:val="26"/>
          <w:szCs w:val="26"/>
        </w:rPr>
        <w:t>Bradley</w:t>
      </w:r>
      <w:r w:rsidRPr="005E56FC" w:rsidR="007245E1">
        <w:rPr>
          <w:rFonts w:ascii="Times New Roman" w:hAnsi="Times New Roman" w:cs="Times New Roman"/>
          <w:sz w:val="26"/>
          <w:szCs w:val="26"/>
        </w:rPr>
        <w:t xml:space="preserve"> Swain joined the action as a second named plaintiff.</w:t>
      </w:r>
      <w:r>
        <w:rPr>
          <w:rStyle w:val="FootnoteReference"/>
          <w:rFonts w:ascii="Times New Roman" w:hAnsi="Times New Roman" w:cs="Times New Roman"/>
          <w:sz w:val="26"/>
          <w:szCs w:val="26"/>
        </w:rPr>
        <w:footnoteReference w:id="3"/>
      </w:r>
      <w:r w:rsidRPr="005E56FC" w:rsidR="007245E1">
        <w:rPr>
          <w:rFonts w:ascii="Times New Roman" w:hAnsi="Times New Roman" w:cs="Times New Roman"/>
          <w:sz w:val="26"/>
          <w:szCs w:val="26"/>
        </w:rPr>
        <w:t xml:space="preserve"> </w:t>
      </w:r>
      <w:r w:rsidR="00780910">
        <w:rPr>
          <w:rFonts w:ascii="Times New Roman" w:hAnsi="Times New Roman" w:cs="Times New Roman"/>
          <w:sz w:val="26"/>
          <w:szCs w:val="26"/>
        </w:rPr>
        <w:t xml:space="preserve"> </w:t>
      </w:r>
      <w:r w:rsidRPr="005E56FC" w:rsidR="00FE2221">
        <w:rPr>
          <w:rFonts w:ascii="Times New Roman" w:hAnsi="Times New Roman" w:cs="Times New Roman"/>
          <w:sz w:val="26"/>
          <w:szCs w:val="26"/>
        </w:rPr>
        <w:t>The second</w:t>
      </w:r>
      <w:r w:rsidRPr="005E56FC" w:rsidR="006963DA">
        <w:rPr>
          <w:rFonts w:ascii="Times New Roman" w:hAnsi="Times New Roman" w:cs="Times New Roman"/>
          <w:sz w:val="26"/>
          <w:szCs w:val="26"/>
        </w:rPr>
        <w:t xml:space="preserve"> amended complaint</w:t>
      </w:r>
      <w:r w:rsidRPr="005E56FC" w:rsidR="00FE2221">
        <w:rPr>
          <w:rFonts w:ascii="Times New Roman" w:hAnsi="Times New Roman" w:cs="Times New Roman"/>
          <w:sz w:val="26"/>
          <w:szCs w:val="26"/>
        </w:rPr>
        <w:t xml:space="preserve"> filed by Semprini and Swain (collectively, Plaintiffs)</w:t>
      </w:r>
      <w:r w:rsidRPr="005E56FC" w:rsidR="006963DA">
        <w:rPr>
          <w:rFonts w:ascii="Times New Roman" w:hAnsi="Times New Roman" w:cs="Times New Roman"/>
          <w:sz w:val="26"/>
          <w:szCs w:val="26"/>
        </w:rPr>
        <w:t xml:space="preserve"> alleged the same </w:t>
      </w:r>
      <w:r w:rsidRPr="005E56FC" w:rsidR="00000AD1">
        <w:rPr>
          <w:rFonts w:ascii="Times New Roman" w:hAnsi="Times New Roman" w:cs="Times New Roman"/>
          <w:sz w:val="26"/>
          <w:szCs w:val="26"/>
        </w:rPr>
        <w:t>19</w:t>
      </w:r>
      <w:r w:rsidR="00780910">
        <w:rPr>
          <w:rFonts w:ascii="Times New Roman" w:hAnsi="Times New Roman" w:cs="Times New Roman"/>
          <w:sz w:val="26"/>
          <w:szCs w:val="26"/>
        </w:rPr>
        <w:t> </w:t>
      </w:r>
      <w:r w:rsidR="002E0C89">
        <w:rPr>
          <w:rFonts w:ascii="Times New Roman" w:hAnsi="Times New Roman" w:cs="Times New Roman"/>
          <w:sz w:val="26"/>
          <w:szCs w:val="26"/>
        </w:rPr>
        <w:t xml:space="preserve">causes of action </w:t>
      </w:r>
      <w:r w:rsidRPr="005E56FC" w:rsidR="00000AD1">
        <w:rPr>
          <w:rFonts w:ascii="Times New Roman" w:hAnsi="Times New Roman" w:cs="Times New Roman"/>
          <w:sz w:val="26"/>
          <w:szCs w:val="26"/>
        </w:rPr>
        <w:t>alleged in the first amended complaint</w:t>
      </w:r>
      <w:r w:rsidRPr="005E56FC" w:rsidR="006963DA">
        <w:rPr>
          <w:rFonts w:ascii="Times New Roman" w:hAnsi="Times New Roman" w:cs="Times New Roman"/>
          <w:sz w:val="26"/>
          <w:szCs w:val="26"/>
        </w:rPr>
        <w:t>.</w:t>
      </w:r>
      <w:r w:rsidRPr="005E56FC" w:rsidR="00000AD1">
        <w:rPr>
          <w:rFonts w:ascii="Times New Roman" w:hAnsi="Times New Roman" w:cs="Times New Roman"/>
          <w:sz w:val="26"/>
          <w:szCs w:val="26"/>
        </w:rPr>
        <w:t xml:space="preserve"> </w:t>
      </w:r>
    </w:p>
    <w:p w:rsidR="00B61806" w:rsidP="00060A6E" w14:paraId="0957E56A" w14:textId="4A251FD7">
      <w:pPr>
        <w:spacing w:after="0" w:line="480" w:lineRule="atLeast"/>
        <w:ind w:firstLine="1440"/>
        <w:rPr>
          <w:rFonts w:ascii="Times New Roman" w:hAnsi="Times New Roman" w:cs="Times New Roman"/>
          <w:b/>
          <w:bCs/>
          <w:sz w:val="26"/>
          <w:szCs w:val="26"/>
        </w:rPr>
      </w:pPr>
      <w:r w:rsidRPr="005E56FC">
        <w:rPr>
          <w:rFonts w:ascii="Times New Roman" w:hAnsi="Times New Roman" w:cs="Times New Roman"/>
          <w:sz w:val="26"/>
          <w:szCs w:val="26"/>
        </w:rPr>
        <w:t>Wedbush</w:t>
      </w:r>
      <w:r w:rsidRPr="005E56FC" w:rsidR="00FA7D79">
        <w:rPr>
          <w:rFonts w:ascii="Times New Roman" w:hAnsi="Times New Roman" w:cs="Times New Roman"/>
          <w:sz w:val="26"/>
          <w:szCs w:val="26"/>
        </w:rPr>
        <w:t xml:space="preserve"> </w:t>
      </w:r>
      <w:r w:rsidRPr="005E56FC" w:rsidR="0031049E">
        <w:rPr>
          <w:rFonts w:ascii="Times New Roman" w:hAnsi="Times New Roman" w:cs="Times New Roman"/>
          <w:sz w:val="26"/>
          <w:szCs w:val="26"/>
        </w:rPr>
        <w:t>raised the administrative exemption as an affirmative defense</w:t>
      </w:r>
      <w:r w:rsidRPr="006C771A" w:rsidR="006C771A">
        <w:rPr>
          <w:rFonts w:ascii="Times New Roman" w:hAnsi="Times New Roman" w:cs="Times New Roman"/>
          <w:sz w:val="26"/>
          <w:szCs w:val="26"/>
        </w:rPr>
        <w:t xml:space="preserve"> </w:t>
      </w:r>
      <w:r w:rsidRPr="005E56FC" w:rsidR="006C771A">
        <w:rPr>
          <w:rFonts w:ascii="Times New Roman" w:hAnsi="Times New Roman" w:cs="Times New Roman"/>
          <w:sz w:val="26"/>
          <w:szCs w:val="26"/>
        </w:rPr>
        <w:t>to Plaintiffs’ wage and hour claims</w:t>
      </w:r>
      <w:r w:rsidRPr="005E56FC" w:rsidR="0016022C">
        <w:rPr>
          <w:rFonts w:ascii="Times New Roman" w:hAnsi="Times New Roman" w:cs="Times New Roman"/>
          <w:sz w:val="26"/>
          <w:szCs w:val="26"/>
        </w:rPr>
        <w:t xml:space="preserve">. </w:t>
      </w:r>
      <w:r w:rsidR="00780910">
        <w:rPr>
          <w:rFonts w:ascii="Times New Roman" w:hAnsi="Times New Roman" w:cs="Times New Roman"/>
          <w:sz w:val="26"/>
          <w:szCs w:val="26"/>
        </w:rPr>
        <w:t xml:space="preserve"> </w:t>
      </w:r>
      <w:r w:rsidRPr="005E56FC" w:rsidR="000F6260">
        <w:rPr>
          <w:rFonts w:ascii="Times New Roman" w:hAnsi="Times New Roman" w:cs="Times New Roman"/>
          <w:sz w:val="26"/>
          <w:szCs w:val="26"/>
        </w:rPr>
        <w:t xml:space="preserve">This white collar exemption from </w:t>
      </w:r>
      <w:r w:rsidRPr="005E56FC" w:rsidR="006A13C5">
        <w:rPr>
          <w:rFonts w:ascii="Times New Roman" w:hAnsi="Times New Roman" w:cs="Times New Roman"/>
          <w:sz w:val="26"/>
          <w:szCs w:val="26"/>
        </w:rPr>
        <w:t>overtime and related</w:t>
      </w:r>
      <w:r w:rsidRPr="005E56FC" w:rsidR="00DE61EE">
        <w:rPr>
          <w:rFonts w:ascii="Times New Roman" w:hAnsi="Times New Roman" w:cs="Times New Roman"/>
          <w:sz w:val="26"/>
          <w:szCs w:val="26"/>
        </w:rPr>
        <w:t xml:space="preserve"> wage and hour</w:t>
      </w:r>
      <w:r w:rsidRPr="005E56FC" w:rsidR="006A13C5">
        <w:rPr>
          <w:rFonts w:ascii="Times New Roman" w:hAnsi="Times New Roman" w:cs="Times New Roman"/>
          <w:sz w:val="26"/>
          <w:szCs w:val="26"/>
        </w:rPr>
        <w:t xml:space="preserve"> laws only</w:t>
      </w:r>
      <w:r w:rsidRPr="005E56FC" w:rsidR="005A1CAF">
        <w:rPr>
          <w:rFonts w:ascii="Times New Roman" w:hAnsi="Times New Roman" w:cs="Times New Roman"/>
          <w:sz w:val="26"/>
          <w:szCs w:val="26"/>
        </w:rPr>
        <w:t xml:space="preserve"> applies if the employee earns “a monthly salary equivalent to no less than two (2) times the state minimum wage for full-time employment.”  (</w:t>
      </w:r>
      <w:bookmarkStart w:id="2" w:name="dabmci_a41807b8b856406c9967c41bab7f5450"/>
      <w:r w:rsidRPr="005E56FC" w:rsidR="005A1CAF">
        <w:rPr>
          <w:rFonts w:ascii="Times New Roman" w:hAnsi="Times New Roman" w:cs="Times New Roman"/>
          <w:sz w:val="26"/>
          <w:szCs w:val="26"/>
        </w:rPr>
        <w:t>Cal. Code Regs., tit. 8, § 11040, subd. 1(A)(2)(g)</w:t>
      </w:r>
      <w:bookmarkEnd w:id="2"/>
      <w:r w:rsidRPr="005E56FC" w:rsidR="005A1CAF">
        <w:rPr>
          <w:rFonts w:ascii="Times New Roman" w:hAnsi="Times New Roman" w:cs="Times New Roman"/>
          <w:sz w:val="26"/>
          <w:szCs w:val="26"/>
        </w:rPr>
        <w:t xml:space="preserve">.)  </w:t>
      </w:r>
      <w:r w:rsidRPr="005E56FC" w:rsidR="009D283C">
        <w:rPr>
          <w:rFonts w:ascii="Times New Roman" w:hAnsi="Times New Roman" w:cs="Times New Roman"/>
          <w:sz w:val="26"/>
          <w:szCs w:val="26"/>
        </w:rPr>
        <w:t>The parties disputed whether Wedbush’s compensation structure for class</w:t>
      </w:r>
      <w:r w:rsidRPr="005E56FC" w:rsidR="00D1762D">
        <w:rPr>
          <w:rFonts w:ascii="Times New Roman" w:hAnsi="Times New Roman" w:cs="Times New Roman"/>
          <w:sz w:val="26"/>
          <w:szCs w:val="26"/>
        </w:rPr>
        <w:t xml:space="preserve"> members met the salary basis test</w:t>
      </w:r>
      <w:r>
        <w:rPr>
          <w:rFonts w:ascii="Times New Roman" w:hAnsi="Times New Roman" w:cs="Times New Roman"/>
          <w:sz w:val="26"/>
          <w:szCs w:val="26"/>
        </w:rPr>
        <w:t>.</w:t>
      </w:r>
      <w:r>
        <w:rPr>
          <w:rFonts w:ascii="Times New Roman" w:hAnsi="Times New Roman" w:cs="Times New Roman"/>
          <w:b/>
          <w:bCs/>
          <w:sz w:val="26"/>
          <w:szCs w:val="26"/>
        </w:rPr>
        <w:t xml:space="preserve"> </w:t>
      </w:r>
    </w:p>
    <w:p w:rsidR="00B8794B" w:rsidRPr="005E56FC" w:rsidP="00060A6E" w14:paraId="0BF455EF" w14:textId="71A7C120">
      <w:pPr>
        <w:spacing w:after="0" w:line="480" w:lineRule="atLeast"/>
        <w:ind w:firstLine="1440"/>
        <w:rPr>
          <w:rFonts w:ascii="Times New Roman" w:hAnsi="Times New Roman" w:cs="Times New Roman"/>
          <w:sz w:val="26"/>
          <w:szCs w:val="26"/>
        </w:rPr>
      </w:pPr>
      <w:r w:rsidRPr="00B61806">
        <w:rPr>
          <w:rFonts w:ascii="Times New Roman" w:hAnsi="Times New Roman" w:cs="Times New Roman"/>
          <w:sz w:val="26"/>
          <w:szCs w:val="26"/>
        </w:rPr>
        <w:t>T</w:t>
      </w:r>
      <w:r w:rsidRPr="00B61806" w:rsidR="00FA2CF5">
        <w:rPr>
          <w:rFonts w:ascii="Times New Roman" w:hAnsi="Times New Roman" w:cs="Times New Roman"/>
          <w:sz w:val="26"/>
          <w:szCs w:val="26"/>
        </w:rPr>
        <w:t>he</w:t>
      </w:r>
      <w:r w:rsidRPr="005E56FC" w:rsidR="00FA2CF5">
        <w:rPr>
          <w:rFonts w:ascii="Times New Roman" w:hAnsi="Times New Roman" w:cs="Times New Roman"/>
          <w:sz w:val="26"/>
          <w:szCs w:val="26"/>
        </w:rPr>
        <w:t xml:space="preserve"> trial court held a bench trial on that issue</w:t>
      </w:r>
      <w:r w:rsidRPr="005E56FC" w:rsidR="00663597">
        <w:rPr>
          <w:rFonts w:ascii="Times New Roman" w:hAnsi="Times New Roman" w:cs="Times New Roman"/>
          <w:sz w:val="26"/>
          <w:szCs w:val="26"/>
        </w:rPr>
        <w:t xml:space="preserve"> in 2019.</w:t>
      </w:r>
      <w:r w:rsidR="00780910">
        <w:rPr>
          <w:rFonts w:ascii="Times New Roman" w:hAnsi="Times New Roman" w:cs="Times New Roman"/>
          <w:sz w:val="26"/>
          <w:szCs w:val="26"/>
        </w:rPr>
        <w:t xml:space="preserve">  </w:t>
      </w:r>
      <w:r w:rsidRPr="005E56FC" w:rsidR="00663597">
        <w:rPr>
          <w:rFonts w:ascii="Times New Roman" w:hAnsi="Times New Roman" w:cs="Times New Roman"/>
          <w:sz w:val="26"/>
          <w:szCs w:val="26"/>
        </w:rPr>
        <w:t>After finding</w:t>
      </w:r>
      <w:r w:rsidRPr="005E56FC" w:rsidR="00FA2CF5">
        <w:rPr>
          <w:rFonts w:ascii="Times New Roman" w:hAnsi="Times New Roman" w:cs="Times New Roman"/>
          <w:sz w:val="26"/>
          <w:szCs w:val="26"/>
        </w:rPr>
        <w:t xml:space="preserve"> in favor of Wedbush, </w:t>
      </w:r>
      <w:r w:rsidRPr="005E56FC" w:rsidR="00663597">
        <w:rPr>
          <w:rFonts w:ascii="Times New Roman" w:hAnsi="Times New Roman" w:cs="Times New Roman"/>
          <w:sz w:val="26"/>
          <w:szCs w:val="26"/>
        </w:rPr>
        <w:t>the court entered a judgment for Wedbush and</w:t>
      </w:r>
      <w:r w:rsidRPr="005E56FC" w:rsidR="00FA2CF5">
        <w:rPr>
          <w:rFonts w:ascii="Times New Roman" w:hAnsi="Times New Roman" w:cs="Times New Roman"/>
          <w:sz w:val="26"/>
          <w:szCs w:val="26"/>
        </w:rPr>
        <w:t xml:space="preserve"> dismissed Plaintiffs’ wage and hour claims, including the PAGA claims.</w:t>
      </w:r>
      <w:r w:rsidRPr="005E56FC" w:rsidR="00D3564D">
        <w:rPr>
          <w:rFonts w:ascii="Times New Roman" w:hAnsi="Times New Roman" w:cs="Times New Roman"/>
          <w:sz w:val="26"/>
          <w:szCs w:val="26"/>
        </w:rPr>
        <w:t xml:space="preserve"> </w:t>
      </w:r>
      <w:r w:rsidR="00780910">
        <w:rPr>
          <w:rFonts w:ascii="Times New Roman" w:hAnsi="Times New Roman" w:cs="Times New Roman"/>
          <w:sz w:val="26"/>
          <w:szCs w:val="26"/>
        </w:rPr>
        <w:t xml:space="preserve"> </w:t>
      </w:r>
      <w:r w:rsidRPr="005E56FC" w:rsidR="00FE2221">
        <w:rPr>
          <w:rFonts w:ascii="Times New Roman" w:hAnsi="Times New Roman" w:cs="Times New Roman"/>
          <w:sz w:val="26"/>
          <w:szCs w:val="26"/>
        </w:rPr>
        <w:t>Plaintiffs appealed</w:t>
      </w:r>
      <w:r w:rsidR="00C911A7">
        <w:rPr>
          <w:rFonts w:ascii="Times New Roman" w:hAnsi="Times New Roman" w:cs="Times New Roman"/>
          <w:sz w:val="26"/>
          <w:szCs w:val="26"/>
        </w:rPr>
        <w:t xml:space="preserve">. </w:t>
      </w:r>
      <w:r w:rsidRPr="005E56FC" w:rsidR="00B4781E">
        <w:rPr>
          <w:rFonts w:ascii="Times New Roman" w:hAnsi="Times New Roman" w:cs="Times New Roman"/>
          <w:sz w:val="26"/>
          <w:szCs w:val="26"/>
        </w:rPr>
        <w:t xml:space="preserve"> </w:t>
      </w:r>
      <w:r w:rsidR="00C911A7">
        <w:rPr>
          <w:rFonts w:ascii="Times New Roman" w:hAnsi="Times New Roman" w:cs="Times New Roman"/>
          <w:sz w:val="26"/>
          <w:szCs w:val="26"/>
        </w:rPr>
        <w:t>T</w:t>
      </w:r>
      <w:r w:rsidRPr="005E56FC" w:rsidR="009B24F5">
        <w:rPr>
          <w:rFonts w:ascii="Times New Roman" w:hAnsi="Times New Roman" w:cs="Times New Roman"/>
          <w:sz w:val="26"/>
          <w:szCs w:val="26"/>
        </w:rPr>
        <w:t>his court</w:t>
      </w:r>
      <w:r w:rsidRPr="005E56FC" w:rsidR="000923FD">
        <w:rPr>
          <w:rFonts w:ascii="Times New Roman" w:hAnsi="Times New Roman" w:cs="Times New Roman"/>
          <w:sz w:val="26"/>
          <w:szCs w:val="26"/>
        </w:rPr>
        <w:t xml:space="preserve"> reversed</w:t>
      </w:r>
      <w:r w:rsidRPr="005E56FC" w:rsidR="00B4781E">
        <w:rPr>
          <w:rFonts w:ascii="Times New Roman" w:hAnsi="Times New Roman" w:cs="Times New Roman"/>
          <w:sz w:val="26"/>
          <w:szCs w:val="26"/>
        </w:rPr>
        <w:t xml:space="preserve"> the judgment</w:t>
      </w:r>
      <w:r w:rsidRPr="005E56FC" w:rsidR="00902731">
        <w:rPr>
          <w:rFonts w:ascii="Times New Roman" w:hAnsi="Times New Roman" w:cs="Times New Roman"/>
          <w:sz w:val="26"/>
          <w:szCs w:val="26"/>
        </w:rPr>
        <w:t xml:space="preserve">, </w:t>
      </w:r>
      <w:r w:rsidRPr="005E56FC" w:rsidR="009B24F5">
        <w:rPr>
          <w:rFonts w:ascii="Times New Roman" w:hAnsi="Times New Roman" w:cs="Times New Roman"/>
          <w:sz w:val="26"/>
          <w:szCs w:val="26"/>
        </w:rPr>
        <w:t xml:space="preserve">holding Wedbush’s compensation structure does </w:t>
      </w:r>
      <w:r w:rsidRPr="00060A6E" w:rsidR="009B24F5">
        <w:rPr>
          <w:rFonts w:ascii="Times New Roman" w:hAnsi="Times New Roman" w:cs="Times New Roman"/>
          <w:sz w:val="26"/>
          <w:szCs w:val="26"/>
        </w:rPr>
        <w:t>not</w:t>
      </w:r>
      <w:r w:rsidRPr="005E56FC" w:rsidR="009B24F5">
        <w:rPr>
          <w:rFonts w:ascii="Times New Roman" w:hAnsi="Times New Roman" w:cs="Times New Roman"/>
          <w:sz w:val="26"/>
          <w:szCs w:val="26"/>
        </w:rPr>
        <w:t xml:space="preserve"> satisfy the salary basis test and the administrative exemption does not apply.</w:t>
      </w:r>
      <w:r w:rsidRPr="005E56FC" w:rsidR="000923FD">
        <w:rPr>
          <w:rFonts w:ascii="Times New Roman" w:hAnsi="Times New Roman" w:cs="Times New Roman"/>
          <w:sz w:val="26"/>
          <w:szCs w:val="26"/>
        </w:rPr>
        <w:t xml:space="preserve">  (</w:t>
      </w:r>
      <w:bookmarkStart w:id="3" w:name="dabmci_e955ea6e563d4318a89d3b5854a21dbf"/>
      <w:r w:rsidRPr="005E56FC" w:rsidR="000923FD">
        <w:rPr>
          <w:rFonts w:ascii="Times New Roman" w:hAnsi="Times New Roman" w:cs="Times New Roman"/>
          <w:i/>
          <w:iCs/>
          <w:sz w:val="26"/>
          <w:szCs w:val="26"/>
        </w:rPr>
        <w:t>Semprini v. Wedbush Sec</w:t>
      </w:r>
      <w:r w:rsidR="00780910">
        <w:rPr>
          <w:rFonts w:ascii="Times New Roman" w:hAnsi="Times New Roman" w:cs="Times New Roman"/>
          <w:i/>
          <w:iCs/>
          <w:sz w:val="26"/>
          <w:szCs w:val="26"/>
        </w:rPr>
        <w:t>urities</w:t>
      </w:r>
      <w:r w:rsidRPr="005E56FC" w:rsidR="000923FD">
        <w:rPr>
          <w:rFonts w:ascii="Times New Roman" w:hAnsi="Times New Roman" w:cs="Times New Roman"/>
          <w:i/>
          <w:iCs/>
          <w:sz w:val="26"/>
          <w:szCs w:val="26"/>
        </w:rPr>
        <w:t>, Inc.</w:t>
      </w:r>
      <w:r w:rsidRPr="005E56FC" w:rsidR="000923FD">
        <w:rPr>
          <w:rFonts w:ascii="Times New Roman" w:hAnsi="Times New Roman" w:cs="Times New Roman"/>
          <w:sz w:val="26"/>
          <w:szCs w:val="26"/>
        </w:rPr>
        <w:t xml:space="preserve"> (2020) 57 Cal.App.5th 246, </w:t>
      </w:r>
      <w:r w:rsidR="000F594B">
        <w:rPr>
          <w:rFonts w:ascii="Times New Roman" w:hAnsi="Times New Roman" w:cs="Times New Roman"/>
          <w:sz w:val="26"/>
          <w:szCs w:val="26"/>
        </w:rPr>
        <w:t>248</w:t>
      </w:r>
      <w:bookmarkEnd w:id="3"/>
      <w:r w:rsidRPr="005E56FC" w:rsidR="000923FD">
        <w:rPr>
          <w:rFonts w:ascii="Times New Roman" w:hAnsi="Times New Roman" w:cs="Times New Roman"/>
          <w:sz w:val="26"/>
          <w:szCs w:val="26"/>
        </w:rPr>
        <w:t>.)</w:t>
      </w:r>
    </w:p>
    <w:p w:rsidR="00902731" w:rsidRPr="005E56FC" w:rsidP="000B1982" w14:paraId="6D2DD253" w14:textId="49D87D36">
      <w:pPr>
        <w:spacing w:after="0" w:line="480" w:lineRule="atLeast"/>
        <w:ind w:firstLine="1440"/>
        <w:rPr>
          <w:rFonts w:ascii="Times New Roman" w:hAnsi="Times New Roman" w:cs="Times New Roman"/>
          <w:sz w:val="26"/>
          <w:szCs w:val="26"/>
        </w:rPr>
      </w:pPr>
      <w:r w:rsidRPr="005E56FC">
        <w:rPr>
          <w:rFonts w:ascii="Times New Roman" w:hAnsi="Times New Roman" w:cs="Times New Roman"/>
          <w:sz w:val="26"/>
          <w:szCs w:val="26"/>
        </w:rPr>
        <w:t xml:space="preserve">On remand, </w:t>
      </w:r>
      <w:r w:rsidRPr="005E56FC" w:rsidR="004D5937">
        <w:rPr>
          <w:rFonts w:ascii="Times New Roman" w:hAnsi="Times New Roman" w:cs="Times New Roman"/>
          <w:sz w:val="26"/>
          <w:szCs w:val="26"/>
        </w:rPr>
        <w:t xml:space="preserve">with leave of court, </w:t>
      </w:r>
      <w:r w:rsidRPr="005E56FC">
        <w:rPr>
          <w:rFonts w:ascii="Times New Roman" w:hAnsi="Times New Roman" w:cs="Times New Roman"/>
          <w:sz w:val="26"/>
          <w:szCs w:val="26"/>
        </w:rPr>
        <w:t>Wed</w:t>
      </w:r>
      <w:r w:rsidRPr="005E56FC" w:rsidR="007110A2">
        <w:rPr>
          <w:rFonts w:ascii="Times New Roman" w:hAnsi="Times New Roman" w:cs="Times New Roman"/>
          <w:sz w:val="26"/>
          <w:szCs w:val="26"/>
        </w:rPr>
        <w:t>bush filed an amended answer</w:t>
      </w:r>
      <w:r w:rsidRPr="005E56FC" w:rsidR="00C75D6C">
        <w:rPr>
          <w:rFonts w:ascii="Times New Roman" w:hAnsi="Times New Roman" w:cs="Times New Roman"/>
          <w:sz w:val="26"/>
          <w:szCs w:val="26"/>
        </w:rPr>
        <w:t xml:space="preserve"> in April 2021</w:t>
      </w:r>
      <w:r w:rsidRPr="005E56FC" w:rsidR="007110A2">
        <w:rPr>
          <w:rFonts w:ascii="Times New Roman" w:hAnsi="Times New Roman" w:cs="Times New Roman"/>
          <w:sz w:val="26"/>
          <w:szCs w:val="26"/>
        </w:rPr>
        <w:t xml:space="preserve">, asserting </w:t>
      </w:r>
      <w:r w:rsidRPr="005E56FC" w:rsidR="00193320">
        <w:rPr>
          <w:rFonts w:ascii="Times New Roman" w:hAnsi="Times New Roman" w:cs="Times New Roman"/>
          <w:sz w:val="26"/>
          <w:szCs w:val="26"/>
        </w:rPr>
        <w:t>a new affirmative defense based on the commissioned employee exemption.</w:t>
      </w:r>
      <w:r w:rsidR="00780910">
        <w:rPr>
          <w:rFonts w:ascii="Times New Roman" w:hAnsi="Times New Roman" w:cs="Times New Roman"/>
          <w:sz w:val="26"/>
          <w:szCs w:val="26"/>
        </w:rPr>
        <w:t xml:space="preserve"> </w:t>
      </w:r>
      <w:r w:rsidRPr="005E56FC" w:rsidR="004D5937">
        <w:rPr>
          <w:rFonts w:ascii="Times New Roman" w:hAnsi="Times New Roman" w:cs="Times New Roman"/>
          <w:sz w:val="26"/>
          <w:szCs w:val="26"/>
        </w:rPr>
        <w:t xml:space="preserve"> </w:t>
      </w:r>
      <w:r w:rsidRPr="005E56FC" w:rsidR="00C75D6C">
        <w:rPr>
          <w:rFonts w:ascii="Times New Roman" w:hAnsi="Times New Roman" w:cs="Times New Roman"/>
          <w:sz w:val="26"/>
          <w:szCs w:val="26"/>
        </w:rPr>
        <w:t xml:space="preserve">The parties then engaged in </w:t>
      </w:r>
      <w:r w:rsidRPr="005E56FC" w:rsidR="00D94DAF">
        <w:rPr>
          <w:rFonts w:ascii="Times New Roman" w:hAnsi="Times New Roman" w:cs="Times New Roman"/>
          <w:sz w:val="26"/>
          <w:szCs w:val="26"/>
        </w:rPr>
        <w:t xml:space="preserve">additional discovery on the applicability of that exemption. </w:t>
      </w:r>
    </w:p>
    <w:p w:rsidR="00524893" w:rsidRPr="005E56FC" w:rsidP="000B1982" w14:paraId="37779A39" w14:textId="3A01619C">
      <w:pPr>
        <w:spacing w:after="0" w:line="480" w:lineRule="atLeast"/>
        <w:ind w:firstLine="1440"/>
        <w:rPr>
          <w:rFonts w:ascii="Times New Roman" w:hAnsi="Times New Roman" w:cs="Times New Roman"/>
          <w:sz w:val="26"/>
          <w:szCs w:val="26"/>
        </w:rPr>
      </w:pPr>
      <w:r w:rsidRPr="005E56FC">
        <w:rPr>
          <w:rFonts w:ascii="Times New Roman" w:hAnsi="Times New Roman" w:cs="Times New Roman"/>
          <w:sz w:val="26"/>
          <w:szCs w:val="26"/>
        </w:rPr>
        <w:t xml:space="preserve">Meanwhile, Wedbush identified </w:t>
      </w:r>
      <w:r w:rsidRPr="005E56FC" w:rsidR="00E00E45">
        <w:rPr>
          <w:rFonts w:ascii="Times New Roman" w:hAnsi="Times New Roman" w:cs="Times New Roman"/>
          <w:sz w:val="26"/>
          <w:szCs w:val="26"/>
        </w:rPr>
        <w:t>additional</w:t>
      </w:r>
      <w:r w:rsidRPr="005E56FC">
        <w:rPr>
          <w:rFonts w:ascii="Times New Roman" w:hAnsi="Times New Roman" w:cs="Times New Roman"/>
          <w:sz w:val="26"/>
          <w:szCs w:val="26"/>
        </w:rPr>
        <w:t xml:space="preserve"> potential class members,</w:t>
      </w:r>
      <w:r w:rsidRPr="005E56FC" w:rsidR="00E00E45">
        <w:rPr>
          <w:rFonts w:ascii="Times New Roman" w:hAnsi="Times New Roman" w:cs="Times New Roman"/>
          <w:sz w:val="26"/>
          <w:szCs w:val="26"/>
        </w:rPr>
        <w:t xml:space="preserve"> and</w:t>
      </w:r>
      <w:r w:rsidRPr="005E56FC">
        <w:rPr>
          <w:rFonts w:ascii="Times New Roman" w:hAnsi="Times New Roman" w:cs="Times New Roman"/>
          <w:sz w:val="26"/>
          <w:szCs w:val="26"/>
        </w:rPr>
        <w:t xml:space="preserve"> the parties stipulated a second notice should be sent. </w:t>
      </w:r>
      <w:r w:rsidRPr="005E56FC" w:rsidR="00E00E45">
        <w:rPr>
          <w:rFonts w:ascii="Times New Roman" w:hAnsi="Times New Roman" w:cs="Times New Roman"/>
          <w:sz w:val="26"/>
          <w:szCs w:val="26"/>
        </w:rPr>
        <w:t xml:space="preserve"> </w:t>
      </w:r>
      <w:r w:rsidRPr="005E56FC" w:rsidR="001B68FF">
        <w:rPr>
          <w:rFonts w:ascii="Times New Roman" w:hAnsi="Times New Roman" w:cs="Times New Roman"/>
          <w:sz w:val="26"/>
          <w:szCs w:val="26"/>
        </w:rPr>
        <w:t>As a result, the</w:t>
      </w:r>
      <w:r w:rsidRPr="005E56FC" w:rsidR="007E2B80">
        <w:rPr>
          <w:rFonts w:ascii="Times New Roman" w:hAnsi="Times New Roman" w:cs="Times New Roman"/>
          <w:sz w:val="26"/>
          <w:szCs w:val="26"/>
        </w:rPr>
        <w:t xml:space="preserve"> class grew to </w:t>
      </w:r>
      <w:r w:rsidRPr="005E56FC" w:rsidR="001B68FF">
        <w:rPr>
          <w:rFonts w:ascii="Times New Roman" w:hAnsi="Times New Roman" w:cs="Times New Roman"/>
          <w:sz w:val="26"/>
          <w:szCs w:val="26"/>
        </w:rPr>
        <w:t>about</w:t>
      </w:r>
      <w:r w:rsidRPr="005E56FC" w:rsidR="00D778C7">
        <w:rPr>
          <w:rFonts w:ascii="Times New Roman" w:hAnsi="Times New Roman" w:cs="Times New Roman"/>
          <w:sz w:val="26"/>
          <w:szCs w:val="26"/>
        </w:rPr>
        <w:t xml:space="preserve"> 180</w:t>
      </w:r>
      <w:r w:rsidR="00C23D60">
        <w:rPr>
          <w:rFonts w:ascii="Times New Roman" w:hAnsi="Times New Roman" w:cs="Times New Roman"/>
          <w:sz w:val="26"/>
          <w:szCs w:val="26"/>
        </w:rPr>
        <w:t> </w:t>
      </w:r>
      <w:r w:rsidRPr="005E56FC">
        <w:rPr>
          <w:rFonts w:ascii="Times New Roman" w:hAnsi="Times New Roman" w:cs="Times New Roman"/>
          <w:sz w:val="26"/>
          <w:szCs w:val="26"/>
        </w:rPr>
        <w:t>members</w:t>
      </w:r>
      <w:r w:rsidRPr="005E56FC" w:rsidR="007E2B80">
        <w:rPr>
          <w:rFonts w:ascii="Times New Roman" w:hAnsi="Times New Roman" w:cs="Times New Roman"/>
          <w:sz w:val="26"/>
          <w:szCs w:val="26"/>
        </w:rPr>
        <w:t>.</w:t>
      </w:r>
      <w:r w:rsidRPr="005E56FC">
        <w:rPr>
          <w:rFonts w:ascii="Times New Roman" w:hAnsi="Times New Roman" w:cs="Times New Roman"/>
          <w:sz w:val="26"/>
          <w:szCs w:val="26"/>
        </w:rPr>
        <w:t xml:space="preserve"> </w:t>
      </w:r>
    </w:p>
    <w:p w:rsidR="00233854" w:rsidRPr="005E56FC" w:rsidP="000B1982" w14:paraId="6040D4D6" w14:textId="7C9612C3">
      <w:pPr>
        <w:spacing w:after="0" w:line="480" w:lineRule="atLeast"/>
        <w:ind w:firstLine="1440"/>
        <w:rPr>
          <w:rFonts w:ascii="Times New Roman" w:hAnsi="Times New Roman" w:cs="Times New Roman"/>
          <w:sz w:val="26"/>
          <w:szCs w:val="26"/>
        </w:rPr>
      </w:pPr>
      <w:r w:rsidRPr="005E56FC">
        <w:rPr>
          <w:rFonts w:ascii="Times New Roman" w:hAnsi="Times New Roman" w:cs="Times New Roman"/>
          <w:sz w:val="26"/>
          <w:szCs w:val="26"/>
        </w:rPr>
        <w:t xml:space="preserve">In June 2022, while the parties were </w:t>
      </w:r>
      <w:r w:rsidR="00EB5AF9">
        <w:rPr>
          <w:rFonts w:ascii="Times New Roman" w:hAnsi="Times New Roman" w:cs="Times New Roman"/>
          <w:sz w:val="26"/>
          <w:szCs w:val="26"/>
        </w:rPr>
        <w:t xml:space="preserve">engaged </w:t>
      </w:r>
      <w:r w:rsidRPr="005E56FC">
        <w:rPr>
          <w:rFonts w:ascii="Times New Roman" w:hAnsi="Times New Roman" w:cs="Times New Roman"/>
          <w:sz w:val="26"/>
          <w:szCs w:val="26"/>
        </w:rPr>
        <w:t xml:space="preserve">in discovery, the United States Supreme Court </w:t>
      </w:r>
      <w:r w:rsidRPr="005E56FC" w:rsidR="003F0C0C">
        <w:rPr>
          <w:rFonts w:ascii="Times New Roman" w:hAnsi="Times New Roman" w:cs="Times New Roman"/>
          <w:sz w:val="26"/>
          <w:szCs w:val="26"/>
        </w:rPr>
        <w:t>announced its decision</w:t>
      </w:r>
      <w:r w:rsidRPr="005E56FC">
        <w:rPr>
          <w:rFonts w:ascii="Times New Roman" w:hAnsi="Times New Roman" w:cs="Times New Roman"/>
          <w:sz w:val="26"/>
          <w:szCs w:val="26"/>
        </w:rPr>
        <w:t xml:space="preserve"> in</w:t>
      </w:r>
      <w:r w:rsidRPr="005E56FC" w:rsidR="009B4027">
        <w:rPr>
          <w:rFonts w:ascii="Times New Roman" w:hAnsi="Times New Roman" w:cs="Times New Roman"/>
          <w:i/>
          <w:iCs/>
          <w:sz w:val="26"/>
          <w:szCs w:val="26"/>
        </w:rPr>
        <w:t xml:space="preserve"> </w:t>
      </w:r>
      <w:bookmarkStart w:id="4" w:name="dabmci_71d07010fe7e4e05b91a482722156013"/>
      <w:r w:rsidRPr="005E56FC" w:rsidR="009B4027">
        <w:rPr>
          <w:rFonts w:ascii="Times New Roman" w:hAnsi="Times New Roman" w:cs="Times New Roman"/>
          <w:i/>
          <w:iCs/>
          <w:sz w:val="26"/>
          <w:szCs w:val="26"/>
        </w:rPr>
        <w:t>Viking</w:t>
      </w:r>
      <w:r w:rsidR="009662AE">
        <w:rPr>
          <w:rFonts w:ascii="Times New Roman" w:hAnsi="Times New Roman" w:cs="Times New Roman"/>
          <w:i/>
          <w:iCs/>
          <w:sz w:val="26"/>
          <w:szCs w:val="26"/>
        </w:rPr>
        <w:t xml:space="preserve"> River</w:t>
      </w:r>
      <w:bookmarkEnd w:id="4"/>
      <w:r w:rsidRPr="005E56FC" w:rsidR="003F0C0C">
        <w:rPr>
          <w:rFonts w:ascii="Times New Roman" w:hAnsi="Times New Roman" w:cs="Times New Roman"/>
          <w:sz w:val="26"/>
          <w:szCs w:val="26"/>
        </w:rPr>
        <w:t xml:space="preserve">, holding </w:t>
      </w:r>
      <w:r w:rsidRPr="005E56FC">
        <w:rPr>
          <w:rFonts w:ascii="Times New Roman" w:hAnsi="Times New Roman" w:cs="Times New Roman"/>
          <w:sz w:val="26"/>
          <w:szCs w:val="26"/>
        </w:rPr>
        <w:t xml:space="preserve">that </w:t>
      </w:r>
      <w:r w:rsidRPr="005E56FC" w:rsidR="00143120">
        <w:rPr>
          <w:rFonts w:ascii="Times New Roman" w:hAnsi="Times New Roman" w:cs="Times New Roman"/>
          <w:sz w:val="26"/>
          <w:szCs w:val="26"/>
        </w:rPr>
        <w:t xml:space="preserve">an employer may enforce an employee’s agreement </w:t>
      </w:r>
      <w:r w:rsidRPr="005E56FC">
        <w:rPr>
          <w:rFonts w:ascii="Times New Roman" w:hAnsi="Times New Roman" w:cs="Times New Roman"/>
          <w:sz w:val="26"/>
          <w:szCs w:val="26"/>
        </w:rPr>
        <w:t xml:space="preserve">to arbitrate </w:t>
      </w:r>
      <w:r w:rsidRPr="00FC52A9">
        <w:rPr>
          <w:rFonts w:ascii="Times New Roman" w:hAnsi="Times New Roman" w:cs="Times New Roman"/>
          <w:sz w:val="26"/>
          <w:szCs w:val="26"/>
        </w:rPr>
        <w:t>individual</w:t>
      </w:r>
      <w:r w:rsidRPr="005E56FC">
        <w:rPr>
          <w:rFonts w:ascii="Times New Roman" w:hAnsi="Times New Roman" w:cs="Times New Roman"/>
          <w:sz w:val="26"/>
          <w:szCs w:val="26"/>
        </w:rPr>
        <w:t xml:space="preserve"> PAGA claims</w:t>
      </w:r>
      <w:r w:rsidRPr="005E56FC" w:rsidR="000451A5">
        <w:rPr>
          <w:rFonts w:ascii="Times New Roman" w:hAnsi="Times New Roman" w:cs="Times New Roman"/>
          <w:sz w:val="26"/>
          <w:szCs w:val="26"/>
        </w:rPr>
        <w:t xml:space="preserve"> and then </w:t>
      </w:r>
      <w:r w:rsidRPr="005E56FC" w:rsidR="00330350">
        <w:rPr>
          <w:rFonts w:ascii="Times New Roman" w:hAnsi="Times New Roman" w:cs="Times New Roman"/>
          <w:sz w:val="26"/>
          <w:szCs w:val="26"/>
        </w:rPr>
        <w:t xml:space="preserve">seek </w:t>
      </w:r>
      <w:r w:rsidRPr="005E56FC" w:rsidR="000451A5">
        <w:rPr>
          <w:rFonts w:ascii="Times New Roman" w:hAnsi="Times New Roman" w:cs="Times New Roman"/>
          <w:sz w:val="26"/>
          <w:szCs w:val="26"/>
        </w:rPr>
        <w:t xml:space="preserve">a </w:t>
      </w:r>
      <w:r w:rsidRPr="005E56FC" w:rsidR="00330350">
        <w:rPr>
          <w:rFonts w:ascii="Times New Roman" w:hAnsi="Times New Roman" w:cs="Times New Roman"/>
          <w:sz w:val="26"/>
          <w:szCs w:val="26"/>
        </w:rPr>
        <w:t>dismissal in court of any remaining non-individual</w:t>
      </w:r>
      <w:r w:rsidRPr="005E56FC" w:rsidR="000451A5">
        <w:rPr>
          <w:rFonts w:ascii="Times New Roman" w:hAnsi="Times New Roman" w:cs="Times New Roman"/>
          <w:sz w:val="26"/>
          <w:szCs w:val="26"/>
        </w:rPr>
        <w:t>, representative</w:t>
      </w:r>
      <w:r w:rsidRPr="005E56FC" w:rsidR="00330350">
        <w:rPr>
          <w:rFonts w:ascii="Times New Roman" w:hAnsi="Times New Roman" w:cs="Times New Roman"/>
          <w:sz w:val="26"/>
          <w:szCs w:val="26"/>
        </w:rPr>
        <w:t xml:space="preserve"> PAGA claims based on lack of standing</w:t>
      </w:r>
      <w:r w:rsidRPr="005E56FC">
        <w:rPr>
          <w:rFonts w:ascii="Times New Roman" w:hAnsi="Times New Roman" w:cs="Times New Roman"/>
          <w:sz w:val="26"/>
          <w:szCs w:val="26"/>
        </w:rPr>
        <w:t xml:space="preserve">. </w:t>
      </w:r>
      <w:r w:rsidRPr="005E56FC" w:rsidR="00D2081E">
        <w:rPr>
          <w:rFonts w:ascii="Times New Roman" w:hAnsi="Times New Roman" w:cs="Times New Roman"/>
          <w:sz w:val="26"/>
          <w:szCs w:val="26"/>
        </w:rPr>
        <w:t xml:space="preserve"> </w:t>
      </w:r>
      <w:r w:rsidRPr="005E56FC" w:rsidR="0021389D">
        <w:rPr>
          <w:rFonts w:ascii="Times New Roman" w:hAnsi="Times New Roman" w:cs="Times New Roman"/>
          <w:sz w:val="26"/>
          <w:szCs w:val="26"/>
        </w:rPr>
        <w:t>(</w:t>
      </w:r>
      <w:bookmarkStart w:id="5" w:name="dabmci_f7ad9f28194e42b492534014711f764f"/>
      <w:r w:rsidR="009662AE">
        <w:rPr>
          <w:rFonts w:ascii="Times New Roman" w:hAnsi="Times New Roman" w:cs="Times New Roman"/>
          <w:i/>
          <w:iCs/>
          <w:sz w:val="26"/>
          <w:szCs w:val="26"/>
        </w:rPr>
        <w:t xml:space="preserve">Viking River, supra, </w:t>
      </w:r>
      <w:r w:rsidR="009662AE">
        <w:rPr>
          <w:rFonts w:ascii="Times New Roman" w:hAnsi="Times New Roman" w:cs="Times New Roman"/>
          <w:sz w:val="26"/>
          <w:szCs w:val="26"/>
        </w:rPr>
        <w:t>5</w:t>
      </w:r>
      <w:r w:rsidR="00780910">
        <w:rPr>
          <w:rFonts w:ascii="Times New Roman" w:hAnsi="Times New Roman" w:cs="Times New Roman"/>
          <w:sz w:val="26"/>
          <w:szCs w:val="26"/>
        </w:rPr>
        <w:t>96</w:t>
      </w:r>
      <w:r w:rsidR="009662AE">
        <w:rPr>
          <w:rFonts w:ascii="Times New Roman" w:hAnsi="Times New Roman" w:cs="Times New Roman"/>
          <w:sz w:val="26"/>
          <w:szCs w:val="26"/>
        </w:rPr>
        <w:t xml:space="preserve"> U.S.</w:t>
      </w:r>
      <w:r w:rsidRPr="005E56FC" w:rsidR="007C6591">
        <w:rPr>
          <w:rFonts w:ascii="Times New Roman" w:hAnsi="Times New Roman" w:cs="Times New Roman"/>
          <w:sz w:val="26"/>
          <w:szCs w:val="26"/>
        </w:rPr>
        <w:t xml:space="preserve"> at p</w:t>
      </w:r>
      <w:r w:rsidRPr="005E56FC" w:rsidR="00997D9C">
        <w:rPr>
          <w:rFonts w:ascii="Times New Roman" w:hAnsi="Times New Roman" w:cs="Times New Roman"/>
          <w:sz w:val="26"/>
          <w:szCs w:val="26"/>
        </w:rPr>
        <w:t>p</w:t>
      </w:r>
      <w:r w:rsidRPr="005E56FC" w:rsidR="007C6591">
        <w:rPr>
          <w:rFonts w:ascii="Times New Roman" w:hAnsi="Times New Roman" w:cs="Times New Roman"/>
          <w:sz w:val="26"/>
          <w:szCs w:val="26"/>
        </w:rPr>
        <w:t>. 662</w:t>
      </w:r>
      <w:r w:rsidRPr="005E56FC" w:rsidR="00997D9C">
        <w:rPr>
          <w:rFonts w:ascii="Times New Roman" w:hAnsi="Times New Roman" w:cs="Times New Roman"/>
          <w:sz w:val="26"/>
          <w:szCs w:val="26"/>
        </w:rPr>
        <w:t>-663</w:t>
      </w:r>
      <w:bookmarkEnd w:id="5"/>
      <w:r w:rsidRPr="005E56FC" w:rsidR="007C6591">
        <w:rPr>
          <w:rFonts w:ascii="Times New Roman" w:hAnsi="Times New Roman" w:cs="Times New Roman"/>
          <w:sz w:val="26"/>
          <w:szCs w:val="26"/>
        </w:rPr>
        <w:t xml:space="preserve">.) </w:t>
      </w:r>
      <w:r w:rsidRPr="005E56FC" w:rsidR="00AC4BE8">
        <w:rPr>
          <w:rFonts w:ascii="Times New Roman" w:hAnsi="Times New Roman" w:cs="Times New Roman"/>
          <w:sz w:val="26"/>
          <w:szCs w:val="26"/>
        </w:rPr>
        <w:t xml:space="preserve"> </w:t>
      </w:r>
    </w:p>
    <w:p w:rsidR="00B50759" w:rsidP="000B1982" w14:paraId="42012904" w14:textId="5101A596">
      <w:pPr>
        <w:spacing w:after="0" w:line="480" w:lineRule="atLeast"/>
        <w:ind w:firstLine="1440"/>
        <w:rPr>
          <w:rFonts w:ascii="Times New Roman" w:hAnsi="Times New Roman" w:cs="Times New Roman"/>
          <w:b/>
          <w:bCs/>
          <w:sz w:val="26"/>
          <w:szCs w:val="26"/>
        </w:rPr>
      </w:pPr>
      <w:r>
        <w:rPr>
          <w:rFonts w:ascii="Times New Roman" w:hAnsi="Times New Roman" w:cs="Times New Roman"/>
          <w:sz w:val="26"/>
          <w:szCs w:val="26"/>
        </w:rPr>
        <w:t>Following</w:t>
      </w:r>
      <w:r w:rsidRPr="005E56FC" w:rsidR="00265960">
        <w:rPr>
          <w:rFonts w:ascii="Times New Roman" w:hAnsi="Times New Roman" w:cs="Times New Roman"/>
          <w:sz w:val="26"/>
          <w:szCs w:val="26"/>
        </w:rPr>
        <w:t xml:space="preserve"> that change in </w:t>
      </w:r>
      <w:r w:rsidR="00FC52A9">
        <w:rPr>
          <w:rFonts w:ascii="Times New Roman" w:hAnsi="Times New Roman" w:cs="Times New Roman"/>
          <w:sz w:val="26"/>
          <w:szCs w:val="26"/>
        </w:rPr>
        <w:t xml:space="preserve">the </w:t>
      </w:r>
      <w:r w:rsidRPr="005E56FC" w:rsidR="00265960">
        <w:rPr>
          <w:rFonts w:ascii="Times New Roman" w:hAnsi="Times New Roman" w:cs="Times New Roman"/>
          <w:sz w:val="26"/>
          <w:szCs w:val="26"/>
        </w:rPr>
        <w:t xml:space="preserve">law, </w:t>
      </w:r>
      <w:r w:rsidRPr="005E56FC" w:rsidR="00AC4BE8">
        <w:rPr>
          <w:rFonts w:ascii="Times New Roman" w:hAnsi="Times New Roman" w:cs="Times New Roman"/>
          <w:sz w:val="26"/>
          <w:szCs w:val="26"/>
        </w:rPr>
        <w:t>i</w:t>
      </w:r>
      <w:r w:rsidRPr="005E56FC" w:rsidR="00DA041A">
        <w:rPr>
          <w:rFonts w:ascii="Times New Roman" w:hAnsi="Times New Roman" w:cs="Times New Roman"/>
          <w:sz w:val="26"/>
          <w:szCs w:val="26"/>
        </w:rPr>
        <w:t xml:space="preserve">n </w:t>
      </w:r>
      <w:r w:rsidR="000070DC">
        <w:rPr>
          <w:rFonts w:ascii="Times New Roman" w:hAnsi="Times New Roman" w:cs="Times New Roman"/>
          <w:sz w:val="26"/>
          <w:szCs w:val="26"/>
        </w:rPr>
        <w:t>the fall of</w:t>
      </w:r>
      <w:r w:rsidR="003B7A66">
        <w:rPr>
          <w:rFonts w:ascii="Times New Roman" w:hAnsi="Times New Roman" w:cs="Times New Roman"/>
          <w:sz w:val="26"/>
          <w:szCs w:val="26"/>
        </w:rPr>
        <w:t xml:space="preserve"> </w:t>
      </w:r>
      <w:r w:rsidRPr="005E56FC" w:rsidR="00DA041A">
        <w:rPr>
          <w:rFonts w:ascii="Times New Roman" w:hAnsi="Times New Roman" w:cs="Times New Roman"/>
          <w:sz w:val="26"/>
          <w:szCs w:val="26"/>
        </w:rPr>
        <w:t>2022, We</w:t>
      </w:r>
      <w:r w:rsidRPr="005E56FC" w:rsidR="00EA72C7">
        <w:rPr>
          <w:rFonts w:ascii="Times New Roman" w:hAnsi="Times New Roman" w:cs="Times New Roman"/>
          <w:sz w:val="26"/>
          <w:szCs w:val="26"/>
        </w:rPr>
        <w:t>d</w:t>
      </w:r>
      <w:r w:rsidRPr="005E56FC" w:rsidR="00DA041A">
        <w:rPr>
          <w:rFonts w:ascii="Times New Roman" w:hAnsi="Times New Roman" w:cs="Times New Roman"/>
          <w:sz w:val="26"/>
          <w:szCs w:val="26"/>
        </w:rPr>
        <w:t xml:space="preserve">bush asked its workforce to sign arbitration agreements </w:t>
      </w:r>
      <w:r w:rsidRPr="005E56FC" w:rsidR="00781AC6">
        <w:rPr>
          <w:rFonts w:ascii="Times New Roman" w:hAnsi="Times New Roman" w:cs="Times New Roman"/>
          <w:sz w:val="26"/>
          <w:szCs w:val="26"/>
        </w:rPr>
        <w:t>agreeing that</w:t>
      </w:r>
      <w:r w:rsidRPr="005E56FC" w:rsidR="00DA041A">
        <w:rPr>
          <w:rFonts w:ascii="Times New Roman" w:hAnsi="Times New Roman" w:cs="Times New Roman"/>
          <w:sz w:val="26"/>
          <w:szCs w:val="26"/>
        </w:rPr>
        <w:t xml:space="preserve"> all </w:t>
      </w:r>
      <w:r w:rsidRPr="005E56FC" w:rsidR="006258A9">
        <w:rPr>
          <w:rFonts w:ascii="Times New Roman" w:hAnsi="Times New Roman" w:cs="Times New Roman"/>
          <w:sz w:val="26"/>
          <w:szCs w:val="26"/>
        </w:rPr>
        <w:t>claims</w:t>
      </w:r>
      <w:r w:rsidRPr="005E56FC" w:rsidR="00DA041A">
        <w:rPr>
          <w:rFonts w:ascii="Times New Roman" w:hAnsi="Times New Roman" w:cs="Times New Roman"/>
          <w:sz w:val="26"/>
          <w:szCs w:val="26"/>
        </w:rPr>
        <w:t xml:space="preserve"> against Wedbush</w:t>
      </w:r>
      <w:r w:rsidRPr="005E56FC" w:rsidR="00781AC6">
        <w:rPr>
          <w:rFonts w:ascii="Times New Roman" w:hAnsi="Times New Roman" w:cs="Times New Roman"/>
          <w:sz w:val="26"/>
          <w:szCs w:val="26"/>
        </w:rPr>
        <w:t xml:space="preserve"> </w:t>
      </w:r>
      <w:r w:rsidRPr="005E56FC" w:rsidR="00B907C7">
        <w:rPr>
          <w:rFonts w:ascii="Times New Roman" w:hAnsi="Times New Roman" w:cs="Times New Roman"/>
          <w:sz w:val="26"/>
          <w:szCs w:val="26"/>
        </w:rPr>
        <w:t xml:space="preserve">(including individual PAGA claims) </w:t>
      </w:r>
      <w:r w:rsidRPr="005E56FC" w:rsidR="00781AC6">
        <w:rPr>
          <w:rFonts w:ascii="Times New Roman" w:hAnsi="Times New Roman" w:cs="Times New Roman"/>
          <w:sz w:val="26"/>
          <w:szCs w:val="26"/>
        </w:rPr>
        <w:t>w</w:t>
      </w:r>
      <w:r w:rsidR="00C445DD">
        <w:rPr>
          <w:rFonts w:ascii="Times New Roman" w:hAnsi="Times New Roman" w:cs="Times New Roman"/>
          <w:sz w:val="26"/>
          <w:szCs w:val="26"/>
        </w:rPr>
        <w:t>ould</w:t>
      </w:r>
      <w:r w:rsidRPr="005E56FC" w:rsidR="00781AC6">
        <w:rPr>
          <w:rFonts w:ascii="Times New Roman" w:hAnsi="Times New Roman" w:cs="Times New Roman"/>
          <w:sz w:val="26"/>
          <w:szCs w:val="26"/>
        </w:rPr>
        <w:t xml:space="preserve"> be resolved through binding FINRA arbitration,</w:t>
      </w:r>
      <w:r w:rsidRPr="005E56FC" w:rsidR="0022412B">
        <w:rPr>
          <w:rFonts w:ascii="Times New Roman" w:hAnsi="Times New Roman" w:cs="Times New Roman"/>
          <w:sz w:val="26"/>
          <w:szCs w:val="26"/>
        </w:rPr>
        <w:t xml:space="preserve"> and waiving any right to pursue a PAGA claim on a representative basis.</w:t>
      </w:r>
      <w:r w:rsidR="00780910">
        <w:rPr>
          <w:rFonts w:ascii="Times New Roman" w:hAnsi="Times New Roman" w:cs="Times New Roman"/>
          <w:sz w:val="26"/>
          <w:szCs w:val="26"/>
        </w:rPr>
        <w:t xml:space="preserve">  </w:t>
      </w:r>
      <w:r w:rsidRPr="005E56FC" w:rsidR="009F0885">
        <w:rPr>
          <w:rFonts w:ascii="Times New Roman" w:hAnsi="Times New Roman" w:cs="Times New Roman"/>
          <w:sz w:val="26"/>
          <w:szCs w:val="26"/>
        </w:rPr>
        <w:t xml:space="preserve">Out of the entire </w:t>
      </w:r>
      <w:r w:rsidRPr="005E56FC" w:rsidR="0081081A">
        <w:rPr>
          <w:rFonts w:ascii="Times New Roman" w:hAnsi="Times New Roman" w:cs="Times New Roman"/>
          <w:sz w:val="26"/>
          <w:szCs w:val="26"/>
        </w:rPr>
        <w:t xml:space="preserve">certified </w:t>
      </w:r>
      <w:r w:rsidRPr="005E56FC" w:rsidR="009F0885">
        <w:rPr>
          <w:rFonts w:ascii="Times New Roman" w:hAnsi="Times New Roman" w:cs="Times New Roman"/>
          <w:sz w:val="26"/>
          <w:szCs w:val="26"/>
        </w:rPr>
        <w:t>class, 24 class</w:t>
      </w:r>
      <w:r w:rsidRPr="005E56FC" w:rsidR="001803DC">
        <w:rPr>
          <w:rFonts w:ascii="Times New Roman" w:hAnsi="Times New Roman" w:cs="Times New Roman"/>
          <w:sz w:val="26"/>
          <w:szCs w:val="26"/>
        </w:rPr>
        <w:t xml:space="preserve"> </w:t>
      </w:r>
      <w:r w:rsidRPr="005E56FC" w:rsidR="009F0885">
        <w:rPr>
          <w:rFonts w:ascii="Times New Roman" w:hAnsi="Times New Roman" w:cs="Times New Roman"/>
          <w:sz w:val="26"/>
          <w:szCs w:val="26"/>
        </w:rPr>
        <w:t xml:space="preserve">members, including Swain, signed </w:t>
      </w:r>
      <w:r w:rsidR="004E458E">
        <w:rPr>
          <w:rFonts w:ascii="Times New Roman" w:hAnsi="Times New Roman" w:cs="Times New Roman"/>
          <w:sz w:val="26"/>
          <w:szCs w:val="26"/>
        </w:rPr>
        <w:t xml:space="preserve">such </w:t>
      </w:r>
      <w:r w:rsidRPr="005E56FC" w:rsidR="009F0885">
        <w:rPr>
          <w:rFonts w:ascii="Times New Roman" w:hAnsi="Times New Roman" w:cs="Times New Roman"/>
          <w:sz w:val="26"/>
          <w:szCs w:val="26"/>
        </w:rPr>
        <w:t>arbitration agreement</w:t>
      </w:r>
      <w:r w:rsidR="005228C0">
        <w:rPr>
          <w:rFonts w:ascii="Times New Roman" w:hAnsi="Times New Roman" w:cs="Times New Roman"/>
          <w:sz w:val="26"/>
          <w:szCs w:val="26"/>
        </w:rPr>
        <w:t>s</w:t>
      </w:r>
      <w:r w:rsidR="00221FF7">
        <w:rPr>
          <w:rFonts w:ascii="Times New Roman" w:hAnsi="Times New Roman" w:cs="Times New Roman"/>
          <w:sz w:val="26"/>
          <w:szCs w:val="26"/>
        </w:rPr>
        <w:t xml:space="preserve"> in September and October 2022</w:t>
      </w:r>
      <w:r w:rsidRPr="00C56FC3" w:rsidR="009F0885">
        <w:rPr>
          <w:rFonts w:ascii="Times New Roman" w:hAnsi="Times New Roman" w:cs="Times New Roman"/>
          <w:sz w:val="26"/>
          <w:szCs w:val="26"/>
        </w:rPr>
        <w:t>.</w:t>
      </w:r>
      <w:r w:rsidRPr="005E56FC" w:rsidR="009F0885">
        <w:rPr>
          <w:rFonts w:ascii="Times New Roman" w:hAnsi="Times New Roman" w:cs="Times New Roman"/>
          <w:b/>
          <w:bCs/>
          <w:sz w:val="26"/>
          <w:szCs w:val="26"/>
        </w:rPr>
        <w:t xml:space="preserve"> </w:t>
      </w:r>
    </w:p>
    <w:p w:rsidR="006072FF" w:rsidP="000B1982" w14:paraId="3FC90D2D" w14:textId="491E5146">
      <w:pPr>
        <w:spacing w:after="0" w:line="480" w:lineRule="atLeast"/>
        <w:ind w:firstLine="1440"/>
        <w:rPr>
          <w:rFonts w:ascii="Times New Roman" w:hAnsi="Times New Roman" w:cs="Times New Roman"/>
          <w:b/>
          <w:bCs/>
          <w:sz w:val="26"/>
          <w:szCs w:val="26"/>
        </w:rPr>
      </w:pPr>
      <w:r>
        <w:rPr>
          <w:rFonts w:ascii="Times New Roman" w:hAnsi="Times New Roman" w:cs="Times New Roman"/>
          <w:sz w:val="26"/>
          <w:szCs w:val="26"/>
        </w:rPr>
        <w:t>In</w:t>
      </w:r>
      <w:r w:rsidR="00277A01">
        <w:rPr>
          <w:rFonts w:ascii="Times New Roman" w:hAnsi="Times New Roman" w:cs="Times New Roman"/>
          <w:sz w:val="26"/>
          <w:szCs w:val="26"/>
        </w:rPr>
        <w:t xml:space="preserve"> the months that followed, </w:t>
      </w:r>
      <w:r w:rsidR="00074795">
        <w:rPr>
          <w:rFonts w:ascii="Times New Roman" w:hAnsi="Times New Roman" w:cs="Times New Roman"/>
          <w:sz w:val="26"/>
          <w:szCs w:val="26"/>
        </w:rPr>
        <w:t xml:space="preserve">despite the </w:t>
      </w:r>
      <w:r w:rsidR="000070DC">
        <w:rPr>
          <w:rFonts w:ascii="Times New Roman" w:hAnsi="Times New Roman" w:cs="Times New Roman"/>
          <w:sz w:val="26"/>
          <w:szCs w:val="26"/>
        </w:rPr>
        <w:t>approaching</w:t>
      </w:r>
      <w:r w:rsidR="00074795">
        <w:rPr>
          <w:rFonts w:ascii="Times New Roman" w:hAnsi="Times New Roman" w:cs="Times New Roman"/>
          <w:sz w:val="26"/>
          <w:szCs w:val="26"/>
        </w:rPr>
        <w:t xml:space="preserve"> </w:t>
      </w:r>
      <w:r w:rsidR="00EB5AF9">
        <w:rPr>
          <w:rFonts w:ascii="Times New Roman" w:hAnsi="Times New Roman" w:cs="Times New Roman"/>
          <w:sz w:val="26"/>
          <w:szCs w:val="26"/>
        </w:rPr>
        <w:t xml:space="preserve">May 1 </w:t>
      </w:r>
      <w:r w:rsidR="00074795">
        <w:rPr>
          <w:rFonts w:ascii="Times New Roman" w:hAnsi="Times New Roman" w:cs="Times New Roman"/>
          <w:sz w:val="26"/>
          <w:szCs w:val="26"/>
        </w:rPr>
        <w:t>trial date</w:t>
      </w:r>
      <w:r w:rsidR="005E6D17">
        <w:rPr>
          <w:rFonts w:ascii="Times New Roman" w:hAnsi="Times New Roman" w:cs="Times New Roman"/>
          <w:sz w:val="26"/>
          <w:szCs w:val="26"/>
        </w:rPr>
        <w:t xml:space="preserve">, </w:t>
      </w:r>
      <w:r w:rsidR="00277A01">
        <w:rPr>
          <w:rFonts w:ascii="Times New Roman" w:hAnsi="Times New Roman" w:cs="Times New Roman"/>
          <w:sz w:val="26"/>
          <w:szCs w:val="26"/>
        </w:rPr>
        <w:t xml:space="preserve">Wedbush did not advise Plaintiffs of its intent to </w:t>
      </w:r>
      <w:r w:rsidR="00FC52A9">
        <w:rPr>
          <w:rFonts w:ascii="Times New Roman" w:hAnsi="Times New Roman" w:cs="Times New Roman"/>
          <w:sz w:val="26"/>
          <w:szCs w:val="26"/>
        </w:rPr>
        <w:t xml:space="preserve">move to </w:t>
      </w:r>
      <w:r w:rsidR="00277A01">
        <w:rPr>
          <w:rFonts w:ascii="Times New Roman" w:hAnsi="Times New Roman" w:cs="Times New Roman"/>
          <w:sz w:val="26"/>
          <w:szCs w:val="26"/>
        </w:rPr>
        <w:t xml:space="preserve">compel arbitration </w:t>
      </w:r>
      <w:r w:rsidR="000070DC">
        <w:rPr>
          <w:rFonts w:ascii="Times New Roman" w:hAnsi="Times New Roman" w:cs="Times New Roman"/>
          <w:sz w:val="26"/>
          <w:szCs w:val="26"/>
        </w:rPr>
        <w:t>pursuant to either</w:t>
      </w:r>
      <w:r w:rsidR="007A3F32">
        <w:rPr>
          <w:rFonts w:ascii="Times New Roman" w:hAnsi="Times New Roman" w:cs="Times New Roman"/>
          <w:sz w:val="26"/>
          <w:szCs w:val="26"/>
        </w:rPr>
        <w:t xml:space="preserve"> </w:t>
      </w:r>
      <w:r w:rsidR="007A3F32">
        <w:rPr>
          <w:rFonts w:ascii="Times New Roman" w:hAnsi="Times New Roman" w:cs="Times New Roman"/>
          <w:i/>
          <w:iCs/>
          <w:sz w:val="26"/>
          <w:szCs w:val="26"/>
        </w:rPr>
        <w:t xml:space="preserve">Viking River </w:t>
      </w:r>
      <w:r w:rsidR="007A3F32">
        <w:rPr>
          <w:rFonts w:ascii="Times New Roman" w:hAnsi="Times New Roman" w:cs="Times New Roman"/>
          <w:sz w:val="26"/>
          <w:szCs w:val="26"/>
        </w:rPr>
        <w:t>or the new</w:t>
      </w:r>
      <w:r w:rsidR="003D35A3">
        <w:rPr>
          <w:rFonts w:ascii="Times New Roman" w:hAnsi="Times New Roman" w:cs="Times New Roman"/>
          <w:sz w:val="26"/>
          <w:szCs w:val="26"/>
        </w:rPr>
        <w:t>ly signed</w:t>
      </w:r>
      <w:r w:rsidR="007A3F32">
        <w:rPr>
          <w:rFonts w:ascii="Times New Roman" w:hAnsi="Times New Roman" w:cs="Times New Roman"/>
          <w:sz w:val="26"/>
          <w:szCs w:val="26"/>
        </w:rPr>
        <w:t xml:space="preserve"> arbitration agreements. </w:t>
      </w:r>
      <w:r w:rsidR="00EB5AF9">
        <w:rPr>
          <w:rFonts w:ascii="Times New Roman" w:hAnsi="Times New Roman" w:cs="Times New Roman"/>
          <w:sz w:val="26"/>
          <w:szCs w:val="26"/>
        </w:rPr>
        <w:t xml:space="preserve"> </w:t>
      </w:r>
      <w:r w:rsidR="007A3F32">
        <w:rPr>
          <w:rFonts w:ascii="Times New Roman" w:hAnsi="Times New Roman" w:cs="Times New Roman"/>
          <w:sz w:val="26"/>
          <w:szCs w:val="26"/>
        </w:rPr>
        <w:t>Instead, Wedbush filed a motion to decertify the class in October 2022</w:t>
      </w:r>
      <w:r w:rsidR="00531144">
        <w:rPr>
          <w:rFonts w:ascii="Times New Roman" w:hAnsi="Times New Roman" w:cs="Times New Roman"/>
          <w:sz w:val="26"/>
          <w:szCs w:val="26"/>
        </w:rPr>
        <w:t xml:space="preserve">, </w:t>
      </w:r>
      <w:r w:rsidR="00EB5AF9">
        <w:rPr>
          <w:rFonts w:ascii="Times New Roman" w:hAnsi="Times New Roman" w:cs="Times New Roman"/>
          <w:sz w:val="26"/>
          <w:szCs w:val="26"/>
        </w:rPr>
        <w:t>and</w:t>
      </w:r>
      <w:r w:rsidR="00F3301E">
        <w:rPr>
          <w:rFonts w:ascii="Times New Roman" w:hAnsi="Times New Roman" w:cs="Times New Roman"/>
          <w:sz w:val="26"/>
          <w:szCs w:val="26"/>
        </w:rPr>
        <w:t xml:space="preserve"> a motion to exclude </w:t>
      </w:r>
      <w:r w:rsidR="00E23CB6">
        <w:rPr>
          <w:rFonts w:ascii="Times New Roman" w:hAnsi="Times New Roman" w:cs="Times New Roman"/>
          <w:sz w:val="26"/>
          <w:szCs w:val="26"/>
        </w:rPr>
        <w:t xml:space="preserve">certain </w:t>
      </w:r>
      <w:r w:rsidR="00F3301E">
        <w:rPr>
          <w:rFonts w:ascii="Times New Roman" w:hAnsi="Times New Roman" w:cs="Times New Roman"/>
          <w:sz w:val="26"/>
          <w:szCs w:val="26"/>
        </w:rPr>
        <w:t xml:space="preserve">class members </w:t>
      </w:r>
      <w:r w:rsidR="00E23CB6">
        <w:rPr>
          <w:rFonts w:ascii="Times New Roman" w:hAnsi="Times New Roman" w:cs="Times New Roman"/>
          <w:sz w:val="26"/>
          <w:szCs w:val="26"/>
        </w:rPr>
        <w:t>from the class</w:t>
      </w:r>
      <w:r w:rsidR="00F3301E">
        <w:rPr>
          <w:rFonts w:ascii="Times New Roman" w:hAnsi="Times New Roman" w:cs="Times New Roman"/>
          <w:sz w:val="26"/>
          <w:szCs w:val="26"/>
        </w:rPr>
        <w:t xml:space="preserve"> in November 2022</w:t>
      </w:r>
      <w:r w:rsidR="00EB5AF9">
        <w:rPr>
          <w:rFonts w:ascii="Times New Roman" w:hAnsi="Times New Roman" w:cs="Times New Roman"/>
          <w:sz w:val="26"/>
          <w:szCs w:val="26"/>
        </w:rPr>
        <w:t>.</w:t>
      </w:r>
      <w:r w:rsidR="00E21162">
        <w:rPr>
          <w:rFonts w:ascii="Times New Roman" w:hAnsi="Times New Roman" w:cs="Times New Roman"/>
          <w:sz w:val="26"/>
          <w:szCs w:val="26"/>
        </w:rPr>
        <w:t xml:space="preserve"> </w:t>
      </w:r>
      <w:r w:rsidR="00EB5AF9">
        <w:rPr>
          <w:rFonts w:ascii="Times New Roman" w:hAnsi="Times New Roman" w:cs="Times New Roman"/>
          <w:sz w:val="26"/>
          <w:szCs w:val="26"/>
        </w:rPr>
        <w:t xml:space="preserve"> I</w:t>
      </w:r>
      <w:r w:rsidR="00F7631A">
        <w:rPr>
          <w:rFonts w:ascii="Times New Roman" w:hAnsi="Times New Roman" w:cs="Times New Roman"/>
          <w:sz w:val="26"/>
          <w:szCs w:val="26"/>
        </w:rPr>
        <w:t>n January and February 2023</w:t>
      </w:r>
      <w:r w:rsidR="00EB5AF9">
        <w:rPr>
          <w:rFonts w:ascii="Times New Roman" w:hAnsi="Times New Roman" w:cs="Times New Roman"/>
          <w:sz w:val="26"/>
          <w:szCs w:val="26"/>
        </w:rPr>
        <w:t>,</w:t>
      </w:r>
      <w:r w:rsidR="00F7631A">
        <w:rPr>
          <w:rFonts w:ascii="Times New Roman" w:hAnsi="Times New Roman" w:cs="Times New Roman"/>
          <w:sz w:val="26"/>
          <w:szCs w:val="26"/>
        </w:rPr>
        <w:t xml:space="preserve"> </w:t>
      </w:r>
      <w:r w:rsidR="00021644">
        <w:rPr>
          <w:rFonts w:ascii="Times New Roman" w:hAnsi="Times New Roman" w:cs="Times New Roman"/>
          <w:sz w:val="26"/>
          <w:szCs w:val="26"/>
        </w:rPr>
        <w:t xml:space="preserve">it propounded </w:t>
      </w:r>
      <w:r w:rsidR="007D59C1">
        <w:rPr>
          <w:rFonts w:ascii="Times New Roman" w:hAnsi="Times New Roman" w:cs="Times New Roman"/>
          <w:sz w:val="26"/>
          <w:szCs w:val="26"/>
        </w:rPr>
        <w:t xml:space="preserve">further </w:t>
      </w:r>
      <w:r w:rsidR="002D37D7">
        <w:rPr>
          <w:rFonts w:ascii="Times New Roman" w:hAnsi="Times New Roman" w:cs="Times New Roman"/>
          <w:sz w:val="26"/>
          <w:szCs w:val="26"/>
        </w:rPr>
        <w:t xml:space="preserve">written </w:t>
      </w:r>
      <w:r w:rsidR="007D59C1">
        <w:rPr>
          <w:rFonts w:ascii="Times New Roman" w:hAnsi="Times New Roman" w:cs="Times New Roman"/>
          <w:sz w:val="26"/>
          <w:szCs w:val="26"/>
        </w:rPr>
        <w:t>discovery</w:t>
      </w:r>
      <w:r w:rsidR="00081078">
        <w:rPr>
          <w:rFonts w:ascii="Times New Roman" w:hAnsi="Times New Roman" w:cs="Times New Roman"/>
          <w:sz w:val="26"/>
          <w:szCs w:val="26"/>
        </w:rPr>
        <w:t xml:space="preserve"> on each named plaintiff</w:t>
      </w:r>
      <w:r w:rsidR="0015085C">
        <w:rPr>
          <w:rFonts w:ascii="Times New Roman" w:hAnsi="Times New Roman" w:cs="Times New Roman"/>
          <w:sz w:val="26"/>
          <w:szCs w:val="26"/>
        </w:rPr>
        <w:t>, including</w:t>
      </w:r>
      <w:r w:rsidRPr="00AE2835" w:rsidR="00081078">
        <w:rPr>
          <w:rFonts w:ascii="Times New Roman" w:hAnsi="Times New Roman" w:cs="Times New Roman"/>
          <w:sz w:val="26"/>
          <w:szCs w:val="26"/>
        </w:rPr>
        <w:t xml:space="preserve"> </w:t>
      </w:r>
      <w:r w:rsidR="00081078">
        <w:rPr>
          <w:rFonts w:ascii="Times New Roman" w:hAnsi="Times New Roman" w:cs="Times New Roman"/>
          <w:sz w:val="26"/>
          <w:szCs w:val="26"/>
        </w:rPr>
        <w:t>additional</w:t>
      </w:r>
      <w:r w:rsidRPr="00AE2835" w:rsidR="00081078">
        <w:rPr>
          <w:rFonts w:ascii="Times New Roman" w:hAnsi="Times New Roman" w:cs="Times New Roman"/>
          <w:sz w:val="26"/>
          <w:szCs w:val="26"/>
        </w:rPr>
        <w:t xml:space="preserve"> request</w:t>
      </w:r>
      <w:r w:rsidR="00081078">
        <w:rPr>
          <w:rFonts w:ascii="Times New Roman" w:hAnsi="Times New Roman" w:cs="Times New Roman"/>
          <w:sz w:val="26"/>
          <w:szCs w:val="26"/>
        </w:rPr>
        <w:t>s</w:t>
      </w:r>
      <w:r w:rsidRPr="00AE2835" w:rsidR="00081078">
        <w:rPr>
          <w:rFonts w:ascii="Times New Roman" w:hAnsi="Times New Roman" w:cs="Times New Roman"/>
          <w:sz w:val="26"/>
          <w:szCs w:val="26"/>
        </w:rPr>
        <w:t xml:space="preserve"> for production of documents, special interrogatories, requests for admissions, form employment interrogatories</w:t>
      </w:r>
      <w:r w:rsidR="00021644">
        <w:rPr>
          <w:rFonts w:ascii="Times New Roman" w:hAnsi="Times New Roman" w:cs="Times New Roman"/>
          <w:sz w:val="26"/>
          <w:szCs w:val="26"/>
        </w:rPr>
        <w:t>, and deposition notices</w:t>
      </w:r>
      <w:r w:rsidRPr="00AE2835" w:rsidR="00081078">
        <w:rPr>
          <w:rFonts w:ascii="Times New Roman" w:hAnsi="Times New Roman" w:cs="Times New Roman"/>
          <w:sz w:val="26"/>
          <w:szCs w:val="26"/>
        </w:rPr>
        <w:t xml:space="preserve">. </w:t>
      </w:r>
    </w:p>
    <w:p w:rsidR="001B0E4F" w:rsidP="000B1982" w14:paraId="31CC9CA2" w14:textId="515F1BBF">
      <w:pPr>
        <w:spacing w:after="0" w:line="480" w:lineRule="atLeast"/>
        <w:ind w:firstLine="1440"/>
        <w:rPr>
          <w:rFonts w:ascii="Times New Roman" w:hAnsi="Times New Roman" w:cs="Times New Roman"/>
          <w:b/>
          <w:bCs/>
          <w:sz w:val="26"/>
          <w:szCs w:val="26"/>
        </w:rPr>
      </w:pPr>
      <w:r>
        <w:rPr>
          <w:rFonts w:ascii="Times New Roman" w:hAnsi="Times New Roman" w:cs="Times New Roman"/>
          <w:sz w:val="26"/>
          <w:szCs w:val="26"/>
        </w:rPr>
        <w:t>On March 17, 202</w:t>
      </w:r>
      <w:r w:rsidR="00F75EA1">
        <w:rPr>
          <w:rFonts w:ascii="Times New Roman" w:hAnsi="Times New Roman" w:cs="Times New Roman"/>
          <w:sz w:val="26"/>
          <w:szCs w:val="26"/>
        </w:rPr>
        <w:t>3</w:t>
      </w:r>
      <w:r>
        <w:rPr>
          <w:rFonts w:ascii="Times New Roman" w:hAnsi="Times New Roman" w:cs="Times New Roman"/>
          <w:sz w:val="26"/>
          <w:szCs w:val="26"/>
        </w:rPr>
        <w:t xml:space="preserve">, the trial court continued </w:t>
      </w:r>
      <w:r w:rsidR="005C5C5B">
        <w:rPr>
          <w:rFonts w:ascii="Times New Roman" w:hAnsi="Times New Roman" w:cs="Times New Roman"/>
          <w:sz w:val="26"/>
          <w:szCs w:val="26"/>
        </w:rPr>
        <w:t xml:space="preserve">the trial date </w:t>
      </w:r>
      <w:r w:rsidR="00F75EA1">
        <w:rPr>
          <w:rFonts w:ascii="Times New Roman" w:hAnsi="Times New Roman" w:cs="Times New Roman"/>
          <w:sz w:val="26"/>
          <w:szCs w:val="26"/>
        </w:rPr>
        <w:t xml:space="preserve">from May 1, 2023 </w:t>
      </w:r>
      <w:r w:rsidR="005C5C5B">
        <w:rPr>
          <w:rFonts w:ascii="Times New Roman" w:hAnsi="Times New Roman" w:cs="Times New Roman"/>
          <w:sz w:val="26"/>
          <w:szCs w:val="26"/>
        </w:rPr>
        <w:t>to August 21, 202</w:t>
      </w:r>
      <w:r w:rsidR="00F75EA1">
        <w:rPr>
          <w:rFonts w:ascii="Times New Roman" w:hAnsi="Times New Roman" w:cs="Times New Roman"/>
          <w:sz w:val="26"/>
          <w:szCs w:val="26"/>
        </w:rPr>
        <w:t>3</w:t>
      </w:r>
      <w:r w:rsidR="005C5C5B">
        <w:rPr>
          <w:rFonts w:ascii="Times New Roman" w:hAnsi="Times New Roman" w:cs="Times New Roman"/>
          <w:sz w:val="26"/>
          <w:szCs w:val="26"/>
        </w:rPr>
        <w:t>.</w:t>
      </w:r>
      <w:r w:rsidR="00780910">
        <w:rPr>
          <w:rFonts w:ascii="Times New Roman" w:hAnsi="Times New Roman" w:cs="Times New Roman"/>
          <w:sz w:val="26"/>
          <w:szCs w:val="26"/>
        </w:rPr>
        <w:t xml:space="preserve"> </w:t>
      </w:r>
      <w:r w:rsidR="005C5C5B">
        <w:rPr>
          <w:rFonts w:ascii="Times New Roman" w:hAnsi="Times New Roman" w:cs="Times New Roman"/>
          <w:sz w:val="26"/>
          <w:szCs w:val="26"/>
        </w:rPr>
        <w:t xml:space="preserve"> On March </w:t>
      </w:r>
      <w:r w:rsidR="00780910">
        <w:rPr>
          <w:rFonts w:ascii="Times New Roman" w:hAnsi="Times New Roman" w:cs="Times New Roman"/>
          <w:sz w:val="26"/>
          <w:szCs w:val="26"/>
        </w:rPr>
        <w:t>22</w:t>
      </w:r>
      <w:r w:rsidRPr="005E56FC" w:rsidR="00B9333B">
        <w:rPr>
          <w:rFonts w:ascii="Times New Roman" w:hAnsi="Times New Roman" w:cs="Times New Roman"/>
          <w:sz w:val="26"/>
          <w:szCs w:val="26"/>
        </w:rPr>
        <w:t>,</w:t>
      </w:r>
      <w:r w:rsidRPr="005E56FC" w:rsidR="001D3D34">
        <w:rPr>
          <w:rFonts w:ascii="Times New Roman" w:hAnsi="Times New Roman" w:cs="Times New Roman"/>
          <w:sz w:val="26"/>
          <w:szCs w:val="26"/>
        </w:rPr>
        <w:t xml:space="preserve"> </w:t>
      </w:r>
      <w:r w:rsidR="00F75EA1">
        <w:rPr>
          <w:rFonts w:ascii="Times New Roman" w:hAnsi="Times New Roman" w:cs="Times New Roman"/>
          <w:sz w:val="26"/>
          <w:szCs w:val="26"/>
        </w:rPr>
        <w:t xml:space="preserve">2023, </w:t>
      </w:r>
      <w:r w:rsidRPr="005E56FC" w:rsidR="001D3D34">
        <w:rPr>
          <w:rFonts w:ascii="Times New Roman" w:hAnsi="Times New Roman" w:cs="Times New Roman"/>
          <w:sz w:val="26"/>
          <w:szCs w:val="26"/>
        </w:rPr>
        <w:t xml:space="preserve">Wedbush filed </w:t>
      </w:r>
      <w:r w:rsidR="00EB5AF9">
        <w:rPr>
          <w:rFonts w:ascii="Times New Roman" w:hAnsi="Times New Roman" w:cs="Times New Roman"/>
          <w:sz w:val="26"/>
          <w:szCs w:val="26"/>
        </w:rPr>
        <w:t>its</w:t>
      </w:r>
      <w:r w:rsidRPr="005E56FC" w:rsidR="001D3D34">
        <w:rPr>
          <w:rFonts w:ascii="Times New Roman" w:hAnsi="Times New Roman" w:cs="Times New Roman"/>
          <w:sz w:val="26"/>
          <w:szCs w:val="26"/>
        </w:rPr>
        <w:t xml:space="preserve"> motion (1) </w:t>
      </w:r>
      <w:r w:rsidR="000070DC">
        <w:rPr>
          <w:rFonts w:ascii="Times New Roman" w:hAnsi="Times New Roman" w:cs="Times New Roman"/>
          <w:sz w:val="26"/>
          <w:szCs w:val="26"/>
        </w:rPr>
        <w:t xml:space="preserve">to </w:t>
      </w:r>
      <w:r w:rsidRPr="005E56FC" w:rsidR="001D3D34">
        <w:rPr>
          <w:rFonts w:ascii="Times New Roman" w:hAnsi="Times New Roman" w:cs="Times New Roman"/>
          <w:sz w:val="26"/>
          <w:szCs w:val="26"/>
        </w:rPr>
        <w:t xml:space="preserve">compel Semprini and Swain to arbitrate their individual PAGA claims, </w:t>
      </w:r>
      <w:r w:rsidRPr="005E56FC" w:rsidR="0093500A">
        <w:rPr>
          <w:rFonts w:ascii="Times New Roman" w:hAnsi="Times New Roman" w:cs="Times New Roman"/>
          <w:sz w:val="26"/>
          <w:szCs w:val="26"/>
        </w:rPr>
        <w:t xml:space="preserve">and </w:t>
      </w:r>
      <w:r w:rsidRPr="005E56FC" w:rsidR="00A123E1">
        <w:rPr>
          <w:rFonts w:ascii="Times New Roman" w:hAnsi="Times New Roman" w:cs="Times New Roman"/>
          <w:sz w:val="26"/>
          <w:szCs w:val="26"/>
        </w:rPr>
        <w:t xml:space="preserve">then </w:t>
      </w:r>
      <w:r w:rsidRPr="005E56FC" w:rsidR="001D3D34">
        <w:rPr>
          <w:rFonts w:ascii="Times New Roman" w:hAnsi="Times New Roman" w:cs="Times New Roman"/>
          <w:sz w:val="26"/>
          <w:szCs w:val="26"/>
        </w:rPr>
        <w:t xml:space="preserve">dismiss the </w:t>
      </w:r>
      <w:r w:rsidRPr="005E56FC" w:rsidR="00A123E1">
        <w:rPr>
          <w:rFonts w:ascii="Times New Roman" w:hAnsi="Times New Roman" w:cs="Times New Roman"/>
          <w:sz w:val="26"/>
          <w:szCs w:val="26"/>
        </w:rPr>
        <w:t xml:space="preserve">remaining </w:t>
      </w:r>
      <w:r w:rsidRPr="005E56FC" w:rsidR="001D3D34">
        <w:rPr>
          <w:rFonts w:ascii="Times New Roman" w:hAnsi="Times New Roman" w:cs="Times New Roman"/>
          <w:sz w:val="26"/>
          <w:szCs w:val="26"/>
        </w:rPr>
        <w:t xml:space="preserve">representative </w:t>
      </w:r>
      <w:r w:rsidRPr="005E56FC" w:rsidR="00A123E1">
        <w:rPr>
          <w:rFonts w:ascii="Times New Roman" w:hAnsi="Times New Roman" w:cs="Times New Roman"/>
          <w:sz w:val="26"/>
          <w:szCs w:val="26"/>
        </w:rPr>
        <w:t xml:space="preserve">portion of their </w:t>
      </w:r>
      <w:r w:rsidRPr="005E56FC" w:rsidR="001D3D34">
        <w:rPr>
          <w:rFonts w:ascii="Times New Roman" w:hAnsi="Times New Roman" w:cs="Times New Roman"/>
          <w:sz w:val="26"/>
          <w:szCs w:val="26"/>
        </w:rPr>
        <w:t>PAGA claims</w:t>
      </w:r>
      <w:r w:rsidRPr="005E56FC" w:rsidR="00A123E1">
        <w:rPr>
          <w:rFonts w:ascii="Times New Roman" w:hAnsi="Times New Roman" w:cs="Times New Roman"/>
          <w:sz w:val="26"/>
          <w:szCs w:val="26"/>
        </w:rPr>
        <w:t xml:space="preserve"> for lack of standing</w:t>
      </w:r>
      <w:r w:rsidRPr="005E56FC" w:rsidR="0005378A">
        <w:rPr>
          <w:rFonts w:ascii="Times New Roman" w:hAnsi="Times New Roman" w:cs="Times New Roman"/>
          <w:sz w:val="26"/>
          <w:szCs w:val="26"/>
        </w:rPr>
        <w:t xml:space="preserve"> under </w:t>
      </w:r>
      <w:r w:rsidRPr="005E56FC" w:rsidR="0005378A">
        <w:rPr>
          <w:rFonts w:ascii="Times New Roman" w:hAnsi="Times New Roman" w:cs="Times New Roman"/>
          <w:i/>
          <w:iCs/>
          <w:sz w:val="26"/>
          <w:szCs w:val="26"/>
        </w:rPr>
        <w:t>Viking River</w:t>
      </w:r>
      <w:r w:rsidRPr="005E56FC" w:rsidR="001D3D34">
        <w:rPr>
          <w:rFonts w:ascii="Times New Roman" w:hAnsi="Times New Roman" w:cs="Times New Roman"/>
          <w:sz w:val="26"/>
          <w:szCs w:val="26"/>
        </w:rPr>
        <w:t>, and (</w:t>
      </w:r>
      <w:r w:rsidRPr="005E56FC" w:rsidR="0005378A">
        <w:rPr>
          <w:rFonts w:ascii="Times New Roman" w:hAnsi="Times New Roman" w:cs="Times New Roman"/>
          <w:sz w:val="26"/>
          <w:szCs w:val="26"/>
        </w:rPr>
        <w:t>2</w:t>
      </w:r>
      <w:r w:rsidRPr="005E56FC" w:rsidR="001D3D34">
        <w:rPr>
          <w:rFonts w:ascii="Times New Roman" w:hAnsi="Times New Roman" w:cs="Times New Roman"/>
          <w:sz w:val="26"/>
          <w:szCs w:val="26"/>
        </w:rPr>
        <w:t xml:space="preserve">) </w:t>
      </w:r>
      <w:r w:rsidR="000070DC">
        <w:rPr>
          <w:rFonts w:ascii="Times New Roman" w:hAnsi="Times New Roman" w:cs="Times New Roman"/>
          <w:sz w:val="26"/>
          <w:szCs w:val="26"/>
        </w:rPr>
        <w:t xml:space="preserve">to </w:t>
      </w:r>
      <w:r w:rsidRPr="005E56FC" w:rsidR="001D3D34">
        <w:rPr>
          <w:rFonts w:ascii="Times New Roman" w:hAnsi="Times New Roman" w:cs="Times New Roman"/>
          <w:sz w:val="26"/>
          <w:szCs w:val="26"/>
        </w:rPr>
        <w:t xml:space="preserve">compel </w:t>
      </w:r>
      <w:r w:rsidRPr="005E56FC" w:rsidR="00EA7DC8">
        <w:rPr>
          <w:rFonts w:ascii="Times New Roman" w:hAnsi="Times New Roman" w:cs="Times New Roman"/>
          <w:sz w:val="26"/>
          <w:szCs w:val="26"/>
        </w:rPr>
        <w:t xml:space="preserve">the 24 class members who signed arbitration agreements in </w:t>
      </w:r>
      <w:r w:rsidR="000070DC">
        <w:rPr>
          <w:rFonts w:ascii="Times New Roman" w:hAnsi="Times New Roman" w:cs="Times New Roman"/>
          <w:sz w:val="26"/>
          <w:szCs w:val="26"/>
        </w:rPr>
        <w:t xml:space="preserve">the </w:t>
      </w:r>
      <w:r w:rsidRPr="005E56FC" w:rsidR="00EA7DC8">
        <w:rPr>
          <w:rFonts w:ascii="Times New Roman" w:hAnsi="Times New Roman" w:cs="Times New Roman"/>
          <w:sz w:val="26"/>
          <w:szCs w:val="26"/>
        </w:rPr>
        <w:t xml:space="preserve">fall </w:t>
      </w:r>
      <w:r w:rsidR="000070DC">
        <w:rPr>
          <w:rFonts w:ascii="Times New Roman" w:hAnsi="Times New Roman" w:cs="Times New Roman"/>
          <w:sz w:val="26"/>
          <w:szCs w:val="26"/>
        </w:rPr>
        <w:t xml:space="preserve">of </w:t>
      </w:r>
      <w:r w:rsidRPr="005E56FC" w:rsidR="00EA7DC8">
        <w:rPr>
          <w:rFonts w:ascii="Times New Roman" w:hAnsi="Times New Roman" w:cs="Times New Roman"/>
          <w:sz w:val="26"/>
          <w:szCs w:val="26"/>
        </w:rPr>
        <w:t>2022</w:t>
      </w:r>
      <w:r w:rsidR="000070DC">
        <w:rPr>
          <w:rFonts w:ascii="Times New Roman" w:hAnsi="Times New Roman" w:cs="Times New Roman"/>
          <w:sz w:val="26"/>
          <w:szCs w:val="26"/>
        </w:rPr>
        <w:t xml:space="preserve"> </w:t>
      </w:r>
      <w:r w:rsidRPr="005E56FC" w:rsidR="000070DC">
        <w:rPr>
          <w:rFonts w:ascii="Times New Roman" w:hAnsi="Times New Roman" w:cs="Times New Roman"/>
          <w:sz w:val="26"/>
          <w:szCs w:val="26"/>
        </w:rPr>
        <w:t>to arbitration</w:t>
      </w:r>
      <w:r w:rsidRPr="005E56FC" w:rsidR="00EA7DC8">
        <w:rPr>
          <w:rFonts w:ascii="Times New Roman" w:hAnsi="Times New Roman" w:cs="Times New Roman"/>
          <w:sz w:val="26"/>
          <w:szCs w:val="26"/>
        </w:rPr>
        <w:t>.</w:t>
      </w:r>
      <w:r w:rsidRPr="005E56FC" w:rsidR="009E778F">
        <w:rPr>
          <w:rFonts w:ascii="Times New Roman" w:hAnsi="Times New Roman" w:cs="Times New Roman"/>
          <w:sz w:val="26"/>
          <w:szCs w:val="26"/>
        </w:rPr>
        <w:t xml:space="preserve"> </w:t>
      </w:r>
    </w:p>
    <w:p w:rsidR="00437D6F" w:rsidP="000B1982" w14:paraId="6F97DF6A" w14:textId="6E0CAA7C">
      <w:pPr>
        <w:spacing w:after="0" w:line="480" w:lineRule="atLeast"/>
        <w:ind w:firstLine="1440"/>
        <w:rPr>
          <w:rFonts w:ascii="Times New Roman" w:hAnsi="Times New Roman" w:cs="Times New Roman"/>
          <w:sz w:val="26"/>
          <w:szCs w:val="26"/>
        </w:rPr>
      </w:pPr>
      <w:r w:rsidRPr="005E56FC">
        <w:rPr>
          <w:rFonts w:ascii="Times New Roman" w:hAnsi="Times New Roman" w:cs="Times New Roman"/>
          <w:sz w:val="26"/>
          <w:szCs w:val="26"/>
        </w:rPr>
        <w:t>After hearing oral argument, t</w:t>
      </w:r>
      <w:r w:rsidRPr="005E56FC" w:rsidR="00EA7DC8">
        <w:rPr>
          <w:rFonts w:ascii="Times New Roman" w:hAnsi="Times New Roman" w:cs="Times New Roman"/>
          <w:sz w:val="26"/>
          <w:szCs w:val="26"/>
        </w:rPr>
        <w:t xml:space="preserve">he trial court denied Wedbush’s motion, </w:t>
      </w:r>
      <w:r w:rsidRPr="005E56FC" w:rsidR="00A42C3B">
        <w:rPr>
          <w:rFonts w:ascii="Times New Roman" w:hAnsi="Times New Roman" w:cs="Times New Roman"/>
          <w:sz w:val="26"/>
          <w:szCs w:val="26"/>
        </w:rPr>
        <w:t xml:space="preserve">finding Wedbush had waived its right to </w:t>
      </w:r>
      <w:r w:rsidRPr="005E56FC" w:rsidR="00114368">
        <w:rPr>
          <w:rFonts w:ascii="Times New Roman" w:hAnsi="Times New Roman" w:cs="Times New Roman"/>
          <w:sz w:val="26"/>
          <w:szCs w:val="26"/>
        </w:rPr>
        <w:t xml:space="preserve">compel </w:t>
      </w:r>
      <w:r w:rsidRPr="005E56FC" w:rsidR="00A42C3B">
        <w:rPr>
          <w:rFonts w:ascii="Times New Roman" w:hAnsi="Times New Roman" w:cs="Times New Roman"/>
          <w:sz w:val="26"/>
          <w:szCs w:val="26"/>
        </w:rPr>
        <w:t xml:space="preserve">arbitration </w:t>
      </w:r>
      <w:r w:rsidRPr="005E56FC" w:rsidR="003D5B6F">
        <w:rPr>
          <w:rFonts w:ascii="Times New Roman" w:hAnsi="Times New Roman" w:cs="Times New Roman"/>
          <w:sz w:val="26"/>
          <w:szCs w:val="26"/>
        </w:rPr>
        <w:t xml:space="preserve">by entering into the 2015 stipulation, </w:t>
      </w:r>
      <w:r w:rsidRPr="005E56FC" w:rsidR="00E32E98">
        <w:rPr>
          <w:rFonts w:ascii="Times New Roman" w:hAnsi="Times New Roman" w:cs="Times New Roman"/>
          <w:sz w:val="26"/>
          <w:szCs w:val="26"/>
        </w:rPr>
        <w:t>in which the parties had agreed that</w:t>
      </w:r>
      <w:r w:rsidRPr="005E56FC" w:rsidR="00CB189F">
        <w:rPr>
          <w:rFonts w:ascii="Times New Roman" w:hAnsi="Times New Roman" w:cs="Times New Roman"/>
          <w:sz w:val="26"/>
          <w:szCs w:val="26"/>
        </w:rPr>
        <w:t>, with the exception of</w:t>
      </w:r>
      <w:r w:rsidRPr="005E56FC" w:rsidR="00E32E98">
        <w:rPr>
          <w:rFonts w:ascii="Times New Roman" w:hAnsi="Times New Roman" w:cs="Times New Roman"/>
          <w:sz w:val="26"/>
          <w:szCs w:val="26"/>
        </w:rPr>
        <w:t xml:space="preserve"> </w:t>
      </w:r>
      <w:r w:rsidRPr="005E56FC" w:rsidR="00CB189F">
        <w:rPr>
          <w:rFonts w:ascii="Times New Roman" w:hAnsi="Times New Roman" w:cs="Times New Roman"/>
          <w:sz w:val="26"/>
          <w:szCs w:val="26"/>
        </w:rPr>
        <w:t>Semprini’s purely individual causes of action (which were to proceed to FINRA arbitration),</w:t>
      </w:r>
      <w:r w:rsidRPr="005E56FC" w:rsidR="00E32E98">
        <w:rPr>
          <w:rFonts w:ascii="Times New Roman" w:hAnsi="Times New Roman" w:cs="Times New Roman"/>
          <w:sz w:val="26"/>
          <w:szCs w:val="26"/>
        </w:rPr>
        <w:t xml:space="preserve"> “all other causes of action</w:t>
      </w:r>
      <w:r w:rsidRPr="005E56FC" w:rsidR="00CB189F">
        <w:rPr>
          <w:rFonts w:ascii="Times New Roman" w:hAnsi="Times New Roman" w:cs="Times New Roman"/>
          <w:sz w:val="26"/>
          <w:szCs w:val="26"/>
        </w:rPr>
        <w:t xml:space="preserve"> will proceed before this Court.”</w:t>
      </w:r>
      <w:r w:rsidR="00780910">
        <w:rPr>
          <w:rFonts w:ascii="Times New Roman" w:hAnsi="Times New Roman" w:cs="Times New Roman"/>
          <w:sz w:val="26"/>
          <w:szCs w:val="26"/>
        </w:rPr>
        <w:t xml:space="preserve">  </w:t>
      </w:r>
      <w:r w:rsidR="0035586E">
        <w:rPr>
          <w:rFonts w:ascii="Times New Roman" w:hAnsi="Times New Roman" w:cs="Times New Roman"/>
          <w:sz w:val="26"/>
          <w:szCs w:val="26"/>
        </w:rPr>
        <w:t xml:space="preserve">The court </w:t>
      </w:r>
      <w:r w:rsidR="008878BE">
        <w:rPr>
          <w:rFonts w:ascii="Times New Roman" w:hAnsi="Times New Roman" w:cs="Times New Roman"/>
          <w:sz w:val="26"/>
          <w:szCs w:val="26"/>
        </w:rPr>
        <w:t xml:space="preserve">did not address </w:t>
      </w:r>
      <w:r w:rsidR="008878BE">
        <w:rPr>
          <w:rFonts w:ascii="Times New Roman" w:hAnsi="Times New Roman" w:cs="Times New Roman"/>
          <w:i/>
          <w:iCs/>
          <w:sz w:val="26"/>
          <w:szCs w:val="26"/>
        </w:rPr>
        <w:t xml:space="preserve">Viking River </w:t>
      </w:r>
      <w:r w:rsidR="008878BE">
        <w:rPr>
          <w:rFonts w:ascii="Times New Roman" w:hAnsi="Times New Roman" w:cs="Times New Roman"/>
          <w:sz w:val="26"/>
          <w:szCs w:val="26"/>
        </w:rPr>
        <w:t>or the new arbitration agreements</w:t>
      </w:r>
      <w:r w:rsidR="001B0E4F">
        <w:rPr>
          <w:rFonts w:ascii="Times New Roman" w:hAnsi="Times New Roman" w:cs="Times New Roman"/>
          <w:sz w:val="26"/>
          <w:szCs w:val="26"/>
        </w:rPr>
        <w:t xml:space="preserve"> in its ruling</w:t>
      </w:r>
      <w:r w:rsidR="008878BE">
        <w:rPr>
          <w:rFonts w:ascii="Times New Roman" w:hAnsi="Times New Roman" w:cs="Times New Roman"/>
          <w:sz w:val="26"/>
          <w:szCs w:val="26"/>
        </w:rPr>
        <w:t xml:space="preserve">.  </w:t>
      </w:r>
    </w:p>
    <w:p w:rsidR="001D3D34" w:rsidRPr="005E56FC" w:rsidP="000B1982" w14:paraId="49547FA9" w14:textId="116C2FF8">
      <w:pPr>
        <w:spacing w:after="0" w:line="480" w:lineRule="atLeast"/>
        <w:ind w:firstLine="1440"/>
        <w:rPr>
          <w:rFonts w:ascii="Times New Roman" w:hAnsi="Times New Roman" w:cs="Times New Roman"/>
          <w:sz w:val="26"/>
          <w:szCs w:val="26"/>
        </w:rPr>
      </w:pPr>
      <w:r w:rsidRPr="005E56FC">
        <w:rPr>
          <w:rFonts w:ascii="Times New Roman" w:hAnsi="Times New Roman" w:cs="Times New Roman"/>
          <w:sz w:val="26"/>
          <w:szCs w:val="26"/>
        </w:rPr>
        <w:t>This appeal followed.</w:t>
      </w:r>
      <w:r>
        <w:rPr>
          <w:rStyle w:val="FootnoteReference"/>
          <w:rFonts w:ascii="Times New Roman" w:hAnsi="Times New Roman" w:cs="Times New Roman"/>
          <w:sz w:val="26"/>
          <w:szCs w:val="26"/>
        </w:rPr>
        <w:footnoteReference w:id="4"/>
      </w:r>
      <w:r w:rsidRPr="005E56FC" w:rsidR="00CB189F">
        <w:rPr>
          <w:rFonts w:ascii="Times New Roman" w:hAnsi="Times New Roman" w:cs="Times New Roman"/>
          <w:sz w:val="26"/>
          <w:szCs w:val="26"/>
        </w:rPr>
        <w:t xml:space="preserve"> </w:t>
      </w:r>
      <w:r w:rsidRPr="005E56FC" w:rsidR="00CB189F">
        <w:rPr>
          <w:rFonts w:ascii="Times New Roman" w:hAnsi="Times New Roman" w:cs="Times New Roman"/>
          <w:b/>
          <w:bCs/>
          <w:sz w:val="26"/>
          <w:szCs w:val="26"/>
        </w:rPr>
        <w:t xml:space="preserve"> </w:t>
      </w:r>
    </w:p>
    <w:p w:rsidR="005B6255" w:rsidP="00DA7D2A" w14:paraId="26D223E1" w14:textId="1B8B085E">
      <w:pPr>
        <w:keepNext/>
        <w:spacing w:before="120" w:after="0" w:line="480" w:lineRule="atLeast"/>
        <w:jc w:val="center"/>
        <w:rPr>
          <w:rFonts w:ascii="Times New Roman" w:hAnsi="Times New Roman" w:cs="Times New Roman"/>
          <w:sz w:val="26"/>
          <w:szCs w:val="26"/>
        </w:rPr>
      </w:pPr>
      <w:r w:rsidRPr="00041B73">
        <w:rPr>
          <w:rFonts w:ascii="Times New Roman" w:hAnsi="Times New Roman" w:cs="Times New Roman"/>
          <w:b/>
          <w:bCs/>
          <w:sz w:val="26"/>
          <w:szCs w:val="26"/>
        </w:rPr>
        <w:t>DISCUSSION</w:t>
      </w:r>
    </w:p>
    <w:p w:rsidR="00F90B41" w:rsidRPr="00F90B41" w:rsidP="00DA7D2A" w14:paraId="2A8D9B63" w14:textId="7B6F387E">
      <w:pPr>
        <w:keepNext/>
        <w:spacing w:after="0" w:line="480" w:lineRule="atLeast"/>
        <w:ind w:firstLine="720"/>
        <w:rPr>
          <w:rFonts w:ascii="Times New Roman" w:hAnsi="Times New Roman" w:cs="Times New Roman"/>
          <w:i/>
          <w:iCs/>
          <w:sz w:val="26"/>
          <w:szCs w:val="26"/>
        </w:rPr>
      </w:pPr>
      <w:r>
        <w:rPr>
          <w:rFonts w:ascii="Times New Roman" w:hAnsi="Times New Roman" w:cs="Times New Roman"/>
          <w:sz w:val="26"/>
          <w:szCs w:val="26"/>
        </w:rPr>
        <w:t xml:space="preserve">1. </w:t>
      </w:r>
      <w:r>
        <w:rPr>
          <w:rFonts w:ascii="Times New Roman" w:hAnsi="Times New Roman" w:cs="Times New Roman"/>
          <w:sz w:val="26"/>
          <w:szCs w:val="26"/>
        </w:rPr>
        <w:tab/>
      </w:r>
      <w:r>
        <w:rPr>
          <w:rFonts w:ascii="Times New Roman" w:hAnsi="Times New Roman" w:cs="Times New Roman"/>
          <w:i/>
          <w:iCs/>
          <w:sz w:val="26"/>
          <w:szCs w:val="26"/>
        </w:rPr>
        <w:t>General Principles</w:t>
      </w:r>
    </w:p>
    <w:p w:rsidR="00AD0398" w:rsidRPr="00F976E0" w:rsidP="000B1982" w14:paraId="03D71E91" w14:textId="160EA628">
      <w:pPr>
        <w:spacing w:after="0" w:line="480" w:lineRule="atLeast"/>
        <w:ind w:firstLine="1440"/>
        <w:rPr>
          <w:rFonts w:ascii="Times New Roman" w:eastAsia="Times New Roman" w:hAnsi="Times New Roman" w:cs="Times New Roman"/>
          <w:kern w:val="0"/>
          <w:sz w:val="26"/>
          <w:szCs w:val="26"/>
          <w14:ligatures w14:val="none"/>
        </w:rPr>
      </w:pPr>
      <w:r w:rsidRPr="003236E8">
        <w:rPr>
          <w:rFonts w:ascii="Times New Roman" w:hAnsi="Times New Roman" w:cs="Times New Roman"/>
          <w:sz w:val="26"/>
          <w:szCs w:val="26"/>
          <w:shd w:val="clear" w:color="auto" w:fill="FFFFFF"/>
        </w:rPr>
        <w:t xml:space="preserve">California law, like the Federal Arbitration Act, “reflects a strong policy favoring arbitration agreements.” </w:t>
      </w:r>
      <w:r w:rsidRPr="003236E8" w:rsidR="00744129">
        <w:rPr>
          <w:rFonts w:ascii="Times New Roman" w:hAnsi="Times New Roman" w:cs="Times New Roman"/>
          <w:sz w:val="26"/>
          <w:szCs w:val="26"/>
          <w:shd w:val="clear" w:color="auto" w:fill="FFFFFF"/>
        </w:rPr>
        <w:t xml:space="preserve"> </w:t>
      </w:r>
      <w:r w:rsidRPr="003236E8">
        <w:rPr>
          <w:rFonts w:ascii="Times New Roman" w:hAnsi="Times New Roman" w:cs="Times New Roman"/>
          <w:sz w:val="26"/>
          <w:szCs w:val="26"/>
          <w:shd w:val="clear" w:color="auto" w:fill="FFFFFF"/>
        </w:rPr>
        <w:t>(</w:t>
      </w:r>
      <w:bookmarkStart w:id="8" w:name="dabmci_dda3ad7a293744c49311dc7b33845509"/>
      <w:hyperlink r:id="rId6" w:anchor="co_pp_sp_4040_1195" w:history="1">
        <w:r w:rsidRPr="009A4A26">
          <w:rPr>
            <w:rStyle w:val="Emphasis"/>
            <w:rFonts w:ascii="Times New Roman" w:hAnsi="Times New Roman" w:cs="Times New Roman"/>
            <w:sz w:val="26"/>
            <w:szCs w:val="26"/>
            <w:bdr w:val="none" w:sz="0" w:space="0" w:color="auto" w:frame="1"/>
            <w:shd w:val="clear" w:color="auto" w:fill="FFFFFF"/>
          </w:rPr>
          <w:t>St. Agnes Medical Center v. PacifiCare of Californi</w:t>
        </w:r>
        <w:r w:rsidRPr="009A4A26" w:rsidR="00744129">
          <w:rPr>
            <w:rStyle w:val="Emphasis"/>
            <w:rFonts w:ascii="Times New Roman" w:hAnsi="Times New Roman" w:cs="Times New Roman"/>
            <w:sz w:val="26"/>
            <w:szCs w:val="26"/>
            <w:bdr w:val="none" w:sz="0" w:space="0" w:color="auto" w:frame="1"/>
            <w:shd w:val="clear" w:color="auto" w:fill="FFFFFF"/>
          </w:rPr>
          <w:t xml:space="preserve">a </w:t>
        </w:r>
        <w:r w:rsidRPr="009A4A26">
          <w:rPr>
            <w:rStyle w:val="Hyperlink"/>
            <w:rFonts w:ascii="Times New Roman" w:hAnsi="Times New Roman" w:cs="Times New Roman"/>
            <w:color w:val="auto"/>
            <w:sz w:val="26"/>
            <w:szCs w:val="26"/>
            <w:u w:val="none"/>
            <w:bdr w:val="none" w:sz="0" w:space="0" w:color="auto" w:frame="1"/>
            <w:shd w:val="clear" w:color="auto" w:fill="FFFFFF"/>
          </w:rPr>
          <w:t>(2003) 31 Cal.4th 1187, 1195</w:t>
        </w:r>
      </w:hyperlink>
      <w:r w:rsidRPr="009A4A26">
        <w:rPr>
          <w:rFonts w:ascii="Times New Roman" w:hAnsi="Times New Roman" w:cs="Times New Roman"/>
          <w:sz w:val="26"/>
          <w:szCs w:val="26"/>
          <w:shd w:val="clear" w:color="auto" w:fill="FFFFFF"/>
        </w:rPr>
        <w:t> (</w:t>
      </w:r>
      <w:r w:rsidRPr="009A4A26">
        <w:rPr>
          <w:rStyle w:val="Emphasis"/>
          <w:rFonts w:ascii="Times New Roman" w:hAnsi="Times New Roman" w:cs="Times New Roman"/>
          <w:sz w:val="26"/>
          <w:szCs w:val="26"/>
          <w:bdr w:val="none" w:sz="0" w:space="0" w:color="auto" w:frame="1"/>
          <w:shd w:val="clear" w:color="auto" w:fill="FFFFFF"/>
        </w:rPr>
        <w:t>St. Agnes</w:t>
      </w:r>
      <w:r w:rsidRPr="009A4A26">
        <w:rPr>
          <w:rFonts w:ascii="Times New Roman" w:hAnsi="Times New Roman" w:cs="Times New Roman"/>
          <w:sz w:val="26"/>
          <w:szCs w:val="26"/>
          <w:shd w:val="clear" w:color="auto" w:fill="FFFFFF"/>
        </w:rPr>
        <w:t>)</w:t>
      </w:r>
      <w:bookmarkEnd w:id="8"/>
      <w:r w:rsidRPr="009A4A26">
        <w:rPr>
          <w:rFonts w:ascii="Times New Roman" w:hAnsi="Times New Roman" w:cs="Times New Roman"/>
          <w:sz w:val="26"/>
          <w:szCs w:val="26"/>
          <w:shd w:val="clear" w:color="auto" w:fill="FFFFFF"/>
        </w:rPr>
        <w:t>.)</w:t>
      </w:r>
      <w:r w:rsidRPr="009A4A26" w:rsidR="00744129">
        <w:rPr>
          <w:rFonts w:ascii="Times New Roman" w:hAnsi="Times New Roman" w:cs="Times New Roman"/>
          <w:sz w:val="26"/>
          <w:szCs w:val="26"/>
          <w:shd w:val="clear" w:color="auto" w:fill="FFFFFF"/>
        </w:rPr>
        <w:t xml:space="preserve">  </w:t>
      </w:r>
      <w:r w:rsidR="008016B7">
        <w:rPr>
          <w:rFonts w:ascii="Times New Roman" w:hAnsi="Times New Roman" w:cs="Times New Roman"/>
          <w:sz w:val="26"/>
          <w:szCs w:val="26"/>
        </w:rPr>
        <w:t>“The</w:t>
      </w:r>
      <w:r w:rsidRPr="009A4A26" w:rsidR="003E7A5D">
        <w:rPr>
          <w:rFonts w:ascii="Times New Roman" w:hAnsi="Times New Roman" w:cs="Times New Roman"/>
          <w:sz w:val="26"/>
          <w:szCs w:val="26"/>
        </w:rPr>
        <w:t xml:space="preserve"> party seeking arbitration bears the burden of proving the existence of an arbitration agreement, and the party opposing arbitration </w:t>
      </w:r>
      <w:r w:rsidR="00FA5AC6">
        <w:rPr>
          <w:rFonts w:ascii="Times New Roman" w:hAnsi="Times New Roman" w:cs="Times New Roman"/>
          <w:sz w:val="26"/>
          <w:szCs w:val="26"/>
        </w:rPr>
        <w:t xml:space="preserve">bears the burden of proving </w:t>
      </w:r>
      <w:r w:rsidRPr="009A4A26" w:rsidR="003E7A5D">
        <w:rPr>
          <w:rFonts w:ascii="Times New Roman" w:hAnsi="Times New Roman" w:cs="Times New Roman"/>
          <w:sz w:val="26"/>
          <w:szCs w:val="26"/>
        </w:rPr>
        <w:t>any defense.</w:t>
      </w:r>
      <w:r w:rsidR="008016B7">
        <w:rPr>
          <w:rFonts w:ascii="Times New Roman" w:hAnsi="Times New Roman" w:cs="Times New Roman"/>
          <w:sz w:val="26"/>
          <w:szCs w:val="26"/>
        </w:rPr>
        <w:t>”</w:t>
      </w:r>
      <w:r w:rsidRPr="009A4A26" w:rsidR="003E7A5D">
        <w:rPr>
          <w:rFonts w:ascii="Times New Roman" w:hAnsi="Times New Roman" w:cs="Times New Roman"/>
          <w:sz w:val="26"/>
          <w:szCs w:val="26"/>
        </w:rPr>
        <w:t xml:space="preserve"> </w:t>
      </w:r>
      <w:r w:rsidRPr="009A4A26" w:rsidR="00744129">
        <w:rPr>
          <w:rFonts w:ascii="Times New Roman" w:hAnsi="Times New Roman" w:cs="Times New Roman"/>
          <w:sz w:val="26"/>
          <w:szCs w:val="26"/>
        </w:rPr>
        <w:t xml:space="preserve"> </w:t>
      </w:r>
      <w:r w:rsidRPr="009A4A26" w:rsidR="003E7A5D">
        <w:rPr>
          <w:rFonts w:ascii="Times New Roman" w:hAnsi="Times New Roman" w:cs="Times New Roman"/>
          <w:sz w:val="26"/>
          <w:szCs w:val="26"/>
        </w:rPr>
        <w:t>(</w:t>
      </w:r>
      <w:bookmarkStart w:id="9" w:name="dabmci_15b226f5bad14df28ff97e3cfd3ad2d5"/>
      <w:r w:rsidRPr="009A4A26" w:rsidR="003E7A5D">
        <w:rPr>
          <w:rFonts w:ascii="Times New Roman" w:hAnsi="Times New Roman" w:cs="Times New Roman"/>
          <w:i/>
          <w:iCs/>
          <w:sz w:val="26"/>
          <w:szCs w:val="26"/>
        </w:rPr>
        <w:t>Pinnacle Museum Tower Assn. v. Pinnacle Market Development (US), LLC</w:t>
      </w:r>
      <w:r w:rsidRPr="009A4A26" w:rsidR="003E7A5D">
        <w:rPr>
          <w:rFonts w:ascii="Times New Roman" w:hAnsi="Times New Roman" w:cs="Times New Roman"/>
          <w:sz w:val="26"/>
          <w:szCs w:val="26"/>
        </w:rPr>
        <w:t xml:space="preserve"> (2012) 55 Cal.</w:t>
      </w:r>
      <w:r w:rsidRPr="00F976E0" w:rsidR="003E7A5D">
        <w:rPr>
          <w:rFonts w:ascii="Times New Roman" w:hAnsi="Times New Roman" w:cs="Times New Roman"/>
          <w:sz w:val="26"/>
          <w:szCs w:val="26"/>
        </w:rPr>
        <w:t>4th 223, 236</w:t>
      </w:r>
      <w:bookmarkEnd w:id="9"/>
      <w:r w:rsidRPr="00F976E0" w:rsidR="00744129">
        <w:rPr>
          <w:rFonts w:ascii="Times New Roman" w:hAnsi="Times New Roman" w:cs="Times New Roman"/>
          <w:sz w:val="26"/>
          <w:szCs w:val="26"/>
        </w:rPr>
        <w:t>.)</w:t>
      </w:r>
    </w:p>
    <w:p w:rsidR="00061BEB" w:rsidRPr="00F54CC6" w:rsidP="000B1982" w14:paraId="09C36D28" w14:textId="60FB6345">
      <w:pPr>
        <w:spacing w:after="0" w:line="480" w:lineRule="atLeast"/>
        <w:ind w:firstLine="1440"/>
        <w:rPr>
          <w:rFonts w:ascii="Times New Roman" w:hAnsi="Times New Roman" w:cs="Times New Roman"/>
          <w:sz w:val="26"/>
          <w:szCs w:val="26"/>
        </w:rPr>
      </w:pPr>
      <w:r w:rsidRPr="00F976E0">
        <w:rPr>
          <w:rFonts w:ascii="Times New Roman" w:hAnsi="Times New Roman" w:cs="Times New Roman"/>
          <w:sz w:val="26"/>
          <w:szCs w:val="26"/>
        </w:rPr>
        <w:t>Waiver is one such defense to arbitration.</w:t>
      </w:r>
      <w:r w:rsidRPr="00F976E0" w:rsidR="00744129">
        <w:rPr>
          <w:rFonts w:ascii="Times New Roman" w:hAnsi="Times New Roman" w:cs="Times New Roman"/>
          <w:sz w:val="26"/>
          <w:szCs w:val="26"/>
        </w:rPr>
        <w:t xml:space="preserve"> </w:t>
      </w:r>
      <w:r w:rsidRPr="00F976E0">
        <w:rPr>
          <w:rFonts w:ascii="Times New Roman" w:hAnsi="Times New Roman" w:cs="Times New Roman"/>
          <w:sz w:val="26"/>
          <w:szCs w:val="26"/>
        </w:rPr>
        <w:t xml:space="preserve"> </w:t>
      </w:r>
      <w:r w:rsidRPr="00F976E0">
        <w:rPr>
          <w:rFonts w:ascii="Times New Roman" w:hAnsi="Times New Roman" w:cs="Times New Roman"/>
          <w:sz w:val="26"/>
          <w:szCs w:val="26"/>
          <w:shd w:val="clear" w:color="auto" w:fill="FFFFFF"/>
        </w:rPr>
        <w:t>“Although a court may deny a petition to compel arbitration on the ground of waiver [</w:t>
      </w:r>
      <w:r w:rsidRPr="00F976E0" w:rsidR="008A37CB">
        <w:rPr>
          <w:rFonts w:ascii="Times New Roman" w:hAnsi="Times New Roman" w:cs="Times New Roman"/>
          <w:sz w:val="26"/>
          <w:szCs w:val="26"/>
          <w:shd w:val="clear" w:color="auto" w:fill="FFFFFF"/>
        </w:rPr>
        <w:t>citation]</w:t>
      </w:r>
      <w:r w:rsidRPr="00F976E0">
        <w:rPr>
          <w:rFonts w:ascii="Times New Roman" w:hAnsi="Times New Roman" w:cs="Times New Roman"/>
          <w:sz w:val="26"/>
          <w:szCs w:val="26"/>
          <w:shd w:val="clear" w:color="auto" w:fill="FFFFFF"/>
        </w:rPr>
        <w:t xml:space="preserve">, waivers are not to be lightly inferred and the party seeking to establish a waiver bears a heavy burden of proof.” </w:t>
      </w:r>
      <w:r w:rsidRPr="00F976E0" w:rsidR="007E31F2">
        <w:rPr>
          <w:rFonts w:ascii="Times New Roman" w:hAnsi="Times New Roman" w:cs="Times New Roman"/>
          <w:sz w:val="26"/>
          <w:szCs w:val="26"/>
          <w:shd w:val="clear" w:color="auto" w:fill="FFFFFF"/>
        </w:rPr>
        <w:t xml:space="preserve"> </w:t>
      </w:r>
      <w:r w:rsidRPr="00F976E0">
        <w:rPr>
          <w:rFonts w:ascii="Times New Roman" w:hAnsi="Times New Roman" w:cs="Times New Roman"/>
          <w:sz w:val="26"/>
          <w:szCs w:val="26"/>
          <w:shd w:val="clear" w:color="auto" w:fill="FFFFFF"/>
        </w:rPr>
        <w:t>(</w:t>
      </w:r>
      <w:bookmarkStart w:id="10" w:name="dabmci_355e62a4998d449a91126da61b652296"/>
      <w:r w:rsidRPr="00F976E0">
        <w:rPr>
          <w:rStyle w:val="Emphasis"/>
          <w:rFonts w:ascii="Times New Roman" w:hAnsi="Times New Roman" w:cs="Times New Roman"/>
          <w:sz w:val="26"/>
          <w:szCs w:val="26"/>
          <w:bdr w:val="none" w:sz="0" w:space="0" w:color="auto" w:frame="1"/>
          <w:shd w:val="clear" w:color="auto" w:fill="FFFFFF"/>
        </w:rPr>
        <w:t xml:space="preserve">St. </w:t>
      </w:r>
      <w:r w:rsidRPr="00F54CC6">
        <w:rPr>
          <w:rStyle w:val="Emphasis"/>
          <w:rFonts w:ascii="Times New Roman" w:hAnsi="Times New Roman" w:cs="Times New Roman"/>
          <w:sz w:val="26"/>
          <w:szCs w:val="26"/>
          <w:bdr w:val="none" w:sz="0" w:space="0" w:color="auto" w:frame="1"/>
          <w:shd w:val="clear" w:color="auto" w:fill="FFFFFF"/>
        </w:rPr>
        <w:t>Agnes</w:t>
      </w:r>
      <w:r w:rsidRPr="00F54CC6">
        <w:rPr>
          <w:rFonts w:ascii="Times New Roman" w:hAnsi="Times New Roman" w:cs="Times New Roman"/>
          <w:sz w:val="26"/>
          <w:szCs w:val="26"/>
          <w:shd w:val="clear" w:color="auto" w:fill="FFFFFF"/>
        </w:rPr>
        <w:t>, </w:t>
      </w:r>
      <w:r w:rsidRPr="00F54CC6">
        <w:rPr>
          <w:rStyle w:val="Emphasis"/>
          <w:rFonts w:ascii="Times New Roman" w:hAnsi="Times New Roman" w:cs="Times New Roman"/>
          <w:sz w:val="26"/>
          <w:szCs w:val="26"/>
          <w:bdr w:val="none" w:sz="0" w:space="0" w:color="auto" w:frame="1"/>
          <w:shd w:val="clear" w:color="auto" w:fill="FFFFFF"/>
        </w:rPr>
        <w:t>supra</w:t>
      </w:r>
      <w:r w:rsidRPr="00F54CC6">
        <w:rPr>
          <w:rFonts w:ascii="Times New Roman" w:hAnsi="Times New Roman" w:cs="Times New Roman"/>
          <w:sz w:val="26"/>
          <w:szCs w:val="26"/>
          <w:shd w:val="clear" w:color="auto" w:fill="FFFFFF"/>
        </w:rPr>
        <w:t xml:space="preserve">, </w:t>
      </w:r>
      <w:r w:rsidRPr="00F54CC6" w:rsidR="00915309">
        <w:rPr>
          <w:rFonts w:ascii="Times New Roman" w:hAnsi="Times New Roman" w:cs="Times New Roman"/>
          <w:sz w:val="26"/>
          <w:szCs w:val="26"/>
        </w:rPr>
        <w:t xml:space="preserve">31 Cal.4th at </w:t>
      </w:r>
      <w:r w:rsidRPr="00F54CC6">
        <w:rPr>
          <w:rFonts w:ascii="Times New Roman" w:hAnsi="Times New Roman" w:cs="Times New Roman"/>
          <w:sz w:val="26"/>
          <w:szCs w:val="26"/>
          <w:shd w:val="clear" w:color="auto" w:fill="FFFFFF"/>
        </w:rPr>
        <w:t>p. 1195</w:t>
      </w:r>
      <w:bookmarkEnd w:id="10"/>
      <w:r w:rsidRPr="00F54CC6" w:rsidR="008A37CB">
        <w:rPr>
          <w:rFonts w:ascii="Times New Roman" w:hAnsi="Times New Roman" w:cs="Times New Roman"/>
          <w:sz w:val="26"/>
          <w:szCs w:val="26"/>
          <w:shd w:val="clear" w:color="auto" w:fill="FFFFFF"/>
        </w:rPr>
        <w:t>; see Code Civ. Proc., § 1281.2, subd.</w:t>
      </w:r>
      <w:r w:rsidR="008016B7">
        <w:rPr>
          <w:rFonts w:ascii="Times New Roman" w:hAnsi="Times New Roman" w:cs="Times New Roman"/>
          <w:sz w:val="26"/>
          <w:szCs w:val="26"/>
          <w:shd w:val="clear" w:color="auto" w:fill="FFFFFF"/>
        </w:rPr>
        <w:t> </w:t>
      </w:r>
      <w:r w:rsidRPr="00F54CC6" w:rsidR="008A37CB">
        <w:rPr>
          <w:rFonts w:ascii="Times New Roman" w:hAnsi="Times New Roman" w:cs="Times New Roman"/>
          <w:sz w:val="26"/>
          <w:szCs w:val="26"/>
          <w:shd w:val="clear" w:color="auto" w:fill="FFFFFF"/>
        </w:rPr>
        <w:t>(a)</w:t>
      </w:r>
      <w:r w:rsidRPr="00F54CC6">
        <w:rPr>
          <w:rFonts w:ascii="Times New Roman" w:hAnsi="Times New Roman" w:cs="Times New Roman"/>
          <w:sz w:val="26"/>
          <w:szCs w:val="26"/>
          <w:shd w:val="clear" w:color="auto" w:fill="FFFFFF"/>
        </w:rPr>
        <w:t>.)</w:t>
      </w:r>
    </w:p>
    <w:p w:rsidR="00B72A08" w:rsidRPr="000713D6" w:rsidP="000B1982" w14:paraId="453BC056" w14:textId="2246ADDF">
      <w:pPr>
        <w:spacing w:after="0" w:line="480" w:lineRule="atLeast"/>
        <w:ind w:firstLine="1440"/>
        <w:rPr>
          <w:rFonts w:ascii="Times New Roman" w:hAnsi="Times New Roman" w:cs="Times New Roman"/>
          <w:sz w:val="26"/>
          <w:szCs w:val="26"/>
        </w:rPr>
      </w:pPr>
      <w:r w:rsidRPr="00F54CC6">
        <w:rPr>
          <w:rFonts w:ascii="Times New Roman" w:hAnsi="Times New Roman" w:cs="Times New Roman"/>
          <w:sz w:val="26"/>
          <w:szCs w:val="26"/>
        </w:rPr>
        <w:t>“</w:t>
      </w:r>
      <w:r w:rsidRPr="00F54CC6" w:rsidR="00392A30">
        <w:rPr>
          <w:rFonts w:ascii="Times New Roman" w:hAnsi="Times New Roman" w:cs="Times New Roman"/>
          <w:sz w:val="26"/>
          <w:szCs w:val="26"/>
        </w:rPr>
        <w:t>[T]</w:t>
      </w:r>
      <w:r w:rsidRPr="00F54CC6" w:rsidR="00F976E0">
        <w:rPr>
          <w:rFonts w:ascii="Times New Roman" w:hAnsi="Times New Roman" w:cs="Times New Roman"/>
          <w:sz w:val="26"/>
          <w:szCs w:val="26"/>
        </w:rPr>
        <w:t xml:space="preserve">he term </w:t>
      </w:r>
      <w:r w:rsidRPr="00F54CC6">
        <w:rPr>
          <w:rFonts w:ascii="Times New Roman" w:hAnsi="Times New Roman" w:cs="Times New Roman"/>
          <w:sz w:val="26"/>
          <w:szCs w:val="26"/>
        </w:rPr>
        <w:t>‘waiver’ has a number of meanings in statute and case law</w:t>
      </w:r>
      <w:r w:rsidRPr="00F54CC6" w:rsidR="00553C86">
        <w:rPr>
          <w:rFonts w:ascii="Times New Roman" w:hAnsi="Times New Roman" w:cs="Times New Roman"/>
          <w:sz w:val="26"/>
          <w:szCs w:val="26"/>
        </w:rPr>
        <w:t>.  [Citation.]  While ‘waiver’ generally denotes the voluntary relinquishment of a known right, it can also refer to the loss of a right as a result of a party</w:t>
      </w:r>
      <w:r w:rsidRPr="00F54CC6" w:rsidR="00392A30">
        <w:rPr>
          <w:rFonts w:ascii="Times New Roman" w:hAnsi="Times New Roman" w:cs="Times New Roman"/>
          <w:sz w:val="26"/>
          <w:szCs w:val="26"/>
        </w:rPr>
        <w:t>’</w:t>
      </w:r>
      <w:r w:rsidRPr="00F54CC6" w:rsidR="00553C86">
        <w:rPr>
          <w:rFonts w:ascii="Times New Roman" w:hAnsi="Times New Roman" w:cs="Times New Roman"/>
          <w:sz w:val="26"/>
          <w:szCs w:val="26"/>
        </w:rPr>
        <w:t>s failure to perform an act it is required to perform, regardless of the party</w:t>
      </w:r>
      <w:r w:rsidR="0012733E">
        <w:rPr>
          <w:rFonts w:ascii="Times New Roman" w:hAnsi="Times New Roman" w:cs="Times New Roman"/>
          <w:sz w:val="26"/>
          <w:szCs w:val="26"/>
        </w:rPr>
        <w:t>’</w:t>
      </w:r>
      <w:r w:rsidRPr="00F54CC6" w:rsidR="00553C86">
        <w:rPr>
          <w:rFonts w:ascii="Times New Roman" w:hAnsi="Times New Roman" w:cs="Times New Roman"/>
          <w:sz w:val="26"/>
          <w:szCs w:val="26"/>
        </w:rPr>
        <w:t>s intent to relinquish the right.  [Citations.]</w:t>
      </w:r>
      <w:r w:rsidRPr="00F54CC6" w:rsidR="00392A30">
        <w:rPr>
          <w:rFonts w:ascii="Times New Roman" w:hAnsi="Times New Roman" w:cs="Times New Roman"/>
          <w:sz w:val="26"/>
          <w:szCs w:val="26"/>
        </w:rPr>
        <w:t xml:space="preserve"> </w:t>
      </w:r>
      <w:r w:rsidRPr="00F54CC6" w:rsidR="00553C86">
        <w:rPr>
          <w:rFonts w:ascii="Times New Roman" w:hAnsi="Times New Roman" w:cs="Times New Roman"/>
          <w:sz w:val="26"/>
          <w:szCs w:val="26"/>
        </w:rPr>
        <w:t xml:space="preserve"> In the arbitration context, </w:t>
      </w:r>
      <w:r w:rsidRPr="00F54CC6" w:rsidR="00392A30">
        <w:rPr>
          <w:rFonts w:ascii="Times New Roman" w:hAnsi="Times New Roman" w:cs="Times New Roman"/>
          <w:sz w:val="26"/>
          <w:szCs w:val="26"/>
        </w:rPr>
        <w:t>‘</w:t>
      </w:r>
      <w:r w:rsidRPr="00F54CC6" w:rsidR="00553C86">
        <w:rPr>
          <w:rFonts w:ascii="Times New Roman" w:hAnsi="Times New Roman" w:cs="Times New Roman"/>
          <w:sz w:val="26"/>
          <w:szCs w:val="26"/>
        </w:rPr>
        <w:t xml:space="preserve">[t]he term </w:t>
      </w:r>
      <w:r w:rsidRPr="00F54CC6" w:rsidR="00392A30">
        <w:rPr>
          <w:rFonts w:ascii="Times New Roman" w:hAnsi="Times New Roman" w:cs="Times New Roman"/>
          <w:sz w:val="26"/>
          <w:szCs w:val="26"/>
        </w:rPr>
        <w:t>“</w:t>
      </w:r>
      <w:r w:rsidRPr="00F54CC6" w:rsidR="00553C86">
        <w:rPr>
          <w:rFonts w:ascii="Times New Roman" w:hAnsi="Times New Roman" w:cs="Times New Roman"/>
          <w:sz w:val="26"/>
          <w:szCs w:val="26"/>
        </w:rPr>
        <w:t>waiver</w:t>
      </w:r>
      <w:r w:rsidRPr="00F54CC6" w:rsidR="00392A30">
        <w:rPr>
          <w:rFonts w:ascii="Times New Roman" w:hAnsi="Times New Roman" w:cs="Times New Roman"/>
          <w:sz w:val="26"/>
          <w:szCs w:val="26"/>
        </w:rPr>
        <w:t>”</w:t>
      </w:r>
      <w:r w:rsidRPr="00F54CC6" w:rsidR="00553C86">
        <w:rPr>
          <w:rFonts w:ascii="Times New Roman" w:hAnsi="Times New Roman" w:cs="Times New Roman"/>
          <w:sz w:val="26"/>
          <w:szCs w:val="26"/>
        </w:rPr>
        <w:t xml:space="preserve"> has also been used as a shorthand statement for the conclusion that a contractual right to arbitration has been lost.</w:t>
      </w:r>
      <w:r w:rsidRPr="00F54CC6" w:rsidR="00F54CC6">
        <w:rPr>
          <w:rFonts w:ascii="Times New Roman" w:hAnsi="Times New Roman" w:cs="Times New Roman"/>
          <w:sz w:val="26"/>
          <w:szCs w:val="26"/>
        </w:rPr>
        <w:t>’</w:t>
      </w:r>
      <w:r w:rsidRPr="00F54CC6" w:rsidR="00553C86">
        <w:rPr>
          <w:rFonts w:ascii="Times New Roman" w:hAnsi="Times New Roman" w:cs="Times New Roman"/>
          <w:sz w:val="26"/>
          <w:szCs w:val="26"/>
        </w:rPr>
        <w:t xml:space="preserve">” </w:t>
      </w:r>
      <w:r w:rsidRPr="00F54CC6" w:rsidR="00744129">
        <w:rPr>
          <w:rFonts w:ascii="Times New Roman" w:hAnsi="Times New Roman" w:cs="Times New Roman"/>
          <w:sz w:val="26"/>
          <w:szCs w:val="26"/>
        </w:rPr>
        <w:t xml:space="preserve"> </w:t>
      </w:r>
      <w:r w:rsidRPr="00F54CC6">
        <w:rPr>
          <w:rFonts w:ascii="Times New Roman" w:hAnsi="Times New Roman" w:cs="Times New Roman"/>
          <w:sz w:val="26"/>
          <w:szCs w:val="26"/>
        </w:rPr>
        <w:t>(</w:t>
      </w:r>
      <w:bookmarkStart w:id="11" w:name="dabmci_7b6784dd97424d7f8d357d812588ddac"/>
      <w:r w:rsidRPr="00F54CC6" w:rsidR="00744129">
        <w:rPr>
          <w:rFonts w:ascii="Times New Roman" w:hAnsi="Times New Roman" w:cs="Times New Roman"/>
          <w:i/>
          <w:iCs/>
          <w:sz w:val="26"/>
          <w:szCs w:val="26"/>
        </w:rPr>
        <w:t xml:space="preserve">St. </w:t>
      </w:r>
      <w:r w:rsidRPr="00F54CC6" w:rsidR="00061BEB">
        <w:rPr>
          <w:rFonts w:ascii="Times New Roman" w:hAnsi="Times New Roman" w:cs="Times New Roman"/>
          <w:i/>
          <w:iCs/>
          <w:sz w:val="26"/>
          <w:szCs w:val="26"/>
        </w:rPr>
        <w:t>Agnes</w:t>
      </w:r>
      <w:r w:rsidRPr="00F54CC6" w:rsidR="00F90B41">
        <w:rPr>
          <w:rFonts w:ascii="Times New Roman" w:hAnsi="Times New Roman" w:cs="Times New Roman"/>
          <w:i/>
          <w:iCs/>
          <w:sz w:val="26"/>
          <w:szCs w:val="26"/>
        </w:rPr>
        <w:t>, supra,</w:t>
      </w:r>
      <w:r w:rsidRPr="00F54CC6" w:rsidR="00F90B41">
        <w:rPr>
          <w:rFonts w:ascii="Times New Roman" w:hAnsi="Times New Roman" w:cs="Times New Roman"/>
          <w:sz w:val="26"/>
          <w:szCs w:val="26"/>
        </w:rPr>
        <w:t xml:space="preserve"> 31 Cal.</w:t>
      </w:r>
      <w:r w:rsidRPr="000713D6" w:rsidR="00F90B41">
        <w:rPr>
          <w:rFonts w:ascii="Times New Roman" w:hAnsi="Times New Roman" w:cs="Times New Roman"/>
          <w:sz w:val="26"/>
          <w:szCs w:val="26"/>
        </w:rPr>
        <w:t>4th</w:t>
      </w:r>
      <w:r w:rsidRPr="000713D6">
        <w:rPr>
          <w:rFonts w:ascii="Times New Roman" w:hAnsi="Times New Roman" w:cs="Times New Roman"/>
          <w:sz w:val="26"/>
          <w:szCs w:val="26"/>
        </w:rPr>
        <w:t xml:space="preserve"> at p. 1195, fn. 4</w:t>
      </w:r>
      <w:bookmarkEnd w:id="11"/>
      <w:r w:rsidRPr="000713D6">
        <w:rPr>
          <w:rFonts w:ascii="Times New Roman" w:hAnsi="Times New Roman" w:cs="Times New Roman"/>
          <w:sz w:val="26"/>
          <w:szCs w:val="26"/>
        </w:rPr>
        <w:t>.)</w:t>
      </w:r>
    </w:p>
    <w:p w:rsidR="00061BEB" w:rsidRPr="00FA1C9C" w:rsidP="000B1982" w14:paraId="663FB4CA" w14:textId="6A59684A">
      <w:pPr>
        <w:shd w:val="clear" w:color="auto" w:fill="FFFFFF"/>
        <w:spacing w:after="0" w:line="480" w:lineRule="atLeast"/>
        <w:ind w:firstLine="1440"/>
        <w:rPr>
          <w:rFonts w:ascii="Times New Roman" w:eastAsia="Times New Roman" w:hAnsi="Times New Roman" w:cs="Times New Roman"/>
          <w:kern w:val="0"/>
          <w:sz w:val="26"/>
          <w:szCs w:val="26"/>
          <w14:ligatures w14:val="none"/>
        </w:rPr>
      </w:pPr>
      <w:r w:rsidRPr="00C52984">
        <w:rPr>
          <w:rFonts w:ascii="Times New Roman" w:hAnsi="Times New Roman" w:cs="Times New Roman"/>
          <w:sz w:val="26"/>
          <w:szCs w:val="26"/>
        </w:rPr>
        <w:t>“‘“California courts have found a waiver of the right to demand arbitration in a variety of contexts</w:t>
      </w:r>
      <w:r>
        <w:rPr>
          <w:rFonts w:ascii="Times New Roman" w:hAnsi="Times New Roman" w:cs="Times New Roman"/>
          <w:sz w:val="26"/>
          <w:szCs w:val="26"/>
        </w:rPr>
        <w:t xml:space="preserve">”’” </w:t>
      </w:r>
      <w:r w:rsidRPr="000713D6" w:rsidR="008016B7">
        <w:rPr>
          <w:rFonts w:ascii="Times New Roman" w:eastAsia="Times New Roman" w:hAnsi="Times New Roman" w:cs="Times New Roman"/>
          <w:kern w:val="0"/>
          <w:sz w:val="26"/>
          <w:szCs w:val="26"/>
          <w14:ligatures w14:val="none"/>
        </w:rPr>
        <w:t>(</w:t>
      </w:r>
      <w:bookmarkStart w:id="12" w:name="dabmci_34b6472d230a45dea0e19f6d9896a780"/>
      <w:r w:rsidRPr="000713D6" w:rsidR="008016B7">
        <w:rPr>
          <w:rFonts w:ascii="Times New Roman" w:eastAsia="Times New Roman" w:hAnsi="Times New Roman" w:cs="Times New Roman"/>
          <w:i/>
          <w:iCs/>
          <w:kern w:val="0"/>
          <w:sz w:val="26"/>
          <w:szCs w:val="26"/>
          <w:bdr w:val="none" w:sz="0" w:space="0" w:color="auto" w:frame="1"/>
          <w14:ligatures w14:val="none"/>
        </w:rPr>
        <w:t>St. Agnes, supra</w:t>
      </w:r>
      <w:r w:rsidRPr="000713D6" w:rsidR="008016B7">
        <w:rPr>
          <w:rFonts w:ascii="Times New Roman" w:eastAsia="Times New Roman" w:hAnsi="Times New Roman" w:cs="Times New Roman"/>
          <w:kern w:val="0"/>
          <w:sz w:val="26"/>
          <w:szCs w:val="26"/>
          <w14:ligatures w14:val="none"/>
        </w:rPr>
        <w:t>, 31 Cal.4th at p</w:t>
      </w:r>
      <w:r w:rsidR="008016B7">
        <w:rPr>
          <w:rFonts w:ascii="Times New Roman" w:eastAsia="Times New Roman" w:hAnsi="Times New Roman" w:cs="Times New Roman"/>
          <w:kern w:val="0"/>
          <w:sz w:val="26"/>
          <w:szCs w:val="26"/>
          <w14:ligatures w14:val="none"/>
        </w:rPr>
        <w:t>. 1196</w:t>
      </w:r>
      <w:bookmarkEnd w:id="12"/>
      <w:r w:rsidRPr="000713D6" w:rsidR="008016B7">
        <w:rPr>
          <w:rFonts w:ascii="Times New Roman" w:eastAsia="Times New Roman" w:hAnsi="Times New Roman" w:cs="Times New Roman"/>
          <w:kern w:val="0"/>
          <w:sz w:val="26"/>
          <w:szCs w:val="26"/>
          <w14:ligatures w14:val="none"/>
        </w:rPr>
        <w:t>)</w:t>
      </w:r>
      <w:r w:rsidR="008016B7">
        <w:rPr>
          <w:rFonts w:ascii="Times New Roman" w:eastAsia="Times New Roman" w:hAnsi="Times New Roman" w:cs="Times New Roman"/>
          <w:kern w:val="0"/>
          <w:sz w:val="26"/>
          <w:szCs w:val="26"/>
          <w14:ligatures w14:val="none"/>
        </w:rPr>
        <w:t xml:space="preserve">, </w:t>
      </w:r>
      <w:r>
        <w:rPr>
          <w:rFonts w:ascii="Times New Roman" w:hAnsi="Times New Roman" w:cs="Times New Roman"/>
          <w:sz w:val="26"/>
          <w:szCs w:val="26"/>
        </w:rPr>
        <w:t xml:space="preserve">and </w:t>
      </w:r>
      <w:r w:rsidRPr="000713D6" w:rsidR="00744129">
        <w:rPr>
          <w:rFonts w:ascii="Times New Roman" w:hAnsi="Times New Roman" w:cs="Times New Roman"/>
          <w:sz w:val="26"/>
          <w:szCs w:val="26"/>
        </w:rPr>
        <w:t>“</w:t>
      </w:r>
      <w:r>
        <w:rPr>
          <w:rFonts w:ascii="Times New Roman" w:hAnsi="Times New Roman" w:cs="Times New Roman"/>
          <w:sz w:val="26"/>
          <w:szCs w:val="26"/>
        </w:rPr>
        <w:t>n</w:t>
      </w:r>
      <w:r w:rsidRPr="000713D6" w:rsidR="00744129">
        <w:rPr>
          <w:rFonts w:ascii="Times New Roman" w:hAnsi="Times New Roman" w:cs="Times New Roman"/>
          <w:sz w:val="26"/>
          <w:szCs w:val="26"/>
        </w:rPr>
        <w:t>o single test delineates the nature of the conduct that will constitute a waiver of arbitration”</w:t>
      </w:r>
      <w:r>
        <w:rPr>
          <w:rFonts w:ascii="Times New Roman" w:hAnsi="Times New Roman" w:cs="Times New Roman"/>
          <w:sz w:val="26"/>
          <w:szCs w:val="26"/>
        </w:rPr>
        <w:t xml:space="preserve"> </w:t>
      </w:r>
      <w:r w:rsidRPr="000713D6" w:rsidR="00B72A08">
        <w:rPr>
          <w:rFonts w:ascii="Times New Roman" w:eastAsia="Times New Roman" w:hAnsi="Times New Roman" w:cs="Times New Roman"/>
          <w:kern w:val="0"/>
          <w:sz w:val="26"/>
          <w:szCs w:val="26"/>
          <w14:ligatures w14:val="none"/>
        </w:rPr>
        <w:t>(</w:t>
      </w:r>
      <w:bookmarkStart w:id="13" w:name="dabmci_93b1cf6fa9f84b76b774adc778f4f52b"/>
      <w:r w:rsidR="008016B7">
        <w:rPr>
          <w:rFonts w:ascii="Times New Roman" w:eastAsia="Times New Roman" w:hAnsi="Times New Roman" w:cs="Times New Roman"/>
          <w:i/>
          <w:iCs/>
          <w:kern w:val="0"/>
          <w:sz w:val="26"/>
          <w:szCs w:val="26"/>
          <w:bdr w:val="none" w:sz="0" w:space="0" w:color="auto" w:frame="1"/>
          <w14:ligatures w14:val="none"/>
        </w:rPr>
        <w:t>id.</w:t>
      </w:r>
      <w:bookmarkEnd w:id="13"/>
      <w:r w:rsidRPr="008016B7" w:rsidR="00B72A08">
        <w:rPr>
          <w:rFonts w:ascii="Times New Roman" w:eastAsia="Times New Roman" w:hAnsi="Times New Roman" w:cs="Times New Roman"/>
          <w:kern w:val="0"/>
          <w:sz w:val="26"/>
          <w:szCs w:val="26"/>
          <w:bdr w:val="none" w:sz="0" w:space="0" w:color="auto" w:frame="1"/>
          <w14:ligatures w14:val="none"/>
        </w:rPr>
        <w:t xml:space="preserve"> </w:t>
      </w:r>
      <w:r w:rsidRPr="008016B7" w:rsidR="008016B7">
        <w:rPr>
          <w:rFonts w:ascii="Times New Roman" w:eastAsia="Times New Roman" w:hAnsi="Times New Roman" w:cs="Times New Roman"/>
          <w:kern w:val="0"/>
          <w:sz w:val="26"/>
          <w:szCs w:val="26"/>
          <w:bdr w:val="none" w:sz="0" w:space="0" w:color="auto" w:frame="1"/>
          <w14:ligatures w14:val="none"/>
        </w:rPr>
        <w:t>at p</w:t>
      </w:r>
      <w:r w:rsidR="004D1814">
        <w:rPr>
          <w:rFonts w:ascii="Times New Roman" w:eastAsia="Times New Roman" w:hAnsi="Times New Roman" w:cs="Times New Roman"/>
          <w:kern w:val="0"/>
          <w:sz w:val="26"/>
          <w:szCs w:val="26"/>
          <w:bdr w:val="none" w:sz="0" w:space="0" w:color="auto" w:frame="1"/>
          <w14:ligatures w14:val="none"/>
        </w:rPr>
        <w:t>.</w:t>
      </w:r>
      <w:r w:rsidR="00C23D60">
        <w:rPr>
          <w:rFonts w:ascii="Times New Roman" w:eastAsia="Times New Roman" w:hAnsi="Times New Roman" w:cs="Times New Roman"/>
          <w:kern w:val="0"/>
          <w:sz w:val="26"/>
          <w:szCs w:val="26"/>
          <w:bdr w:val="none" w:sz="0" w:space="0" w:color="auto" w:frame="1"/>
          <w14:ligatures w14:val="none"/>
        </w:rPr>
        <w:t> </w:t>
      </w:r>
      <w:r w:rsidRPr="008016B7" w:rsidR="008016B7">
        <w:rPr>
          <w:rFonts w:ascii="Times New Roman" w:eastAsia="Times New Roman" w:hAnsi="Times New Roman" w:cs="Times New Roman"/>
          <w:kern w:val="0"/>
          <w:sz w:val="26"/>
          <w:szCs w:val="26"/>
          <w:bdr w:val="none" w:sz="0" w:space="0" w:color="auto" w:frame="1"/>
          <w14:ligatures w14:val="none"/>
        </w:rPr>
        <w:t>1195</w:t>
      </w:r>
      <w:r w:rsidRPr="000713D6" w:rsidR="00B72A08">
        <w:rPr>
          <w:rFonts w:ascii="Times New Roman" w:eastAsia="Times New Roman" w:hAnsi="Times New Roman" w:cs="Times New Roman"/>
          <w:kern w:val="0"/>
          <w:sz w:val="26"/>
          <w:szCs w:val="26"/>
          <w14:ligatures w14:val="none"/>
        </w:rPr>
        <w:t>)</w:t>
      </w:r>
      <w:r w:rsidR="008016B7">
        <w:rPr>
          <w:rFonts w:ascii="Times New Roman" w:eastAsia="Times New Roman" w:hAnsi="Times New Roman" w:cs="Times New Roman"/>
          <w:kern w:val="0"/>
          <w:sz w:val="26"/>
          <w:szCs w:val="26"/>
          <w14:ligatures w14:val="none"/>
        </w:rPr>
        <w:t>.</w:t>
      </w:r>
      <w:r w:rsidRPr="000713D6" w:rsidR="00744129">
        <w:rPr>
          <w:rFonts w:ascii="Times New Roman" w:eastAsia="Times New Roman" w:hAnsi="Times New Roman" w:cs="Times New Roman"/>
          <w:kern w:val="0"/>
          <w:sz w:val="26"/>
          <w:szCs w:val="26"/>
          <w14:ligatures w14:val="none"/>
        </w:rPr>
        <w:t xml:space="preserve"> </w:t>
      </w:r>
      <w:r w:rsidRPr="000713D6" w:rsidR="00B72A08">
        <w:rPr>
          <w:rFonts w:ascii="Times New Roman" w:eastAsia="Times New Roman" w:hAnsi="Times New Roman" w:cs="Times New Roman"/>
          <w:kern w:val="0"/>
          <w:sz w:val="26"/>
          <w:szCs w:val="26"/>
          <w14:ligatures w14:val="none"/>
        </w:rPr>
        <w:t xml:space="preserve"> </w:t>
      </w:r>
      <w:r w:rsidRPr="000713D6" w:rsidR="00744129">
        <w:rPr>
          <w:rFonts w:ascii="Times New Roman" w:eastAsia="Times New Roman" w:hAnsi="Times New Roman" w:cs="Times New Roman"/>
          <w:kern w:val="0"/>
          <w:sz w:val="26"/>
          <w:szCs w:val="26"/>
          <w14:ligatures w14:val="none"/>
        </w:rPr>
        <w:t>However, six discretionary factors help guide a court’s waiver assessment</w:t>
      </w:r>
      <w:r w:rsidRPr="000713D6" w:rsidR="00B72A08">
        <w:rPr>
          <w:rFonts w:ascii="Times New Roman" w:eastAsia="Times New Roman" w:hAnsi="Times New Roman" w:cs="Times New Roman"/>
          <w:kern w:val="0"/>
          <w:sz w:val="26"/>
          <w:szCs w:val="26"/>
          <w14:ligatures w14:val="none"/>
        </w:rPr>
        <w:t xml:space="preserve">: </w:t>
      </w:r>
      <w:r w:rsidRPr="000713D6" w:rsidR="00744129">
        <w:rPr>
          <w:rFonts w:ascii="Times New Roman" w:eastAsia="Times New Roman" w:hAnsi="Times New Roman" w:cs="Times New Roman"/>
          <w:kern w:val="0"/>
          <w:sz w:val="26"/>
          <w:szCs w:val="26"/>
          <w14:ligatures w14:val="none"/>
        </w:rPr>
        <w:t xml:space="preserve"> </w:t>
      </w:r>
      <w:r w:rsidRPr="000713D6" w:rsidR="00B72A08">
        <w:rPr>
          <w:rFonts w:ascii="Times New Roman" w:eastAsia="Times New Roman" w:hAnsi="Times New Roman" w:cs="Times New Roman"/>
          <w:kern w:val="0"/>
          <w:sz w:val="26"/>
          <w:szCs w:val="26"/>
          <w14:ligatures w14:val="none"/>
        </w:rPr>
        <w:t>“‘“(1)</w:t>
      </w:r>
      <w:r w:rsidR="008016B7">
        <w:rPr>
          <w:rFonts w:ascii="Times New Roman" w:eastAsia="Times New Roman" w:hAnsi="Times New Roman" w:cs="Times New Roman"/>
          <w:kern w:val="0"/>
          <w:sz w:val="26"/>
          <w:szCs w:val="26"/>
          <w14:ligatures w14:val="none"/>
        </w:rPr>
        <w:t> </w:t>
      </w:r>
      <w:r w:rsidRPr="000713D6" w:rsidR="00B72A08">
        <w:rPr>
          <w:rFonts w:ascii="Times New Roman" w:eastAsia="Times New Roman" w:hAnsi="Times New Roman" w:cs="Times New Roman"/>
          <w:kern w:val="0"/>
          <w:sz w:val="26"/>
          <w:szCs w:val="26"/>
          <w14:ligatures w14:val="none"/>
        </w:rPr>
        <w:t>whether the party</w:t>
      </w:r>
      <w:r w:rsidRPr="000713D6" w:rsidR="00744129">
        <w:rPr>
          <w:rFonts w:ascii="Times New Roman" w:eastAsia="Times New Roman" w:hAnsi="Times New Roman" w:cs="Times New Roman"/>
          <w:kern w:val="0"/>
          <w:sz w:val="26"/>
          <w:szCs w:val="26"/>
          <w14:ligatures w14:val="none"/>
        </w:rPr>
        <w:t>’s</w:t>
      </w:r>
      <w:r w:rsidRPr="000713D6" w:rsidR="00B72A08">
        <w:rPr>
          <w:rFonts w:ascii="Times New Roman" w:eastAsia="Times New Roman" w:hAnsi="Times New Roman" w:cs="Times New Roman"/>
          <w:kern w:val="0"/>
          <w:sz w:val="26"/>
          <w:szCs w:val="26"/>
          <w14:ligatures w14:val="none"/>
        </w:rPr>
        <w:t xml:space="preserve"> actions are inconsistent with the right to arbitrate; (2) whether ‘the litigation machinery has been substantially invoked’ and the parties ‘were well into preparation of a lawsuit’ before the party notified the opposing party of an intent to arbitrate; (3) whether a party either requested arbitration enforcement close to the trial date or delayed for a long period before seeking a stay; (4) whether a defendant seeking arbitration filed a counterclaim without asking for a stay of the proceedings; (5) ‘whether important intervening steps [e.g., taking advantage of judicial discovery procedures not available in arbitration] had taken place’; and (6) whether the delay ‘affected, misled, or prejudiced’ the opposing party.”’”</w:t>
      </w:r>
      <w:r w:rsidRPr="000713D6" w:rsidR="00744129">
        <w:rPr>
          <w:rFonts w:ascii="Times New Roman" w:eastAsia="Times New Roman" w:hAnsi="Times New Roman" w:cs="Times New Roman"/>
          <w:kern w:val="0"/>
          <w:sz w:val="26"/>
          <w:szCs w:val="26"/>
          <w14:ligatures w14:val="none"/>
        </w:rPr>
        <w:t xml:space="preserve"> </w:t>
      </w:r>
      <w:r w:rsidRPr="000713D6" w:rsidR="00B72A08">
        <w:rPr>
          <w:rFonts w:ascii="Times New Roman" w:eastAsia="Times New Roman" w:hAnsi="Times New Roman" w:cs="Times New Roman"/>
          <w:kern w:val="0"/>
          <w:sz w:val="26"/>
          <w:szCs w:val="26"/>
          <w14:ligatures w14:val="none"/>
        </w:rPr>
        <w:t xml:space="preserve"> (</w:t>
      </w:r>
      <w:bookmarkStart w:id="14" w:name="dabmci_9c8cfb752b464b298ac23b2e8bc4c5d3"/>
      <w:r w:rsidRPr="000713D6" w:rsidR="00F90B41">
        <w:rPr>
          <w:rFonts w:ascii="Times New Roman" w:eastAsia="Times New Roman" w:hAnsi="Times New Roman" w:cs="Times New Roman"/>
          <w:i/>
          <w:iCs/>
          <w:kern w:val="0"/>
          <w:sz w:val="26"/>
          <w:szCs w:val="26"/>
          <w:bdr w:val="none" w:sz="0" w:space="0" w:color="auto" w:frame="1"/>
          <w14:ligatures w14:val="none"/>
        </w:rPr>
        <w:t>Id.</w:t>
      </w:r>
      <w:r w:rsidRPr="000713D6" w:rsidR="00B72A08">
        <w:rPr>
          <w:rFonts w:ascii="Times New Roman" w:eastAsia="Times New Roman" w:hAnsi="Times New Roman" w:cs="Times New Roman"/>
          <w:kern w:val="0"/>
          <w:sz w:val="26"/>
          <w:szCs w:val="26"/>
          <w14:ligatures w14:val="none"/>
        </w:rPr>
        <w:t xml:space="preserve"> at p. 1196</w:t>
      </w:r>
      <w:bookmarkEnd w:id="14"/>
      <w:r w:rsidRPr="000713D6" w:rsidR="00B72A08">
        <w:rPr>
          <w:rFonts w:ascii="Times New Roman" w:eastAsia="Times New Roman" w:hAnsi="Times New Roman" w:cs="Times New Roman"/>
          <w:kern w:val="0"/>
          <w:sz w:val="26"/>
          <w:szCs w:val="26"/>
          <w14:ligatures w14:val="none"/>
        </w:rPr>
        <w:t>.)</w:t>
      </w:r>
      <w:r w:rsidRPr="000713D6">
        <w:rPr>
          <w:rFonts w:ascii="Times New Roman" w:eastAsia="Times New Roman" w:hAnsi="Times New Roman" w:cs="Times New Roman"/>
          <w:kern w:val="0"/>
          <w:sz w:val="26"/>
          <w:szCs w:val="26"/>
          <w14:ligatures w14:val="none"/>
        </w:rPr>
        <w:t xml:space="preserve"> </w:t>
      </w:r>
    </w:p>
    <w:p w:rsidR="004951CA" w:rsidP="000B1982" w14:paraId="27F4419F" w14:textId="555097AB">
      <w:pPr>
        <w:shd w:val="clear" w:color="auto" w:fill="FFFFFF"/>
        <w:spacing w:after="0" w:line="480" w:lineRule="atLeast"/>
        <w:ind w:firstLine="1440"/>
        <w:rPr>
          <w:rFonts w:ascii="Times New Roman" w:eastAsia="Times New Roman" w:hAnsi="Times New Roman" w:cs="Times New Roman"/>
          <w:kern w:val="0"/>
          <w:sz w:val="26"/>
          <w:szCs w:val="26"/>
          <w14:ligatures w14:val="none"/>
        </w:rPr>
      </w:pPr>
      <w:r w:rsidRPr="00FA1C9C">
        <w:rPr>
          <w:rFonts w:ascii="Times New Roman" w:eastAsia="Times New Roman" w:hAnsi="Times New Roman" w:cs="Times New Roman"/>
          <w:kern w:val="0"/>
          <w:sz w:val="26"/>
          <w:szCs w:val="26"/>
          <w14:ligatures w14:val="none"/>
        </w:rPr>
        <w:t>Courts have</w:t>
      </w:r>
      <w:r w:rsidRPr="00FA1C9C" w:rsidR="00FD50FB">
        <w:rPr>
          <w:rFonts w:ascii="Times New Roman" w:eastAsia="Times New Roman" w:hAnsi="Times New Roman" w:cs="Times New Roman"/>
          <w:kern w:val="0"/>
          <w:sz w:val="26"/>
          <w:szCs w:val="26"/>
          <w14:ligatures w14:val="none"/>
        </w:rPr>
        <w:t xml:space="preserve"> </w:t>
      </w:r>
      <w:r w:rsidRPr="00FA1C9C">
        <w:rPr>
          <w:rFonts w:ascii="Times New Roman" w:eastAsia="Times New Roman" w:hAnsi="Times New Roman" w:cs="Times New Roman"/>
          <w:kern w:val="0"/>
          <w:sz w:val="26"/>
          <w:szCs w:val="26"/>
          <w14:ligatures w14:val="none"/>
        </w:rPr>
        <w:t xml:space="preserve">found a waiver of the right to </w:t>
      </w:r>
      <w:r w:rsidR="000070DC">
        <w:rPr>
          <w:rFonts w:ascii="Times New Roman" w:eastAsia="Times New Roman" w:hAnsi="Times New Roman" w:cs="Times New Roman"/>
          <w:kern w:val="0"/>
          <w:sz w:val="26"/>
          <w:szCs w:val="26"/>
          <w14:ligatures w14:val="none"/>
        </w:rPr>
        <w:t>a</w:t>
      </w:r>
      <w:r w:rsidRPr="00FA1C9C">
        <w:rPr>
          <w:rFonts w:ascii="Times New Roman" w:eastAsia="Times New Roman" w:hAnsi="Times New Roman" w:cs="Times New Roman"/>
          <w:kern w:val="0"/>
          <w:sz w:val="26"/>
          <w:szCs w:val="26"/>
          <w14:ligatures w14:val="none"/>
        </w:rPr>
        <w:t xml:space="preserve">rbitration </w:t>
      </w:r>
      <w:r w:rsidRPr="00FA1C9C" w:rsidR="00FD50FB">
        <w:rPr>
          <w:rFonts w:ascii="Times New Roman" w:eastAsia="Times New Roman" w:hAnsi="Times New Roman" w:cs="Times New Roman"/>
          <w:kern w:val="0"/>
          <w:sz w:val="26"/>
          <w:szCs w:val="26"/>
          <w14:ligatures w14:val="none"/>
        </w:rPr>
        <w:t xml:space="preserve">if </w:t>
      </w:r>
      <w:r w:rsidRPr="00FA1C9C" w:rsidR="00744129">
        <w:rPr>
          <w:rFonts w:ascii="Times New Roman" w:eastAsia="Times New Roman" w:hAnsi="Times New Roman" w:cs="Times New Roman"/>
          <w:kern w:val="0"/>
          <w:sz w:val="26"/>
          <w:szCs w:val="26"/>
          <w14:ligatures w14:val="none"/>
        </w:rPr>
        <w:t>the party seeking to compel arbitration has previously taken steps inconsistent with an intent to invoke arbitration</w:t>
      </w:r>
      <w:r w:rsidRPr="00FA1C9C" w:rsidR="00FA1C9C">
        <w:rPr>
          <w:rFonts w:ascii="Times New Roman" w:eastAsia="Times New Roman" w:hAnsi="Times New Roman" w:cs="Times New Roman"/>
          <w:kern w:val="0"/>
          <w:sz w:val="26"/>
          <w:szCs w:val="26"/>
          <w14:ligatures w14:val="none"/>
        </w:rPr>
        <w:t xml:space="preserve"> or</w:t>
      </w:r>
      <w:r w:rsidRPr="00FA1C9C" w:rsidR="00744129">
        <w:rPr>
          <w:rFonts w:ascii="Times New Roman" w:eastAsia="Times New Roman" w:hAnsi="Times New Roman" w:cs="Times New Roman"/>
          <w:kern w:val="0"/>
          <w:sz w:val="26"/>
          <w:szCs w:val="26"/>
          <w14:ligatures w14:val="none"/>
        </w:rPr>
        <w:t xml:space="preserve"> has unreasonably delayed in undertaking the procedure.</w:t>
      </w:r>
      <w:r w:rsidRPr="00FA1C9C" w:rsidR="00FA1C9C">
        <w:rPr>
          <w:rFonts w:ascii="Times New Roman" w:eastAsia="Times New Roman" w:hAnsi="Times New Roman" w:cs="Times New Roman"/>
          <w:kern w:val="0"/>
          <w:sz w:val="26"/>
          <w:szCs w:val="26"/>
          <w14:ligatures w14:val="none"/>
        </w:rPr>
        <w:t xml:space="preserve"> </w:t>
      </w:r>
      <w:r w:rsidRPr="00FA1C9C" w:rsidR="00744129">
        <w:rPr>
          <w:rFonts w:ascii="Times New Roman" w:eastAsia="Times New Roman" w:hAnsi="Times New Roman" w:cs="Times New Roman"/>
          <w:kern w:val="0"/>
          <w:sz w:val="26"/>
          <w:szCs w:val="26"/>
          <w14:ligatures w14:val="none"/>
        </w:rPr>
        <w:t xml:space="preserve"> (</w:t>
      </w:r>
      <w:bookmarkStart w:id="15" w:name="dabmci_dfe49bc313d64bc38a5dc15fa0ea57e8"/>
      <w:r w:rsidRPr="00FA1C9C" w:rsidR="00744129">
        <w:rPr>
          <w:rFonts w:ascii="Times New Roman" w:eastAsia="Times New Roman" w:hAnsi="Times New Roman" w:cs="Times New Roman"/>
          <w:i/>
          <w:iCs/>
          <w:kern w:val="0"/>
          <w:sz w:val="26"/>
          <w:szCs w:val="26"/>
          <w:bdr w:val="none" w:sz="0" w:space="0" w:color="auto" w:frame="1"/>
          <w14:ligatures w14:val="none"/>
        </w:rPr>
        <w:t>St.</w:t>
      </w:r>
      <w:r w:rsidR="004E5820">
        <w:rPr>
          <w:rFonts w:ascii="Times New Roman" w:eastAsia="Times New Roman" w:hAnsi="Times New Roman" w:cs="Times New Roman"/>
          <w:i/>
          <w:iCs/>
          <w:kern w:val="0"/>
          <w:sz w:val="26"/>
          <w:szCs w:val="26"/>
          <w:bdr w:val="none" w:sz="0" w:space="0" w:color="auto" w:frame="1"/>
          <w14:ligatures w14:val="none"/>
        </w:rPr>
        <w:t> </w:t>
      </w:r>
      <w:r w:rsidRPr="00FA1C9C" w:rsidR="00744129">
        <w:rPr>
          <w:rFonts w:ascii="Times New Roman" w:eastAsia="Times New Roman" w:hAnsi="Times New Roman" w:cs="Times New Roman"/>
          <w:i/>
          <w:iCs/>
          <w:kern w:val="0"/>
          <w:sz w:val="26"/>
          <w:szCs w:val="26"/>
          <w:bdr w:val="none" w:sz="0" w:space="0" w:color="auto" w:frame="1"/>
          <w14:ligatures w14:val="none"/>
        </w:rPr>
        <w:t>Agnes, supra</w:t>
      </w:r>
      <w:r w:rsidRPr="00FA1C9C" w:rsidR="00744129">
        <w:rPr>
          <w:rFonts w:ascii="Times New Roman" w:eastAsia="Times New Roman" w:hAnsi="Times New Roman" w:cs="Times New Roman"/>
          <w:kern w:val="0"/>
          <w:sz w:val="26"/>
          <w:szCs w:val="26"/>
          <w14:ligatures w14:val="none"/>
        </w:rPr>
        <w:t>, 31 Cal.4th at p. 1196</w:t>
      </w:r>
      <w:bookmarkEnd w:id="15"/>
      <w:r w:rsidRPr="005F7455" w:rsidR="00744129">
        <w:rPr>
          <w:rFonts w:ascii="Times New Roman" w:eastAsia="Times New Roman" w:hAnsi="Times New Roman" w:cs="Times New Roman"/>
          <w:kern w:val="0"/>
          <w:sz w:val="26"/>
          <w:szCs w:val="26"/>
          <w14:ligatures w14:val="none"/>
        </w:rPr>
        <w:t xml:space="preserve">.)  </w:t>
      </w:r>
      <w:r w:rsidRPr="005F7455" w:rsidR="00B72A08">
        <w:rPr>
          <w:rFonts w:ascii="Times New Roman" w:eastAsia="Times New Roman" w:hAnsi="Times New Roman" w:cs="Times New Roman"/>
          <w:kern w:val="0"/>
          <w:sz w:val="26"/>
          <w:szCs w:val="26"/>
          <w14:ligatures w14:val="none"/>
        </w:rPr>
        <w:t>“Although participating in the litigation of an arbitrable claim does not by itself waive a party</w:t>
      </w:r>
      <w:r w:rsidRPr="005F7455" w:rsidR="00744129">
        <w:rPr>
          <w:rFonts w:ascii="Times New Roman" w:eastAsia="Times New Roman" w:hAnsi="Times New Roman" w:cs="Times New Roman"/>
          <w:kern w:val="0"/>
          <w:sz w:val="26"/>
          <w:szCs w:val="26"/>
          <w14:ligatures w14:val="none"/>
        </w:rPr>
        <w:t>’</w:t>
      </w:r>
      <w:r w:rsidRPr="005F7455" w:rsidR="00B72A08">
        <w:rPr>
          <w:rFonts w:ascii="Times New Roman" w:eastAsia="Times New Roman" w:hAnsi="Times New Roman" w:cs="Times New Roman"/>
          <w:kern w:val="0"/>
          <w:sz w:val="26"/>
          <w:szCs w:val="26"/>
          <w14:ligatures w14:val="none"/>
        </w:rPr>
        <w:t xml:space="preserve">s right to later seek to arbitrate the matter, at some point continued litigation of the dispute </w:t>
      </w:r>
      <w:r w:rsidRPr="004951CA" w:rsidR="00B72A08">
        <w:rPr>
          <w:rFonts w:ascii="Times New Roman" w:eastAsia="Times New Roman" w:hAnsi="Times New Roman" w:cs="Times New Roman"/>
          <w:kern w:val="0"/>
          <w:sz w:val="26"/>
          <w:szCs w:val="26"/>
          <w14:ligatures w14:val="none"/>
        </w:rPr>
        <w:t>justifies a finding of waiver.</w:t>
      </w:r>
      <w:r w:rsidRPr="004951CA" w:rsidR="00744129">
        <w:rPr>
          <w:rFonts w:ascii="Times New Roman" w:eastAsia="Times New Roman" w:hAnsi="Times New Roman" w:cs="Times New Roman"/>
          <w:kern w:val="0"/>
          <w:sz w:val="26"/>
          <w:szCs w:val="26"/>
          <w14:ligatures w14:val="none"/>
        </w:rPr>
        <w:t>”  (</w:t>
      </w:r>
      <w:bookmarkStart w:id="16" w:name="dabmci_894733ab02ef457c92044e4147a9b4ae"/>
      <w:r w:rsidRPr="004951CA" w:rsidR="00744129">
        <w:rPr>
          <w:rFonts w:ascii="Times New Roman" w:eastAsia="Times New Roman" w:hAnsi="Times New Roman" w:cs="Times New Roman"/>
          <w:i/>
          <w:iCs/>
          <w:kern w:val="0"/>
          <w:sz w:val="26"/>
          <w:szCs w:val="26"/>
          <w:bdr w:val="none" w:sz="0" w:space="0" w:color="auto" w:frame="1"/>
          <w14:ligatures w14:val="none"/>
        </w:rPr>
        <w:t>Fleming Distribution Co. v. Younan</w:t>
      </w:r>
      <w:r w:rsidRPr="004951CA" w:rsidR="00744129">
        <w:rPr>
          <w:rFonts w:ascii="Times New Roman" w:eastAsia="Times New Roman" w:hAnsi="Times New Roman" w:cs="Times New Roman"/>
          <w:kern w:val="0"/>
          <w:sz w:val="26"/>
          <w:szCs w:val="26"/>
          <w14:ligatures w14:val="none"/>
        </w:rPr>
        <w:t xml:space="preserve"> (2020) 49 Cal.App.5th 73, 80</w:t>
      </w:r>
      <w:bookmarkEnd w:id="16"/>
      <w:r w:rsidRPr="004951CA" w:rsidR="00744129">
        <w:rPr>
          <w:rFonts w:ascii="Times New Roman" w:eastAsia="Times New Roman" w:hAnsi="Times New Roman" w:cs="Times New Roman"/>
          <w:kern w:val="0"/>
          <w:sz w:val="26"/>
          <w:szCs w:val="26"/>
          <w14:ligatures w14:val="none"/>
        </w:rPr>
        <w:t xml:space="preserve">.)  </w:t>
      </w:r>
    </w:p>
    <w:p w:rsidR="007516DD" w:rsidP="000B1982" w14:paraId="080A4AE0" w14:textId="66ACD590">
      <w:pPr>
        <w:shd w:val="clear" w:color="auto" w:fill="FFFFFF"/>
        <w:spacing w:after="0" w:line="480" w:lineRule="atLeast"/>
        <w:ind w:firstLine="1440"/>
        <w:rPr>
          <w:rFonts w:ascii="Times New Roman" w:hAnsi="Times New Roman" w:cs="Times New Roman"/>
          <w:sz w:val="26"/>
          <w:szCs w:val="26"/>
        </w:rPr>
      </w:pPr>
      <w:r>
        <w:rPr>
          <w:rFonts w:ascii="Times New Roman" w:eastAsia="Times New Roman" w:hAnsi="Times New Roman" w:cs="Times New Roman"/>
          <w:kern w:val="0"/>
          <w:sz w:val="26"/>
          <w:szCs w:val="26"/>
          <w14:ligatures w14:val="none"/>
        </w:rPr>
        <w:t>It is well established that a</w:t>
      </w:r>
      <w:r w:rsidRPr="004951CA" w:rsidR="000C303C">
        <w:rPr>
          <w:rFonts w:ascii="Times New Roman" w:eastAsia="Times New Roman" w:hAnsi="Times New Roman" w:cs="Times New Roman"/>
          <w:kern w:val="0"/>
          <w:sz w:val="26"/>
          <w:szCs w:val="26"/>
          <w14:ligatures w14:val="none"/>
        </w:rPr>
        <w:t xml:space="preserve"> four to six month delay in enforcing the right to arbitrate may result in a finding of waiver</w:t>
      </w:r>
      <w:r w:rsidRPr="004951CA" w:rsidR="00F90B41">
        <w:rPr>
          <w:rFonts w:ascii="Times New Roman" w:eastAsia="Times New Roman" w:hAnsi="Times New Roman" w:cs="Times New Roman"/>
          <w:kern w:val="0"/>
          <w:sz w:val="26"/>
          <w:szCs w:val="26"/>
          <w14:ligatures w14:val="none"/>
        </w:rPr>
        <w:t xml:space="preserve"> </w:t>
      </w:r>
      <w:r w:rsidRPr="004951CA" w:rsidR="000C303C">
        <w:rPr>
          <w:rFonts w:ascii="Times New Roman" w:eastAsia="Times New Roman" w:hAnsi="Times New Roman" w:cs="Times New Roman"/>
          <w:kern w:val="0"/>
          <w:sz w:val="26"/>
          <w:szCs w:val="26"/>
          <w14:ligatures w14:val="none"/>
        </w:rPr>
        <w:t>if the party acted inconsistently with the intent to arbitrate</w:t>
      </w:r>
      <w:r w:rsidRPr="004951CA" w:rsidR="00F90B41">
        <w:rPr>
          <w:rFonts w:ascii="Times New Roman" w:eastAsia="Times New Roman" w:hAnsi="Times New Roman" w:cs="Times New Roman"/>
          <w:kern w:val="0"/>
          <w:sz w:val="26"/>
          <w:szCs w:val="26"/>
          <w14:ligatures w14:val="none"/>
        </w:rPr>
        <w:t xml:space="preserve"> during that </w:t>
      </w:r>
      <w:r w:rsidRPr="00BE58DC" w:rsidR="00F90B41">
        <w:rPr>
          <w:rFonts w:ascii="Times New Roman" w:eastAsia="Times New Roman" w:hAnsi="Times New Roman" w:cs="Times New Roman"/>
          <w:kern w:val="0"/>
          <w:sz w:val="26"/>
          <w:szCs w:val="26"/>
          <w14:ligatures w14:val="none"/>
        </w:rPr>
        <w:t>window</w:t>
      </w:r>
      <w:r w:rsidRPr="00BE58DC" w:rsidR="000C303C">
        <w:rPr>
          <w:rFonts w:ascii="Times New Roman" w:eastAsia="Times New Roman" w:hAnsi="Times New Roman" w:cs="Times New Roman"/>
          <w:kern w:val="0"/>
          <w:sz w:val="26"/>
          <w:szCs w:val="26"/>
          <w14:ligatures w14:val="none"/>
        </w:rPr>
        <w:t xml:space="preserve">.  (See, e.g., </w:t>
      </w:r>
      <w:bookmarkStart w:id="17" w:name="dabmci_bde6a4258aae4c3c9c3a3db9dc7d5d83"/>
      <w:bookmarkStart w:id="18" w:name="dabmci_90014b991a3541c4a16c9fc2e46bc0d1"/>
      <w:r w:rsidRPr="001E2366" w:rsidR="00C23D60">
        <w:rPr>
          <w:rFonts w:ascii="Times New Roman" w:hAnsi="Times New Roman" w:cs="Times New Roman"/>
          <w:i/>
          <w:iCs/>
          <w:sz w:val="26"/>
          <w:szCs w:val="26"/>
        </w:rPr>
        <w:t>Desert Regional Medical Center, Inc. v. Miller</w:t>
      </w:r>
      <w:r w:rsidRPr="001E2366" w:rsidR="00C23D60">
        <w:rPr>
          <w:rFonts w:ascii="Times New Roman" w:hAnsi="Times New Roman" w:cs="Times New Roman"/>
          <w:sz w:val="26"/>
          <w:szCs w:val="26"/>
        </w:rPr>
        <w:t xml:space="preserve"> (2022) 87 Cal.App.5th 295, 317</w:t>
      </w:r>
      <w:bookmarkEnd w:id="17"/>
      <w:r w:rsidRPr="001E2366" w:rsidR="00C23D60">
        <w:rPr>
          <w:rFonts w:ascii="Times New Roman" w:hAnsi="Times New Roman" w:cs="Times New Roman"/>
          <w:sz w:val="26"/>
          <w:szCs w:val="26"/>
        </w:rPr>
        <w:t xml:space="preserve"> [one year delay between Labor Commissioner decision and arbitration demand supported waiver finding]</w:t>
      </w:r>
      <w:r w:rsidR="00C23D60">
        <w:rPr>
          <w:rFonts w:ascii="Times New Roman" w:hAnsi="Times New Roman" w:cs="Times New Roman"/>
          <w:sz w:val="26"/>
          <w:szCs w:val="26"/>
        </w:rPr>
        <w:t xml:space="preserve">; </w:t>
      </w:r>
      <w:r w:rsidRPr="00BE58DC" w:rsidR="00B72A08">
        <w:rPr>
          <w:rFonts w:ascii="Times New Roman" w:eastAsia="Times New Roman" w:hAnsi="Times New Roman" w:cs="Times New Roman"/>
          <w:i/>
          <w:iCs/>
          <w:kern w:val="0"/>
          <w:sz w:val="26"/>
          <w:szCs w:val="26"/>
          <w:bdr w:val="none" w:sz="0" w:space="0" w:color="auto" w:frame="1"/>
          <w14:ligatures w14:val="none"/>
        </w:rPr>
        <w:t>Lewis v. Fletcher Jones Motor Cars, Inc.</w:t>
      </w:r>
      <w:r w:rsidRPr="00BE58DC" w:rsidR="00B72A08">
        <w:rPr>
          <w:rFonts w:ascii="Times New Roman" w:eastAsia="Times New Roman" w:hAnsi="Times New Roman" w:cs="Times New Roman"/>
          <w:kern w:val="0"/>
          <w:sz w:val="26"/>
          <w:szCs w:val="26"/>
          <w14:ligatures w14:val="none"/>
        </w:rPr>
        <w:t xml:space="preserve"> (2012) 205 Cal.App.4th 436, 446</w:t>
      </w:r>
      <w:r w:rsidR="00AE0EA0">
        <w:rPr>
          <w:rFonts w:ascii="Times New Roman" w:eastAsia="Times New Roman" w:hAnsi="Times New Roman" w:cs="Times New Roman"/>
          <w:kern w:val="0"/>
          <w:sz w:val="26"/>
          <w:szCs w:val="26"/>
          <w14:ligatures w14:val="none"/>
        </w:rPr>
        <w:t xml:space="preserve"> (</w:t>
      </w:r>
      <w:r w:rsidR="00AE0EA0">
        <w:rPr>
          <w:rFonts w:ascii="Times New Roman" w:eastAsia="Times New Roman" w:hAnsi="Times New Roman" w:cs="Times New Roman"/>
          <w:i/>
          <w:iCs/>
          <w:kern w:val="0"/>
          <w:sz w:val="26"/>
          <w:szCs w:val="26"/>
          <w14:ligatures w14:val="none"/>
        </w:rPr>
        <w:t>Lewis</w:t>
      </w:r>
      <w:r w:rsidR="00AE0EA0">
        <w:rPr>
          <w:rFonts w:ascii="Times New Roman" w:eastAsia="Times New Roman" w:hAnsi="Times New Roman" w:cs="Times New Roman"/>
          <w:kern w:val="0"/>
          <w:sz w:val="26"/>
          <w:szCs w:val="26"/>
          <w14:ligatures w14:val="none"/>
        </w:rPr>
        <w:t>)</w:t>
      </w:r>
      <w:bookmarkEnd w:id="18"/>
      <w:r w:rsidRPr="00BE58DC" w:rsidR="00B72A08">
        <w:rPr>
          <w:rFonts w:ascii="Times New Roman" w:eastAsia="Times New Roman" w:hAnsi="Times New Roman" w:cs="Times New Roman"/>
          <w:kern w:val="0"/>
          <w:sz w:val="26"/>
          <w:szCs w:val="26"/>
          <w14:ligatures w14:val="none"/>
        </w:rPr>
        <w:t xml:space="preserve"> [</w:t>
      </w:r>
      <w:r w:rsidRPr="00BE58DC" w:rsidR="000C303C">
        <w:rPr>
          <w:rFonts w:ascii="Times New Roman" w:eastAsia="Times New Roman" w:hAnsi="Times New Roman" w:cs="Times New Roman"/>
          <w:kern w:val="0"/>
          <w:sz w:val="26"/>
          <w:szCs w:val="26"/>
          <w14:ligatures w14:val="none"/>
        </w:rPr>
        <w:t xml:space="preserve">defendant waived its right to arbitrate by waiting </w:t>
      </w:r>
      <w:r w:rsidRPr="00BE58DC" w:rsidR="00B72A08">
        <w:rPr>
          <w:rFonts w:ascii="Times New Roman" w:eastAsia="Times New Roman" w:hAnsi="Times New Roman" w:cs="Times New Roman"/>
          <w:kern w:val="0"/>
          <w:sz w:val="26"/>
          <w:szCs w:val="26"/>
          <w14:ligatures w14:val="none"/>
        </w:rPr>
        <w:t xml:space="preserve">four </w:t>
      </w:r>
      <w:r w:rsidRPr="00600504" w:rsidR="00B72A08">
        <w:rPr>
          <w:rFonts w:ascii="Times New Roman" w:eastAsia="Times New Roman" w:hAnsi="Times New Roman" w:cs="Times New Roman"/>
          <w:kern w:val="0"/>
          <w:sz w:val="26"/>
          <w:szCs w:val="26"/>
          <w14:ligatures w14:val="none"/>
        </w:rPr>
        <w:t xml:space="preserve">months </w:t>
      </w:r>
      <w:r w:rsidRPr="00600504" w:rsidR="000C303C">
        <w:rPr>
          <w:rFonts w:ascii="Times New Roman" w:eastAsia="Times New Roman" w:hAnsi="Times New Roman" w:cs="Times New Roman"/>
          <w:kern w:val="0"/>
          <w:sz w:val="26"/>
          <w:szCs w:val="26"/>
          <w14:ligatures w14:val="none"/>
        </w:rPr>
        <w:t>before it</w:t>
      </w:r>
      <w:r w:rsidRPr="00600504" w:rsidR="00B72A08">
        <w:rPr>
          <w:rFonts w:ascii="Times New Roman" w:eastAsia="Times New Roman" w:hAnsi="Times New Roman" w:cs="Times New Roman"/>
          <w:kern w:val="0"/>
          <w:sz w:val="26"/>
          <w:szCs w:val="26"/>
          <w14:ligatures w14:val="none"/>
        </w:rPr>
        <w:t xml:space="preserve"> </w:t>
      </w:r>
      <w:r w:rsidRPr="00600504" w:rsidR="000C303C">
        <w:rPr>
          <w:rFonts w:ascii="Times New Roman" w:eastAsia="Times New Roman" w:hAnsi="Times New Roman" w:cs="Times New Roman"/>
          <w:kern w:val="0"/>
          <w:sz w:val="26"/>
          <w:szCs w:val="26"/>
          <w14:ligatures w14:val="none"/>
        </w:rPr>
        <w:t>“</w:t>
      </w:r>
      <w:r w:rsidRPr="00600504" w:rsidR="00B72A08">
        <w:rPr>
          <w:rFonts w:ascii="Times New Roman" w:eastAsia="Times New Roman" w:hAnsi="Times New Roman" w:cs="Times New Roman"/>
          <w:kern w:val="0"/>
          <w:sz w:val="26"/>
          <w:szCs w:val="26"/>
          <w14:ligatures w14:val="none"/>
        </w:rPr>
        <w:t>expressed a desire to arbitrate</w:t>
      </w:r>
      <w:r w:rsidRPr="00600504" w:rsidR="000C303C">
        <w:rPr>
          <w:rFonts w:ascii="Times New Roman" w:eastAsia="Times New Roman" w:hAnsi="Times New Roman" w:cs="Times New Roman"/>
          <w:kern w:val="0"/>
          <w:sz w:val="26"/>
          <w:szCs w:val="26"/>
          <w14:ligatures w14:val="none"/>
        </w:rPr>
        <w:t>”</w:t>
      </w:r>
      <w:r w:rsidR="00BC4574">
        <w:rPr>
          <w:rFonts w:ascii="Times New Roman" w:eastAsia="Times New Roman" w:hAnsi="Times New Roman" w:cs="Times New Roman"/>
          <w:kern w:val="0"/>
          <w:sz w:val="26"/>
          <w:szCs w:val="26"/>
          <w14:ligatures w14:val="none"/>
        </w:rPr>
        <w:t xml:space="preserve"> and waiting another month to file its motion</w:t>
      </w:r>
      <w:r w:rsidRPr="00600504" w:rsidR="000C303C">
        <w:rPr>
          <w:rFonts w:ascii="Times New Roman" w:eastAsia="Times New Roman" w:hAnsi="Times New Roman" w:cs="Times New Roman"/>
          <w:kern w:val="0"/>
          <w:sz w:val="26"/>
          <w:szCs w:val="26"/>
          <w14:ligatures w14:val="none"/>
        </w:rPr>
        <w:t xml:space="preserve">]; </w:t>
      </w:r>
      <w:bookmarkStart w:id="19" w:name="dabmci_aee399a98be94e3abdc5d00a707225d8"/>
      <w:hyperlink r:id="rId7" w:anchor="co_pp_sp_4041_338" w:history="1">
        <w:r w:rsidRPr="00600504">
          <w:rPr>
            <w:rFonts w:ascii="Times New Roman" w:eastAsia="Times New Roman" w:hAnsi="Times New Roman" w:cs="Times New Roman"/>
            <w:i/>
            <w:iCs/>
            <w:kern w:val="0"/>
            <w:sz w:val="26"/>
            <w:szCs w:val="26"/>
            <w:bdr w:val="none" w:sz="0" w:space="0" w:color="auto" w:frame="1"/>
            <w14:ligatures w14:val="none"/>
          </w:rPr>
          <w:t>Augusta v. Keehn &amp; Associates</w:t>
        </w:r>
        <w:r w:rsidR="00C23D60">
          <w:rPr>
            <w:rFonts w:ascii="Times New Roman" w:eastAsia="Times New Roman" w:hAnsi="Times New Roman" w:cs="Times New Roman"/>
            <w:kern w:val="0"/>
            <w:sz w:val="26"/>
            <w:szCs w:val="26"/>
            <w:bdr w:val="none" w:sz="0" w:space="0" w:color="auto" w:frame="1"/>
            <w14:ligatures w14:val="none"/>
          </w:rPr>
          <w:t xml:space="preserve"> </w:t>
        </w:r>
        <w:r w:rsidRPr="00600504">
          <w:rPr>
            <w:rFonts w:ascii="Times New Roman" w:eastAsia="Times New Roman" w:hAnsi="Times New Roman" w:cs="Times New Roman"/>
            <w:kern w:val="0"/>
            <w:sz w:val="26"/>
            <w:szCs w:val="26"/>
            <w:bdr w:val="none" w:sz="0" w:space="0" w:color="auto" w:frame="1"/>
            <w14:ligatures w14:val="none"/>
          </w:rPr>
          <w:t>(2011) 193 Cal.App.4th 331, 338</w:t>
        </w:r>
      </w:hyperlink>
      <w:r w:rsidR="008016B7">
        <w:rPr>
          <w:rFonts w:ascii="Times New Roman" w:eastAsia="Times New Roman" w:hAnsi="Times New Roman" w:cs="Times New Roman"/>
          <w:kern w:val="0"/>
          <w:sz w:val="26"/>
          <w:szCs w:val="26"/>
          <w:bdr w:val="none" w:sz="0" w:space="0" w:color="auto" w:frame="1"/>
          <w14:ligatures w14:val="none"/>
        </w:rPr>
        <w:noBreakHyphen/>
      </w:r>
      <w:r w:rsidRPr="00600504" w:rsidR="000C303C">
        <w:rPr>
          <w:rFonts w:ascii="Times New Roman" w:eastAsia="Times New Roman" w:hAnsi="Times New Roman" w:cs="Times New Roman"/>
          <w:kern w:val="0"/>
          <w:sz w:val="26"/>
          <w:szCs w:val="26"/>
          <w:bdr w:val="none" w:sz="0" w:space="0" w:color="auto" w:frame="1"/>
          <w14:ligatures w14:val="none"/>
        </w:rPr>
        <w:t>339</w:t>
      </w:r>
      <w:bookmarkEnd w:id="19"/>
      <w:r w:rsidR="008016B7">
        <w:rPr>
          <w:rFonts w:ascii="Times New Roman" w:eastAsia="Times New Roman" w:hAnsi="Times New Roman" w:cs="Times New Roman"/>
          <w:kern w:val="0"/>
          <w:sz w:val="26"/>
          <w:szCs w:val="26"/>
          <w14:ligatures w14:val="none"/>
        </w:rPr>
        <w:t xml:space="preserve"> </w:t>
      </w:r>
      <w:r w:rsidRPr="00600504">
        <w:rPr>
          <w:rFonts w:ascii="Times New Roman" w:eastAsia="Times New Roman" w:hAnsi="Times New Roman" w:cs="Times New Roman"/>
          <w:kern w:val="0"/>
          <w:sz w:val="26"/>
          <w:szCs w:val="26"/>
          <w14:ligatures w14:val="none"/>
        </w:rPr>
        <w:t xml:space="preserve">[waiver found due to </w:t>
      </w:r>
      <w:r w:rsidRPr="00600504" w:rsidR="000C303C">
        <w:rPr>
          <w:rFonts w:ascii="Times New Roman" w:eastAsia="Times New Roman" w:hAnsi="Times New Roman" w:cs="Times New Roman"/>
          <w:kern w:val="0"/>
          <w:sz w:val="26"/>
          <w:szCs w:val="26"/>
          <w14:ligatures w14:val="none"/>
        </w:rPr>
        <w:t xml:space="preserve">a </w:t>
      </w:r>
      <w:r w:rsidRPr="00600504" w:rsidR="00291C90">
        <w:rPr>
          <w:rFonts w:ascii="Times New Roman" w:eastAsia="Times New Roman" w:hAnsi="Times New Roman" w:cs="Times New Roman"/>
          <w:kern w:val="0"/>
          <w:sz w:val="26"/>
          <w:szCs w:val="26"/>
          <w14:ligatures w14:val="none"/>
        </w:rPr>
        <w:t>five and a half</w:t>
      </w:r>
      <w:r w:rsidRPr="00600504" w:rsidR="000C303C">
        <w:rPr>
          <w:rFonts w:ascii="Times New Roman" w:eastAsia="Times New Roman" w:hAnsi="Times New Roman" w:cs="Times New Roman"/>
          <w:kern w:val="0"/>
          <w:sz w:val="26"/>
          <w:szCs w:val="26"/>
          <w14:ligatures w14:val="none"/>
        </w:rPr>
        <w:t xml:space="preserve"> </w:t>
      </w:r>
      <w:r w:rsidRPr="00600504">
        <w:rPr>
          <w:rFonts w:ascii="Times New Roman" w:eastAsia="Times New Roman" w:hAnsi="Times New Roman" w:cs="Times New Roman"/>
          <w:kern w:val="0"/>
          <w:sz w:val="26"/>
          <w:szCs w:val="26"/>
          <w14:ligatures w14:val="none"/>
        </w:rPr>
        <w:t xml:space="preserve">month delay between the filing of </w:t>
      </w:r>
      <w:r w:rsidRPr="00600504" w:rsidR="001D3060">
        <w:rPr>
          <w:rFonts w:ascii="Times New Roman" w:eastAsia="Times New Roman" w:hAnsi="Times New Roman" w:cs="Times New Roman"/>
          <w:kern w:val="0"/>
          <w:sz w:val="26"/>
          <w:szCs w:val="26"/>
          <w14:ligatures w14:val="none"/>
        </w:rPr>
        <w:t xml:space="preserve">complaint </w:t>
      </w:r>
      <w:r w:rsidRPr="00600504">
        <w:rPr>
          <w:rFonts w:ascii="Times New Roman" w:eastAsia="Times New Roman" w:hAnsi="Times New Roman" w:cs="Times New Roman"/>
          <w:kern w:val="0"/>
          <w:sz w:val="26"/>
          <w:szCs w:val="26"/>
          <w14:ligatures w14:val="none"/>
        </w:rPr>
        <w:t xml:space="preserve">and </w:t>
      </w:r>
      <w:r w:rsidRPr="00600504" w:rsidR="001D3060">
        <w:rPr>
          <w:rFonts w:ascii="Times New Roman" w:eastAsia="Times New Roman" w:hAnsi="Times New Roman" w:cs="Times New Roman"/>
          <w:kern w:val="0"/>
          <w:sz w:val="26"/>
          <w:szCs w:val="26"/>
          <w14:ligatures w14:val="none"/>
        </w:rPr>
        <w:t>filing</w:t>
      </w:r>
      <w:r w:rsidRPr="00600504">
        <w:rPr>
          <w:rFonts w:ascii="Times New Roman" w:eastAsia="Times New Roman" w:hAnsi="Times New Roman" w:cs="Times New Roman"/>
          <w:kern w:val="0"/>
          <w:sz w:val="26"/>
          <w:szCs w:val="26"/>
          <w14:ligatures w14:val="none"/>
        </w:rPr>
        <w:t xml:space="preserve"> </w:t>
      </w:r>
      <w:r w:rsidRPr="00600504" w:rsidR="001D3060">
        <w:rPr>
          <w:rFonts w:ascii="Times New Roman" w:eastAsia="Times New Roman" w:hAnsi="Times New Roman" w:cs="Times New Roman"/>
          <w:kern w:val="0"/>
          <w:sz w:val="26"/>
          <w:szCs w:val="26"/>
          <w14:ligatures w14:val="none"/>
        </w:rPr>
        <w:t xml:space="preserve">of </w:t>
      </w:r>
      <w:r w:rsidRPr="00600504">
        <w:rPr>
          <w:rFonts w:ascii="Times New Roman" w:eastAsia="Times New Roman" w:hAnsi="Times New Roman" w:cs="Times New Roman"/>
          <w:kern w:val="0"/>
          <w:sz w:val="26"/>
          <w:szCs w:val="26"/>
          <w14:ligatures w14:val="none"/>
        </w:rPr>
        <w:t>motion to compel arbitration];</w:t>
      </w:r>
      <w:r w:rsidR="008016B7">
        <w:rPr>
          <w:rFonts w:ascii="Times New Roman" w:eastAsia="Times New Roman" w:hAnsi="Times New Roman" w:cs="Times New Roman"/>
          <w:kern w:val="0"/>
          <w:sz w:val="26"/>
          <w:szCs w:val="26"/>
          <w14:ligatures w14:val="none"/>
        </w:rPr>
        <w:t xml:space="preserve"> </w:t>
      </w:r>
      <w:bookmarkStart w:id="20" w:name="dabmci_8e38c0787d3447039b57b50fdaedcef5"/>
      <w:hyperlink r:id="rId8" w:anchor="co_pp_sp_4041_1451" w:history="1">
        <w:r w:rsidRPr="008E36B5">
          <w:rPr>
            <w:rFonts w:ascii="Times New Roman" w:eastAsia="Times New Roman" w:hAnsi="Times New Roman" w:cs="Times New Roman"/>
            <w:i/>
            <w:iCs/>
            <w:kern w:val="0"/>
            <w:sz w:val="26"/>
            <w:szCs w:val="26"/>
            <w:bdr w:val="none" w:sz="0" w:space="0" w:color="auto" w:frame="1"/>
            <w14:ligatures w14:val="none"/>
          </w:rPr>
          <w:t>Adolph v. Coastal Auto Sales, Inc</w:t>
        </w:r>
        <w:r w:rsidRPr="008E36B5">
          <w:rPr>
            <w:rFonts w:ascii="Times New Roman" w:eastAsia="Times New Roman" w:hAnsi="Times New Roman" w:cs="Times New Roman"/>
            <w:kern w:val="0"/>
            <w:sz w:val="26"/>
            <w:szCs w:val="26"/>
            <w:bdr w:val="none" w:sz="0" w:space="0" w:color="auto" w:frame="1"/>
            <w14:ligatures w14:val="none"/>
          </w:rPr>
          <w:t>. (2010) 184</w:t>
        </w:r>
        <w:r>
          <w:rPr>
            <w:rFonts w:ascii="Times New Roman" w:eastAsia="Times New Roman" w:hAnsi="Times New Roman" w:cs="Times New Roman"/>
            <w:kern w:val="0"/>
            <w:sz w:val="26"/>
            <w:szCs w:val="26"/>
            <w:bdr w:val="none" w:sz="0" w:space="0" w:color="auto" w:frame="1"/>
            <w14:ligatures w14:val="none"/>
          </w:rPr>
          <w:t> </w:t>
        </w:r>
        <w:r w:rsidRPr="008E36B5">
          <w:rPr>
            <w:rFonts w:ascii="Times New Roman" w:eastAsia="Times New Roman" w:hAnsi="Times New Roman" w:cs="Times New Roman"/>
            <w:kern w:val="0"/>
            <w:sz w:val="26"/>
            <w:szCs w:val="26"/>
            <w:bdr w:val="none" w:sz="0" w:space="0" w:color="auto" w:frame="1"/>
            <w14:ligatures w14:val="none"/>
          </w:rPr>
          <w:t>Cal.App.4th 1443, 1451</w:t>
        </w:r>
      </w:hyperlink>
      <w:r w:rsidR="008016B7">
        <w:rPr>
          <w:rFonts w:ascii="Times New Roman" w:eastAsia="Times New Roman" w:hAnsi="Times New Roman" w:cs="Times New Roman"/>
          <w:kern w:val="0"/>
          <w:sz w:val="26"/>
          <w:szCs w:val="26"/>
          <w:bdr w:val="none" w:sz="0" w:space="0" w:color="auto" w:frame="1"/>
          <w14:ligatures w14:val="none"/>
        </w:rPr>
        <w:noBreakHyphen/>
      </w:r>
      <w:r w:rsidRPr="008E36B5" w:rsidR="000C303C">
        <w:rPr>
          <w:rFonts w:ascii="Times New Roman" w:eastAsia="Times New Roman" w:hAnsi="Times New Roman" w:cs="Times New Roman"/>
          <w:kern w:val="0"/>
          <w:sz w:val="26"/>
          <w:szCs w:val="26"/>
          <w:bdr w:val="none" w:sz="0" w:space="0" w:color="auto" w:frame="1"/>
          <w14:ligatures w14:val="none"/>
        </w:rPr>
        <w:t>1452</w:t>
      </w:r>
      <w:bookmarkEnd w:id="20"/>
      <w:r w:rsidR="008016B7">
        <w:rPr>
          <w:rFonts w:ascii="Times New Roman" w:eastAsia="Times New Roman" w:hAnsi="Times New Roman" w:cs="Times New Roman"/>
          <w:kern w:val="0"/>
          <w:sz w:val="26"/>
          <w:szCs w:val="26"/>
          <w14:ligatures w14:val="none"/>
        </w:rPr>
        <w:t xml:space="preserve"> </w:t>
      </w:r>
      <w:r w:rsidRPr="008E36B5">
        <w:rPr>
          <w:rFonts w:ascii="Times New Roman" w:eastAsia="Times New Roman" w:hAnsi="Times New Roman" w:cs="Times New Roman"/>
          <w:kern w:val="0"/>
          <w:sz w:val="26"/>
          <w:szCs w:val="26"/>
          <w14:ligatures w14:val="none"/>
        </w:rPr>
        <w:t>[</w:t>
      </w:r>
      <w:r w:rsidR="0028462B">
        <w:rPr>
          <w:rFonts w:ascii="Times New Roman" w:eastAsia="Times New Roman" w:hAnsi="Times New Roman" w:cs="Times New Roman"/>
          <w:kern w:val="0"/>
          <w:sz w:val="26"/>
          <w:szCs w:val="26"/>
          <w14:ligatures w14:val="none"/>
        </w:rPr>
        <w:t xml:space="preserve">finding </w:t>
      </w:r>
      <w:r w:rsidRPr="008E36B5">
        <w:rPr>
          <w:rFonts w:ascii="Times New Roman" w:eastAsia="Times New Roman" w:hAnsi="Times New Roman" w:cs="Times New Roman"/>
          <w:kern w:val="0"/>
          <w:sz w:val="26"/>
          <w:szCs w:val="26"/>
          <w14:ligatures w14:val="none"/>
        </w:rPr>
        <w:t>waiver due to a delay of six months between filing of lawsuit and demand for arbitration]</w:t>
      </w:r>
      <w:r w:rsidRPr="00596509">
        <w:rPr>
          <w:rFonts w:ascii="Times New Roman" w:eastAsia="Times New Roman" w:hAnsi="Times New Roman" w:cs="Times New Roman"/>
          <w:kern w:val="0"/>
          <w:sz w:val="26"/>
          <w:szCs w:val="26"/>
          <w14:ligatures w14:val="none"/>
        </w:rPr>
        <w:t>;</w:t>
      </w:r>
      <w:r w:rsidRPr="00596509" w:rsidR="000C303C">
        <w:rPr>
          <w:rFonts w:ascii="Times New Roman" w:eastAsia="Times New Roman" w:hAnsi="Times New Roman" w:cs="Times New Roman"/>
          <w:kern w:val="0"/>
          <w:sz w:val="26"/>
          <w:szCs w:val="26"/>
          <w14:ligatures w14:val="none"/>
        </w:rPr>
        <w:t xml:space="preserve"> </w:t>
      </w:r>
      <w:bookmarkStart w:id="21" w:name="dabmci_75c50967ca4f4a27a8da637fa97390c3"/>
      <w:hyperlink r:id="rId9" w:anchor="co_pp_sp_4041_555" w:history="1">
        <w:r w:rsidRPr="00596509">
          <w:rPr>
            <w:rFonts w:ascii="Times New Roman" w:eastAsia="Times New Roman" w:hAnsi="Times New Roman" w:cs="Times New Roman"/>
            <w:i/>
            <w:iCs/>
            <w:kern w:val="0"/>
            <w:sz w:val="26"/>
            <w:szCs w:val="26"/>
            <w:bdr w:val="none" w:sz="0" w:space="0" w:color="auto" w:frame="1"/>
            <w14:ligatures w14:val="none"/>
          </w:rPr>
          <w:t>Guess?, Inc. v. Superior Court</w:t>
        </w:r>
        <w:r w:rsidRPr="00596509">
          <w:rPr>
            <w:rFonts w:ascii="Times New Roman" w:eastAsia="Times New Roman" w:hAnsi="Times New Roman" w:cs="Times New Roman"/>
            <w:kern w:val="0"/>
            <w:sz w:val="26"/>
            <w:szCs w:val="26"/>
            <w:bdr w:val="none" w:sz="0" w:space="0" w:color="auto" w:frame="1"/>
            <w14:ligatures w14:val="none"/>
          </w:rPr>
          <w:t> (2000) 79</w:t>
        </w:r>
        <w:r>
          <w:rPr>
            <w:rFonts w:ascii="Times New Roman" w:eastAsia="Times New Roman" w:hAnsi="Times New Roman" w:cs="Times New Roman"/>
            <w:kern w:val="0"/>
            <w:sz w:val="26"/>
            <w:szCs w:val="26"/>
            <w:bdr w:val="none" w:sz="0" w:space="0" w:color="auto" w:frame="1"/>
            <w14:ligatures w14:val="none"/>
          </w:rPr>
          <w:t> </w:t>
        </w:r>
        <w:r w:rsidRPr="00596509">
          <w:rPr>
            <w:rFonts w:ascii="Times New Roman" w:eastAsia="Times New Roman" w:hAnsi="Times New Roman" w:cs="Times New Roman"/>
            <w:kern w:val="0"/>
            <w:sz w:val="26"/>
            <w:szCs w:val="26"/>
            <w:bdr w:val="none" w:sz="0" w:space="0" w:color="auto" w:frame="1"/>
            <w14:ligatures w14:val="none"/>
          </w:rPr>
          <w:t>Cal.App.4th 553, 555, 557</w:t>
        </w:r>
        <w:r w:rsidR="008016B7">
          <w:rPr>
            <w:rFonts w:ascii="Times New Roman" w:eastAsia="Times New Roman" w:hAnsi="Times New Roman" w:cs="Times New Roman"/>
            <w:kern w:val="0"/>
            <w:sz w:val="26"/>
            <w:szCs w:val="26"/>
            <w:bdr w:val="none" w:sz="0" w:space="0" w:color="auto" w:frame="1"/>
            <w14:ligatures w14:val="none"/>
          </w:rPr>
          <w:noBreakHyphen/>
        </w:r>
        <w:r w:rsidRPr="00596509">
          <w:rPr>
            <w:rFonts w:ascii="Times New Roman" w:eastAsia="Times New Roman" w:hAnsi="Times New Roman" w:cs="Times New Roman"/>
            <w:kern w:val="0"/>
            <w:sz w:val="26"/>
            <w:szCs w:val="26"/>
            <w:bdr w:val="none" w:sz="0" w:space="0" w:color="auto" w:frame="1"/>
            <w14:ligatures w14:val="none"/>
          </w:rPr>
          <w:t>558</w:t>
        </w:r>
      </w:hyperlink>
      <w:bookmarkEnd w:id="21"/>
      <w:r w:rsidRPr="00596509">
        <w:rPr>
          <w:rFonts w:ascii="Times New Roman" w:eastAsia="Times New Roman" w:hAnsi="Times New Roman" w:cs="Times New Roman"/>
          <w:kern w:val="0"/>
          <w:sz w:val="26"/>
          <w:szCs w:val="26"/>
          <w14:ligatures w14:val="none"/>
        </w:rPr>
        <w:t xml:space="preserve"> [</w:t>
      </w:r>
      <w:r w:rsidR="0028462B">
        <w:rPr>
          <w:rFonts w:ascii="Times New Roman" w:eastAsia="Times New Roman" w:hAnsi="Times New Roman" w:cs="Times New Roman"/>
          <w:kern w:val="0"/>
          <w:sz w:val="26"/>
          <w:szCs w:val="26"/>
          <w14:ligatures w14:val="none"/>
        </w:rPr>
        <w:t xml:space="preserve">finding </w:t>
      </w:r>
      <w:r w:rsidRPr="00596509">
        <w:rPr>
          <w:rFonts w:ascii="Times New Roman" w:eastAsia="Times New Roman" w:hAnsi="Times New Roman" w:cs="Times New Roman"/>
          <w:kern w:val="0"/>
          <w:sz w:val="26"/>
          <w:szCs w:val="26"/>
          <w14:ligatures w14:val="none"/>
        </w:rPr>
        <w:t xml:space="preserve">waiver when </w:t>
      </w:r>
      <w:r w:rsidRPr="00596509" w:rsidR="002C6C75">
        <w:rPr>
          <w:rFonts w:ascii="Times New Roman" w:eastAsia="Times New Roman" w:hAnsi="Times New Roman" w:cs="Times New Roman"/>
          <w:kern w:val="0"/>
          <w:sz w:val="26"/>
          <w:szCs w:val="26"/>
          <w14:ligatures w14:val="none"/>
        </w:rPr>
        <w:t>thr</w:t>
      </w:r>
      <w:r w:rsidRPr="00596509" w:rsidR="00596509">
        <w:rPr>
          <w:rFonts w:ascii="Times New Roman" w:eastAsia="Times New Roman" w:hAnsi="Times New Roman" w:cs="Times New Roman"/>
          <w:kern w:val="0"/>
          <w:sz w:val="26"/>
          <w:szCs w:val="26"/>
          <w14:ligatures w14:val="none"/>
        </w:rPr>
        <w:t>ee</w:t>
      </w:r>
      <w:r w:rsidRPr="00596509">
        <w:rPr>
          <w:rFonts w:ascii="Times New Roman" w:eastAsia="Times New Roman" w:hAnsi="Times New Roman" w:cs="Times New Roman"/>
          <w:kern w:val="0"/>
          <w:sz w:val="26"/>
          <w:szCs w:val="26"/>
          <w14:ligatures w14:val="none"/>
        </w:rPr>
        <w:t xml:space="preserve"> </w:t>
      </w:r>
      <w:r w:rsidRPr="0081496F">
        <w:rPr>
          <w:rFonts w:ascii="Times New Roman" w:eastAsia="Times New Roman" w:hAnsi="Times New Roman" w:cs="Times New Roman"/>
          <w:kern w:val="0"/>
          <w:sz w:val="26"/>
          <w:szCs w:val="26"/>
          <w14:ligatures w14:val="none"/>
        </w:rPr>
        <w:t>months elapsed between the filing of the lawsuit and defendant</w:t>
      </w:r>
      <w:r w:rsidRPr="0081496F" w:rsidR="000C303C">
        <w:rPr>
          <w:rFonts w:ascii="Times New Roman" w:eastAsia="Times New Roman" w:hAnsi="Times New Roman" w:cs="Times New Roman"/>
          <w:kern w:val="0"/>
          <w:sz w:val="26"/>
          <w:szCs w:val="26"/>
          <w14:ligatures w14:val="none"/>
        </w:rPr>
        <w:t>’</w:t>
      </w:r>
      <w:r w:rsidRPr="0081496F">
        <w:rPr>
          <w:rFonts w:ascii="Times New Roman" w:eastAsia="Times New Roman" w:hAnsi="Times New Roman" w:cs="Times New Roman"/>
          <w:kern w:val="0"/>
          <w:sz w:val="26"/>
          <w:szCs w:val="26"/>
          <w14:ligatures w14:val="none"/>
        </w:rPr>
        <w:t>s motion to compel arbitration</w:t>
      </w:r>
      <w:r w:rsidRPr="0081496F" w:rsidR="008C25DB">
        <w:rPr>
          <w:rFonts w:ascii="Times New Roman" w:eastAsia="Times New Roman" w:hAnsi="Times New Roman" w:cs="Times New Roman"/>
          <w:kern w:val="0"/>
          <w:sz w:val="26"/>
          <w:szCs w:val="26"/>
          <w14:ligatures w14:val="none"/>
        </w:rPr>
        <w:t>]</w:t>
      </w:r>
      <w:r w:rsidRPr="0081496F" w:rsidR="00713CD2">
        <w:rPr>
          <w:rFonts w:ascii="Times New Roman" w:eastAsia="Times New Roman" w:hAnsi="Times New Roman" w:cs="Times New Roman"/>
          <w:kern w:val="0"/>
          <w:sz w:val="26"/>
          <w:szCs w:val="26"/>
          <w14:ligatures w14:val="none"/>
        </w:rPr>
        <w:t>;</w:t>
      </w:r>
      <w:r w:rsidRPr="0081496F" w:rsidR="000C303C">
        <w:rPr>
          <w:rFonts w:ascii="Times New Roman" w:eastAsia="Times New Roman" w:hAnsi="Times New Roman" w:cs="Times New Roman"/>
          <w:kern w:val="0"/>
          <w:sz w:val="26"/>
          <w:szCs w:val="26"/>
          <w14:ligatures w14:val="none"/>
        </w:rPr>
        <w:t xml:space="preserve"> </w:t>
      </w:r>
      <w:bookmarkStart w:id="22" w:name="dabmci_78e635543448473eafd895c0143c4e42"/>
      <w:r w:rsidRPr="0081496F">
        <w:rPr>
          <w:rStyle w:val="Emphasis"/>
          <w:rFonts w:ascii="Times New Roman" w:hAnsi="Times New Roman" w:cs="Times New Roman"/>
          <w:sz w:val="26"/>
          <w:szCs w:val="26"/>
          <w:bdr w:val="none" w:sz="0" w:space="0" w:color="auto" w:frame="1"/>
          <w:shd w:val="clear" w:color="auto" w:fill="FFFFFF"/>
        </w:rPr>
        <w:t>Kaneko Ford Design v. Citipark, Inc.</w:t>
      </w:r>
      <w:r w:rsidR="008016B7">
        <w:rPr>
          <w:rFonts w:ascii="Times New Roman" w:hAnsi="Times New Roman" w:cs="Times New Roman"/>
          <w:sz w:val="26"/>
          <w:szCs w:val="26"/>
          <w:bdr w:val="none" w:sz="0" w:space="0" w:color="auto" w:frame="1"/>
          <w:shd w:val="clear" w:color="auto" w:fill="FFFFFF"/>
        </w:rPr>
        <w:t xml:space="preserve"> </w:t>
      </w:r>
      <w:r w:rsidRPr="0081496F">
        <w:rPr>
          <w:rFonts w:ascii="Times New Roman" w:hAnsi="Times New Roman" w:cs="Times New Roman"/>
          <w:sz w:val="26"/>
          <w:szCs w:val="26"/>
          <w:bdr w:val="none" w:sz="0" w:space="0" w:color="auto" w:frame="1"/>
          <w:shd w:val="clear" w:color="auto" w:fill="FFFFFF"/>
        </w:rPr>
        <w:t>(1988) 202</w:t>
      </w:r>
      <w:r w:rsidR="008016B7">
        <w:rPr>
          <w:rFonts w:ascii="Times New Roman" w:hAnsi="Times New Roman" w:cs="Times New Roman"/>
          <w:sz w:val="26"/>
          <w:szCs w:val="26"/>
          <w:bdr w:val="none" w:sz="0" w:space="0" w:color="auto" w:frame="1"/>
          <w:shd w:val="clear" w:color="auto" w:fill="FFFFFF"/>
        </w:rPr>
        <w:t> </w:t>
      </w:r>
      <w:r w:rsidRPr="0081496F">
        <w:rPr>
          <w:rFonts w:ascii="Times New Roman" w:hAnsi="Times New Roman" w:cs="Times New Roman"/>
          <w:sz w:val="26"/>
          <w:szCs w:val="26"/>
          <w:bdr w:val="none" w:sz="0" w:space="0" w:color="auto" w:frame="1"/>
          <w:shd w:val="clear" w:color="auto" w:fill="FFFFFF"/>
        </w:rPr>
        <w:t>Cal.App.3d 1220, 1228</w:t>
      </w:r>
      <w:r w:rsidR="009B4701">
        <w:rPr>
          <w:rFonts w:ascii="Times New Roman" w:hAnsi="Times New Roman" w:cs="Times New Roman"/>
          <w:sz w:val="26"/>
          <w:szCs w:val="26"/>
          <w:bdr w:val="none" w:sz="0" w:space="0" w:color="auto" w:frame="1"/>
          <w:shd w:val="clear" w:color="auto" w:fill="FFFFFF"/>
        </w:rPr>
        <w:noBreakHyphen/>
      </w:r>
      <w:r w:rsidRPr="0081496F">
        <w:rPr>
          <w:rFonts w:ascii="Times New Roman" w:hAnsi="Times New Roman" w:cs="Times New Roman"/>
          <w:sz w:val="26"/>
          <w:szCs w:val="26"/>
          <w:bdr w:val="none" w:sz="0" w:space="0" w:color="auto" w:frame="1"/>
          <w:shd w:val="clear" w:color="auto" w:fill="FFFFFF"/>
        </w:rPr>
        <w:t>1229</w:t>
      </w:r>
      <w:bookmarkEnd w:id="22"/>
      <w:r w:rsidRPr="0081496F">
        <w:rPr>
          <w:rFonts w:ascii="Times New Roman" w:hAnsi="Times New Roman" w:cs="Times New Roman"/>
          <w:sz w:val="26"/>
          <w:szCs w:val="26"/>
          <w:shd w:val="clear" w:color="auto" w:fill="FFFFFF"/>
        </w:rPr>
        <w:t> [</w:t>
      </w:r>
      <w:r w:rsidR="00D936CB">
        <w:rPr>
          <w:rFonts w:ascii="Times New Roman" w:hAnsi="Times New Roman" w:cs="Times New Roman"/>
          <w:sz w:val="26"/>
          <w:szCs w:val="26"/>
          <w:shd w:val="clear" w:color="auto" w:fill="FFFFFF"/>
        </w:rPr>
        <w:t xml:space="preserve">affirming </w:t>
      </w:r>
      <w:r w:rsidRPr="0081496F" w:rsidR="000C303C">
        <w:rPr>
          <w:rFonts w:ascii="Times New Roman" w:hAnsi="Times New Roman" w:cs="Times New Roman"/>
          <w:sz w:val="26"/>
          <w:szCs w:val="26"/>
          <w:shd w:val="clear" w:color="auto" w:fill="FFFFFF"/>
        </w:rPr>
        <w:t xml:space="preserve">waiver finding when </w:t>
      </w:r>
      <w:r w:rsidRPr="0081496F" w:rsidR="0081496F">
        <w:rPr>
          <w:rFonts w:ascii="Times New Roman" w:hAnsi="Times New Roman" w:cs="Times New Roman"/>
          <w:sz w:val="26"/>
          <w:szCs w:val="26"/>
          <w:shd w:val="clear" w:color="auto" w:fill="FFFFFF"/>
        </w:rPr>
        <w:t xml:space="preserve">five and a </w:t>
      </w:r>
      <w:r w:rsidRPr="001E2366" w:rsidR="0081496F">
        <w:rPr>
          <w:rFonts w:ascii="Times New Roman" w:hAnsi="Times New Roman" w:cs="Times New Roman"/>
          <w:sz w:val="26"/>
          <w:szCs w:val="26"/>
          <w:shd w:val="clear" w:color="auto" w:fill="FFFFFF"/>
        </w:rPr>
        <w:t>half</w:t>
      </w:r>
      <w:r w:rsidRPr="001E2366" w:rsidR="000C303C">
        <w:rPr>
          <w:rFonts w:ascii="Times New Roman" w:hAnsi="Times New Roman" w:cs="Times New Roman"/>
          <w:sz w:val="26"/>
          <w:szCs w:val="26"/>
          <w:shd w:val="clear" w:color="auto" w:fill="FFFFFF"/>
        </w:rPr>
        <w:t xml:space="preserve"> </w:t>
      </w:r>
      <w:r w:rsidRPr="001E2366">
        <w:rPr>
          <w:rFonts w:ascii="Times New Roman" w:hAnsi="Times New Roman" w:cs="Times New Roman"/>
          <w:sz w:val="26"/>
          <w:szCs w:val="26"/>
          <w:shd w:val="clear" w:color="auto" w:fill="FFFFFF"/>
        </w:rPr>
        <w:t xml:space="preserve">months </w:t>
      </w:r>
      <w:r w:rsidRPr="001E2366" w:rsidR="000C303C">
        <w:rPr>
          <w:rFonts w:ascii="Times New Roman" w:hAnsi="Times New Roman" w:cs="Times New Roman"/>
          <w:sz w:val="26"/>
          <w:szCs w:val="26"/>
          <w:shd w:val="clear" w:color="auto" w:fill="FFFFFF"/>
        </w:rPr>
        <w:t xml:space="preserve">elapsed </w:t>
      </w:r>
      <w:r w:rsidRPr="001E2366">
        <w:rPr>
          <w:rFonts w:ascii="Times New Roman" w:hAnsi="Times New Roman" w:cs="Times New Roman"/>
          <w:sz w:val="26"/>
          <w:szCs w:val="26"/>
          <w:shd w:val="clear" w:color="auto" w:fill="FFFFFF"/>
        </w:rPr>
        <w:t>between filing lawsuit and motion to compel arbitration]</w:t>
      </w:r>
      <w:r w:rsidRPr="001E2366" w:rsidR="000C303C">
        <w:rPr>
          <w:rFonts w:ascii="Times New Roman" w:hAnsi="Times New Roman" w:cs="Times New Roman"/>
          <w:sz w:val="26"/>
          <w:szCs w:val="26"/>
        </w:rPr>
        <w:t>.)</w:t>
      </w:r>
    </w:p>
    <w:p w:rsidR="00AD0398" w:rsidRPr="00D16339" w:rsidP="000B1982" w14:paraId="71C1EF5F" w14:textId="35ECC4E4">
      <w:pPr>
        <w:spacing w:after="0" w:line="480" w:lineRule="atLeast"/>
        <w:ind w:firstLine="1440"/>
        <w:rPr>
          <w:rFonts w:ascii="Times New Roman" w:hAnsi="Times New Roman" w:cs="Times New Roman"/>
          <w:sz w:val="26"/>
          <w:szCs w:val="26"/>
        </w:rPr>
      </w:pPr>
      <w:r w:rsidRPr="00D16339">
        <w:rPr>
          <w:rFonts w:ascii="Times New Roman" w:hAnsi="Times New Roman" w:cs="Times New Roman"/>
          <w:sz w:val="26"/>
          <w:szCs w:val="26"/>
        </w:rPr>
        <w:t xml:space="preserve">“Whether a party has waived the right to compel arbitration is generally a question of fact. </w:t>
      </w:r>
      <w:r w:rsidRPr="00D16339" w:rsidR="000C303C">
        <w:rPr>
          <w:rFonts w:ascii="Times New Roman" w:hAnsi="Times New Roman" w:cs="Times New Roman"/>
          <w:sz w:val="26"/>
          <w:szCs w:val="26"/>
        </w:rPr>
        <w:t xml:space="preserve"> </w:t>
      </w:r>
      <w:r w:rsidRPr="00D16339">
        <w:rPr>
          <w:rFonts w:ascii="Times New Roman" w:hAnsi="Times New Roman" w:cs="Times New Roman"/>
          <w:sz w:val="26"/>
          <w:szCs w:val="26"/>
        </w:rPr>
        <w:t>A trial court</w:t>
      </w:r>
      <w:r w:rsidRPr="00D16339" w:rsidR="000C303C">
        <w:rPr>
          <w:rFonts w:ascii="Times New Roman" w:hAnsi="Times New Roman" w:cs="Times New Roman"/>
          <w:sz w:val="26"/>
          <w:szCs w:val="26"/>
        </w:rPr>
        <w:t>’</w:t>
      </w:r>
      <w:r w:rsidRPr="00D16339">
        <w:rPr>
          <w:rFonts w:ascii="Times New Roman" w:hAnsi="Times New Roman" w:cs="Times New Roman"/>
          <w:sz w:val="26"/>
          <w:szCs w:val="26"/>
        </w:rPr>
        <w:t>s finding of waiver is therefore reviewed under the substantial evidence standard unless ‘“the facts are undisputed and only one inference may reasonably be drawn,”’ in which case ‘“the reviewing court is not bound by the trial court</w:t>
      </w:r>
      <w:r w:rsidRPr="00D16339" w:rsidR="000C303C">
        <w:rPr>
          <w:rFonts w:ascii="Times New Roman" w:hAnsi="Times New Roman" w:cs="Times New Roman"/>
          <w:sz w:val="26"/>
          <w:szCs w:val="26"/>
        </w:rPr>
        <w:t>’</w:t>
      </w:r>
      <w:r w:rsidRPr="00D16339">
        <w:rPr>
          <w:rFonts w:ascii="Times New Roman" w:hAnsi="Times New Roman" w:cs="Times New Roman"/>
          <w:sz w:val="26"/>
          <w:szCs w:val="26"/>
        </w:rPr>
        <w:t xml:space="preserve">s ruling.”’” </w:t>
      </w:r>
      <w:r w:rsidR="00EC7918">
        <w:rPr>
          <w:rFonts w:ascii="Times New Roman" w:hAnsi="Times New Roman" w:cs="Times New Roman"/>
          <w:sz w:val="26"/>
          <w:szCs w:val="26"/>
        </w:rPr>
        <w:t xml:space="preserve"> </w:t>
      </w:r>
      <w:r w:rsidRPr="00D16339">
        <w:rPr>
          <w:rFonts w:ascii="Times New Roman" w:hAnsi="Times New Roman" w:cs="Times New Roman"/>
          <w:sz w:val="26"/>
          <w:szCs w:val="26"/>
        </w:rPr>
        <w:t>(</w:t>
      </w:r>
      <w:bookmarkStart w:id="23" w:name="dabmci_8021fb5ab81741c18060007eb97985e6"/>
      <w:r w:rsidRPr="00D16339">
        <w:rPr>
          <w:rFonts w:ascii="Times New Roman" w:hAnsi="Times New Roman" w:cs="Times New Roman"/>
          <w:i/>
          <w:iCs/>
          <w:sz w:val="26"/>
          <w:szCs w:val="26"/>
        </w:rPr>
        <w:t>Sprunk v. Prisma LLC</w:t>
      </w:r>
      <w:r w:rsidRPr="00D16339">
        <w:rPr>
          <w:rFonts w:ascii="Times New Roman" w:hAnsi="Times New Roman" w:cs="Times New Roman"/>
          <w:sz w:val="26"/>
          <w:szCs w:val="26"/>
        </w:rPr>
        <w:t xml:space="preserve"> (2017) 14 Cal.App.5th 785, 794</w:t>
      </w:r>
      <w:bookmarkEnd w:id="23"/>
      <w:r w:rsidRPr="00D16339">
        <w:rPr>
          <w:rFonts w:ascii="Times New Roman" w:hAnsi="Times New Roman" w:cs="Times New Roman"/>
          <w:sz w:val="26"/>
          <w:szCs w:val="26"/>
        </w:rPr>
        <w:t>.)</w:t>
      </w:r>
      <w:r>
        <w:rPr>
          <w:rStyle w:val="FootnoteReference"/>
          <w:rFonts w:ascii="Times New Roman" w:hAnsi="Times New Roman" w:cs="Times New Roman"/>
          <w:sz w:val="26"/>
          <w:szCs w:val="26"/>
        </w:rPr>
        <w:footnoteReference w:id="5"/>
      </w:r>
    </w:p>
    <w:p w:rsidR="00943AF0" w:rsidRPr="00F90B41" w:rsidP="00DA7D2A" w14:paraId="523912C2" w14:textId="31CEB2AD">
      <w:pPr>
        <w:keepNext/>
        <w:spacing w:after="0" w:line="480" w:lineRule="atLeast"/>
        <w:ind w:firstLine="720"/>
        <w:rPr>
          <w:rFonts w:ascii="Times New Roman" w:hAnsi="Times New Roman" w:cs="Times New Roman"/>
          <w:i/>
          <w:iCs/>
          <w:sz w:val="26"/>
          <w:szCs w:val="26"/>
        </w:rPr>
      </w:pPr>
      <w:r>
        <w:rPr>
          <w:rFonts w:ascii="Times New Roman" w:hAnsi="Times New Roman" w:cs="Times New Roman"/>
          <w:sz w:val="26"/>
          <w:szCs w:val="26"/>
        </w:rPr>
        <w:t>2.</w:t>
      </w:r>
      <w:r>
        <w:rPr>
          <w:rFonts w:ascii="Times New Roman" w:hAnsi="Times New Roman" w:cs="Times New Roman"/>
          <w:sz w:val="26"/>
          <w:szCs w:val="26"/>
        </w:rPr>
        <w:tab/>
      </w:r>
      <w:r>
        <w:rPr>
          <w:rFonts w:ascii="Times New Roman" w:hAnsi="Times New Roman" w:cs="Times New Roman"/>
          <w:i/>
          <w:iCs/>
          <w:sz w:val="26"/>
          <w:szCs w:val="26"/>
        </w:rPr>
        <w:t>Analysis</w:t>
      </w:r>
    </w:p>
    <w:p w:rsidR="00B73E07" w:rsidRPr="00246F51" w:rsidP="000B1982" w14:paraId="40E30A7A" w14:textId="30AB292C">
      <w:pPr>
        <w:spacing w:after="0" w:line="480" w:lineRule="atLeast"/>
        <w:ind w:firstLine="1440"/>
        <w:rPr>
          <w:rFonts w:ascii="Times New Roman" w:hAnsi="Times New Roman" w:cs="Times New Roman"/>
          <w:b/>
          <w:bCs/>
          <w:sz w:val="26"/>
          <w:szCs w:val="26"/>
        </w:rPr>
      </w:pPr>
      <w:r>
        <w:rPr>
          <w:rFonts w:ascii="Times New Roman" w:hAnsi="Times New Roman" w:cs="Times New Roman"/>
          <w:sz w:val="26"/>
          <w:szCs w:val="26"/>
        </w:rPr>
        <w:t>Wedbush contends the trial court erred in denying its motion to compel arbitration</w:t>
      </w:r>
      <w:r w:rsidR="002A6E1A">
        <w:rPr>
          <w:rFonts w:ascii="Times New Roman" w:hAnsi="Times New Roman" w:cs="Times New Roman"/>
          <w:sz w:val="26"/>
          <w:szCs w:val="26"/>
        </w:rPr>
        <w:t>.  Wedbush</w:t>
      </w:r>
      <w:r w:rsidR="00C277AB">
        <w:rPr>
          <w:rFonts w:ascii="Times New Roman" w:hAnsi="Times New Roman" w:cs="Times New Roman"/>
          <w:sz w:val="26"/>
          <w:szCs w:val="26"/>
        </w:rPr>
        <w:t xml:space="preserve"> argues</w:t>
      </w:r>
      <w:r w:rsidR="002A6E1A">
        <w:rPr>
          <w:rFonts w:ascii="Times New Roman" w:hAnsi="Times New Roman" w:cs="Times New Roman"/>
          <w:sz w:val="26"/>
          <w:szCs w:val="26"/>
        </w:rPr>
        <w:t xml:space="preserve"> the court incorrectly interpreted the scope of the 2015 stipulation</w:t>
      </w:r>
      <w:r w:rsidR="00DB687A">
        <w:rPr>
          <w:rFonts w:ascii="Times New Roman" w:hAnsi="Times New Roman" w:cs="Times New Roman"/>
          <w:sz w:val="26"/>
          <w:szCs w:val="26"/>
        </w:rPr>
        <w:t xml:space="preserve">, which was entered </w:t>
      </w:r>
      <w:r w:rsidR="004E5820">
        <w:rPr>
          <w:rFonts w:ascii="Times New Roman" w:hAnsi="Times New Roman" w:cs="Times New Roman"/>
          <w:sz w:val="26"/>
          <w:szCs w:val="26"/>
        </w:rPr>
        <w:t xml:space="preserve">into </w:t>
      </w:r>
      <w:r w:rsidR="00DB687A">
        <w:rPr>
          <w:rFonts w:ascii="Times New Roman" w:hAnsi="Times New Roman" w:cs="Times New Roman"/>
          <w:sz w:val="26"/>
          <w:szCs w:val="26"/>
        </w:rPr>
        <w:t xml:space="preserve">before the class was </w:t>
      </w:r>
      <w:r w:rsidR="00F26206">
        <w:rPr>
          <w:rFonts w:ascii="Times New Roman" w:hAnsi="Times New Roman" w:cs="Times New Roman"/>
          <w:sz w:val="26"/>
          <w:szCs w:val="26"/>
        </w:rPr>
        <w:t xml:space="preserve">certified and before Swain was added as a named plaintiff, and </w:t>
      </w:r>
      <w:r w:rsidR="002C019B">
        <w:rPr>
          <w:rFonts w:ascii="Times New Roman" w:hAnsi="Times New Roman" w:cs="Times New Roman"/>
          <w:sz w:val="26"/>
          <w:szCs w:val="26"/>
        </w:rPr>
        <w:t xml:space="preserve">which </w:t>
      </w:r>
      <w:r w:rsidR="00F55A26">
        <w:rPr>
          <w:rFonts w:ascii="Times New Roman" w:hAnsi="Times New Roman" w:cs="Times New Roman"/>
          <w:sz w:val="26"/>
          <w:szCs w:val="26"/>
        </w:rPr>
        <w:t>therefore cannot be read as agreeing that no future class member could ever be subject to arbitration</w:t>
      </w:r>
      <w:r w:rsidR="002A6E1A">
        <w:rPr>
          <w:rFonts w:ascii="Times New Roman" w:hAnsi="Times New Roman" w:cs="Times New Roman"/>
          <w:sz w:val="26"/>
          <w:szCs w:val="26"/>
        </w:rPr>
        <w:t xml:space="preserve">.  Wedbush </w:t>
      </w:r>
      <w:r w:rsidR="00C277AB">
        <w:rPr>
          <w:rFonts w:ascii="Times New Roman" w:hAnsi="Times New Roman" w:cs="Times New Roman"/>
          <w:sz w:val="26"/>
          <w:szCs w:val="26"/>
        </w:rPr>
        <w:t>assert</w:t>
      </w:r>
      <w:r w:rsidR="00037FDB">
        <w:rPr>
          <w:rFonts w:ascii="Times New Roman" w:hAnsi="Times New Roman" w:cs="Times New Roman"/>
          <w:sz w:val="26"/>
          <w:szCs w:val="26"/>
        </w:rPr>
        <w:t xml:space="preserve">s it cannot have waived its right to arbitrate </w:t>
      </w:r>
      <w:r w:rsidR="0087651C">
        <w:rPr>
          <w:rFonts w:ascii="Times New Roman" w:hAnsi="Times New Roman" w:cs="Times New Roman"/>
          <w:sz w:val="26"/>
          <w:szCs w:val="26"/>
        </w:rPr>
        <w:t xml:space="preserve">by signing the 2015 </w:t>
      </w:r>
      <w:r w:rsidR="006D669B">
        <w:rPr>
          <w:rFonts w:ascii="Times New Roman" w:hAnsi="Times New Roman" w:cs="Times New Roman"/>
          <w:sz w:val="26"/>
          <w:szCs w:val="26"/>
        </w:rPr>
        <w:t xml:space="preserve">stipulation </w:t>
      </w:r>
      <w:r w:rsidR="00037FDB">
        <w:rPr>
          <w:rFonts w:ascii="Times New Roman" w:hAnsi="Times New Roman" w:cs="Times New Roman"/>
          <w:sz w:val="26"/>
          <w:szCs w:val="26"/>
        </w:rPr>
        <w:t xml:space="preserve">because it </w:t>
      </w:r>
      <w:r w:rsidR="002A6E1A">
        <w:rPr>
          <w:rFonts w:ascii="Times New Roman" w:hAnsi="Times New Roman" w:cs="Times New Roman"/>
          <w:sz w:val="26"/>
          <w:szCs w:val="26"/>
        </w:rPr>
        <w:t xml:space="preserve">did not </w:t>
      </w:r>
      <w:r w:rsidR="004E5820">
        <w:rPr>
          <w:rFonts w:ascii="Times New Roman" w:hAnsi="Times New Roman" w:cs="Times New Roman"/>
          <w:sz w:val="26"/>
          <w:szCs w:val="26"/>
        </w:rPr>
        <w:t xml:space="preserve">then </w:t>
      </w:r>
      <w:r w:rsidR="002A6E1A">
        <w:rPr>
          <w:rFonts w:ascii="Times New Roman" w:hAnsi="Times New Roman" w:cs="Times New Roman"/>
          <w:sz w:val="26"/>
          <w:szCs w:val="26"/>
        </w:rPr>
        <w:t xml:space="preserve">have </w:t>
      </w:r>
      <w:r w:rsidR="004E5820">
        <w:rPr>
          <w:rFonts w:ascii="Times New Roman" w:hAnsi="Times New Roman" w:cs="Times New Roman"/>
          <w:sz w:val="26"/>
          <w:szCs w:val="26"/>
        </w:rPr>
        <w:t>a</w:t>
      </w:r>
      <w:r w:rsidR="002A6E1A">
        <w:rPr>
          <w:rFonts w:ascii="Times New Roman" w:hAnsi="Times New Roman" w:cs="Times New Roman"/>
          <w:sz w:val="26"/>
          <w:szCs w:val="26"/>
        </w:rPr>
        <w:t xml:space="preserve"> right to </w:t>
      </w:r>
      <w:r w:rsidR="005D26ED">
        <w:rPr>
          <w:rFonts w:ascii="Times New Roman" w:hAnsi="Times New Roman" w:cs="Times New Roman"/>
          <w:sz w:val="26"/>
          <w:szCs w:val="26"/>
        </w:rPr>
        <w:t xml:space="preserve">compel the subject claims to </w:t>
      </w:r>
      <w:r w:rsidR="00246F51">
        <w:rPr>
          <w:rFonts w:ascii="Times New Roman" w:hAnsi="Times New Roman" w:cs="Times New Roman"/>
          <w:sz w:val="26"/>
          <w:szCs w:val="26"/>
        </w:rPr>
        <w:t>arbitration</w:t>
      </w:r>
      <w:r w:rsidR="004E5820">
        <w:rPr>
          <w:rFonts w:ascii="Times New Roman" w:hAnsi="Times New Roman" w:cs="Times New Roman"/>
          <w:sz w:val="26"/>
          <w:szCs w:val="26"/>
        </w:rPr>
        <w:t>; that right arose in</w:t>
      </w:r>
      <w:r w:rsidR="00246F51">
        <w:rPr>
          <w:rFonts w:ascii="Times New Roman" w:hAnsi="Times New Roman" w:cs="Times New Roman"/>
          <w:sz w:val="26"/>
          <w:szCs w:val="26"/>
        </w:rPr>
        <w:t xml:space="preserve"> 2022, when </w:t>
      </w:r>
      <w:r w:rsidR="000162B8">
        <w:rPr>
          <w:rFonts w:ascii="Times New Roman" w:hAnsi="Times New Roman" w:cs="Times New Roman"/>
          <w:i/>
          <w:iCs/>
          <w:sz w:val="26"/>
          <w:szCs w:val="26"/>
        </w:rPr>
        <w:t xml:space="preserve">Viking River </w:t>
      </w:r>
      <w:r w:rsidR="000162B8">
        <w:rPr>
          <w:rFonts w:ascii="Times New Roman" w:hAnsi="Times New Roman" w:cs="Times New Roman"/>
          <w:sz w:val="26"/>
          <w:szCs w:val="26"/>
        </w:rPr>
        <w:t xml:space="preserve">was decided </w:t>
      </w:r>
      <w:r w:rsidR="00246F51">
        <w:rPr>
          <w:rFonts w:ascii="Times New Roman" w:hAnsi="Times New Roman" w:cs="Times New Roman"/>
          <w:sz w:val="26"/>
          <w:szCs w:val="26"/>
        </w:rPr>
        <w:t xml:space="preserve">and </w:t>
      </w:r>
      <w:r w:rsidR="004E5820">
        <w:rPr>
          <w:rFonts w:ascii="Times New Roman" w:hAnsi="Times New Roman" w:cs="Times New Roman"/>
          <w:sz w:val="26"/>
          <w:szCs w:val="26"/>
        </w:rPr>
        <w:t xml:space="preserve">later </w:t>
      </w:r>
      <w:r w:rsidR="00246F51">
        <w:rPr>
          <w:rFonts w:ascii="Times New Roman" w:hAnsi="Times New Roman" w:cs="Times New Roman"/>
          <w:sz w:val="26"/>
          <w:szCs w:val="26"/>
        </w:rPr>
        <w:t xml:space="preserve">when </w:t>
      </w:r>
      <w:r w:rsidR="000162B8">
        <w:rPr>
          <w:rFonts w:ascii="Times New Roman" w:hAnsi="Times New Roman" w:cs="Times New Roman"/>
          <w:sz w:val="26"/>
          <w:szCs w:val="26"/>
        </w:rPr>
        <w:t>the 24 class members signed arbitration agreements</w:t>
      </w:r>
      <w:r w:rsidR="00246F51">
        <w:rPr>
          <w:rFonts w:ascii="Times New Roman" w:hAnsi="Times New Roman" w:cs="Times New Roman"/>
          <w:sz w:val="26"/>
          <w:szCs w:val="26"/>
        </w:rPr>
        <w:t>.</w:t>
      </w:r>
      <w:r w:rsidR="000162B8">
        <w:rPr>
          <w:rFonts w:ascii="Times New Roman" w:hAnsi="Times New Roman" w:cs="Times New Roman"/>
          <w:sz w:val="26"/>
          <w:szCs w:val="26"/>
        </w:rPr>
        <w:t xml:space="preserve"> </w:t>
      </w:r>
    </w:p>
    <w:p w:rsidR="007F7994" w:rsidRPr="0012057B" w:rsidP="00DA7D2A" w14:paraId="56861A72" w14:textId="18FCE3FD">
      <w:pPr>
        <w:keepNext/>
        <w:spacing w:after="0" w:line="480" w:lineRule="atLeast"/>
        <w:ind w:firstLine="1440"/>
        <w:rPr>
          <w:rFonts w:ascii="Times New Roman" w:hAnsi="Times New Roman" w:cs="Times New Roman"/>
          <w:i/>
          <w:iCs/>
          <w:sz w:val="26"/>
          <w:szCs w:val="26"/>
        </w:rPr>
      </w:pPr>
      <w:r>
        <w:rPr>
          <w:rFonts w:ascii="Times New Roman" w:hAnsi="Times New Roman" w:cs="Times New Roman"/>
          <w:sz w:val="26"/>
          <w:szCs w:val="26"/>
        </w:rPr>
        <w:t xml:space="preserve">a. </w:t>
      </w:r>
      <w:r>
        <w:rPr>
          <w:rFonts w:ascii="Times New Roman" w:hAnsi="Times New Roman" w:cs="Times New Roman"/>
          <w:sz w:val="26"/>
          <w:szCs w:val="26"/>
        </w:rPr>
        <w:tab/>
      </w:r>
      <w:r w:rsidR="00611139">
        <w:rPr>
          <w:rFonts w:ascii="Times New Roman" w:hAnsi="Times New Roman" w:cs="Times New Roman"/>
          <w:i/>
          <w:iCs/>
          <w:sz w:val="26"/>
          <w:szCs w:val="26"/>
        </w:rPr>
        <w:t>The</w:t>
      </w:r>
      <w:r w:rsidRPr="0012057B">
        <w:rPr>
          <w:rFonts w:ascii="Times New Roman" w:hAnsi="Times New Roman" w:cs="Times New Roman"/>
          <w:i/>
          <w:iCs/>
          <w:sz w:val="26"/>
          <w:szCs w:val="26"/>
        </w:rPr>
        <w:t xml:space="preserve"> 2015 </w:t>
      </w:r>
      <w:r w:rsidR="00611139">
        <w:rPr>
          <w:rFonts w:ascii="Times New Roman" w:hAnsi="Times New Roman" w:cs="Times New Roman"/>
          <w:i/>
          <w:iCs/>
          <w:sz w:val="26"/>
          <w:szCs w:val="26"/>
        </w:rPr>
        <w:t>S</w:t>
      </w:r>
      <w:r w:rsidRPr="0012057B">
        <w:rPr>
          <w:rFonts w:ascii="Times New Roman" w:hAnsi="Times New Roman" w:cs="Times New Roman"/>
          <w:i/>
          <w:iCs/>
          <w:sz w:val="26"/>
          <w:szCs w:val="26"/>
        </w:rPr>
        <w:t>tipulation</w:t>
      </w:r>
    </w:p>
    <w:p w:rsidR="00D87057" w:rsidRPr="00077D3E" w:rsidP="00D87057" w14:paraId="2AEC290F" w14:textId="2AD247EA">
      <w:pPr>
        <w:spacing w:after="0" w:line="480" w:lineRule="atLeast"/>
        <w:ind w:firstLine="1440"/>
        <w:rPr>
          <w:rFonts w:ascii="Times New Roman" w:hAnsi="Times New Roman" w:cs="Times New Roman"/>
          <w:sz w:val="26"/>
          <w:szCs w:val="26"/>
        </w:rPr>
      </w:pPr>
      <w:r>
        <w:rPr>
          <w:rFonts w:ascii="Times New Roman" w:hAnsi="Times New Roman" w:cs="Times New Roman"/>
          <w:sz w:val="26"/>
          <w:szCs w:val="26"/>
        </w:rPr>
        <w:t xml:space="preserve">We first consider Semprini’s 2015 stipulation with Wedbush.  </w:t>
      </w:r>
      <w:r w:rsidRPr="00077D3E">
        <w:rPr>
          <w:rFonts w:ascii="Times New Roman" w:hAnsi="Times New Roman" w:cs="Times New Roman"/>
          <w:sz w:val="26"/>
          <w:szCs w:val="26"/>
        </w:rPr>
        <w:t xml:space="preserve">We interpret </w:t>
      </w:r>
      <w:r>
        <w:rPr>
          <w:rFonts w:ascii="Times New Roman" w:hAnsi="Times New Roman" w:cs="Times New Roman"/>
          <w:sz w:val="26"/>
          <w:szCs w:val="26"/>
        </w:rPr>
        <w:t>the stipulation</w:t>
      </w:r>
      <w:r w:rsidRPr="00077D3E">
        <w:rPr>
          <w:rFonts w:ascii="Times New Roman" w:hAnsi="Times New Roman" w:cs="Times New Roman"/>
          <w:sz w:val="26"/>
          <w:szCs w:val="26"/>
        </w:rPr>
        <w:t xml:space="preserve"> in accordance with the ordinary rules of contract interpretation</w:t>
      </w:r>
      <w:r>
        <w:rPr>
          <w:rFonts w:ascii="Times New Roman" w:hAnsi="Times New Roman" w:cs="Times New Roman"/>
          <w:sz w:val="26"/>
          <w:szCs w:val="26"/>
        </w:rPr>
        <w:t xml:space="preserve">, giving effect </w:t>
      </w:r>
      <w:r w:rsidRPr="00077D3E">
        <w:rPr>
          <w:rFonts w:ascii="Times New Roman" w:hAnsi="Times New Roman" w:cs="Times New Roman"/>
          <w:sz w:val="26"/>
          <w:szCs w:val="26"/>
        </w:rPr>
        <w:t xml:space="preserve">to the mutual intention of the parties at the time the </w:t>
      </w:r>
      <w:r>
        <w:rPr>
          <w:rFonts w:ascii="Times New Roman" w:hAnsi="Times New Roman" w:cs="Times New Roman"/>
          <w:sz w:val="26"/>
          <w:szCs w:val="26"/>
        </w:rPr>
        <w:t>stipulation was entered</w:t>
      </w:r>
      <w:r w:rsidRPr="00077D3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77D3E">
        <w:rPr>
          <w:rFonts w:ascii="Times New Roman" w:hAnsi="Times New Roman" w:cs="Times New Roman"/>
          <w:sz w:val="26"/>
          <w:szCs w:val="26"/>
        </w:rPr>
        <w:t>(</w:t>
      </w:r>
      <w:bookmarkStart w:id="24" w:name="dabmci_6ab62861a651479687da992a3ccc0422"/>
      <w:r w:rsidRPr="00D87057">
        <w:rPr>
          <w:rFonts w:ascii="Times New Roman" w:hAnsi="Times New Roman" w:cs="Times New Roman"/>
          <w:i/>
          <w:iCs/>
          <w:sz w:val="26"/>
          <w:szCs w:val="26"/>
        </w:rPr>
        <w:t>Dowling v. Farmers Ins. Exchange</w:t>
      </w:r>
      <w:r w:rsidRPr="00077D3E">
        <w:rPr>
          <w:rFonts w:ascii="Times New Roman" w:hAnsi="Times New Roman" w:cs="Times New Roman"/>
          <w:sz w:val="26"/>
          <w:szCs w:val="26"/>
        </w:rPr>
        <w:t xml:space="preserve"> (2012) 208 Cal.App.4th 685, 694–695</w:t>
      </w:r>
      <w:bookmarkEnd w:id="24"/>
      <w:r>
        <w:rPr>
          <w:rFonts w:ascii="Times New Roman" w:hAnsi="Times New Roman" w:cs="Times New Roman"/>
          <w:sz w:val="26"/>
          <w:szCs w:val="26"/>
        </w:rPr>
        <w:t xml:space="preserve">; </w:t>
      </w:r>
      <w:r w:rsidRPr="00077D3E">
        <w:rPr>
          <w:rFonts w:ascii="Times New Roman" w:hAnsi="Times New Roman" w:cs="Times New Roman"/>
          <w:sz w:val="26"/>
          <w:szCs w:val="26"/>
        </w:rPr>
        <w:t>Civ.</w:t>
      </w:r>
      <w:r>
        <w:rPr>
          <w:rFonts w:ascii="Times New Roman" w:hAnsi="Times New Roman" w:cs="Times New Roman"/>
          <w:sz w:val="26"/>
          <w:szCs w:val="26"/>
        </w:rPr>
        <w:t xml:space="preserve"> </w:t>
      </w:r>
      <w:r w:rsidRPr="00077D3E">
        <w:rPr>
          <w:rFonts w:ascii="Times New Roman" w:hAnsi="Times New Roman" w:cs="Times New Roman"/>
          <w:sz w:val="26"/>
          <w:szCs w:val="26"/>
        </w:rPr>
        <w:t>Code, §</w:t>
      </w:r>
      <w:r w:rsidR="008016B7">
        <w:rPr>
          <w:rFonts w:ascii="Times New Roman" w:hAnsi="Times New Roman" w:cs="Times New Roman"/>
          <w:sz w:val="26"/>
          <w:szCs w:val="26"/>
        </w:rPr>
        <w:t> </w:t>
      </w:r>
      <w:r w:rsidRPr="00077D3E">
        <w:rPr>
          <w:rFonts w:ascii="Times New Roman" w:hAnsi="Times New Roman" w:cs="Times New Roman"/>
          <w:sz w:val="26"/>
          <w:szCs w:val="26"/>
        </w:rPr>
        <w:t>1636.)</w:t>
      </w:r>
    </w:p>
    <w:p w:rsidR="002B6901" w:rsidP="000B1982" w14:paraId="6DB7DE74" w14:textId="7E575212">
      <w:pPr>
        <w:spacing w:after="0" w:line="480" w:lineRule="atLeast"/>
        <w:ind w:firstLine="1440"/>
        <w:rPr>
          <w:rFonts w:ascii="Times New Roman" w:hAnsi="Times New Roman" w:cs="Times New Roman"/>
          <w:b/>
          <w:bCs/>
          <w:sz w:val="26"/>
          <w:szCs w:val="26"/>
        </w:rPr>
      </w:pPr>
      <w:r>
        <w:rPr>
          <w:rFonts w:ascii="Times New Roman" w:hAnsi="Times New Roman" w:cs="Times New Roman"/>
          <w:sz w:val="26"/>
          <w:szCs w:val="26"/>
        </w:rPr>
        <w:t>T</w:t>
      </w:r>
      <w:r w:rsidRPr="00D813C5" w:rsidR="00D813C5">
        <w:rPr>
          <w:rFonts w:ascii="Times New Roman" w:hAnsi="Times New Roman" w:cs="Times New Roman"/>
          <w:sz w:val="26"/>
          <w:szCs w:val="26"/>
        </w:rPr>
        <w:t xml:space="preserve">he </w:t>
      </w:r>
      <w:r w:rsidR="007B2E0F">
        <w:rPr>
          <w:rFonts w:ascii="Times New Roman" w:hAnsi="Times New Roman" w:cs="Times New Roman"/>
          <w:sz w:val="26"/>
          <w:szCs w:val="26"/>
        </w:rPr>
        <w:t xml:space="preserve">2015 </w:t>
      </w:r>
      <w:r w:rsidRPr="00D813C5" w:rsidR="00D813C5">
        <w:rPr>
          <w:rFonts w:ascii="Times New Roman" w:hAnsi="Times New Roman" w:cs="Times New Roman"/>
          <w:sz w:val="26"/>
          <w:szCs w:val="26"/>
        </w:rPr>
        <w:t>stipulation</w:t>
      </w:r>
      <w:r w:rsidR="00F90B41">
        <w:rPr>
          <w:rFonts w:ascii="Times New Roman" w:hAnsi="Times New Roman" w:cs="Times New Roman"/>
          <w:sz w:val="26"/>
          <w:szCs w:val="26"/>
        </w:rPr>
        <w:t xml:space="preserve"> </w:t>
      </w:r>
      <w:r w:rsidRPr="00D813C5" w:rsidR="00D813C5">
        <w:rPr>
          <w:rFonts w:ascii="Times New Roman" w:hAnsi="Times New Roman" w:cs="Times New Roman"/>
          <w:sz w:val="26"/>
          <w:szCs w:val="26"/>
        </w:rPr>
        <w:t>recited that “there is a written agreement between [Semprini and Wedbush] whereby they agreed that non-class and non-putative class disputes between them shall be resolved by arbitration before the [FINRA].”</w:t>
      </w:r>
      <w:r>
        <w:rPr>
          <w:rStyle w:val="FootnoteReference"/>
          <w:rFonts w:ascii="Times New Roman" w:hAnsi="Times New Roman" w:cs="Times New Roman"/>
          <w:sz w:val="26"/>
          <w:szCs w:val="26"/>
        </w:rPr>
        <w:footnoteReference w:id="6"/>
      </w:r>
      <w:r w:rsidR="004E5D86">
        <w:rPr>
          <w:rFonts w:ascii="Times New Roman" w:hAnsi="Times New Roman" w:cs="Times New Roman"/>
          <w:sz w:val="26"/>
          <w:szCs w:val="26"/>
        </w:rPr>
        <w:t xml:space="preserve">  </w:t>
      </w:r>
      <w:r w:rsidR="00C2309A">
        <w:rPr>
          <w:rFonts w:ascii="Times New Roman" w:hAnsi="Times New Roman" w:cs="Times New Roman"/>
          <w:sz w:val="26"/>
          <w:szCs w:val="26"/>
        </w:rPr>
        <w:t xml:space="preserve">The stipulation then </w:t>
      </w:r>
      <w:r w:rsidR="007B2E0F">
        <w:rPr>
          <w:rFonts w:ascii="Times New Roman" w:hAnsi="Times New Roman" w:cs="Times New Roman"/>
          <w:sz w:val="26"/>
          <w:szCs w:val="26"/>
        </w:rPr>
        <w:t>specified that</w:t>
      </w:r>
      <w:r w:rsidR="00C2309A">
        <w:rPr>
          <w:rFonts w:ascii="Times New Roman" w:hAnsi="Times New Roman" w:cs="Times New Roman"/>
          <w:sz w:val="26"/>
          <w:szCs w:val="26"/>
        </w:rPr>
        <w:t xml:space="preserve"> </w:t>
      </w:r>
      <w:r w:rsidRPr="00D813C5" w:rsidR="00D813C5">
        <w:rPr>
          <w:rFonts w:ascii="Times New Roman" w:hAnsi="Times New Roman" w:cs="Times New Roman"/>
          <w:sz w:val="26"/>
          <w:szCs w:val="26"/>
        </w:rPr>
        <w:t xml:space="preserve">causes of action </w:t>
      </w:r>
      <w:r w:rsidR="008016B7">
        <w:rPr>
          <w:rFonts w:ascii="Times New Roman" w:hAnsi="Times New Roman" w:cs="Times New Roman"/>
          <w:sz w:val="26"/>
          <w:szCs w:val="26"/>
        </w:rPr>
        <w:t>eight</w:t>
      </w:r>
      <w:r w:rsidR="00C2309A">
        <w:rPr>
          <w:rFonts w:ascii="Times New Roman" w:hAnsi="Times New Roman" w:cs="Times New Roman"/>
          <w:sz w:val="26"/>
          <w:szCs w:val="26"/>
        </w:rPr>
        <w:t xml:space="preserve"> through </w:t>
      </w:r>
      <w:r w:rsidRPr="00D813C5" w:rsidR="00D813C5">
        <w:rPr>
          <w:rFonts w:ascii="Times New Roman" w:hAnsi="Times New Roman" w:cs="Times New Roman"/>
          <w:sz w:val="26"/>
          <w:szCs w:val="26"/>
        </w:rPr>
        <w:t>18</w:t>
      </w:r>
      <w:r w:rsidR="00C2309A">
        <w:rPr>
          <w:rFonts w:ascii="Times New Roman" w:hAnsi="Times New Roman" w:cs="Times New Roman"/>
          <w:sz w:val="26"/>
          <w:szCs w:val="26"/>
        </w:rPr>
        <w:t xml:space="preserve"> (Semprini’s individual claims like discrimination and wrongful termination</w:t>
      </w:r>
      <w:r w:rsidRPr="00D813C5" w:rsidR="00D813C5">
        <w:rPr>
          <w:rFonts w:ascii="Times New Roman" w:hAnsi="Times New Roman" w:cs="Times New Roman"/>
          <w:sz w:val="26"/>
          <w:szCs w:val="26"/>
        </w:rPr>
        <w:t>)</w:t>
      </w:r>
      <w:r w:rsidR="00C2309A">
        <w:rPr>
          <w:rFonts w:ascii="Times New Roman" w:hAnsi="Times New Roman" w:cs="Times New Roman"/>
          <w:sz w:val="26"/>
          <w:szCs w:val="26"/>
        </w:rPr>
        <w:t xml:space="preserve"> would be arbitrated and that </w:t>
      </w:r>
      <w:r w:rsidRPr="00D813C5" w:rsidR="00D813C5">
        <w:rPr>
          <w:rFonts w:ascii="Times New Roman" w:hAnsi="Times New Roman" w:cs="Times New Roman"/>
          <w:sz w:val="26"/>
          <w:szCs w:val="26"/>
        </w:rPr>
        <w:t xml:space="preserve">“all other causes of action will proceed before this Court.” </w:t>
      </w:r>
    </w:p>
    <w:p w:rsidR="00C2309A" w:rsidRPr="00DD25DC" w:rsidP="000B1982" w14:paraId="082B51EE" w14:textId="6D6BDB5A">
      <w:pPr>
        <w:spacing w:after="0" w:line="480" w:lineRule="atLeast"/>
        <w:ind w:firstLine="1440"/>
        <w:rPr>
          <w:rFonts w:ascii="Times New Roman" w:hAnsi="Times New Roman" w:cs="Times New Roman"/>
          <w:sz w:val="26"/>
          <w:szCs w:val="26"/>
        </w:rPr>
      </w:pPr>
      <w:r>
        <w:rPr>
          <w:rFonts w:ascii="Times New Roman" w:hAnsi="Times New Roman" w:cs="Times New Roman"/>
          <w:sz w:val="26"/>
          <w:szCs w:val="26"/>
        </w:rPr>
        <w:t xml:space="preserve">In agreeing that causes of action </w:t>
      </w:r>
      <w:r w:rsidR="008016B7">
        <w:rPr>
          <w:rFonts w:ascii="Times New Roman" w:hAnsi="Times New Roman" w:cs="Times New Roman"/>
          <w:sz w:val="26"/>
          <w:szCs w:val="26"/>
        </w:rPr>
        <w:t>one</w:t>
      </w:r>
      <w:r>
        <w:rPr>
          <w:rFonts w:ascii="Times New Roman" w:hAnsi="Times New Roman" w:cs="Times New Roman"/>
          <w:sz w:val="26"/>
          <w:szCs w:val="26"/>
        </w:rPr>
        <w:t xml:space="preserve"> through </w:t>
      </w:r>
      <w:r w:rsidR="008016B7">
        <w:rPr>
          <w:rFonts w:ascii="Times New Roman" w:hAnsi="Times New Roman" w:cs="Times New Roman"/>
          <w:sz w:val="26"/>
          <w:szCs w:val="26"/>
        </w:rPr>
        <w:t>seven</w:t>
      </w:r>
      <w:r>
        <w:rPr>
          <w:rFonts w:ascii="Times New Roman" w:hAnsi="Times New Roman" w:cs="Times New Roman"/>
          <w:sz w:val="26"/>
          <w:szCs w:val="26"/>
        </w:rPr>
        <w:t xml:space="preserve"> and 19 would “proceed before” the trial court, Wedbush </w:t>
      </w:r>
      <w:r w:rsidRPr="00C2309A">
        <w:rPr>
          <w:rFonts w:ascii="Times New Roman" w:hAnsi="Times New Roman" w:cs="Times New Roman"/>
          <w:sz w:val="26"/>
          <w:szCs w:val="26"/>
        </w:rPr>
        <w:t xml:space="preserve">waived </w:t>
      </w:r>
      <w:r>
        <w:rPr>
          <w:rFonts w:ascii="Times New Roman" w:hAnsi="Times New Roman" w:cs="Times New Roman"/>
          <w:sz w:val="26"/>
          <w:szCs w:val="26"/>
        </w:rPr>
        <w:t xml:space="preserve">the </w:t>
      </w:r>
      <w:r w:rsidRPr="00C2309A">
        <w:rPr>
          <w:rFonts w:ascii="Times New Roman" w:hAnsi="Times New Roman" w:cs="Times New Roman"/>
          <w:sz w:val="26"/>
          <w:szCs w:val="26"/>
        </w:rPr>
        <w:t>right to arbitrate</w:t>
      </w:r>
      <w:r w:rsidR="00200B91">
        <w:rPr>
          <w:rFonts w:ascii="Times New Roman" w:hAnsi="Times New Roman" w:cs="Times New Roman"/>
          <w:sz w:val="26"/>
          <w:szCs w:val="26"/>
        </w:rPr>
        <w:t xml:space="preserve"> Semprini’s </w:t>
      </w:r>
      <w:r w:rsidR="00E6704F">
        <w:rPr>
          <w:rFonts w:ascii="Times New Roman" w:hAnsi="Times New Roman" w:cs="Times New Roman"/>
          <w:sz w:val="26"/>
          <w:szCs w:val="26"/>
        </w:rPr>
        <w:t>class or representative claims</w:t>
      </w:r>
      <w:r w:rsidR="00C82343">
        <w:rPr>
          <w:rFonts w:ascii="Times New Roman" w:hAnsi="Times New Roman" w:cs="Times New Roman"/>
          <w:sz w:val="26"/>
          <w:szCs w:val="26"/>
        </w:rPr>
        <w:t xml:space="preserve">, at least to the extent Wedbush </w:t>
      </w:r>
      <w:r w:rsidR="0043009A">
        <w:rPr>
          <w:rFonts w:ascii="Times New Roman" w:hAnsi="Times New Roman" w:cs="Times New Roman"/>
          <w:sz w:val="26"/>
          <w:szCs w:val="26"/>
        </w:rPr>
        <w:t>had such a right at the time.</w:t>
      </w:r>
      <w:r w:rsidR="002B6901">
        <w:rPr>
          <w:rFonts w:ascii="Times New Roman" w:hAnsi="Times New Roman" w:cs="Times New Roman"/>
          <w:sz w:val="26"/>
          <w:szCs w:val="26"/>
        </w:rPr>
        <w:t xml:space="preserve">  </w:t>
      </w:r>
      <w:r w:rsidR="000C2052">
        <w:rPr>
          <w:rFonts w:ascii="Times New Roman" w:hAnsi="Times New Roman" w:cs="Times New Roman"/>
          <w:sz w:val="26"/>
          <w:szCs w:val="26"/>
        </w:rPr>
        <w:t>The question</w:t>
      </w:r>
      <w:r w:rsidR="0043009A">
        <w:rPr>
          <w:rFonts w:ascii="Times New Roman" w:hAnsi="Times New Roman" w:cs="Times New Roman"/>
          <w:sz w:val="26"/>
          <w:szCs w:val="26"/>
        </w:rPr>
        <w:t xml:space="preserve"> remains, however</w:t>
      </w:r>
      <w:r w:rsidR="000C2052">
        <w:rPr>
          <w:rFonts w:ascii="Times New Roman" w:hAnsi="Times New Roman" w:cs="Times New Roman"/>
          <w:sz w:val="26"/>
          <w:szCs w:val="26"/>
        </w:rPr>
        <w:t>, whether</w:t>
      </w:r>
      <w:r w:rsidR="00E86477">
        <w:rPr>
          <w:rFonts w:ascii="Times New Roman" w:hAnsi="Times New Roman" w:cs="Times New Roman"/>
          <w:sz w:val="26"/>
          <w:szCs w:val="26"/>
        </w:rPr>
        <w:t xml:space="preserve"> later</w:t>
      </w:r>
      <w:r w:rsidR="000C2052">
        <w:rPr>
          <w:rFonts w:ascii="Times New Roman" w:hAnsi="Times New Roman" w:cs="Times New Roman"/>
          <w:sz w:val="26"/>
          <w:szCs w:val="26"/>
        </w:rPr>
        <w:t xml:space="preserve"> development</w:t>
      </w:r>
      <w:r w:rsidR="00E72003">
        <w:rPr>
          <w:rFonts w:ascii="Times New Roman" w:hAnsi="Times New Roman" w:cs="Times New Roman"/>
          <w:sz w:val="26"/>
          <w:szCs w:val="26"/>
        </w:rPr>
        <w:t>s</w:t>
      </w:r>
      <w:r w:rsidR="000C2052">
        <w:rPr>
          <w:rFonts w:ascii="Times New Roman" w:hAnsi="Times New Roman" w:cs="Times New Roman"/>
          <w:sz w:val="26"/>
          <w:szCs w:val="26"/>
        </w:rPr>
        <w:t xml:space="preserve"> in the case</w:t>
      </w:r>
      <w:r w:rsidR="00E86477">
        <w:rPr>
          <w:rFonts w:ascii="Times New Roman" w:hAnsi="Times New Roman" w:cs="Times New Roman"/>
          <w:sz w:val="26"/>
          <w:szCs w:val="26"/>
        </w:rPr>
        <w:t xml:space="preserve">—specifically, the Supreme Court’s 2022 decision in </w:t>
      </w:r>
      <w:r w:rsidR="00DD25DC">
        <w:rPr>
          <w:rFonts w:ascii="Times New Roman" w:hAnsi="Times New Roman" w:cs="Times New Roman"/>
          <w:i/>
          <w:iCs/>
          <w:sz w:val="26"/>
          <w:szCs w:val="26"/>
        </w:rPr>
        <w:t xml:space="preserve">Viking River </w:t>
      </w:r>
      <w:r w:rsidR="00DD25DC">
        <w:rPr>
          <w:rFonts w:ascii="Times New Roman" w:hAnsi="Times New Roman" w:cs="Times New Roman"/>
          <w:sz w:val="26"/>
          <w:szCs w:val="26"/>
        </w:rPr>
        <w:t>or the 2022</w:t>
      </w:r>
      <w:r w:rsidR="00B53A1E">
        <w:rPr>
          <w:rFonts w:ascii="Times New Roman" w:hAnsi="Times New Roman" w:cs="Times New Roman"/>
          <w:sz w:val="26"/>
          <w:szCs w:val="26"/>
        </w:rPr>
        <w:t xml:space="preserve"> arbitration agreements</w:t>
      </w:r>
      <w:r w:rsidR="00E86477">
        <w:rPr>
          <w:rFonts w:ascii="Times New Roman" w:hAnsi="Times New Roman" w:cs="Times New Roman"/>
          <w:sz w:val="26"/>
          <w:szCs w:val="26"/>
        </w:rPr>
        <w:t xml:space="preserve"> with Swain and 23 other class members—</w:t>
      </w:r>
      <w:r w:rsidR="0043009A">
        <w:rPr>
          <w:rFonts w:ascii="Times New Roman" w:hAnsi="Times New Roman" w:cs="Times New Roman"/>
          <w:sz w:val="26"/>
          <w:szCs w:val="26"/>
        </w:rPr>
        <w:t xml:space="preserve">gave rise to a new right to compel arbitration that did not exist when </w:t>
      </w:r>
      <w:r w:rsidR="00A1078A">
        <w:rPr>
          <w:rFonts w:ascii="Times New Roman" w:hAnsi="Times New Roman" w:cs="Times New Roman"/>
          <w:sz w:val="26"/>
          <w:szCs w:val="26"/>
        </w:rPr>
        <w:t xml:space="preserve">Semprini and Wedbush entered into the 2015 </w:t>
      </w:r>
      <w:r w:rsidR="0095446C">
        <w:rPr>
          <w:rFonts w:ascii="Times New Roman" w:hAnsi="Times New Roman" w:cs="Times New Roman"/>
          <w:sz w:val="26"/>
          <w:szCs w:val="26"/>
        </w:rPr>
        <w:t xml:space="preserve">stipulation.  </w:t>
      </w:r>
    </w:p>
    <w:p w:rsidR="006E55A9" w:rsidRPr="00B55DAD" w:rsidP="00DA7D2A" w14:paraId="07DBC3E6" w14:textId="2A85503F">
      <w:pPr>
        <w:keepNext/>
        <w:spacing w:after="0" w:line="480" w:lineRule="atLeast"/>
        <w:ind w:firstLine="1440"/>
        <w:rPr>
          <w:rFonts w:ascii="Times New Roman" w:hAnsi="Times New Roman" w:cs="Times New Roman"/>
          <w:i/>
          <w:iCs/>
          <w:sz w:val="26"/>
          <w:szCs w:val="26"/>
        </w:rPr>
      </w:pPr>
      <w:r w:rsidRPr="00B55DAD">
        <w:rPr>
          <w:rFonts w:ascii="Times New Roman" w:hAnsi="Times New Roman" w:cs="Times New Roman"/>
          <w:sz w:val="26"/>
          <w:szCs w:val="26"/>
        </w:rPr>
        <w:t>b.</w:t>
      </w:r>
      <w:r w:rsidRPr="00B55DAD">
        <w:rPr>
          <w:rFonts w:ascii="Times New Roman" w:hAnsi="Times New Roman" w:cs="Times New Roman"/>
          <w:sz w:val="26"/>
          <w:szCs w:val="26"/>
        </w:rPr>
        <w:tab/>
      </w:r>
      <w:r w:rsidR="00B55DAD">
        <w:rPr>
          <w:rFonts w:ascii="Times New Roman" w:hAnsi="Times New Roman" w:cs="Times New Roman"/>
          <w:i/>
          <w:iCs/>
          <w:sz w:val="26"/>
          <w:szCs w:val="26"/>
        </w:rPr>
        <w:t xml:space="preserve">The </w:t>
      </w:r>
      <w:r w:rsidRPr="00B55DAD" w:rsidR="00325EAF">
        <w:rPr>
          <w:rFonts w:ascii="Times New Roman" w:hAnsi="Times New Roman" w:cs="Times New Roman"/>
          <w:sz w:val="26"/>
          <w:szCs w:val="26"/>
        </w:rPr>
        <w:t>Viking River</w:t>
      </w:r>
      <w:r w:rsidR="00B55DAD">
        <w:rPr>
          <w:rFonts w:ascii="Times New Roman" w:hAnsi="Times New Roman" w:cs="Times New Roman"/>
          <w:sz w:val="26"/>
          <w:szCs w:val="26"/>
        </w:rPr>
        <w:t xml:space="preserve"> </w:t>
      </w:r>
      <w:r w:rsidR="00B55DAD">
        <w:rPr>
          <w:rFonts w:ascii="Times New Roman" w:hAnsi="Times New Roman" w:cs="Times New Roman"/>
          <w:i/>
          <w:iCs/>
          <w:sz w:val="26"/>
          <w:szCs w:val="26"/>
        </w:rPr>
        <w:t xml:space="preserve">Decision </w:t>
      </w:r>
    </w:p>
    <w:p w:rsidR="00F236F4" w:rsidP="000B1982" w14:paraId="250F99B1" w14:textId="42252096">
      <w:pPr>
        <w:spacing w:after="0" w:line="480" w:lineRule="atLeast"/>
        <w:ind w:firstLine="1440"/>
        <w:rPr>
          <w:rFonts w:ascii="Times New Roman" w:hAnsi="Times New Roman" w:cs="Times New Roman"/>
          <w:sz w:val="26"/>
          <w:szCs w:val="26"/>
        </w:rPr>
      </w:pPr>
      <w:r>
        <w:rPr>
          <w:rFonts w:ascii="Times New Roman" w:hAnsi="Times New Roman" w:cs="Times New Roman"/>
          <w:sz w:val="26"/>
          <w:szCs w:val="26"/>
        </w:rPr>
        <w:t>B</w:t>
      </w:r>
      <w:r w:rsidR="00FE132D">
        <w:rPr>
          <w:rFonts w:ascii="Times New Roman" w:hAnsi="Times New Roman" w:cs="Times New Roman"/>
          <w:sz w:val="26"/>
          <w:szCs w:val="26"/>
        </w:rPr>
        <w:t xml:space="preserve">efore </w:t>
      </w:r>
      <w:r w:rsidR="00FE132D">
        <w:rPr>
          <w:rFonts w:ascii="Times New Roman" w:hAnsi="Times New Roman" w:cs="Times New Roman"/>
          <w:i/>
          <w:iCs/>
          <w:sz w:val="26"/>
          <w:szCs w:val="26"/>
        </w:rPr>
        <w:t xml:space="preserve">Viking </w:t>
      </w:r>
      <w:r w:rsidRPr="00692A23" w:rsidR="00FE132D">
        <w:rPr>
          <w:rFonts w:ascii="Times New Roman" w:hAnsi="Times New Roman" w:cs="Times New Roman"/>
          <w:i/>
          <w:iCs/>
          <w:sz w:val="26"/>
          <w:szCs w:val="26"/>
        </w:rPr>
        <w:t>River</w:t>
      </w:r>
      <w:r>
        <w:rPr>
          <w:rFonts w:ascii="Times New Roman" w:hAnsi="Times New Roman" w:cs="Times New Roman"/>
          <w:sz w:val="26"/>
          <w:szCs w:val="26"/>
        </w:rPr>
        <w:t xml:space="preserve">, </w:t>
      </w:r>
      <w:r w:rsidRPr="00692A23" w:rsidR="00FE132D">
        <w:rPr>
          <w:rFonts w:ascii="Times New Roman" w:hAnsi="Times New Roman" w:cs="Times New Roman"/>
          <w:sz w:val="26"/>
          <w:szCs w:val="26"/>
        </w:rPr>
        <w:t>it</w:t>
      </w:r>
      <w:r w:rsidR="00FE132D">
        <w:rPr>
          <w:rFonts w:ascii="Times New Roman" w:hAnsi="Times New Roman" w:cs="Times New Roman"/>
          <w:sz w:val="26"/>
          <w:szCs w:val="26"/>
        </w:rPr>
        <w:t xml:space="preserve"> </w:t>
      </w:r>
      <w:r w:rsidRPr="00FE132D" w:rsidR="00FE132D">
        <w:rPr>
          <w:rFonts w:ascii="Times New Roman" w:hAnsi="Times New Roman" w:cs="Times New Roman"/>
          <w:sz w:val="26"/>
          <w:szCs w:val="26"/>
        </w:rPr>
        <w:t xml:space="preserve">was settled law in California that PAGA claims could not be split into “individual” and “representative” components (the individual component corresponding to the alleged violations experienced by the plaintiff, and the representative component corresponding to the alleged violations experienced by other employees), and further that </w:t>
      </w:r>
      <w:r w:rsidR="00F90B41">
        <w:rPr>
          <w:rFonts w:ascii="Times New Roman" w:hAnsi="Times New Roman" w:cs="Times New Roman"/>
          <w:sz w:val="26"/>
          <w:szCs w:val="26"/>
        </w:rPr>
        <w:t xml:space="preserve">individual </w:t>
      </w:r>
      <w:r w:rsidRPr="00FE132D" w:rsidR="00FE132D">
        <w:rPr>
          <w:rFonts w:ascii="Times New Roman" w:hAnsi="Times New Roman" w:cs="Times New Roman"/>
          <w:sz w:val="26"/>
          <w:szCs w:val="26"/>
        </w:rPr>
        <w:t xml:space="preserve">PAGA claims could not be compelled to </w:t>
      </w:r>
      <w:r w:rsidRPr="006E22A0" w:rsidR="00FE132D">
        <w:rPr>
          <w:rFonts w:ascii="Times New Roman" w:hAnsi="Times New Roman" w:cs="Times New Roman"/>
          <w:sz w:val="26"/>
          <w:szCs w:val="26"/>
        </w:rPr>
        <w:t>arbitration</w:t>
      </w:r>
      <w:r w:rsidR="00A87E34">
        <w:rPr>
          <w:rFonts w:ascii="Times New Roman" w:hAnsi="Times New Roman" w:cs="Times New Roman"/>
          <w:sz w:val="26"/>
          <w:szCs w:val="26"/>
        </w:rPr>
        <w:t xml:space="preserve"> in whole or in part</w:t>
      </w:r>
      <w:r w:rsidRPr="006E22A0" w:rsidR="00FE132D">
        <w:rPr>
          <w:rFonts w:ascii="Times New Roman" w:hAnsi="Times New Roman" w:cs="Times New Roman"/>
          <w:sz w:val="26"/>
          <w:szCs w:val="26"/>
        </w:rPr>
        <w:t>.  (</w:t>
      </w:r>
      <w:r w:rsidRPr="006E22A0" w:rsidR="006E22A0">
        <w:rPr>
          <w:rFonts w:ascii="Times New Roman" w:hAnsi="Times New Roman" w:cs="Times New Roman"/>
          <w:sz w:val="26"/>
          <w:szCs w:val="26"/>
        </w:rPr>
        <w:t xml:space="preserve">See </w:t>
      </w:r>
      <w:bookmarkStart w:id="26" w:name="dabmci_17bb714f647a423ebf57dbf250e45cdd"/>
      <w:r w:rsidRPr="006E22A0" w:rsidR="00FE132D">
        <w:rPr>
          <w:rFonts w:ascii="Times New Roman" w:hAnsi="Times New Roman" w:cs="Times New Roman"/>
          <w:i/>
          <w:iCs/>
          <w:sz w:val="26"/>
          <w:szCs w:val="26"/>
        </w:rPr>
        <w:t>Iskanian</w:t>
      </w:r>
      <w:r w:rsidRPr="006E22A0" w:rsidR="00F90B41">
        <w:rPr>
          <w:rFonts w:ascii="Times New Roman" w:hAnsi="Times New Roman" w:cs="Times New Roman"/>
          <w:i/>
          <w:iCs/>
          <w:sz w:val="26"/>
          <w:szCs w:val="26"/>
        </w:rPr>
        <w:t xml:space="preserve"> v. </w:t>
      </w:r>
      <w:r w:rsidRPr="006E22A0" w:rsidR="00763A80">
        <w:rPr>
          <w:rFonts w:ascii="Times New Roman" w:hAnsi="Times New Roman" w:cs="Times New Roman"/>
          <w:i/>
          <w:iCs/>
          <w:sz w:val="26"/>
          <w:szCs w:val="26"/>
        </w:rPr>
        <w:t>CLS Transportation Los Angeles, LLC</w:t>
      </w:r>
      <w:r w:rsidRPr="006E22A0" w:rsidR="00F90B41">
        <w:rPr>
          <w:rFonts w:ascii="Times New Roman" w:hAnsi="Times New Roman" w:cs="Times New Roman"/>
          <w:i/>
          <w:iCs/>
          <w:sz w:val="26"/>
          <w:szCs w:val="26"/>
        </w:rPr>
        <w:t xml:space="preserve"> </w:t>
      </w:r>
      <w:r w:rsidRPr="006E22A0" w:rsidR="00F90B41">
        <w:rPr>
          <w:rFonts w:ascii="Times New Roman" w:hAnsi="Times New Roman" w:cs="Times New Roman"/>
          <w:sz w:val="26"/>
          <w:szCs w:val="26"/>
        </w:rPr>
        <w:t>(2014)</w:t>
      </w:r>
      <w:r w:rsidRPr="006E22A0" w:rsidR="00FE132D">
        <w:rPr>
          <w:rFonts w:ascii="Times New Roman" w:hAnsi="Times New Roman" w:cs="Times New Roman"/>
          <w:sz w:val="26"/>
          <w:szCs w:val="26"/>
        </w:rPr>
        <w:t xml:space="preserve"> 59 Cal.4th </w:t>
      </w:r>
      <w:r w:rsidRPr="006E22A0" w:rsidR="006E22A0">
        <w:rPr>
          <w:rFonts w:ascii="Times New Roman" w:hAnsi="Times New Roman" w:cs="Times New Roman"/>
          <w:sz w:val="26"/>
          <w:szCs w:val="26"/>
        </w:rPr>
        <w:t>348</w:t>
      </w:r>
      <w:r w:rsidRPr="006E22A0" w:rsidR="00F90B41">
        <w:rPr>
          <w:rFonts w:ascii="Times New Roman" w:hAnsi="Times New Roman" w:cs="Times New Roman"/>
          <w:sz w:val="26"/>
          <w:szCs w:val="26"/>
        </w:rPr>
        <w:t>,</w:t>
      </w:r>
      <w:r w:rsidRPr="006E22A0" w:rsidR="00FE132D">
        <w:rPr>
          <w:rFonts w:ascii="Times New Roman" w:hAnsi="Times New Roman" w:cs="Times New Roman"/>
          <w:sz w:val="26"/>
          <w:szCs w:val="26"/>
        </w:rPr>
        <w:t xml:space="preserve"> 382-384</w:t>
      </w:r>
      <w:r w:rsidRPr="006E22A0" w:rsidR="00F90B41">
        <w:rPr>
          <w:rFonts w:ascii="Times New Roman" w:hAnsi="Times New Roman" w:cs="Times New Roman"/>
          <w:sz w:val="26"/>
          <w:szCs w:val="26"/>
        </w:rPr>
        <w:t xml:space="preserve"> (</w:t>
      </w:r>
      <w:r w:rsidRPr="006E22A0" w:rsidR="00F90B41">
        <w:rPr>
          <w:rFonts w:ascii="Times New Roman" w:hAnsi="Times New Roman" w:cs="Times New Roman"/>
          <w:i/>
          <w:iCs/>
          <w:sz w:val="26"/>
          <w:szCs w:val="26"/>
        </w:rPr>
        <w:t>Iskanian</w:t>
      </w:r>
      <w:r w:rsidRPr="006E22A0" w:rsidR="00F967F3">
        <w:rPr>
          <w:rFonts w:ascii="Times New Roman" w:hAnsi="Times New Roman" w:cs="Times New Roman"/>
          <w:sz w:val="26"/>
          <w:szCs w:val="26"/>
        </w:rPr>
        <w:t>)</w:t>
      </w:r>
      <w:bookmarkEnd w:id="26"/>
      <w:r w:rsidRPr="006E22A0" w:rsidR="00F90B41">
        <w:rPr>
          <w:rFonts w:ascii="Times New Roman" w:hAnsi="Times New Roman" w:cs="Times New Roman"/>
          <w:sz w:val="26"/>
          <w:szCs w:val="26"/>
        </w:rPr>
        <w:t xml:space="preserve">, overruled on other grounds in </w:t>
      </w:r>
      <w:bookmarkStart w:id="27" w:name="dabmci_b78d24b7fabb4d66b021ee9ebd2d40a8"/>
      <w:r w:rsidRPr="006E22A0" w:rsidR="00F90B41">
        <w:rPr>
          <w:rFonts w:ascii="Times New Roman" w:hAnsi="Times New Roman" w:cs="Times New Roman"/>
          <w:i/>
          <w:iCs/>
          <w:sz w:val="26"/>
          <w:szCs w:val="26"/>
        </w:rPr>
        <w:t>Viking River, supra</w:t>
      </w:r>
      <w:r w:rsidRPr="006E22A0" w:rsidR="00F90B41">
        <w:rPr>
          <w:rFonts w:ascii="Times New Roman" w:hAnsi="Times New Roman" w:cs="Times New Roman"/>
          <w:sz w:val="26"/>
          <w:szCs w:val="26"/>
        </w:rPr>
        <w:t>, 596 U.S. 639</w:t>
      </w:r>
      <w:bookmarkEnd w:id="27"/>
      <w:r w:rsidRPr="008535FB" w:rsidR="00FE132D">
        <w:rPr>
          <w:rFonts w:ascii="Times New Roman" w:hAnsi="Times New Roman" w:cs="Times New Roman"/>
          <w:sz w:val="26"/>
          <w:szCs w:val="26"/>
        </w:rPr>
        <w:t xml:space="preserve">.)  In </w:t>
      </w:r>
      <w:r w:rsidRPr="008535FB" w:rsidR="00FE132D">
        <w:rPr>
          <w:rFonts w:ascii="Times New Roman" w:hAnsi="Times New Roman" w:cs="Times New Roman"/>
          <w:i/>
          <w:iCs/>
          <w:sz w:val="26"/>
          <w:szCs w:val="26"/>
        </w:rPr>
        <w:t>Viking River</w:t>
      </w:r>
      <w:r w:rsidRPr="008535FB" w:rsidR="00FE132D">
        <w:rPr>
          <w:rFonts w:ascii="Times New Roman" w:hAnsi="Times New Roman" w:cs="Times New Roman"/>
          <w:sz w:val="26"/>
          <w:szCs w:val="26"/>
        </w:rPr>
        <w:t>,</w:t>
      </w:r>
      <w:r w:rsidRPr="008535FB" w:rsidR="008A4F08">
        <w:rPr>
          <w:rFonts w:ascii="Times New Roman" w:hAnsi="Times New Roman" w:cs="Times New Roman"/>
          <w:sz w:val="26"/>
          <w:szCs w:val="26"/>
        </w:rPr>
        <w:t xml:space="preserve"> </w:t>
      </w:r>
      <w:r w:rsidRPr="008535FB" w:rsidR="00FE132D">
        <w:rPr>
          <w:rFonts w:ascii="Times New Roman" w:hAnsi="Times New Roman" w:cs="Times New Roman"/>
          <w:sz w:val="26"/>
          <w:szCs w:val="26"/>
        </w:rPr>
        <w:t xml:space="preserve">the United States Supreme Court rejected that portion of </w:t>
      </w:r>
      <w:r w:rsidRPr="008535FB" w:rsidR="00FE132D">
        <w:rPr>
          <w:rFonts w:ascii="Times New Roman" w:hAnsi="Times New Roman" w:cs="Times New Roman"/>
          <w:i/>
          <w:iCs/>
          <w:sz w:val="26"/>
          <w:szCs w:val="26"/>
        </w:rPr>
        <w:t>Iskanian</w:t>
      </w:r>
      <w:r w:rsidRPr="008535FB" w:rsidR="00FE132D">
        <w:rPr>
          <w:rFonts w:ascii="Times New Roman" w:hAnsi="Times New Roman" w:cs="Times New Roman"/>
          <w:sz w:val="26"/>
          <w:szCs w:val="26"/>
        </w:rPr>
        <w:t>, holding that</w:t>
      </w:r>
      <w:r w:rsidRPr="008535FB" w:rsidR="00CA507D">
        <w:rPr>
          <w:rFonts w:ascii="Times New Roman" w:hAnsi="Times New Roman" w:cs="Times New Roman"/>
          <w:sz w:val="26"/>
          <w:szCs w:val="26"/>
        </w:rPr>
        <w:t xml:space="preserve"> PAGA claims may </w:t>
      </w:r>
      <w:r w:rsidRPr="008535FB" w:rsidR="0019561E">
        <w:rPr>
          <w:rFonts w:ascii="Times New Roman" w:hAnsi="Times New Roman" w:cs="Times New Roman"/>
          <w:sz w:val="26"/>
          <w:szCs w:val="26"/>
        </w:rPr>
        <w:t>be split into individual and representative compone</w:t>
      </w:r>
      <w:r w:rsidRPr="008535FB" w:rsidR="008A4F08">
        <w:rPr>
          <w:rFonts w:ascii="Times New Roman" w:hAnsi="Times New Roman" w:cs="Times New Roman"/>
          <w:sz w:val="26"/>
          <w:szCs w:val="26"/>
        </w:rPr>
        <w:t xml:space="preserve">nts </w:t>
      </w:r>
      <w:r w:rsidRPr="008535FB" w:rsidR="00F973D1">
        <w:rPr>
          <w:rFonts w:ascii="Times New Roman" w:hAnsi="Times New Roman" w:cs="Times New Roman"/>
          <w:sz w:val="26"/>
          <w:szCs w:val="26"/>
        </w:rPr>
        <w:t>and that an employer may enforce an agreement to arbitrate the individual component of an employee’s PAGA claim.  (</w:t>
      </w:r>
      <w:r w:rsidRPr="008535FB" w:rsidR="00F973D1">
        <w:rPr>
          <w:rFonts w:ascii="Times New Roman" w:hAnsi="Times New Roman" w:cs="Times New Roman"/>
          <w:i/>
          <w:iCs/>
          <w:sz w:val="26"/>
          <w:szCs w:val="26"/>
        </w:rPr>
        <w:t>Viking River</w:t>
      </w:r>
      <w:r w:rsidR="006C6493">
        <w:rPr>
          <w:rFonts w:ascii="Times New Roman" w:hAnsi="Times New Roman" w:cs="Times New Roman"/>
          <w:i/>
          <w:iCs/>
          <w:sz w:val="26"/>
          <w:szCs w:val="26"/>
        </w:rPr>
        <w:t>,</w:t>
      </w:r>
      <w:r w:rsidRPr="008535FB" w:rsidR="00F973D1">
        <w:rPr>
          <w:rFonts w:ascii="Times New Roman" w:hAnsi="Times New Roman" w:cs="Times New Roman"/>
          <w:i/>
          <w:iCs/>
          <w:sz w:val="26"/>
          <w:szCs w:val="26"/>
        </w:rPr>
        <w:t xml:space="preserve"> </w:t>
      </w:r>
      <w:bookmarkStart w:id="28" w:name="dabmci_1904e44ee0764d7ab1474bf9dda9c466"/>
      <w:r w:rsidRPr="00C06987" w:rsidR="00E17302">
        <w:rPr>
          <w:rFonts w:ascii="Times New Roman" w:hAnsi="Times New Roman" w:cs="Times New Roman"/>
          <w:sz w:val="26"/>
          <w:szCs w:val="26"/>
        </w:rPr>
        <w:t>at p. 662</w:t>
      </w:r>
      <w:bookmarkEnd w:id="28"/>
      <w:r w:rsidRPr="00C06987" w:rsidR="00E17302">
        <w:rPr>
          <w:rFonts w:ascii="Times New Roman" w:hAnsi="Times New Roman" w:cs="Times New Roman"/>
          <w:sz w:val="26"/>
          <w:szCs w:val="26"/>
        </w:rPr>
        <w:t>.)</w:t>
      </w:r>
      <w:r w:rsidRPr="00C06987" w:rsidR="00F973D1">
        <w:rPr>
          <w:rFonts w:ascii="Times New Roman" w:hAnsi="Times New Roman" w:cs="Times New Roman"/>
          <w:sz w:val="26"/>
          <w:szCs w:val="26"/>
        </w:rPr>
        <w:t xml:space="preserve"> </w:t>
      </w:r>
      <w:r w:rsidR="000E0C28">
        <w:rPr>
          <w:rFonts w:ascii="Times New Roman" w:hAnsi="Times New Roman" w:cs="Times New Roman"/>
          <w:sz w:val="26"/>
          <w:szCs w:val="26"/>
        </w:rPr>
        <w:t xml:space="preserve"> </w:t>
      </w:r>
    </w:p>
    <w:p w:rsidR="00FE132D" w:rsidP="000B1982" w14:paraId="6D0404BA" w14:textId="4EB30855">
      <w:pPr>
        <w:spacing w:after="0" w:line="480" w:lineRule="atLeast"/>
        <w:ind w:firstLine="1440"/>
        <w:rPr>
          <w:rFonts w:ascii="Times New Roman" w:hAnsi="Times New Roman" w:cs="Times New Roman"/>
          <w:sz w:val="26"/>
          <w:szCs w:val="26"/>
        </w:rPr>
      </w:pPr>
      <w:r w:rsidRPr="00C06987">
        <w:rPr>
          <w:rFonts w:ascii="Times New Roman" w:hAnsi="Times New Roman" w:cs="Times New Roman"/>
          <w:sz w:val="26"/>
          <w:szCs w:val="26"/>
        </w:rPr>
        <w:t>We</w:t>
      </w:r>
      <w:r w:rsidR="00421AD9">
        <w:rPr>
          <w:rFonts w:ascii="Times New Roman" w:hAnsi="Times New Roman" w:cs="Times New Roman"/>
          <w:sz w:val="26"/>
          <w:szCs w:val="26"/>
        </w:rPr>
        <w:t>d</w:t>
      </w:r>
      <w:r w:rsidRPr="00C06987">
        <w:rPr>
          <w:rFonts w:ascii="Times New Roman" w:hAnsi="Times New Roman" w:cs="Times New Roman"/>
          <w:sz w:val="26"/>
          <w:szCs w:val="26"/>
        </w:rPr>
        <w:t xml:space="preserve">bush </w:t>
      </w:r>
      <w:r w:rsidR="00C277AB">
        <w:rPr>
          <w:rFonts w:ascii="Times New Roman" w:hAnsi="Times New Roman" w:cs="Times New Roman"/>
          <w:sz w:val="26"/>
          <w:szCs w:val="26"/>
        </w:rPr>
        <w:t>argue</w:t>
      </w:r>
      <w:r w:rsidRPr="00C06987">
        <w:rPr>
          <w:rFonts w:ascii="Times New Roman" w:hAnsi="Times New Roman" w:cs="Times New Roman"/>
          <w:sz w:val="26"/>
          <w:szCs w:val="26"/>
        </w:rPr>
        <w:t xml:space="preserve">s </w:t>
      </w:r>
      <w:r w:rsidRPr="00C06987" w:rsidR="009C4B6B">
        <w:rPr>
          <w:rFonts w:ascii="Times New Roman" w:hAnsi="Times New Roman" w:cs="Times New Roman"/>
          <w:sz w:val="26"/>
          <w:szCs w:val="26"/>
        </w:rPr>
        <w:t>it c</w:t>
      </w:r>
      <w:r w:rsidR="004E5820">
        <w:rPr>
          <w:rFonts w:ascii="Times New Roman" w:hAnsi="Times New Roman" w:cs="Times New Roman"/>
          <w:sz w:val="26"/>
          <w:szCs w:val="26"/>
        </w:rPr>
        <w:t>ould not</w:t>
      </w:r>
      <w:r w:rsidRPr="00C06987" w:rsidR="009C4B6B">
        <w:rPr>
          <w:rFonts w:ascii="Times New Roman" w:hAnsi="Times New Roman" w:cs="Times New Roman"/>
          <w:sz w:val="26"/>
          <w:szCs w:val="26"/>
        </w:rPr>
        <w:t xml:space="preserve"> have waived its right to arbitrate the named plaintiffs’ individual PAGA claims in</w:t>
      </w:r>
      <w:r w:rsidR="009C4B6B">
        <w:rPr>
          <w:rFonts w:ascii="Times New Roman" w:hAnsi="Times New Roman" w:cs="Times New Roman"/>
          <w:sz w:val="26"/>
          <w:szCs w:val="26"/>
        </w:rPr>
        <w:t xml:space="preserve"> the 2015 stipulation because it did not have a right to arbitrat</w:t>
      </w:r>
      <w:r w:rsidR="00192B37">
        <w:rPr>
          <w:rFonts w:ascii="Times New Roman" w:hAnsi="Times New Roman" w:cs="Times New Roman"/>
          <w:sz w:val="26"/>
          <w:szCs w:val="26"/>
        </w:rPr>
        <w:t>e those claims</w:t>
      </w:r>
      <w:r w:rsidR="009C4B6B">
        <w:rPr>
          <w:rFonts w:ascii="Times New Roman" w:hAnsi="Times New Roman" w:cs="Times New Roman"/>
          <w:sz w:val="26"/>
          <w:szCs w:val="26"/>
        </w:rPr>
        <w:t xml:space="preserve"> until 2022 when </w:t>
      </w:r>
      <w:r w:rsidR="009C4B6B">
        <w:rPr>
          <w:rFonts w:ascii="Times New Roman" w:hAnsi="Times New Roman" w:cs="Times New Roman"/>
          <w:i/>
          <w:iCs/>
          <w:sz w:val="26"/>
          <w:szCs w:val="26"/>
        </w:rPr>
        <w:t xml:space="preserve">Viking River </w:t>
      </w:r>
      <w:r w:rsidR="009C4B6B">
        <w:rPr>
          <w:rFonts w:ascii="Times New Roman" w:hAnsi="Times New Roman" w:cs="Times New Roman"/>
          <w:sz w:val="26"/>
          <w:szCs w:val="26"/>
        </w:rPr>
        <w:t xml:space="preserve">was decided.  </w:t>
      </w:r>
      <w:r w:rsidR="00F236F4">
        <w:rPr>
          <w:rFonts w:ascii="Times New Roman" w:hAnsi="Times New Roman" w:cs="Times New Roman"/>
          <w:sz w:val="26"/>
          <w:szCs w:val="26"/>
        </w:rPr>
        <w:t xml:space="preserve">According to Wedbush, </w:t>
      </w:r>
      <w:r w:rsidR="00DA1917">
        <w:rPr>
          <w:rFonts w:ascii="Times New Roman" w:hAnsi="Times New Roman" w:cs="Times New Roman"/>
          <w:sz w:val="26"/>
          <w:szCs w:val="26"/>
        </w:rPr>
        <w:t>it</w:t>
      </w:r>
      <w:r w:rsidR="002A6E0D">
        <w:rPr>
          <w:rFonts w:ascii="Times New Roman" w:hAnsi="Times New Roman" w:cs="Times New Roman"/>
          <w:sz w:val="26"/>
          <w:szCs w:val="26"/>
        </w:rPr>
        <w:t>s failure to compel th</w:t>
      </w:r>
      <w:r w:rsidR="00192B37">
        <w:rPr>
          <w:rFonts w:ascii="Times New Roman" w:hAnsi="Times New Roman" w:cs="Times New Roman"/>
          <w:sz w:val="26"/>
          <w:szCs w:val="26"/>
        </w:rPr>
        <w:t xml:space="preserve">ose </w:t>
      </w:r>
      <w:r w:rsidR="002A6E0D">
        <w:rPr>
          <w:rFonts w:ascii="Times New Roman" w:hAnsi="Times New Roman" w:cs="Times New Roman"/>
          <w:sz w:val="26"/>
          <w:szCs w:val="26"/>
        </w:rPr>
        <w:t xml:space="preserve">claims to arbitration earlier in the litigation was reasonable and did not result in a waiver, because any such attempted motion would have been futile given the state of the law at the time. </w:t>
      </w:r>
    </w:p>
    <w:p w:rsidR="009933A3" w:rsidP="000B1982" w14:paraId="536EFF5A" w14:textId="47C8F005">
      <w:pPr>
        <w:spacing w:after="0" w:line="480" w:lineRule="atLeast"/>
        <w:ind w:firstLine="1440"/>
        <w:rPr>
          <w:rFonts w:ascii="Times New Roman" w:hAnsi="Times New Roman" w:cs="Times New Roman"/>
          <w:sz w:val="26"/>
          <w:szCs w:val="26"/>
        </w:rPr>
      </w:pPr>
      <w:r>
        <w:rPr>
          <w:rFonts w:ascii="Times New Roman" w:hAnsi="Times New Roman" w:cs="Times New Roman"/>
          <w:sz w:val="26"/>
          <w:szCs w:val="26"/>
        </w:rPr>
        <w:t>W</w:t>
      </w:r>
      <w:r w:rsidR="00C277AB">
        <w:rPr>
          <w:rFonts w:ascii="Times New Roman" w:hAnsi="Times New Roman" w:cs="Times New Roman"/>
          <w:sz w:val="26"/>
          <w:szCs w:val="26"/>
        </w:rPr>
        <w:t>e observe without deciding that W</w:t>
      </w:r>
      <w:r>
        <w:rPr>
          <w:rFonts w:ascii="Times New Roman" w:hAnsi="Times New Roman" w:cs="Times New Roman"/>
          <w:sz w:val="26"/>
          <w:szCs w:val="26"/>
        </w:rPr>
        <w:t xml:space="preserve">edbush </w:t>
      </w:r>
      <w:r w:rsidR="00FC52A9">
        <w:rPr>
          <w:rFonts w:ascii="Times New Roman" w:hAnsi="Times New Roman" w:cs="Times New Roman"/>
          <w:sz w:val="26"/>
          <w:szCs w:val="26"/>
        </w:rPr>
        <w:t xml:space="preserve">may be </w:t>
      </w:r>
      <w:r>
        <w:rPr>
          <w:rFonts w:ascii="Times New Roman" w:hAnsi="Times New Roman" w:cs="Times New Roman"/>
          <w:sz w:val="26"/>
          <w:szCs w:val="26"/>
        </w:rPr>
        <w:t xml:space="preserve">correct </w:t>
      </w:r>
      <w:r w:rsidR="00FC52A9">
        <w:rPr>
          <w:rFonts w:ascii="Times New Roman" w:hAnsi="Times New Roman" w:cs="Times New Roman"/>
          <w:sz w:val="26"/>
          <w:szCs w:val="26"/>
        </w:rPr>
        <w:t xml:space="preserve">when it argues </w:t>
      </w:r>
      <w:r>
        <w:rPr>
          <w:rFonts w:ascii="Times New Roman" w:hAnsi="Times New Roman" w:cs="Times New Roman"/>
          <w:sz w:val="26"/>
          <w:szCs w:val="26"/>
        </w:rPr>
        <w:t>that</w:t>
      </w:r>
      <w:r w:rsidR="00C277AB">
        <w:rPr>
          <w:rFonts w:ascii="Times New Roman" w:hAnsi="Times New Roman" w:cs="Times New Roman"/>
          <w:sz w:val="26"/>
          <w:szCs w:val="26"/>
        </w:rPr>
        <w:t>,</w:t>
      </w:r>
      <w:r w:rsidR="0077732C">
        <w:rPr>
          <w:rFonts w:ascii="Times New Roman" w:hAnsi="Times New Roman" w:cs="Times New Roman"/>
          <w:sz w:val="26"/>
          <w:szCs w:val="26"/>
        </w:rPr>
        <w:t xml:space="preserve"> </w:t>
      </w:r>
      <w:r w:rsidRPr="00FE132D" w:rsidR="0012057B">
        <w:rPr>
          <w:rFonts w:ascii="Times New Roman" w:hAnsi="Times New Roman" w:cs="Times New Roman"/>
          <w:sz w:val="26"/>
          <w:szCs w:val="26"/>
        </w:rPr>
        <w:t>if a motion to compel arbitration lacked a realistic chance of success when a lawsuit was filed, a</w:t>
      </w:r>
      <w:r w:rsidR="001306B5">
        <w:rPr>
          <w:rFonts w:ascii="Times New Roman" w:hAnsi="Times New Roman" w:cs="Times New Roman"/>
          <w:sz w:val="26"/>
          <w:szCs w:val="26"/>
        </w:rPr>
        <w:t xml:space="preserve"> </w:t>
      </w:r>
      <w:r w:rsidRPr="00BA0EBB" w:rsidR="001306B5">
        <w:rPr>
          <w:rFonts w:ascii="Times New Roman" w:hAnsi="Times New Roman" w:cs="Times New Roman"/>
          <w:sz w:val="26"/>
          <w:szCs w:val="26"/>
        </w:rPr>
        <w:t>subsequent</w:t>
      </w:r>
      <w:r w:rsidRPr="00BA0EBB" w:rsidR="0012057B">
        <w:rPr>
          <w:rFonts w:ascii="Times New Roman" w:hAnsi="Times New Roman" w:cs="Times New Roman"/>
          <w:sz w:val="26"/>
          <w:szCs w:val="26"/>
        </w:rPr>
        <w:t xml:space="preserve"> change in </w:t>
      </w:r>
      <w:r w:rsidR="004E5820">
        <w:rPr>
          <w:rFonts w:ascii="Times New Roman" w:hAnsi="Times New Roman" w:cs="Times New Roman"/>
          <w:sz w:val="26"/>
          <w:szCs w:val="26"/>
        </w:rPr>
        <w:t xml:space="preserve">the </w:t>
      </w:r>
      <w:r w:rsidRPr="00BA0EBB" w:rsidR="0012057B">
        <w:rPr>
          <w:rFonts w:ascii="Times New Roman" w:hAnsi="Times New Roman" w:cs="Times New Roman"/>
          <w:sz w:val="26"/>
          <w:szCs w:val="26"/>
        </w:rPr>
        <w:t xml:space="preserve">law may constitute good cause for failure to </w:t>
      </w:r>
      <w:r w:rsidRPr="00BA0EBB" w:rsidR="00D43038">
        <w:rPr>
          <w:rFonts w:ascii="Times New Roman" w:hAnsi="Times New Roman" w:cs="Times New Roman"/>
          <w:sz w:val="26"/>
          <w:szCs w:val="26"/>
        </w:rPr>
        <w:t>assert a right to arbitrate earlier</w:t>
      </w:r>
      <w:r w:rsidRPr="00BA0EBB" w:rsidR="0012057B">
        <w:rPr>
          <w:rFonts w:ascii="Times New Roman" w:hAnsi="Times New Roman" w:cs="Times New Roman"/>
          <w:sz w:val="26"/>
          <w:szCs w:val="26"/>
        </w:rPr>
        <w:t xml:space="preserve">.  (See </w:t>
      </w:r>
      <w:bookmarkStart w:id="29" w:name="dabmci_86dd039f2b284a1288d4bd92160bf59b"/>
      <w:r w:rsidRPr="00BA0EBB" w:rsidR="0012057B">
        <w:rPr>
          <w:rFonts w:ascii="Times New Roman" w:hAnsi="Times New Roman" w:cs="Times New Roman"/>
          <w:i/>
          <w:iCs/>
          <w:sz w:val="26"/>
          <w:szCs w:val="26"/>
        </w:rPr>
        <w:t>Iskanian</w:t>
      </w:r>
      <w:r w:rsidRPr="00BA0EBB" w:rsidR="00F90B41">
        <w:rPr>
          <w:rFonts w:ascii="Times New Roman" w:hAnsi="Times New Roman" w:cs="Times New Roman"/>
          <w:i/>
          <w:iCs/>
          <w:sz w:val="26"/>
          <w:szCs w:val="26"/>
        </w:rPr>
        <w:t>, supra</w:t>
      </w:r>
      <w:r w:rsidRPr="00BA0EBB" w:rsidR="0012057B">
        <w:rPr>
          <w:rFonts w:ascii="Times New Roman" w:hAnsi="Times New Roman" w:cs="Times New Roman"/>
          <w:sz w:val="26"/>
          <w:szCs w:val="26"/>
        </w:rPr>
        <w:t xml:space="preserve">, 59 Cal.4th </w:t>
      </w:r>
      <w:r w:rsidRPr="00BA0EBB" w:rsidR="00F967F3">
        <w:rPr>
          <w:rFonts w:ascii="Times New Roman" w:hAnsi="Times New Roman" w:cs="Times New Roman"/>
          <w:sz w:val="26"/>
          <w:szCs w:val="26"/>
        </w:rPr>
        <w:t>at p</w:t>
      </w:r>
      <w:r w:rsidRPr="00BA0EBB">
        <w:rPr>
          <w:rFonts w:ascii="Times New Roman" w:hAnsi="Times New Roman" w:cs="Times New Roman"/>
          <w:sz w:val="26"/>
          <w:szCs w:val="26"/>
        </w:rPr>
        <w:t xml:space="preserve">. </w:t>
      </w:r>
      <w:r w:rsidRPr="00BA0EBB" w:rsidR="00484753">
        <w:rPr>
          <w:rFonts w:ascii="Times New Roman" w:hAnsi="Times New Roman" w:cs="Times New Roman"/>
          <w:sz w:val="26"/>
          <w:szCs w:val="26"/>
        </w:rPr>
        <w:t>377</w:t>
      </w:r>
      <w:bookmarkEnd w:id="29"/>
      <w:r w:rsidRPr="00BA0EBB">
        <w:rPr>
          <w:rFonts w:ascii="Times New Roman" w:hAnsi="Times New Roman" w:cs="Times New Roman"/>
          <w:sz w:val="26"/>
          <w:szCs w:val="26"/>
        </w:rPr>
        <w:t xml:space="preserve"> [recognizing futility as a ground for delaying a petition to compel arbitration</w:t>
      </w:r>
      <w:r w:rsidRPr="00BA0EBB" w:rsidR="001306B5">
        <w:rPr>
          <w:rFonts w:ascii="Times New Roman" w:hAnsi="Times New Roman" w:cs="Times New Roman"/>
          <w:sz w:val="26"/>
          <w:szCs w:val="26"/>
        </w:rPr>
        <w:t>, and finding no waiver because delay in compelling arbitration “was reasonable in light of the state of the law at the time</w:t>
      </w:r>
      <w:r w:rsidRPr="00BA0EBB" w:rsidR="00484753">
        <w:rPr>
          <w:rFonts w:ascii="Times New Roman" w:hAnsi="Times New Roman" w:cs="Times New Roman"/>
          <w:sz w:val="26"/>
          <w:szCs w:val="26"/>
        </w:rPr>
        <w:t xml:space="preserve">”].)  </w:t>
      </w:r>
      <w:r w:rsidRPr="00BA0EBB" w:rsidR="00BA0EBB">
        <w:rPr>
          <w:rFonts w:ascii="Times New Roman" w:hAnsi="Times New Roman" w:cs="Times New Roman"/>
          <w:sz w:val="26"/>
          <w:szCs w:val="26"/>
        </w:rPr>
        <w:t>I</w:t>
      </w:r>
      <w:r w:rsidRPr="00BA0EBB" w:rsidR="00484753">
        <w:rPr>
          <w:rFonts w:ascii="Times New Roman" w:hAnsi="Times New Roman" w:cs="Times New Roman"/>
          <w:sz w:val="26"/>
          <w:szCs w:val="26"/>
        </w:rPr>
        <w:t xml:space="preserve">f </w:t>
      </w:r>
      <w:r w:rsidRPr="00BA0EBB" w:rsidR="001306B5">
        <w:rPr>
          <w:rFonts w:ascii="Times New Roman" w:hAnsi="Times New Roman" w:cs="Times New Roman"/>
          <w:sz w:val="26"/>
          <w:szCs w:val="26"/>
        </w:rPr>
        <w:t xml:space="preserve">a party </w:t>
      </w:r>
      <w:r w:rsidRPr="00BA0EBB" w:rsidR="00BA0EBB">
        <w:rPr>
          <w:rFonts w:ascii="Times New Roman" w:hAnsi="Times New Roman" w:cs="Times New Roman"/>
          <w:sz w:val="26"/>
          <w:szCs w:val="26"/>
        </w:rPr>
        <w:t>“</w:t>
      </w:r>
      <w:r w:rsidRPr="00BA0EBB" w:rsidR="001306B5">
        <w:rPr>
          <w:rFonts w:ascii="Times New Roman" w:hAnsi="Times New Roman" w:cs="Times New Roman"/>
          <w:sz w:val="26"/>
          <w:szCs w:val="26"/>
        </w:rPr>
        <w:t>abandons arbitration because it is resisted by the opposing party and foreclosed by existing law, the mere fact that the parties then proceed to engage in various forms of pretrial litigation does not compel the conclusion that the party has waived its right to arbitrate when a later change in the law permits arbitration.</w:t>
      </w:r>
      <w:r w:rsidRPr="00BA0EBB" w:rsidR="00BA0EBB">
        <w:rPr>
          <w:rFonts w:ascii="Times New Roman" w:hAnsi="Times New Roman" w:cs="Times New Roman"/>
          <w:sz w:val="26"/>
          <w:szCs w:val="26"/>
        </w:rPr>
        <w:t>”  (</w:t>
      </w:r>
      <w:bookmarkStart w:id="30" w:name="dabmci_5b6b3a6c438b4843a344d594952e5373"/>
      <w:r w:rsidRPr="00BA0EBB" w:rsidR="00BA0EBB">
        <w:rPr>
          <w:rFonts w:ascii="Times New Roman" w:hAnsi="Times New Roman" w:cs="Times New Roman"/>
          <w:i/>
          <w:iCs/>
          <w:sz w:val="26"/>
          <w:szCs w:val="26"/>
        </w:rPr>
        <w:t>Id.</w:t>
      </w:r>
      <w:r w:rsidRPr="00BA0EBB" w:rsidR="00BA0EBB">
        <w:rPr>
          <w:rFonts w:ascii="Times New Roman" w:hAnsi="Times New Roman" w:cs="Times New Roman"/>
          <w:sz w:val="26"/>
          <w:szCs w:val="26"/>
        </w:rPr>
        <w:t xml:space="preserve"> at pp.</w:t>
      </w:r>
      <w:r w:rsidR="00C277AB">
        <w:rPr>
          <w:rFonts w:ascii="Times New Roman" w:hAnsi="Times New Roman" w:cs="Times New Roman"/>
          <w:sz w:val="26"/>
          <w:szCs w:val="26"/>
        </w:rPr>
        <w:t> </w:t>
      </w:r>
      <w:r w:rsidRPr="00BA0EBB" w:rsidR="00BA0EBB">
        <w:rPr>
          <w:rFonts w:ascii="Times New Roman" w:hAnsi="Times New Roman" w:cs="Times New Roman"/>
          <w:sz w:val="26"/>
          <w:szCs w:val="26"/>
        </w:rPr>
        <w:t>377</w:t>
      </w:r>
      <w:r w:rsidR="008016B7">
        <w:rPr>
          <w:rFonts w:ascii="Times New Roman" w:hAnsi="Times New Roman" w:cs="Times New Roman"/>
          <w:sz w:val="26"/>
          <w:szCs w:val="26"/>
        </w:rPr>
        <w:noBreakHyphen/>
      </w:r>
      <w:r w:rsidRPr="00BA0EBB" w:rsidR="00BA0EBB">
        <w:rPr>
          <w:rFonts w:ascii="Times New Roman" w:hAnsi="Times New Roman" w:cs="Times New Roman"/>
          <w:sz w:val="26"/>
          <w:szCs w:val="26"/>
        </w:rPr>
        <w:t>378</w:t>
      </w:r>
      <w:bookmarkEnd w:id="30"/>
      <w:r w:rsidRPr="00BA0EBB" w:rsidR="00BA0EBB">
        <w:rPr>
          <w:rFonts w:ascii="Times New Roman" w:hAnsi="Times New Roman" w:cs="Times New Roman"/>
          <w:sz w:val="26"/>
          <w:szCs w:val="26"/>
        </w:rPr>
        <w:t>.)</w:t>
      </w:r>
    </w:p>
    <w:p w:rsidR="007516DD" w:rsidP="000B1982" w14:paraId="01756D45" w14:textId="730FAB87">
      <w:pPr>
        <w:spacing w:after="0" w:line="480" w:lineRule="atLeast"/>
        <w:ind w:firstLine="1440"/>
        <w:rPr>
          <w:rFonts w:ascii="Times New Roman" w:hAnsi="Times New Roman" w:cs="Times New Roman"/>
          <w:sz w:val="26"/>
          <w:szCs w:val="26"/>
        </w:rPr>
      </w:pPr>
      <w:r>
        <w:rPr>
          <w:rFonts w:ascii="Times New Roman" w:hAnsi="Times New Roman" w:cs="Times New Roman"/>
          <w:sz w:val="26"/>
          <w:szCs w:val="26"/>
        </w:rPr>
        <w:t xml:space="preserve">Indeed, </w:t>
      </w:r>
      <w:r w:rsidR="00F967F3">
        <w:rPr>
          <w:rFonts w:ascii="Times New Roman" w:hAnsi="Times New Roman" w:cs="Times New Roman"/>
          <w:sz w:val="26"/>
          <w:szCs w:val="26"/>
        </w:rPr>
        <w:t>our</w:t>
      </w:r>
      <w:r>
        <w:rPr>
          <w:rFonts w:ascii="Times New Roman" w:hAnsi="Times New Roman" w:cs="Times New Roman"/>
          <w:sz w:val="26"/>
          <w:szCs w:val="26"/>
        </w:rPr>
        <w:t xml:space="preserve"> court recently </w:t>
      </w:r>
      <w:r w:rsidR="00725456">
        <w:rPr>
          <w:rFonts w:ascii="Times New Roman" w:hAnsi="Times New Roman" w:cs="Times New Roman"/>
          <w:sz w:val="26"/>
          <w:szCs w:val="26"/>
        </w:rPr>
        <w:t xml:space="preserve">found </w:t>
      </w:r>
      <w:r w:rsidR="004148ED">
        <w:rPr>
          <w:rFonts w:ascii="Times New Roman" w:hAnsi="Times New Roman" w:cs="Times New Roman"/>
          <w:sz w:val="26"/>
          <w:szCs w:val="26"/>
        </w:rPr>
        <w:t xml:space="preserve">that </w:t>
      </w:r>
      <w:r w:rsidR="00725456">
        <w:rPr>
          <w:rFonts w:ascii="Times New Roman" w:hAnsi="Times New Roman" w:cs="Times New Roman"/>
          <w:sz w:val="26"/>
          <w:szCs w:val="26"/>
        </w:rPr>
        <w:t>an</w:t>
      </w:r>
      <w:r w:rsidRPr="00F3424D" w:rsidR="00806413">
        <w:rPr>
          <w:rFonts w:ascii="Times New Roman" w:hAnsi="Times New Roman" w:cs="Times New Roman"/>
          <w:sz w:val="26"/>
          <w:szCs w:val="26"/>
        </w:rPr>
        <w:t xml:space="preserve"> employer</w:t>
      </w:r>
      <w:r w:rsidR="004148ED">
        <w:rPr>
          <w:rFonts w:ascii="Times New Roman" w:hAnsi="Times New Roman" w:cs="Times New Roman"/>
          <w:sz w:val="26"/>
          <w:szCs w:val="26"/>
        </w:rPr>
        <w:t xml:space="preserve"> that failed to </w:t>
      </w:r>
      <w:r w:rsidR="00370B88">
        <w:rPr>
          <w:rFonts w:ascii="Times New Roman" w:hAnsi="Times New Roman" w:cs="Times New Roman"/>
          <w:sz w:val="26"/>
          <w:szCs w:val="26"/>
        </w:rPr>
        <w:t xml:space="preserve">move to </w:t>
      </w:r>
      <w:r w:rsidR="004148ED">
        <w:rPr>
          <w:rFonts w:ascii="Times New Roman" w:hAnsi="Times New Roman" w:cs="Times New Roman"/>
          <w:sz w:val="26"/>
          <w:szCs w:val="26"/>
        </w:rPr>
        <w:t xml:space="preserve">compel arbitration of </w:t>
      </w:r>
      <w:r w:rsidRPr="00F3424D" w:rsidR="00B6225B">
        <w:rPr>
          <w:rFonts w:ascii="Times New Roman" w:hAnsi="Times New Roman" w:cs="Times New Roman"/>
          <w:sz w:val="26"/>
          <w:szCs w:val="26"/>
        </w:rPr>
        <w:t>the plaintiffs’ PAGA claims</w:t>
      </w:r>
      <w:r w:rsidRPr="00F3424D" w:rsidR="00793065">
        <w:rPr>
          <w:rFonts w:ascii="Times New Roman" w:hAnsi="Times New Roman" w:cs="Times New Roman"/>
          <w:sz w:val="26"/>
          <w:szCs w:val="26"/>
        </w:rPr>
        <w:t xml:space="preserve"> </w:t>
      </w:r>
      <w:r w:rsidR="00500CAA">
        <w:rPr>
          <w:rFonts w:ascii="Times New Roman" w:hAnsi="Times New Roman" w:cs="Times New Roman"/>
          <w:sz w:val="26"/>
          <w:szCs w:val="26"/>
        </w:rPr>
        <w:t>until</w:t>
      </w:r>
      <w:r w:rsidR="004148ED">
        <w:rPr>
          <w:rFonts w:ascii="Times New Roman" w:hAnsi="Times New Roman" w:cs="Times New Roman"/>
          <w:sz w:val="26"/>
          <w:szCs w:val="26"/>
        </w:rPr>
        <w:t xml:space="preserve"> the Supreme Court granted certiorari in</w:t>
      </w:r>
      <w:r w:rsidRPr="00F3424D" w:rsidR="00793065">
        <w:rPr>
          <w:rFonts w:ascii="Times New Roman" w:hAnsi="Times New Roman" w:cs="Times New Roman"/>
          <w:sz w:val="26"/>
          <w:szCs w:val="26"/>
        </w:rPr>
        <w:t xml:space="preserve"> </w:t>
      </w:r>
      <w:r w:rsidRPr="00F3424D" w:rsidR="00793065">
        <w:rPr>
          <w:rFonts w:ascii="Times New Roman" w:hAnsi="Times New Roman" w:cs="Times New Roman"/>
          <w:i/>
          <w:iCs/>
          <w:sz w:val="26"/>
          <w:szCs w:val="26"/>
        </w:rPr>
        <w:t xml:space="preserve">Viking River </w:t>
      </w:r>
      <w:r w:rsidR="004148ED">
        <w:rPr>
          <w:rFonts w:ascii="Times New Roman" w:hAnsi="Times New Roman" w:cs="Times New Roman"/>
          <w:sz w:val="26"/>
          <w:szCs w:val="26"/>
        </w:rPr>
        <w:t>did not waive its right to arbitrate</w:t>
      </w:r>
      <w:r w:rsidR="00725456">
        <w:rPr>
          <w:rFonts w:ascii="Times New Roman" w:hAnsi="Times New Roman" w:cs="Times New Roman"/>
          <w:sz w:val="26"/>
          <w:szCs w:val="26"/>
        </w:rPr>
        <w:t xml:space="preserve"> as a matter of law</w:t>
      </w:r>
      <w:r w:rsidRPr="00F3424D">
        <w:rPr>
          <w:rFonts w:ascii="Times New Roman" w:hAnsi="Times New Roman" w:cs="Times New Roman"/>
          <w:sz w:val="26"/>
          <w:szCs w:val="26"/>
        </w:rPr>
        <w:t>.  (</w:t>
      </w:r>
      <w:bookmarkStart w:id="31" w:name="dabmci_6da190ed82d347e88ee3ee369fd36c4e"/>
      <w:r w:rsidRPr="00F3424D" w:rsidR="0012057B">
        <w:rPr>
          <w:rFonts w:ascii="Times New Roman" w:hAnsi="Times New Roman" w:cs="Times New Roman"/>
          <w:i/>
          <w:iCs/>
          <w:sz w:val="26"/>
          <w:szCs w:val="26"/>
        </w:rPr>
        <w:t>Piplack v. In-N-Out Burgers</w:t>
      </w:r>
      <w:r w:rsidRPr="00F3424D" w:rsidR="0012057B">
        <w:rPr>
          <w:rFonts w:ascii="Times New Roman" w:hAnsi="Times New Roman" w:cs="Times New Roman"/>
          <w:sz w:val="26"/>
          <w:szCs w:val="26"/>
        </w:rPr>
        <w:t xml:space="preserve"> (2023) 88 Cal.App.5th 1281 (</w:t>
      </w:r>
      <w:r w:rsidRPr="00F3424D" w:rsidR="0012057B">
        <w:rPr>
          <w:rFonts w:ascii="Times New Roman" w:hAnsi="Times New Roman" w:cs="Times New Roman"/>
          <w:i/>
          <w:iCs/>
          <w:sz w:val="26"/>
          <w:szCs w:val="26"/>
        </w:rPr>
        <w:t>Piplack</w:t>
      </w:r>
      <w:r w:rsidRPr="00F3424D" w:rsidR="0012057B">
        <w:rPr>
          <w:rFonts w:ascii="Times New Roman" w:hAnsi="Times New Roman" w:cs="Times New Roman"/>
          <w:sz w:val="26"/>
          <w:szCs w:val="26"/>
        </w:rPr>
        <w:t>)</w:t>
      </w:r>
      <w:bookmarkEnd w:id="31"/>
      <w:r w:rsidRPr="00F3424D" w:rsidR="0012057B">
        <w:rPr>
          <w:rFonts w:ascii="Times New Roman" w:hAnsi="Times New Roman" w:cs="Times New Roman"/>
          <w:sz w:val="26"/>
          <w:szCs w:val="26"/>
        </w:rPr>
        <w:t>.</w:t>
      </w:r>
      <w:r w:rsidRPr="00F3424D">
        <w:rPr>
          <w:rFonts w:ascii="Times New Roman" w:hAnsi="Times New Roman" w:cs="Times New Roman"/>
          <w:sz w:val="26"/>
          <w:szCs w:val="26"/>
        </w:rPr>
        <w:t>)</w:t>
      </w:r>
      <w:r w:rsidR="008016B7">
        <w:rPr>
          <w:rFonts w:ascii="Times New Roman" w:hAnsi="Times New Roman" w:cs="Times New Roman"/>
          <w:sz w:val="26"/>
          <w:szCs w:val="26"/>
        </w:rPr>
        <w:t xml:space="preserve">  </w:t>
      </w:r>
      <w:r w:rsidRPr="00F3424D" w:rsidR="0012057B">
        <w:rPr>
          <w:rFonts w:ascii="Times New Roman" w:hAnsi="Times New Roman" w:cs="Times New Roman"/>
          <w:sz w:val="26"/>
          <w:szCs w:val="26"/>
        </w:rPr>
        <w:t xml:space="preserve">In </w:t>
      </w:r>
      <w:bookmarkStart w:id="32" w:name="dabmci_b470d2323ddc44e68388c7c9e70a10ac"/>
      <w:r w:rsidRPr="00F3424D" w:rsidR="0012057B">
        <w:rPr>
          <w:rFonts w:ascii="Times New Roman" w:hAnsi="Times New Roman" w:cs="Times New Roman"/>
          <w:i/>
          <w:iCs/>
          <w:sz w:val="26"/>
          <w:szCs w:val="26"/>
        </w:rPr>
        <w:t>Piplack</w:t>
      </w:r>
      <w:bookmarkEnd w:id="32"/>
      <w:r w:rsidRPr="00F3424D" w:rsidR="0012057B">
        <w:rPr>
          <w:rFonts w:ascii="Times New Roman" w:hAnsi="Times New Roman" w:cs="Times New Roman"/>
          <w:sz w:val="26"/>
          <w:szCs w:val="26"/>
        </w:rPr>
        <w:t>, two plaintiffs filed a PAGA claim against their former employer</w:t>
      </w:r>
      <w:r w:rsidRPr="00F3424D" w:rsidR="00806413">
        <w:rPr>
          <w:rFonts w:ascii="Times New Roman" w:hAnsi="Times New Roman" w:cs="Times New Roman"/>
          <w:sz w:val="26"/>
          <w:szCs w:val="26"/>
        </w:rPr>
        <w:t>,</w:t>
      </w:r>
      <w:r w:rsidRPr="00F3424D" w:rsidR="0012057B">
        <w:rPr>
          <w:rFonts w:ascii="Times New Roman" w:hAnsi="Times New Roman" w:cs="Times New Roman"/>
          <w:sz w:val="26"/>
          <w:szCs w:val="26"/>
        </w:rPr>
        <w:t xml:space="preserve"> seeking civil penalties on their own behalf and on behalf of other aggrieved employees.  (</w:t>
      </w:r>
      <w:bookmarkStart w:id="33" w:name="dabmci_9f32832171c24b309d6634dec4e51b62"/>
      <w:r w:rsidRPr="00F3424D" w:rsidR="0012057B">
        <w:rPr>
          <w:rFonts w:ascii="Times New Roman" w:hAnsi="Times New Roman" w:cs="Times New Roman"/>
          <w:i/>
          <w:iCs/>
          <w:sz w:val="26"/>
          <w:szCs w:val="26"/>
        </w:rPr>
        <w:t>Id</w:t>
      </w:r>
      <w:r w:rsidRPr="00F3424D" w:rsidR="0012057B">
        <w:rPr>
          <w:rFonts w:ascii="Times New Roman" w:hAnsi="Times New Roman" w:cs="Times New Roman"/>
          <w:sz w:val="26"/>
          <w:szCs w:val="26"/>
        </w:rPr>
        <w:t>. at pp.</w:t>
      </w:r>
      <w:r w:rsidR="00370B88">
        <w:rPr>
          <w:rFonts w:ascii="Times New Roman" w:hAnsi="Times New Roman" w:cs="Times New Roman"/>
          <w:sz w:val="26"/>
          <w:szCs w:val="26"/>
        </w:rPr>
        <w:t> </w:t>
      </w:r>
      <w:r w:rsidRPr="00F3424D" w:rsidR="0012057B">
        <w:rPr>
          <w:rFonts w:ascii="Times New Roman" w:hAnsi="Times New Roman" w:cs="Times New Roman"/>
          <w:sz w:val="26"/>
          <w:szCs w:val="26"/>
        </w:rPr>
        <w:t>1285</w:t>
      </w:r>
      <w:r w:rsidR="008016B7">
        <w:rPr>
          <w:rFonts w:ascii="Times New Roman" w:hAnsi="Times New Roman" w:cs="Times New Roman"/>
          <w:sz w:val="26"/>
          <w:szCs w:val="26"/>
        </w:rPr>
        <w:noBreakHyphen/>
      </w:r>
      <w:r w:rsidRPr="00F3424D" w:rsidR="0012057B">
        <w:rPr>
          <w:rFonts w:ascii="Times New Roman" w:hAnsi="Times New Roman" w:cs="Times New Roman"/>
          <w:sz w:val="26"/>
          <w:szCs w:val="26"/>
        </w:rPr>
        <w:t>1286</w:t>
      </w:r>
      <w:bookmarkEnd w:id="33"/>
      <w:r w:rsidRPr="00F3424D" w:rsidR="0012057B">
        <w:rPr>
          <w:rFonts w:ascii="Times New Roman" w:hAnsi="Times New Roman" w:cs="Times New Roman"/>
          <w:sz w:val="26"/>
          <w:szCs w:val="26"/>
        </w:rPr>
        <w:t xml:space="preserve">.)  The parties were bound by a predispute arbitration agreement with a PAGA waiver and severability clauses requiring severance of the PAGA waiver if </w:t>
      </w:r>
      <w:r w:rsidR="008016B7">
        <w:rPr>
          <w:rFonts w:ascii="Times New Roman" w:hAnsi="Times New Roman" w:cs="Times New Roman"/>
          <w:sz w:val="26"/>
          <w:szCs w:val="26"/>
        </w:rPr>
        <w:t>‘</w:t>
      </w:r>
      <w:r w:rsidRPr="00F3424D" w:rsidR="0012057B">
        <w:rPr>
          <w:rFonts w:ascii="Times New Roman" w:hAnsi="Times New Roman" w:cs="Times New Roman"/>
          <w:sz w:val="26"/>
          <w:szCs w:val="26"/>
        </w:rPr>
        <w:t>“necessary to ensure that the individual [PAGA] action proceed[ed] in arbitration.”</w:t>
      </w:r>
      <w:r w:rsidR="008016B7">
        <w:rPr>
          <w:rFonts w:ascii="Times New Roman" w:hAnsi="Times New Roman" w:cs="Times New Roman"/>
          <w:sz w:val="26"/>
          <w:szCs w:val="26"/>
        </w:rPr>
        <w:t>’</w:t>
      </w:r>
      <w:r w:rsidRPr="00F3424D" w:rsidR="0012057B">
        <w:rPr>
          <w:rFonts w:ascii="Times New Roman" w:hAnsi="Times New Roman" w:cs="Times New Roman"/>
          <w:sz w:val="26"/>
          <w:szCs w:val="26"/>
        </w:rPr>
        <w:t xml:space="preserve">  (</w:t>
      </w:r>
      <w:bookmarkStart w:id="34" w:name="dabmci_8e549ab25352468dac3551988666ed3f"/>
      <w:r w:rsidRPr="00F3424D" w:rsidR="0012057B">
        <w:rPr>
          <w:rFonts w:ascii="Times New Roman" w:hAnsi="Times New Roman" w:cs="Times New Roman"/>
          <w:i/>
          <w:iCs/>
          <w:sz w:val="26"/>
          <w:szCs w:val="26"/>
        </w:rPr>
        <w:t>Id</w:t>
      </w:r>
      <w:r w:rsidRPr="00F3424D" w:rsidR="0012057B">
        <w:rPr>
          <w:rFonts w:ascii="Times New Roman" w:hAnsi="Times New Roman" w:cs="Times New Roman"/>
          <w:sz w:val="26"/>
          <w:szCs w:val="26"/>
        </w:rPr>
        <w:t>. at p. 1285</w:t>
      </w:r>
      <w:bookmarkEnd w:id="34"/>
      <w:r w:rsidRPr="00F3424D" w:rsidR="0012057B">
        <w:rPr>
          <w:rFonts w:ascii="Times New Roman" w:hAnsi="Times New Roman" w:cs="Times New Roman"/>
          <w:sz w:val="26"/>
          <w:szCs w:val="26"/>
        </w:rPr>
        <w:t xml:space="preserve">.)  </w:t>
      </w:r>
      <w:r w:rsidRPr="00F3424D">
        <w:rPr>
          <w:rFonts w:ascii="Times New Roman" w:hAnsi="Times New Roman" w:cs="Times New Roman"/>
          <w:sz w:val="26"/>
          <w:szCs w:val="26"/>
        </w:rPr>
        <w:t>The</w:t>
      </w:r>
      <w:r w:rsidR="00370B88">
        <w:rPr>
          <w:rFonts w:ascii="Times New Roman" w:hAnsi="Times New Roman" w:cs="Times New Roman"/>
          <w:sz w:val="26"/>
          <w:szCs w:val="26"/>
        </w:rPr>
        <w:t xml:space="preserve"> court</w:t>
      </w:r>
      <w:r w:rsidRPr="00F3424D">
        <w:rPr>
          <w:rFonts w:ascii="Times New Roman" w:hAnsi="Times New Roman" w:cs="Times New Roman"/>
          <w:sz w:val="26"/>
          <w:szCs w:val="26"/>
        </w:rPr>
        <w:t xml:space="preserve"> case proceeded “with the filing of answers, demurrers, amended complaints, and a discovery motion.”</w:t>
      </w:r>
      <w:r w:rsidRPr="00F3424D" w:rsidR="00F967F3">
        <w:rPr>
          <w:rFonts w:ascii="Times New Roman" w:hAnsi="Times New Roman" w:cs="Times New Roman"/>
          <w:sz w:val="26"/>
          <w:szCs w:val="26"/>
        </w:rPr>
        <w:t xml:space="preserve"> </w:t>
      </w:r>
      <w:r w:rsidRPr="00F3424D">
        <w:rPr>
          <w:rFonts w:ascii="Times New Roman" w:hAnsi="Times New Roman" w:cs="Times New Roman"/>
          <w:sz w:val="26"/>
          <w:szCs w:val="26"/>
        </w:rPr>
        <w:t xml:space="preserve"> (</w:t>
      </w:r>
      <w:bookmarkStart w:id="35" w:name="dabmci_c5f64a8846e7464f9dac7d9b65646176"/>
      <w:r w:rsidRPr="00F3424D">
        <w:rPr>
          <w:rFonts w:ascii="Times New Roman" w:hAnsi="Times New Roman" w:cs="Times New Roman"/>
          <w:i/>
          <w:iCs/>
          <w:sz w:val="26"/>
          <w:szCs w:val="26"/>
        </w:rPr>
        <w:t>Id</w:t>
      </w:r>
      <w:r w:rsidRPr="00F3424D">
        <w:rPr>
          <w:rFonts w:ascii="Times New Roman" w:hAnsi="Times New Roman" w:cs="Times New Roman"/>
          <w:sz w:val="26"/>
          <w:szCs w:val="26"/>
        </w:rPr>
        <w:t>. at p. 1286</w:t>
      </w:r>
      <w:bookmarkEnd w:id="35"/>
      <w:r w:rsidRPr="00F3424D">
        <w:rPr>
          <w:rFonts w:ascii="Times New Roman" w:hAnsi="Times New Roman" w:cs="Times New Roman"/>
          <w:sz w:val="26"/>
          <w:szCs w:val="26"/>
        </w:rPr>
        <w:t xml:space="preserve">.)  However, </w:t>
      </w:r>
      <w:r w:rsidR="001A103E">
        <w:rPr>
          <w:rFonts w:ascii="Times New Roman" w:hAnsi="Times New Roman" w:cs="Times New Roman"/>
          <w:sz w:val="26"/>
          <w:szCs w:val="26"/>
        </w:rPr>
        <w:t>t</w:t>
      </w:r>
      <w:r w:rsidR="00CB7C75">
        <w:rPr>
          <w:rFonts w:ascii="Times New Roman" w:hAnsi="Times New Roman" w:cs="Times New Roman"/>
          <w:sz w:val="26"/>
          <w:szCs w:val="26"/>
        </w:rPr>
        <w:t>wo</w:t>
      </w:r>
      <w:r w:rsidR="001A103E">
        <w:rPr>
          <w:rFonts w:ascii="Times New Roman" w:hAnsi="Times New Roman" w:cs="Times New Roman"/>
          <w:sz w:val="26"/>
          <w:szCs w:val="26"/>
        </w:rPr>
        <w:t xml:space="preserve"> months </w:t>
      </w:r>
      <w:r w:rsidRPr="00F3424D">
        <w:rPr>
          <w:rFonts w:ascii="Times New Roman" w:hAnsi="Times New Roman" w:cs="Times New Roman"/>
          <w:sz w:val="26"/>
          <w:szCs w:val="26"/>
        </w:rPr>
        <w:t xml:space="preserve">after the Supreme Court granted certiorari in </w:t>
      </w:r>
      <w:r w:rsidRPr="00F3424D">
        <w:rPr>
          <w:rFonts w:ascii="Times New Roman" w:hAnsi="Times New Roman" w:cs="Times New Roman"/>
          <w:i/>
          <w:iCs/>
          <w:sz w:val="26"/>
          <w:szCs w:val="26"/>
        </w:rPr>
        <w:t>Viking River</w:t>
      </w:r>
      <w:r w:rsidRPr="00F3424D">
        <w:rPr>
          <w:rFonts w:ascii="Times New Roman" w:hAnsi="Times New Roman" w:cs="Times New Roman"/>
          <w:sz w:val="26"/>
          <w:szCs w:val="26"/>
        </w:rPr>
        <w:t>, t</w:t>
      </w:r>
      <w:r w:rsidRPr="00F3424D" w:rsidR="0012057B">
        <w:rPr>
          <w:rFonts w:ascii="Times New Roman" w:hAnsi="Times New Roman" w:cs="Times New Roman"/>
          <w:sz w:val="26"/>
          <w:szCs w:val="26"/>
        </w:rPr>
        <w:t xml:space="preserve">he employer </w:t>
      </w:r>
      <w:r w:rsidRPr="00F3424D">
        <w:rPr>
          <w:rFonts w:ascii="Times New Roman" w:hAnsi="Times New Roman" w:cs="Times New Roman"/>
          <w:sz w:val="26"/>
          <w:szCs w:val="26"/>
        </w:rPr>
        <w:t xml:space="preserve">filed </w:t>
      </w:r>
      <w:r>
        <w:rPr>
          <w:rFonts w:ascii="Times New Roman" w:hAnsi="Times New Roman" w:cs="Times New Roman"/>
          <w:sz w:val="26"/>
          <w:szCs w:val="26"/>
        </w:rPr>
        <w:t>a motion to</w:t>
      </w:r>
      <w:r w:rsidRPr="0012057B" w:rsidR="0012057B">
        <w:rPr>
          <w:rFonts w:ascii="Times New Roman" w:hAnsi="Times New Roman" w:cs="Times New Roman"/>
          <w:sz w:val="26"/>
          <w:szCs w:val="26"/>
        </w:rPr>
        <w:t xml:space="preserve"> compel arbitration</w:t>
      </w:r>
      <w:r>
        <w:rPr>
          <w:rFonts w:ascii="Times New Roman" w:hAnsi="Times New Roman" w:cs="Times New Roman"/>
          <w:sz w:val="26"/>
          <w:szCs w:val="26"/>
        </w:rPr>
        <w:t>, which the trial court summarily denied</w:t>
      </w:r>
      <w:r w:rsidRPr="0012057B" w:rsidR="0012057B">
        <w:rPr>
          <w:rFonts w:ascii="Times New Roman" w:hAnsi="Times New Roman" w:cs="Times New Roman"/>
          <w:sz w:val="26"/>
          <w:szCs w:val="26"/>
        </w:rPr>
        <w:t>.  (</w:t>
      </w:r>
      <w:bookmarkStart w:id="36" w:name="dabmci_36ccb13b07bd46998de9bbbd4d34e487"/>
      <w:r w:rsidRPr="0012057B" w:rsidR="0012057B">
        <w:rPr>
          <w:rFonts w:ascii="Times New Roman" w:hAnsi="Times New Roman" w:cs="Times New Roman"/>
          <w:i/>
          <w:iCs/>
          <w:sz w:val="26"/>
          <w:szCs w:val="26"/>
        </w:rPr>
        <w:t>I</w:t>
      </w:r>
      <w:r w:rsidR="00DB479F">
        <w:rPr>
          <w:rFonts w:ascii="Times New Roman" w:hAnsi="Times New Roman" w:cs="Times New Roman"/>
          <w:i/>
          <w:iCs/>
          <w:sz w:val="26"/>
          <w:szCs w:val="26"/>
        </w:rPr>
        <w:t>bi</w:t>
      </w:r>
      <w:r w:rsidRPr="0012057B" w:rsidR="0012057B">
        <w:rPr>
          <w:rFonts w:ascii="Times New Roman" w:hAnsi="Times New Roman" w:cs="Times New Roman"/>
          <w:i/>
          <w:iCs/>
          <w:sz w:val="26"/>
          <w:szCs w:val="26"/>
        </w:rPr>
        <w:t>d</w:t>
      </w:r>
      <w:r w:rsidRPr="0012057B" w:rsidR="0012057B">
        <w:rPr>
          <w:rFonts w:ascii="Times New Roman" w:hAnsi="Times New Roman" w:cs="Times New Roman"/>
          <w:sz w:val="26"/>
          <w:szCs w:val="26"/>
        </w:rPr>
        <w:t>.</w:t>
      </w:r>
      <w:bookmarkEnd w:id="36"/>
      <w:r w:rsidRPr="0012057B" w:rsidR="0012057B">
        <w:rPr>
          <w:rFonts w:ascii="Times New Roman" w:hAnsi="Times New Roman" w:cs="Times New Roman"/>
          <w:sz w:val="26"/>
          <w:szCs w:val="26"/>
        </w:rPr>
        <w:t xml:space="preserve">)  </w:t>
      </w:r>
    </w:p>
    <w:p w:rsidR="00FE132D" w:rsidP="000B1982" w14:paraId="0E6D33A7" w14:textId="0B355DEB">
      <w:pPr>
        <w:spacing w:after="0" w:line="480" w:lineRule="atLeast"/>
        <w:ind w:firstLine="1440"/>
        <w:rPr>
          <w:rFonts w:ascii="Times New Roman" w:hAnsi="Times New Roman" w:cs="Times New Roman"/>
          <w:sz w:val="26"/>
          <w:szCs w:val="26"/>
        </w:rPr>
      </w:pPr>
      <w:r>
        <w:rPr>
          <w:rFonts w:ascii="Times New Roman" w:hAnsi="Times New Roman" w:cs="Times New Roman"/>
          <w:sz w:val="26"/>
          <w:szCs w:val="26"/>
        </w:rPr>
        <w:t>W</w:t>
      </w:r>
      <w:r w:rsidRPr="0012057B" w:rsidR="0012057B">
        <w:rPr>
          <w:rFonts w:ascii="Times New Roman" w:hAnsi="Times New Roman" w:cs="Times New Roman"/>
          <w:sz w:val="26"/>
          <w:szCs w:val="26"/>
        </w:rPr>
        <w:t>e reverse</w:t>
      </w:r>
      <w:r w:rsidR="00A3612C">
        <w:rPr>
          <w:rFonts w:ascii="Times New Roman" w:hAnsi="Times New Roman" w:cs="Times New Roman"/>
          <w:sz w:val="26"/>
          <w:szCs w:val="26"/>
        </w:rPr>
        <w:t>d, holding</w:t>
      </w:r>
      <w:r w:rsidRPr="007516DD">
        <w:rPr>
          <w:rFonts w:ascii="Times New Roman" w:hAnsi="Times New Roman" w:cs="Times New Roman"/>
          <w:sz w:val="26"/>
          <w:szCs w:val="26"/>
        </w:rPr>
        <w:t xml:space="preserve"> the employer did not waive its right to arbitrate, as a matter of law, because the employer “raised its right to arbitrate as soon as it had any chance of success” based on </w:t>
      </w:r>
      <w:r w:rsidRPr="007516DD">
        <w:rPr>
          <w:rFonts w:ascii="Times New Roman" w:hAnsi="Times New Roman" w:cs="Times New Roman"/>
          <w:i/>
          <w:iCs/>
          <w:sz w:val="26"/>
          <w:szCs w:val="26"/>
        </w:rPr>
        <w:t>Viking River</w:t>
      </w:r>
      <w:r w:rsidRPr="007516DD">
        <w:rPr>
          <w:rFonts w:ascii="Times New Roman" w:hAnsi="Times New Roman" w:cs="Times New Roman"/>
          <w:sz w:val="26"/>
          <w:szCs w:val="26"/>
        </w:rPr>
        <w:t>.  (</w:t>
      </w:r>
      <w:bookmarkStart w:id="37" w:name="dabmci_55d991d66d554b919b0b2d0ba1cf698c"/>
      <w:r w:rsidRPr="007516DD" w:rsidR="00A3612C">
        <w:rPr>
          <w:rFonts w:ascii="Times New Roman" w:hAnsi="Times New Roman" w:cs="Times New Roman"/>
          <w:i/>
          <w:iCs/>
          <w:sz w:val="26"/>
          <w:szCs w:val="26"/>
        </w:rPr>
        <w:t>Piplack, supra</w:t>
      </w:r>
      <w:r w:rsidRPr="007516DD" w:rsidR="00A3612C">
        <w:rPr>
          <w:rFonts w:ascii="Times New Roman" w:hAnsi="Times New Roman" w:cs="Times New Roman"/>
          <w:sz w:val="26"/>
          <w:szCs w:val="26"/>
        </w:rPr>
        <w:t xml:space="preserve">, 88 Cal.App.5th </w:t>
      </w:r>
      <w:r w:rsidRPr="007516DD">
        <w:rPr>
          <w:rFonts w:ascii="Times New Roman" w:hAnsi="Times New Roman" w:cs="Times New Roman"/>
          <w:sz w:val="26"/>
          <w:szCs w:val="26"/>
        </w:rPr>
        <w:t>at p. 1289</w:t>
      </w:r>
      <w:bookmarkEnd w:id="37"/>
      <w:r w:rsidRPr="007516DD">
        <w:rPr>
          <w:rFonts w:ascii="Times New Roman" w:hAnsi="Times New Roman" w:cs="Times New Roman"/>
          <w:sz w:val="26"/>
          <w:szCs w:val="26"/>
        </w:rPr>
        <w:t>.)</w:t>
      </w:r>
      <w:r w:rsidR="005F4C2B">
        <w:rPr>
          <w:rFonts w:ascii="Times New Roman" w:hAnsi="Times New Roman" w:cs="Times New Roman"/>
          <w:sz w:val="26"/>
          <w:szCs w:val="26"/>
        </w:rPr>
        <w:t xml:space="preserve"> </w:t>
      </w:r>
      <w:r w:rsidRPr="007516DD">
        <w:rPr>
          <w:rFonts w:ascii="Times New Roman" w:hAnsi="Times New Roman" w:cs="Times New Roman"/>
          <w:sz w:val="26"/>
          <w:szCs w:val="26"/>
        </w:rPr>
        <w:t xml:space="preserve"> “The fact that </w:t>
      </w:r>
      <w:r w:rsidR="00F56353">
        <w:rPr>
          <w:rFonts w:ascii="Times New Roman" w:hAnsi="Times New Roman" w:cs="Times New Roman"/>
          <w:sz w:val="26"/>
          <w:szCs w:val="26"/>
        </w:rPr>
        <w:t xml:space="preserve">defendant </w:t>
      </w:r>
      <w:r w:rsidRPr="007516DD">
        <w:rPr>
          <w:rFonts w:ascii="Times New Roman" w:hAnsi="Times New Roman" w:cs="Times New Roman"/>
          <w:sz w:val="26"/>
          <w:szCs w:val="26"/>
        </w:rPr>
        <w:t xml:space="preserve">vigorously defended itself in the trial court [made] no difference because the relevant question [was] whether there was any </w:t>
      </w:r>
      <w:r w:rsidRPr="00C26E9C">
        <w:rPr>
          <w:rFonts w:ascii="Times New Roman" w:hAnsi="Times New Roman" w:cs="Times New Roman"/>
          <w:i/>
          <w:iCs/>
          <w:sz w:val="26"/>
          <w:szCs w:val="26"/>
        </w:rPr>
        <w:t>unreasonable</w:t>
      </w:r>
      <w:r w:rsidRPr="007516DD">
        <w:rPr>
          <w:rFonts w:ascii="Times New Roman" w:hAnsi="Times New Roman" w:cs="Times New Roman"/>
          <w:sz w:val="26"/>
          <w:szCs w:val="26"/>
        </w:rPr>
        <w:t xml:space="preserve"> dela</w:t>
      </w:r>
      <w:r w:rsidR="00000553">
        <w:rPr>
          <w:rFonts w:ascii="Times New Roman" w:hAnsi="Times New Roman" w:cs="Times New Roman"/>
          <w:sz w:val="26"/>
          <w:szCs w:val="26"/>
        </w:rPr>
        <w:t>y,</w:t>
      </w:r>
      <w:r w:rsidRPr="007516DD">
        <w:rPr>
          <w:rFonts w:ascii="Times New Roman" w:hAnsi="Times New Roman" w:cs="Times New Roman"/>
          <w:sz w:val="26"/>
          <w:szCs w:val="26"/>
        </w:rPr>
        <w:t>”</w:t>
      </w:r>
      <w:r w:rsidR="00000553">
        <w:rPr>
          <w:rFonts w:ascii="Times New Roman" w:hAnsi="Times New Roman" w:cs="Times New Roman"/>
          <w:sz w:val="26"/>
          <w:szCs w:val="26"/>
        </w:rPr>
        <w:t xml:space="preserve"> and </w:t>
      </w:r>
      <w:r w:rsidR="00C26E9C">
        <w:rPr>
          <w:rFonts w:ascii="Times New Roman" w:hAnsi="Times New Roman" w:cs="Times New Roman"/>
          <w:sz w:val="26"/>
          <w:szCs w:val="26"/>
        </w:rPr>
        <w:t xml:space="preserve">the plaintiffs’ </w:t>
      </w:r>
      <w:r w:rsidR="00000553">
        <w:rPr>
          <w:rFonts w:ascii="Times New Roman" w:hAnsi="Times New Roman" w:cs="Times New Roman"/>
          <w:sz w:val="26"/>
          <w:szCs w:val="26"/>
        </w:rPr>
        <w:t xml:space="preserve">failure to request arbitration before </w:t>
      </w:r>
      <w:r w:rsidR="00000553">
        <w:rPr>
          <w:rFonts w:ascii="Times New Roman" w:hAnsi="Times New Roman" w:cs="Times New Roman"/>
          <w:i/>
          <w:iCs/>
          <w:sz w:val="26"/>
          <w:szCs w:val="26"/>
        </w:rPr>
        <w:t xml:space="preserve">Viking River </w:t>
      </w:r>
      <w:r w:rsidR="00000553">
        <w:rPr>
          <w:rFonts w:ascii="Times New Roman" w:hAnsi="Times New Roman" w:cs="Times New Roman"/>
          <w:sz w:val="26"/>
          <w:szCs w:val="26"/>
        </w:rPr>
        <w:t>was not unreasonable.</w:t>
      </w:r>
      <w:r w:rsidRPr="007516DD">
        <w:rPr>
          <w:rFonts w:ascii="Times New Roman" w:hAnsi="Times New Roman" w:cs="Times New Roman"/>
          <w:sz w:val="26"/>
          <w:szCs w:val="26"/>
        </w:rPr>
        <w:t xml:space="preserve">  (</w:t>
      </w:r>
      <w:bookmarkStart w:id="38" w:name="dabmci_1d907ceb30134685be7bd361a14a78c4"/>
      <w:r w:rsidRPr="007516DD">
        <w:rPr>
          <w:rFonts w:ascii="Times New Roman" w:hAnsi="Times New Roman" w:cs="Times New Roman"/>
          <w:i/>
          <w:iCs/>
          <w:sz w:val="26"/>
          <w:szCs w:val="26"/>
        </w:rPr>
        <w:t>I</w:t>
      </w:r>
      <w:r w:rsidR="008016B7">
        <w:rPr>
          <w:rFonts w:ascii="Times New Roman" w:hAnsi="Times New Roman" w:cs="Times New Roman"/>
          <w:i/>
          <w:iCs/>
          <w:sz w:val="26"/>
          <w:szCs w:val="26"/>
        </w:rPr>
        <w:t>bi</w:t>
      </w:r>
      <w:r w:rsidRPr="007516DD">
        <w:rPr>
          <w:rFonts w:ascii="Times New Roman" w:hAnsi="Times New Roman" w:cs="Times New Roman"/>
          <w:i/>
          <w:iCs/>
          <w:sz w:val="26"/>
          <w:szCs w:val="26"/>
        </w:rPr>
        <w:t>d</w:t>
      </w:r>
      <w:r w:rsidRPr="007516DD">
        <w:rPr>
          <w:rFonts w:ascii="Times New Roman" w:hAnsi="Times New Roman" w:cs="Times New Roman"/>
          <w:sz w:val="26"/>
          <w:szCs w:val="26"/>
        </w:rPr>
        <w:t>.</w:t>
      </w:r>
      <w:bookmarkEnd w:id="38"/>
      <w:r w:rsidRPr="007516DD">
        <w:rPr>
          <w:rFonts w:ascii="Times New Roman" w:hAnsi="Times New Roman" w:cs="Times New Roman"/>
          <w:sz w:val="26"/>
          <w:szCs w:val="26"/>
        </w:rPr>
        <w:t>)</w:t>
      </w:r>
      <w:r>
        <w:rPr>
          <w:rFonts w:ascii="Times New Roman" w:hAnsi="Times New Roman" w:cs="Times New Roman"/>
          <w:sz w:val="26"/>
          <w:szCs w:val="26"/>
        </w:rPr>
        <w:t xml:space="preserve"> </w:t>
      </w:r>
    </w:p>
    <w:p w:rsidR="004A292E" w:rsidP="000B1982" w14:paraId="419685A1" w14:textId="5881B4C8">
      <w:pPr>
        <w:spacing w:after="0" w:line="480" w:lineRule="atLeast"/>
        <w:ind w:firstLine="1440"/>
        <w:rPr>
          <w:rFonts w:ascii="Times New Roman" w:hAnsi="Times New Roman" w:cs="Times New Roman"/>
          <w:sz w:val="26"/>
          <w:szCs w:val="26"/>
        </w:rPr>
      </w:pPr>
      <w:r>
        <w:rPr>
          <w:rFonts w:ascii="Times New Roman" w:hAnsi="Times New Roman" w:cs="Times New Roman"/>
          <w:sz w:val="26"/>
          <w:szCs w:val="26"/>
        </w:rPr>
        <w:t xml:space="preserve">Other courts have reached </w:t>
      </w:r>
      <w:r w:rsidRPr="00752441">
        <w:rPr>
          <w:rFonts w:ascii="Times New Roman" w:hAnsi="Times New Roman" w:cs="Times New Roman"/>
          <w:sz w:val="26"/>
          <w:szCs w:val="26"/>
        </w:rPr>
        <w:t xml:space="preserve">similar </w:t>
      </w:r>
      <w:r w:rsidRPr="00752441" w:rsidR="00A74A59">
        <w:rPr>
          <w:rFonts w:ascii="Times New Roman" w:hAnsi="Times New Roman" w:cs="Times New Roman"/>
          <w:sz w:val="26"/>
          <w:szCs w:val="26"/>
        </w:rPr>
        <w:t>conclusions</w:t>
      </w:r>
      <w:r w:rsidRPr="00752441">
        <w:rPr>
          <w:rFonts w:ascii="Times New Roman" w:hAnsi="Times New Roman" w:cs="Times New Roman"/>
          <w:sz w:val="26"/>
          <w:szCs w:val="26"/>
        </w:rPr>
        <w:t xml:space="preserve">.  For example, in </w:t>
      </w:r>
      <w:bookmarkStart w:id="39" w:name="dabmci_9cf8df0ee7134e89bcca39eddaa01a13"/>
      <w:r w:rsidRPr="00752441">
        <w:rPr>
          <w:rFonts w:ascii="Times New Roman" w:hAnsi="Times New Roman" w:cs="Times New Roman"/>
          <w:i/>
          <w:iCs/>
          <w:sz w:val="26"/>
          <w:szCs w:val="26"/>
        </w:rPr>
        <w:t>Barrera v. Apple American Group LLC</w:t>
      </w:r>
      <w:r w:rsidRPr="00752441">
        <w:rPr>
          <w:rFonts w:ascii="Times New Roman" w:hAnsi="Times New Roman" w:cs="Times New Roman"/>
          <w:sz w:val="26"/>
          <w:szCs w:val="26"/>
        </w:rPr>
        <w:t xml:space="preserve"> (2023) 95 Cal.App.5th 63</w:t>
      </w:r>
      <w:r w:rsidR="0064720B">
        <w:rPr>
          <w:rFonts w:ascii="Times New Roman" w:hAnsi="Times New Roman" w:cs="Times New Roman"/>
          <w:sz w:val="26"/>
          <w:szCs w:val="26"/>
        </w:rPr>
        <w:t xml:space="preserve"> (</w:t>
      </w:r>
      <w:r w:rsidR="0064720B">
        <w:rPr>
          <w:rFonts w:ascii="Times New Roman" w:hAnsi="Times New Roman" w:cs="Times New Roman"/>
          <w:i/>
          <w:iCs/>
          <w:sz w:val="26"/>
          <w:szCs w:val="26"/>
        </w:rPr>
        <w:t>Barrera</w:t>
      </w:r>
      <w:r w:rsidR="0064720B">
        <w:rPr>
          <w:rFonts w:ascii="Times New Roman" w:hAnsi="Times New Roman" w:cs="Times New Roman"/>
          <w:sz w:val="26"/>
          <w:szCs w:val="26"/>
        </w:rPr>
        <w:t>)</w:t>
      </w:r>
      <w:bookmarkEnd w:id="39"/>
      <w:r w:rsidRPr="00752441">
        <w:rPr>
          <w:rFonts w:ascii="Times New Roman" w:hAnsi="Times New Roman" w:cs="Times New Roman"/>
          <w:sz w:val="26"/>
          <w:szCs w:val="26"/>
        </w:rPr>
        <w:t xml:space="preserve">, our colleagues in the </w:t>
      </w:r>
      <w:r w:rsidRPr="00752441" w:rsidR="00084AD5">
        <w:rPr>
          <w:rFonts w:ascii="Times New Roman" w:hAnsi="Times New Roman" w:cs="Times New Roman"/>
          <w:sz w:val="26"/>
          <w:szCs w:val="26"/>
        </w:rPr>
        <w:t>First District</w:t>
      </w:r>
      <w:r w:rsidRPr="00752441">
        <w:rPr>
          <w:rFonts w:ascii="Times New Roman" w:hAnsi="Times New Roman" w:cs="Times New Roman"/>
          <w:sz w:val="26"/>
          <w:szCs w:val="26"/>
        </w:rPr>
        <w:t xml:space="preserve"> </w:t>
      </w:r>
      <w:r w:rsidRPr="00752441" w:rsidR="003E6704">
        <w:rPr>
          <w:rFonts w:ascii="Times New Roman" w:hAnsi="Times New Roman" w:cs="Times New Roman"/>
          <w:sz w:val="26"/>
          <w:szCs w:val="26"/>
        </w:rPr>
        <w:t xml:space="preserve">relied </w:t>
      </w:r>
      <w:r w:rsidRPr="00752441">
        <w:rPr>
          <w:rFonts w:ascii="Times New Roman" w:hAnsi="Times New Roman" w:cs="Times New Roman"/>
          <w:sz w:val="26"/>
          <w:szCs w:val="26"/>
        </w:rPr>
        <w:t xml:space="preserve">on </w:t>
      </w:r>
      <w:r w:rsidRPr="00752441">
        <w:rPr>
          <w:rFonts w:ascii="Times New Roman" w:hAnsi="Times New Roman" w:cs="Times New Roman"/>
          <w:i/>
          <w:iCs/>
          <w:sz w:val="26"/>
          <w:szCs w:val="26"/>
        </w:rPr>
        <w:t>Piplack</w:t>
      </w:r>
      <w:r w:rsidRPr="00752441" w:rsidR="003E6704">
        <w:rPr>
          <w:rFonts w:ascii="Times New Roman" w:hAnsi="Times New Roman" w:cs="Times New Roman"/>
          <w:sz w:val="26"/>
          <w:szCs w:val="26"/>
        </w:rPr>
        <w:t xml:space="preserve"> in</w:t>
      </w:r>
      <w:r w:rsidRPr="00752441">
        <w:rPr>
          <w:rFonts w:ascii="Times New Roman" w:hAnsi="Times New Roman" w:cs="Times New Roman"/>
          <w:sz w:val="26"/>
          <w:szCs w:val="26"/>
        </w:rPr>
        <w:t xml:space="preserve"> determin</w:t>
      </w:r>
      <w:r w:rsidRPr="00752441" w:rsidR="003E6704">
        <w:rPr>
          <w:rFonts w:ascii="Times New Roman" w:hAnsi="Times New Roman" w:cs="Times New Roman"/>
          <w:sz w:val="26"/>
          <w:szCs w:val="26"/>
        </w:rPr>
        <w:t>ing</w:t>
      </w:r>
      <w:r w:rsidRPr="00752441">
        <w:rPr>
          <w:rFonts w:ascii="Times New Roman" w:hAnsi="Times New Roman" w:cs="Times New Roman"/>
          <w:sz w:val="26"/>
          <w:szCs w:val="26"/>
        </w:rPr>
        <w:t xml:space="preserve"> the defendants did not waive their “right to arbitrate by ‘litigating th[e] case for over a year’ before filing their motion to compel arbitration</w:t>
      </w:r>
      <w:r w:rsidR="000A0FC4">
        <w:rPr>
          <w:rFonts w:ascii="Times New Roman" w:hAnsi="Times New Roman" w:cs="Times New Roman"/>
          <w:sz w:val="26"/>
          <w:szCs w:val="26"/>
        </w:rPr>
        <w:t>.</w:t>
      </w:r>
      <w:r w:rsidRPr="00752441">
        <w:rPr>
          <w:rFonts w:ascii="Times New Roman" w:hAnsi="Times New Roman" w:cs="Times New Roman"/>
          <w:sz w:val="26"/>
          <w:szCs w:val="26"/>
        </w:rPr>
        <w:t>”</w:t>
      </w:r>
      <w:r w:rsidR="000A0FC4">
        <w:rPr>
          <w:rFonts w:ascii="Times New Roman" w:hAnsi="Times New Roman" w:cs="Times New Roman"/>
          <w:sz w:val="26"/>
          <w:szCs w:val="26"/>
        </w:rPr>
        <w:t xml:space="preserve">  (</w:t>
      </w:r>
      <w:bookmarkStart w:id="40" w:name="dabmci_7248047c94fd44fb88591596d03a2977"/>
      <w:r w:rsidR="000A0FC4">
        <w:rPr>
          <w:rFonts w:ascii="Times New Roman" w:hAnsi="Times New Roman" w:cs="Times New Roman"/>
          <w:i/>
          <w:iCs/>
          <w:sz w:val="26"/>
          <w:szCs w:val="26"/>
        </w:rPr>
        <w:t xml:space="preserve">Id. </w:t>
      </w:r>
      <w:r w:rsidR="000A0FC4">
        <w:rPr>
          <w:rFonts w:ascii="Times New Roman" w:hAnsi="Times New Roman" w:cs="Times New Roman"/>
          <w:sz w:val="26"/>
          <w:szCs w:val="26"/>
        </w:rPr>
        <w:t>at p. 77</w:t>
      </w:r>
      <w:bookmarkEnd w:id="40"/>
      <w:r w:rsidR="000A0FC4">
        <w:rPr>
          <w:rFonts w:ascii="Times New Roman" w:hAnsi="Times New Roman" w:cs="Times New Roman"/>
          <w:sz w:val="26"/>
          <w:szCs w:val="26"/>
        </w:rPr>
        <w:t xml:space="preserve">.)  The court noted the defendants </w:t>
      </w:r>
      <w:r w:rsidRPr="00752441">
        <w:rPr>
          <w:rFonts w:ascii="Times New Roman" w:hAnsi="Times New Roman" w:cs="Times New Roman"/>
          <w:sz w:val="26"/>
          <w:szCs w:val="26"/>
        </w:rPr>
        <w:t xml:space="preserve">“moved to compel arbitration soon after [they] learned the United States Supreme Court granted certiorari in </w:t>
      </w:r>
      <w:r w:rsidRPr="00752441">
        <w:rPr>
          <w:rFonts w:ascii="Times New Roman" w:hAnsi="Times New Roman" w:cs="Times New Roman"/>
          <w:i/>
          <w:iCs/>
          <w:sz w:val="26"/>
          <w:szCs w:val="26"/>
        </w:rPr>
        <w:t>Viking River</w:t>
      </w:r>
      <w:r w:rsidRPr="00752441">
        <w:rPr>
          <w:rFonts w:ascii="Times New Roman" w:hAnsi="Times New Roman" w:cs="Times New Roman"/>
          <w:sz w:val="26"/>
          <w:szCs w:val="26"/>
        </w:rPr>
        <w:t xml:space="preserve"> with respect to the </w:t>
      </w:r>
      <w:r w:rsidRPr="00752441">
        <w:rPr>
          <w:rFonts w:ascii="Times New Roman" w:hAnsi="Times New Roman" w:cs="Times New Roman"/>
          <w:i/>
          <w:iCs/>
          <w:sz w:val="26"/>
          <w:szCs w:val="26"/>
        </w:rPr>
        <w:t>Iskanian</w:t>
      </w:r>
      <w:r w:rsidRPr="00752441">
        <w:rPr>
          <w:rFonts w:ascii="Times New Roman" w:hAnsi="Times New Roman" w:cs="Times New Roman"/>
          <w:sz w:val="26"/>
          <w:szCs w:val="26"/>
        </w:rPr>
        <w:t xml:space="preserve"> rule—which they explained in their motion was ‘the only obstacle to arbitration of the claim </w:t>
      </w:r>
      <w:r w:rsidRPr="00752441" w:rsidR="00A72A6D">
        <w:rPr>
          <w:rFonts w:ascii="Times New Roman" w:hAnsi="Times New Roman" w:cs="Times New Roman"/>
          <w:sz w:val="26"/>
          <w:szCs w:val="26"/>
        </w:rPr>
        <w:t>here</w:t>
      </w:r>
      <w:r w:rsidRPr="00752441">
        <w:rPr>
          <w:rFonts w:ascii="Times New Roman" w:hAnsi="Times New Roman" w:cs="Times New Roman"/>
          <w:sz w:val="26"/>
          <w:szCs w:val="26"/>
        </w:rPr>
        <w:t xml:space="preserve">’ and likely to be overturned in </w:t>
      </w:r>
      <w:r w:rsidRPr="00752441">
        <w:rPr>
          <w:rFonts w:ascii="Times New Roman" w:hAnsi="Times New Roman" w:cs="Times New Roman"/>
          <w:i/>
          <w:iCs/>
          <w:sz w:val="26"/>
          <w:szCs w:val="26"/>
        </w:rPr>
        <w:t>Viking River</w:t>
      </w:r>
      <w:r w:rsidRPr="00752441">
        <w:rPr>
          <w:rFonts w:ascii="Times New Roman" w:hAnsi="Times New Roman" w:cs="Times New Roman"/>
          <w:sz w:val="26"/>
          <w:szCs w:val="26"/>
        </w:rPr>
        <w:t>.”</w:t>
      </w:r>
      <w:r w:rsidRPr="00752441" w:rsidR="003E6704">
        <w:rPr>
          <w:rFonts w:ascii="Times New Roman" w:hAnsi="Times New Roman" w:cs="Times New Roman"/>
          <w:sz w:val="26"/>
          <w:szCs w:val="26"/>
        </w:rPr>
        <w:t xml:space="preserve"> </w:t>
      </w:r>
      <w:r w:rsidRPr="00752441">
        <w:rPr>
          <w:rFonts w:ascii="Times New Roman" w:hAnsi="Times New Roman" w:cs="Times New Roman"/>
          <w:sz w:val="26"/>
          <w:szCs w:val="26"/>
        </w:rPr>
        <w:t xml:space="preserve"> (</w:t>
      </w:r>
      <w:bookmarkStart w:id="41" w:name="dabmci_b0b46f104cda49b191f0729c89c069f5"/>
      <w:r w:rsidRPr="00752441" w:rsidR="00875152">
        <w:rPr>
          <w:rFonts w:ascii="Times New Roman" w:hAnsi="Times New Roman" w:cs="Times New Roman"/>
          <w:i/>
          <w:iCs/>
          <w:sz w:val="26"/>
          <w:szCs w:val="26"/>
        </w:rPr>
        <w:t>Id.</w:t>
      </w:r>
      <w:r w:rsidRPr="00752441">
        <w:rPr>
          <w:rFonts w:ascii="Times New Roman" w:hAnsi="Times New Roman" w:cs="Times New Roman"/>
          <w:sz w:val="26"/>
          <w:szCs w:val="26"/>
        </w:rPr>
        <w:t xml:space="preserve"> at p</w:t>
      </w:r>
      <w:r w:rsidR="008016B7">
        <w:rPr>
          <w:rFonts w:ascii="Times New Roman" w:hAnsi="Times New Roman" w:cs="Times New Roman"/>
          <w:sz w:val="26"/>
          <w:szCs w:val="26"/>
        </w:rPr>
        <w:t>p</w:t>
      </w:r>
      <w:r w:rsidR="00861983">
        <w:rPr>
          <w:rFonts w:ascii="Times New Roman" w:hAnsi="Times New Roman" w:cs="Times New Roman"/>
          <w:sz w:val="26"/>
          <w:szCs w:val="26"/>
        </w:rPr>
        <w:t xml:space="preserve">. </w:t>
      </w:r>
      <w:r w:rsidR="008016B7">
        <w:rPr>
          <w:rFonts w:ascii="Times New Roman" w:hAnsi="Times New Roman" w:cs="Times New Roman"/>
          <w:sz w:val="26"/>
          <w:szCs w:val="26"/>
        </w:rPr>
        <w:t>78</w:t>
      </w:r>
      <w:r w:rsidR="008016B7">
        <w:rPr>
          <w:rFonts w:ascii="Times New Roman" w:hAnsi="Times New Roman" w:cs="Times New Roman"/>
          <w:sz w:val="26"/>
          <w:szCs w:val="26"/>
        </w:rPr>
        <w:noBreakHyphen/>
      </w:r>
      <w:r w:rsidRPr="0064720B">
        <w:rPr>
          <w:rFonts w:ascii="Times New Roman" w:hAnsi="Times New Roman" w:cs="Times New Roman"/>
          <w:sz w:val="26"/>
          <w:szCs w:val="26"/>
        </w:rPr>
        <w:t>79</w:t>
      </w:r>
      <w:bookmarkEnd w:id="41"/>
      <w:r w:rsidRPr="0064720B">
        <w:rPr>
          <w:rFonts w:ascii="Times New Roman" w:hAnsi="Times New Roman" w:cs="Times New Roman"/>
          <w:sz w:val="26"/>
          <w:szCs w:val="26"/>
        </w:rPr>
        <w:t xml:space="preserve">.) </w:t>
      </w:r>
      <w:r w:rsidRPr="0064720B" w:rsidR="003E6704">
        <w:rPr>
          <w:rFonts w:ascii="Times New Roman" w:hAnsi="Times New Roman" w:cs="Times New Roman"/>
          <w:sz w:val="26"/>
          <w:szCs w:val="26"/>
        </w:rPr>
        <w:t xml:space="preserve"> </w:t>
      </w:r>
      <w:r w:rsidRPr="0064720B">
        <w:rPr>
          <w:rFonts w:ascii="Times New Roman" w:hAnsi="Times New Roman" w:cs="Times New Roman"/>
          <w:sz w:val="26"/>
          <w:szCs w:val="26"/>
        </w:rPr>
        <w:t>“Given these circumstances, any delay in bringing the</w:t>
      </w:r>
      <w:r w:rsidR="00881076">
        <w:rPr>
          <w:rFonts w:ascii="Times New Roman" w:hAnsi="Times New Roman" w:cs="Times New Roman"/>
          <w:sz w:val="26"/>
          <w:szCs w:val="26"/>
        </w:rPr>
        <w:t>ir</w:t>
      </w:r>
      <w:r w:rsidRPr="0064720B">
        <w:rPr>
          <w:rFonts w:ascii="Times New Roman" w:hAnsi="Times New Roman" w:cs="Times New Roman"/>
          <w:sz w:val="26"/>
          <w:szCs w:val="26"/>
        </w:rPr>
        <w:t xml:space="preserve"> motion was not unreasonable.”</w:t>
      </w:r>
      <w:r w:rsidRPr="0064720B" w:rsidR="003E6704">
        <w:rPr>
          <w:rFonts w:ascii="Times New Roman" w:hAnsi="Times New Roman" w:cs="Times New Roman"/>
          <w:sz w:val="26"/>
          <w:szCs w:val="26"/>
        </w:rPr>
        <w:t xml:space="preserve"> </w:t>
      </w:r>
      <w:r w:rsidRPr="0064720B">
        <w:rPr>
          <w:rFonts w:ascii="Times New Roman" w:hAnsi="Times New Roman" w:cs="Times New Roman"/>
          <w:sz w:val="26"/>
          <w:szCs w:val="26"/>
        </w:rPr>
        <w:t xml:space="preserve"> (</w:t>
      </w:r>
      <w:bookmarkStart w:id="42" w:name="dabmci_49e1fc89e00e429a92263b79b128dacc"/>
      <w:r w:rsidRPr="0064720B">
        <w:rPr>
          <w:rFonts w:ascii="Times New Roman" w:hAnsi="Times New Roman" w:cs="Times New Roman"/>
          <w:i/>
          <w:iCs/>
          <w:sz w:val="26"/>
          <w:szCs w:val="26"/>
        </w:rPr>
        <w:t>Id</w:t>
      </w:r>
      <w:r w:rsidRPr="0064720B">
        <w:rPr>
          <w:rFonts w:ascii="Times New Roman" w:hAnsi="Times New Roman" w:cs="Times New Roman"/>
          <w:sz w:val="26"/>
          <w:szCs w:val="26"/>
        </w:rPr>
        <w:t>.</w:t>
      </w:r>
      <w:r w:rsidR="008016B7">
        <w:rPr>
          <w:rFonts w:ascii="Times New Roman" w:hAnsi="Times New Roman" w:cs="Times New Roman"/>
          <w:sz w:val="26"/>
          <w:szCs w:val="26"/>
        </w:rPr>
        <w:t xml:space="preserve"> at p. 79</w:t>
      </w:r>
      <w:bookmarkEnd w:id="42"/>
      <w:r w:rsidR="008016B7">
        <w:rPr>
          <w:rFonts w:ascii="Times New Roman" w:hAnsi="Times New Roman" w:cs="Times New Roman"/>
          <w:sz w:val="26"/>
          <w:szCs w:val="26"/>
        </w:rPr>
        <w:t>.)</w:t>
      </w:r>
    </w:p>
    <w:p w:rsidR="0015008A" w:rsidP="000B1982" w14:paraId="21DF576C" w14:textId="0EB97A4C">
      <w:pPr>
        <w:spacing w:after="0" w:line="480" w:lineRule="atLeast"/>
        <w:ind w:firstLine="1440"/>
        <w:rPr>
          <w:rFonts w:ascii="Times New Roman" w:hAnsi="Times New Roman" w:cs="Times New Roman"/>
          <w:sz w:val="26"/>
          <w:szCs w:val="26"/>
        </w:rPr>
      </w:pPr>
      <w:r w:rsidRPr="004A292E">
        <w:rPr>
          <w:rFonts w:ascii="Times New Roman" w:hAnsi="Times New Roman" w:cs="Times New Roman"/>
          <w:sz w:val="26"/>
          <w:szCs w:val="26"/>
        </w:rPr>
        <w:t>Th</w:t>
      </w:r>
      <w:r w:rsidR="008016B7">
        <w:rPr>
          <w:rFonts w:ascii="Times New Roman" w:hAnsi="Times New Roman" w:cs="Times New Roman"/>
          <w:sz w:val="26"/>
          <w:szCs w:val="26"/>
        </w:rPr>
        <w:t>is</w:t>
      </w:r>
      <w:r w:rsidRPr="004A292E">
        <w:rPr>
          <w:rFonts w:ascii="Times New Roman" w:hAnsi="Times New Roman" w:cs="Times New Roman"/>
          <w:sz w:val="26"/>
          <w:szCs w:val="26"/>
        </w:rPr>
        <w:t xml:space="preserve"> case, however, </w:t>
      </w:r>
      <w:r w:rsidR="00C277AB">
        <w:rPr>
          <w:rFonts w:ascii="Times New Roman" w:hAnsi="Times New Roman" w:cs="Times New Roman"/>
          <w:sz w:val="26"/>
          <w:szCs w:val="26"/>
        </w:rPr>
        <w:t xml:space="preserve">is distinguishable from those </w:t>
      </w:r>
      <w:r w:rsidR="003E6704">
        <w:rPr>
          <w:rFonts w:ascii="Times New Roman" w:hAnsi="Times New Roman" w:cs="Times New Roman"/>
          <w:sz w:val="26"/>
          <w:szCs w:val="26"/>
        </w:rPr>
        <w:t>described above</w:t>
      </w:r>
      <w:r w:rsidRPr="004A292E">
        <w:rPr>
          <w:rFonts w:ascii="Times New Roman" w:hAnsi="Times New Roman" w:cs="Times New Roman"/>
          <w:i/>
          <w:iCs/>
          <w:sz w:val="26"/>
          <w:szCs w:val="26"/>
        </w:rPr>
        <w:t xml:space="preserve">.  </w:t>
      </w:r>
      <w:r w:rsidRPr="004A292E">
        <w:rPr>
          <w:rFonts w:ascii="Times New Roman" w:hAnsi="Times New Roman" w:cs="Times New Roman"/>
          <w:sz w:val="26"/>
          <w:szCs w:val="26"/>
        </w:rPr>
        <w:t xml:space="preserve">In </w:t>
      </w:r>
      <w:bookmarkStart w:id="43" w:name="dabmci_b8726b6f873749e8bfa8d512423db518"/>
      <w:r w:rsidRPr="004A292E">
        <w:rPr>
          <w:rFonts w:ascii="Times New Roman" w:hAnsi="Times New Roman" w:cs="Times New Roman"/>
          <w:i/>
          <w:iCs/>
          <w:sz w:val="26"/>
          <w:szCs w:val="26"/>
        </w:rPr>
        <w:t>Piplack</w:t>
      </w:r>
      <w:bookmarkEnd w:id="43"/>
      <w:r w:rsidRPr="004A292E">
        <w:rPr>
          <w:rFonts w:ascii="Times New Roman" w:hAnsi="Times New Roman" w:cs="Times New Roman"/>
          <w:sz w:val="26"/>
          <w:szCs w:val="26"/>
        </w:rPr>
        <w:t>, the “</w:t>
      </w:r>
      <w:r w:rsidRPr="004A292E" w:rsidR="0012057B">
        <w:rPr>
          <w:rFonts w:ascii="Times New Roman" w:hAnsi="Times New Roman" w:cs="Times New Roman"/>
          <w:sz w:val="26"/>
          <w:szCs w:val="26"/>
        </w:rPr>
        <w:t>defendant raised its right to arbitrate as soon as it had any chance of success</w:t>
      </w:r>
      <w:r w:rsidRPr="004A292E" w:rsidR="004A292E">
        <w:rPr>
          <w:rFonts w:ascii="Times New Roman" w:hAnsi="Times New Roman" w:cs="Times New Roman"/>
          <w:sz w:val="26"/>
          <w:szCs w:val="26"/>
        </w:rPr>
        <w:t xml:space="preserve">” </w:t>
      </w:r>
      <w:r w:rsidR="008016B7">
        <w:rPr>
          <w:rFonts w:ascii="Times New Roman" w:hAnsi="Times New Roman" w:cs="Times New Roman"/>
          <w:sz w:val="26"/>
          <w:szCs w:val="26"/>
        </w:rPr>
        <w:t>(</w:t>
      </w:r>
      <w:bookmarkStart w:id="44" w:name="dabmci_f45c81d1d21f49f59336abd8be65faa6"/>
      <w:r w:rsidR="008016B7">
        <w:rPr>
          <w:rFonts w:ascii="Times New Roman" w:hAnsi="Times New Roman" w:cs="Times New Roman"/>
          <w:i/>
          <w:iCs/>
          <w:sz w:val="26"/>
          <w:szCs w:val="26"/>
        </w:rPr>
        <w:t>Piplack, supra</w:t>
      </w:r>
      <w:r w:rsidRPr="008016B7" w:rsidR="008016B7">
        <w:rPr>
          <w:rFonts w:ascii="Times New Roman" w:hAnsi="Times New Roman" w:cs="Times New Roman"/>
          <w:sz w:val="26"/>
          <w:szCs w:val="26"/>
        </w:rPr>
        <w:t>, 88 Cal.App.5</w:t>
      </w:r>
      <w:r w:rsidR="008016B7">
        <w:rPr>
          <w:rFonts w:ascii="Times New Roman" w:hAnsi="Times New Roman" w:cs="Times New Roman"/>
          <w:sz w:val="26"/>
          <w:szCs w:val="26"/>
        </w:rPr>
        <w:t>th</w:t>
      </w:r>
      <w:r w:rsidRPr="008016B7" w:rsidR="008016B7">
        <w:rPr>
          <w:rFonts w:ascii="Times New Roman" w:hAnsi="Times New Roman" w:cs="Times New Roman"/>
          <w:sz w:val="26"/>
          <w:szCs w:val="26"/>
        </w:rPr>
        <w:t xml:space="preserve"> at p. 1289</w:t>
      </w:r>
      <w:bookmarkEnd w:id="44"/>
      <w:r w:rsidRPr="008016B7" w:rsidR="008016B7">
        <w:rPr>
          <w:rFonts w:ascii="Times New Roman" w:hAnsi="Times New Roman" w:cs="Times New Roman"/>
          <w:sz w:val="26"/>
          <w:szCs w:val="26"/>
        </w:rPr>
        <w:t xml:space="preserve">), </w:t>
      </w:r>
      <w:r w:rsidRPr="004A292E" w:rsidR="004A292E">
        <w:rPr>
          <w:rFonts w:ascii="Times New Roman" w:hAnsi="Times New Roman" w:cs="Times New Roman"/>
          <w:sz w:val="26"/>
          <w:szCs w:val="26"/>
        </w:rPr>
        <w:t xml:space="preserve">filing its motion to compel arbitration in February 2022 while the </w:t>
      </w:r>
      <w:r w:rsidRPr="004A292E" w:rsidR="004A292E">
        <w:rPr>
          <w:rFonts w:ascii="Times New Roman" w:hAnsi="Times New Roman" w:cs="Times New Roman"/>
          <w:i/>
          <w:iCs/>
          <w:sz w:val="26"/>
          <w:szCs w:val="26"/>
        </w:rPr>
        <w:t xml:space="preserve">Viking River </w:t>
      </w:r>
      <w:r w:rsidRPr="004A292E" w:rsidR="004A292E">
        <w:rPr>
          <w:rFonts w:ascii="Times New Roman" w:hAnsi="Times New Roman" w:cs="Times New Roman"/>
          <w:sz w:val="26"/>
          <w:szCs w:val="26"/>
        </w:rPr>
        <w:t>case was still pending before the Supreme Court</w:t>
      </w:r>
      <w:r w:rsidR="008701F6">
        <w:rPr>
          <w:rFonts w:ascii="Times New Roman" w:hAnsi="Times New Roman" w:cs="Times New Roman"/>
          <w:sz w:val="26"/>
          <w:szCs w:val="26"/>
        </w:rPr>
        <w:t xml:space="preserve"> (</w:t>
      </w:r>
      <w:bookmarkStart w:id="45" w:name="dabmci_3fab212c9a0e423497a6ae02371aa40e"/>
      <w:r w:rsidR="008701F6">
        <w:rPr>
          <w:rFonts w:ascii="Times New Roman" w:hAnsi="Times New Roman" w:cs="Times New Roman"/>
          <w:i/>
          <w:iCs/>
          <w:sz w:val="26"/>
          <w:szCs w:val="26"/>
        </w:rPr>
        <w:t>id.</w:t>
      </w:r>
      <w:r w:rsidR="008701F6">
        <w:rPr>
          <w:rFonts w:ascii="Times New Roman" w:hAnsi="Times New Roman" w:cs="Times New Roman"/>
          <w:sz w:val="26"/>
          <w:szCs w:val="26"/>
        </w:rPr>
        <w:t xml:space="preserve"> at p. 1286</w:t>
      </w:r>
      <w:bookmarkEnd w:id="45"/>
      <w:r w:rsidR="008701F6">
        <w:rPr>
          <w:rFonts w:ascii="Times New Roman" w:hAnsi="Times New Roman" w:cs="Times New Roman"/>
          <w:sz w:val="26"/>
          <w:szCs w:val="26"/>
        </w:rPr>
        <w:t>)</w:t>
      </w:r>
      <w:r w:rsidRPr="004A292E" w:rsidR="004A292E">
        <w:rPr>
          <w:rFonts w:ascii="Times New Roman" w:hAnsi="Times New Roman" w:cs="Times New Roman"/>
          <w:sz w:val="26"/>
          <w:szCs w:val="26"/>
        </w:rPr>
        <w:t xml:space="preserve">.  </w:t>
      </w:r>
      <w:r w:rsidR="0064720B">
        <w:rPr>
          <w:rFonts w:ascii="Times New Roman" w:hAnsi="Times New Roman" w:cs="Times New Roman"/>
          <w:sz w:val="26"/>
          <w:szCs w:val="26"/>
        </w:rPr>
        <w:t xml:space="preserve">Similarly, in </w:t>
      </w:r>
      <w:bookmarkStart w:id="46" w:name="dabmci_aee6429297754aceb0ce8834a5f511ff"/>
      <w:r w:rsidR="0064720B">
        <w:rPr>
          <w:rFonts w:ascii="Times New Roman" w:hAnsi="Times New Roman" w:cs="Times New Roman"/>
          <w:i/>
          <w:iCs/>
          <w:sz w:val="26"/>
          <w:szCs w:val="26"/>
        </w:rPr>
        <w:t>Barrera</w:t>
      </w:r>
      <w:bookmarkEnd w:id="46"/>
      <w:r w:rsidR="0064720B">
        <w:rPr>
          <w:rFonts w:ascii="Times New Roman" w:hAnsi="Times New Roman" w:cs="Times New Roman"/>
          <w:i/>
          <w:iCs/>
          <w:sz w:val="26"/>
          <w:szCs w:val="26"/>
        </w:rPr>
        <w:t xml:space="preserve">, </w:t>
      </w:r>
      <w:r w:rsidR="006909D2">
        <w:rPr>
          <w:rFonts w:ascii="Times New Roman" w:hAnsi="Times New Roman" w:cs="Times New Roman"/>
          <w:sz w:val="26"/>
          <w:szCs w:val="26"/>
        </w:rPr>
        <w:t xml:space="preserve">the defendant </w:t>
      </w:r>
      <w:r w:rsidR="005849E5">
        <w:rPr>
          <w:rFonts w:ascii="Times New Roman" w:hAnsi="Times New Roman" w:cs="Times New Roman"/>
          <w:sz w:val="26"/>
          <w:szCs w:val="26"/>
        </w:rPr>
        <w:t xml:space="preserve">filed its motion to compel arbitration March 2022 while </w:t>
      </w:r>
      <w:r w:rsidR="005849E5">
        <w:rPr>
          <w:rFonts w:ascii="Times New Roman" w:hAnsi="Times New Roman" w:cs="Times New Roman"/>
          <w:i/>
          <w:iCs/>
          <w:sz w:val="26"/>
          <w:szCs w:val="26"/>
        </w:rPr>
        <w:t xml:space="preserve">Viking River </w:t>
      </w:r>
      <w:r w:rsidR="005849E5">
        <w:rPr>
          <w:rFonts w:ascii="Times New Roman" w:hAnsi="Times New Roman" w:cs="Times New Roman"/>
          <w:sz w:val="26"/>
          <w:szCs w:val="26"/>
        </w:rPr>
        <w:t>was still pending</w:t>
      </w:r>
      <w:r w:rsidR="000B5B80">
        <w:rPr>
          <w:rFonts w:ascii="Times New Roman" w:hAnsi="Times New Roman" w:cs="Times New Roman"/>
          <w:sz w:val="26"/>
          <w:szCs w:val="26"/>
        </w:rPr>
        <w:t xml:space="preserve"> review</w:t>
      </w:r>
      <w:r w:rsidR="005849E5">
        <w:rPr>
          <w:rFonts w:ascii="Times New Roman" w:hAnsi="Times New Roman" w:cs="Times New Roman"/>
          <w:sz w:val="26"/>
          <w:szCs w:val="26"/>
        </w:rPr>
        <w:t>.  (</w:t>
      </w:r>
      <w:bookmarkStart w:id="47" w:name="dabmci_e96c344452684b1398f08f898271ec2a"/>
      <w:r w:rsidR="005849E5">
        <w:rPr>
          <w:rFonts w:ascii="Times New Roman" w:hAnsi="Times New Roman" w:cs="Times New Roman"/>
          <w:i/>
          <w:iCs/>
          <w:sz w:val="26"/>
          <w:szCs w:val="26"/>
        </w:rPr>
        <w:t xml:space="preserve">Barrera, supra, </w:t>
      </w:r>
      <w:r w:rsidR="005849E5">
        <w:rPr>
          <w:rFonts w:ascii="Times New Roman" w:hAnsi="Times New Roman" w:cs="Times New Roman"/>
          <w:sz w:val="26"/>
          <w:szCs w:val="26"/>
        </w:rPr>
        <w:t>95</w:t>
      </w:r>
      <w:r w:rsidR="008701F6">
        <w:rPr>
          <w:rFonts w:ascii="Times New Roman" w:hAnsi="Times New Roman" w:cs="Times New Roman"/>
          <w:sz w:val="26"/>
          <w:szCs w:val="26"/>
        </w:rPr>
        <w:t> </w:t>
      </w:r>
      <w:r w:rsidR="005849E5">
        <w:rPr>
          <w:rFonts w:ascii="Times New Roman" w:hAnsi="Times New Roman" w:cs="Times New Roman"/>
          <w:sz w:val="26"/>
          <w:szCs w:val="26"/>
        </w:rPr>
        <w:t xml:space="preserve">Cal.App.5th at p. </w:t>
      </w:r>
      <w:r w:rsidR="006D368F">
        <w:rPr>
          <w:rFonts w:ascii="Times New Roman" w:hAnsi="Times New Roman" w:cs="Times New Roman"/>
          <w:sz w:val="26"/>
          <w:szCs w:val="26"/>
        </w:rPr>
        <w:t>71</w:t>
      </w:r>
      <w:bookmarkEnd w:id="47"/>
      <w:r w:rsidR="006D368F">
        <w:rPr>
          <w:rFonts w:ascii="Times New Roman" w:hAnsi="Times New Roman" w:cs="Times New Roman"/>
          <w:sz w:val="26"/>
          <w:szCs w:val="26"/>
        </w:rPr>
        <w:t xml:space="preserve">.)  </w:t>
      </w:r>
    </w:p>
    <w:p w:rsidR="004A292E" w:rsidRPr="004A292E" w:rsidP="000B1982" w14:paraId="2C08CA2B" w14:textId="3045D9F8">
      <w:pPr>
        <w:spacing w:after="0" w:line="480" w:lineRule="atLeast"/>
        <w:ind w:firstLine="1440"/>
        <w:rPr>
          <w:rFonts w:ascii="Times New Roman" w:hAnsi="Times New Roman" w:cs="Times New Roman"/>
          <w:sz w:val="26"/>
          <w:szCs w:val="26"/>
        </w:rPr>
      </w:pPr>
      <w:r>
        <w:rPr>
          <w:rFonts w:ascii="Times New Roman" w:hAnsi="Times New Roman" w:cs="Times New Roman"/>
          <w:sz w:val="26"/>
          <w:szCs w:val="26"/>
        </w:rPr>
        <w:t xml:space="preserve">Here, Wedbush waited </w:t>
      </w:r>
      <w:r w:rsidR="00120213">
        <w:rPr>
          <w:rFonts w:ascii="Times New Roman" w:hAnsi="Times New Roman" w:cs="Times New Roman"/>
          <w:sz w:val="26"/>
          <w:szCs w:val="26"/>
        </w:rPr>
        <w:t xml:space="preserve">until </w:t>
      </w:r>
      <w:r w:rsidR="008C0BFE">
        <w:rPr>
          <w:rFonts w:ascii="Times New Roman" w:hAnsi="Times New Roman" w:cs="Times New Roman"/>
          <w:sz w:val="26"/>
          <w:szCs w:val="26"/>
        </w:rPr>
        <w:t xml:space="preserve">nine months after the </w:t>
      </w:r>
      <w:r w:rsidR="004E5820">
        <w:rPr>
          <w:rFonts w:ascii="Times New Roman" w:hAnsi="Times New Roman" w:cs="Times New Roman"/>
          <w:sz w:val="26"/>
          <w:szCs w:val="26"/>
        </w:rPr>
        <w:t xml:space="preserve">Supreme Court issued the </w:t>
      </w:r>
      <w:r w:rsidR="008C0BFE">
        <w:rPr>
          <w:rFonts w:ascii="Times New Roman" w:hAnsi="Times New Roman" w:cs="Times New Roman"/>
          <w:i/>
          <w:iCs/>
          <w:sz w:val="26"/>
          <w:szCs w:val="26"/>
        </w:rPr>
        <w:t xml:space="preserve">Viking River </w:t>
      </w:r>
      <w:r w:rsidR="008C0BFE">
        <w:rPr>
          <w:rFonts w:ascii="Times New Roman" w:hAnsi="Times New Roman" w:cs="Times New Roman"/>
          <w:sz w:val="26"/>
          <w:szCs w:val="26"/>
        </w:rPr>
        <w:t>decision</w:t>
      </w:r>
      <w:r>
        <w:rPr>
          <w:rFonts w:ascii="Times New Roman" w:hAnsi="Times New Roman" w:cs="Times New Roman"/>
          <w:sz w:val="26"/>
          <w:szCs w:val="26"/>
        </w:rPr>
        <w:t xml:space="preserve"> to file its motion to compel arbitration</w:t>
      </w:r>
      <w:r w:rsidRPr="008415C4">
        <w:rPr>
          <w:rFonts w:ascii="Times New Roman" w:hAnsi="Times New Roman" w:cs="Times New Roman"/>
          <w:sz w:val="26"/>
          <w:szCs w:val="26"/>
        </w:rPr>
        <w:t xml:space="preserve">.  </w:t>
      </w:r>
      <w:r w:rsidR="00C277AB">
        <w:rPr>
          <w:rFonts w:ascii="Times New Roman" w:hAnsi="Times New Roman" w:cs="Times New Roman"/>
          <w:sz w:val="26"/>
          <w:szCs w:val="26"/>
        </w:rPr>
        <w:t>During those nine months</w:t>
      </w:r>
      <w:r w:rsidRPr="008415C4">
        <w:rPr>
          <w:rFonts w:ascii="Times New Roman" w:hAnsi="Times New Roman" w:cs="Times New Roman"/>
          <w:sz w:val="26"/>
          <w:szCs w:val="26"/>
        </w:rPr>
        <w:t xml:space="preserve"> </w:t>
      </w:r>
      <w:r w:rsidR="00AF439C">
        <w:rPr>
          <w:rFonts w:ascii="Times New Roman" w:hAnsi="Times New Roman" w:cs="Times New Roman"/>
          <w:sz w:val="26"/>
          <w:szCs w:val="26"/>
        </w:rPr>
        <w:t>Wedbush</w:t>
      </w:r>
      <w:r w:rsidRPr="008415C4">
        <w:rPr>
          <w:rFonts w:ascii="Times New Roman" w:hAnsi="Times New Roman" w:cs="Times New Roman"/>
          <w:sz w:val="26"/>
          <w:szCs w:val="26"/>
        </w:rPr>
        <w:t xml:space="preserve"> engaged in conduct inconsistent with </w:t>
      </w:r>
      <w:r w:rsidR="00861983">
        <w:rPr>
          <w:rFonts w:ascii="Times New Roman" w:hAnsi="Times New Roman" w:cs="Times New Roman"/>
          <w:sz w:val="26"/>
          <w:szCs w:val="26"/>
        </w:rPr>
        <w:t>an intent</w:t>
      </w:r>
      <w:r w:rsidRPr="008415C4">
        <w:rPr>
          <w:rFonts w:ascii="Times New Roman" w:hAnsi="Times New Roman" w:cs="Times New Roman"/>
          <w:sz w:val="26"/>
          <w:szCs w:val="26"/>
        </w:rPr>
        <w:t xml:space="preserve"> to compel arbitration, including </w:t>
      </w:r>
      <w:r w:rsidRPr="008415C4" w:rsidR="00521306">
        <w:rPr>
          <w:rFonts w:ascii="Times New Roman" w:hAnsi="Times New Roman" w:cs="Times New Roman"/>
          <w:sz w:val="26"/>
          <w:szCs w:val="26"/>
        </w:rPr>
        <w:t>motion practice and discovery</w:t>
      </w:r>
      <w:r w:rsidR="00120213">
        <w:rPr>
          <w:rFonts w:ascii="Times New Roman" w:hAnsi="Times New Roman" w:cs="Times New Roman"/>
          <w:sz w:val="26"/>
          <w:szCs w:val="26"/>
        </w:rPr>
        <w:t xml:space="preserve">, and </w:t>
      </w:r>
      <w:r w:rsidR="00370B88">
        <w:rPr>
          <w:rFonts w:ascii="Times New Roman" w:hAnsi="Times New Roman" w:cs="Times New Roman"/>
          <w:sz w:val="26"/>
          <w:szCs w:val="26"/>
        </w:rPr>
        <w:t xml:space="preserve">we find nothing in our record to suggest Wedbush advised </w:t>
      </w:r>
      <w:r w:rsidR="001B5D6F">
        <w:rPr>
          <w:rFonts w:ascii="Times New Roman" w:hAnsi="Times New Roman" w:cs="Times New Roman"/>
          <w:sz w:val="26"/>
          <w:szCs w:val="26"/>
        </w:rPr>
        <w:t>Plaintiffs of its</w:t>
      </w:r>
      <w:r w:rsidR="004C1AAF">
        <w:rPr>
          <w:rFonts w:ascii="Times New Roman" w:hAnsi="Times New Roman" w:cs="Times New Roman"/>
          <w:sz w:val="26"/>
          <w:szCs w:val="26"/>
        </w:rPr>
        <w:t xml:space="preserve"> plans</w:t>
      </w:r>
      <w:r w:rsidR="001B5D6F">
        <w:rPr>
          <w:rFonts w:ascii="Times New Roman" w:hAnsi="Times New Roman" w:cs="Times New Roman"/>
          <w:sz w:val="26"/>
          <w:szCs w:val="26"/>
        </w:rPr>
        <w:t xml:space="preserve"> to </w:t>
      </w:r>
      <w:r w:rsidR="001C3525">
        <w:rPr>
          <w:rFonts w:ascii="Times New Roman" w:hAnsi="Times New Roman" w:cs="Times New Roman"/>
          <w:sz w:val="26"/>
          <w:szCs w:val="26"/>
        </w:rPr>
        <w:t>compel arbitration</w:t>
      </w:r>
      <w:r w:rsidR="00D23BE8">
        <w:rPr>
          <w:rFonts w:ascii="Times New Roman" w:hAnsi="Times New Roman" w:cs="Times New Roman"/>
          <w:sz w:val="26"/>
          <w:szCs w:val="26"/>
        </w:rPr>
        <w:t xml:space="preserve"> during that time</w:t>
      </w:r>
      <w:r w:rsidRPr="008415C4">
        <w:rPr>
          <w:rFonts w:ascii="Times New Roman" w:hAnsi="Times New Roman" w:cs="Times New Roman"/>
          <w:sz w:val="26"/>
          <w:szCs w:val="26"/>
        </w:rPr>
        <w:t>.</w:t>
      </w:r>
      <w:r w:rsidRPr="008415C4" w:rsidR="002A6C11">
        <w:rPr>
          <w:rFonts w:ascii="Times New Roman" w:hAnsi="Times New Roman" w:cs="Times New Roman"/>
          <w:sz w:val="26"/>
          <w:szCs w:val="26"/>
        </w:rPr>
        <w:t xml:space="preserve">  </w:t>
      </w:r>
      <w:r w:rsidRPr="008415C4" w:rsidR="007516DD">
        <w:rPr>
          <w:rFonts w:ascii="Times New Roman" w:hAnsi="Times New Roman" w:cs="Times New Roman"/>
          <w:sz w:val="26"/>
          <w:szCs w:val="26"/>
        </w:rPr>
        <w:t>That</w:t>
      </w:r>
      <w:r w:rsidRPr="008415C4" w:rsidR="002A6C11">
        <w:rPr>
          <w:rFonts w:ascii="Times New Roman" w:hAnsi="Times New Roman" w:cs="Times New Roman"/>
          <w:sz w:val="26"/>
          <w:szCs w:val="26"/>
        </w:rPr>
        <w:t xml:space="preserve"> nine-month</w:t>
      </w:r>
      <w:r w:rsidRPr="008415C4" w:rsidR="007516DD">
        <w:rPr>
          <w:rFonts w:ascii="Times New Roman" w:hAnsi="Times New Roman" w:cs="Times New Roman"/>
          <w:sz w:val="26"/>
          <w:szCs w:val="26"/>
        </w:rPr>
        <w:t xml:space="preserve"> delay</w:t>
      </w:r>
      <w:r w:rsidRPr="008415C4" w:rsidR="008C0BFE">
        <w:rPr>
          <w:rFonts w:ascii="Times New Roman" w:hAnsi="Times New Roman" w:cs="Times New Roman"/>
          <w:sz w:val="26"/>
          <w:szCs w:val="26"/>
        </w:rPr>
        <w:t>, coupled with Wedbush’s</w:t>
      </w:r>
      <w:r w:rsidR="008C0BFE">
        <w:rPr>
          <w:rFonts w:ascii="Times New Roman" w:hAnsi="Times New Roman" w:cs="Times New Roman"/>
          <w:sz w:val="26"/>
          <w:szCs w:val="26"/>
        </w:rPr>
        <w:t xml:space="preserve"> other conduct inconsistent with </w:t>
      </w:r>
      <w:r w:rsidR="00CB2AA6">
        <w:rPr>
          <w:rFonts w:ascii="Times New Roman" w:hAnsi="Times New Roman" w:cs="Times New Roman"/>
          <w:sz w:val="26"/>
          <w:szCs w:val="26"/>
        </w:rPr>
        <w:t xml:space="preserve">an intent </w:t>
      </w:r>
      <w:r w:rsidR="008C0BFE">
        <w:rPr>
          <w:rFonts w:ascii="Times New Roman" w:hAnsi="Times New Roman" w:cs="Times New Roman"/>
          <w:sz w:val="26"/>
          <w:szCs w:val="26"/>
        </w:rPr>
        <w:t>to compel arbitration,</w:t>
      </w:r>
      <w:r w:rsidR="007516DD">
        <w:rPr>
          <w:rFonts w:ascii="Times New Roman" w:hAnsi="Times New Roman" w:cs="Times New Roman"/>
          <w:sz w:val="26"/>
          <w:szCs w:val="26"/>
        </w:rPr>
        <w:t xml:space="preserve"> </w:t>
      </w:r>
      <w:r>
        <w:rPr>
          <w:rFonts w:ascii="Times New Roman" w:hAnsi="Times New Roman" w:cs="Times New Roman"/>
          <w:sz w:val="26"/>
          <w:szCs w:val="26"/>
        </w:rPr>
        <w:t>resulted in a</w:t>
      </w:r>
      <w:r w:rsidR="007516DD">
        <w:rPr>
          <w:rFonts w:ascii="Times New Roman" w:hAnsi="Times New Roman" w:cs="Times New Roman"/>
          <w:sz w:val="26"/>
          <w:szCs w:val="26"/>
        </w:rPr>
        <w:t xml:space="preserve"> waiver.</w:t>
      </w:r>
      <w:r w:rsidR="00AE0EA0">
        <w:rPr>
          <w:rFonts w:ascii="Times New Roman" w:hAnsi="Times New Roman" w:cs="Times New Roman"/>
          <w:sz w:val="26"/>
          <w:szCs w:val="26"/>
        </w:rPr>
        <w:t xml:space="preserve">  (See</w:t>
      </w:r>
      <w:r w:rsidR="00C277AB">
        <w:rPr>
          <w:rFonts w:ascii="Times New Roman" w:hAnsi="Times New Roman" w:cs="Times New Roman"/>
          <w:sz w:val="26"/>
          <w:szCs w:val="26"/>
        </w:rPr>
        <w:t xml:space="preserve">, e.g., </w:t>
      </w:r>
      <w:bookmarkStart w:id="48" w:name="dabmci_5f8492401eb040398e488952a8f71bc5"/>
      <w:r w:rsidRPr="00BE58DC" w:rsidR="00AE0EA0">
        <w:rPr>
          <w:rFonts w:ascii="Times New Roman" w:eastAsia="Times New Roman" w:hAnsi="Times New Roman" w:cs="Times New Roman"/>
          <w:i/>
          <w:iCs/>
          <w:kern w:val="0"/>
          <w:sz w:val="26"/>
          <w:szCs w:val="26"/>
          <w:bdr w:val="none" w:sz="0" w:space="0" w:color="auto" w:frame="1"/>
          <w14:ligatures w14:val="none"/>
        </w:rPr>
        <w:t>Lewis</w:t>
      </w:r>
      <w:r w:rsidR="00AE0EA0">
        <w:rPr>
          <w:rFonts w:ascii="Times New Roman" w:eastAsia="Times New Roman" w:hAnsi="Times New Roman" w:cs="Times New Roman"/>
          <w:i/>
          <w:iCs/>
          <w:kern w:val="0"/>
          <w:sz w:val="26"/>
          <w:szCs w:val="26"/>
          <w:bdr w:val="none" w:sz="0" w:space="0" w:color="auto" w:frame="1"/>
          <w14:ligatures w14:val="none"/>
        </w:rPr>
        <w:t xml:space="preserve">, supra, </w:t>
      </w:r>
      <w:r w:rsidRPr="00BE58DC" w:rsidR="00AE0EA0">
        <w:rPr>
          <w:rFonts w:ascii="Times New Roman" w:eastAsia="Times New Roman" w:hAnsi="Times New Roman" w:cs="Times New Roman"/>
          <w:kern w:val="0"/>
          <w:sz w:val="26"/>
          <w:szCs w:val="26"/>
          <w14:ligatures w14:val="none"/>
        </w:rPr>
        <w:t xml:space="preserve">205 Cal.App.4th </w:t>
      </w:r>
      <w:r w:rsidR="00AE0EA0">
        <w:rPr>
          <w:rFonts w:ascii="Times New Roman" w:eastAsia="Times New Roman" w:hAnsi="Times New Roman" w:cs="Times New Roman"/>
          <w:kern w:val="0"/>
          <w:sz w:val="26"/>
          <w:szCs w:val="26"/>
          <w14:ligatures w14:val="none"/>
        </w:rPr>
        <w:t>at</w:t>
      </w:r>
      <w:r w:rsidRPr="00BE58DC" w:rsidR="00AE0EA0">
        <w:rPr>
          <w:rFonts w:ascii="Times New Roman" w:eastAsia="Times New Roman" w:hAnsi="Times New Roman" w:cs="Times New Roman"/>
          <w:kern w:val="0"/>
          <w:sz w:val="26"/>
          <w:szCs w:val="26"/>
          <w14:ligatures w14:val="none"/>
        </w:rPr>
        <w:t xml:space="preserve"> </w:t>
      </w:r>
      <w:r w:rsidR="00AE0EA0">
        <w:rPr>
          <w:rFonts w:ascii="Times New Roman" w:eastAsia="Times New Roman" w:hAnsi="Times New Roman" w:cs="Times New Roman"/>
          <w:kern w:val="0"/>
          <w:sz w:val="26"/>
          <w:szCs w:val="26"/>
          <w14:ligatures w14:val="none"/>
        </w:rPr>
        <w:t>p. 446</w:t>
      </w:r>
      <w:bookmarkEnd w:id="48"/>
      <w:r w:rsidR="00C277AB">
        <w:rPr>
          <w:rFonts w:ascii="Times New Roman" w:eastAsia="Times New Roman" w:hAnsi="Times New Roman" w:cs="Times New Roman"/>
          <w:kern w:val="0"/>
          <w:sz w:val="26"/>
          <w:szCs w:val="26"/>
          <w14:ligatures w14:val="none"/>
        </w:rPr>
        <w:t>.)</w:t>
      </w:r>
    </w:p>
    <w:p w:rsidR="007516DD" w:rsidRPr="00000553" w:rsidP="00DA7D2A" w14:paraId="03A7AB5B" w14:textId="45BE8E8B">
      <w:pPr>
        <w:keepNext/>
        <w:spacing w:after="0" w:line="480" w:lineRule="atLeast"/>
        <w:ind w:left="720" w:firstLine="720"/>
        <w:rPr>
          <w:rFonts w:ascii="Times New Roman" w:hAnsi="Times New Roman" w:cs="Times New Roman"/>
          <w:i/>
          <w:iCs/>
          <w:sz w:val="26"/>
          <w:szCs w:val="26"/>
        </w:rPr>
      </w:pPr>
      <w:r w:rsidRPr="00B55DAD">
        <w:rPr>
          <w:rFonts w:ascii="Times New Roman" w:hAnsi="Times New Roman" w:cs="Times New Roman"/>
          <w:sz w:val="26"/>
          <w:szCs w:val="26"/>
        </w:rPr>
        <w:t>c.</w:t>
      </w:r>
      <w:r>
        <w:rPr>
          <w:rFonts w:ascii="Times New Roman" w:hAnsi="Times New Roman" w:cs="Times New Roman"/>
          <w:i/>
          <w:iCs/>
          <w:sz w:val="26"/>
          <w:szCs w:val="26"/>
        </w:rPr>
        <w:t xml:space="preserve"> </w:t>
      </w:r>
      <w:r>
        <w:rPr>
          <w:rFonts w:ascii="Times New Roman" w:hAnsi="Times New Roman" w:cs="Times New Roman"/>
          <w:sz w:val="26"/>
          <w:szCs w:val="26"/>
        </w:rPr>
        <w:tab/>
      </w:r>
      <w:r w:rsidR="00000553">
        <w:rPr>
          <w:rFonts w:ascii="Times New Roman" w:hAnsi="Times New Roman" w:cs="Times New Roman"/>
          <w:i/>
          <w:iCs/>
          <w:sz w:val="26"/>
          <w:szCs w:val="26"/>
        </w:rPr>
        <w:t xml:space="preserve">The </w:t>
      </w:r>
      <w:r w:rsidR="003E6704">
        <w:rPr>
          <w:rFonts w:ascii="Times New Roman" w:hAnsi="Times New Roman" w:cs="Times New Roman"/>
          <w:i/>
          <w:iCs/>
          <w:sz w:val="26"/>
          <w:szCs w:val="26"/>
        </w:rPr>
        <w:t>Fall 2022</w:t>
      </w:r>
      <w:r w:rsidR="00000553">
        <w:rPr>
          <w:rFonts w:ascii="Times New Roman" w:hAnsi="Times New Roman" w:cs="Times New Roman"/>
          <w:i/>
          <w:iCs/>
          <w:sz w:val="26"/>
          <w:szCs w:val="26"/>
        </w:rPr>
        <w:t xml:space="preserve"> Arbitration Agreements</w:t>
      </w:r>
    </w:p>
    <w:p w:rsidR="0052029E" w:rsidP="000B1982" w14:paraId="73216CCF" w14:textId="2DCEA2F7">
      <w:pPr>
        <w:spacing w:after="0" w:line="480" w:lineRule="atLeast"/>
        <w:ind w:firstLine="1440"/>
        <w:rPr>
          <w:rFonts w:ascii="Times New Roman" w:hAnsi="Times New Roman" w:cs="Times New Roman"/>
          <w:sz w:val="26"/>
          <w:szCs w:val="26"/>
        </w:rPr>
      </w:pPr>
      <w:r>
        <w:rPr>
          <w:rFonts w:ascii="Times New Roman" w:hAnsi="Times New Roman" w:cs="Times New Roman"/>
          <w:sz w:val="26"/>
          <w:szCs w:val="26"/>
        </w:rPr>
        <w:t xml:space="preserve">We next consider whether Wedbush can compel to arbitration the </w:t>
      </w:r>
      <w:r w:rsidR="00D33B97">
        <w:rPr>
          <w:rFonts w:ascii="Times New Roman" w:hAnsi="Times New Roman" w:cs="Times New Roman"/>
          <w:sz w:val="26"/>
          <w:szCs w:val="26"/>
        </w:rPr>
        <w:t xml:space="preserve">claims of the </w:t>
      </w:r>
      <w:r w:rsidR="00443F2B">
        <w:rPr>
          <w:rFonts w:ascii="Times New Roman" w:hAnsi="Times New Roman" w:cs="Times New Roman"/>
          <w:sz w:val="26"/>
          <w:szCs w:val="26"/>
        </w:rPr>
        <w:t>24 class members</w:t>
      </w:r>
      <w:r>
        <w:rPr>
          <w:rFonts w:ascii="Times New Roman" w:hAnsi="Times New Roman" w:cs="Times New Roman"/>
          <w:sz w:val="26"/>
          <w:szCs w:val="26"/>
        </w:rPr>
        <w:t xml:space="preserve"> who signed arbitration agreements in</w:t>
      </w:r>
      <w:r w:rsidR="00C56FC3">
        <w:rPr>
          <w:rFonts w:ascii="Times New Roman" w:hAnsi="Times New Roman" w:cs="Times New Roman"/>
          <w:sz w:val="26"/>
          <w:szCs w:val="26"/>
        </w:rPr>
        <w:t xml:space="preserve"> September and</w:t>
      </w:r>
      <w:r w:rsidR="00443F2B">
        <w:rPr>
          <w:rFonts w:ascii="Times New Roman" w:hAnsi="Times New Roman" w:cs="Times New Roman"/>
          <w:sz w:val="26"/>
          <w:szCs w:val="26"/>
        </w:rPr>
        <w:t xml:space="preserve"> October</w:t>
      </w:r>
      <w:r>
        <w:rPr>
          <w:rFonts w:ascii="Times New Roman" w:hAnsi="Times New Roman" w:cs="Times New Roman"/>
          <w:sz w:val="26"/>
          <w:szCs w:val="26"/>
        </w:rPr>
        <w:t xml:space="preserve"> 2022</w:t>
      </w:r>
      <w:r w:rsidR="00794913">
        <w:rPr>
          <w:rFonts w:ascii="Times New Roman" w:hAnsi="Times New Roman" w:cs="Times New Roman"/>
          <w:sz w:val="26"/>
          <w:szCs w:val="26"/>
        </w:rPr>
        <w:t>, notwithstanding the 2015 stipulation</w:t>
      </w:r>
      <w:r>
        <w:rPr>
          <w:rFonts w:ascii="Times New Roman" w:hAnsi="Times New Roman" w:cs="Times New Roman"/>
          <w:sz w:val="26"/>
          <w:szCs w:val="26"/>
        </w:rPr>
        <w:t xml:space="preserve">.  </w:t>
      </w:r>
    </w:p>
    <w:p w:rsidR="004E5820" w:rsidP="004E5820" w14:paraId="4C6BC013" w14:textId="522E5E20">
      <w:pPr>
        <w:spacing w:after="0" w:line="480" w:lineRule="atLeast"/>
        <w:ind w:firstLine="1440"/>
        <w:rPr>
          <w:rFonts w:ascii="Times New Roman" w:hAnsi="Times New Roman" w:cs="Times New Roman"/>
          <w:sz w:val="26"/>
          <w:szCs w:val="26"/>
        </w:rPr>
      </w:pPr>
      <w:r>
        <w:rPr>
          <w:rFonts w:ascii="Times New Roman" w:hAnsi="Times New Roman" w:cs="Times New Roman"/>
          <w:sz w:val="26"/>
          <w:szCs w:val="26"/>
        </w:rPr>
        <w:t>Initially</w:t>
      </w:r>
      <w:r w:rsidR="007363C1">
        <w:rPr>
          <w:rFonts w:ascii="Times New Roman" w:hAnsi="Times New Roman" w:cs="Times New Roman"/>
          <w:sz w:val="26"/>
          <w:szCs w:val="26"/>
        </w:rPr>
        <w:t xml:space="preserve">, </w:t>
      </w:r>
      <w:r>
        <w:rPr>
          <w:rFonts w:ascii="Times New Roman" w:hAnsi="Times New Roman" w:cs="Times New Roman"/>
          <w:sz w:val="26"/>
          <w:szCs w:val="26"/>
        </w:rPr>
        <w:t xml:space="preserve">as we indicated to counsel during oral argument, </w:t>
      </w:r>
      <w:r w:rsidR="007363C1">
        <w:rPr>
          <w:rFonts w:ascii="Times New Roman" w:hAnsi="Times New Roman" w:cs="Times New Roman"/>
          <w:sz w:val="26"/>
          <w:szCs w:val="26"/>
        </w:rPr>
        <w:t xml:space="preserve">we have concerns about the enforceability of </w:t>
      </w:r>
      <w:r w:rsidR="00794913">
        <w:rPr>
          <w:rFonts w:ascii="Times New Roman" w:hAnsi="Times New Roman" w:cs="Times New Roman"/>
          <w:sz w:val="26"/>
          <w:szCs w:val="26"/>
        </w:rPr>
        <w:t>the 2022 arbitration</w:t>
      </w:r>
      <w:r w:rsidR="007363C1">
        <w:rPr>
          <w:rFonts w:ascii="Times New Roman" w:hAnsi="Times New Roman" w:cs="Times New Roman"/>
          <w:sz w:val="26"/>
          <w:szCs w:val="26"/>
        </w:rPr>
        <w:t xml:space="preserve"> agreements.  On the one hand,</w:t>
      </w:r>
      <w:r w:rsidR="00F165BF">
        <w:rPr>
          <w:rFonts w:ascii="Times New Roman" w:hAnsi="Times New Roman" w:cs="Times New Roman"/>
          <w:sz w:val="26"/>
          <w:szCs w:val="26"/>
        </w:rPr>
        <w:t xml:space="preserve"> a different panel of</w:t>
      </w:r>
      <w:r w:rsidR="007363C1">
        <w:rPr>
          <w:rFonts w:ascii="Times New Roman" w:hAnsi="Times New Roman" w:cs="Times New Roman"/>
          <w:sz w:val="26"/>
          <w:szCs w:val="26"/>
        </w:rPr>
        <w:t xml:space="preserve"> </w:t>
      </w:r>
      <w:r w:rsidR="008A48F3">
        <w:rPr>
          <w:rFonts w:ascii="Times New Roman" w:hAnsi="Times New Roman" w:cs="Times New Roman"/>
          <w:sz w:val="26"/>
          <w:szCs w:val="26"/>
        </w:rPr>
        <w:t>this court</w:t>
      </w:r>
      <w:r w:rsidR="007363C1">
        <w:rPr>
          <w:rFonts w:ascii="Times New Roman" w:hAnsi="Times New Roman" w:cs="Times New Roman"/>
          <w:sz w:val="26"/>
          <w:szCs w:val="26"/>
        </w:rPr>
        <w:t xml:space="preserve"> </w:t>
      </w:r>
      <w:r w:rsidR="00F165BF">
        <w:rPr>
          <w:rFonts w:ascii="Times New Roman" w:hAnsi="Times New Roman" w:cs="Times New Roman"/>
          <w:sz w:val="26"/>
          <w:szCs w:val="26"/>
        </w:rPr>
        <w:t>recently</w:t>
      </w:r>
      <w:r w:rsidR="00C42D50">
        <w:rPr>
          <w:rFonts w:ascii="Times New Roman" w:hAnsi="Times New Roman" w:cs="Times New Roman"/>
          <w:sz w:val="26"/>
          <w:szCs w:val="26"/>
        </w:rPr>
        <w:t xml:space="preserve"> enforced </w:t>
      </w:r>
      <w:r w:rsidR="008A48F3">
        <w:rPr>
          <w:rFonts w:ascii="Times New Roman" w:hAnsi="Times New Roman" w:cs="Times New Roman"/>
          <w:sz w:val="26"/>
          <w:szCs w:val="26"/>
        </w:rPr>
        <w:t xml:space="preserve">an </w:t>
      </w:r>
      <w:r w:rsidR="00C42D50">
        <w:rPr>
          <w:rFonts w:ascii="Times New Roman" w:hAnsi="Times New Roman" w:cs="Times New Roman"/>
          <w:sz w:val="26"/>
          <w:szCs w:val="26"/>
        </w:rPr>
        <w:t xml:space="preserve">arbitration agreement </w:t>
      </w:r>
      <w:r w:rsidR="009C4110">
        <w:rPr>
          <w:rFonts w:ascii="Times New Roman" w:hAnsi="Times New Roman" w:cs="Times New Roman"/>
          <w:sz w:val="26"/>
          <w:szCs w:val="26"/>
        </w:rPr>
        <w:t xml:space="preserve">the plaintiff </w:t>
      </w:r>
      <w:r w:rsidR="00610A57">
        <w:rPr>
          <w:rFonts w:ascii="Times New Roman" w:hAnsi="Times New Roman" w:cs="Times New Roman"/>
          <w:sz w:val="26"/>
          <w:szCs w:val="26"/>
        </w:rPr>
        <w:t>signed</w:t>
      </w:r>
      <w:r w:rsidR="009C4110">
        <w:rPr>
          <w:rFonts w:ascii="Times New Roman" w:hAnsi="Times New Roman" w:cs="Times New Roman"/>
          <w:sz w:val="26"/>
          <w:szCs w:val="26"/>
        </w:rPr>
        <w:t xml:space="preserve"> two days after filing </w:t>
      </w:r>
      <w:r w:rsidR="00610A57">
        <w:rPr>
          <w:rFonts w:ascii="Times New Roman" w:hAnsi="Times New Roman" w:cs="Times New Roman"/>
          <w:sz w:val="26"/>
          <w:szCs w:val="26"/>
        </w:rPr>
        <w:t>her lawsuit</w:t>
      </w:r>
      <w:r w:rsidR="008A7469">
        <w:rPr>
          <w:rFonts w:ascii="Times New Roman" w:hAnsi="Times New Roman" w:cs="Times New Roman"/>
          <w:sz w:val="26"/>
          <w:szCs w:val="26"/>
        </w:rPr>
        <w:t xml:space="preserve">, </w:t>
      </w:r>
      <w:r w:rsidR="006A59F3">
        <w:rPr>
          <w:rFonts w:ascii="Times New Roman" w:hAnsi="Times New Roman" w:cs="Times New Roman"/>
          <w:sz w:val="26"/>
          <w:szCs w:val="26"/>
        </w:rPr>
        <w:t>noting</w:t>
      </w:r>
      <w:r w:rsidR="008A7469">
        <w:rPr>
          <w:rFonts w:ascii="Times New Roman" w:hAnsi="Times New Roman" w:cs="Times New Roman"/>
          <w:sz w:val="26"/>
          <w:szCs w:val="26"/>
        </w:rPr>
        <w:t xml:space="preserve"> </w:t>
      </w:r>
      <w:r w:rsidR="00610A57">
        <w:rPr>
          <w:rFonts w:ascii="Times New Roman" w:hAnsi="Times New Roman" w:cs="Times New Roman"/>
          <w:sz w:val="26"/>
          <w:szCs w:val="26"/>
        </w:rPr>
        <w:t>the agreement</w:t>
      </w:r>
      <w:r w:rsidR="002D6D22">
        <w:rPr>
          <w:rFonts w:ascii="Times New Roman" w:hAnsi="Times New Roman" w:cs="Times New Roman"/>
          <w:sz w:val="26"/>
          <w:szCs w:val="26"/>
        </w:rPr>
        <w:t xml:space="preserve"> </w:t>
      </w:r>
      <w:r w:rsidR="008A7469">
        <w:rPr>
          <w:rFonts w:ascii="Times New Roman" w:hAnsi="Times New Roman" w:cs="Times New Roman"/>
          <w:sz w:val="26"/>
          <w:szCs w:val="26"/>
        </w:rPr>
        <w:t>was</w:t>
      </w:r>
      <w:r w:rsidR="002D6D22">
        <w:rPr>
          <w:rFonts w:ascii="Times New Roman" w:hAnsi="Times New Roman" w:cs="Times New Roman"/>
          <w:sz w:val="26"/>
          <w:szCs w:val="26"/>
        </w:rPr>
        <w:t xml:space="preserve"> broadly worde</w:t>
      </w:r>
      <w:r w:rsidR="00982418">
        <w:rPr>
          <w:rFonts w:ascii="Times New Roman" w:hAnsi="Times New Roman" w:cs="Times New Roman"/>
          <w:sz w:val="26"/>
          <w:szCs w:val="26"/>
        </w:rPr>
        <w:t>d</w:t>
      </w:r>
      <w:r w:rsidR="00232EFE">
        <w:rPr>
          <w:rFonts w:ascii="Times New Roman" w:hAnsi="Times New Roman" w:cs="Times New Roman"/>
          <w:sz w:val="26"/>
          <w:szCs w:val="26"/>
        </w:rPr>
        <w:t xml:space="preserve"> so</w:t>
      </w:r>
      <w:r w:rsidR="00982418">
        <w:rPr>
          <w:rFonts w:ascii="Times New Roman" w:hAnsi="Times New Roman" w:cs="Times New Roman"/>
          <w:sz w:val="26"/>
          <w:szCs w:val="26"/>
        </w:rPr>
        <w:t xml:space="preserve"> </w:t>
      </w:r>
      <w:r>
        <w:rPr>
          <w:rFonts w:ascii="Times New Roman" w:hAnsi="Times New Roman" w:cs="Times New Roman"/>
          <w:sz w:val="26"/>
          <w:szCs w:val="26"/>
        </w:rPr>
        <w:t xml:space="preserve">as </w:t>
      </w:r>
      <w:r w:rsidR="00982418">
        <w:rPr>
          <w:rFonts w:ascii="Times New Roman" w:hAnsi="Times New Roman" w:cs="Times New Roman"/>
          <w:sz w:val="26"/>
          <w:szCs w:val="26"/>
        </w:rPr>
        <w:t>to apply retroactively to pending controversies.  (</w:t>
      </w:r>
      <w:bookmarkStart w:id="49" w:name="dabmci_15c8b9dd5dd54cb58870892635eecb55"/>
      <w:r w:rsidRPr="00354D7B" w:rsidR="00354D7B">
        <w:rPr>
          <w:rFonts w:ascii="Times New Roman" w:hAnsi="Times New Roman" w:cs="Times New Roman"/>
          <w:i/>
          <w:iCs/>
          <w:sz w:val="26"/>
          <w:szCs w:val="26"/>
        </w:rPr>
        <w:t>Franco v. Greystone Ridge Condominium</w:t>
      </w:r>
      <w:r w:rsidRPr="00354D7B" w:rsidR="00354D7B">
        <w:rPr>
          <w:rFonts w:ascii="Times New Roman" w:hAnsi="Times New Roman" w:cs="Times New Roman"/>
          <w:sz w:val="26"/>
          <w:szCs w:val="26"/>
        </w:rPr>
        <w:t xml:space="preserve"> (2019) 39 Cal.App.5th 221, 223</w:t>
      </w:r>
      <w:r w:rsidR="008701F6">
        <w:rPr>
          <w:rFonts w:ascii="Times New Roman" w:hAnsi="Times New Roman" w:cs="Times New Roman"/>
          <w:sz w:val="26"/>
          <w:szCs w:val="26"/>
        </w:rPr>
        <w:noBreakHyphen/>
      </w:r>
      <w:r w:rsidRPr="00354D7B" w:rsidR="00354D7B">
        <w:rPr>
          <w:rFonts w:ascii="Times New Roman" w:hAnsi="Times New Roman" w:cs="Times New Roman"/>
          <w:sz w:val="26"/>
          <w:szCs w:val="26"/>
        </w:rPr>
        <w:t>224</w:t>
      </w:r>
      <w:bookmarkEnd w:id="49"/>
      <w:r w:rsidR="008A7469">
        <w:rPr>
          <w:rFonts w:ascii="Times New Roman" w:hAnsi="Times New Roman" w:cs="Times New Roman"/>
          <w:sz w:val="26"/>
          <w:szCs w:val="26"/>
        </w:rPr>
        <w:t xml:space="preserve">; see </w:t>
      </w:r>
      <w:bookmarkStart w:id="50" w:name="dabmci_7efcd1a74b2340479d389ee2bbb20b30"/>
      <w:r w:rsidRPr="0052029E" w:rsidR="008A7469">
        <w:rPr>
          <w:rFonts w:ascii="Times New Roman" w:hAnsi="Times New Roman" w:cs="Times New Roman"/>
          <w:i/>
          <w:iCs/>
          <w:sz w:val="26"/>
          <w:szCs w:val="26"/>
        </w:rPr>
        <w:t xml:space="preserve">Oswald v. Murray Plumbing </w:t>
      </w:r>
      <w:r w:rsidR="008701F6">
        <w:rPr>
          <w:rFonts w:ascii="Times New Roman" w:hAnsi="Times New Roman" w:cs="Times New Roman"/>
          <w:i/>
          <w:iCs/>
          <w:sz w:val="26"/>
          <w:szCs w:val="26"/>
        </w:rPr>
        <w:t>&amp;</w:t>
      </w:r>
      <w:r w:rsidRPr="0052029E" w:rsidR="008A7469">
        <w:rPr>
          <w:rFonts w:ascii="Times New Roman" w:hAnsi="Times New Roman" w:cs="Times New Roman"/>
          <w:i/>
          <w:iCs/>
          <w:sz w:val="26"/>
          <w:szCs w:val="26"/>
        </w:rPr>
        <w:t xml:space="preserve"> Heating Corp</w:t>
      </w:r>
      <w:r w:rsidR="008A7469">
        <w:rPr>
          <w:rFonts w:ascii="Times New Roman" w:hAnsi="Times New Roman" w:cs="Times New Roman"/>
          <w:i/>
          <w:iCs/>
          <w:sz w:val="26"/>
          <w:szCs w:val="26"/>
        </w:rPr>
        <w:t>.</w:t>
      </w:r>
      <w:r w:rsidRPr="0052029E" w:rsidR="008A7469">
        <w:rPr>
          <w:rFonts w:ascii="Times New Roman" w:hAnsi="Times New Roman" w:cs="Times New Roman"/>
          <w:sz w:val="26"/>
          <w:szCs w:val="26"/>
        </w:rPr>
        <w:t xml:space="preserve"> (2022) 82 Cal.App.5th 938, 944</w:t>
      </w:r>
      <w:bookmarkEnd w:id="50"/>
      <w:r w:rsidR="008A7469">
        <w:rPr>
          <w:rFonts w:ascii="Times New Roman" w:hAnsi="Times New Roman" w:cs="Times New Roman"/>
          <w:sz w:val="26"/>
          <w:szCs w:val="26"/>
        </w:rPr>
        <w:t xml:space="preserve"> [citing </w:t>
      </w:r>
      <w:bookmarkStart w:id="51" w:name="dabmci_300527f29d2843be94e139c0420d8c93"/>
      <w:r w:rsidR="008A7469">
        <w:rPr>
          <w:rFonts w:ascii="Times New Roman" w:hAnsi="Times New Roman" w:cs="Times New Roman"/>
          <w:i/>
          <w:iCs/>
          <w:sz w:val="26"/>
          <w:szCs w:val="26"/>
        </w:rPr>
        <w:t>Franco</w:t>
      </w:r>
      <w:bookmarkEnd w:id="51"/>
      <w:r w:rsidR="008A7469">
        <w:rPr>
          <w:rFonts w:ascii="Times New Roman" w:hAnsi="Times New Roman" w:cs="Times New Roman"/>
          <w:i/>
          <w:iCs/>
          <w:sz w:val="26"/>
          <w:szCs w:val="26"/>
        </w:rPr>
        <w:t xml:space="preserve"> </w:t>
      </w:r>
      <w:r w:rsidR="008A7469">
        <w:rPr>
          <w:rFonts w:ascii="Times New Roman" w:hAnsi="Times New Roman" w:cs="Times New Roman"/>
          <w:sz w:val="26"/>
          <w:szCs w:val="26"/>
        </w:rPr>
        <w:t xml:space="preserve">for the proposition that “[a] </w:t>
      </w:r>
      <w:r w:rsidRPr="0052029E" w:rsidR="008A7469">
        <w:rPr>
          <w:rFonts w:ascii="Times New Roman" w:hAnsi="Times New Roman" w:cs="Times New Roman"/>
          <w:sz w:val="26"/>
          <w:szCs w:val="26"/>
        </w:rPr>
        <w:t>contracting party may agree to an arbitration clause that applies retroactively to a pending lawsuit, affecting claims that arose while the plaintiff worked for the defendant but before the arbitration clause was signed, if the clause explicitly applies to all claims relating to the employment</w:t>
      </w:r>
      <w:r w:rsidR="008A7469">
        <w:rPr>
          <w:rFonts w:ascii="Times New Roman" w:hAnsi="Times New Roman" w:cs="Times New Roman"/>
          <w:sz w:val="26"/>
          <w:szCs w:val="26"/>
        </w:rPr>
        <w:t xml:space="preserve">”].) </w:t>
      </w:r>
      <w:r>
        <w:rPr>
          <w:rFonts w:ascii="Times New Roman" w:hAnsi="Times New Roman" w:cs="Times New Roman"/>
          <w:b/>
          <w:bCs/>
          <w:sz w:val="26"/>
          <w:szCs w:val="26"/>
        </w:rPr>
        <w:t xml:space="preserve"> </w:t>
      </w:r>
      <w:r w:rsidR="00F165BF">
        <w:rPr>
          <w:rFonts w:ascii="Times New Roman" w:hAnsi="Times New Roman" w:cs="Times New Roman"/>
          <w:sz w:val="26"/>
          <w:szCs w:val="26"/>
        </w:rPr>
        <w:t>On the other hand</w:t>
      </w:r>
      <w:r w:rsidR="000F3407">
        <w:rPr>
          <w:rFonts w:ascii="Times New Roman" w:hAnsi="Times New Roman" w:cs="Times New Roman"/>
          <w:sz w:val="26"/>
          <w:szCs w:val="26"/>
        </w:rPr>
        <w:t xml:space="preserve">, </w:t>
      </w:r>
      <w:r w:rsidR="000F3407">
        <w:rPr>
          <w:rFonts w:ascii="Times New Roman" w:hAnsi="Times New Roman" w:cs="Times New Roman"/>
          <w:i/>
          <w:iCs/>
          <w:sz w:val="26"/>
          <w:szCs w:val="26"/>
        </w:rPr>
        <w:t xml:space="preserve">Franco </w:t>
      </w:r>
      <w:r w:rsidR="000F3407">
        <w:rPr>
          <w:rFonts w:ascii="Times New Roman" w:hAnsi="Times New Roman" w:cs="Times New Roman"/>
          <w:sz w:val="26"/>
          <w:szCs w:val="26"/>
        </w:rPr>
        <w:t>did not involve a pending class action</w:t>
      </w:r>
      <w:r w:rsidR="00D662F6">
        <w:rPr>
          <w:rFonts w:ascii="Times New Roman" w:hAnsi="Times New Roman" w:cs="Times New Roman"/>
          <w:sz w:val="26"/>
          <w:szCs w:val="26"/>
        </w:rPr>
        <w:t xml:space="preserve">, and the employer presented </w:t>
      </w:r>
      <w:r w:rsidR="00CC7273">
        <w:rPr>
          <w:rFonts w:ascii="Times New Roman" w:hAnsi="Times New Roman" w:cs="Times New Roman"/>
          <w:sz w:val="26"/>
          <w:szCs w:val="26"/>
        </w:rPr>
        <w:t xml:space="preserve">the arbitration agreement to the plaintiff before she filed the lawsuit.  </w:t>
      </w:r>
    </w:p>
    <w:p w:rsidR="00946292" w:rsidRPr="004E5820" w:rsidP="004E5820" w14:paraId="41FB40D2" w14:textId="7F692193">
      <w:pPr>
        <w:spacing w:after="0" w:line="480" w:lineRule="atLeast"/>
        <w:ind w:firstLine="1440"/>
        <w:rPr>
          <w:rFonts w:ascii="Times New Roman" w:hAnsi="Times New Roman" w:cs="Times New Roman"/>
          <w:b/>
          <w:bCs/>
          <w:sz w:val="26"/>
          <w:szCs w:val="26"/>
        </w:rPr>
      </w:pPr>
      <w:r>
        <w:rPr>
          <w:rFonts w:ascii="Times New Roman" w:hAnsi="Times New Roman" w:cs="Times New Roman"/>
          <w:sz w:val="26"/>
          <w:szCs w:val="26"/>
        </w:rPr>
        <w:t xml:space="preserve">The facts here raise </w:t>
      </w:r>
      <w:r w:rsidR="00B35658">
        <w:rPr>
          <w:rFonts w:ascii="Times New Roman" w:hAnsi="Times New Roman" w:cs="Times New Roman"/>
          <w:sz w:val="26"/>
          <w:szCs w:val="26"/>
        </w:rPr>
        <w:t xml:space="preserve">legal and ethical </w:t>
      </w:r>
      <w:r>
        <w:rPr>
          <w:rFonts w:ascii="Times New Roman" w:hAnsi="Times New Roman" w:cs="Times New Roman"/>
          <w:sz w:val="26"/>
          <w:szCs w:val="26"/>
        </w:rPr>
        <w:t xml:space="preserve">issues </w:t>
      </w:r>
      <w:r w:rsidR="007516DD">
        <w:rPr>
          <w:rFonts w:ascii="Times New Roman" w:hAnsi="Times New Roman" w:cs="Times New Roman"/>
          <w:sz w:val="26"/>
          <w:szCs w:val="26"/>
        </w:rPr>
        <w:t xml:space="preserve">about an employer’s ability to contact members of a </w:t>
      </w:r>
      <w:r w:rsidRPr="00370B88" w:rsidR="007516DD">
        <w:rPr>
          <w:rFonts w:ascii="Times New Roman" w:hAnsi="Times New Roman" w:cs="Times New Roman"/>
          <w:sz w:val="26"/>
          <w:szCs w:val="26"/>
        </w:rPr>
        <w:t>certified</w:t>
      </w:r>
      <w:r w:rsidR="007516DD">
        <w:rPr>
          <w:rFonts w:ascii="Times New Roman" w:hAnsi="Times New Roman" w:cs="Times New Roman"/>
          <w:sz w:val="26"/>
          <w:szCs w:val="26"/>
        </w:rPr>
        <w:t xml:space="preserve"> class </w:t>
      </w:r>
      <w:r w:rsidR="009B4701">
        <w:rPr>
          <w:rFonts w:ascii="Times New Roman" w:hAnsi="Times New Roman" w:cs="Times New Roman"/>
          <w:sz w:val="26"/>
          <w:szCs w:val="26"/>
        </w:rPr>
        <w:t xml:space="preserve">who are represented by counsel </w:t>
      </w:r>
      <w:r w:rsidR="004F63B0">
        <w:rPr>
          <w:rFonts w:ascii="Times New Roman" w:hAnsi="Times New Roman" w:cs="Times New Roman"/>
          <w:sz w:val="26"/>
          <w:szCs w:val="26"/>
        </w:rPr>
        <w:t>midway through</w:t>
      </w:r>
      <w:r w:rsidR="00DC0DA5">
        <w:rPr>
          <w:rFonts w:ascii="Times New Roman" w:hAnsi="Times New Roman" w:cs="Times New Roman"/>
          <w:sz w:val="26"/>
          <w:szCs w:val="26"/>
        </w:rPr>
        <w:t xml:space="preserve"> the</w:t>
      </w:r>
      <w:r w:rsidR="004F63B0">
        <w:rPr>
          <w:rFonts w:ascii="Times New Roman" w:hAnsi="Times New Roman" w:cs="Times New Roman"/>
          <w:sz w:val="26"/>
          <w:szCs w:val="26"/>
        </w:rPr>
        <w:t xml:space="preserve"> litigation</w:t>
      </w:r>
      <w:r w:rsidR="003E6704">
        <w:rPr>
          <w:rFonts w:ascii="Times New Roman" w:hAnsi="Times New Roman" w:cs="Times New Roman"/>
          <w:sz w:val="26"/>
          <w:szCs w:val="26"/>
        </w:rPr>
        <w:t xml:space="preserve"> </w:t>
      </w:r>
      <w:r w:rsidR="009B4701">
        <w:rPr>
          <w:rFonts w:ascii="Times New Roman" w:hAnsi="Times New Roman" w:cs="Times New Roman"/>
          <w:sz w:val="26"/>
          <w:szCs w:val="26"/>
        </w:rPr>
        <w:t>to</w:t>
      </w:r>
      <w:r w:rsidR="007516DD">
        <w:rPr>
          <w:rFonts w:ascii="Times New Roman" w:hAnsi="Times New Roman" w:cs="Times New Roman"/>
          <w:sz w:val="26"/>
          <w:szCs w:val="26"/>
        </w:rPr>
        <w:t xml:space="preserve"> ask them to sign arbitration agreements</w:t>
      </w:r>
      <w:r w:rsidR="003E6704">
        <w:rPr>
          <w:rFonts w:ascii="Times New Roman" w:hAnsi="Times New Roman" w:cs="Times New Roman"/>
          <w:sz w:val="26"/>
          <w:szCs w:val="26"/>
        </w:rPr>
        <w:t xml:space="preserve"> that impact that litigation</w:t>
      </w:r>
      <w:r w:rsidR="007516DD">
        <w:rPr>
          <w:rFonts w:ascii="Times New Roman" w:hAnsi="Times New Roman" w:cs="Times New Roman"/>
          <w:sz w:val="26"/>
          <w:szCs w:val="26"/>
        </w:rPr>
        <w:t xml:space="preserve">.  </w:t>
      </w:r>
      <w:r w:rsidR="00836ECB">
        <w:rPr>
          <w:rFonts w:ascii="Times New Roman" w:hAnsi="Times New Roman" w:cs="Times New Roman"/>
          <w:sz w:val="26"/>
          <w:szCs w:val="26"/>
        </w:rPr>
        <w:t xml:space="preserve">(See </w:t>
      </w:r>
      <w:bookmarkStart w:id="52" w:name="dabmci_c9a1326f97804665ad82f01c7f850a90"/>
      <w:r w:rsidRPr="003E6A17">
        <w:rPr>
          <w:rFonts w:ascii="Times New Roman" w:hAnsi="Times New Roman" w:cs="Times New Roman"/>
          <w:i/>
          <w:iCs/>
          <w:sz w:val="26"/>
          <w:szCs w:val="26"/>
        </w:rPr>
        <w:t>Salgado v. Carrows Restaurants, Inc.</w:t>
      </w:r>
      <w:r w:rsidRPr="003E6A17">
        <w:rPr>
          <w:rFonts w:ascii="Times New Roman" w:hAnsi="Times New Roman" w:cs="Times New Roman"/>
          <w:sz w:val="26"/>
          <w:szCs w:val="26"/>
        </w:rPr>
        <w:t xml:space="preserve"> (2019) 33 Cal.App.5th 356, </w:t>
      </w:r>
      <w:r>
        <w:rPr>
          <w:rFonts w:ascii="Times New Roman" w:hAnsi="Times New Roman" w:cs="Times New Roman"/>
          <w:sz w:val="26"/>
          <w:szCs w:val="26"/>
        </w:rPr>
        <w:t xml:space="preserve">358-359, </w:t>
      </w:r>
      <w:r w:rsidRPr="003E6A17">
        <w:rPr>
          <w:rFonts w:ascii="Times New Roman" w:hAnsi="Times New Roman" w:cs="Times New Roman"/>
          <w:sz w:val="26"/>
          <w:szCs w:val="26"/>
        </w:rPr>
        <w:t>363</w:t>
      </w:r>
      <w:bookmarkEnd w:id="52"/>
      <w:r>
        <w:rPr>
          <w:rFonts w:ascii="Times New Roman" w:hAnsi="Times New Roman" w:cs="Times New Roman"/>
          <w:sz w:val="26"/>
          <w:szCs w:val="26"/>
        </w:rPr>
        <w:t xml:space="preserve"> [remanding matter to trial court to determine whether employer knew employee was represented by counsel when it asked her to sign an arbitration agreement two weeks after she filed lawsuit against employer, and if so, to evaluate </w:t>
      </w:r>
      <w:r w:rsidR="008C2CF6">
        <w:rPr>
          <w:rFonts w:ascii="Times New Roman" w:hAnsi="Times New Roman" w:cs="Times New Roman"/>
          <w:sz w:val="26"/>
          <w:szCs w:val="26"/>
        </w:rPr>
        <w:t>agreement’s un</w:t>
      </w:r>
      <w:r>
        <w:rPr>
          <w:rFonts w:ascii="Times New Roman" w:hAnsi="Times New Roman" w:cs="Times New Roman"/>
          <w:sz w:val="26"/>
          <w:szCs w:val="26"/>
        </w:rPr>
        <w:t>conscionability]</w:t>
      </w:r>
      <w:r w:rsidR="002A1961">
        <w:rPr>
          <w:rFonts w:ascii="Times New Roman" w:hAnsi="Times New Roman" w:cs="Times New Roman"/>
          <w:sz w:val="26"/>
          <w:szCs w:val="26"/>
        </w:rPr>
        <w:t>;</w:t>
      </w:r>
      <w:r w:rsidR="00BB0EF2">
        <w:rPr>
          <w:rFonts w:ascii="Times New Roman" w:hAnsi="Times New Roman" w:cs="Times New Roman"/>
          <w:sz w:val="26"/>
          <w:szCs w:val="26"/>
        </w:rPr>
        <w:t xml:space="preserve"> </w:t>
      </w:r>
      <w:bookmarkStart w:id="53" w:name="dabmci_3d41cdfea17b49298a6d93e22b2c7ad4"/>
      <w:r w:rsidRPr="006263CA" w:rsidR="00143C1C">
        <w:rPr>
          <w:rFonts w:ascii="Times New Roman" w:hAnsi="Times New Roman" w:cs="Times New Roman"/>
          <w:i/>
          <w:iCs/>
          <w:sz w:val="26"/>
          <w:szCs w:val="26"/>
        </w:rPr>
        <w:t>OConner v. Agilant Solutions, Inc.</w:t>
      </w:r>
      <w:r w:rsidRPr="00143C1C" w:rsidR="00143C1C">
        <w:rPr>
          <w:rFonts w:ascii="Times New Roman" w:hAnsi="Times New Roman" w:cs="Times New Roman"/>
          <w:sz w:val="26"/>
          <w:szCs w:val="26"/>
        </w:rPr>
        <w:t xml:space="preserve"> (S.D.N.Y. 2020) 444 F.Supp.3d 593, 603</w:t>
      </w:r>
      <w:bookmarkEnd w:id="53"/>
      <w:r w:rsidR="00143C1C">
        <w:rPr>
          <w:rFonts w:ascii="Times New Roman" w:hAnsi="Times New Roman" w:cs="Times New Roman"/>
          <w:sz w:val="26"/>
          <w:szCs w:val="26"/>
        </w:rPr>
        <w:t xml:space="preserve"> [employer’s communications</w:t>
      </w:r>
      <w:r w:rsidR="004D5A7F">
        <w:rPr>
          <w:rFonts w:ascii="Times New Roman" w:hAnsi="Times New Roman" w:cs="Times New Roman"/>
          <w:sz w:val="26"/>
          <w:szCs w:val="26"/>
        </w:rPr>
        <w:t xml:space="preserve"> </w:t>
      </w:r>
      <w:r w:rsidR="00E05BC4">
        <w:rPr>
          <w:rFonts w:ascii="Times New Roman" w:hAnsi="Times New Roman" w:cs="Times New Roman"/>
          <w:sz w:val="26"/>
          <w:szCs w:val="26"/>
        </w:rPr>
        <w:t>to</w:t>
      </w:r>
      <w:r w:rsidR="004D5A7F">
        <w:rPr>
          <w:rFonts w:ascii="Times New Roman" w:hAnsi="Times New Roman" w:cs="Times New Roman"/>
          <w:sz w:val="26"/>
          <w:szCs w:val="26"/>
        </w:rPr>
        <w:t xml:space="preserve"> putative class members in</w:t>
      </w:r>
      <w:r w:rsidR="00C74554">
        <w:rPr>
          <w:rFonts w:ascii="Times New Roman" w:hAnsi="Times New Roman" w:cs="Times New Roman"/>
          <w:sz w:val="26"/>
          <w:szCs w:val="26"/>
        </w:rPr>
        <w:t xml:space="preserve"> pending</w:t>
      </w:r>
      <w:r w:rsidR="004D5A7F">
        <w:rPr>
          <w:rFonts w:ascii="Times New Roman" w:hAnsi="Times New Roman" w:cs="Times New Roman"/>
          <w:sz w:val="26"/>
          <w:szCs w:val="26"/>
        </w:rPr>
        <w:t xml:space="preserve"> case</w:t>
      </w:r>
      <w:r w:rsidR="00332E9F">
        <w:rPr>
          <w:rFonts w:ascii="Times New Roman" w:hAnsi="Times New Roman" w:cs="Times New Roman"/>
          <w:sz w:val="26"/>
          <w:szCs w:val="26"/>
        </w:rPr>
        <w:t xml:space="preserve"> </w:t>
      </w:r>
      <w:r w:rsidR="00E05BC4">
        <w:rPr>
          <w:rFonts w:ascii="Times New Roman" w:hAnsi="Times New Roman" w:cs="Times New Roman"/>
          <w:sz w:val="26"/>
          <w:szCs w:val="26"/>
        </w:rPr>
        <w:t>concerning</w:t>
      </w:r>
      <w:r w:rsidR="00332E9F">
        <w:rPr>
          <w:rFonts w:ascii="Times New Roman" w:hAnsi="Times New Roman" w:cs="Times New Roman"/>
          <w:sz w:val="26"/>
          <w:szCs w:val="26"/>
        </w:rPr>
        <w:t xml:space="preserve"> newly rolled out arbitration agreements</w:t>
      </w:r>
      <w:r w:rsidR="004D5A7F">
        <w:rPr>
          <w:rFonts w:ascii="Times New Roman" w:hAnsi="Times New Roman" w:cs="Times New Roman"/>
          <w:sz w:val="26"/>
          <w:szCs w:val="26"/>
        </w:rPr>
        <w:t xml:space="preserve"> were improper and misleading</w:t>
      </w:r>
      <w:r w:rsidR="00332E9F">
        <w:rPr>
          <w:rFonts w:ascii="Times New Roman" w:hAnsi="Times New Roman" w:cs="Times New Roman"/>
          <w:sz w:val="26"/>
          <w:szCs w:val="26"/>
        </w:rPr>
        <w:t>]</w:t>
      </w:r>
      <w:r w:rsidR="00836ECB">
        <w:rPr>
          <w:rFonts w:ascii="Times New Roman" w:hAnsi="Times New Roman" w:cs="Times New Roman"/>
          <w:sz w:val="26"/>
          <w:szCs w:val="26"/>
        </w:rPr>
        <w:t>.)</w:t>
      </w:r>
    </w:p>
    <w:p w:rsidR="00F47183" w:rsidP="000B1982" w14:paraId="378EEAD8" w14:textId="5DAB21B6">
      <w:pPr>
        <w:spacing w:after="0" w:line="480" w:lineRule="atLeast"/>
        <w:ind w:firstLine="1440"/>
        <w:rPr>
          <w:rFonts w:ascii="Times New Roman" w:hAnsi="Times New Roman" w:cs="Times New Roman"/>
          <w:b/>
          <w:bCs/>
          <w:sz w:val="26"/>
          <w:szCs w:val="26"/>
        </w:rPr>
      </w:pPr>
      <w:r>
        <w:rPr>
          <w:rFonts w:ascii="Times New Roman" w:hAnsi="Times New Roman" w:cs="Times New Roman"/>
          <w:sz w:val="26"/>
          <w:szCs w:val="26"/>
        </w:rPr>
        <w:t>Our</w:t>
      </w:r>
      <w:r w:rsidR="00D8135C">
        <w:rPr>
          <w:rFonts w:ascii="Times New Roman" w:hAnsi="Times New Roman" w:cs="Times New Roman"/>
          <w:sz w:val="26"/>
          <w:szCs w:val="26"/>
        </w:rPr>
        <w:t xml:space="preserve"> record</w:t>
      </w:r>
      <w:r w:rsidR="00D72C3F">
        <w:rPr>
          <w:rFonts w:ascii="Times New Roman" w:hAnsi="Times New Roman" w:cs="Times New Roman"/>
          <w:sz w:val="26"/>
          <w:szCs w:val="26"/>
        </w:rPr>
        <w:t xml:space="preserve"> </w:t>
      </w:r>
      <w:r w:rsidR="00D8135C">
        <w:rPr>
          <w:rFonts w:ascii="Times New Roman" w:hAnsi="Times New Roman" w:cs="Times New Roman"/>
          <w:sz w:val="26"/>
          <w:szCs w:val="26"/>
        </w:rPr>
        <w:t xml:space="preserve">does not disclose whether Wedbush advised </w:t>
      </w:r>
      <w:r w:rsidR="00E90E3F">
        <w:rPr>
          <w:rFonts w:ascii="Times New Roman" w:hAnsi="Times New Roman" w:cs="Times New Roman"/>
          <w:sz w:val="26"/>
          <w:szCs w:val="26"/>
        </w:rPr>
        <w:t>its employees about</w:t>
      </w:r>
      <w:r w:rsidR="00D8135C">
        <w:rPr>
          <w:rFonts w:ascii="Times New Roman" w:hAnsi="Times New Roman" w:cs="Times New Roman"/>
          <w:sz w:val="26"/>
          <w:szCs w:val="26"/>
        </w:rPr>
        <w:t xml:space="preserve"> the impact the agreements </w:t>
      </w:r>
      <w:r>
        <w:rPr>
          <w:rFonts w:ascii="Times New Roman" w:hAnsi="Times New Roman" w:cs="Times New Roman"/>
          <w:sz w:val="26"/>
          <w:szCs w:val="26"/>
        </w:rPr>
        <w:t>c</w:t>
      </w:r>
      <w:r w:rsidR="00D8135C">
        <w:rPr>
          <w:rFonts w:ascii="Times New Roman" w:hAnsi="Times New Roman" w:cs="Times New Roman"/>
          <w:sz w:val="26"/>
          <w:szCs w:val="26"/>
        </w:rPr>
        <w:t>ould have on the pending class action</w:t>
      </w:r>
      <w:r w:rsidR="00D72C3F">
        <w:rPr>
          <w:rFonts w:ascii="Times New Roman" w:hAnsi="Times New Roman" w:cs="Times New Roman"/>
          <w:sz w:val="26"/>
          <w:szCs w:val="26"/>
        </w:rPr>
        <w:t xml:space="preserve"> or whether </w:t>
      </w:r>
      <w:r w:rsidR="00943A1B">
        <w:rPr>
          <w:rFonts w:ascii="Times New Roman" w:hAnsi="Times New Roman" w:cs="Times New Roman"/>
          <w:sz w:val="26"/>
          <w:szCs w:val="26"/>
        </w:rPr>
        <w:t>Wedbush</w:t>
      </w:r>
      <w:r w:rsidR="00D72C3F">
        <w:rPr>
          <w:rFonts w:ascii="Times New Roman" w:hAnsi="Times New Roman" w:cs="Times New Roman"/>
          <w:sz w:val="26"/>
          <w:szCs w:val="26"/>
        </w:rPr>
        <w:t xml:space="preserve"> received permission </w:t>
      </w:r>
      <w:r w:rsidR="00370B88">
        <w:rPr>
          <w:rFonts w:ascii="Times New Roman" w:hAnsi="Times New Roman" w:cs="Times New Roman"/>
          <w:sz w:val="26"/>
          <w:szCs w:val="26"/>
        </w:rPr>
        <w:t xml:space="preserve">from counsel </w:t>
      </w:r>
      <w:r w:rsidR="00D72C3F">
        <w:rPr>
          <w:rFonts w:ascii="Times New Roman" w:hAnsi="Times New Roman" w:cs="Times New Roman"/>
          <w:sz w:val="26"/>
          <w:szCs w:val="26"/>
        </w:rPr>
        <w:t xml:space="preserve">to communicate with </w:t>
      </w:r>
      <w:r w:rsidR="00130D28">
        <w:rPr>
          <w:rFonts w:ascii="Times New Roman" w:hAnsi="Times New Roman" w:cs="Times New Roman"/>
          <w:sz w:val="26"/>
          <w:szCs w:val="26"/>
        </w:rPr>
        <w:t xml:space="preserve">represented individuals.  </w:t>
      </w:r>
      <w:r>
        <w:rPr>
          <w:rFonts w:ascii="Times New Roman" w:hAnsi="Times New Roman" w:cs="Times New Roman"/>
          <w:sz w:val="26"/>
          <w:szCs w:val="26"/>
        </w:rPr>
        <w:t>T</w:t>
      </w:r>
      <w:r w:rsidR="00D8135C">
        <w:rPr>
          <w:rFonts w:ascii="Times New Roman" w:hAnsi="Times New Roman" w:cs="Times New Roman"/>
          <w:sz w:val="26"/>
          <w:szCs w:val="26"/>
        </w:rPr>
        <w:t>he arbitration agreements themselves do not specifically reference the class action</w:t>
      </w:r>
      <w:r w:rsidR="00E90E3F">
        <w:rPr>
          <w:rFonts w:ascii="Times New Roman" w:hAnsi="Times New Roman" w:cs="Times New Roman"/>
          <w:sz w:val="26"/>
          <w:szCs w:val="26"/>
        </w:rPr>
        <w:t xml:space="preserve"> </w:t>
      </w:r>
      <w:r>
        <w:rPr>
          <w:rFonts w:ascii="Times New Roman" w:hAnsi="Times New Roman" w:cs="Times New Roman"/>
          <w:sz w:val="26"/>
          <w:szCs w:val="26"/>
        </w:rPr>
        <w:t xml:space="preserve">or otherwise inform the signatories that they are potentially giving up their existing rights to participate in </w:t>
      </w:r>
      <w:r w:rsidR="00F472A8">
        <w:rPr>
          <w:rFonts w:ascii="Times New Roman" w:hAnsi="Times New Roman" w:cs="Times New Roman"/>
          <w:sz w:val="26"/>
          <w:szCs w:val="26"/>
        </w:rPr>
        <w:t xml:space="preserve">a </w:t>
      </w:r>
      <w:r>
        <w:rPr>
          <w:rFonts w:ascii="Times New Roman" w:hAnsi="Times New Roman" w:cs="Times New Roman"/>
          <w:sz w:val="26"/>
          <w:szCs w:val="26"/>
        </w:rPr>
        <w:t xml:space="preserve">pending </w:t>
      </w:r>
      <w:r w:rsidR="00F472A8">
        <w:rPr>
          <w:rFonts w:ascii="Times New Roman" w:hAnsi="Times New Roman" w:cs="Times New Roman"/>
          <w:sz w:val="26"/>
          <w:szCs w:val="26"/>
        </w:rPr>
        <w:t>case</w:t>
      </w:r>
      <w:r w:rsidR="00D8135C">
        <w:rPr>
          <w:rFonts w:ascii="Times New Roman" w:hAnsi="Times New Roman" w:cs="Times New Roman"/>
          <w:sz w:val="26"/>
          <w:szCs w:val="26"/>
        </w:rPr>
        <w:t>.</w:t>
      </w:r>
    </w:p>
    <w:p w:rsidR="003E6A17" w:rsidP="000B1982" w14:paraId="7AC0D359" w14:textId="02C7C7C7">
      <w:pPr>
        <w:spacing w:after="0" w:line="480" w:lineRule="atLeast"/>
        <w:ind w:firstLine="1440"/>
        <w:rPr>
          <w:rFonts w:ascii="Times New Roman" w:hAnsi="Times New Roman" w:cs="Times New Roman"/>
          <w:sz w:val="26"/>
          <w:szCs w:val="26"/>
        </w:rPr>
      </w:pPr>
      <w:r>
        <w:rPr>
          <w:rFonts w:ascii="Times New Roman" w:hAnsi="Times New Roman" w:cs="Times New Roman"/>
          <w:sz w:val="26"/>
          <w:szCs w:val="26"/>
        </w:rPr>
        <w:t>A</w:t>
      </w:r>
      <w:r w:rsidR="000F3407">
        <w:rPr>
          <w:rFonts w:ascii="Times New Roman" w:hAnsi="Times New Roman" w:cs="Times New Roman"/>
          <w:sz w:val="26"/>
          <w:szCs w:val="26"/>
        </w:rPr>
        <w:t xml:space="preserve">ssuming </w:t>
      </w:r>
      <w:r w:rsidR="00B35658">
        <w:rPr>
          <w:rFonts w:ascii="Times New Roman" w:hAnsi="Times New Roman" w:cs="Times New Roman"/>
          <w:sz w:val="26"/>
          <w:szCs w:val="26"/>
        </w:rPr>
        <w:t>without deciding</w:t>
      </w:r>
      <w:r>
        <w:rPr>
          <w:rFonts w:ascii="Times New Roman" w:hAnsi="Times New Roman" w:cs="Times New Roman"/>
          <w:sz w:val="26"/>
          <w:szCs w:val="26"/>
        </w:rPr>
        <w:t xml:space="preserve"> that </w:t>
      </w:r>
      <w:r w:rsidR="000F3407">
        <w:rPr>
          <w:rFonts w:ascii="Times New Roman" w:hAnsi="Times New Roman" w:cs="Times New Roman"/>
          <w:sz w:val="26"/>
          <w:szCs w:val="26"/>
        </w:rPr>
        <w:t xml:space="preserve">Wedbush could properly contact </w:t>
      </w:r>
      <w:r w:rsidR="009B4701">
        <w:rPr>
          <w:rFonts w:ascii="Times New Roman" w:hAnsi="Times New Roman" w:cs="Times New Roman"/>
          <w:sz w:val="26"/>
          <w:szCs w:val="26"/>
        </w:rPr>
        <w:t xml:space="preserve">represented </w:t>
      </w:r>
      <w:r w:rsidR="00895A66">
        <w:rPr>
          <w:rFonts w:ascii="Times New Roman" w:hAnsi="Times New Roman" w:cs="Times New Roman"/>
          <w:sz w:val="26"/>
          <w:szCs w:val="26"/>
        </w:rPr>
        <w:t xml:space="preserve">members of a certified class </w:t>
      </w:r>
      <w:r w:rsidR="009B4701">
        <w:rPr>
          <w:rFonts w:ascii="Times New Roman" w:hAnsi="Times New Roman" w:cs="Times New Roman"/>
          <w:sz w:val="26"/>
          <w:szCs w:val="26"/>
        </w:rPr>
        <w:t>to</w:t>
      </w:r>
      <w:r w:rsidR="00895A66">
        <w:rPr>
          <w:rFonts w:ascii="Times New Roman" w:hAnsi="Times New Roman" w:cs="Times New Roman"/>
          <w:sz w:val="26"/>
          <w:szCs w:val="26"/>
        </w:rPr>
        <w:t xml:space="preserve"> ask them to sign arbitration agreements</w:t>
      </w:r>
      <w:r w:rsidR="006A2EFA">
        <w:rPr>
          <w:rFonts w:ascii="Times New Roman" w:hAnsi="Times New Roman" w:cs="Times New Roman"/>
          <w:sz w:val="26"/>
          <w:szCs w:val="26"/>
        </w:rPr>
        <w:t xml:space="preserve">, the question remains whether those 2022 arbitration agreements would </w:t>
      </w:r>
      <w:r w:rsidR="009B4701">
        <w:rPr>
          <w:rFonts w:ascii="Times New Roman" w:hAnsi="Times New Roman" w:cs="Times New Roman"/>
          <w:sz w:val="26"/>
          <w:szCs w:val="26"/>
        </w:rPr>
        <w:t>negate</w:t>
      </w:r>
      <w:r w:rsidR="006A2EFA">
        <w:rPr>
          <w:rFonts w:ascii="Times New Roman" w:hAnsi="Times New Roman" w:cs="Times New Roman"/>
          <w:sz w:val="26"/>
          <w:szCs w:val="26"/>
        </w:rPr>
        <w:t xml:space="preserve"> Wedbush’s </w:t>
      </w:r>
      <w:r w:rsidR="00CA0CC9">
        <w:rPr>
          <w:rFonts w:ascii="Times New Roman" w:hAnsi="Times New Roman" w:cs="Times New Roman"/>
          <w:sz w:val="26"/>
          <w:szCs w:val="26"/>
        </w:rPr>
        <w:t xml:space="preserve">2015 stipulation that causes of action </w:t>
      </w:r>
      <w:r w:rsidR="008701F6">
        <w:rPr>
          <w:rFonts w:ascii="Times New Roman" w:hAnsi="Times New Roman" w:cs="Times New Roman"/>
          <w:sz w:val="26"/>
          <w:szCs w:val="26"/>
        </w:rPr>
        <w:t>one</w:t>
      </w:r>
      <w:r w:rsidR="00CA0CC9">
        <w:rPr>
          <w:rFonts w:ascii="Times New Roman" w:hAnsi="Times New Roman" w:cs="Times New Roman"/>
          <w:sz w:val="26"/>
          <w:szCs w:val="26"/>
        </w:rPr>
        <w:t xml:space="preserve"> through </w:t>
      </w:r>
      <w:r w:rsidR="008701F6">
        <w:rPr>
          <w:rFonts w:ascii="Times New Roman" w:hAnsi="Times New Roman" w:cs="Times New Roman"/>
          <w:sz w:val="26"/>
          <w:szCs w:val="26"/>
        </w:rPr>
        <w:t>seven</w:t>
      </w:r>
      <w:r w:rsidR="00CA0CC9">
        <w:rPr>
          <w:rFonts w:ascii="Times New Roman" w:hAnsi="Times New Roman" w:cs="Times New Roman"/>
          <w:sz w:val="26"/>
          <w:szCs w:val="26"/>
        </w:rPr>
        <w:t xml:space="preserve"> and 19 would</w:t>
      </w:r>
      <w:r w:rsidR="00397809">
        <w:rPr>
          <w:rFonts w:ascii="Times New Roman" w:hAnsi="Times New Roman" w:cs="Times New Roman"/>
          <w:sz w:val="26"/>
          <w:szCs w:val="26"/>
        </w:rPr>
        <w:t xml:space="preserve"> “</w:t>
      </w:r>
      <w:r w:rsidRPr="005E56FC" w:rsidR="00397809">
        <w:rPr>
          <w:rFonts w:ascii="Times New Roman" w:hAnsi="Times New Roman" w:cs="Times New Roman"/>
          <w:sz w:val="26"/>
          <w:szCs w:val="26"/>
        </w:rPr>
        <w:t>proceed before this Court</w:t>
      </w:r>
      <w:r w:rsidRPr="00397809" w:rsidR="00397809">
        <w:rPr>
          <w:rFonts w:ascii="Times New Roman" w:hAnsi="Times New Roman" w:cs="Times New Roman"/>
          <w:sz w:val="26"/>
          <w:szCs w:val="26"/>
        </w:rPr>
        <w:t xml:space="preserve">.” </w:t>
      </w:r>
      <w:r w:rsidRPr="00397809" w:rsidR="00CA0CC9">
        <w:rPr>
          <w:rFonts w:ascii="Times New Roman" w:hAnsi="Times New Roman" w:cs="Times New Roman"/>
          <w:sz w:val="26"/>
          <w:szCs w:val="26"/>
        </w:rPr>
        <w:t xml:space="preserve"> </w:t>
      </w:r>
      <w:r w:rsidRPr="00397809" w:rsidR="000F3407">
        <w:rPr>
          <w:rFonts w:ascii="Times New Roman" w:hAnsi="Times New Roman" w:cs="Times New Roman"/>
          <w:sz w:val="26"/>
          <w:szCs w:val="26"/>
        </w:rPr>
        <w:t>Wedbush has not cited any case in which a</w:t>
      </w:r>
      <w:r>
        <w:rPr>
          <w:rFonts w:ascii="Times New Roman" w:hAnsi="Times New Roman" w:cs="Times New Roman"/>
          <w:sz w:val="26"/>
          <w:szCs w:val="26"/>
        </w:rPr>
        <w:t xml:space="preserve"> subsequently </w:t>
      </w:r>
      <w:r w:rsidR="00AE0EA0">
        <w:rPr>
          <w:rFonts w:ascii="Times New Roman" w:hAnsi="Times New Roman" w:cs="Times New Roman"/>
          <w:sz w:val="26"/>
          <w:szCs w:val="26"/>
        </w:rPr>
        <w:t xml:space="preserve">executed </w:t>
      </w:r>
      <w:r w:rsidRPr="00397809" w:rsidR="000F3407">
        <w:rPr>
          <w:rFonts w:ascii="Times New Roman" w:hAnsi="Times New Roman" w:cs="Times New Roman"/>
          <w:sz w:val="26"/>
          <w:szCs w:val="26"/>
        </w:rPr>
        <w:t>arbitration agreement act</w:t>
      </w:r>
      <w:r w:rsidR="00AE0EA0">
        <w:rPr>
          <w:rFonts w:ascii="Times New Roman" w:hAnsi="Times New Roman" w:cs="Times New Roman"/>
          <w:sz w:val="26"/>
          <w:szCs w:val="26"/>
        </w:rPr>
        <w:t>ed</w:t>
      </w:r>
      <w:r w:rsidRPr="00397809" w:rsidR="000F3407">
        <w:rPr>
          <w:rFonts w:ascii="Times New Roman" w:hAnsi="Times New Roman" w:cs="Times New Roman"/>
          <w:sz w:val="26"/>
          <w:szCs w:val="26"/>
        </w:rPr>
        <w:t xml:space="preserve"> to void a</w:t>
      </w:r>
      <w:r w:rsidR="00AE0EA0">
        <w:rPr>
          <w:rFonts w:ascii="Times New Roman" w:hAnsi="Times New Roman" w:cs="Times New Roman"/>
          <w:sz w:val="26"/>
          <w:szCs w:val="26"/>
        </w:rPr>
        <w:t xml:space="preserve"> previous</w:t>
      </w:r>
      <w:r w:rsidRPr="00397809" w:rsidR="000F3407">
        <w:rPr>
          <w:rFonts w:ascii="Times New Roman" w:hAnsi="Times New Roman" w:cs="Times New Roman"/>
          <w:sz w:val="26"/>
          <w:szCs w:val="26"/>
        </w:rPr>
        <w:t xml:space="preserve"> stipulation </w:t>
      </w:r>
      <w:r w:rsidR="000D5E4E">
        <w:rPr>
          <w:rFonts w:ascii="Times New Roman" w:hAnsi="Times New Roman" w:cs="Times New Roman"/>
          <w:sz w:val="26"/>
          <w:szCs w:val="26"/>
        </w:rPr>
        <w:t xml:space="preserve">that </w:t>
      </w:r>
      <w:r w:rsidR="00B35658">
        <w:rPr>
          <w:rFonts w:ascii="Times New Roman" w:hAnsi="Times New Roman" w:cs="Times New Roman"/>
          <w:sz w:val="26"/>
          <w:szCs w:val="26"/>
        </w:rPr>
        <w:t>waived a defendant’s right</w:t>
      </w:r>
      <w:r w:rsidRPr="00397809" w:rsidR="000F3407">
        <w:rPr>
          <w:rFonts w:ascii="Times New Roman" w:hAnsi="Times New Roman" w:cs="Times New Roman"/>
          <w:sz w:val="26"/>
          <w:szCs w:val="26"/>
        </w:rPr>
        <w:t xml:space="preserve"> to compel arbitration </w:t>
      </w:r>
      <w:r w:rsidR="00140B95">
        <w:rPr>
          <w:rFonts w:ascii="Times New Roman" w:hAnsi="Times New Roman" w:cs="Times New Roman"/>
          <w:sz w:val="26"/>
          <w:szCs w:val="26"/>
        </w:rPr>
        <w:t>of</w:t>
      </w:r>
      <w:r w:rsidRPr="00397809" w:rsidR="000F3407">
        <w:rPr>
          <w:rFonts w:ascii="Times New Roman" w:hAnsi="Times New Roman" w:cs="Times New Roman"/>
          <w:sz w:val="26"/>
          <w:szCs w:val="26"/>
        </w:rPr>
        <w:t xml:space="preserve"> certain claims</w:t>
      </w:r>
      <w:r w:rsidR="00370B88">
        <w:rPr>
          <w:rFonts w:ascii="Times New Roman" w:hAnsi="Times New Roman" w:cs="Times New Roman"/>
          <w:sz w:val="26"/>
          <w:szCs w:val="26"/>
        </w:rPr>
        <w:t xml:space="preserve">, and </w:t>
      </w:r>
      <w:r w:rsidRPr="00397809" w:rsidR="000F3407">
        <w:rPr>
          <w:rFonts w:ascii="Times New Roman" w:hAnsi="Times New Roman" w:cs="Times New Roman"/>
          <w:sz w:val="26"/>
          <w:szCs w:val="26"/>
        </w:rPr>
        <w:t>we have found none.</w:t>
      </w:r>
      <w:r w:rsidR="000F3407">
        <w:rPr>
          <w:rFonts w:ascii="Times New Roman" w:hAnsi="Times New Roman" w:cs="Times New Roman"/>
          <w:sz w:val="26"/>
          <w:szCs w:val="26"/>
        </w:rPr>
        <w:t xml:space="preserve">  </w:t>
      </w:r>
    </w:p>
    <w:p w:rsidR="00D8135C" w:rsidP="000B1982" w14:paraId="065F7FC1" w14:textId="25FB7A64">
      <w:pPr>
        <w:spacing w:after="0" w:line="480" w:lineRule="atLeast"/>
        <w:ind w:firstLine="1440"/>
        <w:rPr>
          <w:rFonts w:ascii="Times New Roman" w:eastAsia="Times New Roman" w:hAnsi="Times New Roman" w:cs="Times New Roman"/>
          <w:kern w:val="0"/>
          <w:sz w:val="26"/>
          <w:szCs w:val="26"/>
          <w14:ligatures w14:val="none"/>
        </w:rPr>
      </w:pPr>
      <w:r>
        <w:rPr>
          <w:rFonts w:ascii="Times New Roman" w:hAnsi="Times New Roman" w:cs="Times New Roman"/>
          <w:sz w:val="26"/>
          <w:szCs w:val="26"/>
        </w:rPr>
        <w:t>W</w:t>
      </w:r>
      <w:r w:rsidR="00397809">
        <w:rPr>
          <w:rFonts w:ascii="Times New Roman" w:hAnsi="Times New Roman" w:cs="Times New Roman"/>
          <w:sz w:val="26"/>
          <w:szCs w:val="26"/>
        </w:rPr>
        <w:t xml:space="preserve">e need not </w:t>
      </w:r>
      <w:r w:rsidR="00370B88">
        <w:rPr>
          <w:rFonts w:ascii="Times New Roman" w:hAnsi="Times New Roman" w:cs="Times New Roman"/>
          <w:sz w:val="26"/>
          <w:szCs w:val="26"/>
        </w:rPr>
        <w:t>resolve</w:t>
      </w:r>
      <w:r w:rsidR="00397809">
        <w:rPr>
          <w:rFonts w:ascii="Times New Roman" w:hAnsi="Times New Roman" w:cs="Times New Roman"/>
          <w:sz w:val="26"/>
          <w:szCs w:val="26"/>
        </w:rPr>
        <w:t xml:space="preserve"> that question, </w:t>
      </w:r>
      <w:r w:rsidR="00A86C4B">
        <w:rPr>
          <w:rFonts w:ascii="Times New Roman" w:hAnsi="Times New Roman" w:cs="Times New Roman"/>
          <w:sz w:val="26"/>
          <w:szCs w:val="26"/>
        </w:rPr>
        <w:t xml:space="preserve">however, because even if Wedbush could validly </w:t>
      </w:r>
      <w:r w:rsidR="003E6704">
        <w:rPr>
          <w:rFonts w:ascii="Times New Roman" w:hAnsi="Times New Roman" w:cs="Times New Roman"/>
          <w:sz w:val="26"/>
          <w:szCs w:val="26"/>
        </w:rPr>
        <w:t>ask</w:t>
      </w:r>
      <w:r w:rsidR="00A86C4B">
        <w:rPr>
          <w:rFonts w:ascii="Times New Roman" w:hAnsi="Times New Roman" w:cs="Times New Roman"/>
          <w:sz w:val="26"/>
          <w:szCs w:val="26"/>
        </w:rPr>
        <w:t xml:space="preserve"> </w:t>
      </w:r>
      <w:r w:rsidR="0089470E">
        <w:rPr>
          <w:rFonts w:ascii="Times New Roman" w:hAnsi="Times New Roman" w:cs="Times New Roman"/>
          <w:sz w:val="26"/>
          <w:szCs w:val="26"/>
        </w:rPr>
        <w:t xml:space="preserve">a named plaintiff and other </w:t>
      </w:r>
      <w:r w:rsidR="00A86C4B">
        <w:rPr>
          <w:rFonts w:ascii="Times New Roman" w:hAnsi="Times New Roman" w:cs="Times New Roman"/>
          <w:sz w:val="26"/>
          <w:szCs w:val="26"/>
        </w:rPr>
        <w:t xml:space="preserve">members of a </w:t>
      </w:r>
      <w:r w:rsidR="003E6704">
        <w:rPr>
          <w:rFonts w:ascii="Times New Roman" w:hAnsi="Times New Roman" w:cs="Times New Roman"/>
          <w:sz w:val="26"/>
          <w:szCs w:val="26"/>
        </w:rPr>
        <w:t xml:space="preserve">pending certified </w:t>
      </w:r>
      <w:r w:rsidR="00A86C4B">
        <w:rPr>
          <w:rFonts w:ascii="Times New Roman" w:hAnsi="Times New Roman" w:cs="Times New Roman"/>
          <w:sz w:val="26"/>
          <w:szCs w:val="26"/>
        </w:rPr>
        <w:t>class action</w:t>
      </w:r>
      <w:r w:rsidR="003E6704">
        <w:rPr>
          <w:rFonts w:ascii="Times New Roman" w:hAnsi="Times New Roman" w:cs="Times New Roman"/>
          <w:sz w:val="26"/>
          <w:szCs w:val="26"/>
        </w:rPr>
        <w:t xml:space="preserve"> to</w:t>
      </w:r>
      <w:r w:rsidR="00A86C4B">
        <w:rPr>
          <w:rFonts w:ascii="Times New Roman" w:hAnsi="Times New Roman" w:cs="Times New Roman"/>
          <w:sz w:val="26"/>
          <w:szCs w:val="26"/>
        </w:rPr>
        <w:t xml:space="preserve"> agree to arbitrate their claims mid-litigation, </w:t>
      </w:r>
      <w:r w:rsidR="00715A01">
        <w:rPr>
          <w:rFonts w:ascii="Times New Roman" w:hAnsi="Times New Roman" w:cs="Times New Roman"/>
          <w:sz w:val="26"/>
          <w:szCs w:val="26"/>
        </w:rPr>
        <w:t xml:space="preserve">and even if an arbitration agreement entered into under those circumstances would control over the 2015 stipulation, </w:t>
      </w:r>
      <w:r w:rsidR="00A86C4B">
        <w:rPr>
          <w:rFonts w:ascii="Times New Roman" w:hAnsi="Times New Roman" w:cs="Times New Roman"/>
          <w:sz w:val="26"/>
          <w:szCs w:val="26"/>
        </w:rPr>
        <w:t xml:space="preserve">Wedbush </w:t>
      </w:r>
      <w:r w:rsidR="0089470E">
        <w:rPr>
          <w:rFonts w:ascii="Times New Roman" w:hAnsi="Times New Roman" w:cs="Times New Roman"/>
          <w:sz w:val="26"/>
          <w:szCs w:val="26"/>
        </w:rPr>
        <w:t>did not</w:t>
      </w:r>
      <w:r w:rsidR="00A86C4B">
        <w:rPr>
          <w:rFonts w:ascii="Times New Roman" w:hAnsi="Times New Roman" w:cs="Times New Roman"/>
          <w:sz w:val="26"/>
          <w:szCs w:val="26"/>
        </w:rPr>
        <w:t xml:space="preserve"> file a motion to compel those </w:t>
      </w:r>
      <w:r w:rsidR="00715A01">
        <w:rPr>
          <w:rFonts w:ascii="Times New Roman" w:hAnsi="Times New Roman" w:cs="Times New Roman"/>
          <w:sz w:val="26"/>
          <w:szCs w:val="26"/>
        </w:rPr>
        <w:t xml:space="preserve">24 </w:t>
      </w:r>
      <w:r w:rsidR="00A86C4B">
        <w:rPr>
          <w:rFonts w:ascii="Times New Roman" w:hAnsi="Times New Roman" w:cs="Times New Roman"/>
          <w:sz w:val="26"/>
          <w:szCs w:val="26"/>
        </w:rPr>
        <w:t xml:space="preserve">class members to arbitration until </w:t>
      </w:r>
      <w:r w:rsidR="00F0749E">
        <w:rPr>
          <w:rFonts w:ascii="Times New Roman" w:hAnsi="Times New Roman" w:cs="Times New Roman"/>
          <w:sz w:val="26"/>
          <w:szCs w:val="26"/>
        </w:rPr>
        <w:t xml:space="preserve">March </w:t>
      </w:r>
      <w:r w:rsidR="00715A01">
        <w:rPr>
          <w:rFonts w:ascii="Times New Roman" w:hAnsi="Times New Roman" w:cs="Times New Roman"/>
          <w:sz w:val="26"/>
          <w:szCs w:val="26"/>
        </w:rPr>
        <w:t>20</w:t>
      </w:r>
      <w:r w:rsidR="00F0749E">
        <w:rPr>
          <w:rFonts w:ascii="Times New Roman" w:hAnsi="Times New Roman" w:cs="Times New Roman"/>
          <w:sz w:val="26"/>
          <w:szCs w:val="26"/>
        </w:rPr>
        <w:t>23—</w:t>
      </w:r>
      <w:r w:rsidR="00A86C4B">
        <w:rPr>
          <w:rFonts w:ascii="Times New Roman" w:hAnsi="Times New Roman" w:cs="Times New Roman"/>
          <w:sz w:val="26"/>
          <w:szCs w:val="26"/>
        </w:rPr>
        <w:t xml:space="preserve">five months </w:t>
      </w:r>
      <w:r w:rsidR="003E6704">
        <w:rPr>
          <w:rFonts w:ascii="Times New Roman" w:hAnsi="Times New Roman" w:cs="Times New Roman"/>
          <w:sz w:val="26"/>
          <w:szCs w:val="26"/>
        </w:rPr>
        <w:t>after the agreements were executed</w:t>
      </w:r>
      <w:r w:rsidR="00A86C4B">
        <w:rPr>
          <w:rFonts w:ascii="Times New Roman" w:hAnsi="Times New Roman" w:cs="Times New Roman"/>
          <w:sz w:val="26"/>
          <w:szCs w:val="26"/>
        </w:rPr>
        <w:t xml:space="preserve">.  </w:t>
      </w:r>
      <w:r w:rsidR="006A1935">
        <w:rPr>
          <w:rFonts w:ascii="Times New Roman" w:hAnsi="Times New Roman" w:cs="Times New Roman"/>
          <w:sz w:val="26"/>
          <w:szCs w:val="26"/>
        </w:rPr>
        <w:t>That five-month delay</w:t>
      </w:r>
      <w:r w:rsidR="00F0749E">
        <w:rPr>
          <w:rFonts w:ascii="Times New Roman" w:hAnsi="Times New Roman" w:cs="Times New Roman"/>
          <w:sz w:val="26"/>
          <w:szCs w:val="26"/>
        </w:rPr>
        <w:t>, coupled with Wedbush’s other litigation conduct during that window,</w:t>
      </w:r>
      <w:r w:rsidR="006A1935">
        <w:rPr>
          <w:rFonts w:ascii="Times New Roman" w:hAnsi="Times New Roman" w:cs="Times New Roman"/>
          <w:sz w:val="26"/>
          <w:szCs w:val="26"/>
        </w:rPr>
        <w:t xml:space="preserve"> </w:t>
      </w:r>
      <w:r w:rsidR="00370B88">
        <w:rPr>
          <w:rFonts w:ascii="Times New Roman" w:hAnsi="Times New Roman" w:cs="Times New Roman"/>
          <w:sz w:val="26"/>
          <w:szCs w:val="26"/>
        </w:rPr>
        <w:t xml:space="preserve">supports the trial court’s determination that </w:t>
      </w:r>
      <w:r>
        <w:rPr>
          <w:rFonts w:ascii="Times New Roman" w:hAnsi="Times New Roman" w:cs="Times New Roman"/>
          <w:sz w:val="26"/>
          <w:szCs w:val="26"/>
        </w:rPr>
        <w:t>its</w:t>
      </w:r>
      <w:r w:rsidR="00370B88">
        <w:rPr>
          <w:rFonts w:ascii="Times New Roman" w:hAnsi="Times New Roman" w:cs="Times New Roman"/>
          <w:sz w:val="26"/>
          <w:szCs w:val="26"/>
        </w:rPr>
        <w:t xml:space="preserve"> conduct constituted a waiver</w:t>
      </w:r>
      <w:r w:rsidR="006A1935">
        <w:rPr>
          <w:rFonts w:ascii="Times New Roman" w:hAnsi="Times New Roman" w:cs="Times New Roman"/>
          <w:sz w:val="26"/>
          <w:szCs w:val="26"/>
        </w:rPr>
        <w:t>.</w:t>
      </w:r>
      <w:r w:rsidR="00AE0EA0">
        <w:rPr>
          <w:rFonts w:ascii="Times New Roman" w:hAnsi="Times New Roman" w:cs="Times New Roman"/>
          <w:sz w:val="26"/>
          <w:szCs w:val="26"/>
        </w:rPr>
        <w:t xml:space="preserve">  (See </w:t>
      </w:r>
      <w:bookmarkStart w:id="54" w:name="dabmci_86e1646d620d4d8c82fbc0c5f9ff0cb1"/>
      <w:r w:rsidRPr="00BE58DC" w:rsidR="00AE0EA0">
        <w:rPr>
          <w:rFonts w:ascii="Times New Roman" w:eastAsia="Times New Roman" w:hAnsi="Times New Roman" w:cs="Times New Roman"/>
          <w:i/>
          <w:iCs/>
          <w:kern w:val="0"/>
          <w:sz w:val="26"/>
          <w:szCs w:val="26"/>
          <w:bdr w:val="none" w:sz="0" w:space="0" w:color="auto" w:frame="1"/>
          <w14:ligatures w14:val="none"/>
        </w:rPr>
        <w:t>Lewis</w:t>
      </w:r>
      <w:r w:rsidR="00AE0EA0">
        <w:rPr>
          <w:rFonts w:ascii="Times New Roman" w:eastAsia="Times New Roman" w:hAnsi="Times New Roman" w:cs="Times New Roman"/>
          <w:i/>
          <w:iCs/>
          <w:kern w:val="0"/>
          <w:sz w:val="26"/>
          <w:szCs w:val="26"/>
          <w:bdr w:val="none" w:sz="0" w:space="0" w:color="auto" w:frame="1"/>
          <w14:ligatures w14:val="none"/>
        </w:rPr>
        <w:t xml:space="preserve">, supra, </w:t>
      </w:r>
      <w:r w:rsidRPr="00BE58DC" w:rsidR="00AE0EA0">
        <w:rPr>
          <w:rFonts w:ascii="Times New Roman" w:eastAsia="Times New Roman" w:hAnsi="Times New Roman" w:cs="Times New Roman"/>
          <w:kern w:val="0"/>
          <w:sz w:val="26"/>
          <w:szCs w:val="26"/>
          <w14:ligatures w14:val="none"/>
        </w:rPr>
        <w:t xml:space="preserve">205 Cal.App.4th </w:t>
      </w:r>
      <w:r w:rsidR="00AE0EA0">
        <w:rPr>
          <w:rFonts w:ascii="Times New Roman" w:eastAsia="Times New Roman" w:hAnsi="Times New Roman" w:cs="Times New Roman"/>
          <w:kern w:val="0"/>
          <w:sz w:val="26"/>
          <w:szCs w:val="26"/>
          <w14:ligatures w14:val="none"/>
        </w:rPr>
        <w:t>at</w:t>
      </w:r>
      <w:r w:rsidRPr="00BE58DC" w:rsidR="00AE0EA0">
        <w:rPr>
          <w:rFonts w:ascii="Times New Roman" w:eastAsia="Times New Roman" w:hAnsi="Times New Roman" w:cs="Times New Roman"/>
          <w:kern w:val="0"/>
          <w:sz w:val="26"/>
          <w:szCs w:val="26"/>
          <w14:ligatures w14:val="none"/>
        </w:rPr>
        <w:t xml:space="preserve"> </w:t>
      </w:r>
      <w:r w:rsidR="00AE0EA0">
        <w:rPr>
          <w:rFonts w:ascii="Times New Roman" w:eastAsia="Times New Roman" w:hAnsi="Times New Roman" w:cs="Times New Roman"/>
          <w:kern w:val="0"/>
          <w:sz w:val="26"/>
          <w:szCs w:val="26"/>
          <w14:ligatures w14:val="none"/>
        </w:rPr>
        <w:t>p. 446</w:t>
      </w:r>
      <w:bookmarkEnd w:id="54"/>
      <w:r w:rsidR="00AE0EA0">
        <w:rPr>
          <w:rFonts w:ascii="Times New Roman" w:eastAsia="Times New Roman" w:hAnsi="Times New Roman" w:cs="Times New Roman"/>
          <w:kern w:val="0"/>
          <w:sz w:val="26"/>
          <w:szCs w:val="26"/>
          <w14:ligatures w14:val="none"/>
        </w:rPr>
        <w:t>.)</w:t>
      </w:r>
    </w:p>
    <w:p w:rsidR="00C02E75" w:rsidP="00041B73" w14:paraId="5C8940DF" w14:textId="1A93ECDC">
      <w:pPr>
        <w:spacing w:after="0" w:line="480" w:lineRule="atLeast"/>
        <w:ind w:firstLine="1440"/>
        <w:rPr>
          <w:rFonts w:ascii="Times New Roman" w:hAnsi="Times New Roman" w:cs="Times New Roman"/>
          <w:sz w:val="26"/>
          <w:szCs w:val="26"/>
        </w:rPr>
      </w:pPr>
      <w:r>
        <w:rPr>
          <w:rFonts w:ascii="Times New Roman" w:hAnsi="Times New Roman" w:cs="Times New Roman"/>
          <w:sz w:val="26"/>
          <w:szCs w:val="26"/>
        </w:rPr>
        <w:t xml:space="preserve">As we observed in </w:t>
      </w:r>
      <w:bookmarkStart w:id="55" w:name="dabmci_e47bbf809d93414ca5e75c4db2e21a8b"/>
      <w:r>
        <w:rPr>
          <w:rFonts w:ascii="Times New Roman" w:hAnsi="Times New Roman" w:cs="Times New Roman"/>
          <w:i/>
          <w:iCs/>
          <w:sz w:val="26"/>
          <w:szCs w:val="26"/>
        </w:rPr>
        <w:t>Piplack</w:t>
      </w:r>
      <w:bookmarkEnd w:id="55"/>
      <w:r>
        <w:rPr>
          <w:rFonts w:ascii="Times New Roman" w:hAnsi="Times New Roman" w:cs="Times New Roman"/>
          <w:i/>
          <w:iCs/>
          <w:sz w:val="26"/>
          <w:szCs w:val="26"/>
        </w:rPr>
        <w:t xml:space="preserve">, </w:t>
      </w:r>
      <w:r>
        <w:rPr>
          <w:rFonts w:ascii="Times New Roman" w:hAnsi="Times New Roman" w:cs="Times New Roman"/>
          <w:sz w:val="26"/>
          <w:szCs w:val="26"/>
        </w:rPr>
        <w:t>“</w:t>
      </w:r>
      <w:r w:rsidRPr="00C677D3">
        <w:rPr>
          <w:rFonts w:ascii="Times New Roman" w:hAnsi="Times New Roman" w:cs="Times New Roman"/>
          <w:sz w:val="26"/>
          <w:szCs w:val="26"/>
        </w:rPr>
        <w:t xml:space="preserve">the relevant question is whether there was any </w:t>
      </w:r>
      <w:r w:rsidRPr="00C677D3">
        <w:rPr>
          <w:rFonts w:ascii="Times New Roman" w:hAnsi="Times New Roman" w:cs="Times New Roman"/>
          <w:i/>
          <w:iCs/>
          <w:sz w:val="26"/>
          <w:szCs w:val="26"/>
        </w:rPr>
        <w:t>unreasonable</w:t>
      </w:r>
      <w:r w:rsidRPr="00C677D3">
        <w:rPr>
          <w:rFonts w:ascii="Times New Roman" w:hAnsi="Times New Roman" w:cs="Times New Roman"/>
          <w:sz w:val="26"/>
          <w:szCs w:val="26"/>
        </w:rPr>
        <w:t xml:space="preserve"> delay.</w:t>
      </w:r>
      <w:r>
        <w:rPr>
          <w:rFonts w:ascii="Times New Roman" w:hAnsi="Times New Roman" w:cs="Times New Roman"/>
          <w:sz w:val="26"/>
          <w:szCs w:val="26"/>
        </w:rPr>
        <w:t>”  (</w:t>
      </w:r>
      <w:bookmarkStart w:id="56" w:name="dabmci_4b19657312674e9a92587d0042e4b0ab"/>
      <w:r w:rsidRPr="001754B9">
        <w:rPr>
          <w:rFonts w:ascii="Times New Roman" w:hAnsi="Times New Roman" w:cs="Times New Roman"/>
          <w:i/>
          <w:iCs/>
          <w:sz w:val="26"/>
          <w:szCs w:val="26"/>
        </w:rPr>
        <w:t>Piplack, supra</w:t>
      </w:r>
      <w:r>
        <w:rPr>
          <w:rFonts w:ascii="Times New Roman" w:hAnsi="Times New Roman" w:cs="Times New Roman"/>
          <w:sz w:val="26"/>
          <w:szCs w:val="26"/>
        </w:rPr>
        <w:t xml:space="preserve">, </w:t>
      </w:r>
      <w:r w:rsidRPr="00C677D3">
        <w:rPr>
          <w:rFonts w:ascii="Times New Roman" w:hAnsi="Times New Roman" w:cs="Times New Roman"/>
          <w:sz w:val="26"/>
          <w:szCs w:val="26"/>
        </w:rPr>
        <w:t xml:space="preserve">88 Cal.App.5th </w:t>
      </w:r>
      <w:r>
        <w:rPr>
          <w:rFonts w:ascii="Times New Roman" w:hAnsi="Times New Roman" w:cs="Times New Roman"/>
          <w:sz w:val="26"/>
          <w:szCs w:val="26"/>
        </w:rPr>
        <w:t>at p.</w:t>
      </w:r>
      <w:r w:rsidRPr="00C677D3">
        <w:rPr>
          <w:rFonts w:ascii="Times New Roman" w:hAnsi="Times New Roman" w:cs="Times New Roman"/>
          <w:sz w:val="26"/>
          <w:szCs w:val="26"/>
        </w:rPr>
        <w:t xml:space="preserve"> 1289</w:t>
      </w:r>
      <w:bookmarkEnd w:id="56"/>
      <w:r>
        <w:rPr>
          <w:rFonts w:ascii="Times New Roman" w:hAnsi="Times New Roman" w:cs="Times New Roman"/>
          <w:sz w:val="26"/>
          <w:szCs w:val="26"/>
        </w:rPr>
        <w:t xml:space="preserve">.)  </w:t>
      </w:r>
      <w:r w:rsidR="00882C5B">
        <w:rPr>
          <w:rFonts w:ascii="Times New Roman" w:hAnsi="Times New Roman" w:cs="Times New Roman"/>
          <w:sz w:val="26"/>
          <w:szCs w:val="26"/>
        </w:rPr>
        <w:t>We</w:t>
      </w:r>
      <w:r w:rsidR="00DA4B38">
        <w:rPr>
          <w:rFonts w:ascii="Times New Roman" w:hAnsi="Times New Roman" w:cs="Times New Roman"/>
          <w:sz w:val="26"/>
          <w:szCs w:val="26"/>
        </w:rPr>
        <w:t>d</w:t>
      </w:r>
      <w:r w:rsidR="00882C5B">
        <w:rPr>
          <w:rFonts w:ascii="Times New Roman" w:hAnsi="Times New Roman" w:cs="Times New Roman"/>
          <w:sz w:val="26"/>
          <w:szCs w:val="26"/>
        </w:rPr>
        <w:t xml:space="preserve">bush offers no </w:t>
      </w:r>
      <w:r w:rsidR="00792E15">
        <w:rPr>
          <w:rFonts w:ascii="Times New Roman" w:hAnsi="Times New Roman" w:cs="Times New Roman"/>
          <w:sz w:val="26"/>
          <w:szCs w:val="26"/>
        </w:rPr>
        <w:t xml:space="preserve">reasonable </w:t>
      </w:r>
      <w:r w:rsidR="00882C5B">
        <w:rPr>
          <w:rFonts w:ascii="Times New Roman" w:hAnsi="Times New Roman" w:cs="Times New Roman"/>
          <w:sz w:val="26"/>
          <w:szCs w:val="26"/>
        </w:rPr>
        <w:t xml:space="preserve">explanation for </w:t>
      </w:r>
      <w:r w:rsidR="001754B9">
        <w:rPr>
          <w:rFonts w:ascii="Times New Roman" w:hAnsi="Times New Roman" w:cs="Times New Roman"/>
          <w:sz w:val="26"/>
          <w:szCs w:val="26"/>
        </w:rPr>
        <w:t>its</w:t>
      </w:r>
      <w:r w:rsidR="00882C5B">
        <w:rPr>
          <w:rFonts w:ascii="Times New Roman" w:hAnsi="Times New Roman" w:cs="Times New Roman"/>
          <w:sz w:val="26"/>
          <w:szCs w:val="26"/>
        </w:rPr>
        <w:t xml:space="preserve"> delay</w:t>
      </w:r>
      <w:r>
        <w:rPr>
          <w:rFonts w:ascii="Times New Roman" w:hAnsi="Times New Roman" w:cs="Times New Roman"/>
          <w:sz w:val="26"/>
          <w:szCs w:val="26"/>
        </w:rPr>
        <w:t xml:space="preserve"> in filing its motion</w:t>
      </w:r>
      <w:r w:rsidR="00DA4B38">
        <w:rPr>
          <w:rFonts w:ascii="Times New Roman" w:hAnsi="Times New Roman" w:cs="Times New Roman"/>
          <w:sz w:val="26"/>
          <w:szCs w:val="26"/>
        </w:rPr>
        <w:t xml:space="preserve">.  </w:t>
      </w:r>
      <w:r w:rsidR="00882C5B">
        <w:rPr>
          <w:rFonts w:ascii="Times New Roman" w:hAnsi="Times New Roman" w:cs="Times New Roman"/>
          <w:sz w:val="26"/>
          <w:szCs w:val="26"/>
        </w:rPr>
        <w:t>On this record</w:t>
      </w:r>
      <w:r w:rsidR="00792E15">
        <w:rPr>
          <w:rFonts w:ascii="Times New Roman" w:hAnsi="Times New Roman" w:cs="Times New Roman"/>
          <w:sz w:val="26"/>
          <w:szCs w:val="26"/>
        </w:rPr>
        <w:t>,</w:t>
      </w:r>
      <w:r w:rsidR="00882C5B">
        <w:rPr>
          <w:rFonts w:ascii="Times New Roman" w:hAnsi="Times New Roman" w:cs="Times New Roman"/>
          <w:sz w:val="26"/>
          <w:szCs w:val="26"/>
        </w:rPr>
        <w:t xml:space="preserve"> substantial evidence supports a finding that Wedbush waived its right to compel arbitration</w:t>
      </w:r>
      <w:r>
        <w:rPr>
          <w:rFonts w:ascii="Times New Roman" w:hAnsi="Times New Roman" w:cs="Times New Roman"/>
          <w:sz w:val="26"/>
          <w:szCs w:val="26"/>
        </w:rPr>
        <w:t>.</w:t>
      </w:r>
      <w:r>
        <w:rPr>
          <w:rFonts w:ascii="Times New Roman" w:hAnsi="Times New Roman" w:cs="Times New Roman"/>
          <w:b/>
          <w:bCs/>
          <w:sz w:val="26"/>
          <w:szCs w:val="26"/>
        </w:rPr>
        <w:t xml:space="preserve"> </w:t>
      </w:r>
    </w:p>
    <w:p w:rsidR="006A1935" w:rsidP="00DA7D2A" w14:paraId="539C4774" w14:textId="6565F09F">
      <w:pPr>
        <w:keepNext/>
        <w:spacing w:before="120" w:after="0" w:line="480" w:lineRule="atLeast"/>
        <w:jc w:val="center"/>
        <w:rPr>
          <w:rFonts w:ascii="Times New Roman" w:hAnsi="Times New Roman" w:cs="Times New Roman"/>
          <w:sz w:val="26"/>
          <w:szCs w:val="26"/>
        </w:rPr>
      </w:pPr>
      <w:r w:rsidRPr="00041B73">
        <w:rPr>
          <w:rFonts w:ascii="Times New Roman" w:hAnsi="Times New Roman" w:cs="Times New Roman"/>
          <w:b/>
          <w:bCs/>
          <w:sz w:val="26"/>
          <w:szCs w:val="26"/>
        </w:rPr>
        <w:t>DISPOSITION</w:t>
      </w:r>
    </w:p>
    <w:p w:rsidR="00041B73" w:rsidP="002226B7" w14:paraId="4727988D" w14:textId="6A7BA8E5">
      <w:pPr>
        <w:spacing w:after="0" w:line="480" w:lineRule="atLeast"/>
        <w:ind w:firstLine="1440"/>
        <w:rPr>
          <w:rFonts w:ascii="Times New Roman" w:hAnsi="Times New Roman" w:cs="Times New Roman"/>
          <w:sz w:val="26"/>
          <w:szCs w:val="26"/>
        </w:rPr>
      </w:pPr>
      <w:r>
        <w:rPr>
          <w:rFonts w:ascii="Times New Roman" w:hAnsi="Times New Roman" w:cs="Times New Roman"/>
          <w:sz w:val="26"/>
          <w:szCs w:val="26"/>
        </w:rPr>
        <w:t>The order denying Wedbush’s motion to compel arbitration is affirmed.</w:t>
      </w:r>
      <w:r w:rsidR="003E6704">
        <w:rPr>
          <w:rFonts w:ascii="Times New Roman" w:hAnsi="Times New Roman" w:cs="Times New Roman"/>
          <w:sz w:val="26"/>
          <w:szCs w:val="26"/>
        </w:rPr>
        <w:t xml:space="preserve">  Plaintiffs are to recover their costs on appeal.</w:t>
      </w:r>
    </w:p>
    <w:p w:rsidR="00A97DDF" w:rsidP="00370B88" w14:paraId="3A39A7E4" w14:textId="77777777">
      <w:pPr>
        <w:keepNext/>
        <w:tabs>
          <w:tab w:val="left" w:pos="5040"/>
        </w:tabs>
        <w:spacing w:after="0" w:line="240" w:lineRule="auto"/>
        <w:rPr>
          <w:rFonts w:ascii="Times New Roman" w:eastAsia="Times New Roman" w:hAnsi="Times New Roman" w:cs="Times New Roman"/>
          <w:kern w:val="0"/>
          <w:sz w:val="26"/>
          <w:szCs w:val="20"/>
          <w14:ligatures w14:val="none"/>
        </w:rPr>
      </w:pPr>
    </w:p>
    <w:p w:rsidR="00370B88" w:rsidP="00370B88" w14:paraId="5AA6A0AC" w14:textId="77777777">
      <w:pPr>
        <w:keepNext/>
        <w:tabs>
          <w:tab w:val="left" w:pos="5040"/>
        </w:tabs>
        <w:spacing w:after="0" w:line="240" w:lineRule="auto"/>
        <w:rPr>
          <w:rFonts w:ascii="Times New Roman" w:eastAsia="Times New Roman" w:hAnsi="Times New Roman" w:cs="Times New Roman"/>
          <w:kern w:val="0"/>
          <w:sz w:val="26"/>
          <w:szCs w:val="20"/>
          <w14:ligatures w14:val="none"/>
        </w:rPr>
      </w:pPr>
    </w:p>
    <w:p w:rsidR="00370B88" w:rsidRPr="00041B73" w:rsidP="00370B88" w14:paraId="4450C7C6" w14:textId="77777777">
      <w:pPr>
        <w:keepNext/>
        <w:tabs>
          <w:tab w:val="left" w:pos="5040"/>
        </w:tabs>
        <w:spacing w:after="0" w:line="240" w:lineRule="auto"/>
        <w:rPr>
          <w:rFonts w:ascii="Times New Roman" w:eastAsia="Times New Roman" w:hAnsi="Times New Roman" w:cs="Times New Roman"/>
          <w:kern w:val="0"/>
          <w:sz w:val="26"/>
          <w:szCs w:val="20"/>
          <w14:ligatures w14:val="none"/>
        </w:rPr>
      </w:pPr>
    </w:p>
    <w:p w:rsidR="00041B73" w:rsidRPr="00041B73" w:rsidP="00041B73" w14:paraId="55142B7E" w14:textId="23F8F4A4">
      <w:pPr>
        <w:keepNext/>
        <w:tabs>
          <w:tab w:val="left" w:pos="5040"/>
        </w:tabs>
        <w:spacing w:after="0" w:line="240" w:lineRule="auto"/>
        <w:rPr>
          <w:rFonts w:ascii="Times New Roman" w:eastAsia="Times New Roman" w:hAnsi="Times New Roman" w:cs="Times New Roman"/>
          <w:kern w:val="0"/>
          <w:sz w:val="26"/>
          <w:szCs w:val="20"/>
          <w14:ligatures w14:val="none"/>
        </w:rPr>
      </w:pPr>
      <w:r w:rsidRPr="00041B73">
        <w:rPr>
          <w:rFonts w:ascii="Times New Roman" w:eastAsia="Times New Roman" w:hAnsi="Times New Roman" w:cs="Times New Roman"/>
          <w:kern w:val="0"/>
          <w:sz w:val="26"/>
          <w:szCs w:val="20"/>
          <w14:ligatures w14:val="none"/>
        </w:rPr>
        <w:tab/>
      </w:r>
    </w:p>
    <w:p w:rsidR="00041B73" w:rsidRPr="00041B73" w:rsidP="00041B73" w14:paraId="01D56B8D" w14:textId="3024BC48">
      <w:pPr>
        <w:keepNext/>
        <w:tabs>
          <w:tab w:val="left" w:pos="5040"/>
        </w:tabs>
        <w:spacing w:after="0" w:line="240" w:lineRule="auto"/>
        <w:rPr>
          <w:rFonts w:ascii="Times New Roman" w:eastAsia="Times New Roman" w:hAnsi="Times New Roman" w:cs="Times New Roman"/>
          <w:kern w:val="0"/>
          <w:sz w:val="26"/>
          <w:szCs w:val="20"/>
          <w14:ligatures w14:val="none"/>
        </w:rPr>
      </w:pPr>
      <w:r w:rsidRPr="00041B73">
        <w:rPr>
          <w:rFonts w:ascii="Times New Roman" w:eastAsia="Times New Roman" w:hAnsi="Times New Roman" w:cs="Times New Roman"/>
          <w:kern w:val="0"/>
          <w:sz w:val="26"/>
          <w:szCs w:val="20"/>
          <w14:ligatures w14:val="none"/>
        </w:rPr>
        <w:tab/>
        <w:t>GOETHALS,</w:t>
      </w:r>
      <w:r>
        <w:rPr>
          <w:rFonts w:ascii="Times New Roman" w:eastAsia="Times New Roman" w:hAnsi="Times New Roman" w:cs="Times New Roman"/>
          <w:kern w:val="0"/>
          <w:sz w:val="26"/>
          <w:szCs w:val="20"/>
          <w14:ligatures w14:val="none"/>
        </w:rPr>
        <w:t xml:space="preserve"> ACTING P.</w:t>
      </w:r>
      <w:r w:rsidRPr="00041B73">
        <w:rPr>
          <w:rFonts w:ascii="Times New Roman" w:eastAsia="Times New Roman" w:hAnsi="Times New Roman" w:cs="Times New Roman"/>
          <w:kern w:val="0"/>
          <w:sz w:val="26"/>
          <w:szCs w:val="20"/>
          <w14:ligatures w14:val="none"/>
        </w:rPr>
        <w:t xml:space="preserve"> J.</w:t>
      </w:r>
    </w:p>
    <w:p w:rsidR="00041B73" w:rsidRPr="00041B73" w:rsidP="00041B73" w14:paraId="738BAD7A" w14:textId="77777777">
      <w:pPr>
        <w:keepNext/>
        <w:tabs>
          <w:tab w:val="left" w:pos="5040"/>
        </w:tabs>
        <w:spacing w:after="0" w:line="240" w:lineRule="auto"/>
        <w:rPr>
          <w:rFonts w:ascii="Times New Roman" w:eastAsia="Times New Roman" w:hAnsi="Times New Roman" w:cs="Times New Roman"/>
          <w:kern w:val="0"/>
          <w:sz w:val="26"/>
          <w:szCs w:val="20"/>
          <w14:ligatures w14:val="none"/>
        </w:rPr>
      </w:pPr>
    </w:p>
    <w:p w:rsidR="00041B73" w:rsidRPr="00041B73" w:rsidP="00041B73" w14:paraId="508B166F" w14:textId="77777777">
      <w:pPr>
        <w:keepNext/>
        <w:tabs>
          <w:tab w:val="left" w:pos="5040"/>
        </w:tabs>
        <w:spacing w:after="0" w:line="240" w:lineRule="auto"/>
        <w:rPr>
          <w:rFonts w:ascii="Times New Roman" w:eastAsia="Times New Roman" w:hAnsi="Times New Roman" w:cs="Times New Roman"/>
          <w:kern w:val="0"/>
          <w:sz w:val="26"/>
          <w:szCs w:val="20"/>
          <w14:ligatures w14:val="none"/>
        </w:rPr>
      </w:pPr>
      <w:r w:rsidRPr="00041B73">
        <w:rPr>
          <w:rFonts w:ascii="Times New Roman" w:eastAsia="Times New Roman" w:hAnsi="Times New Roman" w:cs="Times New Roman"/>
          <w:kern w:val="0"/>
          <w:sz w:val="26"/>
          <w:szCs w:val="20"/>
          <w14:ligatures w14:val="none"/>
        </w:rPr>
        <w:t>WE CONCUR:</w:t>
      </w:r>
    </w:p>
    <w:p w:rsidR="00041B73" w:rsidRPr="00041B73" w:rsidP="00041B73" w14:paraId="02E88D80" w14:textId="77777777">
      <w:pPr>
        <w:keepNext/>
        <w:tabs>
          <w:tab w:val="left" w:pos="5040"/>
        </w:tabs>
        <w:spacing w:after="0" w:line="240" w:lineRule="auto"/>
        <w:rPr>
          <w:rFonts w:ascii="Times New Roman" w:eastAsia="Times New Roman" w:hAnsi="Times New Roman" w:cs="Times New Roman"/>
          <w:kern w:val="0"/>
          <w:sz w:val="26"/>
          <w:szCs w:val="20"/>
          <w14:ligatures w14:val="none"/>
        </w:rPr>
      </w:pPr>
    </w:p>
    <w:p w:rsidR="00041B73" w:rsidRPr="00041B73" w:rsidP="00041B73" w14:paraId="2E890D91" w14:textId="77777777">
      <w:pPr>
        <w:keepNext/>
        <w:tabs>
          <w:tab w:val="left" w:pos="5040"/>
        </w:tabs>
        <w:spacing w:after="0" w:line="240" w:lineRule="auto"/>
        <w:rPr>
          <w:rFonts w:ascii="Times New Roman" w:eastAsia="Times New Roman" w:hAnsi="Times New Roman" w:cs="Times New Roman"/>
          <w:kern w:val="0"/>
          <w:sz w:val="26"/>
          <w:szCs w:val="20"/>
          <w14:ligatures w14:val="none"/>
        </w:rPr>
      </w:pPr>
    </w:p>
    <w:p w:rsidR="00041B73" w:rsidRPr="00041B73" w:rsidP="00041B73" w14:paraId="5ADA31A4" w14:textId="0348CF4C">
      <w:pPr>
        <w:keepNext/>
        <w:tabs>
          <w:tab w:val="left" w:pos="5040"/>
        </w:tabs>
        <w:spacing w:after="0" w:line="240" w:lineRule="auto"/>
        <w:rPr>
          <w:rFonts w:ascii="Times New Roman" w:eastAsia="Times New Roman" w:hAnsi="Times New Roman" w:cs="Times New Roman"/>
          <w:kern w:val="0"/>
          <w:sz w:val="26"/>
          <w:szCs w:val="20"/>
          <w14:ligatures w14:val="none"/>
        </w:rPr>
      </w:pPr>
    </w:p>
    <w:p w:rsidR="00041B73" w:rsidRPr="00041B73" w:rsidP="00041B73" w14:paraId="7FAF59BC" w14:textId="7421B11F">
      <w:pPr>
        <w:keepNext/>
        <w:tabs>
          <w:tab w:val="left" w:pos="5040"/>
        </w:tabs>
        <w:spacing w:after="0" w:line="240" w:lineRule="auto"/>
        <w:rPr>
          <w:rFonts w:ascii="Times New Roman" w:eastAsia="Times New Roman" w:hAnsi="Times New Roman" w:cs="Times New Roman"/>
          <w:kern w:val="0"/>
          <w:sz w:val="26"/>
          <w:szCs w:val="20"/>
          <w14:ligatures w14:val="none"/>
        </w:rPr>
      </w:pPr>
      <w:r w:rsidRPr="00041B73">
        <w:rPr>
          <w:rFonts w:ascii="Times New Roman" w:eastAsia="Times New Roman" w:hAnsi="Times New Roman" w:cs="Times New Roman"/>
          <w:kern w:val="0"/>
          <w:sz w:val="26"/>
          <w:szCs w:val="20"/>
          <w14:ligatures w14:val="none"/>
        </w:rPr>
        <w:t>SANCHEZ, J.</w:t>
      </w:r>
    </w:p>
    <w:p w:rsidR="00041B73" w:rsidRPr="00041B73" w:rsidP="00041B73" w14:paraId="0512767D" w14:textId="77777777">
      <w:pPr>
        <w:keepNext/>
        <w:tabs>
          <w:tab w:val="left" w:pos="5040"/>
        </w:tabs>
        <w:spacing w:after="0" w:line="240" w:lineRule="auto"/>
        <w:rPr>
          <w:rFonts w:ascii="Times New Roman" w:eastAsia="Times New Roman" w:hAnsi="Times New Roman" w:cs="Times New Roman"/>
          <w:kern w:val="0"/>
          <w:sz w:val="26"/>
          <w:szCs w:val="20"/>
          <w14:ligatures w14:val="none"/>
        </w:rPr>
      </w:pPr>
    </w:p>
    <w:p w:rsidR="00041B73" w:rsidRPr="00041B73" w:rsidP="00041B73" w14:paraId="3058502F" w14:textId="77777777">
      <w:pPr>
        <w:keepNext/>
        <w:tabs>
          <w:tab w:val="left" w:pos="5040"/>
        </w:tabs>
        <w:spacing w:after="0" w:line="240" w:lineRule="auto"/>
        <w:rPr>
          <w:rFonts w:ascii="Times New Roman" w:eastAsia="Times New Roman" w:hAnsi="Times New Roman" w:cs="Times New Roman"/>
          <w:kern w:val="0"/>
          <w:sz w:val="26"/>
          <w:szCs w:val="20"/>
          <w14:ligatures w14:val="none"/>
        </w:rPr>
      </w:pPr>
    </w:p>
    <w:p w:rsidR="00041B73" w:rsidRPr="00041B73" w:rsidP="00041B73" w14:paraId="4708EC72" w14:textId="0B8FECFB">
      <w:pPr>
        <w:keepNext/>
        <w:tabs>
          <w:tab w:val="left" w:pos="5040"/>
        </w:tabs>
        <w:spacing w:after="0" w:line="240" w:lineRule="auto"/>
        <w:rPr>
          <w:rFonts w:ascii="Times New Roman" w:eastAsia="Times New Roman" w:hAnsi="Times New Roman" w:cs="Times New Roman"/>
          <w:kern w:val="0"/>
          <w:sz w:val="26"/>
          <w:szCs w:val="20"/>
          <w14:ligatures w14:val="none"/>
        </w:rPr>
      </w:pPr>
    </w:p>
    <w:p w:rsidR="00041B73" w:rsidRPr="002226B7" w:rsidP="002226B7" w14:paraId="4CF96C13" w14:textId="0971C396">
      <w:pPr>
        <w:keepNext/>
        <w:tabs>
          <w:tab w:val="left" w:pos="5040"/>
        </w:tabs>
        <w:spacing w:after="0" w:line="240" w:lineRule="auto"/>
        <w:rPr>
          <w:rFonts w:ascii="Times New Roman" w:eastAsia="Times New Roman" w:hAnsi="Times New Roman" w:cs="Times New Roman"/>
          <w:kern w:val="0"/>
          <w:sz w:val="26"/>
          <w:szCs w:val="20"/>
          <w14:ligatures w14:val="none"/>
        </w:rPr>
      </w:pPr>
      <w:r>
        <w:rPr>
          <w:rFonts w:ascii="Times New Roman" w:eastAsia="Times New Roman" w:hAnsi="Times New Roman" w:cs="Times New Roman"/>
          <w:kern w:val="0"/>
          <w:sz w:val="26"/>
          <w:szCs w:val="20"/>
          <w14:ligatures w14:val="none"/>
        </w:rPr>
        <w:t>DELANEY</w:t>
      </w:r>
      <w:r w:rsidRPr="00041B73">
        <w:rPr>
          <w:rFonts w:ascii="Times New Roman" w:eastAsia="Times New Roman" w:hAnsi="Times New Roman" w:cs="Times New Roman"/>
          <w:kern w:val="0"/>
          <w:sz w:val="26"/>
          <w:szCs w:val="20"/>
          <w14:ligatures w14:val="none"/>
        </w:rPr>
        <w:t>, J.</w:t>
      </w:r>
    </w:p>
    <w:sectPr w:rsidSect="00594C51">
      <w:footerReference w:type="defaul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1DA7" w:rsidRPr="00511DA7" w14:paraId="21DF91E8" w14:textId="77777777">
    <w:pPr>
      <w:pStyle w:val="Footer"/>
      <w:tabs>
        <w:tab w:val="clear" w:pos="4680"/>
        <w:tab w:val="clear" w:pos="9360"/>
      </w:tabs>
      <w:jc w:val="center"/>
      <w:rPr>
        <w:rFonts w:ascii="Times New Roman" w:hAnsi="Times New Roman" w:cs="Times New Roman"/>
        <w:caps/>
        <w:noProof/>
        <w:sz w:val="26"/>
        <w:szCs w:val="26"/>
      </w:rPr>
    </w:pPr>
    <w:r w:rsidRPr="00511DA7">
      <w:rPr>
        <w:rFonts w:ascii="Times New Roman" w:hAnsi="Times New Roman" w:cs="Times New Roman"/>
        <w:caps/>
        <w:sz w:val="26"/>
        <w:szCs w:val="26"/>
      </w:rPr>
      <w:fldChar w:fldCharType="begin"/>
    </w:r>
    <w:r w:rsidRPr="00511DA7">
      <w:rPr>
        <w:rFonts w:ascii="Times New Roman" w:hAnsi="Times New Roman" w:cs="Times New Roman"/>
        <w:caps/>
        <w:sz w:val="26"/>
        <w:szCs w:val="26"/>
      </w:rPr>
      <w:instrText xml:space="preserve"> PAGE   \* MERGEFORMAT </w:instrText>
    </w:r>
    <w:r w:rsidRPr="00511DA7">
      <w:rPr>
        <w:rFonts w:ascii="Times New Roman" w:hAnsi="Times New Roman" w:cs="Times New Roman"/>
        <w:caps/>
        <w:sz w:val="26"/>
        <w:szCs w:val="26"/>
      </w:rPr>
      <w:fldChar w:fldCharType="separate"/>
    </w:r>
    <w:r w:rsidRPr="00511DA7">
      <w:rPr>
        <w:rFonts w:ascii="Times New Roman" w:hAnsi="Times New Roman" w:cs="Times New Roman"/>
        <w:caps/>
        <w:noProof/>
        <w:sz w:val="26"/>
        <w:szCs w:val="26"/>
      </w:rPr>
      <w:t>2</w:t>
    </w:r>
    <w:r w:rsidRPr="00511DA7">
      <w:rPr>
        <w:rFonts w:ascii="Times New Roman" w:hAnsi="Times New Roman" w:cs="Times New Roman"/>
        <w:caps/>
        <w:noProof/>
        <w:sz w:val="26"/>
        <w:szCs w:val="26"/>
      </w:rPr>
      <w:fldChar w:fldCharType="end"/>
    </w:r>
  </w:p>
  <w:p w:rsidR="00011B22" w14:paraId="4D102A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4C51" w:rsidP="00BA7B1D" w14:paraId="0C331965" w14:textId="77777777">
      <w:pPr>
        <w:spacing w:after="0" w:line="240" w:lineRule="auto"/>
      </w:pPr>
      <w:r>
        <w:separator/>
      </w:r>
    </w:p>
  </w:footnote>
  <w:footnote w:type="continuationSeparator" w:id="1">
    <w:p w:rsidR="00594C51" w:rsidP="00BA7B1D" w14:paraId="0D8CDF82" w14:textId="77777777">
      <w:pPr>
        <w:spacing w:after="0" w:line="240" w:lineRule="auto"/>
      </w:pPr>
      <w:r>
        <w:continuationSeparator/>
      </w:r>
    </w:p>
  </w:footnote>
  <w:footnote w:id="2">
    <w:p w:rsidR="00C9271B" w:rsidRPr="006C647B" w:rsidP="00D66008" w14:paraId="68077884" w14:textId="7C951C61">
      <w:pPr>
        <w:pStyle w:val="FootnoteText"/>
        <w:spacing w:after="240"/>
        <w:ind w:firstLine="720"/>
        <w:rPr>
          <w:rFonts w:ascii="Times New Roman" w:hAnsi="Times New Roman" w:cs="Times New Roman"/>
          <w:sz w:val="26"/>
          <w:szCs w:val="26"/>
        </w:rPr>
      </w:pPr>
      <w:r w:rsidRPr="006C647B">
        <w:rPr>
          <w:rStyle w:val="FootnoteReference"/>
          <w:rFonts w:ascii="Times New Roman" w:hAnsi="Times New Roman" w:cs="Times New Roman"/>
          <w:sz w:val="26"/>
          <w:szCs w:val="26"/>
        </w:rPr>
        <w:footnoteRef/>
      </w:r>
      <w:r w:rsidRPr="006C647B">
        <w:rPr>
          <w:rFonts w:ascii="Times New Roman" w:hAnsi="Times New Roman" w:cs="Times New Roman"/>
          <w:sz w:val="26"/>
          <w:szCs w:val="26"/>
        </w:rPr>
        <w:t xml:space="preserve"> </w:t>
      </w:r>
      <w:r w:rsidRPr="006C647B">
        <w:rPr>
          <w:rFonts w:ascii="Times New Roman" w:hAnsi="Times New Roman" w:cs="Times New Roman"/>
          <w:sz w:val="26"/>
          <w:szCs w:val="26"/>
        </w:rPr>
        <w:tab/>
        <w:t>Per Semprini’s arbitration agreement, any dispute arising from his employment would be resolved through arbitration under Financial Industry Regulatory Authority (FINRA) rules, and “[i]f the law prohibits arbitration for any specific claim, all other non-prohibited claims shall continue to be arbitrated.”  The agreement did not address the arbitrability of class or representative actions.</w:t>
      </w:r>
      <w:r w:rsidRPr="006C647B" w:rsidR="00D66008">
        <w:rPr>
          <w:rFonts w:ascii="Times New Roman" w:hAnsi="Times New Roman" w:cs="Times New Roman"/>
          <w:sz w:val="26"/>
          <w:szCs w:val="26"/>
        </w:rPr>
        <w:t xml:space="preserve"> </w:t>
      </w:r>
    </w:p>
  </w:footnote>
  <w:footnote w:id="3">
    <w:p w:rsidR="00FC52A9" w:rsidRPr="006C647B" w:rsidP="00FC52A9" w14:paraId="3DBBBB1A" w14:textId="3008744C">
      <w:pPr>
        <w:pStyle w:val="FootnoteText"/>
        <w:spacing w:after="240"/>
        <w:ind w:firstLine="720"/>
        <w:rPr>
          <w:rFonts w:ascii="Times New Roman" w:hAnsi="Times New Roman" w:cs="Times New Roman"/>
          <w:sz w:val="26"/>
          <w:szCs w:val="26"/>
        </w:rPr>
      </w:pPr>
      <w:r w:rsidRPr="006C647B">
        <w:rPr>
          <w:rStyle w:val="FootnoteReference"/>
          <w:rFonts w:ascii="Times New Roman" w:hAnsi="Times New Roman" w:cs="Times New Roman"/>
          <w:sz w:val="26"/>
          <w:szCs w:val="26"/>
        </w:rPr>
        <w:footnoteRef/>
      </w:r>
      <w:r w:rsidRPr="006C647B">
        <w:rPr>
          <w:rFonts w:ascii="Times New Roman" w:hAnsi="Times New Roman" w:cs="Times New Roman"/>
          <w:sz w:val="26"/>
          <w:szCs w:val="26"/>
        </w:rPr>
        <w:t xml:space="preserve"> </w:t>
      </w:r>
      <w:r w:rsidRPr="006C647B">
        <w:rPr>
          <w:rFonts w:ascii="Times New Roman" w:hAnsi="Times New Roman" w:cs="Times New Roman"/>
          <w:sz w:val="26"/>
          <w:szCs w:val="26"/>
        </w:rPr>
        <w:tab/>
        <w:t>In light of the death of Joseph Semprini in May 2023, Bradley Swain is the sole remaining class representative.</w:t>
      </w:r>
    </w:p>
  </w:footnote>
  <w:footnote w:id="4">
    <w:p w:rsidR="00F44D3B" w:rsidRPr="006C647B" w:rsidP="00D66008" w14:paraId="22D59B7D" w14:textId="188C56B7">
      <w:pPr>
        <w:pStyle w:val="FootnoteText"/>
        <w:spacing w:after="240"/>
        <w:ind w:firstLine="720"/>
        <w:rPr>
          <w:rFonts w:ascii="Times New Roman" w:hAnsi="Times New Roman" w:cs="Times New Roman"/>
          <w:sz w:val="26"/>
          <w:szCs w:val="26"/>
        </w:rPr>
      </w:pPr>
      <w:r w:rsidRPr="006C647B">
        <w:rPr>
          <w:rStyle w:val="FootnoteReference"/>
          <w:rFonts w:ascii="Times New Roman" w:hAnsi="Times New Roman" w:cs="Times New Roman"/>
          <w:sz w:val="26"/>
          <w:szCs w:val="26"/>
        </w:rPr>
        <w:footnoteRef/>
      </w:r>
      <w:r w:rsidRPr="006C647B">
        <w:rPr>
          <w:rFonts w:ascii="Times New Roman" w:hAnsi="Times New Roman" w:cs="Times New Roman"/>
          <w:sz w:val="26"/>
          <w:szCs w:val="26"/>
        </w:rPr>
        <w:t xml:space="preserve"> </w:t>
      </w:r>
      <w:r w:rsidRPr="006C647B">
        <w:rPr>
          <w:rFonts w:ascii="Times New Roman" w:hAnsi="Times New Roman" w:cs="Times New Roman"/>
          <w:sz w:val="26"/>
          <w:szCs w:val="26"/>
        </w:rPr>
        <w:tab/>
      </w:r>
      <w:r w:rsidRPr="006C647B" w:rsidR="003C7858">
        <w:rPr>
          <w:rFonts w:ascii="Times New Roman" w:hAnsi="Times New Roman" w:cs="Times New Roman"/>
          <w:sz w:val="26"/>
          <w:szCs w:val="26"/>
        </w:rPr>
        <w:t xml:space="preserve">Plaintiffs filed a motion to dismiss </w:t>
      </w:r>
      <w:r w:rsidRPr="006C647B" w:rsidR="00D476D8">
        <w:rPr>
          <w:rFonts w:ascii="Times New Roman" w:hAnsi="Times New Roman" w:cs="Times New Roman"/>
          <w:sz w:val="26"/>
          <w:szCs w:val="26"/>
        </w:rPr>
        <w:t>Wedbush’s</w:t>
      </w:r>
      <w:r w:rsidRPr="006C647B" w:rsidR="003C7858">
        <w:rPr>
          <w:rFonts w:ascii="Times New Roman" w:hAnsi="Times New Roman" w:cs="Times New Roman"/>
          <w:sz w:val="26"/>
          <w:szCs w:val="26"/>
        </w:rPr>
        <w:t xml:space="preserve"> appeal as frivolous.  </w:t>
      </w:r>
      <w:r w:rsidRPr="006C647B">
        <w:rPr>
          <w:rFonts w:ascii="Times New Roman" w:hAnsi="Times New Roman" w:cs="Times New Roman"/>
          <w:sz w:val="26"/>
          <w:szCs w:val="26"/>
        </w:rPr>
        <w:t>We have the inherent power to dismiss a frivolous appeal</w:t>
      </w:r>
      <w:r w:rsidRPr="006C647B" w:rsidR="007D1886">
        <w:rPr>
          <w:rFonts w:ascii="Times New Roman" w:hAnsi="Times New Roman" w:cs="Times New Roman"/>
          <w:sz w:val="26"/>
          <w:szCs w:val="26"/>
        </w:rPr>
        <w:t>—that is, an appeal that indisputably has no merit or that is prosecuted for an improper motive (e.g., harassment or delay).  (</w:t>
      </w:r>
      <w:bookmarkStart w:id="6" w:name="dabmci_8356c9ae1a99405abde60980190d4436"/>
      <w:r w:rsidRPr="006C647B">
        <w:rPr>
          <w:rFonts w:ascii="Times New Roman" w:hAnsi="Times New Roman" w:cs="Times New Roman"/>
          <w:i/>
          <w:iCs/>
          <w:sz w:val="26"/>
          <w:szCs w:val="26"/>
        </w:rPr>
        <w:t>In re Marriage of Deal</w:t>
      </w:r>
      <w:r w:rsidRPr="006C647B">
        <w:rPr>
          <w:rFonts w:ascii="Times New Roman" w:hAnsi="Times New Roman" w:cs="Times New Roman"/>
          <w:sz w:val="26"/>
          <w:szCs w:val="26"/>
        </w:rPr>
        <w:t xml:space="preserve"> (2022) 80 Cal.App.5th 71, 79</w:t>
      </w:r>
      <w:bookmarkEnd w:id="6"/>
      <w:r w:rsidRPr="006C647B" w:rsidR="007D1886">
        <w:rPr>
          <w:rFonts w:ascii="Times New Roman" w:hAnsi="Times New Roman" w:cs="Times New Roman"/>
          <w:sz w:val="26"/>
          <w:szCs w:val="26"/>
        </w:rPr>
        <w:t xml:space="preserve">.)  </w:t>
      </w:r>
      <w:r w:rsidR="000070DC">
        <w:rPr>
          <w:rFonts w:ascii="Times New Roman" w:hAnsi="Times New Roman" w:cs="Times New Roman"/>
          <w:sz w:val="26"/>
          <w:szCs w:val="26"/>
        </w:rPr>
        <w:t>A</w:t>
      </w:r>
      <w:r w:rsidRPr="006C647B" w:rsidR="00027F49">
        <w:rPr>
          <w:rFonts w:ascii="Times New Roman" w:hAnsi="Times New Roman" w:cs="Times New Roman"/>
          <w:sz w:val="26"/>
          <w:szCs w:val="26"/>
        </w:rPr>
        <w:t xml:space="preserve">s we have previously observed, </w:t>
      </w:r>
      <w:r w:rsidRPr="006C647B" w:rsidR="00D476D8">
        <w:rPr>
          <w:rFonts w:ascii="Times New Roman" w:hAnsi="Times New Roman" w:cs="Times New Roman"/>
          <w:sz w:val="26"/>
          <w:szCs w:val="26"/>
        </w:rPr>
        <w:t>that power</w:t>
      </w:r>
      <w:r w:rsidRPr="006C647B" w:rsidR="00B4181C">
        <w:rPr>
          <w:rFonts w:ascii="Times New Roman" w:hAnsi="Times New Roman" w:cs="Times New Roman"/>
          <w:sz w:val="26"/>
          <w:szCs w:val="26"/>
        </w:rPr>
        <w:t xml:space="preserve"> “</w:t>
      </w:r>
      <w:r w:rsidRPr="006C647B" w:rsidR="00027F49">
        <w:rPr>
          <w:rFonts w:ascii="Times New Roman" w:hAnsi="Times New Roman" w:cs="Times New Roman"/>
          <w:sz w:val="26"/>
          <w:szCs w:val="26"/>
        </w:rPr>
        <w:t>should not be used except in the absolutely clearest cases</w:t>
      </w:r>
      <w:r w:rsidRPr="006C647B" w:rsidR="00B4181C">
        <w:rPr>
          <w:rFonts w:ascii="Times New Roman" w:hAnsi="Times New Roman" w:cs="Times New Roman"/>
          <w:sz w:val="26"/>
          <w:szCs w:val="26"/>
        </w:rPr>
        <w:t>.”  (</w:t>
      </w:r>
      <w:bookmarkStart w:id="7" w:name="dabmci_19fdbad881d54a8e99e370eff66e9901"/>
      <w:r w:rsidRPr="006C647B" w:rsidR="00027F49">
        <w:rPr>
          <w:rFonts w:ascii="Times New Roman" w:hAnsi="Times New Roman" w:cs="Times New Roman"/>
          <w:i/>
          <w:iCs/>
          <w:sz w:val="26"/>
          <w:szCs w:val="26"/>
        </w:rPr>
        <w:t>People ex rel. Lockyer v. Brar</w:t>
      </w:r>
      <w:r w:rsidRPr="006C647B" w:rsidR="00027F49">
        <w:rPr>
          <w:rFonts w:ascii="Times New Roman" w:hAnsi="Times New Roman" w:cs="Times New Roman"/>
          <w:sz w:val="26"/>
          <w:szCs w:val="26"/>
        </w:rPr>
        <w:t xml:space="preserve"> (2004) 115 Cal.App.4th 1315, 1318</w:t>
      </w:r>
      <w:bookmarkEnd w:id="7"/>
      <w:r w:rsidRPr="006C647B" w:rsidR="00B4181C">
        <w:rPr>
          <w:rFonts w:ascii="Times New Roman" w:hAnsi="Times New Roman" w:cs="Times New Roman"/>
          <w:sz w:val="26"/>
          <w:szCs w:val="26"/>
        </w:rPr>
        <w:t>.)</w:t>
      </w:r>
      <w:r w:rsidR="008016B7">
        <w:rPr>
          <w:rFonts w:ascii="Times New Roman" w:hAnsi="Times New Roman" w:cs="Times New Roman"/>
          <w:sz w:val="26"/>
          <w:szCs w:val="26"/>
        </w:rPr>
        <w:t xml:space="preserve">  </w:t>
      </w:r>
      <w:r w:rsidRPr="006C647B" w:rsidR="00E417A6">
        <w:rPr>
          <w:rFonts w:ascii="Times New Roman" w:hAnsi="Times New Roman" w:cs="Times New Roman"/>
          <w:sz w:val="26"/>
          <w:szCs w:val="26"/>
        </w:rPr>
        <w:t>Although we</w:t>
      </w:r>
      <w:r w:rsidRPr="006C647B" w:rsidR="00E64127">
        <w:rPr>
          <w:rFonts w:ascii="Times New Roman" w:hAnsi="Times New Roman" w:cs="Times New Roman"/>
          <w:sz w:val="26"/>
          <w:szCs w:val="26"/>
        </w:rPr>
        <w:t xml:space="preserve"> affirm the trial court’s order, we cannot say the appeal is </w:t>
      </w:r>
      <w:r w:rsidRPr="006C647B" w:rsidR="00060C4E">
        <w:rPr>
          <w:rFonts w:ascii="Times New Roman" w:hAnsi="Times New Roman" w:cs="Times New Roman"/>
          <w:sz w:val="26"/>
          <w:szCs w:val="26"/>
        </w:rPr>
        <w:t xml:space="preserve">clearly frivolous </w:t>
      </w:r>
      <w:r w:rsidRPr="006C647B" w:rsidR="00C56FC3">
        <w:rPr>
          <w:rFonts w:ascii="Times New Roman" w:hAnsi="Times New Roman" w:cs="Times New Roman"/>
          <w:sz w:val="26"/>
          <w:szCs w:val="26"/>
        </w:rPr>
        <w:t>and therefore deny Plaintiffs’ motion</w:t>
      </w:r>
      <w:r w:rsidRPr="006C647B" w:rsidR="00060C4E">
        <w:rPr>
          <w:rFonts w:ascii="Times New Roman" w:hAnsi="Times New Roman" w:cs="Times New Roman"/>
          <w:sz w:val="26"/>
          <w:szCs w:val="26"/>
        </w:rPr>
        <w:t xml:space="preserve"> to dismiss.</w:t>
      </w:r>
    </w:p>
  </w:footnote>
  <w:footnote w:id="5">
    <w:p w:rsidR="006C647B" w:rsidRPr="00EB5AF9" w:rsidP="004E5820" w14:paraId="26184B16" w14:textId="45613C3B">
      <w:pPr>
        <w:pStyle w:val="FootnoteText"/>
        <w:spacing w:after="240"/>
        <w:ind w:firstLine="720"/>
        <w:rPr>
          <w:rFonts w:ascii="Times New Roman" w:hAnsi="Times New Roman" w:cs="Times New Roman"/>
          <w:sz w:val="26"/>
          <w:szCs w:val="26"/>
        </w:rPr>
      </w:pPr>
      <w:r w:rsidRPr="00EB5AF9">
        <w:rPr>
          <w:rStyle w:val="FootnoteReference"/>
          <w:rFonts w:ascii="Times New Roman" w:hAnsi="Times New Roman" w:cs="Times New Roman"/>
          <w:sz w:val="26"/>
          <w:szCs w:val="26"/>
        </w:rPr>
        <w:footnoteRef/>
      </w:r>
      <w:r w:rsidRPr="00EB5AF9">
        <w:rPr>
          <w:rFonts w:ascii="Times New Roman" w:hAnsi="Times New Roman" w:cs="Times New Roman"/>
          <w:sz w:val="26"/>
          <w:szCs w:val="26"/>
        </w:rPr>
        <w:t xml:space="preserve"> </w:t>
      </w:r>
      <w:r w:rsidRPr="00EB5AF9">
        <w:rPr>
          <w:rFonts w:ascii="Times New Roman" w:hAnsi="Times New Roman" w:cs="Times New Roman"/>
          <w:sz w:val="26"/>
          <w:szCs w:val="26"/>
        </w:rPr>
        <w:tab/>
      </w:r>
      <w:r w:rsidRPr="006C647B">
        <w:rPr>
          <w:rFonts w:ascii="Times New Roman" w:hAnsi="Times New Roman" w:cs="Times New Roman"/>
          <w:sz w:val="26"/>
          <w:szCs w:val="26"/>
        </w:rPr>
        <w:t xml:space="preserve">In this case, </w:t>
      </w:r>
      <w:r w:rsidR="004E5820">
        <w:rPr>
          <w:rFonts w:ascii="Times New Roman" w:hAnsi="Times New Roman" w:cs="Times New Roman"/>
          <w:sz w:val="26"/>
          <w:szCs w:val="26"/>
        </w:rPr>
        <w:t xml:space="preserve">we believe </w:t>
      </w:r>
      <w:r w:rsidRPr="006C647B">
        <w:rPr>
          <w:rFonts w:ascii="Times New Roman" w:hAnsi="Times New Roman" w:cs="Times New Roman"/>
          <w:sz w:val="26"/>
          <w:szCs w:val="26"/>
        </w:rPr>
        <w:t>substantial evidence review is appropriate given the various factual issues surrounding Wedbush’s conduct in 2022 and 2023, but even if we were to review this matter de novo, our conclusion would be the same.</w:t>
      </w:r>
    </w:p>
  </w:footnote>
  <w:footnote w:id="6">
    <w:p w:rsidR="00BB31E1" w:rsidRPr="006C647B" w:rsidP="00D66008" w14:paraId="687913D6" w14:textId="4547D81D">
      <w:pPr>
        <w:pStyle w:val="FootnoteText"/>
        <w:spacing w:after="240"/>
        <w:rPr>
          <w:rFonts w:ascii="Times New Roman" w:hAnsi="Times New Roman" w:cs="Times New Roman"/>
          <w:sz w:val="26"/>
          <w:szCs w:val="26"/>
        </w:rPr>
      </w:pPr>
      <w:r w:rsidRPr="006C647B">
        <w:rPr>
          <w:rFonts w:ascii="Times New Roman" w:hAnsi="Times New Roman" w:cs="Times New Roman"/>
          <w:sz w:val="26"/>
          <w:szCs w:val="26"/>
        </w:rPr>
        <w:tab/>
      </w:r>
      <w:r w:rsidRPr="006C647B">
        <w:rPr>
          <w:rStyle w:val="FootnoteReference"/>
          <w:rFonts w:ascii="Times New Roman" w:hAnsi="Times New Roman" w:cs="Times New Roman"/>
          <w:sz w:val="26"/>
          <w:szCs w:val="26"/>
        </w:rPr>
        <w:footnoteRef/>
      </w:r>
      <w:r w:rsidRPr="006C647B">
        <w:rPr>
          <w:rFonts w:ascii="Times New Roman" w:hAnsi="Times New Roman" w:cs="Times New Roman"/>
          <w:sz w:val="26"/>
          <w:szCs w:val="26"/>
        </w:rPr>
        <w:t xml:space="preserve"> </w:t>
      </w:r>
      <w:r w:rsidRPr="006C647B">
        <w:rPr>
          <w:rFonts w:ascii="Times New Roman" w:hAnsi="Times New Roman" w:cs="Times New Roman"/>
          <w:sz w:val="26"/>
          <w:szCs w:val="26"/>
        </w:rPr>
        <w:tab/>
      </w:r>
      <w:r w:rsidRPr="006C647B" w:rsidR="00E34BA4">
        <w:rPr>
          <w:rFonts w:ascii="Times New Roman" w:hAnsi="Times New Roman" w:cs="Times New Roman"/>
          <w:sz w:val="26"/>
          <w:szCs w:val="26"/>
        </w:rPr>
        <w:t xml:space="preserve">This </w:t>
      </w:r>
      <w:r w:rsidR="004E5820">
        <w:rPr>
          <w:rFonts w:ascii="Times New Roman" w:hAnsi="Times New Roman" w:cs="Times New Roman"/>
          <w:sz w:val="26"/>
          <w:szCs w:val="26"/>
        </w:rPr>
        <w:t xml:space="preserve">language </w:t>
      </w:r>
      <w:r w:rsidRPr="006C647B" w:rsidR="00E34BA4">
        <w:rPr>
          <w:rFonts w:ascii="Times New Roman" w:hAnsi="Times New Roman" w:cs="Times New Roman"/>
          <w:sz w:val="26"/>
          <w:szCs w:val="26"/>
        </w:rPr>
        <w:t xml:space="preserve">confirms Wedbush understood </w:t>
      </w:r>
      <w:r w:rsidR="004E5820">
        <w:rPr>
          <w:rFonts w:ascii="Times New Roman" w:hAnsi="Times New Roman" w:cs="Times New Roman"/>
          <w:sz w:val="26"/>
          <w:szCs w:val="26"/>
        </w:rPr>
        <w:t>in 2015</w:t>
      </w:r>
      <w:r w:rsidRPr="006C647B" w:rsidR="00E34BA4">
        <w:rPr>
          <w:rFonts w:ascii="Times New Roman" w:hAnsi="Times New Roman" w:cs="Times New Roman"/>
          <w:sz w:val="26"/>
          <w:szCs w:val="26"/>
        </w:rPr>
        <w:t xml:space="preserve"> that Semprini’s class claims could not be compelled to arbitration.  </w:t>
      </w:r>
      <w:r w:rsidRPr="006C647B" w:rsidR="000E0C28">
        <w:rPr>
          <w:rFonts w:ascii="Times New Roman" w:hAnsi="Times New Roman" w:cs="Times New Roman"/>
          <w:sz w:val="26"/>
          <w:szCs w:val="26"/>
        </w:rPr>
        <w:t>And rightly so, since</w:t>
      </w:r>
      <w:r w:rsidRPr="006C647B" w:rsidR="00B86F32">
        <w:rPr>
          <w:rFonts w:ascii="Times New Roman" w:hAnsi="Times New Roman" w:cs="Times New Roman"/>
          <w:sz w:val="26"/>
          <w:szCs w:val="26"/>
        </w:rPr>
        <w:t xml:space="preserve"> Semprini’s arbitration agreement did not address the issue of classwide arbitration. </w:t>
      </w:r>
      <w:r w:rsidRPr="006C647B" w:rsidR="005566E5">
        <w:rPr>
          <w:rFonts w:ascii="Times New Roman" w:hAnsi="Times New Roman" w:cs="Times New Roman"/>
          <w:sz w:val="26"/>
          <w:szCs w:val="26"/>
        </w:rPr>
        <w:t xml:space="preserve"> (</w:t>
      </w:r>
      <w:r w:rsidRPr="006C647B" w:rsidR="00F02D02">
        <w:rPr>
          <w:rFonts w:ascii="Times New Roman" w:hAnsi="Times New Roman" w:cs="Times New Roman"/>
          <w:sz w:val="26"/>
          <w:szCs w:val="26"/>
        </w:rPr>
        <w:t>See</w:t>
      </w:r>
      <w:r w:rsidRPr="006C647B">
        <w:rPr>
          <w:rFonts w:ascii="Times New Roman" w:hAnsi="Times New Roman" w:cs="Times New Roman"/>
          <w:sz w:val="26"/>
          <w:szCs w:val="26"/>
        </w:rPr>
        <w:t xml:space="preserve"> </w:t>
      </w:r>
      <w:bookmarkStart w:id="25" w:name="dabmci_bbf91d90c0a041e78104e1cccf3ebbc7"/>
      <w:r w:rsidRPr="006C647B">
        <w:rPr>
          <w:rFonts w:ascii="Times New Roman" w:hAnsi="Times New Roman" w:cs="Times New Roman"/>
          <w:i/>
          <w:iCs/>
          <w:sz w:val="26"/>
          <w:szCs w:val="26"/>
        </w:rPr>
        <w:t>Stolt-Nielsen S.A. v. AnimalFeeds Int</w:t>
      </w:r>
      <w:r w:rsidR="00C3715B">
        <w:rPr>
          <w:rFonts w:ascii="Times New Roman" w:hAnsi="Times New Roman" w:cs="Times New Roman"/>
          <w:i/>
          <w:iCs/>
          <w:sz w:val="26"/>
          <w:szCs w:val="26"/>
        </w:rPr>
        <w:t>’</w:t>
      </w:r>
      <w:r w:rsidRPr="006C647B">
        <w:rPr>
          <w:rFonts w:ascii="Times New Roman" w:hAnsi="Times New Roman" w:cs="Times New Roman"/>
          <w:i/>
          <w:iCs/>
          <w:sz w:val="26"/>
          <w:szCs w:val="26"/>
        </w:rPr>
        <w:t>l Corp.</w:t>
      </w:r>
      <w:r w:rsidRPr="006C647B" w:rsidR="00F02D02">
        <w:rPr>
          <w:rFonts w:ascii="Times New Roman" w:hAnsi="Times New Roman" w:cs="Times New Roman"/>
          <w:i/>
          <w:iCs/>
          <w:sz w:val="26"/>
          <w:szCs w:val="26"/>
        </w:rPr>
        <w:t xml:space="preserve"> </w:t>
      </w:r>
      <w:r w:rsidRPr="006C647B" w:rsidR="00F02D02">
        <w:rPr>
          <w:rFonts w:ascii="Times New Roman" w:hAnsi="Times New Roman" w:cs="Times New Roman"/>
          <w:sz w:val="26"/>
          <w:szCs w:val="26"/>
        </w:rPr>
        <w:t>(</w:t>
      </w:r>
      <w:r w:rsidRPr="006C647B" w:rsidR="00B6767C">
        <w:rPr>
          <w:rFonts w:ascii="Times New Roman" w:hAnsi="Times New Roman" w:cs="Times New Roman"/>
          <w:sz w:val="26"/>
          <w:szCs w:val="26"/>
        </w:rPr>
        <w:t xml:space="preserve">2010) </w:t>
      </w:r>
      <w:r w:rsidRPr="006C647B">
        <w:rPr>
          <w:rFonts w:ascii="Times New Roman" w:hAnsi="Times New Roman" w:cs="Times New Roman"/>
          <w:sz w:val="26"/>
          <w:szCs w:val="26"/>
        </w:rPr>
        <w:t>559 U.S. 662</w:t>
      </w:r>
      <w:r w:rsidR="008016B7">
        <w:rPr>
          <w:rFonts w:ascii="Times New Roman" w:hAnsi="Times New Roman" w:cs="Times New Roman"/>
          <w:sz w:val="26"/>
          <w:szCs w:val="26"/>
        </w:rPr>
        <w:t>, 666, 687</w:t>
      </w:r>
      <w:bookmarkEnd w:id="25"/>
      <w:r w:rsidRPr="006C647B" w:rsidR="00B6767C">
        <w:rPr>
          <w:rFonts w:ascii="Times New Roman" w:hAnsi="Times New Roman" w:cs="Times New Roman"/>
          <w:sz w:val="26"/>
          <w:szCs w:val="26"/>
        </w:rPr>
        <w:t xml:space="preserve"> [</w:t>
      </w:r>
      <w:r w:rsidRPr="006C647B">
        <w:rPr>
          <w:rFonts w:ascii="Times New Roman" w:hAnsi="Times New Roman" w:cs="Times New Roman"/>
          <w:sz w:val="26"/>
          <w:szCs w:val="26"/>
        </w:rPr>
        <w:t>court may not compel classwide arbitration when a</w:t>
      </w:r>
      <w:r w:rsidRPr="006C647B" w:rsidR="005566E5">
        <w:rPr>
          <w:rFonts w:ascii="Times New Roman" w:hAnsi="Times New Roman" w:cs="Times New Roman"/>
          <w:sz w:val="26"/>
          <w:szCs w:val="26"/>
        </w:rPr>
        <w:t>rbitratio</w:t>
      </w:r>
      <w:r w:rsidRPr="006C647B">
        <w:rPr>
          <w:rFonts w:ascii="Times New Roman" w:hAnsi="Times New Roman" w:cs="Times New Roman"/>
          <w:sz w:val="26"/>
          <w:szCs w:val="26"/>
        </w:rPr>
        <w:t xml:space="preserve">n agreement is silent on availability of </w:t>
      </w:r>
      <w:r w:rsidRPr="006C647B" w:rsidR="00B86F32">
        <w:rPr>
          <w:rFonts w:ascii="Times New Roman" w:hAnsi="Times New Roman" w:cs="Times New Roman"/>
          <w:sz w:val="26"/>
          <w:szCs w:val="26"/>
        </w:rPr>
        <w:t>classwide</w:t>
      </w:r>
      <w:r w:rsidRPr="006C647B">
        <w:rPr>
          <w:rFonts w:ascii="Times New Roman" w:hAnsi="Times New Roman" w:cs="Times New Roman"/>
          <w:sz w:val="26"/>
          <w:szCs w:val="26"/>
        </w:rPr>
        <w:t xml:space="preserve"> arbitration</w:t>
      </w:r>
      <w:r w:rsidRPr="006C647B" w:rsidR="00B6767C">
        <w:rPr>
          <w:rFonts w:ascii="Times New Roman" w:hAnsi="Times New Roman" w:cs="Times New Roman"/>
          <w:sz w:val="26"/>
          <w:szCs w:val="26"/>
        </w:rPr>
        <w:t>].)</w:t>
      </w:r>
      <w:r w:rsidRPr="006C647B">
        <w:rPr>
          <w:rFonts w:ascii="Times New Roman" w:hAnsi="Times New Roman" w:cs="Times New Roman"/>
          <w:sz w:val="26"/>
          <w:szCs w:val="2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3371A0"/>
    <w:multiLevelType w:val="hybridMultilevel"/>
    <w:tmpl w:val="856CFB8E"/>
    <w:lvl w:ilvl="0">
      <w:start w:val="0"/>
      <w:numFmt w:val="bullet"/>
      <w:lvlText w:val="-"/>
      <w:lvlJc w:val="left"/>
      <w:pPr>
        <w:ind w:left="720" w:hanging="360"/>
      </w:pPr>
      <w:rPr>
        <w:rFonts w:ascii="Times New Roman" w:hAnsi="Times New Roman" w:eastAsiaTheme="minorHAns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10A63F6"/>
    <w:multiLevelType w:val="hybridMultilevel"/>
    <w:tmpl w:val="8EEEDCA0"/>
    <w:lvl w:ilvl="0">
      <w:start w:val="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F7"/>
    <w:rsid w:val="00000553"/>
    <w:rsid w:val="00000AD1"/>
    <w:rsid w:val="00003687"/>
    <w:rsid w:val="00003DF3"/>
    <w:rsid w:val="00004D69"/>
    <w:rsid w:val="000070DC"/>
    <w:rsid w:val="00011B22"/>
    <w:rsid w:val="00011B80"/>
    <w:rsid w:val="0001327D"/>
    <w:rsid w:val="000162B8"/>
    <w:rsid w:val="0001749F"/>
    <w:rsid w:val="00021644"/>
    <w:rsid w:val="00023AB4"/>
    <w:rsid w:val="00024B07"/>
    <w:rsid w:val="00027F49"/>
    <w:rsid w:val="00037FDB"/>
    <w:rsid w:val="000403A9"/>
    <w:rsid w:val="00041B73"/>
    <w:rsid w:val="00044CC8"/>
    <w:rsid w:val="000451A5"/>
    <w:rsid w:val="0005378A"/>
    <w:rsid w:val="00054B66"/>
    <w:rsid w:val="00060A6E"/>
    <w:rsid w:val="00060C4E"/>
    <w:rsid w:val="00061BEB"/>
    <w:rsid w:val="0006200A"/>
    <w:rsid w:val="00062D15"/>
    <w:rsid w:val="00063625"/>
    <w:rsid w:val="00064000"/>
    <w:rsid w:val="00066BC4"/>
    <w:rsid w:val="000713D6"/>
    <w:rsid w:val="00074795"/>
    <w:rsid w:val="00077D3E"/>
    <w:rsid w:val="00081078"/>
    <w:rsid w:val="00084AD5"/>
    <w:rsid w:val="00084E6D"/>
    <w:rsid w:val="000867FD"/>
    <w:rsid w:val="000923FD"/>
    <w:rsid w:val="000A0FC4"/>
    <w:rsid w:val="000A2D23"/>
    <w:rsid w:val="000A3905"/>
    <w:rsid w:val="000A5D2C"/>
    <w:rsid w:val="000B1982"/>
    <w:rsid w:val="000B5B80"/>
    <w:rsid w:val="000B6F85"/>
    <w:rsid w:val="000C0E63"/>
    <w:rsid w:val="000C2052"/>
    <w:rsid w:val="000C303C"/>
    <w:rsid w:val="000C7A82"/>
    <w:rsid w:val="000D028E"/>
    <w:rsid w:val="000D5E4E"/>
    <w:rsid w:val="000D75EE"/>
    <w:rsid w:val="000E0C28"/>
    <w:rsid w:val="000F06A8"/>
    <w:rsid w:val="000F2409"/>
    <w:rsid w:val="000F2CD4"/>
    <w:rsid w:val="000F3407"/>
    <w:rsid w:val="000F3693"/>
    <w:rsid w:val="000F594B"/>
    <w:rsid w:val="000F6260"/>
    <w:rsid w:val="00105AD7"/>
    <w:rsid w:val="00106647"/>
    <w:rsid w:val="00110900"/>
    <w:rsid w:val="00114368"/>
    <w:rsid w:val="00116A88"/>
    <w:rsid w:val="00120213"/>
    <w:rsid w:val="0012057B"/>
    <w:rsid w:val="00123FE3"/>
    <w:rsid w:val="00125718"/>
    <w:rsid w:val="00125A31"/>
    <w:rsid w:val="0012733E"/>
    <w:rsid w:val="001306B5"/>
    <w:rsid w:val="00130D28"/>
    <w:rsid w:val="00134197"/>
    <w:rsid w:val="00140ADB"/>
    <w:rsid w:val="00140B95"/>
    <w:rsid w:val="00140E4F"/>
    <w:rsid w:val="00143120"/>
    <w:rsid w:val="00143C1C"/>
    <w:rsid w:val="00146C2A"/>
    <w:rsid w:val="0014769E"/>
    <w:rsid w:val="0015008A"/>
    <w:rsid w:val="0015085C"/>
    <w:rsid w:val="00151DF6"/>
    <w:rsid w:val="0016022C"/>
    <w:rsid w:val="00173A4E"/>
    <w:rsid w:val="001754B9"/>
    <w:rsid w:val="001803DC"/>
    <w:rsid w:val="00192B37"/>
    <w:rsid w:val="00193320"/>
    <w:rsid w:val="0019561E"/>
    <w:rsid w:val="001A103E"/>
    <w:rsid w:val="001A261E"/>
    <w:rsid w:val="001A7576"/>
    <w:rsid w:val="001B0E4F"/>
    <w:rsid w:val="001B5D6F"/>
    <w:rsid w:val="001B68FF"/>
    <w:rsid w:val="001C3525"/>
    <w:rsid w:val="001D0416"/>
    <w:rsid w:val="001D3060"/>
    <w:rsid w:val="001D3399"/>
    <w:rsid w:val="001D3D34"/>
    <w:rsid w:val="001D5627"/>
    <w:rsid w:val="001E2366"/>
    <w:rsid w:val="001E59A4"/>
    <w:rsid w:val="001E7732"/>
    <w:rsid w:val="001F03F2"/>
    <w:rsid w:val="001F28B1"/>
    <w:rsid w:val="0020002D"/>
    <w:rsid w:val="00200B91"/>
    <w:rsid w:val="00207E52"/>
    <w:rsid w:val="0021389D"/>
    <w:rsid w:val="00220FFE"/>
    <w:rsid w:val="00221FF7"/>
    <w:rsid w:val="002226B7"/>
    <w:rsid w:val="0022412B"/>
    <w:rsid w:val="002312D1"/>
    <w:rsid w:val="002320C9"/>
    <w:rsid w:val="00232EFE"/>
    <w:rsid w:val="00233854"/>
    <w:rsid w:val="0023757B"/>
    <w:rsid w:val="00243BB4"/>
    <w:rsid w:val="00246F51"/>
    <w:rsid w:val="00250412"/>
    <w:rsid w:val="002509F4"/>
    <w:rsid w:val="00257AAC"/>
    <w:rsid w:val="00264BB1"/>
    <w:rsid w:val="00265960"/>
    <w:rsid w:val="00277A01"/>
    <w:rsid w:val="002817D7"/>
    <w:rsid w:val="0028462B"/>
    <w:rsid w:val="002860D2"/>
    <w:rsid w:val="00287CC5"/>
    <w:rsid w:val="00291C90"/>
    <w:rsid w:val="00296FC7"/>
    <w:rsid w:val="002A1961"/>
    <w:rsid w:val="002A1A2E"/>
    <w:rsid w:val="002A6C11"/>
    <w:rsid w:val="002A6E0D"/>
    <w:rsid w:val="002A6E1A"/>
    <w:rsid w:val="002B6901"/>
    <w:rsid w:val="002C019B"/>
    <w:rsid w:val="002C1098"/>
    <w:rsid w:val="002C1D6F"/>
    <w:rsid w:val="002C30D2"/>
    <w:rsid w:val="002C6C75"/>
    <w:rsid w:val="002D1FC4"/>
    <w:rsid w:val="002D37D7"/>
    <w:rsid w:val="002D6D22"/>
    <w:rsid w:val="002E0C89"/>
    <w:rsid w:val="002E2E25"/>
    <w:rsid w:val="002F7833"/>
    <w:rsid w:val="00304B7F"/>
    <w:rsid w:val="0031049E"/>
    <w:rsid w:val="00310880"/>
    <w:rsid w:val="00315BE5"/>
    <w:rsid w:val="00322C21"/>
    <w:rsid w:val="003236E8"/>
    <w:rsid w:val="00325EAF"/>
    <w:rsid w:val="00330350"/>
    <w:rsid w:val="0033184C"/>
    <w:rsid w:val="00332E9F"/>
    <w:rsid w:val="00333CF4"/>
    <w:rsid w:val="003342B4"/>
    <w:rsid w:val="003413C7"/>
    <w:rsid w:val="00345E14"/>
    <w:rsid w:val="00354A9D"/>
    <w:rsid w:val="00354D7B"/>
    <w:rsid w:val="00354DC7"/>
    <w:rsid w:val="0035586E"/>
    <w:rsid w:val="00361CAD"/>
    <w:rsid w:val="00370B88"/>
    <w:rsid w:val="00376460"/>
    <w:rsid w:val="0039236D"/>
    <w:rsid w:val="00392A30"/>
    <w:rsid w:val="00394849"/>
    <w:rsid w:val="00397809"/>
    <w:rsid w:val="003A0854"/>
    <w:rsid w:val="003A1506"/>
    <w:rsid w:val="003A31C9"/>
    <w:rsid w:val="003A42C6"/>
    <w:rsid w:val="003A43FD"/>
    <w:rsid w:val="003A71D2"/>
    <w:rsid w:val="003B11CC"/>
    <w:rsid w:val="003B25FE"/>
    <w:rsid w:val="003B2F9F"/>
    <w:rsid w:val="003B37F4"/>
    <w:rsid w:val="003B4686"/>
    <w:rsid w:val="003B63D0"/>
    <w:rsid w:val="003B6B9D"/>
    <w:rsid w:val="003B7A66"/>
    <w:rsid w:val="003C5B44"/>
    <w:rsid w:val="003C7858"/>
    <w:rsid w:val="003D35A3"/>
    <w:rsid w:val="003D5855"/>
    <w:rsid w:val="003D5B6F"/>
    <w:rsid w:val="003E6704"/>
    <w:rsid w:val="003E6A17"/>
    <w:rsid w:val="003E7A5D"/>
    <w:rsid w:val="003F0C0C"/>
    <w:rsid w:val="003F6D52"/>
    <w:rsid w:val="004134F5"/>
    <w:rsid w:val="00413E6C"/>
    <w:rsid w:val="004148ED"/>
    <w:rsid w:val="00414EFC"/>
    <w:rsid w:val="00420AFD"/>
    <w:rsid w:val="00420C26"/>
    <w:rsid w:val="00421AD9"/>
    <w:rsid w:val="004227AB"/>
    <w:rsid w:val="0042425A"/>
    <w:rsid w:val="0042708A"/>
    <w:rsid w:val="0043009A"/>
    <w:rsid w:val="0043179B"/>
    <w:rsid w:val="004330A2"/>
    <w:rsid w:val="00437D6F"/>
    <w:rsid w:val="00440BA2"/>
    <w:rsid w:val="00443B74"/>
    <w:rsid w:val="00443F2B"/>
    <w:rsid w:val="00445A4D"/>
    <w:rsid w:val="00450D89"/>
    <w:rsid w:val="00456612"/>
    <w:rsid w:val="00474E75"/>
    <w:rsid w:val="00475FA8"/>
    <w:rsid w:val="00480306"/>
    <w:rsid w:val="00480AA7"/>
    <w:rsid w:val="00482986"/>
    <w:rsid w:val="00483FF8"/>
    <w:rsid w:val="004840B4"/>
    <w:rsid w:val="00484753"/>
    <w:rsid w:val="00494073"/>
    <w:rsid w:val="004951CA"/>
    <w:rsid w:val="00496FAC"/>
    <w:rsid w:val="004A292E"/>
    <w:rsid w:val="004A3748"/>
    <w:rsid w:val="004A425E"/>
    <w:rsid w:val="004A53F4"/>
    <w:rsid w:val="004B18BD"/>
    <w:rsid w:val="004B2520"/>
    <w:rsid w:val="004B26FE"/>
    <w:rsid w:val="004B370D"/>
    <w:rsid w:val="004B3895"/>
    <w:rsid w:val="004B4C0F"/>
    <w:rsid w:val="004C0B93"/>
    <w:rsid w:val="004C1AAF"/>
    <w:rsid w:val="004C51A9"/>
    <w:rsid w:val="004D1814"/>
    <w:rsid w:val="004D5937"/>
    <w:rsid w:val="004D5A7F"/>
    <w:rsid w:val="004E3DF7"/>
    <w:rsid w:val="004E458E"/>
    <w:rsid w:val="004E5820"/>
    <w:rsid w:val="004E5D86"/>
    <w:rsid w:val="004E6363"/>
    <w:rsid w:val="004F1351"/>
    <w:rsid w:val="004F63B0"/>
    <w:rsid w:val="004F705E"/>
    <w:rsid w:val="004F7A3F"/>
    <w:rsid w:val="00500CAA"/>
    <w:rsid w:val="00502205"/>
    <w:rsid w:val="00503E82"/>
    <w:rsid w:val="00506249"/>
    <w:rsid w:val="00506398"/>
    <w:rsid w:val="00507116"/>
    <w:rsid w:val="00510AD9"/>
    <w:rsid w:val="00511D6E"/>
    <w:rsid w:val="00511DA7"/>
    <w:rsid w:val="0052029E"/>
    <w:rsid w:val="00521306"/>
    <w:rsid w:val="005221DE"/>
    <w:rsid w:val="005228C0"/>
    <w:rsid w:val="00524893"/>
    <w:rsid w:val="00524A38"/>
    <w:rsid w:val="00530327"/>
    <w:rsid w:val="00531144"/>
    <w:rsid w:val="00540211"/>
    <w:rsid w:val="005432BF"/>
    <w:rsid w:val="00553C86"/>
    <w:rsid w:val="005566E5"/>
    <w:rsid w:val="00561CAF"/>
    <w:rsid w:val="00561F14"/>
    <w:rsid w:val="00567D3C"/>
    <w:rsid w:val="00580305"/>
    <w:rsid w:val="00580814"/>
    <w:rsid w:val="005848F8"/>
    <w:rsid w:val="005849E5"/>
    <w:rsid w:val="005878D0"/>
    <w:rsid w:val="00594C51"/>
    <w:rsid w:val="00595878"/>
    <w:rsid w:val="00596509"/>
    <w:rsid w:val="00596EF9"/>
    <w:rsid w:val="005A1A81"/>
    <w:rsid w:val="005A1CAF"/>
    <w:rsid w:val="005B3A12"/>
    <w:rsid w:val="005B4554"/>
    <w:rsid w:val="005B6255"/>
    <w:rsid w:val="005C5C5B"/>
    <w:rsid w:val="005C74B4"/>
    <w:rsid w:val="005D26ED"/>
    <w:rsid w:val="005D7CD0"/>
    <w:rsid w:val="005E2A13"/>
    <w:rsid w:val="005E44E7"/>
    <w:rsid w:val="005E56FC"/>
    <w:rsid w:val="005E6D17"/>
    <w:rsid w:val="005F0C59"/>
    <w:rsid w:val="005F3922"/>
    <w:rsid w:val="005F4012"/>
    <w:rsid w:val="005F4C2B"/>
    <w:rsid w:val="005F7455"/>
    <w:rsid w:val="005F77EA"/>
    <w:rsid w:val="00600504"/>
    <w:rsid w:val="006025EB"/>
    <w:rsid w:val="00603F58"/>
    <w:rsid w:val="006072FF"/>
    <w:rsid w:val="00607F1F"/>
    <w:rsid w:val="00610A57"/>
    <w:rsid w:val="00611139"/>
    <w:rsid w:val="00617B58"/>
    <w:rsid w:val="00617C9A"/>
    <w:rsid w:val="006231AC"/>
    <w:rsid w:val="006258A9"/>
    <w:rsid w:val="006263CA"/>
    <w:rsid w:val="006442D5"/>
    <w:rsid w:val="0064508A"/>
    <w:rsid w:val="0064720B"/>
    <w:rsid w:val="00663597"/>
    <w:rsid w:val="0066594D"/>
    <w:rsid w:val="00677203"/>
    <w:rsid w:val="00682AF3"/>
    <w:rsid w:val="00684FC4"/>
    <w:rsid w:val="006909D2"/>
    <w:rsid w:val="00691C23"/>
    <w:rsid w:val="00692A23"/>
    <w:rsid w:val="006963DA"/>
    <w:rsid w:val="0069655A"/>
    <w:rsid w:val="00697A66"/>
    <w:rsid w:val="006A13C5"/>
    <w:rsid w:val="006A1935"/>
    <w:rsid w:val="006A2EFA"/>
    <w:rsid w:val="006A59F3"/>
    <w:rsid w:val="006C3125"/>
    <w:rsid w:val="006C32BF"/>
    <w:rsid w:val="006C5E10"/>
    <w:rsid w:val="006C647B"/>
    <w:rsid w:val="006C6493"/>
    <w:rsid w:val="006C771A"/>
    <w:rsid w:val="006D1C3E"/>
    <w:rsid w:val="006D368F"/>
    <w:rsid w:val="006D47D9"/>
    <w:rsid w:val="006D5F82"/>
    <w:rsid w:val="006D669B"/>
    <w:rsid w:val="006E0E46"/>
    <w:rsid w:val="006E22A0"/>
    <w:rsid w:val="006E55A9"/>
    <w:rsid w:val="006F1DC6"/>
    <w:rsid w:val="006F4895"/>
    <w:rsid w:val="007110A2"/>
    <w:rsid w:val="00713CD2"/>
    <w:rsid w:val="00715A01"/>
    <w:rsid w:val="00721808"/>
    <w:rsid w:val="007230F4"/>
    <w:rsid w:val="007245E1"/>
    <w:rsid w:val="00725456"/>
    <w:rsid w:val="00733918"/>
    <w:rsid w:val="007363C1"/>
    <w:rsid w:val="007365D0"/>
    <w:rsid w:val="007428D2"/>
    <w:rsid w:val="00744129"/>
    <w:rsid w:val="00744819"/>
    <w:rsid w:val="007516DD"/>
    <w:rsid w:val="00752441"/>
    <w:rsid w:val="00756FDE"/>
    <w:rsid w:val="00763A80"/>
    <w:rsid w:val="00764663"/>
    <w:rsid w:val="00766EDF"/>
    <w:rsid w:val="0077732C"/>
    <w:rsid w:val="00780910"/>
    <w:rsid w:val="00781AC6"/>
    <w:rsid w:val="00792883"/>
    <w:rsid w:val="00792E15"/>
    <w:rsid w:val="00793065"/>
    <w:rsid w:val="00794913"/>
    <w:rsid w:val="00797373"/>
    <w:rsid w:val="007A018D"/>
    <w:rsid w:val="007A3F32"/>
    <w:rsid w:val="007B2E0F"/>
    <w:rsid w:val="007B6996"/>
    <w:rsid w:val="007C5DDF"/>
    <w:rsid w:val="007C6591"/>
    <w:rsid w:val="007D1886"/>
    <w:rsid w:val="007D41CF"/>
    <w:rsid w:val="007D4363"/>
    <w:rsid w:val="007D59C1"/>
    <w:rsid w:val="007E2B80"/>
    <w:rsid w:val="007E31F2"/>
    <w:rsid w:val="007F66DA"/>
    <w:rsid w:val="007F7994"/>
    <w:rsid w:val="008016B7"/>
    <w:rsid w:val="00802E28"/>
    <w:rsid w:val="0080394E"/>
    <w:rsid w:val="008052D4"/>
    <w:rsid w:val="00806413"/>
    <w:rsid w:val="0081081A"/>
    <w:rsid w:val="00811190"/>
    <w:rsid w:val="0081496F"/>
    <w:rsid w:val="00815424"/>
    <w:rsid w:val="00815720"/>
    <w:rsid w:val="00815ED6"/>
    <w:rsid w:val="008170F7"/>
    <w:rsid w:val="008220DF"/>
    <w:rsid w:val="00823EA8"/>
    <w:rsid w:val="00830A19"/>
    <w:rsid w:val="0083330B"/>
    <w:rsid w:val="00836ECB"/>
    <w:rsid w:val="008407D6"/>
    <w:rsid w:val="008415C4"/>
    <w:rsid w:val="008535FB"/>
    <w:rsid w:val="00861983"/>
    <w:rsid w:val="00864535"/>
    <w:rsid w:val="008701F6"/>
    <w:rsid w:val="00875152"/>
    <w:rsid w:val="0087651C"/>
    <w:rsid w:val="00876FC8"/>
    <w:rsid w:val="00881076"/>
    <w:rsid w:val="00882C5B"/>
    <w:rsid w:val="008878BE"/>
    <w:rsid w:val="0089470E"/>
    <w:rsid w:val="00895A66"/>
    <w:rsid w:val="00897D85"/>
    <w:rsid w:val="008A37CB"/>
    <w:rsid w:val="008A48F3"/>
    <w:rsid w:val="008A4F08"/>
    <w:rsid w:val="008A6A9C"/>
    <w:rsid w:val="008A7469"/>
    <w:rsid w:val="008B738A"/>
    <w:rsid w:val="008B78A5"/>
    <w:rsid w:val="008C0BFE"/>
    <w:rsid w:val="008C25DB"/>
    <w:rsid w:val="008C2CF6"/>
    <w:rsid w:val="008D1F0A"/>
    <w:rsid w:val="008D3400"/>
    <w:rsid w:val="008E2B95"/>
    <w:rsid w:val="008E36B5"/>
    <w:rsid w:val="008E5B72"/>
    <w:rsid w:val="008F1E1B"/>
    <w:rsid w:val="008F2B41"/>
    <w:rsid w:val="00902731"/>
    <w:rsid w:val="00903F7B"/>
    <w:rsid w:val="0090540C"/>
    <w:rsid w:val="00906C7D"/>
    <w:rsid w:val="00912FA2"/>
    <w:rsid w:val="009136BD"/>
    <w:rsid w:val="009140B0"/>
    <w:rsid w:val="00915309"/>
    <w:rsid w:val="00923E7C"/>
    <w:rsid w:val="00924315"/>
    <w:rsid w:val="00927864"/>
    <w:rsid w:val="009346E8"/>
    <w:rsid w:val="0093500A"/>
    <w:rsid w:val="0094065F"/>
    <w:rsid w:val="00941B7A"/>
    <w:rsid w:val="00943A1B"/>
    <w:rsid w:val="00943AF0"/>
    <w:rsid w:val="009446CE"/>
    <w:rsid w:val="00946292"/>
    <w:rsid w:val="0095446C"/>
    <w:rsid w:val="00956D74"/>
    <w:rsid w:val="009662AE"/>
    <w:rsid w:val="00976F73"/>
    <w:rsid w:val="00982103"/>
    <w:rsid w:val="00982418"/>
    <w:rsid w:val="00990D14"/>
    <w:rsid w:val="009933A3"/>
    <w:rsid w:val="00997565"/>
    <w:rsid w:val="00997D9C"/>
    <w:rsid w:val="009A243D"/>
    <w:rsid w:val="009A2E97"/>
    <w:rsid w:val="009A34DB"/>
    <w:rsid w:val="009A4A26"/>
    <w:rsid w:val="009B24F5"/>
    <w:rsid w:val="009B27C4"/>
    <w:rsid w:val="009B28ED"/>
    <w:rsid w:val="009B4027"/>
    <w:rsid w:val="009B4701"/>
    <w:rsid w:val="009B70BC"/>
    <w:rsid w:val="009B7127"/>
    <w:rsid w:val="009C4110"/>
    <w:rsid w:val="009C4B6B"/>
    <w:rsid w:val="009D283C"/>
    <w:rsid w:val="009D6865"/>
    <w:rsid w:val="009D6F55"/>
    <w:rsid w:val="009D7BDE"/>
    <w:rsid w:val="009E52B1"/>
    <w:rsid w:val="009E5655"/>
    <w:rsid w:val="009E75CD"/>
    <w:rsid w:val="009E778F"/>
    <w:rsid w:val="009F0885"/>
    <w:rsid w:val="00A069FE"/>
    <w:rsid w:val="00A0734B"/>
    <w:rsid w:val="00A1078A"/>
    <w:rsid w:val="00A1224B"/>
    <w:rsid w:val="00A123E1"/>
    <w:rsid w:val="00A341BC"/>
    <w:rsid w:val="00A3505A"/>
    <w:rsid w:val="00A3584C"/>
    <w:rsid w:val="00A3612C"/>
    <w:rsid w:val="00A36D70"/>
    <w:rsid w:val="00A408BF"/>
    <w:rsid w:val="00A42C3B"/>
    <w:rsid w:val="00A47F51"/>
    <w:rsid w:val="00A529DD"/>
    <w:rsid w:val="00A6135D"/>
    <w:rsid w:val="00A6688A"/>
    <w:rsid w:val="00A66E6B"/>
    <w:rsid w:val="00A71E2C"/>
    <w:rsid w:val="00A72A6D"/>
    <w:rsid w:val="00A734F0"/>
    <w:rsid w:val="00A74A59"/>
    <w:rsid w:val="00A8588B"/>
    <w:rsid w:val="00A86C4B"/>
    <w:rsid w:val="00A87D46"/>
    <w:rsid w:val="00A87E34"/>
    <w:rsid w:val="00A96C69"/>
    <w:rsid w:val="00A97DDF"/>
    <w:rsid w:val="00AB00CA"/>
    <w:rsid w:val="00AB14D8"/>
    <w:rsid w:val="00AB4433"/>
    <w:rsid w:val="00AC1669"/>
    <w:rsid w:val="00AC19DE"/>
    <w:rsid w:val="00AC4BE8"/>
    <w:rsid w:val="00AD0398"/>
    <w:rsid w:val="00AD0EE2"/>
    <w:rsid w:val="00AD131C"/>
    <w:rsid w:val="00AD1898"/>
    <w:rsid w:val="00AE0EA0"/>
    <w:rsid w:val="00AE2835"/>
    <w:rsid w:val="00AF1F30"/>
    <w:rsid w:val="00AF439C"/>
    <w:rsid w:val="00AF4AF5"/>
    <w:rsid w:val="00B12807"/>
    <w:rsid w:val="00B2343B"/>
    <w:rsid w:val="00B311A6"/>
    <w:rsid w:val="00B35658"/>
    <w:rsid w:val="00B412B5"/>
    <w:rsid w:val="00B4181C"/>
    <w:rsid w:val="00B426B8"/>
    <w:rsid w:val="00B4374E"/>
    <w:rsid w:val="00B4781E"/>
    <w:rsid w:val="00B5068E"/>
    <w:rsid w:val="00B50759"/>
    <w:rsid w:val="00B52178"/>
    <w:rsid w:val="00B53A1E"/>
    <w:rsid w:val="00B55DAD"/>
    <w:rsid w:val="00B61806"/>
    <w:rsid w:val="00B6225B"/>
    <w:rsid w:val="00B653DD"/>
    <w:rsid w:val="00B66AF5"/>
    <w:rsid w:val="00B6767C"/>
    <w:rsid w:val="00B72A08"/>
    <w:rsid w:val="00B7321E"/>
    <w:rsid w:val="00B7339A"/>
    <w:rsid w:val="00B73E07"/>
    <w:rsid w:val="00B818D3"/>
    <w:rsid w:val="00B86723"/>
    <w:rsid w:val="00B86F32"/>
    <w:rsid w:val="00B8794B"/>
    <w:rsid w:val="00B9000F"/>
    <w:rsid w:val="00B907C7"/>
    <w:rsid w:val="00B91611"/>
    <w:rsid w:val="00B9333B"/>
    <w:rsid w:val="00BA0EBB"/>
    <w:rsid w:val="00BA3B57"/>
    <w:rsid w:val="00BA4121"/>
    <w:rsid w:val="00BA69DF"/>
    <w:rsid w:val="00BA7B1D"/>
    <w:rsid w:val="00BB0976"/>
    <w:rsid w:val="00BB0EF2"/>
    <w:rsid w:val="00BB31E1"/>
    <w:rsid w:val="00BB46B0"/>
    <w:rsid w:val="00BB56F3"/>
    <w:rsid w:val="00BB5A50"/>
    <w:rsid w:val="00BB768A"/>
    <w:rsid w:val="00BC4574"/>
    <w:rsid w:val="00BC6CB6"/>
    <w:rsid w:val="00BD52FD"/>
    <w:rsid w:val="00BE58DC"/>
    <w:rsid w:val="00BE595F"/>
    <w:rsid w:val="00BF2496"/>
    <w:rsid w:val="00BF4A8B"/>
    <w:rsid w:val="00BF5CDB"/>
    <w:rsid w:val="00C02E75"/>
    <w:rsid w:val="00C06987"/>
    <w:rsid w:val="00C15D3D"/>
    <w:rsid w:val="00C2309A"/>
    <w:rsid w:val="00C230C6"/>
    <w:rsid w:val="00C23D60"/>
    <w:rsid w:val="00C252B5"/>
    <w:rsid w:val="00C26E9C"/>
    <w:rsid w:val="00C27441"/>
    <w:rsid w:val="00C277AB"/>
    <w:rsid w:val="00C311A8"/>
    <w:rsid w:val="00C3148B"/>
    <w:rsid w:val="00C3715B"/>
    <w:rsid w:val="00C42D50"/>
    <w:rsid w:val="00C445DD"/>
    <w:rsid w:val="00C5269D"/>
    <w:rsid w:val="00C52984"/>
    <w:rsid w:val="00C56FC3"/>
    <w:rsid w:val="00C677D3"/>
    <w:rsid w:val="00C73021"/>
    <w:rsid w:val="00C7309D"/>
    <w:rsid w:val="00C74554"/>
    <w:rsid w:val="00C75D6C"/>
    <w:rsid w:val="00C81788"/>
    <w:rsid w:val="00C82343"/>
    <w:rsid w:val="00C8573A"/>
    <w:rsid w:val="00C90536"/>
    <w:rsid w:val="00C907BF"/>
    <w:rsid w:val="00C911A7"/>
    <w:rsid w:val="00C913C7"/>
    <w:rsid w:val="00C9271B"/>
    <w:rsid w:val="00C94DCF"/>
    <w:rsid w:val="00C95C3B"/>
    <w:rsid w:val="00C970E1"/>
    <w:rsid w:val="00C97B1B"/>
    <w:rsid w:val="00CA08A9"/>
    <w:rsid w:val="00CA0CC9"/>
    <w:rsid w:val="00CA4174"/>
    <w:rsid w:val="00CA507D"/>
    <w:rsid w:val="00CA55E6"/>
    <w:rsid w:val="00CB189F"/>
    <w:rsid w:val="00CB2AA6"/>
    <w:rsid w:val="00CB3F1B"/>
    <w:rsid w:val="00CB5AB3"/>
    <w:rsid w:val="00CB7C75"/>
    <w:rsid w:val="00CC5C62"/>
    <w:rsid w:val="00CC7273"/>
    <w:rsid w:val="00CD0667"/>
    <w:rsid w:val="00CD29C0"/>
    <w:rsid w:val="00CD2EE8"/>
    <w:rsid w:val="00CD3C08"/>
    <w:rsid w:val="00CD3CEE"/>
    <w:rsid w:val="00CD3D96"/>
    <w:rsid w:val="00CD7F88"/>
    <w:rsid w:val="00CE02F2"/>
    <w:rsid w:val="00CE3534"/>
    <w:rsid w:val="00CE43D4"/>
    <w:rsid w:val="00CE4608"/>
    <w:rsid w:val="00D111B9"/>
    <w:rsid w:val="00D16339"/>
    <w:rsid w:val="00D16C73"/>
    <w:rsid w:val="00D1762D"/>
    <w:rsid w:val="00D2081E"/>
    <w:rsid w:val="00D2187D"/>
    <w:rsid w:val="00D23BE8"/>
    <w:rsid w:val="00D33B97"/>
    <w:rsid w:val="00D3564D"/>
    <w:rsid w:val="00D43038"/>
    <w:rsid w:val="00D476D8"/>
    <w:rsid w:val="00D5060A"/>
    <w:rsid w:val="00D54016"/>
    <w:rsid w:val="00D57432"/>
    <w:rsid w:val="00D57AA9"/>
    <w:rsid w:val="00D61B59"/>
    <w:rsid w:val="00D6321D"/>
    <w:rsid w:val="00D66008"/>
    <w:rsid w:val="00D662F6"/>
    <w:rsid w:val="00D72C3F"/>
    <w:rsid w:val="00D74DC3"/>
    <w:rsid w:val="00D778C7"/>
    <w:rsid w:val="00D803FB"/>
    <w:rsid w:val="00D8135C"/>
    <w:rsid w:val="00D813C5"/>
    <w:rsid w:val="00D87057"/>
    <w:rsid w:val="00D91139"/>
    <w:rsid w:val="00D936CB"/>
    <w:rsid w:val="00D93C2B"/>
    <w:rsid w:val="00D94DAF"/>
    <w:rsid w:val="00D95C4B"/>
    <w:rsid w:val="00DA041A"/>
    <w:rsid w:val="00DA1917"/>
    <w:rsid w:val="00DA24E0"/>
    <w:rsid w:val="00DA2FB9"/>
    <w:rsid w:val="00DA42F7"/>
    <w:rsid w:val="00DA4B38"/>
    <w:rsid w:val="00DA5914"/>
    <w:rsid w:val="00DA7D2A"/>
    <w:rsid w:val="00DB4754"/>
    <w:rsid w:val="00DB479F"/>
    <w:rsid w:val="00DB687A"/>
    <w:rsid w:val="00DC0DA5"/>
    <w:rsid w:val="00DC16C3"/>
    <w:rsid w:val="00DC71E9"/>
    <w:rsid w:val="00DD25DC"/>
    <w:rsid w:val="00DD605B"/>
    <w:rsid w:val="00DE0CFA"/>
    <w:rsid w:val="00DE37F7"/>
    <w:rsid w:val="00DE3DBE"/>
    <w:rsid w:val="00DE4905"/>
    <w:rsid w:val="00DE49CD"/>
    <w:rsid w:val="00DE61EE"/>
    <w:rsid w:val="00DE75F8"/>
    <w:rsid w:val="00DF03EB"/>
    <w:rsid w:val="00DF0E9F"/>
    <w:rsid w:val="00DF78F7"/>
    <w:rsid w:val="00E00E45"/>
    <w:rsid w:val="00E05BC4"/>
    <w:rsid w:val="00E079B6"/>
    <w:rsid w:val="00E10BBF"/>
    <w:rsid w:val="00E12167"/>
    <w:rsid w:val="00E13F3B"/>
    <w:rsid w:val="00E17302"/>
    <w:rsid w:val="00E17DDF"/>
    <w:rsid w:val="00E21162"/>
    <w:rsid w:val="00E23CB6"/>
    <w:rsid w:val="00E32E98"/>
    <w:rsid w:val="00E34BA4"/>
    <w:rsid w:val="00E3770A"/>
    <w:rsid w:val="00E3798A"/>
    <w:rsid w:val="00E417A6"/>
    <w:rsid w:val="00E50A1D"/>
    <w:rsid w:val="00E53328"/>
    <w:rsid w:val="00E579E1"/>
    <w:rsid w:val="00E60CB8"/>
    <w:rsid w:val="00E615F9"/>
    <w:rsid w:val="00E64127"/>
    <w:rsid w:val="00E6477B"/>
    <w:rsid w:val="00E6704F"/>
    <w:rsid w:val="00E702DB"/>
    <w:rsid w:val="00E72003"/>
    <w:rsid w:val="00E72D11"/>
    <w:rsid w:val="00E762E5"/>
    <w:rsid w:val="00E772EC"/>
    <w:rsid w:val="00E82EDF"/>
    <w:rsid w:val="00E83703"/>
    <w:rsid w:val="00E86477"/>
    <w:rsid w:val="00E90912"/>
    <w:rsid w:val="00E90E3F"/>
    <w:rsid w:val="00E933F6"/>
    <w:rsid w:val="00E93C2C"/>
    <w:rsid w:val="00E941A7"/>
    <w:rsid w:val="00E97CA3"/>
    <w:rsid w:val="00EA72C7"/>
    <w:rsid w:val="00EA7DC8"/>
    <w:rsid w:val="00EB1704"/>
    <w:rsid w:val="00EB4139"/>
    <w:rsid w:val="00EB5AF9"/>
    <w:rsid w:val="00EB7A59"/>
    <w:rsid w:val="00EC7918"/>
    <w:rsid w:val="00EC7B2E"/>
    <w:rsid w:val="00ED397A"/>
    <w:rsid w:val="00ED4F30"/>
    <w:rsid w:val="00EE1FA8"/>
    <w:rsid w:val="00EE54B5"/>
    <w:rsid w:val="00EE635C"/>
    <w:rsid w:val="00EF0018"/>
    <w:rsid w:val="00EF048F"/>
    <w:rsid w:val="00EF494F"/>
    <w:rsid w:val="00F02D02"/>
    <w:rsid w:val="00F04B59"/>
    <w:rsid w:val="00F0749E"/>
    <w:rsid w:val="00F13B95"/>
    <w:rsid w:val="00F165BF"/>
    <w:rsid w:val="00F22E8D"/>
    <w:rsid w:val="00F236F4"/>
    <w:rsid w:val="00F25AE0"/>
    <w:rsid w:val="00F26206"/>
    <w:rsid w:val="00F27B26"/>
    <w:rsid w:val="00F3301E"/>
    <w:rsid w:val="00F3424D"/>
    <w:rsid w:val="00F37C4A"/>
    <w:rsid w:val="00F44D3B"/>
    <w:rsid w:val="00F47183"/>
    <w:rsid w:val="00F472A8"/>
    <w:rsid w:val="00F51816"/>
    <w:rsid w:val="00F53C21"/>
    <w:rsid w:val="00F54CC6"/>
    <w:rsid w:val="00F55A26"/>
    <w:rsid w:val="00F56353"/>
    <w:rsid w:val="00F60BDB"/>
    <w:rsid w:val="00F63287"/>
    <w:rsid w:val="00F679EA"/>
    <w:rsid w:val="00F70C31"/>
    <w:rsid w:val="00F71134"/>
    <w:rsid w:val="00F75EA1"/>
    <w:rsid w:val="00F7631A"/>
    <w:rsid w:val="00F81FA6"/>
    <w:rsid w:val="00F90B41"/>
    <w:rsid w:val="00F9276B"/>
    <w:rsid w:val="00F92D7C"/>
    <w:rsid w:val="00F967F3"/>
    <w:rsid w:val="00F973D1"/>
    <w:rsid w:val="00F976E0"/>
    <w:rsid w:val="00FA01F8"/>
    <w:rsid w:val="00FA1C9C"/>
    <w:rsid w:val="00FA2CF5"/>
    <w:rsid w:val="00FA5465"/>
    <w:rsid w:val="00FA5AC6"/>
    <w:rsid w:val="00FA6DBD"/>
    <w:rsid w:val="00FA766C"/>
    <w:rsid w:val="00FA7D79"/>
    <w:rsid w:val="00FB3C02"/>
    <w:rsid w:val="00FB4C7E"/>
    <w:rsid w:val="00FB7401"/>
    <w:rsid w:val="00FB7C41"/>
    <w:rsid w:val="00FB7EF8"/>
    <w:rsid w:val="00FC3C3B"/>
    <w:rsid w:val="00FC52A9"/>
    <w:rsid w:val="00FD0F2C"/>
    <w:rsid w:val="00FD50FB"/>
    <w:rsid w:val="00FE132D"/>
    <w:rsid w:val="00FE2221"/>
    <w:rsid w:val="00FE2C44"/>
    <w:rsid w:val="00FE421D"/>
    <w:rsid w:val="00FE4FA4"/>
    <w:rsid w:val="00FE691C"/>
    <w:rsid w:val="00FF1887"/>
    <w:rsid w:val="00FF3654"/>
    <w:rsid w:val="00FF7246"/>
    <w:rsid w:val="00FF75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9DD"/>
    <w:pPr>
      <w:ind w:left="720"/>
      <w:contextualSpacing/>
    </w:pPr>
  </w:style>
  <w:style w:type="paragraph" w:styleId="FootnoteText">
    <w:name w:val="footnote text"/>
    <w:basedOn w:val="Normal"/>
    <w:link w:val="FootnoteTextChar"/>
    <w:uiPriority w:val="99"/>
    <w:unhideWhenUsed/>
    <w:rsid w:val="00BA7B1D"/>
    <w:pPr>
      <w:spacing w:after="0" w:line="240" w:lineRule="auto"/>
    </w:pPr>
    <w:rPr>
      <w:sz w:val="20"/>
      <w:szCs w:val="20"/>
    </w:rPr>
  </w:style>
  <w:style w:type="character" w:customStyle="1" w:styleId="FootnoteTextChar">
    <w:name w:val="Footnote Text Char"/>
    <w:basedOn w:val="DefaultParagraphFont"/>
    <w:link w:val="FootnoteText"/>
    <w:uiPriority w:val="99"/>
    <w:rsid w:val="00BA7B1D"/>
    <w:rPr>
      <w:sz w:val="20"/>
      <w:szCs w:val="20"/>
    </w:rPr>
  </w:style>
  <w:style w:type="character" w:styleId="FootnoteReference">
    <w:name w:val="footnote reference"/>
    <w:basedOn w:val="DefaultParagraphFont"/>
    <w:uiPriority w:val="99"/>
    <w:unhideWhenUsed/>
    <w:rsid w:val="00BA7B1D"/>
    <w:rPr>
      <w:vertAlign w:val="superscript"/>
    </w:rPr>
  </w:style>
  <w:style w:type="character" w:styleId="Emphasis">
    <w:name w:val="Emphasis"/>
    <w:basedOn w:val="DefaultParagraphFont"/>
    <w:uiPriority w:val="20"/>
    <w:qFormat/>
    <w:rsid w:val="00943AF0"/>
    <w:rPr>
      <w:i/>
      <w:iCs/>
    </w:rPr>
  </w:style>
  <w:style w:type="character" w:customStyle="1" w:styleId="costarpage">
    <w:name w:val="co_starpage"/>
    <w:basedOn w:val="DefaultParagraphFont"/>
    <w:rsid w:val="00943AF0"/>
  </w:style>
  <w:style w:type="character" w:customStyle="1" w:styleId="cosearchterm">
    <w:name w:val="co_searchterm"/>
    <w:basedOn w:val="DefaultParagraphFont"/>
    <w:rsid w:val="00506249"/>
  </w:style>
  <w:style w:type="character" w:customStyle="1" w:styleId="cohighlightpoints">
    <w:name w:val="co_highlightpoints"/>
    <w:basedOn w:val="DefaultParagraphFont"/>
    <w:rsid w:val="00506249"/>
  </w:style>
  <w:style w:type="character" w:styleId="Hyperlink">
    <w:name w:val="Hyperlink"/>
    <w:basedOn w:val="DefaultParagraphFont"/>
    <w:uiPriority w:val="99"/>
    <w:semiHidden/>
    <w:unhideWhenUsed/>
    <w:rsid w:val="00A71E2C"/>
    <w:rPr>
      <w:color w:val="0000FF"/>
      <w:u w:val="single"/>
    </w:rPr>
  </w:style>
  <w:style w:type="character" w:customStyle="1" w:styleId="cohl">
    <w:name w:val="co_hl"/>
    <w:basedOn w:val="DefaultParagraphFont"/>
    <w:rsid w:val="00A71E2C"/>
  </w:style>
  <w:style w:type="character" w:customStyle="1" w:styleId="coconcept123">
    <w:name w:val="co_concept_1_23"/>
    <w:basedOn w:val="DefaultParagraphFont"/>
    <w:rsid w:val="00024B07"/>
  </w:style>
  <w:style w:type="character" w:customStyle="1" w:styleId="coconcept5067">
    <w:name w:val="co_concept_50_67"/>
    <w:basedOn w:val="DefaultParagraphFont"/>
    <w:rsid w:val="00024B07"/>
  </w:style>
  <w:style w:type="character" w:customStyle="1" w:styleId="coconcept2943">
    <w:name w:val="co_concept_29_43"/>
    <w:basedOn w:val="DefaultParagraphFont"/>
    <w:rsid w:val="00024B07"/>
  </w:style>
  <w:style w:type="character" w:customStyle="1" w:styleId="coinlinekeyciteflag">
    <w:name w:val="co_inlinekeyciteflag"/>
    <w:basedOn w:val="DefaultParagraphFont"/>
    <w:rsid w:val="00420C26"/>
  </w:style>
  <w:style w:type="paragraph" w:styleId="Header">
    <w:name w:val="header"/>
    <w:basedOn w:val="Normal"/>
    <w:link w:val="HeaderChar"/>
    <w:uiPriority w:val="99"/>
    <w:unhideWhenUsed/>
    <w:rsid w:val="00011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B22"/>
  </w:style>
  <w:style w:type="paragraph" w:styleId="Footer">
    <w:name w:val="footer"/>
    <w:basedOn w:val="Normal"/>
    <w:link w:val="FooterChar"/>
    <w:uiPriority w:val="99"/>
    <w:unhideWhenUsed/>
    <w:rsid w:val="00011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B22"/>
  </w:style>
  <w:style w:type="paragraph" w:styleId="Revision">
    <w:name w:val="Revision"/>
    <w:hidden/>
    <w:uiPriority w:val="99"/>
    <w:semiHidden/>
    <w:rsid w:val="00207E52"/>
    <w:pPr>
      <w:spacing w:after="0" w:line="240" w:lineRule="auto"/>
    </w:pPr>
  </w:style>
  <w:style w:type="character" w:styleId="CommentReference">
    <w:name w:val="annotation reference"/>
    <w:basedOn w:val="DefaultParagraphFont"/>
    <w:uiPriority w:val="99"/>
    <w:semiHidden/>
    <w:unhideWhenUsed/>
    <w:rsid w:val="00110900"/>
    <w:rPr>
      <w:sz w:val="16"/>
      <w:szCs w:val="16"/>
    </w:rPr>
  </w:style>
  <w:style w:type="paragraph" w:styleId="CommentText">
    <w:name w:val="annotation text"/>
    <w:basedOn w:val="Normal"/>
    <w:link w:val="CommentTextChar"/>
    <w:uiPriority w:val="99"/>
    <w:unhideWhenUsed/>
    <w:rsid w:val="00110900"/>
    <w:pPr>
      <w:spacing w:line="240" w:lineRule="auto"/>
    </w:pPr>
    <w:rPr>
      <w:sz w:val="20"/>
      <w:szCs w:val="20"/>
    </w:rPr>
  </w:style>
  <w:style w:type="character" w:customStyle="1" w:styleId="CommentTextChar">
    <w:name w:val="Comment Text Char"/>
    <w:basedOn w:val="DefaultParagraphFont"/>
    <w:link w:val="CommentText"/>
    <w:uiPriority w:val="99"/>
    <w:rsid w:val="00110900"/>
    <w:rPr>
      <w:sz w:val="20"/>
      <w:szCs w:val="20"/>
    </w:rPr>
  </w:style>
  <w:style w:type="paragraph" w:styleId="CommentSubject">
    <w:name w:val="annotation subject"/>
    <w:basedOn w:val="CommentText"/>
    <w:next w:val="CommentText"/>
    <w:link w:val="CommentSubjectChar"/>
    <w:uiPriority w:val="99"/>
    <w:semiHidden/>
    <w:unhideWhenUsed/>
    <w:rsid w:val="00110900"/>
    <w:rPr>
      <w:b/>
      <w:bCs/>
    </w:rPr>
  </w:style>
  <w:style w:type="character" w:customStyle="1" w:styleId="CommentSubjectChar">
    <w:name w:val="Comment Subject Char"/>
    <w:basedOn w:val="CommentTextChar"/>
    <w:link w:val="CommentSubject"/>
    <w:uiPriority w:val="99"/>
    <w:semiHidden/>
    <w:rsid w:val="001109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1.next.westlaw.com/Link/Document/FullText?findType=Y&amp;serNum=2003929522&amp;pubNum=0004040&amp;originatingDoc=Iaa902640532111e8abc79f7928cdeab9&amp;refType=RP&amp;fi=co_pp_sp_4040_1195&amp;originationContext=document&amp;transitionType=DocumentItem&amp;ppcid=4f7f6992a3e44e56b7c18b33e57c2ab2&amp;contextData=(sc.Search)" TargetMode="External" /><Relationship Id="rId7" Type="http://schemas.openxmlformats.org/officeDocument/2006/relationships/hyperlink" Target="https://1.next.westlaw.com/Link/Document/FullText?findType=Y&amp;serNum=2024720265&amp;pubNum=0004041&amp;originatingDoc=I1541dc401b7711eeadcbcfe0feb6c1ed&amp;refType=RP&amp;fi=co_pp_sp_4041_338&amp;originationContext=document&amp;transitionType=DocumentItem&amp;ppcid=03a62c32c6ec4fc9a88e4bdb6ee51701&amp;contextData=(sc.Search)" TargetMode="External" /><Relationship Id="rId8" Type="http://schemas.openxmlformats.org/officeDocument/2006/relationships/hyperlink" Target="https://1.next.westlaw.com/Link/Document/FullText?findType=Y&amp;serNum=2022149620&amp;pubNum=0004041&amp;originatingDoc=I1541dc401b7711eeadcbcfe0feb6c1ed&amp;refType=RP&amp;fi=co_pp_sp_4041_1451&amp;originationContext=document&amp;transitionType=DocumentItem&amp;ppcid=03a62c32c6ec4fc9a88e4bdb6ee51701&amp;contextData=(sc.Search)" TargetMode="External" /><Relationship Id="rId9" Type="http://schemas.openxmlformats.org/officeDocument/2006/relationships/hyperlink" Target="https://1.next.westlaw.com/Link/Document/FullText?findType=Y&amp;serNum=2000086728&amp;pubNum=0004041&amp;originatingDoc=I1541dc401b7711eeadcbcfe0feb6c1ed&amp;refType=RP&amp;fi=co_pp_sp_4041_555&amp;originationContext=document&amp;transitionType=DocumentItem&amp;ppcid=03a62c32c6ec4fc9a88e4bdb6ee51701&amp;contextData=(sc.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28F1D-2E2B-4736-BA43-F2B00990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4396</Words>
  <Characters>25061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2024-04-18T20:48:43Z</dcterms:created>
  <dcterms:modified xsi:type="dcterms:W3CDTF">2024-04-18T20:48:43Z</dcterms:modified>
</cp:coreProperties>
</file>