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6197B" w14:textId="65320F56" w:rsidR="00E36E35" w:rsidRPr="00C67700" w:rsidRDefault="00E25649" w:rsidP="00D30523">
      <w:pPr>
        <w:spacing w:line="240" w:lineRule="auto"/>
        <w:rPr>
          <w:sz w:val="20"/>
          <w:szCs w:val="20"/>
        </w:rPr>
      </w:pPr>
      <w:r w:rsidRPr="00C67700">
        <w:rPr>
          <w:sz w:val="20"/>
          <w:szCs w:val="20"/>
        </w:rPr>
        <w:t>F</w:t>
      </w:r>
      <w:r w:rsidR="000A1069">
        <w:rPr>
          <w:sz w:val="20"/>
          <w:szCs w:val="20"/>
        </w:rPr>
        <w:t>iled</w:t>
      </w:r>
      <w:r w:rsidRPr="00C67700">
        <w:rPr>
          <w:sz w:val="20"/>
          <w:szCs w:val="20"/>
        </w:rPr>
        <w:t xml:space="preserve"> 1/2</w:t>
      </w:r>
      <w:r w:rsidR="00F74878">
        <w:rPr>
          <w:sz w:val="20"/>
          <w:szCs w:val="20"/>
        </w:rPr>
        <w:t>6</w:t>
      </w:r>
      <w:r w:rsidRPr="00C67700">
        <w:rPr>
          <w:sz w:val="20"/>
          <w:szCs w:val="20"/>
        </w:rPr>
        <w:t>/24</w:t>
      </w:r>
      <w:r w:rsidR="00AB300C">
        <w:rPr>
          <w:sz w:val="20"/>
          <w:szCs w:val="20"/>
        </w:rPr>
        <w:t>; Certified for Publication 2/21/24 (order attached)</w:t>
      </w:r>
    </w:p>
    <w:p w14:paraId="01E4FF23" w14:textId="491C8CCC" w:rsidR="00D30523" w:rsidRDefault="00D30523" w:rsidP="00D30523">
      <w:pPr>
        <w:spacing w:line="240" w:lineRule="auto"/>
        <w:rPr>
          <w:b/>
        </w:rPr>
      </w:pPr>
    </w:p>
    <w:p w14:paraId="631A01CB" w14:textId="77777777" w:rsidR="00AB300C" w:rsidRDefault="00AB300C" w:rsidP="00D30523">
      <w:pPr>
        <w:spacing w:line="240" w:lineRule="auto"/>
        <w:rPr>
          <w:b/>
        </w:rPr>
      </w:pPr>
    </w:p>
    <w:p w14:paraId="2C0F6ED0" w14:textId="77777777" w:rsidR="00AB300C" w:rsidRDefault="00AB300C" w:rsidP="00D30523">
      <w:pPr>
        <w:spacing w:line="240" w:lineRule="auto"/>
        <w:rPr>
          <w:b/>
        </w:rPr>
      </w:pPr>
    </w:p>
    <w:p w14:paraId="11426F0F" w14:textId="77777777" w:rsidR="00AB300C" w:rsidRDefault="00AB300C" w:rsidP="00D30523">
      <w:pPr>
        <w:spacing w:line="240" w:lineRule="auto"/>
        <w:rPr>
          <w:b/>
        </w:rPr>
      </w:pPr>
    </w:p>
    <w:p w14:paraId="12641E3D" w14:textId="77777777" w:rsidR="00AB300C" w:rsidRDefault="00AB300C" w:rsidP="00D30523">
      <w:pPr>
        <w:spacing w:line="240" w:lineRule="auto"/>
        <w:rPr>
          <w:b/>
        </w:rPr>
      </w:pPr>
    </w:p>
    <w:p w14:paraId="6C2A6E9C" w14:textId="77777777" w:rsidR="00AB300C" w:rsidRDefault="00AB300C" w:rsidP="00D30523">
      <w:pPr>
        <w:spacing w:line="240" w:lineRule="auto"/>
      </w:pPr>
    </w:p>
    <w:p w14:paraId="675258F5" w14:textId="6DBCCF24" w:rsidR="00D30523" w:rsidRDefault="00E25649" w:rsidP="00D30523">
      <w:pPr>
        <w:spacing w:line="240" w:lineRule="auto"/>
        <w:jc w:val="center"/>
      </w:pPr>
      <w:r>
        <w:t>IN THE COURT OF APPEAL OF THE STATE OF CALIFORNIA</w:t>
      </w:r>
    </w:p>
    <w:p w14:paraId="7F6395CE" w14:textId="2A76F83F" w:rsidR="00D30523" w:rsidRDefault="00D30523" w:rsidP="00D30523">
      <w:pPr>
        <w:spacing w:line="240" w:lineRule="auto"/>
        <w:jc w:val="center"/>
      </w:pPr>
    </w:p>
    <w:p w14:paraId="311E5ED5" w14:textId="3A0BE099" w:rsidR="00D30523" w:rsidRDefault="00E25649" w:rsidP="00D30523">
      <w:pPr>
        <w:spacing w:line="240" w:lineRule="auto"/>
        <w:jc w:val="center"/>
      </w:pPr>
      <w:r>
        <w:t>SIXTH APPELLATE DISTRICT</w:t>
      </w:r>
    </w:p>
    <w:p w14:paraId="74B42EC3" w14:textId="3F72DF3C" w:rsidR="00D30523" w:rsidRDefault="00D30523" w:rsidP="00D30523">
      <w:pPr>
        <w:spacing w:line="240" w:lineRule="auto"/>
        <w:jc w:val="center"/>
      </w:pPr>
    </w:p>
    <w:p w14:paraId="34EAC5F5" w14:textId="2DB91495" w:rsidR="00D30523" w:rsidRDefault="00D30523" w:rsidP="00D30523">
      <w:pPr>
        <w:spacing w:line="240" w:lineRule="auto"/>
        <w:jc w:val="center"/>
      </w:pPr>
    </w:p>
    <w:tbl>
      <w:tblPr>
        <w:tblW w:w="0" w:type="auto"/>
        <w:tblLayout w:type="fixed"/>
        <w:tblLook w:val="0000" w:firstRow="0" w:lastRow="0" w:firstColumn="0" w:lastColumn="0" w:noHBand="0" w:noVBand="0"/>
      </w:tblPr>
      <w:tblGrid>
        <w:gridCol w:w="4680"/>
        <w:gridCol w:w="4680"/>
      </w:tblGrid>
      <w:tr w:rsidR="006B0FFE" w14:paraId="2A45FB01" w14:textId="77777777" w:rsidTr="00D30523">
        <w:tc>
          <w:tcPr>
            <w:tcW w:w="4680" w:type="dxa"/>
            <w:tcBorders>
              <w:bottom w:val="single" w:sz="4" w:space="0" w:color="auto"/>
              <w:right w:val="single" w:sz="4" w:space="0" w:color="auto"/>
            </w:tcBorders>
            <w:shd w:val="clear" w:color="auto" w:fill="auto"/>
          </w:tcPr>
          <w:p w14:paraId="10EBBB00" w14:textId="77777777" w:rsidR="00D30523" w:rsidRDefault="00E25649" w:rsidP="00D30523">
            <w:pPr>
              <w:spacing w:line="240" w:lineRule="auto"/>
            </w:pPr>
            <w:r>
              <w:t>THE PEOPLE,</w:t>
            </w:r>
          </w:p>
          <w:p w14:paraId="29A3A649" w14:textId="77777777" w:rsidR="00D30523" w:rsidRDefault="00D30523" w:rsidP="00D30523">
            <w:pPr>
              <w:spacing w:line="240" w:lineRule="auto"/>
            </w:pPr>
          </w:p>
          <w:p w14:paraId="0E52376B" w14:textId="77777777" w:rsidR="00D30523" w:rsidRDefault="00E25649" w:rsidP="00D30523">
            <w:pPr>
              <w:spacing w:line="240" w:lineRule="auto"/>
              <w:ind w:left="720"/>
            </w:pPr>
            <w:r>
              <w:t>Plaintiff and Respondent,</w:t>
            </w:r>
          </w:p>
          <w:p w14:paraId="30E89689" w14:textId="77777777" w:rsidR="00D30523" w:rsidRDefault="00D30523" w:rsidP="00D30523">
            <w:pPr>
              <w:spacing w:line="240" w:lineRule="auto"/>
              <w:ind w:left="720"/>
            </w:pPr>
          </w:p>
          <w:p w14:paraId="01463CF1" w14:textId="77777777" w:rsidR="00D30523" w:rsidRDefault="00E25649" w:rsidP="00D30523">
            <w:pPr>
              <w:spacing w:line="240" w:lineRule="auto"/>
              <w:ind w:left="720"/>
            </w:pPr>
            <w:r>
              <w:t>v.</w:t>
            </w:r>
          </w:p>
          <w:p w14:paraId="57E7F6BC" w14:textId="77777777" w:rsidR="00D30523" w:rsidRDefault="00D30523" w:rsidP="00D30523">
            <w:pPr>
              <w:spacing w:line="240" w:lineRule="auto"/>
            </w:pPr>
          </w:p>
          <w:p w14:paraId="08B51173" w14:textId="77777777" w:rsidR="00D30523" w:rsidRDefault="00E25649" w:rsidP="00D30523">
            <w:pPr>
              <w:spacing w:line="240" w:lineRule="auto"/>
            </w:pPr>
            <w:r>
              <w:t>RONALD GORDON FERENZ,</w:t>
            </w:r>
          </w:p>
          <w:p w14:paraId="18EB5E01" w14:textId="77777777" w:rsidR="00D30523" w:rsidRDefault="00D30523" w:rsidP="00D30523">
            <w:pPr>
              <w:spacing w:line="240" w:lineRule="auto"/>
            </w:pPr>
          </w:p>
          <w:p w14:paraId="7A92DC03" w14:textId="77777777" w:rsidR="00D30523" w:rsidRDefault="00E25649" w:rsidP="00D30523">
            <w:pPr>
              <w:spacing w:line="240" w:lineRule="auto"/>
              <w:ind w:left="720"/>
            </w:pPr>
            <w:r>
              <w:t>Defendant and Appellant.</w:t>
            </w:r>
          </w:p>
          <w:p w14:paraId="42E1EFBB" w14:textId="4FA7FC9C" w:rsidR="00D30523" w:rsidRDefault="00D30523" w:rsidP="00D30523">
            <w:pPr>
              <w:spacing w:line="240" w:lineRule="auto"/>
            </w:pPr>
          </w:p>
        </w:tc>
        <w:tc>
          <w:tcPr>
            <w:tcW w:w="4680" w:type="dxa"/>
            <w:tcBorders>
              <w:left w:val="single" w:sz="4" w:space="0" w:color="auto"/>
            </w:tcBorders>
            <w:shd w:val="clear" w:color="auto" w:fill="auto"/>
          </w:tcPr>
          <w:p w14:paraId="5AAB3E4C" w14:textId="77777777" w:rsidR="00D30523" w:rsidRDefault="00E25649" w:rsidP="00D30523">
            <w:pPr>
              <w:spacing w:line="240" w:lineRule="auto"/>
            </w:pPr>
            <w:r>
              <w:t xml:space="preserve">      H049430</w:t>
            </w:r>
          </w:p>
          <w:p w14:paraId="71B26F03" w14:textId="77777777" w:rsidR="00D30523" w:rsidRDefault="00E25649" w:rsidP="00D30523">
            <w:pPr>
              <w:spacing w:line="240" w:lineRule="auto"/>
            </w:pPr>
            <w:r>
              <w:t xml:space="preserve">     (Santa Clara County</w:t>
            </w:r>
          </w:p>
          <w:p w14:paraId="70B6A788" w14:textId="6559BA4D" w:rsidR="00D30523" w:rsidRDefault="00E25649" w:rsidP="00D30523">
            <w:pPr>
              <w:spacing w:line="240" w:lineRule="auto"/>
            </w:pPr>
            <w:r>
              <w:t xml:space="preserve">      Super. Ct. No. F1557971)</w:t>
            </w:r>
          </w:p>
        </w:tc>
      </w:tr>
    </w:tbl>
    <w:p w14:paraId="2DAC4E20" w14:textId="38FCC99A" w:rsidR="00D30523" w:rsidRDefault="00E25649" w:rsidP="00D30523">
      <w:r>
        <w:tab/>
      </w:r>
      <w:r w:rsidR="00FB7D4C">
        <w:t xml:space="preserve">Ronald Gordon Ferenz pleaded no contest </w:t>
      </w:r>
      <w:r w:rsidR="00927908">
        <w:t>to rape of an unconscious person</w:t>
      </w:r>
      <w:r w:rsidR="00C212F4">
        <w:t xml:space="preserve">, </w:t>
      </w:r>
      <w:r w:rsidR="00F62519">
        <w:t>forcible rape</w:t>
      </w:r>
      <w:r w:rsidR="0025037F">
        <w:t xml:space="preserve">, </w:t>
      </w:r>
      <w:r w:rsidR="006720ED">
        <w:t>and dissuading a witness</w:t>
      </w:r>
      <w:r w:rsidR="008A5C77">
        <w:t>.</w:t>
      </w:r>
      <w:r w:rsidR="004C358C">
        <w:t xml:space="preserve"> </w:t>
      </w:r>
      <w:r w:rsidR="008A5C77">
        <w:t xml:space="preserve"> The trial court sentenced Ferenz to </w:t>
      </w:r>
      <w:r w:rsidR="00D67E87">
        <w:t>a negotiated</w:t>
      </w:r>
      <w:r w:rsidR="00BE2748">
        <w:t xml:space="preserve"> term of 12 years in state prison</w:t>
      </w:r>
      <w:r w:rsidR="005B123F">
        <w:t>, and imposed</w:t>
      </w:r>
      <w:r w:rsidR="002750AD">
        <w:t xml:space="preserve"> a criminal justice administration fee of $129.75</w:t>
      </w:r>
      <w:r w:rsidR="00BE2748">
        <w:t>.</w:t>
      </w:r>
    </w:p>
    <w:p w14:paraId="2D9CFD5F" w14:textId="420CF828" w:rsidR="00A208CA" w:rsidRDefault="00E25649" w:rsidP="00D30523">
      <w:r>
        <w:tab/>
        <w:t xml:space="preserve">On appeal, </w:t>
      </w:r>
      <w:r w:rsidR="0041387E">
        <w:t xml:space="preserve">Ferenz argues:  (1) </w:t>
      </w:r>
      <w:r w:rsidR="00606C07">
        <w:t xml:space="preserve">the trial court </w:t>
      </w:r>
      <w:r w:rsidR="0041387E">
        <w:t xml:space="preserve">abused its discretion by denying his post-plea </w:t>
      </w:r>
      <w:r w:rsidR="0041387E">
        <w:rPr>
          <w:i/>
          <w:iCs/>
        </w:rPr>
        <w:t>Marsden</w:t>
      </w:r>
      <w:r>
        <w:rPr>
          <w:rStyle w:val="FootnoteReference"/>
        </w:rPr>
        <w:footnoteReference w:id="1"/>
      </w:r>
      <w:r w:rsidR="0041387E" w:rsidRPr="00BA1F50">
        <w:t xml:space="preserve"> </w:t>
      </w:r>
      <w:r w:rsidR="0041387E">
        <w:t>motion</w:t>
      </w:r>
      <w:r w:rsidR="00C556E3">
        <w:t xml:space="preserve">; (2) </w:t>
      </w:r>
      <w:r w:rsidR="00606C07">
        <w:t xml:space="preserve">the court </w:t>
      </w:r>
      <w:r w:rsidR="00C556E3">
        <w:t xml:space="preserve">erred by </w:t>
      </w:r>
      <w:r w:rsidR="005E5C94">
        <w:t xml:space="preserve">not striking </w:t>
      </w:r>
      <w:r w:rsidR="00387920">
        <w:t>certain</w:t>
      </w:r>
      <w:r w:rsidR="00BA1F50">
        <w:t xml:space="preserve"> exhibits attached to</w:t>
      </w:r>
      <w:r w:rsidR="005E5C94">
        <w:t xml:space="preserve"> the prosecut</w:t>
      </w:r>
      <w:r w:rsidR="00BA1F50">
        <w:t>or</w:t>
      </w:r>
      <w:r w:rsidR="005E5C94">
        <w:t xml:space="preserve">’s </w:t>
      </w:r>
      <w:r w:rsidR="006837D3">
        <w:t xml:space="preserve">Penal Code </w:t>
      </w:r>
      <w:r w:rsidR="00BA1F50">
        <w:t xml:space="preserve">section 1203.01 </w:t>
      </w:r>
      <w:r w:rsidR="00606C07">
        <w:t xml:space="preserve">statement of view; and (3) </w:t>
      </w:r>
      <w:r w:rsidR="00391850">
        <w:t>the criminal justice administration fee is unauthorized and must be stricken.</w:t>
      </w:r>
      <w:r>
        <w:rPr>
          <w:rStyle w:val="FootnoteReference"/>
        </w:rPr>
        <w:footnoteReference w:id="2"/>
      </w:r>
      <w:r w:rsidR="003323AB">
        <w:t xml:space="preserve"> </w:t>
      </w:r>
      <w:r w:rsidR="00AE074F">
        <w:t xml:space="preserve"> The Attorney General concedes</w:t>
      </w:r>
      <w:r w:rsidR="008C60B2">
        <w:t xml:space="preserve"> that the fee must be stricken, </w:t>
      </w:r>
      <w:r w:rsidR="00330132">
        <w:t xml:space="preserve">but maintains that </w:t>
      </w:r>
      <w:r w:rsidR="00EE3292">
        <w:t xml:space="preserve">the </w:t>
      </w:r>
      <w:r w:rsidR="00EE3292">
        <w:rPr>
          <w:i/>
          <w:iCs/>
        </w:rPr>
        <w:t>Marsden</w:t>
      </w:r>
      <w:r w:rsidR="00EE3292">
        <w:t xml:space="preserve"> motion was correctly denied </w:t>
      </w:r>
      <w:r w:rsidR="00B314E7">
        <w:t>and that the prosecut</w:t>
      </w:r>
      <w:r w:rsidR="00BA1F50">
        <w:t>or</w:t>
      </w:r>
      <w:r w:rsidR="00B314E7">
        <w:t xml:space="preserve">’s statement of view was properly accepted. </w:t>
      </w:r>
    </w:p>
    <w:p w14:paraId="18598746" w14:textId="7F5AECCB" w:rsidR="00F026CB" w:rsidRDefault="00E25649" w:rsidP="00D30523">
      <w:r>
        <w:lastRenderedPageBreak/>
        <w:tab/>
        <w:t xml:space="preserve">We conclude that </w:t>
      </w:r>
      <w:r w:rsidR="00836133">
        <w:t xml:space="preserve">the trial court did not err in denying the </w:t>
      </w:r>
      <w:r w:rsidR="00836133" w:rsidRPr="00BA1F50">
        <w:rPr>
          <w:i/>
          <w:iCs/>
        </w:rPr>
        <w:t>Marsden</w:t>
      </w:r>
      <w:r w:rsidR="00836133">
        <w:t xml:space="preserve"> motion, </w:t>
      </w:r>
      <w:r w:rsidR="006837D3">
        <w:t>or</w:t>
      </w:r>
      <w:r w:rsidR="00836133">
        <w:t xml:space="preserve"> by declining to strike portions of the prosecut</w:t>
      </w:r>
      <w:r w:rsidR="00BA1F50">
        <w:t>or</w:t>
      </w:r>
      <w:r w:rsidR="00836133">
        <w:t xml:space="preserve">’s statement of view.  </w:t>
      </w:r>
      <w:r w:rsidR="0048646A">
        <w:t xml:space="preserve">We agree that the criminal justice administration fee </w:t>
      </w:r>
      <w:r w:rsidR="00BA1F50">
        <w:t>must</w:t>
      </w:r>
      <w:r w:rsidR="0048646A">
        <w:t xml:space="preserve"> be stricken.  </w:t>
      </w:r>
      <w:r w:rsidR="006837D3">
        <w:t>W</w:t>
      </w:r>
      <w:r w:rsidR="0048646A">
        <w:t xml:space="preserve">e </w:t>
      </w:r>
      <w:r w:rsidR="00706368">
        <w:t>will</w:t>
      </w:r>
      <w:r w:rsidR="0048646A">
        <w:t xml:space="preserve"> </w:t>
      </w:r>
      <w:r>
        <w:t xml:space="preserve">strike the fee and affirm the judgment as modified. </w:t>
      </w:r>
    </w:p>
    <w:p w14:paraId="0A2CA481" w14:textId="299FAFCB" w:rsidR="004A4237" w:rsidRDefault="00E25649" w:rsidP="00F026CB">
      <w:pPr>
        <w:jc w:val="center"/>
        <w:rPr>
          <w:b/>
          <w:bCs/>
        </w:rPr>
      </w:pPr>
      <w:r w:rsidRPr="00F026CB">
        <w:rPr>
          <w:b/>
          <w:bCs/>
        </w:rPr>
        <w:t xml:space="preserve">I.  </w:t>
      </w:r>
      <w:r w:rsidRPr="00CA0BB4">
        <w:rPr>
          <w:b/>
          <w:bCs/>
          <w:smallCaps/>
        </w:rPr>
        <w:t>Background</w:t>
      </w:r>
    </w:p>
    <w:p w14:paraId="260B31EF" w14:textId="10AC73C0" w:rsidR="00AF43C6" w:rsidRPr="00E46B42" w:rsidRDefault="00E25649" w:rsidP="00F026CB">
      <w:pPr>
        <w:rPr>
          <w:b/>
          <w:bCs/>
        </w:rPr>
      </w:pPr>
      <w:r>
        <w:tab/>
      </w:r>
      <w:r w:rsidR="00384905" w:rsidRPr="008977BA">
        <w:rPr>
          <w:b/>
          <w:bCs/>
        </w:rPr>
        <w:t>A.  Factual Background</w:t>
      </w:r>
      <w:r>
        <w:rPr>
          <w:rStyle w:val="FootnoteReference"/>
          <w:b/>
          <w:bCs/>
        </w:rPr>
        <w:footnoteReference w:id="3"/>
      </w:r>
      <w:r>
        <w:t xml:space="preserve"> </w:t>
      </w:r>
    </w:p>
    <w:p w14:paraId="02EC2EA2" w14:textId="3C427E86" w:rsidR="00384905" w:rsidRDefault="00E25649" w:rsidP="00F026CB">
      <w:r>
        <w:tab/>
      </w:r>
      <w:r w:rsidR="00154DC0">
        <w:t xml:space="preserve">During a forensic examination of Ferenz’s phone, a video was found </w:t>
      </w:r>
      <w:r w:rsidR="003C23E2">
        <w:t xml:space="preserve">depicting Ferenz having sexual intercourse with Jane </w:t>
      </w:r>
      <w:r w:rsidR="0021245C">
        <w:t>D</w:t>
      </w:r>
      <w:r w:rsidR="003C23E2">
        <w:t>oe 1</w:t>
      </w:r>
      <w:r w:rsidR="0021245C">
        <w:t>,</w:t>
      </w:r>
      <w:r w:rsidR="003C23E2">
        <w:t xml:space="preserve"> who appeared to be unconscious. </w:t>
      </w:r>
      <w:r w:rsidR="003323AB">
        <w:t xml:space="preserve"> </w:t>
      </w:r>
      <w:r w:rsidR="00E76110">
        <w:t>Doe 1</w:t>
      </w:r>
      <w:r w:rsidR="00262B58">
        <w:t xml:space="preserve"> was identified and interviewed.  </w:t>
      </w:r>
      <w:r w:rsidR="00E76110">
        <w:t>She</w:t>
      </w:r>
      <w:r w:rsidR="00262B58">
        <w:t xml:space="preserve"> told police </w:t>
      </w:r>
      <w:r w:rsidR="006837D3">
        <w:t xml:space="preserve">that </w:t>
      </w:r>
      <w:r w:rsidR="006F4ADC">
        <w:t>she met Ferenz when she responded to a room for rent ad on Craigslist.  A</w:t>
      </w:r>
      <w:r w:rsidR="006837D3">
        <w:t>fter smoking a marijuana cigarette she believed was “ ‘laced’ ” with something, she argued</w:t>
      </w:r>
      <w:r w:rsidR="00F57F00">
        <w:t xml:space="preserve"> with Ferenz about not wanting to have sex with him.  She woke up</w:t>
      </w:r>
      <w:r w:rsidR="00F52A08">
        <w:t xml:space="preserve"> wearing a shirt and no pants</w:t>
      </w:r>
      <w:r w:rsidR="00F57F00">
        <w:t xml:space="preserve"> the following morning in Ferenz’s bed with no memory of exactly what happened</w:t>
      </w:r>
      <w:r w:rsidR="00F52A08">
        <w:t>.</w:t>
      </w:r>
      <w:r w:rsidR="002B44B6">
        <w:t xml:space="preserve"> </w:t>
      </w:r>
    </w:p>
    <w:p w14:paraId="21500199" w14:textId="4E5C2118" w:rsidR="00F52A08" w:rsidRDefault="00E25649" w:rsidP="00F026CB">
      <w:r>
        <w:tab/>
      </w:r>
      <w:r w:rsidR="004B6F82">
        <w:t>Jane Doe 2 posted an ad on Craigslist seeking a room for rent.</w:t>
      </w:r>
      <w:r w:rsidR="003323AB">
        <w:t xml:space="preserve"> </w:t>
      </w:r>
      <w:r w:rsidR="004B6F82">
        <w:t xml:space="preserve"> </w:t>
      </w:r>
      <w:r w:rsidR="00B63D32">
        <w:t>Ferenz picked her up, offered her an alcoho</w:t>
      </w:r>
      <w:r w:rsidR="00257F5C">
        <w:t>lic drink, and drove her to his home.  He gave her another alcoholic drink when they got to his house.</w:t>
      </w:r>
      <w:r w:rsidR="00C4677E">
        <w:t xml:space="preserve">  Ferenz asked her to have sexual intercourse, but she declined.</w:t>
      </w:r>
      <w:r w:rsidR="00F75AEB">
        <w:t xml:space="preserve">  Doe 2 started feeling drowsy and began to fall asleep</w:t>
      </w:r>
      <w:r w:rsidR="006F4ADC">
        <w:t>, but remained conscious enough to recall that Ferenz then</w:t>
      </w:r>
      <w:r w:rsidR="00965A48">
        <w:t xml:space="preserve"> had intercourse with her</w:t>
      </w:r>
      <w:r w:rsidR="001D0A9D">
        <w:t xml:space="preserve"> without her consent. </w:t>
      </w:r>
    </w:p>
    <w:p w14:paraId="1304C6E8" w14:textId="780FFA92" w:rsidR="00FD43A5" w:rsidRDefault="00E25649" w:rsidP="00F026CB">
      <w:r>
        <w:tab/>
        <w:t>Jane Doe 3 met Ferenz on a dating app</w:t>
      </w:r>
      <w:r w:rsidR="004B19D5">
        <w:t>.</w:t>
      </w:r>
      <w:r w:rsidR="003323AB">
        <w:t xml:space="preserve"> </w:t>
      </w:r>
      <w:r w:rsidR="004B19D5">
        <w:t xml:space="preserve"> In November 2015, she met him </w:t>
      </w:r>
      <w:r w:rsidR="00E76110">
        <w:t xml:space="preserve">at his home </w:t>
      </w:r>
      <w:r w:rsidR="00D41A94">
        <w:t>about a room he had for rent</w:t>
      </w:r>
      <w:r w:rsidR="004B19D5">
        <w:t xml:space="preserve">. </w:t>
      </w:r>
      <w:r w:rsidR="003323AB">
        <w:t xml:space="preserve"> </w:t>
      </w:r>
      <w:r w:rsidR="0027551A">
        <w:t>Doe 3</w:t>
      </w:r>
      <w:r w:rsidR="00F05C0A">
        <w:t xml:space="preserve"> eventually </w:t>
      </w:r>
      <w:r w:rsidR="00D41A94">
        <w:t>told Ferenz</w:t>
      </w:r>
      <w:r w:rsidR="00F05C0A">
        <w:t xml:space="preserve"> she wanted to go home.</w:t>
      </w:r>
      <w:r w:rsidR="007F1087">
        <w:t xml:space="preserve"> </w:t>
      </w:r>
      <w:r w:rsidR="003323AB">
        <w:t xml:space="preserve"> </w:t>
      </w:r>
      <w:r w:rsidR="007F1087">
        <w:t xml:space="preserve">Ferenz </w:t>
      </w:r>
      <w:r>
        <w:t>did not permit her to leave</w:t>
      </w:r>
      <w:r w:rsidR="00D67E87">
        <w:t xml:space="preserve"> and</w:t>
      </w:r>
      <w:r w:rsidR="006407B1">
        <w:t xml:space="preserve"> raped Doe 3</w:t>
      </w:r>
      <w:r w:rsidR="00D00228">
        <w:t xml:space="preserve"> with a </w:t>
      </w:r>
      <w:r w:rsidR="004B29BC">
        <w:t>foreign object</w:t>
      </w:r>
      <w:r w:rsidR="00101D51">
        <w:t xml:space="preserve">. </w:t>
      </w:r>
    </w:p>
    <w:p w14:paraId="7C6CB426" w14:textId="00E845B6" w:rsidR="00683ADB" w:rsidRDefault="00E25649" w:rsidP="00F026CB">
      <w:r>
        <w:tab/>
        <w:t xml:space="preserve">Jane Doe 4 was identified after a video </w:t>
      </w:r>
      <w:r w:rsidR="00621FB6">
        <w:t>of her was found on Ferenz’s phone.  In the video, Doe 4 was seen begging Ferenz to let her leave.</w:t>
      </w:r>
      <w:r w:rsidR="003323AB">
        <w:t xml:space="preserve"> </w:t>
      </w:r>
      <w:r w:rsidR="00061BC1">
        <w:t xml:space="preserve"> Doe 4 reported </w:t>
      </w:r>
      <w:r w:rsidR="006F4ADC">
        <w:t xml:space="preserve">that she </w:t>
      </w:r>
      <w:r w:rsidR="00061BC1">
        <w:t xml:space="preserve">responded to a Craigslist ad </w:t>
      </w:r>
      <w:r w:rsidR="00E4711C">
        <w:t>that Ferenz</w:t>
      </w:r>
      <w:r w:rsidR="00061BC1">
        <w:t xml:space="preserve"> posted looking for someone to do house and yard </w:t>
      </w:r>
      <w:r w:rsidR="00061BC1">
        <w:lastRenderedPageBreak/>
        <w:t>work.</w:t>
      </w:r>
      <w:r w:rsidR="0055494C">
        <w:t xml:space="preserve">  </w:t>
      </w:r>
      <w:r w:rsidR="006F4ADC">
        <w:t>In an argument a week later,</w:t>
      </w:r>
      <w:r w:rsidR="003C1DF7">
        <w:t xml:space="preserve"> Ferenz choked </w:t>
      </w:r>
      <w:r w:rsidR="00CF46A4">
        <w:t xml:space="preserve">Doe 4 </w:t>
      </w:r>
      <w:r w:rsidR="00CA00D9">
        <w:t>and sodomized her with an unknown object</w:t>
      </w:r>
      <w:r w:rsidR="00C25B68">
        <w:t>.</w:t>
      </w:r>
    </w:p>
    <w:p w14:paraId="10DFCD87" w14:textId="0968FCDA" w:rsidR="00CE7062" w:rsidRDefault="00E25649" w:rsidP="00F026CB">
      <w:r>
        <w:tab/>
      </w:r>
      <w:r w:rsidR="007F03AE">
        <w:t>Trinidad Zamaripa</w:t>
      </w:r>
      <w:r w:rsidR="00D04C94">
        <w:t>,</w:t>
      </w:r>
      <w:r>
        <w:rPr>
          <w:rStyle w:val="FootnoteReference"/>
        </w:rPr>
        <w:footnoteReference w:id="4"/>
      </w:r>
      <w:r w:rsidR="007F03AE">
        <w:t xml:space="preserve"> </w:t>
      </w:r>
      <w:r w:rsidR="00D04C94">
        <w:t>also known as “Gordy,” was an acquaintance of Doe 4.  He sent her a text message indicating that they “could both get some money in our pockets.”  Zamaripa contacted</w:t>
      </w:r>
      <w:r w:rsidR="007F03AE">
        <w:t xml:space="preserve"> </w:t>
      </w:r>
      <w:r w:rsidR="00D04C94">
        <w:t>Doe 4 and asked her whether she had any court dates related to Ferenz.  He then told her that there was</w:t>
      </w:r>
      <w:r w:rsidR="007F03AE">
        <w:t xml:space="preserve"> an opportunity for </w:t>
      </w:r>
      <w:r w:rsidR="00363F7E">
        <w:t>both of them to “get some money in our pockets.”</w:t>
      </w:r>
      <w:r w:rsidR="00F918C0">
        <w:t xml:space="preserve"> </w:t>
      </w:r>
      <w:r w:rsidR="00D95766">
        <w:t xml:space="preserve"> Zamaripa </w:t>
      </w:r>
      <w:r w:rsidR="00F3104A">
        <w:t xml:space="preserve">told </w:t>
      </w:r>
      <w:r w:rsidR="00D04C94">
        <w:t>Doe 4</w:t>
      </w:r>
      <w:r w:rsidR="00F3104A">
        <w:t xml:space="preserve">, “if you don’t show up to court, you know, [someone] could put some money in </w:t>
      </w:r>
      <w:r w:rsidR="002818FE">
        <w:t xml:space="preserve">your pocket and you would help us all out.”  </w:t>
      </w:r>
      <w:r w:rsidR="004D3A02">
        <w:t xml:space="preserve">Zamaripa </w:t>
      </w:r>
      <w:r w:rsidR="00BA5BF8">
        <w:t>stated</w:t>
      </w:r>
      <w:r w:rsidR="00D67E87">
        <w:t xml:space="preserve"> </w:t>
      </w:r>
      <w:r w:rsidR="004D3A02">
        <w:t>that</w:t>
      </w:r>
      <w:r w:rsidR="005D6946">
        <w:t xml:space="preserve"> if Doe 4 did not appear in court,</w:t>
      </w:r>
      <w:r w:rsidR="004D3A02">
        <w:t xml:space="preserve"> </w:t>
      </w:r>
      <w:r w:rsidR="00E76110">
        <w:t xml:space="preserve">Zamaripa </w:t>
      </w:r>
      <w:r w:rsidR="004D3A02">
        <w:t>could stay at Ferenz’s house and drive his truck, and</w:t>
      </w:r>
      <w:r w:rsidR="005D6946">
        <w:t xml:space="preserve"> Doe would receive at least $200 in cash</w:t>
      </w:r>
      <w:r w:rsidR="004D3A02">
        <w:t xml:space="preserve">. </w:t>
      </w:r>
      <w:r w:rsidR="00F918C0">
        <w:t xml:space="preserve"> </w:t>
      </w:r>
      <w:r>
        <w:t>Doe 4</w:t>
      </w:r>
      <w:r w:rsidR="006737DA">
        <w:t xml:space="preserve"> declined</w:t>
      </w:r>
      <w:r w:rsidR="00A46D45">
        <w:t xml:space="preserve"> the offer.  </w:t>
      </w:r>
      <w:r w:rsidR="005D6946">
        <w:t xml:space="preserve">Zamaripa told Doe 4, “Good luck with that, homegirl.”  </w:t>
      </w:r>
      <w:r w:rsidR="00966D6E">
        <w:t>About t</w:t>
      </w:r>
      <w:r w:rsidR="00A46D45">
        <w:t xml:space="preserve">wo weeks later, Doe </w:t>
      </w:r>
      <w:r>
        <w:t>4</w:t>
      </w:r>
      <w:r w:rsidR="005D6946">
        <w:t>’s tent was set on fire while she was inside it.</w:t>
      </w:r>
    </w:p>
    <w:p w14:paraId="689EFB63" w14:textId="653E382A" w:rsidR="00E80669" w:rsidRPr="00645B38" w:rsidRDefault="00E25649" w:rsidP="00F026CB">
      <w:pPr>
        <w:rPr>
          <w:b/>
          <w:bCs/>
        </w:rPr>
      </w:pPr>
      <w:r w:rsidRPr="00645B38">
        <w:rPr>
          <w:b/>
          <w:bCs/>
        </w:rPr>
        <w:tab/>
        <w:t>B.  Procedural Background</w:t>
      </w:r>
    </w:p>
    <w:p w14:paraId="1EFD8916" w14:textId="2EF8D46F" w:rsidR="00E80669" w:rsidRDefault="00E25649" w:rsidP="00F026CB">
      <w:r>
        <w:tab/>
      </w:r>
      <w:r w:rsidR="00D26B8B">
        <w:t>Ferenz was charged by amended information with rape of an unconscious person</w:t>
      </w:r>
      <w:r w:rsidR="00596373">
        <w:t xml:space="preserve"> (count 1; </w:t>
      </w:r>
      <w:r w:rsidR="00B71D7B">
        <w:t>§</w:t>
      </w:r>
      <w:r w:rsidR="00C5633E">
        <w:t> </w:t>
      </w:r>
      <w:r w:rsidR="00B71D7B">
        <w:t xml:space="preserve">261, subd. (a)(4)); </w:t>
      </w:r>
      <w:r w:rsidR="00BC374C">
        <w:t>forcible rape (counts 2 and 8</w:t>
      </w:r>
      <w:r w:rsidR="00E9112C">
        <w:t>; §</w:t>
      </w:r>
      <w:r w:rsidR="00C5633E">
        <w:t> </w:t>
      </w:r>
      <w:r w:rsidR="00E9112C">
        <w:t xml:space="preserve">261, subd. (a)(2)); </w:t>
      </w:r>
      <w:r w:rsidR="00E83D1C">
        <w:t xml:space="preserve">assault with intent to commit rape (count 3; </w:t>
      </w:r>
      <w:r w:rsidR="00C016DF">
        <w:t>§</w:t>
      </w:r>
      <w:r w:rsidR="00C5633E">
        <w:t> </w:t>
      </w:r>
      <w:r w:rsidR="00C016DF">
        <w:t>220, subd. (a)); forcible sexual penetration (</w:t>
      </w:r>
      <w:r w:rsidR="00DC097D">
        <w:t>count 4; §</w:t>
      </w:r>
      <w:r w:rsidR="00C5633E">
        <w:t> </w:t>
      </w:r>
      <w:r w:rsidR="00DC097D">
        <w:t xml:space="preserve">289, subd. (a)(1)); forcible oral copulation (count 5; </w:t>
      </w:r>
      <w:r w:rsidR="00B0686E">
        <w:t>§</w:t>
      </w:r>
      <w:r w:rsidR="00E64BF8">
        <w:t> </w:t>
      </w:r>
      <w:r w:rsidR="00B0686E">
        <w:t>288a, subd. (c)(2)); assault by means of force likely to produce great bodily injury (count</w:t>
      </w:r>
      <w:r w:rsidR="004C0020">
        <w:t>s</w:t>
      </w:r>
      <w:r w:rsidR="00B0686E">
        <w:t xml:space="preserve"> 6</w:t>
      </w:r>
      <w:r w:rsidR="004C0020">
        <w:t xml:space="preserve"> and 10</w:t>
      </w:r>
      <w:r w:rsidR="00B0686E">
        <w:t>; §</w:t>
      </w:r>
      <w:r w:rsidR="00077500">
        <w:t> </w:t>
      </w:r>
      <w:r w:rsidR="00B0686E">
        <w:t xml:space="preserve">245, subd. (a)(4)); </w:t>
      </w:r>
      <w:r w:rsidR="00C91E94">
        <w:t>threats to commit a crime resulting in death or great bodily injury (count 7; §</w:t>
      </w:r>
      <w:r w:rsidR="00274CED">
        <w:t> </w:t>
      </w:r>
      <w:r w:rsidR="00C91E94">
        <w:t xml:space="preserve">422, subd. (a)); </w:t>
      </w:r>
      <w:r w:rsidR="000204AA">
        <w:t>forcible sodomy (count 9; §</w:t>
      </w:r>
      <w:r w:rsidR="00274CED">
        <w:t> </w:t>
      </w:r>
      <w:r w:rsidR="000204AA">
        <w:t>286, subd. (c)(2)(A));</w:t>
      </w:r>
      <w:r w:rsidR="004C0020">
        <w:t xml:space="preserve"> </w:t>
      </w:r>
      <w:r w:rsidR="00F15103">
        <w:t>felony false imprisonment (count 11; §</w:t>
      </w:r>
      <w:r w:rsidR="00274CED">
        <w:t> </w:t>
      </w:r>
      <w:r w:rsidR="00F15103">
        <w:t xml:space="preserve">236); and dissuading a witness (count 12; </w:t>
      </w:r>
      <w:r w:rsidR="00645B38">
        <w:t>§</w:t>
      </w:r>
      <w:r w:rsidR="00274CED">
        <w:t> </w:t>
      </w:r>
      <w:r w:rsidR="00645B38">
        <w:t xml:space="preserve">136.1, subd. (c)(4)). </w:t>
      </w:r>
      <w:r w:rsidR="0063557B">
        <w:t xml:space="preserve"> It was also alleged that Ferenz had a prior strike (§§</w:t>
      </w:r>
      <w:r w:rsidR="00274CED">
        <w:t> </w:t>
      </w:r>
      <w:r w:rsidR="0063557B">
        <w:t>667, subds. (b)-(i)</w:t>
      </w:r>
      <w:r w:rsidR="00487A14">
        <w:t>, 1170.12) and a prior serious felony conviction (§</w:t>
      </w:r>
      <w:r w:rsidR="00274CED">
        <w:t> </w:t>
      </w:r>
      <w:r w:rsidR="00487A14">
        <w:t>667, subd. (a)(1)).</w:t>
      </w:r>
    </w:p>
    <w:p w14:paraId="65E8493A" w14:textId="37E3F074" w:rsidR="007234BD" w:rsidRDefault="00E25649" w:rsidP="00F026CB">
      <w:r>
        <w:tab/>
        <w:t>Ferenz was represented by appointed counsel from the Independent Defense Office</w:t>
      </w:r>
      <w:r w:rsidR="00965587">
        <w:t xml:space="preserve"> (IDO)</w:t>
      </w:r>
      <w:r>
        <w:t xml:space="preserve">.  On November 18, 2020, Ferenz entered a plea of no contest to </w:t>
      </w:r>
      <w:r w:rsidR="00BA67F0">
        <w:t>count 1</w:t>
      </w:r>
      <w:r w:rsidR="00013DFB">
        <w:t xml:space="preserve"> </w:t>
      </w:r>
      <w:r w:rsidR="00013DFB">
        <w:lastRenderedPageBreak/>
        <w:t>(rape of an unconscious person)</w:t>
      </w:r>
      <w:r w:rsidR="00BA67F0">
        <w:t xml:space="preserve">, </w:t>
      </w:r>
      <w:r w:rsidR="00D362E6">
        <w:t xml:space="preserve">count </w:t>
      </w:r>
      <w:r w:rsidR="00BA67F0">
        <w:t>2</w:t>
      </w:r>
      <w:r w:rsidR="00013DFB">
        <w:t xml:space="preserve"> (forcible rape)</w:t>
      </w:r>
      <w:r w:rsidR="00BA67F0">
        <w:t xml:space="preserve">, and </w:t>
      </w:r>
      <w:r w:rsidR="00D362E6">
        <w:t xml:space="preserve">count </w:t>
      </w:r>
      <w:r w:rsidR="00BA67F0">
        <w:t>12</w:t>
      </w:r>
      <w:r w:rsidR="00013DFB">
        <w:t xml:space="preserve"> (dissuading a witness).</w:t>
      </w:r>
      <w:r w:rsidR="00C469B8">
        <w:t xml:space="preserve">  </w:t>
      </w:r>
      <w:r w:rsidR="00566CBF">
        <w:t xml:space="preserve">Ferenz also admitted </w:t>
      </w:r>
      <w:r w:rsidR="00C469B8">
        <w:t xml:space="preserve">the prior strike allegation. </w:t>
      </w:r>
    </w:p>
    <w:p w14:paraId="45E1DFC0" w14:textId="6226E5C8" w:rsidR="003A0656" w:rsidRDefault="00E25649" w:rsidP="00F026CB">
      <w:r>
        <w:tab/>
      </w:r>
      <w:r w:rsidR="00E76110">
        <w:t xml:space="preserve">On </w:t>
      </w:r>
      <w:r>
        <w:t>February</w:t>
      </w:r>
      <w:r w:rsidR="00E76110">
        <w:t xml:space="preserve"> 18, 2021, </w:t>
      </w:r>
      <w:r>
        <w:t xml:space="preserve">Ferenz requested the appointment of new counsel. </w:t>
      </w:r>
      <w:r w:rsidR="00D02AED">
        <w:t xml:space="preserve"> Following Ferenz’s request, the trial court held a </w:t>
      </w:r>
      <w:r w:rsidR="00D02AED" w:rsidRPr="00282370">
        <w:rPr>
          <w:i/>
          <w:iCs/>
        </w:rPr>
        <w:t>Marsden</w:t>
      </w:r>
      <w:r w:rsidR="00D362E6">
        <w:rPr>
          <w:i/>
          <w:iCs/>
        </w:rPr>
        <w:t xml:space="preserve"> </w:t>
      </w:r>
      <w:r w:rsidR="00D362E6">
        <w:t>hearing</w:t>
      </w:r>
      <w:r w:rsidR="00EE6F0B">
        <w:t xml:space="preserve"> outside the presence of the prosec</w:t>
      </w:r>
      <w:r w:rsidR="00CC2708">
        <w:t>u</w:t>
      </w:r>
      <w:r w:rsidR="00EE6F0B">
        <w:t>tor</w:t>
      </w:r>
      <w:r w:rsidR="00282370">
        <w:t xml:space="preserve">, after which the court denied the motion. </w:t>
      </w:r>
      <w:r w:rsidR="00E25E2D">
        <w:t xml:space="preserve"> Ferenz indicated that he might move to withdraw his guilty plea</w:t>
      </w:r>
      <w:r w:rsidR="00BA5BF8">
        <w:t>, but did not do so</w:t>
      </w:r>
      <w:r w:rsidR="00E25E2D">
        <w:t xml:space="preserve">. </w:t>
      </w:r>
      <w:r w:rsidR="00E9457A">
        <w:t xml:space="preserve"> </w:t>
      </w:r>
      <w:r w:rsidR="00EE6F0B">
        <w:t xml:space="preserve">The prosecution struck Doe 4 from </w:t>
      </w:r>
      <w:r w:rsidR="003005E7">
        <w:t>c</w:t>
      </w:r>
      <w:r w:rsidR="00EE6F0B">
        <w:t>ount 2 to effectuate the negotiated plea of 12 years in state prison</w:t>
      </w:r>
      <w:r w:rsidR="00EE6F0B" w:rsidRPr="00FA13E3">
        <w:t>.</w:t>
      </w:r>
      <w:r>
        <w:rPr>
          <w:rStyle w:val="FootnoteReference"/>
        </w:rPr>
        <w:footnoteReference w:id="5"/>
      </w:r>
      <w:r w:rsidR="00E25E2D">
        <w:t xml:space="preserve"> </w:t>
      </w:r>
    </w:p>
    <w:p w14:paraId="41C1DA5F" w14:textId="13BEF8B3" w:rsidR="006F7156" w:rsidRDefault="00E25649" w:rsidP="00F026CB">
      <w:r>
        <w:tab/>
      </w:r>
      <w:r w:rsidR="00EE6F0B">
        <w:t xml:space="preserve">On August 12, 2021, </w:t>
      </w:r>
      <w:r>
        <w:t>Ferenz was sentenced to an aggregate term of 12 years</w:t>
      </w:r>
      <w:r w:rsidR="00EE6F0B">
        <w:t xml:space="preserve"> under the plea agreement</w:t>
      </w:r>
      <w:r>
        <w:t xml:space="preserve">, consisting of </w:t>
      </w:r>
      <w:r w:rsidR="0065785E">
        <w:t xml:space="preserve">six </w:t>
      </w:r>
      <w:r w:rsidR="004F6EFC">
        <w:t xml:space="preserve">years for count 1, </w:t>
      </w:r>
      <w:r w:rsidR="0065785E">
        <w:t>four years for count 2, and two years for count 12.</w:t>
      </w:r>
      <w:r w:rsidR="005F1647">
        <w:t xml:space="preserve"> </w:t>
      </w:r>
      <w:r w:rsidR="00EB50B4">
        <w:t xml:space="preserve"> The court also imposed various fines and fees, including </w:t>
      </w:r>
      <w:r w:rsidR="00E32512">
        <w:t>a criminal justice administration fee of $129.</w:t>
      </w:r>
      <w:r w:rsidR="007008D6">
        <w:t>75.</w:t>
      </w:r>
    </w:p>
    <w:p w14:paraId="287A3B83" w14:textId="2057B715" w:rsidR="002D0C15" w:rsidRDefault="00E25649" w:rsidP="00F026CB">
      <w:r>
        <w:tab/>
        <w:t>Ferenz timely appealed.</w:t>
      </w:r>
      <w:r w:rsidR="001F62CB">
        <w:t xml:space="preserve"> </w:t>
      </w:r>
    </w:p>
    <w:p w14:paraId="57A51BAD" w14:textId="48FF2323" w:rsidR="006B7005" w:rsidRPr="006B7005" w:rsidRDefault="00E25649" w:rsidP="003D2996">
      <w:pPr>
        <w:jc w:val="center"/>
        <w:rPr>
          <w:b/>
          <w:bCs/>
        </w:rPr>
      </w:pPr>
      <w:r w:rsidRPr="006B7005">
        <w:rPr>
          <w:b/>
          <w:bCs/>
        </w:rPr>
        <w:t xml:space="preserve">II.  </w:t>
      </w:r>
      <w:r w:rsidR="009E5720" w:rsidRPr="009E5720">
        <w:rPr>
          <w:b/>
          <w:bCs/>
          <w:smallCaps/>
        </w:rPr>
        <w:t>Discussion</w:t>
      </w:r>
    </w:p>
    <w:p w14:paraId="040DB010" w14:textId="484A493A" w:rsidR="006B7005" w:rsidRDefault="00E25649" w:rsidP="00F026CB">
      <w:pPr>
        <w:rPr>
          <w:b/>
          <w:bCs/>
        </w:rPr>
      </w:pPr>
      <w:r w:rsidRPr="00CF5EF5">
        <w:rPr>
          <w:b/>
          <w:bCs/>
        </w:rPr>
        <w:tab/>
      </w:r>
      <w:r w:rsidR="00CF5EF5" w:rsidRPr="00CF5EF5">
        <w:rPr>
          <w:b/>
          <w:bCs/>
        </w:rPr>
        <w:t xml:space="preserve">A.  </w:t>
      </w:r>
      <w:r w:rsidR="00CF5EF5" w:rsidRPr="00CF5EF5">
        <w:rPr>
          <w:b/>
          <w:bCs/>
          <w:i/>
          <w:iCs/>
        </w:rPr>
        <w:t>Marsden</w:t>
      </w:r>
      <w:r w:rsidR="00CF5EF5" w:rsidRPr="00CF5EF5">
        <w:rPr>
          <w:b/>
          <w:bCs/>
        </w:rPr>
        <w:t xml:space="preserve"> </w:t>
      </w:r>
      <w:r w:rsidR="003D2996">
        <w:rPr>
          <w:b/>
          <w:bCs/>
        </w:rPr>
        <w:t>M</w:t>
      </w:r>
      <w:r w:rsidR="00CF5EF5" w:rsidRPr="00CF5EF5">
        <w:rPr>
          <w:b/>
          <w:bCs/>
        </w:rPr>
        <w:t>otion</w:t>
      </w:r>
    </w:p>
    <w:p w14:paraId="59404B66" w14:textId="7274D7A3" w:rsidR="00362078" w:rsidRDefault="00E25649" w:rsidP="00F026CB">
      <w:r>
        <w:rPr>
          <w:b/>
          <w:bCs/>
          <w:i/>
          <w:iCs/>
        </w:rPr>
        <w:tab/>
      </w:r>
      <w:r>
        <w:t xml:space="preserve">Ferenz argues that the trial court abused its discretion </w:t>
      </w:r>
      <w:r w:rsidR="001C5336">
        <w:t xml:space="preserve">by denying his motion to substitute counsel.  He asserts that </w:t>
      </w:r>
      <w:r w:rsidR="00F52D3C">
        <w:t xml:space="preserve">“it is apparent that ongoing conflict between Ferenz and his appointed counsel resulted in the deterioration of the attorney-client relationship to the point where there was a complete breakdown in communication.” </w:t>
      </w:r>
      <w:r w:rsidR="00A53B47">
        <w:t xml:space="preserve"> The Attorney General </w:t>
      </w:r>
      <w:r w:rsidR="003D6259">
        <w:t xml:space="preserve">argues that the trial court properly denied the motion. </w:t>
      </w:r>
      <w:r w:rsidR="00791B64">
        <w:t xml:space="preserve"> </w:t>
      </w:r>
      <w:r w:rsidR="003D6259">
        <w:t xml:space="preserve">We conclude that </w:t>
      </w:r>
      <w:r w:rsidR="00FF0C61">
        <w:t xml:space="preserve">the trial court did not err by denying the </w:t>
      </w:r>
      <w:r w:rsidR="00FF0C61" w:rsidRPr="00FF0C61">
        <w:rPr>
          <w:i/>
          <w:iCs/>
        </w:rPr>
        <w:t>Marsden</w:t>
      </w:r>
      <w:r w:rsidR="00FF0C61">
        <w:t xml:space="preserve"> motion. </w:t>
      </w:r>
    </w:p>
    <w:p w14:paraId="28A88A02" w14:textId="77777777" w:rsidR="00C67700" w:rsidRDefault="00C67700" w:rsidP="00F026CB">
      <w:pPr>
        <w:rPr>
          <w:b/>
          <w:bCs/>
        </w:rPr>
      </w:pPr>
    </w:p>
    <w:p w14:paraId="2E2369A2" w14:textId="77777777" w:rsidR="00C67700" w:rsidRDefault="00C67700" w:rsidP="00F026CB">
      <w:pPr>
        <w:rPr>
          <w:b/>
          <w:bCs/>
        </w:rPr>
      </w:pPr>
    </w:p>
    <w:p w14:paraId="19B935FC" w14:textId="64C329B1" w:rsidR="00CF5EF5" w:rsidRDefault="00E25649" w:rsidP="00F026CB">
      <w:pPr>
        <w:rPr>
          <w:b/>
          <w:bCs/>
        </w:rPr>
      </w:pPr>
      <w:r w:rsidRPr="006432AE">
        <w:rPr>
          <w:b/>
          <w:bCs/>
        </w:rPr>
        <w:lastRenderedPageBreak/>
        <w:tab/>
      </w:r>
      <w:r w:rsidR="009E5720">
        <w:rPr>
          <w:b/>
          <w:bCs/>
        </w:rPr>
        <w:tab/>
      </w:r>
      <w:r w:rsidRPr="006432AE">
        <w:rPr>
          <w:b/>
          <w:bCs/>
        </w:rPr>
        <w:t xml:space="preserve">1.  </w:t>
      </w:r>
      <w:r w:rsidR="004C6FFF">
        <w:rPr>
          <w:b/>
          <w:bCs/>
        </w:rPr>
        <w:t xml:space="preserve">The </w:t>
      </w:r>
      <w:r w:rsidR="004C6FFF" w:rsidRPr="0061625C">
        <w:rPr>
          <w:b/>
          <w:bCs/>
          <w:i/>
          <w:iCs/>
        </w:rPr>
        <w:t>Marsden</w:t>
      </w:r>
      <w:r w:rsidR="004C6FFF">
        <w:rPr>
          <w:b/>
          <w:bCs/>
        </w:rPr>
        <w:t xml:space="preserve"> Hearing</w:t>
      </w:r>
    </w:p>
    <w:p w14:paraId="28CE258A" w14:textId="79688D25" w:rsidR="00C72387" w:rsidRDefault="00E25649" w:rsidP="00F026CB">
      <w:r>
        <w:rPr>
          <w:b/>
          <w:bCs/>
        </w:rPr>
        <w:tab/>
      </w:r>
      <w:r w:rsidR="002C3661">
        <w:t>After Ferenz notified the</w:t>
      </w:r>
      <w:r w:rsidR="002F448E">
        <w:t xml:space="preserve"> trial</w:t>
      </w:r>
      <w:r w:rsidR="002C3661">
        <w:t xml:space="preserve"> court he wished to </w:t>
      </w:r>
      <w:r w:rsidR="002F448E">
        <w:t xml:space="preserve">substitute appointed counsel and withdraw his no contest plea, the court </w:t>
      </w:r>
      <w:r w:rsidR="00706368">
        <w:t>conducted</w:t>
      </w:r>
      <w:r w:rsidR="002F448E">
        <w:t xml:space="preserve"> </w:t>
      </w:r>
      <w:r w:rsidR="00B750C0">
        <w:t>a</w:t>
      </w:r>
      <w:r w:rsidR="002F448E">
        <w:t xml:space="preserve"> hearing </w:t>
      </w:r>
      <w:r w:rsidR="00B750C0">
        <w:t>outside the presence of the prosecutor</w:t>
      </w:r>
      <w:r w:rsidR="002F448E">
        <w:t>.</w:t>
      </w:r>
      <w:r w:rsidR="00791B64">
        <w:t xml:space="preserve"> </w:t>
      </w:r>
      <w:r w:rsidR="00430485">
        <w:t xml:space="preserve"> Ferenz stated he was initially very impressed with counsel.</w:t>
      </w:r>
      <w:r w:rsidR="00791B64">
        <w:t xml:space="preserve"> </w:t>
      </w:r>
      <w:r w:rsidR="00430485">
        <w:t xml:space="preserve"> </w:t>
      </w:r>
      <w:r w:rsidR="007C0EAD">
        <w:t>She was “active” in the case, and Ferenz reported</w:t>
      </w:r>
      <w:r w:rsidR="00784D74">
        <w:t xml:space="preserve">, “I could call, basically, at any time and she took information,” and </w:t>
      </w:r>
      <w:r w:rsidR="00C5247B">
        <w:t>she also would visit him</w:t>
      </w:r>
      <w:r w:rsidR="00784D74">
        <w:t xml:space="preserve">.  However, </w:t>
      </w:r>
      <w:r w:rsidR="00C756E5">
        <w:t xml:space="preserve">their “relationship got sour” around the time they were preparing for </w:t>
      </w:r>
      <w:r w:rsidR="00C5247B">
        <w:t xml:space="preserve">one of the </w:t>
      </w:r>
      <w:r w:rsidR="00B750C0">
        <w:t xml:space="preserve">three </w:t>
      </w:r>
      <w:r w:rsidR="00C5247B">
        <w:t>preliminary hearings</w:t>
      </w:r>
      <w:r w:rsidR="00B750C0">
        <w:t xml:space="preserve"> in his case</w:t>
      </w:r>
      <w:r w:rsidR="00C756E5">
        <w:t>.</w:t>
      </w:r>
      <w:r w:rsidR="00791B64">
        <w:t xml:space="preserve"> </w:t>
      </w:r>
      <w:r w:rsidR="006A6732">
        <w:t xml:space="preserve"> Ferenz stated </w:t>
      </w:r>
      <w:r w:rsidR="00BD24E1">
        <w:t>he would call counsel’s office and “there was .</w:t>
      </w:r>
      <w:r w:rsidR="00574C92">
        <w:t> </w:t>
      </w:r>
      <w:r w:rsidR="00BD24E1">
        <w:t>.</w:t>
      </w:r>
      <w:r w:rsidR="00574C92">
        <w:t> </w:t>
      </w:r>
      <w:r w:rsidR="00BD24E1">
        <w:t xml:space="preserve">. no answer at all.”  </w:t>
      </w:r>
      <w:r w:rsidR="009453AF">
        <w:t xml:space="preserve">Ferenz sent counsel a letter </w:t>
      </w:r>
      <w:r w:rsidR="00E35F77">
        <w:t xml:space="preserve">accusing </w:t>
      </w:r>
      <w:r w:rsidR="001176C3">
        <w:t>her</w:t>
      </w:r>
      <w:r w:rsidR="00E35F77">
        <w:t xml:space="preserve"> secretary of being “busy on the line with her boyfriend or something</w:t>
      </w:r>
      <w:r w:rsidR="00170B49">
        <w:t xml:space="preserve"> .</w:t>
      </w:r>
      <w:r w:rsidR="00574C92">
        <w:t> </w:t>
      </w:r>
      <w:r w:rsidR="00170B49">
        <w:t>.</w:t>
      </w:r>
      <w:r w:rsidR="00574C92">
        <w:t> </w:t>
      </w:r>
      <w:r w:rsidR="00170B49">
        <w:t>.</w:t>
      </w:r>
      <w:r w:rsidR="00574C92">
        <w:t> </w:t>
      </w:r>
      <w:r w:rsidR="00170B49">
        <w:t xml:space="preserve">.”  </w:t>
      </w:r>
      <w:r w:rsidR="001176C3">
        <w:t>C</w:t>
      </w:r>
      <w:r w:rsidR="00170B49">
        <w:t xml:space="preserve">ounsel </w:t>
      </w:r>
      <w:r w:rsidR="005675B5">
        <w:t xml:space="preserve">responded with a letter that Ferenz thought </w:t>
      </w:r>
      <w:r w:rsidR="00E20282">
        <w:t xml:space="preserve">was </w:t>
      </w:r>
      <w:r w:rsidR="005675B5">
        <w:t xml:space="preserve">“pretty rude,” though he admitted he “deserved part of it.” </w:t>
      </w:r>
    </w:p>
    <w:p w14:paraId="6CA825F9" w14:textId="46742ECA" w:rsidR="004C6FFF" w:rsidRDefault="00E25649" w:rsidP="004C6FFF">
      <w:r>
        <w:tab/>
        <w:t xml:space="preserve">Ferenz also raised other complaints about counsel.  He indicated that she did not do enough to get him necessary medical care that he requested.  He asserted that counsel failed to interview his mother, who could be a favorable witness regarding certain exonerating facts related to his prior strike conviction.  Ferenz complained that a tablet computer provided by the </w:t>
      </w:r>
      <w:r w:rsidR="00965587">
        <w:t>IDO</w:t>
      </w:r>
      <w:r>
        <w:t xml:space="preserve"> to review discovery was taken away twice, and ultimately never returned.  He stated that counsel’s investigator was taken off his case and he never received an explanation about why this happened.  Ferenz stated there had been no replacement investigator put on his case.</w:t>
      </w:r>
    </w:p>
    <w:p w14:paraId="4ADC1F8A" w14:textId="652F6A08" w:rsidR="00792410" w:rsidRDefault="00E25649" w:rsidP="00F026CB">
      <w:r>
        <w:tab/>
        <w:t xml:space="preserve">Ferenz </w:t>
      </w:r>
      <w:r w:rsidR="004558E2">
        <w:t xml:space="preserve">asserted that defense counsel’s actions caused the filing of witness intimidation charges against him.  </w:t>
      </w:r>
      <w:r w:rsidR="00B750C0">
        <w:t xml:space="preserve">Trinidad </w:t>
      </w:r>
      <w:r>
        <w:t>Zamaripa</w:t>
      </w:r>
      <w:r w:rsidR="000E150C">
        <w:t xml:space="preserve"> was housed in Ferenz’s dorm at the county jail</w:t>
      </w:r>
      <w:r w:rsidR="004558E2">
        <w:t xml:space="preserve">, and </w:t>
      </w:r>
      <w:r w:rsidR="008738D3">
        <w:t>told Ferenz that</w:t>
      </w:r>
      <w:r w:rsidR="00234FE7">
        <w:t xml:space="preserve"> Doe 4</w:t>
      </w:r>
      <w:r w:rsidR="0084116E">
        <w:t xml:space="preserve"> had “thrown cases on a lot of people</w:t>
      </w:r>
      <w:r w:rsidR="00C77691">
        <w:t>.</w:t>
      </w:r>
      <w:r w:rsidR="0084116E">
        <w:t xml:space="preserve">”  </w:t>
      </w:r>
      <w:r w:rsidR="00234FE7">
        <w:t>Ferenz informed counsel of this</w:t>
      </w:r>
      <w:r w:rsidR="000030DF">
        <w:t xml:space="preserve">, and </w:t>
      </w:r>
      <w:r w:rsidR="00D024A0">
        <w:t>she</w:t>
      </w:r>
      <w:r w:rsidR="000030DF">
        <w:t xml:space="preserve"> </w:t>
      </w:r>
      <w:r w:rsidR="000E150C">
        <w:t>and</w:t>
      </w:r>
      <w:r w:rsidR="000E79F4">
        <w:t xml:space="preserve"> her investigator </w:t>
      </w:r>
      <w:r w:rsidR="000E150C">
        <w:t>spoke</w:t>
      </w:r>
      <w:r w:rsidR="000E79F4">
        <w:t xml:space="preserve"> with </w:t>
      </w:r>
      <w:r w:rsidR="000E150C">
        <w:t>Zamaripa</w:t>
      </w:r>
      <w:r w:rsidR="000E79F4">
        <w:t>.</w:t>
      </w:r>
      <w:r w:rsidR="00791B64">
        <w:t xml:space="preserve"> </w:t>
      </w:r>
      <w:r w:rsidR="000E79F4">
        <w:t xml:space="preserve"> </w:t>
      </w:r>
      <w:r w:rsidR="00C77691">
        <w:t xml:space="preserve">Zamaripa was </w:t>
      </w:r>
      <w:r w:rsidR="00706368">
        <w:t xml:space="preserve">then </w:t>
      </w:r>
      <w:r w:rsidR="00C77691">
        <w:t xml:space="preserve">charged with various crimes related to setting fire to Doe 4’s tent.  </w:t>
      </w:r>
      <w:r w:rsidR="002A3817">
        <w:t>Ferenz was charged with witness intimidation</w:t>
      </w:r>
      <w:r w:rsidR="002C4B70">
        <w:t xml:space="preserve">.  </w:t>
      </w:r>
      <w:r w:rsidR="00842BB6">
        <w:t xml:space="preserve">Ferenz </w:t>
      </w:r>
      <w:r w:rsidR="00FF1343">
        <w:t>felt that the investigator’s interview of Zamaripa led to the new charge</w:t>
      </w:r>
      <w:r w:rsidR="00842BB6">
        <w:t>.</w:t>
      </w:r>
      <w:r w:rsidR="004558E2">
        <w:t xml:space="preserve">  He also asserted that defense counsel </w:t>
      </w:r>
      <w:r w:rsidR="000559A6">
        <w:t>later denied that she and the investigator had attempted to connect with Doe 4 through Zamaripa</w:t>
      </w:r>
      <w:r w:rsidR="004558E2">
        <w:t>.</w:t>
      </w:r>
      <w:r w:rsidR="00791B64">
        <w:t xml:space="preserve"> </w:t>
      </w:r>
      <w:r w:rsidR="00FF1343">
        <w:t xml:space="preserve"> </w:t>
      </w:r>
      <w:r w:rsidR="004558E2">
        <w:t xml:space="preserve">Ferenz </w:t>
      </w:r>
      <w:r w:rsidR="004558E2">
        <w:lastRenderedPageBreak/>
        <w:t xml:space="preserve">felt that </w:t>
      </w:r>
      <w:r w:rsidR="006B4E71">
        <w:t>he was “thrown under the bus</w:t>
      </w:r>
      <w:r w:rsidR="000559A6">
        <w:t>,” because counsel did not adequately assert that he had nothing to do with Zamaripa’s actions.</w:t>
      </w:r>
      <w:r w:rsidR="00FF1343">
        <w:t xml:space="preserve">  </w:t>
      </w:r>
      <w:r w:rsidR="00B750C0">
        <w:t xml:space="preserve"> </w:t>
      </w:r>
    </w:p>
    <w:p w14:paraId="5EFA4AF8" w14:textId="347F8EEE" w:rsidR="00A4355F" w:rsidRDefault="00E25649" w:rsidP="004C6FFF">
      <w:r>
        <w:tab/>
      </w:r>
      <w:r w:rsidR="00C77691">
        <w:t xml:space="preserve">As a result of the charges filed against him, Zamaripa reached a proffer agreement with the district attorney in which he provided information about Ferenz’s case.  </w:t>
      </w:r>
      <w:r w:rsidR="00DB43A8">
        <w:t>C</w:t>
      </w:r>
      <w:r>
        <w:t>ounsel advised Ferenz that she could not persuade a jury that he was not guilty</w:t>
      </w:r>
      <w:r w:rsidR="00DB43A8">
        <w:t xml:space="preserve"> because </w:t>
      </w:r>
      <w:r w:rsidR="00C77691">
        <w:t>of this information.  Ferenz asserted that Zamaripa obtained the information from police reports stolen from their mutual jail housing unit</w:t>
      </w:r>
      <w:r>
        <w:t>.</w:t>
      </w:r>
      <w:r w:rsidR="00C77691">
        <w:t xml:space="preserve">  Ferenz </w:t>
      </w:r>
      <w:r w:rsidR="003A577E">
        <w:t>believed</w:t>
      </w:r>
      <w:r w:rsidR="00C77691">
        <w:t xml:space="preserve"> counsel no longer “felt I was innocent in my case.”  </w:t>
      </w:r>
    </w:p>
    <w:p w14:paraId="24A81D99" w14:textId="25AB6FF3" w:rsidR="004C327B" w:rsidRDefault="00E25649" w:rsidP="00F026CB">
      <w:r>
        <w:tab/>
      </w:r>
      <w:r w:rsidR="00D024A0">
        <w:t>C</w:t>
      </w:r>
      <w:r>
        <w:t xml:space="preserve">ounsel </w:t>
      </w:r>
      <w:r w:rsidR="00FF1343">
        <w:t>responded to</w:t>
      </w:r>
      <w:r>
        <w:t xml:space="preserve"> Ferenz’s claims.  </w:t>
      </w:r>
      <w:r w:rsidR="002109E4">
        <w:t>S</w:t>
      </w:r>
      <w:r>
        <w:t>he stated there had been three preliminary hearings in this case</w:t>
      </w:r>
      <w:r w:rsidR="004D1CEB">
        <w:t xml:space="preserve">, and that prior to the COVID-19 pandemic, she visited </w:t>
      </w:r>
      <w:r w:rsidR="002109E4">
        <w:t xml:space="preserve">him </w:t>
      </w:r>
      <w:r w:rsidR="004D1CEB">
        <w:t xml:space="preserve">in jail </w:t>
      </w:r>
      <w:r w:rsidR="002109E4">
        <w:t>on at least 10 occasions, with each visit lasting multiple hours.</w:t>
      </w:r>
      <w:r w:rsidR="00791B64">
        <w:t xml:space="preserve"> </w:t>
      </w:r>
      <w:r w:rsidR="004D1CEB">
        <w:t xml:space="preserve"> After the pandemic</w:t>
      </w:r>
      <w:r w:rsidR="00B750C0">
        <w:t xml:space="preserve"> commenced</w:t>
      </w:r>
      <w:r w:rsidR="004D1CEB">
        <w:t xml:space="preserve">, she reported having </w:t>
      </w:r>
      <w:r w:rsidR="00BA5BF8">
        <w:t>11 separate interviews with Ferenz on Zoom</w:t>
      </w:r>
      <w:r w:rsidR="00171225">
        <w:t xml:space="preserve"> over the course of about 5 months. </w:t>
      </w:r>
      <w:r w:rsidR="00526E50">
        <w:t xml:space="preserve"> She did not visit the jail itself during this time because of safety concerns resulting from the pandemic.</w:t>
      </w:r>
      <w:r w:rsidR="00526E50" w:rsidRPr="00526E50">
        <w:t xml:space="preserve"> </w:t>
      </w:r>
      <w:r w:rsidR="00526E50">
        <w:t xml:space="preserve"> </w:t>
      </w:r>
    </w:p>
    <w:p w14:paraId="5D93F636" w14:textId="6513297D" w:rsidR="00730AFE" w:rsidRDefault="00E25649" w:rsidP="00F026CB">
      <w:r>
        <w:tab/>
      </w:r>
      <w:r w:rsidR="00B750C0">
        <w:t>The letter that Ferenz sent</w:t>
      </w:r>
      <w:r w:rsidR="00BA5BF8">
        <w:t xml:space="preserve"> regarding her secretary</w:t>
      </w:r>
      <w:r w:rsidR="00B750C0">
        <w:t xml:space="preserve"> “was right after COVID hit, everything was kind of crazy .</w:t>
      </w:r>
      <w:r w:rsidR="003C1070">
        <w:t> </w:t>
      </w:r>
      <w:r w:rsidR="00B750C0">
        <w:t>.</w:t>
      </w:r>
      <w:r w:rsidR="003C1070">
        <w:t> </w:t>
      </w:r>
      <w:r w:rsidR="00B750C0">
        <w:t xml:space="preserve">. and we were trying to figure out what to do with [his case].” </w:t>
      </w:r>
      <w:r w:rsidR="00791B64">
        <w:t xml:space="preserve"> </w:t>
      </w:r>
      <w:r w:rsidR="00B750C0">
        <w:t>Counsel</w:t>
      </w:r>
      <w:r>
        <w:t xml:space="preserve"> </w:t>
      </w:r>
      <w:r w:rsidR="00B750C0">
        <w:t>indicated</w:t>
      </w:r>
      <w:r>
        <w:t xml:space="preserve"> that Ferenz was agitated and made accusations </w:t>
      </w:r>
      <w:r w:rsidR="002109E4">
        <w:t>that her secretary was</w:t>
      </w:r>
      <w:r>
        <w:t xml:space="preserve"> sexually inappropriate with other men in the jail.  </w:t>
      </w:r>
      <w:r w:rsidR="002109E4">
        <w:t xml:space="preserve">Counsel </w:t>
      </w:r>
      <w:r>
        <w:t xml:space="preserve">told Ferenz she would not tolerate </w:t>
      </w:r>
      <w:r w:rsidR="002109E4">
        <w:t>his</w:t>
      </w:r>
      <w:r>
        <w:t xml:space="preserve"> behavior. </w:t>
      </w:r>
      <w:r w:rsidR="00791B64">
        <w:t xml:space="preserve"> </w:t>
      </w:r>
      <w:r>
        <w:t xml:space="preserve">Ferenz apologized and the two worked productively thereafter. </w:t>
      </w:r>
    </w:p>
    <w:p w14:paraId="5D0556F0" w14:textId="312476F0" w:rsidR="00AE683B" w:rsidRDefault="00E25649" w:rsidP="00F026CB">
      <w:r>
        <w:tab/>
      </w:r>
      <w:r w:rsidR="002109E4">
        <w:t xml:space="preserve">Counsel </w:t>
      </w:r>
      <w:r>
        <w:t xml:space="preserve">explained that Ferenz’s tablet was removed once to </w:t>
      </w:r>
      <w:r w:rsidR="00BE0136">
        <w:t>“update it, because we had new discovery.”</w:t>
      </w:r>
      <w:r w:rsidR="00791B64">
        <w:t xml:space="preserve"> </w:t>
      </w:r>
      <w:r w:rsidR="00BE0136">
        <w:t xml:space="preserve"> </w:t>
      </w:r>
      <w:r w:rsidR="006B4E71">
        <w:t xml:space="preserve">Damage was later discovered </w:t>
      </w:r>
      <w:r w:rsidR="00BE0136">
        <w:t xml:space="preserve">while </w:t>
      </w:r>
      <w:r w:rsidR="006B4E71">
        <w:t xml:space="preserve">the table </w:t>
      </w:r>
      <w:r w:rsidR="00BE0136">
        <w:t>was being charged</w:t>
      </w:r>
      <w:r w:rsidR="002109E4">
        <w:t>.  T</w:t>
      </w:r>
      <w:r w:rsidR="00AA7037">
        <w:t xml:space="preserve">he policy </w:t>
      </w:r>
      <w:r w:rsidR="00FF1343">
        <w:t xml:space="preserve">of the IDO </w:t>
      </w:r>
      <w:r w:rsidR="00AA7037">
        <w:t xml:space="preserve">is that “if somebody damages the tablet, that it is a privilege and not a right, and it will be removed from them.”  </w:t>
      </w:r>
      <w:r w:rsidR="002109E4">
        <w:t>C</w:t>
      </w:r>
      <w:r w:rsidR="00AA7037">
        <w:t xml:space="preserve">ounsel informed Ferenz </w:t>
      </w:r>
      <w:r w:rsidR="002109E4">
        <w:t>that</w:t>
      </w:r>
      <w:r w:rsidR="00AA7037">
        <w:t xml:space="preserve"> she would provide him paper discover</w:t>
      </w:r>
      <w:r w:rsidR="001A3BDF">
        <w:t>y</w:t>
      </w:r>
      <w:r w:rsidR="00AA7037">
        <w:t xml:space="preserve"> </w:t>
      </w:r>
      <w:r w:rsidR="00EB05A5">
        <w:t>for anything that he wanted to see.</w:t>
      </w:r>
      <w:r w:rsidR="00D93CC2">
        <w:t xml:space="preserve"> </w:t>
      </w:r>
      <w:r w:rsidR="00EB05A5">
        <w:t xml:space="preserve"> She also explained that she and Ferenz had already reviewed </w:t>
      </w:r>
      <w:r>
        <w:t xml:space="preserve">all of </w:t>
      </w:r>
      <w:r w:rsidR="002109E4">
        <w:t xml:space="preserve">the </w:t>
      </w:r>
      <w:r>
        <w:t>discovery</w:t>
      </w:r>
      <w:r w:rsidR="002109E4">
        <w:t>,</w:t>
      </w:r>
      <w:r>
        <w:t xml:space="preserve"> as the case had been ongoing for about two years. </w:t>
      </w:r>
    </w:p>
    <w:p w14:paraId="0F80C551" w14:textId="76B4ADF2" w:rsidR="002109E4" w:rsidRDefault="00E25649" w:rsidP="002109E4">
      <w:r>
        <w:lastRenderedPageBreak/>
        <w:tab/>
      </w:r>
      <w:r w:rsidR="00245111">
        <w:t xml:space="preserve">Regarding </w:t>
      </w:r>
      <w:r>
        <w:t>Ferenz’s complaint about the investigator</w:t>
      </w:r>
      <w:r w:rsidR="00B750C0">
        <w:t>’s removal</w:t>
      </w:r>
      <w:r>
        <w:t xml:space="preserve">, </w:t>
      </w:r>
      <w:r w:rsidR="00FE465A">
        <w:t xml:space="preserve">counsel explained that </w:t>
      </w:r>
      <w:r>
        <w:t>t</w:t>
      </w:r>
      <w:r w:rsidR="0024247F">
        <w:t xml:space="preserve">he investigator with whom Ferenz </w:t>
      </w:r>
      <w:r w:rsidR="00B750C0">
        <w:t>felt most connected</w:t>
      </w:r>
      <w:r w:rsidR="0024247F">
        <w:t xml:space="preserve"> was not removed from the case </w:t>
      </w:r>
      <w:r w:rsidR="00BA5BF8">
        <w:t>until</w:t>
      </w:r>
      <w:r w:rsidR="00B750C0">
        <w:t xml:space="preserve"> Ferenz entered his </w:t>
      </w:r>
      <w:r w:rsidR="00BA5BF8">
        <w:t xml:space="preserve">no contest </w:t>
      </w:r>
      <w:r w:rsidR="00B750C0">
        <w:t>plea to the charges</w:t>
      </w:r>
      <w:r w:rsidR="0099484A">
        <w:t xml:space="preserve">. </w:t>
      </w:r>
      <w:r w:rsidR="00D93CC2">
        <w:t xml:space="preserve"> </w:t>
      </w:r>
      <w:r>
        <w:t xml:space="preserve">Addressing Ferenz’s medical care, counsel explained that she laid the groundwork for a motion requesting an order to transport Ferenz to a medical appointment.  Ferenz, however, failed to identify a specific doctor after being asked to do so on multiple occasions.  </w:t>
      </w:r>
      <w:r w:rsidR="00706368">
        <w:t>T</w:t>
      </w:r>
      <w:r>
        <w:t xml:space="preserve">his information was necessary for </w:t>
      </w:r>
      <w:r w:rsidR="00706368">
        <w:t>counsel</w:t>
      </w:r>
      <w:r>
        <w:t xml:space="preserve"> to obtain a transport order for medical care from the court.</w:t>
      </w:r>
      <w:r w:rsidR="00D93CC2">
        <w:t xml:space="preserve"> </w:t>
      </w:r>
      <w:r>
        <w:t xml:space="preserve"> Counsel indicated that her investigator interviewed Ferenz’s mother, obtaining mitigation evidence regarding Ferenz’s priors and his childhood</w:t>
      </w:r>
      <w:r w:rsidR="0022353C">
        <w:t xml:space="preserve"> in preparation for a </w:t>
      </w:r>
      <w:r w:rsidR="0022353C" w:rsidRPr="0061625C">
        <w:rPr>
          <w:i/>
          <w:iCs/>
        </w:rPr>
        <w:t>Romero</w:t>
      </w:r>
      <w:r>
        <w:rPr>
          <w:rStyle w:val="FootnoteReference"/>
        </w:rPr>
        <w:footnoteReference w:id="6"/>
      </w:r>
      <w:r w:rsidR="0022353C">
        <w:t xml:space="preserve"> motion to strike Ferenz’s prior conviction</w:t>
      </w:r>
      <w:r>
        <w:t xml:space="preserve">.  </w:t>
      </w:r>
      <w:r w:rsidR="0022353C">
        <w:t xml:space="preserve">The information was not </w:t>
      </w:r>
      <w:r w:rsidR="00E82A19">
        <w:t xml:space="preserve">used </w:t>
      </w:r>
      <w:r w:rsidR="0022353C">
        <w:t>as the parties reached a negotiated settlement</w:t>
      </w:r>
      <w:r w:rsidR="00E82A19">
        <w:t xml:space="preserve"> for a set prison term</w:t>
      </w:r>
      <w:r w:rsidR="0022353C">
        <w:t>.</w:t>
      </w:r>
      <w:r>
        <w:t xml:space="preserve"> </w:t>
      </w:r>
    </w:p>
    <w:p w14:paraId="5ECF8ACC" w14:textId="366DB0B2" w:rsidR="003653AC" w:rsidRDefault="00E25649" w:rsidP="00F026CB">
      <w:r>
        <w:tab/>
        <w:t xml:space="preserve">Addressing </w:t>
      </w:r>
      <w:r w:rsidR="00792410">
        <w:t xml:space="preserve">Ferenz’s complaint regarding </w:t>
      </w:r>
      <w:r w:rsidR="00B750C0">
        <w:t xml:space="preserve">Trinidad </w:t>
      </w:r>
      <w:r>
        <w:t xml:space="preserve">Zamaripa, counsel explained that </w:t>
      </w:r>
      <w:r w:rsidR="00B564AC">
        <w:t xml:space="preserve">her investigator interviewed Zamaripa about Doe 4’s background </w:t>
      </w:r>
      <w:r w:rsidR="007C1824">
        <w:t xml:space="preserve">and history </w:t>
      </w:r>
      <w:r w:rsidR="00FF1343">
        <w:t xml:space="preserve">of </w:t>
      </w:r>
      <w:r w:rsidR="007C1824">
        <w:t>accusations.</w:t>
      </w:r>
      <w:r w:rsidR="00D93CC2">
        <w:t xml:space="preserve"> </w:t>
      </w:r>
      <w:r w:rsidR="007C1824">
        <w:t xml:space="preserve"> Zamaripa was told not to contact Doe 4 and to let the investigator do so.  He was told that if he did </w:t>
      </w:r>
      <w:r w:rsidR="00706368">
        <w:t xml:space="preserve">happen to </w:t>
      </w:r>
      <w:r w:rsidR="007C1824">
        <w:t>see Doe 4</w:t>
      </w:r>
      <w:r w:rsidR="00706368">
        <w:t>,</w:t>
      </w:r>
      <w:r w:rsidR="007C1824">
        <w:t xml:space="preserve"> to give her </w:t>
      </w:r>
      <w:r w:rsidR="00657E8B">
        <w:t xml:space="preserve">the investigator’s business card. </w:t>
      </w:r>
      <w:r w:rsidR="00D93CC2">
        <w:t xml:space="preserve"> </w:t>
      </w:r>
      <w:r w:rsidR="00657E8B">
        <w:t xml:space="preserve">Months later, </w:t>
      </w:r>
      <w:r w:rsidR="00245111">
        <w:t>Doe 4’s tent was set on fire</w:t>
      </w:r>
      <w:r w:rsidR="00657E8B">
        <w:t xml:space="preserve">, and </w:t>
      </w:r>
      <w:r w:rsidR="006B4E71">
        <w:t>law enforcement</w:t>
      </w:r>
      <w:r w:rsidR="00657E8B">
        <w:t xml:space="preserve"> identified Zamaripa</w:t>
      </w:r>
      <w:r w:rsidR="006B4E71">
        <w:t xml:space="preserve"> as the suspect</w:t>
      </w:r>
      <w:r w:rsidR="00657E8B">
        <w:t xml:space="preserve">. </w:t>
      </w:r>
      <w:r w:rsidR="00D93CC2">
        <w:t xml:space="preserve"> </w:t>
      </w:r>
      <w:r w:rsidR="00907245">
        <w:t xml:space="preserve">After being </w:t>
      </w:r>
      <w:r w:rsidR="00245111">
        <w:t xml:space="preserve">criminally </w:t>
      </w:r>
      <w:r w:rsidR="00907245">
        <w:t xml:space="preserve">charged, Zamaripa offered to testify against </w:t>
      </w:r>
      <w:r w:rsidR="00E5448F">
        <w:t>Ferenz.</w:t>
      </w:r>
      <w:r w:rsidR="00D93CC2">
        <w:t xml:space="preserve"> </w:t>
      </w:r>
      <w:r w:rsidR="00E5448F">
        <w:t xml:space="preserve"> </w:t>
      </w:r>
      <w:r w:rsidR="00245111">
        <w:t xml:space="preserve">In his proffer to the district attorney, </w:t>
      </w:r>
      <w:r w:rsidR="00D05920">
        <w:t xml:space="preserve">Zamaripa </w:t>
      </w:r>
      <w:r w:rsidR="003005E7">
        <w:t>stated that Fere</w:t>
      </w:r>
      <w:r w:rsidR="008220C4">
        <w:t>n</w:t>
      </w:r>
      <w:r w:rsidR="003005E7">
        <w:t xml:space="preserve">z admitted to “repeatedly raping this woman,” and </w:t>
      </w:r>
      <w:r w:rsidR="00D024A0">
        <w:t xml:space="preserve">he </w:t>
      </w:r>
      <w:r w:rsidR="00FF1343">
        <w:t xml:space="preserve">knew </w:t>
      </w:r>
      <w:r w:rsidR="00C77691">
        <w:t>“</w:t>
      </w:r>
      <w:r w:rsidR="00FF1343">
        <w:t>graphic details</w:t>
      </w:r>
      <w:r w:rsidR="00C77691">
        <w:t>”</w:t>
      </w:r>
      <w:r w:rsidR="00FF1343">
        <w:t xml:space="preserve"> about the crimes alleged against Ferenz regarding Doe 4 that were not in the police</w:t>
      </w:r>
      <w:r w:rsidR="00792410">
        <w:t xml:space="preserve"> reports.</w:t>
      </w:r>
      <w:r w:rsidR="00FF1343">
        <w:t xml:space="preserve"> </w:t>
      </w:r>
      <w:r w:rsidR="00792410">
        <w:t xml:space="preserve"> </w:t>
      </w:r>
      <w:r w:rsidR="00FF1343">
        <w:t xml:space="preserve">Counsel explained to Ferenz that there was “too much evidence at this point for [her] to convince the jury,” and that his sentencing exposure was </w:t>
      </w:r>
      <w:r w:rsidR="00D05920">
        <w:t>“huge</w:t>
      </w:r>
      <w:r w:rsidR="00266D3D">
        <w:t>.”</w:t>
      </w:r>
      <w:r w:rsidR="00D93CC2">
        <w:t xml:space="preserve"> </w:t>
      </w:r>
      <w:r w:rsidR="00266D3D">
        <w:t xml:space="preserve"> </w:t>
      </w:r>
      <w:r w:rsidR="003005E7">
        <w:t>She also indicated</w:t>
      </w:r>
      <w:r w:rsidR="00266D3D">
        <w:t xml:space="preserve"> to Ferenz that the</w:t>
      </w:r>
      <w:r w:rsidR="0028581B">
        <w:t xml:space="preserve"> best</w:t>
      </w:r>
      <w:r w:rsidR="00266D3D">
        <w:t xml:space="preserve"> way to address Zamaripa’s testimony </w:t>
      </w:r>
      <w:r w:rsidR="00FF1343">
        <w:t xml:space="preserve">was to </w:t>
      </w:r>
      <w:r w:rsidR="00266D3D">
        <w:t>cross</w:t>
      </w:r>
      <w:r w:rsidR="00FF1343">
        <w:t xml:space="preserve">-examine him </w:t>
      </w:r>
      <w:r w:rsidR="00266D3D">
        <w:t xml:space="preserve">at trial. </w:t>
      </w:r>
    </w:p>
    <w:p w14:paraId="4BA8F99A" w14:textId="1ED5018F" w:rsidR="00AF5877" w:rsidRDefault="00E25649" w:rsidP="00F026CB">
      <w:r>
        <w:tab/>
      </w:r>
      <w:r w:rsidR="00526E50">
        <w:t>D</w:t>
      </w:r>
      <w:r w:rsidR="00736F15">
        <w:t xml:space="preserve">espite the </w:t>
      </w:r>
      <w:r w:rsidR="007D370B" w:rsidRPr="00BC301D">
        <w:rPr>
          <w:i/>
          <w:iCs/>
        </w:rPr>
        <w:t>Marsden</w:t>
      </w:r>
      <w:r w:rsidR="007D370B">
        <w:t xml:space="preserve"> motion, </w:t>
      </w:r>
      <w:r w:rsidR="002109E4">
        <w:t xml:space="preserve">counsel asserted </w:t>
      </w:r>
      <w:r w:rsidR="00BC301D">
        <w:t>that she and Ferenz</w:t>
      </w:r>
      <w:r w:rsidR="007D370B">
        <w:t xml:space="preserve"> worked </w:t>
      </w:r>
      <w:r w:rsidR="005E2352">
        <w:t>“</w:t>
      </w:r>
      <w:r w:rsidR="007D370B">
        <w:t>very well together</w:t>
      </w:r>
      <w:r w:rsidR="005E2352">
        <w:t>.”  S</w:t>
      </w:r>
      <w:r w:rsidR="007D370B">
        <w:t xml:space="preserve">he </w:t>
      </w:r>
      <w:r w:rsidR="005E2352">
        <w:t>recognized that he</w:t>
      </w:r>
      <w:r w:rsidR="007D370B">
        <w:t xml:space="preserve"> maintained his innocence, </w:t>
      </w:r>
      <w:r w:rsidR="005E2352">
        <w:t xml:space="preserve">and that </w:t>
      </w:r>
      <w:r w:rsidR="006D60E9">
        <w:t xml:space="preserve">pleading no </w:t>
      </w:r>
      <w:r w:rsidR="006D60E9">
        <w:lastRenderedPageBreak/>
        <w:t>contest</w:t>
      </w:r>
      <w:r w:rsidR="005E2352">
        <w:t xml:space="preserve"> to the charges was a “hard thing” for him.  </w:t>
      </w:r>
      <w:r w:rsidR="00F37F34">
        <w:t xml:space="preserve">She stated, </w:t>
      </w:r>
      <w:r w:rsidR="005E2352">
        <w:t xml:space="preserve">“I think he’s fighting for his life,” </w:t>
      </w:r>
      <w:r w:rsidR="00035058">
        <w:t xml:space="preserve">and </w:t>
      </w:r>
      <w:r w:rsidR="00125455">
        <w:t xml:space="preserve">that </w:t>
      </w:r>
      <w:r w:rsidR="00035058">
        <w:t xml:space="preserve">she did not take </w:t>
      </w:r>
      <w:r w:rsidR="002A3817">
        <w:t>his complaints about her performance</w:t>
      </w:r>
      <w:r w:rsidR="00035058">
        <w:t xml:space="preserve"> personally.</w:t>
      </w:r>
    </w:p>
    <w:p w14:paraId="11AC1468" w14:textId="634DEF7D" w:rsidR="0099484A" w:rsidRDefault="00E25649" w:rsidP="00F026CB">
      <w:r>
        <w:tab/>
      </w:r>
      <w:r w:rsidR="0022353C">
        <w:t>In response</w:t>
      </w:r>
      <w:r>
        <w:t>, Ferenz stated he “still appreciate[d]</w:t>
      </w:r>
      <w:r w:rsidR="003F0838">
        <w:t>” counsel</w:t>
      </w:r>
      <w:r w:rsidR="001329AB">
        <w:t>, and had faith in her</w:t>
      </w:r>
      <w:r w:rsidR="003F0838">
        <w:t xml:space="preserve">.  He explained he was upset about misunderstanding </w:t>
      </w:r>
      <w:r w:rsidR="00DD5DB1">
        <w:t xml:space="preserve">some of what happened in his case and about </w:t>
      </w:r>
      <w:r w:rsidR="005E2352">
        <w:t xml:space="preserve">a </w:t>
      </w:r>
      <w:r w:rsidR="00DD5DB1">
        <w:t>lack of communication.</w:t>
      </w:r>
      <w:r w:rsidR="00D93CC2">
        <w:t xml:space="preserve"> </w:t>
      </w:r>
      <w:r w:rsidR="00DD5DB1">
        <w:t xml:space="preserve"> He </w:t>
      </w:r>
      <w:r w:rsidR="00C62802">
        <w:t xml:space="preserve">characterized counsel as “very professional,” but stated that she sometimes </w:t>
      </w:r>
      <w:r w:rsidR="00886C55">
        <w:t>“</w:t>
      </w:r>
      <w:r w:rsidR="00C62802">
        <w:t>forgot things</w:t>
      </w:r>
      <w:r w:rsidR="00886C55">
        <w:t>”</w:t>
      </w:r>
      <w:r w:rsidR="00C62802">
        <w:t xml:space="preserve"> that </w:t>
      </w:r>
      <w:r w:rsidR="001329AB">
        <w:t xml:space="preserve">she </w:t>
      </w:r>
      <w:r w:rsidR="00C62802">
        <w:t>promised</w:t>
      </w:r>
      <w:r w:rsidR="001329AB">
        <w:t xml:space="preserve"> to provide to him</w:t>
      </w:r>
      <w:r w:rsidR="00886C55">
        <w:t>, which led Ferenz to panic.</w:t>
      </w:r>
      <w:r w:rsidR="00D93CC2">
        <w:t xml:space="preserve"> </w:t>
      </w:r>
      <w:r w:rsidR="00886C55">
        <w:t xml:space="preserve"> He stated she “did a brilliant job in my last </w:t>
      </w:r>
      <w:r w:rsidR="0032718F">
        <w:t>prelim[inary hearing]</w:t>
      </w:r>
      <w:r w:rsidR="00C64ECF">
        <w:t xml:space="preserve"> .</w:t>
      </w:r>
      <w:r w:rsidR="00D276B1">
        <w:t> </w:t>
      </w:r>
      <w:r w:rsidR="00C64ECF">
        <w:t>.</w:t>
      </w:r>
      <w:r w:rsidR="00FF1AB3">
        <w:t> </w:t>
      </w:r>
      <w:r w:rsidR="00C64ECF">
        <w:t>.</w:t>
      </w:r>
      <w:r w:rsidR="00FF1AB3">
        <w:t> </w:t>
      </w:r>
      <w:r w:rsidR="00C64ECF">
        <w:t xml:space="preserve">.  She did a great job, and I want to use that to prove my innocence, you know.” </w:t>
      </w:r>
      <w:r w:rsidR="00D93CC2">
        <w:t xml:space="preserve"> </w:t>
      </w:r>
      <w:r w:rsidR="001329AB">
        <w:t xml:space="preserve">He did not agree with counsel’s assessment of the strength of Zamaripa’s potential testimony.  </w:t>
      </w:r>
    </w:p>
    <w:p w14:paraId="3B7A2CFA" w14:textId="547791B6" w:rsidR="00FB3BE6" w:rsidRPr="00B5403B" w:rsidRDefault="00E25649" w:rsidP="00F026CB">
      <w:r>
        <w:tab/>
        <w:t xml:space="preserve">The </w:t>
      </w:r>
      <w:r w:rsidR="0022353C">
        <w:t xml:space="preserve">trial </w:t>
      </w:r>
      <w:r>
        <w:t xml:space="preserve">court </w:t>
      </w:r>
      <w:r w:rsidR="0022353C">
        <w:t xml:space="preserve">found that </w:t>
      </w:r>
      <w:r w:rsidR="00706368">
        <w:t>there was not</w:t>
      </w:r>
      <w:r w:rsidR="0022353C">
        <w:t xml:space="preserve"> a breakdown in communication between Ferenz and counsel, and found no conduct on counsel’s part that fell below the standard of care.  The court</w:t>
      </w:r>
      <w:r w:rsidR="004130F4">
        <w:t xml:space="preserve"> denied the motion</w:t>
      </w:r>
      <w:r w:rsidR="0022353C">
        <w:t xml:space="preserve"> for substitution of counsel</w:t>
      </w:r>
      <w:r w:rsidR="004130F4">
        <w:t xml:space="preserve">. </w:t>
      </w:r>
    </w:p>
    <w:p w14:paraId="632A54EF" w14:textId="65896BD8" w:rsidR="002C3375" w:rsidRPr="006432AE" w:rsidRDefault="00E25649" w:rsidP="00F026CB">
      <w:pPr>
        <w:rPr>
          <w:b/>
          <w:bCs/>
        </w:rPr>
      </w:pPr>
      <w:r w:rsidRPr="006432AE">
        <w:rPr>
          <w:b/>
          <w:bCs/>
        </w:rPr>
        <w:tab/>
      </w:r>
      <w:r w:rsidR="009E5720">
        <w:rPr>
          <w:b/>
          <w:bCs/>
        </w:rPr>
        <w:tab/>
      </w:r>
      <w:r w:rsidRPr="006432AE">
        <w:rPr>
          <w:b/>
          <w:bCs/>
        </w:rPr>
        <w:t xml:space="preserve">2.  Legal </w:t>
      </w:r>
      <w:r w:rsidR="00D45C3E">
        <w:rPr>
          <w:b/>
          <w:bCs/>
        </w:rPr>
        <w:t>p</w:t>
      </w:r>
      <w:r w:rsidRPr="006432AE">
        <w:rPr>
          <w:b/>
          <w:bCs/>
        </w:rPr>
        <w:t>rinciples</w:t>
      </w:r>
    </w:p>
    <w:p w14:paraId="43B9B69A" w14:textId="0DA65862" w:rsidR="002C3375" w:rsidRDefault="00E25649" w:rsidP="00F026CB">
      <w:r>
        <w:tab/>
      </w:r>
      <w:r w:rsidRPr="002C3375">
        <w:t xml:space="preserve">“[C]riminal defendants are entitled under the Constitution to the assistance of court-appointed counsel if they are unable to employ private counsel. </w:t>
      </w:r>
      <w:r>
        <w:t xml:space="preserve"> </w:t>
      </w:r>
      <w:r w:rsidRPr="002C3375">
        <w:t xml:space="preserve">However, the decision whether to permit a defendant to discharge his appointed counsel and substitute another attorney during the trial is within the discretion of the trial court, and a defendant has no absolute right to more than one appointed attorney.” </w:t>
      </w:r>
      <w:r>
        <w:t xml:space="preserve"> </w:t>
      </w:r>
      <w:r w:rsidRPr="002C3375">
        <w:t>(</w:t>
      </w:r>
      <w:r w:rsidRPr="002C3375">
        <w:rPr>
          <w:i/>
          <w:iCs/>
        </w:rPr>
        <w:t>Marsden</w:t>
      </w:r>
      <w:r w:rsidRPr="002C3375">
        <w:t xml:space="preserve">, </w:t>
      </w:r>
      <w:r w:rsidRPr="002C3375">
        <w:rPr>
          <w:i/>
          <w:iCs/>
        </w:rPr>
        <w:t>supra</w:t>
      </w:r>
      <w:r w:rsidRPr="002C3375">
        <w:t>, 2 Cal.3d at p. 123.)</w:t>
      </w:r>
      <w:r w:rsidR="00CE25BC">
        <w:t xml:space="preserve">  </w:t>
      </w:r>
      <w:r w:rsidR="00A85FAD">
        <w:t>The trial court must permit the defendant to explain his contention and to relate specific instances of inadequate representation.  A defendant is entitled to relief if the record clearly shows that the appointed counsel is not providing adequate representation o</w:t>
      </w:r>
      <w:r w:rsidR="006D60E9">
        <w:t>r</w:t>
      </w:r>
      <w:r w:rsidR="00A85FAD">
        <w:t xml:space="preserve"> that defendant and counsel have become </w:t>
      </w:r>
      <w:r w:rsidR="006D60E9">
        <w:t>“</w:t>
      </w:r>
      <w:r w:rsidR="00A85FAD">
        <w:t>embroiled in</w:t>
      </w:r>
      <w:r w:rsidR="00DC2D08">
        <w:t xml:space="preserve"> </w:t>
      </w:r>
      <w:r w:rsidR="00A85FAD">
        <w:t>such an irreconcilable conflict</w:t>
      </w:r>
      <w:r w:rsidR="006D60E9">
        <w:t>”</w:t>
      </w:r>
      <w:r w:rsidR="00A85FAD">
        <w:t xml:space="preserve"> that ineffective representa</w:t>
      </w:r>
      <w:r w:rsidR="00DC2D08">
        <w:t>tion</w:t>
      </w:r>
      <w:r w:rsidR="00A85FAD">
        <w:t xml:space="preserve"> is likely to result.  </w:t>
      </w:r>
      <w:r w:rsidR="0060571B">
        <w:t>(</w:t>
      </w:r>
      <w:r w:rsidR="00A85FAD" w:rsidRPr="0061625C">
        <w:rPr>
          <w:i/>
          <w:iCs/>
        </w:rPr>
        <w:t>People v. Hart</w:t>
      </w:r>
      <w:r w:rsidR="00A85FAD">
        <w:t xml:space="preserve"> (1999) 20 Cal.4th 546, 603.) </w:t>
      </w:r>
    </w:p>
    <w:p w14:paraId="7ACC4910" w14:textId="77777777" w:rsidR="00CE25BC" w:rsidRDefault="00E25649" w:rsidP="00CE25BC">
      <w:r>
        <w:tab/>
        <w:t xml:space="preserve">We review the denial of a </w:t>
      </w:r>
      <w:r w:rsidRPr="009271D4">
        <w:rPr>
          <w:i/>
          <w:iCs/>
        </w:rPr>
        <w:t>Marsden</w:t>
      </w:r>
      <w:r>
        <w:t xml:space="preserve"> motion for abuse of discretion.  (</w:t>
      </w:r>
      <w:r w:rsidRPr="009271D4">
        <w:rPr>
          <w:i/>
          <w:iCs/>
        </w:rPr>
        <w:t>People v. Barnett</w:t>
      </w:r>
      <w:r>
        <w:t xml:space="preserve"> (1998) 17 Cal.4th 1044, 1085.)  The “denial of the motion is not an abuse of discretion unless the defendant has shown that a failure to replace the appointed attorney </w:t>
      </w:r>
      <w:r>
        <w:lastRenderedPageBreak/>
        <w:t>would ‘substantially impair’ the defendant’s right to assistance of counsel.”  (</w:t>
      </w:r>
      <w:r w:rsidRPr="0030058E">
        <w:rPr>
          <w:i/>
          <w:iCs/>
        </w:rPr>
        <w:t>People v. Webster</w:t>
      </w:r>
      <w:r>
        <w:t xml:space="preserve"> (1991) 54 Cal.3d 411, 435.)</w:t>
      </w:r>
    </w:p>
    <w:p w14:paraId="05CB7BFB" w14:textId="46271617" w:rsidR="000706C6" w:rsidRDefault="00E25649" w:rsidP="009271D4">
      <w:pPr>
        <w:rPr>
          <w:b/>
          <w:bCs/>
        </w:rPr>
      </w:pPr>
      <w:r w:rsidRPr="00F51128">
        <w:rPr>
          <w:b/>
          <w:bCs/>
        </w:rPr>
        <w:tab/>
      </w:r>
      <w:r w:rsidR="009E5720">
        <w:rPr>
          <w:b/>
          <w:bCs/>
        </w:rPr>
        <w:tab/>
      </w:r>
      <w:r w:rsidRPr="00F51128">
        <w:rPr>
          <w:b/>
          <w:bCs/>
        </w:rPr>
        <w:t>3.  Den</w:t>
      </w:r>
      <w:r w:rsidR="00F51128" w:rsidRPr="00F51128">
        <w:rPr>
          <w:b/>
          <w:bCs/>
        </w:rPr>
        <w:t xml:space="preserve">ial of the </w:t>
      </w:r>
      <w:r w:rsidR="00F51128" w:rsidRPr="00F51128">
        <w:rPr>
          <w:b/>
          <w:bCs/>
          <w:i/>
          <w:iCs/>
        </w:rPr>
        <w:t>Marsden</w:t>
      </w:r>
      <w:r w:rsidR="00F51128" w:rsidRPr="00F51128">
        <w:rPr>
          <w:b/>
          <w:bCs/>
        </w:rPr>
        <w:t xml:space="preserve"> motion was not an abuse of discretion</w:t>
      </w:r>
    </w:p>
    <w:p w14:paraId="42DB8ECB" w14:textId="1CFF6C88" w:rsidR="002C10BA" w:rsidRDefault="00E25649" w:rsidP="009271D4">
      <w:r>
        <w:rPr>
          <w:b/>
          <w:bCs/>
        </w:rPr>
        <w:tab/>
      </w:r>
      <w:r w:rsidR="001F5C66">
        <w:t xml:space="preserve">Ferenz argues that </w:t>
      </w:r>
      <w:r w:rsidR="00257C68">
        <w:t xml:space="preserve">his “ongoing conflict” with counsel </w:t>
      </w:r>
      <w:r w:rsidR="00357630">
        <w:t>“resulted in the deterioration of the attorney-client relationship to the point where there was a complete breakdown in communication.”</w:t>
      </w:r>
      <w:r w:rsidR="00D93CC2">
        <w:t xml:space="preserve"> </w:t>
      </w:r>
      <w:r w:rsidR="00C44437">
        <w:t xml:space="preserve"> He asserts that his complaint is with counsel’s conduct “outside the courtroom</w:t>
      </w:r>
      <w:r w:rsidR="00BE34EE">
        <w:t xml:space="preserve"> and her failure to honestly and consistently communicate with him regarding his defense.” </w:t>
      </w:r>
      <w:r w:rsidR="00D93CC2">
        <w:t xml:space="preserve"> </w:t>
      </w:r>
      <w:r w:rsidR="00BE34EE">
        <w:t>He highlights “five areas of concern</w:t>
      </w:r>
      <w:r w:rsidR="000B64B6">
        <w:t>”</w:t>
      </w:r>
      <w:r w:rsidR="003535E1">
        <w:t>:</w:t>
      </w:r>
      <w:r w:rsidR="000B64B6">
        <w:t xml:space="preserve"> </w:t>
      </w:r>
      <w:r w:rsidR="00D93CC2">
        <w:t xml:space="preserve"> </w:t>
      </w:r>
      <w:r w:rsidR="0017576B">
        <w:t>(1)</w:t>
      </w:r>
      <w:r w:rsidR="00AF02CE">
        <w:t> </w:t>
      </w:r>
      <w:r w:rsidR="006D72F7">
        <w:t>counsel’s office fail</w:t>
      </w:r>
      <w:r w:rsidR="006D60E9">
        <w:t>ure</w:t>
      </w:r>
      <w:r w:rsidR="006D72F7">
        <w:t xml:space="preserve"> to take his phone calls</w:t>
      </w:r>
      <w:r w:rsidR="0017576B">
        <w:t>; (2)</w:t>
      </w:r>
      <w:r w:rsidR="00AF02CE">
        <w:t> </w:t>
      </w:r>
      <w:r w:rsidR="006D60E9">
        <w:t xml:space="preserve">the removal of </w:t>
      </w:r>
      <w:r w:rsidR="0017576B">
        <w:t>his tablet computer</w:t>
      </w:r>
      <w:r w:rsidR="000B64B6">
        <w:t>; (3)</w:t>
      </w:r>
      <w:r w:rsidR="00D93CC2">
        <w:t> </w:t>
      </w:r>
      <w:r w:rsidR="00636C3D">
        <w:t>the consequences of counsel’s outreach to Zamaripa; (4)</w:t>
      </w:r>
      <w:r w:rsidR="00AF02CE">
        <w:t> </w:t>
      </w:r>
      <w:r w:rsidR="00636C3D">
        <w:t>counsel’s failure to “keep her promises,” especially with respect to Ferenz’s medical care; and (5)</w:t>
      </w:r>
      <w:r w:rsidR="00F7743E">
        <w:t> </w:t>
      </w:r>
      <w:r w:rsidR="00636C3D">
        <w:t xml:space="preserve">“a basic conflict over the defense of the case.” </w:t>
      </w:r>
      <w:r w:rsidR="00D93CC2">
        <w:t xml:space="preserve"> </w:t>
      </w:r>
      <w:r w:rsidR="00494B6E">
        <w:t xml:space="preserve">He asserts that while individually these purported deficiencies might not amount to ineffective assistance of counsel, </w:t>
      </w:r>
      <w:r w:rsidR="00BB63C0">
        <w:t>“there was a complete breakdown in communication” bet</w:t>
      </w:r>
      <w:r w:rsidR="006360DD">
        <w:t>ween Ferenz and his attorney that compelled substitution of counsel</w:t>
      </w:r>
      <w:r w:rsidR="00494B6E">
        <w:t>.</w:t>
      </w:r>
    </w:p>
    <w:p w14:paraId="0D03ABF5" w14:textId="4EC28E1D" w:rsidR="00F00274" w:rsidRDefault="00E25649" w:rsidP="009271D4">
      <w:r>
        <w:tab/>
      </w:r>
      <w:r w:rsidR="00BB63C0">
        <w:t xml:space="preserve">Our review of the record </w:t>
      </w:r>
      <w:r w:rsidR="0060571B">
        <w:t>shows no abuse of discretion</w:t>
      </w:r>
      <w:r w:rsidR="00BB63C0">
        <w:t>.  The trial court’s finding that counsel’s</w:t>
      </w:r>
      <w:r w:rsidR="00A85FAD">
        <w:t xml:space="preserve"> performance did not fall below the legal standard of care </w:t>
      </w:r>
      <w:r w:rsidR="00706368">
        <w:t>i</w:t>
      </w:r>
      <w:r w:rsidR="00A85FAD">
        <w:t xml:space="preserve">s well supported.  </w:t>
      </w:r>
      <w:r w:rsidR="001D2C26">
        <w:t xml:space="preserve">Counsel </w:t>
      </w:r>
      <w:r w:rsidR="006B4926">
        <w:t xml:space="preserve">addressed </w:t>
      </w:r>
      <w:r w:rsidR="00AB41BB">
        <w:t>Ferenz’s complaints</w:t>
      </w:r>
      <w:r w:rsidR="00DC2D08">
        <w:t xml:space="preserve"> point by point</w:t>
      </w:r>
      <w:r w:rsidR="00A85FAD">
        <w:t>.</w:t>
      </w:r>
      <w:r w:rsidR="00242DE5">
        <w:t xml:space="preserve"> </w:t>
      </w:r>
      <w:r w:rsidR="00D93CC2">
        <w:t xml:space="preserve"> </w:t>
      </w:r>
      <w:r w:rsidR="00A85FAD">
        <w:t xml:space="preserve">She </w:t>
      </w:r>
      <w:r w:rsidR="00F96B44">
        <w:t xml:space="preserve">confirmed she had spoken to Ferenz </w:t>
      </w:r>
      <w:r w:rsidR="00706368">
        <w:t>many times for many hours, both</w:t>
      </w:r>
      <w:r w:rsidR="00A364C4">
        <w:t xml:space="preserve"> in person and</w:t>
      </w:r>
      <w:r w:rsidR="0020688A">
        <w:t>, once the COVID</w:t>
      </w:r>
      <w:r w:rsidR="00965587">
        <w:t>-19</w:t>
      </w:r>
      <w:r w:rsidR="0020688A">
        <w:t xml:space="preserve"> pandemic commenced,</w:t>
      </w:r>
      <w:r w:rsidR="00A364C4">
        <w:t xml:space="preserve"> </w:t>
      </w:r>
      <w:r w:rsidR="007E7900">
        <w:t>via videoconference</w:t>
      </w:r>
      <w:r w:rsidR="0020688A">
        <w:t>;</w:t>
      </w:r>
      <w:r w:rsidR="00F96B44">
        <w:t xml:space="preserve"> that the tablet computer removal </w:t>
      </w:r>
      <w:r w:rsidR="007E7900">
        <w:t>was a matter of policy due to damage</w:t>
      </w:r>
      <w:r w:rsidR="006D60E9">
        <w:t xml:space="preserve"> and that she provided a substitute means to review discovery</w:t>
      </w:r>
      <w:r w:rsidR="0020688A">
        <w:t>;</w:t>
      </w:r>
      <w:r w:rsidR="00F96B44">
        <w:t xml:space="preserve"> </w:t>
      </w:r>
      <w:r w:rsidR="007A132E">
        <w:t xml:space="preserve">that she had done everything she could </w:t>
      </w:r>
      <w:r w:rsidR="00DC2D08">
        <w:t xml:space="preserve">on her end </w:t>
      </w:r>
      <w:r w:rsidR="0020688A">
        <w:t xml:space="preserve">to obtain </w:t>
      </w:r>
      <w:r w:rsidR="007A132E">
        <w:t>Ferenz’s medical care</w:t>
      </w:r>
      <w:r w:rsidR="0020688A">
        <w:t>;</w:t>
      </w:r>
      <w:r w:rsidR="007A132E">
        <w:t xml:space="preserve"> </w:t>
      </w:r>
      <w:r w:rsidR="007E7900">
        <w:t xml:space="preserve">that Ferenz’s mother </w:t>
      </w:r>
      <w:r w:rsidR="006D60E9">
        <w:t>was</w:t>
      </w:r>
      <w:r w:rsidR="007E7900">
        <w:t xml:space="preserve"> interviewed</w:t>
      </w:r>
      <w:r w:rsidR="0020688A">
        <w:t>;</w:t>
      </w:r>
      <w:r w:rsidR="007E7900">
        <w:t xml:space="preserve"> and</w:t>
      </w:r>
      <w:r w:rsidR="002411DC">
        <w:t xml:space="preserve"> that she had not done anything to encourage Zamaripa to burn down Doe 4’s tent. </w:t>
      </w:r>
      <w:r w:rsidR="00D93CC2">
        <w:t xml:space="preserve"> </w:t>
      </w:r>
      <w:r w:rsidR="002A3817">
        <w:t>“</w:t>
      </w:r>
      <w:r w:rsidR="00DC2D08">
        <w:t>T</w:t>
      </w:r>
      <w:r w:rsidR="002A3817">
        <w:t>o the extent there was a credibility question between defendant and counsel at the hearing, the court was ‘entitled to accept counsel’s explanation[s].’</w:t>
      </w:r>
      <w:r w:rsidR="00A039A9">
        <w:t> </w:t>
      </w:r>
      <w:r w:rsidR="002A3817">
        <w:t>”  (</w:t>
      </w:r>
      <w:r w:rsidR="00DC2D08">
        <w:rPr>
          <w:i/>
          <w:iCs/>
        </w:rPr>
        <w:t xml:space="preserve">People v. Smith </w:t>
      </w:r>
      <w:r w:rsidR="00DC2D08" w:rsidRPr="0061625C">
        <w:t>(1993) 6 Cal</w:t>
      </w:r>
      <w:r w:rsidR="006B4926">
        <w:t>.</w:t>
      </w:r>
      <w:r w:rsidR="00DC2D08" w:rsidRPr="0061625C">
        <w:t>4th 684, 696</w:t>
      </w:r>
      <w:r w:rsidR="006B4926">
        <w:t>,</w:t>
      </w:r>
      <w:r w:rsidR="00DC2D08" w:rsidRPr="0061625C">
        <w:t xml:space="preserve"> citing </w:t>
      </w:r>
      <w:r w:rsidR="00DC2D08">
        <w:rPr>
          <w:i/>
          <w:iCs/>
        </w:rPr>
        <w:t xml:space="preserve">People v. Webster, </w:t>
      </w:r>
      <w:r w:rsidR="00DC2D08" w:rsidRPr="004B5FF8">
        <w:rPr>
          <w:i/>
          <w:iCs/>
        </w:rPr>
        <w:t>supra</w:t>
      </w:r>
      <w:r w:rsidR="004B5FF8">
        <w:rPr>
          <w:i/>
          <w:iCs/>
        </w:rPr>
        <w:t>,</w:t>
      </w:r>
      <w:r w:rsidR="00DC2D08">
        <w:rPr>
          <w:i/>
          <w:iCs/>
        </w:rPr>
        <w:t xml:space="preserve"> </w:t>
      </w:r>
      <w:r w:rsidR="00DC2D08" w:rsidRPr="0061625C">
        <w:t>54 Cal.3d at p. 436.)</w:t>
      </w:r>
      <w:r w:rsidR="002A3817">
        <w:t xml:space="preserve"> </w:t>
      </w:r>
      <w:r w:rsidR="007A132E">
        <w:t xml:space="preserve">  </w:t>
      </w:r>
    </w:p>
    <w:p w14:paraId="3C143C25" w14:textId="4FBD8F43" w:rsidR="00DC2D08" w:rsidRDefault="00E25649" w:rsidP="009271D4">
      <w:r>
        <w:lastRenderedPageBreak/>
        <w:tab/>
        <w:t xml:space="preserve">Ferenz asserts that </w:t>
      </w:r>
      <w:r w:rsidR="00442B4B">
        <w:t xml:space="preserve">there was a breakdown in communication between </w:t>
      </w:r>
      <w:r w:rsidR="00CD7DF1">
        <w:t xml:space="preserve">himself and </w:t>
      </w:r>
      <w:r w:rsidR="00442B4B">
        <w:t>counsel</w:t>
      </w:r>
      <w:r w:rsidR="00CD7DF1">
        <w:t xml:space="preserve">, and that </w:t>
      </w:r>
      <w:r w:rsidR="00C32607">
        <w:t xml:space="preserve">good communication is “essential for constitutionally effective assistance.” </w:t>
      </w:r>
      <w:r w:rsidR="00D93CC2">
        <w:t xml:space="preserve"> </w:t>
      </w:r>
      <w:r w:rsidR="0020688A">
        <w:t xml:space="preserve">Counsel met many times with Ferenz, and the fact that she did not respond immediately to each of his concerns </w:t>
      </w:r>
      <w:r w:rsidR="00BF638C">
        <w:t>does not provide</w:t>
      </w:r>
      <w:r w:rsidR="0020688A">
        <w:t xml:space="preserve"> grounds for her removal.  Ferenz argues that counsel’s purported lack of communication caused him to panic, but a defendant “may not force the substitution of counsel by his own conduct that manufactures a conflict.”  (</w:t>
      </w:r>
      <w:r w:rsidR="0020688A" w:rsidRPr="00C003E9">
        <w:rPr>
          <w:i/>
          <w:iCs/>
        </w:rPr>
        <w:t>People v. Smith</w:t>
      </w:r>
      <w:r w:rsidR="0020688A">
        <w:t xml:space="preserve">, </w:t>
      </w:r>
      <w:r w:rsidR="0020688A" w:rsidRPr="0030058E">
        <w:rPr>
          <w:i/>
          <w:iCs/>
        </w:rPr>
        <w:t>supra</w:t>
      </w:r>
      <w:r w:rsidR="0020688A">
        <w:t>, 6 Cal.4th at p. 697.)  Further,</w:t>
      </w:r>
      <w:r w:rsidR="0060571B">
        <w:t xml:space="preserve"> Ferenz’s assertion that communication had broken down </w:t>
      </w:r>
      <w:r w:rsidR="00BF638C">
        <w:t xml:space="preserve">between them </w:t>
      </w:r>
      <w:r w:rsidR="0060571B">
        <w:t xml:space="preserve">was not shared by his attorney, who expressed </w:t>
      </w:r>
      <w:r w:rsidR="0024345D">
        <w:t>sym</w:t>
      </w:r>
      <w:r w:rsidR="0060571B">
        <w:t>pathy for his circumstances</w:t>
      </w:r>
      <w:r w:rsidR="006B4926">
        <w:t xml:space="preserve"> and a willingness to continue to work</w:t>
      </w:r>
      <w:r w:rsidR="008220C4">
        <w:t xml:space="preserve"> </w:t>
      </w:r>
      <w:r w:rsidR="006B4926">
        <w:t>with him</w:t>
      </w:r>
      <w:r w:rsidR="0060571B">
        <w:t>.</w:t>
      </w:r>
      <w:r>
        <w:t xml:space="preserve">  </w:t>
      </w:r>
    </w:p>
    <w:p w14:paraId="54228F57" w14:textId="22D05560" w:rsidR="004624B4" w:rsidRDefault="00E25649" w:rsidP="009271D4">
      <w:r>
        <w:tab/>
      </w:r>
      <w:r w:rsidR="00E82A19">
        <w:t>Ferenz asserts that he and counsel fundamentally disagreed over his defense</w:t>
      </w:r>
      <w:r w:rsidR="00BF638C">
        <w:t xml:space="preserve">.  </w:t>
      </w:r>
      <w:r w:rsidR="00E82A19">
        <w:t xml:space="preserve">However, a fair reading of the record indicates </w:t>
      </w:r>
      <w:r w:rsidR="006B4926">
        <w:t xml:space="preserve">that </w:t>
      </w:r>
      <w:r w:rsidR="00192DC8">
        <w:t xml:space="preserve">although </w:t>
      </w:r>
      <w:r w:rsidR="006B4926">
        <w:t xml:space="preserve">Ferenz asserted his innocence, </w:t>
      </w:r>
      <w:r w:rsidR="00192DC8">
        <w:t xml:space="preserve">he </w:t>
      </w:r>
      <w:r w:rsidR="006B4926">
        <w:t xml:space="preserve">followed counsel’s advice that a negotiated disposition was his best option given the strength of the evidence against him.  Indeed, appointed counsel empathized with Ferenz and agreed that it was difficult to so advise him.  It was </w:t>
      </w:r>
      <w:r w:rsidR="00192DC8">
        <w:t>only</w:t>
      </w:r>
      <w:r w:rsidR="006B4926">
        <w:t xml:space="preserve"> after entering </w:t>
      </w:r>
      <w:r w:rsidR="00192DC8">
        <w:t>the pleas of no contest</w:t>
      </w:r>
      <w:r w:rsidR="006B4926">
        <w:t xml:space="preserve"> that he moved to substitute counsel.  </w:t>
      </w:r>
      <w:r w:rsidR="00E82A19">
        <w:t xml:space="preserve">Notably, </w:t>
      </w:r>
      <w:r w:rsidR="00192DC8">
        <w:t>Ferenz</w:t>
      </w:r>
      <w:r w:rsidR="006B4926">
        <w:t xml:space="preserve"> did not assert that his </w:t>
      </w:r>
      <w:r w:rsidR="00BF638C">
        <w:t>decision to plead no contest was</w:t>
      </w:r>
      <w:r w:rsidR="006B4926">
        <w:t xml:space="preserve"> obtained through misrepresentation</w:t>
      </w:r>
      <w:r w:rsidR="00BF638C">
        <w:t>,</w:t>
      </w:r>
      <w:r w:rsidR="006B4926">
        <w:t xml:space="preserve"> coercion</w:t>
      </w:r>
      <w:r w:rsidR="00BF638C">
        <w:t xml:space="preserve">, or even pressure </w:t>
      </w:r>
      <w:r w:rsidR="006B4926">
        <w:t>by counsel.  Rather, he</w:t>
      </w:r>
      <w:r w:rsidR="000C39F6">
        <w:t xml:space="preserve"> expressed admiration for counsel’s courtroom advocacy, and</w:t>
      </w:r>
      <w:r w:rsidR="006B4926">
        <w:t xml:space="preserve"> wished he could utilize </w:t>
      </w:r>
      <w:r w:rsidR="000C39F6">
        <w:t>her skills</w:t>
      </w:r>
      <w:r w:rsidR="006B4926">
        <w:t xml:space="preserve"> to assist him to fight the case</w:t>
      </w:r>
      <w:r w:rsidR="000C39F6">
        <w:t xml:space="preserve"> at trial</w:t>
      </w:r>
      <w:r w:rsidR="006B4926">
        <w:t xml:space="preserve">.  </w:t>
      </w:r>
      <w:r w:rsidR="00192DC8">
        <w:t xml:space="preserve">Ferenz’s regret over his decision to enter into the negotiated </w:t>
      </w:r>
      <w:r w:rsidR="000C39F6">
        <w:t>resolution of his case</w:t>
      </w:r>
      <w:r w:rsidR="00192DC8">
        <w:t xml:space="preserve"> does not establish </w:t>
      </w:r>
      <w:r w:rsidR="00BF638C">
        <w:t xml:space="preserve">that there was </w:t>
      </w:r>
      <w:r w:rsidR="00192DC8">
        <w:t xml:space="preserve">an irreconcilable conflict </w:t>
      </w:r>
      <w:r w:rsidR="00BF638C">
        <w:t>between him and appointed counsel</w:t>
      </w:r>
      <w:r w:rsidR="00192DC8">
        <w:t xml:space="preserve">.  </w:t>
      </w:r>
      <w:r w:rsidR="006B4926">
        <w:t xml:space="preserve">  </w:t>
      </w:r>
    </w:p>
    <w:p w14:paraId="0A33C682" w14:textId="67DCADE0" w:rsidR="00594628" w:rsidRDefault="00E25649" w:rsidP="009271D4">
      <w:r>
        <w:tab/>
        <w:t xml:space="preserve">In sum, </w:t>
      </w:r>
      <w:r w:rsidR="006B4926">
        <w:t xml:space="preserve">we find no basis to </w:t>
      </w:r>
      <w:r w:rsidR="00CA4894">
        <w:t>conclude</w:t>
      </w:r>
      <w:r w:rsidR="006B4926">
        <w:t xml:space="preserve"> that the </w:t>
      </w:r>
      <w:r w:rsidR="00C649C9">
        <w:t>trial court abuse</w:t>
      </w:r>
      <w:r w:rsidR="006B4926">
        <w:t>d</w:t>
      </w:r>
      <w:r w:rsidR="00C649C9">
        <w:t xml:space="preserve"> its discretion by denying </w:t>
      </w:r>
      <w:r w:rsidR="000629DF">
        <w:t>Ferenz’s</w:t>
      </w:r>
      <w:r w:rsidR="00C649C9">
        <w:t xml:space="preserve"> motion to substitute counsel. </w:t>
      </w:r>
    </w:p>
    <w:p w14:paraId="0E019DD3" w14:textId="7C19821C" w:rsidR="001D085C" w:rsidRDefault="00E25649" w:rsidP="009271D4">
      <w:pPr>
        <w:rPr>
          <w:b/>
          <w:bCs/>
        </w:rPr>
      </w:pPr>
      <w:r w:rsidRPr="006432AE">
        <w:rPr>
          <w:b/>
          <w:bCs/>
        </w:rPr>
        <w:tab/>
        <w:t xml:space="preserve">B.  Section 1203.01 Statement of View </w:t>
      </w:r>
    </w:p>
    <w:p w14:paraId="29363E27" w14:textId="043F1E7A" w:rsidR="00B063BF" w:rsidRDefault="00E25649" w:rsidP="009271D4">
      <w:r>
        <w:rPr>
          <w:b/>
          <w:bCs/>
        </w:rPr>
        <w:tab/>
      </w:r>
      <w:r w:rsidR="00006D29">
        <w:t xml:space="preserve">Ferenz argues that the trial court erred by </w:t>
      </w:r>
      <w:r w:rsidR="008E7FF2">
        <w:t>declining</w:t>
      </w:r>
      <w:r w:rsidR="00006D29">
        <w:t xml:space="preserve"> to strik</w:t>
      </w:r>
      <w:r w:rsidR="008B5DD1">
        <w:t>e extraneous material attached to the prosecutor’s statement of view.</w:t>
      </w:r>
      <w:r w:rsidR="00D93CC2">
        <w:t xml:space="preserve"> </w:t>
      </w:r>
      <w:r w:rsidR="006502C3" w:rsidRPr="006502C3">
        <w:t xml:space="preserve"> </w:t>
      </w:r>
      <w:r w:rsidR="002D7AD9">
        <w:t>Ferenz</w:t>
      </w:r>
      <w:r w:rsidR="006502C3" w:rsidRPr="006502C3">
        <w:t xml:space="preserve"> </w:t>
      </w:r>
      <w:r w:rsidR="006502C3">
        <w:t>asserts</w:t>
      </w:r>
      <w:r w:rsidR="006502C3" w:rsidRPr="006502C3">
        <w:t xml:space="preserve"> that the </w:t>
      </w:r>
      <w:r w:rsidR="006502C3">
        <w:t xml:space="preserve">material was </w:t>
      </w:r>
      <w:r w:rsidR="006502C3">
        <w:lastRenderedPageBreak/>
        <w:t>impermissible</w:t>
      </w:r>
      <w:r w:rsidR="006502C3" w:rsidRPr="006502C3">
        <w:t xml:space="preserve"> under the statute</w:t>
      </w:r>
      <w:r w:rsidR="006502C3">
        <w:t>,</w:t>
      </w:r>
      <w:r w:rsidR="006502C3" w:rsidRPr="006502C3">
        <w:t xml:space="preserve"> </w:t>
      </w:r>
      <w:r w:rsidR="00901546">
        <w:t>and its</w:t>
      </w:r>
      <w:r w:rsidR="006502C3" w:rsidRPr="006502C3">
        <w:t xml:space="preserve"> inclusion violated the hearsay rule, his </w:t>
      </w:r>
      <w:r w:rsidR="006502C3">
        <w:t xml:space="preserve">constitutional </w:t>
      </w:r>
      <w:r w:rsidR="006502C3" w:rsidRPr="006502C3">
        <w:t>right to confrontation, and his right to due process</w:t>
      </w:r>
      <w:r w:rsidR="00901546">
        <w:t>.</w:t>
      </w:r>
      <w:r w:rsidR="006502C3" w:rsidRPr="006502C3">
        <w:t xml:space="preserve"> </w:t>
      </w:r>
      <w:r w:rsidR="00D93CC2">
        <w:t xml:space="preserve"> </w:t>
      </w:r>
      <w:r w:rsidR="00901546">
        <w:t xml:space="preserve">The Attorney General argues that </w:t>
      </w:r>
      <w:r w:rsidR="00E02D84">
        <w:t xml:space="preserve">the trial court properly allowed the material to be included, and that </w:t>
      </w:r>
      <w:r w:rsidR="00F36BCE">
        <w:t xml:space="preserve">Ferenz’s other claims about the material are meritless. </w:t>
      </w:r>
    </w:p>
    <w:p w14:paraId="78A5FD81" w14:textId="1D4C6C73" w:rsidR="00901546" w:rsidRDefault="00E25649" w:rsidP="009271D4">
      <w:r>
        <w:tab/>
      </w:r>
      <w:r w:rsidR="000C39F6">
        <w:t>B</w:t>
      </w:r>
      <w:r w:rsidR="00F96DE7">
        <w:t xml:space="preserve">ased on the plain language of the statute, </w:t>
      </w:r>
      <w:r w:rsidR="000C39F6">
        <w:t xml:space="preserve">we conclude that </w:t>
      </w:r>
      <w:r w:rsidR="00F96DE7">
        <w:t xml:space="preserve">the challenged material </w:t>
      </w:r>
      <w:r w:rsidR="00CC4BAE">
        <w:t xml:space="preserve">was not </w:t>
      </w:r>
      <w:r w:rsidR="000C39F6">
        <w:t xml:space="preserve">expressly </w:t>
      </w:r>
      <w:r w:rsidR="00CC4BAE">
        <w:t>precluded</w:t>
      </w:r>
      <w:r w:rsidR="009F4C36">
        <w:t xml:space="preserve"> and that the court had inherent authority to accept the material</w:t>
      </w:r>
      <w:r>
        <w:t xml:space="preserve">.  The trial court </w:t>
      </w:r>
      <w:r w:rsidR="00811C4A">
        <w:t xml:space="preserve">therefore did not err by declining to </w:t>
      </w:r>
      <w:r w:rsidR="0024345D">
        <w:t>strike or remove</w:t>
      </w:r>
      <w:r w:rsidR="00811C4A">
        <w:t xml:space="preserve"> it.  </w:t>
      </w:r>
      <w:r w:rsidR="00BF638C">
        <w:t>W</w:t>
      </w:r>
      <w:r>
        <w:t xml:space="preserve">e determine that </w:t>
      </w:r>
      <w:r w:rsidR="00811C4A">
        <w:t xml:space="preserve">Ferenz’s hearsay, confrontation clause, and due process claims are </w:t>
      </w:r>
      <w:r w:rsidR="0024345D">
        <w:t>premature</w:t>
      </w:r>
      <w:r w:rsidR="00811C4A">
        <w:t>.</w:t>
      </w:r>
    </w:p>
    <w:p w14:paraId="72248E93" w14:textId="6AC618E4" w:rsidR="009C6C71" w:rsidRDefault="00E25649" w:rsidP="009271D4">
      <w:pPr>
        <w:rPr>
          <w:b/>
          <w:bCs/>
        </w:rPr>
      </w:pPr>
      <w:r w:rsidRPr="00811C4A">
        <w:rPr>
          <w:b/>
          <w:bCs/>
        </w:rPr>
        <w:tab/>
      </w:r>
      <w:r w:rsidR="009E5720">
        <w:rPr>
          <w:b/>
          <w:bCs/>
        </w:rPr>
        <w:tab/>
      </w:r>
      <w:r w:rsidRPr="00811C4A">
        <w:rPr>
          <w:b/>
          <w:bCs/>
        </w:rPr>
        <w:t>1.  Background</w:t>
      </w:r>
    </w:p>
    <w:p w14:paraId="10F8A390" w14:textId="24DFAEC6" w:rsidR="00752FAE" w:rsidRDefault="00E25649" w:rsidP="00F23899">
      <w:r>
        <w:rPr>
          <w:b/>
          <w:bCs/>
        </w:rPr>
        <w:tab/>
      </w:r>
      <w:r>
        <w:t xml:space="preserve">Prior to sentencing, the prosecutor submitted a </w:t>
      </w:r>
      <w:r w:rsidR="006F6BA1">
        <w:t xml:space="preserve">statement of view pursuant to section 1203.01. </w:t>
      </w:r>
      <w:r w:rsidR="00D93CC2">
        <w:t xml:space="preserve"> </w:t>
      </w:r>
      <w:r w:rsidR="00723AE5">
        <w:t xml:space="preserve">The prosecutor did so to </w:t>
      </w:r>
      <w:r w:rsidR="00F23899">
        <w:t>“assist the Department of Corrections and Rehabilitation in their efforts to rehabilitate Mr. Ferenz and provide him with relevant sex offender treatment and, to the extent such treatment during his period of incarceration proves ineffective, to assist the Department in evaluating Mr. Ferenz for further commitment as a Sexually Violent Predator</w:t>
      </w:r>
      <w:r w:rsidR="00FD558C">
        <w:t xml:space="preserve"> [SVP]</w:t>
      </w:r>
      <w:r w:rsidR="00F23899">
        <w:t>.”  The prosecutor believed that “such a commitment under the SVP Act will likely be necessary to protect the community from what appear to be Mr. Ferenz’s pathological, violent, and sadistic sexual urges, which he appears to lack either the will or ability to control.”</w:t>
      </w:r>
      <w:r w:rsidR="00541E26">
        <w:t xml:space="preserve"> </w:t>
      </w:r>
      <w:r w:rsidR="00D93CC2">
        <w:t xml:space="preserve"> </w:t>
      </w:r>
      <w:r w:rsidR="00541E26">
        <w:t xml:space="preserve">Attached to the statement were sixteen exhibits, including police reports, district attorney investigative reports, interview transcripts, preliminary hearing transcripts, and </w:t>
      </w:r>
      <w:r w:rsidR="0060689E">
        <w:t xml:space="preserve">records of Ferenz’s prior convictions. </w:t>
      </w:r>
    </w:p>
    <w:p w14:paraId="2FBAAA15" w14:textId="180752E7" w:rsidR="009C6C71" w:rsidRDefault="00E25649" w:rsidP="00F23899">
      <w:r>
        <w:tab/>
        <w:t>F</w:t>
      </w:r>
      <w:r w:rsidR="003250D2">
        <w:t xml:space="preserve">erenz </w:t>
      </w:r>
      <w:r w:rsidR="006C370C">
        <w:t xml:space="preserve">filed objections and moved </w:t>
      </w:r>
      <w:r w:rsidR="00681E15">
        <w:t>to strike</w:t>
      </w:r>
      <w:r w:rsidR="00AA0D55">
        <w:t xml:space="preserve"> all or</w:t>
      </w:r>
      <w:r w:rsidR="00681E15">
        <w:t xml:space="preserve"> portions of the section 1203.01 statement. </w:t>
      </w:r>
      <w:r w:rsidR="00D93CC2">
        <w:t xml:space="preserve"> </w:t>
      </w:r>
      <w:r w:rsidR="00652C23">
        <w:t xml:space="preserve">While acknowledging </w:t>
      </w:r>
      <w:r w:rsidR="003B1506">
        <w:t xml:space="preserve">that the prosecutor is permitted to </w:t>
      </w:r>
      <w:r w:rsidR="00B17295">
        <w:t>file the statement, Ferenz argue</w:t>
      </w:r>
      <w:r w:rsidR="00AA65D4">
        <w:t>d</w:t>
      </w:r>
      <w:r w:rsidR="00B17295">
        <w:t xml:space="preserve"> it</w:t>
      </w:r>
      <w:r w:rsidR="00D71DB0">
        <w:t xml:space="preserve"> went “well beyond the scope of ‘the crime committed’</w:t>
      </w:r>
      <w:r w:rsidR="00337EE6">
        <w:t> </w:t>
      </w:r>
      <w:r w:rsidR="00D71DB0">
        <w:t>” because it included statements and exhibits related to uncharged conduct</w:t>
      </w:r>
      <w:r w:rsidR="00A91830">
        <w:t xml:space="preserve">, dismissed counts, or allegations that were not substantiated. </w:t>
      </w:r>
      <w:r w:rsidR="00D93CC2">
        <w:t xml:space="preserve"> </w:t>
      </w:r>
      <w:r w:rsidR="00677891">
        <w:t xml:space="preserve">He also asserted that some of the material </w:t>
      </w:r>
      <w:r w:rsidR="00677891">
        <w:lastRenderedPageBreak/>
        <w:t>included hearsay</w:t>
      </w:r>
      <w:r w:rsidR="00FD43AF">
        <w:t xml:space="preserve">, and that the use of the material violated his confrontation rights, his right to due process, and his right to trial. </w:t>
      </w:r>
    </w:p>
    <w:p w14:paraId="498340F9" w14:textId="25D1F424" w:rsidR="00F971BF" w:rsidRDefault="00E25649" w:rsidP="004D3691">
      <w:r>
        <w:tab/>
        <w:t>Prior to sentencing, the trial court heard argument</w:t>
      </w:r>
      <w:r w:rsidR="008220C4">
        <w:t>s</w:t>
      </w:r>
      <w:r>
        <w:t xml:space="preserve"> concerning Ferenz’s motion</w:t>
      </w:r>
      <w:r w:rsidR="0024345D">
        <w:t xml:space="preserve"> and declined to grant it</w:t>
      </w:r>
      <w:r>
        <w:t xml:space="preserve">. </w:t>
      </w:r>
      <w:r w:rsidR="00D93CC2">
        <w:t xml:space="preserve"> </w:t>
      </w:r>
      <w:r w:rsidR="00E617B7">
        <w:t xml:space="preserve">The court </w:t>
      </w:r>
      <w:r w:rsidR="003C4803">
        <w:t xml:space="preserve">stated, based on its “read of the statute, </w:t>
      </w:r>
      <w:r w:rsidR="004D3691">
        <w:t xml:space="preserve">the police reports can be filed by the law enforcement agency, and so if the DA has permission to file those from the agency, then I think that they can file them.” </w:t>
      </w:r>
      <w:r w:rsidR="00D93CC2">
        <w:t xml:space="preserve"> </w:t>
      </w:r>
      <w:r w:rsidR="004D3691">
        <w:t xml:space="preserve">The court noted that </w:t>
      </w:r>
      <w:r w:rsidR="00A70020">
        <w:t xml:space="preserve">this filing was “subject to, without prejudice, [a] defense motion to preclude some portion of it from consideration </w:t>
      </w:r>
      <w:r w:rsidR="007607CC">
        <w:t xml:space="preserve">by whoever is going to be looking at it and making decisions.” </w:t>
      </w:r>
      <w:r w:rsidR="00D93CC2">
        <w:t xml:space="preserve"> </w:t>
      </w:r>
      <w:r w:rsidR="00791BDC">
        <w:t xml:space="preserve">The court emphasized, “Any objection that you have can be raised on Mr. Ferenz’s behalf at a later time.” </w:t>
      </w:r>
    </w:p>
    <w:p w14:paraId="5D4BFB1F" w14:textId="4A1E4859" w:rsidR="001C2AA0" w:rsidRPr="00F26111" w:rsidRDefault="00E25649" w:rsidP="004D3691">
      <w:pPr>
        <w:rPr>
          <w:b/>
          <w:bCs/>
        </w:rPr>
      </w:pPr>
      <w:r w:rsidRPr="00F26111">
        <w:rPr>
          <w:b/>
          <w:bCs/>
        </w:rPr>
        <w:tab/>
      </w:r>
      <w:r w:rsidR="009E5720">
        <w:rPr>
          <w:b/>
          <w:bCs/>
        </w:rPr>
        <w:tab/>
      </w:r>
      <w:r w:rsidRPr="00F26111">
        <w:rPr>
          <w:b/>
          <w:bCs/>
        </w:rPr>
        <w:t xml:space="preserve">2.  Legal </w:t>
      </w:r>
      <w:r w:rsidR="00D45C3E">
        <w:rPr>
          <w:b/>
          <w:bCs/>
        </w:rPr>
        <w:t>f</w:t>
      </w:r>
      <w:r w:rsidRPr="00F26111">
        <w:rPr>
          <w:b/>
          <w:bCs/>
        </w:rPr>
        <w:t xml:space="preserve">ramework </w:t>
      </w:r>
    </w:p>
    <w:p w14:paraId="283741B9" w14:textId="76D7C9A0" w:rsidR="00E31B47" w:rsidRDefault="00E25649" w:rsidP="004D3691">
      <w:r>
        <w:tab/>
        <w:t xml:space="preserve">Section 1203.01 provides, </w:t>
      </w:r>
      <w:r w:rsidR="005648E8">
        <w:t>“</w:t>
      </w:r>
      <w:r w:rsidR="005648E8" w:rsidRPr="005648E8">
        <w:t>(a)</w:t>
      </w:r>
      <w:r w:rsidR="000871E4">
        <w:t> </w:t>
      </w:r>
      <w:r w:rsidR="005648E8" w:rsidRPr="005648E8">
        <w:t>Immediately after judgment has been pronounced, the judge and the district attorney, respectively, may cause to be filed with the clerk of the court a brief statement of their views respecting the person convicted or sentenced and the crime committed, together with any reports the probation officer may have filed relative to the prisoner.</w:t>
      </w:r>
      <w:r w:rsidR="00A01E36">
        <w:t>”  (§</w:t>
      </w:r>
      <w:r w:rsidR="00DF5DAE">
        <w:t> </w:t>
      </w:r>
      <w:r w:rsidR="00A01E36">
        <w:t>1203, subd. (a).)  It also provides, “</w:t>
      </w:r>
      <w:r w:rsidR="005648E8" w:rsidRPr="005648E8">
        <w:t>The attorney for the defendant and the law enforcement agency that investigated the case may likewise file with the clerk of the court statements of their views respecting the defendant and the crime of which they were convicted.</w:t>
      </w:r>
      <w:r w:rsidR="00650390">
        <w:t>”  (</w:t>
      </w:r>
      <w:r w:rsidR="00650390" w:rsidRPr="00746B02">
        <w:rPr>
          <w:i/>
          <w:iCs/>
        </w:rPr>
        <w:t>Ibid.</w:t>
      </w:r>
      <w:r w:rsidR="00650390">
        <w:t>)  The clerk shall immediately mail the statements and reports to the Department of Corrections and Rehabilitation (CDC</w:t>
      </w:r>
      <w:r w:rsidR="00623380">
        <w:t>R).  (</w:t>
      </w:r>
      <w:r w:rsidR="00623380" w:rsidRPr="00746B02">
        <w:rPr>
          <w:i/>
          <w:iCs/>
        </w:rPr>
        <w:t>Ibid.</w:t>
      </w:r>
      <w:r w:rsidR="00623380">
        <w:t>)</w:t>
      </w:r>
      <w:r w:rsidR="005D3A9C">
        <w:t xml:space="preserve">  The purpose of section 1203.01 is </w:t>
      </w:r>
      <w:r w:rsidR="0052155B">
        <w:t xml:space="preserve">to </w:t>
      </w:r>
      <w:r w:rsidR="00302504">
        <w:t xml:space="preserve">“create a </w:t>
      </w:r>
      <w:r w:rsidR="00302504" w:rsidRPr="00302504">
        <w:t xml:space="preserve">postjudgment </w:t>
      </w:r>
      <w:r w:rsidR="00302504">
        <w:t>record for the benefit of [CDC</w:t>
      </w:r>
      <w:r w:rsidR="00B9558A">
        <w:t>R</w:t>
      </w:r>
      <w:r w:rsidR="007B5D1F">
        <w:t>]</w:t>
      </w:r>
      <w:r w:rsidR="00302504">
        <w:t>.”  (</w:t>
      </w:r>
      <w:r w:rsidR="003F64ED">
        <w:rPr>
          <w:i/>
          <w:iCs/>
        </w:rPr>
        <w:t>In re Cook</w:t>
      </w:r>
      <w:r w:rsidR="00302504">
        <w:t xml:space="preserve"> (2019) 7 Cal.5th 439, 45</w:t>
      </w:r>
      <w:r w:rsidR="0065254C">
        <w:t>2</w:t>
      </w:r>
      <w:r w:rsidR="003F64ED">
        <w:t xml:space="preserve"> (</w:t>
      </w:r>
      <w:r w:rsidR="003F64ED" w:rsidRPr="003F64ED">
        <w:rPr>
          <w:i/>
          <w:iCs/>
        </w:rPr>
        <w:t>Cook</w:t>
      </w:r>
      <w:r w:rsidR="003F64ED">
        <w:t>)</w:t>
      </w:r>
      <w:r w:rsidR="007B5D1F">
        <w:t xml:space="preserve">.) </w:t>
      </w:r>
      <w:r w:rsidR="00650390">
        <w:t xml:space="preserve"> </w:t>
      </w:r>
      <w:r w:rsidR="005648E8" w:rsidRPr="005648E8">
        <w:t xml:space="preserve"> </w:t>
      </w:r>
      <w:r w:rsidR="005648E8">
        <w:t xml:space="preserve"> </w:t>
      </w:r>
    </w:p>
    <w:p w14:paraId="78EA0D35" w14:textId="23250359" w:rsidR="003D6857" w:rsidRDefault="00E25649" w:rsidP="00590A44">
      <w:r>
        <w:tab/>
      </w:r>
      <w:r w:rsidRPr="003D6857">
        <w:t>“We exercise de novo review when we engage in statutory construction.”</w:t>
      </w:r>
      <w:r>
        <w:t xml:space="preserve"> </w:t>
      </w:r>
      <w:r w:rsidRPr="003D6857">
        <w:t xml:space="preserve"> (</w:t>
      </w:r>
      <w:r w:rsidRPr="00671416">
        <w:rPr>
          <w:i/>
          <w:iCs/>
        </w:rPr>
        <w:t>People v. Brackins</w:t>
      </w:r>
      <w:r w:rsidRPr="003D6857">
        <w:t xml:space="preserve"> (2019) 37 Cal.App.5th 56, 65.) </w:t>
      </w:r>
      <w:r>
        <w:t xml:space="preserve"> </w:t>
      </w:r>
      <w:r w:rsidRPr="003D6857">
        <w:t>“Statutory construction begins with the plain, commonsense meaning of the words in the statute, ‘</w:t>
      </w:r>
      <w:r w:rsidR="00590A44">
        <w:t> </w:t>
      </w:r>
      <w:r w:rsidRPr="003D6857">
        <w:t>“because it is generally the most reliable indicator of legislative intent and purpose.”</w:t>
      </w:r>
      <w:r w:rsidR="00590A44">
        <w:t> </w:t>
      </w:r>
      <w:r w:rsidRPr="003D6857">
        <w:t>’</w:t>
      </w:r>
      <w:r w:rsidR="00842B43">
        <w:t xml:space="preserve"> </w:t>
      </w:r>
      <w:r w:rsidRPr="003D6857">
        <w:t xml:space="preserve"> [Citation.] </w:t>
      </w:r>
      <w:r w:rsidR="00842B43">
        <w:t xml:space="preserve"> </w:t>
      </w:r>
      <w:r w:rsidRPr="003D6857">
        <w:t xml:space="preserve">‘When the language of </w:t>
      </w:r>
      <w:r w:rsidRPr="003D6857">
        <w:lastRenderedPageBreak/>
        <w:t>a statute is clear, we need go no further.’</w:t>
      </w:r>
      <w:r w:rsidR="00590A44">
        <w:t> </w:t>
      </w:r>
      <w:r w:rsidRPr="003D6857">
        <w:t>”</w:t>
      </w:r>
      <w:r>
        <w:t xml:space="preserve"> </w:t>
      </w:r>
      <w:r w:rsidRPr="003D6857">
        <w:t xml:space="preserve"> (</w:t>
      </w:r>
      <w:r w:rsidRPr="003D6857">
        <w:rPr>
          <w:i/>
          <w:iCs/>
        </w:rPr>
        <w:t>People v. Manzo</w:t>
      </w:r>
      <w:r w:rsidRPr="003D6857">
        <w:t xml:space="preserve"> (2012) 53 Cal.4th 880, 885.)</w:t>
      </w:r>
    </w:p>
    <w:p w14:paraId="522A19EB" w14:textId="12026137" w:rsidR="00F26111" w:rsidRDefault="00E25649" w:rsidP="00456620">
      <w:pPr>
        <w:spacing w:before="120" w:line="240" w:lineRule="auto"/>
        <w:ind w:left="1440"/>
        <w:rPr>
          <w:b/>
          <w:bCs/>
        </w:rPr>
      </w:pPr>
      <w:r w:rsidRPr="00456620">
        <w:rPr>
          <w:b/>
          <w:bCs/>
        </w:rPr>
        <w:t xml:space="preserve">3.  </w:t>
      </w:r>
      <w:r w:rsidR="002F01BB" w:rsidRPr="00456620">
        <w:rPr>
          <w:b/>
          <w:bCs/>
        </w:rPr>
        <w:t>Section 1203.01</w:t>
      </w:r>
      <w:r w:rsidR="006F51F6" w:rsidRPr="00456620">
        <w:rPr>
          <w:b/>
          <w:bCs/>
        </w:rPr>
        <w:t xml:space="preserve"> does not preclude the prosecutor’s statement of view and attachments</w:t>
      </w:r>
    </w:p>
    <w:p w14:paraId="4C6D79E4" w14:textId="49CEFFF2" w:rsidR="006D69AC" w:rsidRDefault="00E25649" w:rsidP="004D3691">
      <w:r>
        <w:rPr>
          <w:b/>
          <w:bCs/>
        </w:rPr>
        <w:tab/>
      </w:r>
      <w:r>
        <w:t>Ferenz</w:t>
      </w:r>
      <w:r w:rsidR="00E80C1D">
        <w:t xml:space="preserve"> argues that section 1203.01’s “express provisions”</w:t>
      </w:r>
      <w:r w:rsidR="0052155B">
        <w:t xml:space="preserve"> only</w:t>
      </w:r>
      <w:r w:rsidR="00E80C1D">
        <w:t xml:space="preserve"> permit “the attachment of </w:t>
      </w:r>
      <w:r w:rsidR="0052155B">
        <w:t>probation reports</w:t>
      </w:r>
      <w:r w:rsidR="00BB70FE">
        <w:t xml:space="preserve"> filed in relation to the prisoner</w:t>
      </w:r>
      <w:r w:rsidR="001B3EB1">
        <w:t>.</w:t>
      </w:r>
      <w:r w:rsidR="00D93CC2">
        <w:t xml:space="preserve"> </w:t>
      </w:r>
      <w:r w:rsidR="00FE3C5C">
        <w:t xml:space="preserve"> </w:t>
      </w:r>
      <w:r w:rsidR="000165D1">
        <w:t>He argues, however,</w:t>
      </w:r>
      <w:r w:rsidR="00FE3C5C">
        <w:t xml:space="preserve"> that “[t]he statute does not provide for the attachment of any other types of documents such as police reports, preliminary hearing transcripts, district attorney investigative reports or other similar hearsay.” </w:t>
      </w:r>
      <w:r w:rsidR="00D93CC2">
        <w:t xml:space="preserve"> </w:t>
      </w:r>
      <w:r>
        <w:t>We disagree.</w:t>
      </w:r>
    </w:p>
    <w:p w14:paraId="11656910" w14:textId="6C758403" w:rsidR="00F94446" w:rsidRDefault="00E25649" w:rsidP="004D3691">
      <w:r>
        <w:tab/>
      </w:r>
      <w:r w:rsidR="003F64ED">
        <w:t xml:space="preserve">In </w:t>
      </w:r>
      <w:r w:rsidR="003F64ED">
        <w:rPr>
          <w:i/>
          <w:iCs/>
        </w:rPr>
        <w:t>Cook</w:t>
      </w:r>
      <w:r w:rsidR="00CD4AAD">
        <w:t xml:space="preserve">, </w:t>
      </w:r>
      <w:r w:rsidR="00CD4AAD">
        <w:rPr>
          <w:i/>
          <w:iCs/>
        </w:rPr>
        <w:t>supra</w:t>
      </w:r>
      <w:r w:rsidR="00CD4AAD">
        <w:t xml:space="preserve">, </w:t>
      </w:r>
      <w:r w:rsidR="00BA6828">
        <w:t>7 Cal.5th at p</w:t>
      </w:r>
      <w:r w:rsidR="009E5720">
        <w:t>age</w:t>
      </w:r>
      <w:r w:rsidR="00BA6828">
        <w:t xml:space="preserve"> 439, our high court </w:t>
      </w:r>
      <w:r w:rsidR="00850361">
        <w:t xml:space="preserve">considered </w:t>
      </w:r>
      <w:r w:rsidR="002F579E">
        <w:t xml:space="preserve">the scope of a trial court’s authority </w:t>
      </w:r>
      <w:r w:rsidR="00135EC6">
        <w:t xml:space="preserve">under section 1203.01 to </w:t>
      </w:r>
      <w:r w:rsidR="00BE06B0">
        <w:t>preserve evidence for future us</w:t>
      </w:r>
      <w:r w:rsidR="00AD1B02">
        <w:t>e by CDCR.  (</w:t>
      </w:r>
      <w:r w:rsidR="00AD1B02" w:rsidRPr="000165D1">
        <w:rPr>
          <w:i/>
          <w:iCs/>
        </w:rPr>
        <w:t>Id.</w:t>
      </w:r>
      <w:r w:rsidR="00AD1B02">
        <w:t xml:space="preserve"> at p</w:t>
      </w:r>
      <w:r w:rsidR="009E5720">
        <w:t>p</w:t>
      </w:r>
      <w:r w:rsidR="00AD1B02">
        <w:t>. 447, 455.)</w:t>
      </w:r>
      <w:r w:rsidR="00A86311">
        <w:t xml:space="preserve">  The question in </w:t>
      </w:r>
      <w:r w:rsidR="00A86311" w:rsidRPr="00516501">
        <w:rPr>
          <w:i/>
          <w:iCs/>
        </w:rPr>
        <w:t>Cook</w:t>
      </w:r>
      <w:r w:rsidR="00A86311">
        <w:t xml:space="preserve"> involved “whether a sentenced prisoner whose conviction is final can seek the remedy of evidence preservation and, if so, by what means.”</w:t>
      </w:r>
      <w:r w:rsidR="00AD153D">
        <w:t xml:space="preserve">  (</w:t>
      </w:r>
      <w:r w:rsidR="00AD153D" w:rsidRPr="00516501">
        <w:rPr>
          <w:i/>
          <w:iCs/>
        </w:rPr>
        <w:t>Id.</w:t>
      </w:r>
      <w:r w:rsidR="00AD153D">
        <w:t xml:space="preserve"> at pp. 446-447.) </w:t>
      </w:r>
      <w:r w:rsidR="00BA6828">
        <w:t xml:space="preserve"> </w:t>
      </w:r>
      <w:r w:rsidR="007311B1">
        <w:t xml:space="preserve">The </w:t>
      </w:r>
      <w:r w:rsidR="00C51E08">
        <w:t xml:space="preserve">offender in </w:t>
      </w:r>
      <w:r w:rsidR="00C51E08">
        <w:rPr>
          <w:i/>
          <w:iCs/>
        </w:rPr>
        <w:t>Cook</w:t>
      </w:r>
      <w:r w:rsidR="004C1E74">
        <w:t xml:space="preserve">, </w:t>
      </w:r>
      <w:r w:rsidR="00837E4E">
        <w:t xml:space="preserve">following </w:t>
      </w:r>
      <w:r w:rsidR="00837E4E" w:rsidRPr="00472B4B">
        <w:rPr>
          <w:i/>
          <w:iCs/>
        </w:rPr>
        <w:t>People v. Franklin</w:t>
      </w:r>
      <w:r w:rsidR="00837E4E">
        <w:t xml:space="preserve"> (2016) 63 Cal.4th 261</w:t>
      </w:r>
      <w:r w:rsidR="00472B4B">
        <w:t xml:space="preserve"> (</w:t>
      </w:r>
      <w:r w:rsidR="00472B4B" w:rsidRPr="00472B4B">
        <w:rPr>
          <w:i/>
          <w:iCs/>
        </w:rPr>
        <w:t>Franklin</w:t>
      </w:r>
      <w:r w:rsidR="00472B4B">
        <w:t xml:space="preserve">), </w:t>
      </w:r>
      <w:r w:rsidR="00C52904">
        <w:t xml:space="preserve">sought </w:t>
      </w:r>
      <w:r w:rsidR="00E9258C">
        <w:t xml:space="preserve">to make a record of mitigating evidence related to his youth for future use at a section 3051 youthful offender parole hearing.  </w:t>
      </w:r>
      <w:r w:rsidR="0069717E">
        <w:t>(</w:t>
      </w:r>
      <w:r w:rsidR="009C7823">
        <w:rPr>
          <w:i/>
          <w:iCs/>
        </w:rPr>
        <w:t>Cook</w:t>
      </w:r>
      <w:r w:rsidR="009C7823">
        <w:t>, at pp. 446-447</w:t>
      </w:r>
      <w:r w:rsidR="0069717E" w:rsidRPr="0069717E">
        <w:rPr>
          <w:i/>
          <w:iCs/>
        </w:rPr>
        <w:t>.</w:t>
      </w:r>
      <w:r w:rsidR="0069717E">
        <w:t xml:space="preserve">)  </w:t>
      </w:r>
      <w:r w:rsidR="0065254C">
        <w:t xml:space="preserve">The court held that a juvenile offender who is eligible for a youthful offender parole hearing but who was sentenced before the change in the law and thus was unable to provide the supplemental information contemplated in </w:t>
      </w:r>
      <w:r w:rsidR="0065254C" w:rsidRPr="0061625C">
        <w:rPr>
          <w:i/>
          <w:iCs/>
        </w:rPr>
        <w:t>Franklin</w:t>
      </w:r>
      <w:r w:rsidR="0065254C">
        <w:t xml:space="preserve">, may file a motion pursuant to section 1203.01, requesting “an evidence preservation proceeding as envisioned in </w:t>
      </w:r>
      <w:r w:rsidR="0065254C" w:rsidRPr="005C3D84">
        <w:rPr>
          <w:i/>
          <w:iCs/>
        </w:rPr>
        <w:t>Franklin</w:t>
      </w:r>
      <w:r w:rsidR="0065254C">
        <w:t>.”  (</w:t>
      </w:r>
      <w:r w:rsidR="0065254C" w:rsidRPr="0061625C">
        <w:rPr>
          <w:i/>
          <w:iCs/>
        </w:rPr>
        <w:t>Cook</w:t>
      </w:r>
      <w:r w:rsidR="0065254C">
        <w:t xml:space="preserve">, </w:t>
      </w:r>
      <w:r w:rsidR="0065254C" w:rsidRPr="0061625C">
        <w:rPr>
          <w:i/>
          <w:iCs/>
        </w:rPr>
        <w:t>supra</w:t>
      </w:r>
      <w:r w:rsidR="0065254C">
        <w:t xml:space="preserve">, at pp. 452, 458-459.)  </w:t>
      </w:r>
      <w:r w:rsidR="00D16507">
        <w:t>The court concluded that “offenders with final convictions may file a motion in the trial court for that purpose, under the authority of section 1203.01</w:t>
      </w:r>
      <w:r w:rsidR="00E31B03">
        <w:t>,” which the court construed as providing, postjudgment</w:t>
      </w:r>
      <w:r w:rsidR="00E84690">
        <w:t>, trial courts with the authority to</w:t>
      </w:r>
      <w:r w:rsidR="00E84690" w:rsidRPr="00E84690">
        <w:t xml:space="preserve"> </w:t>
      </w:r>
      <w:r w:rsidR="00E84690">
        <w:t>“</w:t>
      </w:r>
      <w:r w:rsidR="00E84690" w:rsidRPr="00E84690">
        <w:t>generate, collect, and transmit information about the defendant and the crime to the Department of Corrections and Rehabilitation.</w:t>
      </w:r>
      <w:r w:rsidR="00E84690">
        <w:t>”  (</w:t>
      </w:r>
      <w:r w:rsidR="009C7823">
        <w:rPr>
          <w:i/>
          <w:iCs/>
        </w:rPr>
        <w:t>Cook</w:t>
      </w:r>
      <w:r w:rsidR="009C7823">
        <w:t>,</w:t>
      </w:r>
      <w:r w:rsidR="00E84690">
        <w:t xml:space="preserve"> at p. 447.)  </w:t>
      </w:r>
    </w:p>
    <w:p w14:paraId="6AE47B33" w14:textId="5C40EE90" w:rsidR="00FB04D3" w:rsidRDefault="00E25649" w:rsidP="004D3691">
      <w:r>
        <w:lastRenderedPageBreak/>
        <w:tab/>
      </w:r>
      <w:r w:rsidR="001E4180">
        <w:t xml:space="preserve">The court reasoned </w:t>
      </w:r>
      <w:r w:rsidR="00C3566D">
        <w:t xml:space="preserve">that </w:t>
      </w:r>
      <w:r w:rsidR="00255171">
        <w:t xml:space="preserve">“[w]hile section 1203.01 does not mention a </w:t>
      </w:r>
      <w:r w:rsidR="00255171">
        <w:rPr>
          <w:i/>
          <w:iCs/>
        </w:rPr>
        <w:t xml:space="preserve">Franklin </w:t>
      </w:r>
      <w:r w:rsidR="00255171">
        <w:t xml:space="preserve">proceeding to preserve evidence, neither does it prohibit one” </w:t>
      </w:r>
      <w:r w:rsidR="00694323">
        <w:t>(</w:t>
      </w:r>
      <w:r w:rsidRPr="00F94446">
        <w:rPr>
          <w:i/>
          <w:iCs/>
        </w:rPr>
        <w:t>Cook</w:t>
      </w:r>
      <w:r>
        <w:t xml:space="preserve">, </w:t>
      </w:r>
      <w:r w:rsidRPr="00F94446">
        <w:rPr>
          <w:i/>
          <w:iCs/>
        </w:rPr>
        <w:t>supra</w:t>
      </w:r>
      <w:r>
        <w:t>, 7 Cal.5th</w:t>
      </w:r>
      <w:r w:rsidR="00694323">
        <w:t xml:space="preserve"> at p. 454), and </w:t>
      </w:r>
      <w:r w:rsidR="00CD027E">
        <w:t xml:space="preserve">“the court [nonetheless] has inherent authority under Code of Civil Procedure section 187 to authorize additional evidence preservation consistent with . . . </w:t>
      </w:r>
      <w:r w:rsidR="00CD027E" w:rsidRPr="00D10405">
        <w:rPr>
          <w:i/>
          <w:iCs/>
        </w:rPr>
        <w:t>Franklin</w:t>
      </w:r>
      <w:r w:rsidR="00CD027E">
        <w:t>.”  (</w:t>
      </w:r>
      <w:r w:rsidR="002D4D6A">
        <w:rPr>
          <w:i/>
          <w:iCs/>
        </w:rPr>
        <w:t>Cook</w:t>
      </w:r>
      <w:r w:rsidR="002D4D6A" w:rsidRPr="00FA13E3">
        <w:t>,</w:t>
      </w:r>
      <w:r w:rsidR="00D10405">
        <w:t xml:space="preserve"> at p. 447.) </w:t>
      </w:r>
      <w:r w:rsidR="00286000">
        <w:t xml:space="preserve"> Thus</w:t>
      </w:r>
      <w:r w:rsidR="00491AAE">
        <w:t xml:space="preserve">, “section 1203.01, </w:t>
      </w:r>
      <w:r w:rsidR="00491AAE" w:rsidRPr="00491AAE">
        <w:t>augmented by the court</w:t>
      </w:r>
      <w:r w:rsidR="00491AAE">
        <w:t>’</w:t>
      </w:r>
      <w:r w:rsidR="00491AAE" w:rsidRPr="00491AAE">
        <w:t>s inherent authority to craft necessary procedures under Code of Civil Procedure section 187, authoriz</w:t>
      </w:r>
      <w:r w:rsidR="009C7823">
        <w:t xml:space="preserve">es </w:t>
      </w:r>
      <w:r w:rsidR="00491AAE" w:rsidRPr="00491AAE">
        <w:t>it to preserve evidence as promptly as possible for future use by the Board.</w:t>
      </w:r>
      <w:r w:rsidR="00491AAE">
        <w:t>”</w:t>
      </w:r>
      <w:r w:rsidR="00F12150">
        <w:t xml:space="preserve">  </w:t>
      </w:r>
      <w:r w:rsidR="0063021B">
        <w:t>(</w:t>
      </w:r>
      <w:r w:rsidR="0063021B" w:rsidRPr="0063021B">
        <w:rPr>
          <w:i/>
          <w:iCs/>
        </w:rPr>
        <w:t>Cook</w:t>
      </w:r>
      <w:r w:rsidR="0063021B">
        <w:t xml:space="preserve">, at p. 455.)  </w:t>
      </w:r>
      <w:r w:rsidR="00F12150">
        <w:t xml:space="preserve">Transmission of that record to CDCR, in turn, permits </w:t>
      </w:r>
      <w:r w:rsidR="000A256E">
        <w:t>it to discharge its duty to later determine</w:t>
      </w:r>
      <w:r w:rsidR="00301B46">
        <w:t>, using the youth-related factors under section 4801, subdivision (c), whether the offender is “</w:t>
      </w:r>
      <w:r w:rsidR="000D65D9">
        <w:t> </w:t>
      </w:r>
      <w:r w:rsidR="00301B46">
        <w:t>‘fit to rejoin society</w:t>
      </w:r>
      <w:r w:rsidR="00BC62C5">
        <w:t>’</w:t>
      </w:r>
      <w:r w:rsidR="000D65D9">
        <w:t> </w:t>
      </w:r>
      <w:r w:rsidR="00BC62C5">
        <w:t xml:space="preserve">” as outlined in </w:t>
      </w:r>
      <w:r w:rsidR="00BC62C5" w:rsidRPr="00BC62C5">
        <w:rPr>
          <w:i/>
          <w:iCs/>
        </w:rPr>
        <w:t>Franklin</w:t>
      </w:r>
      <w:r w:rsidR="00BC62C5">
        <w:t>.  (</w:t>
      </w:r>
      <w:r w:rsidR="00B4632B" w:rsidRPr="0063021B">
        <w:rPr>
          <w:i/>
          <w:iCs/>
        </w:rPr>
        <w:t>Cook</w:t>
      </w:r>
      <w:r w:rsidR="00B4632B">
        <w:t>, at p.</w:t>
      </w:r>
      <w:r w:rsidR="00FA13E3">
        <w:t> </w:t>
      </w:r>
      <w:r w:rsidR="00B4632B">
        <w:t>455.</w:t>
      </w:r>
      <w:r w:rsidR="0041172D">
        <w:t>)</w:t>
      </w:r>
    </w:p>
    <w:p w14:paraId="6CC75082" w14:textId="693FFF69" w:rsidR="00880B2E" w:rsidRDefault="00E25649" w:rsidP="004D3691">
      <w:r>
        <w:tab/>
        <w:t>Here, there is nothing in the statute precluding the prosecutor from attaching reports, transcripts, or other documents.</w:t>
      </w:r>
      <w:r w:rsidR="00417DE3">
        <w:t xml:space="preserve">  A</w:t>
      </w:r>
      <w:r w:rsidR="00465C40">
        <w:t xml:space="preserve">s in </w:t>
      </w:r>
      <w:r w:rsidR="00465C40" w:rsidRPr="00417DE3">
        <w:rPr>
          <w:i/>
          <w:iCs/>
        </w:rPr>
        <w:t>Cook</w:t>
      </w:r>
      <w:r w:rsidR="00465C40">
        <w:t>, the court had the inherent authority to augment the record</w:t>
      </w:r>
      <w:r w:rsidR="00403F6C">
        <w:t xml:space="preserve"> with material pertaining to the defendant and his offense for transmission to CDCR.</w:t>
      </w:r>
      <w:r>
        <w:t xml:space="preserve">  (</w:t>
      </w:r>
      <w:r w:rsidRPr="00417DE3">
        <w:rPr>
          <w:i/>
          <w:iCs/>
        </w:rPr>
        <w:t>Cook</w:t>
      </w:r>
      <w:r>
        <w:t>,</w:t>
      </w:r>
      <w:r w:rsidR="00403F6C">
        <w:t xml:space="preserve"> </w:t>
      </w:r>
      <w:r w:rsidR="00403F6C" w:rsidRPr="00417DE3">
        <w:rPr>
          <w:i/>
          <w:iCs/>
        </w:rPr>
        <w:t>supra</w:t>
      </w:r>
      <w:r w:rsidR="00403F6C">
        <w:t xml:space="preserve">, </w:t>
      </w:r>
      <w:r w:rsidR="00417DE3">
        <w:t xml:space="preserve">7 Cal.5th at pp. 446-447.)  </w:t>
      </w:r>
      <w:r w:rsidR="008655C7">
        <w:t xml:space="preserve">The prosecutor offered the material for use by CDCR to assess Ferenz for possible treatment as a sexually violent predator.  </w:t>
      </w:r>
      <w:r w:rsidR="00384179">
        <w:t xml:space="preserve">Given that the purpose of </w:t>
      </w:r>
      <w:r w:rsidR="00082ED0">
        <w:t>section 1203.01</w:t>
      </w:r>
      <w:r w:rsidR="00384179">
        <w:t xml:space="preserve"> </w:t>
      </w:r>
      <w:r w:rsidR="00846292">
        <w:t>is the generation, collection, and transmission of relevant information concerning the defendant and the offense for use by CDCR</w:t>
      </w:r>
      <w:r w:rsidR="00450C94">
        <w:t xml:space="preserve">, </w:t>
      </w:r>
      <w:r w:rsidR="00DB127D">
        <w:t xml:space="preserve">the trial court did not err by declining to strike or limit the prosecutor’s statement of view. </w:t>
      </w:r>
      <w:r w:rsidR="00F8754E">
        <w:t xml:space="preserve"> (See </w:t>
      </w:r>
      <w:r w:rsidR="00F8754E" w:rsidRPr="002B6362">
        <w:rPr>
          <w:i/>
          <w:iCs/>
        </w:rPr>
        <w:t>Cook</w:t>
      </w:r>
      <w:r w:rsidR="00F8754E">
        <w:t>, at p. 453</w:t>
      </w:r>
      <w:r w:rsidR="009B6F8D">
        <w:t xml:space="preserve"> [concluding</w:t>
      </w:r>
      <w:r w:rsidR="00383EA5">
        <w:t xml:space="preserve"> “it would be improper for the court to preclude a juvenile offender’s chance to supplement the record with information relevant to his eventual youth offender parole hearing”</w:t>
      </w:r>
      <w:r w:rsidR="00177960">
        <w:t xml:space="preserve">].) </w:t>
      </w:r>
    </w:p>
    <w:p w14:paraId="26FC341F" w14:textId="51E8AA19" w:rsidR="00CC415F" w:rsidRDefault="00E25649" w:rsidP="004D3691">
      <w:r>
        <w:tab/>
      </w:r>
      <w:r w:rsidR="00682B52">
        <w:t>T</w:t>
      </w:r>
      <w:r w:rsidR="007742D1">
        <w:t xml:space="preserve">he language and structure of </w:t>
      </w:r>
      <w:r w:rsidR="00682B52">
        <w:t xml:space="preserve">section 1203.01 </w:t>
      </w:r>
      <w:r w:rsidR="007742D1">
        <w:t xml:space="preserve">suggest </w:t>
      </w:r>
      <w:r w:rsidR="009A0643">
        <w:t>that the a</w:t>
      </w:r>
      <w:r w:rsidR="00E21EA4">
        <w:t>ttached exhibits are permissible</w:t>
      </w:r>
      <w:r w:rsidR="007742D1">
        <w:t xml:space="preserve">.  The statute </w:t>
      </w:r>
      <w:r w:rsidR="00E21EA4">
        <w:t>provides that</w:t>
      </w:r>
      <w:r w:rsidR="007742D1">
        <w:t xml:space="preserve"> “</w:t>
      </w:r>
      <w:r w:rsidR="00417DE3">
        <w:t>[t]</w:t>
      </w:r>
      <w:r w:rsidR="00417DE3" w:rsidRPr="005648E8">
        <w:t xml:space="preserve">he attorney for the defendant and the </w:t>
      </w:r>
      <w:r w:rsidR="00417DE3" w:rsidRPr="00417DE3">
        <w:rPr>
          <w:i/>
          <w:iCs/>
        </w:rPr>
        <w:t>law enforcement agency that investigated the case</w:t>
      </w:r>
      <w:r w:rsidR="00417DE3" w:rsidRPr="005648E8">
        <w:t xml:space="preserve"> may likewise file with the clerk of the court </w:t>
      </w:r>
      <w:r w:rsidR="00417DE3" w:rsidRPr="003E788B">
        <w:t>statements of their views respecting the defendant</w:t>
      </w:r>
      <w:r w:rsidR="00417DE3" w:rsidRPr="005648E8">
        <w:t xml:space="preserve"> and the crime of which they were convicted.</w:t>
      </w:r>
      <w:r w:rsidR="00417DE3">
        <w:t>”  (§</w:t>
      </w:r>
      <w:r w:rsidR="003A6527">
        <w:t> </w:t>
      </w:r>
      <w:r w:rsidR="00417DE3">
        <w:t>1203</w:t>
      </w:r>
      <w:r w:rsidR="00B20BE4">
        <w:t>.01</w:t>
      </w:r>
      <w:r w:rsidR="00417DE3">
        <w:t>, subd. (a)</w:t>
      </w:r>
      <w:r w:rsidR="003E788B">
        <w:t>, italics added</w:t>
      </w:r>
      <w:r w:rsidR="00417DE3">
        <w:t xml:space="preserve">.)  </w:t>
      </w:r>
      <w:r w:rsidR="00E21EA4">
        <w:t xml:space="preserve">There is no apparent </w:t>
      </w:r>
      <w:r w:rsidR="00066F45">
        <w:t xml:space="preserve">form </w:t>
      </w:r>
      <w:r w:rsidR="00456620">
        <w:t xml:space="preserve">that </w:t>
      </w:r>
      <w:r w:rsidR="00066F45">
        <w:t xml:space="preserve">the law </w:t>
      </w:r>
      <w:r w:rsidR="00066F45">
        <w:lastRenderedPageBreak/>
        <w:t>enforcement agencies</w:t>
      </w:r>
      <w:r w:rsidR="009C7823">
        <w:t>’</w:t>
      </w:r>
      <w:r w:rsidR="00066F45">
        <w:t xml:space="preserve"> “statement of their views” must take</w:t>
      </w:r>
      <w:r w:rsidR="00B20BE4">
        <w:t xml:space="preserve">, and it very reasonably could include investigative reports and other information “respecting the defendant.”  </w:t>
      </w:r>
      <w:r w:rsidR="0078618C">
        <w:t xml:space="preserve">Thus, </w:t>
      </w:r>
      <w:r w:rsidR="00AB1680">
        <w:t xml:space="preserve">given </w:t>
      </w:r>
      <w:r w:rsidR="00682B52">
        <w:t>that section 1203.01</w:t>
      </w:r>
      <w:r w:rsidR="0078618C">
        <w:t xml:space="preserve"> </w:t>
      </w:r>
      <w:r w:rsidR="0024345D">
        <w:t>expressly</w:t>
      </w:r>
      <w:r w:rsidR="00B20BE4">
        <w:t xml:space="preserve"> permits law enforcement input</w:t>
      </w:r>
      <w:r w:rsidR="00AB1680">
        <w:t xml:space="preserve">, Ferenz’s argument for an implied limitation on the form of the prosecutor’s submission is </w:t>
      </w:r>
      <w:r w:rsidR="00682B52">
        <w:t xml:space="preserve">not supported by the language of </w:t>
      </w:r>
      <w:r w:rsidR="00456620">
        <w:t xml:space="preserve">the </w:t>
      </w:r>
      <w:r w:rsidR="00682B52">
        <w:t>statute itself</w:t>
      </w:r>
      <w:r w:rsidR="00384179">
        <w:t xml:space="preserve">. </w:t>
      </w:r>
    </w:p>
    <w:p w14:paraId="6E96F618" w14:textId="1DB0A588" w:rsidR="00B45706" w:rsidRDefault="00E25649" w:rsidP="004D3691">
      <w:r>
        <w:tab/>
        <w:t xml:space="preserve">Ferenz </w:t>
      </w:r>
      <w:r w:rsidR="00682B52">
        <w:t xml:space="preserve">attempts </w:t>
      </w:r>
      <w:r>
        <w:t xml:space="preserve">to distinguish </w:t>
      </w:r>
      <w:r w:rsidRPr="00603A4C">
        <w:rPr>
          <w:i/>
          <w:iCs/>
        </w:rPr>
        <w:t>Cook</w:t>
      </w:r>
      <w:r>
        <w:t xml:space="preserve"> by arguing that any possible inquiry into SVP evaluation </w:t>
      </w:r>
      <w:r w:rsidR="00D82BFC">
        <w:t xml:space="preserve">is materially different </w:t>
      </w:r>
      <w:r>
        <w:t>from a youth offender parole hearing</w:t>
      </w:r>
      <w:r w:rsidR="00D82BFC">
        <w:t xml:space="preserve">.  </w:t>
      </w:r>
      <w:r w:rsidR="006955DE">
        <w:t xml:space="preserve">Although </w:t>
      </w:r>
      <w:r w:rsidR="006955DE" w:rsidRPr="009C7823">
        <w:rPr>
          <w:i/>
          <w:iCs/>
        </w:rPr>
        <w:t>Cook</w:t>
      </w:r>
      <w:r w:rsidR="006955DE">
        <w:t xml:space="preserve"> involved an attempt to make a record for a future youth parole hearing, the analysis in Cook </w:t>
      </w:r>
      <w:r>
        <w:t>“does not carve out an exception for youthful offenders” alone</w:t>
      </w:r>
      <w:r w:rsidR="00645C32">
        <w:t>.  (</w:t>
      </w:r>
      <w:r w:rsidR="00645C32" w:rsidRPr="00E8380D">
        <w:rPr>
          <w:i/>
          <w:iCs/>
        </w:rPr>
        <w:t>People v. Crites</w:t>
      </w:r>
      <w:r w:rsidR="00645C32">
        <w:t xml:space="preserve"> (2022) 77 Cal.App.5th 494, 499.)  I</w:t>
      </w:r>
      <w:r>
        <w:t xml:space="preserve">t “instead relies on the plain language of section 1203.01 </w:t>
      </w:r>
      <w:r w:rsidR="00645C32">
        <w:t>in finding</w:t>
      </w:r>
      <w:r w:rsidR="00CF5AB5">
        <w:t xml:space="preserve"> authority” </w:t>
      </w:r>
      <w:r w:rsidR="00E70383">
        <w:t>for a court to consider augmenting the record</w:t>
      </w:r>
      <w:r w:rsidR="0024345D">
        <w:t xml:space="preserve">. </w:t>
      </w:r>
      <w:r w:rsidR="00CF5AB5">
        <w:t xml:space="preserve"> (</w:t>
      </w:r>
      <w:r w:rsidR="00842B43">
        <w:rPr>
          <w:i/>
          <w:iCs/>
        </w:rPr>
        <w:t>Id.</w:t>
      </w:r>
      <w:r w:rsidR="00CF5AB5">
        <w:t xml:space="preserve"> at p.</w:t>
      </w:r>
      <w:r w:rsidR="00D93CC2">
        <w:t> </w:t>
      </w:r>
      <w:r w:rsidR="00CF5AB5">
        <w:t>499</w:t>
      </w:r>
      <w:r w:rsidR="00842B43">
        <w:t>.</w:t>
      </w:r>
      <w:r w:rsidR="00CF5AB5">
        <w:t>)</w:t>
      </w:r>
      <w:r w:rsidR="0024345D">
        <w:t xml:space="preserve">  Because the Supreme Court grounded its decision on the trial court’s inherent authority to augment a 1203.01 statement</w:t>
      </w:r>
      <w:r w:rsidR="00C46FBC">
        <w:t xml:space="preserve">, we see no basis to distinguish the case before us from </w:t>
      </w:r>
      <w:r w:rsidR="00C46FBC" w:rsidRPr="00C46FBC">
        <w:rPr>
          <w:i/>
          <w:iCs/>
        </w:rPr>
        <w:t>Cook</w:t>
      </w:r>
      <w:r w:rsidR="00C46FBC">
        <w:t>.</w:t>
      </w:r>
      <w:r>
        <w:t xml:space="preserve">  </w:t>
      </w:r>
    </w:p>
    <w:p w14:paraId="6FD7046B" w14:textId="6A8746CA" w:rsidR="00274E5F" w:rsidRPr="001176C3" w:rsidRDefault="00E25649" w:rsidP="00456620">
      <w:pPr>
        <w:spacing w:before="120" w:line="240" w:lineRule="auto"/>
        <w:ind w:left="1440"/>
        <w:rPr>
          <w:b/>
          <w:bCs/>
        </w:rPr>
      </w:pPr>
      <w:r w:rsidRPr="001176C3">
        <w:rPr>
          <w:b/>
          <w:bCs/>
        </w:rPr>
        <w:t>4.</w:t>
      </w:r>
      <w:r w:rsidR="00CC67BA" w:rsidRPr="001176C3">
        <w:rPr>
          <w:b/>
          <w:bCs/>
        </w:rPr>
        <w:t xml:space="preserve">  The trial court did not </w:t>
      </w:r>
      <w:r w:rsidR="00104FA0" w:rsidRPr="001176C3">
        <w:rPr>
          <w:b/>
          <w:bCs/>
        </w:rPr>
        <w:t>err</w:t>
      </w:r>
      <w:r w:rsidR="00CC67BA" w:rsidRPr="001176C3">
        <w:rPr>
          <w:b/>
          <w:bCs/>
        </w:rPr>
        <w:t xml:space="preserve"> by </w:t>
      </w:r>
      <w:r w:rsidR="00861E6F" w:rsidRPr="001176C3">
        <w:rPr>
          <w:b/>
          <w:bCs/>
        </w:rPr>
        <w:t>declining to strike or limit the prosecutor’s statement of view</w:t>
      </w:r>
    </w:p>
    <w:p w14:paraId="2DE48132" w14:textId="66CE551E" w:rsidR="00FC437D" w:rsidRDefault="00E25649" w:rsidP="004D3691">
      <w:r w:rsidRPr="001176C3">
        <w:tab/>
        <w:t>Ferenz argues that even if</w:t>
      </w:r>
      <w:r>
        <w:t xml:space="preserve"> section 1203.01 permitted the prosecutor </w:t>
      </w:r>
      <w:r w:rsidR="00F309DB">
        <w:t>to attach investigatory reports, “those reports</w:t>
      </w:r>
      <w:r w:rsidR="0039057C">
        <w:t xml:space="preserve"> still must relate to the defendant and the crime or crimes of which he was convicted.”</w:t>
      </w:r>
      <w:r w:rsidR="00D93CC2">
        <w:t xml:space="preserve"> </w:t>
      </w:r>
      <w:r w:rsidR="0039057C">
        <w:t xml:space="preserve"> He asserts that some of </w:t>
      </w:r>
      <w:r w:rsidR="00E60F6C">
        <w:t xml:space="preserve">the materials related to crimes other than those </w:t>
      </w:r>
      <w:r w:rsidR="003E5039">
        <w:t>to which he pleaded no contest</w:t>
      </w:r>
      <w:r w:rsidR="00391958">
        <w:t xml:space="preserve"> and should have been excluded on that ground</w:t>
      </w:r>
      <w:r w:rsidR="003E5039">
        <w:t xml:space="preserve">. </w:t>
      </w:r>
    </w:p>
    <w:p w14:paraId="6DCE9F92" w14:textId="65D268DB" w:rsidR="00FC437D" w:rsidRPr="00DD380A" w:rsidRDefault="00E25649" w:rsidP="004D3691">
      <w:r>
        <w:tab/>
      </w:r>
      <w:r w:rsidR="002C6E71">
        <w:t xml:space="preserve">The issue whether a section 1203.01 statement of view is limited to </w:t>
      </w:r>
      <w:r w:rsidR="00B37CC5">
        <w:t xml:space="preserve">material relating to the crimes to which a defendant pleaded no contest </w:t>
      </w:r>
      <w:r w:rsidR="005426EC">
        <w:t xml:space="preserve">is answered by the plain language of the statute.  Under section 1203.01, subdivision (a), </w:t>
      </w:r>
      <w:r w:rsidR="00F279FB">
        <w:t xml:space="preserve">the prosecutor may </w:t>
      </w:r>
      <w:r w:rsidR="00EA4F07">
        <w:t xml:space="preserve">provide </w:t>
      </w:r>
      <w:r w:rsidR="00DD380A">
        <w:t xml:space="preserve">a </w:t>
      </w:r>
      <w:r w:rsidR="00EA4F07">
        <w:t xml:space="preserve">statement “respecting the person convicted or sentenced </w:t>
      </w:r>
      <w:r w:rsidR="00EA4F07">
        <w:rPr>
          <w:i/>
          <w:iCs/>
        </w:rPr>
        <w:t>and</w:t>
      </w:r>
      <w:r w:rsidR="00EA4F07">
        <w:t xml:space="preserve"> the crime committed.”  (§</w:t>
      </w:r>
      <w:r w:rsidR="00681D14">
        <w:t> </w:t>
      </w:r>
      <w:r w:rsidR="00EA4F07">
        <w:t>1203.01, subd. (a)</w:t>
      </w:r>
      <w:r w:rsidR="00C53371">
        <w:t>, italics added</w:t>
      </w:r>
      <w:r w:rsidR="00EA4F07">
        <w:t xml:space="preserve">.)  </w:t>
      </w:r>
      <w:r w:rsidR="00C53371">
        <w:t xml:space="preserve">Thus, </w:t>
      </w:r>
      <w:r w:rsidR="00DD380A">
        <w:t xml:space="preserve">the statement may pertain </w:t>
      </w:r>
      <w:r w:rsidR="00DD380A">
        <w:rPr>
          <w:i/>
          <w:iCs/>
        </w:rPr>
        <w:t>either</w:t>
      </w:r>
      <w:r w:rsidR="00DD380A">
        <w:t xml:space="preserve"> to the person convicted/sentenced </w:t>
      </w:r>
      <w:r w:rsidR="00DD380A">
        <w:rPr>
          <w:i/>
          <w:iCs/>
        </w:rPr>
        <w:t>or</w:t>
      </w:r>
      <w:r w:rsidR="00DD380A">
        <w:t xml:space="preserve"> </w:t>
      </w:r>
      <w:r w:rsidR="00C30842">
        <w:t>the crime committed.</w:t>
      </w:r>
      <w:r w:rsidR="0009001A">
        <w:t xml:space="preserve">  Ferenz’s suggestion that the </w:t>
      </w:r>
      <w:r w:rsidR="0009001A">
        <w:lastRenderedPageBreak/>
        <w:t xml:space="preserve">material must only relate to the offense of conviction </w:t>
      </w:r>
      <w:r w:rsidR="007049AA">
        <w:t xml:space="preserve">thus </w:t>
      </w:r>
      <w:r w:rsidR="0009001A">
        <w:t>finds no support in the statutory language of section 1203.01</w:t>
      </w:r>
      <w:r w:rsidR="005E7E94">
        <w:t>.  Furthermore, the material is</w:t>
      </w:r>
      <w:r w:rsidR="00382651">
        <w:t xml:space="preserve"> plainly relevant to a future SVP evaluation</w:t>
      </w:r>
      <w:r w:rsidR="00C60308">
        <w:t xml:space="preserve">.  (See </w:t>
      </w:r>
      <w:r w:rsidR="00C60308" w:rsidRPr="008D4DB9">
        <w:rPr>
          <w:i/>
          <w:iCs/>
        </w:rPr>
        <w:t xml:space="preserve">People v. Superior Court </w:t>
      </w:r>
      <w:r w:rsidR="00C60308" w:rsidRPr="00FA13E3">
        <w:t>(</w:t>
      </w:r>
      <w:r w:rsidR="00C60308" w:rsidRPr="008D4DB9">
        <w:rPr>
          <w:i/>
          <w:iCs/>
        </w:rPr>
        <w:t>Coutren</w:t>
      </w:r>
      <w:r w:rsidR="00C60308" w:rsidRPr="00FA13E3">
        <w:t>)</w:t>
      </w:r>
      <w:r w:rsidR="00C60308" w:rsidRPr="00EE3A3F">
        <w:t xml:space="preserve"> </w:t>
      </w:r>
      <w:r w:rsidR="00C60308">
        <w:t>(2019) 41 Cal.App.5th 1001, 1010-1011 [</w:t>
      </w:r>
      <w:r w:rsidR="006E5723">
        <w:t xml:space="preserve">noting SVP evaluations may include probation and police reports, as well as </w:t>
      </w:r>
      <w:r w:rsidR="008D4DB9">
        <w:t xml:space="preserve">interview </w:t>
      </w:r>
      <w:r w:rsidR="006E5723">
        <w:t>transcripts, investigative reports from prosecuting agencies</w:t>
      </w:r>
      <w:r w:rsidR="008D4DB9">
        <w:t xml:space="preserve">, and arrest records].) </w:t>
      </w:r>
    </w:p>
    <w:p w14:paraId="7A2D44E3" w14:textId="1047A7ED" w:rsidR="00880089" w:rsidRDefault="00E25649" w:rsidP="004D3691">
      <w:r>
        <w:tab/>
        <w:t xml:space="preserve">Ferenz also argues </w:t>
      </w:r>
      <w:r w:rsidR="00CA18FA">
        <w:t xml:space="preserve">that </w:t>
      </w:r>
      <w:r w:rsidR="00807779">
        <w:t>inclusion of some of the exhibits in the statement of view violate</w:t>
      </w:r>
      <w:r w:rsidR="000E7A57">
        <w:t>s</w:t>
      </w:r>
      <w:r w:rsidR="00807779">
        <w:t xml:space="preserve"> the hearsay rule and deprive</w:t>
      </w:r>
      <w:r w:rsidR="000E7A57">
        <w:t>s</w:t>
      </w:r>
      <w:r w:rsidR="00807779">
        <w:t xml:space="preserve"> him of his </w:t>
      </w:r>
      <w:r w:rsidR="00340E4C">
        <w:t xml:space="preserve">confrontation and due process rights. </w:t>
      </w:r>
      <w:r w:rsidR="00D93CC2">
        <w:t xml:space="preserve"> </w:t>
      </w:r>
      <w:r w:rsidR="00682B52">
        <w:t>But the exhibits were</w:t>
      </w:r>
      <w:r w:rsidR="004A74B7">
        <w:t xml:space="preserve"> offered as part of the prosecutor’s statement of view</w:t>
      </w:r>
      <w:r w:rsidR="004B6B41">
        <w:t xml:space="preserve"> to be forwarded to CDCR for </w:t>
      </w:r>
      <w:r w:rsidR="004B6B41" w:rsidRPr="009C7823">
        <w:rPr>
          <w:i/>
          <w:iCs/>
        </w:rPr>
        <w:t>possible</w:t>
      </w:r>
      <w:r w:rsidR="004B6B41">
        <w:t xml:space="preserve"> future use.</w:t>
      </w:r>
      <w:r w:rsidR="00682B52">
        <w:t xml:space="preserve">  I</w:t>
      </w:r>
      <w:r w:rsidR="0030049D">
        <w:t>nsofar as Ferenz’s hearsay</w:t>
      </w:r>
      <w:r w:rsidR="00682B52">
        <w:t xml:space="preserve"> and constitutional</w:t>
      </w:r>
      <w:r w:rsidR="0030049D">
        <w:t xml:space="preserve"> challenge</w:t>
      </w:r>
      <w:r w:rsidR="00682B52">
        <w:t>s</w:t>
      </w:r>
      <w:r w:rsidR="0030049D">
        <w:t xml:space="preserve"> involve CDCR’s future use of the material, </w:t>
      </w:r>
      <w:r w:rsidR="0053391E">
        <w:t>the claim</w:t>
      </w:r>
      <w:r w:rsidR="00682B52">
        <w:t>s</w:t>
      </w:r>
      <w:r w:rsidR="0053391E">
        <w:t xml:space="preserve"> </w:t>
      </w:r>
      <w:r w:rsidR="00682B52">
        <w:t>are</w:t>
      </w:r>
      <w:r w:rsidR="0053391E">
        <w:t xml:space="preserve"> </w:t>
      </w:r>
      <w:r w:rsidR="00B66332">
        <w:t>not ripe for adjudication</w:t>
      </w:r>
      <w:r w:rsidR="0039043E">
        <w:t>.  (</w:t>
      </w:r>
      <w:r w:rsidR="0039043E" w:rsidRPr="00DA6614">
        <w:rPr>
          <w:i/>
          <w:iCs/>
        </w:rPr>
        <w:t>People v. England</w:t>
      </w:r>
      <w:r w:rsidR="0039043E">
        <w:t xml:space="preserve"> (2000) 83 Cal.App.4th 772, 780 [ripeness doctrine precludes courts from </w:t>
      </w:r>
      <w:r w:rsidR="009C7823">
        <w:t>issuing</w:t>
      </w:r>
      <w:r w:rsidR="0039043E">
        <w:t xml:space="preserve"> </w:t>
      </w:r>
      <w:r w:rsidR="00F17047">
        <w:t>“</w:t>
      </w:r>
      <w:r w:rsidR="00386526">
        <w:t> </w:t>
      </w:r>
      <w:r w:rsidR="00F17047">
        <w:t>‘purely advisory opinions’</w:t>
      </w:r>
      <w:r w:rsidR="00386526">
        <w:t> </w:t>
      </w:r>
      <w:r w:rsidR="00F17047">
        <w:t>” and is based “</w:t>
      </w:r>
      <w:r w:rsidR="00386526">
        <w:t> </w:t>
      </w:r>
      <w:r w:rsidR="00F17047">
        <w:t>‘on the recognition that judicial decisionmaking is best conducted in the context of an actual set of facts so that the issues will be framed with sufficient definiteness to enable the court to make a decree finally disposing of the controversy’ ”</w:t>
      </w:r>
      <w:r w:rsidR="00F5040A">
        <w:t xml:space="preserve">].)  Nothing prevents Ferenz from challenging </w:t>
      </w:r>
      <w:r w:rsidR="00290E1E">
        <w:t>the propriety of the</w:t>
      </w:r>
      <w:r w:rsidR="00A2610C">
        <w:t xml:space="preserve"> attachments</w:t>
      </w:r>
      <w:r w:rsidR="00F5040A">
        <w:t xml:space="preserve"> in a future proceeding should the material actually be used</w:t>
      </w:r>
      <w:r w:rsidR="00290E1E">
        <w:t>.</w:t>
      </w:r>
    </w:p>
    <w:p w14:paraId="533031B2" w14:textId="6E940E16" w:rsidR="00C93C10" w:rsidRDefault="00E25649" w:rsidP="004D3691">
      <w:r>
        <w:tab/>
      </w:r>
      <w:r w:rsidR="00832838">
        <w:t>Finally,</w:t>
      </w:r>
      <w:r w:rsidR="005469A8">
        <w:t xml:space="preserve"> citing </w:t>
      </w:r>
      <w:r w:rsidR="005469A8" w:rsidRPr="001B34C3">
        <w:rPr>
          <w:i/>
          <w:iCs/>
        </w:rPr>
        <w:t>People v. Williams</w:t>
      </w:r>
      <w:r w:rsidR="005469A8">
        <w:t xml:space="preserve"> </w:t>
      </w:r>
      <w:r w:rsidR="001B34C3">
        <w:t>(</w:t>
      </w:r>
      <w:r w:rsidR="005469A8">
        <w:t>2020</w:t>
      </w:r>
      <w:r w:rsidR="001B34C3">
        <w:t xml:space="preserve">) </w:t>
      </w:r>
      <w:bookmarkStart w:id="0" w:name="_Hlk152625670"/>
      <w:r w:rsidR="005469A8">
        <w:t>57 Cal.App.5th 652</w:t>
      </w:r>
      <w:r w:rsidR="00842B43">
        <w:t xml:space="preserve"> </w:t>
      </w:r>
      <w:bookmarkEnd w:id="0"/>
      <w:r w:rsidR="00842B43">
        <w:t>(</w:t>
      </w:r>
      <w:r w:rsidR="00842B43" w:rsidRPr="00842B43">
        <w:rPr>
          <w:i/>
          <w:iCs/>
        </w:rPr>
        <w:t>Williams</w:t>
      </w:r>
      <w:r w:rsidR="00842B43">
        <w:t>)</w:t>
      </w:r>
      <w:r w:rsidR="001B34C3">
        <w:t>,</w:t>
      </w:r>
      <w:r w:rsidR="00832838">
        <w:t xml:space="preserve"> </w:t>
      </w:r>
      <w:r w:rsidR="00676A4B">
        <w:t xml:space="preserve">Ferenz </w:t>
      </w:r>
      <w:r w:rsidR="00F05B0B">
        <w:t>warns “[t]he wholesale dumping of voluminous quantities of hearsay into a statement of view is not only contrary to the legislative intent .</w:t>
      </w:r>
      <w:r w:rsidR="00557203">
        <w:t> </w:t>
      </w:r>
      <w:r w:rsidR="00F05B0B">
        <w:t>.</w:t>
      </w:r>
      <w:r w:rsidR="00557203">
        <w:t> </w:t>
      </w:r>
      <w:r w:rsidR="00F05B0B">
        <w:t>. it is also dangerous</w:t>
      </w:r>
      <w:r w:rsidR="006B616B">
        <w:t>” because a section 1203.01 statement of view has “been held to qualify as ‘reliable hearsay’ admissible in postconviction resentencing proceedings.”</w:t>
      </w:r>
      <w:r w:rsidR="00624E0D">
        <w:t xml:space="preserve"> </w:t>
      </w:r>
    </w:p>
    <w:p w14:paraId="52C6E687" w14:textId="579AE91D" w:rsidR="00524854" w:rsidRDefault="00E25649" w:rsidP="004D3691">
      <w:r>
        <w:tab/>
      </w:r>
      <w:r w:rsidR="00C5087C">
        <w:t xml:space="preserve">In </w:t>
      </w:r>
      <w:r w:rsidR="00C5087C" w:rsidRPr="00DF1891">
        <w:rPr>
          <w:i/>
          <w:iCs/>
        </w:rPr>
        <w:t>Williams</w:t>
      </w:r>
      <w:r w:rsidR="00C5087C">
        <w:t xml:space="preserve">, </w:t>
      </w:r>
      <w:r w:rsidR="007E5EC1">
        <w:t xml:space="preserve">the court of appeal </w:t>
      </w:r>
      <w:r w:rsidR="00F65C1D">
        <w:t>concluded that</w:t>
      </w:r>
      <w:r w:rsidR="00E545E8">
        <w:t xml:space="preserve"> the superior court was permitted to rely on and consider hearsay in the section 1203.01 statement “</w:t>
      </w:r>
      <w:r w:rsidR="00F73309">
        <w:t> </w:t>
      </w:r>
      <w:r w:rsidR="00E545E8">
        <w:t>‘provided there is a substantial basis for believing the hearsay information is reliable.’</w:t>
      </w:r>
      <w:r w:rsidR="00F73309">
        <w:t> </w:t>
      </w:r>
      <w:r w:rsidR="00E545E8">
        <w:t>”  (</w:t>
      </w:r>
      <w:r w:rsidR="00E545E8" w:rsidRPr="00DF1891">
        <w:rPr>
          <w:i/>
          <w:iCs/>
        </w:rPr>
        <w:t>Williams</w:t>
      </w:r>
      <w:r>
        <w:t xml:space="preserve">, </w:t>
      </w:r>
      <w:r w:rsidR="00842B43" w:rsidRPr="00842B43">
        <w:rPr>
          <w:i/>
          <w:iCs/>
        </w:rPr>
        <w:t>supra</w:t>
      </w:r>
      <w:r w:rsidR="00842B43">
        <w:t>,</w:t>
      </w:r>
      <w:r w:rsidR="00842B43" w:rsidRPr="00842B43">
        <w:t xml:space="preserve"> </w:t>
      </w:r>
      <w:r w:rsidR="00842B43" w:rsidRPr="005C3D84">
        <w:t>57</w:t>
      </w:r>
      <w:r w:rsidR="005C3D84">
        <w:t> </w:t>
      </w:r>
      <w:r w:rsidR="00842B43" w:rsidRPr="005C3D84">
        <w:t>Cal</w:t>
      </w:r>
      <w:r w:rsidR="00842B43" w:rsidRPr="00842B43">
        <w:t xml:space="preserve">.App.5th </w:t>
      </w:r>
      <w:r w:rsidR="00842B43">
        <w:t>a</w:t>
      </w:r>
      <w:r>
        <w:t xml:space="preserve">t p. 662, quoting </w:t>
      </w:r>
      <w:r w:rsidRPr="00DF1891">
        <w:rPr>
          <w:i/>
          <w:iCs/>
        </w:rPr>
        <w:t>People v. Sledge</w:t>
      </w:r>
      <w:r>
        <w:t xml:space="preserve"> (2017) 7 Cal.App.5th 1089, 1094-</w:t>
      </w:r>
      <w:r>
        <w:lastRenderedPageBreak/>
        <w:t xml:space="preserve">1095.)  The statement at issue in </w:t>
      </w:r>
      <w:r w:rsidRPr="009C7823">
        <w:rPr>
          <w:i/>
          <w:iCs/>
        </w:rPr>
        <w:t>Williams</w:t>
      </w:r>
      <w:r>
        <w:t xml:space="preserve"> was a </w:t>
      </w:r>
      <w:r w:rsidR="003E78CD">
        <w:t>“</w:t>
      </w:r>
      <w:r w:rsidR="00711CD2">
        <w:t> </w:t>
      </w:r>
      <w:r w:rsidR="003E78CD">
        <w:t>‘Statement by the Judge and District Attorney’</w:t>
      </w:r>
      <w:r w:rsidR="00842B43">
        <w:t> </w:t>
      </w:r>
      <w:r w:rsidR="003E78CD">
        <w:t>” that was signed by the trial judge and deputy district attorney who prosecuted the case.</w:t>
      </w:r>
      <w:r w:rsidR="00CE3CD0">
        <w:t xml:space="preserve">  (</w:t>
      </w:r>
      <w:r w:rsidR="00CE3CD0" w:rsidRPr="00E752E2">
        <w:rPr>
          <w:i/>
          <w:iCs/>
        </w:rPr>
        <w:t>Id.</w:t>
      </w:r>
      <w:r w:rsidR="00CE3CD0">
        <w:t xml:space="preserve"> at p. 656.)  </w:t>
      </w:r>
      <w:r w:rsidR="00047B6E">
        <w:t xml:space="preserve">It included a description of the crime.  </w:t>
      </w:r>
      <w:r w:rsidR="00B75F21">
        <w:t>(</w:t>
      </w:r>
      <w:r w:rsidR="00B75F21" w:rsidRPr="00DF1891">
        <w:rPr>
          <w:i/>
          <w:iCs/>
        </w:rPr>
        <w:t>Ibid.</w:t>
      </w:r>
      <w:r w:rsidR="00B75F21">
        <w:t xml:space="preserve">)  The </w:t>
      </w:r>
      <w:r w:rsidR="00B75F21" w:rsidRPr="00E752E2">
        <w:rPr>
          <w:i/>
          <w:iCs/>
        </w:rPr>
        <w:t>Williams</w:t>
      </w:r>
      <w:r w:rsidR="00B75F21">
        <w:t xml:space="preserve"> court found the hearsay sufficiently reliable because </w:t>
      </w:r>
      <w:r w:rsidR="00A50681">
        <w:t xml:space="preserve">it was prepared as a substitute for a probation report, and as such, section 1203.01 required </w:t>
      </w:r>
      <w:r w:rsidR="002630B0">
        <w:t xml:space="preserve">it to be prepared.  Further, the defendant was given a full opportunity to also file a section 1203.01 statement, and thereby more opportunity to participate </w:t>
      </w:r>
      <w:r w:rsidR="000335C6">
        <w:t xml:space="preserve">in the process than </w:t>
      </w:r>
      <w:r w:rsidR="00FA747E">
        <w:t xml:space="preserve">in the preparation of </w:t>
      </w:r>
      <w:r w:rsidR="000335C6">
        <w:t>a probation report.  (</w:t>
      </w:r>
      <w:r w:rsidR="009E5720">
        <w:rPr>
          <w:i/>
          <w:iCs/>
        </w:rPr>
        <w:t>Williams,</w:t>
      </w:r>
      <w:r w:rsidR="000335C6">
        <w:t xml:space="preserve"> at p. 662.)  </w:t>
      </w:r>
    </w:p>
    <w:p w14:paraId="59D1924B" w14:textId="5B84B4C2" w:rsidR="00FA747E" w:rsidRDefault="00E25649" w:rsidP="004D3691">
      <w:r>
        <w:tab/>
        <w:t>We distinguish the materials submitted by the prosecu</w:t>
      </w:r>
      <w:r w:rsidR="00C46FBC">
        <w:t>tor</w:t>
      </w:r>
      <w:r>
        <w:t xml:space="preserve"> here from the statement submitted in </w:t>
      </w:r>
      <w:r w:rsidRPr="0061625C">
        <w:rPr>
          <w:i/>
          <w:iCs/>
        </w:rPr>
        <w:t>Williams</w:t>
      </w:r>
      <w:r>
        <w:t xml:space="preserve">.  The statement of view in this case was prepared </w:t>
      </w:r>
      <w:r w:rsidR="00C46FBC">
        <w:t>solely</w:t>
      </w:r>
      <w:r>
        <w:t xml:space="preserve"> by the prosecutor</w:t>
      </w:r>
      <w:r w:rsidR="00D0667C">
        <w:t xml:space="preserve"> and includes investigatory reports and other materials </w:t>
      </w:r>
      <w:r w:rsidR="00970892">
        <w:t>supportive of the position</w:t>
      </w:r>
      <w:r w:rsidR="00C46FBC">
        <w:t xml:space="preserve"> of the prosecution and law enforcement</w:t>
      </w:r>
      <w:r w:rsidR="00970892">
        <w:t xml:space="preserve">.  </w:t>
      </w:r>
      <w:r w:rsidR="00C46FBC">
        <w:t>And a</w:t>
      </w:r>
      <w:r>
        <w:t>s we note above</w:t>
      </w:r>
      <w:r w:rsidR="001C1054">
        <w:t>,</w:t>
      </w:r>
      <w:r w:rsidR="00E05807">
        <w:t xml:space="preserve"> even though Ferenz’s challenge fails</w:t>
      </w:r>
      <w:r w:rsidR="00C46FBC">
        <w:t xml:space="preserve"> here</w:t>
      </w:r>
      <w:r w:rsidR="00E05807">
        <w:t>,</w:t>
      </w:r>
      <w:r w:rsidR="001C1054">
        <w:t xml:space="preserve"> </w:t>
      </w:r>
      <w:r>
        <w:t xml:space="preserve">he </w:t>
      </w:r>
      <w:r w:rsidR="001C1054">
        <w:t xml:space="preserve">remains free to challenge the use of any of the material in the section 1203.01 </w:t>
      </w:r>
      <w:r w:rsidR="00E05807">
        <w:t>statement of view</w:t>
      </w:r>
      <w:r w:rsidR="000F1D01">
        <w:t xml:space="preserve"> on any ground</w:t>
      </w:r>
      <w:r w:rsidR="00E05807">
        <w:t xml:space="preserve"> should it be used in any future proceeding</w:t>
      </w:r>
      <w:r w:rsidR="000F1D01">
        <w:t>.</w:t>
      </w:r>
    </w:p>
    <w:p w14:paraId="4ABFE7ED" w14:textId="0AADDE30" w:rsidR="00DF1891" w:rsidRDefault="00E25649" w:rsidP="004D3691">
      <w:r>
        <w:tab/>
        <w:t xml:space="preserve">For these reasons, we conclude that section 1203.01 did not preclude the prosecutor’s submission, and the trial court did not err by declining to strike or limit it. </w:t>
      </w:r>
    </w:p>
    <w:p w14:paraId="52092868" w14:textId="10AE1CBB" w:rsidR="00524854" w:rsidRPr="00624B22" w:rsidRDefault="00E25649" w:rsidP="004D3691">
      <w:pPr>
        <w:rPr>
          <w:b/>
          <w:bCs/>
        </w:rPr>
      </w:pPr>
      <w:r w:rsidRPr="00624B22">
        <w:rPr>
          <w:b/>
          <w:bCs/>
        </w:rPr>
        <w:tab/>
        <w:t>C.  Criminal Justice Administration Fee</w:t>
      </w:r>
    </w:p>
    <w:p w14:paraId="00A9EE97" w14:textId="7AF394FA" w:rsidR="009F615D" w:rsidRDefault="00E25649" w:rsidP="004D3691">
      <w:r>
        <w:tab/>
      </w:r>
      <w:r w:rsidR="008F26BB">
        <w:t>Ferenz argues</w:t>
      </w:r>
      <w:r w:rsidR="00293317">
        <w:t>, and the Attorney General concedes</w:t>
      </w:r>
      <w:r w:rsidR="003736EE">
        <w:t>,</w:t>
      </w:r>
      <w:r w:rsidR="00293317">
        <w:t xml:space="preserve"> that the criminal justice administration fee</w:t>
      </w:r>
      <w:r w:rsidR="00D036F8">
        <w:t xml:space="preserve"> is unauthorized in light of Assembly Bill No. 1869</w:t>
      </w:r>
      <w:r w:rsidR="003736EE">
        <w:t xml:space="preserve"> (2019-2020 Reg. Sess.)</w:t>
      </w:r>
      <w:r w:rsidR="0008031A">
        <w:t xml:space="preserve">, </w:t>
      </w:r>
      <w:r w:rsidR="0008031A" w:rsidRPr="0008031A">
        <w:t>which rendered “unenforceable and uncollectible” any unpaid portion of certain enumerated fees, including the criminal justice administration fee, as of July 1, 2021.</w:t>
      </w:r>
      <w:r w:rsidR="0008031A">
        <w:t xml:space="preserve"> </w:t>
      </w:r>
      <w:r w:rsidR="0008031A" w:rsidRPr="0008031A">
        <w:t xml:space="preserve"> (§</w:t>
      </w:r>
      <w:r w:rsidR="00C47066">
        <w:t> </w:t>
      </w:r>
      <w:r w:rsidR="0008031A" w:rsidRPr="0008031A">
        <w:t>1465.9, subd. (a)</w:t>
      </w:r>
      <w:r w:rsidR="00D93600">
        <w:t>; see Stats. 2020, ch. 92, §</w:t>
      </w:r>
      <w:r w:rsidR="00ED56A5">
        <w:t> </w:t>
      </w:r>
      <w:r w:rsidR="00D93600">
        <w:t>2</w:t>
      </w:r>
      <w:r w:rsidR="0008031A" w:rsidRPr="0008031A">
        <w:t xml:space="preserve">.) </w:t>
      </w:r>
      <w:r w:rsidR="0008031A">
        <w:t xml:space="preserve"> </w:t>
      </w:r>
      <w:r w:rsidR="0008031A" w:rsidRPr="0008031A">
        <w:t>The provision further requires “any portion of a judgment” imposing such fees to be vacated.</w:t>
      </w:r>
      <w:r w:rsidR="000F1D01">
        <w:t xml:space="preserve"> </w:t>
      </w:r>
      <w:r w:rsidR="0008031A" w:rsidRPr="0008031A">
        <w:t xml:space="preserve"> (Gov. Code, §</w:t>
      </w:r>
      <w:r w:rsidR="00EF2E0A">
        <w:t> </w:t>
      </w:r>
      <w:r w:rsidR="0008031A" w:rsidRPr="0008031A">
        <w:t xml:space="preserve">6111, subd. (a).) </w:t>
      </w:r>
      <w:r w:rsidR="008F2715">
        <w:t xml:space="preserve"> Ferenz was sentenced on August 12, 2021</w:t>
      </w:r>
      <w:r w:rsidR="00876414">
        <w:t>, after Assembly Bill No. 1869 became effective</w:t>
      </w:r>
      <w:r w:rsidR="008F2715">
        <w:t>.</w:t>
      </w:r>
      <w:r w:rsidR="001176C3">
        <w:t xml:space="preserve">  </w:t>
      </w:r>
      <w:r w:rsidR="0008031A" w:rsidRPr="0008031A">
        <w:t xml:space="preserve">We </w:t>
      </w:r>
      <w:r w:rsidR="008B69A8">
        <w:t xml:space="preserve">therefore </w:t>
      </w:r>
      <w:r w:rsidR="0008031A" w:rsidRPr="0008031A">
        <w:t>accept the Attorney General</w:t>
      </w:r>
      <w:r w:rsidR="008B69A8">
        <w:t>’</w:t>
      </w:r>
      <w:r w:rsidR="0008031A" w:rsidRPr="0008031A">
        <w:t xml:space="preserve">s concession and </w:t>
      </w:r>
      <w:r w:rsidR="008B69A8">
        <w:t>will modify</w:t>
      </w:r>
      <w:r w:rsidR="00504E9B">
        <w:t xml:space="preserve"> the judgment</w:t>
      </w:r>
      <w:r w:rsidR="008B69A8">
        <w:t xml:space="preserve"> </w:t>
      </w:r>
      <w:r w:rsidR="00144AB2">
        <w:t xml:space="preserve">to </w:t>
      </w:r>
      <w:r w:rsidR="008B69A8">
        <w:t>vacate</w:t>
      </w:r>
      <w:r w:rsidR="00165C4A">
        <w:t xml:space="preserve"> the entirety </w:t>
      </w:r>
      <w:r w:rsidR="0008031A" w:rsidRPr="0008031A">
        <w:t>of the criminal justice administration fee.</w:t>
      </w:r>
    </w:p>
    <w:p w14:paraId="6527BE44" w14:textId="5A7C6F9C" w:rsidR="00F26111" w:rsidRPr="006B7D94" w:rsidRDefault="00E25649" w:rsidP="006B7D94">
      <w:pPr>
        <w:jc w:val="center"/>
        <w:rPr>
          <w:b/>
          <w:bCs/>
        </w:rPr>
      </w:pPr>
      <w:r w:rsidRPr="006B7D94">
        <w:rPr>
          <w:b/>
          <w:bCs/>
        </w:rPr>
        <w:lastRenderedPageBreak/>
        <w:t xml:space="preserve">III.  </w:t>
      </w:r>
      <w:r w:rsidRPr="00CA0BB4">
        <w:rPr>
          <w:b/>
          <w:bCs/>
          <w:smallCaps/>
        </w:rPr>
        <w:t>Disposition</w:t>
      </w:r>
    </w:p>
    <w:p w14:paraId="18642E27" w14:textId="12289C2E" w:rsidR="0001666C" w:rsidRDefault="00E25649" w:rsidP="004D3691">
      <w:r>
        <w:tab/>
        <w:t xml:space="preserve">The judgment is modified to vacate the </w:t>
      </w:r>
      <w:r w:rsidR="00144AB2">
        <w:t>$</w:t>
      </w:r>
      <w:r w:rsidR="00C47066">
        <w:t xml:space="preserve">129.75 criminal justice administration fee.  As so modified, the judgment is affirmed. </w:t>
      </w:r>
    </w:p>
    <w:p w14:paraId="7EEA9F79" w14:textId="77777777" w:rsidR="00C67700" w:rsidRDefault="00C67700" w:rsidP="004D3691">
      <w:pPr>
        <w:sectPr w:rsidR="00C67700" w:rsidSect="0024467A">
          <w:footerReference w:type="default" r:id="rId7"/>
          <w:pgSz w:w="12240" w:h="15840"/>
          <w:pgMar w:top="1440" w:right="1440" w:bottom="1440" w:left="1440" w:header="720" w:footer="720" w:gutter="0"/>
          <w:cols w:space="720"/>
          <w:titlePg/>
          <w:docGrid w:linePitch="360"/>
        </w:sectPr>
      </w:pPr>
    </w:p>
    <w:p w14:paraId="5BE8F1DB" w14:textId="77777777" w:rsidR="0029656A" w:rsidRPr="0029656A" w:rsidRDefault="0029656A" w:rsidP="0029656A">
      <w:pPr>
        <w:widowControl w:val="0"/>
        <w:tabs>
          <w:tab w:val="clear" w:pos="720"/>
        </w:tabs>
        <w:autoSpaceDE w:val="0"/>
        <w:autoSpaceDN w:val="0"/>
        <w:spacing w:line="240" w:lineRule="auto"/>
        <w:rPr>
          <w:rFonts w:eastAsia="Times New Roman"/>
          <w:sz w:val="20"/>
          <w:szCs w:val="26"/>
        </w:rPr>
      </w:pPr>
      <w:bookmarkStart w:id="1" w:name="_Hlk133314111"/>
    </w:p>
    <w:p w14:paraId="1293467D" w14:textId="77777777" w:rsidR="0029656A" w:rsidRPr="0029656A" w:rsidRDefault="0029656A" w:rsidP="0029656A">
      <w:pPr>
        <w:widowControl w:val="0"/>
        <w:tabs>
          <w:tab w:val="clear" w:pos="720"/>
        </w:tabs>
        <w:autoSpaceDE w:val="0"/>
        <w:autoSpaceDN w:val="0"/>
        <w:spacing w:line="240" w:lineRule="auto"/>
        <w:rPr>
          <w:rFonts w:eastAsia="Times New Roman"/>
          <w:sz w:val="20"/>
          <w:szCs w:val="26"/>
        </w:rPr>
      </w:pPr>
      <w:bookmarkStart w:id="2" w:name="_Hlk146791549"/>
    </w:p>
    <w:p w14:paraId="3703DA6A" w14:textId="77777777" w:rsidR="0029656A" w:rsidRPr="0029656A" w:rsidRDefault="00E25649" w:rsidP="0029656A">
      <w:pPr>
        <w:widowControl w:val="0"/>
        <w:tabs>
          <w:tab w:val="clear" w:pos="720"/>
        </w:tabs>
        <w:autoSpaceDE w:val="0"/>
        <w:autoSpaceDN w:val="0"/>
        <w:spacing w:line="240" w:lineRule="auto"/>
        <w:ind w:left="3600" w:firstLine="720"/>
        <w:rPr>
          <w:rFonts w:eastAsia="Times New Roman"/>
          <w:szCs w:val="26"/>
        </w:rPr>
      </w:pPr>
      <w:r w:rsidRPr="0029656A">
        <w:rPr>
          <w:rFonts w:eastAsia="Times New Roman"/>
          <w:szCs w:val="26"/>
        </w:rPr>
        <w:t>_______________________________</w:t>
      </w:r>
    </w:p>
    <w:p w14:paraId="29DEE668" w14:textId="77777777" w:rsidR="0029656A" w:rsidRPr="0029656A" w:rsidRDefault="00E25649" w:rsidP="0029656A">
      <w:pPr>
        <w:widowControl w:val="0"/>
        <w:tabs>
          <w:tab w:val="clear" w:pos="720"/>
        </w:tabs>
        <w:autoSpaceDE w:val="0"/>
        <w:autoSpaceDN w:val="0"/>
        <w:spacing w:line="240" w:lineRule="auto"/>
        <w:rPr>
          <w:rFonts w:eastAsia="Times New Roman"/>
          <w:sz w:val="20"/>
          <w:szCs w:val="26"/>
        </w:rPr>
      </w:pPr>
      <w:r w:rsidRPr="0029656A">
        <w:rPr>
          <w:rFonts w:eastAsia="Times New Roman"/>
          <w:szCs w:val="26"/>
        </w:rPr>
        <w:t xml:space="preserve">   </w:t>
      </w:r>
      <w:r w:rsidRPr="0029656A">
        <w:rPr>
          <w:rFonts w:eastAsia="Times New Roman"/>
          <w:szCs w:val="26"/>
        </w:rPr>
        <w:tab/>
      </w:r>
      <w:r w:rsidRPr="0029656A">
        <w:rPr>
          <w:rFonts w:eastAsia="Times New Roman"/>
          <w:szCs w:val="26"/>
        </w:rPr>
        <w:tab/>
      </w:r>
      <w:r w:rsidRPr="0029656A">
        <w:rPr>
          <w:rFonts w:eastAsia="Times New Roman"/>
          <w:szCs w:val="26"/>
        </w:rPr>
        <w:tab/>
      </w:r>
      <w:r w:rsidRPr="0029656A">
        <w:rPr>
          <w:rFonts w:eastAsia="Times New Roman"/>
          <w:szCs w:val="26"/>
        </w:rPr>
        <w:tab/>
      </w:r>
      <w:r w:rsidRPr="0029656A">
        <w:rPr>
          <w:rFonts w:eastAsia="Times New Roman"/>
          <w:szCs w:val="26"/>
        </w:rPr>
        <w:tab/>
        <w:t xml:space="preserve"> </w:t>
      </w:r>
      <w:r w:rsidRPr="0029656A">
        <w:rPr>
          <w:rFonts w:eastAsia="Times New Roman"/>
          <w:szCs w:val="26"/>
        </w:rPr>
        <w:tab/>
        <w:t xml:space="preserve">   Greenwood, P. J.</w:t>
      </w:r>
    </w:p>
    <w:p w14:paraId="6739EBB6" w14:textId="77777777" w:rsidR="0029656A" w:rsidRPr="0029656A" w:rsidRDefault="0029656A" w:rsidP="0029656A">
      <w:pPr>
        <w:widowControl w:val="0"/>
        <w:tabs>
          <w:tab w:val="clear" w:pos="720"/>
        </w:tabs>
        <w:autoSpaceDE w:val="0"/>
        <w:autoSpaceDN w:val="0"/>
        <w:spacing w:line="240" w:lineRule="auto"/>
        <w:rPr>
          <w:rFonts w:eastAsia="Times New Roman"/>
          <w:sz w:val="20"/>
          <w:szCs w:val="26"/>
        </w:rPr>
      </w:pPr>
    </w:p>
    <w:p w14:paraId="34148D58" w14:textId="77777777" w:rsidR="0029656A" w:rsidRPr="0029656A" w:rsidRDefault="0029656A" w:rsidP="0029656A">
      <w:pPr>
        <w:widowControl w:val="0"/>
        <w:tabs>
          <w:tab w:val="clear" w:pos="720"/>
        </w:tabs>
        <w:autoSpaceDE w:val="0"/>
        <w:autoSpaceDN w:val="0"/>
        <w:spacing w:line="240" w:lineRule="auto"/>
        <w:rPr>
          <w:rFonts w:eastAsia="Times New Roman"/>
          <w:sz w:val="20"/>
          <w:szCs w:val="26"/>
        </w:rPr>
      </w:pPr>
    </w:p>
    <w:p w14:paraId="137F35D9" w14:textId="77777777" w:rsidR="0029656A" w:rsidRPr="0029656A" w:rsidRDefault="0029656A" w:rsidP="0029656A">
      <w:pPr>
        <w:widowControl w:val="0"/>
        <w:tabs>
          <w:tab w:val="clear" w:pos="720"/>
        </w:tabs>
        <w:autoSpaceDE w:val="0"/>
        <w:autoSpaceDN w:val="0"/>
        <w:spacing w:line="240" w:lineRule="auto"/>
        <w:rPr>
          <w:rFonts w:eastAsia="Times New Roman"/>
          <w:sz w:val="20"/>
          <w:szCs w:val="26"/>
        </w:rPr>
      </w:pPr>
    </w:p>
    <w:p w14:paraId="1241873F" w14:textId="77777777" w:rsidR="0029656A" w:rsidRPr="0029656A" w:rsidRDefault="0029656A" w:rsidP="0029656A">
      <w:pPr>
        <w:widowControl w:val="0"/>
        <w:tabs>
          <w:tab w:val="clear" w:pos="720"/>
        </w:tabs>
        <w:autoSpaceDE w:val="0"/>
        <w:autoSpaceDN w:val="0"/>
        <w:spacing w:line="240" w:lineRule="auto"/>
        <w:rPr>
          <w:rFonts w:eastAsia="Times New Roman"/>
          <w:sz w:val="20"/>
          <w:szCs w:val="26"/>
        </w:rPr>
      </w:pPr>
    </w:p>
    <w:p w14:paraId="76EE4550" w14:textId="77777777" w:rsidR="0029656A" w:rsidRPr="0029656A" w:rsidRDefault="0029656A" w:rsidP="0029656A">
      <w:pPr>
        <w:widowControl w:val="0"/>
        <w:tabs>
          <w:tab w:val="clear" w:pos="720"/>
        </w:tabs>
        <w:autoSpaceDE w:val="0"/>
        <w:autoSpaceDN w:val="0"/>
        <w:spacing w:line="240" w:lineRule="auto"/>
        <w:rPr>
          <w:rFonts w:eastAsia="Times New Roman"/>
          <w:sz w:val="20"/>
          <w:szCs w:val="26"/>
        </w:rPr>
      </w:pPr>
    </w:p>
    <w:p w14:paraId="2DE60E91" w14:textId="77777777" w:rsidR="0029656A" w:rsidRPr="0029656A" w:rsidRDefault="0029656A" w:rsidP="0029656A">
      <w:pPr>
        <w:widowControl w:val="0"/>
        <w:tabs>
          <w:tab w:val="clear" w:pos="720"/>
        </w:tabs>
        <w:autoSpaceDE w:val="0"/>
        <w:autoSpaceDN w:val="0"/>
        <w:spacing w:line="240" w:lineRule="auto"/>
        <w:rPr>
          <w:rFonts w:eastAsia="Times New Roman"/>
          <w:sz w:val="20"/>
          <w:szCs w:val="26"/>
        </w:rPr>
      </w:pPr>
    </w:p>
    <w:p w14:paraId="6DC997EE" w14:textId="77777777" w:rsidR="0029656A" w:rsidRPr="0029656A" w:rsidRDefault="0029656A" w:rsidP="0029656A">
      <w:pPr>
        <w:widowControl w:val="0"/>
        <w:tabs>
          <w:tab w:val="clear" w:pos="720"/>
        </w:tabs>
        <w:autoSpaceDE w:val="0"/>
        <w:autoSpaceDN w:val="0"/>
        <w:spacing w:before="2" w:line="240" w:lineRule="auto"/>
        <w:rPr>
          <w:rFonts w:eastAsia="Times New Roman"/>
          <w:sz w:val="16"/>
          <w:szCs w:val="26"/>
        </w:rPr>
      </w:pPr>
    </w:p>
    <w:p w14:paraId="69D67BB2" w14:textId="77777777" w:rsidR="0029656A" w:rsidRPr="0029656A" w:rsidRDefault="00E25649" w:rsidP="0029656A">
      <w:pPr>
        <w:widowControl w:val="0"/>
        <w:tabs>
          <w:tab w:val="clear" w:pos="720"/>
        </w:tabs>
        <w:autoSpaceDE w:val="0"/>
        <w:autoSpaceDN w:val="0"/>
        <w:spacing w:before="89" w:line="240" w:lineRule="auto"/>
        <w:ind w:left="112"/>
        <w:rPr>
          <w:rFonts w:eastAsia="Times New Roman"/>
          <w:szCs w:val="26"/>
        </w:rPr>
      </w:pPr>
      <w:r w:rsidRPr="0029656A">
        <w:rPr>
          <w:rFonts w:eastAsia="Times New Roman"/>
          <w:szCs w:val="26"/>
        </w:rPr>
        <w:t>WE</w:t>
      </w:r>
      <w:r w:rsidRPr="0029656A">
        <w:rPr>
          <w:rFonts w:eastAsia="Times New Roman"/>
          <w:spacing w:val="-2"/>
          <w:szCs w:val="26"/>
        </w:rPr>
        <w:t xml:space="preserve"> CONCUR:</w:t>
      </w:r>
    </w:p>
    <w:p w14:paraId="64544DC7" w14:textId="77777777" w:rsidR="0029656A" w:rsidRPr="0029656A" w:rsidRDefault="0029656A" w:rsidP="0029656A">
      <w:pPr>
        <w:widowControl w:val="0"/>
        <w:tabs>
          <w:tab w:val="clear" w:pos="720"/>
        </w:tabs>
        <w:autoSpaceDE w:val="0"/>
        <w:autoSpaceDN w:val="0"/>
        <w:spacing w:line="240" w:lineRule="auto"/>
        <w:rPr>
          <w:rFonts w:eastAsia="Times New Roman"/>
          <w:sz w:val="20"/>
          <w:szCs w:val="26"/>
        </w:rPr>
      </w:pPr>
    </w:p>
    <w:p w14:paraId="1138BDA3" w14:textId="77777777" w:rsidR="0029656A" w:rsidRPr="0029656A" w:rsidRDefault="0029656A" w:rsidP="0029656A">
      <w:pPr>
        <w:widowControl w:val="0"/>
        <w:tabs>
          <w:tab w:val="clear" w:pos="720"/>
        </w:tabs>
        <w:autoSpaceDE w:val="0"/>
        <w:autoSpaceDN w:val="0"/>
        <w:spacing w:line="240" w:lineRule="auto"/>
        <w:rPr>
          <w:rFonts w:eastAsia="Times New Roman"/>
          <w:sz w:val="20"/>
          <w:szCs w:val="26"/>
        </w:rPr>
      </w:pPr>
    </w:p>
    <w:p w14:paraId="48CFD0BC" w14:textId="77777777" w:rsidR="0029656A" w:rsidRPr="0029656A" w:rsidRDefault="0029656A" w:rsidP="0029656A">
      <w:pPr>
        <w:widowControl w:val="0"/>
        <w:tabs>
          <w:tab w:val="clear" w:pos="720"/>
        </w:tabs>
        <w:autoSpaceDE w:val="0"/>
        <w:autoSpaceDN w:val="0"/>
        <w:spacing w:line="240" w:lineRule="auto"/>
        <w:rPr>
          <w:rFonts w:eastAsia="Times New Roman"/>
          <w:sz w:val="20"/>
          <w:szCs w:val="26"/>
        </w:rPr>
      </w:pPr>
    </w:p>
    <w:p w14:paraId="678790D0" w14:textId="77777777" w:rsidR="0029656A" w:rsidRPr="0029656A" w:rsidRDefault="0029656A" w:rsidP="0029656A">
      <w:pPr>
        <w:widowControl w:val="0"/>
        <w:tabs>
          <w:tab w:val="clear" w:pos="720"/>
        </w:tabs>
        <w:autoSpaceDE w:val="0"/>
        <w:autoSpaceDN w:val="0"/>
        <w:spacing w:line="240" w:lineRule="auto"/>
        <w:rPr>
          <w:rFonts w:eastAsia="Times New Roman"/>
          <w:sz w:val="20"/>
          <w:szCs w:val="26"/>
        </w:rPr>
      </w:pPr>
    </w:p>
    <w:p w14:paraId="56CB7791" w14:textId="77777777" w:rsidR="0029656A" w:rsidRPr="0029656A" w:rsidRDefault="0029656A" w:rsidP="0029656A">
      <w:pPr>
        <w:widowControl w:val="0"/>
        <w:tabs>
          <w:tab w:val="clear" w:pos="720"/>
        </w:tabs>
        <w:autoSpaceDE w:val="0"/>
        <w:autoSpaceDN w:val="0"/>
        <w:spacing w:line="240" w:lineRule="auto"/>
        <w:rPr>
          <w:rFonts w:eastAsia="Times New Roman"/>
          <w:sz w:val="20"/>
          <w:szCs w:val="26"/>
        </w:rPr>
      </w:pPr>
    </w:p>
    <w:p w14:paraId="56B6E71E" w14:textId="77777777" w:rsidR="0029656A" w:rsidRPr="0029656A" w:rsidRDefault="00E25649" w:rsidP="0029656A">
      <w:pPr>
        <w:widowControl w:val="0"/>
        <w:tabs>
          <w:tab w:val="clear" w:pos="720"/>
        </w:tabs>
        <w:autoSpaceDE w:val="0"/>
        <w:autoSpaceDN w:val="0"/>
        <w:spacing w:line="240" w:lineRule="auto"/>
        <w:rPr>
          <w:rFonts w:eastAsia="Times New Roman"/>
          <w:szCs w:val="26"/>
        </w:rPr>
      </w:pPr>
      <w:r w:rsidRPr="0029656A">
        <w:rPr>
          <w:rFonts w:eastAsia="Times New Roman"/>
          <w:szCs w:val="26"/>
        </w:rPr>
        <w:t>_______________________________</w:t>
      </w:r>
    </w:p>
    <w:p w14:paraId="41CD43E3" w14:textId="77777777" w:rsidR="0029656A" w:rsidRPr="0029656A" w:rsidRDefault="00E25649" w:rsidP="0029656A">
      <w:pPr>
        <w:widowControl w:val="0"/>
        <w:tabs>
          <w:tab w:val="clear" w:pos="720"/>
        </w:tabs>
        <w:autoSpaceDE w:val="0"/>
        <w:autoSpaceDN w:val="0"/>
        <w:spacing w:line="240" w:lineRule="auto"/>
        <w:rPr>
          <w:rFonts w:eastAsia="Times New Roman"/>
          <w:szCs w:val="26"/>
        </w:rPr>
      </w:pPr>
      <w:r w:rsidRPr="0029656A">
        <w:rPr>
          <w:rFonts w:eastAsia="Times New Roman"/>
          <w:szCs w:val="26"/>
        </w:rPr>
        <w:t xml:space="preserve">    Grover, J. </w:t>
      </w:r>
    </w:p>
    <w:p w14:paraId="7AB23B12" w14:textId="77777777" w:rsidR="0029656A" w:rsidRPr="0029656A" w:rsidRDefault="0029656A" w:rsidP="0029656A">
      <w:pPr>
        <w:widowControl w:val="0"/>
        <w:tabs>
          <w:tab w:val="clear" w:pos="720"/>
        </w:tabs>
        <w:autoSpaceDE w:val="0"/>
        <w:autoSpaceDN w:val="0"/>
        <w:spacing w:line="240" w:lineRule="auto"/>
        <w:rPr>
          <w:rFonts w:eastAsia="Times New Roman"/>
          <w:sz w:val="20"/>
          <w:szCs w:val="26"/>
        </w:rPr>
      </w:pPr>
    </w:p>
    <w:p w14:paraId="2291190D" w14:textId="77777777" w:rsidR="0029656A" w:rsidRPr="0029656A" w:rsidRDefault="0029656A" w:rsidP="0029656A">
      <w:pPr>
        <w:widowControl w:val="0"/>
        <w:tabs>
          <w:tab w:val="clear" w:pos="720"/>
        </w:tabs>
        <w:autoSpaceDE w:val="0"/>
        <w:autoSpaceDN w:val="0"/>
        <w:spacing w:line="240" w:lineRule="auto"/>
        <w:rPr>
          <w:rFonts w:eastAsia="Times New Roman"/>
          <w:sz w:val="20"/>
          <w:szCs w:val="26"/>
        </w:rPr>
      </w:pPr>
    </w:p>
    <w:p w14:paraId="337AD6C6" w14:textId="77777777" w:rsidR="0029656A" w:rsidRPr="0029656A" w:rsidRDefault="0029656A" w:rsidP="0029656A">
      <w:pPr>
        <w:widowControl w:val="0"/>
        <w:tabs>
          <w:tab w:val="clear" w:pos="720"/>
        </w:tabs>
        <w:autoSpaceDE w:val="0"/>
        <w:autoSpaceDN w:val="0"/>
        <w:spacing w:line="240" w:lineRule="auto"/>
        <w:rPr>
          <w:rFonts w:eastAsia="Times New Roman"/>
          <w:sz w:val="20"/>
          <w:szCs w:val="26"/>
        </w:rPr>
      </w:pPr>
    </w:p>
    <w:p w14:paraId="0A8E359C" w14:textId="77777777" w:rsidR="0029656A" w:rsidRPr="0029656A" w:rsidRDefault="0029656A" w:rsidP="0029656A">
      <w:pPr>
        <w:widowControl w:val="0"/>
        <w:tabs>
          <w:tab w:val="clear" w:pos="720"/>
        </w:tabs>
        <w:autoSpaceDE w:val="0"/>
        <w:autoSpaceDN w:val="0"/>
        <w:spacing w:line="240" w:lineRule="auto"/>
        <w:rPr>
          <w:rFonts w:eastAsia="Times New Roman"/>
          <w:sz w:val="20"/>
          <w:szCs w:val="26"/>
        </w:rPr>
      </w:pPr>
    </w:p>
    <w:p w14:paraId="0CAB66AF" w14:textId="77777777" w:rsidR="0029656A" w:rsidRPr="0029656A" w:rsidRDefault="0029656A" w:rsidP="0029656A">
      <w:pPr>
        <w:widowControl w:val="0"/>
        <w:tabs>
          <w:tab w:val="clear" w:pos="720"/>
        </w:tabs>
        <w:autoSpaceDE w:val="0"/>
        <w:autoSpaceDN w:val="0"/>
        <w:spacing w:line="240" w:lineRule="auto"/>
        <w:rPr>
          <w:rFonts w:eastAsia="Times New Roman"/>
          <w:sz w:val="20"/>
          <w:szCs w:val="26"/>
        </w:rPr>
      </w:pPr>
    </w:p>
    <w:p w14:paraId="268F0637" w14:textId="77777777" w:rsidR="0029656A" w:rsidRPr="0029656A" w:rsidRDefault="0029656A" w:rsidP="0029656A">
      <w:pPr>
        <w:widowControl w:val="0"/>
        <w:tabs>
          <w:tab w:val="clear" w:pos="720"/>
        </w:tabs>
        <w:autoSpaceDE w:val="0"/>
        <w:autoSpaceDN w:val="0"/>
        <w:spacing w:line="240" w:lineRule="auto"/>
        <w:rPr>
          <w:rFonts w:eastAsia="Times New Roman"/>
          <w:sz w:val="20"/>
          <w:szCs w:val="26"/>
        </w:rPr>
      </w:pPr>
    </w:p>
    <w:p w14:paraId="57EE4020" w14:textId="77777777" w:rsidR="0029656A" w:rsidRPr="0029656A" w:rsidRDefault="0029656A" w:rsidP="0029656A">
      <w:pPr>
        <w:widowControl w:val="0"/>
        <w:tabs>
          <w:tab w:val="clear" w:pos="720"/>
        </w:tabs>
        <w:autoSpaceDE w:val="0"/>
        <w:autoSpaceDN w:val="0"/>
        <w:spacing w:line="240" w:lineRule="auto"/>
        <w:rPr>
          <w:rFonts w:eastAsia="Times New Roman"/>
          <w:sz w:val="20"/>
          <w:szCs w:val="26"/>
        </w:rPr>
      </w:pPr>
    </w:p>
    <w:p w14:paraId="6A1EE4CA" w14:textId="77777777" w:rsidR="0029656A" w:rsidRPr="0029656A" w:rsidRDefault="0029656A" w:rsidP="0029656A">
      <w:pPr>
        <w:widowControl w:val="0"/>
        <w:tabs>
          <w:tab w:val="clear" w:pos="720"/>
        </w:tabs>
        <w:autoSpaceDE w:val="0"/>
        <w:autoSpaceDN w:val="0"/>
        <w:spacing w:line="240" w:lineRule="auto"/>
        <w:rPr>
          <w:rFonts w:eastAsia="Times New Roman"/>
          <w:sz w:val="20"/>
          <w:szCs w:val="26"/>
        </w:rPr>
      </w:pPr>
    </w:p>
    <w:p w14:paraId="3E3BF911" w14:textId="77777777" w:rsidR="0029656A" w:rsidRPr="0029656A" w:rsidRDefault="0029656A" w:rsidP="0029656A">
      <w:pPr>
        <w:widowControl w:val="0"/>
        <w:tabs>
          <w:tab w:val="clear" w:pos="720"/>
        </w:tabs>
        <w:autoSpaceDE w:val="0"/>
        <w:autoSpaceDN w:val="0"/>
        <w:spacing w:line="240" w:lineRule="auto"/>
        <w:rPr>
          <w:rFonts w:eastAsia="Times New Roman"/>
          <w:sz w:val="20"/>
          <w:szCs w:val="26"/>
        </w:rPr>
      </w:pPr>
    </w:p>
    <w:p w14:paraId="1DCED94B" w14:textId="77777777" w:rsidR="0029656A" w:rsidRPr="0029656A" w:rsidRDefault="0029656A" w:rsidP="0029656A">
      <w:pPr>
        <w:widowControl w:val="0"/>
        <w:tabs>
          <w:tab w:val="clear" w:pos="720"/>
        </w:tabs>
        <w:autoSpaceDE w:val="0"/>
        <w:autoSpaceDN w:val="0"/>
        <w:spacing w:line="240" w:lineRule="auto"/>
        <w:rPr>
          <w:rFonts w:eastAsia="Times New Roman"/>
          <w:sz w:val="20"/>
          <w:szCs w:val="26"/>
        </w:rPr>
      </w:pPr>
    </w:p>
    <w:p w14:paraId="2372DD1A" w14:textId="77777777" w:rsidR="0029656A" w:rsidRPr="0029656A" w:rsidRDefault="0029656A" w:rsidP="0029656A">
      <w:pPr>
        <w:widowControl w:val="0"/>
        <w:tabs>
          <w:tab w:val="clear" w:pos="720"/>
        </w:tabs>
        <w:autoSpaceDE w:val="0"/>
        <w:autoSpaceDN w:val="0"/>
        <w:spacing w:line="240" w:lineRule="auto"/>
        <w:rPr>
          <w:rFonts w:eastAsia="Times New Roman"/>
          <w:szCs w:val="26"/>
        </w:rPr>
      </w:pPr>
    </w:p>
    <w:p w14:paraId="0898F388" w14:textId="77777777" w:rsidR="0029656A" w:rsidRPr="0029656A" w:rsidRDefault="0029656A" w:rsidP="0029656A">
      <w:pPr>
        <w:widowControl w:val="0"/>
        <w:tabs>
          <w:tab w:val="clear" w:pos="720"/>
        </w:tabs>
        <w:autoSpaceDE w:val="0"/>
        <w:autoSpaceDN w:val="0"/>
        <w:spacing w:line="240" w:lineRule="auto"/>
        <w:rPr>
          <w:rFonts w:eastAsia="Times New Roman"/>
          <w:szCs w:val="26"/>
        </w:rPr>
      </w:pPr>
    </w:p>
    <w:p w14:paraId="6EC36E03" w14:textId="77777777" w:rsidR="0029656A" w:rsidRPr="0029656A" w:rsidRDefault="00E25649" w:rsidP="0029656A">
      <w:pPr>
        <w:widowControl w:val="0"/>
        <w:tabs>
          <w:tab w:val="clear" w:pos="720"/>
        </w:tabs>
        <w:autoSpaceDE w:val="0"/>
        <w:autoSpaceDN w:val="0"/>
        <w:spacing w:line="240" w:lineRule="auto"/>
        <w:rPr>
          <w:rFonts w:eastAsia="Times New Roman"/>
          <w:szCs w:val="26"/>
        </w:rPr>
      </w:pPr>
      <w:bookmarkStart w:id="3" w:name="_Hlk122463584"/>
      <w:r w:rsidRPr="0029656A">
        <w:rPr>
          <w:rFonts w:eastAsia="Times New Roman"/>
          <w:szCs w:val="26"/>
        </w:rPr>
        <w:t>_______________________________</w:t>
      </w:r>
    </w:p>
    <w:p w14:paraId="5A605F7A" w14:textId="77777777" w:rsidR="0029656A" w:rsidRPr="0029656A" w:rsidRDefault="00E25649" w:rsidP="0029656A">
      <w:pPr>
        <w:widowControl w:val="0"/>
        <w:tabs>
          <w:tab w:val="clear" w:pos="720"/>
        </w:tabs>
        <w:autoSpaceDE w:val="0"/>
        <w:autoSpaceDN w:val="0"/>
        <w:spacing w:line="240" w:lineRule="auto"/>
        <w:rPr>
          <w:rFonts w:eastAsia="Times New Roman"/>
          <w:szCs w:val="26"/>
        </w:rPr>
      </w:pPr>
      <w:r w:rsidRPr="0029656A">
        <w:rPr>
          <w:rFonts w:eastAsia="Times New Roman"/>
          <w:szCs w:val="26"/>
        </w:rPr>
        <w:t xml:space="preserve">    Lie, J. </w:t>
      </w:r>
    </w:p>
    <w:bookmarkEnd w:id="3"/>
    <w:p w14:paraId="3E3BA4DC" w14:textId="77777777" w:rsidR="0029656A" w:rsidRPr="0029656A" w:rsidRDefault="0029656A" w:rsidP="0029656A">
      <w:pPr>
        <w:widowControl w:val="0"/>
        <w:tabs>
          <w:tab w:val="clear" w:pos="720"/>
        </w:tabs>
        <w:autoSpaceDE w:val="0"/>
        <w:autoSpaceDN w:val="0"/>
        <w:spacing w:line="240" w:lineRule="auto"/>
        <w:rPr>
          <w:rFonts w:eastAsia="Times New Roman"/>
          <w:szCs w:val="26"/>
        </w:rPr>
      </w:pPr>
    </w:p>
    <w:p w14:paraId="11306816" w14:textId="77777777" w:rsidR="0029656A" w:rsidRPr="0029656A" w:rsidRDefault="0029656A" w:rsidP="0029656A">
      <w:pPr>
        <w:widowControl w:val="0"/>
        <w:tabs>
          <w:tab w:val="clear" w:pos="720"/>
        </w:tabs>
        <w:autoSpaceDE w:val="0"/>
        <w:autoSpaceDN w:val="0"/>
        <w:spacing w:line="240" w:lineRule="auto"/>
        <w:rPr>
          <w:rFonts w:eastAsia="Times New Roman"/>
          <w:szCs w:val="26"/>
        </w:rPr>
      </w:pPr>
    </w:p>
    <w:p w14:paraId="0915D782" w14:textId="77777777" w:rsidR="0029656A" w:rsidRPr="0029656A" w:rsidRDefault="0029656A" w:rsidP="0029656A">
      <w:pPr>
        <w:widowControl w:val="0"/>
        <w:tabs>
          <w:tab w:val="clear" w:pos="720"/>
        </w:tabs>
        <w:autoSpaceDE w:val="0"/>
        <w:autoSpaceDN w:val="0"/>
        <w:spacing w:line="240" w:lineRule="auto"/>
        <w:rPr>
          <w:rFonts w:eastAsia="Times New Roman"/>
          <w:szCs w:val="26"/>
        </w:rPr>
      </w:pPr>
    </w:p>
    <w:p w14:paraId="25F93C97" w14:textId="77777777" w:rsidR="0029656A" w:rsidRPr="0029656A" w:rsidRDefault="0029656A" w:rsidP="0029656A">
      <w:pPr>
        <w:widowControl w:val="0"/>
        <w:tabs>
          <w:tab w:val="clear" w:pos="720"/>
        </w:tabs>
        <w:autoSpaceDE w:val="0"/>
        <w:autoSpaceDN w:val="0"/>
        <w:spacing w:line="240" w:lineRule="auto"/>
        <w:rPr>
          <w:rFonts w:eastAsia="Times New Roman"/>
          <w:szCs w:val="26"/>
        </w:rPr>
      </w:pPr>
    </w:p>
    <w:p w14:paraId="659646B1" w14:textId="77777777" w:rsidR="0029656A" w:rsidRPr="0029656A" w:rsidRDefault="0029656A" w:rsidP="0029656A">
      <w:pPr>
        <w:widowControl w:val="0"/>
        <w:tabs>
          <w:tab w:val="clear" w:pos="720"/>
        </w:tabs>
        <w:autoSpaceDE w:val="0"/>
        <w:autoSpaceDN w:val="0"/>
        <w:spacing w:line="240" w:lineRule="auto"/>
        <w:rPr>
          <w:rFonts w:eastAsia="Times New Roman"/>
          <w:szCs w:val="26"/>
        </w:rPr>
      </w:pPr>
    </w:p>
    <w:p w14:paraId="5122EC56" w14:textId="77777777" w:rsidR="0029656A" w:rsidRPr="0029656A" w:rsidRDefault="0029656A" w:rsidP="0029656A">
      <w:pPr>
        <w:widowControl w:val="0"/>
        <w:tabs>
          <w:tab w:val="clear" w:pos="720"/>
        </w:tabs>
        <w:autoSpaceDE w:val="0"/>
        <w:autoSpaceDN w:val="0"/>
        <w:spacing w:line="240" w:lineRule="auto"/>
        <w:rPr>
          <w:rFonts w:eastAsia="Times New Roman"/>
          <w:szCs w:val="26"/>
        </w:rPr>
      </w:pPr>
    </w:p>
    <w:p w14:paraId="43D178A2" w14:textId="77777777" w:rsidR="0029656A" w:rsidRPr="0029656A" w:rsidRDefault="0029656A" w:rsidP="0029656A">
      <w:pPr>
        <w:widowControl w:val="0"/>
        <w:tabs>
          <w:tab w:val="clear" w:pos="720"/>
        </w:tabs>
        <w:autoSpaceDE w:val="0"/>
        <w:autoSpaceDN w:val="0"/>
        <w:spacing w:line="240" w:lineRule="auto"/>
        <w:rPr>
          <w:rFonts w:eastAsia="Times New Roman"/>
          <w:szCs w:val="26"/>
        </w:rPr>
      </w:pPr>
    </w:p>
    <w:p w14:paraId="560DAD13" w14:textId="77777777" w:rsidR="0029656A" w:rsidRPr="0029656A" w:rsidRDefault="0029656A" w:rsidP="0029656A">
      <w:pPr>
        <w:widowControl w:val="0"/>
        <w:tabs>
          <w:tab w:val="clear" w:pos="720"/>
        </w:tabs>
        <w:autoSpaceDE w:val="0"/>
        <w:autoSpaceDN w:val="0"/>
        <w:spacing w:line="240" w:lineRule="auto"/>
        <w:rPr>
          <w:rFonts w:eastAsia="Times New Roman"/>
          <w:szCs w:val="26"/>
        </w:rPr>
      </w:pPr>
    </w:p>
    <w:p w14:paraId="65B5A404" w14:textId="77777777" w:rsidR="0029656A" w:rsidRPr="0029656A" w:rsidRDefault="0029656A" w:rsidP="0029656A">
      <w:pPr>
        <w:widowControl w:val="0"/>
        <w:tabs>
          <w:tab w:val="clear" w:pos="720"/>
        </w:tabs>
        <w:autoSpaceDE w:val="0"/>
        <w:autoSpaceDN w:val="0"/>
        <w:spacing w:line="240" w:lineRule="auto"/>
        <w:rPr>
          <w:rFonts w:eastAsia="Times New Roman"/>
          <w:szCs w:val="26"/>
        </w:rPr>
      </w:pPr>
    </w:p>
    <w:bookmarkEnd w:id="1"/>
    <w:bookmarkEnd w:id="2"/>
    <w:p w14:paraId="04621FCC" w14:textId="77777777" w:rsidR="0029656A" w:rsidRPr="0029656A" w:rsidRDefault="00E25649" w:rsidP="0029656A">
      <w:pPr>
        <w:widowControl w:val="0"/>
        <w:tabs>
          <w:tab w:val="clear" w:pos="720"/>
        </w:tabs>
        <w:autoSpaceDE w:val="0"/>
        <w:autoSpaceDN w:val="0"/>
        <w:spacing w:line="240" w:lineRule="auto"/>
        <w:rPr>
          <w:rFonts w:eastAsia="Times New Roman"/>
          <w:szCs w:val="26"/>
        </w:rPr>
      </w:pPr>
      <w:r w:rsidRPr="0029656A">
        <w:rPr>
          <w:rFonts w:eastAsia="Times New Roman"/>
          <w:szCs w:val="26"/>
        </w:rPr>
        <w:t xml:space="preserve">H049430 </w:t>
      </w:r>
    </w:p>
    <w:p w14:paraId="3528376F" w14:textId="77777777" w:rsidR="00AB300C" w:rsidRDefault="00E25649" w:rsidP="0029656A">
      <w:pPr>
        <w:widowControl w:val="0"/>
        <w:tabs>
          <w:tab w:val="clear" w:pos="720"/>
        </w:tabs>
        <w:autoSpaceDE w:val="0"/>
        <w:autoSpaceDN w:val="0"/>
        <w:spacing w:line="240" w:lineRule="auto"/>
        <w:rPr>
          <w:rFonts w:eastAsia="Times New Roman"/>
          <w:szCs w:val="26"/>
        </w:rPr>
        <w:sectPr w:rsidR="00AB300C" w:rsidSect="0024467A">
          <w:pgSz w:w="12240" w:h="15840"/>
          <w:pgMar w:top="1440" w:right="1440" w:bottom="1440" w:left="1440" w:header="720" w:footer="720" w:gutter="0"/>
          <w:cols w:space="720"/>
          <w:titlePg/>
          <w:docGrid w:linePitch="360"/>
        </w:sectPr>
      </w:pPr>
      <w:r w:rsidRPr="0029656A">
        <w:rPr>
          <w:rFonts w:eastAsia="Times New Roman"/>
          <w:szCs w:val="26"/>
        </w:rPr>
        <w:t>The People v. Ferenz</w:t>
      </w:r>
    </w:p>
    <w:p w14:paraId="62E37883" w14:textId="77777777" w:rsidR="00AB300C" w:rsidRPr="00AC03F5" w:rsidRDefault="00AB300C" w:rsidP="00AB300C">
      <w:pPr>
        <w:widowControl w:val="0"/>
        <w:tabs>
          <w:tab w:val="left" w:pos="1440"/>
          <w:tab w:val="left" w:pos="2880"/>
          <w:tab w:val="left" w:pos="4320"/>
          <w:tab w:val="left" w:pos="5760"/>
          <w:tab w:val="left" w:pos="7200"/>
          <w:tab w:val="left" w:pos="8640"/>
        </w:tabs>
        <w:autoSpaceDE w:val="0"/>
        <w:autoSpaceDN w:val="0"/>
        <w:adjustRightInd w:val="0"/>
        <w:spacing w:line="240" w:lineRule="auto"/>
        <w:rPr>
          <w:sz w:val="20"/>
          <w:szCs w:val="20"/>
        </w:rPr>
      </w:pPr>
      <w:r w:rsidRPr="00AC03F5">
        <w:rPr>
          <w:sz w:val="20"/>
          <w:szCs w:val="20"/>
        </w:rPr>
        <w:lastRenderedPageBreak/>
        <w:t>F</w:t>
      </w:r>
      <w:r>
        <w:rPr>
          <w:sz w:val="20"/>
          <w:szCs w:val="20"/>
        </w:rPr>
        <w:t>iled</w:t>
      </w:r>
      <w:r w:rsidRPr="00AC03F5">
        <w:rPr>
          <w:sz w:val="20"/>
          <w:szCs w:val="20"/>
        </w:rPr>
        <w:t xml:space="preserve"> 2/21/24</w:t>
      </w:r>
    </w:p>
    <w:p w14:paraId="4B93159A" w14:textId="77777777" w:rsidR="00AB300C" w:rsidRDefault="00AB300C" w:rsidP="00AB300C">
      <w:pPr>
        <w:widowControl w:val="0"/>
        <w:tabs>
          <w:tab w:val="left" w:pos="1440"/>
          <w:tab w:val="left" w:pos="2880"/>
          <w:tab w:val="left" w:pos="4320"/>
          <w:tab w:val="left" w:pos="5760"/>
          <w:tab w:val="left" w:pos="7200"/>
          <w:tab w:val="left" w:pos="8640"/>
        </w:tabs>
        <w:autoSpaceDE w:val="0"/>
        <w:autoSpaceDN w:val="0"/>
        <w:adjustRightInd w:val="0"/>
        <w:spacing w:line="240" w:lineRule="auto"/>
        <w:jc w:val="center"/>
        <w:rPr>
          <w:szCs w:val="26"/>
        </w:rPr>
      </w:pPr>
    </w:p>
    <w:p w14:paraId="64B090E1" w14:textId="77777777" w:rsidR="00AB300C" w:rsidRPr="00E52DC4" w:rsidRDefault="00AB300C" w:rsidP="00AB300C">
      <w:pPr>
        <w:spacing w:line="240" w:lineRule="auto"/>
        <w:jc w:val="center"/>
        <w:rPr>
          <w:b/>
          <w:bCs/>
          <w:szCs w:val="26"/>
        </w:rPr>
      </w:pPr>
      <w:r w:rsidRPr="00E52DC4">
        <w:rPr>
          <w:b/>
          <w:bCs/>
          <w:szCs w:val="26"/>
        </w:rPr>
        <w:t>CERTIFIED FOR PUBLICATION</w:t>
      </w:r>
    </w:p>
    <w:p w14:paraId="64B30311" w14:textId="77777777" w:rsidR="00AB300C" w:rsidRDefault="00AB300C" w:rsidP="00AB300C">
      <w:pPr>
        <w:widowControl w:val="0"/>
        <w:tabs>
          <w:tab w:val="left" w:pos="1440"/>
          <w:tab w:val="left" w:pos="2880"/>
          <w:tab w:val="left" w:pos="4320"/>
          <w:tab w:val="left" w:pos="5760"/>
          <w:tab w:val="left" w:pos="7200"/>
          <w:tab w:val="left" w:pos="8640"/>
        </w:tabs>
        <w:autoSpaceDE w:val="0"/>
        <w:autoSpaceDN w:val="0"/>
        <w:adjustRightInd w:val="0"/>
        <w:spacing w:line="240" w:lineRule="auto"/>
        <w:jc w:val="center"/>
        <w:rPr>
          <w:szCs w:val="26"/>
        </w:rPr>
      </w:pPr>
    </w:p>
    <w:p w14:paraId="4289A2A1" w14:textId="77777777" w:rsidR="00AB300C" w:rsidRDefault="00AB300C" w:rsidP="00AB300C">
      <w:pPr>
        <w:widowControl w:val="0"/>
        <w:tabs>
          <w:tab w:val="left" w:pos="1440"/>
          <w:tab w:val="left" w:pos="2880"/>
          <w:tab w:val="left" w:pos="4320"/>
          <w:tab w:val="left" w:pos="5760"/>
          <w:tab w:val="left" w:pos="7200"/>
          <w:tab w:val="left" w:pos="8640"/>
        </w:tabs>
        <w:autoSpaceDE w:val="0"/>
        <w:autoSpaceDN w:val="0"/>
        <w:adjustRightInd w:val="0"/>
        <w:spacing w:line="240" w:lineRule="auto"/>
        <w:jc w:val="center"/>
        <w:rPr>
          <w:szCs w:val="26"/>
        </w:rPr>
      </w:pPr>
      <w:r>
        <w:rPr>
          <w:szCs w:val="26"/>
        </w:rPr>
        <w:t>IN THE COURT OF APPEAL OF THE STATE OF CALIFORNIA</w:t>
      </w:r>
    </w:p>
    <w:p w14:paraId="3530D334" w14:textId="77777777" w:rsidR="00AB300C" w:rsidRDefault="00AB300C" w:rsidP="00AB300C">
      <w:pPr>
        <w:widowControl w:val="0"/>
        <w:tabs>
          <w:tab w:val="left" w:pos="1440"/>
          <w:tab w:val="left" w:pos="2880"/>
          <w:tab w:val="left" w:pos="4320"/>
          <w:tab w:val="left" w:pos="5760"/>
          <w:tab w:val="left" w:pos="7200"/>
          <w:tab w:val="left" w:pos="8640"/>
        </w:tabs>
        <w:autoSpaceDE w:val="0"/>
        <w:autoSpaceDN w:val="0"/>
        <w:adjustRightInd w:val="0"/>
        <w:spacing w:line="240" w:lineRule="auto"/>
        <w:jc w:val="center"/>
        <w:rPr>
          <w:szCs w:val="26"/>
        </w:rPr>
      </w:pPr>
      <w:r>
        <w:rPr>
          <w:szCs w:val="26"/>
        </w:rPr>
        <w:t>SIXTH APPELLATE DISTRICT</w:t>
      </w:r>
    </w:p>
    <w:p w14:paraId="2D234E21" w14:textId="77777777" w:rsidR="00AB300C" w:rsidRDefault="00AB300C" w:rsidP="00AB300C">
      <w:pPr>
        <w:widowControl w:val="0"/>
        <w:tabs>
          <w:tab w:val="left" w:pos="1440"/>
          <w:tab w:val="left" w:pos="2880"/>
          <w:tab w:val="left" w:pos="4320"/>
          <w:tab w:val="left" w:pos="5760"/>
          <w:tab w:val="left" w:pos="7200"/>
          <w:tab w:val="left" w:pos="8640"/>
        </w:tabs>
        <w:autoSpaceDE w:val="0"/>
        <w:autoSpaceDN w:val="0"/>
        <w:adjustRightInd w:val="0"/>
        <w:spacing w:line="240" w:lineRule="auto"/>
        <w:jc w:val="center"/>
        <w:rPr>
          <w:szCs w:val="26"/>
        </w:rPr>
      </w:pPr>
    </w:p>
    <w:p w14:paraId="3E791278" w14:textId="77777777" w:rsidR="00AB300C" w:rsidRDefault="00AB300C" w:rsidP="00AB300C">
      <w:pPr>
        <w:widowControl w:val="0"/>
        <w:tabs>
          <w:tab w:val="left" w:pos="1440"/>
          <w:tab w:val="left" w:pos="2880"/>
          <w:tab w:val="left" w:pos="4320"/>
          <w:tab w:val="left" w:pos="5760"/>
          <w:tab w:val="left" w:pos="7200"/>
          <w:tab w:val="left" w:pos="8640"/>
        </w:tabs>
        <w:autoSpaceDE w:val="0"/>
        <w:autoSpaceDN w:val="0"/>
        <w:adjustRightInd w:val="0"/>
        <w:spacing w:line="240" w:lineRule="auto"/>
        <w:jc w:val="center"/>
        <w:rPr>
          <w:szCs w:val="26"/>
        </w:rPr>
      </w:pPr>
    </w:p>
    <w:p w14:paraId="45C64E33" w14:textId="77777777" w:rsidR="00AB300C" w:rsidRDefault="00AB300C" w:rsidP="00AB300C">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p>
    <w:p w14:paraId="63B2D4BD" w14:textId="77777777" w:rsidR="00AB300C" w:rsidRDefault="00AB300C" w:rsidP="00AB300C">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Pr>
          <w:szCs w:val="26"/>
        </w:rPr>
        <w:t>THE PEOPLE,</w:t>
      </w:r>
    </w:p>
    <w:p w14:paraId="5E984B2C" w14:textId="77777777" w:rsidR="00AB300C" w:rsidRDefault="00AB300C" w:rsidP="00AB300C">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Pr>
          <w:szCs w:val="26"/>
        </w:rPr>
        <w:t>Plaintiff and Respondent,</w:t>
      </w:r>
    </w:p>
    <w:p w14:paraId="1388C223" w14:textId="77777777" w:rsidR="00AB300C" w:rsidRDefault="00AB300C" w:rsidP="00AB300C">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Pr>
          <w:szCs w:val="26"/>
        </w:rPr>
        <w:t>v.</w:t>
      </w:r>
    </w:p>
    <w:p w14:paraId="008C6274" w14:textId="77777777" w:rsidR="00AB300C" w:rsidRDefault="00AB300C" w:rsidP="00AB300C">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Pr>
          <w:szCs w:val="26"/>
        </w:rPr>
        <w:t>RONALD GORDON FERENZ,</w:t>
      </w:r>
    </w:p>
    <w:p w14:paraId="24A9B649" w14:textId="77777777" w:rsidR="00AB300C" w:rsidRDefault="00AB300C" w:rsidP="00AB300C">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Pr>
          <w:szCs w:val="26"/>
        </w:rPr>
        <w:t xml:space="preserve">Defendant and Appellant. </w:t>
      </w:r>
    </w:p>
    <w:p w14:paraId="1DC2E690" w14:textId="77777777" w:rsidR="00AB300C" w:rsidRDefault="00AB300C" w:rsidP="00AB300C">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p>
    <w:p w14:paraId="5913F1B3" w14:textId="77777777" w:rsidR="00AB300C" w:rsidRDefault="00AB300C" w:rsidP="00AB300C">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Pr>
          <w:szCs w:val="26"/>
        </w:rPr>
        <w:t xml:space="preserve">H049430 </w:t>
      </w:r>
    </w:p>
    <w:p w14:paraId="6D2C37E1" w14:textId="77777777" w:rsidR="00AB300C" w:rsidRDefault="00AB300C" w:rsidP="00AB300C">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Pr>
          <w:szCs w:val="26"/>
        </w:rPr>
        <w:t xml:space="preserve">Santa Clara County Super. Ct. No. F1557971 </w:t>
      </w:r>
    </w:p>
    <w:p w14:paraId="54689EC9" w14:textId="77777777" w:rsidR="00AB300C" w:rsidRDefault="00AB300C" w:rsidP="00AB300C">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p>
    <w:p w14:paraId="4CA05C29" w14:textId="77777777" w:rsidR="00AB300C" w:rsidRDefault="00AB300C" w:rsidP="00AB300C">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p>
    <w:p w14:paraId="3EFC7440" w14:textId="77777777" w:rsidR="00AB300C" w:rsidRDefault="00AB300C" w:rsidP="00AB300C">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Pr>
          <w:szCs w:val="26"/>
        </w:rPr>
        <w:t>BY THE COURT:</w:t>
      </w:r>
    </w:p>
    <w:p w14:paraId="76048F8B" w14:textId="77777777" w:rsidR="00AB300C" w:rsidRDefault="00AB300C" w:rsidP="00AB300C">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p>
    <w:p w14:paraId="2803AE99" w14:textId="77777777" w:rsidR="00AB300C" w:rsidRPr="00760A0B" w:rsidRDefault="00AB300C" w:rsidP="00AB300C">
      <w:pPr>
        <w:spacing w:line="360" w:lineRule="auto"/>
        <w:ind w:firstLine="720"/>
        <w:rPr>
          <w:bCs/>
          <w:iCs/>
          <w:szCs w:val="26"/>
        </w:rPr>
      </w:pPr>
      <w:r w:rsidRPr="00760A0B">
        <w:rPr>
          <w:szCs w:val="26"/>
        </w:rPr>
        <w:t xml:space="preserve">The written opinion in the above-entitled matter filed on </w:t>
      </w:r>
      <w:r w:rsidRPr="00760A0B">
        <w:rPr>
          <w:bCs/>
          <w:iCs/>
          <w:szCs w:val="26"/>
        </w:rPr>
        <w:t xml:space="preserve">January 26, 2024, was not certified for publication in the Official Reports.  Upon application of the Attorney General on behalf of respondent People of the State of California and good cause appearing, it is ordered that the opinion shall be </w:t>
      </w:r>
      <w:r w:rsidRPr="00760A0B">
        <w:rPr>
          <w:szCs w:val="26"/>
        </w:rPr>
        <w:t xml:space="preserve">certified for publication pursuant to rule 8.1105(b) of the California Rules of Court.  It is therefore ordered that the opinion be </w:t>
      </w:r>
      <w:r w:rsidRPr="00760A0B">
        <w:rPr>
          <w:bCs/>
          <w:iCs/>
          <w:szCs w:val="26"/>
        </w:rPr>
        <w:t>published in the Official Reports.</w:t>
      </w:r>
    </w:p>
    <w:p w14:paraId="304DFB06" w14:textId="77777777" w:rsidR="00AB300C" w:rsidRPr="00760A0B" w:rsidRDefault="00AB300C" w:rsidP="00AB300C">
      <w:pPr>
        <w:spacing w:line="240" w:lineRule="auto"/>
        <w:ind w:firstLine="720"/>
        <w:rPr>
          <w:szCs w:val="26"/>
        </w:rPr>
      </w:pPr>
    </w:p>
    <w:p w14:paraId="3AA3EE0C" w14:textId="77777777" w:rsidR="00AB300C" w:rsidRPr="00760A0B" w:rsidRDefault="00AB300C" w:rsidP="00AB300C">
      <w:pPr>
        <w:widowControl w:val="0"/>
        <w:tabs>
          <w:tab w:val="left" w:pos="1440"/>
          <w:tab w:val="left" w:pos="2880"/>
          <w:tab w:val="left" w:pos="4320"/>
          <w:tab w:val="left" w:pos="5760"/>
          <w:tab w:val="left" w:pos="7200"/>
          <w:tab w:val="left" w:pos="8640"/>
        </w:tabs>
        <w:autoSpaceDE w:val="0"/>
        <w:autoSpaceDN w:val="0"/>
        <w:adjustRightInd w:val="0"/>
        <w:spacing w:line="240" w:lineRule="auto"/>
        <w:jc w:val="center"/>
        <w:rPr>
          <w:szCs w:val="26"/>
        </w:rPr>
      </w:pPr>
      <w:r w:rsidRPr="00760A0B">
        <w:rPr>
          <w:szCs w:val="26"/>
        </w:rPr>
        <w:t xml:space="preserve">(Greenwood, P. J., Grover, J. and </w:t>
      </w:r>
      <w:r>
        <w:rPr>
          <w:szCs w:val="26"/>
        </w:rPr>
        <w:t>Lie</w:t>
      </w:r>
      <w:r w:rsidRPr="00760A0B">
        <w:rPr>
          <w:szCs w:val="26"/>
        </w:rPr>
        <w:t>, J. participated in this decision.)</w:t>
      </w:r>
    </w:p>
    <w:p w14:paraId="3DF0062C" w14:textId="77777777" w:rsidR="00AB300C" w:rsidRPr="00760A0B" w:rsidRDefault="00AB300C" w:rsidP="00AB300C">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p>
    <w:p w14:paraId="3C298839" w14:textId="77777777" w:rsidR="00AB300C" w:rsidRPr="00760A0B" w:rsidRDefault="00AB300C" w:rsidP="00AB300C">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p>
    <w:p w14:paraId="205BBC10" w14:textId="77777777" w:rsidR="00AB300C" w:rsidRPr="00760A0B" w:rsidRDefault="00AB300C" w:rsidP="00AB300C">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p>
    <w:p w14:paraId="7A4A84FB" w14:textId="77777777" w:rsidR="00AB300C" w:rsidRPr="00760A0B" w:rsidRDefault="00AB300C" w:rsidP="00AB300C">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p>
    <w:p w14:paraId="17DC82DA" w14:textId="77777777" w:rsidR="00AB300C" w:rsidRPr="00760A0B" w:rsidRDefault="00AB300C" w:rsidP="00AB300C">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p>
    <w:p w14:paraId="0194ADCE" w14:textId="77777777" w:rsidR="00AB300C" w:rsidRPr="00760A0B" w:rsidRDefault="00AB300C" w:rsidP="00AB300C">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p>
    <w:p w14:paraId="3FDC6BB0" w14:textId="77777777" w:rsidR="00AB300C" w:rsidRPr="00760A0B" w:rsidRDefault="00AB300C" w:rsidP="00AB300C">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p>
    <w:p w14:paraId="061C0D18" w14:textId="77777777" w:rsidR="00AB300C" w:rsidRPr="00760A0B" w:rsidRDefault="00AB300C" w:rsidP="00AB300C">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p>
    <w:p w14:paraId="7D2EFB9A" w14:textId="77777777" w:rsidR="00AB300C" w:rsidRPr="00760A0B" w:rsidRDefault="00AB300C" w:rsidP="00AB300C">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p>
    <w:p w14:paraId="0E773165" w14:textId="77777777" w:rsidR="00AB300C" w:rsidRPr="00760A0B" w:rsidRDefault="00AB300C" w:rsidP="00AB300C">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p>
    <w:p w14:paraId="0DAE9948" w14:textId="77777777" w:rsidR="00AB300C" w:rsidRPr="00760A0B" w:rsidRDefault="00AB300C" w:rsidP="00AB300C">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p>
    <w:p w14:paraId="7E3B0B5C" w14:textId="77777777" w:rsidR="00AB300C" w:rsidRPr="00760A0B" w:rsidRDefault="00AB300C" w:rsidP="00AB300C">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p>
    <w:p w14:paraId="3A2FCF12" w14:textId="77777777" w:rsidR="00AB300C" w:rsidRDefault="00AB300C" w:rsidP="00AB300C">
      <w:pPr>
        <w:widowControl w:val="0"/>
        <w:tabs>
          <w:tab w:val="left" w:pos="1440"/>
          <w:tab w:val="left" w:pos="2880"/>
          <w:tab w:val="left" w:pos="4320"/>
          <w:tab w:val="left" w:pos="5760"/>
          <w:tab w:val="left" w:pos="7200"/>
          <w:tab w:val="left" w:pos="8640"/>
        </w:tabs>
        <w:autoSpaceDE w:val="0"/>
        <w:autoSpaceDN w:val="0"/>
        <w:adjustRightInd w:val="0"/>
        <w:spacing w:line="240" w:lineRule="auto"/>
        <w:rPr>
          <w:szCs w:val="26"/>
        </w:rPr>
      </w:pPr>
      <w:r>
        <w:rPr>
          <w:szCs w:val="26"/>
        </w:rPr>
        <w:t>Date: _______________</w:t>
      </w:r>
      <w:r>
        <w:rPr>
          <w:szCs w:val="26"/>
        </w:rPr>
        <w:tab/>
      </w:r>
      <w:r>
        <w:rPr>
          <w:szCs w:val="26"/>
        </w:rPr>
        <w:tab/>
        <w:t>___________________________________ P.J.</w:t>
      </w:r>
    </w:p>
    <w:p w14:paraId="5727A8C0" w14:textId="77777777" w:rsidR="00AB300C" w:rsidRDefault="00AB300C" w:rsidP="00AB300C">
      <w:pPr>
        <w:widowControl w:val="0"/>
        <w:tabs>
          <w:tab w:val="left" w:pos="1440"/>
          <w:tab w:val="left" w:pos="2880"/>
          <w:tab w:val="left" w:pos="4320"/>
          <w:tab w:val="left" w:pos="5760"/>
          <w:tab w:val="left" w:pos="7200"/>
          <w:tab w:val="left" w:pos="8640"/>
        </w:tabs>
        <w:autoSpaceDE w:val="0"/>
        <w:autoSpaceDN w:val="0"/>
        <w:adjustRightInd w:val="0"/>
        <w:spacing w:line="240" w:lineRule="auto"/>
        <w:rPr>
          <w:sz w:val="24"/>
          <w:szCs w:val="24"/>
        </w:rPr>
        <w:sectPr w:rsidR="00AB300C" w:rsidSect="004070ED">
          <w:pgSz w:w="12240" w:h="15840"/>
          <w:pgMar w:top="720" w:right="1440" w:bottom="720" w:left="1440" w:header="0" w:footer="0" w:gutter="0"/>
          <w:pgNumType w:start="1"/>
          <w:cols w:space="720"/>
          <w:noEndnote/>
        </w:sectPr>
      </w:pPr>
    </w:p>
    <w:tbl>
      <w:tblPr>
        <w:tblW w:w="9576" w:type="dxa"/>
        <w:tblLayout w:type="fixed"/>
        <w:tblLook w:val="0000" w:firstRow="0" w:lastRow="0" w:firstColumn="0" w:lastColumn="0" w:noHBand="0" w:noVBand="0"/>
      </w:tblPr>
      <w:tblGrid>
        <w:gridCol w:w="4788"/>
        <w:gridCol w:w="4788"/>
      </w:tblGrid>
      <w:tr w:rsidR="00AB300C" w:rsidRPr="00AC03F5" w14:paraId="09FE7024" w14:textId="77777777" w:rsidTr="00D933FC">
        <w:tc>
          <w:tcPr>
            <w:tcW w:w="4788" w:type="dxa"/>
          </w:tcPr>
          <w:p w14:paraId="2781A4F8" w14:textId="77777777" w:rsidR="00AB300C" w:rsidRPr="00AC03F5" w:rsidRDefault="00AB300C" w:rsidP="00D933FC">
            <w:pPr>
              <w:spacing w:line="240" w:lineRule="auto"/>
              <w:rPr>
                <w:szCs w:val="20"/>
              </w:rPr>
            </w:pPr>
            <w:bookmarkStart w:id="4" w:name="_Hlk3887996"/>
            <w:bookmarkStart w:id="5" w:name="_Hlk4570632"/>
            <w:bookmarkStart w:id="6" w:name="_Hlk4570677"/>
            <w:bookmarkStart w:id="7" w:name="_Hlk21512350"/>
            <w:bookmarkStart w:id="8" w:name="_Hlk107998735"/>
            <w:r w:rsidRPr="00AC03F5">
              <w:rPr>
                <w:szCs w:val="20"/>
              </w:rPr>
              <w:lastRenderedPageBreak/>
              <w:t>Trial Court:</w:t>
            </w:r>
          </w:p>
        </w:tc>
        <w:tc>
          <w:tcPr>
            <w:tcW w:w="4788" w:type="dxa"/>
          </w:tcPr>
          <w:p w14:paraId="33A2820E" w14:textId="77777777" w:rsidR="00AB300C" w:rsidRPr="00AC03F5" w:rsidRDefault="00AB300C" w:rsidP="00D933FC">
            <w:pPr>
              <w:spacing w:line="240" w:lineRule="auto"/>
              <w:rPr>
                <w:szCs w:val="26"/>
              </w:rPr>
            </w:pPr>
            <w:r w:rsidRPr="00AC03F5">
              <w:rPr>
                <w:szCs w:val="26"/>
              </w:rPr>
              <w:t>Santa Clara County Superior Court</w:t>
            </w:r>
          </w:p>
          <w:p w14:paraId="7C642341" w14:textId="77777777" w:rsidR="00AB300C" w:rsidRPr="00AC03F5" w:rsidRDefault="00AB300C" w:rsidP="00D933FC">
            <w:pPr>
              <w:spacing w:line="240" w:lineRule="auto"/>
              <w:rPr>
                <w:szCs w:val="20"/>
              </w:rPr>
            </w:pPr>
            <w:r w:rsidRPr="00AC03F5">
              <w:rPr>
                <w:szCs w:val="26"/>
              </w:rPr>
              <w:t>Superior Court No: F1557971</w:t>
            </w:r>
          </w:p>
          <w:p w14:paraId="28A98274" w14:textId="77777777" w:rsidR="00AB300C" w:rsidRPr="00AC03F5" w:rsidRDefault="00AB300C" w:rsidP="00D933FC">
            <w:pPr>
              <w:spacing w:line="240" w:lineRule="auto"/>
              <w:rPr>
                <w:szCs w:val="26"/>
              </w:rPr>
            </w:pPr>
          </w:p>
        </w:tc>
      </w:tr>
      <w:tr w:rsidR="00AB300C" w:rsidRPr="00AC03F5" w14:paraId="1CB23AFC" w14:textId="77777777" w:rsidTr="00D933FC">
        <w:tc>
          <w:tcPr>
            <w:tcW w:w="4788" w:type="dxa"/>
          </w:tcPr>
          <w:p w14:paraId="0120B9F2" w14:textId="77777777" w:rsidR="00AB300C" w:rsidRPr="00AC03F5" w:rsidRDefault="00AB300C" w:rsidP="00D933FC">
            <w:pPr>
              <w:spacing w:line="240" w:lineRule="auto"/>
              <w:rPr>
                <w:szCs w:val="20"/>
              </w:rPr>
            </w:pPr>
            <w:r w:rsidRPr="00AC03F5">
              <w:rPr>
                <w:szCs w:val="20"/>
              </w:rPr>
              <w:t>Trial Judges:</w:t>
            </w:r>
          </w:p>
        </w:tc>
        <w:tc>
          <w:tcPr>
            <w:tcW w:w="4788" w:type="dxa"/>
          </w:tcPr>
          <w:p w14:paraId="5F8A3A7A" w14:textId="77777777" w:rsidR="00AB300C" w:rsidRPr="00AC03F5" w:rsidRDefault="00AB300C" w:rsidP="00D933FC">
            <w:pPr>
              <w:spacing w:line="240" w:lineRule="auto"/>
              <w:rPr>
                <w:szCs w:val="26"/>
              </w:rPr>
            </w:pPr>
            <w:r w:rsidRPr="00AC03F5">
              <w:rPr>
                <w:szCs w:val="26"/>
              </w:rPr>
              <w:t xml:space="preserve">The Honorable Edward Frederick Lee, </w:t>
            </w:r>
          </w:p>
          <w:p w14:paraId="54F231B0" w14:textId="77777777" w:rsidR="00AB300C" w:rsidRPr="00AC03F5" w:rsidRDefault="00AB300C" w:rsidP="00D933FC">
            <w:pPr>
              <w:spacing w:line="240" w:lineRule="auto"/>
              <w:rPr>
                <w:szCs w:val="26"/>
              </w:rPr>
            </w:pPr>
            <w:r w:rsidRPr="00AC03F5">
              <w:rPr>
                <w:szCs w:val="26"/>
              </w:rPr>
              <w:t>The Honorable David A. Cena</w:t>
            </w:r>
          </w:p>
          <w:p w14:paraId="6A690A4C" w14:textId="77777777" w:rsidR="00AB300C" w:rsidRPr="00AC03F5" w:rsidRDefault="00AB300C" w:rsidP="00D933FC">
            <w:pPr>
              <w:spacing w:line="240" w:lineRule="auto"/>
              <w:rPr>
                <w:szCs w:val="26"/>
              </w:rPr>
            </w:pPr>
          </w:p>
          <w:p w14:paraId="5ABCEBE3" w14:textId="77777777" w:rsidR="00AB300C" w:rsidRPr="00AC03F5" w:rsidRDefault="00AB300C" w:rsidP="00D933FC">
            <w:pPr>
              <w:spacing w:line="240" w:lineRule="auto"/>
              <w:rPr>
                <w:szCs w:val="26"/>
              </w:rPr>
            </w:pPr>
          </w:p>
        </w:tc>
      </w:tr>
    </w:tbl>
    <w:p w14:paraId="7C8D8F03" w14:textId="77777777" w:rsidR="00AB300C" w:rsidRPr="00AC03F5" w:rsidRDefault="00AB300C" w:rsidP="00AB300C">
      <w:pPr>
        <w:spacing w:line="240" w:lineRule="auto"/>
        <w:rPr>
          <w:szCs w:val="26"/>
        </w:rPr>
      </w:pPr>
      <w:bookmarkStart w:id="9" w:name="_Hlk100308697"/>
      <w:bookmarkEnd w:id="4"/>
      <w:bookmarkEnd w:id="5"/>
      <w:bookmarkEnd w:id="6"/>
      <w:r w:rsidRPr="00AC03F5">
        <w:rPr>
          <w:szCs w:val="26"/>
        </w:rPr>
        <w:t>Attorneys for Defendant and Appellant</w:t>
      </w:r>
      <w:r w:rsidRPr="00AC03F5">
        <w:rPr>
          <w:szCs w:val="26"/>
        </w:rPr>
        <w:tab/>
      </w:r>
      <w:r w:rsidRPr="00AC03F5">
        <w:rPr>
          <w:szCs w:val="26"/>
        </w:rPr>
        <w:tab/>
      </w:r>
      <w:r w:rsidRPr="00AC03F5">
        <w:rPr>
          <w:szCs w:val="20"/>
        </w:rPr>
        <w:t>Edward J. Haggerty</w:t>
      </w:r>
    </w:p>
    <w:p w14:paraId="5DB47281" w14:textId="77777777" w:rsidR="00AB300C" w:rsidRPr="00AC03F5" w:rsidRDefault="00AB300C" w:rsidP="00AB300C">
      <w:pPr>
        <w:spacing w:line="240" w:lineRule="auto"/>
        <w:ind w:left="5040" w:hanging="5040"/>
        <w:rPr>
          <w:szCs w:val="26"/>
        </w:rPr>
      </w:pPr>
      <w:r w:rsidRPr="00AC03F5">
        <w:rPr>
          <w:szCs w:val="26"/>
        </w:rPr>
        <w:t>Ronald Ferenz:</w:t>
      </w:r>
      <w:bookmarkStart w:id="10" w:name="_Hlk100307071"/>
      <w:r w:rsidRPr="00AC03F5">
        <w:rPr>
          <w:szCs w:val="26"/>
        </w:rPr>
        <w:tab/>
        <w:t>under appointment by the Court of Appeal for Appellant</w:t>
      </w:r>
    </w:p>
    <w:bookmarkEnd w:id="9"/>
    <w:p w14:paraId="6E99A7FC" w14:textId="77777777" w:rsidR="00AB300C" w:rsidRPr="00AC03F5" w:rsidRDefault="00AB300C" w:rsidP="00AB300C">
      <w:pPr>
        <w:spacing w:line="240" w:lineRule="auto"/>
        <w:ind w:left="4320" w:firstLine="720"/>
        <w:rPr>
          <w:szCs w:val="26"/>
        </w:rPr>
      </w:pPr>
    </w:p>
    <w:bookmarkEnd w:id="10"/>
    <w:p w14:paraId="17CE68AF" w14:textId="77777777" w:rsidR="00AB300C" w:rsidRPr="00AC03F5" w:rsidRDefault="00AB300C" w:rsidP="00AB300C">
      <w:pPr>
        <w:spacing w:line="240" w:lineRule="auto"/>
        <w:rPr>
          <w:szCs w:val="26"/>
        </w:rPr>
      </w:pPr>
      <w:r w:rsidRPr="00AC03F5">
        <w:rPr>
          <w:szCs w:val="26"/>
        </w:rPr>
        <w:tab/>
      </w:r>
      <w:r w:rsidRPr="00AC03F5">
        <w:rPr>
          <w:szCs w:val="26"/>
        </w:rPr>
        <w:tab/>
      </w:r>
      <w:r w:rsidRPr="00AC03F5">
        <w:rPr>
          <w:szCs w:val="26"/>
        </w:rPr>
        <w:tab/>
      </w:r>
      <w:r w:rsidRPr="00AC03F5">
        <w:rPr>
          <w:szCs w:val="26"/>
        </w:rPr>
        <w:tab/>
      </w:r>
      <w:r w:rsidRPr="00AC03F5">
        <w:rPr>
          <w:szCs w:val="26"/>
        </w:rPr>
        <w:tab/>
      </w:r>
      <w:r w:rsidRPr="00AC03F5">
        <w:rPr>
          <w:szCs w:val="26"/>
        </w:rPr>
        <w:tab/>
      </w:r>
      <w:r w:rsidRPr="00AC03F5">
        <w:rPr>
          <w:szCs w:val="26"/>
        </w:rPr>
        <w:tab/>
      </w:r>
    </w:p>
    <w:p w14:paraId="6492B80C" w14:textId="77777777" w:rsidR="00AB300C" w:rsidRPr="00AC03F5" w:rsidRDefault="00AB300C" w:rsidP="00AB300C">
      <w:pPr>
        <w:spacing w:line="240" w:lineRule="auto"/>
        <w:ind w:left="4320" w:firstLine="720"/>
        <w:rPr>
          <w:szCs w:val="26"/>
        </w:rPr>
      </w:pPr>
    </w:p>
    <w:p w14:paraId="6BAB8038" w14:textId="77777777" w:rsidR="00AB300C" w:rsidRPr="00AC03F5" w:rsidRDefault="00AB300C" w:rsidP="00AB300C">
      <w:pPr>
        <w:spacing w:line="240" w:lineRule="auto"/>
        <w:rPr>
          <w:szCs w:val="26"/>
        </w:rPr>
      </w:pPr>
    </w:p>
    <w:p w14:paraId="2D62D8B5" w14:textId="77777777" w:rsidR="00AB300C" w:rsidRPr="00AC03F5" w:rsidRDefault="00AB300C" w:rsidP="00AB300C">
      <w:pPr>
        <w:spacing w:line="240" w:lineRule="auto"/>
        <w:rPr>
          <w:szCs w:val="26"/>
        </w:rPr>
      </w:pPr>
    </w:p>
    <w:p w14:paraId="4420750A" w14:textId="77777777" w:rsidR="00AB300C" w:rsidRPr="00AC03F5" w:rsidRDefault="00AB300C" w:rsidP="00AB300C">
      <w:pPr>
        <w:spacing w:line="240" w:lineRule="auto"/>
        <w:rPr>
          <w:szCs w:val="26"/>
        </w:rPr>
      </w:pPr>
    </w:p>
    <w:p w14:paraId="2C36DFF1" w14:textId="77777777" w:rsidR="00AB300C" w:rsidRPr="00AC03F5" w:rsidRDefault="00AB300C" w:rsidP="00AB300C">
      <w:pPr>
        <w:spacing w:line="240" w:lineRule="auto"/>
        <w:rPr>
          <w:szCs w:val="26"/>
        </w:rPr>
      </w:pPr>
      <w:r w:rsidRPr="00AC03F5">
        <w:rPr>
          <w:szCs w:val="26"/>
        </w:rPr>
        <w:tab/>
      </w:r>
      <w:r w:rsidRPr="00AC03F5">
        <w:rPr>
          <w:szCs w:val="26"/>
        </w:rPr>
        <w:tab/>
      </w:r>
      <w:r w:rsidRPr="00AC03F5">
        <w:rPr>
          <w:szCs w:val="26"/>
        </w:rPr>
        <w:tab/>
      </w:r>
      <w:r w:rsidRPr="00AC03F5">
        <w:rPr>
          <w:szCs w:val="26"/>
        </w:rPr>
        <w:tab/>
      </w:r>
      <w:r w:rsidRPr="00AC03F5">
        <w:rPr>
          <w:szCs w:val="26"/>
        </w:rPr>
        <w:tab/>
      </w:r>
      <w:r w:rsidRPr="00AC03F5">
        <w:rPr>
          <w:szCs w:val="26"/>
        </w:rPr>
        <w:tab/>
      </w:r>
      <w:r w:rsidRPr="00AC03F5">
        <w:rPr>
          <w:szCs w:val="26"/>
        </w:rPr>
        <w:tab/>
      </w:r>
    </w:p>
    <w:p w14:paraId="5039FC30" w14:textId="77777777" w:rsidR="00AB300C" w:rsidRPr="00AC03F5" w:rsidRDefault="00AB300C" w:rsidP="00AB300C">
      <w:pPr>
        <w:spacing w:line="240" w:lineRule="auto"/>
        <w:rPr>
          <w:szCs w:val="20"/>
        </w:rPr>
      </w:pPr>
      <w:r w:rsidRPr="00AC03F5">
        <w:rPr>
          <w:szCs w:val="26"/>
        </w:rPr>
        <w:t xml:space="preserve">Attorneys for Plaintiff and Respondent </w:t>
      </w:r>
      <w:r w:rsidRPr="00AC03F5">
        <w:rPr>
          <w:szCs w:val="26"/>
        </w:rPr>
        <w:tab/>
      </w:r>
      <w:r w:rsidRPr="00AC03F5">
        <w:rPr>
          <w:szCs w:val="26"/>
        </w:rPr>
        <w:tab/>
      </w:r>
      <w:r w:rsidRPr="00AC03F5">
        <w:rPr>
          <w:szCs w:val="20"/>
        </w:rPr>
        <w:t>Rob Bonta,</w:t>
      </w:r>
    </w:p>
    <w:p w14:paraId="5B8C9CE5" w14:textId="77777777" w:rsidR="00AB300C" w:rsidRPr="00AC03F5" w:rsidRDefault="00AB300C" w:rsidP="00AB300C">
      <w:pPr>
        <w:spacing w:line="240" w:lineRule="auto"/>
        <w:rPr>
          <w:szCs w:val="20"/>
        </w:rPr>
      </w:pPr>
      <w:r>
        <w:rPr>
          <w:szCs w:val="20"/>
        </w:rPr>
        <w:t>The People</w:t>
      </w:r>
      <w:r w:rsidRPr="00AC03F5">
        <w:rPr>
          <w:szCs w:val="20"/>
        </w:rPr>
        <w:t xml:space="preserve">: </w:t>
      </w:r>
      <w:r w:rsidRPr="00AC03F5">
        <w:rPr>
          <w:szCs w:val="20"/>
        </w:rPr>
        <w:tab/>
      </w:r>
      <w:r w:rsidRPr="00AC03F5">
        <w:rPr>
          <w:szCs w:val="20"/>
        </w:rPr>
        <w:tab/>
      </w:r>
      <w:r>
        <w:rPr>
          <w:szCs w:val="20"/>
        </w:rPr>
        <w:tab/>
      </w:r>
      <w:r w:rsidRPr="00AC03F5">
        <w:rPr>
          <w:szCs w:val="20"/>
        </w:rPr>
        <w:tab/>
      </w:r>
      <w:r w:rsidRPr="00AC03F5">
        <w:rPr>
          <w:szCs w:val="20"/>
        </w:rPr>
        <w:tab/>
      </w:r>
      <w:r w:rsidRPr="00AC03F5">
        <w:rPr>
          <w:szCs w:val="20"/>
        </w:rPr>
        <w:tab/>
        <w:t>Attorney General of California</w:t>
      </w:r>
    </w:p>
    <w:p w14:paraId="3C6BE6C4" w14:textId="77777777" w:rsidR="00AB300C" w:rsidRPr="00AC03F5" w:rsidRDefault="00AB300C" w:rsidP="00AB300C">
      <w:pPr>
        <w:spacing w:line="240" w:lineRule="auto"/>
        <w:rPr>
          <w:szCs w:val="20"/>
        </w:rPr>
      </w:pPr>
    </w:p>
    <w:p w14:paraId="1280C46C" w14:textId="77777777" w:rsidR="00AB300C" w:rsidRPr="00AC03F5" w:rsidRDefault="00AB300C" w:rsidP="00AB300C">
      <w:pPr>
        <w:spacing w:line="240" w:lineRule="auto"/>
        <w:rPr>
          <w:szCs w:val="20"/>
        </w:rPr>
      </w:pPr>
      <w:r w:rsidRPr="00AC03F5">
        <w:rPr>
          <w:szCs w:val="20"/>
        </w:rPr>
        <w:tab/>
      </w:r>
      <w:r w:rsidRPr="00AC03F5">
        <w:rPr>
          <w:szCs w:val="20"/>
        </w:rPr>
        <w:tab/>
      </w:r>
      <w:r w:rsidRPr="00AC03F5">
        <w:rPr>
          <w:szCs w:val="20"/>
        </w:rPr>
        <w:tab/>
      </w:r>
      <w:r w:rsidRPr="00AC03F5">
        <w:rPr>
          <w:szCs w:val="20"/>
        </w:rPr>
        <w:tab/>
      </w:r>
      <w:r w:rsidRPr="00AC03F5">
        <w:rPr>
          <w:szCs w:val="20"/>
        </w:rPr>
        <w:tab/>
      </w:r>
      <w:r w:rsidRPr="00AC03F5">
        <w:rPr>
          <w:szCs w:val="20"/>
        </w:rPr>
        <w:tab/>
      </w:r>
      <w:r w:rsidRPr="00AC03F5">
        <w:rPr>
          <w:szCs w:val="20"/>
        </w:rPr>
        <w:tab/>
        <w:t>Lance E. Winters,</w:t>
      </w:r>
    </w:p>
    <w:p w14:paraId="70FC2731" w14:textId="77777777" w:rsidR="00AB300C" w:rsidRPr="00AC03F5" w:rsidRDefault="00AB300C" w:rsidP="00AB300C">
      <w:pPr>
        <w:spacing w:line="240" w:lineRule="auto"/>
        <w:rPr>
          <w:szCs w:val="20"/>
        </w:rPr>
      </w:pPr>
      <w:r w:rsidRPr="00AC03F5">
        <w:rPr>
          <w:szCs w:val="20"/>
        </w:rPr>
        <w:tab/>
      </w:r>
      <w:r w:rsidRPr="00AC03F5">
        <w:rPr>
          <w:szCs w:val="20"/>
        </w:rPr>
        <w:tab/>
      </w:r>
      <w:r w:rsidRPr="00AC03F5">
        <w:rPr>
          <w:szCs w:val="20"/>
        </w:rPr>
        <w:tab/>
      </w:r>
      <w:r w:rsidRPr="00AC03F5">
        <w:rPr>
          <w:szCs w:val="20"/>
        </w:rPr>
        <w:tab/>
      </w:r>
      <w:r w:rsidRPr="00AC03F5">
        <w:rPr>
          <w:szCs w:val="20"/>
        </w:rPr>
        <w:tab/>
      </w:r>
      <w:r w:rsidRPr="00AC03F5">
        <w:rPr>
          <w:szCs w:val="20"/>
        </w:rPr>
        <w:tab/>
      </w:r>
      <w:r w:rsidRPr="00AC03F5">
        <w:rPr>
          <w:szCs w:val="20"/>
        </w:rPr>
        <w:tab/>
        <w:t>Chief Assistant Attorney General</w:t>
      </w:r>
    </w:p>
    <w:p w14:paraId="14787957" w14:textId="77777777" w:rsidR="00AB300C" w:rsidRPr="00AC03F5" w:rsidRDefault="00AB300C" w:rsidP="00AB300C">
      <w:pPr>
        <w:spacing w:line="240" w:lineRule="auto"/>
        <w:rPr>
          <w:szCs w:val="20"/>
        </w:rPr>
      </w:pPr>
      <w:r w:rsidRPr="00AC03F5">
        <w:rPr>
          <w:szCs w:val="20"/>
        </w:rPr>
        <w:tab/>
      </w:r>
      <w:r w:rsidRPr="00AC03F5">
        <w:rPr>
          <w:szCs w:val="20"/>
        </w:rPr>
        <w:tab/>
      </w:r>
      <w:r w:rsidRPr="00AC03F5">
        <w:rPr>
          <w:szCs w:val="20"/>
        </w:rPr>
        <w:tab/>
      </w:r>
      <w:r w:rsidRPr="00AC03F5">
        <w:rPr>
          <w:szCs w:val="20"/>
        </w:rPr>
        <w:tab/>
      </w:r>
      <w:r w:rsidRPr="00AC03F5">
        <w:rPr>
          <w:szCs w:val="20"/>
        </w:rPr>
        <w:tab/>
      </w:r>
      <w:r w:rsidRPr="00AC03F5">
        <w:rPr>
          <w:szCs w:val="20"/>
        </w:rPr>
        <w:tab/>
      </w:r>
      <w:r w:rsidRPr="00AC03F5">
        <w:rPr>
          <w:szCs w:val="20"/>
        </w:rPr>
        <w:tab/>
      </w:r>
    </w:p>
    <w:p w14:paraId="6CD3BFDE" w14:textId="77777777" w:rsidR="00AB300C" w:rsidRPr="00AC03F5" w:rsidRDefault="00AB300C" w:rsidP="00AB300C">
      <w:pPr>
        <w:spacing w:line="240" w:lineRule="auto"/>
        <w:rPr>
          <w:szCs w:val="20"/>
        </w:rPr>
      </w:pPr>
      <w:r w:rsidRPr="00AC03F5">
        <w:rPr>
          <w:szCs w:val="20"/>
        </w:rPr>
        <w:tab/>
      </w:r>
      <w:r w:rsidRPr="00AC03F5">
        <w:rPr>
          <w:szCs w:val="20"/>
        </w:rPr>
        <w:tab/>
      </w:r>
      <w:r w:rsidRPr="00AC03F5">
        <w:rPr>
          <w:szCs w:val="20"/>
        </w:rPr>
        <w:tab/>
      </w:r>
      <w:r w:rsidRPr="00AC03F5">
        <w:rPr>
          <w:szCs w:val="20"/>
        </w:rPr>
        <w:tab/>
      </w:r>
      <w:r w:rsidRPr="00AC03F5">
        <w:rPr>
          <w:szCs w:val="20"/>
        </w:rPr>
        <w:tab/>
      </w:r>
      <w:r w:rsidRPr="00AC03F5">
        <w:rPr>
          <w:szCs w:val="20"/>
        </w:rPr>
        <w:tab/>
      </w:r>
      <w:r w:rsidRPr="00AC03F5">
        <w:rPr>
          <w:szCs w:val="20"/>
        </w:rPr>
        <w:tab/>
        <w:t>Jeffrey M. Laurence,</w:t>
      </w:r>
    </w:p>
    <w:p w14:paraId="12748982" w14:textId="77777777" w:rsidR="00AB300C" w:rsidRPr="00AC03F5" w:rsidRDefault="00AB300C" w:rsidP="00AB300C">
      <w:pPr>
        <w:spacing w:line="240" w:lineRule="auto"/>
        <w:rPr>
          <w:szCs w:val="20"/>
        </w:rPr>
      </w:pPr>
      <w:r w:rsidRPr="00AC03F5">
        <w:rPr>
          <w:szCs w:val="20"/>
        </w:rPr>
        <w:tab/>
      </w:r>
      <w:r w:rsidRPr="00AC03F5">
        <w:rPr>
          <w:szCs w:val="20"/>
        </w:rPr>
        <w:tab/>
      </w:r>
      <w:r w:rsidRPr="00AC03F5">
        <w:rPr>
          <w:szCs w:val="20"/>
        </w:rPr>
        <w:tab/>
      </w:r>
      <w:r w:rsidRPr="00AC03F5">
        <w:rPr>
          <w:szCs w:val="20"/>
        </w:rPr>
        <w:tab/>
      </w:r>
      <w:r w:rsidRPr="00AC03F5">
        <w:rPr>
          <w:szCs w:val="20"/>
        </w:rPr>
        <w:tab/>
      </w:r>
      <w:r w:rsidRPr="00AC03F5">
        <w:rPr>
          <w:szCs w:val="20"/>
        </w:rPr>
        <w:tab/>
      </w:r>
      <w:r w:rsidRPr="00AC03F5">
        <w:rPr>
          <w:szCs w:val="20"/>
        </w:rPr>
        <w:tab/>
        <w:t>Senior Assistant Attorney General</w:t>
      </w:r>
    </w:p>
    <w:p w14:paraId="1BCBFC66" w14:textId="77777777" w:rsidR="00AB300C" w:rsidRPr="00AC03F5" w:rsidRDefault="00AB300C" w:rsidP="00AB300C">
      <w:pPr>
        <w:spacing w:line="240" w:lineRule="auto"/>
        <w:rPr>
          <w:szCs w:val="20"/>
        </w:rPr>
      </w:pPr>
      <w:r w:rsidRPr="00AC03F5">
        <w:rPr>
          <w:szCs w:val="20"/>
        </w:rPr>
        <w:tab/>
      </w:r>
      <w:r w:rsidRPr="00AC03F5">
        <w:rPr>
          <w:szCs w:val="20"/>
        </w:rPr>
        <w:tab/>
      </w:r>
      <w:r w:rsidRPr="00AC03F5">
        <w:rPr>
          <w:szCs w:val="20"/>
        </w:rPr>
        <w:tab/>
      </w:r>
      <w:r w:rsidRPr="00AC03F5">
        <w:rPr>
          <w:szCs w:val="20"/>
        </w:rPr>
        <w:tab/>
      </w:r>
      <w:r w:rsidRPr="00AC03F5">
        <w:rPr>
          <w:szCs w:val="20"/>
        </w:rPr>
        <w:tab/>
      </w:r>
      <w:r w:rsidRPr="00AC03F5">
        <w:rPr>
          <w:szCs w:val="20"/>
        </w:rPr>
        <w:tab/>
      </w:r>
      <w:r w:rsidRPr="00AC03F5">
        <w:rPr>
          <w:szCs w:val="20"/>
        </w:rPr>
        <w:tab/>
      </w:r>
    </w:p>
    <w:p w14:paraId="7B9E830F" w14:textId="77777777" w:rsidR="00AB300C" w:rsidRPr="00AC03F5" w:rsidRDefault="00AB300C" w:rsidP="00AB300C">
      <w:pPr>
        <w:spacing w:line="240" w:lineRule="auto"/>
        <w:rPr>
          <w:szCs w:val="20"/>
        </w:rPr>
      </w:pPr>
      <w:r w:rsidRPr="00AC03F5">
        <w:rPr>
          <w:szCs w:val="20"/>
        </w:rPr>
        <w:tab/>
      </w:r>
      <w:r w:rsidRPr="00AC03F5">
        <w:rPr>
          <w:szCs w:val="20"/>
        </w:rPr>
        <w:tab/>
      </w:r>
      <w:r w:rsidRPr="00AC03F5">
        <w:rPr>
          <w:szCs w:val="20"/>
        </w:rPr>
        <w:tab/>
      </w:r>
      <w:r w:rsidRPr="00AC03F5">
        <w:rPr>
          <w:szCs w:val="20"/>
        </w:rPr>
        <w:tab/>
      </w:r>
      <w:r w:rsidRPr="00AC03F5">
        <w:rPr>
          <w:szCs w:val="20"/>
        </w:rPr>
        <w:tab/>
      </w:r>
      <w:r w:rsidRPr="00AC03F5">
        <w:rPr>
          <w:szCs w:val="20"/>
        </w:rPr>
        <w:tab/>
      </w:r>
      <w:r w:rsidRPr="00AC03F5">
        <w:rPr>
          <w:szCs w:val="20"/>
        </w:rPr>
        <w:tab/>
        <w:t>Amit Kurlekar,</w:t>
      </w:r>
    </w:p>
    <w:p w14:paraId="0B16C486" w14:textId="77777777" w:rsidR="00AB300C" w:rsidRPr="00AC03F5" w:rsidRDefault="00AB300C" w:rsidP="00AB300C">
      <w:pPr>
        <w:spacing w:line="240" w:lineRule="auto"/>
        <w:rPr>
          <w:szCs w:val="20"/>
        </w:rPr>
      </w:pPr>
      <w:r w:rsidRPr="00AC03F5">
        <w:rPr>
          <w:szCs w:val="20"/>
        </w:rPr>
        <w:tab/>
      </w:r>
      <w:r w:rsidRPr="00AC03F5">
        <w:rPr>
          <w:szCs w:val="20"/>
        </w:rPr>
        <w:tab/>
      </w:r>
      <w:r w:rsidRPr="00AC03F5">
        <w:rPr>
          <w:szCs w:val="20"/>
        </w:rPr>
        <w:tab/>
      </w:r>
      <w:r w:rsidRPr="00AC03F5">
        <w:rPr>
          <w:szCs w:val="20"/>
        </w:rPr>
        <w:tab/>
      </w:r>
      <w:r w:rsidRPr="00AC03F5">
        <w:rPr>
          <w:szCs w:val="20"/>
        </w:rPr>
        <w:tab/>
      </w:r>
      <w:r w:rsidRPr="00AC03F5">
        <w:rPr>
          <w:szCs w:val="20"/>
        </w:rPr>
        <w:tab/>
      </w:r>
      <w:r w:rsidRPr="00AC03F5">
        <w:rPr>
          <w:szCs w:val="20"/>
        </w:rPr>
        <w:tab/>
        <w:t>Deputy Attorney General</w:t>
      </w:r>
    </w:p>
    <w:p w14:paraId="037DF5B7" w14:textId="77777777" w:rsidR="00AB300C" w:rsidRPr="00AC03F5" w:rsidRDefault="00AB300C" w:rsidP="00AB300C">
      <w:pPr>
        <w:spacing w:line="240" w:lineRule="auto"/>
        <w:rPr>
          <w:szCs w:val="20"/>
        </w:rPr>
      </w:pPr>
    </w:p>
    <w:p w14:paraId="12482754" w14:textId="77777777" w:rsidR="00AB300C" w:rsidRPr="00AC03F5" w:rsidRDefault="00AB300C" w:rsidP="00AB300C">
      <w:pPr>
        <w:spacing w:line="240" w:lineRule="auto"/>
        <w:rPr>
          <w:szCs w:val="20"/>
        </w:rPr>
      </w:pPr>
      <w:r w:rsidRPr="00AC03F5">
        <w:rPr>
          <w:szCs w:val="20"/>
        </w:rPr>
        <w:tab/>
      </w:r>
      <w:r w:rsidRPr="00AC03F5">
        <w:rPr>
          <w:szCs w:val="20"/>
        </w:rPr>
        <w:tab/>
      </w:r>
      <w:r w:rsidRPr="00AC03F5">
        <w:rPr>
          <w:szCs w:val="20"/>
        </w:rPr>
        <w:tab/>
      </w:r>
      <w:r w:rsidRPr="00AC03F5">
        <w:rPr>
          <w:szCs w:val="20"/>
        </w:rPr>
        <w:tab/>
      </w:r>
      <w:r w:rsidRPr="00AC03F5">
        <w:rPr>
          <w:szCs w:val="20"/>
        </w:rPr>
        <w:tab/>
      </w:r>
      <w:r w:rsidRPr="00AC03F5">
        <w:rPr>
          <w:szCs w:val="20"/>
        </w:rPr>
        <w:tab/>
      </w:r>
      <w:r w:rsidRPr="00AC03F5">
        <w:rPr>
          <w:szCs w:val="20"/>
        </w:rPr>
        <w:tab/>
        <w:t>Claudia Harvey Phillips,</w:t>
      </w:r>
      <w:r w:rsidRPr="00AC03F5">
        <w:rPr>
          <w:szCs w:val="20"/>
        </w:rPr>
        <w:tab/>
      </w:r>
      <w:r w:rsidRPr="00AC03F5">
        <w:rPr>
          <w:szCs w:val="20"/>
        </w:rPr>
        <w:tab/>
      </w:r>
      <w:r w:rsidRPr="00AC03F5">
        <w:rPr>
          <w:szCs w:val="20"/>
        </w:rPr>
        <w:tab/>
      </w:r>
      <w:r w:rsidRPr="00AC03F5">
        <w:rPr>
          <w:szCs w:val="20"/>
        </w:rPr>
        <w:tab/>
      </w:r>
      <w:r w:rsidRPr="00AC03F5">
        <w:rPr>
          <w:szCs w:val="20"/>
        </w:rPr>
        <w:tab/>
      </w:r>
      <w:r w:rsidRPr="00AC03F5">
        <w:rPr>
          <w:szCs w:val="20"/>
        </w:rPr>
        <w:tab/>
      </w:r>
      <w:r w:rsidRPr="00AC03F5">
        <w:rPr>
          <w:szCs w:val="20"/>
        </w:rPr>
        <w:tab/>
      </w:r>
      <w:r w:rsidRPr="00AC03F5">
        <w:rPr>
          <w:szCs w:val="20"/>
        </w:rPr>
        <w:tab/>
      </w:r>
      <w:r w:rsidRPr="00AC03F5">
        <w:rPr>
          <w:szCs w:val="20"/>
        </w:rPr>
        <w:tab/>
      </w:r>
      <w:bookmarkStart w:id="11" w:name="_Hlk159350859"/>
      <w:r w:rsidRPr="00AC03F5">
        <w:rPr>
          <w:szCs w:val="20"/>
        </w:rPr>
        <w:t>Deputy Attorney General</w:t>
      </w:r>
      <w:bookmarkEnd w:id="11"/>
    </w:p>
    <w:p w14:paraId="75197DAE" w14:textId="77777777" w:rsidR="00AB300C" w:rsidRPr="00AC03F5" w:rsidRDefault="00AB300C" w:rsidP="00AB300C">
      <w:pPr>
        <w:spacing w:line="240" w:lineRule="auto"/>
        <w:rPr>
          <w:szCs w:val="20"/>
        </w:rPr>
      </w:pPr>
    </w:p>
    <w:p w14:paraId="6DF776F1" w14:textId="77777777" w:rsidR="00AB300C" w:rsidRPr="00AC03F5" w:rsidRDefault="00AB300C" w:rsidP="00AB300C">
      <w:pPr>
        <w:spacing w:line="240" w:lineRule="auto"/>
        <w:rPr>
          <w:szCs w:val="20"/>
        </w:rPr>
      </w:pPr>
      <w:r w:rsidRPr="00AC03F5">
        <w:rPr>
          <w:szCs w:val="20"/>
        </w:rPr>
        <w:tab/>
      </w:r>
      <w:r w:rsidRPr="00AC03F5">
        <w:rPr>
          <w:szCs w:val="20"/>
        </w:rPr>
        <w:tab/>
      </w:r>
      <w:r w:rsidRPr="00AC03F5">
        <w:rPr>
          <w:szCs w:val="20"/>
        </w:rPr>
        <w:tab/>
      </w:r>
      <w:r w:rsidRPr="00AC03F5">
        <w:rPr>
          <w:szCs w:val="20"/>
        </w:rPr>
        <w:tab/>
      </w:r>
      <w:r w:rsidRPr="00AC03F5">
        <w:rPr>
          <w:szCs w:val="20"/>
        </w:rPr>
        <w:tab/>
      </w:r>
      <w:r w:rsidRPr="00AC03F5">
        <w:rPr>
          <w:szCs w:val="20"/>
        </w:rPr>
        <w:tab/>
      </w:r>
      <w:r w:rsidRPr="00AC03F5">
        <w:rPr>
          <w:szCs w:val="20"/>
        </w:rPr>
        <w:tab/>
        <w:t>Brady A. Baldwin,</w:t>
      </w:r>
    </w:p>
    <w:p w14:paraId="499AE9C5" w14:textId="77777777" w:rsidR="00AB300C" w:rsidRPr="00AC03F5" w:rsidRDefault="00AB300C" w:rsidP="00AB300C">
      <w:pPr>
        <w:spacing w:line="240" w:lineRule="auto"/>
        <w:rPr>
          <w:szCs w:val="20"/>
        </w:rPr>
      </w:pPr>
      <w:r w:rsidRPr="00AC03F5">
        <w:rPr>
          <w:szCs w:val="20"/>
        </w:rPr>
        <w:tab/>
      </w:r>
      <w:r w:rsidRPr="00AC03F5">
        <w:rPr>
          <w:szCs w:val="20"/>
        </w:rPr>
        <w:tab/>
      </w:r>
      <w:r w:rsidRPr="00AC03F5">
        <w:rPr>
          <w:szCs w:val="20"/>
        </w:rPr>
        <w:tab/>
      </w:r>
      <w:r w:rsidRPr="00AC03F5">
        <w:rPr>
          <w:szCs w:val="20"/>
        </w:rPr>
        <w:tab/>
      </w:r>
      <w:r w:rsidRPr="00AC03F5">
        <w:rPr>
          <w:szCs w:val="20"/>
        </w:rPr>
        <w:tab/>
      </w:r>
      <w:r w:rsidRPr="00AC03F5">
        <w:rPr>
          <w:szCs w:val="20"/>
        </w:rPr>
        <w:tab/>
      </w:r>
      <w:r w:rsidRPr="00AC03F5">
        <w:rPr>
          <w:szCs w:val="20"/>
        </w:rPr>
        <w:tab/>
        <w:t>Deputy Attorney General</w:t>
      </w:r>
    </w:p>
    <w:p w14:paraId="57070BE6" w14:textId="77777777" w:rsidR="00AB300C" w:rsidRPr="00AC03F5" w:rsidRDefault="00AB300C" w:rsidP="00AB300C">
      <w:pPr>
        <w:spacing w:line="240" w:lineRule="auto"/>
        <w:rPr>
          <w:szCs w:val="20"/>
        </w:rPr>
      </w:pPr>
    </w:p>
    <w:p w14:paraId="44604E85" w14:textId="77777777" w:rsidR="00AB300C" w:rsidRPr="00AC03F5" w:rsidRDefault="00AB300C" w:rsidP="00AB300C">
      <w:pPr>
        <w:spacing w:line="240" w:lineRule="auto"/>
        <w:rPr>
          <w:szCs w:val="20"/>
        </w:rPr>
      </w:pPr>
    </w:p>
    <w:p w14:paraId="3DB12799" w14:textId="77777777" w:rsidR="00AB300C" w:rsidRPr="00AC03F5" w:rsidRDefault="00AB300C" w:rsidP="00AB300C">
      <w:pPr>
        <w:spacing w:line="240" w:lineRule="auto"/>
        <w:rPr>
          <w:szCs w:val="26"/>
        </w:rPr>
      </w:pPr>
    </w:p>
    <w:p w14:paraId="5048E5E8" w14:textId="77777777" w:rsidR="00AB300C" w:rsidRPr="00AC03F5" w:rsidRDefault="00AB300C" w:rsidP="00AB300C">
      <w:pPr>
        <w:spacing w:line="240" w:lineRule="auto"/>
        <w:rPr>
          <w:szCs w:val="26"/>
        </w:rPr>
      </w:pPr>
    </w:p>
    <w:p w14:paraId="17A8E082" w14:textId="77777777" w:rsidR="00AB300C" w:rsidRPr="00AC03F5" w:rsidRDefault="00AB300C" w:rsidP="00AB300C">
      <w:pPr>
        <w:spacing w:line="240" w:lineRule="auto"/>
        <w:rPr>
          <w:szCs w:val="26"/>
        </w:rPr>
      </w:pPr>
      <w:r w:rsidRPr="00AC03F5">
        <w:rPr>
          <w:szCs w:val="26"/>
        </w:rPr>
        <w:t>People v. Ferenz</w:t>
      </w:r>
    </w:p>
    <w:p w14:paraId="44B98BEE" w14:textId="77777777" w:rsidR="00AB300C" w:rsidRPr="00AC03F5" w:rsidRDefault="00AB300C" w:rsidP="00AB300C">
      <w:pPr>
        <w:spacing w:line="240" w:lineRule="auto"/>
        <w:rPr>
          <w:bCs/>
          <w:iCs/>
          <w:szCs w:val="20"/>
        </w:rPr>
      </w:pPr>
      <w:r w:rsidRPr="00AC03F5">
        <w:rPr>
          <w:szCs w:val="26"/>
        </w:rPr>
        <w:t>H04</w:t>
      </w:r>
      <w:bookmarkEnd w:id="7"/>
      <w:r w:rsidRPr="00AC03F5">
        <w:rPr>
          <w:szCs w:val="26"/>
        </w:rPr>
        <w:t>9430</w:t>
      </w:r>
      <w:bookmarkEnd w:id="8"/>
    </w:p>
    <w:p w14:paraId="436A8FA1" w14:textId="77777777" w:rsidR="0029656A" w:rsidRPr="0029656A" w:rsidRDefault="0029656A" w:rsidP="0029656A">
      <w:pPr>
        <w:widowControl w:val="0"/>
        <w:tabs>
          <w:tab w:val="clear" w:pos="720"/>
        </w:tabs>
        <w:autoSpaceDE w:val="0"/>
        <w:autoSpaceDN w:val="0"/>
        <w:spacing w:line="240" w:lineRule="auto"/>
        <w:rPr>
          <w:rFonts w:eastAsia="Times New Roman"/>
          <w:szCs w:val="26"/>
        </w:rPr>
      </w:pPr>
    </w:p>
    <w:p w14:paraId="2B60DAE5" w14:textId="77777777" w:rsidR="00C67700" w:rsidRPr="00F26111" w:rsidRDefault="00C67700" w:rsidP="004D3691"/>
    <w:sectPr w:rsidR="00C67700" w:rsidRPr="00F26111" w:rsidSect="0024467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59626" w14:textId="77777777" w:rsidR="00E25649" w:rsidRDefault="00E25649">
      <w:pPr>
        <w:spacing w:line="240" w:lineRule="auto"/>
      </w:pPr>
      <w:r>
        <w:separator/>
      </w:r>
    </w:p>
  </w:endnote>
  <w:endnote w:type="continuationSeparator" w:id="0">
    <w:p w14:paraId="278203B2" w14:textId="77777777" w:rsidR="00E25649" w:rsidRDefault="00E256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891789"/>
      <w:docPartObj>
        <w:docPartGallery w:val="Page Numbers (Bottom of Page)"/>
        <w:docPartUnique/>
      </w:docPartObj>
    </w:sdtPr>
    <w:sdtEndPr>
      <w:rPr>
        <w:noProof/>
      </w:rPr>
    </w:sdtEndPr>
    <w:sdtContent>
      <w:p w14:paraId="21487F1F" w14:textId="6F8AA3EC" w:rsidR="0024467A" w:rsidRDefault="00E256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AB88C" w14:textId="77777777" w:rsidR="0041387E" w:rsidRDefault="00E25649" w:rsidP="0041387E">
      <w:pPr>
        <w:spacing w:line="240" w:lineRule="auto"/>
      </w:pPr>
      <w:r>
        <w:separator/>
      </w:r>
    </w:p>
  </w:footnote>
  <w:footnote w:type="continuationSeparator" w:id="0">
    <w:p w14:paraId="4E812D62" w14:textId="77777777" w:rsidR="0041387E" w:rsidRDefault="00E25649" w:rsidP="0041387E">
      <w:pPr>
        <w:spacing w:line="240" w:lineRule="auto"/>
      </w:pPr>
      <w:r>
        <w:continuationSeparator/>
      </w:r>
    </w:p>
  </w:footnote>
  <w:footnote w:id="1">
    <w:p w14:paraId="2ED42C59" w14:textId="0EB3FE5F" w:rsidR="0041387E" w:rsidRDefault="00E25649">
      <w:pPr>
        <w:pStyle w:val="FootnoteText"/>
      </w:pPr>
      <w:r>
        <w:tab/>
      </w:r>
      <w:r>
        <w:rPr>
          <w:rStyle w:val="FootnoteReference"/>
        </w:rPr>
        <w:footnoteRef/>
      </w:r>
      <w:r>
        <w:t xml:space="preserve"> </w:t>
      </w:r>
      <w:r w:rsidRPr="00CA70FE">
        <w:rPr>
          <w:i/>
          <w:iCs/>
        </w:rPr>
        <w:t>People v. Marsden</w:t>
      </w:r>
      <w:r>
        <w:t xml:space="preserve"> (1970) 2 Cal.3d 118.</w:t>
      </w:r>
    </w:p>
  </w:footnote>
  <w:footnote w:id="2">
    <w:p w14:paraId="48840F5A" w14:textId="77777777" w:rsidR="006837D3" w:rsidRDefault="00E25649" w:rsidP="006837D3">
      <w:pPr>
        <w:pStyle w:val="FootnoteText"/>
      </w:pPr>
      <w:r>
        <w:tab/>
      </w:r>
      <w:r>
        <w:rPr>
          <w:rStyle w:val="FootnoteReference"/>
        </w:rPr>
        <w:footnoteRef/>
      </w:r>
      <w:r>
        <w:t xml:space="preserve"> </w:t>
      </w:r>
      <w:r w:rsidRPr="00CA70FE">
        <w:t>All statutory references are to the Penal Code, unless otherwise indicated.</w:t>
      </w:r>
    </w:p>
  </w:footnote>
  <w:footnote w:id="3">
    <w:p w14:paraId="09096BC6" w14:textId="3910BC64" w:rsidR="008977BA" w:rsidRDefault="00E25649" w:rsidP="00C67700">
      <w:pPr>
        <w:pStyle w:val="FootnoteText"/>
      </w:pPr>
      <w:r>
        <w:tab/>
      </w:r>
      <w:r>
        <w:rPr>
          <w:rStyle w:val="FootnoteReference"/>
        </w:rPr>
        <w:footnoteRef/>
      </w:r>
      <w:r>
        <w:t xml:space="preserve"> The factual background is derived from the probation report</w:t>
      </w:r>
      <w:r w:rsidR="00363F7E">
        <w:t xml:space="preserve"> and the preliminary hearing</w:t>
      </w:r>
      <w:r w:rsidR="005D6946">
        <w:t xml:space="preserve"> in the case related to Doe 4</w:t>
      </w:r>
      <w:r>
        <w:t xml:space="preserve">. </w:t>
      </w:r>
    </w:p>
  </w:footnote>
  <w:footnote w:id="4">
    <w:p w14:paraId="47E0B39B" w14:textId="2AA70A41" w:rsidR="00595D50" w:rsidRDefault="00E25649">
      <w:pPr>
        <w:pStyle w:val="FootnoteText"/>
      </w:pPr>
      <w:r>
        <w:tab/>
      </w:r>
      <w:r>
        <w:rPr>
          <w:rStyle w:val="FootnoteReference"/>
        </w:rPr>
        <w:footnoteRef/>
      </w:r>
      <w:r>
        <w:t xml:space="preserve"> Zamaripa’s name is sometimes spelled Zamarippa in the record.  We use the former spelling, as it is used in the probation report. </w:t>
      </w:r>
    </w:p>
  </w:footnote>
  <w:footnote w:id="5">
    <w:p w14:paraId="1B6BB88B" w14:textId="315D4019" w:rsidR="003A577E" w:rsidRDefault="00E25649" w:rsidP="003A577E">
      <w:pPr>
        <w:pStyle w:val="FootnoteText"/>
      </w:pPr>
      <w:r>
        <w:tab/>
      </w:r>
      <w:r>
        <w:rPr>
          <w:rStyle w:val="FootnoteReference"/>
        </w:rPr>
        <w:footnoteRef/>
      </w:r>
      <w:r>
        <w:t xml:space="preserve"> After Ferenz entered a no contest plea to counts 1, 2, and 12, </w:t>
      </w:r>
      <w:r w:rsidR="00E82A19">
        <w:t xml:space="preserve">it appears </w:t>
      </w:r>
      <w:r>
        <w:t xml:space="preserve">the probation department determined that it was not possible to lawfully sentence him to the negotiated </w:t>
      </w:r>
      <w:r w:rsidR="008220C4">
        <w:t>12-year</w:t>
      </w:r>
      <w:r>
        <w:t xml:space="preserve"> prison term with the charges as ple</w:t>
      </w:r>
      <w:r w:rsidR="00633F9C">
        <w:t>ade</w:t>
      </w:r>
      <w:r>
        <w:t>d.  The clerk’s minutes reflect that the parties at one point stipulated to substitute count 6 for count 12.  Ultimately, the plea agreement was satisfied by striking any reference to Doe 4 from count 12</w:t>
      </w:r>
      <w:r w:rsidR="00E82A19">
        <w:t>, and the original plea was allowed to stand</w:t>
      </w:r>
      <w:r>
        <w:t xml:space="preserve">. </w:t>
      </w:r>
    </w:p>
  </w:footnote>
  <w:footnote w:id="6">
    <w:p w14:paraId="2B6BC6B4" w14:textId="52152CD9" w:rsidR="0022353C" w:rsidRPr="0022353C" w:rsidRDefault="00E25649">
      <w:pPr>
        <w:pStyle w:val="FootnoteText"/>
      </w:pPr>
      <w:r>
        <w:tab/>
      </w:r>
      <w:r>
        <w:rPr>
          <w:rStyle w:val="FootnoteReference"/>
        </w:rPr>
        <w:footnoteRef/>
      </w:r>
      <w:r>
        <w:t xml:space="preserve"> </w:t>
      </w:r>
      <w:r>
        <w:rPr>
          <w:i/>
          <w:iCs/>
        </w:rPr>
        <w:t xml:space="preserve">People v. Superior Court </w:t>
      </w:r>
      <w:r w:rsidRPr="00FA13E3">
        <w:t>(</w:t>
      </w:r>
      <w:r>
        <w:rPr>
          <w:i/>
          <w:iCs/>
        </w:rPr>
        <w:t>Romero</w:t>
      </w:r>
      <w:r w:rsidRPr="00FA13E3">
        <w:t>)</w:t>
      </w:r>
      <w:r>
        <w:rPr>
          <w:i/>
          <w:iCs/>
        </w:rPr>
        <w:t xml:space="preserve"> </w:t>
      </w:r>
      <w:r>
        <w:t>(1996) 13 Cal.4th 497.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523"/>
    <w:rsid w:val="00001E34"/>
    <w:rsid w:val="000030DF"/>
    <w:rsid w:val="00003CBA"/>
    <w:rsid w:val="00006D29"/>
    <w:rsid w:val="00013DFB"/>
    <w:rsid w:val="000165D1"/>
    <w:rsid w:val="0001666C"/>
    <w:rsid w:val="000204AA"/>
    <w:rsid w:val="000206A7"/>
    <w:rsid w:val="00027238"/>
    <w:rsid w:val="000335C6"/>
    <w:rsid w:val="00035058"/>
    <w:rsid w:val="00047B6E"/>
    <w:rsid w:val="000559A6"/>
    <w:rsid w:val="00057975"/>
    <w:rsid w:val="00061BC1"/>
    <w:rsid w:val="000629DF"/>
    <w:rsid w:val="00064922"/>
    <w:rsid w:val="00066F45"/>
    <w:rsid w:val="000706C6"/>
    <w:rsid w:val="000759B2"/>
    <w:rsid w:val="00077500"/>
    <w:rsid w:val="0008031A"/>
    <w:rsid w:val="00082ED0"/>
    <w:rsid w:val="000868E2"/>
    <w:rsid w:val="000871E4"/>
    <w:rsid w:val="00087C29"/>
    <w:rsid w:val="0009001A"/>
    <w:rsid w:val="000A1069"/>
    <w:rsid w:val="000A256E"/>
    <w:rsid w:val="000A35CB"/>
    <w:rsid w:val="000B5DF9"/>
    <w:rsid w:val="000B64B6"/>
    <w:rsid w:val="000C39F6"/>
    <w:rsid w:val="000C4156"/>
    <w:rsid w:val="000D42A1"/>
    <w:rsid w:val="000D65D9"/>
    <w:rsid w:val="000D7487"/>
    <w:rsid w:val="000E150C"/>
    <w:rsid w:val="000E3873"/>
    <w:rsid w:val="000E79F4"/>
    <w:rsid w:val="000E7A57"/>
    <w:rsid w:val="000F1D01"/>
    <w:rsid w:val="0010077E"/>
    <w:rsid w:val="00101D51"/>
    <w:rsid w:val="00103A6B"/>
    <w:rsid w:val="00104FA0"/>
    <w:rsid w:val="00106D34"/>
    <w:rsid w:val="00112A1A"/>
    <w:rsid w:val="001176C3"/>
    <w:rsid w:val="001207C4"/>
    <w:rsid w:val="00121C1C"/>
    <w:rsid w:val="00125455"/>
    <w:rsid w:val="001329AB"/>
    <w:rsid w:val="00135EC6"/>
    <w:rsid w:val="00144AB2"/>
    <w:rsid w:val="00152C40"/>
    <w:rsid w:val="00154DC0"/>
    <w:rsid w:val="00160DDD"/>
    <w:rsid w:val="00165C4A"/>
    <w:rsid w:val="00170B49"/>
    <w:rsid w:val="00171225"/>
    <w:rsid w:val="00172264"/>
    <w:rsid w:val="0017576B"/>
    <w:rsid w:val="00177960"/>
    <w:rsid w:val="00192DC8"/>
    <w:rsid w:val="001A3BDF"/>
    <w:rsid w:val="001A6BB2"/>
    <w:rsid w:val="001B152E"/>
    <w:rsid w:val="001B34C3"/>
    <w:rsid w:val="001B388F"/>
    <w:rsid w:val="001B3B59"/>
    <w:rsid w:val="001B3EB1"/>
    <w:rsid w:val="001C1054"/>
    <w:rsid w:val="001C1584"/>
    <w:rsid w:val="001C2AA0"/>
    <w:rsid w:val="001C5336"/>
    <w:rsid w:val="001D085C"/>
    <w:rsid w:val="001D0A9D"/>
    <w:rsid w:val="001D0EA8"/>
    <w:rsid w:val="001D2C26"/>
    <w:rsid w:val="001E4180"/>
    <w:rsid w:val="001E70CF"/>
    <w:rsid w:val="001E7BDD"/>
    <w:rsid w:val="001F5C66"/>
    <w:rsid w:val="001F62CB"/>
    <w:rsid w:val="00202E29"/>
    <w:rsid w:val="0020688A"/>
    <w:rsid w:val="002109E4"/>
    <w:rsid w:val="00210FC2"/>
    <w:rsid w:val="0021245C"/>
    <w:rsid w:val="00220768"/>
    <w:rsid w:val="002220AF"/>
    <w:rsid w:val="0022353C"/>
    <w:rsid w:val="00225292"/>
    <w:rsid w:val="00234FE7"/>
    <w:rsid w:val="00237D0B"/>
    <w:rsid w:val="002411DC"/>
    <w:rsid w:val="0024247F"/>
    <w:rsid w:val="00242DE5"/>
    <w:rsid w:val="0024345D"/>
    <w:rsid w:val="00243F5A"/>
    <w:rsid w:val="0024467A"/>
    <w:rsid w:val="00245111"/>
    <w:rsid w:val="00247E91"/>
    <w:rsid w:val="0025037F"/>
    <w:rsid w:val="002549D6"/>
    <w:rsid w:val="00255171"/>
    <w:rsid w:val="00257C68"/>
    <w:rsid w:val="00257F5C"/>
    <w:rsid w:val="00262B58"/>
    <w:rsid w:val="002630B0"/>
    <w:rsid w:val="00266D3D"/>
    <w:rsid w:val="00272D4E"/>
    <w:rsid w:val="00274CED"/>
    <w:rsid w:val="00274E5F"/>
    <w:rsid w:val="002750AD"/>
    <w:rsid w:val="0027551A"/>
    <w:rsid w:val="002818FE"/>
    <w:rsid w:val="00282370"/>
    <w:rsid w:val="00283D02"/>
    <w:rsid w:val="0028581B"/>
    <w:rsid w:val="00286000"/>
    <w:rsid w:val="00290E1E"/>
    <w:rsid w:val="00293317"/>
    <w:rsid w:val="0029656A"/>
    <w:rsid w:val="002A172F"/>
    <w:rsid w:val="002A3817"/>
    <w:rsid w:val="002B44B6"/>
    <w:rsid w:val="002B6362"/>
    <w:rsid w:val="002C10BA"/>
    <w:rsid w:val="002C3375"/>
    <w:rsid w:val="002C3661"/>
    <w:rsid w:val="002C3F29"/>
    <w:rsid w:val="002C4B70"/>
    <w:rsid w:val="002C598B"/>
    <w:rsid w:val="002C6E71"/>
    <w:rsid w:val="002C714C"/>
    <w:rsid w:val="002D0C15"/>
    <w:rsid w:val="002D45DE"/>
    <w:rsid w:val="002D4D6A"/>
    <w:rsid w:val="002D7AD9"/>
    <w:rsid w:val="002E457C"/>
    <w:rsid w:val="002F01BB"/>
    <w:rsid w:val="002F448E"/>
    <w:rsid w:val="002F579E"/>
    <w:rsid w:val="002F6330"/>
    <w:rsid w:val="002F6690"/>
    <w:rsid w:val="002F6A72"/>
    <w:rsid w:val="0030049D"/>
    <w:rsid w:val="0030058E"/>
    <w:rsid w:val="003005E7"/>
    <w:rsid w:val="00301B46"/>
    <w:rsid w:val="00302504"/>
    <w:rsid w:val="00305657"/>
    <w:rsid w:val="00317E62"/>
    <w:rsid w:val="003250D2"/>
    <w:rsid w:val="0032718F"/>
    <w:rsid w:val="00330132"/>
    <w:rsid w:val="00330B45"/>
    <w:rsid w:val="003323AB"/>
    <w:rsid w:val="0033719D"/>
    <w:rsid w:val="00337EE6"/>
    <w:rsid w:val="00340E4C"/>
    <w:rsid w:val="003469DD"/>
    <w:rsid w:val="003503AE"/>
    <w:rsid w:val="0035070C"/>
    <w:rsid w:val="003535E1"/>
    <w:rsid w:val="00357630"/>
    <w:rsid w:val="00357B46"/>
    <w:rsid w:val="00362078"/>
    <w:rsid w:val="00363F7E"/>
    <w:rsid w:val="003653AC"/>
    <w:rsid w:val="00371FBE"/>
    <w:rsid w:val="003736EE"/>
    <w:rsid w:val="003746C6"/>
    <w:rsid w:val="0037751D"/>
    <w:rsid w:val="00381B06"/>
    <w:rsid w:val="00382651"/>
    <w:rsid w:val="003838CD"/>
    <w:rsid w:val="00383EA5"/>
    <w:rsid w:val="00384179"/>
    <w:rsid w:val="00384905"/>
    <w:rsid w:val="00386526"/>
    <w:rsid w:val="00387920"/>
    <w:rsid w:val="0039043E"/>
    <w:rsid w:val="0039057C"/>
    <w:rsid w:val="00391850"/>
    <w:rsid w:val="00391958"/>
    <w:rsid w:val="003A0656"/>
    <w:rsid w:val="003A577E"/>
    <w:rsid w:val="003A6527"/>
    <w:rsid w:val="003B1506"/>
    <w:rsid w:val="003B437B"/>
    <w:rsid w:val="003B47E5"/>
    <w:rsid w:val="003B773C"/>
    <w:rsid w:val="003C1070"/>
    <w:rsid w:val="003C1DF7"/>
    <w:rsid w:val="003C22DB"/>
    <w:rsid w:val="003C23E2"/>
    <w:rsid w:val="003C26AC"/>
    <w:rsid w:val="003C4803"/>
    <w:rsid w:val="003D1EED"/>
    <w:rsid w:val="003D2996"/>
    <w:rsid w:val="003D5C08"/>
    <w:rsid w:val="003D6259"/>
    <w:rsid w:val="003D6857"/>
    <w:rsid w:val="003D7A55"/>
    <w:rsid w:val="003E5039"/>
    <w:rsid w:val="003E53CC"/>
    <w:rsid w:val="003E788B"/>
    <w:rsid w:val="003E78CD"/>
    <w:rsid w:val="003F0838"/>
    <w:rsid w:val="003F378B"/>
    <w:rsid w:val="003F64ED"/>
    <w:rsid w:val="00403F6C"/>
    <w:rsid w:val="0040516A"/>
    <w:rsid w:val="004061BF"/>
    <w:rsid w:val="004070ED"/>
    <w:rsid w:val="00407A1F"/>
    <w:rsid w:val="0041172D"/>
    <w:rsid w:val="004130F4"/>
    <w:rsid w:val="0041387E"/>
    <w:rsid w:val="00417DE3"/>
    <w:rsid w:val="00430485"/>
    <w:rsid w:val="00431966"/>
    <w:rsid w:val="004350DD"/>
    <w:rsid w:val="004351BF"/>
    <w:rsid w:val="00442B4B"/>
    <w:rsid w:val="00445103"/>
    <w:rsid w:val="00450C94"/>
    <w:rsid w:val="0045581D"/>
    <w:rsid w:val="004558E2"/>
    <w:rsid w:val="00456620"/>
    <w:rsid w:val="00457893"/>
    <w:rsid w:val="004624B4"/>
    <w:rsid w:val="004648CA"/>
    <w:rsid w:val="004656FE"/>
    <w:rsid w:val="00465C40"/>
    <w:rsid w:val="00472B4B"/>
    <w:rsid w:val="004850A7"/>
    <w:rsid w:val="0048646A"/>
    <w:rsid w:val="00487A14"/>
    <w:rsid w:val="004917BC"/>
    <w:rsid w:val="0049190F"/>
    <w:rsid w:val="00491AAE"/>
    <w:rsid w:val="00494B6E"/>
    <w:rsid w:val="00495260"/>
    <w:rsid w:val="004A4237"/>
    <w:rsid w:val="004A74B7"/>
    <w:rsid w:val="004B19D5"/>
    <w:rsid w:val="004B22E0"/>
    <w:rsid w:val="004B29BC"/>
    <w:rsid w:val="004B5FF8"/>
    <w:rsid w:val="004B6B41"/>
    <w:rsid w:val="004B6F82"/>
    <w:rsid w:val="004C0020"/>
    <w:rsid w:val="004C1E74"/>
    <w:rsid w:val="004C327B"/>
    <w:rsid w:val="004C358C"/>
    <w:rsid w:val="004C5C0D"/>
    <w:rsid w:val="004C6FFF"/>
    <w:rsid w:val="004D1CEB"/>
    <w:rsid w:val="004D3691"/>
    <w:rsid w:val="004D3A02"/>
    <w:rsid w:val="004D3AA0"/>
    <w:rsid w:val="004E5F0B"/>
    <w:rsid w:val="004F6EFC"/>
    <w:rsid w:val="005039CC"/>
    <w:rsid w:val="00504E9B"/>
    <w:rsid w:val="005161EF"/>
    <w:rsid w:val="00516501"/>
    <w:rsid w:val="0052155B"/>
    <w:rsid w:val="005215D3"/>
    <w:rsid w:val="00521EAA"/>
    <w:rsid w:val="00524854"/>
    <w:rsid w:val="00525ED9"/>
    <w:rsid w:val="00526E50"/>
    <w:rsid w:val="00530A59"/>
    <w:rsid w:val="0053391E"/>
    <w:rsid w:val="00541E26"/>
    <w:rsid w:val="005426EC"/>
    <w:rsid w:val="005469A8"/>
    <w:rsid w:val="00552A41"/>
    <w:rsid w:val="0055494C"/>
    <w:rsid w:val="00557203"/>
    <w:rsid w:val="00564238"/>
    <w:rsid w:val="005648E8"/>
    <w:rsid w:val="00566CBF"/>
    <w:rsid w:val="005675B5"/>
    <w:rsid w:val="00574C92"/>
    <w:rsid w:val="00586F10"/>
    <w:rsid w:val="00590A44"/>
    <w:rsid w:val="00590BCD"/>
    <w:rsid w:val="00594628"/>
    <w:rsid w:val="0059463F"/>
    <w:rsid w:val="00595D50"/>
    <w:rsid w:val="00596373"/>
    <w:rsid w:val="005A4391"/>
    <w:rsid w:val="005A5212"/>
    <w:rsid w:val="005B123F"/>
    <w:rsid w:val="005C3D84"/>
    <w:rsid w:val="005D3A9C"/>
    <w:rsid w:val="005D6946"/>
    <w:rsid w:val="005E2352"/>
    <w:rsid w:val="005E46C2"/>
    <w:rsid w:val="005E5C94"/>
    <w:rsid w:val="005E7E94"/>
    <w:rsid w:val="005F1647"/>
    <w:rsid w:val="005F5654"/>
    <w:rsid w:val="005F652A"/>
    <w:rsid w:val="00603A4C"/>
    <w:rsid w:val="0060571B"/>
    <w:rsid w:val="0060689E"/>
    <w:rsid w:val="00606C07"/>
    <w:rsid w:val="0061625C"/>
    <w:rsid w:val="00617B25"/>
    <w:rsid w:val="00621551"/>
    <w:rsid w:val="00621FB6"/>
    <w:rsid w:val="00623380"/>
    <w:rsid w:val="00624B22"/>
    <w:rsid w:val="00624E0D"/>
    <w:rsid w:val="0063021B"/>
    <w:rsid w:val="00631A37"/>
    <w:rsid w:val="00633F9C"/>
    <w:rsid w:val="0063557B"/>
    <w:rsid w:val="006360DD"/>
    <w:rsid w:val="00636272"/>
    <w:rsid w:val="00636C3D"/>
    <w:rsid w:val="006407B1"/>
    <w:rsid w:val="00641B80"/>
    <w:rsid w:val="006432AE"/>
    <w:rsid w:val="00645B38"/>
    <w:rsid w:val="00645C32"/>
    <w:rsid w:val="00646AC0"/>
    <w:rsid w:val="006502C3"/>
    <w:rsid w:val="00650390"/>
    <w:rsid w:val="0065254C"/>
    <w:rsid w:val="00652C23"/>
    <w:rsid w:val="0065785E"/>
    <w:rsid w:val="00657E8B"/>
    <w:rsid w:val="00662E89"/>
    <w:rsid w:val="00663951"/>
    <w:rsid w:val="00665D4C"/>
    <w:rsid w:val="00671165"/>
    <w:rsid w:val="00671416"/>
    <w:rsid w:val="006720ED"/>
    <w:rsid w:val="006737DA"/>
    <w:rsid w:val="00676293"/>
    <w:rsid w:val="00676A4B"/>
    <w:rsid w:val="00677891"/>
    <w:rsid w:val="006808D1"/>
    <w:rsid w:val="00681D14"/>
    <w:rsid w:val="00681E15"/>
    <w:rsid w:val="00682B52"/>
    <w:rsid w:val="006837D3"/>
    <w:rsid w:val="00683ADB"/>
    <w:rsid w:val="006858C2"/>
    <w:rsid w:val="00694323"/>
    <w:rsid w:val="006955DE"/>
    <w:rsid w:val="00696F86"/>
    <w:rsid w:val="0069717E"/>
    <w:rsid w:val="006A12CF"/>
    <w:rsid w:val="006A3CAF"/>
    <w:rsid w:val="006A4F66"/>
    <w:rsid w:val="006A6732"/>
    <w:rsid w:val="006B0582"/>
    <w:rsid w:val="006B0FFE"/>
    <w:rsid w:val="006B48D8"/>
    <w:rsid w:val="006B4926"/>
    <w:rsid w:val="006B4E71"/>
    <w:rsid w:val="006B616B"/>
    <w:rsid w:val="006B7005"/>
    <w:rsid w:val="006B7D94"/>
    <w:rsid w:val="006C2CB7"/>
    <w:rsid w:val="006C370C"/>
    <w:rsid w:val="006C53F5"/>
    <w:rsid w:val="006D3441"/>
    <w:rsid w:val="006D3FB1"/>
    <w:rsid w:val="006D5132"/>
    <w:rsid w:val="006D60E9"/>
    <w:rsid w:val="006D69AC"/>
    <w:rsid w:val="006D72F7"/>
    <w:rsid w:val="006D79B7"/>
    <w:rsid w:val="006E03FF"/>
    <w:rsid w:val="006E5723"/>
    <w:rsid w:val="006F33C0"/>
    <w:rsid w:val="006F4ADC"/>
    <w:rsid w:val="006F51F6"/>
    <w:rsid w:val="006F6BA1"/>
    <w:rsid w:val="006F7156"/>
    <w:rsid w:val="007008D6"/>
    <w:rsid w:val="007049AA"/>
    <w:rsid w:val="00706368"/>
    <w:rsid w:val="00711CD2"/>
    <w:rsid w:val="00714CD5"/>
    <w:rsid w:val="007234BD"/>
    <w:rsid w:val="00723AE5"/>
    <w:rsid w:val="007253C0"/>
    <w:rsid w:val="00730AFE"/>
    <w:rsid w:val="007311B1"/>
    <w:rsid w:val="007356E3"/>
    <w:rsid w:val="00736F15"/>
    <w:rsid w:val="00746B02"/>
    <w:rsid w:val="00750327"/>
    <w:rsid w:val="00752FAE"/>
    <w:rsid w:val="007607CC"/>
    <w:rsid w:val="00771CA9"/>
    <w:rsid w:val="007742D1"/>
    <w:rsid w:val="00775B52"/>
    <w:rsid w:val="00784D74"/>
    <w:rsid w:val="0078618C"/>
    <w:rsid w:val="00791B64"/>
    <w:rsid w:val="00791BDC"/>
    <w:rsid w:val="00792410"/>
    <w:rsid w:val="007A132E"/>
    <w:rsid w:val="007A1AD0"/>
    <w:rsid w:val="007B119C"/>
    <w:rsid w:val="007B206E"/>
    <w:rsid w:val="007B5D1F"/>
    <w:rsid w:val="007C0EAD"/>
    <w:rsid w:val="007C11BC"/>
    <w:rsid w:val="007C1824"/>
    <w:rsid w:val="007C3C79"/>
    <w:rsid w:val="007C58BF"/>
    <w:rsid w:val="007D370B"/>
    <w:rsid w:val="007D4C01"/>
    <w:rsid w:val="007D4F6F"/>
    <w:rsid w:val="007E2F57"/>
    <w:rsid w:val="007E5EC1"/>
    <w:rsid w:val="007E7900"/>
    <w:rsid w:val="007F03AE"/>
    <w:rsid w:val="007F1087"/>
    <w:rsid w:val="007F3321"/>
    <w:rsid w:val="007F6DA4"/>
    <w:rsid w:val="00803732"/>
    <w:rsid w:val="00807779"/>
    <w:rsid w:val="00807EAE"/>
    <w:rsid w:val="00811C4A"/>
    <w:rsid w:val="00813FCC"/>
    <w:rsid w:val="00820EA5"/>
    <w:rsid w:val="008220C4"/>
    <w:rsid w:val="00827442"/>
    <w:rsid w:val="00832838"/>
    <w:rsid w:val="00833303"/>
    <w:rsid w:val="00836133"/>
    <w:rsid w:val="00837E4E"/>
    <w:rsid w:val="0084116E"/>
    <w:rsid w:val="00842B43"/>
    <w:rsid w:val="00842BB6"/>
    <w:rsid w:val="00846292"/>
    <w:rsid w:val="00850361"/>
    <w:rsid w:val="00861E6F"/>
    <w:rsid w:val="008655C7"/>
    <w:rsid w:val="008738D3"/>
    <w:rsid w:val="00876414"/>
    <w:rsid w:val="00880089"/>
    <w:rsid w:val="00880B2E"/>
    <w:rsid w:val="00881807"/>
    <w:rsid w:val="008866E0"/>
    <w:rsid w:val="00886C55"/>
    <w:rsid w:val="00891A0A"/>
    <w:rsid w:val="008977BA"/>
    <w:rsid w:val="008A1C01"/>
    <w:rsid w:val="008A5C77"/>
    <w:rsid w:val="008A7449"/>
    <w:rsid w:val="008B3F2E"/>
    <w:rsid w:val="008B5DD1"/>
    <w:rsid w:val="008B69A8"/>
    <w:rsid w:val="008C2A37"/>
    <w:rsid w:val="008C60B2"/>
    <w:rsid w:val="008C755F"/>
    <w:rsid w:val="008D32B8"/>
    <w:rsid w:val="008D4DB9"/>
    <w:rsid w:val="008E7FF2"/>
    <w:rsid w:val="008F26BB"/>
    <w:rsid w:val="008F2715"/>
    <w:rsid w:val="008F58AB"/>
    <w:rsid w:val="008F5A82"/>
    <w:rsid w:val="00901546"/>
    <w:rsid w:val="00903681"/>
    <w:rsid w:val="00906F7D"/>
    <w:rsid w:val="00907245"/>
    <w:rsid w:val="00920FCE"/>
    <w:rsid w:val="009270A4"/>
    <w:rsid w:val="009271D4"/>
    <w:rsid w:val="00927908"/>
    <w:rsid w:val="00930D33"/>
    <w:rsid w:val="00936AC7"/>
    <w:rsid w:val="009453AF"/>
    <w:rsid w:val="00947BCE"/>
    <w:rsid w:val="00953275"/>
    <w:rsid w:val="00965587"/>
    <w:rsid w:val="00965A48"/>
    <w:rsid w:val="00966D6E"/>
    <w:rsid w:val="0096751D"/>
    <w:rsid w:val="009706ED"/>
    <w:rsid w:val="00970892"/>
    <w:rsid w:val="00980A16"/>
    <w:rsid w:val="00980CF4"/>
    <w:rsid w:val="00985B85"/>
    <w:rsid w:val="009870B7"/>
    <w:rsid w:val="00991499"/>
    <w:rsid w:val="0099484A"/>
    <w:rsid w:val="0099736F"/>
    <w:rsid w:val="009A0643"/>
    <w:rsid w:val="009A1C70"/>
    <w:rsid w:val="009B5748"/>
    <w:rsid w:val="009B6F8D"/>
    <w:rsid w:val="009B7332"/>
    <w:rsid w:val="009C6C71"/>
    <w:rsid w:val="009C7823"/>
    <w:rsid w:val="009D0F4A"/>
    <w:rsid w:val="009E1EAE"/>
    <w:rsid w:val="009E5720"/>
    <w:rsid w:val="009E5F9E"/>
    <w:rsid w:val="009F4C36"/>
    <w:rsid w:val="009F615D"/>
    <w:rsid w:val="009F6FD2"/>
    <w:rsid w:val="00A01E36"/>
    <w:rsid w:val="00A039A9"/>
    <w:rsid w:val="00A13972"/>
    <w:rsid w:val="00A15405"/>
    <w:rsid w:val="00A208CA"/>
    <w:rsid w:val="00A20B54"/>
    <w:rsid w:val="00A23BA5"/>
    <w:rsid w:val="00A24F82"/>
    <w:rsid w:val="00A25700"/>
    <w:rsid w:val="00A2610C"/>
    <w:rsid w:val="00A34845"/>
    <w:rsid w:val="00A364C4"/>
    <w:rsid w:val="00A4355F"/>
    <w:rsid w:val="00A45777"/>
    <w:rsid w:val="00A45FF7"/>
    <w:rsid w:val="00A46D45"/>
    <w:rsid w:val="00A50681"/>
    <w:rsid w:val="00A5080C"/>
    <w:rsid w:val="00A525D3"/>
    <w:rsid w:val="00A52957"/>
    <w:rsid w:val="00A53B47"/>
    <w:rsid w:val="00A6481A"/>
    <w:rsid w:val="00A70020"/>
    <w:rsid w:val="00A72647"/>
    <w:rsid w:val="00A757B7"/>
    <w:rsid w:val="00A80463"/>
    <w:rsid w:val="00A85759"/>
    <w:rsid w:val="00A85FAD"/>
    <w:rsid w:val="00A86311"/>
    <w:rsid w:val="00A91830"/>
    <w:rsid w:val="00A95567"/>
    <w:rsid w:val="00AA0D55"/>
    <w:rsid w:val="00AA65D4"/>
    <w:rsid w:val="00AA7037"/>
    <w:rsid w:val="00AB1680"/>
    <w:rsid w:val="00AB300C"/>
    <w:rsid w:val="00AB41BB"/>
    <w:rsid w:val="00AB7370"/>
    <w:rsid w:val="00AC2DF7"/>
    <w:rsid w:val="00AC338A"/>
    <w:rsid w:val="00AC36F8"/>
    <w:rsid w:val="00AD0365"/>
    <w:rsid w:val="00AD153D"/>
    <w:rsid w:val="00AD1B02"/>
    <w:rsid w:val="00AD5CC8"/>
    <w:rsid w:val="00AE074F"/>
    <w:rsid w:val="00AE0FBC"/>
    <w:rsid w:val="00AE6608"/>
    <w:rsid w:val="00AE683B"/>
    <w:rsid w:val="00AF02CE"/>
    <w:rsid w:val="00AF43C6"/>
    <w:rsid w:val="00AF508C"/>
    <w:rsid w:val="00AF5877"/>
    <w:rsid w:val="00AF76D5"/>
    <w:rsid w:val="00B063BF"/>
    <w:rsid w:val="00B0686E"/>
    <w:rsid w:val="00B11DA1"/>
    <w:rsid w:val="00B17295"/>
    <w:rsid w:val="00B20BE4"/>
    <w:rsid w:val="00B314E7"/>
    <w:rsid w:val="00B35F31"/>
    <w:rsid w:val="00B37CC5"/>
    <w:rsid w:val="00B37E63"/>
    <w:rsid w:val="00B41773"/>
    <w:rsid w:val="00B41F82"/>
    <w:rsid w:val="00B45706"/>
    <w:rsid w:val="00B4598C"/>
    <w:rsid w:val="00B4632B"/>
    <w:rsid w:val="00B5403B"/>
    <w:rsid w:val="00B564AC"/>
    <w:rsid w:val="00B62374"/>
    <w:rsid w:val="00B63D32"/>
    <w:rsid w:val="00B66332"/>
    <w:rsid w:val="00B71CB2"/>
    <w:rsid w:val="00B71D7B"/>
    <w:rsid w:val="00B750C0"/>
    <w:rsid w:val="00B75F21"/>
    <w:rsid w:val="00B814F6"/>
    <w:rsid w:val="00B8654F"/>
    <w:rsid w:val="00B931DB"/>
    <w:rsid w:val="00B9558A"/>
    <w:rsid w:val="00BA1F50"/>
    <w:rsid w:val="00BA5BF8"/>
    <w:rsid w:val="00BA6460"/>
    <w:rsid w:val="00BA67F0"/>
    <w:rsid w:val="00BA6828"/>
    <w:rsid w:val="00BA79F3"/>
    <w:rsid w:val="00BB4B75"/>
    <w:rsid w:val="00BB63C0"/>
    <w:rsid w:val="00BB70FE"/>
    <w:rsid w:val="00BC181B"/>
    <w:rsid w:val="00BC301D"/>
    <w:rsid w:val="00BC374C"/>
    <w:rsid w:val="00BC62C5"/>
    <w:rsid w:val="00BD24E1"/>
    <w:rsid w:val="00BE00BA"/>
    <w:rsid w:val="00BE0136"/>
    <w:rsid w:val="00BE06B0"/>
    <w:rsid w:val="00BE1840"/>
    <w:rsid w:val="00BE2748"/>
    <w:rsid w:val="00BE34EE"/>
    <w:rsid w:val="00BF3A7A"/>
    <w:rsid w:val="00BF4D3F"/>
    <w:rsid w:val="00BF638C"/>
    <w:rsid w:val="00BF6769"/>
    <w:rsid w:val="00C003E9"/>
    <w:rsid w:val="00C016DF"/>
    <w:rsid w:val="00C11481"/>
    <w:rsid w:val="00C153A3"/>
    <w:rsid w:val="00C212F4"/>
    <w:rsid w:val="00C25B68"/>
    <w:rsid w:val="00C30842"/>
    <w:rsid w:val="00C319F9"/>
    <w:rsid w:val="00C32607"/>
    <w:rsid w:val="00C3566D"/>
    <w:rsid w:val="00C43112"/>
    <w:rsid w:val="00C44437"/>
    <w:rsid w:val="00C4677E"/>
    <w:rsid w:val="00C469B8"/>
    <w:rsid w:val="00C46FBC"/>
    <w:rsid w:val="00C47066"/>
    <w:rsid w:val="00C5087C"/>
    <w:rsid w:val="00C51E08"/>
    <w:rsid w:val="00C5247B"/>
    <w:rsid w:val="00C52904"/>
    <w:rsid w:val="00C53371"/>
    <w:rsid w:val="00C551CF"/>
    <w:rsid w:val="00C556E3"/>
    <w:rsid w:val="00C5633E"/>
    <w:rsid w:val="00C568E0"/>
    <w:rsid w:val="00C60308"/>
    <w:rsid w:val="00C6072B"/>
    <w:rsid w:val="00C62802"/>
    <w:rsid w:val="00C649C9"/>
    <w:rsid w:val="00C64ECF"/>
    <w:rsid w:val="00C67700"/>
    <w:rsid w:val="00C72387"/>
    <w:rsid w:val="00C756E5"/>
    <w:rsid w:val="00C7765B"/>
    <w:rsid w:val="00C77691"/>
    <w:rsid w:val="00C823E4"/>
    <w:rsid w:val="00C834BD"/>
    <w:rsid w:val="00C91E94"/>
    <w:rsid w:val="00C93C10"/>
    <w:rsid w:val="00C97CD0"/>
    <w:rsid w:val="00CA00D9"/>
    <w:rsid w:val="00CA0BB4"/>
    <w:rsid w:val="00CA18FA"/>
    <w:rsid w:val="00CA4894"/>
    <w:rsid w:val="00CA70FE"/>
    <w:rsid w:val="00CB3215"/>
    <w:rsid w:val="00CC2708"/>
    <w:rsid w:val="00CC415F"/>
    <w:rsid w:val="00CC4BAE"/>
    <w:rsid w:val="00CC67BA"/>
    <w:rsid w:val="00CC7F53"/>
    <w:rsid w:val="00CD027E"/>
    <w:rsid w:val="00CD1997"/>
    <w:rsid w:val="00CD4AAD"/>
    <w:rsid w:val="00CD7DF1"/>
    <w:rsid w:val="00CD7FEC"/>
    <w:rsid w:val="00CE25BC"/>
    <w:rsid w:val="00CE3CD0"/>
    <w:rsid w:val="00CE7062"/>
    <w:rsid w:val="00CF46A4"/>
    <w:rsid w:val="00CF4DFD"/>
    <w:rsid w:val="00CF5AB5"/>
    <w:rsid w:val="00CF5EF5"/>
    <w:rsid w:val="00D00228"/>
    <w:rsid w:val="00D024A0"/>
    <w:rsid w:val="00D02AED"/>
    <w:rsid w:val="00D036F8"/>
    <w:rsid w:val="00D04C94"/>
    <w:rsid w:val="00D05920"/>
    <w:rsid w:val="00D06666"/>
    <w:rsid w:val="00D0667C"/>
    <w:rsid w:val="00D10405"/>
    <w:rsid w:val="00D16507"/>
    <w:rsid w:val="00D2057D"/>
    <w:rsid w:val="00D26B8B"/>
    <w:rsid w:val="00D276B1"/>
    <w:rsid w:val="00D30523"/>
    <w:rsid w:val="00D343CF"/>
    <w:rsid w:val="00D362E6"/>
    <w:rsid w:val="00D41A94"/>
    <w:rsid w:val="00D4370C"/>
    <w:rsid w:val="00D43CC4"/>
    <w:rsid w:val="00D458EB"/>
    <w:rsid w:val="00D45C3E"/>
    <w:rsid w:val="00D53811"/>
    <w:rsid w:val="00D63911"/>
    <w:rsid w:val="00D67E87"/>
    <w:rsid w:val="00D71DB0"/>
    <w:rsid w:val="00D7243B"/>
    <w:rsid w:val="00D74B68"/>
    <w:rsid w:val="00D82BFC"/>
    <w:rsid w:val="00D8729D"/>
    <w:rsid w:val="00D87D86"/>
    <w:rsid w:val="00D93600"/>
    <w:rsid w:val="00D93CC2"/>
    <w:rsid w:val="00D95766"/>
    <w:rsid w:val="00DA583C"/>
    <w:rsid w:val="00DA6614"/>
    <w:rsid w:val="00DB127D"/>
    <w:rsid w:val="00DB43A8"/>
    <w:rsid w:val="00DC097D"/>
    <w:rsid w:val="00DC2D08"/>
    <w:rsid w:val="00DC366B"/>
    <w:rsid w:val="00DD02CE"/>
    <w:rsid w:val="00DD146A"/>
    <w:rsid w:val="00DD380A"/>
    <w:rsid w:val="00DD5DB1"/>
    <w:rsid w:val="00DD61F8"/>
    <w:rsid w:val="00DD7741"/>
    <w:rsid w:val="00DE0F59"/>
    <w:rsid w:val="00DF1891"/>
    <w:rsid w:val="00DF5DAE"/>
    <w:rsid w:val="00E02D84"/>
    <w:rsid w:val="00E044BC"/>
    <w:rsid w:val="00E05807"/>
    <w:rsid w:val="00E14BDF"/>
    <w:rsid w:val="00E20282"/>
    <w:rsid w:val="00E20787"/>
    <w:rsid w:val="00E21EA4"/>
    <w:rsid w:val="00E25649"/>
    <w:rsid w:val="00E25E2D"/>
    <w:rsid w:val="00E31B03"/>
    <w:rsid w:val="00E31B47"/>
    <w:rsid w:val="00E32512"/>
    <w:rsid w:val="00E35F77"/>
    <w:rsid w:val="00E36E35"/>
    <w:rsid w:val="00E406C1"/>
    <w:rsid w:val="00E42E1E"/>
    <w:rsid w:val="00E4372D"/>
    <w:rsid w:val="00E46B42"/>
    <w:rsid w:val="00E4711C"/>
    <w:rsid w:val="00E52BF5"/>
    <w:rsid w:val="00E54202"/>
    <w:rsid w:val="00E5448F"/>
    <w:rsid w:val="00E545E8"/>
    <w:rsid w:val="00E60F6C"/>
    <w:rsid w:val="00E617B7"/>
    <w:rsid w:val="00E64BF8"/>
    <w:rsid w:val="00E70383"/>
    <w:rsid w:val="00E73530"/>
    <w:rsid w:val="00E752E2"/>
    <w:rsid w:val="00E76110"/>
    <w:rsid w:val="00E805D9"/>
    <w:rsid w:val="00E80669"/>
    <w:rsid w:val="00E80C1D"/>
    <w:rsid w:val="00E810CB"/>
    <w:rsid w:val="00E818C6"/>
    <w:rsid w:val="00E82A19"/>
    <w:rsid w:val="00E8380D"/>
    <w:rsid w:val="00E83D1C"/>
    <w:rsid w:val="00E84690"/>
    <w:rsid w:val="00E846EB"/>
    <w:rsid w:val="00E84980"/>
    <w:rsid w:val="00E9112C"/>
    <w:rsid w:val="00E9258C"/>
    <w:rsid w:val="00E93674"/>
    <w:rsid w:val="00E9457A"/>
    <w:rsid w:val="00EA2D02"/>
    <w:rsid w:val="00EA4F07"/>
    <w:rsid w:val="00EB05A5"/>
    <w:rsid w:val="00EB1D46"/>
    <w:rsid w:val="00EB50B4"/>
    <w:rsid w:val="00EB5B3B"/>
    <w:rsid w:val="00EB79C4"/>
    <w:rsid w:val="00ED56A5"/>
    <w:rsid w:val="00EE3292"/>
    <w:rsid w:val="00EE3A3F"/>
    <w:rsid w:val="00EE6F0B"/>
    <w:rsid w:val="00EE769C"/>
    <w:rsid w:val="00EF1B38"/>
    <w:rsid w:val="00EF2E0A"/>
    <w:rsid w:val="00F00274"/>
    <w:rsid w:val="00F00494"/>
    <w:rsid w:val="00F026B8"/>
    <w:rsid w:val="00F026CB"/>
    <w:rsid w:val="00F03944"/>
    <w:rsid w:val="00F05B0B"/>
    <w:rsid w:val="00F05C0A"/>
    <w:rsid w:val="00F10DB7"/>
    <w:rsid w:val="00F12150"/>
    <w:rsid w:val="00F13915"/>
    <w:rsid w:val="00F15103"/>
    <w:rsid w:val="00F17047"/>
    <w:rsid w:val="00F23899"/>
    <w:rsid w:val="00F26111"/>
    <w:rsid w:val="00F279FB"/>
    <w:rsid w:val="00F309DB"/>
    <w:rsid w:val="00F3104A"/>
    <w:rsid w:val="00F33D6C"/>
    <w:rsid w:val="00F36BCE"/>
    <w:rsid w:val="00F37F34"/>
    <w:rsid w:val="00F46E02"/>
    <w:rsid w:val="00F470CD"/>
    <w:rsid w:val="00F5040A"/>
    <w:rsid w:val="00F51128"/>
    <w:rsid w:val="00F52A08"/>
    <w:rsid w:val="00F52D3C"/>
    <w:rsid w:val="00F5314D"/>
    <w:rsid w:val="00F57F00"/>
    <w:rsid w:val="00F62519"/>
    <w:rsid w:val="00F63D46"/>
    <w:rsid w:val="00F65C1D"/>
    <w:rsid w:val="00F73309"/>
    <w:rsid w:val="00F74878"/>
    <w:rsid w:val="00F75AEB"/>
    <w:rsid w:val="00F7743E"/>
    <w:rsid w:val="00F82E62"/>
    <w:rsid w:val="00F83C57"/>
    <w:rsid w:val="00F8754E"/>
    <w:rsid w:val="00F918C0"/>
    <w:rsid w:val="00F931BB"/>
    <w:rsid w:val="00F94446"/>
    <w:rsid w:val="00F96B44"/>
    <w:rsid w:val="00F96DE7"/>
    <w:rsid w:val="00F971BF"/>
    <w:rsid w:val="00FA13E3"/>
    <w:rsid w:val="00FA747E"/>
    <w:rsid w:val="00FB04D3"/>
    <w:rsid w:val="00FB1A08"/>
    <w:rsid w:val="00FB3BE6"/>
    <w:rsid w:val="00FB7D4C"/>
    <w:rsid w:val="00FC4236"/>
    <w:rsid w:val="00FC437D"/>
    <w:rsid w:val="00FD26D3"/>
    <w:rsid w:val="00FD43A5"/>
    <w:rsid w:val="00FD43AF"/>
    <w:rsid w:val="00FD558C"/>
    <w:rsid w:val="00FD6543"/>
    <w:rsid w:val="00FE26B4"/>
    <w:rsid w:val="00FE3C5C"/>
    <w:rsid w:val="00FE465A"/>
    <w:rsid w:val="00FF0C61"/>
    <w:rsid w:val="00FF1343"/>
    <w:rsid w:val="00FF1AB3"/>
    <w:rsid w:val="00FF4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AA9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s>
      <w:spacing w:after="0" w:line="480" w:lineRule="atLeast"/>
    </w:pPr>
    <w:rPr>
      <w:rFonts w:ascii="Times New Roman"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30523"/>
    <w:pPr>
      <w:spacing w:line="240" w:lineRule="auto"/>
    </w:pPr>
    <w:rPr>
      <w:szCs w:val="20"/>
    </w:rPr>
  </w:style>
  <w:style w:type="character" w:customStyle="1" w:styleId="FootnoteTextChar">
    <w:name w:val="Footnote Text Char"/>
    <w:basedOn w:val="DefaultParagraphFont"/>
    <w:link w:val="FootnoteText"/>
    <w:uiPriority w:val="99"/>
    <w:rsid w:val="00D30523"/>
    <w:rPr>
      <w:rFonts w:ascii="Times New Roman" w:hAnsi="Times New Roman" w:cs="Times New Roman"/>
      <w:sz w:val="26"/>
      <w:szCs w:val="20"/>
    </w:rPr>
  </w:style>
  <w:style w:type="character" w:styleId="FootnoteReference">
    <w:name w:val="footnote reference"/>
    <w:basedOn w:val="DefaultParagraphFont"/>
    <w:uiPriority w:val="99"/>
    <w:semiHidden/>
    <w:unhideWhenUsed/>
    <w:rsid w:val="0041387E"/>
    <w:rPr>
      <w:vertAlign w:val="superscript"/>
    </w:rPr>
  </w:style>
  <w:style w:type="paragraph" w:styleId="Header">
    <w:name w:val="header"/>
    <w:basedOn w:val="Normal"/>
    <w:link w:val="HeaderChar"/>
    <w:uiPriority w:val="99"/>
    <w:unhideWhenUsed/>
    <w:rsid w:val="0024467A"/>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24467A"/>
    <w:rPr>
      <w:rFonts w:ascii="Times New Roman" w:hAnsi="Times New Roman" w:cs="Times New Roman"/>
      <w:sz w:val="26"/>
    </w:rPr>
  </w:style>
  <w:style w:type="paragraph" w:styleId="Footer">
    <w:name w:val="footer"/>
    <w:basedOn w:val="Normal"/>
    <w:link w:val="FooterChar"/>
    <w:uiPriority w:val="99"/>
    <w:unhideWhenUsed/>
    <w:rsid w:val="0024467A"/>
    <w:pPr>
      <w:tabs>
        <w:tab w:val="clear" w:pos="720"/>
        <w:tab w:val="center" w:pos="4680"/>
        <w:tab w:val="right" w:pos="9360"/>
      </w:tabs>
      <w:spacing w:line="240" w:lineRule="auto"/>
    </w:pPr>
  </w:style>
  <w:style w:type="character" w:customStyle="1" w:styleId="FooterChar">
    <w:name w:val="Footer Char"/>
    <w:basedOn w:val="DefaultParagraphFont"/>
    <w:link w:val="Footer"/>
    <w:uiPriority w:val="99"/>
    <w:rsid w:val="0024467A"/>
    <w:rPr>
      <w:rFonts w:ascii="Times New Roman" w:hAnsi="Times New Roman" w:cs="Times New Roman"/>
      <w:sz w:val="26"/>
    </w:rPr>
  </w:style>
  <w:style w:type="paragraph" w:styleId="Revision">
    <w:name w:val="Revision"/>
    <w:hidden/>
    <w:uiPriority w:val="99"/>
    <w:semiHidden/>
    <w:rsid w:val="009E5720"/>
    <w:pPr>
      <w:spacing w:after="0" w:line="240" w:lineRule="auto"/>
    </w:pPr>
    <w:rPr>
      <w:rFonts w:ascii="Times New Roman" w:hAnsi="Times New Roman" w:cs="Times New Roman"/>
      <w:sz w:val="26"/>
    </w:rPr>
  </w:style>
  <w:style w:type="character" w:styleId="CommentReference">
    <w:name w:val="annotation reference"/>
    <w:basedOn w:val="DefaultParagraphFont"/>
    <w:uiPriority w:val="99"/>
    <w:semiHidden/>
    <w:unhideWhenUsed/>
    <w:rsid w:val="004B5FF8"/>
    <w:rPr>
      <w:sz w:val="16"/>
      <w:szCs w:val="16"/>
    </w:rPr>
  </w:style>
  <w:style w:type="paragraph" w:styleId="CommentText">
    <w:name w:val="annotation text"/>
    <w:basedOn w:val="Normal"/>
    <w:link w:val="CommentTextChar"/>
    <w:uiPriority w:val="99"/>
    <w:unhideWhenUsed/>
    <w:rsid w:val="004B5FF8"/>
    <w:pPr>
      <w:spacing w:line="240" w:lineRule="auto"/>
    </w:pPr>
    <w:rPr>
      <w:sz w:val="20"/>
      <w:szCs w:val="20"/>
    </w:rPr>
  </w:style>
  <w:style w:type="character" w:customStyle="1" w:styleId="CommentTextChar">
    <w:name w:val="Comment Text Char"/>
    <w:basedOn w:val="DefaultParagraphFont"/>
    <w:link w:val="CommentText"/>
    <w:uiPriority w:val="99"/>
    <w:rsid w:val="004B5FF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5FF8"/>
    <w:rPr>
      <w:b/>
      <w:bCs/>
    </w:rPr>
  </w:style>
  <w:style w:type="character" w:customStyle="1" w:styleId="CommentSubjectChar">
    <w:name w:val="Comment Subject Char"/>
    <w:basedOn w:val="CommentTextChar"/>
    <w:link w:val="CommentSubject"/>
    <w:uiPriority w:val="99"/>
    <w:semiHidden/>
    <w:rsid w:val="004B5FF8"/>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47EF2-44BE-43A0-B031-164905423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5680</Words>
  <Characters>29624</Characters>
  <Application>Microsoft Office Word</Application>
  <DocSecurity>0</DocSecurity>
  <Lines>587</Lines>
  <Paragraphs>126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35671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2024-02-21T21:30:00Z</dcterms:created>
  <dcterms:modified xsi:type="dcterms:W3CDTF">2024-02-21T21:30:00Z</dcterms:modified>
  <cp:category/>
</cp:coreProperties>
</file>