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150D8" w:rsidP="00E150D8" w14:paraId="0C807F81" w14:textId="77777777">
      <w:pPr>
        <w:tabs>
          <w:tab w:val="left" w:pos="4680"/>
          <w:tab w:val="center" w:pos="7200"/>
        </w:tabs>
        <w:spacing w:after="0"/>
        <w:jc w:val="center"/>
        <w:rPr>
          <w:sz w:val="36"/>
        </w:rPr>
      </w:pPr>
      <w:bookmarkStart w:id="0" w:name="plaintiff"/>
      <w:bookmarkStart w:id="1" w:name="MarkDocLoc"/>
      <w:bookmarkEnd w:id="0"/>
      <w:bookmarkEnd w:id="1"/>
      <w:r>
        <w:rPr>
          <w:b/>
          <w:sz w:val="36"/>
        </w:rPr>
        <w:t>IN THE SUPREME COURT OF CALIFORNIA</w:t>
      </w:r>
    </w:p>
    <w:p w:rsidR="00E150D8" w:rsidP="00E150D8" w14:paraId="0C807F82" w14:textId="77777777">
      <w:pPr>
        <w:tabs>
          <w:tab w:val="left" w:pos="4680"/>
          <w:tab w:val="center" w:pos="7200"/>
        </w:tabs>
        <w:spacing w:after="0"/>
        <w:jc w:val="center"/>
      </w:pPr>
    </w:p>
    <w:p w:rsidR="00E150D8" w:rsidP="00400375" w14:paraId="0C807F83" w14:textId="77777777">
      <w:pPr>
        <w:tabs>
          <w:tab w:val="left" w:pos="4680"/>
          <w:tab w:val="center" w:pos="7200"/>
        </w:tabs>
        <w:spacing w:after="0"/>
        <w:jc w:val="center"/>
      </w:pPr>
      <w:r>
        <w:t>LISA NIEDERMEIER,</w:t>
      </w:r>
    </w:p>
    <w:p w:rsidR="00E150D8" w:rsidP="00E150D8" w14:paraId="0C807F84" w14:textId="77777777">
      <w:pPr>
        <w:tabs>
          <w:tab w:val="left" w:pos="4680"/>
          <w:tab w:val="center" w:pos="7200"/>
        </w:tabs>
        <w:spacing w:after="0"/>
        <w:jc w:val="center"/>
      </w:pPr>
      <w:r>
        <w:t>Plaintiff and Respondent,</w:t>
      </w:r>
    </w:p>
    <w:p w:rsidR="00E150D8" w:rsidP="00E150D8" w14:paraId="0C807F85" w14:textId="77777777">
      <w:pPr>
        <w:tabs>
          <w:tab w:val="left" w:pos="4680"/>
          <w:tab w:val="center" w:pos="7200"/>
        </w:tabs>
        <w:spacing w:after="0"/>
        <w:jc w:val="center"/>
      </w:pPr>
      <w:r>
        <w:t>v.</w:t>
      </w:r>
    </w:p>
    <w:p w:rsidR="00E150D8" w:rsidP="00E150D8" w14:paraId="0C807F86" w14:textId="77777777">
      <w:pPr>
        <w:tabs>
          <w:tab w:val="left" w:pos="4680"/>
          <w:tab w:val="center" w:pos="7200"/>
        </w:tabs>
        <w:spacing w:after="0"/>
        <w:jc w:val="center"/>
      </w:pPr>
      <w:r>
        <w:t>FCA US LLC,</w:t>
      </w:r>
    </w:p>
    <w:p w:rsidR="00E150D8" w:rsidP="00E150D8" w14:paraId="0C807F87" w14:textId="77777777">
      <w:pPr>
        <w:tabs>
          <w:tab w:val="left" w:pos="4680"/>
          <w:tab w:val="center" w:pos="7200"/>
        </w:tabs>
        <w:spacing w:after="0"/>
        <w:jc w:val="center"/>
      </w:pPr>
      <w:r>
        <w:t>Defendant and Appellant.</w:t>
      </w:r>
    </w:p>
    <w:p w:rsidR="00E150D8" w:rsidP="00E150D8" w14:paraId="0C807F88" w14:textId="77777777">
      <w:pPr>
        <w:tabs>
          <w:tab w:val="left" w:pos="4680"/>
          <w:tab w:val="center" w:pos="7200"/>
        </w:tabs>
        <w:spacing w:after="0"/>
        <w:jc w:val="center"/>
      </w:pPr>
    </w:p>
    <w:p w:rsidR="00E150D8" w:rsidP="00E150D8" w14:paraId="0C807F89" w14:textId="77777777">
      <w:pPr>
        <w:tabs>
          <w:tab w:val="left" w:pos="4680"/>
          <w:tab w:val="center" w:pos="7200"/>
        </w:tabs>
        <w:spacing w:after="0"/>
        <w:jc w:val="center"/>
      </w:pPr>
      <w:r>
        <w:t>S266034</w:t>
      </w:r>
    </w:p>
    <w:p w:rsidR="00E150D8" w:rsidP="00E150D8" w14:paraId="0C807F8A" w14:textId="77777777">
      <w:pPr>
        <w:tabs>
          <w:tab w:val="left" w:pos="4680"/>
          <w:tab w:val="center" w:pos="7200"/>
        </w:tabs>
        <w:spacing w:after="0"/>
        <w:jc w:val="center"/>
      </w:pPr>
    </w:p>
    <w:p w:rsidR="00E150D8" w:rsidP="00E150D8" w14:paraId="0C807F8B" w14:textId="77777777">
      <w:pPr>
        <w:tabs>
          <w:tab w:val="left" w:pos="4680"/>
          <w:tab w:val="center" w:pos="7200"/>
        </w:tabs>
        <w:spacing w:after="0"/>
        <w:jc w:val="center"/>
      </w:pPr>
      <w:r>
        <w:t>Second Appellate District, Division One</w:t>
      </w:r>
    </w:p>
    <w:p w:rsidR="00E150D8" w:rsidP="00E150D8" w14:paraId="0C807F8C" w14:textId="77777777">
      <w:pPr>
        <w:tabs>
          <w:tab w:val="left" w:pos="4680"/>
          <w:tab w:val="center" w:pos="7200"/>
        </w:tabs>
        <w:spacing w:after="0"/>
        <w:jc w:val="center"/>
      </w:pPr>
      <w:r>
        <w:t>B293960</w:t>
      </w:r>
    </w:p>
    <w:p w:rsidR="00E150D8" w:rsidP="00E150D8" w14:paraId="0C807F8D" w14:textId="77777777">
      <w:pPr>
        <w:tabs>
          <w:tab w:val="left" w:pos="4680"/>
          <w:tab w:val="center" w:pos="7200"/>
        </w:tabs>
        <w:spacing w:after="0"/>
        <w:jc w:val="center"/>
      </w:pPr>
    </w:p>
    <w:p w:rsidR="00E150D8" w:rsidP="00E150D8" w14:paraId="0C807F8E" w14:textId="77777777">
      <w:pPr>
        <w:tabs>
          <w:tab w:val="left" w:pos="4680"/>
          <w:tab w:val="center" w:pos="7200"/>
        </w:tabs>
        <w:spacing w:after="0"/>
        <w:jc w:val="center"/>
      </w:pPr>
      <w:r>
        <w:t>Los Angeles County</w:t>
      </w:r>
      <w:r w:rsidR="00400375">
        <w:t xml:space="preserve"> Superior Court</w:t>
      </w:r>
    </w:p>
    <w:p w:rsidR="00E150D8" w:rsidP="00E150D8" w14:paraId="0C807F8F" w14:textId="77777777">
      <w:pPr>
        <w:tabs>
          <w:tab w:val="left" w:pos="4680"/>
          <w:tab w:val="center" w:pos="7200"/>
        </w:tabs>
        <w:spacing w:after="0"/>
        <w:jc w:val="center"/>
      </w:pPr>
      <w:r>
        <w:t>BC638010</w:t>
      </w:r>
    </w:p>
    <w:p w:rsidR="00E150D8" w:rsidP="00E150D8" w14:paraId="0C807F90" w14:textId="77777777">
      <w:pPr>
        <w:pBdr>
          <w:bottom w:val="single" w:sz="4" w:space="1" w:color="auto"/>
        </w:pBdr>
        <w:tabs>
          <w:tab w:val="left" w:pos="4680"/>
          <w:tab w:val="center" w:pos="7200"/>
        </w:tabs>
        <w:spacing w:after="0"/>
        <w:jc w:val="center"/>
      </w:pPr>
    </w:p>
    <w:p w:rsidR="00E150D8" w:rsidP="00E150D8" w14:paraId="0C807F91" w14:textId="77777777">
      <w:pPr>
        <w:tabs>
          <w:tab w:val="left" w:pos="4680"/>
          <w:tab w:val="center" w:pos="7200"/>
        </w:tabs>
        <w:spacing w:after="0"/>
        <w:jc w:val="center"/>
      </w:pPr>
    </w:p>
    <w:p w:rsidR="00E150D8" w:rsidP="00E150D8" w14:paraId="0C807F92" w14:textId="77777777">
      <w:pPr>
        <w:tabs>
          <w:tab w:val="left" w:pos="4680"/>
          <w:tab w:val="center" w:pos="7200"/>
        </w:tabs>
        <w:spacing w:after="0"/>
        <w:jc w:val="center"/>
      </w:pPr>
      <w:r>
        <w:t>March 4, 202</w:t>
      </w:r>
      <w:r w:rsidR="00547ACF">
        <w:t>4</w:t>
      </w:r>
    </w:p>
    <w:p w:rsidR="00E150D8" w:rsidP="00E150D8" w14:paraId="0C807F93" w14:textId="77777777">
      <w:pPr>
        <w:tabs>
          <w:tab w:val="left" w:pos="4680"/>
          <w:tab w:val="center" w:pos="7200"/>
        </w:tabs>
        <w:spacing w:after="0"/>
        <w:jc w:val="center"/>
      </w:pPr>
    </w:p>
    <w:p w:rsidR="00E150D8" w:rsidP="00E150D8" w14:paraId="0C807F94" w14:textId="77777777">
      <w:pPr>
        <w:tabs>
          <w:tab w:val="left" w:pos="4680"/>
          <w:tab w:val="center" w:pos="7200"/>
        </w:tabs>
        <w:spacing w:after="0"/>
        <w:jc w:val="left"/>
      </w:pPr>
      <w:r>
        <w:t xml:space="preserve">Justice Evans authored the opinion of the </w:t>
      </w:r>
      <w:r w:rsidR="003511A6">
        <w:t>C</w:t>
      </w:r>
      <w:r>
        <w:t>ourt</w:t>
      </w:r>
      <w:r w:rsidRPr="008972E7">
        <w:t xml:space="preserve">, in which </w:t>
      </w:r>
      <w:r w:rsidRPr="00A54982" w:rsidR="00A54982">
        <w:t>Chief Justice Guerrero and Justices Corrigan, Liu, Groban, and Jenkins</w:t>
      </w:r>
      <w:r w:rsidRPr="008972E7">
        <w:t xml:space="preserve"> concurred.</w:t>
      </w:r>
    </w:p>
    <w:p w:rsidR="00AB554E" w:rsidP="00E150D8" w14:paraId="0C807F95" w14:textId="77777777">
      <w:pPr>
        <w:tabs>
          <w:tab w:val="left" w:pos="4680"/>
          <w:tab w:val="center" w:pos="7200"/>
        </w:tabs>
        <w:spacing w:after="0"/>
        <w:jc w:val="left"/>
      </w:pPr>
    </w:p>
    <w:p w:rsidR="00AB554E" w:rsidP="00E150D8" w14:paraId="0C807F96" w14:textId="77777777">
      <w:pPr>
        <w:tabs>
          <w:tab w:val="left" w:pos="4680"/>
          <w:tab w:val="center" w:pos="7200"/>
        </w:tabs>
        <w:spacing w:after="0"/>
        <w:jc w:val="left"/>
      </w:pPr>
      <w:r>
        <w:t>Justice Kruger filed a concurring opinion, in which Justices Groban and Jenkins concurred.</w:t>
      </w:r>
    </w:p>
    <w:p w:rsidR="00E150D8" w:rsidRPr="00E150D8" w:rsidP="00E150D8" w14:paraId="0C807F98" w14:textId="77777777">
      <w:pPr>
        <w:pBdr>
          <w:bottom w:val="single" w:sz="4" w:space="1" w:color="auto"/>
        </w:pBdr>
        <w:tabs>
          <w:tab w:val="left" w:pos="4680"/>
          <w:tab w:val="center" w:pos="7200"/>
        </w:tabs>
        <w:spacing w:line="240" w:lineRule="atLeast"/>
        <w:jc w:val="left"/>
      </w:pPr>
      <w:bookmarkStart w:id="2" w:name="Return"/>
      <w:bookmarkEnd w:id="2"/>
    </w:p>
    <w:p w:rsidR="00E150D8" w14:paraId="0C807F99" w14:textId="77777777">
      <w:pPr>
        <w:tabs>
          <w:tab w:val="left" w:pos="4680"/>
          <w:tab w:val="center" w:pos="7200"/>
        </w:tabs>
        <w:spacing w:line="240" w:lineRule="atLeast"/>
        <w:sectPr w:rsidSect="00E150D8">
          <w:headerReference w:type="default" r:id="rId6"/>
          <w:footerReference w:type="default" r:id="rId7"/>
          <w:pgSz w:w="12240" w:h="15840"/>
          <w:pgMar w:top="1800" w:right="2160" w:bottom="1440" w:left="2160" w:header="720" w:footer="720" w:gutter="0"/>
          <w:cols w:space="720"/>
          <w:titlePg/>
          <w:docGrid w:linePitch="367"/>
        </w:sectPr>
      </w:pPr>
    </w:p>
    <w:p w:rsidR="00E150D8" w:rsidP="00E150D8" w14:paraId="0C807F9A" w14:textId="77777777">
      <w:pPr>
        <w:tabs>
          <w:tab w:val="left" w:pos="4680"/>
          <w:tab w:val="center" w:pos="7200"/>
        </w:tabs>
        <w:jc w:val="center"/>
      </w:pPr>
      <w:r>
        <w:t>NIEDERMEIER v. FCA US LLC</w:t>
      </w:r>
    </w:p>
    <w:p w:rsidR="00E150D8" w:rsidP="00E150D8" w14:paraId="0C807F9B" w14:textId="77777777">
      <w:pPr>
        <w:tabs>
          <w:tab w:val="left" w:pos="4680"/>
          <w:tab w:val="center" w:pos="7200"/>
        </w:tabs>
        <w:jc w:val="center"/>
      </w:pPr>
      <w:r>
        <w:t>S266034</w:t>
      </w:r>
    </w:p>
    <w:p w:rsidR="00E150D8" w:rsidP="00E150D8" w14:paraId="0C807F9C" w14:textId="77777777">
      <w:pPr>
        <w:tabs>
          <w:tab w:val="left" w:pos="4680"/>
          <w:tab w:val="center" w:pos="7200"/>
        </w:tabs>
        <w:jc w:val="center"/>
      </w:pPr>
    </w:p>
    <w:p w:rsidR="00E150D8" w:rsidP="00E150D8" w14:paraId="0C807F9D" w14:textId="77777777">
      <w:pPr>
        <w:tabs>
          <w:tab w:val="left" w:pos="4680"/>
          <w:tab w:val="center" w:pos="7200"/>
        </w:tabs>
        <w:jc w:val="center"/>
      </w:pPr>
      <w:r>
        <w:t>Opinion of the Court by Evans, J.</w:t>
      </w:r>
    </w:p>
    <w:p w:rsidR="00E150D8" w:rsidRPr="00E150D8" w:rsidP="00E150D8" w14:paraId="0C807F9E" w14:textId="77777777">
      <w:pPr>
        <w:tabs>
          <w:tab w:val="left" w:pos="1440"/>
        </w:tabs>
        <w:rPr>
          <w:b/>
          <w:caps/>
        </w:rPr>
      </w:pPr>
      <w:bookmarkStart w:id="3" w:name="LD"/>
      <w:bookmarkStart w:id="4" w:name="casenum"/>
      <w:bookmarkStart w:id="5" w:name="appealnum"/>
      <w:bookmarkStart w:id="6" w:name="defendant"/>
      <w:bookmarkStart w:id="7" w:name="county"/>
      <w:bookmarkStart w:id="8" w:name="VD"/>
      <w:bookmarkStart w:id="9" w:name="supernum"/>
      <w:bookmarkStart w:id="10" w:name="justice"/>
      <w:bookmarkEnd w:id="3"/>
      <w:bookmarkEnd w:id="4"/>
      <w:bookmarkEnd w:id="5"/>
      <w:bookmarkEnd w:id="6"/>
      <w:bookmarkEnd w:id="7"/>
      <w:bookmarkEnd w:id="8"/>
      <w:bookmarkEnd w:id="9"/>
      <w:bookmarkEnd w:id="10"/>
    </w:p>
    <w:p w:rsidR="00C93549" w:rsidRPr="00E150D8" w:rsidP="00E150D8" w14:paraId="0C807F9F" w14:textId="77777777">
      <w:pPr>
        <w:tabs>
          <w:tab w:val="left" w:pos="1440"/>
        </w:tabs>
        <w:ind w:firstLine="720"/>
      </w:pPr>
      <w:bookmarkStart w:id="11" w:name="mainstory"/>
      <w:bookmarkEnd w:id="11"/>
      <w:r w:rsidRPr="00E150D8">
        <w:t>California</w:t>
      </w:r>
      <w:r w:rsidR="002F508B">
        <w:t xml:space="preserve">’s </w:t>
      </w:r>
      <w:r w:rsidR="00DC6C30">
        <w:t>l</w:t>
      </w:r>
      <w:r w:rsidRPr="00E150D8">
        <w:t xml:space="preserve">emon </w:t>
      </w:r>
      <w:r w:rsidR="00DC6C30">
        <w:t>l</w:t>
      </w:r>
      <w:r w:rsidRPr="00E150D8">
        <w:t>aw protec</w:t>
      </w:r>
      <w:r w:rsidRPr="00E150D8" w:rsidR="00D24A0D">
        <w:t>t</w:t>
      </w:r>
      <w:r w:rsidR="002F508B">
        <w:t>s</w:t>
      </w:r>
      <w:r w:rsidRPr="00E150D8" w:rsidR="00D24A0D">
        <w:t xml:space="preserve"> </w:t>
      </w:r>
      <w:r w:rsidRPr="00E150D8">
        <w:t xml:space="preserve">consumers </w:t>
      </w:r>
      <w:r w:rsidRPr="00E150D8" w:rsidR="00B07F32">
        <w:t xml:space="preserve">who </w:t>
      </w:r>
      <w:r w:rsidRPr="00E150D8">
        <w:t>purchase defective vehicle</w:t>
      </w:r>
      <w:r w:rsidR="000F729F">
        <w:t>s</w:t>
      </w:r>
      <w:r w:rsidRPr="00E150D8" w:rsidR="00034C47">
        <w:t xml:space="preserve"> or other goods</w:t>
      </w:r>
      <w:r w:rsidRPr="00E150D8">
        <w:t xml:space="preserve">. </w:t>
      </w:r>
      <w:r w:rsidRPr="00E150D8" w:rsidR="00E95BB6">
        <w:t xml:space="preserve"> </w:t>
      </w:r>
      <w:r w:rsidRPr="00E150D8">
        <w:t xml:space="preserve">The </w:t>
      </w:r>
      <w:r w:rsidR="00DC6C30">
        <w:t>l</w:t>
      </w:r>
      <w:r w:rsidRPr="00E150D8">
        <w:t xml:space="preserve">emon </w:t>
      </w:r>
      <w:r w:rsidR="00DC6C30">
        <w:t>l</w:t>
      </w:r>
      <w:r w:rsidRPr="00E150D8">
        <w:t xml:space="preserve">aw, </w:t>
      </w:r>
      <w:r w:rsidRPr="00E150D8" w:rsidR="00D60D80">
        <w:t xml:space="preserve">officially known as </w:t>
      </w:r>
      <w:r w:rsidRPr="00E150D8">
        <w:t>t</w:t>
      </w:r>
      <w:r w:rsidRPr="00E150D8" w:rsidR="00D217C3">
        <w:t>he Song</w:t>
      </w:r>
      <w:r w:rsidR="0099608A">
        <w:t>-</w:t>
      </w:r>
      <w:r w:rsidRPr="00E150D8" w:rsidR="00D217C3">
        <w:t>Beverly Consumer Warranty Act (</w:t>
      </w:r>
      <w:r w:rsidRPr="00E150D8" w:rsidR="00E85ECE">
        <w:t>Civ. Code, §</w:t>
      </w:r>
      <w:r w:rsidRPr="00E150D8" w:rsidR="00A426F6">
        <w:t> </w:t>
      </w:r>
      <w:r w:rsidRPr="00E150D8" w:rsidR="00E85ECE">
        <w:t>1791 et seq.;</w:t>
      </w:r>
      <w:r>
        <w:rPr>
          <w:b/>
          <w:vertAlign w:val="superscript"/>
        </w:rPr>
        <w:footnoteReference w:id="3"/>
      </w:r>
      <w:r w:rsidRPr="00E150D8" w:rsidR="00E85ECE">
        <w:t xml:space="preserve"> </w:t>
      </w:r>
      <w:r w:rsidRPr="00E150D8" w:rsidR="00D217C3">
        <w:t>hereafter the Act or the Song</w:t>
      </w:r>
      <w:r w:rsidR="0099608A">
        <w:t>-</w:t>
      </w:r>
      <w:r w:rsidRPr="00E150D8" w:rsidR="00D217C3">
        <w:t>Beverly Act)</w:t>
      </w:r>
      <w:r w:rsidR="000F729F">
        <w:t>,</w:t>
      </w:r>
      <w:r w:rsidRPr="00E150D8" w:rsidR="00D217C3">
        <w:t xml:space="preserve"> </w:t>
      </w:r>
      <w:r w:rsidR="00CF1F98">
        <w:t>per</w:t>
      </w:r>
      <w:r w:rsidR="00B30920">
        <w:t xml:space="preserve">mits </w:t>
      </w:r>
      <w:r w:rsidR="002F508B">
        <w:t xml:space="preserve">new vehicle </w:t>
      </w:r>
      <w:r w:rsidR="00C45DD5">
        <w:t>buyer</w:t>
      </w:r>
      <w:r w:rsidR="0080146D">
        <w:t>s</w:t>
      </w:r>
      <w:r w:rsidR="00E05486">
        <w:t xml:space="preserve"> </w:t>
      </w:r>
      <w:r w:rsidR="00D75EAE">
        <w:t>who ha</w:t>
      </w:r>
      <w:r w:rsidR="0080146D">
        <w:t>ve</w:t>
      </w:r>
      <w:r w:rsidR="00D75EAE">
        <w:t xml:space="preserve"> been damaged by </w:t>
      </w:r>
      <w:r w:rsidR="005F3EF3">
        <w:t xml:space="preserve">a manufacturer’s failure to </w:t>
      </w:r>
      <w:r w:rsidR="00487AB2">
        <w:t xml:space="preserve">comply </w:t>
      </w:r>
      <w:r w:rsidR="0080146D">
        <w:t xml:space="preserve">with the Act </w:t>
      </w:r>
      <w:r w:rsidR="00487AB2">
        <w:t xml:space="preserve">to </w:t>
      </w:r>
      <w:r w:rsidR="0080146D">
        <w:t xml:space="preserve">sue under </w:t>
      </w:r>
      <w:r w:rsidR="000D7C71">
        <w:t xml:space="preserve">section 1794 </w:t>
      </w:r>
      <w:r w:rsidR="009173A6">
        <w:t>for the recovery of damages</w:t>
      </w:r>
      <w:r w:rsidR="00681B00">
        <w:t xml:space="preserve"> a</w:t>
      </w:r>
      <w:r w:rsidR="005B7C9D">
        <w:t>nd other relief</w:t>
      </w:r>
      <w:r w:rsidR="009173A6">
        <w:t>.  (§</w:t>
      </w:r>
      <w:r w:rsidR="001525CA">
        <w:t> </w:t>
      </w:r>
      <w:r w:rsidR="009173A6">
        <w:t>1794, subd. (a).)</w:t>
      </w:r>
      <w:r w:rsidR="0080146D">
        <w:t xml:space="preserve">  </w:t>
      </w:r>
      <w:r w:rsidR="00CE76FB">
        <w:t>The measure of</w:t>
      </w:r>
      <w:r w:rsidR="00D8348B">
        <w:t xml:space="preserve"> </w:t>
      </w:r>
      <w:r w:rsidR="00313CA2">
        <w:t xml:space="preserve">a </w:t>
      </w:r>
      <w:r w:rsidR="00CE76FB">
        <w:t>buyer’s damages in such an action include</w:t>
      </w:r>
      <w:r w:rsidR="00DD04AD">
        <w:t>s</w:t>
      </w:r>
      <w:r w:rsidR="00D8348B">
        <w:t xml:space="preserve"> “</w:t>
      </w:r>
      <w:r w:rsidR="00CE13B5">
        <w:t>replacement or reimbursement as set forth in subdivision (d) of Section 1793.2</w:t>
      </w:r>
      <w:r w:rsidR="0035022E">
        <w:t> </w:t>
      </w:r>
      <w:r w:rsidR="00F07298">
        <w:t>.</w:t>
      </w:r>
      <w:r w:rsidR="0035022E">
        <w:t> </w:t>
      </w:r>
      <w:r w:rsidR="00F07298">
        <w:t>.</w:t>
      </w:r>
      <w:r w:rsidR="0035022E">
        <w:t> </w:t>
      </w:r>
      <w:r w:rsidR="00F07298">
        <w:t>.</w:t>
      </w:r>
      <w:r w:rsidR="0035022E">
        <w:t> </w:t>
      </w:r>
      <w:r w:rsidR="00F07298">
        <w:t>.”  (</w:t>
      </w:r>
      <w:r w:rsidR="00F07298">
        <w:rPr>
          <w:i/>
          <w:iCs/>
        </w:rPr>
        <w:t>Id.</w:t>
      </w:r>
      <w:r w:rsidR="00F07298">
        <w:t>, subd.</w:t>
      </w:r>
      <w:r w:rsidR="001525CA">
        <w:t> </w:t>
      </w:r>
      <w:r w:rsidR="00F07298">
        <w:t xml:space="preserve">(b).)  </w:t>
      </w:r>
      <w:r w:rsidR="00313CA2">
        <w:t xml:space="preserve">If a manufacturer is unable to repair a new vehicle after a reasonable number of attempts, </w:t>
      </w:r>
      <w:r w:rsidR="005A7ED1">
        <w:t>s</w:t>
      </w:r>
      <w:r w:rsidR="00C334E9">
        <w:t>ection 179</w:t>
      </w:r>
      <w:r w:rsidR="00B1742B">
        <w:t>3.2, subdivision (d)</w:t>
      </w:r>
      <w:r w:rsidR="0080146D">
        <w:t xml:space="preserve"> </w:t>
      </w:r>
      <w:r w:rsidR="009306AA">
        <w:t>requires</w:t>
      </w:r>
      <w:r w:rsidRPr="00E150D8" w:rsidR="005C6DE8">
        <w:t xml:space="preserve"> </w:t>
      </w:r>
      <w:r w:rsidR="00434D72">
        <w:t xml:space="preserve">the </w:t>
      </w:r>
      <w:r w:rsidRPr="00E150D8" w:rsidR="004108DC">
        <w:t xml:space="preserve">manufacturer </w:t>
      </w:r>
      <w:r w:rsidR="009306AA">
        <w:t xml:space="preserve">to </w:t>
      </w:r>
      <w:r w:rsidRPr="00E150D8" w:rsidR="004536FB">
        <w:t xml:space="preserve">promptly replace </w:t>
      </w:r>
      <w:r w:rsidR="00313CA2">
        <w:t xml:space="preserve">the </w:t>
      </w:r>
      <w:r w:rsidRPr="00E150D8" w:rsidR="004536FB">
        <w:t xml:space="preserve">vehicle or promptly </w:t>
      </w:r>
      <w:r w:rsidR="002F508B">
        <w:t>pay</w:t>
      </w:r>
      <w:r w:rsidRPr="00E150D8" w:rsidR="004536FB">
        <w:t xml:space="preserve"> restitution </w:t>
      </w:r>
      <w:r w:rsidRPr="00E150D8" w:rsidR="005C6DE8">
        <w:t>“in an amount equal to the actual price paid or payable by the buyer</w:t>
      </w:r>
      <w:r w:rsidRPr="00E150D8" w:rsidR="003F4630">
        <w:t>,</w:t>
      </w:r>
      <w:r w:rsidR="002F508B">
        <w:t>” as specified.</w:t>
      </w:r>
      <w:r w:rsidRPr="00E150D8" w:rsidR="005C6DE8">
        <w:t xml:space="preserve"> </w:t>
      </w:r>
      <w:r w:rsidR="002F508B">
        <w:t xml:space="preserve"> </w:t>
      </w:r>
      <w:r w:rsidRPr="00E150D8" w:rsidR="005C6DE8">
        <w:t>(</w:t>
      </w:r>
      <w:r w:rsidRPr="00E150D8" w:rsidR="00BF14D3">
        <w:rPr>
          <w:i/>
          <w:iCs/>
        </w:rPr>
        <w:t>Id.</w:t>
      </w:r>
      <w:r w:rsidRPr="00E150D8" w:rsidR="00BF14D3">
        <w:t xml:space="preserve">, </w:t>
      </w:r>
      <w:r w:rsidRPr="00E150D8" w:rsidR="005C6DE8">
        <w:t>subd.</w:t>
      </w:r>
      <w:r w:rsidRPr="00E150D8" w:rsidR="00AE3868">
        <w:t> </w:t>
      </w:r>
      <w:r w:rsidRPr="00E150D8" w:rsidR="005C6DE8">
        <w:t xml:space="preserve">(d)(2)(B).)  </w:t>
      </w:r>
      <w:r w:rsidRPr="00E150D8" w:rsidR="00C95A7F">
        <w:t>The manufacturer</w:t>
      </w:r>
      <w:r w:rsidR="00313CA2">
        <w:t xml:space="preserve"> is entitled to reduce </w:t>
      </w:r>
      <w:r w:rsidRPr="00E150D8" w:rsidR="00632DA9">
        <w:t>the amount of restitution by the “</w:t>
      </w:r>
      <w:r w:rsidRPr="00E150D8" w:rsidR="00C95A7F">
        <w:t>amount directly attributable</w:t>
      </w:r>
      <w:r w:rsidRPr="00E150D8" w:rsidR="00632DA9">
        <w:t xml:space="preserve">” to the buyer’s use of the vehicle </w:t>
      </w:r>
      <w:r w:rsidR="00313CA2">
        <w:t xml:space="preserve">prior to </w:t>
      </w:r>
      <w:r w:rsidRPr="00E150D8" w:rsidR="00632DA9">
        <w:t xml:space="preserve">the time the buyer first delivered the vehicle </w:t>
      </w:r>
      <w:r w:rsidR="00313CA2">
        <w:t>for repair</w:t>
      </w:r>
      <w:r w:rsidRPr="00E150D8" w:rsidR="00632DA9">
        <w:t>.  (</w:t>
      </w:r>
      <w:r w:rsidRPr="00E150D8" w:rsidR="00755DF8">
        <w:rPr>
          <w:i/>
          <w:iCs/>
        </w:rPr>
        <w:t>Id.</w:t>
      </w:r>
      <w:r w:rsidRPr="00E150D8" w:rsidR="00755DF8">
        <w:t>,</w:t>
      </w:r>
      <w:r w:rsidRPr="00E150D8" w:rsidR="00632DA9">
        <w:t xml:space="preserve"> subd.</w:t>
      </w:r>
      <w:r w:rsidR="006E4E92">
        <w:t> </w:t>
      </w:r>
      <w:r w:rsidRPr="00E150D8" w:rsidR="008C6CA4">
        <w:t>(d)(1</w:t>
      </w:r>
      <w:r w:rsidRPr="00E150D8" w:rsidR="00FE0D18">
        <w:t xml:space="preserve">); </w:t>
      </w:r>
      <w:r w:rsidRPr="00E150D8" w:rsidR="00755DF8">
        <w:t xml:space="preserve">see also </w:t>
      </w:r>
      <w:r w:rsidRPr="00E150D8" w:rsidR="00755DF8">
        <w:rPr>
          <w:i/>
          <w:iCs/>
        </w:rPr>
        <w:t>id.</w:t>
      </w:r>
      <w:r w:rsidRPr="00E150D8" w:rsidR="00755DF8">
        <w:t>, subd.</w:t>
      </w:r>
      <w:r w:rsidRPr="00E150D8" w:rsidR="00A516F2">
        <w:t> </w:t>
      </w:r>
      <w:r w:rsidRPr="00E150D8" w:rsidR="00632DA9">
        <w:t>(d)(2)(C).)</w:t>
      </w:r>
    </w:p>
    <w:p w:rsidR="0080146D" w:rsidP="00E150D8" w14:paraId="0C807FA0" w14:textId="77777777">
      <w:pPr>
        <w:tabs>
          <w:tab w:val="left" w:pos="1440"/>
        </w:tabs>
        <w:ind w:firstLine="720"/>
      </w:pPr>
      <w:r w:rsidRPr="00E150D8">
        <w:t>The question</w:t>
      </w:r>
      <w:r w:rsidRPr="00E150D8" w:rsidR="00E11FBF">
        <w:t>s</w:t>
      </w:r>
      <w:r w:rsidRPr="00E150D8">
        <w:t xml:space="preserve"> before us </w:t>
      </w:r>
      <w:r w:rsidRPr="00E150D8" w:rsidR="00E11FBF">
        <w:t>are</w:t>
      </w:r>
      <w:r w:rsidRPr="00E150D8">
        <w:t xml:space="preserve"> whether</w:t>
      </w:r>
      <w:r w:rsidR="0005264A">
        <w:t>, in an action under section 1794,</w:t>
      </w:r>
      <w:r w:rsidRPr="00E150D8">
        <w:t xml:space="preserve"> </w:t>
      </w:r>
      <w:r w:rsidRPr="00E150D8" w:rsidR="008B1B9A">
        <w:t>the statutor</w:t>
      </w:r>
      <w:r w:rsidR="00311372">
        <w:t>il</w:t>
      </w:r>
      <w:r w:rsidRPr="00E150D8" w:rsidR="008B1B9A">
        <w:t>y</w:t>
      </w:r>
      <w:r w:rsidR="00311372">
        <w:t>-defined</w:t>
      </w:r>
      <w:r w:rsidRPr="00E150D8" w:rsidR="008B1B9A">
        <w:t xml:space="preserve"> </w:t>
      </w:r>
      <w:r w:rsidR="0005264A">
        <w:t xml:space="preserve">measure of </w:t>
      </w:r>
      <w:r w:rsidRPr="00E150D8" w:rsidR="008B1B9A">
        <w:t>restitution set forth in section</w:t>
      </w:r>
      <w:r w:rsidRPr="00E150D8" w:rsidR="00F17DBA">
        <w:t> </w:t>
      </w:r>
      <w:r w:rsidRPr="00E150D8" w:rsidR="008B1B9A">
        <w:t>1793.2, subdivision</w:t>
      </w:r>
      <w:r w:rsidRPr="00E150D8" w:rsidR="00F17DBA">
        <w:t> </w:t>
      </w:r>
      <w:r w:rsidRPr="00E150D8" w:rsidR="008B1B9A">
        <w:t xml:space="preserve">(d)(2) </w:t>
      </w:r>
      <w:r w:rsidRPr="00E150D8" w:rsidR="00DF1F09">
        <w:t xml:space="preserve">(hereafter sometimes referred to as the statutory restitution remedy) </w:t>
      </w:r>
      <w:r w:rsidRPr="00E150D8" w:rsidR="008B1B9A">
        <w:t xml:space="preserve">must be </w:t>
      </w:r>
      <w:r w:rsidRPr="00E150D8" w:rsidR="007A1D7D">
        <w:t xml:space="preserve">reduced by </w:t>
      </w:r>
      <w:r w:rsidRPr="00E150D8" w:rsidR="000163A3">
        <w:t xml:space="preserve">proceeds </w:t>
      </w:r>
      <w:r w:rsidRPr="00E150D8" w:rsidR="00E2663D">
        <w:t xml:space="preserve">a </w:t>
      </w:r>
      <w:r w:rsidRPr="00E150D8" w:rsidR="001C342A">
        <w:t xml:space="preserve">buyer </w:t>
      </w:r>
      <w:r w:rsidRPr="00E150D8" w:rsidR="001B6499">
        <w:t xml:space="preserve">has received </w:t>
      </w:r>
      <w:r w:rsidRPr="00E150D8" w:rsidR="00A26425">
        <w:t xml:space="preserve">when trading in </w:t>
      </w:r>
      <w:r w:rsidRPr="00E150D8" w:rsidR="000163A3">
        <w:t xml:space="preserve">or selling </w:t>
      </w:r>
      <w:r w:rsidRPr="00E150D8" w:rsidR="00A26425">
        <w:t>a defective vehicle</w:t>
      </w:r>
      <w:r w:rsidRPr="00E150D8" w:rsidR="00395E05">
        <w:t xml:space="preserve"> and</w:t>
      </w:r>
      <w:r w:rsidRPr="00E150D8" w:rsidR="00B07F32">
        <w:t>,</w:t>
      </w:r>
      <w:r w:rsidRPr="00E150D8" w:rsidR="00395E05">
        <w:t xml:space="preserve"> if so, whether the reduction should </w:t>
      </w:r>
      <w:r w:rsidRPr="00E150D8" w:rsidR="008D5944">
        <w:t xml:space="preserve">be assessed </w:t>
      </w:r>
      <w:r w:rsidRPr="00E150D8" w:rsidR="0089481F">
        <w:t>before or after penalties are calculated.</w:t>
      </w:r>
      <w:r>
        <w:rPr>
          <w:rStyle w:val="FootnoteReference"/>
        </w:rPr>
        <w:footnoteReference w:id="4"/>
      </w:r>
      <w:r w:rsidRPr="00E150D8" w:rsidR="0089481F">
        <w:t xml:space="preserve">  </w:t>
      </w:r>
      <w:r w:rsidRPr="00E150D8" w:rsidR="00F7667E">
        <w:t xml:space="preserve">The Court of Appeal </w:t>
      </w:r>
      <w:r w:rsidRPr="00E150D8" w:rsidR="00AA6CEC">
        <w:t xml:space="preserve">below </w:t>
      </w:r>
      <w:r w:rsidRPr="00E150D8" w:rsidR="00F7667E">
        <w:t xml:space="preserve">held that the </w:t>
      </w:r>
      <w:r w:rsidRPr="00E150D8" w:rsidR="008C7EF6">
        <w:t xml:space="preserve">statutory </w:t>
      </w:r>
      <w:r w:rsidRPr="00E150D8" w:rsidR="00F7667E">
        <w:t>restitution remedy</w:t>
      </w:r>
      <w:r w:rsidRPr="00E150D8" w:rsidR="008C7EF6">
        <w:t xml:space="preserve"> </w:t>
      </w:r>
      <w:r w:rsidR="00311372">
        <w:t>did</w:t>
      </w:r>
      <w:r w:rsidRPr="00E150D8" w:rsidR="00CA7863">
        <w:t xml:space="preserve"> not include</w:t>
      </w:r>
      <w:r w:rsidRPr="00E150D8" w:rsidR="007F394D">
        <w:t xml:space="preserve"> </w:t>
      </w:r>
      <w:r w:rsidRPr="00E150D8" w:rsidR="00C00CCE">
        <w:t>the</w:t>
      </w:r>
      <w:r w:rsidRPr="00E150D8" w:rsidR="00B070AD">
        <w:t xml:space="preserve"> amount</w:t>
      </w:r>
      <w:r w:rsidRPr="00E150D8" w:rsidR="00770A1D">
        <w:t xml:space="preserve"> </w:t>
      </w:r>
      <w:r w:rsidRPr="00E150D8" w:rsidR="00F7667E">
        <w:t>a plaintiff recover</w:t>
      </w:r>
      <w:r w:rsidRPr="00E150D8" w:rsidR="006168A5">
        <w:t>ed</w:t>
      </w:r>
      <w:r w:rsidRPr="00E150D8" w:rsidR="00C000A0">
        <w:t xml:space="preserve"> after</w:t>
      </w:r>
      <w:r w:rsidRPr="00E150D8" w:rsidR="006168A5">
        <w:t xml:space="preserve"> </w:t>
      </w:r>
      <w:r w:rsidRPr="00E150D8" w:rsidR="00F7667E">
        <w:t xml:space="preserve">trading in </w:t>
      </w:r>
      <w:r w:rsidR="009306AA">
        <w:t>a</w:t>
      </w:r>
      <w:r w:rsidRPr="00E150D8" w:rsidR="00EB1E01">
        <w:t xml:space="preserve"> defective vehicle</w:t>
      </w:r>
      <w:r w:rsidRPr="00E150D8" w:rsidR="00835666">
        <w:t xml:space="preserve">, and </w:t>
      </w:r>
      <w:r w:rsidRPr="00E150D8" w:rsidR="00B65F26">
        <w:t xml:space="preserve">thus </w:t>
      </w:r>
      <w:r w:rsidRPr="00E150D8" w:rsidR="001B50E6">
        <w:t xml:space="preserve">reduced the </w:t>
      </w:r>
      <w:r w:rsidR="00340CEA">
        <w:t xml:space="preserve">plaintiff’s </w:t>
      </w:r>
      <w:r w:rsidRPr="00E150D8" w:rsidR="001B50E6">
        <w:t>damages award by th</w:t>
      </w:r>
      <w:r w:rsidRPr="00E150D8" w:rsidR="00DC09B6">
        <w:t>e trade-in</w:t>
      </w:r>
      <w:r w:rsidRPr="00E150D8" w:rsidR="001B50E6">
        <w:t xml:space="preserve"> amount</w:t>
      </w:r>
      <w:r w:rsidRPr="00E150D8" w:rsidR="00E60722">
        <w:t xml:space="preserve"> (here, $19,000).</w:t>
      </w:r>
      <w:r w:rsidRPr="00E150D8" w:rsidR="00F7667E">
        <w:t xml:space="preserve">  </w:t>
      </w:r>
      <w:r w:rsidRPr="00E150D8" w:rsidR="00835666">
        <w:t>(</w:t>
      </w:r>
      <w:r w:rsidRPr="00E150D8" w:rsidR="00835666">
        <w:rPr>
          <w:i/>
          <w:iCs/>
        </w:rPr>
        <w:t>Niedermeier v. FCA US LLC</w:t>
      </w:r>
      <w:r w:rsidRPr="00E150D8" w:rsidR="00835666">
        <w:t xml:space="preserve"> (2020) 56 Cal.App.5th 1052, 1060, 1061 (</w:t>
      </w:r>
      <w:r w:rsidRPr="00E150D8" w:rsidR="00835666">
        <w:rPr>
          <w:i/>
          <w:iCs/>
        </w:rPr>
        <w:t>Niedermeier</w:t>
      </w:r>
      <w:r w:rsidRPr="00E150D8" w:rsidR="00835666">
        <w:t xml:space="preserve">).)  </w:t>
      </w:r>
    </w:p>
    <w:p w:rsidR="005C6DE8" w:rsidP="005F7B89" w14:paraId="0C807FA1" w14:textId="77777777">
      <w:pPr>
        <w:tabs>
          <w:tab w:val="left" w:pos="1440"/>
        </w:tabs>
        <w:ind w:firstLine="720"/>
      </w:pPr>
      <w:r>
        <w:t>W</w:t>
      </w:r>
      <w:r w:rsidR="004A3AA3">
        <w:t>e</w:t>
      </w:r>
      <w:r w:rsidRPr="00E150D8" w:rsidR="003B37B2">
        <w:t xml:space="preserve"> </w:t>
      </w:r>
      <w:r w:rsidRPr="00E150D8" w:rsidR="00AA1AE0">
        <w:t>conclude</w:t>
      </w:r>
      <w:r w:rsidRPr="00E150D8" w:rsidR="003B37B2">
        <w:t xml:space="preserve"> that</w:t>
      </w:r>
      <w:r w:rsidRPr="00E150D8" w:rsidR="00315605">
        <w:t xml:space="preserve"> </w:t>
      </w:r>
      <w:r w:rsidRPr="006E0FB1" w:rsidR="003A4E62">
        <w:t xml:space="preserve">in an action </w:t>
      </w:r>
      <w:r w:rsidRPr="006E0FB1" w:rsidR="008236D3">
        <w:t>pursuant to section 1794</w:t>
      </w:r>
      <w:r w:rsidR="00B90569">
        <w:t>,</w:t>
      </w:r>
      <w:r w:rsidR="008236D3">
        <w:t xml:space="preserve"> </w:t>
      </w:r>
      <w:r w:rsidRPr="00E150D8" w:rsidR="00A24FCB">
        <w:t xml:space="preserve">neither </w:t>
      </w:r>
      <w:r w:rsidRPr="00C447F7" w:rsidR="00315605">
        <w:t>a trade-in</w:t>
      </w:r>
      <w:r w:rsidRPr="00C447F7" w:rsidR="009F1CB6">
        <w:t xml:space="preserve"> </w:t>
      </w:r>
      <w:r w:rsidRPr="00C447F7" w:rsidR="005246F4">
        <w:t>credit</w:t>
      </w:r>
      <w:r w:rsidR="005246F4">
        <w:t xml:space="preserve"> </w:t>
      </w:r>
      <w:r w:rsidRPr="00E150D8" w:rsidR="00A24FCB">
        <w:t>n</w:t>
      </w:r>
      <w:r w:rsidRPr="00E150D8" w:rsidR="009F1CB6">
        <w:t>or sale proceeds</w:t>
      </w:r>
      <w:r w:rsidRPr="00E150D8" w:rsidR="00315605">
        <w:t xml:space="preserve"> reduce</w:t>
      </w:r>
      <w:r w:rsidRPr="00E150D8" w:rsidR="006F6493">
        <w:t xml:space="preserve"> the</w:t>
      </w:r>
      <w:r w:rsidRPr="00E150D8" w:rsidR="00F31FC6">
        <w:t xml:space="preserve"> </w:t>
      </w:r>
      <w:r w:rsidRPr="00E150D8" w:rsidR="00712558">
        <w:t xml:space="preserve">statutory </w:t>
      </w:r>
      <w:r w:rsidRPr="00E150D8" w:rsidR="00F31FC6">
        <w:t>restitution remedy</w:t>
      </w:r>
      <w:r w:rsidR="00790CC7">
        <w:t xml:space="preserve"> </w:t>
      </w:r>
      <w:r w:rsidR="004C5B66">
        <w:t>set forth in section 1793.2, subdivision (d)(2)</w:t>
      </w:r>
      <w:r w:rsidR="00E55FE2">
        <w:t xml:space="preserve"> </w:t>
      </w:r>
      <w:r w:rsidR="00790CC7">
        <w:t xml:space="preserve">at least where, as here, a consumer has been forced to trade in or sell a defective vehicle due to the manufacturer’s failure </w:t>
      </w:r>
      <w:r w:rsidRPr="00E150D8" w:rsidR="007F08E1">
        <w:t>to comply with the Act</w:t>
      </w:r>
      <w:r w:rsidRPr="00E150D8" w:rsidR="00712558">
        <w:t>.</w:t>
      </w:r>
      <w:r w:rsidRPr="00E150D8" w:rsidR="00F67105">
        <w:t xml:space="preserve">  </w:t>
      </w:r>
      <w:r w:rsidRPr="00E150D8" w:rsidR="007B7E20">
        <w:t xml:space="preserve">Given </w:t>
      </w:r>
      <w:r w:rsidRPr="00E150D8" w:rsidR="00F67105">
        <w:t xml:space="preserve">this conclusion, </w:t>
      </w:r>
      <w:r w:rsidRPr="00E150D8" w:rsidR="00B438C8">
        <w:t xml:space="preserve">we </w:t>
      </w:r>
      <w:r w:rsidR="00963573">
        <w:t xml:space="preserve">do </w:t>
      </w:r>
      <w:r w:rsidRPr="00E150D8" w:rsidR="00F67105">
        <w:t xml:space="preserve">not </w:t>
      </w:r>
      <w:r w:rsidRPr="00E150D8" w:rsidR="007B7E20">
        <w:t xml:space="preserve">reach the issue of </w:t>
      </w:r>
      <w:r w:rsidRPr="00E150D8" w:rsidR="005838AD">
        <w:t xml:space="preserve">when </w:t>
      </w:r>
      <w:r w:rsidR="00BD6096">
        <w:t xml:space="preserve">such </w:t>
      </w:r>
      <w:r w:rsidRPr="00E150D8" w:rsidR="00E85ECE">
        <w:t>a</w:t>
      </w:r>
      <w:r w:rsidRPr="00E150D8" w:rsidR="005838AD">
        <w:t xml:space="preserve"> </w:t>
      </w:r>
      <w:r w:rsidR="00BD6096">
        <w:t>r</w:t>
      </w:r>
      <w:r w:rsidRPr="00E150D8" w:rsidR="005838AD">
        <w:t>eduction</w:t>
      </w:r>
      <w:r w:rsidRPr="00E150D8" w:rsidR="00E85ECE">
        <w:t>, if it were authorized,</w:t>
      </w:r>
      <w:r w:rsidRPr="00E150D8" w:rsidR="005838AD">
        <w:t xml:space="preserve"> should be </w:t>
      </w:r>
      <w:r w:rsidR="00FB727C">
        <w:t>assessed</w:t>
      </w:r>
      <w:r w:rsidRPr="00E150D8" w:rsidR="00CF3E56">
        <w:t xml:space="preserve">.  </w:t>
      </w:r>
      <w:r w:rsidRPr="00E150D8" w:rsidR="003B2C55">
        <w:t xml:space="preserve">Accordingly, </w:t>
      </w:r>
      <w:r w:rsidRPr="00E150D8" w:rsidR="00964F1F">
        <w:t>we reverse the judgment of the Court of Appeal.</w:t>
      </w:r>
    </w:p>
    <w:p w:rsidR="00343A96" w:rsidRPr="00E150D8" w:rsidP="00CA5D6E" w14:paraId="0C807FA2" w14:textId="77777777">
      <w:pPr>
        <w:pStyle w:val="Heading1"/>
        <w:spacing w:before="0" w:line="400" w:lineRule="exact"/>
      </w:pPr>
      <w:r w:rsidRPr="00E150D8">
        <w:t xml:space="preserve">I.  </w:t>
      </w:r>
      <w:r w:rsidRPr="00E150D8" w:rsidR="009C636F">
        <w:t>Fact</w:t>
      </w:r>
      <w:r w:rsidRPr="00E150D8" w:rsidR="00484F21">
        <w:t>ual and Procedural Background</w:t>
      </w:r>
    </w:p>
    <w:p w:rsidR="00343A96" w:rsidRPr="00E150D8" w:rsidP="00CA5D6E" w14:paraId="0C807FA3" w14:textId="77777777">
      <w:pPr>
        <w:tabs>
          <w:tab w:val="left" w:pos="1440"/>
        </w:tabs>
        <w:ind w:firstLine="720"/>
      </w:pPr>
      <w:r w:rsidRPr="00E150D8">
        <w:t xml:space="preserve">In </w:t>
      </w:r>
      <w:r w:rsidRPr="00E150D8" w:rsidR="000159B2">
        <w:t>January 2011</w:t>
      </w:r>
      <w:r w:rsidRPr="00E150D8">
        <w:t xml:space="preserve">, </w:t>
      </w:r>
      <w:r w:rsidRPr="00E150D8" w:rsidR="00AD6CA3">
        <w:t xml:space="preserve">Lisa </w:t>
      </w:r>
      <w:r w:rsidRPr="00E150D8" w:rsidR="000159B2">
        <w:t xml:space="preserve">Niedermeier purchased a </w:t>
      </w:r>
      <w:r w:rsidRPr="00E150D8">
        <w:t xml:space="preserve">new </w:t>
      </w:r>
      <w:r w:rsidRPr="00E150D8" w:rsidR="000159B2">
        <w:t xml:space="preserve">Jeep Wrangler </w:t>
      </w:r>
      <w:r w:rsidRPr="00E150D8" w:rsidR="004536F2">
        <w:t xml:space="preserve">(hereafter the vehicle) </w:t>
      </w:r>
      <w:r w:rsidRPr="00E150D8" w:rsidR="002C6A23">
        <w:t>from FCA</w:t>
      </w:r>
      <w:r w:rsidRPr="00E150D8" w:rsidR="00AD6CA3">
        <w:t xml:space="preserve"> US LLC</w:t>
      </w:r>
      <w:r w:rsidRPr="00E150D8" w:rsidR="002C6A23">
        <w:t xml:space="preserve"> </w:t>
      </w:r>
      <w:r w:rsidRPr="00E150D8" w:rsidR="00623CAE">
        <w:t xml:space="preserve">(hereafter FCA) </w:t>
      </w:r>
      <w:r w:rsidRPr="00E150D8" w:rsidR="000159B2">
        <w:t>for</w:t>
      </w:r>
      <w:r w:rsidRPr="00E150D8" w:rsidR="00771AA9">
        <w:t xml:space="preserve"> approximately</w:t>
      </w:r>
      <w:r w:rsidRPr="00E150D8" w:rsidR="000159B2">
        <w:t xml:space="preserve"> $40,000</w:t>
      </w:r>
      <w:r w:rsidRPr="00E150D8" w:rsidR="002C6A23">
        <w:t>.</w:t>
      </w:r>
      <w:r w:rsidRPr="00E150D8">
        <w:t xml:space="preserve">  </w:t>
      </w:r>
      <w:r w:rsidRPr="00E150D8" w:rsidR="00A623A7">
        <w:t xml:space="preserve">Almost immediately, and throughout the warranty period, </w:t>
      </w:r>
      <w:r w:rsidRPr="00E150D8" w:rsidR="00DE7097">
        <w:t xml:space="preserve">Niedermeier experienced a variety of problems with the vehicle’s </w:t>
      </w:r>
      <w:r w:rsidRPr="00E150D8" w:rsidR="000159B2">
        <w:t>transmission, engine, and exhaust</w:t>
      </w:r>
      <w:r w:rsidRPr="00E150D8" w:rsidR="00A623A7">
        <w:t>.</w:t>
      </w:r>
      <w:r w:rsidRPr="00E150D8" w:rsidR="004536F2">
        <w:t xml:space="preserve">  </w:t>
      </w:r>
      <w:r w:rsidRPr="00E150D8" w:rsidR="00DE7097">
        <w:t>These problems caused the vehicle to jerk, make rattling</w:t>
      </w:r>
      <w:r w:rsidRPr="00E150D8" w:rsidR="00791D0C">
        <w:t xml:space="preserve"> and grinding</w:t>
      </w:r>
      <w:r w:rsidRPr="00E150D8" w:rsidR="00DE7097">
        <w:t xml:space="preserve"> noises, and emit noxious gases</w:t>
      </w:r>
      <w:r w:rsidR="001F4AF2">
        <w:t>.</w:t>
      </w:r>
      <w:r w:rsidRPr="00E150D8" w:rsidR="00DE7097">
        <w:t xml:space="preserve"> </w:t>
      </w:r>
      <w:r w:rsidR="001F4AF2">
        <w:t xml:space="preserve"> They </w:t>
      </w:r>
      <w:r w:rsidRPr="00E150D8" w:rsidR="00DE7097">
        <w:t>caused the floorboard of the vehicle to heat up</w:t>
      </w:r>
      <w:r w:rsidR="001F4AF2">
        <w:t xml:space="preserve"> </w:t>
      </w:r>
      <w:r w:rsidRPr="00E150D8" w:rsidR="003166F1">
        <w:t>and impa</w:t>
      </w:r>
      <w:r w:rsidRPr="00E150D8" w:rsidR="00E85ECE">
        <w:t>ired</w:t>
      </w:r>
      <w:r w:rsidRPr="00E150D8" w:rsidR="003166F1">
        <w:t xml:space="preserve"> </w:t>
      </w:r>
      <w:r w:rsidRPr="00E150D8" w:rsidR="00E85ECE">
        <w:t xml:space="preserve">the vehicle’s </w:t>
      </w:r>
      <w:r w:rsidRPr="00E150D8" w:rsidR="003166F1">
        <w:t>braking, acceleration, and turning</w:t>
      </w:r>
      <w:r w:rsidRPr="00E150D8" w:rsidR="00DE7097">
        <w:t>.</w:t>
      </w:r>
      <w:r w:rsidRPr="00E150D8">
        <w:t xml:space="preserve">  </w:t>
      </w:r>
      <w:r w:rsidRPr="00E150D8" w:rsidR="000159B2">
        <w:t xml:space="preserve">Niedermeier </w:t>
      </w:r>
      <w:r w:rsidRPr="00E150D8">
        <w:t xml:space="preserve">presented the vehicle to </w:t>
      </w:r>
      <w:r w:rsidRPr="00E150D8" w:rsidR="000159B2">
        <w:t>FCA’s authorized repair facilit</w:t>
      </w:r>
      <w:r w:rsidRPr="00E150D8" w:rsidR="000F5576">
        <w:t>ies</w:t>
      </w:r>
      <w:r w:rsidRPr="00E150D8" w:rsidR="000A3972">
        <w:t xml:space="preserve"> </w:t>
      </w:r>
      <w:r w:rsidRPr="00E150D8" w:rsidR="00DE7097">
        <w:t xml:space="preserve">a total of </w:t>
      </w:r>
      <w:r w:rsidR="008B581A">
        <w:t>16</w:t>
      </w:r>
      <w:r w:rsidRPr="00E150D8" w:rsidR="008B581A">
        <w:t xml:space="preserve"> </w:t>
      </w:r>
      <w:r w:rsidRPr="00E150D8" w:rsidR="00DE7097">
        <w:t>times over four years,</w:t>
      </w:r>
      <w:r w:rsidRPr="00E150D8" w:rsidR="007C731E">
        <w:t xml:space="preserve"> </w:t>
      </w:r>
      <w:r w:rsidRPr="00E150D8" w:rsidR="00DE7097">
        <w:t xml:space="preserve">but </w:t>
      </w:r>
      <w:r w:rsidRPr="00E150D8" w:rsidR="000159B2">
        <w:t>the facilit</w:t>
      </w:r>
      <w:r w:rsidRPr="00E150D8" w:rsidR="000F5576">
        <w:t>ies</w:t>
      </w:r>
      <w:r w:rsidRPr="00E150D8" w:rsidR="000159B2">
        <w:t xml:space="preserve"> </w:t>
      </w:r>
      <w:r w:rsidRPr="00E150D8">
        <w:t>w</w:t>
      </w:r>
      <w:r w:rsidRPr="00E150D8" w:rsidR="000F5576">
        <w:t>ere</w:t>
      </w:r>
      <w:r w:rsidRPr="00E150D8">
        <w:t xml:space="preserve"> unable to remedy the defects.</w:t>
      </w:r>
      <w:r w:rsidR="001F4AF2">
        <w:t xml:space="preserve">  Niedermeier’s </w:t>
      </w:r>
      <w:r w:rsidRPr="001F4AF2" w:rsidR="001F4AF2">
        <w:t xml:space="preserve">vehicle </w:t>
      </w:r>
      <w:r w:rsidR="001F4AF2">
        <w:t xml:space="preserve">was </w:t>
      </w:r>
      <w:r w:rsidRPr="001F4AF2" w:rsidR="001F4AF2">
        <w:t>out of commission for 75 days</w:t>
      </w:r>
      <w:r w:rsidR="001F4AF2">
        <w:t xml:space="preserve"> during the failed repair attempts.</w:t>
      </w:r>
    </w:p>
    <w:p w:rsidR="003166F1" w:rsidRPr="00E150D8" w:rsidP="00CA5D6E" w14:paraId="0C807FA4" w14:textId="77777777">
      <w:pPr>
        <w:tabs>
          <w:tab w:val="left" w:pos="1440"/>
        </w:tabs>
        <w:ind w:firstLine="720"/>
      </w:pPr>
      <w:r w:rsidRPr="00E150D8">
        <w:t>In April 2015, Niedermeier asked FCA</w:t>
      </w:r>
      <w:r w:rsidRPr="00E150D8" w:rsidR="001F23E4">
        <w:t xml:space="preserve"> </w:t>
      </w:r>
      <w:r w:rsidRPr="00E150D8" w:rsidR="000A3972">
        <w:t xml:space="preserve">to </w:t>
      </w:r>
      <w:r w:rsidRPr="00E150D8">
        <w:t xml:space="preserve">buy back the </w:t>
      </w:r>
      <w:r w:rsidRPr="00E150D8" w:rsidR="001F23E4">
        <w:t>vehicle</w:t>
      </w:r>
      <w:r w:rsidR="001129EC">
        <w:t>,</w:t>
      </w:r>
      <w:r w:rsidR="00E25235">
        <w:t xml:space="preserve"> but </w:t>
      </w:r>
      <w:r w:rsidRPr="00E150D8" w:rsidR="00BE4D10">
        <w:t>FCA declined</w:t>
      </w:r>
      <w:r w:rsidRPr="00E150D8" w:rsidR="001F23E4">
        <w:t>.</w:t>
      </w:r>
      <w:r w:rsidRPr="00E150D8" w:rsidR="000A3972">
        <w:t xml:space="preserve">  </w:t>
      </w:r>
      <w:r w:rsidRPr="00E150D8" w:rsidR="001F23E4">
        <w:t>Niedermeier renewed her request in</w:t>
      </w:r>
      <w:r w:rsidRPr="00E150D8" w:rsidR="00A723F8">
        <w:t xml:space="preserve"> early</w:t>
      </w:r>
      <w:r w:rsidRPr="00E150D8" w:rsidR="001F23E4">
        <w:t xml:space="preserve"> </w:t>
      </w:r>
      <w:r w:rsidRPr="00E150D8" w:rsidR="009A6AC0">
        <w:t>June</w:t>
      </w:r>
      <w:r w:rsidRPr="00E150D8" w:rsidR="00E737DD">
        <w:t xml:space="preserve"> 2015</w:t>
      </w:r>
      <w:r w:rsidRPr="00E150D8" w:rsidR="00F90893">
        <w:t>,</w:t>
      </w:r>
      <w:r w:rsidRPr="00E150D8" w:rsidR="00063D11">
        <w:t xml:space="preserve"> and</w:t>
      </w:r>
      <w:r w:rsidRPr="00E150D8" w:rsidR="00E737DD">
        <w:t xml:space="preserve"> </w:t>
      </w:r>
      <w:r w:rsidRPr="00E150D8" w:rsidR="00F90893">
        <w:t xml:space="preserve">made a third </w:t>
      </w:r>
      <w:r w:rsidRPr="00E150D8" w:rsidR="000E75A2">
        <w:t xml:space="preserve">buyback </w:t>
      </w:r>
      <w:r w:rsidRPr="00E150D8" w:rsidR="00393126">
        <w:t xml:space="preserve">demand </w:t>
      </w:r>
      <w:r w:rsidRPr="00E150D8" w:rsidR="00E737DD">
        <w:t xml:space="preserve">in </w:t>
      </w:r>
      <w:r w:rsidRPr="00E150D8" w:rsidR="00593F1B">
        <w:t>late June 2015</w:t>
      </w:r>
      <w:r w:rsidR="001F4AF2">
        <w:t xml:space="preserve">.  </w:t>
      </w:r>
      <w:r w:rsidRPr="00E150D8" w:rsidR="001F23E4">
        <w:t>FCA</w:t>
      </w:r>
      <w:r w:rsidR="001F4AF2">
        <w:t>, however,</w:t>
      </w:r>
      <w:r w:rsidRPr="00E150D8" w:rsidR="00393126">
        <w:t xml:space="preserve"> </w:t>
      </w:r>
      <w:r w:rsidRPr="00E150D8" w:rsidR="001F23E4">
        <w:t>declined</w:t>
      </w:r>
      <w:r w:rsidRPr="00E150D8" w:rsidR="00393126">
        <w:t xml:space="preserve"> to repurchase the vehicle</w:t>
      </w:r>
      <w:r w:rsidRPr="00E150D8" w:rsidR="00AE0F4D">
        <w:t>.</w:t>
      </w:r>
      <w:r w:rsidRPr="00E150D8" w:rsidR="0093639B">
        <w:t xml:space="preserve"> </w:t>
      </w:r>
      <w:r w:rsidRPr="00E150D8" w:rsidR="000A3972">
        <w:t xml:space="preserve"> </w:t>
      </w:r>
      <w:r w:rsidRPr="00E150D8" w:rsidR="00293192">
        <w:t>By th</w:t>
      </w:r>
      <w:r w:rsidRPr="00E150D8" w:rsidR="000459B7">
        <w:t>e</w:t>
      </w:r>
      <w:r w:rsidRPr="00E150D8" w:rsidR="00293192">
        <w:t xml:space="preserve"> time Niedermeier </w:t>
      </w:r>
      <w:r w:rsidRPr="00E150D8" w:rsidR="000459B7">
        <w:t xml:space="preserve">made the third buyback request, she </w:t>
      </w:r>
      <w:r w:rsidRPr="00E150D8" w:rsidR="00293192">
        <w:t xml:space="preserve">had presented the vehicle for repair 14 times.  </w:t>
      </w:r>
      <w:r w:rsidRPr="00E150D8" w:rsidR="00AE0F4D">
        <w:t xml:space="preserve">In October 2015, </w:t>
      </w:r>
      <w:r w:rsidRPr="00E150D8" w:rsidR="00DD7F90">
        <w:t>after additional repair attempts failed</w:t>
      </w:r>
      <w:r w:rsidRPr="00E150D8" w:rsidR="00D32E06">
        <w:t>,</w:t>
      </w:r>
      <w:r w:rsidRPr="00E150D8" w:rsidR="00DD7F90">
        <w:t xml:space="preserve"> </w:t>
      </w:r>
      <w:r w:rsidRPr="00E150D8" w:rsidR="00AE0F4D">
        <w:t xml:space="preserve">Niedermeier traded in the vehicle </w:t>
      </w:r>
      <w:r w:rsidRPr="00E150D8" w:rsidR="00996B4A">
        <w:t>for a new</w:t>
      </w:r>
      <w:r w:rsidRPr="00E150D8" w:rsidR="00AE0F4D">
        <w:t xml:space="preserve"> GMC Yukon.</w:t>
      </w:r>
      <w:r w:rsidRPr="00E150D8" w:rsidR="00A31F61">
        <w:t xml:space="preserve">  </w:t>
      </w:r>
      <w:r w:rsidRPr="00E150D8" w:rsidR="00996B4A">
        <w:t>The purchase price of the Yukon was $80,000</w:t>
      </w:r>
      <w:r w:rsidRPr="00E150D8" w:rsidR="007E1845">
        <w:t xml:space="preserve">, and the dealership gave </w:t>
      </w:r>
      <w:r w:rsidRPr="00E150D8" w:rsidR="00996B4A">
        <w:t xml:space="preserve">Niedermeier </w:t>
      </w:r>
      <w:r w:rsidRPr="00E150D8" w:rsidR="009555B4">
        <w:t xml:space="preserve">a </w:t>
      </w:r>
      <w:r w:rsidRPr="00E150D8" w:rsidR="00A95318">
        <w:t>$19,000</w:t>
      </w:r>
      <w:r w:rsidRPr="00E150D8" w:rsidR="000B1844">
        <w:t xml:space="preserve"> </w:t>
      </w:r>
      <w:r w:rsidRPr="00E150D8" w:rsidR="00E55B68">
        <w:t xml:space="preserve">trade-in </w:t>
      </w:r>
      <w:r w:rsidRPr="00E150D8" w:rsidR="009555B4">
        <w:t>credit</w:t>
      </w:r>
      <w:r w:rsidR="009A2635">
        <w:t xml:space="preserve"> towards that purchase</w:t>
      </w:r>
      <w:r w:rsidR="00E759A0">
        <w:t>.</w:t>
      </w:r>
    </w:p>
    <w:p w:rsidR="0009130D" w:rsidRPr="00E150D8" w:rsidP="00CA5D6E" w14:paraId="0C807FA5" w14:textId="77777777">
      <w:pPr>
        <w:tabs>
          <w:tab w:val="left" w:pos="1440"/>
        </w:tabs>
        <w:ind w:firstLine="720"/>
      </w:pPr>
      <w:r w:rsidRPr="00E150D8">
        <w:t>In October 2016, Niedermeier filed a lawsuit against FCA asserting causes of action for breach of express warranty under the Act, breach of implied warranty under the Act, fraudulent inducement</w:t>
      </w:r>
      <w:r w:rsidRPr="00E150D8" w:rsidR="00610F68">
        <w:t xml:space="preserve"> and </w:t>
      </w:r>
      <w:r w:rsidRPr="00E150D8">
        <w:t>concealment</w:t>
      </w:r>
      <w:r w:rsidRPr="00E150D8" w:rsidR="009D1866">
        <w:t>, and negligent repair.</w:t>
      </w:r>
      <w:r w:rsidRPr="00E150D8" w:rsidR="009555B4">
        <w:t xml:space="preserve">  </w:t>
      </w:r>
      <w:r w:rsidRPr="00E150D8" w:rsidR="0063684C">
        <w:t>A jury found in Niedermeier’s favor on her claims for breach of express warranty and breach of implied warranty</w:t>
      </w:r>
      <w:r w:rsidRPr="00E150D8" w:rsidR="00610F68">
        <w:t xml:space="preserve"> and awarded her $98,961.08</w:t>
      </w:r>
      <w:r w:rsidRPr="00E150D8" w:rsidR="0063684C">
        <w:t>.</w:t>
      </w:r>
      <w:r w:rsidRPr="00E150D8" w:rsidR="009555B4">
        <w:t xml:space="preserve">  </w:t>
      </w:r>
      <w:r w:rsidRPr="00E150D8" w:rsidR="00FC7ACD">
        <w:t xml:space="preserve">The jury found against Niedermeier </w:t>
      </w:r>
      <w:r w:rsidR="001F4AF2">
        <w:t>on</w:t>
      </w:r>
      <w:r w:rsidRPr="00E150D8" w:rsidR="00FC7ACD">
        <w:t xml:space="preserve"> her claim for fraudulent inducement/concealment.  </w:t>
      </w:r>
      <w:r w:rsidRPr="00E150D8" w:rsidR="00B87CA1">
        <w:t xml:space="preserve">The jury also found that FCA </w:t>
      </w:r>
      <w:r w:rsidRPr="00E150D8" w:rsidR="006D252A">
        <w:t>willfully violated</w:t>
      </w:r>
      <w:r w:rsidRPr="00E150D8" w:rsidR="00B87CA1">
        <w:t xml:space="preserve"> the Act.  </w:t>
      </w:r>
      <w:r w:rsidRPr="00E150D8" w:rsidR="00760BA0">
        <w:t xml:space="preserve">The </w:t>
      </w:r>
      <w:r w:rsidRPr="00E150D8" w:rsidR="00E419E2">
        <w:t xml:space="preserve">damages </w:t>
      </w:r>
      <w:r w:rsidRPr="00E150D8" w:rsidR="00760BA0">
        <w:t>award</w:t>
      </w:r>
      <w:r w:rsidRPr="00E150D8" w:rsidR="00D007B0">
        <w:t xml:space="preserve"> </w:t>
      </w:r>
      <w:r w:rsidRPr="00E150D8" w:rsidR="009A16FF">
        <w:t>included</w:t>
      </w:r>
      <w:r w:rsidRPr="00E150D8" w:rsidR="00B12298">
        <w:t>:</w:t>
      </w:r>
      <w:r w:rsidRPr="00E150D8" w:rsidR="00AC2C01">
        <w:t xml:space="preserve"> </w:t>
      </w:r>
      <w:r w:rsidRPr="00E150D8" w:rsidR="00B12298">
        <w:t xml:space="preserve"> </w:t>
      </w:r>
      <w:r w:rsidRPr="00E150D8" w:rsidR="00D0282E">
        <w:t>the purchase price of the vehicle</w:t>
      </w:r>
      <w:r w:rsidRPr="00E150D8" w:rsidR="00C40EC0">
        <w:t>, including charges for transportation and manufacturer-installed options, finance charges, sales tax, license fees, and other official fees</w:t>
      </w:r>
      <w:r w:rsidRPr="00E150D8" w:rsidR="00223F0D">
        <w:t xml:space="preserve"> pursuant to section</w:t>
      </w:r>
      <w:r w:rsidRPr="00E150D8" w:rsidR="00523DA6">
        <w:t> </w:t>
      </w:r>
      <w:r w:rsidRPr="00E150D8" w:rsidR="00223F0D">
        <w:t>1793.2</w:t>
      </w:r>
      <w:r w:rsidRPr="00E150D8" w:rsidR="00BF66D1">
        <w:t>, subdivision (d)(2)(B)</w:t>
      </w:r>
      <w:r w:rsidRPr="00E150D8" w:rsidR="00B12298">
        <w:t>, a total of $39,799</w:t>
      </w:r>
      <w:r w:rsidRPr="00E150D8" w:rsidR="00C40EC0">
        <w:t xml:space="preserve">; </w:t>
      </w:r>
      <w:r w:rsidRPr="00E150D8" w:rsidR="00D714CE">
        <w:t xml:space="preserve">incidental and consequential damages of $5,000; </w:t>
      </w:r>
      <w:r w:rsidR="002C3619">
        <w:t xml:space="preserve">and </w:t>
      </w:r>
      <w:r w:rsidRPr="00E150D8" w:rsidR="00120FF3">
        <w:t xml:space="preserve">a deduction of $5,214.57, reflecting the amount attributable to Niedermeier’s use of the vehicle </w:t>
      </w:r>
      <w:r w:rsidRPr="00E150D8" w:rsidR="00DB67CC">
        <w:t xml:space="preserve">before she </w:t>
      </w:r>
      <w:r w:rsidRPr="00E150D8" w:rsidR="00120FF3">
        <w:t xml:space="preserve">first delivered it to </w:t>
      </w:r>
      <w:r w:rsidRPr="00E150D8">
        <w:t>FCA’s authorized facilities</w:t>
      </w:r>
      <w:r w:rsidRPr="00E150D8" w:rsidR="00120FF3">
        <w:t xml:space="preserve"> for repairs pursuant to section</w:t>
      </w:r>
      <w:r w:rsidRPr="00E150D8" w:rsidR="00523DA6">
        <w:t> </w:t>
      </w:r>
      <w:r w:rsidRPr="00E150D8" w:rsidR="00120FF3">
        <w:t>1793.2, subdivision</w:t>
      </w:r>
      <w:r w:rsidRPr="00E150D8" w:rsidR="00523DA6">
        <w:t> </w:t>
      </w:r>
      <w:r w:rsidRPr="00E150D8" w:rsidR="00120FF3">
        <w:t>(d)(2)(C)</w:t>
      </w:r>
      <w:r w:rsidR="00E25235">
        <w:t xml:space="preserve">.  The award also included </w:t>
      </w:r>
      <w:r w:rsidRPr="00E150D8" w:rsidR="0087699F">
        <w:t xml:space="preserve">a penalty of $59,376.65 </w:t>
      </w:r>
      <w:r w:rsidRPr="00E150D8" w:rsidR="00B968A7">
        <w:t>pursuant to section</w:t>
      </w:r>
      <w:r w:rsidRPr="00E150D8" w:rsidR="00D86CD0">
        <w:t> </w:t>
      </w:r>
      <w:r w:rsidRPr="00E150D8" w:rsidR="00B968A7">
        <w:t>1794</w:t>
      </w:r>
      <w:r w:rsidRPr="00E150D8" w:rsidR="00D86CD0">
        <w:t>, subdivision (c)</w:t>
      </w:r>
      <w:r w:rsidR="00E25235">
        <w:t xml:space="preserve"> </w:t>
      </w:r>
      <w:r w:rsidRPr="00E25235" w:rsidR="00E25235">
        <w:t>due to FCA’s willful failure to repurchase the vehicle</w:t>
      </w:r>
      <w:r w:rsidRPr="00E150D8" w:rsidR="006C089F">
        <w:t>.</w:t>
      </w:r>
    </w:p>
    <w:p w:rsidR="0085787E" w:rsidRPr="00E150D8" w:rsidP="00CA5D6E" w14:paraId="0C807FA6" w14:textId="77777777">
      <w:pPr>
        <w:tabs>
          <w:tab w:val="left" w:pos="720"/>
        </w:tabs>
      </w:pPr>
      <w:r w:rsidRPr="00E150D8">
        <w:tab/>
      </w:r>
      <w:r w:rsidRPr="00E150D8" w:rsidR="009D1866">
        <w:t>Following the verdict, FCA filed a postjudgment motion requesting a</w:t>
      </w:r>
      <w:r w:rsidRPr="00E150D8" w:rsidR="00610F68">
        <w:t xml:space="preserve"> $19,000</w:t>
      </w:r>
      <w:r w:rsidRPr="00E150D8" w:rsidR="009D1866">
        <w:t xml:space="preserve"> offset</w:t>
      </w:r>
      <w:r w:rsidRPr="00E150D8" w:rsidR="009C764E">
        <w:t xml:space="preserve"> </w:t>
      </w:r>
      <w:r w:rsidRPr="00E150D8" w:rsidR="009D1866">
        <w:t xml:space="preserve">from the </w:t>
      </w:r>
      <w:r w:rsidRPr="00E150D8" w:rsidR="00032F0F">
        <w:t xml:space="preserve">awarded </w:t>
      </w:r>
      <w:r w:rsidRPr="00E150D8" w:rsidR="009D1866">
        <w:t xml:space="preserve">damages </w:t>
      </w:r>
      <w:r w:rsidRPr="00E150D8" w:rsidR="00032F0F">
        <w:t xml:space="preserve">(the </w:t>
      </w:r>
      <w:r w:rsidR="0059188E">
        <w:t xml:space="preserve">amount of the </w:t>
      </w:r>
      <w:r w:rsidRPr="00E150D8" w:rsidR="00032F0F">
        <w:t xml:space="preserve">trade-in credit </w:t>
      </w:r>
      <w:r w:rsidR="0059188E">
        <w:t>Niedermei</w:t>
      </w:r>
      <w:r w:rsidR="00C93B7D">
        <w:t>e</w:t>
      </w:r>
      <w:r w:rsidR="0059188E">
        <w:t xml:space="preserve">r received </w:t>
      </w:r>
      <w:r w:rsidRPr="00E150D8" w:rsidR="00032F0F">
        <w:t xml:space="preserve">on the Yukon’s purchase price), </w:t>
      </w:r>
      <w:r w:rsidRPr="00E150D8" w:rsidR="009C764E">
        <w:t>to be imposed before the civil penalty was assessed</w:t>
      </w:r>
      <w:r w:rsidR="0059188E">
        <w:t>.  This</w:t>
      </w:r>
      <w:r w:rsidRPr="00E150D8" w:rsidR="009C764E">
        <w:t xml:space="preserve"> would </w:t>
      </w:r>
      <w:r w:rsidR="00434D72">
        <w:t xml:space="preserve">have </w:t>
      </w:r>
      <w:r w:rsidRPr="00E150D8" w:rsidR="009C764E">
        <w:t>result</w:t>
      </w:r>
      <w:r w:rsidR="00434D72">
        <w:t>ed</w:t>
      </w:r>
      <w:r w:rsidRPr="00E150D8" w:rsidR="009C764E">
        <w:t xml:space="preserve"> in a total awar</w:t>
      </w:r>
      <w:r w:rsidRPr="00E150D8" w:rsidR="00703EAE">
        <w:t xml:space="preserve">d </w:t>
      </w:r>
      <w:r w:rsidRPr="00E150D8" w:rsidR="009C764E">
        <w:t>of $51,461.07</w:t>
      </w:r>
      <w:r w:rsidRPr="00E150D8" w:rsidR="009D1866">
        <w:t xml:space="preserve">.  </w:t>
      </w:r>
      <w:r w:rsidRPr="00E150D8">
        <w:t>The trial court denied FCA’s motion.</w:t>
      </w:r>
      <w:r w:rsidRPr="00E150D8" w:rsidR="00113C22">
        <w:t xml:space="preserve">  It reasoned that reducing the jury’s award </w:t>
      </w:r>
      <w:r w:rsidRPr="00E150D8" w:rsidR="00BF0B61">
        <w:t xml:space="preserve">by the trade-in amount </w:t>
      </w:r>
      <w:r w:rsidRPr="00E150D8" w:rsidR="00113C22">
        <w:t>would be inconsistent with the pro-consumer policy supporting the Act</w:t>
      </w:r>
      <w:r w:rsidRPr="00E150D8" w:rsidR="00BF0B61">
        <w:t>.</w:t>
      </w:r>
      <w:r w:rsidR="00F123BB">
        <w:t xml:space="preserve">  </w:t>
      </w:r>
      <w:r w:rsidRPr="00E150D8" w:rsidR="00813B74">
        <w:t xml:space="preserve">The court concluded an offset </w:t>
      </w:r>
      <w:r w:rsidRPr="00E150D8" w:rsidR="006303B8">
        <w:t xml:space="preserve">for the trade-in </w:t>
      </w:r>
      <w:r w:rsidRPr="00E150D8" w:rsidR="00813B74">
        <w:t>“would reward defendant for its delay in replacing the car or refunding plaintiff’s money when defendant had complete control over the length of that delay, and an affirmative statutory duty to replace or refund promptly.</w:t>
      </w:r>
      <w:r w:rsidRPr="00E150D8" w:rsidR="00626401">
        <w:t> </w:t>
      </w:r>
      <w:r w:rsidRPr="00E150D8" w:rsidR="00813B74">
        <w:t>.</w:t>
      </w:r>
      <w:r w:rsidRPr="00E150D8" w:rsidR="00626401">
        <w:t> </w:t>
      </w:r>
      <w:r w:rsidRPr="00E150D8" w:rsidR="00813B74">
        <w:t>.</w:t>
      </w:r>
      <w:r w:rsidRPr="00E150D8" w:rsidR="008E4B65">
        <w:t> </w:t>
      </w:r>
      <w:r w:rsidRPr="00E150D8" w:rsidR="00813B74">
        <w:t>.</w:t>
      </w:r>
      <w:r w:rsidRPr="00E150D8" w:rsidR="00626401">
        <w:t> </w:t>
      </w:r>
      <w:r w:rsidRPr="00E150D8" w:rsidR="00813B74">
        <w:t>‘No one can take advantage of his own wrong.’  (§</w:t>
      </w:r>
      <w:r w:rsidRPr="00E150D8" w:rsidR="00626401">
        <w:t> </w:t>
      </w:r>
      <w:r w:rsidRPr="00E150D8" w:rsidR="00813B74">
        <w:t>3517.)  Nor can principles of equity be used to avoid a statutory mandate.”</w:t>
      </w:r>
    </w:p>
    <w:p w:rsidR="005D7854" w:rsidRPr="00E150D8" w:rsidP="00CA5D6E" w14:paraId="0C807FA7" w14:textId="77777777">
      <w:pPr>
        <w:tabs>
          <w:tab w:val="left" w:pos="1440"/>
        </w:tabs>
        <w:ind w:firstLine="720"/>
      </w:pPr>
      <w:r w:rsidRPr="00E150D8">
        <w:t>FCA appealed.  It made three arguments before the Court of Appeal:  (1)</w:t>
      </w:r>
      <w:r w:rsidRPr="00E150D8" w:rsidR="00BA46B3">
        <w:t> </w:t>
      </w:r>
      <w:r w:rsidRPr="00E150D8">
        <w:t>by obtaining a full refund under section</w:t>
      </w:r>
      <w:r w:rsidRPr="00E150D8" w:rsidR="00C12A00">
        <w:t> </w:t>
      </w:r>
      <w:r w:rsidRPr="00E150D8">
        <w:t>1793.2</w:t>
      </w:r>
      <w:r w:rsidRPr="00E150D8" w:rsidR="00421CE2">
        <w:t xml:space="preserve">, subdivision </w:t>
      </w:r>
      <w:r w:rsidRPr="00E150D8">
        <w:t>(d)(2) in addition to proceeds from the trade-in of the vehicle, Niedermeier received a windfall</w:t>
      </w:r>
      <w:r w:rsidRPr="00E150D8" w:rsidR="00AF1E9A">
        <w:t>,</w:t>
      </w:r>
      <w:r w:rsidRPr="00E150D8">
        <w:t xml:space="preserve"> which is </w:t>
      </w:r>
      <w:r w:rsidRPr="00E150D8" w:rsidR="00E049F7">
        <w:t>in</w:t>
      </w:r>
      <w:r w:rsidRPr="00E150D8">
        <w:t>consistent with the concept of restitution; (2)</w:t>
      </w:r>
      <w:r w:rsidRPr="00E150D8" w:rsidR="00BA46B3">
        <w:t> </w:t>
      </w:r>
      <w:r w:rsidRPr="00E150D8">
        <w:t xml:space="preserve">provisions of the </w:t>
      </w:r>
      <w:r w:rsidR="00035A87">
        <w:t xml:space="preserve">California </w:t>
      </w:r>
      <w:r w:rsidR="00DF5055">
        <w:t xml:space="preserve">Uniform </w:t>
      </w:r>
      <w:r w:rsidRPr="00E150D8">
        <w:t>Commercial Code incorporated into section</w:t>
      </w:r>
      <w:r w:rsidRPr="00E150D8" w:rsidR="00C12A00">
        <w:t> </w:t>
      </w:r>
      <w:r w:rsidRPr="00E150D8">
        <w:t xml:space="preserve">1794 of the Act recognize that a buyer’s recovery is reduced by the amount </w:t>
      </w:r>
      <w:r w:rsidR="006D2B47">
        <w:t xml:space="preserve">the buyer </w:t>
      </w:r>
      <w:r w:rsidRPr="00E150D8">
        <w:t xml:space="preserve">obtains by reselling the </w:t>
      </w:r>
      <w:r w:rsidRPr="00E150D8" w:rsidR="00BE6F82">
        <w:t>vehicle</w:t>
      </w:r>
      <w:r w:rsidRPr="00E150D8">
        <w:t xml:space="preserve">; and (3) allowing Niedermeier a full refund on top of trade-in proceeds </w:t>
      </w:r>
      <w:r w:rsidRPr="00E150D8" w:rsidR="00F23CCD">
        <w:t xml:space="preserve">she received </w:t>
      </w:r>
      <w:r w:rsidRPr="00E150D8">
        <w:t>would</w:t>
      </w:r>
      <w:r w:rsidRPr="00E150D8" w:rsidR="00E049F7">
        <w:t xml:space="preserve"> undermine </w:t>
      </w:r>
      <w:r w:rsidRPr="00E150D8" w:rsidR="00F23CCD">
        <w:t>l</w:t>
      </w:r>
      <w:r w:rsidRPr="00E150D8" w:rsidR="00E049F7">
        <w:t xml:space="preserve">egislative protections for downstream consumers in the used car market by </w:t>
      </w:r>
      <w:r w:rsidRPr="00E150D8">
        <w:t>effectively nullif</w:t>
      </w:r>
      <w:r w:rsidRPr="00E150D8" w:rsidR="00E049F7">
        <w:t xml:space="preserve">ying </w:t>
      </w:r>
      <w:r w:rsidRPr="00E150D8">
        <w:t>the Act</w:t>
      </w:r>
      <w:r w:rsidRPr="00E150D8" w:rsidR="00E049F7">
        <w:t>’</w:t>
      </w:r>
      <w:r w:rsidRPr="00E150D8">
        <w:t xml:space="preserve">s requirement that manufacturers notify subsequent purchasers of </w:t>
      </w:r>
      <w:r w:rsidRPr="00E150D8" w:rsidR="00E049F7">
        <w:t xml:space="preserve">defects in </w:t>
      </w:r>
      <w:r w:rsidRPr="00E150D8">
        <w:t>reacquired vehicles</w:t>
      </w:r>
      <w:r w:rsidRPr="00E150D8" w:rsidR="00F23CCD">
        <w:t>.</w:t>
      </w:r>
    </w:p>
    <w:p w:rsidR="001526ED" w:rsidRPr="00E150D8" w:rsidP="00CA5D6E" w14:paraId="0C807FA8" w14:textId="77777777">
      <w:pPr>
        <w:tabs>
          <w:tab w:val="left" w:pos="1440"/>
        </w:tabs>
        <w:ind w:firstLine="720"/>
      </w:pPr>
      <w:r w:rsidRPr="00E150D8">
        <w:t>The Court of Appeal</w:t>
      </w:r>
      <w:r w:rsidRPr="00E150D8" w:rsidR="00EC12E8">
        <w:t xml:space="preserve"> </w:t>
      </w:r>
      <w:r w:rsidRPr="00E150D8" w:rsidR="005D7854">
        <w:t xml:space="preserve">agreed with </w:t>
      </w:r>
      <w:r w:rsidRPr="00E150D8" w:rsidR="002B359E">
        <w:t>FCA’s</w:t>
      </w:r>
      <w:r w:rsidRPr="00E150D8" w:rsidR="005D7854">
        <w:t xml:space="preserve"> first and third arguments and </w:t>
      </w:r>
      <w:r w:rsidRPr="00E150D8">
        <w:t>reversed.</w:t>
      </w:r>
      <w:r w:rsidRPr="00E150D8" w:rsidR="008C5F18">
        <w:t xml:space="preserve">  </w:t>
      </w:r>
      <w:r w:rsidRPr="00E150D8" w:rsidR="00D44ED0">
        <w:t xml:space="preserve">It </w:t>
      </w:r>
      <w:r w:rsidRPr="00E150D8" w:rsidR="008C5F18">
        <w:t>declined to consider FCA’s second argument.</w:t>
      </w:r>
      <w:r w:rsidRPr="00E150D8">
        <w:t xml:space="preserve"> </w:t>
      </w:r>
      <w:r w:rsidRPr="00E150D8" w:rsidR="007649E6">
        <w:t xml:space="preserve"> </w:t>
      </w:r>
      <w:r w:rsidRPr="00E150D8" w:rsidR="00D44ED0">
        <w:t>The Court of Appeal</w:t>
      </w:r>
      <w:r w:rsidRPr="00E150D8" w:rsidR="00E11BE0">
        <w:t xml:space="preserve"> </w:t>
      </w:r>
      <w:r w:rsidRPr="00E150D8" w:rsidR="001D26FF">
        <w:t>held</w:t>
      </w:r>
      <w:r w:rsidRPr="00E150D8" w:rsidR="00695185">
        <w:t>,</w:t>
      </w:r>
      <w:r w:rsidRPr="00E150D8" w:rsidR="001D26FF">
        <w:t xml:space="preserve"> as a matter of first impression</w:t>
      </w:r>
      <w:r w:rsidRPr="00E150D8" w:rsidR="00695185">
        <w:t>,</w:t>
      </w:r>
      <w:r w:rsidRPr="00E150D8" w:rsidR="001D26FF">
        <w:t xml:space="preserve"> that the Act’s restitution remedy</w:t>
      </w:r>
      <w:r w:rsidR="00B12440">
        <w:t> </w:t>
      </w:r>
      <w:r w:rsidRPr="00E150D8" w:rsidR="00695B35">
        <w:t>—</w:t>
      </w:r>
      <w:r w:rsidR="00BE1977">
        <w:t xml:space="preserve"> </w:t>
      </w:r>
      <w:r w:rsidRPr="00E150D8" w:rsidR="00695B35">
        <w:t>“set at ‘an amount equal to the actual price paid or payable’ for the vehicle</w:t>
      </w:r>
      <w:r w:rsidRPr="00E150D8" w:rsidR="0030329E">
        <w:t>”</w:t>
      </w:r>
      <w:r w:rsidR="00B12440">
        <w:t> </w:t>
      </w:r>
      <w:r w:rsidRPr="00E150D8" w:rsidR="0030329E">
        <w:t>—</w:t>
      </w:r>
      <w:r w:rsidR="00BE1977">
        <w:t xml:space="preserve"> </w:t>
      </w:r>
      <w:r w:rsidRPr="00E150D8" w:rsidR="001D26FF">
        <w:t>d</w:t>
      </w:r>
      <w:r w:rsidRPr="00E150D8" w:rsidR="00E13B4B">
        <w:t>oes</w:t>
      </w:r>
      <w:r w:rsidRPr="00E150D8" w:rsidR="001D26FF">
        <w:t xml:space="preserve"> not include any amount a plaintiff receive</w:t>
      </w:r>
      <w:r w:rsidRPr="00E150D8" w:rsidR="00A52FEA">
        <w:t>s</w:t>
      </w:r>
      <w:r w:rsidRPr="00E150D8" w:rsidR="001D26FF">
        <w:t xml:space="preserve"> </w:t>
      </w:r>
      <w:r w:rsidR="00F10C23">
        <w:t>from</w:t>
      </w:r>
      <w:r w:rsidRPr="00E150D8" w:rsidR="001D26FF">
        <w:t xml:space="preserve"> trading in the defective vehicle.  (</w:t>
      </w:r>
      <w:r w:rsidRPr="00E150D8" w:rsidR="007E70CA">
        <w:rPr>
          <w:i/>
          <w:iCs/>
        </w:rPr>
        <w:t>Niedermeier</w:t>
      </w:r>
      <w:r w:rsidRPr="00E150D8" w:rsidR="007E70CA">
        <w:t>,</w:t>
      </w:r>
      <w:r w:rsidRPr="00E150D8" w:rsidR="00E04917">
        <w:t xml:space="preserve"> </w:t>
      </w:r>
      <w:r w:rsidRPr="00E150D8" w:rsidR="00E04917">
        <w:rPr>
          <w:i/>
          <w:iCs/>
        </w:rPr>
        <w:t>supra</w:t>
      </w:r>
      <w:r w:rsidRPr="00E150D8" w:rsidR="00E04917">
        <w:t>, 56 Cal.App.5th</w:t>
      </w:r>
      <w:r w:rsidRPr="00E150D8" w:rsidR="007E70CA">
        <w:t xml:space="preserve"> </w:t>
      </w:r>
      <w:r w:rsidRPr="00E150D8" w:rsidR="00E049F7">
        <w:t>at p.</w:t>
      </w:r>
      <w:r w:rsidRPr="00E150D8" w:rsidR="00593158">
        <w:t> </w:t>
      </w:r>
      <w:r w:rsidRPr="00E150D8" w:rsidR="001D26FF">
        <w:t xml:space="preserve">1061.)  </w:t>
      </w:r>
      <w:r w:rsidRPr="00E150D8" w:rsidR="00AA3D4F">
        <w:t>T</w:t>
      </w:r>
      <w:r w:rsidRPr="00E150D8" w:rsidR="00120C10">
        <w:t xml:space="preserve">he Court of Appeal </w:t>
      </w:r>
      <w:r w:rsidRPr="00E150D8" w:rsidR="00E11BE0">
        <w:t>reasoned that the Legislature</w:t>
      </w:r>
      <w:r w:rsidRPr="00E150D8" w:rsidR="001D26FF">
        <w:t>’s use of the word “restitution” in</w:t>
      </w:r>
      <w:r w:rsidRPr="00E150D8" w:rsidR="003C44AB">
        <w:t xml:space="preserve"> section</w:t>
      </w:r>
      <w:r w:rsidRPr="00E150D8" w:rsidR="00DF0686">
        <w:t> </w:t>
      </w:r>
      <w:r w:rsidRPr="00E150D8" w:rsidR="003C44AB">
        <w:t>1793.2, subdivision</w:t>
      </w:r>
      <w:r w:rsidRPr="00E150D8" w:rsidR="00DF0686">
        <w:t> </w:t>
      </w:r>
      <w:r w:rsidRPr="00E150D8" w:rsidR="003C44AB">
        <w:t>(d)(2)(B) indicate</w:t>
      </w:r>
      <w:r w:rsidRPr="00E150D8" w:rsidR="00E13B4B">
        <w:t>s</w:t>
      </w:r>
      <w:r w:rsidRPr="00E150D8" w:rsidR="003C44AB">
        <w:t xml:space="preserve"> an intent to restore </w:t>
      </w:r>
      <w:r w:rsidRPr="00E150D8" w:rsidR="00120C10">
        <w:t>the status quo ante as far as practicable and return buyer</w:t>
      </w:r>
      <w:r w:rsidRPr="00E150D8" w:rsidR="003B1750">
        <w:t>s</w:t>
      </w:r>
      <w:r w:rsidRPr="00E150D8" w:rsidR="00120C10">
        <w:t xml:space="preserve"> </w:t>
      </w:r>
      <w:r w:rsidRPr="00E150D8" w:rsidR="003C44AB">
        <w:t xml:space="preserve">to the financial position </w:t>
      </w:r>
      <w:r w:rsidRPr="00E150D8" w:rsidR="003B1750">
        <w:t xml:space="preserve">they </w:t>
      </w:r>
      <w:r w:rsidRPr="00E150D8" w:rsidR="003C44AB">
        <w:t xml:space="preserve">would have been in </w:t>
      </w:r>
      <w:r w:rsidRPr="00E150D8" w:rsidR="00120C10">
        <w:t xml:space="preserve">had </w:t>
      </w:r>
      <w:r w:rsidRPr="00E150D8" w:rsidR="003B1750">
        <w:t xml:space="preserve">they </w:t>
      </w:r>
      <w:r w:rsidRPr="00E150D8" w:rsidR="003C44AB">
        <w:t xml:space="preserve">not purchased the vehicle.  </w:t>
      </w:r>
      <w:r w:rsidRPr="00E150D8" w:rsidR="00120C10">
        <w:t>(</w:t>
      </w:r>
      <w:r w:rsidRPr="00E150D8" w:rsidR="001A790F">
        <w:rPr>
          <w:i/>
          <w:iCs/>
        </w:rPr>
        <w:t>Niedermeier</w:t>
      </w:r>
      <w:r w:rsidRPr="00E150D8" w:rsidR="001A790F">
        <w:t>,</w:t>
      </w:r>
      <w:r w:rsidRPr="00E150D8" w:rsidR="00120C10">
        <w:t xml:space="preserve"> at p.</w:t>
      </w:r>
      <w:r w:rsidRPr="00E150D8" w:rsidR="00593158">
        <w:t> </w:t>
      </w:r>
      <w:r w:rsidRPr="00E150D8" w:rsidR="00120C10">
        <w:t xml:space="preserve">1071.) </w:t>
      </w:r>
      <w:r w:rsidRPr="00E150D8" w:rsidR="000436F6">
        <w:t xml:space="preserve"> </w:t>
      </w:r>
      <w:r w:rsidRPr="00E150D8" w:rsidR="00007FD6">
        <w:t xml:space="preserve">It concluded that </w:t>
      </w:r>
      <w:r w:rsidRPr="00E150D8" w:rsidR="00E11BE0">
        <w:t xml:space="preserve">allowing </w:t>
      </w:r>
      <w:r w:rsidRPr="00E150D8" w:rsidR="003C44AB">
        <w:t xml:space="preserve">Niedermeier the full restitution remedy after </w:t>
      </w:r>
      <w:r w:rsidRPr="00E150D8" w:rsidR="005F3E2D">
        <w:t>she received</w:t>
      </w:r>
      <w:r w:rsidRPr="00E150D8" w:rsidR="00E85193">
        <w:t xml:space="preserve"> a</w:t>
      </w:r>
      <w:r w:rsidRPr="00E150D8" w:rsidR="003C44AB">
        <w:t xml:space="preserve"> </w:t>
      </w:r>
      <w:r w:rsidRPr="00E150D8" w:rsidR="00E85193">
        <w:t>credit</w:t>
      </w:r>
      <w:r w:rsidRPr="00E150D8" w:rsidR="003C44AB">
        <w:t xml:space="preserve"> for </w:t>
      </w:r>
      <w:r w:rsidRPr="00E150D8" w:rsidR="008F2F7F">
        <w:t xml:space="preserve">trading in </w:t>
      </w:r>
      <w:r w:rsidRPr="00E150D8" w:rsidR="003C44AB">
        <w:t xml:space="preserve">the vehicle would place </w:t>
      </w:r>
      <w:r w:rsidRPr="00E150D8" w:rsidR="005F3E2D">
        <w:t>her</w:t>
      </w:r>
      <w:r w:rsidRPr="00E150D8" w:rsidR="00007FD6">
        <w:t xml:space="preserve"> </w:t>
      </w:r>
      <w:r w:rsidRPr="00E150D8" w:rsidR="00E11BE0">
        <w:t>in a better position than if she had never purchased the vehicle</w:t>
      </w:r>
      <w:r w:rsidRPr="00E150D8" w:rsidR="00007FD6">
        <w:t>,</w:t>
      </w:r>
      <w:r w:rsidRPr="00E150D8" w:rsidR="003C44AB">
        <w:t xml:space="preserve"> a</w:t>
      </w:r>
      <w:r w:rsidRPr="00E150D8" w:rsidR="00120C10">
        <w:t xml:space="preserve"> result inimical to the </w:t>
      </w:r>
      <w:r w:rsidRPr="00E150D8" w:rsidR="00007FD6">
        <w:t xml:space="preserve">concept of </w:t>
      </w:r>
      <w:r w:rsidRPr="00E150D8" w:rsidR="003C44AB">
        <w:t xml:space="preserve">restitution.  </w:t>
      </w:r>
      <w:r w:rsidRPr="00E150D8" w:rsidR="0013451D">
        <w:t>(</w:t>
      </w:r>
      <w:r w:rsidRPr="00E150D8" w:rsidR="00F76514">
        <w:rPr>
          <w:i/>
          <w:iCs/>
        </w:rPr>
        <w:t>Ibid</w:t>
      </w:r>
      <w:r w:rsidRPr="00E150D8" w:rsidR="0013451D">
        <w:rPr>
          <w:i/>
          <w:iCs/>
        </w:rPr>
        <w:t>.</w:t>
      </w:r>
      <w:r w:rsidRPr="00E150D8" w:rsidR="0013451D">
        <w:t>)</w:t>
      </w:r>
    </w:p>
    <w:p w:rsidR="002A0398" w:rsidRPr="00E150D8" w:rsidP="00CA5D6E" w14:paraId="0C807FA9" w14:textId="77777777">
      <w:pPr>
        <w:tabs>
          <w:tab w:val="left" w:pos="1440"/>
        </w:tabs>
        <w:ind w:firstLine="720"/>
      </w:pPr>
      <w:r w:rsidRPr="00E150D8">
        <w:t xml:space="preserve">The Court of Appeal </w:t>
      </w:r>
      <w:r w:rsidRPr="00E150D8" w:rsidR="002D77D5">
        <w:t>also</w:t>
      </w:r>
      <w:r w:rsidRPr="00E150D8" w:rsidR="00C95801">
        <w:t xml:space="preserve"> </w:t>
      </w:r>
      <w:r w:rsidRPr="00E150D8" w:rsidR="0058515D">
        <w:t xml:space="preserve">opined </w:t>
      </w:r>
      <w:r w:rsidRPr="00E150D8">
        <w:t>that allowing the full restitution refund u</w:t>
      </w:r>
      <w:r w:rsidRPr="00E150D8" w:rsidR="0057740E">
        <w:t>n</w:t>
      </w:r>
      <w:r w:rsidRPr="00E150D8">
        <w:t>der section</w:t>
      </w:r>
      <w:r w:rsidRPr="00E150D8" w:rsidR="00593158">
        <w:t> </w:t>
      </w:r>
      <w:r w:rsidRPr="00E150D8">
        <w:t>1793.2, subdivision</w:t>
      </w:r>
      <w:r w:rsidRPr="00E150D8" w:rsidR="00593158">
        <w:t> </w:t>
      </w:r>
      <w:r w:rsidRPr="00E150D8">
        <w:t>(d)(2)(B) would</w:t>
      </w:r>
      <w:r w:rsidRPr="00E150D8" w:rsidR="00E11BE0">
        <w:t xml:space="preserve"> thwart the </w:t>
      </w:r>
      <w:r w:rsidR="00DC6C30">
        <w:t>l</w:t>
      </w:r>
      <w:r w:rsidR="006A635B">
        <w:t xml:space="preserve">emon </w:t>
      </w:r>
      <w:r w:rsidR="00DC6C30">
        <w:t>l</w:t>
      </w:r>
      <w:r w:rsidR="006A635B">
        <w:t xml:space="preserve">aw’s </w:t>
      </w:r>
      <w:r w:rsidRPr="00E150D8" w:rsidR="00E11BE0">
        <w:t xml:space="preserve">labeling and notification requirements.  </w:t>
      </w:r>
      <w:r w:rsidRPr="00E150D8" w:rsidR="001526ED">
        <w:t>It noted</w:t>
      </w:r>
      <w:r w:rsidRPr="00E150D8" w:rsidR="0001368A">
        <w:t xml:space="preserve"> that</w:t>
      </w:r>
      <w:r w:rsidRPr="00E150D8" w:rsidR="00A271DE">
        <w:t xml:space="preserve"> the labeling and notification provisions are only triggered when a manufacturer reacquires the defective vehicle</w:t>
      </w:r>
      <w:r w:rsidR="00E014D6">
        <w:t xml:space="preserve">.  It reasoned that </w:t>
      </w:r>
      <w:r w:rsidRPr="00E150D8" w:rsidR="0058010C">
        <w:t xml:space="preserve">allowing </w:t>
      </w:r>
      <w:r w:rsidRPr="00E150D8" w:rsidR="001526ED">
        <w:t>buyers to recover the full restitution remedy after receiving trade-in proceeds would incentivize buyers to reintroduce defective vehicles into the market without the statutorily</w:t>
      </w:r>
      <w:r w:rsidRPr="00E150D8" w:rsidR="00AC3BF0">
        <w:t xml:space="preserve"> </w:t>
      </w:r>
      <w:r w:rsidRPr="00E150D8" w:rsidR="001526ED">
        <w:t xml:space="preserve">required </w:t>
      </w:r>
      <w:r w:rsidR="00511364">
        <w:t>L</w:t>
      </w:r>
      <w:r w:rsidRPr="00E150D8" w:rsidR="001526ED">
        <w:t>emon</w:t>
      </w:r>
      <w:r w:rsidRPr="00E150D8" w:rsidR="00966C4D">
        <w:t xml:space="preserve"> </w:t>
      </w:r>
      <w:r w:rsidRPr="00E150D8" w:rsidR="000D3996">
        <w:t>notifications</w:t>
      </w:r>
      <w:r w:rsidRPr="00E150D8" w:rsidR="003866D0">
        <w:t>, rendering</w:t>
      </w:r>
      <w:r w:rsidRPr="00E150D8" w:rsidR="000D3996">
        <w:t xml:space="preserve"> the</w:t>
      </w:r>
      <w:r w:rsidRPr="00E150D8" w:rsidR="007B7B1F">
        <w:t xml:space="preserve"> labeling and notification</w:t>
      </w:r>
      <w:r w:rsidRPr="00E150D8" w:rsidR="000D3996">
        <w:t xml:space="preserve"> provisions “largely meaningless, a result contrary to the rules of statutory construction</w:t>
      </w:r>
      <w:r w:rsidRPr="00E150D8" w:rsidR="002128BC">
        <w:t>.</w:t>
      </w:r>
      <w:r w:rsidRPr="00E150D8" w:rsidR="000D3996">
        <w:t>”</w:t>
      </w:r>
      <w:r w:rsidRPr="00E150D8" w:rsidR="001526ED">
        <w:t xml:space="preserve">  </w:t>
      </w:r>
      <w:r w:rsidRPr="00E150D8" w:rsidR="00267E83">
        <w:t>(</w:t>
      </w:r>
      <w:r w:rsidRPr="00E150D8" w:rsidR="0058515D">
        <w:rPr>
          <w:i/>
          <w:iCs/>
        </w:rPr>
        <w:t>Niedermeier</w:t>
      </w:r>
      <w:r w:rsidRPr="00E150D8" w:rsidR="0058515D">
        <w:t xml:space="preserve">, </w:t>
      </w:r>
      <w:r w:rsidRPr="00E150D8" w:rsidR="0058515D">
        <w:rPr>
          <w:i/>
          <w:iCs/>
        </w:rPr>
        <w:t>supra</w:t>
      </w:r>
      <w:r w:rsidRPr="00E150D8" w:rsidR="0058515D">
        <w:t>, 56</w:t>
      </w:r>
      <w:r w:rsidRPr="00E150D8" w:rsidR="00593158">
        <w:t> </w:t>
      </w:r>
      <w:r w:rsidRPr="00E150D8" w:rsidR="0058515D">
        <w:t xml:space="preserve">Cal.App.5th </w:t>
      </w:r>
      <w:r w:rsidRPr="00E150D8" w:rsidR="00267E83">
        <w:t>at p.</w:t>
      </w:r>
      <w:r w:rsidRPr="00E150D8" w:rsidR="00593158">
        <w:t> </w:t>
      </w:r>
      <w:r w:rsidRPr="00E150D8" w:rsidR="00267E83">
        <w:t>1072.)</w:t>
      </w:r>
    </w:p>
    <w:p w:rsidR="00343A96" w:rsidRPr="00E150D8" w:rsidP="00CA5D6E" w14:paraId="0C807FAA" w14:textId="77777777">
      <w:pPr>
        <w:tabs>
          <w:tab w:val="left" w:pos="1440"/>
        </w:tabs>
        <w:ind w:firstLine="720"/>
      </w:pPr>
      <w:r w:rsidRPr="00E150D8">
        <w:t>We granted review.</w:t>
      </w:r>
      <w:r w:rsidRPr="00E150D8" w:rsidR="002A0398">
        <w:t xml:space="preserve">  Since that time</w:t>
      </w:r>
      <w:r w:rsidRPr="00E150D8" w:rsidR="00B42EFA">
        <w:t xml:space="preserve">, </w:t>
      </w:r>
      <w:r w:rsidRPr="00E150D8" w:rsidR="001F0296">
        <w:t xml:space="preserve">another division </w:t>
      </w:r>
      <w:r w:rsidRPr="00E150D8" w:rsidR="00762D9A">
        <w:t>of the Second Appellate District</w:t>
      </w:r>
      <w:r w:rsidRPr="00E150D8" w:rsidR="0044534C">
        <w:t xml:space="preserve"> </w:t>
      </w:r>
      <w:r w:rsidR="005825CC">
        <w:t xml:space="preserve">has </w:t>
      </w:r>
      <w:r w:rsidRPr="00E150D8" w:rsidR="00717C80">
        <w:t xml:space="preserve">disagreed with </w:t>
      </w:r>
      <w:r w:rsidRPr="00E150D8" w:rsidR="00717C80">
        <w:rPr>
          <w:i/>
          <w:iCs/>
        </w:rPr>
        <w:t>Niedermeier</w:t>
      </w:r>
      <w:r w:rsidRPr="00E150D8" w:rsidR="00717C80">
        <w:t xml:space="preserve"> and held </w:t>
      </w:r>
      <w:r w:rsidRPr="00E150D8" w:rsidR="00887962">
        <w:t xml:space="preserve">that </w:t>
      </w:r>
      <w:r w:rsidRPr="00E150D8" w:rsidR="00AB2628">
        <w:t xml:space="preserve">a manufacturer is not entitled to </w:t>
      </w:r>
      <w:r w:rsidRPr="00E150D8" w:rsidR="00387A5D">
        <w:t>a reduction in</w:t>
      </w:r>
      <w:r w:rsidRPr="00E150D8" w:rsidR="0011670A">
        <w:t xml:space="preserve"> </w:t>
      </w:r>
      <w:r w:rsidRPr="00E150D8" w:rsidR="00F54D2C">
        <w:t xml:space="preserve">restitution </w:t>
      </w:r>
      <w:r w:rsidRPr="00E150D8" w:rsidR="00A25303">
        <w:t xml:space="preserve">damages </w:t>
      </w:r>
      <w:r w:rsidRPr="00E150D8" w:rsidR="00C028A2">
        <w:t xml:space="preserve">under </w:t>
      </w:r>
      <w:r w:rsidRPr="00E150D8" w:rsidR="003E7F6D">
        <w:t>section</w:t>
      </w:r>
      <w:r w:rsidRPr="00E150D8" w:rsidR="00C12A00">
        <w:t> </w:t>
      </w:r>
      <w:r w:rsidRPr="00E150D8" w:rsidR="003E7F6D">
        <w:t>1793.2, subdivision</w:t>
      </w:r>
      <w:r w:rsidRPr="00E150D8" w:rsidR="00C12A00">
        <w:t> </w:t>
      </w:r>
      <w:r w:rsidRPr="00E150D8" w:rsidR="003E7F6D">
        <w:t xml:space="preserve">(d)(2) </w:t>
      </w:r>
      <w:r w:rsidRPr="00E150D8" w:rsidR="008C2B89">
        <w:t xml:space="preserve">for the net cash </w:t>
      </w:r>
      <w:r w:rsidRPr="00E150D8" w:rsidR="006F4877">
        <w:t xml:space="preserve">a </w:t>
      </w:r>
      <w:r w:rsidRPr="00E150D8" w:rsidR="004548F3">
        <w:t>plaintiff receive</w:t>
      </w:r>
      <w:r w:rsidRPr="00E150D8" w:rsidR="006F4877">
        <w:t>s</w:t>
      </w:r>
      <w:r w:rsidRPr="00E150D8" w:rsidR="004548F3">
        <w:t xml:space="preserve"> </w:t>
      </w:r>
      <w:r w:rsidRPr="00E150D8" w:rsidR="006F4877">
        <w:t xml:space="preserve">after selling a </w:t>
      </w:r>
      <w:r w:rsidRPr="00E150D8" w:rsidR="004548F3">
        <w:t xml:space="preserve">defective vehicle to a third party.  </w:t>
      </w:r>
      <w:r w:rsidRPr="00E150D8" w:rsidR="001624E2">
        <w:t>(</w:t>
      </w:r>
      <w:r w:rsidRPr="00E150D8" w:rsidR="001624E2">
        <w:rPr>
          <w:i/>
          <w:iCs/>
        </w:rPr>
        <w:t xml:space="preserve">Figueroa v. FCA US, LLC </w:t>
      </w:r>
      <w:r w:rsidRPr="00E150D8" w:rsidR="001624E2">
        <w:t>(2022) 84</w:t>
      </w:r>
      <w:r w:rsidRPr="00E150D8" w:rsidR="000142CF">
        <w:t> </w:t>
      </w:r>
      <w:r w:rsidRPr="00E150D8" w:rsidR="001624E2">
        <w:t>Cal.App.5th 708,</w:t>
      </w:r>
      <w:r w:rsidRPr="00E150D8" w:rsidR="00EF78FC">
        <w:t xml:space="preserve"> </w:t>
      </w:r>
      <w:r w:rsidRPr="00E150D8" w:rsidR="00FF76F0">
        <w:t>713–</w:t>
      </w:r>
      <w:r w:rsidRPr="00E150D8" w:rsidR="004578D0">
        <w:t>714</w:t>
      </w:r>
      <w:r w:rsidRPr="00E150D8" w:rsidR="001624E2">
        <w:t xml:space="preserve"> (</w:t>
      </w:r>
      <w:r w:rsidRPr="00E150D8" w:rsidR="001624E2">
        <w:rPr>
          <w:i/>
          <w:iCs/>
        </w:rPr>
        <w:t>Figueroa</w:t>
      </w:r>
      <w:r w:rsidRPr="00E150D8" w:rsidR="001624E2">
        <w:t xml:space="preserve">).)  </w:t>
      </w:r>
      <w:r w:rsidRPr="00E150D8" w:rsidR="001A2508">
        <w:t xml:space="preserve">We granted review in </w:t>
      </w:r>
      <w:r w:rsidRPr="00E150D8" w:rsidR="001A2508">
        <w:rPr>
          <w:i/>
          <w:iCs/>
        </w:rPr>
        <w:t xml:space="preserve">Figueroa </w:t>
      </w:r>
      <w:r w:rsidRPr="00E150D8" w:rsidR="00D814B1">
        <w:t>o</w:t>
      </w:r>
      <w:r w:rsidRPr="00E150D8" w:rsidR="004723DF">
        <w:t>n February</w:t>
      </w:r>
      <w:r w:rsidRPr="00E150D8" w:rsidR="001A2508">
        <w:t xml:space="preserve"> </w:t>
      </w:r>
      <w:r w:rsidRPr="00E150D8" w:rsidR="00D814B1">
        <w:t xml:space="preserve">1, </w:t>
      </w:r>
      <w:r w:rsidRPr="00E150D8" w:rsidR="001A2508">
        <w:t>2023</w:t>
      </w:r>
      <w:r w:rsidRPr="00E150D8" w:rsidR="00F74482">
        <w:t>,</w:t>
      </w:r>
      <w:r w:rsidRPr="00E150D8" w:rsidR="001A2508">
        <w:t xml:space="preserve"> and deferred further action in that matter until after this case is decided.</w:t>
      </w:r>
      <w:r w:rsidRPr="00E150D8" w:rsidR="00232307">
        <w:t xml:space="preserve"> </w:t>
      </w:r>
    </w:p>
    <w:p w:rsidR="00402A62" w:rsidRPr="00E150D8" w:rsidP="00CA5D6E" w14:paraId="0C807FAB" w14:textId="77777777">
      <w:pPr>
        <w:tabs>
          <w:tab w:val="left" w:pos="1440"/>
        </w:tabs>
        <w:ind w:firstLine="720"/>
      </w:pPr>
      <w:r>
        <w:t>M</w:t>
      </w:r>
      <w:r w:rsidRPr="00E150D8">
        <w:t xml:space="preserve">ore recently, the Third Appellate District </w:t>
      </w:r>
      <w:r w:rsidRPr="00E150D8" w:rsidR="003F6C43">
        <w:t xml:space="preserve">also disagreed with </w:t>
      </w:r>
      <w:r w:rsidRPr="00E150D8" w:rsidR="003F6C43">
        <w:rPr>
          <w:i/>
          <w:iCs/>
        </w:rPr>
        <w:t>Niedermeier</w:t>
      </w:r>
      <w:r>
        <w:t xml:space="preserve">.  It </w:t>
      </w:r>
      <w:r w:rsidRPr="00E150D8" w:rsidR="008B25AC">
        <w:t xml:space="preserve">agreed </w:t>
      </w:r>
      <w:r w:rsidRPr="00E150D8" w:rsidR="001E5889">
        <w:t xml:space="preserve">with </w:t>
      </w:r>
      <w:r w:rsidRPr="00E150D8" w:rsidR="00382B6D">
        <w:rPr>
          <w:i/>
          <w:iCs/>
        </w:rPr>
        <w:t xml:space="preserve">Figueroa </w:t>
      </w:r>
      <w:r w:rsidRPr="00E150D8" w:rsidR="003F6C43">
        <w:t xml:space="preserve">that </w:t>
      </w:r>
      <w:r w:rsidRPr="00E150D8" w:rsidR="00BA4428">
        <w:t>a</w:t>
      </w:r>
      <w:r w:rsidRPr="00E150D8" w:rsidR="00D07C6B">
        <w:t xml:space="preserve"> </w:t>
      </w:r>
      <w:r w:rsidRPr="00E150D8" w:rsidR="005D6AC2">
        <w:t xml:space="preserve">buyer’s </w:t>
      </w:r>
      <w:r w:rsidRPr="00E150D8" w:rsidR="00A964D9">
        <w:t xml:space="preserve">restitution under the Act does not exclude </w:t>
      </w:r>
      <w:r w:rsidRPr="00E150D8" w:rsidR="00CC033F">
        <w:t xml:space="preserve">the </w:t>
      </w:r>
      <w:r w:rsidRPr="00E150D8" w:rsidR="00D07C6B">
        <w:t>credit a buyer receives when trading in a defective vehicle</w:t>
      </w:r>
      <w:r w:rsidRPr="00E150D8" w:rsidR="003F6C43">
        <w:t>.  (</w:t>
      </w:r>
      <w:r w:rsidRPr="00E150D8" w:rsidR="00847D7B">
        <w:rPr>
          <w:i/>
          <w:iCs/>
        </w:rPr>
        <w:t xml:space="preserve">Williams v. FCA </w:t>
      </w:r>
      <w:r w:rsidRPr="00E150D8" w:rsidR="003F6C43">
        <w:rPr>
          <w:i/>
          <w:iCs/>
        </w:rPr>
        <w:t xml:space="preserve">US LLC </w:t>
      </w:r>
      <w:r w:rsidRPr="00E150D8" w:rsidR="003F6C43">
        <w:t>(202</w:t>
      </w:r>
      <w:r w:rsidRPr="00E150D8" w:rsidR="00847D7B">
        <w:t>3</w:t>
      </w:r>
      <w:r w:rsidRPr="00E150D8" w:rsidR="003F6C43">
        <w:t xml:space="preserve">) </w:t>
      </w:r>
      <w:r w:rsidRPr="00E150D8" w:rsidR="00097690">
        <w:t>88</w:t>
      </w:r>
      <w:r w:rsidRPr="00E150D8" w:rsidR="000142CF">
        <w:t> </w:t>
      </w:r>
      <w:r w:rsidRPr="00E150D8" w:rsidR="003F6C43">
        <w:t xml:space="preserve">Cal.App.5th </w:t>
      </w:r>
      <w:r w:rsidRPr="00E150D8" w:rsidR="00510AF3">
        <w:t>765</w:t>
      </w:r>
      <w:r w:rsidRPr="00E150D8" w:rsidR="00097690">
        <w:t xml:space="preserve">, </w:t>
      </w:r>
      <w:r w:rsidRPr="00E150D8" w:rsidR="00920FF0">
        <w:t>772</w:t>
      </w:r>
      <w:r w:rsidRPr="00E150D8" w:rsidR="00732387">
        <w:t xml:space="preserve"> </w:t>
      </w:r>
      <w:r w:rsidRPr="00E150D8" w:rsidR="003F6C43">
        <w:t>(</w:t>
      </w:r>
      <w:r w:rsidRPr="00E150D8" w:rsidR="00FE218A">
        <w:rPr>
          <w:i/>
          <w:iCs/>
        </w:rPr>
        <w:t>Williams</w:t>
      </w:r>
      <w:r w:rsidRPr="00E150D8" w:rsidR="003F6C43">
        <w:t xml:space="preserve">).)  </w:t>
      </w:r>
      <w:r>
        <w:t>The court</w:t>
      </w:r>
      <w:r w:rsidRPr="00E150D8" w:rsidR="0012179F">
        <w:t xml:space="preserve"> concluded</w:t>
      </w:r>
      <w:r w:rsidRPr="00E150D8" w:rsidR="00BA794A">
        <w:t xml:space="preserve"> that the jury impermissibly deducted </w:t>
      </w:r>
      <w:r w:rsidRPr="00E150D8" w:rsidR="001625E9">
        <w:t xml:space="preserve">the buyer’s </w:t>
      </w:r>
      <w:r w:rsidRPr="00E150D8" w:rsidR="00886C48">
        <w:t xml:space="preserve">$29,500 </w:t>
      </w:r>
      <w:r w:rsidRPr="00E150D8" w:rsidR="001625E9">
        <w:t>trade</w:t>
      </w:r>
      <w:r w:rsidRPr="00E150D8" w:rsidR="00C512DF">
        <w:t>-</w:t>
      </w:r>
      <w:r w:rsidRPr="00E150D8" w:rsidR="001625E9">
        <w:t xml:space="preserve">in credit </w:t>
      </w:r>
      <w:r w:rsidRPr="00E150D8" w:rsidR="007B69D6">
        <w:t xml:space="preserve">when calculating the actual price paid or payable </w:t>
      </w:r>
      <w:r w:rsidRPr="00E150D8" w:rsidR="00694C29">
        <w:t xml:space="preserve">as provided in the statutory restitution </w:t>
      </w:r>
      <w:r w:rsidRPr="00E150D8" w:rsidR="00C512DF">
        <w:t>remedy</w:t>
      </w:r>
      <w:r w:rsidRPr="00E150D8" w:rsidR="00694C29">
        <w:t xml:space="preserve">.  </w:t>
      </w:r>
      <w:r w:rsidRPr="00E150D8" w:rsidR="005935E7">
        <w:t>(</w:t>
      </w:r>
      <w:r w:rsidRPr="00E150D8" w:rsidR="005935E7">
        <w:rPr>
          <w:i/>
          <w:iCs/>
        </w:rPr>
        <w:t>Id.</w:t>
      </w:r>
      <w:r w:rsidRPr="00E150D8" w:rsidR="005935E7">
        <w:t xml:space="preserve"> at p.</w:t>
      </w:r>
      <w:r w:rsidRPr="00E150D8" w:rsidR="00A42248">
        <w:t> </w:t>
      </w:r>
      <w:r w:rsidRPr="00E150D8" w:rsidR="005935E7">
        <w:t xml:space="preserve">786.)  </w:t>
      </w:r>
      <w:r w:rsidRPr="00E150D8" w:rsidR="00FE218A">
        <w:t xml:space="preserve">We granted review in </w:t>
      </w:r>
      <w:r w:rsidRPr="00E150D8" w:rsidR="00FE218A">
        <w:rPr>
          <w:i/>
          <w:iCs/>
        </w:rPr>
        <w:t xml:space="preserve">Williams </w:t>
      </w:r>
      <w:r w:rsidRPr="00E150D8" w:rsidR="00FE218A">
        <w:t xml:space="preserve">on </w:t>
      </w:r>
      <w:r w:rsidRPr="00E150D8" w:rsidR="00F97FF4">
        <w:t xml:space="preserve">May 3, </w:t>
      </w:r>
      <w:r w:rsidRPr="00E150D8" w:rsidR="00FE218A">
        <w:t>2023</w:t>
      </w:r>
      <w:r w:rsidRPr="00E150D8" w:rsidR="00BA7FD3">
        <w:t>,</w:t>
      </w:r>
      <w:r w:rsidRPr="00E150D8" w:rsidR="00FE218A">
        <w:t xml:space="preserve"> and deferred further action in that matter until after this case is decided.</w:t>
      </w:r>
    </w:p>
    <w:p w:rsidR="00343A96" w:rsidRPr="00E150D8" w:rsidP="00CA5D6E" w14:paraId="0C807FAC" w14:textId="77777777">
      <w:pPr>
        <w:pStyle w:val="Heading1"/>
        <w:spacing w:before="0" w:line="400" w:lineRule="exact"/>
      </w:pPr>
      <w:r w:rsidRPr="00E150D8">
        <w:t xml:space="preserve">II.  </w:t>
      </w:r>
      <w:r w:rsidRPr="00E150D8" w:rsidR="00CC54CD">
        <w:t>Discussion</w:t>
      </w:r>
    </w:p>
    <w:p w:rsidR="00B05715" w:rsidRPr="00E150D8" w:rsidP="008910E5" w14:paraId="0C807FAD" w14:textId="77777777">
      <w:pPr>
        <w:tabs>
          <w:tab w:val="left" w:pos="1440"/>
        </w:tabs>
        <w:ind w:firstLine="720"/>
      </w:pPr>
      <w:r w:rsidRPr="00E150D8">
        <w:t>We are</w:t>
      </w:r>
      <w:r w:rsidRPr="00E150D8" w:rsidR="00E356AF">
        <w:t xml:space="preserve"> first</w:t>
      </w:r>
      <w:r w:rsidRPr="00E150D8">
        <w:t xml:space="preserve"> asked to determine whether</w:t>
      </w:r>
      <w:r w:rsidRPr="00E150D8" w:rsidR="00CB4052">
        <w:t xml:space="preserve"> </w:t>
      </w:r>
      <w:r w:rsidRPr="00E150D8" w:rsidR="00F52A20">
        <w:t>a</w:t>
      </w:r>
      <w:r w:rsidRPr="00E150D8">
        <w:t xml:space="preserve"> consumer’s restitution </w:t>
      </w:r>
      <w:r w:rsidR="004442E6">
        <w:t xml:space="preserve">damages </w:t>
      </w:r>
      <w:r w:rsidRPr="00E150D8">
        <w:t>award</w:t>
      </w:r>
      <w:r w:rsidR="009F4C97">
        <w:t>,</w:t>
      </w:r>
      <w:r w:rsidRPr="00E150D8">
        <w:t xml:space="preserve"> </w:t>
      </w:r>
      <w:r w:rsidR="009F4C97">
        <w:t>de</w:t>
      </w:r>
      <w:r w:rsidR="00E014D6">
        <w:t>fined</w:t>
      </w:r>
      <w:r w:rsidR="009F4C97">
        <w:t xml:space="preserve"> in </w:t>
      </w:r>
      <w:r w:rsidRPr="00BE3953">
        <w:t>section</w:t>
      </w:r>
      <w:r w:rsidRPr="00BE3953" w:rsidR="008851E5">
        <w:t> </w:t>
      </w:r>
      <w:r w:rsidRPr="00BE3953">
        <w:t>1793.2, subdivision</w:t>
      </w:r>
      <w:r w:rsidRPr="00BE3953" w:rsidR="008851E5">
        <w:t> </w:t>
      </w:r>
      <w:r w:rsidRPr="00BE3953">
        <w:t>(d)(2)</w:t>
      </w:r>
      <w:r w:rsidR="009F4C97">
        <w:t>,</w:t>
      </w:r>
      <w:r w:rsidRPr="00E150D8">
        <w:t xml:space="preserve"> </w:t>
      </w:r>
      <w:r w:rsidRPr="00E150D8" w:rsidR="00EA6383">
        <w:t xml:space="preserve">must </w:t>
      </w:r>
      <w:r w:rsidRPr="00E150D8">
        <w:t>be reduced by th</w:t>
      </w:r>
      <w:r w:rsidRPr="00E150D8" w:rsidR="00EA6383">
        <w:t>e</w:t>
      </w:r>
      <w:r w:rsidRPr="00E150D8" w:rsidR="00CB4052">
        <w:t xml:space="preserve"> </w:t>
      </w:r>
      <w:r w:rsidRPr="00E150D8" w:rsidR="003F7CAF">
        <w:t>proceeds</w:t>
      </w:r>
      <w:r w:rsidRPr="00E150D8" w:rsidR="005848C3">
        <w:t xml:space="preserve"> </w:t>
      </w:r>
      <w:r w:rsidRPr="00E150D8" w:rsidR="00E85ECE">
        <w:t>the consumer</w:t>
      </w:r>
      <w:r w:rsidRPr="00E150D8" w:rsidR="005848C3">
        <w:t xml:space="preserve"> receive</w:t>
      </w:r>
      <w:r w:rsidRPr="00E150D8" w:rsidR="00E85ECE">
        <w:t>s</w:t>
      </w:r>
      <w:r w:rsidRPr="00E150D8" w:rsidR="005848C3">
        <w:t xml:space="preserve"> after trading in </w:t>
      </w:r>
      <w:r w:rsidRPr="00E150D8" w:rsidR="003F7CAF">
        <w:t xml:space="preserve">or selling </w:t>
      </w:r>
      <w:r w:rsidRPr="00E150D8" w:rsidR="005848C3">
        <w:t>a defective vehicle</w:t>
      </w:r>
      <w:r w:rsidRPr="00E150D8">
        <w:t xml:space="preserve">.  </w:t>
      </w:r>
      <w:r w:rsidRPr="00E150D8" w:rsidR="007247D7">
        <w:t>This is a</w:t>
      </w:r>
      <w:r w:rsidRPr="00E150D8" w:rsidR="0066548E">
        <w:t xml:space="preserve"> </w:t>
      </w:r>
      <w:r w:rsidRPr="00E150D8" w:rsidR="00C61101">
        <w:t xml:space="preserve">question </w:t>
      </w:r>
      <w:r w:rsidRPr="00E150D8" w:rsidR="007247D7">
        <w:t>of statutory construction, which we review de novo.  (</w:t>
      </w:r>
      <w:r w:rsidRPr="00E150D8" w:rsidR="009555A4">
        <w:rPr>
          <w:i/>
          <w:iCs/>
        </w:rPr>
        <w:t xml:space="preserve">Apple, Inc. v. Superior Court </w:t>
      </w:r>
      <w:r w:rsidRPr="00E150D8" w:rsidR="009555A4">
        <w:t>(2013) 56</w:t>
      </w:r>
      <w:r w:rsidR="00D450DF">
        <w:t> </w:t>
      </w:r>
      <w:r w:rsidRPr="00E150D8" w:rsidR="009555A4">
        <w:t xml:space="preserve">Cal.4th 128, 135.)  </w:t>
      </w:r>
      <w:r w:rsidRPr="00E150D8" w:rsidR="00D83359">
        <w:t>As</w:t>
      </w:r>
      <w:r w:rsidRPr="00E150D8" w:rsidR="000F6937">
        <w:t xml:space="preserve"> </w:t>
      </w:r>
      <w:r w:rsidRPr="00E150D8" w:rsidR="00B66B14">
        <w:t>with</w:t>
      </w:r>
      <w:r w:rsidRPr="00E150D8" w:rsidR="00D83359">
        <w:t xml:space="preserve"> all cases of statutory interpretation, “[w]e first examine the statutory language, giving it a plain and commonsense meaning.  [Citation.]  We do not consider statutory language in isolation; instead, we examine the entire statute to construe the words in context.  [Citation.]  If the language is unambiguous, </w:t>
      </w:r>
      <w:r w:rsidRPr="00EB2BB8" w:rsidR="00D83359">
        <w:t>‘then the Legislature is presumed to have meant what it said, and the plain meaning of the language governs.’</w:t>
      </w:r>
      <w:r w:rsidR="00ED44B1">
        <w:t> </w:t>
      </w:r>
      <w:r w:rsidRPr="00EB2BB8" w:rsidR="00B66B14">
        <w:t>”</w:t>
      </w:r>
      <w:r w:rsidRPr="00EB2BB8" w:rsidR="00D83359">
        <w:t xml:space="preserve">  </w:t>
      </w:r>
      <w:r w:rsidRPr="00E150D8" w:rsidR="00B66B14">
        <w:t>(</w:t>
      </w:r>
      <w:r w:rsidRPr="00E150D8" w:rsidR="00B66B14">
        <w:rPr>
          <w:i/>
          <w:iCs/>
        </w:rPr>
        <w:t>Kirzhner</w:t>
      </w:r>
      <w:r w:rsidRPr="00E150D8" w:rsidR="0075332A">
        <w:rPr>
          <w:i/>
          <w:iCs/>
        </w:rPr>
        <w:t xml:space="preserve"> v.</w:t>
      </w:r>
      <w:r w:rsidRPr="00E150D8" w:rsidR="001A295E">
        <w:rPr>
          <w:i/>
          <w:iCs/>
        </w:rPr>
        <w:t> </w:t>
      </w:r>
      <w:r w:rsidRPr="00E150D8" w:rsidR="0075332A">
        <w:rPr>
          <w:i/>
          <w:iCs/>
        </w:rPr>
        <w:t xml:space="preserve">Mercedes–Benz USA, LLC </w:t>
      </w:r>
      <w:r w:rsidRPr="00E150D8" w:rsidR="0075332A">
        <w:t>(2020) 9</w:t>
      </w:r>
      <w:r w:rsidRPr="00E150D8" w:rsidR="00E601E8">
        <w:t> </w:t>
      </w:r>
      <w:r w:rsidRPr="00E150D8" w:rsidR="0075332A">
        <w:t>Cal.5th 966</w:t>
      </w:r>
      <w:r w:rsidRPr="00E150D8" w:rsidR="00804D23">
        <w:t xml:space="preserve">, </w:t>
      </w:r>
      <w:r w:rsidRPr="00E150D8" w:rsidR="00B66B14">
        <w:t>972</w:t>
      </w:r>
      <w:r w:rsidRPr="00E150D8" w:rsidR="00EC0F0D">
        <w:t xml:space="preserve"> (</w:t>
      </w:r>
      <w:r w:rsidRPr="00E150D8" w:rsidR="00EC0F0D">
        <w:rPr>
          <w:i/>
          <w:iCs/>
        </w:rPr>
        <w:t>Kirzhner</w:t>
      </w:r>
      <w:r w:rsidRPr="00E150D8" w:rsidR="00EC0F0D">
        <w:t>)</w:t>
      </w:r>
      <w:r w:rsidRPr="00E150D8" w:rsidR="00804D23">
        <w:t xml:space="preserve">.)  </w:t>
      </w:r>
      <w:r w:rsidRPr="00E150D8" w:rsidR="00B66B14">
        <w:t>Further, “there is no need for construction, nor is it necessary to resort to indicia of the intent of the Legislature” to interpret the statute.  (</w:t>
      </w:r>
      <w:r w:rsidRPr="00E150D8" w:rsidR="00B66B14">
        <w:rPr>
          <w:i/>
          <w:iCs/>
        </w:rPr>
        <w:t>Lungren v. Deukmejian</w:t>
      </w:r>
      <w:r w:rsidRPr="00E150D8" w:rsidR="00B66B14">
        <w:t xml:space="preserve"> (1988) 45</w:t>
      </w:r>
      <w:r w:rsidRPr="00E150D8" w:rsidR="00E601E8">
        <w:t> </w:t>
      </w:r>
      <w:r w:rsidRPr="00E150D8" w:rsidR="00B66B14">
        <w:t>Cal.3d 727, 735.)</w:t>
      </w:r>
    </w:p>
    <w:p w:rsidR="00D83359" w:rsidRPr="00E150D8" w:rsidP="008910E5" w14:paraId="0C807FAE" w14:textId="77777777">
      <w:pPr>
        <w:tabs>
          <w:tab w:val="left" w:pos="1440"/>
        </w:tabs>
        <w:ind w:firstLine="720"/>
      </w:pPr>
      <w:r w:rsidRPr="00E150D8">
        <w:t>On the other hand, “</w:t>
      </w:r>
      <w:r w:rsidR="00D450DF">
        <w:t> </w:t>
      </w:r>
      <w:r w:rsidRPr="00E150D8">
        <w:t>‘[i]f the statutory language permits more than one reasonable interpretation, courts may consider other aids, such as the statute</w:t>
      </w:r>
      <w:r w:rsidRPr="00E150D8" w:rsidR="00822F3C">
        <w:t>’</w:t>
      </w:r>
      <w:r w:rsidRPr="00E150D8">
        <w:t>s purpose, legislative history, and public policy.’</w:t>
      </w:r>
      <w:r w:rsidR="00D450DF">
        <w:t> </w:t>
      </w:r>
      <w:r w:rsidRPr="00E150D8">
        <w:t>”  (</w:t>
      </w:r>
      <w:r w:rsidRPr="00E150D8">
        <w:rPr>
          <w:i/>
          <w:iCs/>
        </w:rPr>
        <w:t>Kirzhner</w:t>
      </w:r>
      <w:r w:rsidRPr="00E150D8">
        <w:t xml:space="preserve">, </w:t>
      </w:r>
      <w:r w:rsidRPr="00E150D8">
        <w:rPr>
          <w:i/>
          <w:iCs/>
        </w:rPr>
        <w:t>supra</w:t>
      </w:r>
      <w:r w:rsidRPr="00E150D8">
        <w:t>, 9</w:t>
      </w:r>
      <w:r w:rsidRPr="00E150D8" w:rsidR="00E601E8">
        <w:t> </w:t>
      </w:r>
      <w:r w:rsidRPr="00E150D8">
        <w:t>Cal.5th at p.</w:t>
      </w:r>
      <w:r w:rsidRPr="00E150D8" w:rsidR="00233D22">
        <w:t> </w:t>
      </w:r>
      <w:r w:rsidRPr="00E150D8">
        <w:t xml:space="preserve">972.)  </w:t>
      </w:r>
      <w:r w:rsidRPr="00E150D8" w:rsidR="00B05715">
        <w:t>When more than one statutory construction is arguably possible, our policy is “</w:t>
      </w:r>
      <w:r w:rsidRPr="00E150D8" w:rsidR="0007644D">
        <w:t> </w:t>
      </w:r>
      <w:r w:rsidRPr="00E150D8" w:rsidR="00B05715">
        <w:t>‘to favor the construction that leads to the more reasonable result.’  [Citation.]  This policy derives largely from the presumption that the Legislature intends reasonable results consistent with the apparent purpose of the legislation.  [Citation.]  Thus, our task is to select the construction that comports most closely with the Legislature</w:t>
      </w:r>
      <w:r w:rsidRPr="00E150D8" w:rsidR="00732C21">
        <w:t>’</w:t>
      </w:r>
      <w:r w:rsidRPr="00E150D8" w:rsidR="00B05715">
        <w:t>s apparent intent, with a view to promoting rather than defeating the statutes’ general purpose, and to avoid a construction that would lead to unreasonable, impractical, or arbitrary results.”  (</w:t>
      </w:r>
      <w:r w:rsidRPr="00E150D8" w:rsidR="00B05715">
        <w:rPr>
          <w:i/>
          <w:iCs/>
        </w:rPr>
        <w:t>Imperial Merchant Services,</w:t>
      </w:r>
      <w:r w:rsidRPr="00E150D8" w:rsidR="0075326D">
        <w:rPr>
          <w:i/>
          <w:iCs/>
        </w:rPr>
        <w:t xml:space="preserve"> </w:t>
      </w:r>
      <w:r w:rsidRPr="00E150D8" w:rsidR="00B05715">
        <w:rPr>
          <w:i/>
          <w:iCs/>
        </w:rPr>
        <w:t>Inc. v. Hunt</w:t>
      </w:r>
      <w:r w:rsidRPr="00E150D8" w:rsidR="00B05715">
        <w:t xml:space="preserve"> (2009) 47</w:t>
      </w:r>
      <w:r w:rsidRPr="00E150D8" w:rsidR="00BB611F">
        <w:t> </w:t>
      </w:r>
      <w:r w:rsidRPr="00E150D8" w:rsidR="00B05715">
        <w:t>Cal.4th 381, 388.)</w:t>
      </w:r>
      <w:r w:rsidRPr="00E150D8" w:rsidR="00732C21">
        <w:t xml:space="preserve">  W</w:t>
      </w:r>
      <w:r w:rsidRPr="00E150D8" w:rsidR="003B37B2">
        <w:t xml:space="preserve">e </w:t>
      </w:r>
      <w:r w:rsidRPr="00E150D8" w:rsidR="00732C21">
        <w:t xml:space="preserve">also </w:t>
      </w:r>
      <w:r w:rsidRPr="00E150D8" w:rsidR="003B37B2">
        <w:t>keep in mind that the</w:t>
      </w:r>
      <w:r w:rsidRPr="00E150D8">
        <w:t xml:space="preserve"> Act is </w:t>
      </w:r>
      <w:r w:rsidRPr="00E150D8" w:rsidR="00B64B41">
        <w:t>“ </w:t>
      </w:r>
      <w:r w:rsidRPr="00E150D8">
        <w:t>‘manifestly a remedial measure, intended for the protection of the consumer; it should be given a construction calculated to bring its benefits into action.’</w:t>
      </w:r>
      <w:r w:rsidR="00ED44B1">
        <w:t> </w:t>
      </w:r>
      <w:r w:rsidRPr="00E150D8">
        <w:t>”  (</w:t>
      </w:r>
      <w:r w:rsidRPr="00E150D8">
        <w:rPr>
          <w:i/>
          <w:iCs/>
        </w:rPr>
        <w:t>Murillo v. Fleetwood Enterprises, Inc.</w:t>
      </w:r>
      <w:r w:rsidRPr="00E150D8">
        <w:t xml:space="preserve"> (1998) 17</w:t>
      </w:r>
      <w:r w:rsidRPr="00E150D8" w:rsidR="0075326D">
        <w:t> </w:t>
      </w:r>
      <w:r w:rsidRPr="00E150D8">
        <w:t>Cal.4th 985, 990</w:t>
      </w:r>
      <w:r w:rsidRPr="00E150D8" w:rsidR="00F628EB">
        <w:t xml:space="preserve"> (</w:t>
      </w:r>
      <w:r w:rsidRPr="00E150D8" w:rsidR="00F628EB">
        <w:rPr>
          <w:i/>
          <w:iCs/>
        </w:rPr>
        <w:t>Murillo</w:t>
      </w:r>
      <w:r w:rsidRPr="00E150D8" w:rsidR="00F628EB">
        <w:t>)</w:t>
      </w:r>
      <w:r w:rsidRPr="00E150D8" w:rsidR="00FB75F9">
        <w:t xml:space="preserve">; </w:t>
      </w:r>
      <w:r w:rsidRPr="00E150D8" w:rsidR="0013061E">
        <w:t xml:space="preserve">see also </w:t>
      </w:r>
      <w:r w:rsidRPr="00E150D8" w:rsidR="0013061E">
        <w:rPr>
          <w:i/>
          <w:iCs/>
        </w:rPr>
        <w:t xml:space="preserve">People ex rel. Lungren v. Superior Court </w:t>
      </w:r>
      <w:r w:rsidRPr="00E150D8" w:rsidR="0013061E">
        <w:t>(1996) 14</w:t>
      </w:r>
      <w:r w:rsidRPr="00E150D8" w:rsidR="0075326D">
        <w:t> </w:t>
      </w:r>
      <w:r w:rsidRPr="00E150D8" w:rsidR="0013061E">
        <w:t>Cal.4th 294</w:t>
      </w:r>
      <w:r w:rsidRPr="00E150D8" w:rsidR="004C4827">
        <w:t>, 31</w:t>
      </w:r>
      <w:r w:rsidR="00B4016E">
        <w:t>3</w:t>
      </w:r>
      <w:r w:rsidRPr="00E150D8" w:rsidR="0013061E">
        <w:t xml:space="preserve"> [“</w:t>
      </w:r>
      <w:r w:rsidRPr="00E150D8" w:rsidR="00B63056">
        <w:t>civil statutes for the protection of the public are, generally, broadly construed in favor of that protective purpose”</w:t>
      </w:r>
      <w:r w:rsidRPr="00E150D8" w:rsidR="0013061E">
        <w:t xml:space="preserve">]; </w:t>
      </w:r>
      <w:r w:rsidRPr="00E150D8" w:rsidR="00FB75F9">
        <w:t xml:space="preserve">see </w:t>
      </w:r>
      <w:r w:rsidRPr="00E150D8" w:rsidR="00513CC7">
        <w:rPr>
          <w:i/>
          <w:iCs/>
        </w:rPr>
        <w:t xml:space="preserve">Pineda v. Williams-Sonoma Stores, Inc. </w:t>
      </w:r>
      <w:r w:rsidRPr="00E150D8" w:rsidR="00513CC7">
        <w:t>(2011) 51</w:t>
      </w:r>
      <w:r w:rsidRPr="00E150D8" w:rsidR="0075326D">
        <w:t> </w:t>
      </w:r>
      <w:r w:rsidRPr="00E150D8" w:rsidR="00513CC7">
        <w:t xml:space="preserve">Cal.4th 524, </w:t>
      </w:r>
      <w:r w:rsidRPr="00E150D8" w:rsidR="005037D3">
        <w:t xml:space="preserve">530 </w:t>
      </w:r>
      <w:r w:rsidR="0089168C">
        <w:t>(</w:t>
      </w:r>
      <w:r w:rsidR="0089168C">
        <w:rPr>
          <w:i/>
          <w:iCs/>
        </w:rPr>
        <w:t>Pineda</w:t>
      </w:r>
      <w:r w:rsidR="0089168C">
        <w:t xml:space="preserve">) </w:t>
      </w:r>
      <w:r w:rsidRPr="00E150D8" w:rsidR="005037D3">
        <w:t>[</w:t>
      </w:r>
      <w:r w:rsidRPr="00E150D8" w:rsidR="00C6012D">
        <w:t xml:space="preserve">liberally </w:t>
      </w:r>
      <w:r w:rsidRPr="00E150D8" w:rsidR="005037D3">
        <w:t xml:space="preserve">construing </w:t>
      </w:r>
      <w:r w:rsidRPr="00E150D8" w:rsidR="0006025C">
        <w:t>§</w:t>
      </w:r>
      <w:r w:rsidRPr="00E150D8" w:rsidR="0075326D">
        <w:t> </w:t>
      </w:r>
      <w:r w:rsidRPr="00E150D8" w:rsidR="00BD7751">
        <w:t xml:space="preserve">1747.08 of the </w:t>
      </w:r>
      <w:r w:rsidRPr="00E150D8" w:rsidR="005037D3">
        <w:t>Song</w:t>
      </w:r>
      <w:r w:rsidR="0099608A">
        <w:t>-</w:t>
      </w:r>
      <w:r w:rsidRPr="00E150D8" w:rsidR="005037D3">
        <w:t>Beverly Credit Card Act]</w:t>
      </w:r>
      <w:r w:rsidRPr="00E150D8">
        <w:t>.)</w:t>
      </w:r>
    </w:p>
    <w:p w:rsidR="00D10051" w:rsidRPr="00E150D8" w:rsidP="00CA5D6E" w14:paraId="0C807FAF" w14:textId="77777777">
      <w:pPr>
        <w:pStyle w:val="Heading2"/>
        <w:spacing w:before="0" w:line="400" w:lineRule="exact"/>
      </w:pPr>
      <w:r w:rsidRPr="00E150D8">
        <w:t>A.</w:t>
      </w:r>
      <w:r w:rsidRPr="00E150D8">
        <w:tab/>
      </w:r>
      <w:r w:rsidR="00891F35">
        <w:t xml:space="preserve">The </w:t>
      </w:r>
      <w:r w:rsidRPr="00E150D8" w:rsidR="00A518FD">
        <w:t xml:space="preserve">Plain </w:t>
      </w:r>
      <w:r w:rsidRPr="00E150D8" w:rsidR="00C1283B">
        <w:t xml:space="preserve">Text of </w:t>
      </w:r>
      <w:r w:rsidR="00D32068">
        <w:t xml:space="preserve">Section 1794 and </w:t>
      </w:r>
      <w:r w:rsidRPr="00E150D8" w:rsidR="00C1283B">
        <w:t>the</w:t>
      </w:r>
      <w:r w:rsidRPr="00E150D8" w:rsidR="0078455D">
        <w:t xml:space="preserve"> Statutory Restitution Remedy</w:t>
      </w:r>
      <w:r w:rsidR="00891F35">
        <w:t xml:space="preserve"> Do Not Support an Offset for </w:t>
      </w:r>
      <w:r w:rsidR="00A923CD">
        <w:t xml:space="preserve">a </w:t>
      </w:r>
      <w:r w:rsidR="00891F35">
        <w:t>Trade-</w:t>
      </w:r>
      <w:r w:rsidR="00525573">
        <w:t>i</w:t>
      </w:r>
      <w:r w:rsidR="00891F35">
        <w:t xml:space="preserve">n </w:t>
      </w:r>
      <w:r w:rsidR="00B75DDD">
        <w:t xml:space="preserve">Credit </w:t>
      </w:r>
      <w:r w:rsidR="00891F35">
        <w:t>or Sale Proceeds</w:t>
      </w:r>
    </w:p>
    <w:p w:rsidR="00624601" w:rsidRPr="00A71ECB" w:rsidP="008910E5" w14:paraId="0C807FB0" w14:textId="77777777">
      <w:pPr>
        <w:tabs>
          <w:tab w:val="left" w:pos="1440"/>
        </w:tabs>
        <w:ind w:firstLine="720"/>
        <w:rPr>
          <w:b/>
          <w:bCs/>
        </w:rPr>
      </w:pPr>
      <w:r>
        <w:t xml:space="preserve">Resolution of the first issue before us requires us to </w:t>
      </w:r>
      <w:r w:rsidR="00B84A2B">
        <w:t>in</w:t>
      </w:r>
      <w:r w:rsidR="002A2AF1">
        <w:t xml:space="preserve">terpret </w:t>
      </w:r>
      <w:r w:rsidR="00044A5E">
        <w:t xml:space="preserve">several </w:t>
      </w:r>
      <w:r w:rsidR="00513D20">
        <w:t>interrelated</w:t>
      </w:r>
      <w:r w:rsidR="00771B45">
        <w:t xml:space="preserve"> provisions of the Act</w:t>
      </w:r>
      <w:r w:rsidR="003868EA">
        <w:t>.</w:t>
      </w:r>
      <w:r w:rsidR="008503CF">
        <w:t xml:space="preserve"> </w:t>
      </w:r>
      <w:r w:rsidR="003868EA">
        <w:t xml:space="preserve"> </w:t>
      </w:r>
      <w:r w:rsidR="002A2AF1">
        <w:t>First</w:t>
      </w:r>
      <w:r w:rsidR="00CF56D0">
        <w:t>,</w:t>
      </w:r>
      <w:r w:rsidR="002A2AF1">
        <w:t xml:space="preserve"> </w:t>
      </w:r>
      <w:r w:rsidR="00D360C9">
        <w:t xml:space="preserve">section 1794, subdivision (a) permits a </w:t>
      </w:r>
      <w:r w:rsidR="006E7606">
        <w:t>buyer</w:t>
      </w:r>
      <w:r w:rsidRPr="00CA7F5B" w:rsidR="00CA7F5B">
        <w:t xml:space="preserve"> who “is damaged by a failure to comply with any obligation” under the Act </w:t>
      </w:r>
      <w:r w:rsidR="0082426A">
        <w:t xml:space="preserve">or under an implied or express warranty or service contract to </w:t>
      </w:r>
      <w:r w:rsidR="00A36155">
        <w:t>“bring an action for the recovery of damages and other legal and equitable relief.”</w:t>
      </w:r>
      <w:r w:rsidR="006E7606">
        <w:t xml:space="preserve"> </w:t>
      </w:r>
      <w:r w:rsidR="00A36155">
        <w:t xml:space="preserve"> (§</w:t>
      </w:r>
      <w:r w:rsidR="00D450DF">
        <w:t> </w:t>
      </w:r>
      <w:r w:rsidR="00A36155">
        <w:t>1794, subd.</w:t>
      </w:r>
      <w:r w:rsidR="00D450DF">
        <w:t> </w:t>
      </w:r>
      <w:r w:rsidR="00A36155">
        <w:t xml:space="preserve">(a).)  </w:t>
      </w:r>
      <w:r w:rsidRPr="00E150D8" w:rsidR="005B53A9">
        <w:t>“</w:t>
      </w:r>
      <w:r w:rsidR="00121891">
        <w:t>T</w:t>
      </w:r>
      <w:r w:rsidRPr="00E150D8" w:rsidR="005B53A9">
        <w:t xml:space="preserve">he measure of the buyer’s damages in an action under this section shall include the rights of replacement or reimbursement as set forth in subdivision (d) of Section 1793.2, </w:t>
      </w:r>
      <w:r w:rsidRPr="00561A9C" w:rsidR="005B53A9">
        <w:t>and the following</w:t>
      </w:r>
      <w:r w:rsidRPr="00E150D8" w:rsidR="005B53A9">
        <w:t xml:space="preserve">: </w:t>
      </w:r>
      <w:r w:rsidR="002723D0">
        <w:t xml:space="preserve"> </w:t>
      </w:r>
      <w:r w:rsidRPr="00E150D8" w:rsidR="005B53A9">
        <w:t>[¶]</w:t>
      </w:r>
      <w:r w:rsidR="00E96159">
        <w:t> </w:t>
      </w:r>
      <w:r w:rsidRPr="00E150D8" w:rsidR="005B53A9">
        <w:t>(1) Where the buyer has rightfully rejected or justifiably revoked acceptance of the goods or has exercised any right to cancel the sale, Sections 2711, 2712, and 2713 of the Commercial Code shall apply.  [¶]</w:t>
      </w:r>
      <w:r w:rsidR="00E3363E">
        <w:t> </w:t>
      </w:r>
      <w:r w:rsidRPr="00E150D8" w:rsidR="005B53A9">
        <w:t>(2) Where the buyer has accepted the goods, Sections 2714 and 2715 of the Commercial Code shall apply, and the measure of damages shall include the cost of repairs necessary to make the goods conform.”</w:t>
      </w:r>
      <w:r w:rsidR="00A71ECB">
        <w:t xml:space="preserve"> </w:t>
      </w:r>
      <w:r w:rsidR="00295131">
        <w:t xml:space="preserve"> </w:t>
      </w:r>
      <w:r w:rsidR="00A71ECB">
        <w:t>(</w:t>
      </w:r>
      <w:r w:rsidR="00A71ECB">
        <w:rPr>
          <w:i/>
          <w:iCs/>
        </w:rPr>
        <w:t>Id.</w:t>
      </w:r>
      <w:r w:rsidR="00A71ECB">
        <w:t>, subd</w:t>
      </w:r>
      <w:r w:rsidR="00DF5055">
        <w:t>.</w:t>
      </w:r>
      <w:r w:rsidR="00A71ECB">
        <w:t xml:space="preserve"> (b).)</w:t>
      </w:r>
    </w:p>
    <w:p w:rsidR="00732C21" w:rsidRPr="00E150D8" w:rsidP="008910E5" w14:paraId="0C807FB1" w14:textId="77777777">
      <w:pPr>
        <w:tabs>
          <w:tab w:val="left" w:pos="1440"/>
        </w:tabs>
        <w:ind w:firstLine="720"/>
      </w:pPr>
      <w:r>
        <w:t>In turn, s</w:t>
      </w:r>
      <w:r w:rsidRPr="00E150D8" w:rsidR="0065457F">
        <w:t>ection</w:t>
      </w:r>
      <w:r w:rsidRPr="00E150D8" w:rsidR="004C4827">
        <w:t> </w:t>
      </w:r>
      <w:r w:rsidRPr="00E150D8" w:rsidR="0065457F">
        <w:t>1793.2, subdivision</w:t>
      </w:r>
      <w:r w:rsidRPr="00E150D8" w:rsidR="004C4827">
        <w:t> </w:t>
      </w:r>
      <w:r w:rsidRPr="00E150D8" w:rsidR="0065457F">
        <w:t xml:space="preserve">(d)(2) of the Act </w:t>
      </w:r>
      <w:r w:rsidRPr="00C67883" w:rsidR="0065457F">
        <w:t>provides</w:t>
      </w:r>
      <w:r w:rsidRPr="00E150D8" w:rsidR="0065457F">
        <w:t xml:space="preserve"> that if a manufacturer or its representative “is unable to service or repair a new motor vehicle</w:t>
      </w:r>
      <w:r w:rsidRPr="00E150D8" w:rsidR="004C4827">
        <w:t> </w:t>
      </w:r>
      <w:r w:rsidRPr="00E150D8" w:rsidR="0065457F">
        <w:t>.</w:t>
      </w:r>
      <w:r w:rsidRPr="00E150D8" w:rsidR="004C4827">
        <w:t> </w:t>
      </w:r>
      <w:r w:rsidRPr="00E150D8" w:rsidR="0065457F">
        <w:t>.</w:t>
      </w:r>
      <w:r w:rsidRPr="00E150D8" w:rsidR="004C4827">
        <w:t> </w:t>
      </w:r>
      <w:r w:rsidRPr="00E150D8" w:rsidR="0065457F">
        <w:t>. to conform to the applicable express warranties after a reasonable number of attempts, the manufacturer shall either promptly replace the new motor vehicle in accordance with subparagraph</w:t>
      </w:r>
      <w:r w:rsidRPr="00E150D8" w:rsidR="00E356D2">
        <w:t> </w:t>
      </w:r>
      <w:r w:rsidRPr="00E150D8" w:rsidR="0065457F">
        <w:t>(A) or promptly make restitution to the buyer in accordance with subparagraph</w:t>
      </w:r>
      <w:r w:rsidRPr="00E150D8" w:rsidR="00E356D2">
        <w:t> </w:t>
      </w:r>
      <w:r w:rsidRPr="00E150D8" w:rsidR="0065457F">
        <w:t xml:space="preserve">(B).  </w:t>
      </w:r>
      <w:r w:rsidR="00A00C12">
        <w:t xml:space="preserve">However, </w:t>
      </w:r>
      <w:r w:rsidRPr="00E150D8" w:rsidR="0065457F">
        <w:t>the buyer shall be free to elect restitution in lieu of replacement, and in no event shall the buyer be required by the manufacturer to accept a replacement vehicle.”</w:t>
      </w:r>
      <w:r>
        <w:rPr>
          <w:rStyle w:val="FootnoteReference"/>
        </w:rPr>
        <w:footnoteReference w:id="5"/>
      </w:r>
    </w:p>
    <w:p w:rsidR="00250A23" w:rsidP="008910E5" w14:paraId="0C807FB2" w14:textId="77777777">
      <w:pPr>
        <w:tabs>
          <w:tab w:val="left" w:pos="1440"/>
        </w:tabs>
        <w:ind w:firstLine="720"/>
      </w:pPr>
      <w:r>
        <w:t>T</w:t>
      </w:r>
      <w:r w:rsidRPr="00E150D8" w:rsidR="0065457F">
        <w:t>he Act</w:t>
      </w:r>
      <w:r>
        <w:t xml:space="preserve"> provides a </w:t>
      </w:r>
      <w:r w:rsidR="00AB7961">
        <w:t>specific formula for calculating the amount</w:t>
      </w:r>
      <w:r>
        <w:t xml:space="preserve"> of restitution.  According to the Act, </w:t>
      </w:r>
      <w:r w:rsidRPr="00E150D8" w:rsidR="0065457F">
        <w:t xml:space="preserve">“the manufacturer shall make restitution in an amount equal to the actual price paid or payable by the buyer, including any charges for transportation and manufacturer-installed options, but excluding nonmanufacturer items installed by a dealer or the buyer, and including any collateral charges such as sales or use tax, license fees, registration fees, and other official fees, plus any incidental damages to which the buyer is entitled under </w:t>
      </w:r>
      <w:r w:rsidRPr="001A5D55" w:rsidR="0065457F">
        <w:t>S</w:t>
      </w:r>
      <w:r w:rsidRPr="00E150D8" w:rsidR="0065457F">
        <w:t>ection</w:t>
      </w:r>
      <w:r w:rsidRPr="00E150D8" w:rsidR="00E356D2">
        <w:t> </w:t>
      </w:r>
      <w:r w:rsidRPr="00E150D8" w:rsidR="0065457F">
        <w:t xml:space="preserve">1794, including, but not limited to, reasonable repair, towing, and rental car costs actually incurred by the buyer.”  </w:t>
      </w:r>
      <w:r w:rsidRPr="00E150D8" w:rsidR="00625AB9">
        <w:t>(§</w:t>
      </w:r>
      <w:r w:rsidRPr="00E150D8" w:rsidR="00E356D2">
        <w:t> </w:t>
      </w:r>
      <w:r w:rsidRPr="00E150D8" w:rsidR="00625AB9">
        <w:t>1793.2</w:t>
      </w:r>
      <w:r w:rsidRPr="00E150D8" w:rsidR="007B5B74">
        <w:t>, subd.</w:t>
      </w:r>
      <w:r w:rsidRPr="00E150D8" w:rsidR="00E356D2">
        <w:t> </w:t>
      </w:r>
      <w:r w:rsidRPr="00E150D8" w:rsidR="007B5B74">
        <w:t>(d)(2)(B).)</w:t>
      </w:r>
      <w:r w:rsidRPr="00E150D8" w:rsidR="00625AB9">
        <w:t xml:space="preserve"> </w:t>
      </w:r>
      <w:r w:rsidRPr="00E150D8" w:rsidR="007B5B74">
        <w:t xml:space="preserve"> </w:t>
      </w:r>
      <w:r w:rsidRPr="00E150D8" w:rsidR="0065457F">
        <w:t>The amount to be paid to the buyer may</w:t>
      </w:r>
      <w:r w:rsidRPr="00E150D8" w:rsidR="00E15E1B">
        <w:t xml:space="preserve"> also</w:t>
      </w:r>
      <w:r w:rsidRPr="00E150D8" w:rsidR="0065457F">
        <w:t xml:space="preserve"> “be reduced by the manufacturer by that amount directly attributable to use by the buyer prior to the time the buyer first delivered the vehicle to the manufacturer or distributor, or its authorized service and repair facility for correction of the problem that gave rise to the nonconformity.”  </w:t>
      </w:r>
      <w:r w:rsidRPr="00E150D8" w:rsidR="00FB6F97">
        <w:t>(§</w:t>
      </w:r>
      <w:r w:rsidRPr="00E150D8" w:rsidR="00E356D2">
        <w:t> </w:t>
      </w:r>
      <w:r w:rsidRPr="00E150D8" w:rsidR="00FB6F97">
        <w:t>1793.2, subd.</w:t>
      </w:r>
      <w:bookmarkStart w:id="12" w:name="_Hlk141201095"/>
      <w:r w:rsidRPr="00E150D8" w:rsidR="00E356D2">
        <w:t> </w:t>
      </w:r>
      <w:bookmarkEnd w:id="12"/>
      <w:r w:rsidRPr="00E150D8" w:rsidR="00FB6F97">
        <w:t>(d)(2)(C).)</w:t>
      </w:r>
      <w:r w:rsidRPr="00E150D8" w:rsidR="001F07BD">
        <w:t xml:space="preserve">  </w:t>
      </w:r>
      <w:r w:rsidR="008355EA">
        <w:t xml:space="preserve">Offsets </w:t>
      </w:r>
      <w:r w:rsidRPr="00E150D8" w:rsidR="00DA0895">
        <w:t xml:space="preserve">for nonmanufacturer items installed by a dealer </w:t>
      </w:r>
      <w:r w:rsidRPr="00E150D8" w:rsidR="000E13B1">
        <w:t xml:space="preserve">or buyer </w:t>
      </w:r>
      <w:r w:rsidRPr="00E150D8" w:rsidR="00DA0895">
        <w:t xml:space="preserve">and </w:t>
      </w:r>
      <w:r w:rsidRPr="00E150D8" w:rsidR="0081192A">
        <w:t>the buyer’s predelivery use of the vehicle</w:t>
      </w:r>
      <w:r w:rsidRPr="00E150D8" w:rsidR="00620C83">
        <w:t xml:space="preserve"> are the only </w:t>
      </w:r>
      <w:r w:rsidRPr="00E150D8" w:rsidR="003B4365">
        <w:t xml:space="preserve">reductions to the </w:t>
      </w:r>
      <w:r w:rsidRPr="00E150D8" w:rsidR="00F71B45">
        <w:t xml:space="preserve">restitution </w:t>
      </w:r>
      <w:r w:rsidRPr="00E150D8" w:rsidR="00D72DDF">
        <w:t xml:space="preserve">remedy </w:t>
      </w:r>
      <w:r w:rsidRPr="00E150D8" w:rsidR="001F07BD">
        <w:t>enumerated in section</w:t>
      </w:r>
      <w:r w:rsidRPr="00E150D8" w:rsidR="00E356D2">
        <w:t> </w:t>
      </w:r>
      <w:r w:rsidRPr="00E150D8" w:rsidR="001F07BD">
        <w:t>1793.2</w:t>
      </w:r>
      <w:r w:rsidRPr="00E150D8" w:rsidR="00CC4326">
        <w:t>, subdivision</w:t>
      </w:r>
      <w:r w:rsidRPr="00E150D8" w:rsidR="00E356D2">
        <w:t> </w:t>
      </w:r>
      <w:r w:rsidRPr="00E150D8" w:rsidR="00CC4326">
        <w:t>(d).</w:t>
      </w:r>
    </w:p>
    <w:p w:rsidR="004F1BD8" w:rsidRPr="00E150D8" w:rsidP="00CA5D6E" w14:paraId="0C807FB3" w14:textId="77777777">
      <w:pPr>
        <w:pStyle w:val="Heading3"/>
        <w:numPr>
          <w:ilvl w:val="0"/>
          <w:numId w:val="5"/>
        </w:numPr>
        <w:spacing w:before="0" w:line="400" w:lineRule="exact"/>
      </w:pPr>
      <w:r>
        <w:t>The Statutory Restitution Remedy</w:t>
      </w:r>
      <w:r w:rsidR="004F0C6A">
        <w:t xml:space="preserve"> Does Not </w:t>
      </w:r>
      <w:r w:rsidR="00C912A4">
        <w:t>Allow a Re</w:t>
      </w:r>
      <w:r w:rsidR="00D91974">
        <w:t xml:space="preserve">stitution Award to Be Reduced </w:t>
      </w:r>
      <w:r w:rsidR="00DE725D">
        <w:t>b</w:t>
      </w:r>
      <w:r w:rsidR="00D91974">
        <w:t xml:space="preserve">y </w:t>
      </w:r>
      <w:r w:rsidR="00617C20">
        <w:t>a Trade-</w:t>
      </w:r>
      <w:r w:rsidR="00525573">
        <w:t>i</w:t>
      </w:r>
      <w:r w:rsidR="00617C20">
        <w:t xml:space="preserve">n Credit </w:t>
      </w:r>
      <w:r w:rsidRPr="002D2262" w:rsidR="00617C20">
        <w:t>or Sale Proceeds</w:t>
      </w:r>
    </w:p>
    <w:p w:rsidR="006A1B6B" w:rsidRPr="00E150D8" w:rsidP="008910E5" w14:paraId="0C807FB4" w14:textId="77777777">
      <w:pPr>
        <w:tabs>
          <w:tab w:val="left" w:pos="1440"/>
        </w:tabs>
        <w:ind w:firstLine="720"/>
      </w:pPr>
      <w:r>
        <w:t>T</w:t>
      </w:r>
      <w:r w:rsidRPr="00E150D8" w:rsidR="00B66B14">
        <w:t xml:space="preserve">he parties </w:t>
      </w:r>
      <w:r w:rsidRPr="00E150D8" w:rsidR="00CA1685">
        <w:t>di</w:t>
      </w:r>
      <w:r>
        <w:t>sagree</w:t>
      </w:r>
      <w:r w:rsidRPr="00E150D8" w:rsidR="00B66B14">
        <w:t xml:space="preserve"> how</w:t>
      </w:r>
      <w:r w:rsidRPr="00E150D8" w:rsidR="001B4207">
        <w:t xml:space="preserve"> the </w:t>
      </w:r>
      <w:r w:rsidRPr="00E150D8" w:rsidR="00906281">
        <w:t xml:space="preserve">restitution </w:t>
      </w:r>
      <w:r w:rsidRPr="00E150D8" w:rsidR="001B4207">
        <w:t>remedy in</w:t>
      </w:r>
      <w:r w:rsidRPr="00E150D8" w:rsidR="00B66B14">
        <w:t xml:space="preserve"> section</w:t>
      </w:r>
      <w:r w:rsidRPr="00E150D8" w:rsidR="00E356D2">
        <w:t> </w:t>
      </w:r>
      <w:r w:rsidRPr="00E150D8" w:rsidR="00B66B14">
        <w:t>1793.2</w:t>
      </w:r>
      <w:r w:rsidRPr="00E150D8" w:rsidR="000A5EA8">
        <w:t>, subdivision</w:t>
      </w:r>
      <w:r w:rsidRPr="00E150D8" w:rsidR="00E356D2">
        <w:t> </w:t>
      </w:r>
      <w:r w:rsidRPr="00E150D8" w:rsidR="000A5EA8">
        <w:t>(d)(2)</w:t>
      </w:r>
      <w:r w:rsidRPr="00E150D8" w:rsidR="00B66B14">
        <w:t xml:space="preserve"> should be interpreted.  </w:t>
      </w:r>
      <w:r w:rsidRPr="00E150D8" w:rsidR="005419DD">
        <w:t>T</w:t>
      </w:r>
      <w:r w:rsidRPr="00E150D8" w:rsidR="00E13166">
        <w:t xml:space="preserve">he parties </w:t>
      </w:r>
      <w:r w:rsidRPr="00E150D8" w:rsidR="005419DD">
        <w:t xml:space="preserve">specifically </w:t>
      </w:r>
      <w:r w:rsidRPr="00E150D8" w:rsidR="00E13166">
        <w:t xml:space="preserve">disagree whether </w:t>
      </w:r>
      <w:r w:rsidRPr="00E150D8" w:rsidR="00666984">
        <w:t xml:space="preserve">the amount Niedermeier received </w:t>
      </w:r>
      <w:r w:rsidRPr="00E150D8" w:rsidR="00002E3E">
        <w:t xml:space="preserve">when she traded in the defective vehicle </w:t>
      </w:r>
      <w:r w:rsidRPr="00E150D8" w:rsidR="00666984">
        <w:t>should be excluded from the statutory restitution remedy</w:t>
      </w:r>
      <w:r w:rsidRPr="00E150D8" w:rsidR="00E13166">
        <w:t xml:space="preserve">.  Niedermeier argues the Act’s plain language lays out the precise </w:t>
      </w:r>
      <w:r w:rsidRPr="00E150D8" w:rsidR="00C1678E">
        <w:t xml:space="preserve">measure and </w:t>
      </w:r>
      <w:r w:rsidRPr="00E150D8" w:rsidR="00E13166">
        <w:t xml:space="preserve">scope of restitution and does not permit any reduction in </w:t>
      </w:r>
      <w:r w:rsidRPr="00E150D8" w:rsidR="0007420E">
        <w:t>the restitution</w:t>
      </w:r>
      <w:r w:rsidRPr="00E150D8" w:rsidR="00E13166">
        <w:t xml:space="preserve"> award </w:t>
      </w:r>
      <w:r w:rsidRPr="00E150D8" w:rsidR="00AB083D">
        <w:t>by the amount of</w:t>
      </w:r>
      <w:r w:rsidRPr="00E150D8" w:rsidR="00E13166">
        <w:t xml:space="preserve"> </w:t>
      </w:r>
      <w:r>
        <w:t>a</w:t>
      </w:r>
      <w:r w:rsidRPr="00E150D8" w:rsidR="00E13166">
        <w:t xml:space="preserve"> trade-in credit.</w:t>
      </w:r>
      <w:r w:rsidRPr="00E150D8" w:rsidR="00DC2EB3">
        <w:t xml:space="preserve">  </w:t>
      </w:r>
      <w:r w:rsidR="008355EA">
        <w:t>Notwithstanding the Act’s</w:t>
      </w:r>
      <w:r w:rsidR="00FA1A4B">
        <w:t xml:space="preserve"> </w:t>
      </w:r>
      <w:r w:rsidR="008355EA">
        <w:t>defin</w:t>
      </w:r>
      <w:r w:rsidR="00223BDB">
        <w:t>ed</w:t>
      </w:r>
      <w:r w:rsidR="008355EA">
        <w:t xml:space="preserve"> restitution</w:t>
      </w:r>
      <w:r w:rsidR="00223BDB">
        <w:t xml:space="preserve"> formula</w:t>
      </w:r>
      <w:r>
        <w:t>,</w:t>
      </w:r>
      <w:r w:rsidR="008355EA">
        <w:t xml:space="preserve"> including </w:t>
      </w:r>
      <w:r w:rsidR="00C97BBC">
        <w:t xml:space="preserve">its express reference to specific </w:t>
      </w:r>
      <w:r w:rsidR="008355EA">
        <w:t xml:space="preserve">permissible offsets, </w:t>
      </w:r>
      <w:r w:rsidRPr="00E150D8" w:rsidR="00E13166">
        <w:t>FCA</w:t>
      </w:r>
      <w:r w:rsidR="008355EA">
        <w:t xml:space="preserve"> </w:t>
      </w:r>
      <w:r w:rsidRPr="00E150D8" w:rsidR="00E13166">
        <w:t>argues that restitution</w:t>
      </w:r>
      <w:r w:rsidRPr="00E150D8" w:rsidR="00A46A56">
        <w:t xml:space="preserve"> </w:t>
      </w:r>
      <w:r w:rsidRPr="00E150D8" w:rsidR="00C1678E">
        <w:t>should be given</w:t>
      </w:r>
      <w:r w:rsidRPr="00E150D8" w:rsidR="00A46A56">
        <w:t xml:space="preserve"> the same meaning as provided in common law</w:t>
      </w:r>
      <w:r w:rsidR="00C97BBC">
        <w:t xml:space="preserve">.  According to FCA, </w:t>
      </w:r>
      <w:r w:rsidRPr="00E150D8" w:rsidR="00C1678E">
        <w:t xml:space="preserve">Niedermeier’s </w:t>
      </w:r>
      <w:r w:rsidRPr="00E150D8" w:rsidR="00C76348">
        <w:t xml:space="preserve">restitution award </w:t>
      </w:r>
      <w:r w:rsidRPr="00E150D8" w:rsidR="00C1678E">
        <w:t xml:space="preserve">should be reduced by the </w:t>
      </w:r>
      <w:r w:rsidR="004D53CE">
        <w:t xml:space="preserve">amount </w:t>
      </w:r>
      <w:r w:rsidR="00374D99">
        <w:t xml:space="preserve">she recovered when </w:t>
      </w:r>
      <w:r w:rsidRPr="00E150D8" w:rsidR="00C1678E">
        <w:t>trad</w:t>
      </w:r>
      <w:r w:rsidR="00374D99">
        <w:t xml:space="preserve">ing </w:t>
      </w:r>
      <w:r w:rsidRPr="00E150D8" w:rsidR="00C1678E">
        <w:t xml:space="preserve">in </w:t>
      </w:r>
      <w:r w:rsidR="00374D99">
        <w:t xml:space="preserve">the </w:t>
      </w:r>
      <w:r w:rsidR="00E62268">
        <w:t xml:space="preserve">vehicle </w:t>
      </w:r>
      <w:r w:rsidRPr="00E150D8" w:rsidR="00C1678E">
        <w:t xml:space="preserve">in order </w:t>
      </w:r>
      <w:r w:rsidRPr="00E150D8" w:rsidR="00E13166">
        <w:t xml:space="preserve">to </w:t>
      </w:r>
      <w:r w:rsidRPr="00E150D8" w:rsidR="00C1678E">
        <w:t>avoid a double recovery</w:t>
      </w:r>
      <w:r w:rsidRPr="00E150D8" w:rsidR="00E13166">
        <w:t>.</w:t>
      </w:r>
    </w:p>
    <w:p w:rsidR="00704199" w:rsidRPr="00E150D8" w:rsidP="008910E5" w14:paraId="0C807FB5" w14:textId="77777777">
      <w:pPr>
        <w:tabs>
          <w:tab w:val="left" w:pos="1440"/>
        </w:tabs>
        <w:ind w:firstLine="720"/>
      </w:pPr>
      <w:r>
        <w:t xml:space="preserve">We </w:t>
      </w:r>
      <w:r w:rsidR="007A5ED7">
        <w:t xml:space="preserve">agree with Niedermeier and </w:t>
      </w:r>
      <w:r w:rsidRPr="00E150D8" w:rsidR="004217BB">
        <w:t xml:space="preserve">conclude </w:t>
      </w:r>
      <w:r w:rsidRPr="00E150D8" w:rsidR="00B05715">
        <w:t>the plain language of the Act does not sup</w:t>
      </w:r>
      <w:r w:rsidRPr="00E150D8" w:rsidR="00437A83">
        <w:t>p</w:t>
      </w:r>
      <w:r w:rsidRPr="00E150D8" w:rsidR="00B05715">
        <w:t>ort</w:t>
      </w:r>
      <w:r w:rsidRPr="00E150D8" w:rsidR="007119F9">
        <w:t xml:space="preserve"> </w:t>
      </w:r>
      <w:r w:rsidRPr="00E150D8" w:rsidR="00CA7DB1">
        <w:t>FCA’s construction</w:t>
      </w:r>
      <w:r w:rsidRPr="00E150D8" w:rsidR="004315DE">
        <w:t xml:space="preserve"> of section 1793.2</w:t>
      </w:r>
      <w:r w:rsidRPr="00E150D8" w:rsidR="00E13166">
        <w:t xml:space="preserve">.  </w:t>
      </w:r>
      <w:r w:rsidR="007B1038">
        <w:t>A</w:t>
      </w:r>
      <w:r w:rsidRPr="00E150D8" w:rsidR="00E242C5">
        <w:t xml:space="preserve">s noted above, </w:t>
      </w:r>
      <w:r w:rsidRPr="00E150D8" w:rsidR="00D549DE">
        <w:t>t</w:t>
      </w:r>
      <w:r w:rsidRPr="00E150D8" w:rsidR="00E13166">
        <w:t>h</w:t>
      </w:r>
      <w:r w:rsidRPr="00E150D8" w:rsidR="00B12C3D">
        <w:t>e</w:t>
      </w:r>
      <w:r w:rsidRPr="00E150D8" w:rsidR="00E13166">
        <w:t xml:space="preserve"> </w:t>
      </w:r>
      <w:r w:rsidRPr="00E150D8" w:rsidR="008976F4">
        <w:t xml:space="preserve">Act’s </w:t>
      </w:r>
      <w:r w:rsidRPr="00E150D8" w:rsidR="00E13166">
        <w:t xml:space="preserve">plain language </w:t>
      </w:r>
      <w:r w:rsidRPr="00E150D8" w:rsidR="00AF497A">
        <w:t xml:space="preserve">lays out </w:t>
      </w:r>
      <w:r w:rsidRPr="00E150D8" w:rsidR="00E13166">
        <w:t xml:space="preserve">a </w:t>
      </w:r>
      <w:r w:rsidRPr="00E150D8" w:rsidR="007D489E">
        <w:t xml:space="preserve">specific </w:t>
      </w:r>
      <w:r w:rsidR="002B4D0B">
        <w:t>formula for calculating the amount of</w:t>
      </w:r>
      <w:r w:rsidRPr="00E150D8" w:rsidR="00E13166">
        <w:t xml:space="preserve"> restitution</w:t>
      </w:r>
      <w:r w:rsidRPr="00E150D8" w:rsidR="00F26B57">
        <w:t xml:space="preserve"> to be paid by the manufacturer</w:t>
      </w:r>
      <w:r w:rsidR="00F24298">
        <w:t xml:space="preserve"> </w:t>
      </w:r>
      <w:r w:rsidR="009B2047">
        <w:t xml:space="preserve">as damages </w:t>
      </w:r>
      <w:r w:rsidR="00F24298">
        <w:t xml:space="preserve">in an action </w:t>
      </w:r>
      <w:r w:rsidR="00A37D49">
        <w:t>pursuant to section 1794</w:t>
      </w:r>
      <w:r w:rsidR="0067048A">
        <w:t>.</w:t>
      </w:r>
      <w:r w:rsidRPr="00E150D8" w:rsidR="00D549DE">
        <w:t xml:space="preserve"> </w:t>
      </w:r>
      <w:r w:rsidR="0067048A">
        <w:t xml:space="preserve"> The statutory restitution remedy has </w:t>
      </w:r>
      <w:r w:rsidRPr="00E150D8" w:rsidR="00D549DE">
        <w:t>clearly enumerated exceptions</w:t>
      </w:r>
      <w:r w:rsidRPr="00E150D8" w:rsidR="00001151">
        <w:t>, none of which include</w:t>
      </w:r>
      <w:r w:rsidRPr="00E150D8" w:rsidR="00E85ECE">
        <w:t>s</w:t>
      </w:r>
      <w:r w:rsidRPr="00E150D8" w:rsidR="00001151">
        <w:t xml:space="preserve"> the offset requested by FCA</w:t>
      </w:r>
      <w:r w:rsidRPr="00E150D8" w:rsidR="00E13166">
        <w:t xml:space="preserve">.  </w:t>
      </w:r>
      <w:r w:rsidRPr="00E150D8" w:rsidR="00C1577B">
        <w:t>(Accord,</w:t>
      </w:r>
      <w:r w:rsidRPr="00E150D8" w:rsidR="00C1577B">
        <w:rPr>
          <w:i/>
          <w:iCs/>
        </w:rPr>
        <w:t xml:space="preserve"> Figueroa</w:t>
      </w:r>
      <w:r w:rsidRPr="00E150D8" w:rsidR="00C1577B">
        <w:t xml:space="preserve">, </w:t>
      </w:r>
      <w:r w:rsidRPr="00E150D8" w:rsidR="00C1577B">
        <w:rPr>
          <w:i/>
          <w:iCs/>
        </w:rPr>
        <w:t>supra</w:t>
      </w:r>
      <w:r w:rsidRPr="00E150D8" w:rsidR="00C1577B">
        <w:t>, 84</w:t>
      </w:r>
      <w:r w:rsidRPr="00E150D8" w:rsidR="001B1E37">
        <w:t> </w:t>
      </w:r>
      <w:r w:rsidRPr="00E150D8" w:rsidR="00C1577B">
        <w:t>Cal.App.5th at p.</w:t>
      </w:r>
      <w:r w:rsidRPr="00E150D8" w:rsidR="001B1E37">
        <w:t> </w:t>
      </w:r>
      <w:r w:rsidRPr="00E150D8" w:rsidR="00C1577B">
        <w:t xml:space="preserve">712 [“[t]he statute is clear and unequivocal”]; </w:t>
      </w:r>
      <w:r w:rsidRPr="00E150D8" w:rsidR="00C1577B">
        <w:rPr>
          <w:i/>
          <w:iCs/>
        </w:rPr>
        <w:t>Williams</w:t>
      </w:r>
      <w:r w:rsidRPr="00E150D8" w:rsidR="00C1577B">
        <w:t xml:space="preserve">, </w:t>
      </w:r>
      <w:r w:rsidRPr="00E150D8" w:rsidR="00C1577B">
        <w:rPr>
          <w:i/>
          <w:iCs/>
        </w:rPr>
        <w:t>supra</w:t>
      </w:r>
      <w:r w:rsidRPr="00E150D8" w:rsidR="00C1577B">
        <w:t xml:space="preserve">, </w:t>
      </w:r>
      <w:r w:rsidRPr="00E150D8" w:rsidR="00D367CA">
        <w:t>88</w:t>
      </w:r>
      <w:r w:rsidRPr="00E150D8" w:rsidR="001B1E37">
        <w:t> </w:t>
      </w:r>
      <w:r w:rsidRPr="00E150D8" w:rsidR="00C1577B">
        <w:t>Cal.App.5th at p.</w:t>
      </w:r>
      <w:r w:rsidRPr="00E150D8" w:rsidR="001B1E37">
        <w:t> </w:t>
      </w:r>
      <w:r w:rsidRPr="00E150D8" w:rsidR="0080500E">
        <w:t>780</w:t>
      </w:r>
      <w:r w:rsidRPr="00E150D8" w:rsidR="00C1577B">
        <w:t xml:space="preserve"> [“[a]lthough the Legislature used the word ‘restitution’ in section</w:t>
      </w:r>
      <w:r w:rsidRPr="00E150D8" w:rsidR="001B1E37">
        <w:t> </w:t>
      </w:r>
      <w:r w:rsidRPr="00E150D8" w:rsidR="00C1577B">
        <w:t>1793.2, subdivision</w:t>
      </w:r>
      <w:r w:rsidRPr="00E150D8" w:rsidR="001B1E37">
        <w:t> </w:t>
      </w:r>
      <w:r w:rsidRPr="00E150D8" w:rsidR="00C1577B">
        <w:t xml:space="preserve">(d), it clearly defined </w:t>
      </w:r>
      <w:r w:rsidRPr="00E150D8" w:rsidR="00C1577B">
        <w:rPr>
          <w:i/>
          <w:iCs/>
        </w:rPr>
        <w:t>that term</w:t>
      </w:r>
      <w:r w:rsidRPr="00E150D8" w:rsidR="00C1577B">
        <w:t xml:space="preserve"> in the restitution provision by stating it is ‘an amount equal to the actual price paid</w:t>
      </w:r>
      <w:r w:rsidRPr="00E150D8" w:rsidR="001A295E">
        <w:t xml:space="preserve"> </w:t>
      </w:r>
      <w:r w:rsidRPr="00E150D8" w:rsidR="00C1577B">
        <w:t>or payable by the buyer</w:t>
      </w:r>
      <w:r w:rsidRPr="00E150D8" w:rsidR="00D676AC">
        <w:t>,</w:t>
      </w:r>
      <w:r w:rsidRPr="00E150D8" w:rsidR="00C1577B">
        <w:t>’ a calculus that includes and exclude</w:t>
      </w:r>
      <w:r w:rsidRPr="00E150D8" w:rsidR="00EF1945">
        <w:t>s</w:t>
      </w:r>
      <w:r w:rsidRPr="00E150D8" w:rsidR="00C1577B">
        <w:t xml:space="preserve"> specified costs” (original</w:t>
      </w:r>
      <w:r w:rsidR="00A12B24">
        <w:t xml:space="preserve"> italics</w:t>
      </w:r>
      <w:r w:rsidRPr="00E150D8" w:rsidR="00C1577B">
        <w:t>)].)</w:t>
      </w:r>
    </w:p>
    <w:p w:rsidR="00D549DE" w:rsidRPr="00E150D8" w:rsidP="008910E5" w14:paraId="0C807FB6" w14:textId="77777777">
      <w:pPr>
        <w:tabs>
          <w:tab w:val="left" w:pos="720"/>
        </w:tabs>
      </w:pPr>
      <w:r w:rsidRPr="00E150D8">
        <w:tab/>
      </w:r>
      <w:r w:rsidR="006F7473">
        <w:t>N</w:t>
      </w:r>
      <w:r w:rsidRPr="00E150D8" w:rsidR="00A65454">
        <w:t xml:space="preserve">owhere does </w:t>
      </w:r>
      <w:r w:rsidR="00D03A02">
        <w:t>section 1793.2</w:t>
      </w:r>
      <w:r w:rsidRPr="00E150D8" w:rsidR="00A65454">
        <w:t xml:space="preserve"> provide that </w:t>
      </w:r>
      <w:r w:rsidRPr="00E150D8" w:rsidR="00265738">
        <w:t xml:space="preserve">a </w:t>
      </w:r>
      <w:r w:rsidRPr="00E150D8" w:rsidR="00217D98">
        <w:t xml:space="preserve">restitution award must be </w:t>
      </w:r>
      <w:r w:rsidRPr="00E150D8" w:rsidR="00545B4D">
        <w:t xml:space="preserve">reduced by </w:t>
      </w:r>
      <w:r w:rsidRPr="00E150D8" w:rsidR="00633509">
        <w:t>any</w:t>
      </w:r>
      <w:r w:rsidRPr="00E150D8" w:rsidR="002C40D8">
        <w:t xml:space="preserve"> </w:t>
      </w:r>
      <w:r w:rsidR="008C47A2">
        <w:t>amount</w:t>
      </w:r>
      <w:r w:rsidRPr="00E150D8" w:rsidR="008C47A2">
        <w:t xml:space="preserve"> </w:t>
      </w:r>
      <w:r w:rsidRPr="00E150D8" w:rsidR="00A22F82">
        <w:t xml:space="preserve">a </w:t>
      </w:r>
      <w:r w:rsidRPr="00E150D8" w:rsidR="00EA1FD3">
        <w:t xml:space="preserve">buyer </w:t>
      </w:r>
      <w:r w:rsidRPr="00E150D8" w:rsidR="00DD0F5C">
        <w:t>receives when</w:t>
      </w:r>
      <w:r w:rsidRPr="00E150D8" w:rsidR="002C40D8">
        <w:t xml:space="preserve"> </w:t>
      </w:r>
      <w:r w:rsidRPr="00E150D8" w:rsidR="00DD0F5C">
        <w:t xml:space="preserve">trading in </w:t>
      </w:r>
      <w:r w:rsidR="00341DF4">
        <w:t xml:space="preserve">or selling </w:t>
      </w:r>
      <w:r w:rsidRPr="00E150D8" w:rsidR="00DD0F5C">
        <w:t>the defective vehicle to a third party.</w:t>
      </w:r>
      <w:r w:rsidRPr="00E150D8" w:rsidR="00AD7122">
        <w:t xml:space="preserve">  </w:t>
      </w:r>
      <w:r w:rsidRPr="00E150D8">
        <w:t>In order to adopt FCA’s statutory construction, we would have to ignore the</w:t>
      </w:r>
      <w:r w:rsidRPr="00E150D8" w:rsidR="008D5300">
        <w:t xml:space="preserve"> words </w:t>
      </w:r>
      <w:r w:rsidRPr="00E150D8" w:rsidR="00A22F82">
        <w:t xml:space="preserve">following </w:t>
      </w:r>
      <w:r w:rsidRPr="00E150D8" w:rsidR="008D5300">
        <w:t>“restitution”</w:t>
      </w:r>
      <w:r w:rsidRPr="00E150D8" w:rsidR="00F91771">
        <w:t xml:space="preserve"> </w:t>
      </w:r>
      <w:r w:rsidRPr="00E150D8" w:rsidR="00D04F7E">
        <w:t xml:space="preserve">in </w:t>
      </w:r>
      <w:r w:rsidRPr="00E150D8" w:rsidR="00EB7B57">
        <w:t xml:space="preserve">section 1793.2, </w:t>
      </w:r>
      <w:r w:rsidRPr="00E150D8" w:rsidR="00D04F7E">
        <w:t>subdivision</w:t>
      </w:r>
      <w:r w:rsidRPr="00E150D8" w:rsidR="00352ADA">
        <w:t> </w:t>
      </w:r>
      <w:r w:rsidRPr="00E150D8" w:rsidR="00D04F7E">
        <w:t>(d)(2)(B)</w:t>
      </w:r>
      <w:r w:rsidRPr="00E150D8" w:rsidR="0022672E">
        <w:t xml:space="preserve">, </w:t>
      </w:r>
      <w:r w:rsidRPr="00E150D8" w:rsidR="00546E44">
        <w:t xml:space="preserve">including </w:t>
      </w:r>
      <w:r w:rsidRPr="00E150D8" w:rsidR="00F91771">
        <w:t>“paid or payable”</w:t>
      </w:r>
      <w:r w:rsidRPr="00E150D8" w:rsidR="0022672E">
        <w:t xml:space="preserve"> and the enumerated exception</w:t>
      </w:r>
      <w:r w:rsidR="00C97BBC">
        <w:t>s</w:t>
      </w:r>
      <w:r w:rsidRPr="00E150D8">
        <w:t>.  “[O]ur office is simply to ascertain and declare what the statute contains, not to change its scope by reading into it language it does not contain or by reading out of it language it does.  We may not rewrite the statute to conform to an assumed intention that does not appear in its language.”  (</w:t>
      </w:r>
      <w:r w:rsidRPr="00E150D8">
        <w:rPr>
          <w:i/>
          <w:iCs/>
        </w:rPr>
        <w:t>Vasquez v. State of California</w:t>
      </w:r>
      <w:r w:rsidRPr="00E150D8">
        <w:t xml:space="preserve"> (2008) 45</w:t>
      </w:r>
      <w:r w:rsidRPr="00E150D8" w:rsidR="00352ADA">
        <w:t> </w:t>
      </w:r>
      <w:r w:rsidRPr="00E150D8">
        <w:t>Cal.4th 243, 253</w:t>
      </w:r>
      <w:r w:rsidR="002A1F88">
        <w:t>;</w:t>
      </w:r>
      <w:r w:rsidRPr="00E150D8" w:rsidR="00860415">
        <w:t xml:space="preserve"> see also </w:t>
      </w:r>
      <w:r w:rsidRPr="00E150D8" w:rsidR="00860415">
        <w:rPr>
          <w:i/>
          <w:iCs/>
        </w:rPr>
        <w:t>Jiagbogu</w:t>
      </w:r>
      <w:r w:rsidRPr="00D421DC" w:rsidR="00D421DC">
        <w:rPr>
          <w:i/>
          <w:iCs/>
        </w:rPr>
        <w:t xml:space="preserve"> </w:t>
      </w:r>
      <w:r w:rsidRPr="00544458" w:rsidR="00D421DC">
        <w:rPr>
          <w:i/>
          <w:iCs/>
        </w:rPr>
        <w:t>v. Mercedes–Benz</w:t>
      </w:r>
      <w:r w:rsidRPr="00544458" w:rsidR="00D421DC">
        <w:t> </w:t>
      </w:r>
      <w:r w:rsidRPr="00544458" w:rsidR="00D421DC">
        <w:rPr>
          <w:i/>
          <w:iCs/>
        </w:rPr>
        <w:t>USA</w:t>
      </w:r>
      <w:r w:rsidRPr="00544458" w:rsidR="00D421DC">
        <w:t xml:space="preserve"> (2004) 118 Cal.App.4th 1235, 1241 (</w:t>
      </w:r>
      <w:r w:rsidRPr="00544458" w:rsidR="00D421DC">
        <w:rPr>
          <w:i/>
          <w:iCs/>
        </w:rPr>
        <w:t>Jiagbogu</w:t>
      </w:r>
      <w:r w:rsidRPr="00544458" w:rsidR="00D421DC">
        <w:t>)</w:t>
      </w:r>
      <w:r w:rsidRPr="00E150D8" w:rsidR="00860415">
        <w:t xml:space="preserve"> [“We may not rewrite the section to conform to that unexpressed, supposed intent”]</w:t>
      </w:r>
      <w:r w:rsidRPr="00E150D8" w:rsidR="009F5908">
        <w:t xml:space="preserve">; see also </w:t>
      </w:r>
      <w:r w:rsidRPr="00E150D8" w:rsidR="009F5908">
        <w:rPr>
          <w:i/>
          <w:iCs/>
        </w:rPr>
        <w:t>Figueroa</w:t>
      </w:r>
      <w:r w:rsidRPr="00E150D8" w:rsidR="004828BA">
        <w:t xml:space="preserve">, </w:t>
      </w:r>
      <w:r w:rsidRPr="00E150D8" w:rsidR="004828BA">
        <w:rPr>
          <w:i/>
          <w:iCs/>
        </w:rPr>
        <w:t>supra</w:t>
      </w:r>
      <w:r w:rsidRPr="00E150D8" w:rsidR="004828BA">
        <w:t>,</w:t>
      </w:r>
      <w:r w:rsidRPr="00E150D8" w:rsidR="00E51D02">
        <w:t xml:space="preserve"> 84</w:t>
      </w:r>
      <w:r w:rsidRPr="00E150D8" w:rsidR="00352ADA">
        <w:t> </w:t>
      </w:r>
      <w:r w:rsidRPr="00E150D8" w:rsidR="00E51D02">
        <w:t>Cal.App.5th at p.</w:t>
      </w:r>
      <w:r w:rsidRPr="00E150D8" w:rsidR="00352ADA">
        <w:t> </w:t>
      </w:r>
      <w:r w:rsidRPr="00E150D8" w:rsidR="00E32FF9">
        <w:t>712</w:t>
      </w:r>
      <w:r w:rsidRPr="00E150D8" w:rsidR="004828BA">
        <w:t xml:space="preserve"> </w:t>
      </w:r>
      <w:r w:rsidRPr="00E150D8" w:rsidR="00397291">
        <w:t>[“We cannot add words to a clear and unequivocal statute”]</w:t>
      </w:r>
      <w:r w:rsidRPr="00E150D8" w:rsidR="00860415">
        <w:t>.)</w:t>
      </w:r>
    </w:p>
    <w:p w:rsidR="00B72B81" w:rsidRPr="00E150D8" w:rsidP="008910E5" w14:paraId="0C807FB7" w14:textId="77777777">
      <w:pPr>
        <w:tabs>
          <w:tab w:val="left" w:pos="1440"/>
          <w:tab w:val="right" w:pos="8640"/>
        </w:tabs>
        <w:ind w:firstLine="720"/>
      </w:pPr>
      <w:r>
        <w:t xml:space="preserve">As noted above, </w:t>
      </w:r>
      <w:r w:rsidRPr="00E150D8" w:rsidR="00E35B13">
        <w:t>t</w:t>
      </w:r>
      <w:r w:rsidRPr="00E150D8" w:rsidR="006B57C3">
        <w:t>he statute</w:t>
      </w:r>
      <w:r w:rsidRPr="00E150D8" w:rsidR="00FB184E">
        <w:t xml:space="preserve"> </w:t>
      </w:r>
      <w:r w:rsidRPr="00E150D8" w:rsidR="007B2A75">
        <w:t xml:space="preserve">excludes </w:t>
      </w:r>
      <w:r w:rsidRPr="00E150D8" w:rsidR="008443FB">
        <w:t xml:space="preserve">nonmanufacturer-installed options </w:t>
      </w:r>
      <w:r w:rsidRPr="00E150D8" w:rsidR="004724F3">
        <w:t xml:space="preserve">from the restitution calculation </w:t>
      </w:r>
      <w:r w:rsidRPr="00E150D8" w:rsidR="0008707A">
        <w:t xml:space="preserve">(§ 1793.2, subd. (d)(2)(B)) </w:t>
      </w:r>
      <w:r w:rsidRPr="00E150D8" w:rsidR="00D40432">
        <w:t xml:space="preserve">and </w:t>
      </w:r>
      <w:r w:rsidRPr="00E150D8" w:rsidR="009115A3">
        <w:t xml:space="preserve">permits </w:t>
      </w:r>
      <w:r w:rsidRPr="00E150D8" w:rsidR="00CA13F2">
        <w:t>the restitution award</w:t>
      </w:r>
      <w:r w:rsidRPr="00E150D8" w:rsidR="00AE6C20">
        <w:t xml:space="preserve"> to be reduced by the</w:t>
      </w:r>
      <w:r w:rsidRPr="00E150D8" w:rsidR="0046613C">
        <w:t xml:space="preserve"> amount of a</w:t>
      </w:r>
      <w:r w:rsidRPr="00E150D8" w:rsidR="00AE6C20">
        <w:t xml:space="preserve"> </w:t>
      </w:r>
      <w:r w:rsidRPr="00E150D8" w:rsidR="008443FB">
        <w:t xml:space="preserve">buyer’s </w:t>
      </w:r>
      <w:r w:rsidRPr="00E150D8" w:rsidR="004C3E1D">
        <w:t xml:space="preserve">predelivery </w:t>
      </w:r>
      <w:r w:rsidRPr="00E150D8" w:rsidR="008443FB">
        <w:t xml:space="preserve">use of the vehicle </w:t>
      </w:r>
      <w:r w:rsidRPr="00E150D8" w:rsidR="0008707A">
        <w:t>(</w:t>
      </w:r>
      <w:r w:rsidRPr="00E150D8" w:rsidR="0008707A">
        <w:rPr>
          <w:i/>
          <w:iCs/>
        </w:rPr>
        <w:t>id.</w:t>
      </w:r>
      <w:r w:rsidRPr="00E150D8" w:rsidR="0008707A">
        <w:t>, subd.</w:t>
      </w:r>
      <w:r w:rsidRPr="00E150D8" w:rsidR="00006B7A">
        <w:t> </w:t>
      </w:r>
      <w:r w:rsidRPr="00E150D8" w:rsidR="0008707A">
        <w:t>(d)(2)(C))</w:t>
      </w:r>
      <w:r w:rsidRPr="00E150D8" w:rsidR="007B2A75">
        <w:t>.</w:t>
      </w:r>
      <w:r w:rsidRPr="00C745A9" w:rsidR="004A0BD0">
        <w:t xml:space="preserve"> </w:t>
      </w:r>
      <w:r w:rsidRPr="00C745A9" w:rsidR="0068060A">
        <w:t xml:space="preserve"> </w:t>
      </w:r>
      <w:r w:rsidRPr="00E150D8" w:rsidR="00622C81">
        <w:t>The choice to include these exceptions, and no other</w:t>
      </w:r>
      <w:r w:rsidRPr="00E150D8" w:rsidR="00251EFB">
        <w:t>s</w:t>
      </w:r>
      <w:r w:rsidRPr="00E150D8" w:rsidR="00622C81">
        <w:t xml:space="preserve">, </w:t>
      </w:r>
      <w:r w:rsidRPr="00E150D8" w:rsidR="003F5AA3">
        <w:t xml:space="preserve">indicates that </w:t>
      </w:r>
      <w:r w:rsidRPr="00E150D8" w:rsidR="00622C81">
        <w:t xml:space="preserve">the Legislature intended to </w:t>
      </w:r>
      <w:r w:rsidRPr="00E150D8" w:rsidR="003773DC">
        <w:t xml:space="preserve">specify </w:t>
      </w:r>
      <w:r w:rsidRPr="00E150D8" w:rsidR="004F7FD9">
        <w:t xml:space="preserve">how restitution awards </w:t>
      </w:r>
      <w:r w:rsidR="00E901B5">
        <w:t xml:space="preserve">for new motor vehicles </w:t>
      </w:r>
      <w:r w:rsidRPr="00E150D8" w:rsidR="004F7FD9">
        <w:t xml:space="preserve">must be calculated, including </w:t>
      </w:r>
      <w:r w:rsidRPr="00E150D8" w:rsidR="00622C81">
        <w:t>limit</w:t>
      </w:r>
      <w:r w:rsidRPr="00E150D8" w:rsidR="004F7FD9">
        <w:t>ing</w:t>
      </w:r>
      <w:r w:rsidRPr="00E150D8" w:rsidR="00622C81">
        <w:t xml:space="preserve"> the </w:t>
      </w:r>
      <w:r w:rsidR="00064BC2">
        <w:t xml:space="preserve">number and type </w:t>
      </w:r>
      <w:r w:rsidRPr="00E150D8" w:rsidR="00622C81">
        <w:t xml:space="preserve">of </w:t>
      </w:r>
      <w:r w:rsidR="00064BC2">
        <w:t>offsets</w:t>
      </w:r>
      <w:r w:rsidRPr="00E150D8" w:rsidR="00512E8C">
        <w:t xml:space="preserve"> </w:t>
      </w:r>
      <w:r w:rsidRPr="00E150D8" w:rsidR="00622C81">
        <w:t>to</w:t>
      </w:r>
      <w:r w:rsidR="000A3343">
        <w:t xml:space="preserve"> </w:t>
      </w:r>
      <w:r w:rsidRPr="00E150D8" w:rsidR="003F5AA3">
        <w:t>those explicitly enumerated</w:t>
      </w:r>
      <w:r w:rsidRPr="00E150D8" w:rsidR="00622C81">
        <w:t>.</w:t>
      </w:r>
      <w:r>
        <w:rPr>
          <w:rStyle w:val="FootnoteReference"/>
        </w:rPr>
        <w:footnoteReference w:id="6"/>
      </w:r>
      <w:r w:rsidRPr="00E150D8" w:rsidR="00622C81">
        <w:t xml:space="preserve">  </w:t>
      </w:r>
      <w:r w:rsidRPr="00E150D8" w:rsidR="007B2A75">
        <w:t>The Legislature recognized</w:t>
      </w:r>
      <w:r w:rsidRPr="00E150D8" w:rsidR="006A17F0">
        <w:t xml:space="preserve"> </w:t>
      </w:r>
      <w:r w:rsidRPr="00E150D8" w:rsidR="004F7867">
        <w:t xml:space="preserve">there were </w:t>
      </w:r>
      <w:r w:rsidRPr="00E150D8" w:rsidR="006A17F0">
        <w:t xml:space="preserve">multiple sources of potential </w:t>
      </w:r>
      <w:r w:rsidRPr="00E150D8" w:rsidR="00611F0C">
        <w:t xml:space="preserve">offsets </w:t>
      </w:r>
      <w:r w:rsidRPr="00E150D8" w:rsidR="007B2BDF">
        <w:t>to the restitution remedy</w:t>
      </w:r>
      <w:r w:rsidRPr="00E150D8" w:rsidR="007B2A75">
        <w:t xml:space="preserve"> </w:t>
      </w:r>
      <w:r w:rsidR="006F7473">
        <w:t>yet</w:t>
      </w:r>
      <w:r w:rsidRPr="00E150D8" w:rsidR="00412FB5">
        <w:t xml:space="preserve"> did not include </w:t>
      </w:r>
      <w:r w:rsidRPr="00E150D8" w:rsidR="000C2C20">
        <w:t xml:space="preserve">trade-in </w:t>
      </w:r>
      <w:r w:rsidRPr="00E150D8" w:rsidR="00F95D29">
        <w:t>credits</w:t>
      </w:r>
      <w:r w:rsidRPr="00E150D8" w:rsidR="007B2A75">
        <w:t xml:space="preserve"> </w:t>
      </w:r>
      <w:r w:rsidR="00DC5D1F">
        <w:t xml:space="preserve">or </w:t>
      </w:r>
      <w:r w:rsidR="00C61E9C">
        <w:t>sales</w:t>
      </w:r>
      <w:r w:rsidR="00DC5D1F">
        <w:t xml:space="preserve"> proceeds </w:t>
      </w:r>
      <w:r w:rsidRPr="00E150D8" w:rsidR="001E676B">
        <w:t>in the statute</w:t>
      </w:r>
      <w:r w:rsidRPr="00E150D8" w:rsidR="007B2A75">
        <w:t xml:space="preserve">. </w:t>
      </w:r>
      <w:r w:rsidRPr="00E150D8" w:rsidR="00622C81">
        <w:t xml:space="preserve"> </w:t>
      </w:r>
      <w:r w:rsidRPr="00E150D8" w:rsidR="007B2A75">
        <w:t xml:space="preserve">The Legislature could have </w:t>
      </w:r>
      <w:r w:rsidRPr="00E150D8" w:rsidR="00A5140D">
        <w:t xml:space="preserve">stated that </w:t>
      </w:r>
      <w:r w:rsidRPr="00E150D8" w:rsidR="00F00B5C">
        <w:t xml:space="preserve">trade-in </w:t>
      </w:r>
      <w:r w:rsidR="00D519DD">
        <w:t xml:space="preserve">or sale </w:t>
      </w:r>
      <w:r w:rsidRPr="00E150D8" w:rsidR="00F00B5C">
        <w:t xml:space="preserve">amounts </w:t>
      </w:r>
      <w:r w:rsidRPr="00E150D8" w:rsidR="00170C03">
        <w:t>were</w:t>
      </w:r>
      <w:r w:rsidRPr="00E150D8" w:rsidR="00E13044">
        <w:t xml:space="preserve"> to</w:t>
      </w:r>
      <w:r w:rsidRPr="00E150D8" w:rsidR="00170C03">
        <w:t xml:space="preserve"> </w:t>
      </w:r>
      <w:r w:rsidRPr="00E150D8" w:rsidR="007B2A75">
        <w:t xml:space="preserve">be </w:t>
      </w:r>
      <w:r w:rsidRPr="00E150D8" w:rsidR="00662056">
        <w:t xml:space="preserve">offset or reduced </w:t>
      </w:r>
      <w:r w:rsidRPr="00E150D8" w:rsidR="007B2A75">
        <w:t xml:space="preserve">from </w:t>
      </w:r>
      <w:r w:rsidRPr="00E150D8" w:rsidR="00A701E1">
        <w:t xml:space="preserve">the statutory </w:t>
      </w:r>
      <w:r w:rsidRPr="00E150D8" w:rsidR="00170C03">
        <w:t>restitution remedy</w:t>
      </w:r>
      <w:r w:rsidRPr="00E150D8" w:rsidR="007B2A75">
        <w:t xml:space="preserve">. </w:t>
      </w:r>
      <w:r w:rsidRPr="00E150D8" w:rsidR="00170C03">
        <w:t xml:space="preserve"> </w:t>
      </w:r>
      <w:r w:rsidRPr="00E150D8" w:rsidR="007B2A75">
        <w:t xml:space="preserve">It did not do so. </w:t>
      </w:r>
      <w:r w:rsidRPr="00E150D8" w:rsidR="00170C03">
        <w:t xml:space="preserve"> “</w:t>
      </w:r>
      <w:r w:rsidRPr="00E150D8" w:rsidR="007B2A75">
        <w:t>We will not create an exception the Legislature did not enact.</w:t>
      </w:r>
      <w:r w:rsidRPr="00E150D8" w:rsidR="00170C03">
        <w:t>”  (</w:t>
      </w:r>
      <w:r w:rsidRPr="00E150D8" w:rsidR="00673204">
        <w:rPr>
          <w:i/>
          <w:iCs/>
        </w:rPr>
        <w:t>Lopez</w:t>
      </w:r>
      <w:r w:rsidR="00191F94">
        <w:rPr>
          <w:i/>
          <w:iCs/>
        </w:rPr>
        <w:t xml:space="preserve"> v. Sony Electronics, Inc.</w:t>
      </w:r>
      <w:r w:rsidR="00191F94">
        <w:t xml:space="preserve"> (2018) 5 Cal.5th 627</w:t>
      </w:r>
      <w:r w:rsidRPr="00E150D8" w:rsidR="00673204">
        <w:t xml:space="preserve">, </w:t>
      </w:r>
      <w:r w:rsidRPr="00E150D8" w:rsidR="000715F3">
        <w:t>636.)</w:t>
      </w:r>
    </w:p>
    <w:p w:rsidR="002E5CA2" w:rsidRPr="00E150D8" w:rsidP="008910E5" w14:paraId="0C807FB8" w14:textId="77777777">
      <w:pPr>
        <w:tabs>
          <w:tab w:val="left" w:pos="1440"/>
        </w:tabs>
        <w:ind w:firstLine="720"/>
      </w:pPr>
      <w:r w:rsidRPr="00E150D8">
        <w:t>Moreover</w:t>
      </w:r>
      <w:r w:rsidRPr="00E150D8" w:rsidR="005C4926">
        <w:t>,</w:t>
      </w:r>
      <w:r w:rsidRPr="00E150D8" w:rsidR="00F91560">
        <w:t xml:space="preserve"> trade-in </w:t>
      </w:r>
      <w:r w:rsidR="00F37CCA">
        <w:t xml:space="preserve">or sale proceeds </w:t>
      </w:r>
      <w:r w:rsidRPr="00E150D8" w:rsidR="000104C5">
        <w:t xml:space="preserve">obtained years after the purchase of a defective vehicle </w:t>
      </w:r>
      <w:r w:rsidR="00C80E2C">
        <w:t>are</w:t>
      </w:r>
      <w:r w:rsidRPr="00E150D8" w:rsidR="00F91560">
        <w:t xml:space="preserve"> not part of </w:t>
      </w:r>
      <w:r w:rsidRPr="00E150D8" w:rsidR="00E85ECE">
        <w:t>“</w:t>
      </w:r>
      <w:r w:rsidRPr="00E150D8" w:rsidR="00F91560">
        <w:t xml:space="preserve">the actual price paid or payable” </w:t>
      </w:r>
      <w:r w:rsidRPr="00E150D8" w:rsidR="000104C5">
        <w:t xml:space="preserve">because </w:t>
      </w:r>
      <w:r w:rsidR="008D5D57">
        <w:t>they</w:t>
      </w:r>
      <w:r w:rsidR="00B92439">
        <w:t xml:space="preserve"> are </w:t>
      </w:r>
      <w:r w:rsidRPr="00E150D8" w:rsidR="00115F69">
        <w:t xml:space="preserve">separate and apart from the settled purchase price of the vehicle at the time of contracting.  </w:t>
      </w:r>
      <w:r w:rsidRPr="00E150D8" w:rsidR="00834696">
        <w:t>I</w:t>
      </w:r>
      <w:r w:rsidRPr="00E150D8" w:rsidR="00C9017C">
        <w:t xml:space="preserve">n our recent opinion in </w:t>
      </w:r>
      <w:r w:rsidRPr="00E150D8" w:rsidR="00C9017C">
        <w:rPr>
          <w:i/>
          <w:iCs/>
        </w:rPr>
        <w:t>Kirzhner</w:t>
      </w:r>
      <w:r w:rsidRPr="00E150D8" w:rsidR="005950D9">
        <w:t>, we explained</w:t>
      </w:r>
      <w:r w:rsidRPr="00E150D8" w:rsidR="00FF0262">
        <w:t xml:space="preserve"> </w:t>
      </w:r>
      <w:r w:rsidRPr="00E150D8" w:rsidR="005C4926">
        <w:t xml:space="preserve">that </w:t>
      </w:r>
      <w:r w:rsidRPr="00E150D8" w:rsidR="00E85ECE">
        <w:t xml:space="preserve">the </w:t>
      </w:r>
      <w:r w:rsidRPr="00E150D8" w:rsidR="00DA5DE0">
        <w:t xml:space="preserve">“actual price paid or payable” is </w:t>
      </w:r>
      <w:r w:rsidRPr="00E150D8" w:rsidR="00757B04">
        <w:t xml:space="preserve">determined </w:t>
      </w:r>
      <w:r w:rsidRPr="00E150D8" w:rsidR="00DA5DE0">
        <w:t>a</w:t>
      </w:r>
      <w:r w:rsidRPr="00E150D8" w:rsidR="00017FF2">
        <w:t>t</w:t>
      </w:r>
      <w:r w:rsidRPr="00E150D8" w:rsidR="00DA5DE0">
        <w:t xml:space="preserve"> the time of the </w:t>
      </w:r>
      <w:r w:rsidRPr="00E150D8" w:rsidR="00757B04">
        <w:t xml:space="preserve">vehicle’s purchase.  </w:t>
      </w:r>
      <w:r w:rsidRPr="00E150D8" w:rsidR="00EB2CA5">
        <w:t>(</w:t>
      </w:r>
      <w:r w:rsidRPr="00E150D8" w:rsidR="00BF15CB">
        <w:rPr>
          <w:i/>
          <w:iCs/>
        </w:rPr>
        <w:t>Kirzhner</w:t>
      </w:r>
      <w:r w:rsidRPr="00E150D8" w:rsidR="00BF15CB">
        <w:t xml:space="preserve">, </w:t>
      </w:r>
      <w:r w:rsidRPr="00E150D8" w:rsidR="00BF15CB">
        <w:rPr>
          <w:i/>
          <w:iCs/>
        </w:rPr>
        <w:t>supra</w:t>
      </w:r>
      <w:r w:rsidRPr="00E150D8" w:rsidR="00BF15CB">
        <w:t>,</w:t>
      </w:r>
      <w:r w:rsidRPr="00E150D8" w:rsidR="00BF15CB">
        <w:rPr>
          <w:i/>
          <w:iCs/>
        </w:rPr>
        <w:t xml:space="preserve"> </w:t>
      </w:r>
      <w:r w:rsidRPr="00E150D8" w:rsidR="00BF15CB">
        <w:t xml:space="preserve">9 Cal.5th </w:t>
      </w:r>
      <w:r w:rsidRPr="00E150D8" w:rsidR="00EB2CA5">
        <w:t>at pp.</w:t>
      </w:r>
      <w:r w:rsidRPr="00E150D8" w:rsidR="00A869E7">
        <w:t> </w:t>
      </w:r>
      <w:r w:rsidRPr="00E150D8" w:rsidR="00EB2CA5">
        <w:t xml:space="preserve">974–975.)  </w:t>
      </w:r>
      <w:r w:rsidRPr="00E150D8" w:rsidR="009064FC">
        <w:t xml:space="preserve">In </w:t>
      </w:r>
      <w:r w:rsidRPr="00E150D8" w:rsidR="005950D9">
        <w:rPr>
          <w:i/>
          <w:iCs/>
        </w:rPr>
        <w:t>Kirzhner</w:t>
      </w:r>
      <w:r w:rsidRPr="00E150D8" w:rsidR="009064FC">
        <w:t xml:space="preserve">, we </w:t>
      </w:r>
      <w:r w:rsidRPr="00E150D8" w:rsidR="00E46755">
        <w:t>were tasked with determining whether vehicle registration renewal and nonoperation fees plaintiff paid after initial</w:t>
      </w:r>
      <w:r w:rsidRPr="00E150D8" w:rsidR="00FF7D63">
        <w:t>ly</w:t>
      </w:r>
      <w:r w:rsidRPr="00E150D8" w:rsidR="00E46755">
        <w:t xml:space="preserve"> </w:t>
      </w:r>
      <w:r w:rsidRPr="00E150D8" w:rsidR="00294EEB">
        <w:t>leasing</w:t>
      </w:r>
      <w:r w:rsidRPr="00E150D8" w:rsidR="00E46755">
        <w:t xml:space="preserve"> his </w:t>
      </w:r>
      <w:r w:rsidRPr="00E150D8" w:rsidR="002C38BF">
        <w:t>v</w:t>
      </w:r>
      <w:r w:rsidRPr="00E150D8" w:rsidR="00E46755">
        <w:t xml:space="preserve">ehicle </w:t>
      </w:r>
      <w:r w:rsidRPr="00E150D8" w:rsidR="002C38BF">
        <w:t>were recoverable</w:t>
      </w:r>
      <w:r w:rsidRPr="00E150D8" w:rsidR="00472A10">
        <w:t xml:space="preserve"> </w:t>
      </w:r>
      <w:r w:rsidRPr="00E150D8" w:rsidR="00D13E5F">
        <w:t xml:space="preserve">as collateral charges </w:t>
      </w:r>
      <w:r w:rsidR="00950993">
        <w:t xml:space="preserve">or as incidental damages </w:t>
      </w:r>
      <w:r w:rsidRPr="00E150D8" w:rsidR="00472A10">
        <w:t>under section</w:t>
      </w:r>
      <w:r w:rsidRPr="00E150D8" w:rsidR="00A869E7">
        <w:t> </w:t>
      </w:r>
      <w:r w:rsidRPr="00E150D8" w:rsidR="00472A10">
        <w:t>1793.2, subdivision</w:t>
      </w:r>
      <w:r w:rsidRPr="00E150D8" w:rsidR="00A869E7">
        <w:t> </w:t>
      </w:r>
      <w:r w:rsidRPr="00E150D8" w:rsidR="00472A10">
        <w:t>(d)(2)(B)</w:t>
      </w:r>
      <w:r w:rsidRPr="00E150D8" w:rsidR="00D13E5F">
        <w:t xml:space="preserve">.  </w:t>
      </w:r>
      <w:r w:rsidRPr="00E150D8" w:rsidR="00E63CD9">
        <w:t>We held</w:t>
      </w:r>
      <w:r w:rsidRPr="00E150D8" w:rsidR="00677B0D">
        <w:t xml:space="preserve"> that</w:t>
      </w:r>
      <w:r w:rsidRPr="00E150D8" w:rsidR="00437C6B">
        <w:t xml:space="preserve"> </w:t>
      </w:r>
      <w:r w:rsidRPr="00E150D8" w:rsidR="003A743D">
        <w:t>the charges were not recoverable as collateral charges</w:t>
      </w:r>
      <w:r w:rsidRPr="00E150D8" w:rsidR="002C38BF">
        <w:t xml:space="preserve"> </w:t>
      </w:r>
      <w:r w:rsidRPr="00E150D8" w:rsidR="003A743D">
        <w:t xml:space="preserve">because they </w:t>
      </w:r>
      <w:r w:rsidR="00C71E34">
        <w:t>“</w:t>
      </w:r>
      <w:r w:rsidRPr="00E150D8" w:rsidR="0024604F">
        <w:t xml:space="preserve">are </w:t>
      </w:r>
      <w:r w:rsidRPr="00E150D8" w:rsidR="003A743D">
        <w:t>not auxiliary to</w:t>
      </w:r>
      <w:r w:rsidRPr="00E150D8" w:rsidR="00AA4230">
        <w:t xml:space="preserve"> and d</w:t>
      </w:r>
      <w:r w:rsidRPr="00E150D8" w:rsidR="0024604F">
        <w:t>o</w:t>
      </w:r>
      <w:r w:rsidRPr="00E150D8" w:rsidR="00AA4230">
        <w:t xml:space="preserve"> not supplement the price paid </w:t>
      </w:r>
      <w:r w:rsidR="00C71E34">
        <w:t>[</w:t>
      </w:r>
      <w:r w:rsidRPr="00E150D8" w:rsidR="00AA4230">
        <w:t>for the vehicle</w:t>
      </w:r>
      <w:r w:rsidR="00C71E34">
        <w:t>]</w:t>
      </w:r>
      <w:r w:rsidRPr="00E150D8" w:rsidR="00AA4230">
        <w:t xml:space="preserve"> </w:t>
      </w:r>
      <w:r w:rsidRPr="00E150D8" w:rsidR="00247383">
        <w:t xml:space="preserve">because they </w:t>
      </w:r>
      <w:r w:rsidRPr="00E150D8" w:rsidR="0024604F">
        <w:t>a</w:t>
      </w:r>
      <w:r w:rsidRPr="00E150D8" w:rsidR="00247383">
        <w:t>re not paid as part of the total cost of the vehicle and in exchange for the vehicle.”</w:t>
      </w:r>
      <w:r w:rsidRPr="00E150D8" w:rsidR="00AA4230">
        <w:t xml:space="preserve">  </w:t>
      </w:r>
      <w:r w:rsidRPr="00E150D8" w:rsidR="00032F27">
        <w:t>(</w:t>
      </w:r>
      <w:r w:rsidRPr="00E150D8" w:rsidR="00032F27">
        <w:rPr>
          <w:i/>
          <w:iCs/>
        </w:rPr>
        <w:t>Kirzhner</w:t>
      </w:r>
      <w:r w:rsidRPr="00E150D8" w:rsidR="00032F27">
        <w:t xml:space="preserve">, </w:t>
      </w:r>
      <w:r w:rsidRPr="00E150D8" w:rsidR="00032F27">
        <w:rPr>
          <w:i/>
          <w:iCs/>
        </w:rPr>
        <w:t>supra</w:t>
      </w:r>
      <w:r w:rsidRPr="00E150D8" w:rsidR="00032F27">
        <w:t>, 9</w:t>
      </w:r>
      <w:r w:rsidRPr="00E150D8" w:rsidR="00C26076">
        <w:t> </w:t>
      </w:r>
      <w:r w:rsidRPr="00E150D8" w:rsidR="00032F27">
        <w:t>Cal.5th at p.</w:t>
      </w:r>
      <w:r w:rsidRPr="00E150D8" w:rsidR="00C26076">
        <w:t> </w:t>
      </w:r>
      <w:r w:rsidRPr="00E150D8" w:rsidR="00716BD1">
        <w:t>97</w:t>
      </w:r>
      <w:r w:rsidR="00C71E34">
        <w:t>5</w:t>
      </w:r>
      <w:r w:rsidRPr="00E150D8" w:rsidR="00716BD1">
        <w:t>.)</w:t>
      </w:r>
    </w:p>
    <w:p w:rsidR="00826126" w:rsidRPr="00E150D8" w:rsidP="008910E5" w14:paraId="0C807FB9" w14:textId="77777777">
      <w:pPr>
        <w:tabs>
          <w:tab w:val="left" w:pos="1440"/>
        </w:tabs>
        <w:ind w:firstLine="720"/>
      </w:pPr>
      <w:r w:rsidRPr="00E150D8">
        <w:t xml:space="preserve">We rejected Kirzhner’s </w:t>
      </w:r>
      <w:r w:rsidRPr="00E150D8" w:rsidR="00A276BB">
        <w:t xml:space="preserve">argument that </w:t>
      </w:r>
      <w:r w:rsidRPr="00E150D8" w:rsidR="00E85ECE">
        <w:t xml:space="preserve">the phrase </w:t>
      </w:r>
      <w:r w:rsidRPr="00E150D8" w:rsidR="00A276BB">
        <w:t xml:space="preserve">“actual price paid or payable” </w:t>
      </w:r>
      <w:r w:rsidRPr="00E150D8" w:rsidR="00C66875">
        <w:t>indicated a</w:t>
      </w:r>
      <w:r w:rsidRPr="00E150D8" w:rsidR="00177DC4">
        <w:t xml:space="preserve"> legislative</w:t>
      </w:r>
      <w:r w:rsidRPr="00E150D8" w:rsidR="00C66875">
        <w:t xml:space="preserve"> intent to ensure the manufacturer paid </w:t>
      </w:r>
      <w:r w:rsidRPr="00E150D8" w:rsidR="005E3959">
        <w:t xml:space="preserve">the consumer what </w:t>
      </w:r>
      <w:r w:rsidRPr="00E150D8" w:rsidR="00C66875">
        <w:t xml:space="preserve">the consumer actually paid </w:t>
      </w:r>
      <w:r w:rsidRPr="00E150D8" w:rsidR="005E3959">
        <w:rPr>
          <w:i/>
          <w:iCs/>
        </w:rPr>
        <w:t xml:space="preserve">as </w:t>
      </w:r>
      <w:r w:rsidRPr="00E150D8" w:rsidR="00C66875">
        <w:rPr>
          <w:i/>
          <w:iCs/>
        </w:rPr>
        <w:t xml:space="preserve">of the time </w:t>
      </w:r>
      <w:r w:rsidRPr="00E150D8" w:rsidR="00814146">
        <w:rPr>
          <w:i/>
          <w:iCs/>
        </w:rPr>
        <w:t xml:space="preserve">of </w:t>
      </w:r>
      <w:r w:rsidRPr="00E150D8" w:rsidR="00C66875">
        <w:rPr>
          <w:i/>
          <w:iCs/>
        </w:rPr>
        <w:t>the repurchase</w:t>
      </w:r>
      <w:r w:rsidRPr="00E150D8" w:rsidR="00C66875">
        <w:t xml:space="preserve"> rather than</w:t>
      </w:r>
      <w:r w:rsidRPr="00E150D8" w:rsidR="002C5119">
        <w:t xml:space="preserve"> at</w:t>
      </w:r>
      <w:r w:rsidRPr="00E150D8" w:rsidR="00C66875">
        <w:t xml:space="preserve"> the time of contracting.  </w:t>
      </w:r>
      <w:r w:rsidRPr="00E150D8" w:rsidR="00B6643F">
        <w:t>We explained</w:t>
      </w:r>
      <w:r w:rsidRPr="00E150D8" w:rsidR="004910B5">
        <w:t>,</w:t>
      </w:r>
      <w:r w:rsidRPr="00E150D8" w:rsidR="00B6643F">
        <w:t xml:space="preserve"> “[t]he word ‘price’ means </w:t>
      </w:r>
      <w:r w:rsidR="00634744">
        <w:t>‘</w:t>
      </w:r>
      <w:r w:rsidRPr="00E150D8" w:rsidR="00B6643F">
        <w:t>[t]he cost at which something is obtained</w:t>
      </w:r>
      <w:r w:rsidR="00634744">
        <w:t>’</w:t>
      </w:r>
      <w:r w:rsidRPr="00E150D8" w:rsidR="00B6643F">
        <w:t xml:space="preserve"> or </w:t>
      </w:r>
      <w:r w:rsidR="00634744">
        <w:t>‘</w:t>
      </w:r>
      <w:r w:rsidRPr="00E150D8" w:rsidR="00B6643F">
        <w:t>[t]he consideration given for the purchase of a thing</w:t>
      </w:r>
      <w:r w:rsidR="00634744">
        <w:t>.</w:t>
      </w:r>
      <w:r w:rsidRPr="00E150D8" w:rsidR="00B6643F">
        <w:t>’</w:t>
      </w:r>
      <w:r w:rsidR="00634744">
        <w:t> </w:t>
      </w:r>
      <w:r w:rsidRPr="00E150D8" w:rsidR="00B6643F">
        <w:t>”  (</w:t>
      </w:r>
      <w:r w:rsidRPr="00E150D8" w:rsidR="00B6643F">
        <w:rPr>
          <w:i/>
          <w:iCs/>
        </w:rPr>
        <w:t>Kirzhner</w:t>
      </w:r>
      <w:r w:rsidRPr="00E150D8" w:rsidR="00B6643F">
        <w:t xml:space="preserve">, </w:t>
      </w:r>
      <w:r w:rsidRPr="00E150D8" w:rsidR="00B6643F">
        <w:rPr>
          <w:i/>
          <w:iCs/>
        </w:rPr>
        <w:t>supra</w:t>
      </w:r>
      <w:r w:rsidRPr="00E150D8" w:rsidR="00B6643F">
        <w:t>, 9</w:t>
      </w:r>
      <w:r w:rsidRPr="00E150D8" w:rsidR="00C26076">
        <w:t> </w:t>
      </w:r>
      <w:r w:rsidRPr="00E150D8" w:rsidR="00B6643F">
        <w:t>Cal.5th at pp.</w:t>
      </w:r>
      <w:r w:rsidRPr="00E150D8" w:rsidR="00C26076">
        <w:t> </w:t>
      </w:r>
      <w:r w:rsidRPr="00E150D8" w:rsidR="00B6643F">
        <w:t>972–973, citing Black’s Law Dict. (6th ed. 1990) p.</w:t>
      </w:r>
      <w:r w:rsidRPr="00E150D8" w:rsidR="00C26076">
        <w:t> </w:t>
      </w:r>
      <w:r w:rsidRPr="00E150D8" w:rsidR="00B6643F">
        <w:t>1188, col.</w:t>
      </w:r>
      <w:r w:rsidRPr="00E150D8" w:rsidR="00C26076">
        <w:t> </w:t>
      </w:r>
      <w:r w:rsidRPr="00E150D8" w:rsidR="00B6643F">
        <w:t>2); see also Black’s Law Dict. (11th</w:t>
      </w:r>
      <w:r w:rsidRPr="00E150D8" w:rsidR="000B6BE6">
        <w:t> </w:t>
      </w:r>
      <w:r w:rsidRPr="00E150D8" w:rsidR="00B6643F">
        <w:t xml:space="preserve">ed. 2019) [price means “[t]he amount of money or other consideration asked for or given in exchange for something else; the cost at which something is bought or sold”].)  </w:t>
      </w:r>
      <w:r w:rsidRPr="00E150D8" w:rsidR="00CC197F">
        <w:t>We noted</w:t>
      </w:r>
      <w:r w:rsidRPr="00E150D8" w:rsidR="00BA3BD9">
        <w:t xml:space="preserve"> </w:t>
      </w:r>
      <w:r w:rsidRPr="00E150D8" w:rsidR="00CC197F">
        <w:t xml:space="preserve">the </w:t>
      </w:r>
      <w:r w:rsidRPr="00E150D8" w:rsidR="001724D0">
        <w:t xml:space="preserve">word </w:t>
      </w:r>
      <w:r w:rsidRPr="00E150D8" w:rsidR="002D1602">
        <w:t>“</w:t>
      </w:r>
      <w:r w:rsidRPr="00E150D8" w:rsidR="00882551">
        <w:t> </w:t>
      </w:r>
      <w:r w:rsidRPr="00E150D8" w:rsidR="00661FBB">
        <w:t>‘</w:t>
      </w:r>
      <w:r w:rsidRPr="00E150D8" w:rsidR="002D1602">
        <w:t>payable</w:t>
      </w:r>
      <w:r w:rsidRPr="00E150D8" w:rsidR="00661FBB">
        <w:t>’</w:t>
      </w:r>
      <w:r w:rsidRPr="00E150D8" w:rsidR="00882551">
        <w:t> </w:t>
      </w:r>
      <w:r w:rsidRPr="00E150D8" w:rsidR="002D1602">
        <w:t>”</w:t>
      </w:r>
      <w:r w:rsidRPr="00E150D8" w:rsidR="00661FBB">
        <w:t xml:space="preserve"> </w:t>
      </w:r>
      <w:r w:rsidRPr="00E150D8" w:rsidR="001724D0">
        <w:t>in section</w:t>
      </w:r>
      <w:r w:rsidRPr="00E150D8" w:rsidR="00882551">
        <w:t> </w:t>
      </w:r>
      <w:r w:rsidRPr="00E150D8" w:rsidR="001724D0">
        <w:t>1</w:t>
      </w:r>
      <w:r w:rsidRPr="00E150D8" w:rsidR="0088021E">
        <w:t>793.2, subdivision</w:t>
      </w:r>
      <w:r w:rsidRPr="00E150D8" w:rsidR="00882551">
        <w:t> </w:t>
      </w:r>
      <w:r w:rsidRPr="00E150D8" w:rsidR="0088021E">
        <w:t xml:space="preserve">(d)(2)(B) </w:t>
      </w:r>
      <w:r w:rsidRPr="00E150D8" w:rsidR="00661FBB">
        <w:t>modifie</w:t>
      </w:r>
      <w:r w:rsidRPr="00E150D8" w:rsidR="00423386">
        <w:t>s</w:t>
      </w:r>
      <w:r w:rsidRPr="00E150D8" w:rsidR="00661FBB">
        <w:t xml:space="preserve"> </w:t>
      </w:r>
      <w:r w:rsidRPr="00E150D8" w:rsidR="00423386">
        <w:t xml:space="preserve">the word </w:t>
      </w:r>
      <w:r w:rsidRPr="00E150D8" w:rsidR="00661FBB">
        <w:t>“</w:t>
      </w:r>
      <w:r w:rsidRPr="00E150D8" w:rsidR="00882551">
        <w:t> </w:t>
      </w:r>
      <w:r w:rsidRPr="00E150D8" w:rsidR="00661FBB">
        <w:t>‘price’</w:t>
      </w:r>
      <w:r w:rsidRPr="00E150D8" w:rsidR="00882551">
        <w:t> </w:t>
      </w:r>
      <w:r w:rsidRPr="00E150D8" w:rsidR="00661FBB">
        <w:t xml:space="preserve">” and </w:t>
      </w:r>
      <w:r w:rsidRPr="00E150D8" w:rsidR="00136741">
        <w:t xml:space="preserve">simply </w:t>
      </w:r>
      <w:r w:rsidRPr="00E150D8" w:rsidR="000478E2">
        <w:t>acknowledge</w:t>
      </w:r>
      <w:r w:rsidRPr="00E150D8" w:rsidR="00423386">
        <w:t>s</w:t>
      </w:r>
      <w:r w:rsidRPr="00E150D8" w:rsidR="000478E2">
        <w:t xml:space="preserve"> </w:t>
      </w:r>
      <w:r w:rsidRPr="00E150D8" w:rsidR="004332FC">
        <w:t xml:space="preserve">that </w:t>
      </w:r>
      <w:r w:rsidRPr="00E150D8" w:rsidR="000478E2">
        <w:t>some buyers do not pay the full cost of the vehicle at the time of the initial purchase or lease</w:t>
      </w:r>
      <w:r w:rsidRPr="00E150D8" w:rsidR="0088021E">
        <w:t>, but d</w:t>
      </w:r>
      <w:r w:rsidRPr="00E150D8" w:rsidR="00B371A8">
        <w:t>oes</w:t>
      </w:r>
      <w:r w:rsidRPr="00E150D8" w:rsidR="0088021E">
        <w:t xml:space="preserve"> not </w:t>
      </w:r>
      <w:r w:rsidRPr="00E150D8" w:rsidR="00EA532F">
        <w:t xml:space="preserve">demonstrate </w:t>
      </w:r>
      <w:r w:rsidRPr="00E150D8" w:rsidR="000027B7">
        <w:t>that</w:t>
      </w:r>
      <w:r w:rsidRPr="00E150D8" w:rsidR="00E1513F">
        <w:t xml:space="preserve"> all</w:t>
      </w:r>
      <w:r w:rsidRPr="00E150D8" w:rsidR="000027B7">
        <w:t xml:space="preserve"> later-incurred charges or expenses connected to ownership or use of vehicle </w:t>
      </w:r>
      <w:r w:rsidRPr="00E150D8" w:rsidR="00B371A8">
        <w:t>a</w:t>
      </w:r>
      <w:r w:rsidRPr="00E150D8" w:rsidR="000027B7">
        <w:t>re recoverable</w:t>
      </w:r>
      <w:r w:rsidRPr="00E150D8" w:rsidR="000478E2">
        <w:t xml:space="preserve">.  </w:t>
      </w:r>
      <w:r w:rsidRPr="00E5104A" w:rsidR="000478E2">
        <w:t>(</w:t>
      </w:r>
      <w:r w:rsidRPr="00E5104A" w:rsidR="00517E8C">
        <w:rPr>
          <w:i/>
          <w:iCs/>
        </w:rPr>
        <w:t>Kirzhner</w:t>
      </w:r>
      <w:r w:rsidRPr="00E5104A" w:rsidR="00517E8C">
        <w:t xml:space="preserve">, </w:t>
      </w:r>
      <w:r w:rsidRPr="00E5104A" w:rsidR="000478E2">
        <w:t>at p.</w:t>
      </w:r>
      <w:r w:rsidRPr="00E5104A" w:rsidR="00690EFA">
        <w:t> </w:t>
      </w:r>
      <w:r w:rsidRPr="00E5104A" w:rsidR="000478E2">
        <w:t>974.)</w:t>
      </w:r>
      <w:r w:rsidRPr="00E150D8" w:rsidR="000478E2">
        <w:t xml:space="preserve">  </w:t>
      </w:r>
      <w:r w:rsidR="00DD1F9E">
        <w:t>We concluded, however, that the charges</w:t>
      </w:r>
      <w:r w:rsidR="00960A2E">
        <w:t xml:space="preserve"> would</w:t>
      </w:r>
      <w:r w:rsidR="00DD1F9E">
        <w:t xml:space="preserve"> be recoverable as incidental damages if they were </w:t>
      </w:r>
      <w:r w:rsidR="009467F1">
        <w:t>incurred as a result of the manufacturer’s failure to promptly provide a replacement vehicle or restitution under section 1793.2, subdivision (d)(2).  (</w:t>
      </w:r>
      <w:r w:rsidRPr="00E5104A" w:rsidR="00695C3E">
        <w:rPr>
          <w:i/>
          <w:iCs/>
        </w:rPr>
        <w:t>Kirzhner</w:t>
      </w:r>
      <w:r w:rsidRPr="00E5104A" w:rsidR="00695C3E">
        <w:t>,</w:t>
      </w:r>
      <w:r w:rsidR="009467F1">
        <w:t xml:space="preserve"> at p. 977.)</w:t>
      </w:r>
    </w:p>
    <w:p w:rsidR="005740EE" w:rsidRPr="00E150D8" w:rsidP="008910E5" w14:paraId="0C807FBA" w14:textId="77777777">
      <w:pPr>
        <w:tabs>
          <w:tab w:val="left" w:pos="1440"/>
        </w:tabs>
        <w:ind w:firstLine="720"/>
      </w:pPr>
      <w:r w:rsidRPr="00E150D8">
        <w:t>The Court of Appeal</w:t>
      </w:r>
      <w:r w:rsidRPr="00E150D8" w:rsidR="000011FC">
        <w:t xml:space="preserve"> here</w:t>
      </w:r>
      <w:r w:rsidRPr="00E150D8">
        <w:t xml:space="preserve"> acknowledged section</w:t>
      </w:r>
      <w:r w:rsidRPr="00E150D8" w:rsidR="00690EFA">
        <w:t> </w:t>
      </w:r>
      <w:r w:rsidRPr="00E150D8">
        <w:t>1793.2, subdivision</w:t>
      </w:r>
      <w:r w:rsidRPr="00E150D8" w:rsidR="00690EFA">
        <w:t> </w:t>
      </w:r>
      <w:r w:rsidRPr="00E150D8">
        <w:t xml:space="preserve">(d)(2)(B) defines restitution as “the actual price paid or payable,” but declined to </w:t>
      </w:r>
      <w:r w:rsidRPr="00E150D8" w:rsidR="00E85ECE">
        <w:t xml:space="preserve">follow a plain language </w:t>
      </w:r>
      <w:r w:rsidRPr="00E150D8">
        <w:t>read</w:t>
      </w:r>
      <w:r w:rsidRPr="00E150D8" w:rsidR="00E85ECE">
        <w:t>ing of</w:t>
      </w:r>
      <w:r w:rsidRPr="00E150D8">
        <w:t xml:space="preserve"> the statute.  </w:t>
      </w:r>
      <w:r w:rsidRPr="00E150D8" w:rsidR="0056523C">
        <w:t>R</w:t>
      </w:r>
      <w:r w:rsidRPr="00E150D8" w:rsidR="000D2DC6">
        <w:t xml:space="preserve">elying on </w:t>
      </w:r>
      <w:r w:rsidRPr="00E150D8" w:rsidR="000D2DC6">
        <w:rPr>
          <w:i/>
          <w:iCs/>
        </w:rPr>
        <w:t>Mitchell v. Blue Bird Body Co.</w:t>
      </w:r>
      <w:r w:rsidRPr="00E150D8" w:rsidR="000D2DC6">
        <w:t xml:space="preserve"> (2000) 80</w:t>
      </w:r>
      <w:r w:rsidRPr="00E150D8" w:rsidR="00690EFA">
        <w:t> </w:t>
      </w:r>
      <w:r w:rsidRPr="00E150D8" w:rsidR="000D2DC6">
        <w:t>Cal.App.4th 32 (</w:t>
      </w:r>
      <w:r w:rsidRPr="00E150D8" w:rsidR="000D2DC6">
        <w:rPr>
          <w:i/>
          <w:iCs/>
        </w:rPr>
        <w:t>Mitchell</w:t>
      </w:r>
      <w:r w:rsidRPr="00E150D8" w:rsidR="000D2DC6">
        <w:t>)</w:t>
      </w:r>
      <w:r w:rsidRPr="00E150D8" w:rsidR="0056523C">
        <w:t>, i</w:t>
      </w:r>
      <w:r w:rsidRPr="00E150D8">
        <w:t xml:space="preserve">t found the Legislature’s choice of the word “restitution” significant in this case and reasoned that a literal </w:t>
      </w:r>
      <w:r w:rsidR="003F0926">
        <w:t>i</w:t>
      </w:r>
      <w:r w:rsidRPr="00E150D8">
        <w:t>nterpretation of the statu</w:t>
      </w:r>
      <w:r w:rsidRPr="00E150D8" w:rsidR="00B06E4C">
        <w:t>t</w:t>
      </w:r>
      <w:r w:rsidRPr="00E150D8">
        <w:t xml:space="preserve">e would </w:t>
      </w:r>
      <w:r w:rsidRPr="00E150D8" w:rsidR="005A1888">
        <w:t xml:space="preserve">disregard the Legislature’s word choice, </w:t>
      </w:r>
      <w:r w:rsidRPr="00E150D8">
        <w:t>allow Niedermeier “to recover far more from [FCA] than her actual economic loss[,]” and result in an unjustified windfall to Niedermeier.  (</w:t>
      </w:r>
      <w:r w:rsidRPr="00E150D8">
        <w:rPr>
          <w:i/>
          <w:iCs/>
        </w:rPr>
        <w:t>Niedermeier</w:t>
      </w:r>
      <w:r w:rsidRPr="00E150D8">
        <w:t xml:space="preserve">, </w:t>
      </w:r>
      <w:r w:rsidRPr="00E150D8">
        <w:rPr>
          <w:i/>
          <w:iCs/>
        </w:rPr>
        <w:t>supra</w:t>
      </w:r>
      <w:r w:rsidRPr="00E150D8">
        <w:t>, 56</w:t>
      </w:r>
      <w:r w:rsidRPr="00E150D8" w:rsidR="00690EFA">
        <w:t> </w:t>
      </w:r>
      <w:r w:rsidRPr="00E150D8">
        <w:t>Cal.App.5th at p. 1071.)</w:t>
      </w:r>
    </w:p>
    <w:p w:rsidR="00DD777F" w:rsidRPr="00E150D8" w:rsidP="008910E5" w14:paraId="0C807FBB" w14:textId="77777777">
      <w:pPr>
        <w:tabs>
          <w:tab w:val="left" w:pos="1440"/>
        </w:tabs>
        <w:ind w:firstLine="720"/>
      </w:pPr>
      <w:r w:rsidRPr="00E150D8">
        <w:t xml:space="preserve">We find the Court of Appeal’s reliance on </w:t>
      </w:r>
      <w:r w:rsidRPr="00E150D8">
        <w:rPr>
          <w:i/>
          <w:iCs/>
        </w:rPr>
        <w:t>Mitchell</w:t>
      </w:r>
      <w:r w:rsidRPr="00E150D8">
        <w:t xml:space="preserve"> to be misplaced.  </w:t>
      </w:r>
      <w:r w:rsidRPr="00E150D8" w:rsidR="00D7359E">
        <w:t xml:space="preserve">In </w:t>
      </w:r>
      <w:r w:rsidRPr="00E150D8" w:rsidR="00D7359E">
        <w:rPr>
          <w:i/>
          <w:iCs/>
        </w:rPr>
        <w:t>Mitchell</w:t>
      </w:r>
      <w:r w:rsidRPr="00E150D8" w:rsidR="00D7359E">
        <w:t xml:space="preserve">, the court </w:t>
      </w:r>
      <w:r w:rsidRPr="00E150D8" w:rsidR="00C70680">
        <w:t xml:space="preserve">considered whether </w:t>
      </w:r>
      <w:r w:rsidRPr="00E150D8">
        <w:t xml:space="preserve">the </w:t>
      </w:r>
      <w:r w:rsidRPr="00E150D8" w:rsidR="00C70680">
        <w:t xml:space="preserve">“actual price paid or payable” </w:t>
      </w:r>
      <w:r w:rsidRPr="00E150D8" w:rsidR="001F53E7">
        <w:t>in section</w:t>
      </w:r>
      <w:r w:rsidRPr="00E150D8" w:rsidR="000B6BE6">
        <w:t> </w:t>
      </w:r>
      <w:r w:rsidRPr="00E150D8" w:rsidR="001F53E7">
        <w:t>1793.2</w:t>
      </w:r>
      <w:r w:rsidRPr="00E150D8" w:rsidR="009940BC">
        <w:t>, subdivision</w:t>
      </w:r>
      <w:r w:rsidRPr="00E150D8" w:rsidR="000B6BE6">
        <w:t> </w:t>
      </w:r>
      <w:r w:rsidRPr="00E150D8" w:rsidR="009940BC">
        <w:t>(d)(2)(B)</w:t>
      </w:r>
      <w:r w:rsidRPr="00E150D8" w:rsidR="001F53E7">
        <w:t xml:space="preserve"> </w:t>
      </w:r>
      <w:r w:rsidRPr="00E150D8" w:rsidR="00EB4A8F">
        <w:t>included interest payments paid after a vehicle was purchased</w:t>
      </w:r>
      <w:r w:rsidRPr="00E150D8" w:rsidR="00B479F5">
        <w:t xml:space="preserve">.  </w:t>
      </w:r>
      <w:r w:rsidRPr="00E150D8" w:rsidR="006041D2">
        <w:t>It</w:t>
      </w:r>
      <w:r w:rsidRPr="00E150D8" w:rsidR="00B479F5">
        <w:t xml:space="preserve"> held the </w:t>
      </w:r>
      <w:r w:rsidRPr="00E150D8" w:rsidR="00E4232B">
        <w:t xml:space="preserve">payments </w:t>
      </w:r>
      <w:r w:rsidRPr="00E150D8" w:rsidR="00B479F5">
        <w:t xml:space="preserve">were part of the actual price paid or payable, and </w:t>
      </w:r>
      <w:r w:rsidRPr="00E150D8" w:rsidR="00E4232B">
        <w:t xml:space="preserve">properly recoverable as restitution </w:t>
      </w:r>
      <w:r w:rsidRPr="00E150D8" w:rsidR="00B479F5">
        <w:t xml:space="preserve">under the Act, </w:t>
      </w:r>
      <w:r w:rsidRPr="00E150D8" w:rsidR="00E4232B">
        <w:t xml:space="preserve">because </w:t>
      </w:r>
      <w:r w:rsidRPr="00E150D8" w:rsidR="003C13FB">
        <w:t xml:space="preserve">consumers become legally obligated to pay the payments at the time the vehicle is purchased or leased.  </w:t>
      </w:r>
      <w:r w:rsidRPr="00E150D8" w:rsidR="00C74671">
        <w:t>(</w:t>
      </w:r>
      <w:r w:rsidRPr="00E150D8" w:rsidR="00C74671">
        <w:rPr>
          <w:i/>
          <w:iCs/>
        </w:rPr>
        <w:t>Mitchell</w:t>
      </w:r>
      <w:r w:rsidRPr="00E150D8" w:rsidR="00C74671">
        <w:t xml:space="preserve">, </w:t>
      </w:r>
      <w:r w:rsidRPr="00E150D8" w:rsidR="00C74671">
        <w:rPr>
          <w:i/>
          <w:iCs/>
        </w:rPr>
        <w:t>supra</w:t>
      </w:r>
      <w:r w:rsidRPr="00E150D8" w:rsidR="00C74671">
        <w:t>, 80</w:t>
      </w:r>
      <w:r w:rsidRPr="00E150D8" w:rsidR="0079751E">
        <w:t> </w:t>
      </w:r>
      <w:r w:rsidRPr="00E150D8" w:rsidR="00C74671">
        <w:t>Cal.App.4th at p.</w:t>
      </w:r>
      <w:r w:rsidRPr="00E150D8" w:rsidR="0079751E">
        <w:t> </w:t>
      </w:r>
      <w:r w:rsidRPr="00E150D8" w:rsidR="00C74671">
        <w:t>3</w:t>
      </w:r>
      <w:r w:rsidRPr="00E150D8" w:rsidR="001426D1">
        <w:t>8.)</w:t>
      </w:r>
      <w:r w:rsidRPr="00E150D8">
        <w:t xml:space="preserve">  </w:t>
      </w:r>
      <w:r w:rsidRPr="00E150D8" w:rsidR="005740EE">
        <w:t xml:space="preserve">It is true that </w:t>
      </w:r>
      <w:r w:rsidRPr="00E150D8" w:rsidR="00BA2BE8">
        <w:t xml:space="preserve">the </w:t>
      </w:r>
      <w:r w:rsidRPr="00E150D8" w:rsidR="005740EE">
        <w:rPr>
          <w:i/>
          <w:iCs/>
        </w:rPr>
        <w:t xml:space="preserve">Mitchell </w:t>
      </w:r>
      <w:r w:rsidRPr="00E150D8" w:rsidR="00BA2BE8">
        <w:t xml:space="preserve">court </w:t>
      </w:r>
      <w:r w:rsidRPr="00E150D8" w:rsidR="005740EE">
        <w:t xml:space="preserve">interpreted “restitution” </w:t>
      </w:r>
      <w:r w:rsidRPr="00E150D8" w:rsidR="0049709E">
        <w:t>as designating a remedy meant</w:t>
      </w:r>
      <w:r w:rsidRPr="00E150D8" w:rsidR="005740EE">
        <w:t xml:space="preserve"> “to restore ‘the status quo ante as far as is practicable</w:t>
      </w:r>
      <w:r w:rsidRPr="00E150D8" w:rsidR="0079751E">
        <w:t> </w:t>
      </w:r>
      <w:r w:rsidRPr="00E150D8" w:rsidR="005740EE">
        <w:t>.</w:t>
      </w:r>
      <w:r w:rsidRPr="00E150D8" w:rsidR="0079751E">
        <w:t> </w:t>
      </w:r>
      <w:r w:rsidRPr="00E150D8" w:rsidR="005740EE">
        <w:t>.</w:t>
      </w:r>
      <w:r w:rsidRPr="00E150D8" w:rsidR="0079751E">
        <w:t> </w:t>
      </w:r>
      <w:r w:rsidRPr="00E150D8" w:rsidR="005740EE">
        <w:t>.</w:t>
      </w:r>
      <w:r w:rsidRPr="00E150D8" w:rsidR="0079751E">
        <w:t> </w:t>
      </w:r>
      <w:r w:rsidRPr="00E150D8" w:rsidR="005740EE">
        <w:t>.</w:t>
      </w:r>
      <w:r w:rsidRPr="00E150D8" w:rsidR="000A0903">
        <w:t>’</w:t>
      </w:r>
      <w:r w:rsidR="00406FCF">
        <w:t> </w:t>
      </w:r>
      <w:r w:rsidRPr="00E150D8" w:rsidR="005740EE">
        <w:t>”  (</w:t>
      </w:r>
      <w:r w:rsidRPr="00E150D8" w:rsidR="005740EE">
        <w:rPr>
          <w:i/>
          <w:iCs/>
        </w:rPr>
        <w:t>Id.</w:t>
      </w:r>
      <w:r w:rsidRPr="00E150D8" w:rsidR="005740EE">
        <w:t xml:space="preserve"> at p.</w:t>
      </w:r>
      <w:r w:rsidRPr="00E150D8" w:rsidR="0079751E">
        <w:t> </w:t>
      </w:r>
      <w:r w:rsidRPr="00E150D8" w:rsidR="005740EE">
        <w:t>36</w:t>
      </w:r>
      <w:r w:rsidR="00A64C0E">
        <w:t>, italics omitted</w:t>
      </w:r>
      <w:r w:rsidRPr="00E150D8" w:rsidR="005740EE">
        <w:t xml:space="preserve">.)  </w:t>
      </w:r>
      <w:r w:rsidRPr="00E150D8" w:rsidR="0081079F">
        <w:t>But</w:t>
      </w:r>
      <w:r w:rsidRPr="00E150D8" w:rsidR="00E43693">
        <w:t xml:space="preserve"> </w:t>
      </w:r>
      <w:r w:rsidRPr="00E150D8" w:rsidR="003202B8">
        <w:rPr>
          <w:i/>
          <w:iCs/>
        </w:rPr>
        <w:t xml:space="preserve">Mitchell </w:t>
      </w:r>
      <w:r w:rsidRPr="00E150D8" w:rsidR="003202B8">
        <w:t xml:space="preserve">did not consider whether it was appropriate to </w:t>
      </w:r>
      <w:r w:rsidRPr="00E150D8" w:rsidR="003202B8">
        <w:rPr>
          <w:i/>
          <w:iCs/>
        </w:rPr>
        <w:t xml:space="preserve">reduce </w:t>
      </w:r>
      <w:r w:rsidRPr="00E150D8" w:rsidR="003202B8">
        <w:t>the statutory restitution remedy</w:t>
      </w:r>
      <w:r w:rsidRPr="00E150D8" w:rsidR="00FE7E60">
        <w:t xml:space="preserve"> </w:t>
      </w:r>
      <w:r w:rsidRPr="00E150D8" w:rsidR="007963C9">
        <w:t xml:space="preserve">by </w:t>
      </w:r>
      <w:r w:rsidR="00EE1F74">
        <w:t xml:space="preserve">the amount of </w:t>
      </w:r>
      <w:r w:rsidRPr="00E150D8" w:rsidR="007963C9">
        <w:t xml:space="preserve">a trade-in </w:t>
      </w:r>
      <w:r w:rsidR="003F0926">
        <w:t xml:space="preserve">credit </w:t>
      </w:r>
      <w:r w:rsidR="00EE1F74">
        <w:t xml:space="preserve">or sale </w:t>
      </w:r>
      <w:r w:rsidR="00B53D2F">
        <w:t xml:space="preserve">proceeds </w:t>
      </w:r>
      <w:r w:rsidRPr="00E150D8" w:rsidR="007963C9">
        <w:t>in order to restore the status quo</w:t>
      </w:r>
      <w:r w:rsidRPr="00E150D8" w:rsidR="003202B8">
        <w:t xml:space="preserve">.  </w:t>
      </w:r>
      <w:r w:rsidRPr="00E150D8" w:rsidR="00BA2BE8">
        <w:t>C</w:t>
      </w:r>
      <w:r w:rsidRPr="00E150D8" w:rsidR="00944835">
        <w:t>ontrary to the Court of Appeal’s conclusion,</w:t>
      </w:r>
      <w:r w:rsidRPr="00E150D8" w:rsidR="00686F9B">
        <w:t xml:space="preserve"> </w:t>
      </w:r>
      <w:r w:rsidRPr="00E150D8" w:rsidR="00686F9B">
        <w:rPr>
          <w:i/>
          <w:iCs/>
        </w:rPr>
        <w:t>Mitchell</w:t>
      </w:r>
      <w:r w:rsidRPr="00CA5D6E" w:rsidR="00686F9B">
        <w:t>’s</w:t>
      </w:r>
      <w:r w:rsidRPr="00E150D8" w:rsidR="00686F9B">
        <w:rPr>
          <w:i/>
          <w:iCs/>
        </w:rPr>
        <w:t xml:space="preserve"> </w:t>
      </w:r>
      <w:r w:rsidRPr="00E150D8" w:rsidR="00686F9B">
        <w:t xml:space="preserve">analysis suggests </w:t>
      </w:r>
      <w:r w:rsidRPr="00E150D8" w:rsidR="009B0C3B">
        <w:t>that reducing the restitution remedy by an amoun</w:t>
      </w:r>
      <w:r w:rsidRPr="00E150D8" w:rsidR="0089168C">
        <w:t>t</w:t>
      </w:r>
      <w:r w:rsidRPr="00E150D8" w:rsidR="009B0C3B">
        <w:t xml:space="preserve"> not enumerated in </w:t>
      </w:r>
      <w:r w:rsidRPr="00E150D8" w:rsidR="0052589F">
        <w:t>section</w:t>
      </w:r>
      <w:r w:rsidRPr="00E150D8" w:rsidR="0079751E">
        <w:t> </w:t>
      </w:r>
      <w:r w:rsidRPr="00E150D8" w:rsidR="0052589F">
        <w:t>1793.2, subdivision</w:t>
      </w:r>
      <w:r w:rsidRPr="00E150D8" w:rsidR="0079751E">
        <w:t> </w:t>
      </w:r>
      <w:r w:rsidRPr="00E150D8" w:rsidR="0052589F">
        <w:t xml:space="preserve">(d) </w:t>
      </w:r>
      <w:r w:rsidRPr="00E150D8" w:rsidR="009B0C3B">
        <w:t xml:space="preserve">would be inappropriate.  </w:t>
      </w:r>
      <w:r w:rsidRPr="00E150D8">
        <w:t>T</w:t>
      </w:r>
      <w:r w:rsidRPr="00E150D8" w:rsidR="00D81D9B">
        <w:t xml:space="preserve">he </w:t>
      </w:r>
      <w:r w:rsidRPr="00E150D8" w:rsidR="00D81D9B">
        <w:rPr>
          <w:i/>
          <w:iCs/>
        </w:rPr>
        <w:t xml:space="preserve">Mitchell </w:t>
      </w:r>
      <w:r w:rsidRPr="00E150D8" w:rsidR="00D81D9B">
        <w:t xml:space="preserve">court </w:t>
      </w:r>
      <w:r w:rsidRPr="00E150D8" w:rsidR="007344BF">
        <w:t xml:space="preserve">emphasized the remedial nature of the Act </w:t>
      </w:r>
      <w:r w:rsidRPr="00E150D8" w:rsidR="00B75AF6">
        <w:t xml:space="preserve">and explained </w:t>
      </w:r>
      <w:r w:rsidRPr="00E150D8" w:rsidR="008A094F">
        <w:t xml:space="preserve">that </w:t>
      </w:r>
      <w:r w:rsidRPr="00E150D8" w:rsidR="00BF54EE">
        <w:t>restoring the status quo</w:t>
      </w:r>
      <w:r w:rsidRPr="00E150D8" w:rsidR="00BF54EE">
        <w:rPr>
          <w:i/>
          <w:iCs/>
        </w:rPr>
        <w:t xml:space="preserve"> </w:t>
      </w:r>
      <w:r w:rsidRPr="00E150D8" w:rsidR="00BF54EE">
        <w:t>was intended to afford</w:t>
      </w:r>
      <w:r w:rsidRPr="00E150D8" w:rsidR="007024A4">
        <w:t xml:space="preserve"> “</w:t>
      </w:r>
      <w:r w:rsidR="00EE1F74">
        <w:t> </w:t>
      </w:r>
      <w:r w:rsidRPr="00E150D8" w:rsidR="007024A4">
        <w:t>‘complete relief, including restitution of benefits</w:t>
      </w:r>
      <w:r w:rsidRPr="00E150D8" w:rsidR="001A0376">
        <w:t> </w:t>
      </w:r>
      <w:r w:rsidRPr="00E150D8" w:rsidR="007024A4">
        <w:t>.</w:t>
      </w:r>
      <w:r w:rsidRPr="00E150D8" w:rsidR="001A0376">
        <w:t> </w:t>
      </w:r>
      <w:r w:rsidRPr="00E150D8" w:rsidR="007024A4">
        <w:t>.</w:t>
      </w:r>
      <w:r w:rsidRPr="00E150D8" w:rsidR="001A0376">
        <w:t> </w:t>
      </w:r>
      <w:r w:rsidRPr="00E150D8" w:rsidR="007024A4">
        <w:t>.</w:t>
      </w:r>
      <w:r w:rsidRPr="00E150D8" w:rsidR="00A857B1">
        <w:t> </w:t>
      </w:r>
      <w:r w:rsidRPr="00E150D8" w:rsidR="007024A4">
        <w:t>and any consequential damages to which [the purchaser] is entitled</w:t>
      </w:r>
      <w:r w:rsidR="00A64C0E">
        <w:t xml:space="preserve"> </w:t>
      </w:r>
      <w:r w:rsidRPr="00E150D8" w:rsidR="007024A4">
        <w:t>.</w:t>
      </w:r>
      <w:r w:rsidRPr="00E150D8" w:rsidR="001A0376">
        <w:t> </w:t>
      </w:r>
      <w:r w:rsidRPr="00E150D8" w:rsidR="007024A4">
        <w:t>.</w:t>
      </w:r>
      <w:r w:rsidRPr="00E150D8" w:rsidR="001A0376">
        <w:t> </w:t>
      </w:r>
      <w:r w:rsidRPr="00E150D8" w:rsidR="007024A4">
        <w:t>.</w:t>
      </w:r>
      <w:r w:rsidRPr="00E150D8" w:rsidR="001A0376">
        <w:t> </w:t>
      </w:r>
      <w:r w:rsidRPr="00E150D8" w:rsidR="007024A4">
        <w:t>.’</w:t>
      </w:r>
      <w:r w:rsidR="00A64C0E">
        <w:t> </w:t>
      </w:r>
      <w:r w:rsidRPr="00E150D8" w:rsidR="007024A4">
        <w:t xml:space="preserve">” </w:t>
      </w:r>
      <w:r w:rsidRPr="00E150D8" w:rsidR="00BF54EE">
        <w:t xml:space="preserve"> </w:t>
      </w:r>
      <w:r w:rsidRPr="00E150D8" w:rsidR="00A061B1">
        <w:t>(</w:t>
      </w:r>
      <w:r w:rsidRPr="00E150D8" w:rsidR="00A061B1">
        <w:rPr>
          <w:i/>
          <w:iCs/>
        </w:rPr>
        <w:t>Mitchell</w:t>
      </w:r>
      <w:r w:rsidRPr="00E150D8" w:rsidR="00A061B1">
        <w:t xml:space="preserve">, </w:t>
      </w:r>
      <w:r w:rsidRPr="00E150D8" w:rsidR="00A061B1">
        <w:rPr>
          <w:i/>
          <w:iCs/>
        </w:rPr>
        <w:t>supra</w:t>
      </w:r>
      <w:r w:rsidRPr="00E150D8" w:rsidR="00A061B1">
        <w:t xml:space="preserve">, </w:t>
      </w:r>
      <w:r w:rsidR="00D95583">
        <w:t>80</w:t>
      </w:r>
      <w:r w:rsidRPr="00E150D8" w:rsidR="0079751E">
        <w:t> </w:t>
      </w:r>
      <w:r w:rsidRPr="00E150D8" w:rsidR="00A061B1">
        <w:t>Cal.App.4th at p.</w:t>
      </w:r>
      <w:r w:rsidRPr="00E150D8" w:rsidR="001A0376">
        <w:t> </w:t>
      </w:r>
      <w:r w:rsidRPr="00E150D8" w:rsidR="009158EE">
        <w:t xml:space="preserve">36.) </w:t>
      </w:r>
      <w:r w:rsidRPr="00E150D8" w:rsidR="00A061B1">
        <w:rPr>
          <w:i/>
          <w:iCs/>
        </w:rPr>
        <w:t xml:space="preserve"> </w:t>
      </w:r>
      <w:r w:rsidRPr="00E150D8" w:rsidR="00B75AF6">
        <w:t xml:space="preserve">It </w:t>
      </w:r>
      <w:r w:rsidRPr="00E150D8" w:rsidR="00BF54EE">
        <w:t xml:space="preserve">thus concluded </w:t>
      </w:r>
      <w:r w:rsidRPr="00E150D8" w:rsidR="007344BF">
        <w:t>that “the Legislature intended to allow a buyer to recover the entire amount actually expended for a new motor vehicle, including paid finance charges</w:t>
      </w:r>
      <w:r w:rsidRPr="00CA5D6E" w:rsidR="007344BF">
        <w:t>,</w:t>
      </w:r>
      <w:r w:rsidRPr="00E150D8" w:rsidR="007344BF">
        <w:rPr>
          <w:i/>
          <w:iCs/>
        </w:rPr>
        <w:t xml:space="preserve"> less any of the expenses expressly</w:t>
      </w:r>
      <w:r w:rsidR="003F0926">
        <w:rPr>
          <w:i/>
          <w:iCs/>
        </w:rPr>
        <w:t xml:space="preserve"> </w:t>
      </w:r>
      <w:r w:rsidR="00CF61AE">
        <w:rPr>
          <w:i/>
          <w:iCs/>
        </w:rPr>
        <w:t>excluded</w:t>
      </w:r>
      <w:r w:rsidRPr="00E150D8" w:rsidR="00CF61AE">
        <w:rPr>
          <w:i/>
          <w:iCs/>
        </w:rPr>
        <w:t xml:space="preserve"> </w:t>
      </w:r>
      <w:r w:rsidRPr="00E150D8" w:rsidR="007344BF">
        <w:rPr>
          <w:i/>
          <w:iCs/>
        </w:rPr>
        <w:t>by the statute</w:t>
      </w:r>
      <w:r w:rsidRPr="00E150D8" w:rsidR="007344BF">
        <w:t>.”  (</w:t>
      </w:r>
      <w:r w:rsidRPr="00E150D8" w:rsidR="009158EE">
        <w:rPr>
          <w:i/>
        </w:rPr>
        <w:t>Id.</w:t>
      </w:r>
      <w:r w:rsidRPr="00E150D8" w:rsidR="007344BF">
        <w:t xml:space="preserve"> at p.</w:t>
      </w:r>
      <w:r w:rsidRPr="00E150D8" w:rsidR="001A0376">
        <w:t> </w:t>
      </w:r>
      <w:r w:rsidRPr="00E150D8" w:rsidR="007344BF">
        <w:t>37</w:t>
      </w:r>
      <w:r w:rsidRPr="00E150D8" w:rsidR="009158EE">
        <w:t>, italics added</w:t>
      </w:r>
      <w:r w:rsidRPr="00E150D8" w:rsidR="007344BF">
        <w:t>.)</w:t>
      </w:r>
    </w:p>
    <w:p w:rsidR="00430C85" w:rsidP="008910E5" w14:paraId="0C807FBC" w14:textId="77777777">
      <w:pPr>
        <w:ind w:firstLine="720"/>
      </w:pPr>
      <w:r>
        <w:t>I</w:t>
      </w:r>
      <w:r w:rsidRPr="00E150D8" w:rsidR="00DD777F">
        <w:t xml:space="preserve">n interpreting “restitution,” the </w:t>
      </w:r>
      <w:r w:rsidRPr="00E150D8" w:rsidR="00DD777F">
        <w:rPr>
          <w:i/>
          <w:iCs/>
        </w:rPr>
        <w:t xml:space="preserve">Mitchell </w:t>
      </w:r>
      <w:r w:rsidRPr="00E150D8" w:rsidR="00DD777F">
        <w:t xml:space="preserve">court relied on </w:t>
      </w:r>
      <w:r w:rsidRPr="00E150D8" w:rsidR="00DD777F">
        <w:rPr>
          <w:i/>
          <w:iCs/>
        </w:rPr>
        <w:t>Alder v.</w:t>
      </w:r>
      <w:r w:rsidRPr="00E150D8" w:rsidR="001A0376">
        <w:t> </w:t>
      </w:r>
      <w:r w:rsidRPr="00E150D8" w:rsidR="00DD777F">
        <w:rPr>
          <w:i/>
          <w:iCs/>
        </w:rPr>
        <w:t xml:space="preserve">Drudis </w:t>
      </w:r>
      <w:r w:rsidRPr="00E150D8" w:rsidR="00DD777F">
        <w:t>(1947) 30</w:t>
      </w:r>
      <w:r w:rsidRPr="00E150D8" w:rsidR="001A0376">
        <w:t> </w:t>
      </w:r>
      <w:r w:rsidRPr="00E150D8" w:rsidR="00DD777F">
        <w:t>Cal.2d 372, 384</w:t>
      </w:r>
      <w:r w:rsidRPr="00E150D8" w:rsidR="00B275D7">
        <w:t>, in which we observed</w:t>
      </w:r>
      <w:r w:rsidRPr="00E150D8" w:rsidR="00B51072">
        <w:t>,</w:t>
      </w:r>
      <w:r w:rsidRPr="00E150D8" w:rsidR="00B275D7">
        <w:t xml:space="preserve"> “</w:t>
      </w:r>
      <w:r w:rsidRPr="00E150D8" w:rsidR="00B51072">
        <w:t>T</w:t>
      </w:r>
      <w:r w:rsidRPr="00E150D8" w:rsidR="00B275D7">
        <w:t>he purpose of restitution as a remedy for breach is the restoration of the status quo ante as far as is practicable, and in the absence of qualifying circumstances, the plaintiff must return any consideration he has received in order to obtain specific restitution</w:t>
      </w:r>
      <w:r w:rsidRPr="00E150D8" w:rsidR="00DD777F">
        <w:t>.</w:t>
      </w:r>
      <w:r w:rsidRPr="00E150D8" w:rsidR="005A74E8">
        <w:t>”</w:t>
      </w:r>
      <w:r w:rsidRPr="00E150D8" w:rsidR="00DD777F">
        <w:t xml:space="preserve">  </w:t>
      </w:r>
      <w:r w:rsidR="005F7A7E">
        <w:t xml:space="preserve">(Italics omitted.)  </w:t>
      </w:r>
      <w:r w:rsidRPr="00E150D8" w:rsidR="00DD777F">
        <w:rPr>
          <w:i/>
          <w:iCs/>
        </w:rPr>
        <w:t>Alder</w:t>
      </w:r>
      <w:r w:rsidRPr="00E150D8" w:rsidR="00DD777F">
        <w:t xml:space="preserve">, however, predates the Act’s enactment by more than </w:t>
      </w:r>
      <w:r w:rsidR="00204B7C">
        <w:t>20</w:t>
      </w:r>
      <w:r w:rsidRPr="00E150D8" w:rsidR="00204B7C">
        <w:t xml:space="preserve"> </w:t>
      </w:r>
      <w:r w:rsidRPr="00E150D8" w:rsidR="00DD777F">
        <w:t>years</w:t>
      </w:r>
      <w:r w:rsidRPr="00E150D8" w:rsidR="005A74E8">
        <w:t>, did not concern breach of a product warranty</w:t>
      </w:r>
      <w:r w:rsidRPr="00E150D8" w:rsidR="006279DD">
        <w:t>,</w:t>
      </w:r>
      <w:r w:rsidRPr="00E150D8" w:rsidR="00DD777F">
        <w:t xml:space="preserve"> and considers </w:t>
      </w:r>
      <w:r w:rsidR="00AA2CD6">
        <w:t xml:space="preserve">only </w:t>
      </w:r>
      <w:r w:rsidRPr="00E150D8" w:rsidR="00DD777F">
        <w:t xml:space="preserve">common law restitution and rules of equity.  </w:t>
      </w:r>
      <w:r w:rsidRPr="00E150D8" w:rsidR="00427842">
        <w:t xml:space="preserve">The </w:t>
      </w:r>
      <w:r w:rsidRPr="00E150D8" w:rsidR="00BA3277">
        <w:t xml:space="preserve">plain language of </w:t>
      </w:r>
      <w:r w:rsidRPr="00E150D8" w:rsidR="00427842">
        <w:t>section</w:t>
      </w:r>
      <w:r w:rsidRPr="00E150D8" w:rsidR="003311AD">
        <w:t> </w:t>
      </w:r>
      <w:r w:rsidRPr="00E150D8" w:rsidR="004E3E38">
        <w:t>1793.2, subdivision</w:t>
      </w:r>
      <w:r w:rsidRPr="00E150D8" w:rsidR="003311AD">
        <w:t> </w:t>
      </w:r>
      <w:r w:rsidRPr="00E150D8" w:rsidR="004E3E38">
        <w:t>(d)(2)</w:t>
      </w:r>
      <w:r w:rsidR="00AA2CD6">
        <w:t>, by contrast,</w:t>
      </w:r>
      <w:r w:rsidRPr="00E150D8" w:rsidR="004E3E38">
        <w:t xml:space="preserve"> </w:t>
      </w:r>
      <w:r w:rsidRPr="00E150D8" w:rsidR="0025171D">
        <w:t xml:space="preserve">indicates that the Legislature intended “restitution” to be </w:t>
      </w:r>
      <w:r w:rsidRPr="00E150D8" w:rsidR="004E3E38">
        <w:t>“a term of art separate from the evolving common law concept that shares the name</w:t>
      </w:r>
      <w:r w:rsidRPr="00E150D8" w:rsidR="003F6B81">
        <w:t>.</w:t>
      </w:r>
      <w:r w:rsidRPr="00E150D8" w:rsidR="00913C2F">
        <w:t>”</w:t>
      </w:r>
      <w:r>
        <w:rPr>
          <w:rStyle w:val="FootnoteReference"/>
        </w:rPr>
        <w:footnoteReference w:id="7"/>
      </w:r>
      <w:r w:rsidRPr="00E150D8" w:rsidR="003F6B81">
        <w:t xml:space="preserve">  (</w:t>
      </w:r>
      <w:r w:rsidRPr="00E150D8" w:rsidR="003F6B81">
        <w:rPr>
          <w:i/>
          <w:iCs/>
        </w:rPr>
        <w:t>Scholes v. Lambirth Trucking Co.</w:t>
      </w:r>
      <w:r w:rsidRPr="00E150D8" w:rsidR="00C207C8">
        <w:t xml:space="preserve"> (2020)</w:t>
      </w:r>
      <w:r w:rsidRPr="00E150D8" w:rsidR="003F6B81">
        <w:t xml:space="preserve"> 8</w:t>
      </w:r>
      <w:r w:rsidRPr="00E150D8" w:rsidR="003311AD">
        <w:t> </w:t>
      </w:r>
      <w:r w:rsidRPr="00E150D8" w:rsidR="003F6B81">
        <w:t>Cal.5th 1094, 1111</w:t>
      </w:r>
      <w:r w:rsidRPr="00E150D8" w:rsidR="00C207C8">
        <w:t xml:space="preserve">; </w:t>
      </w:r>
      <w:r w:rsidRPr="00E150D8" w:rsidR="00C27816">
        <w:t xml:space="preserve">see also </w:t>
      </w:r>
      <w:r w:rsidRPr="00E150D8" w:rsidR="00C27816">
        <w:rPr>
          <w:i/>
          <w:iCs/>
        </w:rPr>
        <w:t xml:space="preserve">Metropolitan Water Dist. v. Superior Court </w:t>
      </w:r>
      <w:r w:rsidRPr="00E150D8" w:rsidR="00C27816">
        <w:t>(2004) 32</w:t>
      </w:r>
      <w:r w:rsidRPr="00E150D8" w:rsidR="003311AD">
        <w:t> </w:t>
      </w:r>
      <w:r w:rsidRPr="00E150D8" w:rsidR="00C27816">
        <w:t>Cal.4th 491, 500 [</w:t>
      </w:r>
      <w:r w:rsidRPr="00E150D8" w:rsidR="009B2654">
        <w:t>courts generally apply common law when a statute refers to a term without defining the term</w:t>
      </w:r>
      <w:r w:rsidRPr="00E150D8" w:rsidR="00C27816">
        <w:t xml:space="preserve">]; </w:t>
      </w:r>
      <w:r w:rsidRPr="00E150D8" w:rsidR="00C207C8">
        <w:rPr>
          <w:i/>
          <w:iCs/>
        </w:rPr>
        <w:t>People v. Lopez</w:t>
      </w:r>
      <w:r w:rsidRPr="00E150D8" w:rsidR="00C207C8">
        <w:t xml:space="preserve"> (2003) 31</w:t>
      </w:r>
      <w:r w:rsidRPr="00E150D8" w:rsidR="003311AD">
        <w:t> </w:t>
      </w:r>
      <w:r w:rsidRPr="00E150D8" w:rsidR="00C207C8">
        <w:t>Cal.4th 1051, 1060</w:t>
      </w:r>
      <w:r w:rsidRPr="00E150D8" w:rsidR="007E354E">
        <w:t xml:space="preserve"> </w:t>
      </w:r>
      <w:r w:rsidRPr="00E150D8" w:rsidR="002A401C">
        <w:t>[</w:t>
      </w:r>
      <w:r w:rsidRPr="00E150D8" w:rsidR="008E7695">
        <w:t xml:space="preserve">“if a term known to the common law </w:t>
      </w:r>
      <w:r w:rsidRPr="00E150D8" w:rsidR="008E7695">
        <w:rPr>
          <w:i/>
          <w:iCs/>
        </w:rPr>
        <w:t>has not otherwise been defined by statute</w:t>
      </w:r>
      <w:r w:rsidRPr="00E150D8" w:rsidR="008E7695">
        <w:t>, it is assumed that the common law meaning was intended”</w:t>
      </w:r>
      <w:r w:rsidRPr="00E150D8" w:rsidR="00A06AFD">
        <w:t xml:space="preserve"> (</w:t>
      </w:r>
      <w:r w:rsidRPr="00E150D8" w:rsidR="003C48C0">
        <w:t>i</w:t>
      </w:r>
      <w:r w:rsidRPr="00E150D8" w:rsidR="00A06AFD">
        <w:t>talics added)</w:t>
      </w:r>
      <w:r w:rsidRPr="00E150D8" w:rsidR="002A401C">
        <w:t>]</w:t>
      </w:r>
      <w:r w:rsidRPr="00E150D8" w:rsidR="007B7791">
        <w:t xml:space="preserve">; </w:t>
      </w:r>
      <w:r w:rsidRPr="00E150D8" w:rsidR="007B7791">
        <w:rPr>
          <w:i/>
          <w:iCs/>
        </w:rPr>
        <w:t>Williams</w:t>
      </w:r>
      <w:r w:rsidRPr="00E150D8" w:rsidR="007B7791">
        <w:t xml:space="preserve">, </w:t>
      </w:r>
      <w:r w:rsidRPr="00E150D8" w:rsidR="00BE2D4F">
        <w:rPr>
          <w:i/>
          <w:iCs/>
        </w:rPr>
        <w:t>supra</w:t>
      </w:r>
      <w:r w:rsidRPr="00E150D8" w:rsidR="00BE2D4F">
        <w:t xml:space="preserve">, </w:t>
      </w:r>
      <w:r w:rsidRPr="00E150D8" w:rsidR="00954806">
        <w:t>88</w:t>
      </w:r>
      <w:r w:rsidRPr="00E150D8" w:rsidR="003311AD">
        <w:t> </w:t>
      </w:r>
      <w:r w:rsidRPr="00E150D8" w:rsidR="00BE2D4F">
        <w:t xml:space="preserve">Cal.App.5th at p. </w:t>
      </w:r>
      <w:r w:rsidRPr="00E150D8" w:rsidR="00954806">
        <w:t>780</w:t>
      </w:r>
      <w:r w:rsidRPr="00E150D8" w:rsidR="00E14804">
        <w:t xml:space="preserve"> [</w:t>
      </w:r>
      <w:r w:rsidRPr="0009140D" w:rsidR="00BE43AE">
        <w:t>same</w:t>
      </w:r>
      <w:r w:rsidRPr="00E150D8" w:rsidR="00E14804">
        <w:t>]</w:t>
      </w:r>
      <w:r w:rsidRPr="00E150D8" w:rsidR="002A401C">
        <w:t>.)  Moreover</w:t>
      </w:r>
      <w:r w:rsidRPr="00E150D8" w:rsidR="002A62E3">
        <w:t>,</w:t>
      </w:r>
      <w:r w:rsidRPr="00E150D8" w:rsidR="00E16243">
        <w:t xml:space="preserve"> </w:t>
      </w:r>
      <w:r w:rsidRPr="00E150D8" w:rsidR="002A62E3">
        <w:t>“</w:t>
      </w:r>
      <w:r w:rsidRPr="00E150D8" w:rsidR="003311AD">
        <w:t> </w:t>
      </w:r>
      <w:r w:rsidRPr="00E150D8" w:rsidR="002A62E3">
        <w:t>‘principles of equity [cannot] be used to avoid a statutory mandate.’</w:t>
      </w:r>
      <w:r w:rsidRPr="00E150D8" w:rsidR="003311AD">
        <w:t> </w:t>
      </w:r>
      <w:r w:rsidRPr="00E150D8" w:rsidR="002A62E3">
        <w:t>”  (</w:t>
      </w:r>
      <w:r w:rsidRPr="00E150D8" w:rsidR="002A62E3">
        <w:rPr>
          <w:i/>
          <w:iCs/>
        </w:rPr>
        <w:t>Martinez</w:t>
      </w:r>
      <w:r w:rsidRPr="00D91122" w:rsidR="00D91122">
        <w:rPr>
          <w:i/>
          <w:iCs/>
        </w:rPr>
        <w:t xml:space="preserve"> </w:t>
      </w:r>
      <w:r w:rsidRPr="00544458" w:rsidR="00D91122">
        <w:rPr>
          <w:i/>
          <w:iCs/>
        </w:rPr>
        <w:t xml:space="preserve">v. Kia Motors America, Inc. </w:t>
      </w:r>
      <w:r w:rsidRPr="00544458" w:rsidR="00D91122">
        <w:t>(2011) 193 Cal.App.4th 187, 19</w:t>
      </w:r>
      <w:r w:rsidR="00F05399">
        <w:t>9</w:t>
      </w:r>
      <w:r w:rsidRPr="00544458" w:rsidR="00D91122">
        <w:t xml:space="preserve"> (</w:t>
      </w:r>
      <w:r w:rsidRPr="00544458" w:rsidR="00D91122">
        <w:rPr>
          <w:i/>
          <w:iCs/>
        </w:rPr>
        <w:t>Martinez</w:t>
      </w:r>
      <w:r w:rsidRPr="00544458" w:rsidR="00D91122">
        <w:t>)</w:t>
      </w:r>
      <w:r w:rsidRPr="00E150D8" w:rsidR="002A62E3">
        <w:t xml:space="preserve">, citing </w:t>
      </w:r>
      <w:r w:rsidRPr="00E150D8" w:rsidR="002A62E3">
        <w:rPr>
          <w:i/>
          <w:iCs/>
        </w:rPr>
        <w:t>Jiagbogu</w:t>
      </w:r>
      <w:r w:rsidRPr="00E150D8" w:rsidR="002A62E3">
        <w:t xml:space="preserve">, </w:t>
      </w:r>
      <w:r w:rsidRPr="00E150D8" w:rsidR="002A62E3">
        <w:rPr>
          <w:i/>
          <w:iCs/>
        </w:rPr>
        <w:t>supra</w:t>
      </w:r>
      <w:r w:rsidRPr="00E150D8" w:rsidR="002A62E3">
        <w:t>, 118</w:t>
      </w:r>
      <w:r w:rsidRPr="00E150D8" w:rsidR="003311AD">
        <w:t> </w:t>
      </w:r>
      <w:r w:rsidRPr="00E150D8" w:rsidR="002A62E3">
        <w:t>Cal.App.4th</w:t>
      </w:r>
      <w:r w:rsidRPr="00E150D8" w:rsidR="002A62E3">
        <w:rPr>
          <w:i/>
          <w:iCs/>
        </w:rPr>
        <w:t xml:space="preserve"> </w:t>
      </w:r>
      <w:r w:rsidRPr="00E150D8" w:rsidR="002A62E3">
        <w:t>at p.</w:t>
      </w:r>
      <w:r w:rsidRPr="00E150D8" w:rsidR="003311AD">
        <w:t> </w:t>
      </w:r>
      <w:r w:rsidRPr="00E150D8" w:rsidR="002A62E3">
        <w:t xml:space="preserve">1244.)  </w:t>
      </w:r>
      <w:r w:rsidRPr="00E150D8" w:rsidR="0070536B">
        <w:t xml:space="preserve">The </w:t>
      </w:r>
      <w:r w:rsidR="004769C2">
        <w:t>plain language of section 1793.2, subdivision (d)(2)</w:t>
      </w:r>
      <w:r w:rsidRPr="00E150D8" w:rsidR="004769C2">
        <w:t xml:space="preserve"> </w:t>
      </w:r>
      <w:r w:rsidRPr="00E150D8" w:rsidR="00EF4603">
        <w:t>does not contemplate a</w:t>
      </w:r>
      <w:r w:rsidRPr="00E150D8" w:rsidR="002951C1">
        <w:t>n unenumerated</w:t>
      </w:r>
      <w:r w:rsidRPr="00E150D8" w:rsidR="00EF4603">
        <w:t xml:space="preserve"> </w:t>
      </w:r>
      <w:r w:rsidRPr="00E150D8" w:rsidR="003542C6">
        <w:t xml:space="preserve">reduction </w:t>
      </w:r>
      <w:r w:rsidRPr="00E150D8" w:rsidR="00062256">
        <w:t xml:space="preserve">to the statutory restitution remedy </w:t>
      </w:r>
      <w:r w:rsidRPr="00E150D8" w:rsidR="003542C6">
        <w:t xml:space="preserve">for </w:t>
      </w:r>
      <w:r w:rsidRPr="00E150D8" w:rsidR="00062256">
        <w:t xml:space="preserve">a </w:t>
      </w:r>
      <w:r w:rsidRPr="00E150D8" w:rsidR="003542C6">
        <w:t xml:space="preserve">trade-in </w:t>
      </w:r>
      <w:r w:rsidRPr="00E150D8" w:rsidR="002951C1">
        <w:t xml:space="preserve">credit </w:t>
      </w:r>
      <w:r w:rsidR="00CE2752">
        <w:t xml:space="preserve">or sale proceeds </w:t>
      </w:r>
      <w:r w:rsidRPr="00E150D8" w:rsidR="005D271A">
        <w:t>received after the purchase</w:t>
      </w:r>
      <w:r w:rsidRPr="00E150D8" w:rsidR="001A7DE6">
        <w:t xml:space="preserve"> of a </w:t>
      </w:r>
      <w:r w:rsidRPr="00E150D8" w:rsidR="00716998">
        <w:t xml:space="preserve">defective </w:t>
      </w:r>
      <w:r w:rsidRPr="00E150D8" w:rsidR="001A7DE6">
        <w:t>vehicle</w:t>
      </w:r>
      <w:r w:rsidRPr="00E150D8" w:rsidR="004A702A">
        <w:t>.</w:t>
      </w:r>
    </w:p>
    <w:p w:rsidR="00726935" w:rsidRPr="00E150D8" w:rsidP="00CA5D6E" w14:paraId="0C807FBD" w14:textId="77777777">
      <w:pPr>
        <w:pStyle w:val="Heading3"/>
        <w:numPr>
          <w:ilvl w:val="0"/>
          <w:numId w:val="5"/>
        </w:numPr>
        <w:spacing w:before="0" w:line="400" w:lineRule="exact"/>
      </w:pPr>
      <w:r w:rsidRPr="00E150D8">
        <w:t xml:space="preserve">Section 1794’s Reference to the </w:t>
      </w:r>
      <w:r w:rsidR="00065EDF">
        <w:t xml:space="preserve">California Uniform </w:t>
      </w:r>
      <w:r w:rsidRPr="00E150D8">
        <w:t xml:space="preserve">Commercial Code Does Not Provide a Basis to Reduce Restitution </w:t>
      </w:r>
      <w:r w:rsidR="00675C4B">
        <w:t xml:space="preserve">Damages </w:t>
      </w:r>
      <w:r w:rsidRPr="00E150D8">
        <w:t xml:space="preserve">by </w:t>
      </w:r>
      <w:r w:rsidR="00430613">
        <w:t>a</w:t>
      </w:r>
      <w:r w:rsidRPr="00E150D8">
        <w:t xml:space="preserve"> Trade-</w:t>
      </w:r>
      <w:r w:rsidR="00BC6875">
        <w:t>i</w:t>
      </w:r>
      <w:r w:rsidRPr="00E150D8">
        <w:t xml:space="preserve">n </w:t>
      </w:r>
      <w:r w:rsidR="00430613">
        <w:t xml:space="preserve">Credit or </w:t>
      </w:r>
      <w:r w:rsidR="00934FA5">
        <w:t xml:space="preserve">Sale </w:t>
      </w:r>
      <w:r w:rsidR="00675C4B">
        <w:t>Proceeds</w:t>
      </w:r>
    </w:p>
    <w:p w:rsidR="00726935" w:rsidP="008910E5" w14:paraId="0C807FBE" w14:textId="77777777">
      <w:pPr>
        <w:ind w:firstLine="720"/>
      </w:pPr>
      <w:r w:rsidRPr="00E150D8">
        <w:t xml:space="preserve">FCA </w:t>
      </w:r>
      <w:r>
        <w:t xml:space="preserve">next </w:t>
      </w:r>
      <w:r w:rsidRPr="00E150D8">
        <w:t xml:space="preserve">contends that Niedermeier’s damages must be </w:t>
      </w:r>
      <w:r w:rsidRPr="00736AB2">
        <w:rPr>
          <w:szCs w:val="27"/>
        </w:rPr>
        <w:t xml:space="preserve">reduced by the amount she received when she traded in the defective vehicle </w:t>
      </w:r>
      <w:r w:rsidR="001B1CEF">
        <w:rPr>
          <w:szCs w:val="27"/>
        </w:rPr>
        <w:t>since</w:t>
      </w:r>
      <w:r w:rsidRPr="00736AB2">
        <w:rPr>
          <w:szCs w:val="27"/>
        </w:rPr>
        <w:t xml:space="preserve"> section 1794, subdivision (b) incorporates California </w:t>
      </w:r>
      <w:r w:rsidR="00065EDF">
        <w:rPr>
          <w:szCs w:val="27"/>
        </w:rPr>
        <w:t xml:space="preserve">Uniform </w:t>
      </w:r>
      <w:r w:rsidRPr="00736AB2">
        <w:rPr>
          <w:szCs w:val="27"/>
        </w:rPr>
        <w:t>Commercial Code sections 2711 through 2715</w:t>
      </w:r>
      <w:r w:rsidR="001B1CEF">
        <w:rPr>
          <w:szCs w:val="27"/>
        </w:rPr>
        <w:t xml:space="preserve">.  These provisions </w:t>
      </w:r>
      <w:r w:rsidRPr="00736AB2">
        <w:rPr>
          <w:szCs w:val="27"/>
        </w:rPr>
        <w:t xml:space="preserve">prohibit a double recovery and set forth a reduced measure of damages when a buyer resells goods.  </w:t>
      </w:r>
      <w:r w:rsidR="001B1CEF">
        <w:rPr>
          <w:iCs/>
          <w:szCs w:val="27"/>
        </w:rPr>
        <w:t>FCA</w:t>
      </w:r>
      <w:r w:rsidRPr="00561A9C">
        <w:rPr>
          <w:iCs/>
          <w:szCs w:val="27"/>
        </w:rPr>
        <w:t xml:space="preserve"> argues that because section</w:t>
      </w:r>
      <w:r w:rsidR="00FC1826">
        <w:rPr>
          <w:iCs/>
          <w:szCs w:val="27"/>
        </w:rPr>
        <w:t> </w:t>
      </w:r>
      <w:r w:rsidRPr="00561A9C">
        <w:rPr>
          <w:iCs/>
          <w:szCs w:val="27"/>
        </w:rPr>
        <w:t>1794, subdivision</w:t>
      </w:r>
      <w:r w:rsidR="00FC1826">
        <w:rPr>
          <w:iCs/>
          <w:szCs w:val="27"/>
        </w:rPr>
        <w:t> </w:t>
      </w:r>
      <w:r w:rsidRPr="00561A9C">
        <w:rPr>
          <w:iCs/>
          <w:szCs w:val="27"/>
        </w:rPr>
        <w:t xml:space="preserve">(b) states that the measure of damages “shall include the rights of replacement or reimbursement . . . </w:t>
      </w:r>
      <w:r w:rsidRPr="00561A9C">
        <w:rPr>
          <w:i/>
          <w:szCs w:val="27"/>
        </w:rPr>
        <w:t>and</w:t>
      </w:r>
      <w:r w:rsidRPr="00561A9C">
        <w:rPr>
          <w:iCs/>
          <w:szCs w:val="27"/>
        </w:rPr>
        <w:t xml:space="preserve">” (italics added) the </w:t>
      </w:r>
      <w:r w:rsidRPr="00736AB2" w:rsidR="00AB3580">
        <w:rPr>
          <w:szCs w:val="27"/>
        </w:rPr>
        <w:t xml:space="preserve">California </w:t>
      </w:r>
      <w:r w:rsidR="00065EDF">
        <w:rPr>
          <w:iCs/>
          <w:szCs w:val="27"/>
        </w:rPr>
        <w:t xml:space="preserve">Uniform </w:t>
      </w:r>
      <w:r w:rsidRPr="00561A9C">
        <w:rPr>
          <w:iCs/>
          <w:szCs w:val="27"/>
        </w:rPr>
        <w:t>Commercial Code remedies, the remedies identified in section</w:t>
      </w:r>
      <w:r w:rsidR="00FC1826">
        <w:rPr>
          <w:iCs/>
          <w:szCs w:val="27"/>
        </w:rPr>
        <w:t> </w:t>
      </w:r>
      <w:r w:rsidRPr="00561A9C">
        <w:rPr>
          <w:iCs/>
          <w:szCs w:val="27"/>
        </w:rPr>
        <w:t>1793.2, subdivision</w:t>
      </w:r>
      <w:r w:rsidR="00FC1826">
        <w:rPr>
          <w:iCs/>
          <w:szCs w:val="27"/>
        </w:rPr>
        <w:t> </w:t>
      </w:r>
      <w:r w:rsidRPr="00561A9C">
        <w:rPr>
          <w:iCs/>
          <w:szCs w:val="27"/>
        </w:rPr>
        <w:t xml:space="preserve">(d) and the </w:t>
      </w:r>
      <w:r w:rsidRPr="00561A9C" w:rsidR="000D04EF">
        <w:rPr>
          <w:iCs/>
          <w:szCs w:val="27"/>
        </w:rPr>
        <w:t xml:space="preserve">remedies identified in the </w:t>
      </w:r>
      <w:r w:rsidRPr="00736AB2" w:rsidR="00AB3580">
        <w:rPr>
          <w:szCs w:val="27"/>
        </w:rPr>
        <w:t xml:space="preserve">California </w:t>
      </w:r>
      <w:r w:rsidR="00065EDF">
        <w:rPr>
          <w:iCs/>
          <w:szCs w:val="27"/>
        </w:rPr>
        <w:t xml:space="preserve">Uniform </w:t>
      </w:r>
      <w:r w:rsidRPr="00561A9C">
        <w:rPr>
          <w:iCs/>
          <w:szCs w:val="27"/>
        </w:rPr>
        <w:t>Commercial Code are not merely alternate measures of damages</w:t>
      </w:r>
      <w:r w:rsidR="001B1CEF">
        <w:rPr>
          <w:iCs/>
          <w:szCs w:val="27"/>
        </w:rPr>
        <w:t>.</w:t>
      </w:r>
      <w:r w:rsidRPr="00561A9C">
        <w:rPr>
          <w:iCs/>
          <w:szCs w:val="27"/>
        </w:rPr>
        <w:t xml:space="preserve"> </w:t>
      </w:r>
      <w:r w:rsidR="001B1CEF">
        <w:rPr>
          <w:iCs/>
          <w:szCs w:val="27"/>
        </w:rPr>
        <w:t xml:space="preserve"> R</w:t>
      </w:r>
      <w:r w:rsidRPr="00561A9C">
        <w:rPr>
          <w:iCs/>
          <w:szCs w:val="27"/>
        </w:rPr>
        <w:t xml:space="preserve">ather, </w:t>
      </w:r>
      <w:r w:rsidR="001B1CEF">
        <w:rPr>
          <w:iCs/>
          <w:szCs w:val="27"/>
        </w:rPr>
        <w:t xml:space="preserve">FCA urges, </w:t>
      </w:r>
      <w:r w:rsidRPr="00561A9C">
        <w:rPr>
          <w:iCs/>
          <w:szCs w:val="27"/>
        </w:rPr>
        <w:t xml:space="preserve">the measure of damages must consider both the statutory restitution remedy and the relevant provisions of the </w:t>
      </w:r>
      <w:r w:rsidRPr="00736AB2" w:rsidR="00AB3580">
        <w:rPr>
          <w:szCs w:val="27"/>
        </w:rPr>
        <w:t xml:space="preserve">California </w:t>
      </w:r>
      <w:r w:rsidR="00065EDF">
        <w:rPr>
          <w:iCs/>
          <w:szCs w:val="27"/>
        </w:rPr>
        <w:t xml:space="preserve">Uniform </w:t>
      </w:r>
      <w:r w:rsidRPr="00561A9C">
        <w:rPr>
          <w:iCs/>
          <w:szCs w:val="27"/>
        </w:rPr>
        <w:t xml:space="preserve">Commercial Code.  </w:t>
      </w:r>
      <w:r w:rsidRPr="00736AB2">
        <w:rPr>
          <w:szCs w:val="27"/>
        </w:rPr>
        <w:t xml:space="preserve">Citing </w:t>
      </w:r>
      <w:r w:rsidRPr="00736AB2">
        <w:rPr>
          <w:i/>
          <w:iCs/>
          <w:szCs w:val="27"/>
        </w:rPr>
        <w:t>Kwan v. Mercedes-Benz of North America, Inc.</w:t>
      </w:r>
      <w:r w:rsidRPr="00736AB2">
        <w:rPr>
          <w:szCs w:val="27"/>
        </w:rPr>
        <w:t xml:space="preserve"> (1994) 23 Cal.App.4th 174 (</w:t>
      </w:r>
      <w:r w:rsidRPr="00736AB2">
        <w:rPr>
          <w:i/>
          <w:szCs w:val="27"/>
        </w:rPr>
        <w:t>Kwan</w:t>
      </w:r>
      <w:r w:rsidRPr="00736AB2">
        <w:rPr>
          <w:iCs/>
          <w:szCs w:val="27"/>
        </w:rPr>
        <w:t>)</w:t>
      </w:r>
      <w:r w:rsidRPr="00736AB2">
        <w:rPr>
          <w:szCs w:val="27"/>
        </w:rPr>
        <w:t xml:space="preserve">, </w:t>
      </w:r>
      <w:r w:rsidRPr="00736AB2">
        <w:rPr>
          <w:i/>
          <w:iCs/>
          <w:szCs w:val="27"/>
        </w:rPr>
        <w:t xml:space="preserve">Bishop v. Hyundai Motor America </w:t>
      </w:r>
      <w:r w:rsidRPr="00736AB2">
        <w:rPr>
          <w:szCs w:val="27"/>
        </w:rPr>
        <w:t>(1996) 44 Cal.App.4th 750 (</w:t>
      </w:r>
      <w:r w:rsidRPr="00736AB2">
        <w:rPr>
          <w:i/>
          <w:iCs/>
          <w:szCs w:val="27"/>
        </w:rPr>
        <w:t>Bishop</w:t>
      </w:r>
      <w:r w:rsidRPr="00736AB2">
        <w:rPr>
          <w:szCs w:val="27"/>
        </w:rPr>
        <w:t xml:space="preserve">), and </w:t>
      </w:r>
      <w:r w:rsidRPr="00736AB2">
        <w:rPr>
          <w:i/>
          <w:iCs/>
          <w:szCs w:val="27"/>
        </w:rPr>
        <w:t>Kirzhner</w:t>
      </w:r>
      <w:r w:rsidRPr="00736AB2">
        <w:rPr>
          <w:szCs w:val="27"/>
        </w:rPr>
        <w:t xml:space="preserve">, FCA </w:t>
      </w:r>
      <w:r w:rsidRPr="00736AB2" w:rsidR="00FA1A4B">
        <w:rPr>
          <w:szCs w:val="27"/>
        </w:rPr>
        <w:t xml:space="preserve">argues </w:t>
      </w:r>
      <w:r w:rsidRPr="00736AB2">
        <w:rPr>
          <w:szCs w:val="27"/>
        </w:rPr>
        <w:t>the Legislature has made it clear that damages</w:t>
      </w:r>
      <w:r w:rsidR="00BE1977">
        <w:rPr>
          <w:szCs w:val="27"/>
        </w:rPr>
        <w:t> </w:t>
      </w:r>
      <w:r w:rsidRPr="00736AB2">
        <w:rPr>
          <w:szCs w:val="27"/>
        </w:rPr>
        <w:t>—</w:t>
      </w:r>
      <w:r w:rsidR="00BE1977">
        <w:rPr>
          <w:szCs w:val="27"/>
        </w:rPr>
        <w:t xml:space="preserve"> </w:t>
      </w:r>
      <w:r w:rsidRPr="00736AB2">
        <w:rPr>
          <w:szCs w:val="27"/>
        </w:rPr>
        <w:t>including the restitution remedy — are measured in the same manner as, and subject to the general rules applicable to, ordinary contracts.</w:t>
      </w:r>
      <w:r w:rsidRPr="00E150D8">
        <w:t xml:space="preserve">  </w:t>
      </w:r>
    </w:p>
    <w:p w:rsidR="00726935" w:rsidRPr="00443216" w:rsidP="008910E5" w14:paraId="0C807FBF" w14:textId="77777777">
      <w:pPr>
        <w:ind w:firstLine="720"/>
        <w:rPr>
          <w:szCs w:val="27"/>
        </w:rPr>
      </w:pPr>
      <w:r w:rsidRPr="00443216">
        <w:rPr>
          <w:szCs w:val="27"/>
        </w:rPr>
        <w:t xml:space="preserve">We conclude that the Act’s restitution and replacement remedies are distinct from the available </w:t>
      </w:r>
      <w:r w:rsidR="00065EDF">
        <w:rPr>
          <w:szCs w:val="27"/>
        </w:rPr>
        <w:t xml:space="preserve">California Uniform </w:t>
      </w:r>
      <w:r w:rsidRPr="00443216">
        <w:rPr>
          <w:szCs w:val="27"/>
        </w:rPr>
        <w:t xml:space="preserve">Commercial Code remedies referenced in section 1794, and the </w:t>
      </w:r>
      <w:r w:rsidRPr="00736AB2" w:rsidR="00AB3580">
        <w:rPr>
          <w:szCs w:val="27"/>
        </w:rPr>
        <w:t xml:space="preserve">California </w:t>
      </w:r>
      <w:r w:rsidR="00065EDF">
        <w:rPr>
          <w:szCs w:val="27"/>
        </w:rPr>
        <w:t xml:space="preserve">Uniform </w:t>
      </w:r>
      <w:r w:rsidRPr="00443216">
        <w:rPr>
          <w:szCs w:val="27"/>
        </w:rPr>
        <w:t xml:space="preserve">Commercial Code remedies do not reduce the Act’s statutory restitution remedy.  We also find that any attempt to reduce the statutory restitution remedy by the remedies set forth in the </w:t>
      </w:r>
      <w:r w:rsidRPr="00736AB2" w:rsidR="00AB3580">
        <w:rPr>
          <w:szCs w:val="27"/>
        </w:rPr>
        <w:t xml:space="preserve">California </w:t>
      </w:r>
      <w:r w:rsidR="00065EDF">
        <w:rPr>
          <w:szCs w:val="27"/>
        </w:rPr>
        <w:t xml:space="preserve">Uniform </w:t>
      </w:r>
      <w:r w:rsidRPr="00443216">
        <w:rPr>
          <w:szCs w:val="27"/>
        </w:rPr>
        <w:t xml:space="preserve">Commercial Code would conflict with the Act, and the Act’s restitution remedy </w:t>
      </w:r>
      <w:r w:rsidRPr="00443216" w:rsidR="00C33F1B">
        <w:rPr>
          <w:szCs w:val="27"/>
        </w:rPr>
        <w:t xml:space="preserve">thus </w:t>
      </w:r>
      <w:r w:rsidRPr="00443216">
        <w:rPr>
          <w:szCs w:val="27"/>
        </w:rPr>
        <w:t>controls.  (See § 1790.3.)</w:t>
      </w:r>
    </w:p>
    <w:p w:rsidR="00726935" w:rsidRPr="00443216" w:rsidP="008910E5" w14:paraId="0C807FC0" w14:textId="77777777">
      <w:pPr>
        <w:rPr>
          <w:szCs w:val="27"/>
        </w:rPr>
      </w:pPr>
      <w:r w:rsidRPr="00443216">
        <w:rPr>
          <w:szCs w:val="27"/>
        </w:rPr>
        <w:tab/>
      </w:r>
      <w:r w:rsidRPr="00561A9C">
        <w:rPr>
          <w:iCs/>
          <w:szCs w:val="27"/>
        </w:rPr>
        <w:t xml:space="preserve">“[A]s the </w:t>
      </w:r>
      <w:r w:rsidRPr="00561A9C">
        <w:rPr>
          <w:i/>
          <w:iCs/>
          <w:szCs w:val="27"/>
        </w:rPr>
        <w:t>conjunctive language</w:t>
      </w:r>
      <w:r w:rsidRPr="00561A9C">
        <w:rPr>
          <w:iCs/>
          <w:szCs w:val="27"/>
        </w:rPr>
        <w:t xml:space="preserve"> in Civil Code section 1794 indicates, the statute itself provides an additional measure of damages beyond replacement or reimbursement (Civ. Code, § 1793</w:t>
      </w:r>
      <w:r w:rsidR="00F04096">
        <w:rPr>
          <w:iCs/>
          <w:szCs w:val="27"/>
        </w:rPr>
        <w:t>.2</w:t>
      </w:r>
      <w:r w:rsidRPr="00561A9C">
        <w:rPr>
          <w:iCs/>
          <w:szCs w:val="27"/>
        </w:rPr>
        <w:t xml:space="preserve">, subd. (d)) and permits, </w:t>
      </w:r>
      <w:r w:rsidRPr="00561A9C">
        <w:rPr>
          <w:i/>
          <w:iCs/>
          <w:szCs w:val="27"/>
        </w:rPr>
        <w:t>at the option of the buyer</w:t>
      </w:r>
      <w:r w:rsidRPr="00561A9C">
        <w:rPr>
          <w:iCs/>
          <w:szCs w:val="27"/>
        </w:rPr>
        <w:t>, the Commercial Code measure of damages which includes ‘the cost of repairs necessary to make the goods conform.’  (Civ. Code, § 1794, subd. (b)(2).)”  (</w:t>
      </w:r>
      <w:r w:rsidRPr="00561A9C">
        <w:rPr>
          <w:i/>
          <w:iCs/>
          <w:szCs w:val="27"/>
        </w:rPr>
        <w:t>Krotin</w:t>
      </w:r>
      <w:r w:rsidRPr="00443216" w:rsidR="00942D9C">
        <w:rPr>
          <w:i/>
          <w:iCs/>
          <w:szCs w:val="27"/>
        </w:rPr>
        <w:t xml:space="preserve"> v. Porsche Cars North America, Inc.</w:t>
      </w:r>
      <w:r w:rsidRPr="00443216" w:rsidR="00942D9C">
        <w:rPr>
          <w:szCs w:val="27"/>
        </w:rPr>
        <w:t xml:space="preserve"> (1995) 38 Cal.App.4th 294, 302 (</w:t>
      </w:r>
      <w:r w:rsidRPr="00443216" w:rsidR="00942D9C">
        <w:rPr>
          <w:i/>
          <w:szCs w:val="27"/>
        </w:rPr>
        <w:t>Krotin</w:t>
      </w:r>
      <w:r w:rsidRPr="00443216" w:rsidR="00942D9C">
        <w:rPr>
          <w:iCs/>
          <w:szCs w:val="27"/>
        </w:rPr>
        <w:t>)</w:t>
      </w:r>
      <w:r w:rsidRPr="00443216" w:rsidR="00EB120F">
        <w:rPr>
          <w:iCs/>
          <w:szCs w:val="27"/>
        </w:rPr>
        <w:t>,</w:t>
      </w:r>
      <w:r w:rsidRPr="00561A9C">
        <w:rPr>
          <w:iCs/>
          <w:szCs w:val="27"/>
        </w:rPr>
        <w:t xml:space="preserve"> italics added</w:t>
      </w:r>
      <w:r w:rsidRPr="00443216">
        <w:rPr>
          <w:szCs w:val="27"/>
        </w:rPr>
        <w:t xml:space="preserve">.)  </w:t>
      </w:r>
      <w:r w:rsidRPr="00443216" w:rsidR="00F447EA">
        <w:rPr>
          <w:szCs w:val="27"/>
        </w:rPr>
        <w:t>Moreover</w:t>
      </w:r>
      <w:r w:rsidRPr="00443216">
        <w:rPr>
          <w:szCs w:val="27"/>
        </w:rPr>
        <w:t xml:space="preserve">, the plain language of section 1794 makes clear that “[t]he measure of </w:t>
      </w:r>
      <w:r w:rsidR="00250A03">
        <w:rPr>
          <w:szCs w:val="27"/>
        </w:rPr>
        <w:t>the</w:t>
      </w:r>
      <w:r w:rsidRPr="00443216">
        <w:rPr>
          <w:szCs w:val="27"/>
        </w:rPr>
        <w:t xml:space="preserve"> buyer’s damages </w:t>
      </w:r>
      <w:r w:rsidR="00250A03">
        <w:rPr>
          <w:szCs w:val="27"/>
        </w:rPr>
        <w:t xml:space="preserve">in an action under this section </w:t>
      </w:r>
      <w:r w:rsidRPr="00443216">
        <w:rPr>
          <w:szCs w:val="27"/>
        </w:rPr>
        <w:t xml:space="preserve">shall include the rights of replacement or reimbursement </w:t>
      </w:r>
      <w:r w:rsidRPr="00443216">
        <w:rPr>
          <w:i/>
          <w:iCs/>
          <w:szCs w:val="27"/>
        </w:rPr>
        <w:t>as set forth</w:t>
      </w:r>
      <w:r w:rsidRPr="00443216">
        <w:rPr>
          <w:szCs w:val="27"/>
        </w:rPr>
        <w:t xml:space="preserve"> in subdivision (d) of Section 1793.2, and [the </w:t>
      </w:r>
      <w:r w:rsidR="00C420B5">
        <w:rPr>
          <w:szCs w:val="27"/>
        </w:rPr>
        <w:t xml:space="preserve">California Uniform </w:t>
      </w:r>
      <w:r w:rsidRPr="00443216">
        <w:rPr>
          <w:szCs w:val="27"/>
        </w:rPr>
        <w:t xml:space="preserve">Commercial Code remedies].”  (§ 1794, subd. (b), italics added.)  The phrase “as set forth” indicates that the buyer is entitled to the statutory restitution remedy as distinctly and precisely </w:t>
      </w:r>
      <w:r w:rsidRPr="00443216" w:rsidR="00501987">
        <w:rPr>
          <w:szCs w:val="27"/>
        </w:rPr>
        <w:t>described</w:t>
      </w:r>
      <w:r w:rsidRPr="00443216">
        <w:rPr>
          <w:szCs w:val="27"/>
        </w:rPr>
        <w:t xml:space="preserve"> in section 1793.2, subdivision (d) in addition to any applicable remedies set forth in the </w:t>
      </w:r>
      <w:r w:rsidRPr="00736AB2" w:rsidR="00AB3580">
        <w:rPr>
          <w:szCs w:val="27"/>
        </w:rPr>
        <w:t xml:space="preserve">California </w:t>
      </w:r>
      <w:r w:rsidR="00C420B5">
        <w:rPr>
          <w:szCs w:val="27"/>
        </w:rPr>
        <w:t xml:space="preserve">Uniform </w:t>
      </w:r>
      <w:r w:rsidRPr="00443216">
        <w:rPr>
          <w:szCs w:val="27"/>
        </w:rPr>
        <w:t>Commercial Code.</w:t>
      </w:r>
    </w:p>
    <w:p w:rsidR="00726935" w:rsidP="008910E5" w14:paraId="0C807FC1" w14:textId="77777777">
      <w:pPr>
        <w:tabs>
          <w:tab w:val="left" w:pos="720"/>
        </w:tabs>
      </w:pPr>
      <w:r w:rsidRPr="00443216">
        <w:rPr>
          <w:szCs w:val="27"/>
        </w:rPr>
        <w:tab/>
        <w:t>FCA’s statutory interpretation not only disregards the plain language of section 1794, it also ignores the overall statutory context</w:t>
      </w:r>
      <w:r w:rsidRPr="00E150D8">
        <w:t xml:space="preserve">.  Section 1794 is intended to encompass all of the remedies available for failures to “comply with any obligation under this chapter [i.e., the Act,]” as well as non-Act failures to comply with any obligation “under an implied or express warranty or service contract . . . .”  (§ 1794, subd. (a); § 1790; see also </w:t>
      </w:r>
      <w:r w:rsidRPr="00E150D8">
        <w:rPr>
          <w:i/>
          <w:iCs/>
        </w:rPr>
        <w:t>Kwan</w:t>
      </w:r>
      <w:r w:rsidRPr="00E150D8">
        <w:t xml:space="preserve">, </w:t>
      </w:r>
      <w:r w:rsidRPr="00E150D8">
        <w:rPr>
          <w:i/>
          <w:iCs/>
        </w:rPr>
        <w:t>supra</w:t>
      </w:r>
      <w:r w:rsidRPr="00E150D8">
        <w:t>, 23 Cal.App.4th at p. 180 [“</w:t>
      </w:r>
      <w:r w:rsidR="00BC384F">
        <w:t>S</w:t>
      </w:r>
      <w:r w:rsidRPr="00E150D8">
        <w:t xml:space="preserve">ection 1794 sets out the damages available to a buyer for a seller or manufacturer’s failure to comply with an obligation under the Act or under a consumer product warranty”].)  </w:t>
      </w:r>
      <w:r w:rsidRPr="00910C51">
        <w:t>Moreover,</w:t>
      </w:r>
      <w:r w:rsidRPr="00E150D8">
        <w:t xml:space="preserve"> the Act provides that its remedies “are </w:t>
      </w:r>
      <w:r w:rsidRPr="00E150D8">
        <w:rPr>
          <w:i/>
          <w:iCs/>
        </w:rPr>
        <w:t xml:space="preserve">cumulative </w:t>
      </w:r>
      <w:r w:rsidRPr="00E150D8">
        <w:t xml:space="preserve">and shall not be construed as restricting any remedy that is otherwise available . . . .”  (§ 1790.4, italics added.)  We have similarly observed that the “pro-consumer remedies [of the Act] are </w:t>
      </w:r>
      <w:r w:rsidRPr="00E150D8">
        <w:rPr>
          <w:i/>
          <w:iCs/>
        </w:rPr>
        <w:t>in addition to</w:t>
      </w:r>
      <w:r w:rsidRPr="00E150D8">
        <w:t xml:space="preserve"> those available to a consumer pursuant to the Commercial Code (</w:t>
      </w:r>
      <w:r w:rsidR="00D90569">
        <w:t> </w:t>
      </w:r>
      <w:r w:rsidR="00531657">
        <w:t>. . .</w:t>
      </w:r>
      <w:r w:rsidRPr="00E150D8">
        <w:t xml:space="preserve"> § 1790.3) and the Unfair Practices Act (</w:t>
      </w:r>
      <w:r w:rsidR="00D90569">
        <w:t> </w:t>
      </w:r>
      <w:r w:rsidR="00531657">
        <w:t xml:space="preserve">. . . </w:t>
      </w:r>
      <w:r w:rsidRPr="00E150D8">
        <w:t>§ 1790.4)</w:t>
      </w:r>
      <w:r w:rsidR="00667DF7">
        <w:t>.</w:t>
      </w:r>
      <w:r w:rsidRPr="00E150D8">
        <w:t>”  (</w:t>
      </w:r>
      <w:r w:rsidRPr="00E150D8">
        <w:rPr>
          <w:i/>
          <w:iCs/>
        </w:rPr>
        <w:t>Murillo</w:t>
      </w:r>
      <w:r w:rsidRPr="00E150D8">
        <w:t xml:space="preserve">, </w:t>
      </w:r>
      <w:r w:rsidRPr="00E150D8">
        <w:rPr>
          <w:i/>
          <w:iCs/>
        </w:rPr>
        <w:t>supra</w:t>
      </w:r>
      <w:r w:rsidRPr="00E150D8">
        <w:t>, 17 Cal.4th at p. 990, italics added.)</w:t>
      </w:r>
    </w:p>
    <w:p w:rsidR="004C04B9" w:rsidP="008910E5" w14:paraId="0C807FC2" w14:textId="77777777">
      <w:pPr>
        <w:tabs>
          <w:tab w:val="left" w:pos="720"/>
        </w:tabs>
        <w:rPr>
          <w:color w:val="000000"/>
          <w:szCs w:val="26"/>
        </w:rPr>
      </w:pPr>
      <w:r>
        <w:tab/>
        <w:t xml:space="preserve">The language of the statutory restitution remedy </w:t>
      </w:r>
      <w:r w:rsidR="007F287D">
        <w:t xml:space="preserve">itself </w:t>
      </w:r>
      <w:r>
        <w:t>further support</w:t>
      </w:r>
      <w:r w:rsidR="006926D4">
        <w:t>s</w:t>
      </w:r>
      <w:r>
        <w:t xml:space="preserve"> our </w:t>
      </w:r>
      <w:r w:rsidRPr="00B96E57">
        <w:t>conclusion</w:t>
      </w:r>
      <w:r w:rsidR="006926D4">
        <w:t xml:space="preserve"> that</w:t>
      </w:r>
      <w:r w:rsidRPr="00B96E57">
        <w:t xml:space="preserve"> </w:t>
      </w:r>
      <w:r w:rsidRPr="00561A9C" w:rsidR="006926D4">
        <w:t>it</w:t>
      </w:r>
      <w:r w:rsidRPr="00720C4E">
        <w:t xml:space="preserve"> </w:t>
      </w:r>
      <w:r w:rsidRPr="00B96E57">
        <w:t xml:space="preserve">is distinct from the </w:t>
      </w:r>
      <w:r w:rsidR="00C420B5">
        <w:rPr>
          <w:szCs w:val="27"/>
        </w:rPr>
        <w:t xml:space="preserve">California Uniform </w:t>
      </w:r>
      <w:r w:rsidRPr="00B96E57">
        <w:t>Commercial Code remedies identified in section</w:t>
      </w:r>
      <w:r w:rsidR="00840228">
        <w:t> </w:t>
      </w:r>
      <w:r w:rsidRPr="00B96E57">
        <w:t>1794</w:t>
      </w:r>
      <w:r>
        <w:t xml:space="preserve">.  </w:t>
      </w:r>
      <w:r w:rsidR="00AF5669">
        <w:t>S</w:t>
      </w:r>
      <w:r>
        <w:t>ection</w:t>
      </w:r>
      <w:r w:rsidR="00840228">
        <w:t> </w:t>
      </w:r>
      <w:r>
        <w:t>1793.2, subdivision</w:t>
      </w:r>
      <w:r w:rsidR="00840228">
        <w:t> </w:t>
      </w:r>
      <w:r>
        <w:t xml:space="preserve">(d)(2)(B) requires the manufacturer to “make restitution in an amount equal to the actual price paid or payable by the buyer . . . </w:t>
      </w:r>
      <w:r>
        <w:rPr>
          <w:i/>
          <w:iCs/>
        </w:rPr>
        <w:t xml:space="preserve">plus </w:t>
      </w:r>
      <w:r>
        <w:t>any incidental damages to which the buyer is entitled under Section 1794.”  (</w:t>
      </w:r>
      <w:r w:rsidR="00D90569">
        <w:t>I</w:t>
      </w:r>
      <w:r>
        <w:t xml:space="preserve">talics added.)  The inclusion of the word “plus” indicates that a buyer may receive damages available in the </w:t>
      </w:r>
      <w:r w:rsidRPr="00736AB2" w:rsidR="00AB3580">
        <w:rPr>
          <w:szCs w:val="27"/>
        </w:rPr>
        <w:t xml:space="preserve">California </w:t>
      </w:r>
      <w:r w:rsidR="00C420B5">
        <w:rPr>
          <w:szCs w:val="27"/>
        </w:rPr>
        <w:t xml:space="preserve">Uniform </w:t>
      </w:r>
      <w:r>
        <w:t xml:space="preserve">Commercial Code in </w:t>
      </w:r>
      <w:r>
        <w:rPr>
          <w:i/>
          <w:iCs/>
        </w:rPr>
        <w:t xml:space="preserve">addition </w:t>
      </w:r>
      <w:r>
        <w:t>to the statutory restitution amount recoverable under section</w:t>
      </w:r>
      <w:r w:rsidR="00840228">
        <w:t> </w:t>
      </w:r>
      <w:r>
        <w:t>1793.2, subdivision</w:t>
      </w:r>
      <w:r w:rsidR="00840228">
        <w:t> </w:t>
      </w:r>
      <w:r>
        <w:t xml:space="preserve">(d)(2).  As the Court of Appeal explained in </w:t>
      </w:r>
      <w:r w:rsidRPr="00561A9C">
        <w:rPr>
          <w:i/>
          <w:iCs/>
        </w:rPr>
        <w:t>Krieger</w:t>
      </w:r>
      <w:r w:rsidR="00033162">
        <w:rPr>
          <w:i/>
          <w:iCs/>
        </w:rPr>
        <w:t xml:space="preserve"> v. Nick Alexander Imports, Inc.</w:t>
      </w:r>
      <w:r w:rsidR="00033162">
        <w:t xml:space="preserve"> (1991) 234</w:t>
      </w:r>
      <w:r w:rsidR="00AF2991">
        <w:t> </w:t>
      </w:r>
      <w:r w:rsidR="00033162">
        <w:t>Cal.App.3d</w:t>
      </w:r>
      <w:r w:rsidR="00AD7053">
        <w:t xml:space="preserve"> 205, 213</w:t>
      </w:r>
      <w:r>
        <w:t xml:space="preserve">, </w:t>
      </w:r>
      <w:r w:rsidRPr="004C04B9">
        <w:t xml:space="preserve">the Act </w:t>
      </w:r>
      <w:r w:rsidR="00E723E9">
        <w:t>“</w:t>
      </w:r>
      <w:r w:rsidRPr="004C04B9">
        <w:t>supplements, rather than supersedes, the provisions of the California Uniform Commercial Code.”  (</w:t>
      </w:r>
      <w:r w:rsidRPr="00561A9C" w:rsidR="00AD7053">
        <w:rPr>
          <w:iCs/>
        </w:rPr>
        <w:t>S</w:t>
      </w:r>
      <w:r w:rsidRPr="004C04B9">
        <w:t xml:space="preserve">ee </w:t>
      </w:r>
      <w:r w:rsidR="00AD7053">
        <w:t xml:space="preserve">also </w:t>
      </w:r>
      <w:r w:rsidRPr="004C04B9">
        <w:t xml:space="preserve">§ 1790.3; § 1794, subd. (b) [incorporating specific damages provisions of the Cal. U. Com. Code].) </w:t>
      </w:r>
      <w:r>
        <w:rPr>
          <w:color w:val="000000"/>
          <w:szCs w:val="26"/>
        </w:rPr>
        <w:t xml:space="preserve"> </w:t>
      </w:r>
    </w:p>
    <w:p w:rsidR="00726935" w:rsidRPr="00E150D8" w:rsidP="008910E5" w14:paraId="0C807FC3" w14:textId="77777777">
      <w:pPr>
        <w:tabs>
          <w:tab w:val="left" w:pos="720"/>
        </w:tabs>
      </w:pPr>
      <w:r>
        <w:rPr>
          <w:color w:val="000000"/>
          <w:szCs w:val="26"/>
        </w:rPr>
        <w:tab/>
      </w:r>
      <w:r>
        <w:t>T</w:t>
      </w:r>
      <w:r w:rsidRPr="00E150D8">
        <w:t xml:space="preserve">he </w:t>
      </w:r>
      <w:r w:rsidR="00C420B5">
        <w:rPr>
          <w:szCs w:val="27"/>
        </w:rPr>
        <w:t xml:space="preserve">California Uniform </w:t>
      </w:r>
      <w:r>
        <w:t>Commercial</w:t>
      </w:r>
      <w:r w:rsidRPr="00E150D8">
        <w:t xml:space="preserve"> Code remedies referenced in section 1794 stand separate and apart from the remedies in section 1793.2, subdivision (d), and do not purport to limit the </w:t>
      </w:r>
      <w:r>
        <w:t xml:space="preserve">statutory </w:t>
      </w:r>
      <w:r w:rsidRPr="00E150D8">
        <w:t xml:space="preserve">restitution </w:t>
      </w:r>
      <w:r>
        <w:t xml:space="preserve">remedy </w:t>
      </w:r>
      <w:r w:rsidRPr="00E150D8">
        <w:t>in any way.</w:t>
      </w:r>
      <w:r>
        <w:rPr>
          <w:color w:val="000000"/>
          <w:szCs w:val="26"/>
        </w:rPr>
        <w:t xml:space="preserve">  </w:t>
      </w:r>
      <w:r w:rsidRPr="00E150D8">
        <w:rPr>
          <w:color w:val="000000"/>
          <w:szCs w:val="26"/>
        </w:rPr>
        <w:t>Th</w:t>
      </w:r>
      <w:r>
        <w:rPr>
          <w:color w:val="000000"/>
          <w:szCs w:val="26"/>
        </w:rPr>
        <w:t xml:space="preserve">is makes sense because the </w:t>
      </w:r>
      <w:r w:rsidRPr="00E150D8">
        <w:rPr>
          <w:color w:val="000000"/>
          <w:szCs w:val="26"/>
        </w:rPr>
        <w:t xml:space="preserve">Act provides more extensive consumer protections than the </w:t>
      </w:r>
      <w:r w:rsidRPr="00736AB2" w:rsidR="00AB3580">
        <w:rPr>
          <w:szCs w:val="27"/>
        </w:rPr>
        <w:t xml:space="preserve">California </w:t>
      </w:r>
      <w:r w:rsidR="00C420B5">
        <w:rPr>
          <w:szCs w:val="27"/>
        </w:rPr>
        <w:t xml:space="preserve">Uniform </w:t>
      </w:r>
      <w:r w:rsidRPr="00E150D8">
        <w:rPr>
          <w:color w:val="000000"/>
          <w:szCs w:val="26"/>
        </w:rPr>
        <w:t>Commercial Code.  (</w:t>
      </w:r>
      <w:r w:rsidRPr="00E150D8">
        <w:rPr>
          <w:i/>
          <w:iCs/>
          <w:color w:val="000000"/>
          <w:szCs w:val="26"/>
        </w:rPr>
        <w:t>Krotin</w:t>
      </w:r>
      <w:r w:rsidRPr="00E150D8">
        <w:rPr>
          <w:color w:val="000000"/>
          <w:szCs w:val="26"/>
        </w:rPr>
        <w:t xml:space="preserve">, </w:t>
      </w:r>
      <w:r w:rsidRPr="00E150D8">
        <w:rPr>
          <w:i/>
          <w:iCs/>
          <w:color w:val="000000"/>
          <w:szCs w:val="26"/>
        </w:rPr>
        <w:t>supra</w:t>
      </w:r>
      <w:r w:rsidRPr="00E150D8">
        <w:rPr>
          <w:color w:val="000000"/>
          <w:szCs w:val="26"/>
        </w:rPr>
        <w:t xml:space="preserve">, </w:t>
      </w:r>
      <w:r w:rsidRPr="00E150D8">
        <w:t>38 Cal.App.4th</w:t>
      </w:r>
      <w:r w:rsidRPr="00E150D8">
        <w:rPr>
          <w:color w:val="000000"/>
          <w:szCs w:val="26"/>
        </w:rPr>
        <w:t xml:space="preserve"> at p.</w:t>
      </w:r>
      <w:r w:rsidRPr="00E150D8">
        <w:t> </w:t>
      </w:r>
      <w:r w:rsidRPr="00E150D8">
        <w:rPr>
          <w:color w:val="000000"/>
          <w:szCs w:val="26"/>
        </w:rPr>
        <w:t xml:space="preserve">301; see also </w:t>
      </w:r>
      <w:r w:rsidRPr="00E150D8">
        <w:rPr>
          <w:i/>
          <w:iCs/>
        </w:rPr>
        <w:t>Murillo</w:t>
      </w:r>
      <w:r w:rsidRPr="00E150D8">
        <w:t xml:space="preserve">, </w:t>
      </w:r>
      <w:r w:rsidRPr="00E150D8">
        <w:rPr>
          <w:i/>
          <w:iCs/>
        </w:rPr>
        <w:t>supra</w:t>
      </w:r>
      <w:r w:rsidRPr="00E150D8">
        <w:t>, 17 Cal.4th at p. 989 [the Act “ ‘regulates warranty terms, imposes service and repair obligations on manufacturers, distributors, and retailers who make express warranties, requires disclosure of specified information in express warranties, and broadens a buyer’s remedies to include costs, attorney’s fees, and civil penalties.’</w:t>
      </w:r>
      <w:r w:rsidR="0008362B">
        <w:t> </w:t>
      </w:r>
      <w:r w:rsidRPr="00E150D8">
        <w:t>”</w:t>
      </w:r>
      <w:r w:rsidR="00605312">
        <w:t>].</w:t>
      </w:r>
      <w:r w:rsidRPr="00E150D8">
        <w:t xml:space="preserve">)  FCA cites no authority in which the </w:t>
      </w:r>
      <w:r w:rsidR="005273FC">
        <w:t xml:space="preserve">Act’s </w:t>
      </w:r>
      <w:r>
        <w:t xml:space="preserve">statutory restitution remedy </w:t>
      </w:r>
      <w:r w:rsidRPr="00E150D8">
        <w:t xml:space="preserve">has ever been reduced by the provisions of the </w:t>
      </w:r>
      <w:r w:rsidRPr="00736AB2" w:rsidR="00AB3580">
        <w:rPr>
          <w:szCs w:val="27"/>
        </w:rPr>
        <w:t xml:space="preserve">California </w:t>
      </w:r>
      <w:r w:rsidR="00C420B5">
        <w:rPr>
          <w:szCs w:val="27"/>
        </w:rPr>
        <w:t xml:space="preserve">Uniform </w:t>
      </w:r>
      <w:r w:rsidRPr="00E150D8">
        <w:t>Commercial Code referenced in section 1794</w:t>
      </w:r>
      <w:r>
        <w:t xml:space="preserve">, and its </w:t>
      </w:r>
      <w:r w:rsidRPr="00E150D8">
        <w:t xml:space="preserve">proposed reading would elevate the </w:t>
      </w:r>
      <w:r w:rsidRPr="00736AB2" w:rsidR="00AB3580">
        <w:rPr>
          <w:szCs w:val="27"/>
        </w:rPr>
        <w:t xml:space="preserve">California </w:t>
      </w:r>
      <w:r w:rsidR="00C420B5">
        <w:rPr>
          <w:szCs w:val="27"/>
        </w:rPr>
        <w:t xml:space="preserve">Uniform </w:t>
      </w:r>
      <w:r w:rsidRPr="00E150D8">
        <w:t>Commercial Code over the remedies provided in the Act</w:t>
      </w:r>
      <w:r>
        <w:t xml:space="preserve"> and </w:t>
      </w:r>
      <w:r w:rsidRPr="00E150D8">
        <w:t>be contrary to the Act itself.  “T</w:t>
      </w:r>
      <w:r w:rsidRPr="00E150D8">
        <w:rPr>
          <w:color w:val="000000"/>
          <w:szCs w:val="26"/>
        </w:rPr>
        <w:t>he provisions of [the Act] shall not affect the rights and obligations of parties determined by reference to the Commercial Code except that, where the provisions of the Commercial Code conflict with the rights guaranteed to buyers of consumer goods under the provisions of [the Act], the provisions of [the Act] shall prevail.”  (§</w:t>
      </w:r>
      <w:r w:rsidRPr="00E150D8">
        <w:t> </w:t>
      </w:r>
      <w:r w:rsidRPr="00E150D8">
        <w:rPr>
          <w:color w:val="000000"/>
          <w:szCs w:val="26"/>
        </w:rPr>
        <w:t>1790.3.)</w:t>
      </w:r>
    </w:p>
    <w:p w:rsidR="00726935" w:rsidRPr="00E150D8" w:rsidP="008910E5" w14:paraId="0C807FC4" w14:textId="77777777">
      <w:pPr>
        <w:tabs>
          <w:tab w:val="left" w:pos="720"/>
        </w:tabs>
      </w:pPr>
      <w:r w:rsidRPr="00E150D8">
        <w:tab/>
        <w:t xml:space="preserve">FCA’s reliance on </w:t>
      </w:r>
      <w:r w:rsidRPr="00E150D8">
        <w:rPr>
          <w:i/>
          <w:iCs/>
        </w:rPr>
        <w:t>Kwan</w:t>
      </w:r>
      <w:r w:rsidRPr="00E150D8">
        <w:t xml:space="preserve">, </w:t>
      </w:r>
      <w:r w:rsidRPr="00E150D8">
        <w:rPr>
          <w:i/>
          <w:iCs/>
        </w:rPr>
        <w:t>Bishop</w:t>
      </w:r>
      <w:r w:rsidRPr="00E150D8">
        <w:t xml:space="preserve">, and </w:t>
      </w:r>
      <w:r w:rsidRPr="00E150D8">
        <w:rPr>
          <w:i/>
          <w:iCs/>
        </w:rPr>
        <w:t>Kirzhner</w:t>
      </w:r>
      <w:r w:rsidRPr="00E150D8">
        <w:t xml:space="preserve"> is misplaced.  These cases address</w:t>
      </w:r>
      <w:r w:rsidR="007F287D">
        <w:t xml:space="preserve"> </w:t>
      </w:r>
      <w:r w:rsidRPr="00E150D8">
        <w:t xml:space="preserve">whether certain damages </w:t>
      </w:r>
      <w:r w:rsidRPr="00E150D8">
        <w:rPr>
          <w:i/>
          <w:iCs/>
        </w:rPr>
        <w:t>not explicitly enumerated in the Act</w:t>
      </w:r>
      <w:r w:rsidRPr="00E150D8">
        <w:t xml:space="preserve"> were recoverable </w:t>
      </w:r>
      <w:r w:rsidR="00A96B91">
        <w:t>under it</w:t>
      </w:r>
      <w:r w:rsidRPr="00E150D8">
        <w:t>.  (</w:t>
      </w:r>
      <w:r w:rsidRPr="00E150D8">
        <w:rPr>
          <w:i/>
          <w:iCs/>
        </w:rPr>
        <w:t>Kwan</w:t>
      </w:r>
      <w:r w:rsidRPr="00E150D8">
        <w:t xml:space="preserve">, </w:t>
      </w:r>
      <w:r w:rsidRPr="00E150D8">
        <w:rPr>
          <w:i/>
          <w:iCs/>
        </w:rPr>
        <w:t>supra</w:t>
      </w:r>
      <w:r w:rsidRPr="00E150D8">
        <w:t xml:space="preserve">, 23 Cal.App.4th at p. 192 [emotional distress damages not recoverable for violations of the Act]; </w:t>
      </w:r>
      <w:r w:rsidRPr="00E150D8">
        <w:rPr>
          <w:i/>
          <w:iCs/>
        </w:rPr>
        <w:t>Bishop</w:t>
      </w:r>
      <w:r w:rsidRPr="00E150D8">
        <w:t xml:space="preserve">, </w:t>
      </w:r>
      <w:r w:rsidRPr="00E150D8">
        <w:rPr>
          <w:i/>
          <w:iCs/>
        </w:rPr>
        <w:t>supra</w:t>
      </w:r>
      <w:r w:rsidRPr="00E150D8">
        <w:t xml:space="preserve">, 44 Cal.App.4th at pp. 757–758 [emotional distress and loss of use damages for time period plaintiff had no replacement vehicle after defective vehicle was destroyed not recoverable under Act]; </w:t>
      </w:r>
      <w:r w:rsidRPr="00E150D8">
        <w:rPr>
          <w:i/>
          <w:iCs/>
        </w:rPr>
        <w:t>Kirzhner</w:t>
      </w:r>
      <w:r w:rsidRPr="00E150D8">
        <w:t xml:space="preserve">, </w:t>
      </w:r>
      <w:r w:rsidRPr="00E150D8">
        <w:rPr>
          <w:i/>
          <w:iCs/>
        </w:rPr>
        <w:t>supra</w:t>
      </w:r>
      <w:r w:rsidRPr="00E150D8">
        <w:t xml:space="preserve">, 9 Cal.5th at p. 981 [registration renewal and nonoperation fees incurred after purchase of vehicle not recoverable under the Act as collateral charges, but </w:t>
      </w:r>
      <w:r w:rsidR="00F2383D">
        <w:t xml:space="preserve">may be </w:t>
      </w:r>
      <w:r w:rsidRPr="00E150D8">
        <w:t xml:space="preserve">recoverable as incidental damages].) </w:t>
      </w:r>
      <w:r w:rsidRPr="00E150D8">
        <w:rPr>
          <w:i/>
          <w:iCs/>
        </w:rPr>
        <w:t xml:space="preserve"> </w:t>
      </w:r>
      <w:r w:rsidR="00A96B91">
        <w:t>For various reasons</w:t>
      </w:r>
      <w:r w:rsidRPr="00E150D8">
        <w:t xml:space="preserve">, </w:t>
      </w:r>
      <w:r w:rsidR="00070B26">
        <w:t>these</w:t>
      </w:r>
      <w:r w:rsidR="00383C3F">
        <w:t xml:space="preserve"> cases found it appropriate</w:t>
      </w:r>
      <w:r w:rsidRPr="00E150D8">
        <w:t xml:space="preserve"> to turn to the</w:t>
      </w:r>
      <w:r w:rsidRPr="00E150D8" w:rsidR="0089168C">
        <w:t xml:space="preserve"> </w:t>
      </w:r>
      <w:r w:rsidR="00C420B5">
        <w:rPr>
          <w:szCs w:val="27"/>
        </w:rPr>
        <w:t xml:space="preserve">California Uniform </w:t>
      </w:r>
      <w:r w:rsidRPr="00E150D8">
        <w:t xml:space="preserve">Commercial Code </w:t>
      </w:r>
      <w:r w:rsidR="00383C3F">
        <w:t xml:space="preserve">provisions referenced in </w:t>
      </w:r>
      <w:r w:rsidR="001078B2">
        <w:t xml:space="preserve">section 1794 </w:t>
      </w:r>
      <w:r w:rsidRPr="00E150D8">
        <w:t xml:space="preserve">in order to determine whether such damages were recoverable.  </w:t>
      </w:r>
      <w:r w:rsidR="00DD5BCF">
        <w:t xml:space="preserve">But none of these cases holds the restitution remedy may be reduced by reference to </w:t>
      </w:r>
      <w:r w:rsidR="00585F8F">
        <w:t>those</w:t>
      </w:r>
      <w:r w:rsidRPr="00E150D8">
        <w:t xml:space="preserve"> </w:t>
      </w:r>
      <w:r w:rsidRPr="00736AB2" w:rsidR="00AB3580">
        <w:rPr>
          <w:szCs w:val="27"/>
        </w:rPr>
        <w:t xml:space="preserve">California </w:t>
      </w:r>
      <w:r w:rsidR="00C420B5">
        <w:rPr>
          <w:szCs w:val="27"/>
        </w:rPr>
        <w:t xml:space="preserve">Uniform </w:t>
      </w:r>
      <w:r w:rsidRPr="00E150D8">
        <w:t xml:space="preserve">Commercial Code provisions.  (See </w:t>
      </w:r>
      <w:r w:rsidRPr="00E150D8">
        <w:rPr>
          <w:i/>
          <w:iCs/>
        </w:rPr>
        <w:t>Kwan</w:t>
      </w:r>
      <w:r w:rsidRPr="00E150D8">
        <w:t xml:space="preserve">, </w:t>
      </w:r>
      <w:r w:rsidRPr="00386F7F">
        <w:rPr>
          <w:i/>
          <w:iCs/>
        </w:rPr>
        <w:t>supra</w:t>
      </w:r>
      <w:r w:rsidRPr="00A933F6">
        <w:t>,</w:t>
      </w:r>
      <w:r w:rsidRPr="00E150D8">
        <w:t xml:space="preserve"> 23 Cal.App.4th at p. 187 [“Under section 1794, subdivision (b), the buyer’s remedies under the Act include, </w:t>
      </w:r>
      <w:r w:rsidRPr="00E150D8">
        <w:rPr>
          <w:i/>
          <w:iCs/>
        </w:rPr>
        <w:t>in addition to</w:t>
      </w:r>
      <w:r w:rsidRPr="00E150D8">
        <w:t xml:space="preserve"> the refund-or-replace remedy of section 1793.2, subdivision (d), </w:t>
      </w:r>
      <w:r w:rsidR="00F31701">
        <w:t>[</w:t>
      </w:r>
      <w:r w:rsidRPr="00736AB2" w:rsidR="00AB3580">
        <w:rPr>
          <w:szCs w:val="27"/>
        </w:rPr>
        <w:t xml:space="preserve">California </w:t>
      </w:r>
      <w:r w:rsidR="00C420B5">
        <w:rPr>
          <w:szCs w:val="27"/>
        </w:rPr>
        <w:t xml:space="preserve">Uniform </w:t>
      </w:r>
      <w:r w:rsidR="00F31701">
        <w:t xml:space="preserve">Commercial Code] </w:t>
      </w:r>
      <w:r w:rsidRPr="00E150D8">
        <w:t>damages as” stated in sub</w:t>
      </w:r>
      <w:r>
        <w:t>sections</w:t>
      </w:r>
      <w:r w:rsidRPr="00E150D8">
        <w:t> (1) and (2)</w:t>
      </w:r>
      <w:r w:rsidR="00082808">
        <w:t xml:space="preserve"> </w:t>
      </w:r>
      <w:r w:rsidR="00BC384F">
        <w:t>(</w:t>
      </w:r>
      <w:r w:rsidR="00082808">
        <w:t>italics added</w:t>
      </w:r>
      <w:r w:rsidR="00BC384F">
        <w:t>)</w:t>
      </w:r>
      <w:r w:rsidR="00453322">
        <w:t>]</w:t>
      </w:r>
      <w:r w:rsidRPr="00E150D8">
        <w:t xml:space="preserve">; </w:t>
      </w:r>
      <w:r w:rsidRPr="00E150D8">
        <w:rPr>
          <w:i/>
          <w:iCs/>
        </w:rPr>
        <w:t>Bishop</w:t>
      </w:r>
      <w:r w:rsidRPr="00E150D8">
        <w:t xml:space="preserve">, </w:t>
      </w:r>
      <w:r w:rsidRPr="00386F7F">
        <w:rPr>
          <w:i/>
          <w:iCs/>
        </w:rPr>
        <w:t>supra</w:t>
      </w:r>
      <w:r w:rsidRPr="00386F7F">
        <w:t>,</w:t>
      </w:r>
      <w:r w:rsidRPr="00E150D8">
        <w:t xml:space="preserve"> 44 Cal.App.4th at p. 754 [in case of restitution, buyer is also entitled to, </w:t>
      </w:r>
      <w:r w:rsidRPr="00CA5D6E">
        <w:t>inter alia</w:t>
      </w:r>
      <w:r w:rsidRPr="00E150D8">
        <w:t xml:space="preserve">, incidental damages and civil penalty]; </w:t>
      </w:r>
      <w:r w:rsidRPr="00E150D8">
        <w:rPr>
          <w:i/>
          <w:iCs/>
        </w:rPr>
        <w:t>Kirzhner</w:t>
      </w:r>
      <w:r w:rsidRPr="00E150D8">
        <w:t xml:space="preserve">, </w:t>
      </w:r>
      <w:r w:rsidRPr="00386F7F">
        <w:rPr>
          <w:i/>
          <w:iCs/>
        </w:rPr>
        <w:t>supra</w:t>
      </w:r>
      <w:r w:rsidRPr="00E150D8">
        <w:t>, 9 Cal.5th at pp. 971–972 [measure of damages includes restitution and replacement remedies as well as</w:t>
      </w:r>
      <w:r w:rsidRPr="00E150D8">
        <w:rPr>
          <w:i/>
          <w:iCs/>
        </w:rPr>
        <w:t xml:space="preserve"> </w:t>
      </w:r>
      <w:r w:rsidRPr="00E150D8">
        <w:t xml:space="preserve">remedies allowed by the </w:t>
      </w:r>
      <w:r w:rsidR="00C420B5">
        <w:rPr>
          <w:szCs w:val="27"/>
        </w:rPr>
        <w:t xml:space="preserve">Cal. U. </w:t>
      </w:r>
      <w:r w:rsidRPr="00E150D8">
        <w:t>Com</w:t>
      </w:r>
      <w:r w:rsidR="00C420B5">
        <w:t>.</w:t>
      </w:r>
      <w:r w:rsidRPr="00E150D8">
        <w:t xml:space="preserve"> Code].)</w:t>
      </w:r>
    </w:p>
    <w:p w:rsidR="00726935" w:rsidRPr="00E150D8" w:rsidP="008910E5" w14:paraId="0C807FC5" w14:textId="77777777">
      <w:pPr>
        <w:tabs>
          <w:tab w:val="left" w:pos="720"/>
        </w:tabs>
      </w:pPr>
      <w:r w:rsidRPr="00E150D8">
        <w:tab/>
        <w:t xml:space="preserve">FCA argues a few out-of-state cases support a conclusion that the </w:t>
      </w:r>
      <w:r>
        <w:t xml:space="preserve">relevant provisions of the </w:t>
      </w:r>
      <w:r w:rsidR="00C420B5">
        <w:rPr>
          <w:szCs w:val="27"/>
        </w:rPr>
        <w:t xml:space="preserve">California Uniform </w:t>
      </w:r>
      <w:r w:rsidRPr="00E150D8">
        <w:t>Commercial Code should reduce the statutory restitution remedy.</w:t>
      </w:r>
      <w:r>
        <w:rPr>
          <w:rStyle w:val="FootnoteReference"/>
        </w:rPr>
        <w:footnoteReference w:id="8"/>
      </w:r>
      <w:r w:rsidRPr="00E150D8">
        <w:t xml:space="preserve">  </w:t>
      </w:r>
      <w:r w:rsidR="00492D78">
        <w:t xml:space="preserve">None of these cases, however, address the issue before us:  whether alternate </w:t>
      </w:r>
      <w:r w:rsidRPr="00736AB2" w:rsidR="00AB3580">
        <w:rPr>
          <w:szCs w:val="27"/>
        </w:rPr>
        <w:t xml:space="preserve">California </w:t>
      </w:r>
      <w:r w:rsidR="00C420B5">
        <w:rPr>
          <w:szCs w:val="27"/>
        </w:rPr>
        <w:t xml:space="preserve">Uniform </w:t>
      </w:r>
      <w:r w:rsidR="00492D78">
        <w:t xml:space="preserve">Commercial Code remedies should reduce damages calculated pursuant to </w:t>
      </w:r>
      <w:r w:rsidR="00393476">
        <w:t>the</w:t>
      </w:r>
      <w:r w:rsidR="00492D78">
        <w:t xml:space="preserve"> express statutory restitution </w:t>
      </w:r>
      <w:r w:rsidR="00AB085E">
        <w:t xml:space="preserve">formula </w:t>
      </w:r>
      <w:r w:rsidR="00492D78">
        <w:t>contained in California’s</w:t>
      </w:r>
      <w:r w:rsidR="00393476">
        <w:t xml:space="preserve"> </w:t>
      </w:r>
      <w:r w:rsidR="00DC6C30">
        <w:t>l</w:t>
      </w:r>
      <w:r w:rsidR="00393476">
        <w:t xml:space="preserve">emon </w:t>
      </w:r>
      <w:r w:rsidR="00DC6C30">
        <w:t>l</w:t>
      </w:r>
      <w:r w:rsidR="00393476">
        <w:t>aw</w:t>
      </w:r>
      <w:r w:rsidR="00492D78">
        <w:t xml:space="preserve">. </w:t>
      </w:r>
      <w:r w:rsidR="00B75B84">
        <w:t xml:space="preserve"> </w:t>
      </w:r>
      <w:r w:rsidR="00393476">
        <w:t>T</w:t>
      </w:r>
      <w:r w:rsidRPr="00E150D8">
        <w:t>he cases</w:t>
      </w:r>
      <w:r w:rsidR="00393476">
        <w:t xml:space="preserve"> cited by FCA</w:t>
      </w:r>
      <w:r w:rsidRPr="00E150D8">
        <w:t xml:space="preserve"> merely found that damages for certain breaches of warranty were to be determined under the relevant state equivalents of the </w:t>
      </w:r>
      <w:r w:rsidR="00453322">
        <w:t>model</w:t>
      </w:r>
      <w:r w:rsidR="004611E0">
        <w:t xml:space="preserve"> </w:t>
      </w:r>
      <w:r w:rsidRPr="00E150D8">
        <w:t>Uniform Commercial Code</w:t>
      </w:r>
      <w:r w:rsidR="00393476">
        <w:t xml:space="preserve">.  </w:t>
      </w:r>
      <w:r w:rsidR="00315941">
        <w:t>I</w:t>
      </w:r>
      <w:r w:rsidR="00393476">
        <w:t xml:space="preserve">n California, </w:t>
      </w:r>
      <w:r w:rsidR="00315941">
        <w:t xml:space="preserve">as discussed above, </w:t>
      </w:r>
      <w:r w:rsidR="00393476">
        <w:t xml:space="preserve">the </w:t>
      </w:r>
      <w:r w:rsidR="00C420B5">
        <w:rPr>
          <w:szCs w:val="27"/>
        </w:rPr>
        <w:t xml:space="preserve">Uniform </w:t>
      </w:r>
      <w:r w:rsidR="00393476">
        <w:t xml:space="preserve">Commercial Code provides additional </w:t>
      </w:r>
      <w:r w:rsidRPr="00E150D8">
        <w:t>damages affected</w:t>
      </w:r>
      <w:r w:rsidR="00393476">
        <w:t xml:space="preserve"> </w:t>
      </w:r>
      <w:r w:rsidRPr="00E150D8">
        <w:t xml:space="preserve">consumers </w:t>
      </w:r>
      <w:r>
        <w:t>can</w:t>
      </w:r>
      <w:r w:rsidRPr="00E150D8">
        <w:t xml:space="preserve"> elect to pursue under section 1794 if they wish</w:t>
      </w:r>
      <w:r w:rsidR="00315941">
        <w:t xml:space="preserve"> but it does not displace the statutory restitution </w:t>
      </w:r>
      <w:r w:rsidRPr="009877B3" w:rsidR="00315941">
        <w:t>remedy</w:t>
      </w:r>
      <w:r w:rsidRPr="009877B3">
        <w:t>.</w:t>
      </w:r>
      <w:r w:rsidRPr="00E150D8">
        <w:t xml:space="preserve">  </w:t>
      </w:r>
      <w:r w:rsidRPr="009877B3" w:rsidR="00087492">
        <w:t>(</w:t>
      </w:r>
      <w:r w:rsidR="00213656">
        <w:t xml:space="preserve">See </w:t>
      </w:r>
      <w:r w:rsidRPr="009877B3" w:rsidR="00087492">
        <w:rPr>
          <w:i/>
          <w:iCs/>
          <w:sz w:val="26"/>
          <w:szCs w:val="26"/>
        </w:rPr>
        <w:t>Krotin</w:t>
      </w:r>
      <w:r w:rsidRPr="00313C17" w:rsidR="001541D5">
        <w:rPr>
          <w:sz w:val="26"/>
          <w:szCs w:val="26"/>
        </w:rPr>
        <w:t xml:space="preserve">, </w:t>
      </w:r>
      <w:r w:rsidRPr="00313C17" w:rsidR="001541D5">
        <w:rPr>
          <w:i/>
          <w:iCs/>
          <w:sz w:val="26"/>
          <w:szCs w:val="26"/>
        </w:rPr>
        <w:t>supra</w:t>
      </w:r>
      <w:r w:rsidRPr="00313C17" w:rsidR="001541D5">
        <w:rPr>
          <w:sz w:val="26"/>
          <w:szCs w:val="26"/>
        </w:rPr>
        <w:t xml:space="preserve">, </w:t>
      </w:r>
      <w:r w:rsidRPr="00313C17" w:rsidR="00087492">
        <w:t xml:space="preserve">38 Cal.App.4th </w:t>
      </w:r>
      <w:r w:rsidRPr="00313C17" w:rsidR="001541D5">
        <w:t>at p.</w:t>
      </w:r>
      <w:r w:rsidRPr="009877B3" w:rsidR="00087492">
        <w:t xml:space="preserve"> 302.)</w:t>
      </w:r>
    </w:p>
    <w:p w:rsidR="001C6EFD" w:rsidP="00CA5D6E" w14:paraId="0C807FC6" w14:textId="77777777">
      <w:pPr>
        <w:tabs>
          <w:tab w:val="left" w:pos="720"/>
        </w:tabs>
        <w:rPr>
          <w:b/>
        </w:rPr>
      </w:pPr>
      <w:r w:rsidRPr="00E150D8">
        <w:tab/>
        <w:t xml:space="preserve">In sum, we hold that “restitution” has the meaning provided in </w:t>
      </w:r>
      <w:r>
        <w:t>section</w:t>
      </w:r>
      <w:r w:rsidR="003A785F">
        <w:t> </w:t>
      </w:r>
      <w:r>
        <w:t>1793.2, subdivision</w:t>
      </w:r>
      <w:r w:rsidR="003A785F">
        <w:t> </w:t>
      </w:r>
      <w:r>
        <w:t>(d)(2)(B)</w:t>
      </w:r>
      <w:r w:rsidRPr="00E150D8">
        <w:t xml:space="preserve"> and </w:t>
      </w:r>
      <w:r w:rsidR="00780AD8">
        <w:t xml:space="preserve">reducing </w:t>
      </w:r>
      <w:r w:rsidRPr="00E150D8">
        <w:t xml:space="preserve">a damages award </w:t>
      </w:r>
      <w:r w:rsidR="00780AD8">
        <w:t>by the amount of a</w:t>
      </w:r>
      <w:r w:rsidRPr="00E150D8">
        <w:t xml:space="preserve"> trade-in credit</w:t>
      </w:r>
      <w:r>
        <w:t xml:space="preserve"> or sale </w:t>
      </w:r>
      <w:r w:rsidRPr="00E150D8">
        <w:t xml:space="preserve">is not permitted by </w:t>
      </w:r>
      <w:r>
        <w:t>that</w:t>
      </w:r>
      <w:r w:rsidRPr="00E150D8">
        <w:t xml:space="preserve"> statute</w:t>
      </w:r>
      <w:r>
        <w:t xml:space="preserve"> or by section</w:t>
      </w:r>
      <w:r w:rsidR="003A785F">
        <w:t> </w:t>
      </w:r>
      <w:r>
        <w:t xml:space="preserve">1794’s incorporation of </w:t>
      </w:r>
      <w:r w:rsidR="00C420B5">
        <w:rPr>
          <w:szCs w:val="27"/>
        </w:rPr>
        <w:t xml:space="preserve">California Uniform </w:t>
      </w:r>
      <w:r>
        <w:t>Commercial Code remedies</w:t>
      </w:r>
      <w:r w:rsidRPr="00E150D8">
        <w:t>.  FCA’s reading of s</w:t>
      </w:r>
      <w:r>
        <w:t>ections</w:t>
      </w:r>
      <w:r w:rsidR="003A785F">
        <w:t> </w:t>
      </w:r>
      <w:r>
        <w:t>1794 and 1793.2,</w:t>
      </w:r>
      <w:r w:rsidR="003A785F">
        <w:t xml:space="preserve"> </w:t>
      </w:r>
      <w:r>
        <w:t>subdivision</w:t>
      </w:r>
      <w:r w:rsidR="003A785F">
        <w:t> </w:t>
      </w:r>
      <w:r>
        <w:t>(d)(2)</w:t>
      </w:r>
      <w:r w:rsidRPr="00E150D8">
        <w:t xml:space="preserve"> would force us to “ignore the actual words of the statute in an attempt to vindicate our perception of the Legislature’s purpose in enacting the law[,]” which is something we cannot do.  (</w:t>
      </w:r>
      <w:r w:rsidRPr="00E150D8">
        <w:rPr>
          <w:i/>
          <w:iCs/>
        </w:rPr>
        <w:t>Murillo</w:t>
      </w:r>
      <w:r w:rsidRPr="00E150D8">
        <w:t xml:space="preserve">, </w:t>
      </w:r>
      <w:r w:rsidRPr="00E150D8">
        <w:rPr>
          <w:i/>
          <w:iCs/>
        </w:rPr>
        <w:t>supra</w:t>
      </w:r>
      <w:r w:rsidRPr="00E150D8">
        <w:t xml:space="preserve">, 17 Cal.4th at p. 993.)  </w:t>
      </w:r>
    </w:p>
    <w:p w:rsidR="00AA3194" w:rsidRPr="00E150D8" w:rsidP="00CA5D6E" w14:paraId="0C807FC7" w14:textId="77777777">
      <w:pPr>
        <w:pStyle w:val="Heading2"/>
        <w:spacing w:before="0" w:line="400" w:lineRule="exact"/>
      </w:pPr>
      <w:r>
        <w:t>B</w:t>
      </w:r>
      <w:r w:rsidRPr="00E150D8">
        <w:t>.</w:t>
      </w:r>
      <w:r w:rsidRPr="00E150D8">
        <w:tab/>
      </w:r>
      <w:r>
        <w:t xml:space="preserve">Offsets for </w:t>
      </w:r>
      <w:r w:rsidR="00122258">
        <w:t xml:space="preserve">a </w:t>
      </w:r>
      <w:r>
        <w:t>Trade-</w:t>
      </w:r>
      <w:r w:rsidR="00BC6875">
        <w:t>i</w:t>
      </w:r>
      <w:r>
        <w:t xml:space="preserve">n </w:t>
      </w:r>
      <w:r w:rsidR="00122258">
        <w:t xml:space="preserve">Credit </w:t>
      </w:r>
      <w:r>
        <w:t xml:space="preserve">or Sale Proceeds Are Not Consistent </w:t>
      </w:r>
      <w:r w:rsidR="001136AE">
        <w:t>w</w:t>
      </w:r>
      <w:r>
        <w:t>ith t</w:t>
      </w:r>
      <w:r w:rsidRPr="00E150D8">
        <w:t xml:space="preserve">he Legislative History of </w:t>
      </w:r>
      <w:r>
        <w:t>Sections 1794 and 1793.2, Subdivision (d)</w:t>
      </w:r>
      <w:r w:rsidRPr="00E150D8">
        <w:t xml:space="preserve"> </w:t>
      </w:r>
      <w:r>
        <w:t xml:space="preserve">or </w:t>
      </w:r>
      <w:r w:rsidRPr="00E150D8">
        <w:t>the Purpose of the Act</w:t>
      </w:r>
    </w:p>
    <w:p w:rsidR="00AA3194" w:rsidRPr="00E150D8" w:rsidP="008910E5" w14:paraId="0C807FC8" w14:textId="77777777">
      <w:pPr>
        <w:tabs>
          <w:tab w:val="left" w:pos="720"/>
        </w:tabs>
      </w:pPr>
      <w:r w:rsidRPr="00E150D8">
        <w:tab/>
      </w:r>
      <w:r w:rsidR="007D7F58">
        <w:t xml:space="preserve">As discussed above, </w:t>
      </w:r>
      <w:r>
        <w:t>we</w:t>
      </w:r>
      <w:r w:rsidRPr="00E150D8">
        <w:t xml:space="preserve"> conclude that the language of section 1793.2, subdivision (d)(2)</w:t>
      </w:r>
      <w:r>
        <w:t xml:space="preserve"> </w:t>
      </w:r>
      <w:r w:rsidR="00E0631F">
        <w:t>does not permit any reduction in the restitution award by the amount of a trade-in credit or sale.  Nonetheless</w:t>
      </w:r>
      <w:r w:rsidRPr="00E150D8">
        <w:t xml:space="preserve">, FCA’s </w:t>
      </w:r>
      <w:r>
        <w:t>contention</w:t>
      </w:r>
      <w:r w:rsidRPr="00E150D8">
        <w:t xml:space="preserve"> that restitution as </w:t>
      </w:r>
      <w:r>
        <w:t>detailed</w:t>
      </w:r>
      <w:r w:rsidRPr="00E150D8">
        <w:t xml:space="preserve"> in section</w:t>
      </w:r>
      <w:r w:rsidR="003A785F">
        <w:t> </w:t>
      </w:r>
      <w:r w:rsidRPr="00E150D8">
        <w:t>1793.2 should have the same meaning as common law restitution is not unreasonable on its face.  By recovering the full statutory restitution remedy after receiving</w:t>
      </w:r>
      <w:r>
        <w:t xml:space="preserve"> value </w:t>
      </w:r>
      <w:r w:rsidRPr="00E150D8">
        <w:t>for the vehicle</w:t>
      </w:r>
      <w:r w:rsidRPr="00D60621">
        <w:t xml:space="preserve"> </w:t>
      </w:r>
      <w:r>
        <w:t xml:space="preserve">in the form of </w:t>
      </w:r>
      <w:r w:rsidRPr="00E150D8">
        <w:t xml:space="preserve">a trade-in credit, </w:t>
      </w:r>
      <w:r>
        <w:t xml:space="preserve">it can be argued that </w:t>
      </w:r>
      <w:r w:rsidRPr="00E150D8">
        <w:t xml:space="preserve">Niedermeier </w:t>
      </w:r>
      <w:r>
        <w:t>was</w:t>
      </w:r>
      <w:r w:rsidRPr="00E150D8">
        <w:t xml:space="preserve"> placed in a better</w:t>
      </w:r>
      <w:r w:rsidR="003A5AB4">
        <w:t xml:space="preserve"> financial</w:t>
      </w:r>
      <w:r w:rsidRPr="00E150D8">
        <w:t xml:space="preserve"> position than if she had not purchased the vehicle.  To resolve </w:t>
      </w:r>
      <w:r>
        <w:t>any</w:t>
      </w:r>
      <w:r w:rsidRPr="00E150D8">
        <w:t xml:space="preserve"> potential ambiguity, </w:t>
      </w:r>
      <w:r>
        <w:t>we</w:t>
      </w:r>
      <w:r w:rsidRPr="00E150D8">
        <w:t xml:space="preserve"> consider the legislative history</w:t>
      </w:r>
      <w:r>
        <w:t xml:space="preserve"> of sections</w:t>
      </w:r>
      <w:r w:rsidR="003A785F">
        <w:t> </w:t>
      </w:r>
      <w:r>
        <w:t>1793.2 and 1794 and the Act’s</w:t>
      </w:r>
      <w:r w:rsidRPr="00E150D8">
        <w:t xml:space="preserve"> purpose.  </w:t>
      </w:r>
      <w:r w:rsidRPr="00E150D8">
        <w:rPr>
          <w:szCs w:val="26"/>
        </w:rPr>
        <w:t>(</w:t>
      </w:r>
      <w:r w:rsidRPr="00E150D8">
        <w:rPr>
          <w:i/>
          <w:iCs/>
          <w:szCs w:val="26"/>
        </w:rPr>
        <w:t>Kirzhner</w:t>
      </w:r>
      <w:r w:rsidRPr="00E150D8">
        <w:rPr>
          <w:szCs w:val="26"/>
        </w:rPr>
        <w:t xml:space="preserve">, </w:t>
      </w:r>
      <w:r w:rsidRPr="00E150D8">
        <w:rPr>
          <w:i/>
          <w:iCs/>
          <w:szCs w:val="26"/>
        </w:rPr>
        <w:t>supra</w:t>
      </w:r>
      <w:r w:rsidRPr="00E150D8">
        <w:rPr>
          <w:szCs w:val="26"/>
        </w:rPr>
        <w:t xml:space="preserve">, 9 Cal.5th at p. 972.)  </w:t>
      </w:r>
      <w:r>
        <w:rPr>
          <w:szCs w:val="26"/>
        </w:rPr>
        <w:t>We conclude</w:t>
      </w:r>
      <w:r w:rsidRPr="00E150D8">
        <w:t xml:space="preserve"> that even if the statute is amenable to more than one reasonable interpretation, additional indicia of legislative intent support our </w:t>
      </w:r>
      <w:r>
        <w:t xml:space="preserve">holding </w:t>
      </w:r>
      <w:r w:rsidRPr="00E150D8">
        <w:t xml:space="preserve">that </w:t>
      </w:r>
      <w:r>
        <w:t xml:space="preserve">at least where, as here, a consumer has been forced to trade in or sell their vehicle due to the manufacturer’s failure to promptly pay restitution when its obligation arose, </w:t>
      </w:r>
      <w:r w:rsidRPr="00E150D8">
        <w:t xml:space="preserve">trade-in </w:t>
      </w:r>
      <w:r>
        <w:t xml:space="preserve">or sale </w:t>
      </w:r>
      <w:r w:rsidRPr="00E150D8">
        <w:t>proceeds do not reduce the statutory restitution remedy.</w:t>
      </w:r>
    </w:p>
    <w:p w:rsidR="00AA3194" w:rsidRPr="00E150D8" w:rsidP="008910E5" w14:paraId="0C807FC9" w14:textId="77777777">
      <w:pPr>
        <w:tabs>
          <w:tab w:val="left" w:pos="720"/>
        </w:tabs>
      </w:pPr>
      <w:r w:rsidRPr="00E150D8">
        <w:tab/>
        <w:t>The Legislature adopted the Act in 1970 to address problems with enforcing consumer warranties for new products, including the problem of manufacturers reaping the advertising benefits of warranties without bearing the costs of promised repairs.  (Stats. 1970, ch. 1333, § 1, p. 2478 et seq.)  The original restitution remedy provided, “[s]hould the manufacturer be unable to make such return of merchantable goods, he shall either replace the goods or reimburse the buyer in an amount equal to the purchase price paid by the buyer, less that amount directly attributable to use by the buyer prior to discovery of the defect.”  (Former § 1793.2, subd.</w:t>
      </w:r>
      <w:r w:rsidR="001F6882">
        <w:t xml:space="preserve"> (c</w:t>
      </w:r>
      <w:r w:rsidRPr="00E150D8">
        <w:t>), added by Stats. 1970, ch. 1333, § 1, p. 248</w:t>
      </w:r>
      <w:r w:rsidR="00AB690E">
        <w:t>1</w:t>
      </w:r>
      <w:r w:rsidRPr="00E150D8">
        <w:t>.)</w:t>
      </w:r>
    </w:p>
    <w:p w:rsidR="00AA3194" w:rsidRPr="00E150D8" w:rsidP="008910E5" w14:paraId="0C807FCA" w14:textId="77777777">
      <w:pPr>
        <w:tabs>
          <w:tab w:val="left" w:pos="720"/>
        </w:tabs>
      </w:pPr>
      <w:r w:rsidRPr="00E150D8">
        <w:tab/>
        <w:t xml:space="preserve">In 1982, the Legislature amended the Act in </w:t>
      </w:r>
      <w:r w:rsidR="009E20E0">
        <w:t>several</w:t>
      </w:r>
      <w:r w:rsidRPr="00E150D8">
        <w:t xml:space="preserve"> ways.  It amended section 1793.2</w:t>
      </w:r>
      <w:r>
        <w:t xml:space="preserve"> </w:t>
      </w:r>
      <w:r w:rsidRPr="00E150D8">
        <w:t>to apply the “repair and replace” provisions of the Act to “new motor vehicles” bought for personal use.</w:t>
      </w:r>
      <w:r>
        <w:rPr>
          <w:rStyle w:val="FootnoteReference"/>
        </w:rPr>
        <w:footnoteReference w:id="9"/>
      </w:r>
      <w:r w:rsidRPr="00E150D8">
        <w:t xml:space="preserve">  (</w:t>
      </w:r>
      <w:r w:rsidRPr="00E150D8">
        <w:rPr>
          <w:i/>
          <w:iCs/>
        </w:rPr>
        <w:t>Jensen v. BMW of North America, Inc.</w:t>
      </w:r>
      <w:r w:rsidRPr="00E150D8">
        <w:t xml:space="preserve"> (1995) 35 Cal.App.4th 112, 123;</w:t>
      </w:r>
      <w:r w:rsidRPr="00E150D8">
        <w:rPr>
          <w:i/>
          <w:iCs/>
        </w:rPr>
        <w:t xml:space="preserve"> </w:t>
      </w:r>
      <w:r w:rsidRPr="00E150D8">
        <w:t xml:space="preserve">Stats. 1982, ch. 388, § 1, pp. 1720–1723.)  </w:t>
      </w:r>
      <w:r>
        <w:t xml:space="preserve">The Legislature also added section 1794 to the Act </w:t>
      </w:r>
      <w:r w:rsidRPr="00E150D8">
        <w:t>to help consumers and courts understand the panoply of remedies available to buyers under different laws for breach of a consumer warranty by enumerating each of the remedies in one statute.  (</w:t>
      </w:r>
      <w:r w:rsidRPr="00E150D8">
        <w:rPr>
          <w:i/>
          <w:iCs/>
        </w:rPr>
        <w:t>Gavaldon</w:t>
      </w:r>
      <w:r w:rsidRPr="00C5444E" w:rsidR="00955054">
        <w:rPr>
          <w:i/>
          <w:iCs/>
        </w:rPr>
        <w:t xml:space="preserve"> </w:t>
      </w:r>
      <w:r w:rsidR="00955054">
        <w:rPr>
          <w:i/>
          <w:iCs/>
        </w:rPr>
        <w:t xml:space="preserve">v. DaimlerChrysler Corp. </w:t>
      </w:r>
      <w:r w:rsidRPr="00E40497" w:rsidR="00955054">
        <w:t>(</w:t>
      </w:r>
      <w:r w:rsidR="00955054">
        <w:t xml:space="preserve">2004) </w:t>
      </w:r>
      <w:r w:rsidRPr="00E150D8">
        <w:t xml:space="preserve">32 Cal.4th </w:t>
      </w:r>
      <w:r w:rsidR="00275F3A">
        <w:t>1246,</w:t>
      </w:r>
      <w:r w:rsidR="00FE265D">
        <w:t xml:space="preserve"> </w:t>
      </w:r>
      <w:r w:rsidRPr="00E150D8">
        <w:t>1261; see also</w:t>
      </w:r>
      <w:r w:rsidRPr="00E150D8">
        <w:rPr>
          <w:i/>
          <w:iCs/>
        </w:rPr>
        <w:t xml:space="preserve"> </w:t>
      </w:r>
      <w:r w:rsidRPr="00E150D8">
        <w:t>Dept. Consumer Affairs, Explanation and Analysis of Assem. Bill No. 3560 (1981–1982 Reg. Sess.) Mar. 1982, p. 2 [“[t]he bill’s purpose and function is to consolidate and restate in a single section of the</w:t>
      </w:r>
      <w:r w:rsidR="002A3D6D">
        <w:t> </w:t>
      </w:r>
      <w:r w:rsidRPr="00E150D8">
        <w:t>.</w:t>
      </w:r>
      <w:r w:rsidR="002A3D6D">
        <w:t> </w:t>
      </w:r>
      <w:r w:rsidRPr="00E150D8">
        <w:t>.</w:t>
      </w:r>
      <w:r w:rsidR="002A3D6D">
        <w:t> </w:t>
      </w:r>
      <w:r w:rsidRPr="00E150D8">
        <w:t>.</w:t>
      </w:r>
      <w:r w:rsidR="002A3D6D">
        <w:t> </w:t>
      </w:r>
      <w:r w:rsidRPr="00E150D8">
        <w:t>Act the remedies now available to buyers under the Song</w:t>
      </w:r>
      <w:r w:rsidR="0099608A">
        <w:t>-</w:t>
      </w:r>
      <w:r w:rsidRPr="00E150D8">
        <w:t>Beverly Act and other California and federal law</w:t>
      </w:r>
      <w:r w:rsidR="00A77A92">
        <w:t>s</w:t>
      </w:r>
      <w:r w:rsidRPr="00E150D8">
        <w:t xml:space="preserve">”]; see also </w:t>
      </w:r>
      <w:r w:rsidRPr="00E150D8">
        <w:rPr>
          <w:i/>
          <w:iCs/>
        </w:rPr>
        <w:t xml:space="preserve">ibid. </w:t>
      </w:r>
      <w:r w:rsidRPr="00E150D8">
        <w:t xml:space="preserve">[“This bill is essentially a consumer law ‘housekeeping’ bill whose function is to make our consumer warranty law more coherent, rational, understandable and effective”].)  </w:t>
      </w:r>
      <w:r>
        <w:t xml:space="preserve">As originally enacted, section 1794 </w:t>
      </w:r>
      <w:r w:rsidRPr="00E150D8">
        <w:t>provided in pertinent part that “[t]he measure of the buyer’s damages in an action under this section shall be as follows:  [¶] (1) Where the buyer has rightfully rejected or justifiably revoked acceptance of the goods or has exercised any right to cancel the sale, Sections 2711, 2712</w:t>
      </w:r>
      <w:r w:rsidR="00406839">
        <w:t>,</w:t>
      </w:r>
      <w:r w:rsidRPr="00E150D8">
        <w:t xml:space="preserve"> and 2713 of the Commercial Code shall apply.  [¶] (2) Where the buyer has accepted the goods, Sections 2714 and 2715 of the Commercial Code shall apply, and the measure of damages shall include the cost of repairs</w:t>
      </w:r>
      <w:r w:rsidRPr="00E150D8" w:rsidR="0089168C">
        <w:t xml:space="preserve"> </w:t>
      </w:r>
      <w:r w:rsidRPr="00E150D8">
        <w:t>necessary to make the goods conform.”  (</w:t>
      </w:r>
      <w:r>
        <w:t>Former</w:t>
      </w:r>
      <w:r w:rsidRPr="00E150D8">
        <w:t xml:space="preserve"> § 1794, subd. (b), added by Stats. 1982, ch. 385, § 2, p. 1716.)  </w:t>
      </w:r>
      <w:r>
        <w:t>Although</w:t>
      </w:r>
      <w:r w:rsidRPr="00E150D8">
        <w:t xml:space="preserve"> restitution and replacement were available remedies since the enactment of the Song</w:t>
      </w:r>
      <w:r w:rsidR="0099608A">
        <w:t>-</w:t>
      </w:r>
      <w:r w:rsidRPr="00E150D8">
        <w:t>Beverly Act, they were not mentioned in the 1982 version of section 1794.</w:t>
      </w:r>
    </w:p>
    <w:p w:rsidR="00AA3194" w:rsidP="008910E5" w14:paraId="0C807FCB" w14:textId="77777777">
      <w:pPr>
        <w:tabs>
          <w:tab w:val="left" w:pos="720"/>
        </w:tabs>
      </w:pPr>
      <w:r w:rsidRPr="00E150D8">
        <w:tab/>
      </w:r>
      <w:r w:rsidRPr="00D9554C">
        <w:t xml:space="preserve">After these amendments to the </w:t>
      </w:r>
      <w:r w:rsidR="00DC6C30">
        <w:t>l</w:t>
      </w:r>
      <w:r w:rsidRPr="00D9554C">
        <w:t xml:space="preserve">emon </w:t>
      </w:r>
      <w:r w:rsidR="00DC6C30">
        <w:t>l</w:t>
      </w:r>
      <w:r w:rsidRPr="00D9554C">
        <w:t>aw, however, there were numerous complaints from new car buyers concerning its implementation</w:t>
      </w:r>
      <w:r w:rsidRPr="00D9554C" w:rsidR="000672E3">
        <w:t xml:space="preserve">, including that </w:t>
      </w:r>
      <w:r w:rsidRPr="00D9554C" w:rsidR="005F451C">
        <w:t xml:space="preserve">manufacturers were </w:t>
      </w:r>
      <w:r w:rsidRPr="00D9554C" w:rsidR="00E672D8">
        <w:t xml:space="preserve">not </w:t>
      </w:r>
      <w:r w:rsidRPr="00D9554C" w:rsidR="00317416">
        <w:t xml:space="preserve">paying full restitution or replacement awards and were </w:t>
      </w:r>
      <w:r w:rsidRPr="00D9554C" w:rsidR="005F451C">
        <w:t xml:space="preserve">seeking </w:t>
      </w:r>
      <w:r w:rsidRPr="00D9554C" w:rsidR="000E7FFC">
        <w:t xml:space="preserve">excessive </w:t>
      </w:r>
      <w:r w:rsidRPr="00D9554C" w:rsidR="005F451C">
        <w:t xml:space="preserve">offsets </w:t>
      </w:r>
      <w:r w:rsidRPr="00D9554C" w:rsidR="000E7FFC">
        <w:t>for rental cars</w:t>
      </w:r>
      <w:r w:rsidRPr="00A01DA8">
        <w:t>.  (</w:t>
      </w:r>
      <w:r w:rsidRPr="00A01DA8" w:rsidR="00317416">
        <w:t>See</w:t>
      </w:r>
      <w:r w:rsidRPr="00D9554C" w:rsidR="00317416">
        <w:t xml:space="preserve"> Dept. Consumer Affairs, Enrolled Bill Rep</w:t>
      </w:r>
      <w:r w:rsidR="003C4C20">
        <w:t>.</w:t>
      </w:r>
      <w:r w:rsidRPr="00D9554C" w:rsidR="00317416">
        <w:t xml:space="preserve"> </w:t>
      </w:r>
      <w:r w:rsidR="003C4C20">
        <w:t xml:space="preserve">on </w:t>
      </w:r>
      <w:bookmarkStart w:id="13" w:name="_Hlk156311799"/>
      <w:r w:rsidRPr="00D9554C" w:rsidR="00317416">
        <w:t xml:space="preserve">Assem. Bill No. 2057 </w:t>
      </w:r>
      <w:r w:rsidRPr="00A01DA8" w:rsidR="00A01DA8">
        <w:t>(</w:t>
      </w:r>
      <w:r w:rsidRPr="00A01DA8" w:rsidR="00317416">
        <w:t>1987</w:t>
      </w:r>
      <w:r w:rsidRPr="00D9554C" w:rsidR="00317416">
        <w:t>–1988 Reg. Sess.</w:t>
      </w:r>
      <w:r w:rsidR="00A01DA8">
        <w:t>)</w:t>
      </w:r>
      <w:bookmarkEnd w:id="13"/>
      <w:r w:rsidRPr="00D9554C" w:rsidR="00317416">
        <w:t xml:space="preserve"> Sept. 25, 1987, pp. 2–3; see also </w:t>
      </w:r>
      <w:r w:rsidRPr="00D9554C">
        <w:t xml:space="preserve">Assembly </w:t>
      </w:r>
      <w:r w:rsidR="003C4C20">
        <w:t>3d</w:t>
      </w:r>
      <w:r w:rsidRPr="00D9554C" w:rsidR="003C4C20">
        <w:t xml:space="preserve"> </w:t>
      </w:r>
      <w:r w:rsidR="003C4C20">
        <w:t>r</w:t>
      </w:r>
      <w:r w:rsidRPr="00D9554C">
        <w:t xml:space="preserve">eading </w:t>
      </w:r>
      <w:r w:rsidR="003C4C20">
        <w:t>a</w:t>
      </w:r>
      <w:r w:rsidRPr="00D9554C">
        <w:t xml:space="preserve">nalysis </w:t>
      </w:r>
      <w:r w:rsidR="003C4C20">
        <w:t xml:space="preserve">of </w:t>
      </w:r>
      <w:r w:rsidRPr="00D9554C">
        <w:t xml:space="preserve">Assem. Bill No. 2057 </w:t>
      </w:r>
      <w:r w:rsidRPr="00A01DA8" w:rsidR="003C4C20">
        <w:t>(1987</w:t>
      </w:r>
      <w:r w:rsidRPr="00D9554C" w:rsidR="003C4C20">
        <w:t>–1988 Reg. Sess.</w:t>
      </w:r>
      <w:r w:rsidR="003C4C20">
        <w:t xml:space="preserve">) </w:t>
      </w:r>
      <w:r w:rsidRPr="00D9554C">
        <w:t>as amended June 11, 1987, at p. 4; Sen. Com. on Judiciary, Analysis of Assem. Bill No. 2057 (1987–1988 Reg. Sess.) as amended August 17, 1987, p. 3.)</w:t>
      </w:r>
    </w:p>
    <w:p w:rsidR="00AA3194" w:rsidRPr="00E150D8" w:rsidP="008910E5" w14:paraId="0C807FCC" w14:textId="77777777">
      <w:pPr>
        <w:tabs>
          <w:tab w:val="left" w:pos="720"/>
        </w:tabs>
      </w:pPr>
      <w:r>
        <w:tab/>
      </w:r>
      <w:r w:rsidRPr="00E150D8">
        <w:t xml:space="preserve">As a result, the Legislature again amended the Act </w:t>
      </w:r>
      <w:r>
        <w:t>in order to protect consumers</w:t>
      </w:r>
      <w:r w:rsidR="0000262F">
        <w:t>.</w:t>
      </w:r>
      <w:r>
        <w:t xml:space="preserve"> </w:t>
      </w:r>
      <w:r w:rsidR="0000262F">
        <w:t xml:space="preserve"> </w:t>
      </w:r>
      <w:r>
        <w:t xml:space="preserve">Among other things, the Legislature amended section 1794 to </w:t>
      </w:r>
      <w:r w:rsidR="00E057B0">
        <w:t xml:space="preserve">clarify </w:t>
      </w:r>
      <w:r>
        <w:t xml:space="preserve">that a buyer’s damages include the rights of replacement and reimbursement </w:t>
      </w:r>
      <w:r>
        <w:rPr>
          <w:i/>
          <w:iCs/>
        </w:rPr>
        <w:t xml:space="preserve">and </w:t>
      </w:r>
      <w:r>
        <w:t xml:space="preserve">the </w:t>
      </w:r>
      <w:r w:rsidR="00C420B5">
        <w:rPr>
          <w:szCs w:val="27"/>
        </w:rPr>
        <w:t xml:space="preserve">California Uniform </w:t>
      </w:r>
      <w:r>
        <w:t xml:space="preserve">Commercial Code’s additional remedies, and amended section 1793.2, subdivision (d) to comprehensively explain </w:t>
      </w:r>
      <w:r w:rsidRPr="00E150D8">
        <w:t>how to calculate restitution.  (</w:t>
      </w:r>
      <w:r>
        <w:t xml:space="preserve">See </w:t>
      </w:r>
      <w:r w:rsidRPr="00E150D8">
        <w:t xml:space="preserve">Legis. Counsel’s Dig., </w:t>
      </w:r>
      <w:r w:rsidRPr="00A90CD3">
        <w:t>Assem. Bill No. 2057 (1987–1988 Reg. Sess.) p. 2</w:t>
      </w:r>
      <w:r>
        <w:t xml:space="preserve"> [</w:t>
      </w:r>
      <w:r w:rsidRPr="00E150D8">
        <w:t xml:space="preserve">“This bill would revise the provisions relating to warranties on new motor vehicles to require the manufacturer or its representative to replace the vehicle or make restitution, </w:t>
      </w:r>
      <w:r w:rsidRPr="00CE021B">
        <w:rPr>
          <w:i/>
          <w:iCs/>
        </w:rPr>
        <w:t>as specified</w:t>
      </w:r>
      <w:r w:rsidRPr="00E150D8">
        <w:t>, if unable to conform the vehicle to the applicable express warranties after a reasonable number of attempts”</w:t>
      </w:r>
      <w:r>
        <w:t xml:space="preserve"> (italics added)</w:t>
      </w:r>
      <w:r w:rsidRPr="00E150D8">
        <w:t>]</w:t>
      </w:r>
      <w:r>
        <w:t xml:space="preserve">; see also </w:t>
      </w:r>
      <w:r w:rsidRPr="00E150D8">
        <w:t>Stats. 1987, ch. 1280, §§ </w:t>
      </w:r>
      <w:r>
        <w:t>1, 2</w:t>
      </w:r>
      <w:r w:rsidRPr="00E150D8">
        <w:t>,</w:t>
      </w:r>
      <w:r>
        <w:t xml:space="preserve"> 4; </w:t>
      </w:r>
      <w:r w:rsidR="00BF4852">
        <w:t xml:space="preserve"> </w:t>
      </w:r>
      <w:r>
        <w:rPr>
          <w:i/>
          <w:iCs/>
        </w:rPr>
        <w:t>id.</w:t>
      </w:r>
      <w:r>
        <w:t>, §</w:t>
      </w:r>
      <w:r w:rsidR="00A7308C">
        <w:t> </w:t>
      </w:r>
      <w:r>
        <w:t>9, p.</w:t>
      </w:r>
      <w:r w:rsidR="00A7308C">
        <w:t> </w:t>
      </w:r>
      <w:r>
        <w:t xml:space="preserve">4567 [amendment to section 1794 </w:t>
      </w:r>
      <w:r w:rsidRPr="00E150D8">
        <w:t xml:space="preserve">“does not constitute a change in, </w:t>
      </w:r>
      <w:r w:rsidRPr="001F2724">
        <w:t>but is declaratory of, existing law”</w:t>
      </w:r>
      <w:r>
        <w:t>]</w:t>
      </w:r>
      <w:r w:rsidRPr="00E150D8">
        <w:t>.)</w:t>
      </w:r>
    </w:p>
    <w:p w:rsidR="00AA3194" w:rsidRPr="00E150D8" w:rsidP="008910E5" w14:paraId="0C807FCD" w14:textId="77777777">
      <w:pPr>
        <w:tabs>
          <w:tab w:val="left" w:pos="720"/>
          <w:tab w:val="right" w:pos="8640"/>
        </w:tabs>
      </w:pPr>
      <w:r w:rsidRPr="00E150D8">
        <w:tab/>
        <w:t xml:space="preserve">FCA argues the 1982 version of section 1794 demonstrates that the Legislature intended for damages under the Act to be reduced by ordinary damages principles laid out in the </w:t>
      </w:r>
      <w:r w:rsidR="00C420B5">
        <w:rPr>
          <w:szCs w:val="27"/>
        </w:rPr>
        <w:t xml:space="preserve">California Uniform </w:t>
      </w:r>
      <w:r w:rsidRPr="00E150D8">
        <w:t xml:space="preserve">Commercial Code.  But there is no indication in the legislative history that the reference to </w:t>
      </w:r>
      <w:r w:rsidRPr="00736AB2" w:rsidR="00AB3580">
        <w:rPr>
          <w:szCs w:val="27"/>
        </w:rPr>
        <w:t xml:space="preserve">California </w:t>
      </w:r>
      <w:r w:rsidR="00C420B5">
        <w:t xml:space="preserve">Uniform </w:t>
      </w:r>
      <w:r w:rsidRPr="00E150D8">
        <w:t xml:space="preserve">Commercial Code remedies in section 1794 was intended to supplant or limit the statutory restitution remedy.  To the contrary, the history is clear that the statute was intended to </w:t>
      </w:r>
      <w:r w:rsidRPr="00E150D8">
        <w:rPr>
          <w:i/>
          <w:iCs/>
        </w:rPr>
        <w:t>consolidate</w:t>
      </w:r>
      <w:r w:rsidRPr="00E150D8">
        <w:t xml:space="preserve">, not add to or subtract from, the existing remedies for the enforcement of a consumer warranty.  (Dept. Consumer Affairs, Explanation and Analysis of Assem. Bill No. 3560 (1981–1982 Reg. Sess.) Mar. 1982, pp. 1, 4.)  Had the Legislature intended for the statutory restitution remedy to be limited by the </w:t>
      </w:r>
      <w:r w:rsidRPr="00736AB2" w:rsidR="00AB3580">
        <w:rPr>
          <w:szCs w:val="27"/>
        </w:rPr>
        <w:t xml:space="preserve">California </w:t>
      </w:r>
      <w:r w:rsidR="00C420B5">
        <w:t xml:space="preserve">Uniform </w:t>
      </w:r>
      <w:r w:rsidRPr="00E150D8">
        <w:t>Commercial Code provisions referenced in section 1794, “it would not have chosen such an obscure mechanism to achieve its purpose.”  (</w:t>
      </w:r>
      <w:r w:rsidRPr="00E150D8">
        <w:rPr>
          <w:i/>
          <w:iCs/>
        </w:rPr>
        <w:t>Murillo</w:t>
      </w:r>
      <w:r w:rsidRPr="00E150D8">
        <w:t xml:space="preserve">, </w:t>
      </w:r>
      <w:r w:rsidRPr="00E150D8">
        <w:rPr>
          <w:i/>
          <w:iCs/>
        </w:rPr>
        <w:t>supra</w:t>
      </w:r>
      <w:r w:rsidRPr="00E150D8">
        <w:t xml:space="preserve">, 17 Cal.4th at p. 992.)  </w:t>
      </w:r>
    </w:p>
    <w:p w:rsidR="00AA3194" w:rsidP="008910E5" w14:paraId="0C807FCE" w14:textId="77777777">
      <w:pPr>
        <w:tabs>
          <w:tab w:val="left" w:pos="720"/>
        </w:tabs>
      </w:pPr>
      <w:r w:rsidRPr="00E150D8">
        <w:tab/>
        <w:t xml:space="preserve">FCA </w:t>
      </w:r>
      <w:r>
        <w:t xml:space="preserve">also </w:t>
      </w:r>
      <w:r w:rsidRPr="00E150D8">
        <w:t xml:space="preserve">relies on legislative history addressing the 1970 version of section 1794 to argue that the Legislature intended to apply ordinary contract rules whenever a consumer cannot return a defective vehicle.  </w:t>
      </w:r>
      <w:r w:rsidRPr="00D6112A" w:rsidR="00D02A7A">
        <w:t>All three documents</w:t>
      </w:r>
      <w:r w:rsidRPr="00D6112A" w:rsidR="00B620BB">
        <w:t xml:space="preserve"> FCA relies upon</w:t>
      </w:r>
      <w:r w:rsidRPr="00D6112A" w:rsidR="008E57AE">
        <w:t> —</w:t>
      </w:r>
      <w:r w:rsidR="00BE1977">
        <w:t xml:space="preserve"> </w:t>
      </w:r>
      <w:r w:rsidRPr="00D6112A" w:rsidR="008E57AE">
        <w:t xml:space="preserve">a letter from a legislative aide </w:t>
      </w:r>
      <w:r w:rsidRPr="00D6112A" w:rsidR="00380726">
        <w:t xml:space="preserve">to Senator Song </w:t>
      </w:r>
      <w:r w:rsidRPr="00D6112A" w:rsidR="008E57AE">
        <w:t>addressing the meaning of some language in the Act and two letters from the Legislative Counsel to Senators Cologne and Song, respectively, expressing various opinions in response to particular questions relating to the Act</w:t>
      </w:r>
      <w:r w:rsidRPr="00D6112A" w:rsidR="00B458CD">
        <w:t> —</w:t>
      </w:r>
      <w:r w:rsidR="00BE1977">
        <w:t xml:space="preserve"> </w:t>
      </w:r>
      <w:r w:rsidRPr="00D6112A" w:rsidR="00D02A7A">
        <w:t>are post</w:t>
      </w:r>
      <w:r w:rsidRPr="00D6112A" w:rsidR="002469EF">
        <w:t>enactment</w:t>
      </w:r>
      <w:r w:rsidRPr="00D6112A" w:rsidR="00B620BB">
        <w:t xml:space="preserve"> documents</w:t>
      </w:r>
      <w:r w:rsidRPr="00D6112A" w:rsidR="002469EF">
        <w:t xml:space="preserve"> </w:t>
      </w:r>
      <w:r w:rsidRPr="00D6112A">
        <w:t xml:space="preserve">and </w:t>
      </w:r>
      <w:r w:rsidRPr="00D6112A" w:rsidR="009155A0">
        <w:t xml:space="preserve">are </w:t>
      </w:r>
      <w:r w:rsidRPr="00D6112A">
        <w:t xml:space="preserve">entitled to little weight because </w:t>
      </w:r>
      <w:r w:rsidRPr="00D6112A" w:rsidR="009155A0">
        <w:t>they</w:t>
      </w:r>
      <w:r w:rsidRPr="00D6112A">
        <w:t xml:space="preserve"> do not reflect the legislative body enacting the statute.  (</w:t>
      </w:r>
      <w:r w:rsidRPr="00D6112A">
        <w:rPr>
          <w:i/>
          <w:iCs/>
        </w:rPr>
        <w:t xml:space="preserve">Quintano v. Mercury Casualty Co. </w:t>
      </w:r>
      <w:r w:rsidRPr="00D6112A">
        <w:t>(1995) 11 Cal.4th 1049, 1062</w:t>
      </w:r>
      <w:r w:rsidRPr="00D6112A" w:rsidR="009155A0">
        <w:t xml:space="preserve"> [</w:t>
      </w:r>
      <w:r w:rsidRPr="00D6112A" w:rsidR="002D0F2A">
        <w:t xml:space="preserve">statements of an individual </w:t>
      </w:r>
      <w:r w:rsidRPr="00D6112A" w:rsidR="00FD2058">
        <w:t>legislator</w:t>
      </w:r>
      <w:r w:rsidRPr="00D6112A" w:rsidR="0055779F">
        <w:t>, including bill author,</w:t>
      </w:r>
      <w:r w:rsidRPr="00D6112A" w:rsidR="003B633E">
        <w:t xml:space="preserve"> are</w:t>
      </w:r>
      <w:r w:rsidRPr="00D6112A" w:rsidR="00FD2058">
        <w:t xml:space="preserve"> generally not considered in construing a statute</w:t>
      </w:r>
      <w:r w:rsidRPr="00D6112A" w:rsidR="00E0017E">
        <w:t>; court’s task is to ascertain the intent of the Legislature as a whole</w:t>
      </w:r>
      <w:r w:rsidRPr="00D6112A" w:rsidR="009155A0">
        <w:t xml:space="preserve">]; </w:t>
      </w:r>
      <w:r w:rsidRPr="00D6112A" w:rsidR="009155A0">
        <w:rPr>
          <w:i/>
          <w:iCs/>
        </w:rPr>
        <w:t xml:space="preserve">Coker v. JPMorgan Chase Bank, N.A. </w:t>
      </w:r>
      <w:r w:rsidRPr="00D6112A" w:rsidR="009155A0">
        <w:t>(2016) 62</w:t>
      </w:r>
      <w:r w:rsidR="00B47BD6">
        <w:t> </w:t>
      </w:r>
      <w:r w:rsidRPr="00D6112A" w:rsidR="009155A0">
        <w:t>Cal.4th 667, 690</w:t>
      </w:r>
      <w:r w:rsidRPr="00D6112A" w:rsidR="008E57AE">
        <w:t xml:space="preserve">, </w:t>
      </w:r>
      <w:r w:rsidRPr="00D6112A" w:rsidR="009155A0">
        <w:t xml:space="preserve">citing </w:t>
      </w:r>
      <w:r w:rsidRPr="00D6112A" w:rsidR="009155A0">
        <w:rPr>
          <w:i/>
          <w:iCs/>
        </w:rPr>
        <w:t>Bruesewitz v. Wyeth LLC</w:t>
      </w:r>
      <w:r w:rsidRPr="00D6112A" w:rsidR="009155A0">
        <w:t xml:space="preserve"> (2011) 562</w:t>
      </w:r>
      <w:r w:rsidR="00B47BD6">
        <w:t> </w:t>
      </w:r>
      <w:r w:rsidRPr="00D6112A" w:rsidR="009155A0">
        <w:t>U.S. 223, 242 [“</w:t>
      </w:r>
      <w:r w:rsidR="006E464C">
        <w:t> ‘</w:t>
      </w:r>
      <w:r w:rsidRPr="00D6112A" w:rsidR="009155A0">
        <w:t>[p]ost-enactment legislative history (a contradiction in terms) is not a legitimate tool of statutory interpretation</w:t>
      </w:r>
      <w:r w:rsidR="006E464C">
        <w:t>’</w:t>
      </w:r>
      <w:r w:rsidRPr="00D6112A" w:rsidR="009155A0">
        <w:t xml:space="preserve"> because </w:t>
      </w:r>
      <w:r w:rsidR="006E464C">
        <w:t>‘</w:t>
      </w:r>
      <w:r w:rsidRPr="00D6112A" w:rsidR="009155A0">
        <w:t xml:space="preserve">by definition [it] </w:t>
      </w:r>
      <w:r w:rsidR="006E464C">
        <w:t>“</w:t>
      </w:r>
      <w:r w:rsidRPr="00D6112A" w:rsidR="009155A0">
        <w:t>could have had no effect on the [</w:t>
      </w:r>
      <w:r w:rsidR="006E464C">
        <w:t>L</w:t>
      </w:r>
      <w:r w:rsidRPr="00D6112A" w:rsidR="009155A0">
        <w:t>egislature’s] vote</w:t>
      </w:r>
      <w:r w:rsidR="00435D45">
        <w:t>” </w:t>
      </w:r>
      <w:r w:rsidRPr="00D6112A" w:rsidR="009155A0">
        <w:t>’</w:t>
      </w:r>
      <w:r w:rsidRPr="00D6112A" w:rsidR="00585639">
        <w:t> </w:t>
      </w:r>
      <w:r w:rsidRPr="00D6112A" w:rsidR="009155A0">
        <w:t xml:space="preserve">”].)  </w:t>
      </w:r>
      <w:r w:rsidRPr="00D6112A" w:rsidR="00DB1C97">
        <w:t xml:space="preserve">With respect to the letters from the Legislative Counsel, </w:t>
      </w:r>
      <w:r w:rsidRPr="00D6112A">
        <w:t>FCA focuses on two responses addressing distinguishable factual scenarios</w:t>
      </w:r>
      <w:r w:rsidRPr="00D6112A" w:rsidR="00340315">
        <w:t>.</w:t>
      </w:r>
      <w:r w:rsidRPr="00E150D8">
        <w:t xml:space="preserve"> </w:t>
      </w:r>
      <w:r w:rsidR="00340315">
        <w:t xml:space="preserve"> The first considers </w:t>
      </w:r>
      <w:r w:rsidRPr="00E150D8">
        <w:t>whether a manufacturer can refuse to replace, reimburse, or repair defective goods if (unlike here) the goods are not returned to be serviced at a service facility</w:t>
      </w:r>
      <w:r w:rsidR="00340315">
        <w:t xml:space="preserve">.  The second asks </w:t>
      </w:r>
      <w:r w:rsidRPr="00E150D8">
        <w:t>whether a privately-owned public utility has any liability under the Act if it sells consumer goods and contracts with an independent contractor for installation.  The responses do not address, and therefore shed no light on, the specific issue that is before us in the present case.</w:t>
      </w:r>
    </w:p>
    <w:p w:rsidR="00AA3194" w:rsidRPr="00E150D8" w:rsidP="008910E5" w14:paraId="0C807FCF" w14:textId="77777777">
      <w:pPr>
        <w:tabs>
          <w:tab w:val="left" w:pos="720"/>
        </w:tabs>
      </w:pPr>
      <w:r w:rsidRPr="00CE021B">
        <w:t xml:space="preserve"> </w:t>
      </w:r>
      <w:r w:rsidRPr="00E150D8">
        <w:tab/>
        <w:t xml:space="preserve">The legislative history reveals little legislative analysis addressing the language of the current statutory restitution remedy, including the meaning of “the actual price paid or payable.”  (See also </w:t>
      </w:r>
      <w:r w:rsidRPr="00E150D8">
        <w:rPr>
          <w:i/>
          <w:iCs/>
        </w:rPr>
        <w:t>Mitchell</w:t>
      </w:r>
      <w:r w:rsidRPr="00E150D8">
        <w:t xml:space="preserve">, </w:t>
      </w:r>
      <w:r w:rsidRPr="00E150D8">
        <w:rPr>
          <w:i/>
          <w:iCs/>
        </w:rPr>
        <w:t>supra</w:t>
      </w:r>
      <w:r w:rsidRPr="00E150D8">
        <w:t>, 80 Cal.App.4th at p. 39</w:t>
      </w:r>
      <w:r w:rsidRPr="00E150D8">
        <w:rPr>
          <w:i/>
          <w:iCs/>
        </w:rPr>
        <w:t xml:space="preserve"> </w:t>
      </w:r>
      <w:r w:rsidRPr="00E150D8">
        <w:t>[“ ‘interpretive commentary’ on the statute’s replacement or refund remedy is practically nonexistent”].)  Nevertheless, we can draw insight from the history of the amendments to sections 1793.2 and 1794.  Th</w:t>
      </w:r>
      <w:r w:rsidR="00DC017D">
        <w:t xml:space="preserve">is </w:t>
      </w:r>
      <w:r w:rsidRPr="00E150D8">
        <w:t xml:space="preserve">history demonstrates that the Legislature intended to lay out a precise method for calculating restitution awards payable to buyers, </w:t>
      </w:r>
      <w:r w:rsidRPr="00174EA7">
        <w:t xml:space="preserve">including the amounts </w:t>
      </w:r>
      <w:r w:rsidR="007139F8">
        <w:t xml:space="preserve">allowed </w:t>
      </w:r>
      <w:r w:rsidRPr="00174EA7">
        <w:t>to be reduced from award</w:t>
      </w:r>
      <w:r w:rsidR="007139F8">
        <w:t>s</w:t>
      </w:r>
      <w:r w:rsidRPr="00E150D8">
        <w:t>.</w:t>
      </w:r>
    </w:p>
    <w:p w:rsidR="00AA3194" w:rsidRPr="00AA3194" w:rsidP="008910E5" w14:paraId="0C807FD0" w14:textId="77777777">
      <w:r w:rsidRPr="00E150D8">
        <w:tab/>
        <w:t>The evolution of the Act</w:t>
      </w:r>
      <w:r>
        <w:t xml:space="preserve"> also </w:t>
      </w:r>
      <w:r w:rsidRPr="00E150D8">
        <w:t xml:space="preserve">indicates a legislative intent to </w:t>
      </w:r>
      <w:r>
        <w:t xml:space="preserve">ensure </w:t>
      </w:r>
      <w:r w:rsidRPr="00E150D8">
        <w:t xml:space="preserve">buyers </w:t>
      </w:r>
      <w:r>
        <w:t xml:space="preserve">receive full </w:t>
      </w:r>
      <w:r w:rsidRPr="00E150D8">
        <w:t xml:space="preserve">compensation under the Act, </w:t>
      </w:r>
      <w:r>
        <w:t xml:space="preserve">to </w:t>
      </w:r>
      <w:r w:rsidRPr="00E150D8">
        <w:t xml:space="preserve">make it easier for buyers to access all the benefits to which they are entitled under applicable warranties, and </w:t>
      </w:r>
      <w:r>
        <w:t xml:space="preserve">to </w:t>
      </w:r>
      <w:r w:rsidRPr="00E150D8">
        <w:t xml:space="preserve">constrain manufacturers from evading their statutory obligations.  To this end, since its enactment, the Act “has been amended numerous times to broaden its consumer protection policy, expand the classes of vehicles to which the lemon law applies, lessen the types of defenses that can [be] asserted, and change the statutory text in response to appellate decisions.”  (Frank, </w:t>
      </w:r>
      <w:r w:rsidRPr="00E150D8">
        <w:rPr>
          <w:i/>
          <w:iCs/>
        </w:rPr>
        <w:t>Lemon Law</w:t>
      </w:r>
      <w:r w:rsidRPr="00E150D8">
        <w:t xml:space="preserve"> (Nov. 2016) 39 L.A.Law. 27, 32.)  </w:t>
      </w:r>
      <w:r w:rsidRPr="00D84A5A">
        <w:t xml:space="preserve">This counsels against reducing statutory restitution awards by trade-in credits or sales proceeds, </w:t>
      </w:r>
      <w:r w:rsidRPr="00561A9C" w:rsidR="00DC017D">
        <w:t>when</w:t>
      </w:r>
      <w:r w:rsidRPr="00D84A5A">
        <w:t xml:space="preserve"> such reductions are not enumerated or authorized in section 1793.2, subdivision (d). </w:t>
      </w:r>
      <w:r w:rsidRPr="00561A9C" w:rsidR="001C3C7D">
        <w:t xml:space="preserve"> Any such reduction would be inconsistent with </w:t>
      </w:r>
      <w:r w:rsidRPr="00561A9C" w:rsidR="008A2BFD">
        <w:t>the legislative history and the Act’s consumer protective purpose.</w:t>
      </w:r>
      <w:r w:rsidRPr="00D84A5A">
        <w:t xml:space="preserve"> </w:t>
      </w:r>
    </w:p>
    <w:p w:rsidR="00C95A38" w:rsidRPr="00E150D8" w:rsidP="00CA5D6E" w14:paraId="0C807FD1" w14:textId="2A9A9FC2">
      <w:pPr>
        <w:pStyle w:val="Heading2"/>
        <w:spacing w:before="0" w:line="400" w:lineRule="exact"/>
      </w:pPr>
      <w:r>
        <w:t>C</w:t>
      </w:r>
      <w:r w:rsidRPr="003767AD">
        <w:t>.</w:t>
      </w:r>
      <w:r w:rsidR="006B57FF">
        <w:tab/>
      </w:r>
      <w:r w:rsidR="00FE360B">
        <w:t>T</w:t>
      </w:r>
      <w:r w:rsidRPr="00E150D8" w:rsidR="00934BCA">
        <w:t>he Act</w:t>
      </w:r>
      <w:r w:rsidR="00FE360B">
        <w:t xml:space="preserve">’s Labeling and Notification Provisions Do Not Support </w:t>
      </w:r>
      <w:r w:rsidR="00274556">
        <w:t xml:space="preserve">an Offset </w:t>
      </w:r>
      <w:r w:rsidR="004822C0">
        <w:t>to</w:t>
      </w:r>
      <w:r w:rsidR="00374DCA">
        <w:t xml:space="preserve"> the</w:t>
      </w:r>
      <w:r w:rsidRPr="00E150D8" w:rsidR="00934BCA">
        <w:t xml:space="preserve"> </w:t>
      </w:r>
      <w:r w:rsidR="004822C0">
        <w:t xml:space="preserve">Statutory </w:t>
      </w:r>
      <w:r w:rsidRPr="00E150D8" w:rsidR="00934BCA">
        <w:t xml:space="preserve">Restitution </w:t>
      </w:r>
      <w:r w:rsidR="00747843">
        <w:t>Remedy</w:t>
      </w:r>
      <w:r w:rsidR="004822C0">
        <w:t xml:space="preserve"> for </w:t>
      </w:r>
      <w:r w:rsidR="00DC017D">
        <w:t xml:space="preserve">a </w:t>
      </w:r>
      <w:r w:rsidR="004822C0">
        <w:t>Trade-</w:t>
      </w:r>
      <w:r w:rsidR="00BC6875">
        <w:t>i</w:t>
      </w:r>
      <w:r w:rsidR="004822C0">
        <w:t>n</w:t>
      </w:r>
      <w:r w:rsidR="00DC017D">
        <w:t xml:space="preserve"> Credit</w:t>
      </w:r>
      <w:r w:rsidR="004822C0">
        <w:t xml:space="preserve"> or Sale Proceeds</w:t>
      </w:r>
    </w:p>
    <w:p w:rsidR="00320DA4" w:rsidRPr="00E150D8" w:rsidP="008910E5" w14:paraId="0C807FD2" w14:textId="77777777">
      <w:pPr>
        <w:tabs>
          <w:tab w:val="left" w:pos="720"/>
        </w:tabs>
      </w:pPr>
      <w:r w:rsidRPr="00E150D8">
        <w:tab/>
      </w:r>
      <w:r w:rsidRPr="00E150D8" w:rsidR="00E125E6">
        <w:t xml:space="preserve">FCA </w:t>
      </w:r>
      <w:r w:rsidR="006164BE">
        <w:t xml:space="preserve">maintains </w:t>
      </w:r>
      <w:r w:rsidRPr="00E150D8" w:rsidR="00E125E6">
        <w:t>that</w:t>
      </w:r>
      <w:r w:rsidRPr="00E150D8" w:rsidR="000F0D2F">
        <w:t xml:space="preserve"> Niedermeier’s interpretation of the </w:t>
      </w:r>
      <w:r w:rsidR="009C69C0">
        <w:t xml:space="preserve">statutory </w:t>
      </w:r>
      <w:r w:rsidRPr="00E150D8" w:rsidR="000F0D2F">
        <w:t xml:space="preserve">restitution remedy </w:t>
      </w:r>
      <w:r w:rsidRPr="00E150D8" w:rsidR="00CC2F9A">
        <w:t xml:space="preserve">would </w:t>
      </w:r>
      <w:r w:rsidRPr="00E150D8" w:rsidR="00973935">
        <w:t xml:space="preserve">undercut the labeling and notification provisions </w:t>
      </w:r>
      <w:r w:rsidRPr="00E150D8" w:rsidR="00CF53CC">
        <w:t>in section</w:t>
      </w:r>
      <w:r w:rsidRPr="00E150D8" w:rsidR="00DF15B7">
        <w:t>s</w:t>
      </w:r>
      <w:r w:rsidRPr="00E150D8" w:rsidR="003311AD">
        <w:t> </w:t>
      </w:r>
      <w:r w:rsidRPr="00E150D8" w:rsidR="00DF15B7">
        <w:t>1793.22 and 1793.23</w:t>
      </w:r>
      <w:r w:rsidRPr="00E150D8" w:rsidR="00D1611C">
        <w:t xml:space="preserve"> (hereafter</w:t>
      </w:r>
      <w:r w:rsidRPr="00E150D8" w:rsidR="00A71191">
        <w:t xml:space="preserve"> sometimes</w:t>
      </w:r>
      <w:r w:rsidRPr="00E150D8" w:rsidR="00D1611C">
        <w:t xml:space="preserve"> referred to as the labeling and notification provisions)</w:t>
      </w:r>
      <w:r w:rsidRPr="00E150D8" w:rsidR="00AA649B">
        <w:t xml:space="preserve">.  </w:t>
      </w:r>
      <w:r w:rsidR="0015454C">
        <w:t>It echoes t</w:t>
      </w:r>
      <w:r w:rsidRPr="00E150D8" w:rsidR="007448DD">
        <w:t>he Court of Appeal</w:t>
      </w:r>
      <w:r w:rsidR="0015454C">
        <w:t>’s</w:t>
      </w:r>
      <w:r w:rsidRPr="00E150D8" w:rsidR="00AA649B">
        <w:t xml:space="preserve"> </w:t>
      </w:r>
      <w:r w:rsidR="0074720E">
        <w:t>concern</w:t>
      </w:r>
      <w:r w:rsidR="00901C6D">
        <w:t>s</w:t>
      </w:r>
      <w:r w:rsidRPr="00E150D8" w:rsidR="00192F98">
        <w:t xml:space="preserve"> </w:t>
      </w:r>
      <w:r w:rsidRPr="00E150D8" w:rsidR="007448DD">
        <w:t xml:space="preserve">that </w:t>
      </w:r>
      <w:r w:rsidRPr="00E150D8" w:rsidR="00776096">
        <w:t>Niedermeier’s</w:t>
      </w:r>
      <w:r w:rsidRPr="00E150D8" w:rsidR="00AC740E">
        <w:t xml:space="preserve"> </w:t>
      </w:r>
      <w:bookmarkStart w:id="14" w:name="_Hlk144985698"/>
      <w:r w:rsidRPr="00E150D8" w:rsidR="00776096">
        <w:t>interpretation</w:t>
      </w:r>
      <w:r w:rsidR="00DC017D">
        <w:t xml:space="preserve"> </w:t>
      </w:r>
      <w:r w:rsidRPr="00E150D8" w:rsidR="00DD49EA">
        <w:t>“would incentivize buyers to reintroduce defective vehicles into the market without the warning</w:t>
      </w:r>
      <w:r w:rsidR="00F13AC0">
        <w:t>s</w:t>
      </w:r>
      <w:r w:rsidRPr="00E150D8" w:rsidR="00DD49EA">
        <w:t xml:space="preserve"> a manufacturer </w:t>
      </w:r>
      <w:r w:rsidR="00F13AC0">
        <w:t xml:space="preserve">otherwise </w:t>
      </w:r>
      <w:r w:rsidRPr="00E150D8" w:rsidR="00DD49EA">
        <w:t xml:space="preserve">would have to provide” </w:t>
      </w:r>
      <w:r w:rsidR="001F5B64">
        <w:t xml:space="preserve">and </w:t>
      </w:r>
      <w:r w:rsidRPr="00E150D8" w:rsidR="008E00EE">
        <w:t xml:space="preserve">“would render the labeling and notification provisions largely meaningless, a result contrary to the rules of statutory construction.” </w:t>
      </w:r>
      <w:r w:rsidRPr="00E150D8" w:rsidR="00DD49EA">
        <w:t xml:space="preserve"> </w:t>
      </w:r>
      <w:r w:rsidRPr="00E150D8" w:rsidR="001F5B64">
        <w:t>(</w:t>
      </w:r>
      <w:r w:rsidRPr="00E150D8" w:rsidR="001F5B64">
        <w:rPr>
          <w:i/>
          <w:iCs/>
        </w:rPr>
        <w:t>Niedermeier</w:t>
      </w:r>
      <w:r w:rsidRPr="00E150D8" w:rsidR="001F5B64">
        <w:t xml:space="preserve">, </w:t>
      </w:r>
      <w:r w:rsidRPr="00E150D8" w:rsidR="001F5B64">
        <w:rPr>
          <w:i/>
          <w:iCs/>
        </w:rPr>
        <w:t>supra</w:t>
      </w:r>
      <w:r w:rsidRPr="00E150D8" w:rsidR="001F5B64">
        <w:t>, 56 Cal.App.5</w:t>
      </w:r>
      <w:r w:rsidRPr="00B117D8" w:rsidR="001F5B64">
        <w:t>th</w:t>
      </w:r>
      <w:r w:rsidRPr="00E150D8" w:rsidR="001F5B64">
        <w:t xml:space="preserve"> at p. 1072.)  </w:t>
      </w:r>
      <w:r w:rsidR="00640016">
        <w:t xml:space="preserve">In FCA’s view, no rational owner would return their defective vehicle to the manufacturer </w:t>
      </w:r>
      <w:r w:rsidR="008952A4">
        <w:t xml:space="preserve">if they could </w:t>
      </w:r>
      <w:r w:rsidR="00FF155B">
        <w:t xml:space="preserve">instead resell their vehicles to third parties.  </w:t>
      </w:r>
      <w:r w:rsidRPr="00E150D8" w:rsidR="008E00EE">
        <w:t xml:space="preserve">The Court of Appeal </w:t>
      </w:r>
      <w:r w:rsidR="0007502E">
        <w:t xml:space="preserve">similarly </w:t>
      </w:r>
      <w:r w:rsidRPr="00E150D8" w:rsidR="00001382">
        <w:t>could not “conceive why a buyer would ever return a vehicle to the manufacturer rather than obtain the extra proceeds from a resale or trade.  Return of the vehicle to the manufacturer would be the rare exception rather than the rule.”</w:t>
      </w:r>
      <w:bookmarkEnd w:id="14"/>
      <w:r w:rsidRPr="00E150D8" w:rsidR="00001382">
        <w:t xml:space="preserve">  </w:t>
      </w:r>
      <w:r w:rsidRPr="00E150D8" w:rsidR="001E7438">
        <w:t>(</w:t>
      </w:r>
      <w:r w:rsidRPr="00E150D8" w:rsidR="001E7438">
        <w:rPr>
          <w:i/>
          <w:iCs/>
        </w:rPr>
        <w:t>Ibid.</w:t>
      </w:r>
      <w:r w:rsidRPr="00E150D8" w:rsidR="001E7438">
        <w:t xml:space="preserve">)  </w:t>
      </w:r>
      <w:r w:rsidRPr="00705420" w:rsidR="00F549C3">
        <w:t>We disagree.</w:t>
      </w:r>
    </w:p>
    <w:p w:rsidR="005C03CE" w:rsidP="008910E5" w14:paraId="0C807FD3" w14:textId="77777777">
      <w:pPr>
        <w:tabs>
          <w:tab w:val="left" w:pos="1440"/>
        </w:tabs>
        <w:ind w:firstLine="720"/>
      </w:pPr>
      <w:r w:rsidRPr="00E150D8">
        <w:t xml:space="preserve">As FCA concedes, sections 1793.22 and 1793.23 require </w:t>
      </w:r>
      <w:r w:rsidRPr="00E150D8">
        <w:rPr>
          <w:i/>
          <w:iCs/>
        </w:rPr>
        <w:t>manufacturers</w:t>
      </w:r>
      <w:r w:rsidR="00DC017D">
        <w:t>, not consumers,</w:t>
      </w:r>
      <w:r w:rsidRPr="00E150D8">
        <w:t xml:space="preserve"> to label defective vehicles as lemons once they are reacquired.  (§ 1793.22, subd. (f)(1) [manufacturer</w:t>
      </w:r>
      <w:r>
        <w:t>s</w:t>
      </w:r>
      <w:r w:rsidRPr="00E150D8">
        <w:t xml:space="preserve"> must </w:t>
      </w:r>
      <w:r>
        <w:t xml:space="preserve">provide a one-year </w:t>
      </w:r>
      <w:r w:rsidRPr="00E150D8">
        <w:t>warrant</w:t>
      </w:r>
      <w:r>
        <w:t>y for all defective vehicles transferred to it under the Act</w:t>
      </w:r>
      <w:r w:rsidRPr="00E150D8">
        <w:t>]; § 1793.23, subds.</w:t>
      </w:r>
      <w:r w:rsidR="00516F40">
        <w:t> </w:t>
      </w:r>
      <w:r w:rsidR="001461E1">
        <w:t>(c)–</w:t>
      </w:r>
      <w:r w:rsidR="003B67F4">
        <w:t>(e</w:t>
      </w:r>
      <w:r w:rsidRPr="00E150D8">
        <w:t>).)  Buyers have neither the obligation nor the ability to label their defective vehicles lemons.  Had FCA promptly</w:t>
      </w:r>
      <w:r w:rsidR="00DC017D">
        <w:t xml:space="preserve"> </w:t>
      </w:r>
      <w:r w:rsidRPr="00E150D8">
        <w:t>refund</w:t>
      </w:r>
      <w:r w:rsidR="00DC017D">
        <w:t>ed</w:t>
      </w:r>
      <w:r w:rsidRPr="00E150D8">
        <w:t xml:space="preserve"> Niedermeier when its obligation to do so arose, the defective vehicle </w:t>
      </w:r>
      <w:r w:rsidR="00460EF2">
        <w:t>c</w:t>
      </w:r>
      <w:r w:rsidRPr="00E150D8">
        <w:t>ould have been reacquired and labeled a lemon</w:t>
      </w:r>
      <w:r w:rsidR="00460EF2">
        <w:t xml:space="preserve"> by the manufacturer</w:t>
      </w:r>
      <w:r w:rsidRPr="00E150D8">
        <w:t xml:space="preserve">.  Buyers like Niedermeier are only confronted with the possibility of selling or trading in their defective vehicles after manufacturers have failed to comply with their obligation to promptly replace or repurchase the vehicle.  When this occurs, buyers may have no choice but to engage in self-help to relieve themselves of the burden of owning or possessing a lemon.  </w:t>
      </w:r>
      <w:r w:rsidR="00DC017D">
        <w:t>Contrary to the Court of Appeal’s focus, i</w:t>
      </w:r>
      <w:r w:rsidRPr="00E150D8">
        <w:t>t is manufacturers, not buyers</w:t>
      </w:r>
      <w:r w:rsidR="00DC017D">
        <w:t xml:space="preserve"> who are forced to trade in or sell their vehicles</w:t>
      </w:r>
      <w:r w:rsidRPr="00E150D8">
        <w:t>, who undercut the Act’s labeling and notification provisions by failing to timely comply with the Act’s requirements.  (</w:t>
      </w:r>
      <w:r w:rsidRPr="00E150D8">
        <w:rPr>
          <w:i/>
          <w:iCs/>
        </w:rPr>
        <w:t>Figueroa</w:t>
      </w:r>
      <w:r w:rsidRPr="00E150D8">
        <w:t xml:space="preserve">, </w:t>
      </w:r>
      <w:r w:rsidRPr="00E150D8">
        <w:rPr>
          <w:i/>
          <w:iCs/>
        </w:rPr>
        <w:t>supra</w:t>
      </w:r>
      <w:r w:rsidRPr="00E150D8">
        <w:t xml:space="preserve">, 84 Cal.App.5th at pp. 713, 714; see also </w:t>
      </w:r>
      <w:r w:rsidRPr="00E150D8">
        <w:rPr>
          <w:i/>
          <w:iCs/>
        </w:rPr>
        <w:t>Williams</w:t>
      </w:r>
      <w:r w:rsidRPr="00E150D8">
        <w:t xml:space="preserve">, </w:t>
      </w:r>
      <w:r w:rsidRPr="00E150D8">
        <w:rPr>
          <w:i/>
          <w:iCs/>
        </w:rPr>
        <w:t>supra</w:t>
      </w:r>
      <w:r w:rsidRPr="00E150D8">
        <w:t xml:space="preserve">, 5 Cal.App.5th at pp. 784–785.)  Allowing buyers to recover full restitution, as defined in the statute, </w:t>
      </w:r>
      <w:r w:rsidR="00DC017D">
        <w:t xml:space="preserve">incentivizes </w:t>
      </w:r>
      <w:r w:rsidRPr="00E150D8">
        <w:t>manufacturers</w:t>
      </w:r>
      <w:r w:rsidR="00DC017D">
        <w:t xml:space="preserve"> </w:t>
      </w:r>
      <w:r w:rsidRPr="00E150D8">
        <w:t>to comply with their obligation</w:t>
      </w:r>
      <w:r w:rsidRPr="00E150D8" w:rsidR="0089168C">
        <w:t>s</w:t>
      </w:r>
      <w:r w:rsidRPr="00E150D8">
        <w:t xml:space="preserve"> under the Act.</w:t>
      </w:r>
    </w:p>
    <w:p w:rsidR="007E6413" w:rsidP="008910E5" w14:paraId="0C807FD4" w14:textId="77777777">
      <w:pPr>
        <w:tabs>
          <w:tab w:val="left" w:pos="1440"/>
        </w:tabs>
        <w:ind w:firstLine="720"/>
      </w:pPr>
      <w:r>
        <w:t>Neither FCA nor t</w:t>
      </w:r>
      <w:r w:rsidRPr="00E150D8" w:rsidR="00055CEA">
        <w:t xml:space="preserve">he Court of Appeal provide </w:t>
      </w:r>
      <w:r w:rsidR="00B05BDD">
        <w:t>any</w:t>
      </w:r>
      <w:r w:rsidRPr="00E150D8" w:rsidR="00055CEA">
        <w:t xml:space="preserve"> </w:t>
      </w:r>
      <w:r w:rsidRPr="00E150D8" w:rsidR="00BC15F6">
        <w:t xml:space="preserve">basis for </w:t>
      </w:r>
      <w:r w:rsidR="00B05BDD">
        <w:t>the</w:t>
      </w:r>
      <w:r w:rsidR="00460EF2">
        <w:t>ir</w:t>
      </w:r>
      <w:r w:rsidRPr="00E150D8" w:rsidR="00BC15F6">
        <w:t xml:space="preserve"> </w:t>
      </w:r>
      <w:r w:rsidRPr="00E150D8" w:rsidR="003C0459">
        <w:t>o</w:t>
      </w:r>
      <w:r w:rsidR="00460EF2">
        <w:t>pinion</w:t>
      </w:r>
      <w:r w:rsidRPr="00E150D8" w:rsidR="003C0459">
        <w:t xml:space="preserve"> </w:t>
      </w:r>
      <w:r w:rsidRPr="00E150D8" w:rsidR="006E0215">
        <w:t xml:space="preserve">that </w:t>
      </w:r>
      <w:r w:rsidR="00B72DA2">
        <w:t xml:space="preserve">no rational owner would return </w:t>
      </w:r>
      <w:r w:rsidR="00465A94">
        <w:t xml:space="preserve">their defective vehicle or that </w:t>
      </w:r>
      <w:r w:rsidRPr="00E150D8" w:rsidR="006E0215">
        <w:t>returning a defective vehicle would become the rare exception rather than the rule</w:t>
      </w:r>
      <w:r w:rsidRPr="00E150D8" w:rsidR="003C0459">
        <w:t>, and we question</w:t>
      </w:r>
      <w:r w:rsidR="00465A94">
        <w:t xml:space="preserve"> these</w:t>
      </w:r>
      <w:r w:rsidRPr="00E150D8" w:rsidR="003C0459">
        <w:t xml:space="preserve"> assumption</w:t>
      </w:r>
      <w:r w:rsidR="00465A94">
        <w:t>s</w:t>
      </w:r>
      <w:r w:rsidRPr="00E150D8" w:rsidR="006E0215">
        <w:t xml:space="preserve">.  </w:t>
      </w:r>
      <w:r w:rsidRPr="00E150D8" w:rsidR="002E4583">
        <w:t xml:space="preserve">Niedermeier made three separate </w:t>
      </w:r>
      <w:r w:rsidRPr="00E150D8" w:rsidR="0053238F">
        <w:t>requests to return the vehicle</w:t>
      </w:r>
      <w:r w:rsidRPr="00E150D8" w:rsidR="0080197F">
        <w:t xml:space="preserve"> after </w:t>
      </w:r>
      <w:r w:rsidRPr="00E150D8" w:rsidR="0024701F">
        <w:t>multiple</w:t>
      </w:r>
      <w:r w:rsidRPr="00E150D8" w:rsidR="00214BE1">
        <w:t xml:space="preserve"> </w:t>
      </w:r>
      <w:r w:rsidRPr="00E150D8" w:rsidR="0080197F">
        <w:t xml:space="preserve">attempts to repair </w:t>
      </w:r>
      <w:r w:rsidRPr="00E150D8" w:rsidR="0053238F">
        <w:t>it</w:t>
      </w:r>
      <w:r w:rsidRPr="00E150D8" w:rsidR="0080197F">
        <w:t xml:space="preserve"> </w:t>
      </w:r>
      <w:r w:rsidRPr="00E150D8" w:rsidR="0024701F">
        <w:t xml:space="preserve">over four years </w:t>
      </w:r>
      <w:r w:rsidRPr="00E150D8" w:rsidR="0080197F">
        <w:t xml:space="preserve">failed.  It was not until </w:t>
      </w:r>
      <w:r w:rsidRPr="00E150D8" w:rsidR="00FA7D37">
        <w:t xml:space="preserve">FCA </w:t>
      </w:r>
      <w:r w:rsidRPr="00E150D8" w:rsidR="009C2A87">
        <w:t>repeatedly declined to buy back the vehicle that Niedermeier gave up</w:t>
      </w:r>
      <w:r w:rsidRPr="00E150D8" w:rsidR="008F369E">
        <w:t xml:space="preserve">, purchased a new vehicle, and traded in the defective </w:t>
      </w:r>
      <w:r w:rsidR="00DC017D">
        <w:t>one</w:t>
      </w:r>
      <w:r w:rsidRPr="00E150D8" w:rsidR="008F369E">
        <w:t xml:space="preserve">.  </w:t>
      </w:r>
      <w:r w:rsidRPr="00E150D8" w:rsidR="00300523">
        <w:t>E</w:t>
      </w:r>
      <w:r w:rsidRPr="00E150D8" w:rsidR="00432FA6">
        <w:t xml:space="preserve">ven </w:t>
      </w:r>
      <w:r w:rsidRPr="00E150D8" w:rsidR="001E1AD0">
        <w:t xml:space="preserve">if </w:t>
      </w:r>
      <w:r w:rsidR="00072106">
        <w:t xml:space="preserve">a buyer is entitled to recover </w:t>
      </w:r>
      <w:r w:rsidRPr="00E150D8" w:rsidR="00F63D03">
        <w:t xml:space="preserve">the </w:t>
      </w:r>
      <w:r w:rsidR="00072106">
        <w:t xml:space="preserve">full </w:t>
      </w:r>
      <w:r w:rsidRPr="00E150D8" w:rsidR="00F63D03">
        <w:t>statutory restitution remedy</w:t>
      </w:r>
      <w:r w:rsidR="00072106">
        <w:t xml:space="preserve"> in an action under section 1794</w:t>
      </w:r>
      <w:r w:rsidRPr="00E150D8" w:rsidR="0084541E">
        <w:t xml:space="preserve">, </w:t>
      </w:r>
      <w:r w:rsidRPr="00E150D8" w:rsidR="00300523">
        <w:t>it is reasonable to believe that, like Niederm</w:t>
      </w:r>
      <w:r w:rsidRPr="00E150D8" w:rsidR="00585EF7">
        <w:t>e</w:t>
      </w:r>
      <w:r w:rsidRPr="00E150D8" w:rsidR="00D65F05">
        <w:t>ie</w:t>
      </w:r>
      <w:r w:rsidRPr="00E150D8" w:rsidR="00300523">
        <w:t xml:space="preserve">r, </w:t>
      </w:r>
      <w:r w:rsidRPr="00E150D8" w:rsidR="00CA6B5E">
        <w:t xml:space="preserve">buyers </w:t>
      </w:r>
      <w:r w:rsidRPr="00E150D8" w:rsidR="0084541E">
        <w:t xml:space="preserve">will </w:t>
      </w:r>
      <w:r w:rsidRPr="00E150D8" w:rsidR="00CA6B5E">
        <w:t>continue to</w:t>
      </w:r>
      <w:r w:rsidRPr="00E150D8" w:rsidR="007C4B12">
        <w:t xml:space="preserve"> </w:t>
      </w:r>
      <w:r w:rsidRPr="00E150D8" w:rsidR="004035AC">
        <w:t>attempt to</w:t>
      </w:r>
      <w:r w:rsidR="00735D81">
        <w:t xml:space="preserve"> </w:t>
      </w:r>
      <w:r w:rsidRPr="00E150D8" w:rsidR="004035AC">
        <w:t>return defective vehicles</w:t>
      </w:r>
      <w:r w:rsidRPr="00E150D8" w:rsidR="00104695">
        <w:t xml:space="preserve"> </w:t>
      </w:r>
      <w:r w:rsidR="003A2F1E">
        <w:t xml:space="preserve">before filing suit in order </w:t>
      </w:r>
      <w:r w:rsidRPr="00E150D8" w:rsidR="004035AC">
        <w:t xml:space="preserve">to avoid the </w:t>
      </w:r>
      <w:r w:rsidRPr="00E150D8" w:rsidR="0053238F">
        <w:t xml:space="preserve">time and trouble </w:t>
      </w:r>
      <w:r w:rsidRPr="00E150D8" w:rsidR="004035AC">
        <w:t xml:space="preserve">of </w:t>
      </w:r>
      <w:r w:rsidRPr="00E150D8" w:rsidR="00E574A6">
        <w:t xml:space="preserve">selling or trading </w:t>
      </w:r>
      <w:r w:rsidRPr="00E150D8" w:rsidR="00AA4EA8">
        <w:t xml:space="preserve">them </w:t>
      </w:r>
      <w:r w:rsidRPr="00E150D8" w:rsidR="00E574A6">
        <w:t>in</w:t>
      </w:r>
      <w:r w:rsidRPr="00E150D8" w:rsidR="00AA4EA8">
        <w:t xml:space="preserve"> to a </w:t>
      </w:r>
      <w:r w:rsidR="00363BF1">
        <w:t>third party</w:t>
      </w:r>
      <w:r w:rsidR="00813CF4">
        <w:t xml:space="preserve"> and resorting to litigation</w:t>
      </w:r>
      <w:r w:rsidRPr="000A624C" w:rsidR="00E574A6">
        <w:t xml:space="preserve">.  </w:t>
      </w:r>
      <w:r w:rsidRPr="00B073C8" w:rsidR="00FF0EEA">
        <w:t xml:space="preserve">The concurrence disagrees,  maintaining that “[i]f trade-in or resale always yielded the potential for double recovery, one would expect a good number of consumers to go that route.”  (Conc. opn. of Kruger, J., </w:t>
      </w:r>
      <w:r w:rsidRPr="00B073C8" w:rsidR="00FF0EEA">
        <w:rPr>
          <w:i/>
          <w:iCs/>
        </w:rPr>
        <w:t>post</w:t>
      </w:r>
      <w:r w:rsidRPr="00B073C8" w:rsidR="00FF0EEA">
        <w:t xml:space="preserve">, at p. </w:t>
      </w:r>
      <w:r w:rsidR="00F2121D">
        <w:t>15</w:t>
      </w:r>
      <w:r w:rsidRPr="00B073C8" w:rsidR="00FF0EEA">
        <w:t xml:space="preserve">.) </w:t>
      </w:r>
      <w:r w:rsidRPr="00B073C8" w:rsidR="00805917">
        <w:t xml:space="preserve"> </w:t>
      </w:r>
      <w:r w:rsidR="00502290">
        <w:t>But</w:t>
      </w:r>
      <w:r w:rsidR="00260110">
        <w:t xml:space="preserve"> </w:t>
      </w:r>
      <w:r w:rsidRPr="00561A9C" w:rsidR="000E74A5">
        <w:t>manufacturer</w:t>
      </w:r>
      <w:r w:rsidRPr="00561A9C" w:rsidR="007C2CFC">
        <w:t>s</w:t>
      </w:r>
      <w:r w:rsidRPr="00561A9C" w:rsidR="000E74A5">
        <w:t xml:space="preserve"> can rather easily avoid</w:t>
      </w:r>
      <w:r w:rsidRPr="00561A9C" w:rsidR="00C975E1">
        <w:t xml:space="preserve"> </w:t>
      </w:r>
      <w:r w:rsidRPr="00561A9C" w:rsidR="007C2CFC">
        <w:t xml:space="preserve">a result </w:t>
      </w:r>
      <w:r w:rsidRPr="00561A9C" w:rsidR="00F57847">
        <w:t xml:space="preserve">in which buyers resell defective cars </w:t>
      </w:r>
      <w:r w:rsidRPr="00561A9C" w:rsidR="000E74A5">
        <w:t xml:space="preserve">simply by promptly complying with their obligations under the Act.  (See </w:t>
      </w:r>
      <w:r w:rsidRPr="00561A9C" w:rsidR="000E74A5">
        <w:rPr>
          <w:i/>
          <w:iCs/>
        </w:rPr>
        <w:t>Figueroa</w:t>
      </w:r>
      <w:r w:rsidRPr="00561A9C" w:rsidR="000E74A5">
        <w:t>,</w:t>
      </w:r>
      <w:r w:rsidRPr="00561A9C" w:rsidR="000E74A5">
        <w:rPr>
          <w:i/>
          <w:iCs/>
        </w:rPr>
        <w:t xml:space="preserve"> supra</w:t>
      </w:r>
      <w:r w:rsidRPr="00561A9C" w:rsidR="000E74A5">
        <w:t xml:space="preserve">, 84 Cal.App.5th at p. 713 [any windfall to the plaintiff was the direct result of FCA’s willful violation of the Act, and “[h]ad FCA fulfilled its duty under the </w:t>
      </w:r>
      <w:r w:rsidR="00A0072D">
        <w:t>[A</w:t>
      </w:r>
      <w:r w:rsidRPr="00561A9C" w:rsidR="000E74A5">
        <w:t>ct</w:t>
      </w:r>
      <w:r w:rsidR="00A0072D">
        <w:t>]</w:t>
      </w:r>
      <w:r w:rsidRPr="00561A9C" w:rsidR="000E74A5">
        <w:t xml:space="preserve"> to promptly replace or repurchase the truck, there would be no such windfall”]; see also </w:t>
      </w:r>
      <w:r w:rsidRPr="00561A9C" w:rsidR="000E74A5">
        <w:rPr>
          <w:i/>
          <w:iCs/>
        </w:rPr>
        <w:t>Williams</w:t>
      </w:r>
      <w:r w:rsidRPr="00561A9C" w:rsidR="000E74A5">
        <w:t xml:space="preserve">, </w:t>
      </w:r>
      <w:r w:rsidRPr="00561A9C" w:rsidR="000E74A5">
        <w:rPr>
          <w:i/>
          <w:iCs/>
        </w:rPr>
        <w:t>supra</w:t>
      </w:r>
      <w:r w:rsidRPr="00561A9C" w:rsidR="000E74A5">
        <w:t>, 88 Cal.App.5th at p. 714.)</w:t>
      </w:r>
    </w:p>
    <w:p w:rsidR="00681CD1" w:rsidRPr="00E150D8" w:rsidP="008910E5" w14:paraId="0C807FD5" w14:textId="77777777">
      <w:pPr>
        <w:tabs>
          <w:tab w:val="left" w:pos="720"/>
          <w:tab w:val="left" w:pos="1440"/>
        </w:tabs>
      </w:pPr>
      <w:r>
        <w:tab/>
      </w:r>
      <w:r w:rsidR="002B4846">
        <w:t xml:space="preserve">FCA </w:t>
      </w:r>
      <w:r w:rsidR="009505D2">
        <w:t xml:space="preserve">and </w:t>
      </w:r>
      <w:r w:rsidR="002B4846">
        <w:t>t</w:t>
      </w:r>
      <w:r w:rsidR="006B39CF">
        <w:t xml:space="preserve">he Court of Appeal </w:t>
      </w:r>
      <w:r w:rsidR="002B4846">
        <w:t xml:space="preserve">also </w:t>
      </w:r>
      <w:r w:rsidR="00452495">
        <w:t xml:space="preserve">overlook the fact </w:t>
      </w:r>
      <w:r w:rsidR="006B39CF">
        <w:t xml:space="preserve">that </w:t>
      </w:r>
      <w:r w:rsidR="0030743E">
        <w:t xml:space="preserve">a buyer’s decision to </w:t>
      </w:r>
      <w:r w:rsidR="00572908">
        <w:t>trade in or sell a vehicle is</w:t>
      </w:r>
      <w:r w:rsidR="006B39CF">
        <w:t xml:space="preserve"> made in real time</w:t>
      </w:r>
      <w:r w:rsidR="00813CF4">
        <w:t>.</w:t>
      </w:r>
      <w:r w:rsidR="002837E6">
        <w:t xml:space="preserve"> </w:t>
      </w:r>
      <w:r w:rsidR="00FF73EB">
        <w:t xml:space="preserve"> </w:t>
      </w:r>
      <w:r w:rsidR="00813CF4">
        <w:t>I</w:t>
      </w:r>
      <w:r w:rsidR="00D35BFB">
        <w:t>t</w:t>
      </w:r>
      <w:r w:rsidR="00206782">
        <w:t xml:space="preserve"> </w:t>
      </w:r>
      <w:r w:rsidR="00D35BFB">
        <w:t xml:space="preserve">would be quite risky for a buyer to </w:t>
      </w:r>
      <w:r w:rsidR="00CE4406">
        <w:t xml:space="preserve">choose to trade in or sell </w:t>
      </w:r>
      <w:r w:rsidR="006C0680">
        <w:t>a defective vehicle</w:t>
      </w:r>
      <w:r w:rsidR="00CE4406">
        <w:t xml:space="preserve"> to a third party before a</w:t>
      </w:r>
      <w:r w:rsidR="00CA2887">
        <w:t xml:space="preserve"> manufacturer </w:t>
      </w:r>
      <w:r w:rsidR="0036748A">
        <w:t xml:space="preserve">is able to comply </w:t>
      </w:r>
      <w:r w:rsidR="00CE4406">
        <w:t>with its statutory obligation to</w:t>
      </w:r>
      <w:r w:rsidR="006C0680">
        <w:t xml:space="preserve"> </w:t>
      </w:r>
      <w:r w:rsidR="0036748A">
        <w:t xml:space="preserve">promptly </w:t>
      </w:r>
      <w:r w:rsidR="006C0680">
        <w:t>repurchase or replace the vehicle</w:t>
      </w:r>
      <w:r w:rsidR="006B39CF">
        <w:t>.</w:t>
      </w:r>
      <w:r w:rsidR="00572908">
        <w:t xml:space="preserve"> </w:t>
      </w:r>
      <w:r w:rsidR="006B39CF">
        <w:t xml:space="preserve"> </w:t>
      </w:r>
      <w:r w:rsidR="00E62870">
        <w:t>T</w:t>
      </w:r>
      <w:r w:rsidRPr="00A06908" w:rsidR="009758DB">
        <w:t xml:space="preserve">he Act requires </w:t>
      </w:r>
      <w:r w:rsidRPr="00A06908" w:rsidR="000A5B3D">
        <w:t>a buyer</w:t>
      </w:r>
      <w:r w:rsidRPr="00A06908" w:rsidR="009758DB">
        <w:t xml:space="preserve"> to</w:t>
      </w:r>
      <w:r w:rsidRPr="00A06908" w:rsidR="000A5B3D">
        <w:t xml:space="preserve"> </w:t>
      </w:r>
      <w:r w:rsidRPr="00A06908" w:rsidR="00471E23">
        <w:t xml:space="preserve">deliver the defective vehicle </w:t>
      </w:r>
      <w:r w:rsidRPr="00A06908" w:rsidR="00557D4A">
        <w:t xml:space="preserve">to the manufacturer’s service and repair facility for the purpose of allowing the manufacturer a reasonable number of </w:t>
      </w:r>
      <w:r w:rsidRPr="00A06908" w:rsidR="00F4630B">
        <w:t xml:space="preserve">repair </w:t>
      </w:r>
      <w:r w:rsidRPr="00A06908" w:rsidR="00557D4A">
        <w:t>attempts</w:t>
      </w:r>
      <w:r w:rsidRPr="004F5054" w:rsidR="00557D4A">
        <w:t>.  (§ 1793.2, subds.</w:t>
      </w:r>
      <w:r w:rsidR="009E639D">
        <w:t xml:space="preserve"> </w:t>
      </w:r>
      <w:r w:rsidR="00192335">
        <w:t>(c)</w:t>
      </w:r>
      <w:r w:rsidRPr="004F5054" w:rsidR="00557D4A">
        <w:t xml:space="preserve">, (d); </w:t>
      </w:r>
      <w:r w:rsidRPr="00E150D8" w:rsidR="00AA4382">
        <w:t>§ 1793.22, subd. (b)</w:t>
      </w:r>
      <w:r w:rsidR="00AA4382">
        <w:t xml:space="preserve">; </w:t>
      </w:r>
      <w:r w:rsidRPr="00E150D8" w:rsidR="00E51705">
        <w:rPr>
          <w:i/>
          <w:iCs/>
        </w:rPr>
        <w:t>Kirzhner</w:t>
      </w:r>
      <w:r w:rsidRPr="00E150D8" w:rsidR="00E51705">
        <w:t xml:space="preserve">, </w:t>
      </w:r>
      <w:r w:rsidRPr="00E150D8" w:rsidR="00E51705">
        <w:rPr>
          <w:i/>
          <w:iCs/>
        </w:rPr>
        <w:t>supra</w:t>
      </w:r>
      <w:r w:rsidRPr="00E150D8" w:rsidR="00E51705">
        <w:t>, 9 Cal.5th at pp. 969, 971, 986</w:t>
      </w:r>
      <w:r w:rsidR="00E51705">
        <w:t xml:space="preserve">; </w:t>
      </w:r>
      <w:r w:rsidRPr="004F5054" w:rsidR="00557D4A">
        <w:rPr>
          <w:i/>
          <w:iCs/>
        </w:rPr>
        <w:t>Krotin</w:t>
      </w:r>
      <w:r w:rsidR="00942D9C">
        <w:t xml:space="preserve">, </w:t>
      </w:r>
      <w:r w:rsidR="00942D9C">
        <w:rPr>
          <w:i/>
          <w:iCs/>
        </w:rPr>
        <w:t>supra</w:t>
      </w:r>
      <w:r w:rsidR="00942D9C">
        <w:t xml:space="preserve">, </w:t>
      </w:r>
      <w:r w:rsidRPr="004F5054" w:rsidR="00557D4A">
        <w:t xml:space="preserve">38 Cal.App.4th </w:t>
      </w:r>
      <w:r w:rsidR="00942D9C">
        <w:t xml:space="preserve">at pp. </w:t>
      </w:r>
      <w:r w:rsidRPr="00E150D8" w:rsidR="00EF3B7F">
        <w:t xml:space="preserve">302–303 [“the Act does not </w:t>
      </w:r>
      <w:r w:rsidRPr="00CA5D6E" w:rsidR="00EF3B7F">
        <w:rPr>
          <w:i/>
          <w:iCs/>
        </w:rPr>
        <w:t>require</w:t>
      </w:r>
      <w:r w:rsidRPr="00E150D8" w:rsidR="00EF3B7F">
        <w:t xml:space="preserve"> consumers to take any affirmative steps to secure relief for the failure of a manufacturer to service or repair a vehicle to conform to applicable warranties</w:t>
      </w:r>
      <w:r w:rsidR="00BE1977">
        <w:t> </w:t>
      </w:r>
      <w:r w:rsidRPr="00E150D8" w:rsidR="00EF3B7F">
        <w:t>—</w:t>
      </w:r>
      <w:r w:rsidR="00EF3B7F">
        <w:t xml:space="preserve"> </w:t>
      </w:r>
      <w:r w:rsidRPr="00E150D8" w:rsidR="00EF3B7F">
        <w:t>other than, of course, permitting the manufacturer a reasonable opportunity to repair the vehicle”]</w:t>
      </w:r>
      <w:r w:rsidR="009C242C">
        <w:t xml:space="preserve">; </w:t>
      </w:r>
      <w:r w:rsidRPr="004F5054" w:rsidR="009C242C">
        <w:rPr>
          <w:i/>
          <w:iCs/>
        </w:rPr>
        <w:t>Martinez</w:t>
      </w:r>
      <w:r w:rsidRPr="004F5054" w:rsidR="009C242C">
        <w:t xml:space="preserve">, </w:t>
      </w:r>
      <w:r w:rsidRPr="004F5054" w:rsidR="009C242C">
        <w:rPr>
          <w:i/>
          <w:iCs/>
        </w:rPr>
        <w:t>supra</w:t>
      </w:r>
      <w:r w:rsidRPr="004F5054" w:rsidR="009C242C">
        <w:t xml:space="preserve">, 193 Cal.App.4th at </w:t>
      </w:r>
      <w:r w:rsidRPr="009538A6" w:rsidR="009C242C">
        <w:t>p</w:t>
      </w:r>
      <w:r w:rsidRPr="00561A9C" w:rsidR="009C242C">
        <w:t>p. 191,</w:t>
      </w:r>
      <w:r w:rsidRPr="009538A6" w:rsidR="009C242C">
        <w:t xml:space="preserve"> 193</w:t>
      </w:r>
      <w:r w:rsidRPr="004F5054" w:rsidR="00557D4A">
        <w:t>.)</w:t>
      </w:r>
      <w:r w:rsidRPr="00E150D8" w:rsidR="00557D4A">
        <w:t xml:space="preserve">  Once the manufacturer </w:t>
      </w:r>
      <w:r w:rsidR="00374BEE">
        <w:t>is unable</w:t>
      </w:r>
      <w:r w:rsidRPr="00E150D8" w:rsidR="00557D4A">
        <w:t xml:space="preserve"> to </w:t>
      </w:r>
      <w:r w:rsidR="00111569">
        <w:t xml:space="preserve">repair the vehicle after </w:t>
      </w:r>
      <w:r w:rsidR="0070138E">
        <w:t>a reasonable number of attempts</w:t>
      </w:r>
      <w:r w:rsidRPr="00E150D8" w:rsidR="00557D4A">
        <w:t>, the manufacturer</w:t>
      </w:r>
      <w:r w:rsidR="004B453D">
        <w:t>’s obligation to</w:t>
      </w:r>
      <w:r w:rsidR="00F930C5">
        <w:t xml:space="preserve"> </w:t>
      </w:r>
      <w:r w:rsidRPr="00E150D8" w:rsidR="00557D4A">
        <w:t xml:space="preserve">promptly </w:t>
      </w:r>
      <w:r w:rsidR="00396AF6">
        <w:t>provide</w:t>
      </w:r>
      <w:r w:rsidRPr="00E150D8" w:rsidR="00557D4A">
        <w:t xml:space="preserve"> restitution to the buyer </w:t>
      </w:r>
      <w:r w:rsidR="004B453D">
        <w:t>arises</w:t>
      </w:r>
      <w:r w:rsidRPr="00E150D8" w:rsidR="00557D4A">
        <w:t xml:space="preserve">.  (§ 1793.2, subd. (d)(2); see also § 1794, subd. (b); </w:t>
      </w:r>
      <w:r w:rsidR="00192E4B">
        <w:t xml:space="preserve">see also </w:t>
      </w:r>
      <w:r w:rsidRPr="00E150D8" w:rsidR="00557D4A">
        <w:rPr>
          <w:i/>
          <w:iCs/>
        </w:rPr>
        <w:t>Kirzhner</w:t>
      </w:r>
      <w:r w:rsidRPr="00E150D8" w:rsidR="00557D4A">
        <w:t xml:space="preserve">, </w:t>
      </w:r>
      <w:r w:rsidRPr="00E150D8" w:rsidR="00557D4A">
        <w:rPr>
          <w:i/>
          <w:iCs/>
        </w:rPr>
        <w:t>supra</w:t>
      </w:r>
      <w:r w:rsidRPr="00E150D8" w:rsidR="00557D4A">
        <w:t>, 9 Cal.5th at p. 9</w:t>
      </w:r>
      <w:r w:rsidR="007C7C26">
        <w:t>86</w:t>
      </w:r>
      <w:r w:rsidRPr="00E150D8" w:rsidR="00557D4A">
        <w:t xml:space="preserve">.) </w:t>
      </w:r>
      <w:r w:rsidR="00E51705">
        <w:t xml:space="preserve"> </w:t>
      </w:r>
      <w:r w:rsidR="008E2AC5">
        <w:t xml:space="preserve">Thus, </w:t>
      </w:r>
      <w:r w:rsidR="008B582D">
        <w:t xml:space="preserve">it is </w:t>
      </w:r>
      <w:r w:rsidR="008E2AC5">
        <w:t xml:space="preserve">only </w:t>
      </w:r>
      <w:r w:rsidR="00622E55">
        <w:t xml:space="preserve">where the manufacturer fails to “promptly” provide restitution </w:t>
      </w:r>
      <w:r w:rsidR="00487B12">
        <w:t xml:space="preserve">that </w:t>
      </w:r>
      <w:r w:rsidR="003302E8">
        <w:t xml:space="preserve">a buyer </w:t>
      </w:r>
      <w:r w:rsidR="00B014A4">
        <w:t xml:space="preserve">would </w:t>
      </w:r>
      <w:r w:rsidR="007016B8">
        <w:t>be</w:t>
      </w:r>
      <w:r w:rsidR="003302E8">
        <w:t xml:space="preserve"> able to trade in or sell a defective vehicle while also obtaining restitution from the manufacturer.  </w:t>
      </w:r>
      <w:r w:rsidR="00166BC2">
        <w:t xml:space="preserve">If a buyer were to trade in or sell the vehicle </w:t>
      </w:r>
      <w:r w:rsidR="00B80CC3">
        <w:t>before affording the manufacturer a reasonable number of opportunities to repair the vehicle</w:t>
      </w:r>
      <w:r w:rsidR="007808C3">
        <w:t>,</w:t>
      </w:r>
      <w:r w:rsidR="00863ED2">
        <w:t xml:space="preserve"> </w:t>
      </w:r>
      <w:r w:rsidRPr="00E150D8" w:rsidR="00AD34B1">
        <w:t>the buyer would not be able to obtain restitution or replacement remedies under the Act.</w:t>
      </w:r>
      <w:r>
        <w:rPr>
          <w:rStyle w:val="FootnoteReference"/>
        </w:rPr>
        <w:footnoteReference w:id="10"/>
      </w:r>
      <w:r w:rsidRPr="00E150D8" w:rsidR="00AD34B1">
        <w:t xml:space="preserve">  (</w:t>
      </w:r>
      <w:r w:rsidRPr="00E150D8" w:rsidR="00AD34B1">
        <w:rPr>
          <w:i/>
          <w:iCs/>
        </w:rPr>
        <w:t>Kirzhner</w:t>
      </w:r>
      <w:r w:rsidRPr="00E150D8" w:rsidR="00AD34B1">
        <w:t xml:space="preserve">, </w:t>
      </w:r>
      <w:r w:rsidRPr="00E150D8" w:rsidR="00AD34B1">
        <w:rPr>
          <w:i/>
          <w:iCs/>
        </w:rPr>
        <w:t>supra</w:t>
      </w:r>
      <w:r w:rsidRPr="00E150D8" w:rsidR="00AD34B1">
        <w:t xml:space="preserve">, at pp. 969, 971, 986; </w:t>
      </w:r>
      <w:r w:rsidRPr="00E150D8" w:rsidR="00AD34B1">
        <w:rPr>
          <w:i/>
          <w:iCs/>
        </w:rPr>
        <w:t>Krotin</w:t>
      </w:r>
      <w:r w:rsidRPr="00E150D8" w:rsidR="00AD34B1">
        <w:t xml:space="preserve">, </w:t>
      </w:r>
      <w:r w:rsidRPr="00E150D8" w:rsidR="00AD34B1">
        <w:rPr>
          <w:i/>
          <w:iCs/>
        </w:rPr>
        <w:t>supra</w:t>
      </w:r>
      <w:r w:rsidRPr="00E150D8" w:rsidR="00AD34B1">
        <w:t xml:space="preserve">, at pp. 302–303.)  </w:t>
      </w:r>
      <w:r w:rsidR="00CA45FF">
        <w:t xml:space="preserve">In this way, </w:t>
      </w:r>
      <w:r w:rsidRPr="00E150D8" w:rsidR="00CA45FF">
        <w:t xml:space="preserve">the Act itself curbs the concern that buyers will </w:t>
      </w:r>
      <w:r w:rsidR="00813CF4">
        <w:t xml:space="preserve">not return defective </w:t>
      </w:r>
      <w:r w:rsidRPr="00E150D8" w:rsidR="00CA45FF">
        <w:t>vehicle</w:t>
      </w:r>
      <w:r w:rsidR="00813CF4">
        <w:t>s</w:t>
      </w:r>
      <w:r w:rsidRPr="00E150D8" w:rsidR="00CA45FF">
        <w:t xml:space="preserve"> to the manufacturer</w:t>
      </w:r>
      <w:r w:rsidR="0017065E">
        <w:t xml:space="preserve"> for service and labeling</w:t>
      </w:r>
      <w:r w:rsidR="00CA45FF">
        <w:t>.</w:t>
      </w:r>
    </w:p>
    <w:p w:rsidR="004243A1" w:rsidP="008910E5" w14:paraId="0C807FD6" w14:textId="77777777">
      <w:pPr>
        <w:tabs>
          <w:tab w:val="left" w:pos="1934"/>
        </w:tabs>
        <w:ind w:firstLine="720"/>
      </w:pPr>
      <w:r w:rsidRPr="00E150D8">
        <w:t xml:space="preserve">FCA </w:t>
      </w:r>
      <w:r w:rsidR="00A674DC">
        <w:t>also</w:t>
      </w:r>
      <w:r w:rsidRPr="00E150D8" w:rsidR="00E82E66">
        <w:t xml:space="preserve"> argues</w:t>
      </w:r>
      <w:r w:rsidRPr="00E150D8" w:rsidR="000C35DB">
        <w:t xml:space="preserve"> the labeling and </w:t>
      </w:r>
      <w:r w:rsidRPr="00E150D8" w:rsidR="00754506">
        <w:t>notification provision</w:t>
      </w:r>
      <w:r w:rsidR="00A674DC">
        <w:t>s</w:t>
      </w:r>
      <w:r w:rsidR="00813CF4">
        <w:t>,</w:t>
      </w:r>
      <w:r w:rsidRPr="00E150D8" w:rsidR="00754506">
        <w:t xml:space="preserve"> </w:t>
      </w:r>
      <w:r w:rsidRPr="00E150D8" w:rsidR="005322FF">
        <w:t>“contemplate</w:t>
      </w:r>
      <w:r w:rsidR="00A674DC">
        <w:t>[]</w:t>
      </w:r>
      <w:r w:rsidRPr="00E150D8" w:rsidR="005322FF">
        <w:t xml:space="preserve"> that, in exchange</w:t>
      </w:r>
      <w:r w:rsidRPr="00E150D8" w:rsidR="0067392C">
        <w:t xml:space="preserve"> [</w:t>
      </w:r>
      <w:r w:rsidRPr="00E150D8" w:rsidR="002430DB">
        <w:t>for the full restitution remedy</w:t>
      </w:r>
      <w:r w:rsidRPr="00E150D8" w:rsidR="0067392C">
        <w:t>]</w:t>
      </w:r>
      <w:r w:rsidRPr="00E150D8" w:rsidR="005322FF">
        <w:t>, the buyer will return the car to the manufacturer.</w:t>
      </w:r>
      <w:r w:rsidRPr="00E150D8" w:rsidR="00F15402">
        <w:t xml:space="preserve">  </w:t>
      </w:r>
      <w:r w:rsidRPr="00E150D8" w:rsidR="005322FF">
        <w:t>This is made clear by Section</w:t>
      </w:r>
      <w:r w:rsidRPr="00E150D8" w:rsidR="00661598">
        <w:t> </w:t>
      </w:r>
      <w:r w:rsidRPr="00E150D8" w:rsidR="005322FF">
        <w:t xml:space="preserve">1793.23, which states in four different places that a defective vehicle is </w:t>
      </w:r>
      <w:r w:rsidRPr="00E150D8" w:rsidR="00F15402">
        <w:t>‘</w:t>
      </w:r>
      <w:r w:rsidRPr="00E150D8" w:rsidR="005322FF">
        <w:t>accepted for restitution</w:t>
      </w:r>
      <w:r w:rsidRPr="00E150D8" w:rsidR="00F15402">
        <w:t>’</w:t>
      </w:r>
      <w:r w:rsidRPr="00E150D8" w:rsidR="005322FF">
        <w:t xml:space="preserve"> by the manufacturer.</w:t>
      </w:r>
      <w:r w:rsidRPr="00E150D8" w:rsidR="008A387D">
        <w:t>”</w:t>
      </w:r>
      <w:r w:rsidRPr="00E150D8" w:rsidR="001D701D">
        <w:t xml:space="preserve">  </w:t>
      </w:r>
      <w:r w:rsidR="00A0779F">
        <w:t xml:space="preserve">FCA instructs us to assume, however, that consumers who cannot return a vehicle are still entitled to statutory restitution under section 1793.2.  </w:t>
      </w:r>
      <w:r w:rsidRPr="00561A9C" w:rsidR="00A0779F">
        <w:t xml:space="preserve">Indeed, </w:t>
      </w:r>
      <w:r w:rsidRPr="00952F5F" w:rsidR="00A0779F">
        <w:t xml:space="preserve">FCA does not challenge </w:t>
      </w:r>
      <w:r w:rsidRPr="00952F5F" w:rsidR="00A0779F">
        <w:rPr>
          <w:i/>
          <w:iCs/>
        </w:rPr>
        <w:t>Martinez</w:t>
      </w:r>
      <w:r w:rsidRPr="00952F5F" w:rsidR="00A0779F">
        <w:t xml:space="preserve">’s holding that a plaintiff does not need to </w:t>
      </w:r>
      <w:r w:rsidR="00A0779F">
        <w:t>“</w:t>
      </w:r>
      <w:r w:rsidRPr="00952F5F" w:rsidR="00A0779F">
        <w:t>possess or own the vehicle at issue in order to obtain replacement or restitution pursuant to the Act.”  (</w:t>
      </w:r>
      <w:r w:rsidRPr="00952F5F" w:rsidR="00A0779F">
        <w:rPr>
          <w:i/>
          <w:iCs/>
        </w:rPr>
        <w:t>Martinez</w:t>
      </w:r>
      <w:r w:rsidRPr="00952F5F" w:rsidR="00A0779F">
        <w:t xml:space="preserve">, </w:t>
      </w:r>
      <w:r w:rsidRPr="00952F5F" w:rsidR="00A0779F">
        <w:rPr>
          <w:i/>
          <w:iCs/>
        </w:rPr>
        <w:t>supra</w:t>
      </w:r>
      <w:r w:rsidRPr="00952F5F" w:rsidR="00A0779F">
        <w:t>, 193</w:t>
      </w:r>
      <w:r w:rsidR="00A0779F">
        <w:t> </w:t>
      </w:r>
      <w:r w:rsidRPr="00952F5F" w:rsidR="00A0779F">
        <w:t xml:space="preserve">Cal.App.4th at p. 192.)  </w:t>
      </w:r>
      <w:r w:rsidR="007837B7">
        <w:t xml:space="preserve">Yet </w:t>
      </w:r>
      <w:r w:rsidRPr="007F34EF" w:rsidR="005A3118">
        <w:t>FCA</w:t>
      </w:r>
      <w:r w:rsidRPr="007F34EF" w:rsidR="00E82E66">
        <w:t xml:space="preserve"> reasons that </w:t>
      </w:r>
      <w:r w:rsidRPr="007F34EF" w:rsidR="005A3118">
        <w:t xml:space="preserve">in light of </w:t>
      </w:r>
      <w:r w:rsidR="007837B7">
        <w:t>section 1793.23</w:t>
      </w:r>
      <w:r w:rsidRPr="007F34EF" w:rsidR="00E82E66">
        <w:t xml:space="preserve">, in situations where </w:t>
      </w:r>
      <w:r w:rsidRPr="007F34EF" w:rsidR="00BE3E94">
        <w:t xml:space="preserve">a consumer </w:t>
      </w:r>
      <w:r w:rsidRPr="007F34EF" w:rsidR="00E82E66">
        <w:t>cannot return</w:t>
      </w:r>
      <w:r w:rsidRPr="007F34EF" w:rsidR="00BE3E94">
        <w:t xml:space="preserve"> the vehicle</w:t>
      </w:r>
      <w:r w:rsidRPr="007F34EF" w:rsidR="00E82E66">
        <w:t>,</w:t>
      </w:r>
      <w:r w:rsidRPr="00E150D8" w:rsidR="00E82E66">
        <w:t xml:space="preserve"> any value </w:t>
      </w:r>
      <w:r w:rsidRPr="00E150D8" w:rsidR="00BE3E94">
        <w:t xml:space="preserve">the </w:t>
      </w:r>
      <w:r w:rsidRPr="00E150D8" w:rsidR="00E82E66">
        <w:t>consumer received from a trade</w:t>
      </w:r>
      <w:r w:rsidR="0099499B">
        <w:t>-</w:t>
      </w:r>
      <w:r w:rsidRPr="00E150D8" w:rsidR="00E82E66">
        <w:t xml:space="preserve">in </w:t>
      </w:r>
      <w:r w:rsidR="00CA6271">
        <w:t xml:space="preserve">or sale </w:t>
      </w:r>
      <w:r w:rsidR="0053747B">
        <w:t xml:space="preserve">of the vehicle </w:t>
      </w:r>
      <w:r w:rsidRPr="00E150D8" w:rsidR="00E82E66">
        <w:t xml:space="preserve">must </w:t>
      </w:r>
      <w:r w:rsidR="007837B7">
        <w:t>non</w:t>
      </w:r>
      <w:r w:rsidR="005355FB">
        <w:t xml:space="preserve">etheless </w:t>
      </w:r>
      <w:r w:rsidRPr="00E150D8" w:rsidR="00E82E66">
        <w:t xml:space="preserve">reduce </w:t>
      </w:r>
      <w:r w:rsidR="00DF1969">
        <w:t>the consumer’s</w:t>
      </w:r>
      <w:r w:rsidRPr="00E150D8" w:rsidR="009832F6">
        <w:t xml:space="preserve"> </w:t>
      </w:r>
      <w:r w:rsidRPr="00E150D8" w:rsidR="00E82E66">
        <w:t>restitution</w:t>
      </w:r>
      <w:r w:rsidRPr="00E150D8" w:rsidR="00AE1DD1">
        <w:t xml:space="preserve"> award</w:t>
      </w:r>
      <w:r w:rsidRPr="00E150D8" w:rsidR="00E82E66">
        <w:t>.</w:t>
      </w:r>
    </w:p>
    <w:p w:rsidR="009A39DE" w:rsidP="008910E5" w14:paraId="0C807FD7" w14:textId="77777777">
      <w:pPr>
        <w:tabs>
          <w:tab w:val="left" w:pos="1934"/>
        </w:tabs>
        <w:ind w:firstLine="720"/>
      </w:pPr>
      <w:r>
        <w:t>T</w:t>
      </w:r>
      <w:r w:rsidR="00B97893">
        <w:t>he</w:t>
      </w:r>
      <w:r w:rsidR="00665C1C">
        <w:t xml:space="preserve"> “accepted for restitution” language </w:t>
      </w:r>
      <w:r w:rsidR="0023130A">
        <w:t>in the Act</w:t>
      </w:r>
      <w:r>
        <w:t>, however,</w:t>
      </w:r>
      <w:r w:rsidR="0023130A">
        <w:t xml:space="preserve"> </w:t>
      </w:r>
      <w:r w:rsidR="00B806FC">
        <w:t>is only present in the labeling and notification provisions</w:t>
      </w:r>
      <w:r w:rsidR="00A778CD">
        <w:t>.  (§</w:t>
      </w:r>
      <w:r w:rsidR="00815AAB">
        <w:t> </w:t>
      </w:r>
      <w:r w:rsidR="00A778CD">
        <w:t>1793.23</w:t>
      </w:r>
      <w:r w:rsidR="00925C44">
        <w:t>,</w:t>
      </w:r>
      <w:r w:rsidR="00FF0417">
        <w:t xml:space="preserve"> su</w:t>
      </w:r>
      <w:r w:rsidR="00925C44">
        <w:t>bds.</w:t>
      </w:r>
      <w:r w:rsidR="00D151E3">
        <w:t> </w:t>
      </w:r>
      <w:r w:rsidR="00925C44">
        <w:t>(c)</w:t>
      </w:r>
      <w:r w:rsidR="00B50121">
        <w:t xml:space="preserve">–(e).)  </w:t>
      </w:r>
      <w:r w:rsidR="00977694">
        <w:t>It</w:t>
      </w:r>
      <w:r w:rsidR="00CD2C47">
        <w:t xml:space="preserve"> is</w:t>
      </w:r>
      <w:r w:rsidRPr="00732026" w:rsidR="00732026">
        <w:t xml:space="preserve"> </w:t>
      </w:r>
      <w:r w:rsidR="00732026">
        <w:t>notably absent from both sections</w:t>
      </w:r>
      <w:r w:rsidR="00D151E3">
        <w:t> </w:t>
      </w:r>
      <w:r w:rsidR="00732026">
        <w:t xml:space="preserve">1794 and </w:t>
      </w:r>
      <w:r w:rsidR="0053747B">
        <w:t>1793.2, subdivision</w:t>
      </w:r>
      <w:r w:rsidR="00D151E3">
        <w:t> </w:t>
      </w:r>
      <w:r w:rsidR="0053747B">
        <w:t>(d)(2)</w:t>
      </w:r>
      <w:r w:rsidR="006A4B29">
        <w:t xml:space="preserve">.  </w:t>
      </w:r>
      <w:r w:rsidR="00B97613">
        <w:t>T</w:t>
      </w:r>
      <w:r w:rsidR="0063626B">
        <w:t xml:space="preserve">he labeling and notification provisions </w:t>
      </w:r>
      <w:r w:rsidR="00637D64">
        <w:t xml:space="preserve">identify what </w:t>
      </w:r>
      <w:r w:rsidR="00923E6B">
        <w:t>a manufacturer must do</w:t>
      </w:r>
      <w:r w:rsidR="00A828D9">
        <w:t xml:space="preserve"> </w:t>
      </w:r>
      <w:r w:rsidR="00B97613">
        <w:t xml:space="preserve">to comply with the Act </w:t>
      </w:r>
      <w:r w:rsidR="00923E6B">
        <w:t xml:space="preserve">when </w:t>
      </w:r>
      <w:r w:rsidR="00927839">
        <w:t>it reacquires a v</w:t>
      </w:r>
      <w:r w:rsidR="003372DD">
        <w:t>e</w:t>
      </w:r>
      <w:r w:rsidR="00927839">
        <w:t>hicle</w:t>
      </w:r>
      <w:r w:rsidR="00B57038">
        <w:t xml:space="preserve">.  </w:t>
      </w:r>
      <w:r w:rsidR="0053747B">
        <w:t>The provisions</w:t>
      </w:r>
      <w:r w:rsidR="00EF1F38">
        <w:t xml:space="preserve"> impose </w:t>
      </w:r>
      <w:r w:rsidR="009E6264">
        <w:t xml:space="preserve">no limits on the </w:t>
      </w:r>
      <w:r w:rsidR="004066E7">
        <w:t>remedies identified</w:t>
      </w:r>
      <w:r w:rsidR="00C30962">
        <w:t>, and concededly applicable,</w:t>
      </w:r>
      <w:r w:rsidR="004066E7">
        <w:t xml:space="preserve"> in sections 1794</w:t>
      </w:r>
      <w:r w:rsidR="00B070BD">
        <w:t xml:space="preserve"> and 1793.2, subdivision</w:t>
      </w:r>
      <w:r w:rsidR="0079471C">
        <w:t> </w:t>
      </w:r>
      <w:r w:rsidR="00B070BD">
        <w:t xml:space="preserve">(d)(2).  </w:t>
      </w:r>
      <w:r w:rsidR="000A077F">
        <w:t xml:space="preserve">Accordingly, this language </w:t>
      </w:r>
      <w:r w:rsidR="00D1356B">
        <w:t xml:space="preserve">does </w:t>
      </w:r>
      <w:r w:rsidR="00E1681F">
        <w:t xml:space="preserve">not require </w:t>
      </w:r>
      <w:r w:rsidR="008D5A2D">
        <w:t xml:space="preserve">a buyer’s restitution award to be reduced if </w:t>
      </w:r>
      <w:r w:rsidR="00D277DE">
        <w:t>the</w:t>
      </w:r>
      <w:r w:rsidR="00302F07">
        <w:t xml:space="preserve"> </w:t>
      </w:r>
      <w:r w:rsidR="008D5A2D">
        <w:t xml:space="preserve">buyer does not return </w:t>
      </w:r>
      <w:r w:rsidR="00302F07">
        <w:t xml:space="preserve">their defective </w:t>
      </w:r>
      <w:r w:rsidR="008D5A2D">
        <w:t>vehicle to the manufacturer.</w:t>
      </w:r>
    </w:p>
    <w:p w:rsidR="0095470B" w:rsidRPr="0095470B" w:rsidP="0095470B" w14:paraId="0C807FD8" w14:textId="77777777">
      <w:pPr>
        <w:tabs>
          <w:tab w:val="left" w:pos="720"/>
        </w:tabs>
      </w:pPr>
      <w:r>
        <w:tab/>
      </w:r>
      <w:r w:rsidRPr="00561A9C" w:rsidR="005C7AFF">
        <w:t xml:space="preserve">Ultimately, the labeling and </w:t>
      </w:r>
      <w:r w:rsidR="00E01C15">
        <w:t>notification</w:t>
      </w:r>
      <w:r w:rsidRPr="00561A9C" w:rsidR="00E01C15">
        <w:t xml:space="preserve"> </w:t>
      </w:r>
      <w:r w:rsidRPr="00561A9C" w:rsidR="005C7AFF">
        <w:t xml:space="preserve">provisions </w:t>
      </w:r>
      <w:r w:rsidR="00FC2599">
        <w:t>“</w:t>
      </w:r>
      <w:r w:rsidRPr="00561A9C" w:rsidR="005C7AFF">
        <w:t>are inapplicable in the situation where, as here, the manufacturer elects not to reacquire the vehicle and the buyer is forced to seek legal intervention.</w:t>
      </w:r>
      <w:r w:rsidR="00FC2599">
        <w:t>”</w:t>
      </w:r>
      <w:r w:rsidRPr="00561A9C" w:rsidR="005C7AFF">
        <w:t xml:space="preserve"> </w:t>
      </w:r>
      <w:r w:rsidR="00FC2599">
        <w:t xml:space="preserve"> </w:t>
      </w:r>
      <w:r w:rsidRPr="00561A9C" w:rsidR="005C7AFF">
        <w:t>(</w:t>
      </w:r>
      <w:r w:rsidRPr="00561A9C" w:rsidR="005C7AFF">
        <w:rPr>
          <w:i/>
          <w:iCs/>
        </w:rPr>
        <w:t>Williams</w:t>
      </w:r>
      <w:r w:rsidRPr="00561A9C" w:rsidR="005C7AFF">
        <w:t xml:space="preserve">, </w:t>
      </w:r>
      <w:r w:rsidRPr="00561A9C" w:rsidR="005C7AFF">
        <w:rPr>
          <w:i/>
          <w:iCs/>
        </w:rPr>
        <w:t>supra</w:t>
      </w:r>
      <w:r w:rsidRPr="00561A9C" w:rsidR="005C7AFF">
        <w:t>, 88</w:t>
      </w:r>
      <w:r w:rsidR="00FC2599">
        <w:t> </w:t>
      </w:r>
      <w:r w:rsidRPr="00561A9C" w:rsidR="005C7AFF">
        <w:t>Cal.App.5th at p.</w:t>
      </w:r>
      <w:r w:rsidR="00FC2599">
        <w:t> </w:t>
      </w:r>
      <w:r w:rsidRPr="00561A9C" w:rsidR="005C7AFF">
        <w:t>783.)</w:t>
      </w:r>
      <w:r w:rsidR="005C7AFF">
        <w:rPr>
          <w:rStyle w:val="cf01"/>
        </w:rPr>
        <w:t xml:space="preserve">  </w:t>
      </w:r>
      <w:r w:rsidRPr="00561A9C" w:rsidR="005C7AFF">
        <w:t>These provisions do not require a buyer to return a defective vehicle in order to receive restitution under the Act; they merely place a duty on the manufacturer or dealer to notify subsequent transferees that the car was reacquired due to a nonconformity.</w:t>
      </w:r>
      <w:r>
        <w:rPr>
          <w:rStyle w:val="FootnoteReference"/>
        </w:rPr>
        <w:footnoteReference w:id="11"/>
      </w:r>
      <w:r w:rsidRPr="00561A9C" w:rsidR="005C7AFF">
        <w:t xml:space="preserve">  </w:t>
      </w:r>
      <w:r w:rsidRPr="00952F5F" w:rsidR="00C62FDF">
        <w:t>Once restitution is available to a plaintiff</w:t>
      </w:r>
      <w:r w:rsidRPr="00952F5F" w:rsidR="00577877">
        <w:t xml:space="preserve"> as a remedy</w:t>
      </w:r>
      <w:r w:rsidRPr="00952F5F" w:rsidR="00C62FDF">
        <w:t xml:space="preserve">, </w:t>
      </w:r>
      <w:r w:rsidR="00C30962">
        <w:t xml:space="preserve">which FCA concedes is the case here, </w:t>
      </w:r>
      <w:r w:rsidRPr="00952F5F" w:rsidR="00577877">
        <w:t>the measure of</w:t>
      </w:r>
      <w:r w:rsidRPr="00952F5F" w:rsidR="004D0FC3">
        <w:t xml:space="preserve"> restitution is as</w:t>
      </w:r>
      <w:r w:rsidRPr="00952F5F" w:rsidR="00EA40C2">
        <w:t xml:space="preserve"> described in section</w:t>
      </w:r>
      <w:r w:rsidR="00D151E3">
        <w:t> </w:t>
      </w:r>
      <w:r w:rsidRPr="00952F5F" w:rsidR="00EA40C2">
        <w:t>1793.2, subdivision</w:t>
      </w:r>
      <w:r w:rsidR="00D151E3">
        <w:t> </w:t>
      </w:r>
      <w:r w:rsidRPr="00952F5F" w:rsidR="00EA40C2">
        <w:t>(d)(2), with no</w:t>
      </w:r>
      <w:r w:rsidRPr="00952F5F" w:rsidR="00E80BC7">
        <w:t xml:space="preserve"> reductions other than </w:t>
      </w:r>
      <w:r w:rsidRPr="00952F5F" w:rsidR="009F4E7F">
        <w:t>those expressly stated in that subdivision.</w:t>
      </w:r>
    </w:p>
    <w:p w:rsidR="00E74381" w:rsidRPr="00E150D8" w:rsidP="00CA5D6E" w14:paraId="0C807FD9" w14:textId="77777777">
      <w:pPr>
        <w:pStyle w:val="Heading2"/>
        <w:spacing w:before="0" w:line="400" w:lineRule="exact"/>
      </w:pPr>
      <w:bookmarkStart w:id="15" w:name="_Hlk155267101"/>
      <w:r w:rsidRPr="00E150D8">
        <w:t>D.</w:t>
      </w:r>
      <w:r w:rsidRPr="00E150D8">
        <w:tab/>
      </w:r>
      <w:r w:rsidR="00DD6546">
        <w:t xml:space="preserve">Additional </w:t>
      </w:r>
      <w:r w:rsidRPr="00E150D8" w:rsidR="00AA2316">
        <w:t xml:space="preserve">Public </w:t>
      </w:r>
      <w:r w:rsidRPr="00E150D8">
        <w:t xml:space="preserve">Policy </w:t>
      </w:r>
      <w:r w:rsidRPr="00E150D8" w:rsidR="00835A31">
        <w:t>Considerations</w:t>
      </w:r>
      <w:r w:rsidR="001B425E">
        <w:t xml:space="preserve"> Support Not Reducing a Restitution Award </w:t>
      </w:r>
      <w:r w:rsidR="00E3585E">
        <w:t>b</w:t>
      </w:r>
      <w:r w:rsidR="001B425E">
        <w:t xml:space="preserve">y </w:t>
      </w:r>
      <w:r w:rsidR="00BA1C8B">
        <w:t>a Trade-</w:t>
      </w:r>
      <w:r w:rsidR="00BC6875">
        <w:t>i</w:t>
      </w:r>
      <w:r w:rsidR="00BA1C8B">
        <w:t xml:space="preserve">n Credit or Sale </w:t>
      </w:r>
      <w:r w:rsidR="00740D36">
        <w:t>P</w:t>
      </w:r>
      <w:r w:rsidR="00BA1C8B">
        <w:t>roceeds</w:t>
      </w:r>
    </w:p>
    <w:p w:rsidR="005A0061" w:rsidRPr="00E150D8" w:rsidP="008910E5" w14:paraId="0C807FDA" w14:textId="77777777">
      <w:pPr>
        <w:tabs>
          <w:tab w:val="left" w:pos="720"/>
        </w:tabs>
      </w:pPr>
      <w:r w:rsidRPr="00E150D8">
        <w:tab/>
      </w:r>
      <w:r w:rsidRPr="00E150D8" w:rsidR="00140BBF">
        <w:t xml:space="preserve">There are a number of </w:t>
      </w:r>
      <w:r w:rsidR="00B85F37">
        <w:t xml:space="preserve">additional </w:t>
      </w:r>
      <w:r w:rsidRPr="00E150D8" w:rsidR="00140BBF">
        <w:t>public policy reasons t</w:t>
      </w:r>
      <w:r w:rsidR="004D7C18">
        <w:t xml:space="preserve">o conclude </w:t>
      </w:r>
      <w:r w:rsidRPr="00E150D8" w:rsidR="004D0E1B">
        <w:t xml:space="preserve">the </w:t>
      </w:r>
      <w:r w:rsidRPr="00E150D8" w:rsidR="00594B48">
        <w:t xml:space="preserve">statutory </w:t>
      </w:r>
      <w:r w:rsidRPr="00E150D8" w:rsidR="003A2652">
        <w:t xml:space="preserve">restitution remedy </w:t>
      </w:r>
      <w:r w:rsidR="0099499B">
        <w:t xml:space="preserve">does </w:t>
      </w:r>
      <w:r w:rsidRPr="00E150D8" w:rsidR="0082580D">
        <w:t xml:space="preserve">not permit </w:t>
      </w:r>
      <w:r w:rsidRPr="00E150D8" w:rsidR="00784E66">
        <w:t xml:space="preserve">a reduction </w:t>
      </w:r>
      <w:r w:rsidRPr="00E150D8" w:rsidR="0082580D">
        <w:t xml:space="preserve">for </w:t>
      </w:r>
      <w:r w:rsidR="00B81003">
        <w:t xml:space="preserve">a </w:t>
      </w:r>
      <w:r w:rsidRPr="00E150D8" w:rsidR="00E3260A">
        <w:t>trade-in credit</w:t>
      </w:r>
      <w:r w:rsidR="0099499B">
        <w:t xml:space="preserve"> or sale proceeds</w:t>
      </w:r>
      <w:r w:rsidRPr="00E150D8" w:rsidR="00E3260A">
        <w:t>.</w:t>
      </w:r>
    </w:p>
    <w:p w:rsidR="00FF7E58" w:rsidRPr="00E150D8" w:rsidP="008910E5" w14:paraId="0C807FDB" w14:textId="77777777">
      <w:pPr>
        <w:tabs>
          <w:tab w:val="left" w:pos="720"/>
        </w:tabs>
      </w:pPr>
      <w:r w:rsidRPr="00E150D8">
        <w:tab/>
      </w:r>
      <w:r w:rsidRPr="00E150D8" w:rsidR="00432BE6">
        <w:t>First, t</w:t>
      </w:r>
      <w:r w:rsidRPr="00E150D8" w:rsidR="001A70E6">
        <w:t xml:space="preserve">he </w:t>
      </w:r>
      <w:r w:rsidRPr="00E150D8" w:rsidR="00AA637C">
        <w:t>Court of Appeal’s (and FCA’s)</w:t>
      </w:r>
      <w:r w:rsidRPr="00E150D8" w:rsidR="001A70E6">
        <w:t xml:space="preserve"> </w:t>
      </w:r>
      <w:r w:rsidRPr="00E150D8" w:rsidR="00174F85">
        <w:t xml:space="preserve">interpretation </w:t>
      </w:r>
      <w:r w:rsidRPr="00561A9C">
        <w:t>would incentivize manufacturers to drag out the process of offering restitution in hopes of paying reduced damages.</w:t>
      </w:r>
      <w:r w:rsidR="004D7C18">
        <w:t xml:space="preserve">  </w:t>
      </w:r>
      <w:r w:rsidRPr="00561A9C">
        <w:t xml:space="preserve">Specifically, manufacturers would be encouraged to </w:t>
      </w:r>
      <w:r w:rsidR="004D7C18">
        <w:t xml:space="preserve">wait for </w:t>
      </w:r>
      <w:r w:rsidRPr="00561A9C">
        <w:t xml:space="preserve">consumers </w:t>
      </w:r>
      <w:r w:rsidR="004D7C18">
        <w:t xml:space="preserve">to </w:t>
      </w:r>
      <w:r w:rsidRPr="00561A9C">
        <w:t>become fed up with delays and give up and sell or trade in the</w:t>
      </w:r>
      <w:r w:rsidR="004D7C18">
        <w:t>ir</w:t>
      </w:r>
      <w:r w:rsidRPr="00561A9C">
        <w:t xml:space="preserve"> defective (if not dangerous) vehicles, at which point the manufacturers could request that the consumers’ damages be reduced accordingly.</w:t>
      </w:r>
      <w:r w:rsidR="004D7C18">
        <w:t xml:space="preserve">  </w:t>
      </w:r>
      <w:r w:rsidRPr="004D7C18" w:rsidR="004D7C18">
        <w:t>If the statutory restitution remedy can be reduced by a trade-in credit or sale pro</w:t>
      </w:r>
      <w:r w:rsidR="009B5441">
        <w:t>ceeds</w:t>
      </w:r>
      <w:r w:rsidRPr="004D7C18" w:rsidR="004D7C18">
        <w:t>, manufacturers will be relieved of the obligation to pay the full restitution amount required by statute.  Such a rule would encourage “the manufacturer’s unforthright approach and stonewalling of fundamental warranty problems.”  (</w:t>
      </w:r>
      <w:r w:rsidRPr="004D7C18" w:rsidR="004D7C18">
        <w:rPr>
          <w:i/>
          <w:iCs/>
        </w:rPr>
        <w:t>Krotin</w:t>
      </w:r>
      <w:r w:rsidRPr="004D7C18" w:rsidR="004D7C18">
        <w:t xml:space="preserve">, </w:t>
      </w:r>
      <w:r w:rsidRPr="004D7C18" w:rsidR="004D7C18">
        <w:rPr>
          <w:i/>
          <w:iCs/>
        </w:rPr>
        <w:t>supra</w:t>
      </w:r>
      <w:r w:rsidRPr="004D7C18" w:rsidR="004D7C18">
        <w:t>, 38 Cal.App.4th at p. 303.)</w:t>
      </w:r>
      <w:r>
        <w:rPr>
          <w:rStyle w:val="FootnoteReference"/>
        </w:rPr>
        <w:footnoteReference w:id="12"/>
      </w:r>
      <w:r w:rsidRPr="003B52C3">
        <w:t xml:space="preserve">  </w:t>
      </w:r>
    </w:p>
    <w:p w:rsidR="00C07AE5" w:rsidP="008910E5" w14:paraId="0C807FDC" w14:textId="77777777">
      <w:pPr>
        <w:tabs>
          <w:tab w:val="left" w:pos="720"/>
        </w:tabs>
      </w:pPr>
      <w:r>
        <w:tab/>
      </w:r>
      <w:r w:rsidR="00A45BE6">
        <w:t xml:space="preserve">Similarly, </w:t>
      </w:r>
      <w:r>
        <w:t xml:space="preserve">allowing a reduction to the statutory restitution remedy in actions pursuant to section 1794 </w:t>
      </w:r>
      <w:r w:rsidRPr="00E150D8" w:rsidR="00174F85">
        <w:t xml:space="preserve">would </w:t>
      </w:r>
      <w:r w:rsidRPr="00E150D8" w:rsidR="002E11DB">
        <w:t>reward manufacturer</w:t>
      </w:r>
      <w:r>
        <w:t>s</w:t>
      </w:r>
      <w:r w:rsidRPr="00E150D8" w:rsidR="002E11DB">
        <w:t xml:space="preserve"> for delay</w:t>
      </w:r>
      <w:r>
        <w:t>ing</w:t>
      </w:r>
      <w:r w:rsidRPr="00E150D8" w:rsidR="002E11DB">
        <w:t xml:space="preserve"> refund</w:t>
      </w:r>
      <w:r>
        <w:t>s</w:t>
      </w:r>
      <w:r w:rsidRPr="00E150D8" w:rsidR="002E11DB">
        <w:t xml:space="preserve"> when the manufacturer “ha[s] complete control over the length of that delay, and an affirmative statutory duty to replace or refund promptly.”  (</w:t>
      </w:r>
      <w:r w:rsidRPr="00E150D8" w:rsidR="002E11DB">
        <w:rPr>
          <w:i/>
          <w:iCs/>
        </w:rPr>
        <w:t>Jiagbogu</w:t>
      </w:r>
      <w:r w:rsidRPr="00E150D8" w:rsidR="002E11DB">
        <w:t xml:space="preserve">, </w:t>
      </w:r>
      <w:r w:rsidRPr="00E150D8" w:rsidR="002E11DB">
        <w:rPr>
          <w:i/>
          <w:iCs/>
        </w:rPr>
        <w:t>supra</w:t>
      </w:r>
      <w:r w:rsidRPr="00E150D8" w:rsidR="002E11DB">
        <w:t xml:space="preserve">, </w:t>
      </w:r>
      <w:r w:rsidRPr="00E150D8" w:rsidR="001618B8">
        <w:t xml:space="preserve">118 Cal.App.4th </w:t>
      </w:r>
      <w:r w:rsidRPr="00E150D8" w:rsidR="002E11DB">
        <w:t>at p.</w:t>
      </w:r>
      <w:r w:rsidRPr="00E150D8" w:rsidR="00CF4E8A">
        <w:t> </w:t>
      </w:r>
      <w:r w:rsidRPr="00E150D8" w:rsidR="002E11DB">
        <w:t>1244</w:t>
      </w:r>
      <w:r w:rsidRPr="00E150D8" w:rsidR="00DC7755">
        <w:t xml:space="preserve">; </w:t>
      </w:r>
      <w:r w:rsidRPr="00E150D8" w:rsidR="00DC7755">
        <w:rPr>
          <w:i/>
          <w:iCs/>
        </w:rPr>
        <w:t>Williams</w:t>
      </w:r>
      <w:r w:rsidRPr="00E150D8" w:rsidR="00DC7755">
        <w:t xml:space="preserve">, </w:t>
      </w:r>
      <w:r w:rsidRPr="00E150D8" w:rsidR="00DC7755">
        <w:rPr>
          <w:i/>
          <w:iCs/>
        </w:rPr>
        <w:t>supra</w:t>
      </w:r>
      <w:r w:rsidRPr="00E150D8" w:rsidR="00DC7755">
        <w:t xml:space="preserve">, </w:t>
      </w:r>
      <w:r w:rsidRPr="00E150D8" w:rsidR="00DA0B51">
        <w:t>88</w:t>
      </w:r>
      <w:r w:rsidRPr="00E150D8" w:rsidR="00CF4E8A">
        <w:t> </w:t>
      </w:r>
      <w:r w:rsidRPr="00E150D8" w:rsidR="00DC7755">
        <w:t xml:space="preserve">Cal.App.5th </w:t>
      </w:r>
      <w:r w:rsidRPr="00E150D8" w:rsidR="00CF4E8A">
        <w:t>at p.</w:t>
      </w:r>
      <w:r w:rsidRPr="00E150D8" w:rsidR="0029192C">
        <w:t> </w:t>
      </w:r>
      <w:r w:rsidRPr="00E150D8" w:rsidR="00DA0B51">
        <w:t>785</w:t>
      </w:r>
      <w:r w:rsidRPr="00E150D8" w:rsidR="00DC7755">
        <w:t xml:space="preserve"> [manufacturer’s interpretation “would, in essence, reward manufacturer for declining or not offering to reacquire the vehicle”]</w:t>
      </w:r>
      <w:r w:rsidRPr="00E150D8" w:rsidR="002E11DB">
        <w:t xml:space="preserve">.)  </w:t>
      </w:r>
      <w:r w:rsidRPr="00E150D8" w:rsidR="002F0C2B">
        <w:t xml:space="preserve">If a manufacturer fails to comply with the Act, a buyer may spend </w:t>
      </w:r>
      <w:r w:rsidRPr="00E150D8" w:rsidR="00D37DBB">
        <w:t>months or years purs</w:t>
      </w:r>
      <w:r w:rsidR="0041454B">
        <w:t>u</w:t>
      </w:r>
      <w:r w:rsidRPr="00E150D8" w:rsidR="00D37DBB">
        <w:t xml:space="preserve">ing futile repair attempts and </w:t>
      </w:r>
      <w:r w:rsidRPr="00E150D8" w:rsidR="002F0C2B">
        <w:t>years in litigation pursuing</w:t>
      </w:r>
      <w:r w:rsidRPr="00E150D8" w:rsidR="00D37DBB">
        <w:t xml:space="preserve"> </w:t>
      </w:r>
      <w:r w:rsidRPr="00E150D8" w:rsidR="002F0C2B">
        <w:t>remedies</w:t>
      </w:r>
      <w:r w:rsidRPr="00E150D8" w:rsidR="00D8222E">
        <w:t xml:space="preserve">.  Any delay in </w:t>
      </w:r>
      <w:r w:rsidRPr="00E150D8" w:rsidR="00CB1634">
        <w:t xml:space="preserve">paying </w:t>
      </w:r>
      <w:r w:rsidRPr="00E150D8" w:rsidR="00D8222E">
        <w:t xml:space="preserve">restitution increases the likelihood that a buyer will be forced to trade in </w:t>
      </w:r>
      <w:r w:rsidR="004961FE">
        <w:t xml:space="preserve">or resell </w:t>
      </w:r>
      <w:r w:rsidRPr="00E150D8" w:rsidR="00D8222E">
        <w:t>the defective vehicle or relinquish the vehicle to a lienholder, relieving manufacturers of the obligation to label the vehicles lemons.</w:t>
      </w:r>
    </w:p>
    <w:p w:rsidR="00095B65" w:rsidRPr="00E150D8" w:rsidP="008910E5" w14:paraId="0C807FDD" w14:textId="77777777">
      <w:pPr>
        <w:tabs>
          <w:tab w:val="left" w:pos="720"/>
        </w:tabs>
      </w:pPr>
      <w:r>
        <w:tab/>
      </w:r>
      <w:r w:rsidRPr="00C07AE5">
        <w:t>FCA contends that reducing the restitution remedy by the amount of a trade-in credit or sale will not encourage delay</w:t>
      </w:r>
      <w:r w:rsidR="006B4758">
        <w:t>.</w:t>
      </w:r>
      <w:r w:rsidR="00CC4EA8">
        <w:t xml:space="preserve"> </w:t>
      </w:r>
      <w:r w:rsidR="006B4758">
        <w:t xml:space="preserve"> According to FCA, </w:t>
      </w:r>
      <w:r w:rsidRPr="00C07AE5">
        <w:t xml:space="preserve">there is no economic difference from the manufacturer’s perspective between a scenario in which a buyer returns the car to the manufacturer and the manufacturer is liable for the purchase price of the vehicle, and a scenario in which a buyer sells or trades in a car to a third party and the manufacturer pays the buyer reduced damages.  This argument is not well taken.  FCA ignores that manufacturers independently benefit from delays </w:t>
      </w:r>
      <w:r w:rsidR="00A72F4B">
        <w:t>that cause</w:t>
      </w:r>
      <w:r w:rsidRPr="00C07AE5">
        <w:t xml:space="preserve"> buyers </w:t>
      </w:r>
      <w:r w:rsidR="00A72F4B">
        <w:t xml:space="preserve">to </w:t>
      </w:r>
      <w:r w:rsidRPr="00C07AE5">
        <w:t>trad</w:t>
      </w:r>
      <w:r w:rsidR="00A72F4B">
        <w:t>e</w:t>
      </w:r>
      <w:r w:rsidRPr="00C07AE5">
        <w:t xml:space="preserve"> in or sel</w:t>
      </w:r>
      <w:r w:rsidR="00A72F4B">
        <w:t>l</w:t>
      </w:r>
      <w:r w:rsidRPr="00C07AE5">
        <w:t xml:space="preserve"> defective vehicle</w:t>
      </w:r>
      <w:r w:rsidR="00C318AD">
        <w:t>s</w:t>
      </w:r>
      <w:r w:rsidRPr="00C07AE5">
        <w:t xml:space="preserve"> because manufacturers are relieved of the burden of complying with the Act’s labeling and notification requirements.  Not only that, incidental damages cease accruing when buyers trade in or sell defective vehicle</w:t>
      </w:r>
      <w:r w:rsidR="00C318AD">
        <w:t>s</w:t>
      </w:r>
      <w:r w:rsidRPr="00C07AE5">
        <w:t>, further reducing the amount manufacturers have to pay in damages.  FCA’s interpretation would result in significant incentives for delay.</w:t>
      </w:r>
      <w:r w:rsidR="003E48B1">
        <w:t xml:space="preserve"> </w:t>
      </w:r>
      <w:r w:rsidRPr="00C07AE5">
        <w:t xml:space="preserve"> Encouraging manufacturer delays </w:t>
      </w:r>
      <w:r>
        <w:t xml:space="preserve">would </w:t>
      </w:r>
      <w:r w:rsidRPr="00C07AE5">
        <w:t>undermine the prompt restitution obligation imposed on manufacturers under the Act and contravene the Act’s pro-consumer purpose.  “Interpretations that would significantly vitiate a manufacturer’s incentive to comply with the Act should be avoided.”  (</w:t>
      </w:r>
      <w:r w:rsidRPr="00C07AE5">
        <w:rPr>
          <w:i/>
          <w:iCs/>
        </w:rPr>
        <w:t>Jiagbogu</w:t>
      </w:r>
      <w:r w:rsidRPr="00C07AE5">
        <w:t xml:space="preserve">, </w:t>
      </w:r>
      <w:r w:rsidRPr="00C07AE5">
        <w:rPr>
          <w:i/>
          <w:iCs/>
        </w:rPr>
        <w:t>supra</w:t>
      </w:r>
      <w:r w:rsidRPr="00C07AE5">
        <w:t xml:space="preserve">, 118 Cal.App.4th at p. 1244; see also </w:t>
      </w:r>
      <w:r w:rsidRPr="00C07AE5">
        <w:rPr>
          <w:i/>
          <w:iCs/>
        </w:rPr>
        <w:t>Kwan</w:t>
      </w:r>
      <w:r w:rsidRPr="00C07AE5">
        <w:t xml:space="preserve">, </w:t>
      </w:r>
      <w:r w:rsidRPr="00C07AE5">
        <w:rPr>
          <w:i/>
          <w:iCs/>
        </w:rPr>
        <w:t>supra</w:t>
      </w:r>
      <w:r w:rsidRPr="00C07AE5">
        <w:t>, 23 Cal.App.4th at p. 184.)</w:t>
      </w:r>
    </w:p>
    <w:p w:rsidR="00DD38CF" w:rsidRPr="00E150D8" w:rsidP="008910E5" w14:paraId="0C807FDE" w14:textId="77777777">
      <w:pPr>
        <w:tabs>
          <w:tab w:val="left" w:pos="1440"/>
        </w:tabs>
        <w:ind w:firstLine="720"/>
      </w:pPr>
      <w:r w:rsidRPr="00E150D8">
        <w:t xml:space="preserve">The Court of Appeal was unpersuaded by the argument that a buyer trading in a defective vehicle </w:t>
      </w:r>
      <w:r w:rsidRPr="00E150D8" w:rsidR="00890417">
        <w:t>bears</w:t>
      </w:r>
      <w:r w:rsidRPr="00E150D8">
        <w:t xml:space="preserve"> all or part of the cost of the manufacturer’s delay</w:t>
      </w:r>
      <w:r w:rsidRPr="00E150D8" w:rsidR="006074B1">
        <w:t xml:space="preserve">, </w:t>
      </w:r>
      <w:r w:rsidRPr="00E150D8" w:rsidR="00BD375A">
        <w:t xml:space="preserve">and observed that </w:t>
      </w:r>
      <w:r w:rsidRPr="00E150D8">
        <w:t>Niedermeier “can recover the full purchase price through a combination of the trade-in and restitution from defendant.”  (</w:t>
      </w:r>
      <w:r w:rsidRPr="00E150D8">
        <w:rPr>
          <w:i/>
          <w:iCs/>
        </w:rPr>
        <w:t>Niedermeier</w:t>
      </w:r>
      <w:r w:rsidRPr="00E150D8">
        <w:t xml:space="preserve">, </w:t>
      </w:r>
      <w:r w:rsidRPr="00E150D8">
        <w:rPr>
          <w:i/>
          <w:iCs/>
        </w:rPr>
        <w:t>supra</w:t>
      </w:r>
      <w:r w:rsidRPr="00E150D8">
        <w:t>, 56</w:t>
      </w:r>
      <w:r w:rsidRPr="00E150D8" w:rsidR="0029192C">
        <w:t> </w:t>
      </w:r>
      <w:r w:rsidRPr="00E150D8">
        <w:t>Cal.App.5th at p.</w:t>
      </w:r>
      <w:r w:rsidRPr="00E150D8" w:rsidR="0029192C">
        <w:t> </w:t>
      </w:r>
      <w:r w:rsidRPr="00E150D8">
        <w:t xml:space="preserve">1073.)  The Court of Appeal </w:t>
      </w:r>
      <w:r w:rsidRPr="00E150D8" w:rsidR="008F704E">
        <w:t>fails</w:t>
      </w:r>
      <w:r w:rsidRPr="00E150D8">
        <w:t xml:space="preserve"> to account for the fact that buyers are always forced to bear a burden when </w:t>
      </w:r>
      <w:r w:rsidR="00BA5F41">
        <w:t>a</w:t>
      </w:r>
      <w:r w:rsidRPr="00E150D8">
        <w:t xml:space="preserve"> manufacturer delays in promptly reimbursing or exchanging a vehicle.</w:t>
      </w:r>
      <w:r w:rsidRPr="00E150D8" w:rsidR="00E550FD">
        <w:t xml:space="preserve">  These burdens may include </w:t>
      </w:r>
      <w:r w:rsidR="00BA5F41">
        <w:t xml:space="preserve">considerable </w:t>
      </w:r>
      <w:r w:rsidRPr="00E150D8" w:rsidR="00E550FD">
        <w:t>stress and time diverted from work, school, family</w:t>
      </w:r>
      <w:r w:rsidRPr="00E150D8" w:rsidR="00DB661F">
        <w:t>,</w:t>
      </w:r>
      <w:r w:rsidRPr="00E150D8" w:rsidR="00E550FD">
        <w:t xml:space="preserve"> or leisure activities while attempting to repair or return a defective vehicle.</w:t>
      </w:r>
      <w:r w:rsidRPr="00E150D8">
        <w:t xml:space="preserve">  </w:t>
      </w:r>
      <w:r w:rsidRPr="00E150D8" w:rsidR="006074B1">
        <w:t xml:space="preserve">At a minimum, a manufacturer’s failure to promptly reimburse </w:t>
      </w:r>
      <w:r w:rsidR="00901193">
        <w:t xml:space="preserve">a </w:t>
      </w:r>
      <w:r w:rsidRPr="00E150D8" w:rsidR="006074B1">
        <w:t xml:space="preserve">buyer imposes a financial burden </w:t>
      </w:r>
      <w:r w:rsidRPr="00E150D8" w:rsidR="00B10EC8">
        <w:t>on</w:t>
      </w:r>
      <w:r w:rsidRPr="00E150D8" w:rsidR="006074B1">
        <w:t xml:space="preserve"> </w:t>
      </w:r>
      <w:r w:rsidR="00901193">
        <w:t xml:space="preserve">the </w:t>
      </w:r>
      <w:r w:rsidRPr="00E150D8" w:rsidR="006074B1">
        <w:t>buyer</w:t>
      </w:r>
      <w:r w:rsidRPr="00E150D8" w:rsidR="00BE5046">
        <w:t>,</w:t>
      </w:r>
      <w:r w:rsidRPr="00E150D8" w:rsidR="00B10EC8">
        <w:t xml:space="preserve"> who</w:t>
      </w:r>
      <w:r w:rsidRPr="00E150D8" w:rsidR="006074B1">
        <w:t xml:space="preserve"> must continue to shoulder payments for </w:t>
      </w:r>
      <w:r w:rsidR="00482011">
        <w:t xml:space="preserve">a </w:t>
      </w:r>
      <w:r w:rsidRPr="00E150D8" w:rsidR="00F71A86">
        <w:t xml:space="preserve">defective </w:t>
      </w:r>
      <w:r w:rsidRPr="00E150D8" w:rsidR="006074B1">
        <w:t>vehicle and</w:t>
      </w:r>
      <w:r w:rsidR="00B1747D">
        <w:t> </w:t>
      </w:r>
      <w:r w:rsidRPr="00E150D8" w:rsidR="006074B1">
        <w:t>—</w:t>
      </w:r>
      <w:r w:rsidR="00BE1977">
        <w:t xml:space="preserve"> </w:t>
      </w:r>
      <w:r w:rsidRPr="00E150D8" w:rsidR="006074B1">
        <w:t xml:space="preserve">if </w:t>
      </w:r>
      <w:r w:rsidR="00901193">
        <w:t xml:space="preserve">the </w:t>
      </w:r>
      <w:r w:rsidRPr="00E150D8" w:rsidR="006074B1">
        <w:t>buyer can afford it</w:t>
      </w:r>
      <w:r w:rsidRPr="00E150D8" w:rsidR="00B4428E">
        <w:t> </w:t>
      </w:r>
      <w:r w:rsidRPr="00E150D8" w:rsidR="006074B1">
        <w:t>—</w:t>
      </w:r>
      <w:r w:rsidR="00BE1977">
        <w:t xml:space="preserve"> </w:t>
      </w:r>
      <w:r w:rsidRPr="00E150D8" w:rsidR="006074B1">
        <w:t>pay out of pocket for a new vehicle.  This</w:t>
      </w:r>
      <w:r w:rsidR="00C07AE5">
        <w:t>,</w:t>
      </w:r>
      <w:r w:rsidRPr="00E150D8" w:rsidR="006074B1">
        <w:t xml:space="preserve"> by itself</w:t>
      </w:r>
      <w:r w:rsidR="00C07AE5">
        <w:t>,</w:t>
      </w:r>
      <w:r w:rsidRPr="00E150D8" w:rsidR="006074B1">
        <w:t xml:space="preserve"> is inconsistent with the pro-consumer purpose of the Act.  If buyer</w:t>
      </w:r>
      <w:r w:rsidRPr="00E150D8" w:rsidR="00B50CA1">
        <w:t>s</w:t>
      </w:r>
      <w:r w:rsidRPr="00E150D8" w:rsidR="006074B1">
        <w:t xml:space="preserve"> cannot afford </w:t>
      </w:r>
      <w:r w:rsidR="00B85F37">
        <w:t>to buy a replacement vehicle</w:t>
      </w:r>
      <w:r w:rsidRPr="00E150D8" w:rsidR="006074B1">
        <w:t xml:space="preserve">, </w:t>
      </w:r>
      <w:r w:rsidRPr="00E150D8" w:rsidR="00446E96">
        <w:t>they</w:t>
      </w:r>
      <w:r w:rsidRPr="00E150D8" w:rsidR="006074B1">
        <w:t xml:space="preserve"> may </w:t>
      </w:r>
      <w:r w:rsidR="00C07AE5">
        <w:t>have no choice but to</w:t>
      </w:r>
      <w:r w:rsidRPr="00E150D8" w:rsidR="006074B1">
        <w:t xml:space="preserve"> continu</w:t>
      </w:r>
      <w:r w:rsidR="00C07AE5">
        <w:t>e</w:t>
      </w:r>
      <w:r w:rsidRPr="00E150D8" w:rsidR="006074B1">
        <w:t xml:space="preserve"> driv</w:t>
      </w:r>
      <w:r w:rsidR="00C07AE5">
        <w:t>ing</w:t>
      </w:r>
      <w:r w:rsidRPr="00E150D8" w:rsidR="006074B1">
        <w:t xml:space="preserve"> </w:t>
      </w:r>
      <w:r w:rsidR="00C07AE5">
        <w:t>a</w:t>
      </w:r>
      <w:r w:rsidRPr="00E150D8" w:rsidR="006074B1">
        <w:t xml:space="preserve"> defective </w:t>
      </w:r>
      <w:r w:rsidR="00453CE1">
        <w:t xml:space="preserve">or dangerous </w:t>
      </w:r>
      <w:r w:rsidRPr="00E150D8" w:rsidR="006074B1">
        <w:t xml:space="preserve">vehicle.  </w:t>
      </w:r>
      <w:r w:rsidRPr="00E150D8" w:rsidR="002E11DB">
        <w:t>Forcing consumer</w:t>
      </w:r>
      <w:r w:rsidRPr="00E150D8" w:rsidR="00243696">
        <w:t>s</w:t>
      </w:r>
      <w:r w:rsidRPr="00E150D8" w:rsidR="002E11DB">
        <w:t xml:space="preserve"> to engage in self-help in order to avoid the ongoing impact of a manufacturer’s delay is not what the Legislature intended.</w:t>
      </w:r>
    </w:p>
    <w:p w:rsidR="00CD0236" w:rsidRPr="00E150D8" w:rsidP="008910E5" w14:paraId="0C807FDF" w14:textId="77777777">
      <w:pPr>
        <w:tabs>
          <w:tab w:val="left" w:pos="1440"/>
        </w:tabs>
        <w:ind w:firstLine="720"/>
      </w:pPr>
      <w:r>
        <w:t>T</w:t>
      </w:r>
      <w:r w:rsidRPr="00E150D8" w:rsidR="00366B85">
        <w:t xml:space="preserve">he Court of Appeal’s interpretation </w:t>
      </w:r>
      <w:r w:rsidRPr="00E150D8" w:rsidR="00646E0A">
        <w:t xml:space="preserve">of “actual price paid or payable” as not including </w:t>
      </w:r>
      <w:r w:rsidRPr="00E150D8" w:rsidR="00170987">
        <w:t xml:space="preserve">trade-in </w:t>
      </w:r>
      <w:r w:rsidR="007147A4">
        <w:t xml:space="preserve">or sale </w:t>
      </w:r>
      <w:r w:rsidRPr="00E150D8" w:rsidR="00170987">
        <w:t xml:space="preserve">amounts </w:t>
      </w:r>
      <w:r w:rsidRPr="00E150D8" w:rsidR="00610322">
        <w:t xml:space="preserve">could </w:t>
      </w:r>
      <w:r w:rsidRPr="0093315E" w:rsidR="00883853">
        <w:t>also</w:t>
      </w:r>
      <w:r w:rsidR="0093315E">
        <w:t xml:space="preserve"> </w:t>
      </w:r>
      <w:r w:rsidRPr="00E150D8" w:rsidR="00610322">
        <w:t xml:space="preserve">compel buyers to choose </w:t>
      </w:r>
      <w:r w:rsidRPr="00E150D8" w:rsidR="0044326D">
        <w:t>replacement</w:t>
      </w:r>
      <w:r w:rsidRPr="00E150D8" w:rsidR="00610322">
        <w:t xml:space="preserve"> over restitution.  </w:t>
      </w:r>
      <w:r w:rsidRPr="00E150D8" w:rsidR="00490458">
        <w:t xml:space="preserve">Faced with the </w:t>
      </w:r>
      <w:r w:rsidRPr="00E150D8" w:rsidR="0044326D">
        <w:t xml:space="preserve">choice </w:t>
      </w:r>
      <w:r w:rsidRPr="00E150D8" w:rsidR="00490458">
        <w:t xml:space="preserve">of a </w:t>
      </w:r>
      <w:r w:rsidRPr="00E150D8" w:rsidR="002971E9">
        <w:t xml:space="preserve">manufacturer </w:t>
      </w:r>
      <w:r w:rsidRPr="00E150D8" w:rsidR="00490458">
        <w:t>delaying</w:t>
      </w:r>
      <w:r w:rsidRPr="00E150D8" w:rsidR="003E011A">
        <w:t xml:space="preserve"> payment of</w:t>
      </w:r>
      <w:r w:rsidRPr="00E150D8" w:rsidR="00490458">
        <w:t xml:space="preserve"> restitution </w:t>
      </w:r>
      <w:r w:rsidRPr="00E150D8" w:rsidR="0044326D">
        <w:t>on the one hand</w:t>
      </w:r>
      <w:r w:rsidRPr="00E150D8" w:rsidR="00490458">
        <w:t xml:space="preserve">, and a </w:t>
      </w:r>
      <w:r w:rsidRPr="00E150D8" w:rsidR="00843703">
        <w:t xml:space="preserve">replacement option </w:t>
      </w:r>
      <w:r w:rsidR="004C2EDC">
        <w:t xml:space="preserve">that </w:t>
      </w:r>
      <w:r w:rsidR="00D63BDB">
        <w:t xml:space="preserve">requires a manufacturer to provide </w:t>
      </w:r>
      <w:r w:rsidR="00021D74">
        <w:t>an alternat</w:t>
      </w:r>
      <w:r w:rsidR="006445AB">
        <w:t xml:space="preserve">e </w:t>
      </w:r>
      <w:r w:rsidR="00021D74">
        <w:t xml:space="preserve">vehicle that </w:t>
      </w:r>
      <w:r w:rsidR="006445AB">
        <w:t>is</w:t>
      </w:r>
      <w:r w:rsidR="00021D74">
        <w:t xml:space="preserve"> likely </w:t>
      </w:r>
      <w:r w:rsidR="006445AB">
        <w:t xml:space="preserve">already available </w:t>
      </w:r>
      <w:r w:rsidR="008A7621">
        <w:t xml:space="preserve">on </w:t>
      </w:r>
      <w:r w:rsidR="00021D74">
        <w:t>the other hand</w:t>
      </w:r>
      <w:r w:rsidRPr="00E150D8" w:rsidR="00843703">
        <w:t xml:space="preserve">, </w:t>
      </w:r>
      <w:r w:rsidRPr="00E150D8" w:rsidR="00B10E2B">
        <w:t xml:space="preserve">buyers </w:t>
      </w:r>
      <w:r w:rsidRPr="00E150D8" w:rsidR="00A73910">
        <w:t xml:space="preserve">may </w:t>
      </w:r>
      <w:r w:rsidRPr="00E150D8" w:rsidR="007003B2">
        <w:t xml:space="preserve">ultimately </w:t>
      </w:r>
      <w:r w:rsidRPr="00E150D8" w:rsidR="00664D01">
        <w:t xml:space="preserve">select </w:t>
      </w:r>
      <w:r w:rsidRPr="00E150D8" w:rsidR="00A73910">
        <w:t>replacement</w:t>
      </w:r>
      <w:r w:rsidRPr="00E150D8" w:rsidR="009544CB">
        <w:t>.  This</w:t>
      </w:r>
      <w:r w:rsidRPr="00E150D8" w:rsidR="00071958">
        <w:t xml:space="preserve">, however, would be </w:t>
      </w:r>
      <w:r w:rsidRPr="00E150D8" w:rsidR="009544CB">
        <w:t xml:space="preserve">in direct </w:t>
      </w:r>
      <w:r w:rsidRPr="00E150D8" w:rsidR="002971E9">
        <w:t xml:space="preserve">contravention of the Act’s </w:t>
      </w:r>
      <w:r w:rsidRPr="00E150D8" w:rsidR="00872599">
        <w:t>explicit directive that “the buyer shall be free to elect restitution in lieu of replacement, and in no event shall the buyer be required by the manufacturer to accept a replacement vehicle.”  (§</w:t>
      </w:r>
      <w:r w:rsidRPr="00E150D8" w:rsidR="00DF6063">
        <w:t> </w:t>
      </w:r>
      <w:r w:rsidRPr="00E150D8" w:rsidR="00872599">
        <w:t>1793.2, subd.</w:t>
      </w:r>
      <w:r w:rsidRPr="00E150D8" w:rsidR="00DF6063">
        <w:t> </w:t>
      </w:r>
      <w:r w:rsidRPr="00E150D8" w:rsidR="00872599">
        <w:t>(d)(2).)</w:t>
      </w:r>
    </w:p>
    <w:p w:rsidR="00303EEC" w:rsidRPr="00E150D8" w:rsidP="008910E5" w14:paraId="0C807FE0" w14:textId="77777777">
      <w:pPr>
        <w:tabs>
          <w:tab w:val="left" w:pos="720"/>
        </w:tabs>
      </w:pPr>
      <w:r>
        <w:tab/>
      </w:r>
      <w:r w:rsidRPr="00E150D8" w:rsidR="00A765B4">
        <w:t xml:space="preserve">FCA argues </w:t>
      </w:r>
      <w:r w:rsidRPr="00E150D8" w:rsidR="001F0BF9">
        <w:t xml:space="preserve">that </w:t>
      </w:r>
      <w:r w:rsidRPr="00E150D8" w:rsidR="00A765B4">
        <w:t xml:space="preserve">manufacturers </w:t>
      </w:r>
      <w:r w:rsidRPr="00E150D8" w:rsidR="00F43396">
        <w:t xml:space="preserve">have </w:t>
      </w:r>
      <w:r w:rsidRPr="00E150D8" w:rsidR="00746DFF">
        <w:t>“</w:t>
      </w:r>
      <w:r w:rsidRPr="00E150D8" w:rsidR="00366326">
        <w:t>ample</w:t>
      </w:r>
      <w:r w:rsidRPr="00E150D8" w:rsidR="00746DFF">
        <w:t xml:space="preserve"> incentive</w:t>
      </w:r>
      <w:r w:rsidRPr="00E150D8" w:rsidR="005D1C05">
        <w:t xml:space="preserve">” to promptly comply with the Act </w:t>
      </w:r>
      <w:r w:rsidRPr="00E150D8" w:rsidR="0030217F">
        <w:t xml:space="preserve">because they are </w:t>
      </w:r>
      <w:r w:rsidRPr="00E150D8" w:rsidR="00814B01">
        <w:t xml:space="preserve">already </w:t>
      </w:r>
      <w:r w:rsidRPr="00E150D8" w:rsidR="0030217F">
        <w:t xml:space="preserve">subject to </w:t>
      </w:r>
      <w:r w:rsidRPr="00E150D8" w:rsidR="0002196C">
        <w:t>attorney fee awards and civil penalties for willful violations</w:t>
      </w:r>
      <w:r w:rsidRPr="00E150D8" w:rsidR="00527182">
        <w:t xml:space="preserve"> of the Act</w:t>
      </w:r>
      <w:r w:rsidRPr="00E150D8" w:rsidR="0035409A">
        <w:t>.</w:t>
      </w:r>
      <w:r w:rsidRPr="00E150D8" w:rsidR="00F43396">
        <w:t xml:space="preserve"> </w:t>
      </w:r>
      <w:r w:rsidRPr="00E150D8" w:rsidR="0035409A">
        <w:t xml:space="preserve"> </w:t>
      </w:r>
      <w:r w:rsidRPr="00E150D8" w:rsidR="00654896">
        <w:t>Th</w:t>
      </w:r>
      <w:r w:rsidRPr="00E150D8" w:rsidR="00A44157">
        <w:t>e facts of this</w:t>
      </w:r>
      <w:r w:rsidRPr="00E150D8" w:rsidR="00654896">
        <w:t xml:space="preserve"> case </w:t>
      </w:r>
      <w:r>
        <w:t>prove otherwise</w:t>
      </w:r>
      <w:r w:rsidRPr="00E150D8" w:rsidR="00A44157">
        <w:t xml:space="preserve">.  </w:t>
      </w:r>
      <w:r w:rsidRPr="00E150D8" w:rsidR="00310797">
        <w:t xml:space="preserve">Niedermeier </w:t>
      </w:r>
      <w:r w:rsidRPr="00E150D8" w:rsidR="00412AF5">
        <w:t xml:space="preserve">took </w:t>
      </w:r>
      <w:r w:rsidRPr="00E150D8" w:rsidR="00694A85">
        <w:t>the</w:t>
      </w:r>
      <w:r w:rsidRPr="00E150D8" w:rsidR="00412AF5">
        <w:t xml:space="preserve"> vehicle in for repair a total of </w:t>
      </w:r>
      <w:r w:rsidR="0088178B">
        <w:t>16</w:t>
      </w:r>
      <w:r w:rsidRPr="00E150D8" w:rsidR="0088178B">
        <w:t xml:space="preserve"> </w:t>
      </w:r>
      <w:r w:rsidRPr="00E150D8" w:rsidR="00412AF5">
        <w:t>times over four years</w:t>
      </w:r>
      <w:r w:rsidRPr="00E150D8" w:rsidR="009B6DB7">
        <w:t xml:space="preserve">, </w:t>
      </w:r>
      <w:r w:rsidRPr="00E150D8" w:rsidR="00E85ECE">
        <w:t xml:space="preserve">rendering </w:t>
      </w:r>
      <w:r w:rsidRPr="00E150D8" w:rsidR="009B6DB7">
        <w:t xml:space="preserve">the vehicle out </w:t>
      </w:r>
      <w:r w:rsidRPr="00E150D8" w:rsidR="00796BF9">
        <w:t xml:space="preserve">of </w:t>
      </w:r>
      <w:r w:rsidRPr="00E150D8" w:rsidR="005D0B6D">
        <w:t xml:space="preserve">commission for </w:t>
      </w:r>
      <w:r w:rsidRPr="00E150D8" w:rsidR="00694A85">
        <w:t>75 days</w:t>
      </w:r>
      <w:r w:rsidR="00940BAD">
        <w:t xml:space="preserve"> without it ever being repaired</w:t>
      </w:r>
      <w:r w:rsidRPr="00E150D8" w:rsidR="00694A85">
        <w:t xml:space="preserve">.  </w:t>
      </w:r>
      <w:r w:rsidRPr="00E150D8" w:rsidR="002D2540">
        <w:t xml:space="preserve">Niedermeier </w:t>
      </w:r>
      <w:r w:rsidRPr="00E150D8" w:rsidR="00694A85">
        <w:t>made three</w:t>
      </w:r>
      <w:r w:rsidRPr="00E150D8" w:rsidR="003B26D3">
        <w:t xml:space="preserve"> </w:t>
      </w:r>
      <w:r w:rsidRPr="00E150D8" w:rsidR="002D2540">
        <w:t xml:space="preserve">separate </w:t>
      </w:r>
      <w:r w:rsidRPr="00E150D8" w:rsidR="003B26D3">
        <w:t>demands for restitution</w:t>
      </w:r>
      <w:r w:rsidR="00B1747D">
        <w:t> </w:t>
      </w:r>
      <w:r w:rsidRPr="00E150D8" w:rsidR="003B26D3">
        <w:t>—</w:t>
      </w:r>
      <w:r w:rsidR="00BE1977">
        <w:t xml:space="preserve"> </w:t>
      </w:r>
      <w:r w:rsidRPr="00E150D8" w:rsidR="003B26D3">
        <w:t>which she was not required to do</w:t>
      </w:r>
      <w:r w:rsidRPr="00E150D8" w:rsidR="00061222">
        <w:t xml:space="preserve"> under the Act (see </w:t>
      </w:r>
      <w:r w:rsidRPr="00E150D8" w:rsidR="00061222">
        <w:rPr>
          <w:i/>
          <w:iCs/>
        </w:rPr>
        <w:t>Krotin</w:t>
      </w:r>
      <w:r w:rsidRPr="00E150D8" w:rsidR="00061222">
        <w:t xml:space="preserve">, </w:t>
      </w:r>
      <w:r w:rsidRPr="00E150D8" w:rsidR="00061222">
        <w:rPr>
          <w:i/>
          <w:iCs/>
        </w:rPr>
        <w:t>supra</w:t>
      </w:r>
      <w:r w:rsidRPr="00E150D8" w:rsidR="00061222">
        <w:t xml:space="preserve">, </w:t>
      </w:r>
      <w:r w:rsidRPr="00E150D8" w:rsidR="00916DBC">
        <w:t>38</w:t>
      </w:r>
      <w:r w:rsidRPr="00E150D8" w:rsidR="00DF6063">
        <w:t> </w:t>
      </w:r>
      <w:r w:rsidRPr="00E150D8" w:rsidR="00916DBC">
        <w:t xml:space="preserve">Cal.App.4th </w:t>
      </w:r>
      <w:r w:rsidRPr="00E150D8" w:rsidR="00061222">
        <w:t>at pp.</w:t>
      </w:r>
      <w:r w:rsidRPr="00E150D8" w:rsidR="00DF6063">
        <w:t> </w:t>
      </w:r>
      <w:r w:rsidRPr="00E150D8" w:rsidR="00061222">
        <w:t>302–303)</w:t>
      </w:r>
      <w:r w:rsidRPr="00E150D8" w:rsidR="00A43725">
        <w:t> </w:t>
      </w:r>
      <w:r w:rsidRPr="00E150D8" w:rsidR="003B26D3">
        <w:t>—</w:t>
      </w:r>
      <w:r w:rsidR="00BE1977">
        <w:t xml:space="preserve"> </w:t>
      </w:r>
      <w:r w:rsidRPr="00E150D8" w:rsidR="00B5550C">
        <w:t xml:space="preserve">but </w:t>
      </w:r>
      <w:r w:rsidRPr="00E150D8" w:rsidR="00694A85">
        <w:t>FCA declined</w:t>
      </w:r>
      <w:r w:rsidRPr="00E150D8" w:rsidR="00B5550C">
        <w:t xml:space="preserve"> to repurchase the vehicle</w:t>
      </w:r>
      <w:r w:rsidRPr="00E150D8" w:rsidR="00694A85">
        <w:t xml:space="preserve">.  </w:t>
      </w:r>
      <w:r w:rsidRPr="00E150D8" w:rsidR="008E0B37">
        <w:t>A</w:t>
      </w:r>
      <w:r w:rsidRPr="00E150D8" w:rsidR="00374FFD">
        <w:t xml:space="preserve">ttorney fees and penalties were a real possibility in this case, and in fact were imposed on </w:t>
      </w:r>
      <w:r w:rsidRPr="00E150D8" w:rsidR="00F162AB">
        <w:t>FCA</w:t>
      </w:r>
      <w:r w:rsidRPr="00E150D8" w:rsidR="00DA4BBC">
        <w:t xml:space="preserve"> for willfully violating the Act</w:t>
      </w:r>
      <w:r w:rsidRPr="00E150D8" w:rsidR="00374FFD">
        <w:t xml:space="preserve">, </w:t>
      </w:r>
      <w:r w:rsidRPr="00E150D8" w:rsidR="002A5ED2">
        <w:t xml:space="preserve">but </w:t>
      </w:r>
      <w:r w:rsidRPr="00E150D8" w:rsidR="00226873">
        <w:t xml:space="preserve">FCA </w:t>
      </w:r>
      <w:r w:rsidRPr="00E150D8" w:rsidR="00EC315E">
        <w:t xml:space="preserve">still failed </w:t>
      </w:r>
      <w:r w:rsidRPr="00E150D8" w:rsidR="00226873">
        <w:t>to promptly comply with the Act</w:t>
      </w:r>
      <w:r w:rsidRPr="00E150D8" w:rsidR="00374FFD">
        <w:t xml:space="preserve">. </w:t>
      </w:r>
      <w:r w:rsidRPr="00E150D8" w:rsidR="00226873">
        <w:t xml:space="preserve"> </w:t>
      </w:r>
      <w:r w:rsidRPr="00E150D8" w:rsidR="00867457">
        <w:t>As Niedermeier points out, “</w:t>
      </w:r>
      <w:r w:rsidRPr="00E150D8" w:rsidR="00E93FAF">
        <w:t>the most defective vehicles</w:t>
      </w:r>
      <w:r w:rsidRPr="00E150D8" w:rsidR="00FB697B">
        <w:t> </w:t>
      </w:r>
      <w:r w:rsidRPr="00E150D8" w:rsidR="00E93FAF">
        <w:t>.</w:t>
      </w:r>
      <w:r w:rsidRPr="00E150D8" w:rsidR="00FB697B">
        <w:t> </w:t>
      </w:r>
      <w:r w:rsidRPr="00E150D8" w:rsidR="00E93FAF">
        <w:t>.</w:t>
      </w:r>
      <w:r w:rsidRPr="00E150D8" w:rsidR="00FB697B">
        <w:t> </w:t>
      </w:r>
      <w:r w:rsidRPr="00E150D8" w:rsidR="00E93FAF">
        <w:t>.</w:t>
      </w:r>
      <w:r w:rsidRPr="00E150D8" w:rsidR="00A43725">
        <w:t> </w:t>
      </w:r>
      <w:r w:rsidRPr="00E150D8" w:rsidR="00E93FAF">
        <w:t>are the vehicles most likely to be traded-in for a safe vehicle, yet those are the ones by which a manufacturer would reap the best benefit for its delay.”</w:t>
      </w:r>
      <w:r w:rsidR="00315727">
        <w:t xml:space="preserve">  </w:t>
      </w:r>
      <w:r w:rsidR="00844D26">
        <w:t>To the extent</w:t>
      </w:r>
      <w:r w:rsidR="009545B1">
        <w:t xml:space="preserve"> </w:t>
      </w:r>
      <w:r w:rsidRPr="00E150D8" w:rsidR="00D2149C">
        <w:t>FCA conten</w:t>
      </w:r>
      <w:r w:rsidR="00A46A8A">
        <w:t>d</w:t>
      </w:r>
      <w:r w:rsidRPr="00E150D8" w:rsidR="00D2149C">
        <w:t>s</w:t>
      </w:r>
      <w:r w:rsidRPr="00E150D8" w:rsidR="00E0522D">
        <w:t xml:space="preserve"> that manufacturers </w:t>
      </w:r>
      <w:r w:rsidRPr="00E150D8" w:rsidR="00E85ECE">
        <w:t xml:space="preserve">already </w:t>
      </w:r>
      <w:r w:rsidRPr="00E150D8" w:rsidR="00E0522D">
        <w:t xml:space="preserve">have </w:t>
      </w:r>
      <w:r w:rsidRPr="00E150D8" w:rsidR="003718C4">
        <w:t>sufficient incentives to comply with the Act</w:t>
      </w:r>
      <w:r w:rsidRPr="00E150D8" w:rsidR="00E85ECE">
        <w:t xml:space="preserve"> </w:t>
      </w:r>
      <w:r w:rsidR="00FE3D27">
        <w:t>or</w:t>
      </w:r>
      <w:r w:rsidRPr="00E150D8" w:rsidR="00E85ECE">
        <w:t xml:space="preserve"> that</w:t>
      </w:r>
      <w:r w:rsidRPr="00E150D8" w:rsidR="003718C4">
        <w:t xml:space="preserve"> buyers will receive windfalls </w:t>
      </w:r>
      <w:r w:rsidRPr="00E150D8" w:rsidR="00284FAD">
        <w:t xml:space="preserve">if the </w:t>
      </w:r>
      <w:r w:rsidRPr="00E150D8" w:rsidR="009E3CA5">
        <w:t xml:space="preserve">statutory </w:t>
      </w:r>
      <w:r w:rsidRPr="00E150D8" w:rsidR="00284FAD">
        <w:t xml:space="preserve">restitution remedy is not reduced </w:t>
      </w:r>
      <w:r w:rsidR="009E5F7C">
        <w:t xml:space="preserve">by </w:t>
      </w:r>
      <w:r w:rsidR="00D9302D">
        <w:t>the trade-in credit or sale proceeds</w:t>
      </w:r>
      <w:r w:rsidR="00FE3D27">
        <w:t>, these</w:t>
      </w:r>
      <w:r w:rsidR="00333785">
        <w:t xml:space="preserve"> are </w:t>
      </w:r>
      <w:r w:rsidR="009621C4">
        <w:t xml:space="preserve">competing </w:t>
      </w:r>
      <w:r w:rsidRPr="00E150D8" w:rsidR="00D2149C">
        <w:t xml:space="preserve">policy </w:t>
      </w:r>
      <w:r w:rsidR="00FE3D27">
        <w:t xml:space="preserve">concerns </w:t>
      </w:r>
      <w:r w:rsidRPr="00E150D8" w:rsidR="00EC315E">
        <w:t xml:space="preserve">that </w:t>
      </w:r>
      <w:r w:rsidRPr="00E150D8" w:rsidR="00E85ECE">
        <w:t xml:space="preserve">are more appropriately </w:t>
      </w:r>
      <w:r w:rsidRPr="00E150D8" w:rsidR="00D2149C">
        <w:t xml:space="preserve">directed to the Legislature. </w:t>
      </w:r>
      <w:r w:rsidRPr="00E150D8" w:rsidR="001E34EF">
        <w:t xml:space="preserve"> (See </w:t>
      </w:r>
      <w:r w:rsidRPr="00E150D8" w:rsidR="001E34EF">
        <w:rPr>
          <w:i/>
          <w:iCs/>
        </w:rPr>
        <w:t>Brennon B. v. Superior C</w:t>
      </w:r>
      <w:r w:rsidR="007B0F49">
        <w:rPr>
          <w:i/>
          <w:iCs/>
        </w:rPr>
        <w:t>our</w:t>
      </w:r>
      <w:r w:rsidRPr="00E150D8" w:rsidR="001E34EF">
        <w:rPr>
          <w:i/>
          <w:iCs/>
        </w:rPr>
        <w:t>t</w:t>
      </w:r>
      <w:r w:rsidRPr="00E150D8" w:rsidR="001E34EF">
        <w:t xml:space="preserve"> (2022) 13</w:t>
      </w:r>
      <w:r w:rsidRPr="00E150D8" w:rsidR="00974F8A">
        <w:t> </w:t>
      </w:r>
      <w:r w:rsidRPr="00E150D8" w:rsidR="001E34EF">
        <w:t>Cal.5th 662, 696 [“The proper balancing of these competing priorities is ultimately and unquestionably ‘a policy issue that lies within the province of the legislative, rather than the judicial, branch’</w:t>
      </w:r>
      <w:r w:rsidRPr="00E150D8" w:rsidR="00A43725">
        <w:t> </w:t>
      </w:r>
      <w:r w:rsidRPr="00E150D8" w:rsidR="001E34EF">
        <w:t>”]</w:t>
      </w:r>
      <w:r w:rsidRPr="00E150D8" w:rsidR="002035EF">
        <w:t>.</w:t>
      </w:r>
      <w:r w:rsidRPr="00E150D8" w:rsidR="001E34EF">
        <w:t>)</w:t>
      </w:r>
    </w:p>
    <w:p w:rsidR="00C72E79" w:rsidP="008910E5" w14:paraId="0C807FE1" w14:textId="77777777">
      <w:pPr>
        <w:tabs>
          <w:tab w:val="left" w:pos="1440"/>
        </w:tabs>
        <w:ind w:firstLine="720"/>
      </w:pPr>
      <w:r w:rsidRPr="004B657D">
        <w:t>For these reasons</w:t>
      </w:r>
      <w:r w:rsidRPr="004B657D" w:rsidR="001E34EF">
        <w:t>,</w:t>
      </w:r>
      <w:r w:rsidRPr="00E150D8" w:rsidR="001E34EF">
        <w:t xml:space="preserve"> w</w:t>
      </w:r>
      <w:r w:rsidRPr="00E150D8" w:rsidR="005A594D">
        <w:t xml:space="preserve">e </w:t>
      </w:r>
      <w:r w:rsidRPr="00E150D8" w:rsidR="00831FEF">
        <w:t xml:space="preserve">decline to adopt a rule that </w:t>
      </w:r>
      <w:r w:rsidR="0041454B">
        <w:t xml:space="preserve">reduces </w:t>
      </w:r>
      <w:r w:rsidRPr="00E150D8" w:rsidR="00831FEF">
        <w:t xml:space="preserve">a buyer’s </w:t>
      </w:r>
      <w:r w:rsidRPr="00E150D8" w:rsidR="00D852B9">
        <w:t xml:space="preserve">statutory </w:t>
      </w:r>
      <w:r w:rsidRPr="00E150D8" w:rsidR="00831FEF">
        <w:t xml:space="preserve">restitution award by </w:t>
      </w:r>
      <w:r w:rsidR="0068280C">
        <w:t>a</w:t>
      </w:r>
      <w:r w:rsidRPr="00E150D8" w:rsidR="00D852B9">
        <w:t xml:space="preserve"> </w:t>
      </w:r>
      <w:r w:rsidRPr="00E150D8" w:rsidR="001F1203">
        <w:t xml:space="preserve">trade-in </w:t>
      </w:r>
      <w:r w:rsidR="0068280C">
        <w:t xml:space="preserve">credit </w:t>
      </w:r>
      <w:r w:rsidRPr="00E150D8" w:rsidR="001F1203">
        <w:t xml:space="preserve">or sale proceeds </w:t>
      </w:r>
      <w:r w:rsidRPr="0093315E" w:rsidR="00693491">
        <w:t>at least</w:t>
      </w:r>
      <w:r w:rsidR="00693491">
        <w:t xml:space="preserve"> </w:t>
      </w:r>
      <w:r w:rsidR="00822CB3">
        <w:t xml:space="preserve">where, as here, a consumer has been forced to trade in or sell </w:t>
      </w:r>
      <w:r w:rsidR="00F52666">
        <w:t>the</w:t>
      </w:r>
      <w:r w:rsidR="00822CB3">
        <w:t xml:space="preserve"> defective vehicle due to the manufacturer’s failure to comply with </w:t>
      </w:r>
      <w:r w:rsidRPr="00E150D8" w:rsidR="00A06A0A">
        <w:t>the Act</w:t>
      </w:r>
      <w:r w:rsidRPr="00E150D8" w:rsidR="00831FEF">
        <w:t>.</w:t>
      </w:r>
      <w:r w:rsidRPr="00E150D8" w:rsidR="00E62055">
        <w:t xml:space="preserve">  </w:t>
      </w:r>
      <w:r w:rsidR="00D06DCC">
        <w:t>Once restitution is available to a plaintiff as a remedy, the measure of restitution is as described in section 1793.2, subdivision (d)(2), with no reductions other than those expressly stated in that subdivision</w:t>
      </w:r>
      <w:r w:rsidR="00C76447">
        <w:t xml:space="preserve">.  </w:t>
      </w:r>
      <w:r w:rsidRPr="00E150D8" w:rsidR="00881593">
        <w:t xml:space="preserve">Our </w:t>
      </w:r>
      <w:r w:rsidRPr="00E150D8" w:rsidR="00E62055">
        <w:t>interpretation is</w:t>
      </w:r>
      <w:r w:rsidRPr="00E150D8" w:rsidR="00AD7CC2">
        <w:t xml:space="preserve"> supported</w:t>
      </w:r>
      <w:r w:rsidRPr="00E150D8" w:rsidR="00E62055">
        <w:t xml:space="preserve"> </w:t>
      </w:r>
      <w:r w:rsidRPr="00E150D8" w:rsidR="00EE53B8">
        <w:t>by the plain language of the Act</w:t>
      </w:r>
      <w:r w:rsidRPr="00E150D8" w:rsidR="00AF3AF4">
        <w:t xml:space="preserve">, </w:t>
      </w:r>
      <w:r w:rsidRPr="00E150D8" w:rsidR="00EE53B8">
        <w:t>the legislative history</w:t>
      </w:r>
      <w:r w:rsidRPr="00E150D8" w:rsidR="00AF3AF4">
        <w:t xml:space="preserve">, </w:t>
      </w:r>
      <w:r w:rsidRPr="00BB3B6E" w:rsidR="00AF3AF4">
        <w:t>and the consumer-</w:t>
      </w:r>
      <w:r w:rsidRPr="00BB3B6E" w:rsidR="00333785">
        <w:t>protective</w:t>
      </w:r>
      <w:r w:rsidRPr="00BB3B6E" w:rsidR="00AF3AF4">
        <w:t xml:space="preserve"> purpose of the Ac</w:t>
      </w:r>
      <w:r w:rsidRPr="00BB3B6E" w:rsidR="00A62F7B">
        <w:t>t</w:t>
      </w:r>
      <w:r w:rsidRPr="00BB3B6E" w:rsidR="006D50A6">
        <w:t xml:space="preserve">.  </w:t>
      </w:r>
      <w:r w:rsidRPr="00B90A7A" w:rsidR="005A7816">
        <w:rPr>
          <w:szCs w:val="27"/>
        </w:rPr>
        <w:t>It is also</w:t>
      </w:r>
      <w:r w:rsidRPr="00561A9C" w:rsidR="005A7816">
        <w:rPr>
          <w:szCs w:val="27"/>
        </w:rPr>
        <w:t xml:space="preserve"> “more consistent with the rule that courts should liberally construe remedial statutes in favor of their protective purpose</w:t>
      </w:r>
      <w:r w:rsidRPr="00561A9C" w:rsidR="00B90A7A">
        <w:rPr>
          <w:szCs w:val="27"/>
        </w:rPr>
        <w:t> . </w:t>
      </w:r>
      <w:r w:rsidRPr="00561A9C" w:rsidR="00BB3B6E">
        <w:rPr>
          <w:szCs w:val="27"/>
        </w:rPr>
        <w:t>.</w:t>
      </w:r>
      <w:r w:rsidRPr="00561A9C" w:rsidR="00B90A7A">
        <w:rPr>
          <w:szCs w:val="27"/>
        </w:rPr>
        <w:t> </w:t>
      </w:r>
      <w:r w:rsidRPr="00561A9C" w:rsidR="00BB3B6E">
        <w:rPr>
          <w:szCs w:val="27"/>
        </w:rPr>
        <w:t>.</w:t>
      </w:r>
      <w:r w:rsidRPr="00561A9C" w:rsidR="00B90A7A">
        <w:rPr>
          <w:szCs w:val="27"/>
        </w:rPr>
        <w:t> </w:t>
      </w:r>
      <w:r w:rsidRPr="00561A9C" w:rsidR="00BB3B6E">
        <w:rPr>
          <w:szCs w:val="27"/>
        </w:rPr>
        <w:t>.</w:t>
      </w:r>
      <w:r w:rsidRPr="00561A9C" w:rsidR="005A7816">
        <w:rPr>
          <w:szCs w:val="27"/>
        </w:rPr>
        <w:t xml:space="preserve">” </w:t>
      </w:r>
      <w:r w:rsidRPr="00561A9C" w:rsidR="00BB3B6E">
        <w:rPr>
          <w:szCs w:val="27"/>
        </w:rPr>
        <w:t xml:space="preserve"> </w:t>
      </w:r>
      <w:r w:rsidRPr="00561A9C" w:rsidR="005A7816">
        <w:rPr>
          <w:szCs w:val="27"/>
        </w:rPr>
        <w:t>(</w:t>
      </w:r>
      <w:r w:rsidRPr="00561A9C" w:rsidR="005A7816">
        <w:rPr>
          <w:i/>
          <w:iCs/>
          <w:szCs w:val="27"/>
        </w:rPr>
        <w:t>Pineda</w:t>
      </w:r>
      <w:r w:rsidRPr="00561A9C" w:rsidR="0089168C">
        <w:rPr>
          <w:szCs w:val="27"/>
        </w:rPr>
        <w:t xml:space="preserve">, </w:t>
      </w:r>
      <w:r w:rsidRPr="00561A9C" w:rsidR="0089168C">
        <w:rPr>
          <w:i/>
          <w:iCs/>
          <w:szCs w:val="27"/>
        </w:rPr>
        <w:t>supra</w:t>
      </w:r>
      <w:r w:rsidRPr="00561A9C" w:rsidR="0089168C">
        <w:rPr>
          <w:szCs w:val="27"/>
        </w:rPr>
        <w:t xml:space="preserve">, </w:t>
      </w:r>
      <w:r w:rsidRPr="00561A9C" w:rsidR="005A7816">
        <w:rPr>
          <w:szCs w:val="27"/>
        </w:rPr>
        <w:t xml:space="preserve">51 Cal.4th </w:t>
      </w:r>
      <w:r w:rsidRPr="00561A9C" w:rsidR="0089168C">
        <w:rPr>
          <w:szCs w:val="27"/>
        </w:rPr>
        <w:t>at p.</w:t>
      </w:r>
      <w:r w:rsidRPr="00561A9C" w:rsidR="00AA1E3F">
        <w:rPr>
          <w:szCs w:val="27"/>
        </w:rPr>
        <w:t> </w:t>
      </w:r>
      <w:r w:rsidRPr="00561A9C" w:rsidR="005A7816">
        <w:rPr>
          <w:szCs w:val="27"/>
        </w:rPr>
        <w:t>532.)</w:t>
      </w:r>
      <w:r w:rsidRPr="00B90A7A" w:rsidR="005A7816">
        <w:t xml:space="preserve">  </w:t>
      </w:r>
    </w:p>
    <w:p w:rsidR="001A219E" w:rsidRPr="00623962" w:rsidP="008910E5" w14:paraId="0C807FE2" w14:textId="77777777">
      <w:pPr>
        <w:tabs>
          <w:tab w:val="left" w:pos="1440"/>
        </w:tabs>
        <w:ind w:firstLine="720"/>
      </w:pPr>
      <w:r w:rsidRPr="001F75E3">
        <w:t xml:space="preserve">The concurrence maintains a rule that categorically entitles consumers to obtain the full statutory restitution remedy without a reduction for trade-in or sale proceeds “would raise significant questions of fairness.”  (Conc. opn. of Kruger, J., </w:t>
      </w:r>
      <w:r w:rsidRPr="001F75E3">
        <w:rPr>
          <w:i/>
          <w:iCs/>
        </w:rPr>
        <w:t>post</w:t>
      </w:r>
      <w:r w:rsidRPr="001F75E3">
        <w:t xml:space="preserve">, at p. </w:t>
      </w:r>
      <w:r w:rsidR="00822070">
        <w:t>15</w:t>
      </w:r>
      <w:r w:rsidRPr="001F75E3">
        <w:t>.)</w:t>
      </w:r>
      <w:r>
        <w:rPr>
          <w:rStyle w:val="FootnoteReference"/>
        </w:rPr>
        <w:footnoteReference w:id="13"/>
      </w:r>
      <w:r w:rsidRPr="001F75E3">
        <w:t xml:space="preserve">  </w:t>
      </w:r>
      <w:r w:rsidRPr="00B25CF6" w:rsidR="00623962">
        <w:t>To</w:t>
      </w:r>
      <w:r w:rsidRPr="00623962" w:rsidR="00623962">
        <w:t xml:space="preserve"> be sure, we do not mean to suggest that a consumer has the </w:t>
      </w:r>
      <w:r w:rsidRPr="00623962" w:rsidR="00623962">
        <w:rPr>
          <w:i/>
          <w:iCs/>
        </w:rPr>
        <w:t>right</w:t>
      </w:r>
      <w:r w:rsidRPr="00623962" w:rsidR="00623962">
        <w:t xml:space="preserve"> to sell or trade in a vehicle at any time. </w:t>
      </w:r>
      <w:r w:rsidR="00060B50">
        <w:t xml:space="preserve"> </w:t>
      </w:r>
      <w:r w:rsidRPr="00623962" w:rsidR="00623962">
        <w:t xml:space="preserve">Our holding </w:t>
      </w:r>
      <w:r w:rsidR="002350AC">
        <w:t xml:space="preserve">is narrower </w:t>
      </w:r>
      <w:r w:rsidR="00D257CF">
        <w:t xml:space="preserve">and </w:t>
      </w:r>
      <w:r w:rsidRPr="00623962" w:rsidR="00623962">
        <w:t>applies to the measure of restitution described in section 1793.2, subdivision</w:t>
      </w:r>
      <w:r w:rsidR="00AA1E3F">
        <w:t> </w:t>
      </w:r>
      <w:r w:rsidRPr="00623962" w:rsidR="00623962">
        <w:t xml:space="preserve">(d)(2), in actions </w:t>
      </w:r>
      <w:r w:rsidR="00AF6C33">
        <w:t xml:space="preserve">brought </w:t>
      </w:r>
      <w:r w:rsidRPr="00623962" w:rsidR="00623962">
        <w:t xml:space="preserve">pursuant to section 1794. </w:t>
      </w:r>
      <w:r w:rsidR="001B2D98">
        <w:t xml:space="preserve"> </w:t>
      </w:r>
      <w:r w:rsidR="00CF4726">
        <w:t>A c</w:t>
      </w:r>
      <w:r w:rsidR="008C578B">
        <w:t>onsumer still ha</w:t>
      </w:r>
      <w:r w:rsidR="00CF4726">
        <w:t>s</w:t>
      </w:r>
      <w:r w:rsidR="008C578B">
        <w:t xml:space="preserve"> the obligation to permit manufacturers a reasonable </w:t>
      </w:r>
      <w:r w:rsidR="003524DA">
        <w:t xml:space="preserve"> </w:t>
      </w:r>
      <w:r w:rsidR="008C578B">
        <w:t>opportunit</w:t>
      </w:r>
      <w:r w:rsidR="005B3D6D">
        <w:t>y</w:t>
      </w:r>
      <w:r w:rsidR="003524DA">
        <w:t xml:space="preserve"> to repair the vehicle</w:t>
      </w:r>
      <w:r w:rsidR="008C578B">
        <w:t xml:space="preserve">.  </w:t>
      </w:r>
      <w:r w:rsidRPr="00623962" w:rsidR="00623962">
        <w:t xml:space="preserve">Manufacturers must </w:t>
      </w:r>
      <w:r w:rsidR="00311E12">
        <w:t xml:space="preserve">also </w:t>
      </w:r>
      <w:r w:rsidRPr="00561A9C" w:rsidR="009621C4">
        <w:t>c</w:t>
      </w:r>
      <w:r w:rsidRPr="00623962" w:rsidR="00623962">
        <w:t xml:space="preserve">omply with their obligations under the Act, including the obligation to promptly repurchase or replace vehicles and the obligation to label vehicles lemons. </w:t>
      </w:r>
      <w:r w:rsidR="00902171">
        <w:t xml:space="preserve"> </w:t>
      </w:r>
      <w:r w:rsidRPr="00623962" w:rsidR="00623962">
        <w:t xml:space="preserve">Prompt compliance with the Act will ensure manufacturers meet these obligations and that </w:t>
      </w:r>
      <w:r w:rsidR="00623962">
        <w:t xml:space="preserve">defective </w:t>
      </w:r>
      <w:r w:rsidRPr="00623962" w:rsidR="00623962">
        <w:t>vehicles end up in their possession</w:t>
      </w:r>
      <w:r w:rsidR="00623962">
        <w:t xml:space="preserve"> for labeling</w:t>
      </w:r>
      <w:r w:rsidRPr="00623962" w:rsidR="00623962">
        <w:t>.</w:t>
      </w:r>
      <w:r w:rsidRPr="00B073C8" w:rsidR="00862A8B">
        <w:t xml:space="preserve">  </w:t>
      </w:r>
    </w:p>
    <w:bookmarkEnd w:id="15"/>
    <w:p w:rsidR="00B96CF5" w:rsidRPr="00E150D8" w:rsidP="00CA5D6E" w14:paraId="0C807FE3" w14:textId="77777777">
      <w:pPr>
        <w:pStyle w:val="Heading1"/>
        <w:spacing w:before="0" w:line="400" w:lineRule="exact"/>
      </w:pPr>
      <w:r w:rsidRPr="00E150D8">
        <w:t>III.  Disposition</w:t>
      </w:r>
    </w:p>
    <w:p w:rsidR="00C44DED" w:rsidRPr="00E150D8" w:rsidP="008910E5" w14:paraId="0C807FE4" w14:textId="77777777">
      <w:pPr>
        <w:tabs>
          <w:tab w:val="left" w:pos="1440"/>
        </w:tabs>
        <w:ind w:firstLine="720"/>
      </w:pPr>
      <w:r w:rsidRPr="00E150D8">
        <w:t xml:space="preserve">As we </w:t>
      </w:r>
      <w:r w:rsidRPr="00E150D8" w:rsidR="00941D5B">
        <w:t xml:space="preserve">conclude that </w:t>
      </w:r>
      <w:r w:rsidR="00116165">
        <w:t xml:space="preserve">neither </w:t>
      </w:r>
      <w:r w:rsidR="009621C4">
        <w:t xml:space="preserve">a </w:t>
      </w:r>
      <w:r w:rsidR="00116165">
        <w:t xml:space="preserve">trade-in </w:t>
      </w:r>
      <w:r w:rsidR="009621C4">
        <w:t xml:space="preserve">credit </w:t>
      </w:r>
      <w:r w:rsidR="00116165">
        <w:t>nor sale proceeds reduce the statutory restitution remedy, at least where</w:t>
      </w:r>
      <w:r w:rsidR="00B93AE7">
        <w:t xml:space="preserve"> a consumer has been forced to trade in or sell a defective vehicle due to the manufacturer’s failure to comply with the Act</w:t>
      </w:r>
      <w:r w:rsidRPr="00E150D8" w:rsidR="00346E21">
        <w:t xml:space="preserve">, we do not reach the issue of whether </w:t>
      </w:r>
      <w:r w:rsidR="00955A12">
        <w:t xml:space="preserve">the amount a buyer recovers </w:t>
      </w:r>
      <w:r w:rsidRPr="00E150D8" w:rsidR="008F0B92">
        <w:t xml:space="preserve">should be </w:t>
      </w:r>
      <w:r w:rsidRPr="00E150D8" w:rsidR="00E6097E">
        <w:t xml:space="preserve">assessed </w:t>
      </w:r>
      <w:r w:rsidRPr="00E150D8" w:rsidR="008F0B92">
        <w:t xml:space="preserve">before or after </w:t>
      </w:r>
      <w:r w:rsidRPr="00E150D8" w:rsidR="0071699B">
        <w:t xml:space="preserve">calculating </w:t>
      </w:r>
      <w:r w:rsidRPr="00E150D8" w:rsidR="008F0B92">
        <w:t xml:space="preserve">penalties.  </w:t>
      </w:r>
      <w:r w:rsidRPr="00E150D8">
        <w:t>We reverse the judgment of the Court of Appeal</w:t>
      </w:r>
      <w:r w:rsidRPr="00E150D8" w:rsidR="00A8098F">
        <w:t>.</w:t>
      </w:r>
    </w:p>
    <w:p w:rsidR="00DC2FC6" w:rsidRPr="00E150D8" w:rsidP="00A54982" w14:paraId="0C807FE5" w14:textId="77777777">
      <w:pPr>
        <w:tabs>
          <w:tab w:val="left" w:pos="1440"/>
        </w:tabs>
        <w:ind w:firstLine="720"/>
        <w:rPr>
          <w:b/>
          <w:bCs/>
        </w:rPr>
      </w:pPr>
      <w:r w:rsidRPr="00E150D8">
        <w:tab/>
      </w:r>
      <w:r w:rsidRPr="00E150D8">
        <w:tab/>
      </w:r>
      <w:r w:rsidRPr="00E150D8">
        <w:tab/>
      </w:r>
      <w:r w:rsidRPr="00E150D8">
        <w:tab/>
      </w:r>
      <w:r w:rsidRPr="00E150D8">
        <w:tab/>
      </w:r>
      <w:r w:rsidRPr="00E150D8">
        <w:tab/>
      </w:r>
      <w:r w:rsidRPr="00E150D8">
        <w:tab/>
      </w:r>
      <w:r w:rsidRPr="00E150D8">
        <w:rPr>
          <w:b/>
          <w:bCs/>
        </w:rPr>
        <w:t>EVANS, J.</w:t>
      </w:r>
    </w:p>
    <w:p w:rsidR="00B96CF5" w:rsidP="00644A6E" w14:paraId="0C807FE6" w14:textId="77777777">
      <w:pPr>
        <w:tabs>
          <w:tab w:val="left" w:pos="1440"/>
        </w:tabs>
        <w:rPr>
          <w:b/>
          <w:bCs/>
        </w:rPr>
      </w:pPr>
      <w:r w:rsidRPr="00CA5D6E">
        <w:rPr>
          <w:b/>
          <w:bCs/>
        </w:rPr>
        <w:t>We Concur:</w:t>
      </w:r>
      <w:bookmarkStart w:id="16" w:name="initials"/>
      <w:bookmarkEnd w:id="16"/>
    </w:p>
    <w:p w:rsidR="00A54982" w:rsidRPr="00A54982" w:rsidP="00563B18" w14:paraId="0C807FE7" w14:textId="132F102E">
      <w:pPr>
        <w:tabs>
          <w:tab w:val="left" w:pos="1440"/>
        </w:tabs>
        <w:spacing w:after="0" w:line="240" w:lineRule="auto"/>
        <w:rPr>
          <w:rFonts w:eastAsia="Batang"/>
          <w:b/>
          <w:bCs/>
        </w:rPr>
      </w:pPr>
      <w:r w:rsidRPr="00A54982">
        <w:rPr>
          <w:rFonts w:eastAsia="Batang"/>
          <w:b/>
          <w:bCs/>
        </w:rPr>
        <w:t>GUERRERO, C.</w:t>
      </w:r>
      <w:r w:rsidR="00123520">
        <w:rPr>
          <w:rFonts w:eastAsia="Batang"/>
          <w:b/>
          <w:bCs/>
        </w:rPr>
        <w:t> </w:t>
      </w:r>
      <w:r w:rsidRPr="00A54982">
        <w:rPr>
          <w:rFonts w:eastAsia="Batang"/>
          <w:b/>
          <w:bCs/>
        </w:rPr>
        <w:t>J.</w:t>
      </w:r>
    </w:p>
    <w:p w:rsidR="00A54982" w:rsidRPr="00A54982" w:rsidP="00563B18" w14:paraId="0C807FE8" w14:textId="77777777">
      <w:pPr>
        <w:tabs>
          <w:tab w:val="left" w:pos="1440"/>
        </w:tabs>
        <w:spacing w:after="0" w:line="240" w:lineRule="auto"/>
        <w:rPr>
          <w:rFonts w:eastAsia="Batang"/>
          <w:b/>
          <w:bCs/>
        </w:rPr>
      </w:pPr>
      <w:r w:rsidRPr="00A54982">
        <w:rPr>
          <w:rFonts w:eastAsia="Batang"/>
          <w:b/>
          <w:bCs/>
        </w:rPr>
        <w:t>CORRIGAN, J.</w:t>
      </w:r>
    </w:p>
    <w:p w:rsidR="00A54982" w:rsidRPr="00A54982" w:rsidP="00563B18" w14:paraId="0C807FE9" w14:textId="77777777">
      <w:pPr>
        <w:tabs>
          <w:tab w:val="left" w:pos="1440"/>
        </w:tabs>
        <w:spacing w:after="0" w:line="240" w:lineRule="auto"/>
        <w:rPr>
          <w:rFonts w:eastAsia="Batang"/>
          <w:b/>
          <w:bCs/>
        </w:rPr>
      </w:pPr>
      <w:r w:rsidRPr="00A54982">
        <w:rPr>
          <w:rFonts w:eastAsia="Batang"/>
          <w:b/>
          <w:bCs/>
        </w:rPr>
        <w:t>LIU, J.</w:t>
      </w:r>
    </w:p>
    <w:p w:rsidR="00A54982" w:rsidRPr="00A54982" w:rsidP="00563B18" w14:paraId="0C807FEA" w14:textId="77777777">
      <w:pPr>
        <w:tabs>
          <w:tab w:val="left" w:pos="1440"/>
        </w:tabs>
        <w:spacing w:after="0" w:line="240" w:lineRule="auto"/>
        <w:rPr>
          <w:rFonts w:eastAsia="Batang"/>
          <w:b/>
          <w:bCs/>
        </w:rPr>
      </w:pPr>
      <w:r w:rsidRPr="00A54982">
        <w:rPr>
          <w:rFonts w:eastAsia="Batang"/>
          <w:b/>
          <w:bCs/>
        </w:rPr>
        <w:t>GROBAN, J.</w:t>
      </w:r>
    </w:p>
    <w:p w:rsidR="0091361A" w:rsidP="00563B18" w14:paraId="4CB47397" w14:textId="77777777">
      <w:pPr>
        <w:tabs>
          <w:tab w:val="left" w:pos="1440"/>
        </w:tabs>
        <w:spacing w:after="0" w:line="240" w:lineRule="auto"/>
        <w:rPr>
          <w:rFonts w:eastAsia="Batang"/>
          <w:b/>
          <w:bCs/>
        </w:rPr>
        <w:sectPr w:rsidSect="00DB61EC">
          <w:footerReference w:type="first" r:id="rId8"/>
          <w:pgSz w:w="12240" w:h="15840"/>
          <w:pgMar w:top="1800" w:right="2160" w:bottom="1440" w:left="2160" w:header="720" w:footer="720" w:gutter="0"/>
          <w:pgNumType w:start="1"/>
          <w:cols w:space="720"/>
          <w:titlePg/>
          <w:docGrid w:linePitch="367"/>
        </w:sectPr>
      </w:pPr>
      <w:r w:rsidRPr="00A54982">
        <w:rPr>
          <w:rFonts w:eastAsia="Batang"/>
          <w:b/>
          <w:bCs/>
        </w:rPr>
        <w:t>JENKINS, J.</w:t>
      </w:r>
    </w:p>
    <w:p w:rsidR="00A673FE" w:rsidRPr="00FD1ECE" w:rsidP="00A673FE" w14:paraId="1796E7F8" w14:textId="77777777">
      <w:pPr>
        <w:jc w:val="center"/>
        <w:rPr>
          <w:bCs/>
          <w:caps/>
        </w:rPr>
      </w:pPr>
      <w:r w:rsidRPr="00FD1ECE">
        <w:rPr>
          <w:bCs/>
          <w:caps/>
        </w:rPr>
        <w:t xml:space="preserve">Niedermeier </w:t>
      </w:r>
      <w:r w:rsidRPr="00637608">
        <w:rPr>
          <w:bCs/>
        </w:rPr>
        <w:t>v</w:t>
      </w:r>
      <w:r w:rsidRPr="00FD1ECE">
        <w:rPr>
          <w:bCs/>
          <w:caps/>
        </w:rPr>
        <w:t>. FCA US LLC</w:t>
      </w:r>
    </w:p>
    <w:p w:rsidR="00A673FE" w:rsidP="00A673FE" w14:paraId="134DD0E4" w14:textId="77777777">
      <w:pPr>
        <w:jc w:val="center"/>
        <w:rPr>
          <w:iCs/>
        </w:rPr>
      </w:pPr>
      <w:r w:rsidRPr="00FD1ECE">
        <w:rPr>
          <w:iCs/>
        </w:rPr>
        <w:t>S266034</w:t>
      </w:r>
    </w:p>
    <w:p w:rsidR="00A673FE" w:rsidP="00A673FE" w14:paraId="2B536C5B" w14:textId="77777777">
      <w:pPr>
        <w:jc w:val="center"/>
        <w:rPr>
          <w:iCs/>
        </w:rPr>
      </w:pPr>
    </w:p>
    <w:p w:rsidR="00A673FE" w:rsidRPr="00FD1ECE" w:rsidP="00A673FE" w14:paraId="3A70BB5F" w14:textId="77777777">
      <w:pPr>
        <w:jc w:val="center"/>
        <w:rPr>
          <w:iCs/>
        </w:rPr>
      </w:pPr>
      <w:r>
        <w:rPr>
          <w:iCs/>
        </w:rPr>
        <w:t>Concurring Opinion by Justice Kruger</w:t>
      </w:r>
    </w:p>
    <w:p w:rsidR="00A673FE" w:rsidP="00A673FE" w14:paraId="11D0FCF6" w14:textId="77777777">
      <w:pPr>
        <w:spacing w:line="480" w:lineRule="atLeast"/>
        <w:ind w:firstLine="720"/>
      </w:pPr>
    </w:p>
    <w:p w:rsidR="00A673FE" w:rsidP="00A673FE" w14:paraId="19852DDB" w14:textId="77777777">
      <w:pPr>
        <w:ind w:firstLine="720"/>
      </w:pPr>
      <w:r>
        <w:t>Car manufacturer FCA US LLC willfully violated its duties under California’s lemon law when it repeatedly refused to accept the return of Lisa Niedermeier’s defective Jeep for replacement or a refund of the $40,000 she paid for it.  Niedermeier eventually gave up on FCA and went to an unaffiliated dealership, where she traded in the defective Jeep for a working vehicle.  Niedermeier sued FCA for her damages, including a full $40,000 refund.  FCA now argues that because Niedermeier did not return the Jeep but instead traded it in for another car, FCA is entitled to subtract from her damages the likely inflated $19,000 trade-in credit she received for the Jeep.  Never mind that the reason Niedermeier did not return the defective Jeep to FCA is that FCA had refused to accept it and promptly pay restitution, in willful violation of California’s lemon law.</w:t>
      </w:r>
    </w:p>
    <w:p w:rsidR="00A673FE" w:rsidP="00A673FE" w14:paraId="253CDEC9" w14:textId="77777777">
      <w:pPr>
        <w:ind w:firstLine="720"/>
      </w:pPr>
      <w:r>
        <w:t xml:space="preserve">FCA’s argument is all but self-refuting, and the court rightly rejects it.  The majority opinion holds that under California’s lemon law, a car buyer is entitled to a full refund for a defective vehicle even if the buyer has in the meantime traded it in or sold it to a third party — with the qualification that this rule applies “at least” where, as in this case, the buyer “has been </w:t>
      </w:r>
      <w:r w:rsidRPr="00CB7AFE">
        <w:t>forced</w:t>
      </w:r>
      <w:r>
        <w:t xml:space="preserve">” to trade in or sell the defective vehicle because of “the manufacturer’s failure to comply with the [Song-Beverly Consumer Warranty] Act.”  </w:t>
      </w:r>
      <w:r w:rsidRPr="0059714E">
        <w:t xml:space="preserve">(Maj. opn., </w:t>
      </w:r>
      <w:r w:rsidRPr="0059714E">
        <w:rPr>
          <w:i/>
          <w:iCs/>
        </w:rPr>
        <w:t>ante</w:t>
      </w:r>
      <w:r w:rsidRPr="0059714E">
        <w:t>, at p.</w:t>
      </w:r>
      <w:r>
        <w:t> 3</w:t>
      </w:r>
      <w:r w:rsidRPr="0059714E">
        <w:t>.)</w:t>
      </w:r>
      <w:r>
        <w:t xml:space="preserve">  I write separately to explain how I understand this holding, including both the rule and the suggestion that the rule may have limits.  I also write to explain why, in my view, such limits are important to a full understanding of the lemon law in light of its overarching consumer-protection purposes.</w:t>
      </w:r>
    </w:p>
    <w:p w:rsidR="00A673FE" w:rsidP="00A673FE" w14:paraId="2B3B8FA6" w14:textId="77777777">
      <w:pPr>
        <w:ind w:firstLine="720"/>
      </w:pPr>
      <w:r>
        <w:t>As I read the law, if a car proves defective, the buyer ordinarily must return the car to the manufacturer in order to receive a replacement vehicle or refund.  The car manufacturer may then resell the returned car, but first must disclose to prospective buyers that the car has been designated a lemon.  This usual order of operations ensures that original buyers are appropriately compensated when their cars cannot be made to conform to their warranties within a reasonable time, while also protecting prospective buyers from inadvertently purchasing vehicles that have a history of serious defects.  But all bets are necessarily off if the manufacturer willfully thwarts the buyer’s efforts to return the vehicle for a replacement or refund, which is what happened here.  If the car buyer then engages in reasonable self-help by selling the car or trading it in for another vehicle, the manufacturer is not entitled to pocket the proceeds and thereby profit from its willful misconduct.</w:t>
      </w:r>
    </w:p>
    <w:p w:rsidR="00A673FE" w:rsidRPr="0077555B" w:rsidP="00A673FE" w14:paraId="2702A9D9" w14:textId="77777777">
      <w:pPr>
        <w:pStyle w:val="Heading1"/>
      </w:pPr>
      <w:r w:rsidRPr="0077555B">
        <w:t>I.</w:t>
      </w:r>
    </w:p>
    <w:p w:rsidR="00A673FE" w:rsidP="00A673FE" w14:paraId="2C3ABBCE" w14:textId="77777777">
      <w:pPr>
        <w:ind w:firstLine="720"/>
      </w:pPr>
      <w:r>
        <w:t>California’s lemon law,</w:t>
      </w:r>
      <w:r w:rsidRPr="0018373E">
        <w:t xml:space="preserve"> </w:t>
      </w:r>
      <w:r>
        <w:t xml:space="preserve">formally known as the Song-Beverly Consumer Warranty Act (the Act), Civil Code section 1790 et seq., is a consumer protection law aimed specifically at new car buyers, who often depend on those cars to get to work, to take their children to school, and to handle myriad other daily necessities of life.  Among other things, the law places affirmative obligations on car manufacturers to back up the warranty promises made in connection with the sale of their products.  </w:t>
      </w:r>
    </w:p>
    <w:p w:rsidR="00A673FE" w:rsidP="00A673FE" w14:paraId="64439CBC" w14:textId="77777777">
      <w:pPr>
        <w:ind w:firstLine="720"/>
      </w:pPr>
      <w:r>
        <w:t xml:space="preserve">The dispute in this case centers on the meaning of various provisions of the lemon law addressing what happens when a car manufacturer is unable to make a car conform to its warranty after a reasonable number of attempts.  One set of provisions concerns a buyer’s remedies.  The first of these provisions, Civil Code section 1793.2, subdivision (d)(2) (section 1793.2(d)(2)), provides that if the manufacturer has had a reasonable amount of time to repair the vehicle and still cannot get it done, the manufacturer has an obligation to “promptly” replace the defective vehicle or “make restitution” by refunding the buyer.  (See </w:t>
      </w:r>
      <w:r w:rsidRPr="0098627C">
        <w:rPr>
          <w:i/>
          <w:iCs/>
        </w:rPr>
        <w:t>Kirzhner v. Mercedes-Benz USA, LLC</w:t>
      </w:r>
      <w:r w:rsidRPr="0098627C">
        <w:t xml:space="preserve"> (2020) 9 Cal.5th 966, 971.)</w:t>
      </w:r>
      <w:r>
        <w:t xml:space="preserve">  Appellate case law makes clear that this replace-or-refund obligation exists whether or not the buyer asks; it is the manufacturer’s “affirmative duty to replace a vehicle or make restitution to the buyer if the manufacturer is unable to repair the new vehicle after a reasonable number of repair attempts.”  (</w:t>
      </w:r>
      <w:r w:rsidRPr="005E78EE">
        <w:rPr>
          <w:i/>
          <w:iCs/>
        </w:rPr>
        <w:t>Krotin v. Porsche Cars North America, Inc.</w:t>
      </w:r>
      <w:r>
        <w:t xml:space="preserve"> (1995) 38 Cal.App.4th 294, 303.)</w:t>
      </w:r>
    </w:p>
    <w:p w:rsidR="00A673FE" w:rsidP="00A673FE" w14:paraId="10E0BC67" w14:textId="77777777">
      <w:pPr>
        <w:ind w:firstLine="720"/>
      </w:pPr>
      <w:r>
        <w:t>This process is meant to work without court involvement.  But if a manufacturer does not comply with its obligation to promptly repurchase or replace the defective vehicle, the buyer may turn to a second provision of the law, Civil Code section 1794 (section 1794), which creates “an action for the recovery of damages and other legal and equitable relief.”  (§ 1794, subd. (a).)  A successful claimant in a suit under section 1794 is entitled to reasonable attorney’s fees and costs (</w:t>
      </w:r>
      <w:r>
        <w:rPr>
          <w:i/>
          <w:iCs/>
        </w:rPr>
        <w:t>id.</w:t>
      </w:r>
      <w:r>
        <w:t>, subds. (d), (e)(1)), as well as damages whose measure “shall include the rights of replacement or reimbursement as set forth in subdivision (d) of Section 1793.2, and” provisions of the California Uniform Commercial Code governing the damages ordinarily available to a buyer of nonconforming commercial goods.  (</w:t>
      </w:r>
      <w:r w:rsidRPr="00913BF1">
        <w:rPr>
          <w:i/>
          <w:iCs/>
        </w:rPr>
        <w:t>Id</w:t>
      </w:r>
      <w:r>
        <w:t xml:space="preserve">., subd. (b).)  </w:t>
      </w:r>
    </w:p>
    <w:p w:rsidR="00A673FE" w:rsidP="00A673FE" w14:paraId="18A888AC" w14:textId="77777777">
      <w:pPr>
        <w:ind w:firstLine="720"/>
      </w:pPr>
      <w:r>
        <w:t xml:space="preserve">The law also provides for penalties to punish and deter willful violations.  </w:t>
      </w:r>
      <w:r w:rsidRPr="00673A69">
        <w:t xml:space="preserve">Appellate case law treats the manufacturer’s violation as not willful “if </w:t>
      </w:r>
      <w:r>
        <w:t xml:space="preserve">[its] </w:t>
      </w:r>
      <w:r w:rsidRPr="00673A69">
        <w:t xml:space="preserve">failure to replace or refund was the result of a good faith and reasonable belief the facts imposing the statutory obligation were not present.  This might be the case, for example, if the manufacturer reasonably believed the product </w:t>
      </w:r>
      <w:r w:rsidRPr="0059714E">
        <w:rPr>
          <w:i/>
          <w:iCs/>
        </w:rPr>
        <w:t>did</w:t>
      </w:r>
      <w:r w:rsidRPr="00673A69">
        <w:t xml:space="preserve"> conform to the warranty, or a reasonable number of repair attempts had not been made, or the buyer desired further repair rather than replacement or refund.”  (</w:t>
      </w:r>
      <w:r w:rsidRPr="001B4BE7">
        <w:rPr>
          <w:i/>
          <w:iCs/>
        </w:rPr>
        <w:t>Kwan v. Mercedes-Benz of North America, Inc.</w:t>
      </w:r>
      <w:r w:rsidRPr="00673A69">
        <w:t xml:space="preserve"> (1994) 23 Cal.App.4th 174, 185.)</w:t>
      </w:r>
      <w:r>
        <w:t xml:space="preserve">  If, however, a manufacturer violates the statute without such a good faith and reasonable belief, the judgment may include a civil penalty of up to two times the amount of actual damages.  (§ 1794, subd. (c).)  </w:t>
      </w:r>
    </w:p>
    <w:p w:rsidR="00A673FE" w:rsidRPr="00B77599" w:rsidP="00A673FE" w14:paraId="148FEC61" w14:textId="77777777">
      <w:pPr>
        <w:ind w:firstLine="720"/>
      </w:pPr>
      <w:r>
        <w:t xml:space="preserve">That is the set of provisions governing the remedies available to the buyer of a defective car, and which forms the centerpiece of the dispute before us.  There is also, however, a second set of provisions relevant to our inquiry, which are the provisions governing what’s supposed to happen to the car after it is found to be defective.  A car that has once been labeled a lemon because it could not be made to conform to its warranty within a reasonable time is not necessarily worthless, and it may be resold.  But to prevent reselling defective or once-defective vehicles “without notice to the subsequent purchaser” (Civ. Code, § 1793.23, subd. (a)(2)), the law imposes various labeling and notification requirements on the manufacturer that has “reacquired” a vehicle that is “required by law to be replaced” or “accepted for restitution” under section 1793.2(d)(2) or under comparable laws in other jurisdictions (Civ. Code, § 1793.23, subd. (c); see also </w:t>
      </w:r>
      <w:r w:rsidRPr="0059714E">
        <w:rPr>
          <w:i/>
          <w:iCs/>
        </w:rPr>
        <w:t>id</w:t>
      </w:r>
      <w:r>
        <w:t>., subds. (d)–(f)).</w:t>
      </w:r>
    </w:p>
    <w:p w:rsidR="00A673FE" w:rsidP="00A673FE" w14:paraId="706BFA0F" w14:textId="2622D450">
      <w:pPr>
        <w:ind w:firstLine="720"/>
      </w:pPr>
      <w:r>
        <w:t xml:space="preserve">Specifically, before the manufacturer resells, leases, or transfers the car, the manufacturer must instruct the Department of Motor Vehicles to “inscribe the ownership certificate with the notation ‘Lemon Law Buyback,’ ” and “affix a decal to the vehicle” indicating that it has been designated a “ ‘Lemon Law Buyback.’ ”  (Civ. Code, § 1793.23, subd. (c); Veh. Code, § 11713.12, subd. (a).)  The manufacturer must also provide written notice to the transferee of the nonconformities reported by the original buyer or lessee and of any repairs attempted to correct the </w:t>
      </w:r>
      <w:r w:rsidR="00A97290">
        <w:t>nonconformity</w:t>
      </w:r>
      <w:r>
        <w:t>.  (Civ. Code, §§ 1793.23, subd. (d), 1793.24, subd. (a)(3)–(4).)  The Act likewise prohibits the sale, lease, or transfer of a vehicle “transferred by a buyer or lessee to a manufacturer pursuant to [section 1793.2(d)(2)] or a similar statute of any other state” absent disclosure of the vehicle’s nonconformities, correction of those nonconformities, and a one-year manufacturer warranty that the vehicle is free of the nonconformities.  (</w:t>
      </w:r>
      <w:r>
        <w:rPr>
          <w:i/>
          <w:iCs/>
        </w:rPr>
        <w:t>Id.</w:t>
      </w:r>
      <w:r>
        <w:t xml:space="preserve">, § 1793.22, subd. (f)(1); see generally </w:t>
      </w:r>
      <w:r>
        <w:rPr>
          <w:i/>
          <w:iCs/>
        </w:rPr>
        <w:t>Niedermeier v. FCA US LLC</w:t>
      </w:r>
      <w:r>
        <w:t xml:space="preserve"> (2020) 56 Cal.App.5th 1052, 1065–1066.)</w:t>
      </w:r>
    </w:p>
    <w:p w:rsidR="00A673FE" w:rsidRPr="00D67BC9" w:rsidP="00A673FE" w14:paraId="796513D2" w14:textId="77777777">
      <w:pPr>
        <w:pStyle w:val="Heading1"/>
        <w:rPr>
          <w:b w:val="0"/>
        </w:rPr>
      </w:pPr>
      <w:r w:rsidRPr="0059714E">
        <w:rPr>
          <w:smallCaps w:val="0"/>
        </w:rPr>
        <w:t>II.</w:t>
      </w:r>
    </w:p>
    <w:p w:rsidR="00A673FE" w:rsidP="00A673FE" w14:paraId="35B66197" w14:textId="77777777">
      <w:r>
        <w:tab/>
        <w:t xml:space="preserve">The threshold question in this case is whether the plain language of the statute forecloses FCA’s argument for calculating Niedermeier’s damages by subtracting the trade-in value of the Jeep from the original purchase price.  The plain-language argument goes something like this:  Section 1794 says that a car manufacturer that violates its lemon law duties must pay damages including “replacement or reimbursement as set forth in subdivision (d) of Section 1793.2.”  (§ 1794, subd. (b).)  And the restitutionary remedies in section 1793.2(d)(2) specify precisely what this means.  A manufacturer required to reimburse the buyer for a defective car must pay the actual price of the vehicle but may make reductions for </w:t>
      </w:r>
      <w:r w:rsidRPr="00291FBA">
        <w:t>nonmanufacturer items installed by a dealer or the buyer</w:t>
      </w:r>
      <w:r>
        <w:t xml:space="preserve">, and the amount directly attributable to the vehicle’s use by the buyer before first delivering it for correction of the warranty nonconformity.  </w:t>
      </w:r>
      <w:r w:rsidRPr="00291FBA">
        <w:t>(§</w:t>
      </w:r>
      <w:r>
        <w:t> </w:t>
      </w:r>
      <w:r w:rsidRPr="00291FBA">
        <w:t>1793.2(d)(2)(B)</w:t>
      </w:r>
      <w:r>
        <w:t>, (C).</w:t>
      </w:r>
      <w:r w:rsidRPr="00291FBA">
        <w:t>)</w:t>
      </w:r>
      <w:r>
        <w:t xml:space="preserve">  </w:t>
      </w:r>
      <w:r w:rsidRPr="00FA779C">
        <w:t>B</w:t>
      </w:r>
      <w:r>
        <w:t xml:space="preserve">ut those provisions do not say anything about reducing the reimbursement amount by the trade-in or resale value a buyer receives for </w:t>
      </w:r>
      <w:r w:rsidRPr="00FA779C">
        <w:t xml:space="preserve">the defective </w:t>
      </w:r>
      <w:r>
        <w:t xml:space="preserve">vehicle.  By negative implication, then, a manufacturer may not reduce the reimbursement amount by whatever proceeds the buyer may have received through selling or trading in the car to a third party. </w:t>
      </w:r>
    </w:p>
    <w:p w:rsidR="00A673FE" w:rsidP="00A673FE" w14:paraId="30CAB2E6" w14:textId="77777777">
      <w:pPr>
        <w:ind w:firstLine="720"/>
      </w:pPr>
      <w:r>
        <w:t xml:space="preserve">The majority walks through this argument (maj. opn., </w:t>
      </w:r>
      <w:r>
        <w:rPr>
          <w:i/>
          <w:iCs/>
        </w:rPr>
        <w:t>ante</w:t>
      </w:r>
      <w:r>
        <w:t>, at pp. 10–23), but it also, in the end, acknowledges that a “potential ambiguity” in the statutory language makes it appropriate to consider legislative history and the purposes and policies underlying the lemon law in arriving at the conclusions the court reaches today (</w:t>
      </w:r>
      <w:r>
        <w:rPr>
          <w:i/>
          <w:iCs/>
        </w:rPr>
        <w:t>id.</w:t>
      </w:r>
      <w:r>
        <w:t xml:space="preserve"> at p. 24).  I emphatically agree the statute is ambiguous.</w:t>
      </w:r>
    </w:p>
    <w:p w:rsidR="00A673FE" w:rsidP="00A673FE" w14:paraId="6B3E019C" w14:textId="77777777">
      <w:pPr>
        <w:ind w:firstLine="720"/>
      </w:pPr>
      <w:r>
        <w:t xml:space="preserve">Looking at sections 1793.2(d)(2) and 1794 in isolation, the idea that the plain language of the provisions answers the question has some superficial appeal.  The difficulty with the plain-language argument, however, is that it would seem to prove too much.  The restitutionary remedy in section 1793.2(d)(2) is not specific to cases like this one, in which a car manufacturer has willfully violated its duties to make a prompt offer of replacement or refund.  Indeed, section 1793.2(d)(2) does not address </w:t>
      </w:r>
      <w:r>
        <w:rPr>
          <w:i/>
          <w:iCs/>
        </w:rPr>
        <w:t>violations</w:t>
      </w:r>
      <w:r>
        <w:t xml:space="preserve"> of those duties at all; it is what tells car manufacturers what they must do in the first instance to </w:t>
      </w:r>
      <w:r>
        <w:rPr>
          <w:i/>
          <w:iCs/>
        </w:rPr>
        <w:t>avoid</w:t>
      </w:r>
      <w:r>
        <w:t xml:space="preserve"> violating their duties.  By suggesting that section 1793.2(d)(2) categorically entitles a car buyer to trade in or sell a defective vehicle to a third party, retain the proceeds, and still demand a full refund of the purchase price (or even a brand-new replacement vehicle from the manufacturer), the plain-language argument would seem to provide an avenue for double recovery in every lemon law case, regardless of whether the manufacturer has done anything wrong.  This is not the only way — or even a particularly likely way — to understand the text of the relevant remedial provisions.</w:t>
      </w:r>
      <w:r>
        <w:rPr>
          <w:rStyle w:val="FootnoteReference"/>
        </w:rPr>
        <w:footnoteReference w:id="14"/>
      </w:r>
    </w:p>
    <w:p w:rsidR="00A673FE" w:rsidP="00A673FE" w14:paraId="44D0B8A1" w14:textId="77777777">
      <w:pPr>
        <w:ind w:firstLine="720"/>
      </w:pPr>
      <w:r>
        <w:t xml:space="preserve">One reason is the one the majority expressly identifies:  Allowing across-the-board double recovery for lemon law plaintiffs arguably overshoots what the Legislature was aiming at when it provided for damages to include a right of “restitution,” even if that right is statutory rather than based in common law.  (Maj. opn., </w:t>
      </w:r>
      <w:r>
        <w:rPr>
          <w:i/>
          <w:iCs/>
        </w:rPr>
        <w:t>ante</w:t>
      </w:r>
      <w:r>
        <w:t xml:space="preserve">, at p. 24; see </w:t>
      </w:r>
      <w:r>
        <w:rPr>
          <w:i/>
          <w:iCs/>
        </w:rPr>
        <w:t>Alder v. Drudis</w:t>
      </w:r>
      <w:r>
        <w:t xml:space="preserve"> (1947) 30 Cal.2d 372, 384 [“[t]he purpose of restitution as a remedy for [contract] breach is the restoration of the </w:t>
      </w:r>
      <w:r w:rsidRPr="00F1156F">
        <w:rPr>
          <w:i/>
          <w:iCs/>
        </w:rPr>
        <w:t>status quo ante</w:t>
      </w:r>
      <w:r>
        <w:t xml:space="preserve"> as far as is practicable”].)  </w:t>
      </w:r>
    </w:p>
    <w:p w:rsidR="00A673FE" w:rsidP="00A673FE" w14:paraId="1647D52D" w14:textId="77777777">
      <w:pPr>
        <w:ind w:firstLine="720"/>
      </w:pPr>
      <w:r>
        <w:t>But the more fundamental reason, as I see it, relates to the relationship between section 1793.2(d)(2) and related provisions governing what is supposed to happen to a car after it has proved defective.  If the statute does not specify that resale or trade-in values are to be excluded from the “restitution” for which section 1793.2(d)(2) provides, that may simply be because the statute does not anticipate the scenario in which a car buyer seeks a full refund or replacement vehicle despite having sold the defective car to a third party.</w:t>
      </w:r>
    </w:p>
    <w:p w:rsidR="00A673FE" w:rsidRPr="00B75438" w:rsidP="00A673FE" w14:paraId="5CC9ED46" w14:textId="77777777">
      <w:pPr>
        <w:ind w:firstLine="720"/>
      </w:pPr>
      <w:r>
        <w:t xml:space="preserve">Again, recall that section 1793.2(d)(2) is not written as a remedy for manufacturer wrongdoing; it is, rather, the provision that tells the manufacturer what it must do when a defective car doesn’t live up to the warranty.  The assumption running through the statute appears to be that, in the ordinary course, if it appears that a car cannot be made to conform to the warranty within a reasonable number of repair attempts, the manufacturer will offer replacement or restitution and will reacquire the car in exchange.  </w:t>
      </w:r>
    </w:p>
    <w:p w:rsidR="00A673FE" w:rsidP="00A673FE" w14:paraId="49A06CAC" w14:textId="77777777">
      <w:pPr>
        <w:ind w:firstLine="720"/>
      </w:pPr>
      <w:r>
        <w:t xml:space="preserve">This assumption is most clearly evident in the Act’s labeling and notification provisions governing “Lemon Law Buyback” (Civ. Code, § 1793.23), which impose on manufacturers multiple requirements designed to disclose a defective vehicle’s past before the vehicle can be sold to another buyer.  These provisions expressly refer to cars “accepted for restitution” under section 1793.2(d)(2) — suggesting that the cars will, in fact, be returned to the manufacturer in exchange for the restitution described in that section.  (Civ. Code, § 1793.23, </w:t>
      </w:r>
      <w:r w:rsidRPr="00F1156F">
        <w:t>subds.</w:t>
      </w:r>
      <w:r>
        <w:t> </w:t>
      </w:r>
      <w:r w:rsidRPr="00F1156F">
        <w:t>(c)–(e)</w:t>
      </w:r>
      <w:r>
        <w:t xml:space="preserve">.)  And, perhaps more fundamentally, the labeling and notification provisions can serve their essential purpose of protecting downstream consumers in the used-car market only if the manufacturers have the chance to comply, which means the cars must somehow find their way back into the manufacturers’ hands.  </w:t>
      </w:r>
    </w:p>
    <w:p w:rsidR="00A673FE" w:rsidP="00A673FE" w14:paraId="2A75DEF3" w14:textId="77777777">
      <w:pPr>
        <w:ind w:firstLine="720"/>
      </w:pPr>
      <w:r>
        <w:t>None of this is, or should be, especially controversial.  Indeed, Niedermeier’s counsel acknowledged at oral argument that the idea that a car buyer will return the defective vehicle in exchange for replacement or full refund is “</w:t>
      </w:r>
      <w:r w:rsidRPr="00890AC8">
        <w:t>embedded</w:t>
      </w:r>
      <w:r>
        <w:t>”</w:t>
      </w:r>
      <w:r w:rsidRPr="00890AC8">
        <w:t xml:space="preserve"> in the </w:t>
      </w:r>
      <w:r>
        <w:t>statutory framework that describes what is supposed to transpire when a manufacturer cannot conform a vehicle to its warranty, even if the lemon law may not say so in explicit terms</w:t>
      </w:r>
      <w:r w:rsidRPr="00890AC8">
        <w:t>.</w:t>
      </w:r>
      <w:r>
        <w:t xml:space="preserve">  The restitutionary remedy in section 1793.2(d)(2) appears built on this premise:  The buyer returns the defective vehicle, the manufacturer accepts it and in return offers the buyer her choice of a refund or a replacement vehicle.</w:t>
      </w:r>
      <w:r>
        <w:rPr>
          <w:rStyle w:val="FootnoteReference"/>
        </w:rPr>
        <w:footnoteReference w:id="15"/>
      </w:r>
      <w:r>
        <w:t xml:space="preserve"> </w:t>
      </w:r>
    </w:p>
    <w:p w:rsidR="00A673FE" w:rsidP="00A673FE" w14:paraId="06F6C94D" w14:textId="77777777">
      <w:pPr>
        <w:ind w:firstLine="720"/>
      </w:pPr>
      <w:r>
        <w:t>The problem we confront here raises a set of issues as to which the statute provides no express instruction.  What happens if the buyer doesn’t</w:t>
      </w:r>
      <w:r>
        <w:rPr>
          <w:i/>
          <w:iCs/>
        </w:rPr>
        <w:t xml:space="preserve"> </w:t>
      </w:r>
      <w:r>
        <w:t xml:space="preserve">return the vehicle — because, as occurred here, the manufacturer refuses to take the car back — and the buyer then trades it in or sells it to a third party?  Is the buyer entitled to a full refund or replacement?  The statute offers no clear answers. </w:t>
      </w:r>
    </w:p>
    <w:p w:rsidR="00A673FE" w:rsidRPr="00AC20C4" w:rsidP="00A673FE" w14:paraId="44954B37" w14:textId="77777777">
      <w:pPr>
        <w:ind w:firstLine="720"/>
      </w:pPr>
      <w:r>
        <w:t xml:space="preserve">To navigate this hazy area of the lemon law, we can look, as the majority says, to the legislative history and, ultimately, to the law’s purposes as they relate to the issue before us.  </w:t>
      </w:r>
      <w:r w:rsidRPr="00D7718F">
        <w:t xml:space="preserve">(Maj. opn., </w:t>
      </w:r>
      <w:r w:rsidRPr="00D7718F">
        <w:rPr>
          <w:i/>
          <w:iCs/>
        </w:rPr>
        <w:t>ante</w:t>
      </w:r>
      <w:r w:rsidRPr="00D7718F">
        <w:t>, at p. 2</w:t>
      </w:r>
      <w:r>
        <w:t>4</w:t>
      </w:r>
      <w:r w:rsidRPr="00D7718F">
        <w:t>.)</w:t>
      </w:r>
      <w:r>
        <w:t xml:space="preserve">  As I understand the majority opinion, the dispositive consideration is an essentially equitable one that focuses on the circumstances of this case and others like it.  If Niedermeier did not return the defective Jeep, it was not for lack of trying.  It was, rather, because FCA willfully refused to accept the return of the Jeep and promptly pay restitution, as it was statutorily required to do.  If the result was that Niedermeier ultimately sold the Jeep in a manner that undercut the labeling and notification requirements, the fault belongs with FCA, which effectively forced Niedermeier into that position.  FCA should not then be permitted to profit from its intransigence by subtracting the likely inflated trade-in credit Niedermeier received from the total amount it would otherwise owe Niedermeier in damages.  (Maj. opn., </w:t>
      </w:r>
      <w:r>
        <w:rPr>
          <w:i/>
          <w:iCs/>
        </w:rPr>
        <w:t>ante</w:t>
      </w:r>
      <w:r>
        <w:t xml:space="preserve">, at pp. 30–31, 35–38.)  </w:t>
      </w:r>
    </w:p>
    <w:p w:rsidR="00A673FE" w:rsidRPr="007A7A64" w:rsidP="00A673FE" w14:paraId="2E735852" w14:textId="77777777">
      <w:pPr>
        <w:ind w:firstLine="720"/>
      </w:pPr>
      <w:r>
        <w:t>This is not a particularly novel concept, nor one unique to the lemon law.  It is, rather, essentially a statute-specific application of the well-established equitable principle that “[n]o one can take advantage of his own wrong.”  (Civ. Code, § 3517.)  The problem raised by the calculation of the “restitution” owed to Niedermeier in this case, in other words, evokes the familiar doctrine of unjust enrichment.  The doctrine is “based on the idea that ‘one person should not be permitted unjustly to enrich himself at the expense of another, but should be required to make restitution of or for property or benefits received, retained, or appropriated, where it is just and equitable that such restitution be made.’ ”  (</w:t>
      </w:r>
      <w:r>
        <w:rPr>
          <w:i/>
          <w:iCs/>
        </w:rPr>
        <w:t>County of San Bernardino v. Walsh</w:t>
      </w:r>
      <w:r>
        <w:t xml:space="preserve"> (2007) 158 Cal.App.4th 533, 542.)  “Typically, the defendant’s benefit and the plaintiff’s loss are the same, and restitution requires the defendant to restore the plaintiff to his or her original position.  [Citations.]  The principle of unjust enrichment, however, is broader than mere ‘restoration’ of what the plaintiff lost.”  (</w:t>
      </w:r>
      <w:r>
        <w:rPr>
          <w:i/>
          <w:iCs/>
        </w:rPr>
        <w:t>Ibid.</w:t>
      </w:r>
      <w:r>
        <w:t>)  “The emphasis is on the wrongdoer’s enrichment, not the victim’s loss.  In particular, a person acting in conscious disregard of the rights of another should be required to disgorge all profit because disgorgement both benefits the injured parties and deters the perpetrator from committing the same unlawful actions again.”  (</w:t>
      </w:r>
      <w:r>
        <w:rPr>
          <w:i/>
          <w:iCs/>
        </w:rPr>
        <w:t>Ibid.</w:t>
      </w:r>
      <w:r>
        <w:t xml:space="preserve">; see </w:t>
      </w:r>
      <w:r>
        <w:rPr>
          <w:i/>
          <w:iCs/>
        </w:rPr>
        <w:t>Ward v. Taggart</w:t>
      </w:r>
      <w:r>
        <w:t xml:space="preserve"> (1959) 51 Cal.2d 736, 741–742; Rest.3d Restitution and Unjust Enrichment, § 1.)</w:t>
      </w:r>
    </w:p>
    <w:p w:rsidR="00A673FE" w:rsidP="00A673FE" w14:paraId="1A100561" w14:textId="77777777">
      <w:pPr>
        <w:ind w:firstLine="720"/>
      </w:pPr>
      <w:r>
        <w:t>Consideration of unjust enrichment principles offers an explanation for the conclusion that a manufacturer obligated to pay lemon law damages may not withhold the amounts it would otherwise save through its willful violation of section 1793.2(d)(2) — which is to say, its “conscious disregard” of the buyer’s statutory rights and of its own statutory duties.  (</w:t>
      </w:r>
      <w:r>
        <w:rPr>
          <w:i/>
          <w:iCs/>
        </w:rPr>
        <w:t>County of San Bernardino v. Walsh</w:t>
      </w:r>
      <w:r>
        <w:t xml:space="preserve">, </w:t>
      </w:r>
      <w:r>
        <w:rPr>
          <w:i/>
          <w:iCs/>
        </w:rPr>
        <w:t>supra</w:t>
      </w:r>
      <w:r>
        <w:t xml:space="preserve">, 158 Cal.App.4th at p. 542; see Rest.3d Restitution and Unjust Enrichment, </w:t>
      </w:r>
      <w:r w:rsidRPr="007833D4">
        <w:rPr>
          <w:i/>
          <w:iCs/>
        </w:rPr>
        <w:t>supra</w:t>
      </w:r>
      <w:r>
        <w:t xml:space="preserve">, § 51, subd. (4) [“unjust enrichment of a conscious wrongdoer . . . is the net profit attributable to the underlying wrong”]; </w:t>
      </w:r>
      <w:r w:rsidRPr="0033083E">
        <w:rPr>
          <w:i/>
          <w:iCs/>
        </w:rPr>
        <w:t>American Master Lease LLC v. Idanta Partners, Ltd.</w:t>
      </w:r>
      <w:r>
        <w:t xml:space="preserve"> (2014) 225 Cal.App.4th 1451, 1487 [same].)  Through its misconduct — unjustly refusing to accept Niedermeier’s Jeep for restitution even after multiple repair efforts had failed to make the Jeep safe to drive — FCA effectively “forced” Niedermeier to trade in her Jeep for a working vehicle (maj. opn., </w:t>
      </w:r>
      <w:r>
        <w:rPr>
          <w:i/>
          <w:iCs/>
        </w:rPr>
        <w:t>ante</w:t>
      </w:r>
      <w:r>
        <w:t xml:space="preserve">, at pp. 3, 24, 39, 40), and </w:t>
      </w:r>
      <w:r w:rsidRPr="00111DE2">
        <w:t xml:space="preserve">improperly retained the full restitution to which </w:t>
      </w:r>
      <w:r>
        <w:t>she</w:t>
      </w:r>
      <w:r w:rsidRPr="00111DE2">
        <w:t xml:space="preserve"> was entitled under section 1793.2(d)(2)</w:t>
      </w:r>
      <w:r>
        <w:t>.  Considered in light of unjust enrichment principles, the damages calculation prescribed by sections 1794 and 1793.2(d)(2) cannot be interpreted to reward FCA for this willful wrongdoing.</w:t>
      </w:r>
    </w:p>
    <w:p w:rsidR="00A673FE" w:rsidP="00A673FE" w14:paraId="73AB0791" w14:textId="77777777">
      <w:pPr>
        <w:ind w:firstLine="720"/>
      </w:pPr>
      <w:r>
        <w:t xml:space="preserve">The trial court in this case invoked these principles when it </w:t>
      </w:r>
      <w:r w:rsidRPr="00FF2B65">
        <w:t>rejected FCA’s request for a</w:t>
      </w:r>
      <w:r>
        <w:t xml:space="preserve"> reduction in damages, expressly citing the tenet </w:t>
      </w:r>
      <w:r w:rsidRPr="00FF2B65">
        <w:t xml:space="preserve">that “ ‘[n]o one can take advantage of his own wrong.’ ”  </w:t>
      </w:r>
      <w:r>
        <w:t>And in other cases — also, as it happens, against FCA — courts have rejected similar requests for a reduction in damages with the observation that FCA should not “be compensated for its own willful violation of the law.”  (</w:t>
      </w:r>
      <w:r w:rsidRPr="00D7718F">
        <w:rPr>
          <w:i/>
          <w:iCs/>
        </w:rPr>
        <w:t>Figueroa v. FCA US, LLC</w:t>
      </w:r>
      <w:r>
        <w:t xml:space="preserve"> (2022) 84 Cal.App.5th 708, 713; see also </w:t>
      </w:r>
      <w:r w:rsidRPr="00D7718F">
        <w:rPr>
          <w:i/>
          <w:iCs/>
        </w:rPr>
        <w:t>Williams v. FCA US LLC</w:t>
      </w:r>
      <w:r>
        <w:t xml:space="preserve"> (2023) 88 Cal.App.5th 765, 785 [agreeing with </w:t>
      </w:r>
      <w:r w:rsidRPr="00D7718F">
        <w:rPr>
          <w:i/>
          <w:iCs/>
        </w:rPr>
        <w:t>Figueroa</w:t>
      </w:r>
      <w:r>
        <w:t xml:space="preserve"> and declining to interpret the Act to “reward manufacturer” for its willful refusal to reacquire the vehicle].)  Regardless of whether Niedermeier would otherwise be entitled to trade in her Jeep and pocket the proceeds, any reasonable understanding of the lemon law refutes the idea that FCA is entitled to profit from the course of action that led Niedermeier to that point in this case.</w:t>
      </w:r>
    </w:p>
    <w:p w:rsidR="00A673FE" w:rsidP="00A673FE" w14:paraId="034E41C3" w14:textId="77777777">
      <w:pPr>
        <w:ind w:firstLine="720"/>
      </w:pPr>
      <w:r>
        <w:t xml:space="preserve">Niedermeier invoked the requirements of the Act by presenting her Jeep to FCA for repair; she also specifically asked FCA to accept the Jeep for restitution when many repairs over an extended period did not conform the Jeep to its warranty.  Niedermeier, in other words, </w:t>
      </w:r>
      <w:r w:rsidRPr="00ED339C">
        <w:rPr>
          <w:i/>
          <w:iCs/>
        </w:rPr>
        <w:t>tried</w:t>
      </w:r>
      <w:r>
        <w:t xml:space="preserve"> to return her vehicle to FCA, as the Act envisions, and would have been entitled to recover full restitution as described in section 1793.2(d)(2) if FCA had not willfully violated the Act and refused her return.  Under these circumstances, Niedermeier’s “</w:t>
      </w:r>
      <w:r w:rsidRPr="0086475D">
        <w:t>rights</w:t>
      </w:r>
      <w:r w:rsidRPr="00E62B1A">
        <w:t xml:space="preserve"> of replacement or reimbursement as set forth in subdivision (d) of Section 1793.2</w:t>
      </w:r>
      <w:r>
        <w:t xml:space="preserve">” (§ 1794, subd. (b)), for purposes of measuring her damages, include the full measure of restitution to which she would have been entitled absent FCA’s willful violation of its duties and conscious disregard of her rights.  </w:t>
      </w:r>
    </w:p>
    <w:p w:rsidR="00A673FE" w:rsidP="00A673FE" w14:paraId="6C3D8185" w14:textId="77777777">
      <w:pPr>
        <w:pStyle w:val="Heading1"/>
      </w:pPr>
      <w:r>
        <w:t>III.</w:t>
      </w:r>
    </w:p>
    <w:p w:rsidR="00A673FE" w:rsidP="00A673FE" w14:paraId="0E9EC78E" w14:textId="77777777">
      <w:pPr>
        <w:ind w:firstLine="720"/>
      </w:pPr>
      <w:r>
        <w:t xml:space="preserve">The majority opinion suggests — but does not outright hold — that the result might be different in a different case.  It says that the statute entitles a plaintiff car buyer to a full refund, without any deductions for trade-in or resale value, but adds this qualification:  “at least where, as here, a consumer has been forced to trade in or sell a defective vehicle due to the manufacturer’s failure to comply with the Act.”  (Maj. opn., </w:t>
      </w:r>
      <w:r>
        <w:rPr>
          <w:i/>
          <w:iCs/>
        </w:rPr>
        <w:t>ante</w:t>
      </w:r>
      <w:r>
        <w:t>, at p. 3.)  The majority also makes clear that its holding is limited to circumstances like those presented in this case,  and is leaving open whether the same rule would apply in a case involving a good-faith, reasonable mistake about whether the Act’s replace-or-refund provision applies to a particular vehicle.  (</w:t>
      </w:r>
      <w:r w:rsidRPr="00487D12">
        <w:rPr>
          <w:i/>
          <w:iCs/>
        </w:rPr>
        <w:t>Id</w:t>
      </w:r>
      <w:r>
        <w:t xml:space="preserve">. at pp. 32–33, fn. 8.)  </w:t>
      </w:r>
    </w:p>
    <w:p w:rsidR="00A673FE" w:rsidP="00A673FE" w14:paraId="7C5A3CEB" w14:textId="77777777">
      <w:pPr>
        <w:ind w:firstLine="720"/>
      </w:pPr>
      <w:r>
        <w:t>In my view, the result the court reaches today makes sense precisely because of the circumstances we confront.  Although the majority opinion leaves the limits of its holding for exploration in a future case, those limits are, in my view, important to a full understanding of the law.</w:t>
      </w:r>
    </w:p>
    <w:p w:rsidR="00A673FE" w:rsidP="00A673FE" w14:paraId="2CDFF543" w14:textId="77777777">
      <w:pPr>
        <w:ind w:firstLine="720"/>
      </w:pPr>
      <w:r>
        <w:t xml:space="preserve">There is no real question that a rule the majority applies today results in something of a windfall for the buyer, in that it leaves her better off than she was before she purchased the defective car.  (Accord, maj. opn., </w:t>
      </w:r>
      <w:r>
        <w:rPr>
          <w:i/>
          <w:iCs/>
        </w:rPr>
        <w:t>ante</w:t>
      </w:r>
      <w:r>
        <w:t xml:space="preserve">, at p. 24.)  In a case where she has been forced to sell the car because of the manufacturer’s willful failure to promptly refund or replace the car in accordance with the law, none of this matters.  The reason the buyer in Niedermeier’s position is entitled to a full refund is not because all the money is necessary to make her whole; it is, rather, because it is necessary for the manufacturer to relinquish any claim on the money, in order to avoid rewarding misbehavior and to avoid encouraging a repeat of the same statute-defying stunt in future cases.  (Cf., e.g., </w:t>
      </w:r>
      <w:r w:rsidRPr="003F5658">
        <w:rPr>
          <w:i/>
          <w:iCs/>
        </w:rPr>
        <w:t>Center for Healthcare Education &amp; Research, Inc. v. International Congress for Joint Reconstruction, Inc.</w:t>
      </w:r>
      <w:r>
        <w:t xml:space="preserve"> (2020) 57 Cal.App.5th 1108, 1129 [the </w:t>
      </w:r>
      <w:r w:rsidRPr="003F5658">
        <w:t>“</w:t>
      </w:r>
      <w:r>
        <w:t> ‘</w:t>
      </w:r>
      <w:r w:rsidRPr="003F5658">
        <w:t>profit-based measure of unjust enrichment determines recoveries against conscious wrongdoers</w:t>
      </w:r>
      <w:r>
        <w:t>’ ”</w:t>
      </w:r>
      <w:r w:rsidRPr="003F5658">
        <w:t xml:space="preserve"> and </w:t>
      </w:r>
      <w:r>
        <w:t>“ ‘</w:t>
      </w:r>
      <w:r w:rsidRPr="003F5658">
        <w:t>may potentially exceed any loss to the claimant</w:t>
      </w:r>
      <w:r>
        <w:t>’ </w:t>
      </w:r>
      <w:r w:rsidRPr="003F5658">
        <w:t>”</w:t>
      </w:r>
      <w:r>
        <w:t>].)</w:t>
      </w:r>
      <w:r>
        <w:rPr>
          <w:rStyle w:val="FootnoteReference"/>
        </w:rPr>
        <w:footnoteReference w:id="16"/>
      </w:r>
      <w:r>
        <w:t xml:space="preserve"> </w:t>
      </w:r>
    </w:p>
    <w:p w:rsidR="00A673FE" w:rsidRPr="00806CE8" w:rsidP="00A673FE" w14:paraId="26D0E8C7" w14:textId="77777777">
      <w:pPr>
        <w:ind w:firstLine="720"/>
      </w:pPr>
      <w:r>
        <w:t xml:space="preserve">But it is not hard to see why the Court of Appeal in this case was concerned about adopting a rule that would extend similar treatment across the board, to any buyer of a defective vehicle who might choose to trade in or sell the vehicle for profit rather than give it back to the manufacturer.  Certainly some buyers might choose continued repairs rather than getting rid of the vehicle and “resorting to litigation.”  (Maj. opn., </w:t>
      </w:r>
      <w:r w:rsidRPr="00541731">
        <w:rPr>
          <w:i/>
          <w:iCs/>
        </w:rPr>
        <w:t>ante</w:t>
      </w:r>
      <w:r>
        <w:t xml:space="preserve">, at p. 31; see also </w:t>
      </w:r>
      <w:r w:rsidRPr="00541731">
        <w:rPr>
          <w:i/>
          <w:iCs/>
        </w:rPr>
        <w:t>Kwan v. Mercedes-Benz of North America, Inc.</w:t>
      </w:r>
      <w:r>
        <w:t xml:space="preserve">, </w:t>
      </w:r>
      <w:r w:rsidRPr="00541731">
        <w:rPr>
          <w:i/>
          <w:iCs/>
        </w:rPr>
        <w:t>supra</w:t>
      </w:r>
      <w:r>
        <w:t>, 23 Cal.App.4th at p. 186 [the plaintiff “repeatedly agreed to allow continued repair efforts rather than insisting on replacement or refund”].)  But a rule that guaranteed full reimbursement on top of trade-in or resale profit would almost certainly alter some consumers’ calculations.  If trade-in or resale always yielded the potential for double recovery, one would expect a good number of consumers to go that route.  And as the Court of Appeal explained, the result would be to undermine the operation of the labeling and notification provisions, which depend on buyers returning their defective cars to manufacturers rather than selling their unlabeled lemons into the used-</w:t>
      </w:r>
      <w:r w:rsidRPr="00541731">
        <w:t>car market.  (</w:t>
      </w:r>
      <w:r w:rsidRPr="00541731">
        <w:rPr>
          <w:i/>
          <w:iCs/>
        </w:rPr>
        <w:t>Niedermeier v. FCA US LLC</w:t>
      </w:r>
      <w:r w:rsidRPr="00541731">
        <w:t xml:space="preserve">, </w:t>
      </w:r>
      <w:r w:rsidRPr="00541731">
        <w:rPr>
          <w:i/>
          <w:iCs/>
        </w:rPr>
        <w:t>supra</w:t>
      </w:r>
      <w:r w:rsidRPr="00541731">
        <w:t>, 56 Cal.App.5th at pp. 1071–1072.)</w:t>
      </w:r>
      <w:r>
        <w:t xml:space="preserve">  </w:t>
      </w:r>
    </w:p>
    <w:p w:rsidR="00A673FE" w:rsidP="00A673FE" w14:paraId="377EE12D" w14:textId="77777777">
      <w:pPr>
        <w:ind w:firstLine="720"/>
      </w:pPr>
      <w:r>
        <w:t>An across-the-board rule giving lemon law plaintiffs a categorical entitlement to full reimbursement (or else a new replacement car) plus the proceeds of resale or trade-in would also raise significant questions of fairness.  A rule permitting this sort of double recovery in every case would mean that plaintiffs who buy luxury vehicles could wind up turning a substantial profit if those vehicles later prove defective, while plaintiffs who buy economy cars probably could not — for reasons that have nothing to do with the extent of their actual losses or the extent of the manufacturer’s wrongdoing.  It is unclear why the Legislature would have set up a remedial scheme that would authorize this additional recovery based solely on the price tag of the car, and thus, by extension, the financial means of the buyer.</w:t>
      </w:r>
    </w:p>
    <w:p w:rsidR="00A673FE" w:rsidP="00A673FE" w14:paraId="19914EBF" w14:textId="77777777">
      <w:pPr>
        <w:ind w:firstLine="720"/>
      </w:pPr>
      <w:r>
        <w:t>By applying its holding “at least” in a case involving circumstances like those before us — that is, a willful failure to accept the return of a defective vehicle and make restitution — the majority leaves open the possibility that the rule it announces may be limited to such cases, and does not necessarily apply across the board.  As I see it, such a limit is not only sound, but important to a complete understanding of the statutory scheme.  On that understanding, I concur in the majority’s reversal of the judgment of the Court of Appeal.</w:t>
      </w:r>
    </w:p>
    <w:p w:rsidR="00A673FE" w:rsidP="00A673FE" w14:paraId="7686AF3A" w14:textId="77777777">
      <w:pPr>
        <w:ind w:firstLine="720"/>
      </w:pPr>
    </w:p>
    <w:p w:rsidR="00A673FE" w:rsidP="00A673FE" w14:paraId="27FD4CF7" w14:textId="77777777">
      <w:pPr>
        <w:ind w:firstLine="720"/>
        <w:rPr>
          <w:b/>
          <w:bCs/>
        </w:rPr>
      </w:pPr>
      <w:r>
        <w:tab/>
      </w:r>
      <w:r>
        <w:tab/>
      </w:r>
      <w:r>
        <w:tab/>
      </w:r>
      <w:r>
        <w:tab/>
      </w:r>
      <w:r>
        <w:tab/>
      </w:r>
      <w:r>
        <w:tab/>
      </w:r>
      <w:r>
        <w:tab/>
        <w:t xml:space="preserve">    </w:t>
      </w:r>
      <w:r w:rsidRPr="003F2BBA">
        <w:rPr>
          <w:b/>
          <w:bCs/>
        </w:rPr>
        <w:t>KRUGER, J.</w:t>
      </w:r>
    </w:p>
    <w:p w:rsidR="00A673FE" w:rsidP="00A673FE" w14:paraId="3B7E742D" w14:textId="77777777">
      <w:pPr>
        <w:rPr>
          <w:b/>
          <w:bCs/>
        </w:rPr>
      </w:pPr>
      <w:r>
        <w:rPr>
          <w:b/>
          <w:bCs/>
        </w:rPr>
        <w:t>We Concur:</w:t>
      </w:r>
    </w:p>
    <w:p w:rsidR="00A673FE" w:rsidP="00A673FE" w14:paraId="7D3BB105" w14:textId="77777777">
      <w:pPr>
        <w:spacing w:after="0" w:line="240" w:lineRule="auto"/>
        <w:rPr>
          <w:b/>
          <w:bCs/>
        </w:rPr>
      </w:pPr>
      <w:r>
        <w:rPr>
          <w:b/>
          <w:bCs/>
        </w:rPr>
        <w:t>GROBAN, J.</w:t>
      </w:r>
    </w:p>
    <w:p w:rsidR="00A673FE" w:rsidRPr="003F2BBA" w:rsidP="00A673FE" w14:paraId="76030260" w14:textId="77777777">
      <w:pPr>
        <w:spacing w:after="0" w:line="240" w:lineRule="auto"/>
        <w:rPr>
          <w:b/>
          <w:bCs/>
        </w:rPr>
      </w:pPr>
      <w:r>
        <w:rPr>
          <w:b/>
          <w:bCs/>
        </w:rPr>
        <w:t>JENKINS, J.</w:t>
      </w:r>
    </w:p>
    <w:p w:rsidR="00A673FE" w:rsidP="00A673FE" w14:paraId="6C7F1CED" w14:textId="77777777">
      <w:pPr>
        <w:spacing w:after="0" w:line="240" w:lineRule="auto"/>
        <w:jc w:val="left"/>
      </w:pPr>
      <w:bookmarkStart w:id="17" w:name="calendar"/>
      <w:bookmarkStart w:id="18" w:name="opinion"/>
      <w:bookmarkEnd w:id="17"/>
      <w:bookmarkEnd w:id="18"/>
    </w:p>
    <w:p w:rsidR="008B390E" w:rsidP="00A54982" w14:paraId="1171F2F2" w14:textId="77777777">
      <w:pPr>
        <w:tabs>
          <w:tab w:val="left" w:pos="1440"/>
        </w:tabs>
        <w:spacing w:after="0"/>
        <w:rPr>
          <w:rFonts w:eastAsia="Batang"/>
          <w:b/>
          <w:bCs/>
        </w:rPr>
        <w:sectPr w:rsidSect="00C13186">
          <w:headerReference w:type="default" r:id="rId9"/>
          <w:footerReference w:type="default" r:id="rId10"/>
          <w:footnotePr>
            <w:numRestart w:val="eachSect"/>
          </w:footnotePr>
          <w:pgSz w:w="12240" w:h="15840"/>
          <w:pgMar w:top="1800" w:right="2160" w:bottom="1440" w:left="2160" w:header="720" w:footer="720" w:gutter="0"/>
          <w:pgNumType w:start="1"/>
          <w:cols w:space="720"/>
          <w:titlePg/>
          <w:docGrid w:linePitch="367"/>
        </w:sectPr>
      </w:pPr>
    </w:p>
    <w:p w:rsidR="00A53C79" w:rsidRPr="00A53C79" w:rsidP="00A53C79" w14:paraId="3551E29B" w14:textId="77777777">
      <w:pPr>
        <w:spacing w:after="0" w:line="240" w:lineRule="auto"/>
        <w:jc w:val="left"/>
        <w:rPr>
          <w:i/>
          <w:sz w:val="24"/>
          <w:szCs w:val="24"/>
        </w:rPr>
      </w:pPr>
      <w:r w:rsidRPr="00A53C79">
        <w:rPr>
          <w:i/>
          <w:sz w:val="24"/>
          <w:szCs w:val="24"/>
        </w:rPr>
        <w:t>See next page for addresses and telephone numbers for counsel who argued in Supreme Court.</w:t>
      </w:r>
    </w:p>
    <w:p w:rsidR="00A53C79" w:rsidRPr="00A53C79" w:rsidP="00A53C79" w14:paraId="216F2948" w14:textId="77777777">
      <w:pPr>
        <w:spacing w:after="0" w:line="240" w:lineRule="auto"/>
        <w:jc w:val="left"/>
        <w:rPr>
          <w:i/>
          <w:sz w:val="24"/>
          <w:szCs w:val="24"/>
        </w:rPr>
      </w:pPr>
    </w:p>
    <w:p w:rsidR="00A53C79" w:rsidRPr="00A53C79" w:rsidP="00A53C79" w14:paraId="408F61E2" w14:textId="77777777">
      <w:pPr>
        <w:spacing w:after="0" w:line="240" w:lineRule="auto"/>
        <w:jc w:val="left"/>
        <w:rPr>
          <w:bCs/>
          <w:sz w:val="24"/>
          <w:szCs w:val="24"/>
        </w:rPr>
      </w:pPr>
      <w:r w:rsidRPr="00A53C79">
        <w:rPr>
          <w:b/>
          <w:sz w:val="24"/>
          <w:szCs w:val="24"/>
        </w:rPr>
        <w:t xml:space="preserve">Name of Opinion  </w:t>
      </w:r>
      <w:r w:rsidRPr="00A53C79">
        <w:rPr>
          <w:bCs/>
          <w:sz w:val="24"/>
          <w:szCs w:val="24"/>
        </w:rPr>
        <w:t>Niedermeier v. FCA US LLC</w:t>
      </w:r>
    </w:p>
    <w:p w:rsidR="00A53C79" w:rsidRPr="00A53C79" w:rsidP="00A53C79" w14:paraId="57AAF3D1" w14:textId="77777777">
      <w:pPr>
        <w:spacing w:after="0" w:line="240" w:lineRule="auto"/>
        <w:jc w:val="left"/>
        <w:rPr>
          <w:b/>
          <w:sz w:val="24"/>
          <w:szCs w:val="24"/>
        </w:rPr>
      </w:pPr>
      <w:r w:rsidRPr="00A53C79">
        <w:rPr>
          <w:b/>
          <w:sz w:val="24"/>
          <w:szCs w:val="24"/>
        </w:rPr>
        <w:t xml:space="preserve">__________________________________________________________ </w:t>
      </w:r>
    </w:p>
    <w:p w:rsidR="00A53C79" w:rsidRPr="00A53C79" w:rsidP="00A53C79" w14:paraId="54587529" w14:textId="77777777">
      <w:pPr>
        <w:spacing w:after="0" w:line="240" w:lineRule="auto"/>
        <w:jc w:val="left"/>
        <w:rPr>
          <w:b/>
          <w:sz w:val="24"/>
          <w:szCs w:val="24"/>
        </w:rPr>
      </w:pPr>
    </w:p>
    <w:p w:rsidR="00A53C79" w:rsidRPr="00A53C79" w:rsidP="00A53C79" w14:paraId="609396BC" w14:textId="77777777">
      <w:pPr>
        <w:spacing w:after="0" w:line="240" w:lineRule="auto"/>
        <w:jc w:val="left"/>
        <w:rPr>
          <w:sz w:val="24"/>
          <w:szCs w:val="24"/>
        </w:rPr>
      </w:pPr>
      <w:r w:rsidRPr="00A53C79">
        <w:rPr>
          <w:b/>
          <w:bCs/>
          <w:sz w:val="24"/>
          <w:szCs w:val="24"/>
          <w:u w:val="single"/>
        </w:rPr>
        <w:t>Procedural Posture</w:t>
      </w:r>
      <w:r w:rsidRPr="00A53C79">
        <w:rPr>
          <w:b/>
          <w:bCs/>
          <w:sz w:val="24"/>
          <w:szCs w:val="24"/>
        </w:rPr>
        <w:t xml:space="preserve"> </w:t>
      </w:r>
      <w:r w:rsidRPr="00A53C79">
        <w:rPr>
          <w:sz w:val="24"/>
          <w:szCs w:val="24"/>
        </w:rPr>
        <w:t>(see XX below)</w:t>
      </w:r>
    </w:p>
    <w:p w:rsidR="00A53C79" w:rsidRPr="00A53C79" w:rsidP="00A53C79" w14:paraId="190A9945" w14:textId="77777777">
      <w:pPr>
        <w:spacing w:after="0" w:line="240" w:lineRule="auto"/>
        <w:jc w:val="left"/>
        <w:rPr>
          <w:sz w:val="24"/>
          <w:szCs w:val="24"/>
        </w:rPr>
      </w:pPr>
      <w:r w:rsidRPr="00A53C79">
        <w:rPr>
          <w:b/>
          <w:bCs/>
          <w:sz w:val="24"/>
          <w:szCs w:val="24"/>
        </w:rPr>
        <w:t>Original Appeal</w:t>
      </w:r>
      <w:r w:rsidRPr="00A53C79">
        <w:rPr>
          <w:sz w:val="24"/>
          <w:szCs w:val="24"/>
        </w:rPr>
        <w:t xml:space="preserve"> </w:t>
      </w:r>
    </w:p>
    <w:p w:rsidR="00A53C79" w:rsidRPr="00A53C79" w:rsidP="00A53C79" w14:paraId="46A69FEB" w14:textId="77777777">
      <w:pPr>
        <w:spacing w:after="0" w:line="240" w:lineRule="auto"/>
        <w:jc w:val="left"/>
        <w:rPr>
          <w:b/>
          <w:bCs/>
          <w:sz w:val="24"/>
          <w:szCs w:val="24"/>
        </w:rPr>
      </w:pPr>
      <w:r w:rsidRPr="00A53C79">
        <w:rPr>
          <w:b/>
          <w:bCs/>
          <w:sz w:val="24"/>
          <w:szCs w:val="24"/>
        </w:rPr>
        <w:t>Original Proceeding</w:t>
      </w:r>
    </w:p>
    <w:p w:rsidR="00A53C79" w:rsidRPr="00A53C79" w:rsidP="00A53C79" w14:paraId="0151C887" w14:textId="77777777">
      <w:pPr>
        <w:spacing w:after="0" w:line="240" w:lineRule="auto"/>
        <w:jc w:val="left"/>
        <w:rPr>
          <w:sz w:val="24"/>
          <w:szCs w:val="24"/>
        </w:rPr>
      </w:pPr>
      <w:r w:rsidRPr="00A53C79">
        <w:rPr>
          <w:b/>
          <w:bCs/>
          <w:sz w:val="24"/>
          <w:szCs w:val="24"/>
        </w:rPr>
        <w:t>Review Granted</w:t>
      </w:r>
      <w:r w:rsidRPr="00A53C79">
        <w:rPr>
          <w:sz w:val="24"/>
          <w:szCs w:val="24"/>
        </w:rPr>
        <w:t xml:space="preserve"> </w:t>
      </w:r>
      <w:r w:rsidRPr="00A53C79">
        <w:rPr>
          <w:b/>
          <w:bCs/>
          <w:sz w:val="24"/>
          <w:szCs w:val="24"/>
        </w:rPr>
        <w:t xml:space="preserve">(published) </w:t>
      </w:r>
      <w:r w:rsidRPr="00A53C79">
        <w:rPr>
          <w:sz w:val="24"/>
          <w:szCs w:val="24"/>
        </w:rPr>
        <w:t>XX 56 Cal.App.5th 1052</w:t>
      </w:r>
    </w:p>
    <w:p w:rsidR="00A53C79" w:rsidRPr="00A53C79" w:rsidP="00A53C79" w14:paraId="39868177" w14:textId="77777777">
      <w:pPr>
        <w:spacing w:after="0" w:line="240" w:lineRule="auto"/>
        <w:jc w:val="left"/>
        <w:rPr>
          <w:sz w:val="24"/>
          <w:szCs w:val="24"/>
        </w:rPr>
      </w:pPr>
      <w:r w:rsidRPr="00A53C79">
        <w:rPr>
          <w:b/>
          <w:bCs/>
          <w:sz w:val="24"/>
          <w:szCs w:val="24"/>
        </w:rPr>
        <w:t xml:space="preserve">Review Granted (unpublished) </w:t>
      </w:r>
    </w:p>
    <w:p w:rsidR="00A53C79" w:rsidRPr="00A53C79" w:rsidP="00A53C79" w14:paraId="78218254" w14:textId="77777777">
      <w:pPr>
        <w:spacing w:after="0" w:line="240" w:lineRule="auto"/>
        <w:jc w:val="left"/>
        <w:rPr>
          <w:b/>
          <w:bCs/>
          <w:sz w:val="24"/>
          <w:szCs w:val="24"/>
        </w:rPr>
      </w:pPr>
      <w:r w:rsidRPr="00A53C79">
        <w:rPr>
          <w:b/>
          <w:bCs/>
          <w:sz w:val="24"/>
          <w:szCs w:val="24"/>
        </w:rPr>
        <w:t>Rehearing Granted</w:t>
      </w:r>
    </w:p>
    <w:p w:rsidR="00A53C79" w:rsidRPr="00A53C79" w:rsidP="00A53C79" w14:paraId="3891BC7D" w14:textId="77777777">
      <w:pPr>
        <w:spacing w:after="0" w:line="240" w:lineRule="auto"/>
        <w:jc w:val="left"/>
        <w:rPr>
          <w:b/>
          <w:sz w:val="24"/>
          <w:szCs w:val="24"/>
        </w:rPr>
      </w:pPr>
      <w:r w:rsidRPr="00A53C79">
        <w:rPr>
          <w:b/>
          <w:sz w:val="24"/>
          <w:szCs w:val="24"/>
        </w:rPr>
        <w:t xml:space="preserve">__________________________________________________________ </w:t>
      </w:r>
    </w:p>
    <w:p w:rsidR="00A53C79" w:rsidRPr="00A53C79" w:rsidP="00A53C79" w14:paraId="49F8D782" w14:textId="77777777">
      <w:pPr>
        <w:spacing w:after="0" w:line="240" w:lineRule="auto"/>
        <w:jc w:val="left"/>
        <w:rPr>
          <w:b/>
          <w:sz w:val="24"/>
          <w:szCs w:val="24"/>
        </w:rPr>
      </w:pPr>
    </w:p>
    <w:p w:rsidR="00A53C79" w:rsidRPr="00A53C79" w:rsidP="00A53C79" w14:paraId="6A7076BB" w14:textId="77777777">
      <w:pPr>
        <w:spacing w:after="0" w:line="240" w:lineRule="auto"/>
        <w:jc w:val="left"/>
        <w:rPr>
          <w:bCs/>
          <w:sz w:val="24"/>
          <w:szCs w:val="24"/>
        </w:rPr>
      </w:pPr>
      <w:r w:rsidRPr="00A53C79">
        <w:rPr>
          <w:b/>
          <w:sz w:val="24"/>
          <w:szCs w:val="24"/>
        </w:rPr>
        <w:t>Opinion No.</w:t>
      </w:r>
      <w:r w:rsidRPr="00A53C79">
        <w:rPr>
          <w:sz w:val="24"/>
          <w:szCs w:val="24"/>
        </w:rPr>
        <w:t xml:space="preserve"> S266034</w:t>
      </w:r>
    </w:p>
    <w:p w:rsidR="00A53C79" w:rsidRPr="00A53C79" w:rsidP="00A53C79" w14:paraId="7787E256" w14:textId="77777777">
      <w:pPr>
        <w:spacing w:after="0" w:line="240" w:lineRule="auto"/>
        <w:jc w:val="left"/>
        <w:rPr>
          <w:bCs/>
          <w:sz w:val="24"/>
          <w:szCs w:val="24"/>
        </w:rPr>
      </w:pPr>
      <w:r w:rsidRPr="00A53C79">
        <w:rPr>
          <w:b/>
          <w:sz w:val="24"/>
          <w:szCs w:val="24"/>
        </w:rPr>
        <w:t>Date Filed:</w:t>
      </w:r>
      <w:r w:rsidRPr="00A53C79">
        <w:rPr>
          <w:sz w:val="24"/>
          <w:szCs w:val="24"/>
        </w:rPr>
        <w:t xml:space="preserve">  March 4, 2024</w:t>
      </w:r>
    </w:p>
    <w:p w:rsidR="00A53C79" w:rsidRPr="00A53C79" w:rsidP="00A53C79" w14:paraId="3302E77E" w14:textId="77777777">
      <w:pPr>
        <w:spacing w:after="0" w:line="240" w:lineRule="auto"/>
        <w:jc w:val="left"/>
        <w:rPr>
          <w:b/>
          <w:sz w:val="24"/>
          <w:szCs w:val="24"/>
        </w:rPr>
      </w:pPr>
      <w:r w:rsidRPr="00A53C79">
        <w:rPr>
          <w:b/>
          <w:sz w:val="24"/>
          <w:szCs w:val="24"/>
        </w:rPr>
        <w:t xml:space="preserve">__________________________________________________________ </w:t>
      </w:r>
    </w:p>
    <w:p w:rsidR="00A53C79" w:rsidRPr="00A53C79" w:rsidP="00A53C79" w14:paraId="11779622" w14:textId="77777777">
      <w:pPr>
        <w:spacing w:after="0" w:line="240" w:lineRule="auto"/>
        <w:jc w:val="left"/>
        <w:rPr>
          <w:b/>
          <w:sz w:val="24"/>
          <w:szCs w:val="24"/>
        </w:rPr>
      </w:pPr>
    </w:p>
    <w:p w:rsidR="00A53C79" w:rsidRPr="00A53C79" w:rsidP="00A53C79" w14:paraId="33C74329" w14:textId="77777777">
      <w:pPr>
        <w:spacing w:after="0" w:line="240" w:lineRule="auto"/>
        <w:jc w:val="left"/>
        <w:rPr>
          <w:bCs/>
          <w:sz w:val="24"/>
          <w:szCs w:val="24"/>
        </w:rPr>
      </w:pPr>
      <w:r w:rsidRPr="00A53C79">
        <w:rPr>
          <w:b/>
          <w:sz w:val="24"/>
          <w:szCs w:val="24"/>
        </w:rPr>
        <w:t xml:space="preserve">Court:  </w:t>
      </w:r>
      <w:r w:rsidRPr="00A53C79">
        <w:rPr>
          <w:bCs/>
          <w:sz w:val="24"/>
          <w:szCs w:val="24"/>
        </w:rPr>
        <w:t>Superior</w:t>
      </w:r>
      <w:r w:rsidRPr="00A53C79">
        <w:rPr>
          <w:b/>
          <w:sz w:val="24"/>
          <w:szCs w:val="24"/>
        </w:rPr>
        <w:t xml:space="preserve"> </w:t>
      </w:r>
    </w:p>
    <w:p w:rsidR="00A53C79" w:rsidRPr="00A53C79" w:rsidP="00A53C79" w14:paraId="7E684732" w14:textId="77777777">
      <w:pPr>
        <w:spacing w:after="0" w:line="240" w:lineRule="auto"/>
        <w:jc w:val="left"/>
        <w:rPr>
          <w:bCs/>
          <w:sz w:val="24"/>
          <w:szCs w:val="24"/>
        </w:rPr>
      </w:pPr>
      <w:r w:rsidRPr="00A53C79">
        <w:rPr>
          <w:b/>
          <w:sz w:val="24"/>
          <w:szCs w:val="24"/>
        </w:rPr>
        <w:t xml:space="preserve">County:  </w:t>
      </w:r>
      <w:r w:rsidRPr="00A53C79">
        <w:rPr>
          <w:bCs/>
          <w:sz w:val="24"/>
          <w:szCs w:val="24"/>
        </w:rPr>
        <w:t>Los Angeles</w:t>
      </w:r>
    </w:p>
    <w:p w:rsidR="00A53C79" w:rsidRPr="00A53C79" w:rsidP="00A53C79" w14:paraId="01803810" w14:textId="77777777">
      <w:pPr>
        <w:spacing w:after="0" w:line="240" w:lineRule="auto"/>
        <w:ind w:left="720" w:hanging="720"/>
        <w:jc w:val="left"/>
        <w:rPr>
          <w:bCs/>
          <w:sz w:val="24"/>
          <w:szCs w:val="24"/>
        </w:rPr>
      </w:pPr>
      <w:r w:rsidRPr="00A53C79">
        <w:rPr>
          <w:b/>
          <w:sz w:val="24"/>
          <w:szCs w:val="24"/>
        </w:rPr>
        <w:t xml:space="preserve">Judge: </w:t>
      </w:r>
      <w:r w:rsidRPr="00A53C79">
        <w:rPr>
          <w:bCs/>
          <w:sz w:val="24"/>
          <w:szCs w:val="24"/>
        </w:rPr>
        <w:t xml:space="preserve"> Daniel S. Murphy</w:t>
      </w:r>
    </w:p>
    <w:p w:rsidR="00A53C79" w:rsidRPr="00A53C79" w:rsidP="00A53C79" w14:paraId="2EF36AB2" w14:textId="77777777">
      <w:pPr>
        <w:spacing w:after="0" w:line="240" w:lineRule="auto"/>
        <w:jc w:val="left"/>
        <w:rPr>
          <w:b/>
          <w:sz w:val="24"/>
          <w:szCs w:val="24"/>
        </w:rPr>
      </w:pPr>
      <w:r w:rsidRPr="00A53C79">
        <w:rPr>
          <w:b/>
          <w:sz w:val="24"/>
          <w:szCs w:val="24"/>
        </w:rPr>
        <w:t xml:space="preserve">__________________________________________________________  </w:t>
      </w:r>
    </w:p>
    <w:p w:rsidR="00A53C79" w:rsidRPr="00A53C79" w:rsidP="00A53C79" w14:paraId="4B5100F0" w14:textId="77777777">
      <w:pPr>
        <w:spacing w:after="0" w:line="240" w:lineRule="auto"/>
        <w:jc w:val="left"/>
        <w:rPr>
          <w:b/>
          <w:sz w:val="24"/>
          <w:szCs w:val="24"/>
        </w:rPr>
      </w:pPr>
    </w:p>
    <w:p w:rsidR="00A53C79" w:rsidRPr="00A53C79" w:rsidP="00A53C79" w14:paraId="7D9DC718" w14:textId="77777777">
      <w:pPr>
        <w:spacing w:after="0" w:line="240" w:lineRule="auto"/>
        <w:jc w:val="left"/>
        <w:rPr>
          <w:b/>
          <w:sz w:val="24"/>
          <w:szCs w:val="24"/>
        </w:rPr>
      </w:pPr>
      <w:r w:rsidRPr="00A53C79">
        <w:rPr>
          <w:b/>
          <w:sz w:val="24"/>
          <w:szCs w:val="24"/>
        </w:rPr>
        <w:t>Counsel:</w:t>
      </w:r>
    </w:p>
    <w:p w:rsidR="00A53C79" w:rsidRPr="00A53C79" w:rsidP="00A53C79" w14:paraId="28EBEC64" w14:textId="77777777">
      <w:pPr>
        <w:spacing w:after="0" w:line="240" w:lineRule="auto"/>
        <w:jc w:val="left"/>
        <w:rPr>
          <w:b/>
          <w:sz w:val="24"/>
          <w:szCs w:val="24"/>
        </w:rPr>
      </w:pPr>
    </w:p>
    <w:p w:rsidR="00A53C79" w:rsidRPr="00A53C79" w:rsidP="00A53C79" w14:paraId="7DD877CA" w14:textId="77777777">
      <w:pPr>
        <w:spacing w:after="0" w:line="240" w:lineRule="auto"/>
        <w:jc w:val="left"/>
        <w:rPr>
          <w:color w:val="212121"/>
          <w:sz w:val="24"/>
          <w:szCs w:val="24"/>
          <w:shd w:val="clear" w:color="auto" w:fill="FFFFFF"/>
        </w:rPr>
      </w:pPr>
      <w:r w:rsidRPr="00A53C79">
        <w:rPr>
          <w:color w:val="212121"/>
          <w:sz w:val="24"/>
          <w:szCs w:val="24"/>
          <w:shd w:val="clear" w:color="auto" w:fill="FFFFFF"/>
        </w:rPr>
        <w:t>Gibson, Dunn &amp; Crutcher, Thomas H. Dupree, Jr., Matt Gregory, Shaun Mathur; Clark Hill and David L. Brandon for Defendant and Appellant.</w:t>
      </w:r>
    </w:p>
    <w:p w:rsidR="00A53C79" w:rsidRPr="00A53C79" w:rsidP="00A53C79" w14:paraId="74787AD0" w14:textId="77777777">
      <w:pPr>
        <w:spacing w:after="0" w:line="240" w:lineRule="auto"/>
        <w:jc w:val="left"/>
        <w:rPr>
          <w:color w:val="212121"/>
          <w:sz w:val="24"/>
          <w:szCs w:val="24"/>
          <w:shd w:val="clear" w:color="auto" w:fill="FFFFFF"/>
        </w:rPr>
      </w:pPr>
    </w:p>
    <w:p w:rsidR="00A53C79" w:rsidRPr="00A53C79" w:rsidP="00A53C79" w14:paraId="4D0C7646" w14:textId="77777777">
      <w:pPr>
        <w:spacing w:after="0" w:line="240" w:lineRule="auto"/>
        <w:jc w:val="left"/>
        <w:rPr>
          <w:color w:val="212121"/>
          <w:sz w:val="24"/>
          <w:szCs w:val="24"/>
          <w:shd w:val="clear" w:color="auto" w:fill="FFFFFF"/>
        </w:rPr>
      </w:pPr>
      <w:r w:rsidRPr="00A53C79">
        <w:rPr>
          <w:color w:val="212121"/>
          <w:sz w:val="24"/>
          <w:szCs w:val="24"/>
          <w:shd w:val="clear" w:color="auto" w:fill="FFFFFF"/>
        </w:rPr>
        <w:t xml:space="preserve">Knight Law Group, Steve Mikhov, Roger Kirnos, Amy Morse; Hackler Daghighian Martino &amp; Novak, Sepehr Daghighian, Erik K. Schmitt; Greines, Martin, Stein &amp; Richland, Cynthia E. Tobisman, Joseph V. Bui; Public Justice and Leslie A. Brueckner for Plaintiff and Respondent. </w:t>
      </w:r>
    </w:p>
    <w:p w:rsidR="00A53C79" w:rsidRPr="00A53C79" w:rsidP="00A53C79" w14:paraId="722226E1" w14:textId="77777777">
      <w:pPr>
        <w:spacing w:after="0" w:line="240" w:lineRule="auto"/>
        <w:jc w:val="left"/>
        <w:rPr>
          <w:color w:val="212121"/>
          <w:sz w:val="24"/>
          <w:szCs w:val="24"/>
          <w:shd w:val="clear" w:color="auto" w:fill="FFFFFF"/>
        </w:rPr>
      </w:pPr>
    </w:p>
    <w:p w:rsidR="00A53C79" w:rsidRPr="00A53C79" w:rsidP="00A53C79" w14:paraId="233A8292" w14:textId="77777777">
      <w:pPr>
        <w:spacing w:after="0" w:line="240" w:lineRule="auto"/>
        <w:jc w:val="left"/>
        <w:rPr>
          <w:color w:val="212121"/>
          <w:sz w:val="24"/>
          <w:szCs w:val="24"/>
          <w:shd w:val="clear" w:color="auto" w:fill="FFFFFF"/>
        </w:rPr>
      </w:pPr>
      <w:r w:rsidRPr="00A53C79">
        <w:rPr>
          <w:color w:val="212121"/>
          <w:sz w:val="24"/>
          <w:szCs w:val="24"/>
          <w:shd w:val="clear" w:color="auto" w:fill="FFFFFF"/>
        </w:rPr>
        <w:t>Consumer Law Practice and Daniel T. LeBel for Consumers for Auto Reliability and Safety as Amicus Curiae on behalf of Plaintiff and Respondent.</w:t>
      </w:r>
    </w:p>
    <w:p w:rsidR="00A53C79" w:rsidRPr="00A53C79" w:rsidP="00A53C79" w14:paraId="16AFE632" w14:textId="77777777">
      <w:pPr>
        <w:spacing w:after="0" w:line="240" w:lineRule="auto"/>
        <w:jc w:val="left"/>
        <w:rPr>
          <w:color w:val="212121"/>
          <w:sz w:val="24"/>
          <w:szCs w:val="24"/>
          <w:shd w:val="clear" w:color="auto" w:fill="FFFFFF"/>
        </w:rPr>
      </w:pPr>
      <w:r w:rsidRPr="00A53C79">
        <w:rPr>
          <w:color w:val="212121"/>
          <w:sz w:val="24"/>
          <w:szCs w:val="24"/>
          <w:shd w:val="clear" w:color="auto" w:fill="FFFFFF"/>
        </w:rPr>
        <w:br w:type="page"/>
      </w:r>
      <w:r w:rsidRPr="00A53C79">
        <w:rPr>
          <w:b/>
          <w:sz w:val="24"/>
          <w:szCs w:val="24"/>
        </w:rPr>
        <w:t xml:space="preserve">Counsel who argued in Supreme Court (not intended for publication with opinion): </w:t>
      </w:r>
    </w:p>
    <w:p w:rsidR="00A53C79" w:rsidRPr="00A53C79" w:rsidP="00A53C79" w14:paraId="751EC6C1" w14:textId="77777777">
      <w:pPr>
        <w:spacing w:after="0" w:line="240" w:lineRule="auto"/>
        <w:jc w:val="left"/>
        <w:rPr>
          <w:sz w:val="24"/>
          <w:szCs w:val="24"/>
        </w:rPr>
      </w:pPr>
    </w:p>
    <w:p w:rsidR="00A53C79" w:rsidRPr="00A53C79" w:rsidP="00A53C79" w14:paraId="38BBDBF7" w14:textId="77777777">
      <w:pPr>
        <w:spacing w:after="0" w:line="240" w:lineRule="auto"/>
        <w:jc w:val="left"/>
        <w:rPr>
          <w:color w:val="212121"/>
          <w:sz w:val="24"/>
          <w:szCs w:val="24"/>
          <w:shd w:val="clear" w:color="auto" w:fill="FFFFFF"/>
        </w:rPr>
      </w:pPr>
      <w:r w:rsidRPr="00A53C79">
        <w:rPr>
          <w:color w:val="212121"/>
          <w:sz w:val="24"/>
          <w:szCs w:val="24"/>
          <w:shd w:val="clear" w:color="auto" w:fill="FFFFFF"/>
        </w:rPr>
        <w:t>Thomas H. Dupree, Jr.</w:t>
      </w:r>
    </w:p>
    <w:p w:rsidR="00A53C79" w:rsidRPr="00A53C79" w:rsidP="00A53C79" w14:paraId="19F26454" w14:textId="77777777">
      <w:pPr>
        <w:spacing w:after="0" w:line="240" w:lineRule="auto"/>
        <w:jc w:val="left"/>
        <w:rPr>
          <w:color w:val="212121"/>
          <w:sz w:val="24"/>
          <w:szCs w:val="24"/>
          <w:shd w:val="clear" w:color="auto" w:fill="FFFFFF"/>
        </w:rPr>
      </w:pPr>
      <w:r w:rsidRPr="00A53C79">
        <w:rPr>
          <w:color w:val="212121"/>
          <w:sz w:val="24"/>
          <w:szCs w:val="24"/>
          <w:shd w:val="clear" w:color="auto" w:fill="FFFFFF"/>
        </w:rPr>
        <w:t>Gibson, Dunn &amp; Crutcher LLP</w:t>
      </w:r>
    </w:p>
    <w:p w:rsidR="00A53C79" w:rsidRPr="00A53C79" w:rsidP="00A53C79" w14:paraId="02FFBCF1" w14:textId="77777777">
      <w:pPr>
        <w:spacing w:after="0" w:line="240" w:lineRule="auto"/>
        <w:jc w:val="left"/>
        <w:rPr>
          <w:sz w:val="24"/>
          <w:szCs w:val="24"/>
        </w:rPr>
      </w:pPr>
      <w:r w:rsidRPr="00A53C79">
        <w:rPr>
          <w:sz w:val="24"/>
          <w:szCs w:val="24"/>
        </w:rPr>
        <w:t xml:space="preserve">1050 Connecticut Avenue, NW </w:t>
      </w:r>
    </w:p>
    <w:p w:rsidR="00A53C79" w:rsidRPr="00A53C79" w:rsidP="00A53C79" w14:paraId="28001589" w14:textId="77777777">
      <w:pPr>
        <w:spacing w:after="0" w:line="240" w:lineRule="auto"/>
        <w:jc w:val="left"/>
        <w:rPr>
          <w:sz w:val="24"/>
          <w:szCs w:val="24"/>
        </w:rPr>
      </w:pPr>
      <w:r w:rsidRPr="00A53C79">
        <w:rPr>
          <w:sz w:val="24"/>
          <w:szCs w:val="24"/>
        </w:rPr>
        <w:t>Washington, DC 20036</w:t>
      </w:r>
    </w:p>
    <w:p w:rsidR="00A53C79" w:rsidRPr="00A53C79" w:rsidP="00A53C79" w14:paraId="2646F427" w14:textId="77777777">
      <w:pPr>
        <w:spacing w:after="0" w:line="240" w:lineRule="auto"/>
        <w:jc w:val="left"/>
        <w:rPr>
          <w:sz w:val="24"/>
          <w:szCs w:val="24"/>
        </w:rPr>
      </w:pPr>
      <w:r w:rsidRPr="00A53C79">
        <w:rPr>
          <w:sz w:val="24"/>
          <w:szCs w:val="24"/>
        </w:rPr>
        <w:t>(202) 955-8547</w:t>
      </w:r>
    </w:p>
    <w:p w:rsidR="00A53C79" w:rsidRPr="00A53C79" w:rsidP="00A53C79" w14:paraId="0B113C4F" w14:textId="77777777">
      <w:pPr>
        <w:spacing w:after="0" w:line="240" w:lineRule="auto"/>
        <w:jc w:val="left"/>
        <w:rPr>
          <w:sz w:val="24"/>
          <w:szCs w:val="24"/>
        </w:rPr>
      </w:pPr>
    </w:p>
    <w:p w:rsidR="00A53C79" w:rsidRPr="00A53C79" w:rsidP="00A53C79" w14:paraId="2F4368C2" w14:textId="77777777">
      <w:pPr>
        <w:spacing w:after="0" w:line="240" w:lineRule="auto"/>
        <w:jc w:val="left"/>
        <w:rPr>
          <w:color w:val="212121"/>
          <w:sz w:val="24"/>
          <w:szCs w:val="24"/>
          <w:shd w:val="clear" w:color="auto" w:fill="FFFFFF"/>
        </w:rPr>
      </w:pPr>
      <w:r w:rsidRPr="00A53C79">
        <w:rPr>
          <w:color w:val="212121"/>
          <w:sz w:val="24"/>
          <w:szCs w:val="24"/>
          <w:shd w:val="clear" w:color="auto" w:fill="FFFFFF"/>
        </w:rPr>
        <w:t>Cynthia E. Tobisman</w:t>
      </w:r>
    </w:p>
    <w:p w:rsidR="00A53C79" w:rsidRPr="00A53C79" w:rsidP="00A53C79" w14:paraId="4816ADF2" w14:textId="77777777">
      <w:pPr>
        <w:spacing w:after="0" w:line="240" w:lineRule="auto"/>
        <w:jc w:val="left"/>
        <w:rPr>
          <w:color w:val="212121"/>
          <w:sz w:val="24"/>
          <w:szCs w:val="24"/>
          <w:shd w:val="clear" w:color="auto" w:fill="FFFFFF"/>
        </w:rPr>
      </w:pPr>
      <w:r w:rsidRPr="00A53C79">
        <w:rPr>
          <w:color w:val="212121"/>
          <w:sz w:val="24"/>
          <w:szCs w:val="24"/>
          <w:shd w:val="clear" w:color="auto" w:fill="FFFFFF"/>
        </w:rPr>
        <w:t>Greines, Martin, Stein &amp; Richland LLP</w:t>
      </w:r>
    </w:p>
    <w:p w:rsidR="00A53C79" w:rsidRPr="00A53C79" w:rsidP="00A53C79" w14:paraId="291C0418" w14:textId="77777777">
      <w:pPr>
        <w:spacing w:after="0" w:line="240" w:lineRule="auto"/>
        <w:jc w:val="left"/>
        <w:rPr>
          <w:sz w:val="24"/>
          <w:szCs w:val="24"/>
        </w:rPr>
      </w:pPr>
      <w:r w:rsidRPr="00A53C79">
        <w:rPr>
          <w:sz w:val="24"/>
          <w:szCs w:val="24"/>
        </w:rPr>
        <w:t>6420 Wilshire Boulevard, Suite 1100</w:t>
      </w:r>
    </w:p>
    <w:p w:rsidR="00A53C79" w:rsidRPr="00A53C79" w:rsidP="00A53C79" w14:paraId="32D5C4C4" w14:textId="77777777">
      <w:pPr>
        <w:spacing w:after="0" w:line="240" w:lineRule="auto"/>
        <w:jc w:val="left"/>
        <w:rPr>
          <w:sz w:val="24"/>
          <w:szCs w:val="24"/>
        </w:rPr>
      </w:pPr>
      <w:r w:rsidRPr="00A53C79">
        <w:rPr>
          <w:sz w:val="24"/>
          <w:szCs w:val="24"/>
        </w:rPr>
        <w:t>Los Angeles, CA 90048</w:t>
      </w:r>
    </w:p>
    <w:p w:rsidR="00A53C79" w:rsidRPr="00A53C79" w:rsidP="00A53C79" w14:paraId="4DEA67F2" w14:textId="77777777">
      <w:pPr>
        <w:spacing w:after="0" w:line="240" w:lineRule="auto"/>
        <w:jc w:val="left"/>
        <w:rPr>
          <w:sz w:val="24"/>
          <w:szCs w:val="24"/>
        </w:rPr>
      </w:pPr>
      <w:r w:rsidRPr="00A53C79">
        <w:rPr>
          <w:sz w:val="24"/>
          <w:szCs w:val="24"/>
        </w:rPr>
        <w:t>(310) 859-7811</w:t>
      </w:r>
    </w:p>
    <w:p w:rsidR="00A54982" w:rsidRPr="00A54982" w:rsidP="00A54982" w14:paraId="0C807FEB" w14:textId="77777777">
      <w:pPr>
        <w:tabs>
          <w:tab w:val="left" w:pos="1440"/>
        </w:tabs>
        <w:spacing w:after="0"/>
        <w:rPr>
          <w:rFonts w:eastAsia="Batang"/>
          <w:b/>
          <w:bCs/>
        </w:rPr>
      </w:pPr>
    </w:p>
    <w:sectPr w:rsidSect="00EC2BB8">
      <w:headerReference w:type="default" r:id="rId11"/>
      <w:footerReference w:type="default" r:id="rId12"/>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C55" w14:paraId="0C807FF2"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0D8" w14:paraId="0C807FF3"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186" w14:paraId="1DAC3ADA" w14:textId="77777777">
    <w:pPr>
      <w:pStyle w:val="Footer"/>
    </w:pPr>
    <w:r>
      <w:fldChar w:fldCharType="begin"/>
    </w:r>
    <w:r>
      <w:instrText>PAGE</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2CD" w:rsidRPr="006772CD" w:rsidP="006772CD" w14:paraId="3D7B9855" w14:textId="498FC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629A" w14:paraId="0C807FEC" w14:textId="77777777">
      <w:r>
        <w:separator/>
      </w:r>
    </w:p>
  </w:footnote>
  <w:footnote w:type="continuationSeparator" w:id="1">
    <w:p w:rsidR="0059629A" w14:paraId="0C807FED" w14:textId="77777777">
      <w:pPr>
        <w:rPr>
          <w:sz w:val="22"/>
        </w:rPr>
      </w:pPr>
      <w:r>
        <w:continuationSeparator/>
      </w:r>
    </w:p>
  </w:footnote>
  <w:footnote w:type="continuationNotice" w:id="2">
    <w:p w:rsidR="0059629A" w:rsidP="00D03853" w14:paraId="0C807FEE" w14:textId="77777777">
      <w:pPr>
        <w:rPr>
          <w:i/>
          <w:sz w:val="20"/>
        </w:rPr>
      </w:pPr>
    </w:p>
  </w:footnote>
  <w:footnote w:id="3">
    <w:p w:rsidR="00E85ECE" w:rsidP="00E150D8" w14:paraId="0C807FF4" w14:textId="77777777">
      <w:pPr>
        <w:pStyle w:val="FootnoteText"/>
      </w:pPr>
      <w:r>
        <w:rPr>
          <w:rStyle w:val="FootnoteReference"/>
        </w:rPr>
        <w:footnoteRef/>
      </w:r>
      <w:r>
        <w:tab/>
        <w:t>All further statutory references are to the Civil Code unless otherwise indicated.</w:t>
      </w:r>
    </w:p>
  </w:footnote>
  <w:footnote w:id="4">
    <w:p w:rsidR="000163A3" w:rsidP="00E150D8" w14:paraId="0C807FF5" w14:textId="77777777">
      <w:pPr>
        <w:pStyle w:val="FootnoteText"/>
      </w:pPr>
      <w:r>
        <w:rPr>
          <w:rStyle w:val="FootnoteReference"/>
        </w:rPr>
        <w:footnoteRef/>
      </w:r>
      <w:r>
        <w:tab/>
      </w:r>
      <w:r w:rsidR="00D302DC">
        <w:t xml:space="preserve">As </w:t>
      </w:r>
      <w:r w:rsidR="00FF7630">
        <w:t xml:space="preserve">Niedermeier </w:t>
      </w:r>
      <w:r w:rsidR="006439F0">
        <w:t xml:space="preserve">had </w:t>
      </w:r>
      <w:r w:rsidR="00FF7630">
        <w:t>traded in her vehicle</w:t>
      </w:r>
      <w:r w:rsidR="00D302DC">
        <w:t>,</w:t>
      </w:r>
      <w:r w:rsidR="005B610D">
        <w:t xml:space="preserve"> </w:t>
      </w:r>
      <w:r w:rsidR="00D302DC">
        <w:t xml:space="preserve">the issue before the Court of Appeal was limited to whether </w:t>
      </w:r>
      <w:r w:rsidR="00A17D5D">
        <w:t xml:space="preserve">the restitution remedy included </w:t>
      </w:r>
      <w:r w:rsidR="0098010E">
        <w:t xml:space="preserve">the </w:t>
      </w:r>
      <w:r w:rsidR="00A17D5D">
        <w:t xml:space="preserve">amount Niedermeier recovered by trading in the vehicle.  </w:t>
      </w:r>
      <w:r w:rsidR="00B13A30">
        <w:t>FCA</w:t>
      </w:r>
      <w:r w:rsidR="00B85013">
        <w:t xml:space="preserve"> US LLC</w:t>
      </w:r>
      <w:r w:rsidR="00B13A30">
        <w:t xml:space="preserve">, however, </w:t>
      </w:r>
      <w:r w:rsidR="00E45AB3">
        <w:t xml:space="preserve">assumes the same analysis applies to proceeds from the sale of a defective vehicle, and </w:t>
      </w:r>
      <w:r w:rsidR="000C75A4">
        <w:t xml:space="preserve">we </w:t>
      </w:r>
      <w:r w:rsidR="0033519E">
        <w:t xml:space="preserve">find </w:t>
      </w:r>
      <w:r w:rsidR="00E45AB3">
        <w:t xml:space="preserve">that the </w:t>
      </w:r>
      <w:r w:rsidR="005E1455">
        <w:t xml:space="preserve">outcome </w:t>
      </w:r>
      <w:r w:rsidR="00E45AB3">
        <w:t xml:space="preserve">would remain the </w:t>
      </w:r>
      <w:r w:rsidRPr="00DC523F" w:rsidR="00E45AB3">
        <w:rPr>
          <w:szCs w:val="27"/>
        </w:rPr>
        <w:t xml:space="preserve">same </w:t>
      </w:r>
      <w:r w:rsidRPr="00543129" w:rsidR="00E45AB3">
        <w:rPr>
          <w:szCs w:val="27"/>
        </w:rPr>
        <w:t>regardless</w:t>
      </w:r>
      <w:r w:rsidR="00E45AB3">
        <w:t xml:space="preserve"> of </w:t>
      </w:r>
      <w:r w:rsidR="005E1455">
        <w:t xml:space="preserve">whether a buyer trades in or sells a defective vehicle.  </w:t>
      </w:r>
      <w:r w:rsidR="009F74A1">
        <w:t>Our analysis</w:t>
      </w:r>
      <w:r w:rsidR="00A17D5D">
        <w:t xml:space="preserve"> </w:t>
      </w:r>
      <w:r w:rsidR="00B13A30">
        <w:t xml:space="preserve">therefore </w:t>
      </w:r>
      <w:r w:rsidR="00B9351E">
        <w:t>encompasses both</w:t>
      </w:r>
      <w:r w:rsidR="009F74A1">
        <w:t xml:space="preserve"> circumstances </w:t>
      </w:r>
      <w:r w:rsidR="008C1FB7">
        <w:t>throughout</w:t>
      </w:r>
      <w:r w:rsidR="00B13A30">
        <w:t>.</w:t>
      </w:r>
    </w:p>
  </w:footnote>
  <w:footnote w:id="5">
    <w:p w:rsidR="0060073A" w:rsidP="00CA5D6E" w14:paraId="0C807FF6" w14:textId="77777777">
      <w:pPr>
        <w:tabs>
          <w:tab w:val="left" w:pos="720"/>
        </w:tabs>
        <w:spacing w:line="300" w:lineRule="exact"/>
      </w:pPr>
      <w:r>
        <w:rPr>
          <w:rStyle w:val="FootnoteReference"/>
        </w:rPr>
        <w:footnoteRef/>
      </w:r>
      <w:r>
        <w:t xml:space="preserve"> </w:t>
      </w:r>
      <w:r w:rsidR="002D72EF">
        <w:tab/>
      </w:r>
      <w:r w:rsidRPr="00561A9C">
        <w:t>Section 1793.2, subdivision (d)(2) has dual purposes.</w:t>
      </w:r>
      <w:r>
        <w:t xml:space="preserve">  First, it (along with the other subdivisions of </w:t>
      </w:r>
      <w:r w:rsidR="00970216">
        <w:t>§</w:t>
      </w:r>
      <w:r w:rsidR="00D96270">
        <w:t> </w:t>
      </w:r>
      <w:r>
        <w:t xml:space="preserve">1793.2) instructs manufacturers about what they must do to </w:t>
      </w:r>
      <w:r w:rsidRPr="00115255">
        <w:rPr>
          <w:i/>
          <w:iCs/>
        </w:rPr>
        <w:t>comply</w:t>
      </w:r>
      <w:r>
        <w:t xml:space="preserve"> with the Act when a vehicle proves defective.  (See generally </w:t>
      </w:r>
      <w:r w:rsidRPr="00985926">
        <w:rPr>
          <w:i/>
          <w:iCs/>
        </w:rPr>
        <w:t>Kirzhner</w:t>
      </w:r>
      <w:r>
        <w:t xml:space="preserve">, </w:t>
      </w:r>
      <w:r>
        <w:rPr>
          <w:i/>
          <w:iCs/>
        </w:rPr>
        <w:t>supra</w:t>
      </w:r>
      <w:r>
        <w:t>, 9</w:t>
      </w:r>
      <w:r w:rsidR="0037463F">
        <w:t> </w:t>
      </w:r>
      <w:r>
        <w:t>Cal.5th at p. 971 [§ 1793.2</w:t>
      </w:r>
      <w:r w:rsidR="00970216">
        <w:t xml:space="preserve">, subd. </w:t>
      </w:r>
      <w:r>
        <w:t>(d)(2) “sets forth the manufacturer’s affirmative obligation to ‘promptly’ repurchase or replace a defective vehicle</w:t>
      </w:r>
      <w:r w:rsidRPr="009E38E5">
        <w:t xml:space="preserve"> it is unable to repair</w:t>
      </w:r>
      <w:r>
        <w:t>” and describes how manufacturers must offer replacement or restitution in order to comply with the Act].)  Second, section</w:t>
      </w:r>
      <w:r w:rsidR="0037463F">
        <w:t> </w:t>
      </w:r>
      <w:r>
        <w:t xml:space="preserve">1793.2, subdivision (d)(2) </w:t>
      </w:r>
      <w:r w:rsidR="005778F8">
        <w:t xml:space="preserve">includes the right to reimbursement as a measure </w:t>
      </w:r>
      <w:r>
        <w:t xml:space="preserve">of damages in an action </w:t>
      </w:r>
      <w:r w:rsidR="0031101B">
        <w:t>p</w:t>
      </w:r>
      <w:r>
        <w:t xml:space="preserve">ursuant to section 1794.  (See </w:t>
      </w:r>
      <w:r w:rsidRPr="00985926" w:rsidR="00970216">
        <w:rPr>
          <w:i/>
          <w:iCs/>
        </w:rPr>
        <w:t>Kirzhner</w:t>
      </w:r>
      <w:r w:rsidR="00970216">
        <w:t>,</w:t>
      </w:r>
      <w:r>
        <w:t xml:space="preserve"> at pp. 971–972 [</w:t>
      </w:r>
      <w:r w:rsidR="00970216">
        <w:t>§</w:t>
      </w:r>
      <w:r w:rsidR="00D96270">
        <w:t> </w:t>
      </w:r>
      <w:r>
        <w:t>1794 is “the Act’s general damages provision” and permits buyers to seek damages, “the measure of which includes the restitution and replacement remedies”].)  The question before us today involves the latter purpose of section 1793.2, subdivision (d)(2), and our analysis is therefore limited to the issue of the calculation of damages in a lawsuit under section 1794.</w:t>
      </w:r>
    </w:p>
  </w:footnote>
  <w:footnote w:id="6">
    <w:p w:rsidR="00E901B5" w14:paraId="0C807FF7" w14:textId="77777777">
      <w:pPr>
        <w:pStyle w:val="FootnoteText"/>
      </w:pPr>
      <w:r w:rsidRPr="00561A9C">
        <w:rPr>
          <w:rStyle w:val="FootnoteReference"/>
        </w:rPr>
        <w:footnoteRef/>
      </w:r>
      <w:r w:rsidRPr="00561A9C">
        <w:t xml:space="preserve"> </w:t>
      </w:r>
      <w:r w:rsidRPr="00561A9C" w:rsidR="00A54A33">
        <w:tab/>
      </w:r>
      <w:r w:rsidRPr="00561A9C" w:rsidR="00451696">
        <w:t>Indeed, in section 1793.2, subdivision (d), the measure of restitution is defined differently for “goods”</w:t>
      </w:r>
      <w:r w:rsidR="00451696">
        <w:t> </w:t>
      </w:r>
      <w:r w:rsidR="00E504A2">
        <w:t xml:space="preserve">and “new motor vehicles.”  For “goods,” restitution is defined as, </w:t>
      </w:r>
      <w:r w:rsidRPr="00E150D8" w:rsidR="00451696">
        <w:t>“the purchase price paid by the buyer, less that amount directly attributable to use by the buyer prior to the discovery of the nonconformity</w:t>
      </w:r>
      <w:r w:rsidR="00E504A2">
        <w:t>.</w:t>
      </w:r>
      <w:r w:rsidRPr="00E150D8" w:rsidR="00451696">
        <w:t>”</w:t>
      </w:r>
      <w:r w:rsidR="006567A2">
        <w:t xml:space="preserve"> </w:t>
      </w:r>
      <w:r w:rsidRPr="00E150D8" w:rsidR="00451696">
        <w:t xml:space="preserve"> (§ 1793.2, subd. (d)(1)</w:t>
      </w:r>
      <w:r w:rsidR="00C27F62">
        <w:t>.</w:t>
      </w:r>
      <w:r w:rsidR="00E504A2">
        <w:t xml:space="preserve">)  </w:t>
      </w:r>
      <w:r w:rsidRPr="00E150D8" w:rsidR="00451696">
        <w:t xml:space="preserve">We have thus held that section 1793.2, subdivision (d) “treats the special provisions applicable to new motor vehicles in subdivision (d)(2) as an exception to the general provision applicable to all consumer goods in subdivision (d)(1)[,]” as subdivision (d)(2) “provides </w:t>
      </w:r>
      <w:r w:rsidRPr="00E150D8" w:rsidR="00451696">
        <w:rPr>
          <w:i/>
          <w:iCs/>
        </w:rPr>
        <w:t>additional specifications</w:t>
      </w:r>
      <w:r w:rsidRPr="00E150D8" w:rsidR="00451696">
        <w:t xml:space="preserve"> for both the refund and restitution remedies.”  (</w:t>
      </w:r>
      <w:r w:rsidRPr="00E150D8" w:rsidR="00451696">
        <w:rPr>
          <w:i/>
          <w:iCs/>
        </w:rPr>
        <w:t>Cummins, Inc. v. Superior Court</w:t>
      </w:r>
      <w:r w:rsidRPr="00E150D8" w:rsidR="00451696">
        <w:t xml:space="preserve"> (2005) 36 Cal.4th 478, 490–491, italics added; see also </w:t>
      </w:r>
      <w:r w:rsidRPr="00E150D8" w:rsidR="00451696">
        <w:rPr>
          <w:i/>
          <w:iCs/>
        </w:rPr>
        <w:t>id.</w:t>
      </w:r>
      <w:r w:rsidRPr="00E150D8" w:rsidR="00451696">
        <w:t xml:space="preserve"> at p. 491 [“If restitution is selected, the amount is to be calculated as specified by the statute”].)</w:t>
      </w:r>
    </w:p>
  </w:footnote>
  <w:footnote w:id="7">
    <w:p w:rsidR="003066D1" w:rsidRPr="00E150D8" w:rsidP="00CA5D6E" w14:paraId="0C807FF8" w14:textId="77777777">
      <w:pPr>
        <w:tabs>
          <w:tab w:val="left" w:pos="720"/>
          <w:tab w:val="right" w:pos="8640"/>
        </w:tabs>
        <w:spacing w:line="300" w:lineRule="exact"/>
      </w:pPr>
      <w:r>
        <w:rPr>
          <w:rStyle w:val="FootnoteReference"/>
        </w:rPr>
        <w:footnoteRef/>
      </w:r>
      <w:r>
        <w:t xml:space="preserve"> </w:t>
      </w:r>
      <w:r>
        <w:tab/>
      </w:r>
      <w:r w:rsidR="008D5D74">
        <w:t xml:space="preserve">Notably, </w:t>
      </w:r>
      <w:r w:rsidR="00EF4268">
        <w:t xml:space="preserve">the </w:t>
      </w:r>
      <w:r w:rsidRPr="00E150D8">
        <w:t xml:space="preserve">statutory restitution remedy </w:t>
      </w:r>
      <w:r w:rsidR="00A96181">
        <w:t xml:space="preserve">is consistently referenced </w:t>
      </w:r>
      <w:r w:rsidR="008B3C40">
        <w:t xml:space="preserve">throughout </w:t>
      </w:r>
      <w:r w:rsidR="006F5EFA">
        <w:t xml:space="preserve">the Act by </w:t>
      </w:r>
      <w:r w:rsidR="00191C1E">
        <w:t xml:space="preserve">specific </w:t>
      </w:r>
      <w:r w:rsidR="006F5EFA">
        <w:t xml:space="preserve">reference to </w:t>
      </w:r>
      <w:r w:rsidRPr="00E150D8" w:rsidR="005330C2">
        <w:t xml:space="preserve">section 1793.2, </w:t>
      </w:r>
      <w:r w:rsidR="006F5EFA">
        <w:t>subdivision </w:t>
      </w:r>
      <w:r w:rsidR="00382A58">
        <w:t>(d)(2)</w:t>
      </w:r>
      <w:r w:rsidR="008D5D74">
        <w:t xml:space="preserve"> and its directive for calculating </w:t>
      </w:r>
      <w:r w:rsidR="00382A58">
        <w:t>restitution</w:t>
      </w:r>
      <w:r w:rsidR="008F08C1">
        <w:t xml:space="preserve">.  </w:t>
      </w:r>
      <w:r w:rsidRPr="00E150D8">
        <w:t xml:space="preserve">(See, e.g., §§ 1793.23, subd. (c) [labeling requirements </w:t>
      </w:r>
      <w:r w:rsidR="008D5D74">
        <w:t>include</w:t>
      </w:r>
      <w:r w:rsidRPr="00E150D8">
        <w:t xml:space="preserve"> circumstances in which “the manufacturer knew or should have known that the vehicle is required by law to be replaced</w:t>
      </w:r>
      <w:r w:rsidR="008D5D74">
        <w:t xml:space="preserve"> </w:t>
      </w:r>
      <w:r w:rsidRPr="00E150D8">
        <w:t xml:space="preserve">[or] accepted for restitution due to the failure of the manufacturer to conform the vehicle to applicable warranties pursuant to paragraph (2) of subdivision (d) of Section 1793.2”], 1793.25, subd. (a) [“State Board of Equalization shall reimburse the manufacturer of a new motor vehicle for an amount equal to the sales tax or use tax which the manufacturer . . . includes in making restitution to the buyer or lessee pursuant to subparagraph (B) of paragraph (2) of subdivision (d) of Section 1793.2”], 1794, subd. (b) [“The measure of the buyer’s damages in an action under this section shall include the rights of replacement or reimbursement as set forth in subdivision (d) of Section 1793.2”].)  </w:t>
      </w:r>
      <w:r w:rsidR="00195BA7">
        <w:t>Th</w:t>
      </w:r>
      <w:r w:rsidR="008D5D74">
        <w:t>ese repeated references</w:t>
      </w:r>
      <w:r w:rsidRPr="00E150D8" w:rsidR="00195BA7">
        <w:t xml:space="preserve"> </w:t>
      </w:r>
      <w:r w:rsidR="00B1388B">
        <w:t xml:space="preserve"> to </w:t>
      </w:r>
      <w:r w:rsidR="00A10272">
        <w:t>subdivision (d)(2)</w:t>
      </w:r>
      <w:r w:rsidR="00B1388B">
        <w:t xml:space="preserve"> </w:t>
      </w:r>
      <w:r w:rsidR="00195BA7">
        <w:t xml:space="preserve">further </w:t>
      </w:r>
      <w:r w:rsidRPr="00E150D8" w:rsidR="00195BA7">
        <w:t>indicat</w:t>
      </w:r>
      <w:r w:rsidR="00195BA7">
        <w:t>e</w:t>
      </w:r>
      <w:r w:rsidRPr="00E150D8" w:rsidR="00195BA7">
        <w:t xml:space="preserve"> a </w:t>
      </w:r>
      <w:r w:rsidR="003F72F7">
        <w:t>l</w:t>
      </w:r>
      <w:r w:rsidRPr="00E150D8" w:rsidR="00195BA7">
        <w:t>egislative intent to attribute a specific</w:t>
      </w:r>
      <w:r w:rsidR="0024797D">
        <w:t xml:space="preserve"> statutory restitution formula</w:t>
      </w:r>
      <w:r w:rsidRPr="00E150D8" w:rsidR="00195BA7">
        <w:t xml:space="preserve"> to the term “restitution” </w:t>
      </w:r>
      <w:r w:rsidR="00195BA7">
        <w:t>distinct from the common law definition</w:t>
      </w:r>
      <w:r w:rsidRPr="00E150D8" w:rsidR="00195BA7">
        <w:t xml:space="preserve">.  </w:t>
      </w:r>
    </w:p>
    <w:p w:rsidR="003066D1" w14:paraId="0C807FF9" w14:textId="77777777">
      <w:pPr>
        <w:pStyle w:val="FootnoteText"/>
      </w:pPr>
    </w:p>
  </w:footnote>
  <w:footnote w:id="8">
    <w:p w:rsidR="00D9134A" w14:paraId="0C807FFA" w14:textId="77777777">
      <w:pPr>
        <w:pStyle w:val="FootnoteText"/>
      </w:pPr>
      <w:r>
        <w:rPr>
          <w:rStyle w:val="FootnoteReference"/>
        </w:rPr>
        <w:footnoteRef/>
      </w:r>
      <w:r w:rsidR="00994095">
        <w:tab/>
      </w:r>
      <w:r w:rsidRPr="00E150D8" w:rsidR="00994095">
        <w:t xml:space="preserve">See </w:t>
      </w:r>
      <w:r w:rsidRPr="00E150D8" w:rsidR="00994095">
        <w:rPr>
          <w:i/>
          <w:iCs/>
        </w:rPr>
        <w:t>Gast v. Rogers-Dingus Chevrolet</w:t>
      </w:r>
      <w:r w:rsidRPr="00E150D8" w:rsidR="00994095">
        <w:t xml:space="preserve"> (Miss. 1991) 585 So.2d 725; </w:t>
      </w:r>
      <w:r w:rsidRPr="00E150D8" w:rsidR="00994095">
        <w:rPr>
          <w:i/>
          <w:iCs/>
        </w:rPr>
        <w:t>Roneker v. Kentworth Truck Co.</w:t>
      </w:r>
      <w:r w:rsidRPr="00E150D8" w:rsidR="00994095">
        <w:t xml:space="preserve"> (W.D.N.Y. 1997) 977 F.Supp. 237; </w:t>
      </w:r>
      <w:r w:rsidRPr="00E150D8" w:rsidR="00994095">
        <w:rPr>
          <w:i/>
          <w:iCs/>
        </w:rPr>
        <w:t>Hibbs v. Jeep Corp.</w:t>
      </w:r>
      <w:r w:rsidRPr="00E150D8" w:rsidR="00994095">
        <w:t xml:space="preserve"> (Mo.Ct.App. 1984) 666 S.W.2d 792;</w:t>
      </w:r>
      <w:r w:rsidRPr="00E150D8" w:rsidR="00994095">
        <w:rPr>
          <w:i/>
          <w:iCs/>
        </w:rPr>
        <w:t xml:space="preserve"> Sanborn v. Aranosian</w:t>
      </w:r>
      <w:r w:rsidRPr="00E150D8" w:rsidR="00994095">
        <w:t xml:space="preserve"> (1979) 119 N.H. 969</w:t>
      </w:r>
      <w:r w:rsidR="00994095">
        <w:t>.</w:t>
      </w:r>
    </w:p>
  </w:footnote>
  <w:footnote w:id="9">
    <w:p w:rsidR="00AA3194" w:rsidP="00AA3194" w14:paraId="0C807FFB" w14:textId="77777777">
      <w:pPr>
        <w:pStyle w:val="FootnoteText"/>
      </w:pPr>
      <w:r>
        <w:rPr>
          <w:rStyle w:val="FootnoteReference"/>
        </w:rPr>
        <w:footnoteRef/>
      </w:r>
      <w:r>
        <w:t xml:space="preserve"> </w:t>
      </w:r>
      <w:r>
        <w:tab/>
      </w:r>
      <w:r w:rsidRPr="00E150D8">
        <w:t xml:space="preserve">As amended, section 1793.2, subdivision (d) provided, “Should the manufacturer or its representative </w:t>
      </w:r>
      <w:r w:rsidR="0099608A">
        <w:t xml:space="preserve">in this state </w:t>
      </w:r>
      <w:r w:rsidRPr="00E150D8">
        <w:t xml:space="preserve">be unable to service or repair the goods to conform to the applicable express warranties after a reasonable number of attempts, the manufacturer shall either replace the goods or reimburse the buyer in an amount equal to the purchase price paid by the buyer, less that amount directly attributable to use by the buyer prior to the discovery of the nonconformity.”  (Stats. 1982, ch. 388, § 1, p. 1721.)  </w:t>
      </w:r>
    </w:p>
  </w:footnote>
  <w:footnote w:id="10">
    <w:p w:rsidR="00AD34B1" w:rsidP="00AD34B1" w14:paraId="0C807FFC" w14:textId="77777777">
      <w:pPr>
        <w:pStyle w:val="FootnoteText"/>
      </w:pPr>
      <w:r>
        <w:rPr>
          <w:rStyle w:val="FootnoteReference"/>
        </w:rPr>
        <w:footnoteRef/>
      </w:r>
      <w:r>
        <w:tab/>
      </w:r>
      <w:r w:rsidR="00C16379">
        <w:t xml:space="preserve">We are not faced with circumstances in which a manufacturer has violated the Act but has a good faith and reasonable </w:t>
      </w:r>
      <w:r w:rsidRPr="004E555D" w:rsidR="00C16379">
        <w:rPr>
          <w:szCs w:val="27"/>
        </w:rPr>
        <w:t xml:space="preserve">belief that a statutory obligation to pay restitution does not exist.  </w:t>
      </w:r>
      <w:r w:rsidRPr="00CA5D6E" w:rsidR="00CD4BF3">
        <w:rPr>
          <w:szCs w:val="27"/>
        </w:rPr>
        <w:t xml:space="preserve">Neither are we faced with a situation in which a buyer sells or trades in a vehicle before a manufacturer has the opportunity to comply with its obligation to promptly pay restitution.  </w:t>
      </w:r>
      <w:r w:rsidRPr="004E555D" w:rsidR="00382D10">
        <w:rPr>
          <w:szCs w:val="27"/>
        </w:rPr>
        <w:t>We do</w:t>
      </w:r>
      <w:r w:rsidRPr="004D2003" w:rsidR="00382D10">
        <w:t xml:space="preserve"> not decide today how such facts might affect the damages calculation</w:t>
      </w:r>
      <w:r w:rsidRPr="008B748F" w:rsidR="00382D10">
        <w:t>; in this case</w:t>
      </w:r>
      <w:r w:rsidRPr="008B748F" w:rsidR="002D1201">
        <w:t>,</w:t>
      </w:r>
      <w:r w:rsidRPr="008B748F" w:rsidR="001A0058">
        <w:t xml:space="preserve"> a jury found</w:t>
      </w:r>
      <w:r w:rsidRPr="008B748F" w:rsidR="00382D10">
        <w:t xml:space="preserve"> FCA not only failed to promptly pay Niedermeier restitution, but </w:t>
      </w:r>
      <w:r w:rsidRPr="008B748F" w:rsidR="00805A7A">
        <w:t>FCA</w:t>
      </w:r>
      <w:r w:rsidRPr="008B748F" w:rsidR="00382D10">
        <w:t xml:space="preserve"> also willfully failed to comply with the Act</w:t>
      </w:r>
      <w:r w:rsidR="00382D10">
        <w:t xml:space="preserve">.  </w:t>
      </w:r>
    </w:p>
  </w:footnote>
  <w:footnote w:id="11">
    <w:p w:rsidR="00B85209" w:rsidP="00CA5D6E" w14:paraId="0C807FFD" w14:textId="77777777">
      <w:pPr>
        <w:tabs>
          <w:tab w:val="left" w:pos="720"/>
        </w:tabs>
        <w:spacing w:line="240" w:lineRule="auto"/>
      </w:pPr>
      <w:r w:rsidRPr="000A624C">
        <w:rPr>
          <w:rStyle w:val="FootnoteReference"/>
        </w:rPr>
        <w:footnoteRef/>
      </w:r>
      <w:r w:rsidRPr="000A624C">
        <w:t xml:space="preserve"> </w:t>
      </w:r>
      <w:r w:rsidRPr="000A624C">
        <w:tab/>
      </w:r>
      <w:r w:rsidRPr="00A21E5C">
        <w:t xml:space="preserve">The concurring opinion observes that the statutory restitution remedy seems to be built on the premise that a buyer returns the defective vehicle, the manufacturer accepts it, and the manufacturer offers the buyer their choice of a refund or replacement vehicle.  (See conc. opn. of Kruger, J., </w:t>
      </w:r>
      <w:r w:rsidRPr="00A21E5C">
        <w:rPr>
          <w:i/>
          <w:iCs/>
        </w:rPr>
        <w:t>post</w:t>
      </w:r>
      <w:r w:rsidRPr="00A21E5C">
        <w:t xml:space="preserve">, at p. </w:t>
      </w:r>
      <w:r w:rsidR="00822070">
        <w:t>9</w:t>
      </w:r>
      <w:r w:rsidRPr="00A21E5C">
        <w:t>.)</w:t>
      </w:r>
      <w:r w:rsidRPr="000A624C">
        <w:t xml:space="preserve"> </w:t>
      </w:r>
      <w:r w:rsidR="00E80F87">
        <w:t xml:space="preserve"> </w:t>
      </w:r>
      <w:r w:rsidRPr="000A624C">
        <w:t xml:space="preserve">But as FCA acknowledges, the question of whether </w:t>
      </w:r>
      <w:r w:rsidRPr="000A624C">
        <w:rPr>
          <w:i/>
          <w:iCs/>
        </w:rPr>
        <w:t xml:space="preserve">Martinez </w:t>
      </w:r>
      <w:r w:rsidRPr="000A624C">
        <w:t>was correctly decided is not before us, so we assume a buyer is not required to return the defective vehicle to a manufacturer to obtain restitution.</w:t>
      </w:r>
      <w:r>
        <w:t xml:space="preserve">  </w:t>
      </w:r>
    </w:p>
  </w:footnote>
  <w:footnote w:id="12">
    <w:p w:rsidR="00FF7E58" w:rsidP="00FF7E58" w14:paraId="0C807FFE" w14:textId="77777777">
      <w:pPr>
        <w:pStyle w:val="FootnoteText"/>
      </w:pPr>
      <w:r>
        <w:rPr>
          <w:rStyle w:val="FootnoteReference"/>
        </w:rPr>
        <w:footnoteRef/>
      </w:r>
      <w:r>
        <w:tab/>
      </w:r>
      <w:r w:rsidRPr="00A72F4B" w:rsidR="003B2EF3">
        <w:t>Niedermeier and amicus Consumers for Auto Reliability and Safety</w:t>
      </w:r>
      <w:r w:rsidR="003B2EF3">
        <w:t xml:space="preserve"> </w:t>
      </w:r>
      <w:r w:rsidRPr="00A72F4B" w:rsidR="003B2EF3">
        <w:t>argue that trade-in credits tend to be artificially inflated and are not reflective of the actual value of the vehicle.</w:t>
      </w:r>
      <w:r w:rsidR="003B2EF3">
        <w:t xml:space="preserve">  </w:t>
      </w:r>
      <w:r w:rsidRPr="00A72F4B" w:rsidR="003B2EF3">
        <w:t>The prospect that a buyer would trade in a defective vehicle for an artificially inflated value would provide an even greater incentive for manufacturers to delay in repurchasing defective vehicle</w:t>
      </w:r>
      <w:r w:rsidR="003B2EF3">
        <w:t>s</w:t>
      </w:r>
      <w:r w:rsidRPr="00A72F4B" w:rsidR="003B2EF3">
        <w:t>.</w:t>
      </w:r>
      <w:r w:rsidR="003B2EF3">
        <w:t xml:space="preserve">  However, </w:t>
      </w:r>
      <w:r w:rsidRPr="00561A9C">
        <w:t>Niedermeier’s counsel advised the court as to the Yukon’s purchase price</w:t>
      </w:r>
      <w:r w:rsidRPr="001650A8">
        <w:t>;</w:t>
      </w:r>
      <w:r>
        <w:t xml:space="preserve"> no evidence was introduced at trial as to the Yukon’s purchase price or whether the trade-in amount reflected the vehicle’s actual value.</w:t>
      </w:r>
      <w:r w:rsidR="00A72F4B">
        <w:t xml:space="preserve"> </w:t>
      </w:r>
      <w:r w:rsidR="007D3FD3">
        <w:t xml:space="preserve"> Thus, the court does not credit the assertion that the trade-in amount Niedermeier received was artificially inflated.</w:t>
      </w:r>
    </w:p>
  </w:footnote>
  <w:footnote w:id="13">
    <w:p w:rsidR="00526D0F" w:rsidP="00526D0F" w14:paraId="0C807FFF" w14:textId="77777777">
      <w:pPr>
        <w:spacing w:line="240" w:lineRule="auto"/>
      </w:pPr>
      <w:r w:rsidRPr="001F75E3">
        <w:rPr>
          <w:rStyle w:val="FootnoteReference"/>
        </w:rPr>
        <w:footnoteRef/>
      </w:r>
      <w:r w:rsidRPr="001F75E3">
        <w:t xml:space="preserve"> </w:t>
      </w:r>
      <w:r w:rsidRPr="001F75E3">
        <w:tab/>
      </w:r>
      <w:r w:rsidR="00DB2671">
        <w:rPr>
          <w:szCs w:val="27"/>
        </w:rPr>
        <w:t xml:space="preserve">The concurrence also argues that such a rule </w:t>
      </w:r>
      <w:r w:rsidR="00822070">
        <w:rPr>
          <w:szCs w:val="27"/>
        </w:rPr>
        <w:t>“</w:t>
      </w:r>
      <w:r w:rsidR="00DB2671">
        <w:rPr>
          <w:szCs w:val="27"/>
        </w:rPr>
        <w:t>would mean that plaintiffs who buy luxury vehicles could wind up turning a substantial profit if those vehicles later prove defective, while plaintiffs who buy economy cars probably could not</w:t>
      </w:r>
      <w:r w:rsidR="00822070">
        <w:rPr>
          <w:szCs w:val="27"/>
        </w:rPr>
        <w:t> </w:t>
      </w:r>
      <w:r w:rsidR="00DB2671">
        <w:rPr>
          <w:szCs w:val="27"/>
        </w:rPr>
        <w:t xml:space="preserve">— for reasons that have nothing to do with the extent of their actual losses or the extent of the manufacturer’s wrongdoing.”  (Conc. opn. of Kruger, J., </w:t>
      </w:r>
      <w:r w:rsidR="00DB2671">
        <w:rPr>
          <w:i/>
          <w:iCs/>
          <w:szCs w:val="27"/>
        </w:rPr>
        <w:t>post</w:t>
      </w:r>
      <w:r w:rsidR="00DB2671">
        <w:rPr>
          <w:szCs w:val="27"/>
        </w:rPr>
        <w:t xml:space="preserve">, at p. </w:t>
      </w:r>
      <w:r w:rsidR="00822070">
        <w:rPr>
          <w:szCs w:val="27"/>
        </w:rPr>
        <w:t>15</w:t>
      </w:r>
      <w:r w:rsidR="00DB2671">
        <w:rPr>
          <w:szCs w:val="27"/>
        </w:rPr>
        <w:t xml:space="preserve">.)  Consumers who purchase more expensive vehicles pay more as a matter of course for their vehicles and thus are more likely to obtain more when they are traded in or resold.  </w:t>
      </w:r>
      <w:r w:rsidR="00397B2F">
        <w:t xml:space="preserve">The court </w:t>
      </w:r>
      <w:r w:rsidR="00795A2E">
        <w:t>does</w:t>
      </w:r>
      <w:r w:rsidR="00397B2F">
        <w:t xml:space="preserve"> not assume, based on our holding, </w:t>
      </w:r>
      <w:r w:rsidR="00D41CBA">
        <w:t xml:space="preserve">that </w:t>
      </w:r>
      <w:r w:rsidR="00397B2F">
        <w:t xml:space="preserve">consumers will start buying vehicles with the expectation that </w:t>
      </w:r>
      <w:r w:rsidR="0086136F">
        <w:t>they will be defective</w:t>
      </w:r>
      <w:r w:rsidR="00881E40">
        <w:t xml:space="preserve"> </w:t>
      </w:r>
      <w:r w:rsidR="00925314">
        <w:t>and</w:t>
      </w:r>
      <w:r w:rsidR="00881E40">
        <w:t xml:space="preserve"> </w:t>
      </w:r>
      <w:r w:rsidR="00DA1687">
        <w:t xml:space="preserve">that </w:t>
      </w:r>
      <w:r w:rsidR="00397B2F">
        <w:t>manufacturers will refuse to comply with the Act</w:t>
      </w:r>
      <w:r w:rsidR="00F9599E">
        <w:t>,</w:t>
      </w:r>
      <w:r w:rsidR="008F7A7B">
        <w:t xml:space="preserve"> </w:t>
      </w:r>
      <w:r w:rsidR="000B4737">
        <w:t xml:space="preserve">so that they can </w:t>
      </w:r>
      <w:r w:rsidR="001C6FB4">
        <w:t>sell or trade in the vehicle</w:t>
      </w:r>
      <w:r w:rsidR="00F97B15">
        <w:t>s</w:t>
      </w:r>
      <w:r w:rsidR="00881B27">
        <w:t xml:space="preserve"> and </w:t>
      </w:r>
      <w:r w:rsidR="00F9599E">
        <w:t xml:space="preserve">bring actions under the Act hoping to realize </w:t>
      </w:r>
      <w:r w:rsidR="002B035E">
        <w:t xml:space="preserve">a profit. </w:t>
      </w:r>
    </w:p>
  </w:footnote>
  <w:footnote w:id="14">
    <w:p w:rsidR="00A673FE" w:rsidP="00A673FE" w14:paraId="63859A45" w14:textId="77777777">
      <w:pPr>
        <w:pStyle w:val="FootnoteText"/>
        <w:spacing w:before="240"/>
      </w:pPr>
      <w:r>
        <w:rPr>
          <w:rStyle w:val="FootnoteReference"/>
        </w:rPr>
        <w:footnoteRef/>
      </w:r>
      <w:r>
        <w:t xml:space="preserve"> </w:t>
      </w:r>
      <w:r>
        <w:tab/>
        <w:t xml:space="preserve">The court in </w:t>
      </w:r>
      <w:r w:rsidRPr="00A92D55">
        <w:rPr>
          <w:i/>
          <w:iCs/>
        </w:rPr>
        <w:t>Martinez v. Kia Motors America, Inc.</w:t>
      </w:r>
      <w:r w:rsidRPr="0021457B">
        <w:t xml:space="preserve"> (2011) 193 Cal.App.4th 187, </w:t>
      </w:r>
      <w:r>
        <w:t xml:space="preserve">194, did appear to adopt this reading of the language of the statute.  But the actual holding of the case did not depend on it.  In </w:t>
      </w:r>
      <w:r>
        <w:rPr>
          <w:i/>
          <w:iCs/>
        </w:rPr>
        <w:t>Martinez</w:t>
      </w:r>
      <w:r>
        <w:t xml:space="preserve">, the buyer </w:t>
      </w:r>
      <w:r w:rsidRPr="0021457B">
        <w:t xml:space="preserve">abandoned her nonfunctioning </w:t>
      </w:r>
      <w:r>
        <w:t>car</w:t>
      </w:r>
      <w:r w:rsidRPr="0021457B">
        <w:t xml:space="preserve"> </w:t>
      </w:r>
      <w:r>
        <w:t xml:space="preserve">at the dealership </w:t>
      </w:r>
      <w:r w:rsidRPr="0021457B">
        <w:t>after the dealer refused to provide warranty coverage to repair it</w:t>
      </w:r>
      <w:r>
        <w:t>.  The car was ultimately repossessed.  (</w:t>
      </w:r>
      <w:r w:rsidRPr="00185FAE">
        <w:rPr>
          <w:i/>
          <w:iCs/>
        </w:rPr>
        <w:t>Id</w:t>
      </w:r>
      <w:r>
        <w:t>. at p. 192.)  There was no trade-in or resale to contend with, no dispute about the proper amount of restitution, and no question about the calculation of damages.  The Court of Appeal determined that nothing in the lemon law required Martinez to possess the vehicle before pursuing damages for the violations she asserted.  (</w:t>
      </w:r>
      <w:r w:rsidRPr="00185FAE">
        <w:rPr>
          <w:i/>
          <w:iCs/>
        </w:rPr>
        <w:t>Id</w:t>
      </w:r>
      <w:r>
        <w:t xml:space="preserve">. at pp. 193–194.)  Whether and to what extent the </w:t>
      </w:r>
      <w:r>
        <w:rPr>
          <w:i/>
          <w:iCs/>
        </w:rPr>
        <w:t>Martinez</w:t>
      </w:r>
      <w:r>
        <w:t xml:space="preserve"> opinion correctly reasoned through the issue before it is beyond the scope of our inquiry in this case.  It suffices to observe that the actual holding of </w:t>
      </w:r>
      <w:r>
        <w:rPr>
          <w:i/>
          <w:iCs/>
        </w:rPr>
        <w:t>Martinez</w:t>
      </w:r>
      <w:r>
        <w:t xml:space="preserve"> is not inconsistent with a more nuanced understanding of the statute that acknowledges its ambiguities.</w:t>
      </w:r>
    </w:p>
  </w:footnote>
  <w:footnote w:id="15">
    <w:p w:rsidR="00A673FE" w:rsidP="00A673FE" w14:paraId="177C31BE" w14:textId="77777777">
      <w:pPr>
        <w:pStyle w:val="FootnoteText"/>
      </w:pPr>
      <w:r>
        <w:rPr>
          <w:rStyle w:val="FootnoteReference"/>
        </w:rPr>
        <w:footnoteRef/>
      </w:r>
      <w:r>
        <w:t xml:space="preserve"> </w:t>
      </w:r>
      <w:r>
        <w:tab/>
        <w:t xml:space="preserve">Unsurprisingly, many other states’ lemon laws make the return of the car an explicit requirement.  (E.g., </w:t>
      </w:r>
      <w:r w:rsidRPr="00D3391F">
        <w:t>N.J. Stat. Ann. §</w:t>
      </w:r>
      <w:r>
        <w:t> </w:t>
      </w:r>
      <w:r w:rsidRPr="00D3391F">
        <w:t>56:12-32</w:t>
      </w:r>
      <w:r>
        <w:t>(a)(1)</w:t>
      </w:r>
      <w:r w:rsidRPr="00D3391F">
        <w:t xml:space="preserve"> [“the manufacturer .</w:t>
      </w:r>
      <w:r>
        <w:t> </w:t>
      </w:r>
      <w:r w:rsidRPr="00D3391F">
        <w:t>.</w:t>
      </w:r>
      <w:r>
        <w:t> </w:t>
      </w:r>
      <w:r w:rsidRPr="00D3391F">
        <w:t xml:space="preserve">. shall </w:t>
      </w:r>
      <w:r w:rsidRPr="007F4FA9">
        <w:rPr>
          <w:i/>
          <w:iCs/>
        </w:rPr>
        <w:t xml:space="preserve">accept return </w:t>
      </w:r>
      <w:r w:rsidRPr="00D3391F">
        <w:t>of the motor vehicle from the consumer” and “(1) .</w:t>
      </w:r>
      <w:r>
        <w:t> </w:t>
      </w:r>
      <w:r w:rsidRPr="00D3391F">
        <w:t>.</w:t>
      </w:r>
      <w:r>
        <w:t> </w:t>
      </w:r>
      <w:r w:rsidRPr="00D3391F">
        <w:t xml:space="preserve">. provide the consumer with a full refund of the purchase price of the original motor vehicle” </w:t>
      </w:r>
      <w:r>
        <w:t>(</w:t>
      </w:r>
      <w:r w:rsidRPr="00D3391F">
        <w:t>italics added</w:t>
      </w:r>
      <w:r>
        <w:t>)</w:t>
      </w:r>
      <w:r w:rsidRPr="00D3391F">
        <w:t>]; N.Y. Gen. Bus. Law §</w:t>
      </w:r>
      <w:r>
        <w:t> </w:t>
      </w:r>
      <w:r w:rsidRPr="00D3391F">
        <w:t>198-a</w:t>
      </w:r>
      <w:r>
        <w:t>(</w:t>
      </w:r>
      <w:r w:rsidRPr="00D3391F">
        <w:t>c</w:t>
      </w:r>
      <w:r>
        <w:t>)(</w:t>
      </w:r>
      <w:r w:rsidRPr="00D3391F">
        <w:t>1</w:t>
      </w:r>
      <w:r>
        <w:t>)</w:t>
      </w:r>
      <w:r w:rsidRPr="00D3391F">
        <w:t xml:space="preserve"> [“the manufacturer, at the option of the consumer, shall replace the motor vehicle with a comparable motor vehicle, or </w:t>
      </w:r>
      <w:r w:rsidRPr="007F4FA9">
        <w:rPr>
          <w:i/>
          <w:iCs/>
        </w:rPr>
        <w:t>accept return</w:t>
      </w:r>
      <w:r w:rsidRPr="00D3391F">
        <w:t xml:space="preserve"> of the vehicle from the consumer and refund to the consumer the full purchase price” </w:t>
      </w:r>
      <w:r>
        <w:t>(</w:t>
      </w:r>
      <w:r w:rsidRPr="00D3391F">
        <w:t>italics added</w:t>
      </w:r>
      <w:r>
        <w:t>)</w:t>
      </w:r>
      <w:r w:rsidRPr="00D3391F">
        <w:t>]; R.I. Gen. Laws §</w:t>
      </w:r>
      <w:r>
        <w:t> </w:t>
      </w:r>
      <w:r w:rsidRPr="00D3391F">
        <w:t xml:space="preserve">31-5.2-3(a)(1) [“the manufacturer shall </w:t>
      </w:r>
      <w:r w:rsidRPr="007F4FA9">
        <w:rPr>
          <w:i/>
          <w:iCs/>
        </w:rPr>
        <w:t>accept return</w:t>
      </w:r>
      <w:r w:rsidRPr="00D3391F">
        <w:t xml:space="preserve"> of the vehicle from the consumer or lessee and, at the consumer’s or lessee’s option, refund the full contract price or lease price of the vehicle including all credits and allowances for any trade-in vehicle”</w:t>
      </w:r>
      <w:r>
        <w:t xml:space="preserve"> (italics added)</w:t>
      </w:r>
      <w:r w:rsidRPr="00D3391F">
        <w:t>]; W</w:t>
      </w:r>
      <w:r>
        <w:t>n</w:t>
      </w:r>
      <w:r w:rsidRPr="00D3391F">
        <w:t>. Rev. Code</w:t>
      </w:r>
      <w:r>
        <w:t xml:space="preserve"> Ann.</w:t>
      </w:r>
      <w:r w:rsidRPr="00D3391F">
        <w:t xml:space="preserve"> §</w:t>
      </w:r>
      <w:r>
        <w:t> </w:t>
      </w:r>
      <w:r w:rsidRPr="00D3391F">
        <w:t>19.118.041(1) [“the manufacturer .</w:t>
      </w:r>
      <w:r>
        <w:t> </w:t>
      </w:r>
      <w:r w:rsidRPr="00D3391F">
        <w:t>.</w:t>
      </w:r>
      <w:r>
        <w:t> </w:t>
      </w:r>
      <w:r w:rsidRPr="00D3391F">
        <w:t xml:space="preserve">. shall, at the option of the consumer, replace or </w:t>
      </w:r>
      <w:r w:rsidRPr="007F4FA9">
        <w:rPr>
          <w:i/>
          <w:iCs/>
        </w:rPr>
        <w:t>repurchase</w:t>
      </w:r>
      <w:r w:rsidRPr="00D3391F">
        <w:t xml:space="preserve"> the new motor vehicle” </w:t>
      </w:r>
      <w:r>
        <w:t>(</w:t>
      </w:r>
      <w:r w:rsidRPr="00D3391F">
        <w:t>italics added</w:t>
      </w:r>
      <w:r>
        <w:t>)</w:t>
      </w:r>
      <w:r w:rsidRPr="00D3391F">
        <w:t>]</w:t>
      </w:r>
      <w:r>
        <w:t xml:space="preserve">; see also </w:t>
      </w:r>
      <w:r w:rsidRPr="00DB46DE">
        <w:rPr>
          <w:i/>
          <w:iCs/>
        </w:rPr>
        <w:t>Martinez v. Kia Motors America, Inc.</w:t>
      </w:r>
      <w:r>
        <w:t xml:space="preserve">, </w:t>
      </w:r>
      <w:r w:rsidRPr="003F2BBA">
        <w:rPr>
          <w:i/>
          <w:iCs/>
        </w:rPr>
        <w:t>supra</w:t>
      </w:r>
      <w:r>
        <w:t>, 193 Cal.App.4th at pp. 196–197 [discussing additional jurisdictions that require return of a defective vehicle for a lemon law refund].)</w:t>
      </w:r>
    </w:p>
  </w:footnote>
  <w:footnote w:id="16">
    <w:p w:rsidR="00A673FE" w:rsidP="00A673FE" w14:paraId="128D165A" w14:textId="77777777">
      <w:pPr>
        <w:pStyle w:val="FootnoteText"/>
      </w:pPr>
      <w:r>
        <w:rPr>
          <w:rStyle w:val="FootnoteReference"/>
        </w:rPr>
        <w:footnoteRef/>
      </w:r>
      <w:r>
        <w:t xml:space="preserve"> </w:t>
      </w:r>
      <w:r>
        <w:tab/>
        <w:t xml:space="preserve">I do not mean to overstate the degree to which our holding is likely to affect manufacturers’ existing incentives to do their best to comply with the law.  As the majority points out, the prospect of hundreds of thousands of dollars in civil penalties and attorney fees was not enough to deter FCA’s misbehavior in this case.  (See maj. opn., </w:t>
      </w:r>
      <w:r w:rsidRPr="00B30897">
        <w:rPr>
          <w:i/>
          <w:iCs/>
        </w:rPr>
        <w:t>ante</w:t>
      </w:r>
      <w:r>
        <w:t>, at p. 38.)  It is unclear to me, at least, that the prospect of being denied a $19,000 trade-in credit would have made a dispositive difference.  But the point here is not h</w:t>
      </w:r>
      <w:r w:rsidRPr="008B1290">
        <w:t>ow effective any individual component of the monetary remedy m</w:t>
      </w:r>
      <w:r>
        <w:t xml:space="preserve">ay </w:t>
      </w:r>
      <w:r w:rsidRPr="008B1290">
        <w:t xml:space="preserve">be </w:t>
      </w:r>
      <w:r>
        <w:t xml:space="preserve">in deterring wrongdoing in any particular case.  The point is that such wrongdoing should not be rewarded in any measure.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0D8" w14:paraId="0C807FEF" w14:textId="77777777">
    <w:pPr>
      <w:pStyle w:val="Header"/>
    </w:pPr>
    <w:r>
      <w:t>NIEDERMEIER  v. FCA US LLC</w:t>
    </w:r>
  </w:p>
  <w:p w:rsidR="00E150D8" w14:paraId="0C807FF0" w14:textId="77777777">
    <w:pPr>
      <w:pStyle w:val="Header"/>
    </w:pPr>
    <w:r>
      <w:t>Opinion of the Court by Evans, J.</w:t>
    </w:r>
  </w:p>
  <w:p w:rsidR="00E150D8" w14:paraId="0C807F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ECE" w14:paraId="28078D4B" w14:textId="77777777">
    <w:pPr>
      <w:pStyle w:val="Header"/>
    </w:pPr>
    <w:r>
      <w:t>NIEDERMEIER  v. FCA US LLC</w:t>
    </w:r>
  </w:p>
  <w:p w:rsidR="00C13186" w:rsidP="00C13186" w14:paraId="06E596B1" w14:textId="77777777">
    <w:pPr>
      <w:pStyle w:val="Header"/>
    </w:pPr>
    <w:r>
      <w:t>Kruger, J., concurring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2CD" w:rsidRPr="006772CD" w:rsidP="006772CD" w14:paraId="4BA192C3" w14:textId="5FFEA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B35A8"/>
    <w:multiLevelType w:val="hybridMultilevel"/>
    <w:tmpl w:val="EBCEDCEC"/>
    <w:lvl w:ilvl="0">
      <w:start w:val="1"/>
      <w:numFmt w:val="decimal"/>
      <w:lvlText w:val="%1."/>
      <w:lvlJc w:val="left"/>
      <w:pPr>
        <w:ind w:left="1512" w:hanging="360"/>
      </w:pPr>
      <w:rPr>
        <w:rFonts w:hint="default"/>
        <w:b/>
        <w:bCs w:val="0"/>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
    <w:nsid w:val="272C6DD5"/>
    <w:multiLevelType w:val="hybridMultilevel"/>
    <w:tmpl w:val="7C30AD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1D9113A"/>
    <w:multiLevelType w:val="hybridMultilevel"/>
    <w:tmpl w:val="65246D2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
    <w:nsid w:val="42591F3E"/>
    <w:multiLevelType w:val="hybridMultilevel"/>
    <w:tmpl w:val="994212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54D6B69"/>
    <w:multiLevelType w:val="hybridMultilevel"/>
    <w:tmpl w:val="EF4CE48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DC"/>
    <w:rsid w:val="00000383"/>
    <w:rsid w:val="000008F4"/>
    <w:rsid w:val="00000993"/>
    <w:rsid w:val="00001151"/>
    <w:rsid w:val="000011FC"/>
    <w:rsid w:val="000012BB"/>
    <w:rsid w:val="00001382"/>
    <w:rsid w:val="00001BA4"/>
    <w:rsid w:val="00001C44"/>
    <w:rsid w:val="00002014"/>
    <w:rsid w:val="00002073"/>
    <w:rsid w:val="000020E4"/>
    <w:rsid w:val="0000262F"/>
    <w:rsid w:val="000027B7"/>
    <w:rsid w:val="00002896"/>
    <w:rsid w:val="00002975"/>
    <w:rsid w:val="00002C2C"/>
    <w:rsid w:val="00002E3E"/>
    <w:rsid w:val="00002F1E"/>
    <w:rsid w:val="000039B0"/>
    <w:rsid w:val="000041F0"/>
    <w:rsid w:val="00004286"/>
    <w:rsid w:val="00004819"/>
    <w:rsid w:val="00004B19"/>
    <w:rsid w:val="00004C77"/>
    <w:rsid w:val="000052E5"/>
    <w:rsid w:val="000054B5"/>
    <w:rsid w:val="00005915"/>
    <w:rsid w:val="00005A56"/>
    <w:rsid w:val="00005D61"/>
    <w:rsid w:val="00005F03"/>
    <w:rsid w:val="00005F58"/>
    <w:rsid w:val="00005F95"/>
    <w:rsid w:val="000069D8"/>
    <w:rsid w:val="00006ACB"/>
    <w:rsid w:val="00006B7A"/>
    <w:rsid w:val="00006F70"/>
    <w:rsid w:val="00007135"/>
    <w:rsid w:val="00007883"/>
    <w:rsid w:val="00007FD6"/>
    <w:rsid w:val="0001023F"/>
    <w:rsid w:val="000104C5"/>
    <w:rsid w:val="0001062C"/>
    <w:rsid w:val="00010889"/>
    <w:rsid w:val="000108CD"/>
    <w:rsid w:val="00010CEE"/>
    <w:rsid w:val="000110B3"/>
    <w:rsid w:val="0001157B"/>
    <w:rsid w:val="000117F3"/>
    <w:rsid w:val="000121B8"/>
    <w:rsid w:val="000124C9"/>
    <w:rsid w:val="00012987"/>
    <w:rsid w:val="00012A55"/>
    <w:rsid w:val="00012B6D"/>
    <w:rsid w:val="0001348C"/>
    <w:rsid w:val="0001368A"/>
    <w:rsid w:val="000138B9"/>
    <w:rsid w:val="0001396D"/>
    <w:rsid w:val="000142CF"/>
    <w:rsid w:val="00014C04"/>
    <w:rsid w:val="00014DEC"/>
    <w:rsid w:val="00014EE7"/>
    <w:rsid w:val="00014F2C"/>
    <w:rsid w:val="00015018"/>
    <w:rsid w:val="00015616"/>
    <w:rsid w:val="000157CF"/>
    <w:rsid w:val="00015897"/>
    <w:rsid w:val="000159B2"/>
    <w:rsid w:val="00015D7C"/>
    <w:rsid w:val="00015EBA"/>
    <w:rsid w:val="00015EC9"/>
    <w:rsid w:val="000163A3"/>
    <w:rsid w:val="00016595"/>
    <w:rsid w:val="00016614"/>
    <w:rsid w:val="00016A46"/>
    <w:rsid w:val="00016AE2"/>
    <w:rsid w:val="00016FCE"/>
    <w:rsid w:val="00017309"/>
    <w:rsid w:val="000176B4"/>
    <w:rsid w:val="00017EFF"/>
    <w:rsid w:val="00017FF2"/>
    <w:rsid w:val="00020239"/>
    <w:rsid w:val="0002026A"/>
    <w:rsid w:val="0002029D"/>
    <w:rsid w:val="0002071D"/>
    <w:rsid w:val="000210FE"/>
    <w:rsid w:val="00021401"/>
    <w:rsid w:val="00021795"/>
    <w:rsid w:val="0002196C"/>
    <w:rsid w:val="00021C46"/>
    <w:rsid w:val="00021C54"/>
    <w:rsid w:val="00021D74"/>
    <w:rsid w:val="00021FFF"/>
    <w:rsid w:val="00022B00"/>
    <w:rsid w:val="00022F1E"/>
    <w:rsid w:val="00023441"/>
    <w:rsid w:val="00023B56"/>
    <w:rsid w:val="00023DFD"/>
    <w:rsid w:val="00024330"/>
    <w:rsid w:val="0002489D"/>
    <w:rsid w:val="000248F6"/>
    <w:rsid w:val="000253F7"/>
    <w:rsid w:val="00025C36"/>
    <w:rsid w:val="000260BC"/>
    <w:rsid w:val="000262CA"/>
    <w:rsid w:val="00026356"/>
    <w:rsid w:val="00027157"/>
    <w:rsid w:val="000272CA"/>
    <w:rsid w:val="000276AF"/>
    <w:rsid w:val="000303C1"/>
    <w:rsid w:val="00030D2F"/>
    <w:rsid w:val="00031178"/>
    <w:rsid w:val="000315A0"/>
    <w:rsid w:val="00031BAE"/>
    <w:rsid w:val="0003220B"/>
    <w:rsid w:val="00032B83"/>
    <w:rsid w:val="00032DFD"/>
    <w:rsid w:val="00032F0F"/>
    <w:rsid w:val="00032F27"/>
    <w:rsid w:val="00033162"/>
    <w:rsid w:val="0003346C"/>
    <w:rsid w:val="00033504"/>
    <w:rsid w:val="0003391D"/>
    <w:rsid w:val="00033A8F"/>
    <w:rsid w:val="00033FFF"/>
    <w:rsid w:val="000346C0"/>
    <w:rsid w:val="00034C47"/>
    <w:rsid w:val="000350D1"/>
    <w:rsid w:val="00035A46"/>
    <w:rsid w:val="00035A87"/>
    <w:rsid w:val="00035D01"/>
    <w:rsid w:val="00035F26"/>
    <w:rsid w:val="00036064"/>
    <w:rsid w:val="00036220"/>
    <w:rsid w:val="00036620"/>
    <w:rsid w:val="00036C30"/>
    <w:rsid w:val="000371A9"/>
    <w:rsid w:val="000375FE"/>
    <w:rsid w:val="000376BD"/>
    <w:rsid w:val="00037914"/>
    <w:rsid w:val="000379EC"/>
    <w:rsid w:val="000403AD"/>
    <w:rsid w:val="0004090A"/>
    <w:rsid w:val="00040D68"/>
    <w:rsid w:val="00040EAE"/>
    <w:rsid w:val="00041B83"/>
    <w:rsid w:val="00041F41"/>
    <w:rsid w:val="000421A9"/>
    <w:rsid w:val="000425E5"/>
    <w:rsid w:val="0004282E"/>
    <w:rsid w:val="00042C15"/>
    <w:rsid w:val="00043075"/>
    <w:rsid w:val="000436AE"/>
    <w:rsid w:val="000436F6"/>
    <w:rsid w:val="00044289"/>
    <w:rsid w:val="00044A5E"/>
    <w:rsid w:val="000459B7"/>
    <w:rsid w:val="00045AE1"/>
    <w:rsid w:val="00045DEA"/>
    <w:rsid w:val="00045F83"/>
    <w:rsid w:val="00046046"/>
    <w:rsid w:val="000464C1"/>
    <w:rsid w:val="000466DB"/>
    <w:rsid w:val="00046774"/>
    <w:rsid w:val="00046865"/>
    <w:rsid w:val="00047410"/>
    <w:rsid w:val="000478E2"/>
    <w:rsid w:val="00047C30"/>
    <w:rsid w:val="00047FC1"/>
    <w:rsid w:val="00047FE6"/>
    <w:rsid w:val="00050361"/>
    <w:rsid w:val="00050650"/>
    <w:rsid w:val="00050941"/>
    <w:rsid w:val="000509DE"/>
    <w:rsid w:val="00050BC7"/>
    <w:rsid w:val="00050D08"/>
    <w:rsid w:val="00051013"/>
    <w:rsid w:val="00051172"/>
    <w:rsid w:val="000513A1"/>
    <w:rsid w:val="000517DA"/>
    <w:rsid w:val="0005264A"/>
    <w:rsid w:val="000526E8"/>
    <w:rsid w:val="00053199"/>
    <w:rsid w:val="00053BB7"/>
    <w:rsid w:val="00054394"/>
    <w:rsid w:val="0005457D"/>
    <w:rsid w:val="000546AD"/>
    <w:rsid w:val="000550C4"/>
    <w:rsid w:val="000550E7"/>
    <w:rsid w:val="00055311"/>
    <w:rsid w:val="00055323"/>
    <w:rsid w:val="000554C5"/>
    <w:rsid w:val="00055CEA"/>
    <w:rsid w:val="00055E66"/>
    <w:rsid w:val="00056585"/>
    <w:rsid w:val="00056612"/>
    <w:rsid w:val="00056FE5"/>
    <w:rsid w:val="0005703D"/>
    <w:rsid w:val="00057052"/>
    <w:rsid w:val="0005715F"/>
    <w:rsid w:val="00057779"/>
    <w:rsid w:val="00057CD4"/>
    <w:rsid w:val="000601A3"/>
    <w:rsid w:val="0006025C"/>
    <w:rsid w:val="00060991"/>
    <w:rsid w:val="00060B50"/>
    <w:rsid w:val="00060EC2"/>
    <w:rsid w:val="00061222"/>
    <w:rsid w:val="000613CB"/>
    <w:rsid w:val="0006147B"/>
    <w:rsid w:val="000617A9"/>
    <w:rsid w:val="00062256"/>
    <w:rsid w:val="00062614"/>
    <w:rsid w:val="00062719"/>
    <w:rsid w:val="00063014"/>
    <w:rsid w:val="0006372A"/>
    <w:rsid w:val="00063AFC"/>
    <w:rsid w:val="00063D11"/>
    <w:rsid w:val="00063D3B"/>
    <w:rsid w:val="0006408C"/>
    <w:rsid w:val="00064664"/>
    <w:rsid w:val="0006475A"/>
    <w:rsid w:val="00064BC2"/>
    <w:rsid w:val="00064EAC"/>
    <w:rsid w:val="000653B3"/>
    <w:rsid w:val="00065EDF"/>
    <w:rsid w:val="000661FE"/>
    <w:rsid w:val="000664A1"/>
    <w:rsid w:val="00066544"/>
    <w:rsid w:val="0006673D"/>
    <w:rsid w:val="00066B8E"/>
    <w:rsid w:val="000672E3"/>
    <w:rsid w:val="0006761E"/>
    <w:rsid w:val="00067925"/>
    <w:rsid w:val="00067B3C"/>
    <w:rsid w:val="00067BC4"/>
    <w:rsid w:val="00067DA8"/>
    <w:rsid w:val="00067E19"/>
    <w:rsid w:val="00067FB3"/>
    <w:rsid w:val="00070090"/>
    <w:rsid w:val="00070678"/>
    <w:rsid w:val="00070B26"/>
    <w:rsid w:val="00071039"/>
    <w:rsid w:val="000712D6"/>
    <w:rsid w:val="000712F4"/>
    <w:rsid w:val="000715F3"/>
    <w:rsid w:val="00071958"/>
    <w:rsid w:val="00071F9C"/>
    <w:rsid w:val="00071FCA"/>
    <w:rsid w:val="000720BB"/>
    <w:rsid w:val="00072106"/>
    <w:rsid w:val="00072186"/>
    <w:rsid w:val="00072932"/>
    <w:rsid w:val="00073237"/>
    <w:rsid w:val="0007342F"/>
    <w:rsid w:val="00073BBF"/>
    <w:rsid w:val="00073FB5"/>
    <w:rsid w:val="0007420E"/>
    <w:rsid w:val="000743F9"/>
    <w:rsid w:val="0007441F"/>
    <w:rsid w:val="00074898"/>
    <w:rsid w:val="0007502E"/>
    <w:rsid w:val="00075197"/>
    <w:rsid w:val="0007557A"/>
    <w:rsid w:val="000755BC"/>
    <w:rsid w:val="00075B4B"/>
    <w:rsid w:val="00075C8B"/>
    <w:rsid w:val="00075EF9"/>
    <w:rsid w:val="000762CD"/>
    <w:rsid w:val="0007644D"/>
    <w:rsid w:val="000766B3"/>
    <w:rsid w:val="00076A15"/>
    <w:rsid w:val="000774E9"/>
    <w:rsid w:val="00077504"/>
    <w:rsid w:val="00077563"/>
    <w:rsid w:val="000777D1"/>
    <w:rsid w:val="00077A43"/>
    <w:rsid w:val="00077B3B"/>
    <w:rsid w:val="00077C23"/>
    <w:rsid w:val="00077C61"/>
    <w:rsid w:val="0008159D"/>
    <w:rsid w:val="000815E3"/>
    <w:rsid w:val="00081678"/>
    <w:rsid w:val="000817B8"/>
    <w:rsid w:val="00081869"/>
    <w:rsid w:val="00081DD3"/>
    <w:rsid w:val="00082031"/>
    <w:rsid w:val="0008257E"/>
    <w:rsid w:val="00082808"/>
    <w:rsid w:val="00082D8F"/>
    <w:rsid w:val="00082DD6"/>
    <w:rsid w:val="0008362B"/>
    <w:rsid w:val="00083947"/>
    <w:rsid w:val="00084311"/>
    <w:rsid w:val="000843AD"/>
    <w:rsid w:val="000848DC"/>
    <w:rsid w:val="00085218"/>
    <w:rsid w:val="000857E8"/>
    <w:rsid w:val="000859EC"/>
    <w:rsid w:val="00085DD7"/>
    <w:rsid w:val="00086042"/>
    <w:rsid w:val="00086103"/>
    <w:rsid w:val="00086179"/>
    <w:rsid w:val="000861EF"/>
    <w:rsid w:val="000864D3"/>
    <w:rsid w:val="00086A92"/>
    <w:rsid w:val="0008707A"/>
    <w:rsid w:val="00087492"/>
    <w:rsid w:val="00087712"/>
    <w:rsid w:val="0008793B"/>
    <w:rsid w:val="00087C15"/>
    <w:rsid w:val="00087E21"/>
    <w:rsid w:val="00087FB6"/>
    <w:rsid w:val="000900D0"/>
    <w:rsid w:val="00090174"/>
    <w:rsid w:val="000906CC"/>
    <w:rsid w:val="00090947"/>
    <w:rsid w:val="000912E6"/>
    <w:rsid w:val="0009130D"/>
    <w:rsid w:val="000913E2"/>
    <w:rsid w:val="0009140D"/>
    <w:rsid w:val="00091A40"/>
    <w:rsid w:val="000920B9"/>
    <w:rsid w:val="00092797"/>
    <w:rsid w:val="00092AA6"/>
    <w:rsid w:val="0009306B"/>
    <w:rsid w:val="0009348D"/>
    <w:rsid w:val="000935CE"/>
    <w:rsid w:val="00094178"/>
    <w:rsid w:val="00094431"/>
    <w:rsid w:val="00095315"/>
    <w:rsid w:val="00095B65"/>
    <w:rsid w:val="00095F83"/>
    <w:rsid w:val="000961AF"/>
    <w:rsid w:val="00096513"/>
    <w:rsid w:val="00096B53"/>
    <w:rsid w:val="00096E01"/>
    <w:rsid w:val="0009759C"/>
    <w:rsid w:val="00097690"/>
    <w:rsid w:val="00097776"/>
    <w:rsid w:val="00097BA4"/>
    <w:rsid w:val="000A0315"/>
    <w:rsid w:val="000A077F"/>
    <w:rsid w:val="000A081B"/>
    <w:rsid w:val="000A0903"/>
    <w:rsid w:val="000A0B87"/>
    <w:rsid w:val="000A0D73"/>
    <w:rsid w:val="000A15C0"/>
    <w:rsid w:val="000A165C"/>
    <w:rsid w:val="000A1C9E"/>
    <w:rsid w:val="000A20DD"/>
    <w:rsid w:val="000A3343"/>
    <w:rsid w:val="000A3630"/>
    <w:rsid w:val="000A3972"/>
    <w:rsid w:val="000A3B1A"/>
    <w:rsid w:val="000A4005"/>
    <w:rsid w:val="000A40EC"/>
    <w:rsid w:val="000A41D7"/>
    <w:rsid w:val="000A4716"/>
    <w:rsid w:val="000A4789"/>
    <w:rsid w:val="000A484A"/>
    <w:rsid w:val="000A543A"/>
    <w:rsid w:val="000A5B3D"/>
    <w:rsid w:val="000A5B77"/>
    <w:rsid w:val="000A5C69"/>
    <w:rsid w:val="000A5EA8"/>
    <w:rsid w:val="000A624C"/>
    <w:rsid w:val="000A62E1"/>
    <w:rsid w:val="000A6393"/>
    <w:rsid w:val="000A65A4"/>
    <w:rsid w:val="000A6835"/>
    <w:rsid w:val="000A71E5"/>
    <w:rsid w:val="000B03DA"/>
    <w:rsid w:val="000B04EA"/>
    <w:rsid w:val="000B05FC"/>
    <w:rsid w:val="000B073E"/>
    <w:rsid w:val="000B1047"/>
    <w:rsid w:val="000B104D"/>
    <w:rsid w:val="000B1521"/>
    <w:rsid w:val="000B1844"/>
    <w:rsid w:val="000B18B0"/>
    <w:rsid w:val="000B1EBC"/>
    <w:rsid w:val="000B22D0"/>
    <w:rsid w:val="000B2561"/>
    <w:rsid w:val="000B2B94"/>
    <w:rsid w:val="000B2DC0"/>
    <w:rsid w:val="000B2DEC"/>
    <w:rsid w:val="000B3115"/>
    <w:rsid w:val="000B44C0"/>
    <w:rsid w:val="000B4594"/>
    <w:rsid w:val="000B4737"/>
    <w:rsid w:val="000B4BE9"/>
    <w:rsid w:val="000B5217"/>
    <w:rsid w:val="000B6712"/>
    <w:rsid w:val="000B6BE6"/>
    <w:rsid w:val="000B6E8E"/>
    <w:rsid w:val="000C0962"/>
    <w:rsid w:val="000C0DAE"/>
    <w:rsid w:val="000C0F66"/>
    <w:rsid w:val="000C118F"/>
    <w:rsid w:val="000C144C"/>
    <w:rsid w:val="000C2386"/>
    <w:rsid w:val="000C2B8E"/>
    <w:rsid w:val="000C2C20"/>
    <w:rsid w:val="000C2CA1"/>
    <w:rsid w:val="000C31DB"/>
    <w:rsid w:val="000C3251"/>
    <w:rsid w:val="000C339B"/>
    <w:rsid w:val="000C35DB"/>
    <w:rsid w:val="000C3704"/>
    <w:rsid w:val="000C394A"/>
    <w:rsid w:val="000C3C63"/>
    <w:rsid w:val="000C3E76"/>
    <w:rsid w:val="000C3F86"/>
    <w:rsid w:val="000C3FB5"/>
    <w:rsid w:val="000C4778"/>
    <w:rsid w:val="000C479D"/>
    <w:rsid w:val="000C481A"/>
    <w:rsid w:val="000C4DBB"/>
    <w:rsid w:val="000C4F9C"/>
    <w:rsid w:val="000C567F"/>
    <w:rsid w:val="000C5994"/>
    <w:rsid w:val="000C5A8F"/>
    <w:rsid w:val="000C5AC7"/>
    <w:rsid w:val="000C5F4E"/>
    <w:rsid w:val="000C63C6"/>
    <w:rsid w:val="000C6479"/>
    <w:rsid w:val="000C653A"/>
    <w:rsid w:val="000C6678"/>
    <w:rsid w:val="000C6D60"/>
    <w:rsid w:val="000C75A4"/>
    <w:rsid w:val="000C77A7"/>
    <w:rsid w:val="000C7BB5"/>
    <w:rsid w:val="000D04EF"/>
    <w:rsid w:val="000D0AB5"/>
    <w:rsid w:val="000D0FB1"/>
    <w:rsid w:val="000D1343"/>
    <w:rsid w:val="000D13C3"/>
    <w:rsid w:val="000D268C"/>
    <w:rsid w:val="000D2D45"/>
    <w:rsid w:val="000D2DC6"/>
    <w:rsid w:val="000D3481"/>
    <w:rsid w:val="000D35D0"/>
    <w:rsid w:val="000D3747"/>
    <w:rsid w:val="000D3996"/>
    <w:rsid w:val="000D3E05"/>
    <w:rsid w:val="000D4587"/>
    <w:rsid w:val="000D4694"/>
    <w:rsid w:val="000D4BC1"/>
    <w:rsid w:val="000D4FBA"/>
    <w:rsid w:val="000D5167"/>
    <w:rsid w:val="000D51D5"/>
    <w:rsid w:val="000D5467"/>
    <w:rsid w:val="000D5483"/>
    <w:rsid w:val="000D54C4"/>
    <w:rsid w:val="000D5560"/>
    <w:rsid w:val="000D55ED"/>
    <w:rsid w:val="000D5945"/>
    <w:rsid w:val="000D5BBF"/>
    <w:rsid w:val="000D5F33"/>
    <w:rsid w:val="000D5F35"/>
    <w:rsid w:val="000D654E"/>
    <w:rsid w:val="000D69E6"/>
    <w:rsid w:val="000D6AE5"/>
    <w:rsid w:val="000D7249"/>
    <w:rsid w:val="000D7571"/>
    <w:rsid w:val="000D75A6"/>
    <w:rsid w:val="000D7738"/>
    <w:rsid w:val="000D7886"/>
    <w:rsid w:val="000D7A59"/>
    <w:rsid w:val="000D7C71"/>
    <w:rsid w:val="000E02DC"/>
    <w:rsid w:val="000E0347"/>
    <w:rsid w:val="000E0477"/>
    <w:rsid w:val="000E0BD9"/>
    <w:rsid w:val="000E0D37"/>
    <w:rsid w:val="000E11CC"/>
    <w:rsid w:val="000E13B1"/>
    <w:rsid w:val="000E13C4"/>
    <w:rsid w:val="000E2353"/>
    <w:rsid w:val="000E2B50"/>
    <w:rsid w:val="000E2E87"/>
    <w:rsid w:val="000E35E5"/>
    <w:rsid w:val="000E3631"/>
    <w:rsid w:val="000E36C2"/>
    <w:rsid w:val="000E3A41"/>
    <w:rsid w:val="000E3B0F"/>
    <w:rsid w:val="000E3C8A"/>
    <w:rsid w:val="000E51C4"/>
    <w:rsid w:val="000E5564"/>
    <w:rsid w:val="000E5764"/>
    <w:rsid w:val="000E5AB7"/>
    <w:rsid w:val="000E5F7C"/>
    <w:rsid w:val="000E6190"/>
    <w:rsid w:val="000E6686"/>
    <w:rsid w:val="000E680C"/>
    <w:rsid w:val="000E74A5"/>
    <w:rsid w:val="000E75A2"/>
    <w:rsid w:val="000E7A42"/>
    <w:rsid w:val="000E7DB4"/>
    <w:rsid w:val="000E7DD5"/>
    <w:rsid w:val="000E7FFC"/>
    <w:rsid w:val="000F06F8"/>
    <w:rsid w:val="000F073B"/>
    <w:rsid w:val="000F0D2F"/>
    <w:rsid w:val="000F0D66"/>
    <w:rsid w:val="000F0EC5"/>
    <w:rsid w:val="000F13D5"/>
    <w:rsid w:val="000F15DF"/>
    <w:rsid w:val="000F2016"/>
    <w:rsid w:val="000F2156"/>
    <w:rsid w:val="000F279A"/>
    <w:rsid w:val="000F2B9A"/>
    <w:rsid w:val="000F3034"/>
    <w:rsid w:val="000F307A"/>
    <w:rsid w:val="000F311D"/>
    <w:rsid w:val="000F3268"/>
    <w:rsid w:val="000F383C"/>
    <w:rsid w:val="000F38FB"/>
    <w:rsid w:val="000F3BDE"/>
    <w:rsid w:val="000F3CB4"/>
    <w:rsid w:val="000F4366"/>
    <w:rsid w:val="000F43DA"/>
    <w:rsid w:val="000F4674"/>
    <w:rsid w:val="000F4816"/>
    <w:rsid w:val="000F48F7"/>
    <w:rsid w:val="000F49F0"/>
    <w:rsid w:val="000F4A5C"/>
    <w:rsid w:val="000F4D8F"/>
    <w:rsid w:val="000F5327"/>
    <w:rsid w:val="000F534E"/>
    <w:rsid w:val="000F5576"/>
    <w:rsid w:val="000F57AC"/>
    <w:rsid w:val="000F61E5"/>
    <w:rsid w:val="000F6717"/>
    <w:rsid w:val="000F6937"/>
    <w:rsid w:val="000F69DF"/>
    <w:rsid w:val="000F729F"/>
    <w:rsid w:val="000F7EC7"/>
    <w:rsid w:val="001006DB"/>
    <w:rsid w:val="00100702"/>
    <w:rsid w:val="00100E93"/>
    <w:rsid w:val="001010AB"/>
    <w:rsid w:val="001016F7"/>
    <w:rsid w:val="00101A2D"/>
    <w:rsid w:val="00101CDE"/>
    <w:rsid w:val="00101D00"/>
    <w:rsid w:val="00102197"/>
    <w:rsid w:val="001021E8"/>
    <w:rsid w:val="001023D2"/>
    <w:rsid w:val="0010281B"/>
    <w:rsid w:val="00102D01"/>
    <w:rsid w:val="00103150"/>
    <w:rsid w:val="001031E9"/>
    <w:rsid w:val="00103B5B"/>
    <w:rsid w:val="001043F7"/>
    <w:rsid w:val="00104446"/>
    <w:rsid w:val="001045BE"/>
    <w:rsid w:val="00104695"/>
    <w:rsid w:val="00104F9F"/>
    <w:rsid w:val="001055B5"/>
    <w:rsid w:val="00105A87"/>
    <w:rsid w:val="001061ED"/>
    <w:rsid w:val="00106DE3"/>
    <w:rsid w:val="00106DF7"/>
    <w:rsid w:val="00106E04"/>
    <w:rsid w:val="00106F78"/>
    <w:rsid w:val="00107878"/>
    <w:rsid w:val="001078B2"/>
    <w:rsid w:val="0011019A"/>
    <w:rsid w:val="00110390"/>
    <w:rsid w:val="001107CE"/>
    <w:rsid w:val="00110F4B"/>
    <w:rsid w:val="001110D5"/>
    <w:rsid w:val="0011118C"/>
    <w:rsid w:val="00111569"/>
    <w:rsid w:val="00111723"/>
    <w:rsid w:val="00111AF2"/>
    <w:rsid w:val="00111B7B"/>
    <w:rsid w:val="00111DE2"/>
    <w:rsid w:val="00111F29"/>
    <w:rsid w:val="001121B0"/>
    <w:rsid w:val="001127FD"/>
    <w:rsid w:val="001129EC"/>
    <w:rsid w:val="00112C22"/>
    <w:rsid w:val="001130A2"/>
    <w:rsid w:val="001130F9"/>
    <w:rsid w:val="001136AE"/>
    <w:rsid w:val="00113A34"/>
    <w:rsid w:val="00113C22"/>
    <w:rsid w:val="0011438B"/>
    <w:rsid w:val="00114678"/>
    <w:rsid w:val="00114E97"/>
    <w:rsid w:val="00115246"/>
    <w:rsid w:val="00115255"/>
    <w:rsid w:val="00115A40"/>
    <w:rsid w:val="00115DB4"/>
    <w:rsid w:val="00115F69"/>
    <w:rsid w:val="00116165"/>
    <w:rsid w:val="0011670A"/>
    <w:rsid w:val="00116766"/>
    <w:rsid w:val="00116DDA"/>
    <w:rsid w:val="001173D9"/>
    <w:rsid w:val="0011740C"/>
    <w:rsid w:val="00120423"/>
    <w:rsid w:val="00120660"/>
    <w:rsid w:val="00120A68"/>
    <w:rsid w:val="00120B06"/>
    <w:rsid w:val="00120C10"/>
    <w:rsid w:val="00120FF3"/>
    <w:rsid w:val="001215A9"/>
    <w:rsid w:val="001215D2"/>
    <w:rsid w:val="0012179F"/>
    <w:rsid w:val="00121891"/>
    <w:rsid w:val="00121B8A"/>
    <w:rsid w:val="00121CEB"/>
    <w:rsid w:val="001220C4"/>
    <w:rsid w:val="001221CF"/>
    <w:rsid w:val="00122258"/>
    <w:rsid w:val="00122896"/>
    <w:rsid w:val="001230FE"/>
    <w:rsid w:val="0012317B"/>
    <w:rsid w:val="001232A5"/>
    <w:rsid w:val="00123353"/>
    <w:rsid w:val="00123520"/>
    <w:rsid w:val="00123946"/>
    <w:rsid w:val="001242A1"/>
    <w:rsid w:val="001242A5"/>
    <w:rsid w:val="001242E4"/>
    <w:rsid w:val="00124605"/>
    <w:rsid w:val="00124C9E"/>
    <w:rsid w:val="00125000"/>
    <w:rsid w:val="001253F4"/>
    <w:rsid w:val="00125BF3"/>
    <w:rsid w:val="00126128"/>
    <w:rsid w:val="001262EC"/>
    <w:rsid w:val="001262F5"/>
    <w:rsid w:val="001264B9"/>
    <w:rsid w:val="00126816"/>
    <w:rsid w:val="001268CC"/>
    <w:rsid w:val="00126C6A"/>
    <w:rsid w:val="00127068"/>
    <w:rsid w:val="0012768E"/>
    <w:rsid w:val="00127D8B"/>
    <w:rsid w:val="0013005E"/>
    <w:rsid w:val="0013061E"/>
    <w:rsid w:val="001311EB"/>
    <w:rsid w:val="00131216"/>
    <w:rsid w:val="001314D9"/>
    <w:rsid w:val="0013189D"/>
    <w:rsid w:val="0013205D"/>
    <w:rsid w:val="00132807"/>
    <w:rsid w:val="00132BDE"/>
    <w:rsid w:val="00132CDC"/>
    <w:rsid w:val="00132D10"/>
    <w:rsid w:val="0013351A"/>
    <w:rsid w:val="00133994"/>
    <w:rsid w:val="00134257"/>
    <w:rsid w:val="00134394"/>
    <w:rsid w:val="0013451D"/>
    <w:rsid w:val="00134D00"/>
    <w:rsid w:val="00134E67"/>
    <w:rsid w:val="00135147"/>
    <w:rsid w:val="00135232"/>
    <w:rsid w:val="001352CB"/>
    <w:rsid w:val="00135888"/>
    <w:rsid w:val="00135A2B"/>
    <w:rsid w:val="0013601A"/>
    <w:rsid w:val="0013604E"/>
    <w:rsid w:val="0013612C"/>
    <w:rsid w:val="00136481"/>
    <w:rsid w:val="00136741"/>
    <w:rsid w:val="00137110"/>
    <w:rsid w:val="001374AA"/>
    <w:rsid w:val="0013778C"/>
    <w:rsid w:val="00137876"/>
    <w:rsid w:val="00137961"/>
    <w:rsid w:val="001406EE"/>
    <w:rsid w:val="0014094E"/>
    <w:rsid w:val="00140A9F"/>
    <w:rsid w:val="00140BBF"/>
    <w:rsid w:val="001411E0"/>
    <w:rsid w:val="00141565"/>
    <w:rsid w:val="00141726"/>
    <w:rsid w:val="00141ABE"/>
    <w:rsid w:val="00141E5F"/>
    <w:rsid w:val="00141F9A"/>
    <w:rsid w:val="001426D1"/>
    <w:rsid w:val="00142B26"/>
    <w:rsid w:val="00142FF0"/>
    <w:rsid w:val="001435D5"/>
    <w:rsid w:val="00143629"/>
    <w:rsid w:val="00143731"/>
    <w:rsid w:val="0014388D"/>
    <w:rsid w:val="00143B9F"/>
    <w:rsid w:val="00143CF6"/>
    <w:rsid w:val="00144990"/>
    <w:rsid w:val="00144D71"/>
    <w:rsid w:val="001456CD"/>
    <w:rsid w:val="00145A9C"/>
    <w:rsid w:val="00145F0F"/>
    <w:rsid w:val="001461E1"/>
    <w:rsid w:val="00146CDD"/>
    <w:rsid w:val="00146F48"/>
    <w:rsid w:val="001474FB"/>
    <w:rsid w:val="0014761D"/>
    <w:rsid w:val="0014799E"/>
    <w:rsid w:val="00147EC0"/>
    <w:rsid w:val="00150829"/>
    <w:rsid w:val="00150941"/>
    <w:rsid w:val="00150CAA"/>
    <w:rsid w:val="00150EAF"/>
    <w:rsid w:val="00151091"/>
    <w:rsid w:val="00151120"/>
    <w:rsid w:val="001516EE"/>
    <w:rsid w:val="00151EB7"/>
    <w:rsid w:val="00152379"/>
    <w:rsid w:val="001523BA"/>
    <w:rsid w:val="001524F9"/>
    <w:rsid w:val="001525CA"/>
    <w:rsid w:val="001526ED"/>
    <w:rsid w:val="00152A66"/>
    <w:rsid w:val="00152C16"/>
    <w:rsid w:val="00152EA1"/>
    <w:rsid w:val="00153B6B"/>
    <w:rsid w:val="001541D5"/>
    <w:rsid w:val="00154370"/>
    <w:rsid w:val="00154441"/>
    <w:rsid w:val="0015451C"/>
    <w:rsid w:val="0015454C"/>
    <w:rsid w:val="00154612"/>
    <w:rsid w:val="00154975"/>
    <w:rsid w:val="00154BBC"/>
    <w:rsid w:val="00155206"/>
    <w:rsid w:val="001552F1"/>
    <w:rsid w:val="001559FF"/>
    <w:rsid w:val="00155F31"/>
    <w:rsid w:val="0015607A"/>
    <w:rsid w:val="00156444"/>
    <w:rsid w:val="00156D06"/>
    <w:rsid w:val="001571FA"/>
    <w:rsid w:val="0015723D"/>
    <w:rsid w:val="00157A7F"/>
    <w:rsid w:val="00160453"/>
    <w:rsid w:val="001607CF"/>
    <w:rsid w:val="00160DC4"/>
    <w:rsid w:val="001618B8"/>
    <w:rsid w:val="00161FB5"/>
    <w:rsid w:val="00161FDA"/>
    <w:rsid w:val="001624E2"/>
    <w:rsid w:val="001625E9"/>
    <w:rsid w:val="00162A4E"/>
    <w:rsid w:val="00163432"/>
    <w:rsid w:val="00163A2E"/>
    <w:rsid w:val="00163AEC"/>
    <w:rsid w:val="00164038"/>
    <w:rsid w:val="00164414"/>
    <w:rsid w:val="00164BE0"/>
    <w:rsid w:val="00164DF6"/>
    <w:rsid w:val="001650A8"/>
    <w:rsid w:val="00165311"/>
    <w:rsid w:val="001655EA"/>
    <w:rsid w:val="0016591C"/>
    <w:rsid w:val="00165B23"/>
    <w:rsid w:val="00165EC0"/>
    <w:rsid w:val="00166024"/>
    <w:rsid w:val="00166413"/>
    <w:rsid w:val="001668CF"/>
    <w:rsid w:val="00166BC2"/>
    <w:rsid w:val="0016708D"/>
    <w:rsid w:val="00167365"/>
    <w:rsid w:val="0016777D"/>
    <w:rsid w:val="001677A0"/>
    <w:rsid w:val="00167AA4"/>
    <w:rsid w:val="00167BD0"/>
    <w:rsid w:val="00167CB3"/>
    <w:rsid w:val="0017065E"/>
    <w:rsid w:val="001706DF"/>
    <w:rsid w:val="00170987"/>
    <w:rsid w:val="00170C03"/>
    <w:rsid w:val="00170C80"/>
    <w:rsid w:val="00170E21"/>
    <w:rsid w:val="00171392"/>
    <w:rsid w:val="00171C45"/>
    <w:rsid w:val="00172208"/>
    <w:rsid w:val="001724D0"/>
    <w:rsid w:val="00172933"/>
    <w:rsid w:val="00172F2C"/>
    <w:rsid w:val="00173170"/>
    <w:rsid w:val="00173C50"/>
    <w:rsid w:val="00173F4B"/>
    <w:rsid w:val="00174352"/>
    <w:rsid w:val="00174902"/>
    <w:rsid w:val="00174EA7"/>
    <w:rsid w:val="00174F85"/>
    <w:rsid w:val="00175354"/>
    <w:rsid w:val="0017536D"/>
    <w:rsid w:val="00175AC8"/>
    <w:rsid w:val="00175B3D"/>
    <w:rsid w:val="00175F93"/>
    <w:rsid w:val="001761A2"/>
    <w:rsid w:val="0017652E"/>
    <w:rsid w:val="00176A85"/>
    <w:rsid w:val="00176AA9"/>
    <w:rsid w:val="00176FEA"/>
    <w:rsid w:val="001777E7"/>
    <w:rsid w:val="001778C9"/>
    <w:rsid w:val="00177DC4"/>
    <w:rsid w:val="001802C2"/>
    <w:rsid w:val="001804AB"/>
    <w:rsid w:val="00180B3B"/>
    <w:rsid w:val="00180E65"/>
    <w:rsid w:val="00181043"/>
    <w:rsid w:val="001816B6"/>
    <w:rsid w:val="00181BA4"/>
    <w:rsid w:val="00182489"/>
    <w:rsid w:val="001824C1"/>
    <w:rsid w:val="00182F9F"/>
    <w:rsid w:val="00182FC0"/>
    <w:rsid w:val="0018373E"/>
    <w:rsid w:val="001839C8"/>
    <w:rsid w:val="00183F44"/>
    <w:rsid w:val="00184479"/>
    <w:rsid w:val="00184795"/>
    <w:rsid w:val="00184979"/>
    <w:rsid w:val="001849C1"/>
    <w:rsid w:val="00184EA5"/>
    <w:rsid w:val="00185014"/>
    <w:rsid w:val="00185161"/>
    <w:rsid w:val="00185409"/>
    <w:rsid w:val="00185F2A"/>
    <w:rsid w:val="00185FAE"/>
    <w:rsid w:val="0018629E"/>
    <w:rsid w:val="0018642C"/>
    <w:rsid w:val="001865C6"/>
    <w:rsid w:val="001865D0"/>
    <w:rsid w:val="001866BC"/>
    <w:rsid w:val="00186AF5"/>
    <w:rsid w:val="00186B33"/>
    <w:rsid w:val="00186CCC"/>
    <w:rsid w:val="001870E3"/>
    <w:rsid w:val="00187105"/>
    <w:rsid w:val="001871B1"/>
    <w:rsid w:val="00187329"/>
    <w:rsid w:val="00187AEF"/>
    <w:rsid w:val="00187CCB"/>
    <w:rsid w:val="00190040"/>
    <w:rsid w:val="00190653"/>
    <w:rsid w:val="00190877"/>
    <w:rsid w:val="00190A1A"/>
    <w:rsid w:val="00190D74"/>
    <w:rsid w:val="00191AC1"/>
    <w:rsid w:val="00191C0B"/>
    <w:rsid w:val="00191C1E"/>
    <w:rsid w:val="00191C31"/>
    <w:rsid w:val="00191E3F"/>
    <w:rsid w:val="00191F94"/>
    <w:rsid w:val="00192127"/>
    <w:rsid w:val="0019215C"/>
    <w:rsid w:val="00192335"/>
    <w:rsid w:val="00192731"/>
    <w:rsid w:val="00192E4B"/>
    <w:rsid w:val="00192F98"/>
    <w:rsid w:val="001932CB"/>
    <w:rsid w:val="00193FBA"/>
    <w:rsid w:val="001941DE"/>
    <w:rsid w:val="001942C9"/>
    <w:rsid w:val="00194402"/>
    <w:rsid w:val="001947D8"/>
    <w:rsid w:val="00194DF6"/>
    <w:rsid w:val="001953FC"/>
    <w:rsid w:val="00195571"/>
    <w:rsid w:val="00195677"/>
    <w:rsid w:val="00195941"/>
    <w:rsid w:val="00195BA7"/>
    <w:rsid w:val="00195D9B"/>
    <w:rsid w:val="0019691F"/>
    <w:rsid w:val="001969FB"/>
    <w:rsid w:val="00196F1A"/>
    <w:rsid w:val="00196FA0"/>
    <w:rsid w:val="00197358"/>
    <w:rsid w:val="0019780A"/>
    <w:rsid w:val="001A0058"/>
    <w:rsid w:val="001A01F8"/>
    <w:rsid w:val="001A0345"/>
    <w:rsid w:val="001A0376"/>
    <w:rsid w:val="001A0C51"/>
    <w:rsid w:val="001A0DE3"/>
    <w:rsid w:val="001A0E54"/>
    <w:rsid w:val="001A0EF0"/>
    <w:rsid w:val="001A1C48"/>
    <w:rsid w:val="001A219E"/>
    <w:rsid w:val="001A239B"/>
    <w:rsid w:val="001A2432"/>
    <w:rsid w:val="001A2508"/>
    <w:rsid w:val="001A295E"/>
    <w:rsid w:val="001A2C2A"/>
    <w:rsid w:val="001A42EB"/>
    <w:rsid w:val="001A4779"/>
    <w:rsid w:val="001A4CB2"/>
    <w:rsid w:val="001A4EAD"/>
    <w:rsid w:val="001A4F42"/>
    <w:rsid w:val="001A5317"/>
    <w:rsid w:val="001A5A10"/>
    <w:rsid w:val="001A5D55"/>
    <w:rsid w:val="001A5ED6"/>
    <w:rsid w:val="001A6252"/>
    <w:rsid w:val="001A62F9"/>
    <w:rsid w:val="001A66AA"/>
    <w:rsid w:val="001A6E96"/>
    <w:rsid w:val="001A7040"/>
    <w:rsid w:val="001A70E6"/>
    <w:rsid w:val="001A790F"/>
    <w:rsid w:val="001A7CCF"/>
    <w:rsid w:val="001A7D5F"/>
    <w:rsid w:val="001A7DE6"/>
    <w:rsid w:val="001A7FFA"/>
    <w:rsid w:val="001B0A19"/>
    <w:rsid w:val="001B0DFF"/>
    <w:rsid w:val="001B1B85"/>
    <w:rsid w:val="001B1CEF"/>
    <w:rsid w:val="001B1E37"/>
    <w:rsid w:val="001B2072"/>
    <w:rsid w:val="001B2471"/>
    <w:rsid w:val="001B25EF"/>
    <w:rsid w:val="001B2848"/>
    <w:rsid w:val="001B2D98"/>
    <w:rsid w:val="001B2FD7"/>
    <w:rsid w:val="001B3054"/>
    <w:rsid w:val="001B321B"/>
    <w:rsid w:val="001B37F4"/>
    <w:rsid w:val="001B3A8A"/>
    <w:rsid w:val="001B4207"/>
    <w:rsid w:val="001B425E"/>
    <w:rsid w:val="001B4BE7"/>
    <w:rsid w:val="001B50E6"/>
    <w:rsid w:val="001B516D"/>
    <w:rsid w:val="001B5357"/>
    <w:rsid w:val="001B5A94"/>
    <w:rsid w:val="001B61FC"/>
    <w:rsid w:val="001B6499"/>
    <w:rsid w:val="001B6BD3"/>
    <w:rsid w:val="001B742C"/>
    <w:rsid w:val="001B7632"/>
    <w:rsid w:val="001B7AD1"/>
    <w:rsid w:val="001B7FF1"/>
    <w:rsid w:val="001C0422"/>
    <w:rsid w:val="001C0434"/>
    <w:rsid w:val="001C10AB"/>
    <w:rsid w:val="001C1129"/>
    <w:rsid w:val="001C11A8"/>
    <w:rsid w:val="001C1223"/>
    <w:rsid w:val="001C12EA"/>
    <w:rsid w:val="001C1499"/>
    <w:rsid w:val="001C1E85"/>
    <w:rsid w:val="001C246D"/>
    <w:rsid w:val="001C2635"/>
    <w:rsid w:val="001C2725"/>
    <w:rsid w:val="001C2757"/>
    <w:rsid w:val="001C28C7"/>
    <w:rsid w:val="001C2BC8"/>
    <w:rsid w:val="001C2F69"/>
    <w:rsid w:val="001C331C"/>
    <w:rsid w:val="001C342A"/>
    <w:rsid w:val="001C3C7D"/>
    <w:rsid w:val="001C4210"/>
    <w:rsid w:val="001C4292"/>
    <w:rsid w:val="001C4774"/>
    <w:rsid w:val="001C491F"/>
    <w:rsid w:val="001C4AE4"/>
    <w:rsid w:val="001C4D7E"/>
    <w:rsid w:val="001C514D"/>
    <w:rsid w:val="001C518B"/>
    <w:rsid w:val="001C5332"/>
    <w:rsid w:val="001C547D"/>
    <w:rsid w:val="001C5A50"/>
    <w:rsid w:val="001C5C24"/>
    <w:rsid w:val="001C61F1"/>
    <w:rsid w:val="001C67EE"/>
    <w:rsid w:val="001C698B"/>
    <w:rsid w:val="001C6BB5"/>
    <w:rsid w:val="001C6EFD"/>
    <w:rsid w:val="001C6FB4"/>
    <w:rsid w:val="001C7101"/>
    <w:rsid w:val="001C73A3"/>
    <w:rsid w:val="001C7702"/>
    <w:rsid w:val="001C7B36"/>
    <w:rsid w:val="001C7C57"/>
    <w:rsid w:val="001D1216"/>
    <w:rsid w:val="001D17AD"/>
    <w:rsid w:val="001D18C5"/>
    <w:rsid w:val="001D1CE5"/>
    <w:rsid w:val="001D2018"/>
    <w:rsid w:val="001D26E6"/>
    <w:rsid w:val="001D26FF"/>
    <w:rsid w:val="001D290F"/>
    <w:rsid w:val="001D2A1A"/>
    <w:rsid w:val="001D2BA8"/>
    <w:rsid w:val="001D2D43"/>
    <w:rsid w:val="001D2F14"/>
    <w:rsid w:val="001D3115"/>
    <w:rsid w:val="001D3716"/>
    <w:rsid w:val="001D4CA2"/>
    <w:rsid w:val="001D5644"/>
    <w:rsid w:val="001D588D"/>
    <w:rsid w:val="001D5A19"/>
    <w:rsid w:val="001D6076"/>
    <w:rsid w:val="001D64DB"/>
    <w:rsid w:val="001D6909"/>
    <w:rsid w:val="001D6914"/>
    <w:rsid w:val="001D6B2A"/>
    <w:rsid w:val="001D701D"/>
    <w:rsid w:val="001D74B5"/>
    <w:rsid w:val="001D74F1"/>
    <w:rsid w:val="001D7585"/>
    <w:rsid w:val="001D77F8"/>
    <w:rsid w:val="001D7C66"/>
    <w:rsid w:val="001D7CC0"/>
    <w:rsid w:val="001E0150"/>
    <w:rsid w:val="001E093E"/>
    <w:rsid w:val="001E0F31"/>
    <w:rsid w:val="001E1948"/>
    <w:rsid w:val="001E1A02"/>
    <w:rsid w:val="001E1AD0"/>
    <w:rsid w:val="001E1D99"/>
    <w:rsid w:val="001E1F32"/>
    <w:rsid w:val="001E1FC9"/>
    <w:rsid w:val="001E205E"/>
    <w:rsid w:val="001E224B"/>
    <w:rsid w:val="001E3446"/>
    <w:rsid w:val="001E3493"/>
    <w:rsid w:val="001E34EF"/>
    <w:rsid w:val="001E38C5"/>
    <w:rsid w:val="001E395A"/>
    <w:rsid w:val="001E3D9E"/>
    <w:rsid w:val="001E41D2"/>
    <w:rsid w:val="001E4376"/>
    <w:rsid w:val="001E4430"/>
    <w:rsid w:val="001E46FE"/>
    <w:rsid w:val="001E4CDE"/>
    <w:rsid w:val="001E4F9D"/>
    <w:rsid w:val="001E54B3"/>
    <w:rsid w:val="001E55CA"/>
    <w:rsid w:val="001E56A0"/>
    <w:rsid w:val="001E5889"/>
    <w:rsid w:val="001E63F1"/>
    <w:rsid w:val="001E676B"/>
    <w:rsid w:val="001E7366"/>
    <w:rsid w:val="001E7438"/>
    <w:rsid w:val="001E7B9A"/>
    <w:rsid w:val="001E7C2F"/>
    <w:rsid w:val="001E7E0C"/>
    <w:rsid w:val="001E7F19"/>
    <w:rsid w:val="001F0296"/>
    <w:rsid w:val="001F07BD"/>
    <w:rsid w:val="001F0BF9"/>
    <w:rsid w:val="001F1203"/>
    <w:rsid w:val="001F1279"/>
    <w:rsid w:val="001F1555"/>
    <w:rsid w:val="001F16A9"/>
    <w:rsid w:val="001F1B4B"/>
    <w:rsid w:val="001F1C32"/>
    <w:rsid w:val="001F1EEC"/>
    <w:rsid w:val="001F1F56"/>
    <w:rsid w:val="001F1FAC"/>
    <w:rsid w:val="001F217A"/>
    <w:rsid w:val="001F21FD"/>
    <w:rsid w:val="001F2318"/>
    <w:rsid w:val="001F23E4"/>
    <w:rsid w:val="001F253D"/>
    <w:rsid w:val="001F2724"/>
    <w:rsid w:val="001F308A"/>
    <w:rsid w:val="001F32B7"/>
    <w:rsid w:val="001F344E"/>
    <w:rsid w:val="001F3641"/>
    <w:rsid w:val="001F45D3"/>
    <w:rsid w:val="001F4AF2"/>
    <w:rsid w:val="001F4DC7"/>
    <w:rsid w:val="001F5145"/>
    <w:rsid w:val="001F53E7"/>
    <w:rsid w:val="001F5654"/>
    <w:rsid w:val="001F5B64"/>
    <w:rsid w:val="001F5E44"/>
    <w:rsid w:val="001F5E58"/>
    <w:rsid w:val="001F6098"/>
    <w:rsid w:val="001F6780"/>
    <w:rsid w:val="001F6882"/>
    <w:rsid w:val="001F73F9"/>
    <w:rsid w:val="001F75E3"/>
    <w:rsid w:val="001F7B55"/>
    <w:rsid w:val="001F7F85"/>
    <w:rsid w:val="001F7FB1"/>
    <w:rsid w:val="0020028F"/>
    <w:rsid w:val="002002F8"/>
    <w:rsid w:val="002005E5"/>
    <w:rsid w:val="002006FD"/>
    <w:rsid w:val="00200BCF"/>
    <w:rsid w:val="00200C60"/>
    <w:rsid w:val="002010B7"/>
    <w:rsid w:val="00201259"/>
    <w:rsid w:val="0020139B"/>
    <w:rsid w:val="0020169C"/>
    <w:rsid w:val="002017E4"/>
    <w:rsid w:val="002018EF"/>
    <w:rsid w:val="00201A0B"/>
    <w:rsid w:val="002020DC"/>
    <w:rsid w:val="00202510"/>
    <w:rsid w:val="0020299E"/>
    <w:rsid w:val="00202FEB"/>
    <w:rsid w:val="002030B1"/>
    <w:rsid w:val="002032D4"/>
    <w:rsid w:val="002035EF"/>
    <w:rsid w:val="00203B85"/>
    <w:rsid w:val="00203F34"/>
    <w:rsid w:val="00204150"/>
    <w:rsid w:val="002044FB"/>
    <w:rsid w:val="002049ED"/>
    <w:rsid w:val="00204A49"/>
    <w:rsid w:val="00204A76"/>
    <w:rsid w:val="00204ADE"/>
    <w:rsid w:val="00204B7C"/>
    <w:rsid w:val="00204E1C"/>
    <w:rsid w:val="00204E3B"/>
    <w:rsid w:val="00204F30"/>
    <w:rsid w:val="002052BE"/>
    <w:rsid w:val="0020564F"/>
    <w:rsid w:val="0020583D"/>
    <w:rsid w:val="00205CA4"/>
    <w:rsid w:val="00206782"/>
    <w:rsid w:val="00206C4D"/>
    <w:rsid w:val="00206CD5"/>
    <w:rsid w:val="00207813"/>
    <w:rsid w:val="00207CF8"/>
    <w:rsid w:val="002100AD"/>
    <w:rsid w:val="0021021F"/>
    <w:rsid w:val="00210D2B"/>
    <w:rsid w:val="002110EB"/>
    <w:rsid w:val="0021150E"/>
    <w:rsid w:val="00211B88"/>
    <w:rsid w:val="002120F6"/>
    <w:rsid w:val="00212608"/>
    <w:rsid w:val="002128BC"/>
    <w:rsid w:val="00212906"/>
    <w:rsid w:val="0021293B"/>
    <w:rsid w:val="00212EA4"/>
    <w:rsid w:val="00213656"/>
    <w:rsid w:val="00213AD3"/>
    <w:rsid w:val="00213AEA"/>
    <w:rsid w:val="00213B3F"/>
    <w:rsid w:val="00213E82"/>
    <w:rsid w:val="00213EC8"/>
    <w:rsid w:val="00213F3B"/>
    <w:rsid w:val="00213F6E"/>
    <w:rsid w:val="00213FF1"/>
    <w:rsid w:val="00214334"/>
    <w:rsid w:val="0021457B"/>
    <w:rsid w:val="002146CD"/>
    <w:rsid w:val="00214BE1"/>
    <w:rsid w:val="00214F7C"/>
    <w:rsid w:val="00214F90"/>
    <w:rsid w:val="00215138"/>
    <w:rsid w:val="00215B88"/>
    <w:rsid w:val="00215C31"/>
    <w:rsid w:val="00215D3C"/>
    <w:rsid w:val="002162E9"/>
    <w:rsid w:val="0021650C"/>
    <w:rsid w:val="00216833"/>
    <w:rsid w:val="00216847"/>
    <w:rsid w:val="00216EB8"/>
    <w:rsid w:val="00217555"/>
    <w:rsid w:val="00217A29"/>
    <w:rsid w:val="00217CC3"/>
    <w:rsid w:val="00217D98"/>
    <w:rsid w:val="00217F70"/>
    <w:rsid w:val="002206EC"/>
    <w:rsid w:val="002206F1"/>
    <w:rsid w:val="00220ADF"/>
    <w:rsid w:val="00220C03"/>
    <w:rsid w:val="00220F58"/>
    <w:rsid w:val="00221121"/>
    <w:rsid w:val="00221A21"/>
    <w:rsid w:val="002228CD"/>
    <w:rsid w:val="002232FA"/>
    <w:rsid w:val="00223BDB"/>
    <w:rsid w:val="00223E74"/>
    <w:rsid w:val="00223F0D"/>
    <w:rsid w:val="00224091"/>
    <w:rsid w:val="002250E1"/>
    <w:rsid w:val="0022511B"/>
    <w:rsid w:val="002255CB"/>
    <w:rsid w:val="00225F72"/>
    <w:rsid w:val="00226048"/>
    <w:rsid w:val="0022672E"/>
    <w:rsid w:val="00226873"/>
    <w:rsid w:val="00227212"/>
    <w:rsid w:val="0022722D"/>
    <w:rsid w:val="0022730F"/>
    <w:rsid w:val="002277E1"/>
    <w:rsid w:val="00227AC9"/>
    <w:rsid w:val="00227AFB"/>
    <w:rsid w:val="00230D29"/>
    <w:rsid w:val="00230D49"/>
    <w:rsid w:val="00230DA1"/>
    <w:rsid w:val="0023130A"/>
    <w:rsid w:val="00231815"/>
    <w:rsid w:val="00232212"/>
    <w:rsid w:val="00232307"/>
    <w:rsid w:val="002324C3"/>
    <w:rsid w:val="00232741"/>
    <w:rsid w:val="00232A35"/>
    <w:rsid w:val="00232A57"/>
    <w:rsid w:val="00232E41"/>
    <w:rsid w:val="0023377A"/>
    <w:rsid w:val="00233D22"/>
    <w:rsid w:val="00233D68"/>
    <w:rsid w:val="00233DAF"/>
    <w:rsid w:val="00234163"/>
    <w:rsid w:val="002343E0"/>
    <w:rsid w:val="002349DF"/>
    <w:rsid w:val="00234EE6"/>
    <w:rsid w:val="002350AC"/>
    <w:rsid w:val="002350CD"/>
    <w:rsid w:val="002351EC"/>
    <w:rsid w:val="002354DE"/>
    <w:rsid w:val="0023576A"/>
    <w:rsid w:val="002360BE"/>
    <w:rsid w:val="00236416"/>
    <w:rsid w:val="002364E3"/>
    <w:rsid w:val="00236B44"/>
    <w:rsid w:val="00236D25"/>
    <w:rsid w:val="00236EC7"/>
    <w:rsid w:val="0023725D"/>
    <w:rsid w:val="00237740"/>
    <w:rsid w:val="0024006E"/>
    <w:rsid w:val="00240976"/>
    <w:rsid w:val="0024099D"/>
    <w:rsid w:val="00240B18"/>
    <w:rsid w:val="00240E3B"/>
    <w:rsid w:val="00241010"/>
    <w:rsid w:val="00242187"/>
    <w:rsid w:val="0024245F"/>
    <w:rsid w:val="00242E46"/>
    <w:rsid w:val="002430DB"/>
    <w:rsid w:val="00243696"/>
    <w:rsid w:val="0024388C"/>
    <w:rsid w:val="00243D2B"/>
    <w:rsid w:val="0024435B"/>
    <w:rsid w:val="00244408"/>
    <w:rsid w:val="002446C2"/>
    <w:rsid w:val="00244A34"/>
    <w:rsid w:val="00244B4B"/>
    <w:rsid w:val="00245167"/>
    <w:rsid w:val="0024527D"/>
    <w:rsid w:val="002456A0"/>
    <w:rsid w:val="00245C1D"/>
    <w:rsid w:val="0024604F"/>
    <w:rsid w:val="002466E6"/>
    <w:rsid w:val="002469DD"/>
    <w:rsid w:val="002469EF"/>
    <w:rsid w:val="00246CE1"/>
    <w:rsid w:val="00246E5A"/>
    <w:rsid w:val="0024701F"/>
    <w:rsid w:val="00247383"/>
    <w:rsid w:val="002478F2"/>
    <w:rsid w:val="0024797D"/>
    <w:rsid w:val="00247B09"/>
    <w:rsid w:val="00247B56"/>
    <w:rsid w:val="00250010"/>
    <w:rsid w:val="00250952"/>
    <w:rsid w:val="00250A03"/>
    <w:rsid w:val="00250A23"/>
    <w:rsid w:val="00251085"/>
    <w:rsid w:val="0025171D"/>
    <w:rsid w:val="00251A58"/>
    <w:rsid w:val="00251B8F"/>
    <w:rsid w:val="00251B94"/>
    <w:rsid w:val="00251D6F"/>
    <w:rsid w:val="00251DFB"/>
    <w:rsid w:val="00251EFB"/>
    <w:rsid w:val="00252A7A"/>
    <w:rsid w:val="00252D96"/>
    <w:rsid w:val="00253A9A"/>
    <w:rsid w:val="00253B3A"/>
    <w:rsid w:val="00253E79"/>
    <w:rsid w:val="00253E7F"/>
    <w:rsid w:val="00253FB9"/>
    <w:rsid w:val="0025415F"/>
    <w:rsid w:val="002541D6"/>
    <w:rsid w:val="002549DA"/>
    <w:rsid w:val="00254C5B"/>
    <w:rsid w:val="00254CC2"/>
    <w:rsid w:val="00254D22"/>
    <w:rsid w:val="00254D3F"/>
    <w:rsid w:val="00254DD0"/>
    <w:rsid w:val="00254EBC"/>
    <w:rsid w:val="00255339"/>
    <w:rsid w:val="002554E2"/>
    <w:rsid w:val="002560ED"/>
    <w:rsid w:val="0025638B"/>
    <w:rsid w:val="002567C6"/>
    <w:rsid w:val="002567FF"/>
    <w:rsid w:val="00256883"/>
    <w:rsid w:val="00256FB0"/>
    <w:rsid w:val="0025726B"/>
    <w:rsid w:val="00257A78"/>
    <w:rsid w:val="00260110"/>
    <w:rsid w:val="0026072D"/>
    <w:rsid w:val="00260B11"/>
    <w:rsid w:val="00261168"/>
    <w:rsid w:val="002614E1"/>
    <w:rsid w:val="0026169A"/>
    <w:rsid w:val="002617FD"/>
    <w:rsid w:val="00261EBF"/>
    <w:rsid w:val="002621AF"/>
    <w:rsid w:val="0026237F"/>
    <w:rsid w:val="00262542"/>
    <w:rsid w:val="002625F5"/>
    <w:rsid w:val="002626D3"/>
    <w:rsid w:val="00262778"/>
    <w:rsid w:val="002628C7"/>
    <w:rsid w:val="00262ABE"/>
    <w:rsid w:val="00262CF9"/>
    <w:rsid w:val="00262EE3"/>
    <w:rsid w:val="002633C5"/>
    <w:rsid w:val="0026350A"/>
    <w:rsid w:val="00263962"/>
    <w:rsid w:val="00263B27"/>
    <w:rsid w:val="00263BC0"/>
    <w:rsid w:val="00263C25"/>
    <w:rsid w:val="00263FEA"/>
    <w:rsid w:val="002640EB"/>
    <w:rsid w:val="0026446A"/>
    <w:rsid w:val="002646D0"/>
    <w:rsid w:val="00264735"/>
    <w:rsid w:val="00265361"/>
    <w:rsid w:val="00265565"/>
    <w:rsid w:val="00265620"/>
    <w:rsid w:val="00265738"/>
    <w:rsid w:val="00265951"/>
    <w:rsid w:val="00265954"/>
    <w:rsid w:val="00265C4A"/>
    <w:rsid w:val="00266222"/>
    <w:rsid w:val="00266499"/>
    <w:rsid w:val="00266BD7"/>
    <w:rsid w:val="00266F5A"/>
    <w:rsid w:val="002674E2"/>
    <w:rsid w:val="002679F5"/>
    <w:rsid w:val="00267E83"/>
    <w:rsid w:val="00267FBD"/>
    <w:rsid w:val="00270370"/>
    <w:rsid w:val="00270975"/>
    <w:rsid w:val="00270C20"/>
    <w:rsid w:val="00270DFB"/>
    <w:rsid w:val="00270FA0"/>
    <w:rsid w:val="00271875"/>
    <w:rsid w:val="002719E2"/>
    <w:rsid w:val="00271A22"/>
    <w:rsid w:val="0027205D"/>
    <w:rsid w:val="00272072"/>
    <w:rsid w:val="002723D0"/>
    <w:rsid w:val="00272E5D"/>
    <w:rsid w:val="00273279"/>
    <w:rsid w:val="002736FF"/>
    <w:rsid w:val="0027392C"/>
    <w:rsid w:val="00274124"/>
    <w:rsid w:val="00274550"/>
    <w:rsid w:val="00274556"/>
    <w:rsid w:val="002747B6"/>
    <w:rsid w:val="00274BF2"/>
    <w:rsid w:val="00274FC1"/>
    <w:rsid w:val="00274FD9"/>
    <w:rsid w:val="00275087"/>
    <w:rsid w:val="002753BD"/>
    <w:rsid w:val="00275964"/>
    <w:rsid w:val="00275AA9"/>
    <w:rsid w:val="00275D52"/>
    <w:rsid w:val="00275F3A"/>
    <w:rsid w:val="00276355"/>
    <w:rsid w:val="00276427"/>
    <w:rsid w:val="0027664F"/>
    <w:rsid w:val="00276EC5"/>
    <w:rsid w:val="002776A1"/>
    <w:rsid w:val="00277803"/>
    <w:rsid w:val="002778BC"/>
    <w:rsid w:val="00277C9A"/>
    <w:rsid w:val="00277DA4"/>
    <w:rsid w:val="00280D1A"/>
    <w:rsid w:val="0028112E"/>
    <w:rsid w:val="0028163A"/>
    <w:rsid w:val="002819A1"/>
    <w:rsid w:val="00281C71"/>
    <w:rsid w:val="00282D1E"/>
    <w:rsid w:val="00282F99"/>
    <w:rsid w:val="002837E6"/>
    <w:rsid w:val="00283802"/>
    <w:rsid w:val="002838B3"/>
    <w:rsid w:val="00283BA5"/>
    <w:rsid w:val="00283BF8"/>
    <w:rsid w:val="0028408D"/>
    <w:rsid w:val="00284395"/>
    <w:rsid w:val="00284501"/>
    <w:rsid w:val="00284781"/>
    <w:rsid w:val="00284B94"/>
    <w:rsid w:val="00284F23"/>
    <w:rsid w:val="00284FAD"/>
    <w:rsid w:val="00285101"/>
    <w:rsid w:val="0028526A"/>
    <w:rsid w:val="00285377"/>
    <w:rsid w:val="002854C3"/>
    <w:rsid w:val="00285FE0"/>
    <w:rsid w:val="00286056"/>
    <w:rsid w:val="00286295"/>
    <w:rsid w:val="0028677B"/>
    <w:rsid w:val="00287895"/>
    <w:rsid w:val="002878B6"/>
    <w:rsid w:val="00287AAD"/>
    <w:rsid w:val="00287CF8"/>
    <w:rsid w:val="00287D91"/>
    <w:rsid w:val="00287DF7"/>
    <w:rsid w:val="00287FC4"/>
    <w:rsid w:val="0029044D"/>
    <w:rsid w:val="00290950"/>
    <w:rsid w:val="00290AE8"/>
    <w:rsid w:val="00290E68"/>
    <w:rsid w:val="00290EBA"/>
    <w:rsid w:val="0029111D"/>
    <w:rsid w:val="0029119A"/>
    <w:rsid w:val="00291524"/>
    <w:rsid w:val="0029192C"/>
    <w:rsid w:val="00291F07"/>
    <w:rsid w:val="00291FBA"/>
    <w:rsid w:val="00292079"/>
    <w:rsid w:val="002923CC"/>
    <w:rsid w:val="002926DB"/>
    <w:rsid w:val="00292905"/>
    <w:rsid w:val="00293192"/>
    <w:rsid w:val="00293AE1"/>
    <w:rsid w:val="00293F60"/>
    <w:rsid w:val="00294A8C"/>
    <w:rsid w:val="00294EEB"/>
    <w:rsid w:val="00294F4F"/>
    <w:rsid w:val="00295131"/>
    <w:rsid w:val="002951C1"/>
    <w:rsid w:val="00295596"/>
    <w:rsid w:val="00295709"/>
    <w:rsid w:val="002958C6"/>
    <w:rsid w:val="00295A42"/>
    <w:rsid w:val="0029617A"/>
    <w:rsid w:val="0029618D"/>
    <w:rsid w:val="00296398"/>
    <w:rsid w:val="002964CF"/>
    <w:rsid w:val="002966D9"/>
    <w:rsid w:val="00296A01"/>
    <w:rsid w:val="00296B90"/>
    <w:rsid w:val="00296C7A"/>
    <w:rsid w:val="00296D23"/>
    <w:rsid w:val="002971E9"/>
    <w:rsid w:val="00297463"/>
    <w:rsid w:val="002976F5"/>
    <w:rsid w:val="00297846"/>
    <w:rsid w:val="00297990"/>
    <w:rsid w:val="002A0030"/>
    <w:rsid w:val="002A0398"/>
    <w:rsid w:val="002A0457"/>
    <w:rsid w:val="002A060A"/>
    <w:rsid w:val="002A0FD7"/>
    <w:rsid w:val="002A1443"/>
    <w:rsid w:val="002A1BCD"/>
    <w:rsid w:val="002A1F88"/>
    <w:rsid w:val="002A21E4"/>
    <w:rsid w:val="002A24EF"/>
    <w:rsid w:val="002A27FC"/>
    <w:rsid w:val="002A29F9"/>
    <w:rsid w:val="002A2AF1"/>
    <w:rsid w:val="002A2BB9"/>
    <w:rsid w:val="002A3205"/>
    <w:rsid w:val="002A34DE"/>
    <w:rsid w:val="002A3B4F"/>
    <w:rsid w:val="002A3C7A"/>
    <w:rsid w:val="002A3D6D"/>
    <w:rsid w:val="002A3DF0"/>
    <w:rsid w:val="002A401C"/>
    <w:rsid w:val="002A4508"/>
    <w:rsid w:val="002A4A6C"/>
    <w:rsid w:val="002A4CDB"/>
    <w:rsid w:val="002A59CB"/>
    <w:rsid w:val="002A5ED2"/>
    <w:rsid w:val="002A611F"/>
    <w:rsid w:val="002A62E3"/>
    <w:rsid w:val="002A6FC0"/>
    <w:rsid w:val="002A7875"/>
    <w:rsid w:val="002A7AB0"/>
    <w:rsid w:val="002A7ABF"/>
    <w:rsid w:val="002A7F4B"/>
    <w:rsid w:val="002B018D"/>
    <w:rsid w:val="002B01D2"/>
    <w:rsid w:val="002B035E"/>
    <w:rsid w:val="002B09DB"/>
    <w:rsid w:val="002B0AAB"/>
    <w:rsid w:val="002B0B5C"/>
    <w:rsid w:val="002B0BF1"/>
    <w:rsid w:val="002B1D07"/>
    <w:rsid w:val="002B1E23"/>
    <w:rsid w:val="002B24F9"/>
    <w:rsid w:val="002B2580"/>
    <w:rsid w:val="002B27FD"/>
    <w:rsid w:val="002B2C2D"/>
    <w:rsid w:val="002B2C7E"/>
    <w:rsid w:val="002B2D14"/>
    <w:rsid w:val="002B3014"/>
    <w:rsid w:val="002B32EE"/>
    <w:rsid w:val="002B3518"/>
    <w:rsid w:val="002B359E"/>
    <w:rsid w:val="002B371E"/>
    <w:rsid w:val="002B372B"/>
    <w:rsid w:val="002B37F6"/>
    <w:rsid w:val="002B417A"/>
    <w:rsid w:val="002B44F1"/>
    <w:rsid w:val="002B4671"/>
    <w:rsid w:val="002B481F"/>
    <w:rsid w:val="002B4846"/>
    <w:rsid w:val="002B4A84"/>
    <w:rsid w:val="002B4D0B"/>
    <w:rsid w:val="002B50D3"/>
    <w:rsid w:val="002B549D"/>
    <w:rsid w:val="002B5923"/>
    <w:rsid w:val="002B597E"/>
    <w:rsid w:val="002B5E11"/>
    <w:rsid w:val="002B60F7"/>
    <w:rsid w:val="002B6270"/>
    <w:rsid w:val="002B63A6"/>
    <w:rsid w:val="002B63E8"/>
    <w:rsid w:val="002B684A"/>
    <w:rsid w:val="002B6943"/>
    <w:rsid w:val="002B6D72"/>
    <w:rsid w:val="002B7565"/>
    <w:rsid w:val="002B75D4"/>
    <w:rsid w:val="002B7D2D"/>
    <w:rsid w:val="002C065B"/>
    <w:rsid w:val="002C070E"/>
    <w:rsid w:val="002C0B1F"/>
    <w:rsid w:val="002C0EEE"/>
    <w:rsid w:val="002C1743"/>
    <w:rsid w:val="002C1A57"/>
    <w:rsid w:val="002C1AFC"/>
    <w:rsid w:val="002C25B6"/>
    <w:rsid w:val="002C264E"/>
    <w:rsid w:val="002C2D4E"/>
    <w:rsid w:val="002C3112"/>
    <w:rsid w:val="002C357C"/>
    <w:rsid w:val="002C3619"/>
    <w:rsid w:val="002C38BF"/>
    <w:rsid w:val="002C40D8"/>
    <w:rsid w:val="002C45BF"/>
    <w:rsid w:val="002C45FD"/>
    <w:rsid w:val="002C4BEF"/>
    <w:rsid w:val="002C4CE7"/>
    <w:rsid w:val="002C4ED8"/>
    <w:rsid w:val="002C4FA0"/>
    <w:rsid w:val="002C5119"/>
    <w:rsid w:val="002C54A0"/>
    <w:rsid w:val="002C595C"/>
    <w:rsid w:val="002C5C7A"/>
    <w:rsid w:val="002C5D94"/>
    <w:rsid w:val="002C62EF"/>
    <w:rsid w:val="002C635D"/>
    <w:rsid w:val="002C66C6"/>
    <w:rsid w:val="002C678B"/>
    <w:rsid w:val="002C6959"/>
    <w:rsid w:val="002C6A02"/>
    <w:rsid w:val="002C6A23"/>
    <w:rsid w:val="002C7203"/>
    <w:rsid w:val="002C7398"/>
    <w:rsid w:val="002C746C"/>
    <w:rsid w:val="002C7761"/>
    <w:rsid w:val="002C7A0D"/>
    <w:rsid w:val="002C7ADD"/>
    <w:rsid w:val="002C7BDD"/>
    <w:rsid w:val="002C7F13"/>
    <w:rsid w:val="002D008A"/>
    <w:rsid w:val="002D0F2A"/>
    <w:rsid w:val="002D1201"/>
    <w:rsid w:val="002D1602"/>
    <w:rsid w:val="002D170F"/>
    <w:rsid w:val="002D1995"/>
    <w:rsid w:val="002D1B8A"/>
    <w:rsid w:val="002D1C41"/>
    <w:rsid w:val="002D2262"/>
    <w:rsid w:val="002D2317"/>
    <w:rsid w:val="002D2522"/>
    <w:rsid w:val="002D2540"/>
    <w:rsid w:val="002D2769"/>
    <w:rsid w:val="002D279F"/>
    <w:rsid w:val="002D2AF5"/>
    <w:rsid w:val="002D358C"/>
    <w:rsid w:val="002D367C"/>
    <w:rsid w:val="002D3AA0"/>
    <w:rsid w:val="002D3B08"/>
    <w:rsid w:val="002D3EC3"/>
    <w:rsid w:val="002D4546"/>
    <w:rsid w:val="002D46BC"/>
    <w:rsid w:val="002D478D"/>
    <w:rsid w:val="002D4ADD"/>
    <w:rsid w:val="002D4C23"/>
    <w:rsid w:val="002D546A"/>
    <w:rsid w:val="002D56F3"/>
    <w:rsid w:val="002D5C39"/>
    <w:rsid w:val="002D642D"/>
    <w:rsid w:val="002D6941"/>
    <w:rsid w:val="002D6B18"/>
    <w:rsid w:val="002D7224"/>
    <w:rsid w:val="002D72EF"/>
    <w:rsid w:val="002D762F"/>
    <w:rsid w:val="002D77D5"/>
    <w:rsid w:val="002E04F0"/>
    <w:rsid w:val="002E0EA1"/>
    <w:rsid w:val="002E11DB"/>
    <w:rsid w:val="002E132B"/>
    <w:rsid w:val="002E1734"/>
    <w:rsid w:val="002E21A8"/>
    <w:rsid w:val="002E2411"/>
    <w:rsid w:val="002E26DE"/>
    <w:rsid w:val="002E2FDB"/>
    <w:rsid w:val="002E3352"/>
    <w:rsid w:val="002E3AEB"/>
    <w:rsid w:val="002E3FE6"/>
    <w:rsid w:val="002E434B"/>
    <w:rsid w:val="002E4420"/>
    <w:rsid w:val="002E4583"/>
    <w:rsid w:val="002E4632"/>
    <w:rsid w:val="002E4EA8"/>
    <w:rsid w:val="002E51BB"/>
    <w:rsid w:val="002E54DF"/>
    <w:rsid w:val="002E5532"/>
    <w:rsid w:val="002E5ABB"/>
    <w:rsid w:val="002E5CA2"/>
    <w:rsid w:val="002E5D90"/>
    <w:rsid w:val="002E6188"/>
    <w:rsid w:val="002E6227"/>
    <w:rsid w:val="002E681B"/>
    <w:rsid w:val="002E69E3"/>
    <w:rsid w:val="002E6EBC"/>
    <w:rsid w:val="002E7789"/>
    <w:rsid w:val="002E79DD"/>
    <w:rsid w:val="002E7ACC"/>
    <w:rsid w:val="002E7FCC"/>
    <w:rsid w:val="002F0055"/>
    <w:rsid w:val="002F019E"/>
    <w:rsid w:val="002F02EA"/>
    <w:rsid w:val="002F06FC"/>
    <w:rsid w:val="002F096D"/>
    <w:rsid w:val="002F0C2B"/>
    <w:rsid w:val="002F0EFF"/>
    <w:rsid w:val="002F0FC8"/>
    <w:rsid w:val="002F1002"/>
    <w:rsid w:val="002F1897"/>
    <w:rsid w:val="002F1A86"/>
    <w:rsid w:val="002F2228"/>
    <w:rsid w:val="002F249D"/>
    <w:rsid w:val="002F2A9E"/>
    <w:rsid w:val="002F2E8B"/>
    <w:rsid w:val="002F2F5D"/>
    <w:rsid w:val="002F2FB6"/>
    <w:rsid w:val="002F3E3B"/>
    <w:rsid w:val="002F4324"/>
    <w:rsid w:val="002F456F"/>
    <w:rsid w:val="002F4577"/>
    <w:rsid w:val="002F4582"/>
    <w:rsid w:val="002F45FB"/>
    <w:rsid w:val="002F4B9D"/>
    <w:rsid w:val="002F4D04"/>
    <w:rsid w:val="002F508B"/>
    <w:rsid w:val="002F5457"/>
    <w:rsid w:val="002F598A"/>
    <w:rsid w:val="002F6207"/>
    <w:rsid w:val="002F764A"/>
    <w:rsid w:val="002F7979"/>
    <w:rsid w:val="002F7EC4"/>
    <w:rsid w:val="003000E5"/>
    <w:rsid w:val="003003F7"/>
    <w:rsid w:val="00300523"/>
    <w:rsid w:val="00300C90"/>
    <w:rsid w:val="003014E3"/>
    <w:rsid w:val="003019A9"/>
    <w:rsid w:val="00301BF3"/>
    <w:rsid w:val="003020A5"/>
    <w:rsid w:val="0030217F"/>
    <w:rsid w:val="00302430"/>
    <w:rsid w:val="0030296C"/>
    <w:rsid w:val="00302F07"/>
    <w:rsid w:val="0030329E"/>
    <w:rsid w:val="00303322"/>
    <w:rsid w:val="0030360F"/>
    <w:rsid w:val="00303AE3"/>
    <w:rsid w:val="00303B81"/>
    <w:rsid w:val="00303DBB"/>
    <w:rsid w:val="00303E1A"/>
    <w:rsid w:val="00303EEC"/>
    <w:rsid w:val="003054F5"/>
    <w:rsid w:val="00305D10"/>
    <w:rsid w:val="00305F41"/>
    <w:rsid w:val="003061F0"/>
    <w:rsid w:val="003066D1"/>
    <w:rsid w:val="00306779"/>
    <w:rsid w:val="0030727A"/>
    <w:rsid w:val="00307302"/>
    <w:rsid w:val="00307418"/>
    <w:rsid w:val="0030743E"/>
    <w:rsid w:val="003077E3"/>
    <w:rsid w:val="0030795B"/>
    <w:rsid w:val="0030798E"/>
    <w:rsid w:val="00307C1D"/>
    <w:rsid w:val="00310079"/>
    <w:rsid w:val="003105F2"/>
    <w:rsid w:val="00310753"/>
    <w:rsid w:val="00310797"/>
    <w:rsid w:val="003109E1"/>
    <w:rsid w:val="00310D66"/>
    <w:rsid w:val="0031101B"/>
    <w:rsid w:val="0031112F"/>
    <w:rsid w:val="003111CD"/>
    <w:rsid w:val="00311372"/>
    <w:rsid w:val="00311CA9"/>
    <w:rsid w:val="00311E12"/>
    <w:rsid w:val="00312090"/>
    <w:rsid w:val="003127C6"/>
    <w:rsid w:val="00312D6D"/>
    <w:rsid w:val="00312E73"/>
    <w:rsid w:val="0031386E"/>
    <w:rsid w:val="00313C17"/>
    <w:rsid w:val="00313CA2"/>
    <w:rsid w:val="00314259"/>
    <w:rsid w:val="003143F4"/>
    <w:rsid w:val="00314FC8"/>
    <w:rsid w:val="003151B9"/>
    <w:rsid w:val="00315605"/>
    <w:rsid w:val="00315727"/>
    <w:rsid w:val="00315728"/>
    <w:rsid w:val="00315941"/>
    <w:rsid w:val="00315D87"/>
    <w:rsid w:val="003166F1"/>
    <w:rsid w:val="0031675C"/>
    <w:rsid w:val="00317200"/>
    <w:rsid w:val="00317267"/>
    <w:rsid w:val="00317416"/>
    <w:rsid w:val="00317621"/>
    <w:rsid w:val="00317685"/>
    <w:rsid w:val="00317788"/>
    <w:rsid w:val="00317D3D"/>
    <w:rsid w:val="0032029F"/>
    <w:rsid w:val="003202B8"/>
    <w:rsid w:val="0032038F"/>
    <w:rsid w:val="003203A3"/>
    <w:rsid w:val="003206B3"/>
    <w:rsid w:val="00320739"/>
    <w:rsid w:val="00320D26"/>
    <w:rsid w:val="00320DA4"/>
    <w:rsid w:val="00320FE9"/>
    <w:rsid w:val="003212A9"/>
    <w:rsid w:val="00321485"/>
    <w:rsid w:val="00321684"/>
    <w:rsid w:val="00321825"/>
    <w:rsid w:val="00321BE3"/>
    <w:rsid w:val="00321F06"/>
    <w:rsid w:val="00322DAA"/>
    <w:rsid w:val="00322E6D"/>
    <w:rsid w:val="00322E70"/>
    <w:rsid w:val="0032466E"/>
    <w:rsid w:val="00324A90"/>
    <w:rsid w:val="00324CAD"/>
    <w:rsid w:val="0032513B"/>
    <w:rsid w:val="00325397"/>
    <w:rsid w:val="00325794"/>
    <w:rsid w:val="003259BD"/>
    <w:rsid w:val="003259D3"/>
    <w:rsid w:val="00325B68"/>
    <w:rsid w:val="0032633D"/>
    <w:rsid w:val="00326858"/>
    <w:rsid w:val="00326EE3"/>
    <w:rsid w:val="00327BFB"/>
    <w:rsid w:val="00327D8F"/>
    <w:rsid w:val="003302E8"/>
    <w:rsid w:val="00330822"/>
    <w:rsid w:val="0033083E"/>
    <w:rsid w:val="00330A5D"/>
    <w:rsid w:val="003311AD"/>
    <w:rsid w:val="003319FD"/>
    <w:rsid w:val="00331A80"/>
    <w:rsid w:val="00331E23"/>
    <w:rsid w:val="00332E56"/>
    <w:rsid w:val="0033306B"/>
    <w:rsid w:val="00333733"/>
    <w:rsid w:val="00333785"/>
    <w:rsid w:val="00333BE3"/>
    <w:rsid w:val="00333E25"/>
    <w:rsid w:val="0033421F"/>
    <w:rsid w:val="003343C0"/>
    <w:rsid w:val="003347C6"/>
    <w:rsid w:val="00334B9A"/>
    <w:rsid w:val="00335101"/>
    <w:rsid w:val="0033519E"/>
    <w:rsid w:val="003353FF"/>
    <w:rsid w:val="0033580C"/>
    <w:rsid w:val="0033593B"/>
    <w:rsid w:val="00335B9D"/>
    <w:rsid w:val="00335D62"/>
    <w:rsid w:val="00335EBE"/>
    <w:rsid w:val="00335F76"/>
    <w:rsid w:val="00336B8A"/>
    <w:rsid w:val="00336D75"/>
    <w:rsid w:val="00336E94"/>
    <w:rsid w:val="003372DD"/>
    <w:rsid w:val="00337ADC"/>
    <w:rsid w:val="00337ED3"/>
    <w:rsid w:val="00340315"/>
    <w:rsid w:val="00340CEA"/>
    <w:rsid w:val="0034147A"/>
    <w:rsid w:val="00341DF4"/>
    <w:rsid w:val="003420A2"/>
    <w:rsid w:val="00342499"/>
    <w:rsid w:val="003432E6"/>
    <w:rsid w:val="003433B6"/>
    <w:rsid w:val="00343A96"/>
    <w:rsid w:val="00343D20"/>
    <w:rsid w:val="00343EBD"/>
    <w:rsid w:val="00344DC9"/>
    <w:rsid w:val="003450A8"/>
    <w:rsid w:val="003450E6"/>
    <w:rsid w:val="003450FB"/>
    <w:rsid w:val="00345452"/>
    <w:rsid w:val="003454F0"/>
    <w:rsid w:val="00345AEE"/>
    <w:rsid w:val="00345B31"/>
    <w:rsid w:val="003462F3"/>
    <w:rsid w:val="0034680D"/>
    <w:rsid w:val="003469D7"/>
    <w:rsid w:val="00346D53"/>
    <w:rsid w:val="00346E21"/>
    <w:rsid w:val="0034730B"/>
    <w:rsid w:val="00347963"/>
    <w:rsid w:val="0035022E"/>
    <w:rsid w:val="0035028C"/>
    <w:rsid w:val="003503A8"/>
    <w:rsid w:val="0035076E"/>
    <w:rsid w:val="003509A9"/>
    <w:rsid w:val="00350F20"/>
    <w:rsid w:val="003511A6"/>
    <w:rsid w:val="00351B9B"/>
    <w:rsid w:val="00351CF8"/>
    <w:rsid w:val="003520F3"/>
    <w:rsid w:val="003524DA"/>
    <w:rsid w:val="00352705"/>
    <w:rsid w:val="00352ADA"/>
    <w:rsid w:val="00352ED5"/>
    <w:rsid w:val="0035307A"/>
    <w:rsid w:val="003531B8"/>
    <w:rsid w:val="00353712"/>
    <w:rsid w:val="003538CE"/>
    <w:rsid w:val="00353A6A"/>
    <w:rsid w:val="00353BC7"/>
    <w:rsid w:val="0035409A"/>
    <w:rsid w:val="003542C6"/>
    <w:rsid w:val="0035443D"/>
    <w:rsid w:val="003544FD"/>
    <w:rsid w:val="00355006"/>
    <w:rsid w:val="003556A1"/>
    <w:rsid w:val="00355862"/>
    <w:rsid w:val="00355885"/>
    <w:rsid w:val="00355D93"/>
    <w:rsid w:val="0035625F"/>
    <w:rsid w:val="00356825"/>
    <w:rsid w:val="003568F6"/>
    <w:rsid w:val="00356D2D"/>
    <w:rsid w:val="00356EF6"/>
    <w:rsid w:val="00356F10"/>
    <w:rsid w:val="00356F4C"/>
    <w:rsid w:val="00357789"/>
    <w:rsid w:val="0035791A"/>
    <w:rsid w:val="00357B52"/>
    <w:rsid w:val="00357BE5"/>
    <w:rsid w:val="00357DE5"/>
    <w:rsid w:val="0036051C"/>
    <w:rsid w:val="003605F9"/>
    <w:rsid w:val="00360C0F"/>
    <w:rsid w:val="0036119D"/>
    <w:rsid w:val="00361526"/>
    <w:rsid w:val="00362CF9"/>
    <w:rsid w:val="00362E81"/>
    <w:rsid w:val="00362F29"/>
    <w:rsid w:val="00362FF5"/>
    <w:rsid w:val="0036325B"/>
    <w:rsid w:val="0036345E"/>
    <w:rsid w:val="0036370D"/>
    <w:rsid w:val="00363BF1"/>
    <w:rsid w:val="00363E83"/>
    <w:rsid w:val="0036447B"/>
    <w:rsid w:val="003645CC"/>
    <w:rsid w:val="0036464D"/>
    <w:rsid w:val="00364875"/>
    <w:rsid w:val="003649B8"/>
    <w:rsid w:val="00364DC0"/>
    <w:rsid w:val="00364DEC"/>
    <w:rsid w:val="00364EDE"/>
    <w:rsid w:val="00364FDC"/>
    <w:rsid w:val="0036507B"/>
    <w:rsid w:val="003655CC"/>
    <w:rsid w:val="003655D1"/>
    <w:rsid w:val="00365738"/>
    <w:rsid w:val="00366326"/>
    <w:rsid w:val="0036694A"/>
    <w:rsid w:val="00366B85"/>
    <w:rsid w:val="00366BC8"/>
    <w:rsid w:val="00366CC1"/>
    <w:rsid w:val="00366DA5"/>
    <w:rsid w:val="00366F2D"/>
    <w:rsid w:val="00366FA0"/>
    <w:rsid w:val="00367142"/>
    <w:rsid w:val="003671F3"/>
    <w:rsid w:val="00367324"/>
    <w:rsid w:val="0036748A"/>
    <w:rsid w:val="0036772F"/>
    <w:rsid w:val="003701D4"/>
    <w:rsid w:val="00370777"/>
    <w:rsid w:val="003718C4"/>
    <w:rsid w:val="00371A74"/>
    <w:rsid w:val="00372020"/>
    <w:rsid w:val="00372AEA"/>
    <w:rsid w:val="00372B65"/>
    <w:rsid w:val="003738D5"/>
    <w:rsid w:val="00373B15"/>
    <w:rsid w:val="0037463F"/>
    <w:rsid w:val="00374726"/>
    <w:rsid w:val="003749FF"/>
    <w:rsid w:val="00374BEE"/>
    <w:rsid w:val="00374D32"/>
    <w:rsid w:val="00374D99"/>
    <w:rsid w:val="00374DCA"/>
    <w:rsid w:val="00374FA4"/>
    <w:rsid w:val="00374FFD"/>
    <w:rsid w:val="003751E9"/>
    <w:rsid w:val="00375774"/>
    <w:rsid w:val="0037581D"/>
    <w:rsid w:val="0037588A"/>
    <w:rsid w:val="0037638F"/>
    <w:rsid w:val="003767AD"/>
    <w:rsid w:val="00376877"/>
    <w:rsid w:val="00376991"/>
    <w:rsid w:val="00376D18"/>
    <w:rsid w:val="00377025"/>
    <w:rsid w:val="003773DC"/>
    <w:rsid w:val="00377643"/>
    <w:rsid w:val="003778FB"/>
    <w:rsid w:val="0038018D"/>
    <w:rsid w:val="0038021A"/>
    <w:rsid w:val="003803F4"/>
    <w:rsid w:val="003804B3"/>
    <w:rsid w:val="00380726"/>
    <w:rsid w:val="00380750"/>
    <w:rsid w:val="00380964"/>
    <w:rsid w:val="00381549"/>
    <w:rsid w:val="00381B94"/>
    <w:rsid w:val="00381EBF"/>
    <w:rsid w:val="00381EDF"/>
    <w:rsid w:val="00382A58"/>
    <w:rsid w:val="00382B6D"/>
    <w:rsid w:val="00382BC4"/>
    <w:rsid w:val="00382C34"/>
    <w:rsid w:val="00382D10"/>
    <w:rsid w:val="00383382"/>
    <w:rsid w:val="00383459"/>
    <w:rsid w:val="00383794"/>
    <w:rsid w:val="00383ADD"/>
    <w:rsid w:val="00383BA7"/>
    <w:rsid w:val="00383BFA"/>
    <w:rsid w:val="00383C3F"/>
    <w:rsid w:val="003845FA"/>
    <w:rsid w:val="0038483B"/>
    <w:rsid w:val="00384CAC"/>
    <w:rsid w:val="00384E86"/>
    <w:rsid w:val="00385029"/>
    <w:rsid w:val="00385698"/>
    <w:rsid w:val="003856AE"/>
    <w:rsid w:val="00385846"/>
    <w:rsid w:val="00385E2A"/>
    <w:rsid w:val="00386237"/>
    <w:rsid w:val="00386357"/>
    <w:rsid w:val="003866B7"/>
    <w:rsid w:val="003866D0"/>
    <w:rsid w:val="003868EA"/>
    <w:rsid w:val="00386F7F"/>
    <w:rsid w:val="003874CF"/>
    <w:rsid w:val="00387A5D"/>
    <w:rsid w:val="003916CA"/>
    <w:rsid w:val="00391CC8"/>
    <w:rsid w:val="00391F3B"/>
    <w:rsid w:val="003920C4"/>
    <w:rsid w:val="00392461"/>
    <w:rsid w:val="003924C3"/>
    <w:rsid w:val="0039282F"/>
    <w:rsid w:val="00392D79"/>
    <w:rsid w:val="00392FE8"/>
    <w:rsid w:val="00393126"/>
    <w:rsid w:val="00393218"/>
    <w:rsid w:val="00393476"/>
    <w:rsid w:val="003935D7"/>
    <w:rsid w:val="00393639"/>
    <w:rsid w:val="003938EF"/>
    <w:rsid w:val="00393DC1"/>
    <w:rsid w:val="00393EF0"/>
    <w:rsid w:val="00394839"/>
    <w:rsid w:val="00394991"/>
    <w:rsid w:val="00395665"/>
    <w:rsid w:val="00395888"/>
    <w:rsid w:val="00395B58"/>
    <w:rsid w:val="00395E05"/>
    <w:rsid w:val="0039615E"/>
    <w:rsid w:val="00396880"/>
    <w:rsid w:val="00396AF6"/>
    <w:rsid w:val="00396CFA"/>
    <w:rsid w:val="00396EB8"/>
    <w:rsid w:val="00396F2E"/>
    <w:rsid w:val="00396F9E"/>
    <w:rsid w:val="003971D9"/>
    <w:rsid w:val="00397291"/>
    <w:rsid w:val="00397379"/>
    <w:rsid w:val="00397A41"/>
    <w:rsid w:val="00397B2F"/>
    <w:rsid w:val="00397DD8"/>
    <w:rsid w:val="00397F55"/>
    <w:rsid w:val="003A06FF"/>
    <w:rsid w:val="003A0877"/>
    <w:rsid w:val="003A09F4"/>
    <w:rsid w:val="003A0AF9"/>
    <w:rsid w:val="003A0B7F"/>
    <w:rsid w:val="003A141B"/>
    <w:rsid w:val="003A178D"/>
    <w:rsid w:val="003A19F8"/>
    <w:rsid w:val="003A1CC6"/>
    <w:rsid w:val="003A2652"/>
    <w:rsid w:val="003A2F1E"/>
    <w:rsid w:val="003A3475"/>
    <w:rsid w:val="003A367C"/>
    <w:rsid w:val="003A3A64"/>
    <w:rsid w:val="003A3AED"/>
    <w:rsid w:val="003A4361"/>
    <w:rsid w:val="003A4649"/>
    <w:rsid w:val="003A4E62"/>
    <w:rsid w:val="003A52D2"/>
    <w:rsid w:val="003A58BD"/>
    <w:rsid w:val="003A5A1B"/>
    <w:rsid w:val="003A5AB4"/>
    <w:rsid w:val="003A5EEA"/>
    <w:rsid w:val="003A640C"/>
    <w:rsid w:val="003A64A3"/>
    <w:rsid w:val="003A67AA"/>
    <w:rsid w:val="003A6C3C"/>
    <w:rsid w:val="003A6C46"/>
    <w:rsid w:val="003A6C76"/>
    <w:rsid w:val="003A701D"/>
    <w:rsid w:val="003A743D"/>
    <w:rsid w:val="003A785F"/>
    <w:rsid w:val="003B00ED"/>
    <w:rsid w:val="003B02BC"/>
    <w:rsid w:val="003B0A5A"/>
    <w:rsid w:val="003B1313"/>
    <w:rsid w:val="003B139B"/>
    <w:rsid w:val="003B1750"/>
    <w:rsid w:val="003B1D4A"/>
    <w:rsid w:val="003B22D0"/>
    <w:rsid w:val="003B26B5"/>
    <w:rsid w:val="003B26D3"/>
    <w:rsid w:val="003B2C2D"/>
    <w:rsid w:val="003B2C55"/>
    <w:rsid w:val="003B2DDD"/>
    <w:rsid w:val="003B2EF3"/>
    <w:rsid w:val="003B3062"/>
    <w:rsid w:val="003B37B2"/>
    <w:rsid w:val="003B3D49"/>
    <w:rsid w:val="003B4365"/>
    <w:rsid w:val="003B449C"/>
    <w:rsid w:val="003B46B4"/>
    <w:rsid w:val="003B4708"/>
    <w:rsid w:val="003B4ECF"/>
    <w:rsid w:val="003B528F"/>
    <w:rsid w:val="003B52C3"/>
    <w:rsid w:val="003B54F0"/>
    <w:rsid w:val="003B5574"/>
    <w:rsid w:val="003B5A41"/>
    <w:rsid w:val="003B6233"/>
    <w:rsid w:val="003B633E"/>
    <w:rsid w:val="003B67F4"/>
    <w:rsid w:val="003B6A22"/>
    <w:rsid w:val="003B6FC2"/>
    <w:rsid w:val="003B6FE3"/>
    <w:rsid w:val="003B74FA"/>
    <w:rsid w:val="003C00FD"/>
    <w:rsid w:val="003C0192"/>
    <w:rsid w:val="003C036C"/>
    <w:rsid w:val="003C0399"/>
    <w:rsid w:val="003C0459"/>
    <w:rsid w:val="003C054A"/>
    <w:rsid w:val="003C0D98"/>
    <w:rsid w:val="003C0FD3"/>
    <w:rsid w:val="003C12DA"/>
    <w:rsid w:val="003C13FB"/>
    <w:rsid w:val="003C16CF"/>
    <w:rsid w:val="003C19E4"/>
    <w:rsid w:val="003C1B22"/>
    <w:rsid w:val="003C1E0D"/>
    <w:rsid w:val="003C24CE"/>
    <w:rsid w:val="003C2560"/>
    <w:rsid w:val="003C2A3D"/>
    <w:rsid w:val="003C2B6E"/>
    <w:rsid w:val="003C2BB3"/>
    <w:rsid w:val="003C2CF8"/>
    <w:rsid w:val="003C2D60"/>
    <w:rsid w:val="003C2E7E"/>
    <w:rsid w:val="003C31A5"/>
    <w:rsid w:val="003C3341"/>
    <w:rsid w:val="003C3778"/>
    <w:rsid w:val="003C3952"/>
    <w:rsid w:val="003C3C55"/>
    <w:rsid w:val="003C3C9C"/>
    <w:rsid w:val="003C3E19"/>
    <w:rsid w:val="003C3E97"/>
    <w:rsid w:val="003C41BB"/>
    <w:rsid w:val="003C4275"/>
    <w:rsid w:val="003C44AB"/>
    <w:rsid w:val="003C478E"/>
    <w:rsid w:val="003C4818"/>
    <w:rsid w:val="003C48C0"/>
    <w:rsid w:val="003C4A29"/>
    <w:rsid w:val="003C4C20"/>
    <w:rsid w:val="003C4FDC"/>
    <w:rsid w:val="003C500E"/>
    <w:rsid w:val="003C5C2D"/>
    <w:rsid w:val="003C5F0A"/>
    <w:rsid w:val="003C67F2"/>
    <w:rsid w:val="003C6839"/>
    <w:rsid w:val="003C6D5E"/>
    <w:rsid w:val="003C6EF5"/>
    <w:rsid w:val="003C7405"/>
    <w:rsid w:val="003C7741"/>
    <w:rsid w:val="003C7787"/>
    <w:rsid w:val="003C7DD1"/>
    <w:rsid w:val="003D062C"/>
    <w:rsid w:val="003D064F"/>
    <w:rsid w:val="003D136A"/>
    <w:rsid w:val="003D1597"/>
    <w:rsid w:val="003D1BE3"/>
    <w:rsid w:val="003D1C1E"/>
    <w:rsid w:val="003D1D6C"/>
    <w:rsid w:val="003D2126"/>
    <w:rsid w:val="003D2714"/>
    <w:rsid w:val="003D27AF"/>
    <w:rsid w:val="003D313D"/>
    <w:rsid w:val="003D3412"/>
    <w:rsid w:val="003D415B"/>
    <w:rsid w:val="003D42A0"/>
    <w:rsid w:val="003D44E6"/>
    <w:rsid w:val="003D45FF"/>
    <w:rsid w:val="003D540A"/>
    <w:rsid w:val="003D5654"/>
    <w:rsid w:val="003D6317"/>
    <w:rsid w:val="003D64AE"/>
    <w:rsid w:val="003D6597"/>
    <w:rsid w:val="003D67DC"/>
    <w:rsid w:val="003D692D"/>
    <w:rsid w:val="003D69C2"/>
    <w:rsid w:val="003D6F71"/>
    <w:rsid w:val="003D7A20"/>
    <w:rsid w:val="003E011A"/>
    <w:rsid w:val="003E0238"/>
    <w:rsid w:val="003E0893"/>
    <w:rsid w:val="003E09DF"/>
    <w:rsid w:val="003E0A06"/>
    <w:rsid w:val="003E0C6A"/>
    <w:rsid w:val="003E0F7F"/>
    <w:rsid w:val="003E1464"/>
    <w:rsid w:val="003E164B"/>
    <w:rsid w:val="003E1B78"/>
    <w:rsid w:val="003E1EE8"/>
    <w:rsid w:val="003E26CA"/>
    <w:rsid w:val="003E2ACF"/>
    <w:rsid w:val="003E302D"/>
    <w:rsid w:val="003E3CB2"/>
    <w:rsid w:val="003E3D7E"/>
    <w:rsid w:val="003E42FE"/>
    <w:rsid w:val="003E4557"/>
    <w:rsid w:val="003E48B1"/>
    <w:rsid w:val="003E4A22"/>
    <w:rsid w:val="003E4C4E"/>
    <w:rsid w:val="003E4CF6"/>
    <w:rsid w:val="003E4E85"/>
    <w:rsid w:val="003E52CF"/>
    <w:rsid w:val="003E57B1"/>
    <w:rsid w:val="003E57C3"/>
    <w:rsid w:val="003E5B86"/>
    <w:rsid w:val="003E5BF2"/>
    <w:rsid w:val="003E5E2D"/>
    <w:rsid w:val="003E6093"/>
    <w:rsid w:val="003E6283"/>
    <w:rsid w:val="003E6E9E"/>
    <w:rsid w:val="003E7358"/>
    <w:rsid w:val="003E7988"/>
    <w:rsid w:val="003E7C82"/>
    <w:rsid w:val="003E7DFF"/>
    <w:rsid w:val="003E7F6D"/>
    <w:rsid w:val="003F02AD"/>
    <w:rsid w:val="003F02E5"/>
    <w:rsid w:val="003F03DF"/>
    <w:rsid w:val="003F0926"/>
    <w:rsid w:val="003F0E27"/>
    <w:rsid w:val="003F0E4A"/>
    <w:rsid w:val="003F14F1"/>
    <w:rsid w:val="003F15AE"/>
    <w:rsid w:val="003F185E"/>
    <w:rsid w:val="003F1D00"/>
    <w:rsid w:val="003F271F"/>
    <w:rsid w:val="003F2BBA"/>
    <w:rsid w:val="003F2F6D"/>
    <w:rsid w:val="003F3658"/>
    <w:rsid w:val="003F36ED"/>
    <w:rsid w:val="003F3C6D"/>
    <w:rsid w:val="003F422B"/>
    <w:rsid w:val="003F427D"/>
    <w:rsid w:val="003F4630"/>
    <w:rsid w:val="003F4847"/>
    <w:rsid w:val="003F4A5C"/>
    <w:rsid w:val="003F4F24"/>
    <w:rsid w:val="003F5658"/>
    <w:rsid w:val="003F5AA3"/>
    <w:rsid w:val="003F687E"/>
    <w:rsid w:val="003F688D"/>
    <w:rsid w:val="003F6902"/>
    <w:rsid w:val="003F6B81"/>
    <w:rsid w:val="003F6C43"/>
    <w:rsid w:val="003F6DBB"/>
    <w:rsid w:val="003F6F70"/>
    <w:rsid w:val="003F72F7"/>
    <w:rsid w:val="003F768B"/>
    <w:rsid w:val="003F7CAF"/>
    <w:rsid w:val="003F7EA0"/>
    <w:rsid w:val="00400229"/>
    <w:rsid w:val="00400375"/>
    <w:rsid w:val="004006F4"/>
    <w:rsid w:val="00400892"/>
    <w:rsid w:val="0040121B"/>
    <w:rsid w:val="00401826"/>
    <w:rsid w:val="00401B1C"/>
    <w:rsid w:val="00401ECA"/>
    <w:rsid w:val="00401F28"/>
    <w:rsid w:val="00401FE6"/>
    <w:rsid w:val="004022DA"/>
    <w:rsid w:val="0040262D"/>
    <w:rsid w:val="00402A62"/>
    <w:rsid w:val="00402CB5"/>
    <w:rsid w:val="004032B2"/>
    <w:rsid w:val="004032C6"/>
    <w:rsid w:val="004035AC"/>
    <w:rsid w:val="004035B8"/>
    <w:rsid w:val="0040369C"/>
    <w:rsid w:val="00403E6B"/>
    <w:rsid w:val="004048F8"/>
    <w:rsid w:val="00404BDB"/>
    <w:rsid w:val="00404C15"/>
    <w:rsid w:val="00404E13"/>
    <w:rsid w:val="004051C2"/>
    <w:rsid w:val="004053A5"/>
    <w:rsid w:val="004057D3"/>
    <w:rsid w:val="00405A5A"/>
    <w:rsid w:val="00405BB7"/>
    <w:rsid w:val="00405C28"/>
    <w:rsid w:val="00405C29"/>
    <w:rsid w:val="00405FC8"/>
    <w:rsid w:val="004066E7"/>
    <w:rsid w:val="00406839"/>
    <w:rsid w:val="004068AD"/>
    <w:rsid w:val="00406FCF"/>
    <w:rsid w:val="00407462"/>
    <w:rsid w:val="00407524"/>
    <w:rsid w:val="004075C9"/>
    <w:rsid w:val="00407B85"/>
    <w:rsid w:val="00407F83"/>
    <w:rsid w:val="00410283"/>
    <w:rsid w:val="004105EB"/>
    <w:rsid w:val="00410607"/>
    <w:rsid w:val="0041073D"/>
    <w:rsid w:val="00410786"/>
    <w:rsid w:val="004108DC"/>
    <w:rsid w:val="00410A26"/>
    <w:rsid w:val="00410ADD"/>
    <w:rsid w:val="00410B9B"/>
    <w:rsid w:val="00410C6A"/>
    <w:rsid w:val="00411652"/>
    <w:rsid w:val="004124EF"/>
    <w:rsid w:val="00412AF5"/>
    <w:rsid w:val="00412BA5"/>
    <w:rsid w:val="00412D17"/>
    <w:rsid w:val="00412FB5"/>
    <w:rsid w:val="00413321"/>
    <w:rsid w:val="0041364F"/>
    <w:rsid w:val="00413820"/>
    <w:rsid w:val="004140C9"/>
    <w:rsid w:val="004140F5"/>
    <w:rsid w:val="0041454B"/>
    <w:rsid w:val="0041467C"/>
    <w:rsid w:val="004146C2"/>
    <w:rsid w:val="00414972"/>
    <w:rsid w:val="00414973"/>
    <w:rsid w:val="00414BE2"/>
    <w:rsid w:val="00414D5E"/>
    <w:rsid w:val="004152A0"/>
    <w:rsid w:val="00415608"/>
    <w:rsid w:val="0041588C"/>
    <w:rsid w:val="00416232"/>
    <w:rsid w:val="00416450"/>
    <w:rsid w:val="0041682A"/>
    <w:rsid w:val="004168F5"/>
    <w:rsid w:val="00416A3D"/>
    <w:rsid w:val="00416D1E"/>
    <w:rsid w:val="0041764D"/>
    <w:rsid w:val="004178BC"/>
    <w:rsid w:val="00417ABE"/>
    <w:rsid w:val="00417BE5"/>
    <w:rsid w:val="004203AC"/>
    <w:rsid w:val="00420890"/>
    <w:rsid w:val="00420996"/>
    <w:rsid w:val="00420C6E"/>
    <w:rsid w:val="004210E3"/>
    <w:rsid w:val="004217BB"/>
    <w:rsid w:val="00421890"/>
    <w:rsid w:val="00421A4C"/>
    <w:rsid w:val="00421AB3"/>
    <w:rsid w:val="00421CB0"/>
    <w:rsid w:val="00421CE2"/>
    <w:rsid w:val="004222EA"/>
    <w:rsid w:val="00422EB5"/>
    <w:rsid w:val="00423386"/>
    <w:rsid w:val="004236DB"/>
    <w:rsid w:val="00423898"/>
    <w:rsid w:val="00423B6A"/>
    <w:rsid w:val="0042415D"/>
    <w:rsid w:val="0042436A"/>
    <w:rsid w:val="004243A1"/>
    <w:rsid w:val="004243B1"/>
    <w:rsid w:val="00424691"/>
    <w:rsid w:val="00424BD8"/>
    <w:rsid w:val="00424E7E"/>
    <w:rsid w:val="00424F11"/>
    <w:rsid w:val="00425485"/>
    <w:rsid w:val="004254D4"/>
    <w:rsid w:val="0042555E"/>
    <w:rsid w:val="004257DE"/>
    <w:rsid w:val="00425845"/>
    <w:rsid w:val="00426243"/>
    <w:rsid w:val="00426640"/>
    <w:rsid w:val="004268BB"/>
    <w:rsid w:val="00426A34"/>
    <w:rsid w:val="004274C4"/>
    <w:rsid w:val="00427842"/>
    <w:rsid w:val="004278C0"/>
    <w:rsid w:val="00430110"/>
    <w:rsid w:val="00430184"/>
    <w:rsid w:val="00430447"/>
    <w:rsid w:val="00430613"/>
    <w:rsid w:val="00430C85"/>
    <w:rsid w:val="00430E6F"/>
    <w:rsid w:val="004311B1"/>
    <w:rsid w:val="004312CE"/>
    <w:rsid w:val="004315DE"/>
    <w:rsid w:val="00431F44"/>
    <w:rsid w:val="0043204C"/>
    <w:rsid w:val="004320AA"/>
    <w:rsid w:val="0043282B"/>
    <w:rsid w:val="004328FF"/>
    <w:rsid w:val="00432A5C"/>
    <w:rsid w:val="00432BE6"/>
    <w:rsid w:val="00432FA6"/>
    <w:rsid w:val="004332FC"/>
    <w:rsid w:val="004333D0"/>
    <w:rsid w:val="004337F8"/>
    <w:rsid w:val="00433A4A"/>
    <w:rsid w:val="00433BA6"/>
    <w:rsid w:val="00433CC9"/>
    <w:rsid w:val="0043435F"/>
    <w:rsid w:val="00434D72"/>
    <w:rsid w:val="00435008"/>
    <w:rsid w:val="004352AA"/>
    <w:rsid w:val="0043553F"/>
    <w:rsid w:val="00435658"/>
    <w:rsid w:val="004358D4"/>
    <w:rsid w:val="0043591E"/>
    <w:rsid w:val="00435D45"/>
    <w:rsid w:val="0043639E"/>
    <w:rsid w:val="00436D0B"/>
    <w:rsid w:val="004371A9"/>
    <w:rsid w:val="00437A83"/>
    <w:rsid w:val="00437AAA"/>
    <w:rsid w:val="00437C6B"/>
    <w:rsid w:val="00437C7B"/>
    <w:rsid w:val="00437E9B"/>
    <w:rsid w:val="00437FD2"/>
    <w:rsid w:val="004404A8"/>
    <w:rsid w:val="00441503"/>
    <w:rsid w:val="00441C3F"/>
    <w:rsid w:val="0044219C"/>
    <w:rsid w:val="00442779"/>
    <w:rsid w:val="00442F1A"/>
    <w:rsid w:val="004430DF"/>
    <w:rsid w:val="0044319F"/>
    <w:rsid w:val="00443216"/>
    <w:rsid w:val="0044326D"/>
    <w:rsid w:val="004436A0"/>
    <w:rsid w:val="004442E6"/>
    <w:rsid w:val="0044451A"/>
    <w:rsid w:val="00444E3A"/>
    <w:rsid w:val="004451C8"/>
    <w:rsid w:val="0044534C"/>
    <w:rsid w:val="0044536F"/>
    <w:rsid w:val="00445C71"/>
    <w:rsid w:val="00445EE9"/>
    <w:rsid w:val="0044635B"/>
    <w:rsid w:val="0044656E"/>
    <w:rsid w:val="004465EC"/>
    <w:rsid w:val="00446655"/>
    <w:rsid w:val="004466D5"/>
    <w:rsid w:val="00446E96"/>
    <w:rsid w:val="004475F0"/>
    <w:rsid w:val="0044783D"/>
    <w:rsid w:val="00447B01"/>
    <w:rsid w:val="004503D1"/>
    <w:rsid w:val="0045054A"/>
    <w:rsid w:val="004505C7"/>
    <w:rsid w:val="00450A21"/>
    <w:rsid w:val="00450F93"/>
    <w:rsid w:val="00451211"/>
    <w:rsid w:val="00451585"/>
    <w:rsid w:val="00451696"/>
    <w:rsid w:val="004518BC"/>
    <w:rsid w:val="00451A39"/>
    <w:rsid w:val="00451FDE"/>
    <w:rsid w:val="00452495"/>
    <w:rsid w:val="00452D7A"/>
    <w:rsid w:val="00453322"/>
    <w:rsid w:val="004536F2"/>
    <w:rsid w:val="004536FB"/>
    <w:rsid w:val="00453A6D"/>
    <w:rsid w:val="00453CE1"/>
    <w:rsid w:val="00453FAE"/>
    <w:rsid w:val="004542F8"/>
    <w:rsid w:val="004545EA"/>
    <w:rsid w:val="0045477A"/>
    <w:rsid w:val="004548F3"/>
    <w:rsid w:val="00454B54"/>
    <w:rsid w:val="00455866"/>
    <w:rsid w:val="00455916"/>
    <w:rsid w:val="00455C30"/>
    <w:rsid w:val="00455F66"/>
    <w:rsid w:val="00456491"/>
    <w:rsid w:val="00456D83"/>
    <w:rsid w:val="00457447"/>
    <w:rsid w:val="00457776"/>
    <w:rsid w:val="004578D0"/>
    <w:rsid w:val="004605E1"/>
    <w:rsid w:val="00460882"/>
    <w:rsid w:val="00460EF2"/>
    <w:rsid w:val="004611E0"/>
    <w:rsid w:val="00461295"/>
    <w:rsid w:val="00461492"/>
    <w:rsid w:val="004615C2"/>
    <w:rsid w:val="004615DD"/>
    <w:rsid w:val="004616C6"/>
    <w:rsid w:val="004618A0"/>
    <w:rsid w:val="00461A43"/>
    <w:rsid w:val="00461F42"/>
    <w:rsid w:val="004621D8"/>
    <w:rsid w:val="00462532"/>
    <w:rsid w:val="004629CB"/>
    <w:rsid w:val="004629F5"/>
    <w:rsid w:val="00462CA1"/>
    <w:rsid w:val="00462E40"/>
    <w:rsid w:val="004633F7"/>
    <w:rsid w:val="004634CE"/>
    <w:rsid w:val="0046362D"/>
    <w:rsid w:val="00463E2E"/>
    <w:rsid w:val="00464020"/>
    <w:rsid w:val="004640B9"/>
    <w:rsid w:val="0046483D"/>
    <w:rsid w:val="00464A1D"/>
    <w:rsid w:val="00464AE8"/>
    <w:rsid w:val="00464BAC"/>
    <w:rsid w:val="00464EA2"/>
    <w:rsid w:val="00464EDC"/>
    <w:rsid w:val="00465039"/>
    <w:rsid w:val="004656CE"/>
    <w:rsid w:val="004657CD"/>
    <w:rsid w:val="00465A94"/>
    <w:rsid w:val="0046613C"/>
    <w:rsid w:val="00466700"/>
    <w:rsid w:val="00466785"/>
    <w:rsid w:val="00466B59"/>
    <w:rsid w:val="0046768B"/>
    <w:rsid w:val="00467FE7"/>
    <w:rsid w:val="0047034A"/>
    <w:rsid w:val="0047041E"/>
    <w:rsid w:val="004705CF"/>
    <w:rsid w:val="004708F7"/>
    <w:rsid w:val="00470AD0"/>
    <w:rsid w:val="004712B3"/>
    <w:rsid w:val="004712ED"/>
    <w:rsid w:val="004714A2"/>
    <w:rsid w:val="0047160A"/>
    <w:rsid w:val="00471C32"/>
    <w:rsid w:val="00471E23"/>
    <w:rsid w:val="00471EAB"/>
    <w:rsid w:val="004723DF"/>
    <w:rsid w:val="004724F3"/>
    <w:rsid w:val="00472A10"/>
    <w:rsid w:val="00472F9B"/>
    <w:rsid w:val="0047304A"/>
    <w:rsid w:val="00473095"/>
    <w:rsid w:val="0047312D"/>
    <w:rsid w:val="00473449"/>
    <w:rsid w:val="0047351C"/>
    <w:rsid w:val="0047374D"/>
    <w:rsid w:val="00473798"/>
    <w:rsid w:val="00473BEB"/>
    <w:rsid w:val="00475078"/>
    <w:rsid w:val="004754D9"/>
    <w:rsid w:val="00475502"/>
    <w:rsid w:val="004759FA"/>
    <w:rsid w:val="00475C3E"/>
    <w:rsid w:val="004760D6"/>
    <w:rsid w:val="0047671E"/>
    <w:rsid w:val="004769C2"/>
    <w:rsid w:val="00476C8D"/>
    <w:rsid w:val="00476EF7"/>
    <w:rsid w:val="00477108"/>
    <w:rsid w:val="0047725E"/>
    <w:rsid w:val="00477BC5"/>
    <w:rsid w:val="004800B3"/>
    <w:rsid w:val="004801AC"/>
    <w:rsid w:val="0048075C"/>
    <w:rsid w:val="00480FD8"/>
    <w:rsid w:val="0048101F"/>
    <w:rsid w:val="0048125D"/>
    <w:rsid w:val="00481B83"/>
    <w:rsid w:val="00482011"/>
    <w:rsid w:val="004822C0"/>
    <w:rsid w:val="00482598"/>
    <w:rsid w:val="0048263C"/>
    <w:rsid w:val="00482695"/>
    <w:rsid w:val="00482816"/>
    <w:rsid w:val="004828BA"/>
    <w:rsid w:val="004832EF"/>
    <w:rsid w:val="00483692"/>
    <w:rsid w:val="004837F9"/>
    <w:rsid w:val="00483FCB"/>
    <w:rsid w:val="00484565"/>
    <w:rsid w:val="004845FD"/>
    <w:rsid w:val="004848D2"/>
    <w:rsid w:val="00484D87"/>
    <w:rsid w:val="00484F21"/>
    <w:rsid w:val="00485780"/>
    <w:rsid w:val="00485DC3"/>
    <w:rsid w:val="004866B3"/>
    <w:rsid w:val="00486A3E"/>
    <w:rsid w:val="00486CD3"/>
    <w:rsid w:val="00486DDA"/>
    <w:rsid w:val="00487592"/>
    <w:rsid w:val="00487645"/>
    <w:rsid w:val="004877E6"/>
    <w:rsid w:val="00487992"/>
    <w:rsid w:val="00487AB2"/>
    <w:rsid w:val="00487B12"/>
    <w:rsid w:val="00487C7A"/>
    <w:rsid w:val="00487D12"/>
    <w:rsid w:val="00487D18"/>
    <w:rsid w:val="00487FD4"/>
    <w:rsid w:val="0049004D"/>
    <w:rsid w:val="004903FD"/>
    <w:rsid w:val="00490458"/>
    <w:rsid w:val="0049072F"/>
    <w:rsid w:val="004910B5"/>
    <w:rsid w:val="004912F4"/>
    <w:rsid w:val="00491A16"/>
    <w:rsid w:val="00491E30"/>
    <w:rsid w:val="0049221B"/>
    <w:rsid w:val="00492D78"/>
    <w:rsid w:val="00492DFF"/>
    <w:rsid w:val="00492F74"/>
    <w:rsid w:val="004931A5"/>
    <w:rsid w:val="004931AA"/>
    <w:rsid w:val="0049328D"/>
    <w:rsid w:val="00493309"/>
    <w:rsid w:val="004934A5"/>
    <w:rsid w:val="004938C6"/>
    <w:rsid w:val="00493B27"/>
    <w:rsid w:val="00493D57"/>
    <w:rsid w:val="004942E4"/>
    <w:rsid w:val="0049488C"/>
    <w:rsid w:val="00494A81"/>
    <w:rsid w:val="00494FBB"/>
    <w:rsid w:val="004950E6"/>
    <w:rsid w:val="004959C5"/>
    <w:rsid w:val="004959CC"/>
    <w:rsid w:val="00495AD0"/>
    <w:rsid w:val="004961FE"/>
    <w:rsid w:val="004962F5"/>
    <w:rsid w:val="00496C6E"/>
    <w:rsid w:val="00496CF5"/>
    <w:rsid w:val="00496D38"/>
    <w:rsid w:val="00496F56"/>
    <w:rsid w:val="0049709E"/>
    <w:rsid w:val="004970FC"/>
    <w:rsid w:val="004A009B"/>
    <w:rsid w:val="004A0131"/>
    <w:rsid w:val="004A0437"/>
    <w:rsid w:val="004A0BD0"/>
    <w:rsid w:val="004A10D8"/>
    <w:rsid w:val="004A1378"/>
    <w:rsid w:val="004A2B0B"/>
    <w:rsid w:val="004A3161"/>
    <w:rsid w:val="004A36E3"/>
    <w:rsid w:val="004A37B4"/>
    <w:rsid w:val="004A3927"/>
    <w:rsid w:val="004A3A7C"/>
    <w:rsid w:val="004A3AA3"/>
    <w:rsid w:val="004A4D70"/>
    <w:rsid w:val="004A4F3B"/>
    <w:rsid w:val="004A5A6F"/>
    <w:rsid w:val="004A5B7D"/>
    <w:rsid w:val="004A60D5"/>
    <w:rsid w:val="004A621E"/>
    <w:rsid w:val="004A6259"/>
    <w:rsid w:val="004A62C0"/>
    <w:rsid w:val="004A6704"/>
    <w:rsid w:val="004A6B7D"/>
    <w:rsid w:val="004A702A"/>
    <w:rsid w:val="004A7473"/>
    <w:rsid w:val="004A7D2E"/>
    <w:rsid w:val="004B0332"/>
    <w:rsid w:val="004B08CD"/>
    <w:rsid w:val="004B0B99"/>
    <w:rsid w:val="004B112B"/>
    <w:rsid w:val="004B11A2"/>
    <w:rsid w:val="004B135A"/>
    <w:rsid w:val="004B14E4"/>
    <w:rsid w:val="004B1A1C"/>
    <w:rsid w:val="004B2004"/>
    <w:rsid w:val="004B2D36"/>
    <w:rsid w:val="004B2F18"/>
    <w:rsid w:val="004B3499"/>
    <w:rsid w:val="004B3D9F"/>
    <w:rsid w:val="004B4370"/>
    <w:rsid w:val="004B453D"/>
    <w:rsid w:val="004B48DF"/>
    <w:rsid w:val="004B48F1"/>
    <w:rsid w:val="004B4F4F"/>
    <w:rsid w:val="004B5260"/>
    <w:rsid w:val="004B52CE"/>
    <w:rsid w:val="004B56C8"/>
    <w:rsid w:val="004B58EE"/>
    <w:rsid w:val="004B6160"/>
    <w:rsid w:val="004B63FE"/>
    <w:rsid w:val="004B657D"/>
    <w:rsid w:val="004B67D1"/>
    <w:rsid w:val="004B6859"/>
    <w:rsid w:val="004B6879"/>
    <w:rsid w:val="004B774C"/>
    <w:rsid w:val="004C0288"/>
    <w:rsid w:val="004C03AA"/>
    <w:rsid w:val="004C04B9"/>
    <w:rsid w:val="004C0D85"/>
    <w:rsid w:val="004C0E63"/>
    <w:rsid w:val="004C1085"/>
    <w:rsid w:val="004C10CA"/>
    <w:rsid w:val="004C1194"/>
    <w:rsid w:val="004C1B0B"/>
    <w:rsid w:val="004C1DC2"/>
    <w:rsid w:val="004C21F5"/>
    <w:rsid w:val="004C22DB"/>
    <w:rsid w:val="004C2426"/>
    <w:rsid w:val="004C261B"/>
    <w:rsid w:val="004C26FE"/>
    <w:rsid w:val="004C2A0F"/>
    <w:rsid w:val="004C2E83"/>
    <w:rsid w:val="004C2EDC"/>
    <w:rsid w:val="004C30C4"/>
    <w:rsid w:val="004C3130"/>
    <w:rsid w:val="004C35FC"/>
    <w:rsid w:val="004C3AD0"/>
    <w:rsid w:val="004C3B5E"/>
    <w:rsid w:val="004C3CCE"/>
    <w:rsid w:val="004C3E1D"/>
    <w:rsid w:val="004C3E27"/>
    <w:rsid w:val="004C4827"/>
    <w:rsid w:val="004C489C"/>
    <w:rsid w:val="004C5173"/>
    <w:rsid w:val="004C5B66"/>
    <w:rsid w:val="004C5C55"/>
    <w:rsid w:val="004C5F5C"/>
    <w:rsid w:val="004C6920"/>
    <w:rsid w:val="004C6C14"/>
    <w:rsid w:val="004C6EDC"/>
    <w:rsid w:val="004C7287"/>
    <w:rsid w:val="004C7411"/>
    <w:rsid w:val="004C7499"/>
    <w:rsid w:val="004C7A6C"/>
    <w:rsid w:val="004D0011"/>
    <w:rsid w:val="004D0134"/>
    <w:rsid w:val="004D0CEC"/>
    <w:rsid w:val="004D0E1B"/>
    <w:rsid w:val="004D0FC3"/>
    <w:rsid w:val="004D10C0"/>
    <w:rsid w:val="004D142D"/>
    <w:rsid w:val="004D165D"/>
    <w:rsid w:val="004D1BFA"/>
    <w:rsid w:val="004D2003"/>
    <w:rsid w:val="004D39B2"/>
    <w:rsid w:val="004D3DFF"/>
    <w:rsid w:val="004D4611"/>
    <w:rsid w:val="004D4702"/>
    <w:rsid w:val="004D4DD3"/>
    <w:rsid w:val="004D5021"/>
    <w:rsid w:val="004D5106"/>
    <w:rsid w:val="004D53CE"/>
    <w:rsid w:val="004D57E4"/>
    <w:rsid w:val="004D60E7"/>
    <w:rsid w:val="004D6BB5"/>
    <w:rsid w:val="004D7547"/>
    <w:rsid w:val="004D7C18"/>
    <w:rsid w:val="004E0985"/>
    <w:rsid w:val="004E0B8D"/>
    <w:rsid w:val="004E196E"/>
    <w:rsid w:val="004E2622"/>
    <w:rsid w:val="004E2DDA"/>
    <w:rsid w:val="004E2F86"/>
    <w:rsid w:val="004E31EF"/>
    <w:rsid w:val="004E329A"/>
    <w:rsid w:val="004E3541"/>
    <w:rsid w:val="004E37EC"/>
    <w:rsid w:val="004E3DB1"/>
    <w:rsid w:val="004E3E38"/>
    <w:rsid w:val="004E4A38"/>
    <w:rsid w:val="004E4B31"/>
    <w:rsid w:val="004E4D40"/>
    <w:rsid w:val="004E4EB1"/>
    <w:rsid w:val="004E514B"/>
    <w:rsid w:val="004E555D"/>
    <w:rsid w:val="004E557B"/>
    <w:rsid w:val="004E5842"/>
    <w:rsid w:val="004E65D9"/>
    <w:rsid w:val="004E66B9"/>
    <w:rsid w:val="004E6C2B"/>
    <w:rsid w:val="004E75CF"/>
    <w:rsid w:val="004E7C63"/>
    <w:rsid w:val="004F039A"/>
    <w:rsid w:val="004F08F6"/>
    <w:rsid w:val="004F0AFF"/>
    <w:rsid w:val="004F0C6A"/>
    <w:rsid w:val="004F0EA4"/>
    <w:rsid w:val="004F1272"/>
    <w:rsid w:val="004F14AB"/>
    <w:rsid w:val="004F1740"/>
    <w:rsid w:val="004F1BD8"/>
    <w:rsid w:val="004F20B2"/>
    <w:rsid w:val="004F21B3"/>
    <w:rsid w:val="004F2399"/>
    <w:rsid w:val="004F2E2F"/>
    <w:rsid w:val="004F2E6E"/>
    <w:rsid w:val="004F2FE5"/>
    <w:rsid w:val="004F322D"/>
    <w:rsid w:val="004F32EC"/>
    <w:rsid w:val="004F3359"/>
    <w:rsid w:val="004F3DC1"/>
    <w:rsid w:val="004F44E5"/>
    <w:rsid w:val="004F463A"/>
    <w:rsid w:val="004F46C5"/>
    <w:rsid w:val="004F4B5B"/>
    <w:rsid w:val="004F4D75"/>
    <w:rsid w:val="004F5054"/>
    <w:rsid w:val="004F50FC"/>
    <w:rsid w:val="004F51A3"/>
    <w:rsid w:val="004F52E2"/>
    <w:rsid w:val="004F6044"/>
    <w:rsid w:val="004F6356"/>
    <w:rsid w:val="004F6492"/>
    <w:rsid w:val="004F693A"/>
    <w:rsid w:val="004F6F43"/>
    <w:rsid w:val="004F6FF3"/>
    <w:rsid w:val="004F76BF"/>
    <w:rsid w:val="004F7867"/>
    <w:rsid w:val="004F79B1"/>
    <w:rsid w:val="004F7B3F"/>
    <w:rsid w:val="004F7BFA"/>
    <w:rsid w:val="004F7FD9"/>
    <w:rsid w:val="0050024B"/>
    <w:rsid w:val="005002C8"/>
    <w:rsid w:val="005009CD"/>
    <w:rsid w:val="00500C7F"/>
    <w:rsid w:val="00500F4B"/>
    <w:rsid w:val="00501080"/>
    <w:rsid w:val="005013DA"/>
    <w:rsid w:val="0050162D"/>
    <w:rsid w:val="00501762"/>
    <w:rsid w:val="00501987"/>
    <w:rsid w:val="00502064"/>
    <w:rsid w:val="005020E2"/>
    <w:rsid w:val="00502290"/>
    <w:rsid w:val="00502820"/>
    <w:rsid w:val="005028B8"/>
    <w:rsid w:val="0050304C"/>
    <w:rsid w:val="00503257"/>
    <w:rsid w:val="00503258"/>
    <w:rsid w:val="005033E9"/>
    <w:rsid w:val="00503523"/>
    <w:rsid w:val="005035EC"/>
    <w:rsid w:val="005037D3"/>
    <w:rsid w:val="005042AC"/>
    <w:rsid w:val="0050457D"/>
    <w:rsid w:val="00504A10"/>
    <w:rsid w:val="00504A4F"/>
    <w:rsid w:val="00505BF2"/>
    <w:rsid w:val="00505FAC"/>
    <w:rsid w:val="00505FED"/>
    <w:rsid w:val="005069BE"/>
    <w:rsid w:val="005069CE"/>
    <w:rsid w:val="00506E68"/>
    <w:rsid w:val="00506FDB"/>
    <w:rsid w:val="00507DE7"/>
    <w:rsid w:val="00507E3E"/>
    <w:rsid w:val="00507E8E"/>
    <w:rsid w:val="00510731"/>
    <w:rsid w:val="00510AF3"/>
    <w:rsid w:val="00510C7E"/>
    <w:rsid w:val="00510FC6"/>
    <w:rsid w:val="00511364"/>
    <w:rsid w:val="0051188D"/>
    <w:rsid w:val="00512225"/>
    <w:rsid w:val="0051225F"/>
    <w:rsid w:val="00512745"/>
    <w:rsid w:val="00512B00"/>
    <w:rsid w:val="00512C3B"/>
    <w:rsid w:val="00512E8C"/>
    <w:rsid w:val="005131C6"/>
    <w:rsid w:val="00513861"/>
    <w:rsid w:val="005139AA"/>
    <w:rsid w:val="00513C20"/>
    <w:rsid w:val="00513CC7"/>
    <w:rsid w:val="00513D20"/>
    <w:rsid w:val="005143B5"/>
    <w:rsid w:val="00514D93"/>
    <w:rsid w:val="00514DF8"/>
    <w:rsid w:val="005150DC"/>
    <w:rsid w:val="00515B59"/>
    <w:rsid w:val="00515CB1"/>
    <w:rsid w:val="00516145"/>
    <w:rsid w:val="005163D9"/>
    <w:rsid w:val="0051688B"/>
    <w:rsid w:val="00516955"/>
    <w:rsid w:val="00516C11"/>
    <w:rsid w:val="00516F40"/>
    <w:rsid w:val="00517376"/>
    <w:rsid w:val="0051790B"/>
    <w:rsid w:val="00517A70"/>
    <w:rsid w:val="00517B85"/>
    <w:rsid w:val="00517E8C"/>
    <w:rsid w:val="005200D6"/>
    <w:rsid w:val="005200DA"/>
    <w:rsid w:val="00520934"/>
    <w:rsid w:val="00521239"/>
    <w:rsid w:val="005213F0"/>
    <w:rsid w:val="00521CF0"/>
    <w:rsid w:val="00521E95"/>
    <w:rsid w:val="00522857"/>
    <w:rsid w:val="00522BE0"/>
    <w:rsid w:val="00523619"/>
    <w:rsid w:val="00523DA6"/>
    <w:rsid w:val="00523DFE"/>
    <w:rsid w:val="00524352"/>
    <w:rsid w:val="005246F4"/>
    <w:rsid w:val="0052489F"/>
    <w:rsid w:val="0052490E"/>
    <w:rsid w:val="00525573"/>
    <w:rsid w:val="0052589F"/>
    <w:rsid w:val="00525E33"/>
    <w:rsid w:val="005260F6"/>
    <w:rsid w:val="005269B2"/>
    <w:rsid w:val="00526D0F"/>
    <w:rsid w:val="00526DC9"/>
    <w:rsid w:val="00527182"/>
    <w:rsid w:val="005273FC"/>
    <w:rsid w:val="00527AD8"/>
    <w:rsid w:val="00530008"/>
    <w:rsid w:val="00530104"/>
    <w:rsid w:val="005302D9"/>
    <w:rsid w:val="0053039B"/>
    <w:rsid w:val="00530415"/>
    <w:rsid w:val="00531657"/>
    <w:rsid w:val="00531DB7"/>
    <w:rsid w:val="0053208C"/>
    <w:rsid w:val="005322FF"/>
    <w:rsid w:val="0053238F"/>
    <w:rsid w:val="0053266E"/>
    <w:rsid w:val="0053289E"/>
    <w:rsid w:val="00532907"/>
    <w:rsid w:val="00532F33"/>
    <w:rsid w:val="00532FDE"/>
    <w:rsid w:val="005330C2"/>
    <w:rsid w:val="00533619"/>
    <w:rsid w:val="0053381B"/>
    <w:rsid w:val="005347E7"/>
    <w:rsid w:val="00534C21"/>
    <w:rsid w:val="005355FB"/>
    <w:rsid w:val="005357FF"/>
    <w:rsid w:val="00536410"/>
    <w:rsid w:val="0053681B"/>
    <w:rsid w:val="0053683E"/>
    <w:rsid w:val="0053747B"/>
    <w:rsid w:val="005374E0"/>
    <w:rsid w:val="0053772B"/>
    <w:rsid w:val="00537FD0"/>
    <w:rsid w:val="00540049"/>
    <w:rsid w:val="00540B95"/>
    <w:rsid w:val="005410E1"/>
    <w:rsid w:val="00541468"/>
    <w:rsid w:val="00541731"/>
    <w:rsid w:val="00541871"/>
    <w:rsid w:val="005419DD"/>
    <w:rsid w:val="00541BEC"/>
    <w:rsid w:val="005425A5"/>
    <w:rsid w:val="005426AA"/>
    <w:rsid w:val="00542A47"/>
    <w:rsid w:val="00542F9C"/>
    <w:rsid w:val="00543129"/>
    <w:rsid w:val="00543391"/>
    <w:rsid w:val="005433ED"/>
    <w:rsid w:val="00543A1F"/>
    <w:rsid w:val="00543E3B"/>
    <w:rsid w:val="00544428"/>
    <w:rsid w:val="00544458"/>
    <w:rsid w:val="00544469"/>
    <w:rsid w:val="00544553"/>
    <w:rsid w:val="005445CE"/>
    <w:rsid w:val="00544C8C"/>
    <w:rsid w:val="00544EE0"/>
    <w:rsid w:val="00545A65"/>
    <w:rsid w:val="00545B4D"/>
    <w:rsid w:val="00546397"/>
    <w:rsid w:val="00546461"/>
    <w:rsid w:val="00546D18"/>
    <w:rsid w:val="00546E44"/>
    <w:rsid w:val="00547150"/>
    <w:rsid w:val="005474BF"/>
    <w:rsid w:val="005479A7"/>
    <w:rsid w:val="00547ACF"/>
    <w:rsid w:val="00547BBA"/>
    <w:rsid w:val="00550384"/>
    <w:rsid w:val="005503D0"/>
    <w:rsid w:val="005508C1"/>
    <w:rsid w:val="00550BEB"/>
    <w:rsid w:val="00550D5A"/>
    <w:rsid w:val="00550E4A"/>
    <w:rsid w:val="00550FFD"/>
    <w:rsid w:val="0055132F"/>
    <w:rsid w:val="0055161E"/>
    <w:rsid w:val="005523E2"/>
    <w:rsid w:val="00552E64"/>
    <w:rsid w:val="00552EE8"/>
    <w:rsid w:val="00553505"/>
    <w:rsid w:val="00553564"/>
    <w:rsid w:val="005536BA"/>
    <w:rsid w:val="00553818"/>
    <w:rsid w:val="00553A90"/>
    <w:rsid w:val="00553F47"/>
    <w:rsid w:val="00554474"/>
    <w:rsid w:val="00554487"/>
    <w:rsid w:val="0055458E"/>
    <w:rsid w:val="005545C5"/>
    <w:rsid w:val="00554C22"/>
    <w:rsid w:val="00554CFC"/>
    <w:rsid w:val="00555C2B"/>
    <w:rsid w:val="00556154"/>
    <w:rsid w:val="005561CD"/>
    <w:rsid w:val="0055670E"/>
    <w:rsid w:val="005569DA"/>
    <w:rsid w:val="00556B55"/>
    <w:rsid w:val="00556FE6"/>
    <w:rsid w:val="00557034"/>
    <w:rsid w:val="0055779F"/>
    <w:rsid w:val="00557B4A"/>
    <w:rsid w:val="00557D33"/>
    <w:rsid w:val="00557D4A"/>
    <w:rsid w:val="00560060"/>
    <w:rsid w:val="0056026E"/>
    <w:rsid w:val="00560445"/>
    <w:rsid w:val="005604F7"/>
    <w:rsid w:val="005607CE"/>
    <w:rsid w:val="00560B6F"/>
    <w:rsid w:val="00560BD3"/>
    <w:rsid w:val="00560EF5"/>
    <w:rsid w:val="00561A9C"/>
    <w:rsid w:val="005621E0"/>
    <w:rsid w:val="005624CE"/>
    <w:rsid w:val="00562DBF"/>
    <w:rsid w:val="00563065"/>
    <w:rsid w:val="005638F8"/>
    <w:rsid w:val="005639CE"/>
    <w:rsid w:val="00563B18"/>
    <w:rsid w:val="00563B22"/>
    <w:rsid w:val="005641EA"/>
    <w:rsid w:val="0056435F"/>
    <w:rsid w:val="0056465C"/>
    <w:rsid w:val="00564703"/>
    <w:rsid w:val="005649D2"/>
    <w:rsid w:val="00564B87"/>
    <w:rsid w:val="00564C35"/>
    <w:rsid w:val="00564CDF"/>
    <w:rsid w:val="00564E3E"/>
    <w:rsid w:val="0056523C"/>
    <w:rsid w:val="00565349"/>
    <w:rsid w:val="005657E6"/>
    <w:rsid w:val="00565B7C"/>
    <w:rsid w:val="00565CC8"/>
    <w:rsid w:val="0056620C"/>
    <w:rsid w:val="005662CD"/>
    <w:rsid w:val="005665E7"/>
    <w:rsid w:val="00566801"/>
    <w:rsid w:val="005670FB"/>
    <w:rsid w:val="00567488"/>
    <w:rsid w:val="00567B85"/>
    <w:rsid w:val="0057007E"/>
    <w:rsid w:val="0057091A"/>
    <w:rsid w:val="0057094D"/>
    <w:rsid w:val="005709A5"/>
    <w:rsid w:val="00570B3F"/>
    <w:rsid w:val="00570F6B"/>
    <w:rsid w:val="00571848"/>
    <w:rsid w:val="005724A1"/>
    <w:rsid w:val="0057257A"/>
    <w:rsid w:val="00572908"/>
    <w:rsid w:val="005734DB"/>
    <w:rsid w:val="00573BB7"/>
    <w:rsid w:val="005740EE"/>
    <w:rsid w:val="0057423A"/>
    <w:rsid w:val="0057427D"/>
    <w:rsid w:val="005742EF"/>
    <w:rsid w:val="005743AA"/>
    <w:rsid w:val="00574418"/>
    <w:rsid w:val="005744F5"/>
    <w:rsid w:val="00574569"/>
    <w:rsid w:val="005749BF"/>
    <w:rsid w:val="00574ADD"/>
    <w:rsid w:val="00574BF0"/>
    <w:rsid w:val="00574D23"/>
    <w:rsid w:val="00574D75"/>
    <w:rsid w:val="00574EBE"/>
    <w:rsid w:val="00574F0D"/>
    <w:rsid w:val="00575348"/>
    <w:rsid w:val="00575860"/>
    <w:rsid w:val="00575B23"/>
    <w:rsid w:val="00575E57"/>
    <w:rsid w:val="00576DB3"/>
    <w:rsid w:val="0057708C"/>
    <w:rsid w:val="0057710E"/>
    <w:rsid w:val="0057740E"/>
    <w:rsid w:val="00577435"/>
    <w:rsid w:val="00577692"/>
    <w:rsid w:val="00577877"/>
    <w:rsid w:val="005778F8"/>
    <w:rsid w:val="00577BA2"/>
    <w:rsid w:val="00577BFD"/>
    <w:rsid w:val="00577E36"/>
    <w:rsid w:val="0058010C"/>
    <w:rsid w:val="0058013D"/>
    <w:rsid w:val="005803D8"/>
    <w:rsid w:val="005806D0"/>
    <w:rsid w:val="0058093A"/>
    <w:rsid w:val="00580B76"/>
    <w:rsid w:val="00580C01"/>
    <w:rsid w:val="00580C2F"/>
    <w:rsid w:val="00580F7E"/>
    <w:rsid w:val="00580FFF"/>
    <w:rsid w:val="005825CC"/>
    <w:rsid w:val="00582717"/>
    <w:rsid w:val="0058294E"/>
    <w:rsid w:val="00582D3B"/>
    <w:rsid w:val="00582EC5"/>
    <w:rsid w:val="00583365"/>
    <w:rsid w:val="005834C4"/>
    <w:rsid w:val="005838AD"/>
    <w:rsid w:val="00583FE3"/>
    <w:rsid w:val="005840F2"/>
    <w:rsid w:val="0058448F"/>
    <w:rsid w:val="0058450C"/>
    <w:rsid w:val="005845B8"/>
    <w:rsid w:val="005848C3"/>
    <w:rsid w:val="00584A38"/>
    <w:rsid w:val="00584B8B"/>
    <w:rsid w:val="00584DBA"/>
    <w:rsid w:val="0058515D"/>
    <w:rsid w:val="00585639"/>
    <w:rsid w:val="00585ED0"/>
    <w:rsid w:val="00585EF7"/>
    <w:rsid w:val="00585F8F"/>
    <w:rsid w:val="00586865"/>
    <w:rsid w:val="00586C91"/>
    <w:rsid w:val="00586E14"/>
    <w:rsid w:val="00587074"/>
    <w:rsid w:val="00587156"/>
    <w:rsid w:val="005873D7"/>
    <w:rsid w:val="00587550"/>
    <w:rsid w:val="00587661"/>
    <w:rsid w:val="00587A5A"/>
    <w:rsid w:val="00587C20"/>
    <w:rsid w:val="00587FDD"/>
    <w:rsid w:val="0059013B"/>
    <w:rsid w:val="005908D3"/>
    <w:rsid w:val="00590BC2"/>
    <w:rsid w:val="00590E6A"/>
    <w:rsid w:val="005911BD"/>
    <w:rsid w:val="0059188E"/>
    <w:rsid w:val="005927D0"/>
    <w:rsid w:val="00592C75"/>
    <w:rsid w:val="00593037"/>
    <w:rsid w:val="00593043"/>
    <w:rsid w:val="00593158"/>
    <w:rsid w:val="005933DE"/>
    <w:rsid w:val="005935E7"/>
    <w:rsid w:val="00593ABF"/>
    <w:rsid w:val="00593F1B"/>
    <w:rsid w:val="00594B48"/>
    <w:rsid w:val="005950A1"/>
    <w:rsid w:val="005950D9"/>
    <w:rsid w:val="0059514A"/>
    <w:rsid w:val="005952A5"/>
    <w:rsid w:val="005952E8"/>
    <w:rsid w:val="005954C6"/>
    <w:rsid w:val="005954ED"/>
    <w:rsid w:val="00595804"/>
    <w:rsid w:val="00595AE1"/>
    <w:rsid w:val="0059629A"/>
    <w:rsid w:val="005963C2"/>
    <w:rsid w:val="005965AC"/>
    <w:rsid w:val="00596886"/>
    <w:rsid w:val="00596E52"/>
    <w:rsid w:val="0059714E"/>
    <w:rsid w:val="0059744E"/>
    <w:rsid w:val="005978BD"/>
    <w:rsid w:val="00597B35"/>
    <w:rsid w:val="005A0061"/>
    <w:rsid w:val="005A00B4"/>
    <w:rsid w:val="005A02DC"/>
    <w:rsid w:val="005A0321"/>
    <w:rsid w:val="005A0357"/>
    <w:rsid w:val="005A0890"/>
    <w:rsid w:val="005A0BBE"/>
    <w:rsid w:val="005A0C5D"/>
    <w:rsid w:val="005A100D"/>
    <w:rsid w:val="005A111F"/>
    <w:rsid w:val="005A13FE"/>
    <w:rsid w:val="005A1888"/>
    <w:rsid w:val="005A1DE5"/>
    <w:rsid w:val="005A1FB1"/>
    <w:rsid w:val="005A26AE"/>
    <w:rsid w:val="005A27DC"/>
    <w:rsid w:val="005A28F0"/>
    <w:rsid w:val="005A2F72"/>
    <w:rsid w:val="005A3118"/>
    <w:rsid w:val="005A327A"/>
    <w:rsid w:val="005A32A3"/>
    <w:rsid w:val="005A414C"/>
    <w:rsid w:val="005A436F"/>
    <w:rsid w:val="005A4979"/>
    <w:rsid w:val="005A49B8"/>
    <w:rsid w:val="005A5443"/>
    <w:rsid w:val="005A5888"/>
    <w:rsid w:val="005A594D"/>
    <w:rsid w:val="005A63F3"/>
    <w:rsid w:val="005A65F5"/>
    <w:rsid w:val="005A6876"/>
    <w:rsid w:val="005A6FD5"/>
    <w:rsid w:val="005A72EA"/>
    <w:rsid w:val="005A7303"/>
    <w:rsid w:val="005A74E8"/>
    <w:rsid w:val="005A7816"/>
    <w:rsid w:val="005A7E72"/>
    <w:rsid w:val="005A7ED1"/>
    <w:rsid w:val="005B07FE"/>
    <w:rsid w:val="005B08F1"/>
    <w:rsid w:val="005B0C72"/>
    <w:rsid w:val="005B0E2E"/>
    <w:rsid w:val="005B11AA"/>
    <w:rsid w:val="005B14D1"/>
    <w:rsid w:val="005B1C49"/>
    <w:rsid w:val="005B1D7D"/>
    <w:rsid w:val="005B1EE8"/>
    <w:rsid w:val="005B2314"/>
    <w:rsid w:val="005B23C6"/>
    <w:rsid w:val="005B3353"/>
    <w:rsid w:val="005B3D6D"/>
    <w:rsid w:val="005B3F81"/>
    <w:rsid w:val="005B4284"/>
    <w:rsid w:val="005B4A4B"/>
    <w:rsid w:val="005B5389"/>
    <w:rsid w:val="005B53A9"/>
    <w:rsid w:val="005B592F"/>
    <w:rsid w:val="005B59C0"/>
    <w:rsid w:val="005B5CA8"/>
    <w:rsid w:val="005B5EAD"/>
    <w:rsid w:val="005B607D"/>
    <w:rsid w:val="005B610D"/>
    <w:rsid w:val="005B6318"/>
    <w:rsid w:val="005B67AE"/>
    <w:rsid w:val="005B6A01"/>
    <w:rsid w:val="005B6FEB"/>
    <w:rsid w:val="005B7175"/>
    <w:rsid w:val="005B7419"/>
    <w:rsid w:val="005B7608"/>
    <w:rsid w:val="005B78C8"/>
    <w:rsid w:val="005B7AC0"/>
    <w:rsid w:val="005B7C9D"/>
    <w:rsid w:val="005C02A7"/>
    <w:rsid w:val="005C03CE"/>
    <w:rsid w:val="005C07B7"/>
    <w:rsid w:val="005C0CB1"/>
    <w:rsid w:val="005C10F9"/>
    <w:rsid w:val="005C1501"/>
    <w:rsid w:val="005C1E98"/>
    <w:rsid w:val="005C2023"/>
    <w:rsid w:val="005C22B9"/>
    <w:rsid w:val="005C3310"/>
    <w:rsid w:val="005C3954"/>
    <w:rsid w:val="005C3DD4"/>
    <w:rsid w:val="005C402A"/>
    <w:rsid w:val="005C41F6"/>
    <w:rsid w:val="005C45C3"/>
    <w:rsid w:val="005C4926"/>
    <w:rsid w:val="005C4B79"/>
    <w:rsid w:val="005C4C90"/>
    <w:rsid w:val="005C4CA4"/>
    <w:rsid w:val="005C5545"/>
    <w:rsid w:val="005C56D6"/>
    <w:rsid w:val="005C5AC1"/>
    <w:rsid w:val="005C5FA1"/>
    <w:rsid w:val="005C6B71"/>
    <w:rsid w:val="005C6DE8"/>
    <w:rsid w:val="005C7272"/>
    <w:rsid w:val="005C737E"/>
    <w:rsid w:val="005C77FE"/>
    <w:rsid w:val="005C7AFF"/>
    <w:rsid w:val="005C7D4B"/>
    <w:rsid w:val="005C7FF2"/>
    <w:rsid w:val="005D000A"/>
    <w:rsid w:val="005D03DB"/>
    <w:rsid w:val="005D03FC"/>
    <w:rsid w:val="005D0449"/>
    <w:rsid w:val="005D04C4"/>
    <w:rsid w:val="005D0635"/>
    <w:rsid w:val="005D06F8"/>
    <w:rsid w:val="005D0A73"/>
    <w:rsid w:val="005D0B6D"/>
    <w:rsid w:val="005D0F07"/>
    <w:rsid w:val="005D18EA"/>
    <w:rsid w:val="005D1986"/>
    <w:rsid w:val="005D19AE"/>
    <w:rsid w:val="005D1C05"/>
    <w:rsid w:val="005D20DE"/>
    <w:rsid w:val="005D2266"/>
    <w:rsid w:val="005D22B6"/>
    <w:rsid w:val="005D271A"/>
    <w:rsid w:val="005D2894"/>
    <w:rsid w:val="005D28F8"/>
    <w:rsid w:val="005D2A97"/>
    <w:rsid w:val="005D2E68"/>
    <w:rsid w:val="005D2E96"/>
    <w:rsid w:val="005D2ECD"/>
    <w:rsid w:val="005D3414"/>
    <w:rsid w:val="005D341C"/>
    <w:rsid w:val="005D346F"/>
    <w:rsid w:val="005D3491"/>
    <w:rsid w:val="005D3954"/>
    <w:rsid w:val="005D3DD0"/>
    <w:rsid w:val="005D3E31"/>
    <w:rsid w:val="005D44E2"/>
    <w:rsid w:val="005D4A07"/>
    <w:rsid w:val="005D4E98"/>
    <w:rsid w:val="005D56A2"/>
    <w:rsid w:val="005D5C17"/>
    <w:rsid w:val="005D5EEA"/>
    <w:rsid w:val="005D6364"/>
    <w:rsid w:val="005D6AC2"/>
    <w:rsid w:val="005D72F9"/>
    <w:rsid w:val="005D7421"/>
    <w:rsid w:val="005D7613"/>
    <w:rsid w:val="005D7854"/>
    <w:rsid w:val="005D7A09"/>
    <w:rsid w:val="005D7B95"/>
    <w:rsid w:val="005E07CB"/>
    <w:rsid w:val="005E0F16"/>
    <w:rsid w:val="005E10EE"/>
    <w:rsid w:val="005E121C"/>
    <w:rsid w:val="005E1455"/>
    <w:rsid w:val="005E1680"/>
    <w:rsid w:val="005E2027"/>
    <w:rsid w:val="005E230C"/>
    <w:rsid w:val="005E24DB"/>
    <w:rsid w:val="005E335B"/>
    <w:rsid w:val="005E3959"/>
    <w:rsid w:val="005E3B6C"/>
    <w:rsid w:val="005E408F"/>
    <w:rsid w:val="005E4BA1"/>
    <w:rsid w:val="005E52A5"/>
    <w:rsid w:val="005E5E0B"/>
    <w:rsid w:val="005E6616"/>
    <w:rsid w:val="005E6A83"/>
    <w:rsid w:val="005E6F37"/>
    <w:rsid w:val="005E70F4"/>
    <w:rsid w:val="005E78EE"/>
    <w:rsid w:val="005E7B31"/>
    <w:rsid w:val="005E7CBB"/>
    <w:rsid w:val="005F006A"/>
    <w:rsid w:val="005F0418"/>
    <w:rsid w:val="005F0B35"/>
    <w:rsid w:val="005F0B5E"/>
    <w:rsid w:val="005F1526"/>
    <w:rsid w:val="005F16F8"/>
    <w:rsid w:val="005F1732"/>
    <w:rsid w:val="005F17DC"/>
    <w:rsid w:val="005F1D95"/>
    <w:rsid w:val="005F2AA1"/>
    <w:rsid w:val="005F34A5"/>
    <w:rsid w:val="005F34BB"/>
    <w:rsid w:val="005F361D"/>
    <w:rsid w:val="005F36BB"/>
    <w:rsid w:val="005F3B89"/>
    <w:rsid w:val="005F3D1E"/>
    <w:rsid w:val="005F3D43"/>
    <w:rsid w:val="005F3E2D"/>
    <w:rsid w:val="005F3EF3"/>
    <w:rsid w:val="005F44E4"/>
    <w:rsid w:val="005F451C"/>
    <w:rsid w:val="005F465F"/>
    <w:rsid w:val="005F4F11"/>
    <w:rsid w:val="005F5D5E"/>
    <w:rsid w:val="005F6650"/>
    <w:rsid w:val="005F6916"/>
    <w:rsid w:val="005F69BB"/>
    <w:rsid w:val="005F6B5C"/>
    <w:rsid w:val="005F6B94"/>
    <w:rsid w:val="005F6CC7"/>
    <w:rsid w:val="005F6D39"/>
    <w:rsid w:val="005F6D42"/>
    <w:rsid w:val="005F6D58"/>
    <w:rsid w:val="005F712B"/>
    <w:rsid w:val="005F71BE"/>
    <w:rsid w:val="005F7409"/>
    <w:rsid w:val="005F76D3"/>
    <w:rsid w:val="005F7A7E"/>
    <w:rsid w:val="005F7B89"/>
    <w:rsid w:val="00600104"/>
    <w:rsid w:val="006006EF"/>
    <w:rsid w:val="0060073A"/>
    <w:rsid w:val="00600BD5"/>
    <w:rsid w:val="00600C7B"/>
    <w:rsid w:val="00600C85"/>
    <w:rsid w:val="00601144"/>
    <w:rsid w:val="00601D82"/>
    <w:rsid w:val="00601F01"/>
    <w:rsid w:val="0060225F"/>
    <w:rsid w:val="0060232A"/>
    <w:rsid w:val="0060297A"/>
    <w:rsid w:val="00603331"/>
    <w:rsid w:val="00603878"/>
    <w:rsid w:val="00603F96"/>
    <w:rsid w:val="00604081"/>
    <w:rsid w:val="006041D2"/>
    <w:rsid w:val="006042C6"/>
    <w:rsid w:val="006042DF"/>
    <w:rsid w:val="00604588"/>
    <w:rsid w:val="006047E7"/>
    <w:rsid w:val="00604B99"/>
    <w:rsid w:val="00604DEB"/>
    <w:rsid w:val="00605312"/>
    <w:rsid w:val="0060536B"/>
    <w:rsid w:val="0060598A"/>
    <w:rsid w:val="00605AE1"/>
    <w:rsid w:val="00605D38"/>
    <w:rsid w:val="00605D3B"/>
    <w:rsid w:val="00606005"/>
    <w:rsid w:val="00606717"/>
    <w:rsid w:val="006069D2"/>
    <w:rsid w:val="00606C30"/>
    <w:rsid w:val="006070C6"/>
    <w:rsid w:val="006074B1"/>
    <w:rsid w:val="00607709"/>
    <w:rsid w:val="00610009"/>
    <w:rsid w:val="0061021E"/>
    <w:rsid w:val="00610322"/>
    <w:rsid w:val="00610736"/>
    <w:rsid w:val="006107B0"/>
    <w:rsid w:val="006107E5"/>
    <w:rsid w:val="00610A26"/>
    <w:rsid w:val="00610D0B"/>
    <w:rsid w:val="00610F68"/>
    <w:rsid w:val="00611AD9"/>
    <w:rsid w:val="00611CE3"/>
    <w:rsid w:val="00611F0C"/>
    <w:rsid w:val="00612328"/>
    <w:rsid w:val="006123B2"/>
    <w:rsid w:val="00612CDA"/>
    <w:rsid w:val="006132A8"/>
    <w:rsid w:val="00613423"/>
    <w:rsid w:val="00613761"/>
    <w:rsid w:val="00613C67"/>
    <w:rsid w:val="00613C8A"/>
    <w:rsid w:val="006144CD"/>
    <w:rsid w:val="00614720"/>
    <w:rsid w:val="0061483D"/>
    <w:rsid w:val="00614D79"/>
    <w:rsid w:val="0061523B"/>
    <w:rsid w:val="00615510"/>
    <w:rsid w:val="00615687"/>
    <w:rsid w:val="006157AD"/>
    <w:rsid w:val="006158CC"/>
    <w:rsid w:val="006162C0"/>
    <w:rsid w:val="006164BE"/>
    <w:rsid w:val="006168A5"/>
    <w:rsid w:val="00617547"/>
    <w:rsid w:val="00617A8B"/>
    <w:rsid w:val="00617C20"/>
    <w:rsid w:val="00617CC9"/>
    <w:rsid w:val="00620684"/>
    <w:rsid w:val="00620812"/>
    <w:rsid w:val="00620956"/>
    <w:rsid w:val="00620AB1"/>
    <w:rsid w:val="00620AE1"/>
    <w:rsid w:val="00620C83"/>
    <w:rsid w:val="00621669"/>
    <w:rsid w:val="00621ADB"/>
    <w:rsid w:val="00622710"/>
    <w:rsid w:val="0062278D"/>
    <w:rsid w:val="00622C81"/>
    <w:rsid w:val="00622CCC"/>
    <w:rsid w:val="00622E55"/>
    <w:rsid w:val="00622FAD"/>
    <w:rsid w:val="006235A7"/>
    <w:rsid w:val="00623693"/>
    <w:rsid w:val="00623962"/>
    <w:rsid w:val="00623C2A"/>
    <w:rsid w:val="00623CAE"/>
    <w:rsid w:val="006241EC"/>
    <w:rsid w:val="006244FA"/>
    <w:rsid w:val="00624601"/>
    <w:rsid w:val="006246A1"/>
    <w:rsid w:val="00624E2F"/>
    <w:rsid w:val="006253F8"/>
    <w:rsid w:val="00625AB9"/>
    <w:rsid w:val="00625D1A"/>
    <w:rsid w:val="00625E8A"/>
    <w:rsid w:val="00626401"/>
    <w:rsid w:val="00626965"/>
    <w:rsid w:val="006279DD"/>
    <w:rsid w:val="00627A42"/>
    <w:rsid w:val="00627F07"/>
    <w:rsid w:val="006303B8"/>
    <w:rsid w:val="00630BF9"/>
    <w:rsid w:val="006311A1"/>
    <w:rsid w:val="00631285"/>
    <w:rsid w:val="00631882"/>
    <w:rsid w:val="00632DA9"/>
    <w:rsid w:val="00632ECA"/>
    <w:rsid w:val="00633509"/>
    <w:rsid w:val="00633528"/>
    <w:rsid w:val="00633954"/>
    <w:rsid w:val="00633A9F"/>
    <w:rsid w:val="00633D76"/>
    <w:rsid w:val="00634744"/>
    <w:rsid w:val="006358B8"/>
    <w:rsid w:val="00635C2A"/>
    <w:rsid w:val="0063626B"/>
    <w:rsid w:val="0063653E"/>
    <w:rsid w:val="0063684C"/>
    <w:rsid w:val="00636BD6"/>
    <w:rsid w:val="00636D2E"/>
    <w:rsid w:val="006372DD"/>
    <w:rsid w:val="00637608"/>
    <w:rsid w:val="006378CE"/>
    <w:rsid w:val="00637932"/>
    <w:rsid w:val="00637D64"/>
    <w:rsid w:val="00640016"/>
    <w:rsid w:val="006402AE"/>
    <w:rsid w:val="00640A72"/>
    <w:rsid w:val="006413E8"/>
    <w:rsid w:val="00641550"/>
    <w:rsid w:val="00641AC4"/>
    <w:rsid w:val="00641AD7"/>
    <w:rsid w:val="006438CC"/>
    <w:rsid w:val="006439F0"/>
    <w:rsid w:val="00643B54"/>
    <w:rsid w:val="00643C5B"/>
    <w:rsid w:val="00643ED8"/>
    <w:rsid w:val="00644548"/>
    <w:rsid w:val="006445AB"/>
    <w:rsid w:val="006446D4"/>
    <w:rsid w:val="00644A6E"/>
    <w:rsid w:val="0064546B"/>
    <w:rsid w:val="00646E0A"/>
    <w:rsid w:val="00646F41"/>
    <w:rsid w:val="0064771B"/>
    <w:rsid w:val="006477AD"/>
    <w:rsid w:val="00647864"/>
    <w:rsid w:val="00647CC3"/>
    <w:rsid w:val="00647F2F"/>
    <w:rsid w:val="006502B8"/>
    <w:rsid w:val="0065049C"/>
    <w:rsid w:val="00650E42"/>
    <w:rsid w:val="00650EAB"/>
    <w:rsid w:val="006516C9"/>
    <w:rsid w:val="00651865"/>
    <w:rsid w:val="00651876"/>
    <w:rsid w:val="0065187C"/>
    <w:rsid w:val="0065195D"/>
    <w:rsid w:val="006519D8"/>
    <w:rsid w:val="00651A4F"/>
    <w:rsid w:val="00651D52"/>
    <w:rsid w:val="00652D3D"/>
    <w:rsid w:val="00652D6A"/>
    <w:rsid w:val="0065308E"/>
    <w:rsid w:val="0065351A"/>
    <w:rsid w:val="006542A8"/>
    <w:rsid w:val="0065457F"/>
    <w:rsid w:val="006547BE"/>
    <w:rsid w:val="006547C3"/>
    <w:rsid w:val="00654896"/>
    <w:rsid w:val="00654B17"/>
    <w:rsid w:val="00655A3F"/>
    <w:rsid w:val="006563BA"/>
    <w:rsid w:val="006567A2"/>
    <w:rsid w:val="0065680F"/>
    <w:rsid w:val="00656EE1"/>
    <w:rsid w:val="00657DAC"/>
    <w:rsid w:val="00657E70"/>
    <w:rsid w:val="00657FF0"/>
    <w:rsid w:val="006600BE"/>
    <w:rsid w:val="00660584"/>
    <w:rsid w:val="00660C1A"/>
    <w:rsid w:val="00660CA6"/>
    <w:rsid w:val="00661147"/>
    <w:rsid w:val="0066118F"/>
    <w:rsid w:val="0066149E"/>
    <w:rsid w:val="00661598"/>
    <w:rsid w:val="006616EC"/>
    <w:rsid w:val="00661868"/>
    <w:rsid w:val="00661D11"/>
    <w:rsid w:val="00661FBB"/>
    <w:rsid w:val="00662056"/>
    <w:rsid w:val="006627C8"/>
    <w:rsid w:val="00662914"/>
    <w:rsid w:val="00662940"/>
    <w:rsid w:val="006643C7"/>
    <w:rsid w:val="00664D01"/>
    <w:rsid w:val="00665360"/>
    <w:rsid w:val="0066548E"/>
    <w:rsid w:val="006659D3"/>
    <w:rsid w:val="00665A04"/>
    <w:rsid w:val="00665C1C"/>
    <w:rsid w:val="0066694A"/>
    <w:rsid w:val="00666984"/>
    <w:rsid w:val="006670BB"/>
    <w:rsid w:val="0066770F"/>
    <w:rsid w:val="00667DF7"/>
    <w:rsid w:val="00667E21"/>
    <w:rsid w:val="00667F46"/>
    <w:rsid w:val="00670065"/>
    <w:rsid w:val="0067048A"/>
    <w:rsid w:val="006706E3"/>
    <w:rsid w:val="00670E5D"/>
    <w:rsid w:val="006710E5"/>
    <w:rsid w:val="006711B2"/>
    <w:rsid w:val="006715D8"/>
    <w:rsid w:val="00671784"/>
    <w:rsid w:val="00671FE0"/>
    <w:rsid w:val="00672759"/>
    <w:rsid w:val="00672E75"/>
    <w:rsid w:val="00673204"/>
    <w:rsid w:val="0067392C"/>
    <w:rsid w:val="00673A69"/>
    <w:rsid w:val="00673B61"/>
    <w:rsid w:val="00674E51"/>
    <w:rsid w:val="00675149"/>
    <w:rsid w:val="0067582E"/>
    <w:rsid w:val="006759DD"/>
    <w:rsid w:val="00675C4B"/>
    <w:rsid w:val="006761E2"/>
    <w:rsid w:val="0067669A"/>
    <w:rsid w:val="006766C1"/>
    <w:rsid w:val="0067687A"/>
    <w:rsid w:val="006768E2"/>
    <w:rsid w:val="00676BBC"/>
    <w:rsid w:val="00676C8D"/>
    <w:rsid w:val="006772CD"/>
    <w:rsid w:val="00677B0D"/>
    <w:rsid w:val="00677B58"/>
    <w:rsid w:val="00677E57"/>
    <w:rsid w:val="0068016E"/>
    <w:rsid w:val="0068060A"/>
    <w:rsid w:val="006806E8"/>
    <w:rsid w:val="0068076F"/>
    <w:rsid w:val="00680864"/>
    <w:rsid w:val="006808CF"/>
    <w:rsid w:val="00680B04"/>
    <w:rsid w:val="00681249"/>
    <w:rsid w:val="006816CC"/>
    <w:rsid w:val="00681B00"/>
    <w:rsid w:val="00681CD1"/>
    <w:rsid w:val="0068209A"/>
    <w:rsid w:val="00682328"/>
    <w:rsid w:val="0068280C"/>
    <w:rsid w:val="00682B12"/>
    <w:rsid w:val="00682B2C"/>
    <w:rsid w:val="00682EDE"/>
    <w:rsid w:val="00682F75"/>
    <w:rsid w:val="006830DB"/>
    <w:rsid w:val="00683BDE"/>
    <w:rsid w:val="00684D85"/>
    <w:rsid w:val="00685B2D"/>
    <w:rsid w:val="00685CEF"/>
    <w:rsid w:val="006860C1"/>
    <w:rsid w:val="00686218"/>
    <w:rsid w:val="0068645A"/>
    <w:rsid w:val="00686F9B"/>
    <w:rsid w:val="00687C32"/>
    <w:rsid w:val="00687E91"/>
    <w:rsid w:val="0069011B"/>
    <w:rsid w:val="0069044C"/>
    <w:rsid w:val="0069050F"/>
    <w:rsid w:val="006905EF"/>
    <w:rsid w:val="00690AAF"/>
    <w:rsid w:val="00690EFA"/>
    <w:rsid w:val="006913DE"/>
    <w:rsid w:val="00691DF8"/>
    <w:rsid w:val="006926D4"/>
    <w:rsid w:val="006928A2"/>
    <w:rsid w:val="0069291F"/>
    <w:rsid w:val="00692DB1"/>
    <w:rsid w:val="0069300B"/>
    <w:rsid w:val="00693061"/>
    <w:rsid w:val="006933D1"/>
    <w:rsid w:val="00693491"/>
    <w:rsid w:val="0069427A"/>
    <w:rsid w:val="006942E8"/>
    <w:rsid w:val="0069463E"/>
    <w:rsid w:val="00694A85"/>
    <w:rsid w:val="00694C29"/>
    <w:rsid w:val="00694D99"/>
    <w:rsid w:val="00694F43"/>
    <w:rsid w:val="0069505A"/>
    <w:rsid w:val="0069516B"/>
    <w:rsid w:val="00695185"/>
    <w:rsid w:val="00695740"/>
    <w:rsid w:val="00695B35"/>
    <w:rsid w:val="00695C3E"/>
    <w:rsid w:val="006961B9"/>
    <w:rsid w:val="006962A6"/>
    <w:rsid w:val="0069643E"/>
    <w:rsid w:val="00696651"/>
    <w:rsid w:val="006967B7"/>
    <w:rsid w:val="00696A4C"/>
    <w:rsid w:val="00697028"/>
    <w:rsid w:val="00697371"/>
    <w:rsid w:val="00697544"/>
    <w:rsid w:val="00697783"/>
    <w:rsid w:val="00697CA6"/>
    <w:rsid w:val="00697D18"/>
    <w:rsid w:val="006A0D47"/>
    <w:rsid w:val="006A0E2A"/>
    <w:rsid w:val="006A162E"/>
    <w:rsid w:val="006A17F0"/>
    <w:rsid w:val="006A1862"/>
    <w:rsid w:val="006A1B6B"/>
    <w:rsid w:val="006A2260"/>
    <w:rsid w:val="006A27B0"/>
    <w:rsid w:val="006A2CCD"/>
    <w:rsid w:val="006A2EB6"/>
    <w:rsid w:val="006A3502"/>
    <w:rsid w:val="006A3779"/>
    <w:rsid w:val="006A3DDD"/>
    <w:rsid w:val="006A3FE0"/>
    <w:rsid w:val="006A4097"/>
    <w:rsid w:val="006A45B2"/>
    <w:rsid w:val="006A46EA"/>
    <w:rsid w:val="006A4760"/>
    <w:rsid w:val="006A4B29"/>
    <w:rsid w:val="006A4EA1"/>
    <w:rsid w:val="006A524B"/>
    <w:rsid w:val="006A5495"/>
    <w:rsid w:val="006A5511"/>
    <w:rsid w:val="006A635B"/>
    <w:rsid w:val="006A6434"/>
    <w:rsid w:val="006A6E14"/>
    <w:rsid w:val="006A73CA"/>
    <w:rsid w:val="006A761B"/>
    <w:rsid w:val="006A7688"/>
    <w:rsid w:val="006B009E"/>
    <w:rsid w:val="006B05F2"/>
    <w:rsid w:val="006B1CB9"/>
    <w:rsid w:val="006B24E4"/>
    <w:rsid w:val="006B2AD7"/>
    <w:rsid w:val="006B386B"/>
    <w:rsid w:val="006B39CF"/>
    <w:rsid w:val="006B4636"/>
    <w:rsid w:val="006B466A"/>
    <w:rsid w:val="006B4758"/>
    <w:rsid w:val="006B4BEC"/>
    <w:rsid w:val="006B4E61"/>
    <w:rsid w:val="006B51ED"/>
    <w:rsid w:val="006B53A4"/>
    <w:rsid w:val="006B5637"/>
    <w:rsid w:val="006B5707"/>
    <w:rsid w:val="006B57C3"/>
    <w:rsid w:val="006B57F7"/>
    <w:rsid w:val="006B57FF"/>
    <w:rsid w:val="006B59A5"/>
    <w:rsid w:val="006B5DD2"/>
    <w:rsid w:val="006B65F4"/>
    <w:rsid w:val="006B6A21"/>
    <w:rsid w:val="006B6B47"/>
    <w:rsid w:val="006B6CE4"/>
    <w:rsid w:val="006B7061"/>
    <w:rsid w:val="006B71F7"/>
    <w:rsid w:val="006B7757"/>
    <w:rsid w:val="006B7914"/>
    <w:rsid w:val="006B7AC0"/>
    <w:rsid w:val="006C0421"/>
    <w:rsid w:val="006C04B6"/>
    <w:rsid w:val="006C0517"/>
    <w:rsid w:val="006C0680"/>
    <w:rsid w:val="006C089F"/>
    <w:rsid w:val="006C0EF6"/>
    <w:rsid w:val="006C0FDA"/>
    <w:rsid w:val="006C1060"/>
    <w:rsid w:val="006C1133"/>
    <w:rsid w:val="006C120E"/>
    <w:rsid w:val="006C14EC"/>
    <w:rsid w:val="006C150C"/>
    <w:rsid w:val="006C17B0"/>
    <w:rsid w:val="006C1F09"/>
    <w:rsid w:val="006C236F"/>
    <w:rsid w:val="006C2427"/>
    <w:rsid w:val="006C2568"/>
    <w:rsid w:val="006C2765"/>
    <w:rsid w:val="006C2813"/>
    <w:rsid w:val="006C28C3"/>
    <w:rsid w:val="006C2B7F"/>
    <w:rsid w:val="006C36FC"/>
    <w:rsid w:val="006C38FD"/>
    <w:rsid w:val="006C4A70"/>
    <w:rsid w:val="006C4B55"/>
    <w:rsid w:val="006C5064"/>
    <w:rsid w:val="006C5336"/>
    <w:rsid w:val="006C5475"/>
    <w:rsid w:val="006C5B0B"/>
    <w:rsid w:val="006C5B95"/>
    <w:rsid w:val="006C6448"/>
    <w:rsid w:val="006C6774"/>
    <w:rsid w:val="006C6A0D"/>
    <w:rsid w:val="006C6E67"/>
    <w:rsid w:val="006C7265"/>
    <w:rsid w:val="006C7396"/>
    <w:rsid w:val="006C7398"/>
    <w:rsid w:val="006C7B3A"/>
    <w:rsid w:val="006C7D5C"/>
    <w:rsid w:val="006D0D5D"/>
    <w:rsid w:val="006D10D9"/>
    <w:rsid w:val="006D12C6"/>
    <w:rsid w:val="006D12F0"/>
    <w:rsid w:val="006D1906"/>
    <w:rsid w:val="006D190A"/>
    <w:rsid w:val="006D1D60"/>
    <w:rsid w:val="006D1DC1"/>
    <w:rsid w:val="006D202B"/>
    <w:rsid w:val="006D237D"/>
    <w:rsid w:val="006D252A"/>
    <w:rsid w:val="006D25A4"/>
    <w:rsid w:val="006D2B47"/>
    <w:rsid w:val="006D2BBF"/>
    <w:rsid w:val="006D32BF"/>
    <w:rsid w:val="006D3B47"/>
    <w:rsid w:val="006D3B7E"/>
    <w:rsid w:val="006D3CE1"/>
    <w:rsid w:val="006D3F5D"/>
    <w:rsid w:val="006D48A1"/>
    <w:rsid w:val="006D4D35"/>
    <w:rsid w:val="006D4D6A"/>
    <w:rsid w:val="006D50A6"/>
    <w:rsid w:val="006D5981"/>
    <w:rsid w:val="006D5A53"/>
    <w:rsid w:val="006D5CF2"/>
    <w:rsid w:val="006D5F90"/>
    <w:rsid w:val="006D6404"/>
    <w:rsid w:val="006D6654"/>
    <w:rsid w:val="006D68CD"/>
    <w:rsid w:val="006D6911"/>
    <w:rsid w:val="006D6A0B"/>
    <w:rsid w:val="006D6BD7"/>
    <w:rsid w:val="006D6DCE"/>
    <w:rsid w:val="006E0215"/>
    <w:rsid w:val="006E03A2"/>
    <w:rsid w:val="006E03CC"/>
    <w:rsid w:val="006E0996"/>
    <w:rsid w:val="006E0DFD"/>
    <w:rsid w:val="006E0F79"/>
    <w:rsid w:val="006E0FB1"/>
    <w:rsid w:val="006E106E"/>
    <w:rsid w:val="006E132D"/>
    <w:rsid w:val="006E182C"/>
    <w:rsid w:val="006E1A05"/>
    <w:rsid w:val="006E1F13"/>
    <w:rsid w:val="006E2313"/>
    <w:rsid w:val="006E260B"/>
    <w:rsid w:val="006E27E7"/>
    <w:rsid w:val="006E2969"/>
    <w:rsid w:val="006E2B20"/>
    <w:rsid w:val="006E31EB"/>
    <w:rsid w:val="006E33BB"/>
    <w:rsid w:val="006E33D8"/>
    <w:rsid w:val="006E34D6"/>
    <w:rsid w:val="006E3D5D"/>
    <w:rsid w:val="006E3E2B"/>
    <w:rsid w:val="006E43C7"/>
    <w:rsid w:val="006E464C"/>
    <w:rsid w:val="006E4AB5"/>
    <w:rsid w:val="006E4E92"/>
    <w:rsid w:val="006E4F4A"/>
    <w:rsid w:val="006E50B2"/>
    <w:rsid w:val="006E557D"/>
    <w:rsid w:val="006E5C3F"/>
    <w:rsid w:val="006E5D9A"/>
    <w:rsid w:val="006E6493"/>
    <w:rsid w:val="006E64F8"/>
    <w:rsid w:val="006E65CA"/>
    <w:rsid w:val="006E6B94"/>
    <w:rsid w:val="006E7317"/>
    <w:rsid w:val="006E7606"/>
    <w:rsid w:val="006E7BE0"/>
    <w:rsid w:val="006E7C90"/>
    <w:rsid w:val="006E7CF3"/>
    <w:rsid w:val="006F1166"/>
    <w:rsid w:val="006F1188"/>
    <w:rsid w:val="006F11CC"/>
    <w:rsid w:val="006F1E91"/>
    <w:rsid w:val="006F2082"/>
    <w:rsid w:val="006F2868"/>
    <w:rsid w:val="006F2A34"/>
    <w:rsid w:val="006F2C43"/>
    <w:rsid w:val="006F3191"/>
    <w:rsid w:val="006F3269"/>
    <w:rsid w:val="006F430E"/>
    <w:rsid w:val="006F4877"/>
    <w:rsid w:val="006F4881"/>
    <w:rsid w:val="006F498B"/>
    <w:rsid w:val="006F4A25"/>
    <w:rsid w:val="006F4D63"/>
    <w:rsid w:val="006F5106"/>
    <w:rsid w:val="006F5EFA"/>
    <w:rsid w:val="006F606B"/>
    <w:rsid w:val="006F61C4"/>
    <w:rsid w:val="006F6493"/>
    <w:rsid w:val="006F6811"/>
    <w:rsid w:val="006F6847"/>
    <w:rsid w:val="006F6C89"/>
    <w:rsid w:val="006F7212"/>
    <w:rsid w:val="006F7436"/>
    <w:rsid w:val="006F7473"/>
    <w:rsid w:val="006F7E23"/>
    <w:rsid w:val="006F7E7E"/>
    <w:rsid w:val="007000ED"/>
    <w:rsid w:val="007003B2"/>
    <w:rsid w:val="0070093E"/>
    <w:rsid w:val="00700994"/>
    <w:rsid w:val="0070138E"/>
    <w:rsid w:val="007016B4"/>
    <w:rsid w:val="007016B8"/>
    <w:rsid w:val="00701831"/>
    <w:rsid w:val="007018E2"/>
    <w:rsid w:val="0070204D"/>
    <w:rsid w:val="007024A4"/>
    <w:rsid w:val="00702582"/>
    <w:rsid w:val="00702A2E"/>
    <w:rsid w:val="00702B1C"/>
    <w:rsid w:val="00702EBF"/>
    <w:rsid w:val="00703DB7"/>
    <w:rsid w:val="00703EAE"/>
    <w:rsid w:val="00704199"/>
    <w:rsid w:val="0070430E"/>
    <w:rsid w:val="007049F9"/>
    <w:rsid w:val="00704BBD"/>
    <w:rsid w:val="0070520F"/>
    <w:rsid w:val="0070536B"/>
    <w:rsid w:val="00705420"/>
    <w:rsid w:val="007054A2"/>
    <w:rsid w:val="0070588A"/>
    <w:rsid w:val="00705B26"/>
    <w:rsid w:val="007060F5"/>
    <w:rsid w:val="007062BF"/>
    <w:rsid w:val="00706D55"/>
    <w:rsid w:val="007077BA"/>
    <w:rsid w:val="00707A24"/>
    <w:rsid w:val="007107C6"/>
    <w:rsid w:val="00710BAD"/>
    <w:rsid w:val="00710E09"/>
    <w:rsid w:val="007119F9"/>
    <w:rsid w:val="007123C2"/>
    <w:rsid w:val="00712558"/>
    <w:rsid w:val="00712C56"/>
    <w:rsid w:val="00712F50"/>
    <w:rsid w:val="00713449"/>
    <w:rsid w:val="00713498"/>
    <w:rsid w:val="0071365D"/>
    <w:rsid w:val="007139F8"/>
    <w:rsid w:val="00714097"/>
    <w:rsid w:val="007143E6"/>
    <w:rsid w:val="007143E8"/>
    <w:rsid w:val="00714658"/>
    <w:rsid w:val="007147A4"/>
    <w:rsid w:val="00715171"/>
    <w:rsid w:val="007151D5"/>
    <w:rsid w:val="007155AA"/>
    <w:rsid w:val="007156EB"/>
    <w:rsid w:val="007159B3"/>
    <w:rsid w:val="00715BE3"/>
    <w:rsid w:val="00715F2C"/>
    <w:rsid w:val="00715F8C"/>
    <w:rsid w:val="00716914"/>
    <w:rsid w:val="00716998"/>
    <w:rsid w:val="0071699B"/>
    <w:rsid w:val="00716A31"/>
    <w:rsid w:val="00716BD1"/>
    <w:rsid w:val="0071720D"/>
    <w:rsid w:val="00717272"/>
    <w:rsid w:val="007176BD"/>
    <w:rsid w:val="00717C80"/>
    <w:rsid w:val="0072028F"/>
    <w:rsid w:val="00720C4E"/>
    <w:rsid w:val="00720D40"/>
    <w:rsid w:val="007214F3"/>
    <w:rsid w:val="0072212A"/>
    <w:rsid w:val="0072278B"/>
    <w:rsid w:val="007227BE"/>
    <w:rsid w:val="00723351"/>
    <w:rsid w:val="00723BC5"/>
    <w:rsid w:val="00723C31"/>
    <w:rsid w:val="00724257"/>
    <w:rsid w:val="00724565"/>
    <w:rsid w:val="007247D7"/>
    <w:rsid w:val="00724EAF"/>
    <w:rsid w:val="0072515D"/>
    <w:rsid w:val="00725212"/>
    <w:rsid w:val="007252D8"/>
    <w:rsid w:val="00725312"/>
    <w:rsid w:val="00725702"/>
    <w:rsid w:val="007264E3"/>
    <w:rsid w:val="007265FA"/>
    <w:rsid w:val="00726850"/>
    <w:rsid w:val="00726935"/>
    <w:rsid w:val="00726E36"/>
    <w:rsid w:val="007270C4"/>
    <w:rsid w:val="007275F1"/>
    <w:rsid w:val="00727758"/>
    <w:rsid w:val="00727A14"/>
    <w:rsid w:val="007303B4"/>
    <w:rsid w:val="00732026"/>
    <w:rsid w:val="0073218F"/>
    <w:rsid w:val="00732210"/>
    <w:rsid w:val="00732387"/>
    <w:rsid w:val="007324AC"/>
    <w:rsid w:val="00732519"/>
    <w:rsid w:val="00732914"/>
    <w:rsid w:val="00732966"/>
    <w:rsid w:val="00732982"/>
    <w:rsid w:val="00732C21"/>
    <w:rsid w:val="00733063"/>
    <w:rsid w:val="00733085"/>
    <w:rsid w:val="007331D6"/>
    <w:rsid w:val="007334C8"/>
    <w:rsid w:val="00733954"/>
    <w:rsid w:val="0073397E"/>
    <w:rsid w:val="00733BD4"/>
    <w:rsid w:val="00733CA1"/>
    <w:rsid w:val="007340A1"/>
    <w:rsid w:val="007342C9"/>
    <w:rsid w:val="00734389"/>
    <w:rsid w:val="007344BF"/>
    <w:rsid w:val="0073471E"/>
    <w:rsid w:val="0073498F"/>
    <w:rsid w:val="00734D1E"/>
    <w:rsid w:val="0073530E"/>
    <w:rsid w:val="00735591"/>
    <w:rsid w:val="00735A16"/>
    <w:rsid w:val="00735C4E"/>
    <w:rsid w:val="00735C9E"/>
    <w:rsid w:val="00735D63"/>
    <w:rsid w:val="00735D81"/>
    <w:rsid w:val="00735DD5"/>
    <w:rsid w:val="00735F2D"/>
    <w:rsid w:val="00736603"/>
    <w:rsid w:val="00736AB2"/>
    <w:rsid w:val="00736DCA"/>
    <w:rsid w:val="00736F55"/>
    <w:rsid w:val="00737204"/>
    <w:rsid w:val="007373FA"/>
    <w:rsid w:val="007376CE"/>
    <w:rsid w:val="007376FB"/>
    <w:rsid w:val="00737E4F"/>
    <w:rsid w:val="00740669"/>
    <w:rsid w:val="00740D36"/>
    <w:rsid w:val="00741797"/>
    <w:rsid w:val="007418AB"/>
    <w:rsid w:val="007418E5"/>
    <w:rsid w:val="00741AF4"/>
    <w:rsid w:val="00741C90"/>
    <w:rsid w:val="0074200D"/>
    <w:rsid w:val="00742067"/>
    <w:rsid w:val="0074271B"/>
    <w:rsid w:val="00742A82"/>
    <w:rsid w:val="00742F9E"/>
    <w:rsid w:val="0074307B"/>
    <w:rsid w:val="00743469"/>
    <w:rsid w:val="00743883"/>
    <w:rsid w:val="007438C9"/>
    <w:rsid w:val="007438D4"/>
    <w:rsid w:val="00743A37"/>
    <w:rsid w:val="0074453C"/>
    <w:rsid w:val="007447C8"/>
    <w:rsid w:val="007448DD"/>
    <w:rsid w:val="00744D63"/>
    <w:rsid w:val="00744F85"/>
    <w:rsid w:val="0074559E"/>
    <w:rsid w:val="00745749"/>
    <w:rsid w:val="007458E2"/>
    <w:rsid w:val="007459FC"/>
    <w:rsid w:val="00745F19"/>
    <w:rsid w:val="007463C2"/>
    <w:rsid w:val="00746D19"/>
    <w:rsid w:val="00746DFF"/>
    <w:rsid w:val="0074720E"/>
    <w:rsid w:val="00747843"/>
    <w:rsid w:val="00747FA7"/>
    <w:rsid w:val="0075031E"/>
    <w:rsid w:val="007508C3"/>
    <w:rsid w:val="00750BE4"/>
    <w:rsid w:val="00750F81"/>
    <w:rsid w:val="00751828"/>
    <w:rsid w:val="0075185A"/>
    <w:rsid w:val="007520BF"/>
    <w:rsid w:val="007520F9"/>
    <w:rsid w:val="0075212A"/>
    <w:rsid w:val="00752418"/>
    <w:rsid w:val="00752BCB"/>
    <w:rsid w:val="0075321C"/>
    <w:rsid w:val="0075326D"/>
    <w:rsid w:val="0075332A"/>
    <w:rsid w:val="0075378A"/>
    <w:rsid w:val="00754322"/>
    <w:rsid w:val="0075448C"/>
    <w:rsid w:val="0075448F"/>
    <w:rsid w:val="00754506"/>
    <w:rsid w:val="0075474D"/>
    <w:rsid w:val="007548B1"/>
    <w:rsid w:val="00754D7D"/>
    <w:rsid w:val="00754DE7"/>
    <w:rsid w:val="007559D8"/>
    <w:rsid w:val="00755DF8"/>
    <w:rsid w:val="0075605E"/>
    <w:rsid w:val="007560B5"/>
    <w:rsid w:val="007561A2"/>
    <w:rsid w:val="00756553"/>
    <w:rsid w:val="00756FEF"/>
    <w:rsid w:val="00757128"/>
    <w:rsid w:val="007577D1"/>
    <w:rsid w:val="00757B04"/>
    <w:rsid w:val="00757C29"/>
    <w:rsid w:val="00757DFB"/>
    <w:rsid w:val="00757E79"/>
    <w:rsid w:val="007600C8"/>
    <w:rsid w:val="0076098D"/>
    <w:rsid w:val="00760BA0"/>
    <w:rsid w:val="00760CC9"/>
    <w:rsid w:val="007611BD"/>
    <w:rsid w:val="00761294"/>
    <w:rsid w:val="00761A23"/>
    <w:rsid w:val="007623DC"/>
    <w:rsid w:val="007626F0"/>
    <w:rsid w:val="00762B14"/>
    <w:rsid w:val="00762BD5"/>
    <w:rsid w:val="00762C85"/>
    <w:rsid w:val="00762D9A"/>
    <w:rsid w:val="00762FB2"/>
    <w:rsid w:val="007635BF"/>
    <w:rsid w:val="007636E2"/>
    <w:rsid w:val="0076378C"/>
    <w:rsid w:val="00763AC5"/>
    <w:rsid w:val="00764374"/>
    <w:rsid w:val="00764859"/>
    <w:rsid w:val="007649E6"/>
    <w:rsid w:val="00764A15"/>
    <w:rsid w:val="00765307"/>
    <w:rsid w:val="007657B4"/>
    <w:rsid w:val="00765DBB"/>
    <w:rsid w:val="00766685"/>
    <w:rsid w:val="00766B63"/>
    <w:rsid w:val="00766FB4"/>
    <w:rsid w:val="0076711D"/>
    <w:rsid w:val="0076726D"/>
    <w:rsid w:val="007676B0"/>
    <w:rsid w:val="0076790E"/>
    <w:rsid w:val="00770395"/>
    <w:rsid w:val="007704DE"/>
    <w:rsid w:val="00770916"/>
    <w:rsid w:val="007709C2"/>
    <w:rsid w:val="00770A1D"/>
    <w:rsid w:val="00770A8C"/>
    <w:rsid w:val="00770BD2"/>
    <w:rsid w:val="00770E79"/>
    <w:rsid w:val="00771336"/>
    <w:rsid w:val="007719AC"/>
    <w:rsid w:val="00771AA9"/>
    <w:rsid w:val="00771B45"/>
    <w:rsid w:val="00771BA6"/>
    <w:rsid w:val="00771C71"/>
    <w:rsid w:val="00772398"/>
    <w:rsid w:val="00772B2A"/>
    <w:rsid w:val="00772F06"/>
    <w:rsid w:val="0077321B"/>
    <w:rsid w:val="007734F2"/>
    <w:rsid w:val="00773804"/>
    <w:rsid w:val="00773C48"/>
    <w:rsid w:val="00773EA4"/>
    <w:rsid w:val="00773EC6"/>
    <w:rsid w:val="007745A5"/>
    <w:rsid w:val="00774AAB"/>
    <w:rsid w:val="007750AC"/>
    <w:rsid w:val="00775222"/>
    <w:rsid w:val="0077555B"/>
    <w:rsid w:val="0077576B"/>
    <w:rsid w:val="00776096"/>
    <w:rsid w:val="0077628F"/>
    <w:rsid w:val="00777176"/>
    <w:rsid w:val="007800D9"/>
    <w:rsid w:val="00780778"/>
    <w:rsid w:val="007808C3"/>
    <w:rsid w:val="007808E9"/>
    <w:rsid w:val="00780AD8"/>
    <w:rsid w:val="00781393"/>
    <w:rsid w:val="0078151F"/>
    <w:rsid w:val="0078177C"/>
    <w:rsid w:val="00781892"/>
    <w:rsid w:val="00781A54"/>
    <w:rsid w:val="00782B07"/>
    <w:rsid w:val="00782D88"/>
    <w:rsid w:val="00782E33"/>
    <w:rsid w:val="00782FA9"/>
    <w:rsid w:val="007831C8"/>
    <w:rsid w:val="007832A5"/>
    <w:rsid w:val="00783384"/>
    <w:rsid w:val="007833D4"/>
    <w:rsid w:val="0078377E"/>
    <w:rsid w:val="007837B7"/>
    <w:rsid w:val="00783881"/>
    <w:rsid w:val="0078455D"/>
    <w:rsid w:val="00784E3E"/>
    <w:rsid w:val="00784E66"/>
    <w:rsid w:val="007854D7"/>
    <w:rsid w:val="00785603"/>
    <w:rsid w:val="007857B8"/>
    <w:rsid w:val="007859DF"/>
    <w:rsid w:val="00785B2D"/>
    <w:rsid w:val="00785C41"/>
    <w:rsid w:val="0078639A"/>
    <w:rsid w:val="0078678E"/>
    <w:rsid w:val="00786D3C"/>
    <w:rsid w:val="00787099"/>
    <w:rsid w:val="0078720D"/>
    <w:rsid w:val="0078745D"/>
    <w:rsid w:val="0078749F"/>
    <w:rsid w:val="007876F8"/>
    <w:rsid w:val="00787715"/>
    <w:rsid w:val="007878D3"/>
    <w:rsid w:val="007878FE"/>
    <w:rsid w:val="007902B5"/>
    <w:rsid w:val="00790414"/>
    <w:rsid w:val="0079045E"/>
    <w:rsid w:val="00790AB2"/>
    <w:rsid w:val="00790CC7"/>
    <w:rsid w:val="00790FC5"/>
    <w:rsid w:val="0079146B"/>
    <w:rsid w:val="007914E2"/>
    <w:rsid w:val="00791686"/>
    <w:rsid w:val="0079171B"/>
    <w:rsid w:val="007918AD"/>
    <w:rsid w:val="00791ACB"/>
    <w:rsid w:val="00791B7E"/>
    <w:rsid w:val="00791D0C"/>
    <w:rsid w:val="00792177"/>
    <w:rsid w:val="00792F89"/>
    <w:rsid w:val="0079303A"/>
    <w:rsid w:val="007932ED"/>
    <w:rsid w:val="00793A16"/>
    <w:rsid w:val="00793B10"/>
    <w:rsid w:val="00794313"/>
    <w:rsid w:val="007943C8"/>
    <w:rsid w:val="007944DB"/>
    <w:rsid w:val="00794658"/>
    <w:rsid w:val="0079471C"/>
    <w:rsid w:val="007950FF"/>
    <w:rsid w:val="0079513D"/>
    <w:rsid w:val="007954F2"/>
    <w:rsid w:val="00795614"/>
    <w:rsid w:val="00795A2E"/>
    <w:rsid w:val="00796035"/>
    <w:rsid w:val="007961D7"/>
    <w:rsid w:val="007963C9"/>
    <w:rsid w:val="00796AA5"/>
    <w:rsid w:val="00796ADD"/>
    <w:rsid w:val="00796BF9"/>
    <w:rsid w:val="00796C48"/>
    <w:rsid w:val="00796D3C"/>
    <w:rsid w:val="007970EF"/>
    <w:rsid w:val="007973AA"/>
    <w:rsid w:val="0079751E"/>
    <w:rsid w:val="00797587"/>
    <w:rsid w:val="00797A87"/>
    <w:rsid w:val="00797C32"/>
    <w:rsid w:val="007A08D2"/>
    <w:rsid w:val="007A0F1C"/>
    <w:rsid w:val="007A0FEE"/>
    <w:rsid w:val="007A12D5"/>
    <w:rsid w:val="007A162F"/>
    <w:rsid w:val="007A1B38"/>
    <w:rsid w:val="007A1D6A"/>
    <w:rsid w:val="007A1D7D"/>
    <w:rsid w:val="007A1ECB"/>
    <w:rsid w:val="007A2102"/>
    <w:rsid w:val="007A2384"/>
    <w:rsid w:val="007A2B8D"/>
    <w:rsid w:val="007A32E8"/>
    <w:rsid w:val="007A3912"/>
    <w:rsid w:val="007A3BBA"/>
    <w:rsid w:val="007A3D9A"/>
    <w:rsid w:val="007A4261"/>
    <w:rsid w:val="007A42E1"/>
    <w:rsid w:val="007A4D3B"/>
    <w:rsid w:val="007A4D6E"/>
    <w:rsid w:val="007A571F"/>
    <w:rsid w:val="007A588A"/>
    <w:rsid w:val="007A59C4"/>
    <w:rsid w:val="007A59EC"/>
    <w:rsid w:val="007A5BA3"/>
    <w:rsid w:val="007A5ED7"/>
    <w:rsid w:val="007A5FD3"/>
    <w:rsid w:val="007A62AB"/>
    <w:rsid w:val="007A6A20"/>
    <w:rsid w:val="007A6FC2"/>
    <w:rsid w:val="007A6FE8"/>
    <w:rsid w:val="007A74DF"/>
    <w:rsid w:val="007A7A64"/>
    <w:rsid w:val="007A7BE1"/>
    <w:rsid w:val="007B077A"/>
    <w:rsid w:val="007B0CE3"/>
    <w:rsid w:val="007B0F49"/>
    <w:rsid w:val="007B1038"/>
    <w:rsid w:val="007B1BC6"/>
    <w:rsid w:val="007B242C"/>
    <w:rsid w:val="007B251A"/>
    <w:rsid w:val="007B2781"/>
    <w:rsid w:val="007B281F"/>
    <w:rsid w:val="007B2882"/>
    <w:rsid w:val="007B2A75"/>
    <w:rsid w:val="007B2BDF"/>
    <w:rsid w:val="007B2CEF"/>
    <w:rsid w:val="007B2F9F"/>
    <w:rsid w:val="007B32B5"/>
    <w:rsid w:val="007B4261"/>
    <w:rsid w:val="007B436F"/>
    <w:rsid w:val="007B48D3"/>
    <w:rsid w:val="007B4C0D"/>
    <w:rsid w:val="007B50CD"/>
    <w:rsid w:val="007B58E0"/>
    <w:rsid w:val="007B5B74"/>
    <w:rsid w:val="007B60D3"/>
    <w:rsid w:val="007B645C"/>
    <w:rsid w:val="007B68DE"/>
    <w:rsid w:val="007B69D6"/>
    <w:rsid w:val="007B76C9"/>
    <w:rsid w:val="007B7791"/>
    <w:rsid w:val="007B7880"/>
    <w:rsid w:val="007B7B1F"/>
    <w:rsid w:val="007B7E20"/>
    <w:rsid w:val="007C0543"/>
    <w:rsid w:val="007C0718"/>
    <w:rsid w:val="007C075D"/>
    <w:rsid w:val="007C0AA2"/>
    <w:rsid w:val="007C0F4B"/>
    <w:rsid w:val="007C137E"/>
    <w:rsid w:val="007C1485"/>
    <w:rsid w:val="007C1B8C"/>
    <w:rsid w:val="007C25FC"/>
    <w:rsid w:val="007C2C83"/>
    <w:rsid w:val="007C2CF5"/>
    <w:rsid w:val="007C2CFC"/>
    <w:rsid w:val="007C34F7"/>
    <w:rsid w:val="007C3511"/>
    <w:rsid w:val="007C3892"/>
    <w:rsid w:val="007C3996"/>
    <w:rsid w:val="007C4137"/>
    <w:rsid w:val="007C417F"/>
    <w:rsid w:val="007C41EA"/>
    <w:rsid w:val="007C43FC"/>
    <w:rsid w:val="007C4B12"/>
    <w:rsid w:val="007C4D73"/>
    <w:rsid w:val="007C4E22"/>
    <w:rsid w:val="007C4F17"/>
    <w:rsid w:val="007C58A5"/>
    <w:rsid w:val="007C5BE8"/>
    <w:rsid w:val="007C5D9E"/>
    <w:rsid w:val="007C6106"/>
    <w:rsid w:val="007C6315"/>
    <w:rsid w:val="007C6976"/>
    <w:rsid w:val="007C6A5E"/>
    <w:rsid w:val="007C6FA6"/>
    <w:rsid w:val="007C731E"/>
    <w:rsid w:val="007C7C26"/>
    <w:rsid w:val="007C7D19"/>
    <w:rsid w:val="007C7F22"/>
    <w:rsid w:val="007D027B"/>
    <w:rsid w:val="007D02F3"/>
    <w:rsid w:val="007D049D"/>
    <w:rsid w:val="007D04B8"/>
    <w:rsid w:val="007D17BD"/>
    <w:rsid w:val="007D18D3"/>
    <w:rsid w:val="007D1BDF"/>
    <w:rsid w:val="007D1F0F"/>
    <w:rsid w:val="007D22B1"/>
    <w:rsid w:val="007D28D6"/>
    <w:rsid w:val="007D2C41"/>
    <w:rsid w:val="007D34DE"/>
    <w:rsid w:val="007D3D24"/>
    <w:rsid w:val="007D3FD3"/>
    <w:rsid w:val="007D470E"/>
    <w:rsid w:val="007D489E"/>
    <w:rsid w:val="007D48B0"/>
    <w:rsid w:val="007D4E0F"/>
    <w:rsid w:val="007D55BF"/>
    <w:rsid w:val="007D5635"/>
    <w:rsid w:val="007D57BA"/>
    <w:rsid w:val="007D5892"/>
    <w:rsid w:val="007D5AA8"/>
    <w:rsid w:val="007D6A47"/>
    <w:rsid w:val="007D7018"/>
    <w:rsid w:val="007D733D"/>
    <w:rsid w:val="007D73C7"/>
    <w:rsid w:val="007D7F58"/>
    <w:rsid w:val="007E01EC"/>
    <w:rsid w:val="007E03C1"/>
    <w:rsid w:val="007E0CA1"/>
    <w:rsid w:val="007E0D22"/>
    <w:rsid w:val="007E1845"/>
    <w:rsid w:val="007E1958"/>
    <w:rsid w:val="007E2918"/>
    <w:rsid w:val="007E32E7"/>
    <w:rsid w:val="007E354E"/>
    <w:rsid w:val="007E3D2D"/>
    <w:rsid w:val="007E40DC"/>
    <w:rsid w:val="007E413B"/>
    <w:rsid w:val="007E48D5"/>
    <w:rsid w:val="007E5342"/>
    <w:rsid w:val="007E541C"/>
    <w:rsid w:val="007E57D1"/>
    <w:rsid w:val="007E5FBF"/>
    <w:rsid w:val="007E616F"/>
    <w:rsid w:val="007E6413"/>
    <w:rsid w:val="007E6832"/>
    <w:rsid w:val="007E6893"/>
    <w:rsid w:val="007E6992"/>
    <w:rsid w:val="007E6AA1"/>
    <w:rsid w:val="007E6F20"/>
    <w:rsid w:val="007E7070"/>
    <w:rsid w:val="007E70CA"/>
    <w:rsid w:val="007E719E"/>
    <w:rsid w:val="007E7325"/>
    <w:rsid w:val="007E743F"/>
    <w:rsid w:val="007E7749"/>
    <w:rsid w:val="007E7BC3"/>
    <w:rsid w:val="007E7FEE"/>
    <w:rsid w:val="007F01CF"/>
    <w:rsid w:val="007F0310"/>
    <w:rsid w:val="007F03E2"/>
    <w:rsid w:val="007F08E1"/>
    <w:rsid w:val="007F0FD4"/>
    <w:rsid w:val="007F13DF"/>
    <w:rsid w:val="007F152D"/>
    <w:rsid w:val="007F1CBB"/>
    <w:rsid w:val="007F1D3D"/>
    <w:rsid w:val="007F1F82"/>
    <w:rsid w:val="007F2398"/>
    <w:rsid w:val="007F287D"/>
    <w:rsid w:val="007F32E9"/>
    <w:rsid w:val="007F32F4"/>
    <w:rsid w:val="007F3376"/>
    <w:rsid w:val="007F34EF"/>
    <w:rsid w:val="007F394D"/>
    <w:rsid w:val="007F39FE"/>
    <w:rsid w:val="007F3BEC"/>
    <w:rsid w:val="007F47B9"/>
    <w:rsid w:val="007F4A80"/>
    <w:rsid w:val="007F4B7A"/>
    <w:rsid w:val="007F4E21"/>
    <w:rsid w:val="007F4E78"/>
    <w:rsid w:val="007F4FA9"/>
    <w:rsid w:val="007F5374"/>
    <w:rsid w:val="007F5DE5"/>
    <w:rsid w:val="007F71A2"/>
    <w:rsid w:val="007F74E4"/>
    <w:rsid w:val="007F7AA9"/>
    <w:rsid w:val="007F7AEC"/>
    <w:rsid w:val="008003D5"/>
    <w:rsid w:val="0080046D"/>
    <w:rsid w:val="008009D9"/>
    <w:rsid w:val="00800F8B"/>
    <w:rsid w:val="00801450"/>
    <w:rsid w:val="0080146D"/>
    <w:rsid w:val="008014A8"/>
    <w:rsid w:val="0080197F"/>
    <w:rsid w:val="00801B96"/>
    <w:rsid w:val="00802875"/>
    <w:rsid w:val="00802952"/>
    <w:rsid w:val="008032C8"/>
    <w:rsid w:val="0080344C"/>
    <w:rsid w:val="00803867"/>
    <w:rsid w:val="0080389F"/>
    <w:rsid w:val="00803974"/>
    <w:rsid w:val="00804165"/>
    <w:rsid w:val="00804767"/>
    <w:rsid w:val="008047BB"/>
    <w:rsid w:val="00804C5D"/>
    <w:rsid w:val="00804D23"/>
    <w:rsid w:val="00804D4F"/>
    <w:rsid w:val="0080500E"/>
    <w:rsid w:val="00805293"/>
    <w:rsid w:val="008053D3"/>
    <w:rsid w:val="00805917"/>
    <w:rsid w:val="00805A7A"/>
    <w:rsid w:val="00805ADF"/>
    <w:rsid w:val="00805F68"/>
    <w:rsid w:val="00806042"/>
    <w:rsid w:val="008063A0"/>
    <w:rsid w:val="008064EB"/>
    <w:rsid w:val="00806BBC"/>
    <w:rsid w:val="00806CE8"/>
    <w:rsid w:val="00806F7E"/>
    <w:rsid w:val="00807607"/>
    <w:rsid w:val="00807692"/>
    <w:rsid w:val="008078BA"/>
    <w:rsid w:val="008078F3"/>
    <w:rsid w:val="00807D3D"/>
    <w:rsid w:val="0081068C"/>
    <w:rsid w:val="0081079F"/>
    <w:rsid w:val="00810CC9"/>
    <w:rsid w:val="0081192A"/>
    <w:rsid w:val="00811A70"/>
    <w:rsid w:val="008120D2"/>
    <w:rsid w:val="00812100"/>
    <w:rsid w:val="008121A5"/>
    <w:rsid w:val="00812967"/>
    <w:rsid w:val="00812A67"/>
    <w:rsid w:val="00812AFE"/>
    <w:rsid w:val="00813076"/>
    <w:rsid w:val="00813526"/>
    <w:rsid w:val="00813B74"/>
    <w:rsid w:val="00813CF4"/>
    <w:rsid w:val="00813EE1"/>
    <w:rsid w:val="008140F8"/>
    <w:rsid w:val="00814146"/>
    <w:rsid w:val="008141DB"/>
    <w:rsid w:val="008143A0"/>
    <w:rsid w:val="00814A06"/>
    <w:rsid w:val="00814B01"/>
    <w:rsid w:val="00814E6E"/>
    <w:rsid w:val="00814F3F"/>
    <w:rsid w:val="008151C9"/>
    <w:rsid w:val="00815AAB"/>
    <w:rsid w:val="00815D6F"/>
    <w:rsid w:val="00815FDC"/>
    <w:rsid w:val="00816564"/>
    <w:rsid w:val="00816C24"/>
    <w:rsid w:val="00816DC1"/>
    <w:rsid w:val="008171A9"/>
    <w:rsid w:val="0081740B"/>
    <w:rsid w:val="00817671"/>
    <w:rsid w:val="00817809"/>
    <w:rsid w:val="00817892"/>
    <w:rsid w:val="00817D87"/>
    <w:rsid w:val="00817D98"/>
    <w:rsid w:val="00817F5A"/>
    <w:rsid w:val="00820443"/>
    <w:rsid w:val="0082075C"/>
    <w:rsid w:val="00820CD7"/>
    <w:rsid w:val="00820E42"/>
    <w:rsid w:val="00821016"/>
    <w:rsid w:val="0082109E"/>
    <w:rsid w:val="0082155D"/>
    <w:rsid w:val="00821FA4"/>
    <w:rsid w:val="00822070"/>
    <w:rsid w:val="0082218A"/>
    <w:rsid w:val="00822CB3"/>
    <w:rsid w:val="00822F3C"/>
    <w:rsid w:val="0082329B"/>
    <w:rsid w:val="0082345D"/>
    <w:rsid w:val="00823538"/>
    <w:rsid w:val="008236B5"/>
    <w:rsid w:val="008236D3"/>
    <w:rsid w:val="00823932"/>
    <w:rsid w:val="00823F96"/>
    <w:rsid w:val="00824154"/>
    <w:rsid w:val="00824216"/>
    <w:rsid w:val="0082426A"/>
    <w:rsid w:val="0082481C"/>
    <w:rsid w:val="008248A6"/>
    <w:rsid w:val="00824CF6"/>
    <w:rsid w:val="00824D1F"/>
    <w:rsid w:val="0082580D"/>
    <w:rsid w:val="00825841"/>
    <w:rsid w:val="00825BAC"/>
    <w:rsid w:val="00826126"/>
    <w:rsid w:val="008263BA"/>
    <w:rsid w:val="00826F97"/>
    <w:rsid w:val="00827447"/>
    <w:rsid w:val="008279EB"/>
    <w:rsid w:val="00827AD0"/>
    <w:rsid w:val="008300FD"/>
    <w:rsid w:val="00830148"/>
    <w:rsid w:val="008303D0"/>
    <w:rsid w:val="008317CD"/>
    <w:rsid w:val="0083191F"/>
    <w:rsid w:val="00831B01"/>
    <w:rsid w:val="00831B6F"/>
    <w:rsid w:val="00831CAA"/>
    <w:rsid w:val="00831FEF"/>
    <w:rsid w:val="008321AB"/>
    <w:rsid w:val="00832549"/>
    <w:rsid w:val="00832C88"/>
    <w:rsid w:val="0083374A"/>
    <w:rsid w:val="00833A67"/>
    <w:rsid w:val="00834696"/>
    <w:rsid w:val="00834F6B"/>
    <w:rsid w:val="00835348"/>
    <w:rsid w:val="008355EA"/>
    <w:rsid w:val="00835666"/>
    <w:rsid w:val="00835A31"/>
    <w:rsid w:val="00835E25"/>
    <w:rsid w:val="008360B4"/>
    <w:rsid w:val="00836446"/>
    <w:rsid w:val="00836513"/>
    <w:rsid w:val="00836FEF"/>
    <w:rsid w:val="008372CB"/>
    <w:rsid w:val="00837392"/>
    <w:rsid w:val="00837921"/>
    <w:rsid w:val="00837A63"/>
    <w:rsid w:val="00837B06"/>
    <w:rsid w:val="00837E75"/>
    <w:rsid w:val="00840228"/>
    <w:rsid w:val="00840437"/>
    <w:rsid w:val="0084064D"/>
    <w:rsid w:val="00840A37"/>
    <w:rsid w:val="00840DBF"/>
    <w:rsid w:val="00840E8B"/>
    <w:rsid w:val="00841A7E"/>
    <w:rsid w:val="00841BAA"/>
    <w:rsid w:val="00841F07"/>
    <w:rsid w:val="00841FDF"/>
    <w:rsid w:val="008420B7"/>
    <w:rsid w:val="00842345"/>
    <w:rsid w:val="00842485"/>
    <w:rsid w:val="00842568"/>
    <w:rsid w:val="00842947"/>
    <w:rsid w:val="00842A92"/>
    <w:rsid w:val="00842B43"/>
    <w:rsid w:val="00842CAD"/>
    <w:rsid w:val="00842CF4"/>
    <w:rsid w:val="00843703"/>
    <w:rsid w:val="008437D2"/>
    <w:rsid w:val="00843A39"/>
    <w:rsid w:val="00843B4A"/>
    <w:rsid w:val="00843EA9"/>
    <w:rsid w:val="00843F42"/>
    <w:rsid w:val="00844331"/>
    <w:rsid w:val="008443FB"/>
    <w:rsid w:val="00844506"/>
    <w:rsid w:val="008446A4"/>
    <w:rsid w:val="00844D26"/>
    <w:rsid w:val="00844EA6"/>
    <w:rsid w:val="008451CB"/>
    <w:rsid w:val="00845376"/>
    <w:rsid w:val="00845383"/>
    <w:rsid w:val="0084541E"/>
    <w:rsid w:val="0084565E"/>
    <w:rsid w:val="00845ECA"/>
    <w:rsid w:val="00845F97"/>
    <w:rsid w:val="0084641C"/>
    <w:rsid w:val="00847BDB"/>
    <w:rsid w:val="00847C75"/>
    <w:rsid w:val="00847D7B"/>
    <w:rsid w:val="0085034E"/>
    <w:rsid w:val="008503CF"/>
    <w:rsid w:val="00850594"/>
    <w:rsid w:val="00850855"/>
    <w:rsid w:val="00850B10"/>
    <w:rsid w:val="00850B76"/>
    <w:rsid w:val="00851365"/>
    <w:rsid w:val="0085175A"/>
    <w:rsid w:val="00851DA1"/>
    <w:rsid w:val="00851E8D"/>
    <w:rsid w:val="0085211F"/>
    <w:rsid w:val="00852B7E"/>
    <w:rsid w:val="008534D2"/>
    <w:rsid w:val="008536AA"/>
    <w:rsid w:val="00853CC6"/>
    <w:rsid w:val="00853D40"/>
    <w:rsid w:val="00853E64"/>
    <w:rsid w:val="008546DB"/>
    <w:rsid w:val="008547C3"/>
    <w:rsid w:val="00854B24"/>
    <w:rsid w:val="00855010"/>
    <w:rsid w:val="00855097"/>
    <w:rsid w:val="008557ED"/>
    <w:rsid w:val="0085590A"/>
    <w:rsid w:val="008559A8"/>
    <w:rsid w:val="00855A76"/>
    <w:rsid w:val="00855B61"/>
    <w:rsid w:val="00856582"/>
    <w:rsid w:val="00856A29"/>
    <w:rsid w:val="0085787E"/>
    <w:rsid w:val="00857D2E"/>
    <w:rsid w:val="008600D1"/>
    <w:rsid w:val="0086019F"/>
    <w:rsid w:val="008601B9"/>
    <w:rsid w:val="00860415"/>
    <w:rsid w:val="00860528"/>
    <w:rsid w:val="00860A96"/>
    <w:rsid w:val="00860E6D"/>
    <w:rsid w:val="0086136F"/>
    <w:rsid w:val="00861593"/>
    <w:rsid w:val="00861628"/>
    <w:rsid w:val="008616B7"/>
    <w:rsid w:val="008619C3"/>
    <w:rsid w:val="00861E39"/>
    <w:rsid w:val="0086263A"/>
    <w:rsid w:val="00862A8B"/>
    <w:rsid w:val="008633F4"/>
    <w:rsid w:val="00863880"/>
    <w:rsid w:val="00863E30"/>
    <w:rsid w:val="00863ED2"/>
    <w:rsid w:val="008640C5"/>
    <w:rsid w:val="008645F6"/>
    <w:rsid w:val="0086475D"/>
    <w:rsid w:val="0086515A"/>
    <w:rsid w:val="00865241"/>
    <w:rsid w:val="008653A4"/>
    <w:rsid w:val="00865801"/>
    <w:rsid w:val="008659CF"/>
    <w:rsid w:val="00865A79"/>
    <w:rsid w:val="008662CE"/>
    <w:rsid w:val="00866845"/>
    <w:rsid w:val="00866DE7"/>
    <w:rsid w:val="00866F6F"/>
    <w:rsid w:val="00867457"/>
    <w:rsid w:val="00867CFA"/>
    <w:rsid w:val="00867E4C"/>
    <w:rsid w:val="00870156"/>
    <w:rsid w:val="00870437"/>
    <w:rsid w:val="008717CC"/>
    <w:rsid w:val="00871958"/>
    <w:rsid w:val="00871A64"/>
    <w:rsid w:val="00872599"/>
    <w:rsid w:val="0087294F"/>
    <w:rsid w:val="0087298A"/>
    <w:rsid w:val="00872B8C"/>
    <w:rsid w:val="0087305C"/>
    <w:rsid w:val="0087311D"/>
    <w:rsid w:val="0087315D"/>
    <w:rsid w:val="008733EB"/>
    <w:rsid w:val="00873640"/>
    <w:rsid w:val="00873F41"/>
    <w:rsid w:val="00874030"/>
    <w:rsid w:val="0087477A"/>
    <w:rsid w:val="00874BD4"/>
    <w:rsid w:val="00875242"/>
    <w:rsid w:val="00876604"/>
    <w:rsid w:val="008766CD"/>
    <w:rsid w:val="0087679D"/>
    <w:rsid w:val="00876890"/>
    <w:rsid w:val="0087699F"/>
    <w:rsid w:val="008778D1"/>
    <w:rsid w:val="00877945"/>
    <w:rsid w:val="0088010F"/>
    <w:rsid w:val="0088021E"/>
    <w:rsid w:val="0088052F"/>
    <w:rsid w:val="008805CF"/>
    <w:rsid w:val="00880626"/>
    <w:rsid w:val="00880890"/>
    <w:rsid w:val="00880C69"/>
    <w:rsid w:val="00880CFD"/>
    <w:rsid w:val="00880EA9"/>
    <w:rsid w:val="00881593"/>
    <w:rsid w:val="0088178B"/>
    <w:rsid w:val="00881A2C"/>
    <w:rsid w:val="00881AAF"/>
    <w:rsid w:val="00881B27"/>
    <w:rsid w:val="00881BA1"/>
    <w:rsid w:val="00881C18"/>
    <w:rsid w:val="00881E40"/>
    <w:rsid w:val="00882393"/>
    <w:rsid w:val="00882551"/>
    <w:rsid w:val="00882EA5"/>
    <w:rsid w:val="00882ED9"/>
    <w:rsid w:val="00882F64"/>
    <w:rsid w:val="00883617"/>
    <w:rsid w:val="00883853"/>
    <w:rsid w:val="008849AA"/>
    <w:rsid w:val="00884B83"/>
    <w:rsid w:val="00884E30"/>
    <w:rsid w:val="008851E5"/>
    <w:rsid w:val="008852FB"/>
    <w:rsid w:val="00885B05"/>
    <w:rsid w:val="00885B2A"/>
    <w:rsid w:val="00885BD4"/>
    <w:rsid w:val="00885CD0"/>
    <w:rsid w:val="00885D9B"/>
    <w:rsid w:val="0088611F"/>
    <w:rsid w:val="008867A5"/>
    <w:rsid w:val="00886C48"/>
    <w:rsid w:val="00887180"/>
    <w:rsid w:val="008875F1"/>
    <w:rsid w:val="00887962"/>
    <w:rsid w:val="0089028C"/>
    <w:rsid w:val="008902A4"/>
    <w:rsid w:val="00890417"/>
    <w:rsid w:val="008904FB"/>
    <w:rsid w:val="00890519"/>
    <w:rsid w:val="00890873"/>
    <w:rsid w:val="008908E8"/>
    <w:rsid w:val="00890AC8"/>
    <w:rsid w:val="008910E5"/>
    <w:rsid w:val="008911B6"/>
    <w:rsid w:val="00891254"/>
    <w:rsid w:val="0089129C"/>
    <w:rsid w:val="00891460"/>
    <w:rsid w:val="0089168C"/>
    <w:rsid w:val="00891875"/>
    <w:rsid w:val="00891B04"/>
    <w:rsid w:val="00891D41"/>
    <w:rsid w:val="00891F35"/>
    <w:rsid w:val="00892CC7"/>
    <w:rsid w:val="00892E03"/>
    <w:rsid w:val="00892EFD"/>
    <w:rsid w:val="0089321A"/>
    <w:rsid w:val="00893589"/>
    <w:rsid w:val="008938DB"/>
    <w:rsid w:val="00893901"/>
    <w:rsid w:val="00893A1A"/>
    <w:rsid w:val="0089400D"/>
    <w:rsid w:val="0089420A"/>
    <w:rsid w:val="008944C1"/>
    <w:rsid w:val="0089481F"/>
    <w:rsid w:val="0089485C"/>
    <w:rsid w:val="00894B0F"/>
    <w:rsid w:val="00894C1D"/>
    <w:rsid w:val="00894DF2"/>
    <w:rsid w:val="008950D1"/>
    <w:rsid w:val="008952A4"/>
    <w:rsid w:val="008952EC"/>
    <w:rsid w:val="0089551D"/>
    <w:rsid w:val="00895AEC"/>
    <w:rsid w:val="00895B5F"/>
    <w:rsid w:val="0089637E"/>
    <w:rsid w:val="008965B1"/>
    <w:rsid w:val="0089699E"/>
    <w:rsid w:val="00896DA1"/>
    <w:rsid w:val="00896F9C"/>
    <w:rsid w:val="008972E7"/>
    <w:rsid w:val="008975C7"/>
    <w:rsid w:val="008976F4"/>
    <w:rsid w:val="00897745"/>
    <w:rsid w:val="008A02C8"/>
    <w:rsid w:val="008A0645"/>
    <w:rsid w:val="008A07D0"/>
    <w:rsid w:val="008A094F"/>
    <w:rsid w:val="008A0A92"/>
    <w:rsid w:val="008A101F"/>
    <w:rsid w:val="008A1306"/>
    <w:rsid w:val="008A1314"/>
    <w:rsid w:val="008A1E91"/>
    <w:rsid w:val="008A1EA7"/>
    <w:rsid w:val="008A2023"/>
    <w:rsid w:val="008A2A18"/>
    <w:rsid w:val="008A2BFD"/>
    <w:rsid w:val="008A2F45"/>
    <w:rsid w:val="008A3606"/>
    <w:rsid w:val="008A387D"/>
    <w:rsid w:val="008A3BD7"/>
    <w:rsid w:val="008A3E60"/>
    <w:rsid w:val="008A3F86"/>
    <w:rsid w:val="008A4575"/>
    <w:rsid w:val="008A45BC"/>
    <w:rsid w:val="008A4731"/>
    <w:rsid w:val="008A4B6D"/>
    <w:rsid w:val="008A5002"/>
    <w:rsid w:val="008A508C"/>
    <w:rsid w:val="008A5799"/>
    <w:rsid w:val="008A5C90"/>
    <w:rsid w:val="008A5F70"/>
    <w:rsid w:val="008A6098"/>
    <w:rsid w:val="008A62C7"/>
    <w:rsid w:val="008A64A9"/>
    <w:rsid w:val="008A6512"/>
    <w:rsid w:val="008A6BC1"/>
    <w:rsid w:val="008A70C8"/>
    <w:rsid w:val="008A7621"/>
    <w:rsid w:val="008A7D8B"/>
    <w:rsid w:val="008A7F6E"/>
    <w:rsid w:val="008A7FA5"/>
    <w:rsid w:val="008B0494"/>
    <w:rsid w:val="008B04AD"/>
    <w:rsid w:val="008B08AD"/>
    <w:rsid w:val="008B0B53"/>
    <w:rsid w:val="008B1290"/>
    <w:rsid w:val="008B1B75"/>
    <w:rsid w:val="008B1B9A"/>
    <w:rsid w:val="008B22FE"/>
    <w:rsid w:val="008B2356"/>
    <w:rsid w:val="008B25AC"/>
    <w:rsid w:val="008B29C8"/>
    <w:rsid w:val="008B2BEE"/>
    <w:rsid w:val="008B2E0E"/>
    <w:rsid w:val="008B3398"/>
    <w:rsid w:val="008B359F"/>
    <w:rsid w:val="008B38AA"/>
    <w:rsid w:val="008B390E"/>
    <w:rsid w:val="008B3C40"/>
    <w:rsid w:val="008B4861"/>
    <w:rsid w:val="008B4F07"/>
    <w:rsid w:val="008B52FC"/>
    <w:rsid w:val="008B5702"/>
    <w:rsid w:val="008B581A"/>
    <w:rsid w:val="008B582D"/>
    <w:rsid w:val="008B599F"/>
    <w:rsid w:val="008B5DE5"/>
    <w:rsid w:val="008B6187"/>
    <w:rsid w:val="008B66AC"/>
    <w:rsid w:val="008B6F6E"/>
    <w:rsid w:val="008B72CB"/>
    <w:rsid w:val="008B748F"/>
    <w:rsid w:val="008B7C96"/>
    <w:rsid w:val="008C0080"/>
    <w:rsid w:val="008C07E0"/>
    <w:rsid w:val="008C0EE6"/>
    <w:rsid w:val="008C1285"/>
    <w:rsid w:val="008C141F"/>
    <w:rsid w:val="008C167B"/>
    <w:rsid w:val="008C16A8"/>
    <w:rsid w:val="008C18DF"/>
    <w:rsid w:val="008C1B1B"/>
    <w:rsid w:val="008C1FB7"/>
    <w:rsid w:val="008C23F8"/>
    <w:rsid w:val="008C2B89"/>
    <w:rsid w:val="008C2BD4"/>
    <w:rsid w:val="008C2D04"/>
    <w:rsid w:val="008C2DE2"/>
    <w:rsid w:val="008C2F4C"/>
    <w:rsid w:val="008C3029"/>
    <w:rsid w:val="008C3038"/>
    <w:rsid w:val="008C38A0"/>
    <w:rsid w:val="008C38CD"/>
    <w:rsid w:val="008C46BB"/>
    <w:rsid w:val="008C47A2"/>
    <w:rsid w:val="008C4B21"/>
    <w:rsid w:val="008C4D6C"/>
    <w:rsid w:val="008C4EE4"/>
    <w:rsid w:val="008C4FDC"/>
    <w:rsid w:val="008C578B"/>
    <w:rsid w:val="008C5E6F"/>
    <w:rsid w:val="008C5F18"/>
    <w:rsid w:val="008C6152"/>
    <w:rsid w:val="008C6C4C"/>
    <w:rsid w:val="008C6CA4"/>
    <w:rsid w:val="008C6F20"/>
    <w:rsid w:val="008C7438"/>
    <w:rsid w:val="008C75C3"/>
    <w:rsid w:val="008C7651"/>
    <w:rsid w:val="008C767A"/>
    <w:rsid w:val="008C772B"/>
    <w:rsid w:val="008C7EF6"/>
    <w:rsid w:val="008D003B"/>
    <w:rsid w:val="008D026A"/>
    <w:rsid w:val="008D0601"/>
    <w:rsid w:val="008D0DFA"/>
    <w:rsid w:val="008D1096"/>
    <w:rsid w:val="008D12EF"/>
    <w:rsid w:val="008D16E1"/>
    <w:rsid w:val="008D1713"/>
    <w:rsid w:val="008D17ED"/>
    <w:rsid w:val="008D1A0B"/>
    <w:rsid w:val="008D2239"/>
    <w:rsid w:val="008D25E2"/>
    <w:rsid w:val="008D27BA"/>
    <w:rsid w:val="008D2AAD"/>
    <w:rsid w:val="008D2F22"/>
    <w:rsid w:val="008D2F24"/>
    <w:rsid w:val="008D2F3A"/>
    <w:rsid w:val="008D32C8"/>
    <w:rsid w:val="008D36F2"/>
    <w:rsid w:val="008D3ED1"/>
    <w:rsid w:val="008D47A2"/>
    <w:rsid w:val="008D5300"/>
    <w:rsid w:val="008D537D"/>
    <w:rsid w:val="008D5834"/>
    <w:rsid w:val="008D5944"/>
    <w:rsid w:val="008D5A2D"/>
    <w:rsid w:val="008D5C6E"/>
    <w:rsid w:val="008D5D57"/>
    <w:rsid w:val="008D5D74"/>
    <w:rsid w:val="008D5F4D"/>
    <w:rsid w:val="008D5FFE"/>
    <w:rsid w:val="008D64D9"/>
    <w:rsid w:val="008D6882"/>
    <w:rsid w:val="008D6911"/>
    <w:rsid w:val="008D69C4"/>
    <w:rsid w:val="008D69E7"/>
    <w:rsid w:val="008D7199"/>
    <w:rsid w:val="008D725F"/>
    <w:rsid w:val="008D73E7"/>
    <w:rsid w:val="008D757D"/>
    <w:rsid w:val="008D7850"/>
    <w:rsid w:val="008D7A2B"/>
    <w:rsid w:val="008D7CCF"/>
    <w:rsid w:val="008D7E4D"/>
    <w:rsid w:val="008E00EE"/>
    <w:rsid w:val="008E0B37"/>
    <w:rsid w:val="008E1027"/>
    <w:rsid w:val="008E16AF"/>
    <w:rsid w:val="008E1A32"/>
    <w:rsid w:val="008E1A9E"/>
    <w:rsid w:val="008E200A"/>
    <w:rsid w:val="008E273B"/>
    <w:rsid w:val="008E2AC5"/>
    <w:rsid w:val="008E2BBD"/>
    <w:rsid w:val="008E2BF5"/>
    <w:rsid w:val="008E3709"/>
    <w:rsid w:val="008E41E7"/>
    <w:rsid w:val="008E4A3A"/>
    <w:rsid w:val="008E4B65"/>
    <w:rsid w:val="008E4B6D"/>
    <w:rsid w:val="008E4C78"/>
    <w:rsid w:val="008E4D2E"/>
    <w:rsid w:val="008E56F8"/>
    <w:rsid w:val="008E5722"/>
    <w:rsid w:val="008E57AE"/>
    <w:rsid w:val="008E58F8"/>
    <w:rsid w:val="008E5CB7"/>
    <w:rsid w:val="008E61E0"/>
    <w:rsid w:val="008E62B3"/>
    <w:rsid w:val="008E66AA"/>
    <w:rsid w:val="008E68AF"/>
    <w:rsid w:val="008E69C7"/>
    <w:rsid w:val="008E6A38"/>
    <w:rsid w:val="008E75A4"/>
    <w:rsid w:val="008E7695"/>
    <w:rsid w:val="008E7EAC"/>
    <w:rsid w:val="008F0070"/>
    <w:rsid w:val="008F01D0"/>
    <w:rsid w:val="008F0360"/>
    <w:rsid w:val="008F0431"/>
    <w:rsid w:val="008F08C1"/>
    <w:rsid w:val="008F0B92"/>
    <w:rsid w:val="008F24AC"/>
    <w:rsid w:val="008F28DE"/>
    <w:rsid w:val="008F2923"/>
    <w:rsid w:val="008F2D29"/>
    <w:rsid w:val="008F2DE8"/>
    <w:rsid w:val="008F2F7F"/>
    <w:rsid w:val="008F336A"/>
    <w:rsid w:val="008F369E"/>
    <w:rsid w:val="008F3A8B"/>
    <w:rsid w:val="008F3CF8"/>
    <w:rsid w:val="008F4591"/>
    <w:rsid w:val="008F487A"/>
    <w:rsid w:val="008F4CB0"/>
    <w:rsid w:val="008F4E74"/>
    <w:rsid w:val="008F530E"/>
    <w:rsid w:val="008F5784"/>
    <w:rsid w:val="008F5C7A"/>
    <w:rsid w:val="008F5FC7"/>
    <w:rsid w:val="008F6DBD"/>
    <w:rsid w:val="008F6DF3"/>
    <w:rsid w:val="008F704E"/>
    <w:rsid w:val="008F7390"/>
    <w:rsid w:val="008F75E1"/>
    <w:rsid w:val="008F78D0"/>
    <w:rsid w:val="008F7A7B"/>
    <w:rsid w:val="008F7BAB"/>
    <w:rsid w:val="008F7E32"/>
    <w:rsid w:val="00900A64"/>
    <w:rsid w:val="00900B45"/>
    <w:rsid w:val="00900C84"/>
    <w:rsid w:val="00901193"/>
    <w:rsid w:val="009012D3"/>
    <w:rsid w:val="00901403"/>
    <w:rsid w:val="00901BAF"/>
    <w:rsid w:val="00901C6D"/>
    <w:rsid w:val="00901DA4"/>
    <w:rsid w:val="00901DF2"/>
    <w:rsid w:val="00901F66"/>
    <w:rsid w:val="00902111"/>
    <w:rsid w:val="00902171"/>
    <w:rsid w:val="009021A0"/>
    <w:rsid w:val="00902566"/>
    <w:rsid w:val="0090380D"/>
    <w:rsid w:val="00903857"/>
    <w:rsid w:val="00903C72"/>
    <w:rsid w:val="00903C78"/>
    <w:rsid w:val="009045D1"/>
    <w:rsid w:val="00904F96"/>
    <w:rsid w:val="00905142"/>
    <w:rsid w:val="0090534C"/>
    <w:rsid w:val="00905477"/>
    <w:rsid w:val="00905599"/>
    <w:rsid w:val="009058A4"/>
    <w:rsid w:val="0090594D"/>
    <w:rsid w:val="00905B69"/>
    <w:rsid w:val="00905C8C"/>
    <w:rsid w:val="00905ECC"/>
    <w:rsid w:val="00906281"/>
    <w:rsid w:val="00906316"/>
    <w:rsid w:val="009064FC"/>
    <w:rsid w:val="00906D63"/>
    <w:rsid w:val="00907024"/>
    <w:rsid w:val="00907171"/>
    <w:rsid w:val="009074F4"/>
    <w:rsid w:val="00907728"/>
    <w:rsid w:val="00907FD9"/>
    <w:rsid w:val="00910030"/>
    <w:rsid w:val="00910789"/>
    <w:rsid w:val="00910C51"/>
    <w:rsid w:val="00911101"/>
    <w:rsid w:val="0091150E"/>
    <w:rsid w:val="009115A3"/>
    <w:rsid w:val="00911A69"/>
    <w:rsid w:val="00911B7F"/>
    <w:rsid w:val="009128D0"/>
    <w:rsid w:val="00912BAF"/>
    <w:rsid w:val="00912CAA"/>
    <w:rsid w:val="00912EC0"/>
    <w:rsid w:val="0091361A"/>
    <w:rsid w:val="009137BB"/>
    <w:rsid w:val="009137E0"/>
    <w:rsid w:val="00913BF1"/>
    <w:rsid w:val="00913C2F"/>
    <w:rsid w:val="00913EDD"/>
    <w:rsid w:val="009147BA"/>
    <w:rsid w:val="0091497F"/>
    <w:rsid w:val="00914B46"/>
    <w:rsid w:val="00915021"/>
    <w:rsid w:val="00915302"/>
    <w:rsid w:val="009154FC"/>
    <w:rsid w:val="00915516"/>
    <w:rsid w:val="009155A0"/>
    <w:rsid w:val="00915777"/>
    <w:rsid w:val="009158EE"/>
    <w:rsid w:val="00915AC2"/>
    <w:rsid w:val="00915CB0"/>
    <w:rsid w:val="00916525"/>
    <w:rsid w:val="0091675A"/>
    <w:rsid w:val="00916DBC"/>
    <w:rsid w:val="009173A6"/>
    <w:rsid w:val="00917881"/>
    <w:rsid w:val="00917E20"/>
    <w:rsid w:val="009201F2"/>
    <w:rsid w:val="00920FF0"/>
    <w:rsid w:val="0092102C"/>
    <w:rsid w:val="009211BE"/>
    <w:rsid w:val="009215F5"/>
    <w:rsid w:val="00922200"/>
    <w:rsid w:val="00922271"/>
    <w:rsid w:val="009229B0"/>
    <w:rsid w:val="00922CEB"/>
    <w:rsid w:val="00922D9E"/>
    <w:rsid w:val="0092363B"/>
    <w:rsid w:val="00923B85"/>
    <w:rsid w:val="00923D93"/>
    <w:rsid w:val="00923E6B"/>
    <w:rsid w:val="00924390"/>
    <w:rsid w:val="00924849"/>
    <w:rsid w:val="00924ABE"/>
    <w:rsid w:val="00924C75"/>
    <w:rsid w:val="00924D6E"/>
    <w:rsid w:val="00925314"/>
    <w:rsid w:val="0092536B"/>
    <w:rsid w:val="00925414"/>
    <w:rsid w:val="00925469"/>
    <w:rsid w:val="009256BE"/>
    <w:rsid w:val="00925725"/>
    <w:rsid w:val="00925953"/>
    <w:rsid w:val="00925B6F"/>
    <w:rsid w:val="00925B92"/>
    <w:rsid w:val="00925C44"/>
    <w:rsid w:val="00925C63"/>
    <w:rsid w:val="00925E58"/>
    <w:rsid w:val="00926776"/>
    <w:rsid w:val="00926ABE"/>
    <w:rsid w:val="009273D3"/>
    <w:rsid w:val="00927839"/>
    <w:rsid w:val="0093033C"/>
    <w:rsid w:val="009306AA"/>
    <w:rsid w:val="00930833"/>
    <w:rsid w:val="00930AF3"/>
    <w:rsid w:val="0093125D"/>
    <w:rsid w:val="0093127C"/>
    <w:rsid w:val="0093157D"/>
    <w:rsid w:val="00931872"/>
    <w:rsid w:val="009319D9"/>
    <w:rsid w:val="00931CD9"/>
    <w:rsid w:val="00931E13"/>
    <w:rsid w:val="00931F36"/>
    <w:rsid w:val="00932015"/>
    <w:rsid w:val="009323E9"/>
    <w:rsid w:val="0093241E"/>
    <w:rsid w:val="009324D0"/>
    <w:rsid w:val="00932B93"/>
    <w:rsid w:val="00932C46"/>
    <w:rsid w:val="00932EA4"/>
    <w:rsid w:val="009330EF"/>
    <w:rsid w:val="0093315E"/>
    <w:rsid w:val="0093362E"/>
    <w:rsid w:val="00933650"/>
    <w:rsid w:val="0093384C"/>
    <w:rsid w:val="00933C45"/>
    <w:rsid w:val="00933C82"/>
    <w:rsid w:val="00934531"/>
    <w:rsid w:val="00934965"/>
    <w:rsid w:val="00934BCA"/>
    <w:rsid w:val="00934D67"/>
    <w:rsid w:val="00934F7E"/>
    <w:rsid w:val="00934FA5"/>
    <w:rsid w:val="009352AF"/>
    <w:rsid w:val="0093566A"/>
    <w:rsid w:val="009356E9"/>
    <w:rsid w:val="0093579F"/>
    <w:rsid w:val="0093582C"/>
    <w:rsid w:val="00936178"/>
    <w:rsid w:val="0093639B"/>
    <w:rsid w:val="00936A1A"/>
    <w:rsid w:val="00937596"/>
    <w:rsid w:val="0093760F"/>
    <w:rsid w:val="009379E4"/>
    <w:rsid w:val="00937CF4"/>
    <w:rsid w:val="009406B5"/>
    <w:rsid w:val="00940711"/>
    <w:rsid w:val="0094071C"/>
    <w:rsid w:val="009409E4"/>
    <w:rsid w:val="00940BAD"/>
    <w:rsid w:val="00940FB5"/>
    <w:rsid w:val="00941207"/>
    <w:rsid w:val="009412F5"/>
    <w:rsid w:val="00941D5B"/>
    <w:rsid w:val="00942D8A"/>
    <w:rsid w:val="00942D9C"/>
    <w:rsid w:val="00942DE6"/>
    <w:rsid w:val="00943A94"/>
    <w:rsid w:val="009442AE"/>
    <w:rsid w:val="0094435F"/>
    <w:rsid w:val="00944835"/>
    <w:rsid w:val="00945570"/>
    <w:rsid w:val="00945602"/>
    <w:rsid w:val="00945918"/>
    <w:rsid w:val="00945BCA"/>
    <w:rsid w:val="009460A3"/>
    <w:rsid w:val="00946107"/>
    <w:rsid w:val="00946188"/>
    <w:rsid w:val="00946654"/>
    <w:rsid w:val="009467F1"/>
    <w:rsid w:val="00947085"/>
    <w:rsid w:val="00947512"/>
    <w:rsid w:val="009475BB"/>
    <w:rsid w:val="0094768E"/>
    <w:rsid w:val="00947B6F"/>
    <w:rsid w:val="009505D2"/>
    <w:rsid w:val="00950993"/>
    <w:rsid w:val="00950C11"/>
    <w:rsid w:val="00950DF8"/>
    <w:rsid w:val="009511E5"/>
    <w:rsid w:val="009516CB"/>
    <w:rsid w:val="00952301"/>
    <w:rsid w:val="00952373"/>
    <w:rsid w:val="009523C6"/>
    <w:rsid w:val="00952816"/>
    <w:rsid w:val="009529A4"/>
    <w:rsid w:val="00952A1F"/>
    <w:rsid w:val="00952EEF"/>
    <w:rsid w:val="00952F5F"/>
    <w:rsid w:val="009534C7"/>
    <w:rsid w:val="009538A6"/>
    <w:rsid w:val="009538C3"/>
    <w:rsid w:val="009539DB"/>
    <w:rsid w:val="00953FD8"/>
    <w:rsid w:val="009544CB"/>
    <w:rsid w:val="009545B1"/>
    <w:rsid w:val="0095470B"/>
    <w:rsid w:val="0095472D"/>
    <w:rsid w:val="00954806"/>
    <w:rsid w:val="00955054"/>
    <w:rsid w:val="00955247"/>
    <w:rsid w:val="00955477"/>
    <w:rsid w:val="0095557F"/>
    <w:rsid w:val="009555A4"/>
    <w:rsid w:val="009555B4"/>
    <w:rsid w:val="00955A12"/>
    <w:rsid w:val="00955DE2"/>
    <w:rsid w:val="00956A82"/>
    <w:rsid w:val="00956DCD"/>
    <w:rsid w:val="00957390"/>
    <w:rsid w:val="0095750A"/>
    <w:rsid w:val="00957667"/>
    <w:rsid w:val="009579C2"/>
    <w:rsid w:val="00957BF2"/>
    <w:rsid w:val="009603D9"/>
    <w:rsid w:val="00960816"/>
    <w:rsid w:val="0096093C"/>
    <w:rsid w:val="00960A2E"/>
    <w:rsid w:val="00960D2E"/>
    <w:rsid w:val="00960E82"/>
    <w:rsid w:val="0096119A"/>
    <w:rsid w:val="009615DB"/>
    <w:rsid w:val="0096186D"/>
    <w:rsid w:val="009618C2"/>
    <w:rsid w:val="00961BE2"/>
    <w:rsid w:val="00961EA9"/>
    <w:rsid w:val="00962093"/>
    <w:rsid w:val="009621C4"/>
    <w:rsid w:val="009621E8"/>
    <w:rsid w:val="009626AF"/>
    <w:rsid w:val="00962760"/>
    <w:rsid w:val="009630E3"/>
    <w:rsid w:val="00963436"/>
    <w:rsid w:val="00963573"/>
    <w:rsid w:val="00963923"/>
    <w:rsid w:val="00963B20"/>
    <w:rsid w:val="00963FFC"/>
    <w:rsid w:val="009642D9"/>
    <w:rsid w:val="009643D3"/>
    <w:rsid w:val="00964559"/>
    <w:rsid w:val="009646C1"/>
    <w:rsid w:val="00964F1F"/>
    <w:rsid w:val="00965516"/>
    <w:rsid w:val="00965C09"/>
    <w:rsid w:val="009660B2"/>
    <w:rsid w:val="0096651C"/>
    <w:rsid w:val="00966641"/>
    <w:rsid w:val="00966C4D"/>
    <w:rsid w:val="00966DDF"/>
    <w:rsid w:val="0096744B"/>
    <w:rsid w:val="0096746E"/>
    <w:rsid w:val="009676C4"/>
    <w:rsid w:val="00967730"/>
    <w:rsid w:val="00967E76"/>
    <w:rsid w:val="00967F81"/>
    <w:rsid w:val="0097007C"/>
    <w:rsid w:val="00970216"/>
    <w:rsid w:val="00970367"/>
    <w:rsid w:val="009704CE"/>
    <w:rsid w:val="00970B3A"/>
    <w:rsid w:val="00970E95"/>
    <w:rsid w:val="00971C18"/>
    <w:rsid w:val="00971E1F"/>
    <w:rsid w:val="00972212"/>
    <w:rsid w:val="0097267C"/>
    <w:rsid w:val="009728DD"/>
    <w:rsid w:val="00973208"/>
    <w:rsid w:val="009733C2"/>
    <w:rsid w:val="0097387D"/>
    <w:rsid w:val="00973935"/>
    <w:rsid w:val="00974339"/>
    <w:rsid w:val="00974561"/>
    <w:rsid w:val="00974614"/>
    <w:rsid w:val="009746D0"/>
    <w:rsid w:val="00974F8A"/>
    <w:rsid w:val="00975051"/>
    <w:rsid w:val="00975831"/>
    <w:rsid w:val="009758B3"/>
    <w:rsid w:val="009758DB"/>
    <w:rsid w:val="00975A63"/>
    <w:rsid w:val="009767DE"/>
    <w:rsid w:val="00976802"/>
    <w:rsid w:val="0097688C"/>
    <w:rsid w:val="0097690F"/>
    <w:rsid w:val="009769EC"/>
    <w:rsid w:val="00976C18"/>
    <w:rsid w:val="00977310"/>
    <w:rsid w:val="009773FB"/>
    <w:rsid w:val="00977694"/>
    <w:rsid w:val="00977EB0"/>
    <w:rsid w:val="00977EC5"/>
    <w:rsid w:val="0098010E"/>
    <w:rsid w:val="00980526"/>
    <w:rsid w:val="009809D5"/>
    <w:rsid w:val="00980FA4"/>
    <w:rsid w:val="009811D2"/>
    <w:rsid w:val="00981465"/>
    <w:rsid w:val="00981796"/>
    <w:rsid w:val="0098182B"/>
    <w:rsid w:val="00981A89"/>
    <w:rsid w:val="00981CAC"/>
    <w:rsid w:val="00982019"/>
    <w:rsid w:val="009823C5"/>
    <w:rsid w:val="00982977"/>
    <w:rsid w:val="009832F6"/>
    <w:rsid w:val="0098341B"/>
    <w:rsid w:val="00983BF0"/>
    <w:rsid w:val="00984464"/>
    <w:rsid w:val="009849A0"/>
    <w:rsid w:val="00984DB0"/>
    <w:rsid w:val="00984FD7"/>
    <w:rsid w:val="00985252"/>
    <w:rsid w:val="0098542B"/>
    <w:rsid w:val="00985485"/>
    <w:rsid w:val="009854A8"/>
    <w:rsid w:val="00985720"/>
    <w:rsid w:val="009857B0"/>
    <w:rsid w:val="00985926"/>
    <w:rsid w:val="00985D61"/>
    <w:rsid w:val="0098627C"/>
    <w:rsid w:val="00986A8E"/>
    <w:rsid w:val="00987385"/>
    <w:rsid w:val="009873A0"/>
    <w:rsid w:val="009877B3"/>
    <w:rsid w:val="00987BA9"/>
    <w:rsid w:val="00987E47"/>
    <w:rsid w:val="00990393"/>
    <w:rsid w:val="00990456"/>
    <w:rsid w:val="00990523"/>
    <w:rsid w:val="00990714"/>
    <w:rsid w:val="00990941"/>
    <w:rsid w:val="0099095E"/>
    <w:rsid w:val="00990F0A"/>
    <w:rsid w:val="00990F3E"/>
    <w:rsid w:val="00990F45"/>
    <w:rsid w:val="00991078"/>
    <w:rsid w:val="0099199E"/>
    <w:rsid w:val="009924E9"/>
    <w:rsid w:val="00992612"/>
    <w:rsid w:val="00992876"/>
    <w:rsid w:val="009928C6"/>
    <w:rsid w:val="009928D0"/>
    <w:rsid w:val="00992B1A"/>
    <w:rsid w:val="00992DAC"/>
    <w:rsid w:val="00992E93"/>
    <w:rsid w:val="00992FD9"/>
    <w:rsid w:val="00993426"/>
    <w:rsid w:val="00993678"/>
    <w:rsid w:val="00993BC3"/>
    <w:rsid w:val="00993E83"/>
    <w:rsid w:val="00994095"/>
    <w:rsid w:val="009940BC"/>
    <w:rsid w:val="009942CF"/>
    <w:rsid w:val="00994861"/>
    <w:rsid w:val="0099499B"/>
    <w:rsid w:val="00994E7F"/>
    <w:rsid w:val="00994EC2"/>
    <w:rsid w:val="0099559B"/>
    <w:rsid w:val="009955F8"/>
    <w:rsid w:val="00995672"/>
    <w:rsid w:val="00995E17"/>
    <w:rsid w:val="00995F5C"/>
    <w:rsid w:val="0099608A"/>
    <w:rsid w:val="00996402"/>
    <w:rsid w:val="00996B4A"/>
    <w:rsid w:val="00997F8D"/>
    <w:rsid w:val="009A05D1"/>
    <w:rsid w:val="009A0701"/>
    <w:rsid w:val="009A0716"/>
    <w:rsid w:val="009A0B97"/>
    <w:rsid w:val="009A0DB2"/>
    <w:rsid w:val="009A12C7"/>
    <w:rsid w:val="009A16FF"/>
    <w:rsid w:val="009A192C"/>
    <w:rsid w:val="009A1A98"/>
    <w:rsid w:val="009A1D4A"/>
    <w:rsid w:val="009A257B"/>
    <w:rsid w:val="009A2635"/>
    <w:rsid w:val="009A26C1"/>
    <w:rsid w:val="009A2C22"/>
    <w:rsid w:val="009A2C67"/>
    <w:rsid w:val="009A2D4F"/>
    <w:rsid w:val="009A2E39"/>
    <w:rsid w:val="009A313C"/>
    <w:rsid w:val="009A3533"/>
    <w:rsid w:val="009A36B0"/>
    <w:rsid w:val="009A39DE"/>
    <w:rsid w:val="009A3B47"/>
    <w:rsid w:val="009A3C0C"/>
    <w:rsid w:val="009A3FCC"/>
    <w:rsid w:val="009A4969"/>
    <w:rsid w:val="009A49B1"/>
    <w:rsid w:val="009A4C5A"/>
    <w:rsid w:val="009A53AC"/>
    <w:rsid w:val="009A55DD"/>
    <w:rsid w:val="009A585F"/>
    <w:rsid w:val="009A5AE7"/>
    <w:rsid w:val="009A5D9F"/>
    <w:rsid w:val="009A657C"/>
    <w:rsid w:val="009A6ABF"/>
    <w:rsid w:val="009A6AC0"/>
    <w:rsid w:val="009A6EB2"/>
    <w:rsid w:val="009A7598"/>
    <w:rsid w:val="009A7E74"/>
    <w:rsid w:val="009B006C"/>
    <w:rsid w:val="009B028D"/>
    <w:rsid w:val="009B06A0"/>
    <w:rsid w:val="009B0C3B"/>
    <w:rsid w:val="009B0E93"/>
    <w:rsid w:val="009B0F3F"/>
    <w:rsid w:val="009B1BAE"/>
    <w:rsid w:val="009B1C1A"/>
    <w:rsid w:val="009B2047"/>
    <w:rsid w:val="009B21C0"/>
    <w:rsid w:val="009B2654"/>
    <w:rsid w:val="009B2970"/>
    <w:rsid w:val="009B2AA9"/>
    <w:rsid w:val="009B3B48"/>
    <w:rsid w:val="009B3D41"/>
    <w:rsid w:val="009B45D4"/>
    <w:rsid w:val="009B48E2"/>
    <w:rsid w:val="009B4B86"/>
    <w:rsid w:val="009B4C0B"/>
    <w:rsid w:val="009B4C9E"/>
    <w:rsid w:val="009B4CA8"/>
    <w:rsid w:val="009B4DA6"/>
    <w:rsid w:val="009B517B"/>
    <w:rsid w:val="009B5441"/>
    <w:rsid w:val="009B57AA"/>
    <w:rsid w:val="009B6699"/>
    <w:rsid w:val="009B6716"/>
    <w:rsid w:val="009B6A0A"/>
    <w:rsid w:val="009B6D60"/>
    <w:rsid w:val="009B6DAF"/>
    <w:rsid w:val="009B6DB7"/>
    <w:rsid w:val="009B7434"/>
    <w:rsid w:val="009B7452"/>
    <w:rsid w:val="009B75B3"/>
    <w:rsid w:val="009B7A43"/>
    <w:rsid w:val="009B7EA0"/>
    <w:rsid w:val="009C01BF"/>
    <w:rsid w:val="009C0894"/>
    <w:rsid w:val="009C0985"/>
    <w:rsid w:val="009C0A15"/>
    <w:rsid w:val="009C0D9A"/>
    <w:rsid w:val="009C0EBB"/>
    <w:rsid w:val="009C13C0"/>
    <w:rsid w:val="009C14A3"/>
    <w:rsid w:val="009C1560"/>
    <w:rsid w:val="009C1653"/>
    <w:rsid w:val="009C19BB"/>
    <w:rsid w:val="009C1AED"/>
    <w:rsid w:val="009C1E29"/>
    <w:rsid w:val="009C2031"/>
    <w:rsid w:val="009C23D2"/>
    <w:rsid w:val="009C242C"/>
    <w:rsid w:val="009C2A87"/>
    <w:rsid w:val="009C2AAB"/>
    <w:rsid w:val="009C2DA8"/>
    <w:rsid w:val="009C2E65"/>
    <w:rsid w:val="009C3530"/>
    <w:rsid w:val="009C3A7F"/>
    <w:rsid w:val="009C3F51"/>
    <w:rsid w:val="009C3F54"/>
    <w:rsid w:val="009C4614"/>
    <w:rsid w:val="009C4CA0"/>
    <w:rsid w:val="009C4E99"/>
    <w:rsid w:val="009C4FA2"/>
    <w:rsid w:val="009C5A54"/>
    <w:rsid w:val="009C5AE4"/>
    <w:rsid w:val="009C5F4B"/>
    <w:rsid w:val="009C636F"/>
    <w:rsid w:val="009C649E"/>
    <w:rsid w:val="009C6674"/>
    <w:rsid w:val="009C69C0"/>
    <w:rsid w:val="009C6D8B"/>
    <w:rsid w:val="009C6DD4"/>
    <w:rsid w:val="009C72D5"/>
    <w:rsid w:val="009C764E"/>
    <w:rsid w:val="009D01D7"/>
    <w:rsid w:val="009D051B"/>
    <w:rsid w:val="009D06B6"/>
    <w:rsid w:val="009D0747"/>
    <w:rsid w:val="009D07C6"/>
    <w:rsid w:val="009D1866"/>
    <w:rsid w:val="009D18AE"/>
    <w:rsid w:val="009D1B5C"/>
    <w:rsid w:val="009D1BB0"/>
    <w:rsid w:val="009D21BE"/>
    <w:rsid w:val="009D2491"/>
    <w:rsid w:val="009D2512"/>
    <w:rsid w:val="009D26B8"/>
    <w:rsid w:val="009D2729"/>
    <w:rsid w:val="009D2CD2"/>
    <w:rsid w:val="009D2DD3"/>
    <w:rsid w:val="009D2FDB"/>
    <w:rsid w:val="009D303E"/>
    <w:rsid w:val="009D3BDA"/>
    <w:rsid w:val="009D44FE"/>
    <w:rsid w:val="009D4A6D"/>
    <w:rsid w:val="009D4B20"/>
    <w:rsid w:val="009D4CB7"/>
    <w:rsid w:val="009D5283"/>
    <w:rsid w:val="009D5825"/>
    <w:rsid w:val="009D5FE9"/>
    <w:rsid w:val="009D61CE"/>
    <w:rsid w:val="009D670B"/>
    <w:rsid w:val="009D6CE1"/>
    <w:rsid w:val="009D7684"/>
    <w:rsid w:val="009D7A04"/>
    <w:rsid w:val="009D7BB8"/>
    <w:rsid w:val="009D7DBB"/>
    <w:rsid w:val="009E0307"/>
    <w:rsid w:val="009E03B0"/>
    <w:rsid w:val="009E0A47"/>
    <w:rsid w:val="009E14FF"/>
    <w:rsid w:val="009E15A0"/>
    <w:rsid w:val="009E16C2"/>
    <w:rsid w:val="009E1B54"/>
    <w:rsid w:val="009E20E0"/>
    <w:rsid w:val="009E23E6"/>
    <w:rsid w:val="009E2542"/>
    <w:rsid w:val="009E26AB"/>
    <w:rsid w:val="009E26D6"/>
    <w:rsid w:val="009E2B51"/>
    <w:rsid w:val="009E2B9F"/>
    <w:rsid w:val="009E3571"/>
    <w:rsid w:val="009E365B"/>
    <w:rsid w:val="009E38E5"/>
    <w:rsid w:val="009E3CA5"/>
    <w:rsid w:val="009E475D"/>
    <w:rsid w:val="009E4BCB"/>
    <w:rsid w:val="009E4FAC"/>
    <w:rsid w:val="009E5266"/>
    <w:rsid w:val="009E58C6"/>
    <w:rsid w:val="009E5B67"/>
    <w:rsid w:val="009E5F3A"/>
    <w:rsid w:val="009E5F7C"/>
    <w:rsid w:val="009E6264"/>
    <w:rsid w:val="009E639D"/>
    <w:rsid w:val="009E75F7"/>
    <w:rsid w:val="009E7B30"/>
    <w:rsid w:val="009F00AE"/>
    <w:rsid w:val="009F01E6"/>
    <w:rsid w:val="009F034D"/>
    <w:rsid w:val="009F03C9"/>
    <w:rsid w:val="009F0746"/>
    <w:rsid w:val="009F0910"/>
    <w:rsid w:val="009F0B87"/>
    <w:rsid w:val="009F0F63"/>
    <w:rsid w:val="009F1CB6"/>
    <w:rsid w:val="009F1FCC"/>
    <w:rsid w:val="009F1FCE"/>
    <w:rsid w:val="009F2097"/>
    <w:rsid w:val="009F20DB"/>
    <w:rsid w:val="009F21CE"/>
    <w:rsid w:val="009F2252"/>
    <w:rsid w:val="009F2FBC"/>
    <w:rsid w:val="009F3479"/>
    <w:rsid w:val="009F3672"/>
    <w:rsid w:val="009F375B"/>
    <w:rsid w:val="009F399A"/>
    <w:rsid w:val="009F3BE6"/>
    <w:rsid w:val="009F3EE3"/>
    <w:rsid w:val="009F3F2F"/>
    <w:rsid w:val="009F3F41"/>
    <w:rsid w:val="009F4660"/>
    <w:rsid w:val="009F4739"/>
    <w:rsid w:val="009F47E7"/>
    <w:rsid w:val="009F4825"/>
    <w:rsid w:val="009F48DF"/>
    <w:rsid w:val="009F4C97"/>
    <w:rsid w:val="009F4E7F"/>
    <w:rsid w:val="009F4F0B"/>
    <w:rsid w:val="009F4F10"/>
    <w:rsid w:val="009F50CE"/>
    <w:rsid w:val="009F562F"/>
    <w:rsid w:val="009F5908"/>
    <w:rsid w:val="009F5DD2"/>
    <w:rsid w:val="009F6113"/>
    <w:rsid w:val="009F6364"/>
    <w:rsid w:val="009F6A09"/>
    <w:rsid w:val="009F6B58"/>
    <w:rsid w:val="009F6C3C"/>
    <w:rsid w:val="009F7022"/>
    <w:rsid w:val="009F7297"/>
    <w:rsid w:val="009F74A1"/>
    <w:rsid w:val="009F7852"/>
    <w:rsid w:val="009F7E6B"/>
    <w:rsid w:val="009F7E8E"/>
    <w:rsid w:val="00A0072D"/>
    <w:rsid w:val="00A00C12"/>
    <w:rsid w:val="00A00D14"/>
    <w:rsid w:val="00A0105D"/>
    <w:rsid w:val="00A01197"/>
    <w:rsid w:val="00A01DA8"/>
    <w:rsid w:val="00A01DE2"/>
    <w:rsid w:val="00A02293"/>
    <w:rsid w:val="00A02A20"/>
    <w:rsid w:val="00A02A9B"/>
    <w:rsid w:val="00A02B9B"/>
    <w:rsid w:val="00A030BE"/>
    <w:rsid w:val="00A036DC"/>
    <w:rsid w:val="00A03BE1"/>
    <w:rsid w:val="00A03D5F"/>
    <w:rsid w:val="00A04650"/>
    <w:rsid w:val="00A04726"/>
    <w:rsid w:val="00A048B2"/>
    <w:rsid w:val="00A0490F"/>
    <w:rsid w:val="00A04D46"/>
    <w:rsid w:val="00A04EBB"/>
    <w:rsid w:val="00A05395"/>
    <w:rsid w:val="00A058A8"/>
    <w:rsid w:val="00A061B1"/>
    <w:rsid w:val="00A068CA"/>
    <w:rsid w:val="00A06908"/>
    <w:rsid w:val="00A06A0A"/>
    <w:rsid w:val="00A06AFD"/>
    <w:rsid w:val="00A06C5E"/>
    <w:rsid w:val="00A06FB0"/>
    <w:rsid w:val="00A07169"/>
    <w:rsid w:val="00A076C5"/>
    <w:rsid w:val="00A0779F"/>
    <w:rsid w:val="00A077B9"/>
    <w:rsid w:val="00A10025"/>
    <w:rsid w:val="00A1013E"/>
    <w:rsid w:val="00A10272"/>
    <w:rsid w:val="00A10273"/>
    <w:rsid w:val="00A1036E"/>
    <w:rsid w:val="00A10988"/>
    <w:rsid w:val="00A10E61"/>
    <w:rsid w:val="00A117AA"/>
    <w:rsid w:val="00A11D4D"/>
    <w:rsid w:val="00A12B24"/>
    <w:rsid w:val="00A12B73"/>
    <w:rsid w:val="00A12D3F"/>
    <w:rsid w:val="00A13176"/>
    <w:rsid w:val="00A132CF"/>
    <w:rsid w:val="00A134DE"/>
    <w:rsid w:val="00A149AF"/>
    <w:rsid w:val="00A14D36"/>
    <w:rsid w:val="00A15659"/>
    <w:rsid w:val="00A15C81"/>
    <w:rsid w:val="00A15D98"/>
    <w:rsid w:val="00A161FD"/>
    <w:rsid w:val="00A16752"/>
    <w:rsid w:val="00A169DE"/>
    <w:rsid w:val="00A16AE3"/>
    <w:rsid w:val="00A16EFE"/>
    <w:rsid w:val="00A170B7"/>
    <w:rsid w:val="00A17CDA"/>
    <w:rsid w:val="00A17D5D"/>
    <w:rsid w:val="00A201B0"/>
    <w:rsid w:val="00A207AB"/>
    <w:rsid w:val="00A20AC6"/>
    <w:rsid w:val="00A20B6C"/>
    <w:rsid w:val="00A20FC7"/>
    <w:rsid w:val="00A214F0"/>
    <w:rsid w:val="00A215AB"/>
    <w:rsid w:val="00A21863"/>
    <w:rsid w:val="00A21A5A"/>
    <w:rsid w:val="00A21D63"/>
    <w:rsid w:val="00A21E5C"/>
    <w:rsid w:val="00A223C3"/>
    <w:rsid w:val="00A2259A"/>
    <w:rsid w:val="00A2264F"/>
    <w:rsid w:val="00A22CE0"/>
    <w:rsid w:val="00A22DE7"/>
    <w:rsid w:val="00A22F3A"/>
    <w:rsid w:val="00A22F82"/>
    <w:rsid w:val="00A238FB"/>
    <w:rsid w:val="00A23C4C"/>
    <w:rsid w:val="00A241A6"/>
    <w:rsid w:val="00A24416"/>
    <w:rsid w:val="00A24579"/>
    <w:rsid w:val="00A24C65"/>
    <w:rsid w:val="00A24FCB"/>
    <w:rsid w:val="00A25130"/>
    <w:rsid w:val="00A25303"/>
    <w:rsid w:val="00A25428"/>
    <w:rsid w:val="00A2568A"/>
    <w:rsid w:val="00A256C4"/>
    <w:rsid w:val="00A25719"/>
    <w:rsid w:val="00A260AF"/>
    <w:rsid w:val="00A2640D"/>
    <w:rsid w:val="00A26425"/>
    <w:rsid w:val="00A26555"/>
    <w:rsid w:val="00A26F4A"/>
    <w:rsid w:val="00A270FB"/>
    <w:rsid w:val="00A271DE"/>
    <w:rsid w:val="00A27404"/>
    <w:rsid w:val="00A2750A"/>
    <w:rsid w:val="00A27538"/>
    <w:rsid w:val="00A276BB"/>
    <w:rsid w:val="00A27C1E"/>
    <w:rsid w:val="00A27F15"/>
    <w:rsid w:val="00A30DB7"/>
    <w:rsid w:val="00A30EA5"/>
    <w:rsid w:val="00A31191"/>
    <w:rsid w:val="00A31470"/>
    <w:rsid w:val="00A31807"/>
    <w:rsid w:val="00A31A60"/>
    <w:rsid w:val="00A31D81"/>
    <w:rsid w:val="00A31F61"/>
    <w:rsid w:val="00A3208E"/>
    <w:rsid w:val="00A321C6"/>
    <w:rsid w:val="00A32640"/>
    <w:rsid w:val="00A3286C"/>
    <w:rsid w:val="00A33165"/>
    <w:rsid w:val="00A331AE"/>
    <w:rsid w:val="00A334B6"/>
    <w:rsid w:val="00A33BCB"/>
    <w:rsid w:val="00A34322"/>
    <w:rsid w:val="00A34365"/>
    <w:rsid w:val="00A34473"/>
    <w:rsid w:val="00A345CA"/>
    <w:rsid w:val="00A34C44"/>
    <w:rsid w:val="00A34E56"/>
    <w:rsid w:val="00A355E4"/>
    <w:rsid w:val="00A356C4"/>
    <w:rsid w:val="00A36155"/>
    <w:rsid w:val="00A36455"/>
    <w:rsid w:val="00A36A66"/>
    <w:rsid w:val="00A36A7F"/>
    <w:rsid w:val="00A36ABD"/>
    <w:rsid w:val="00A37179"/>
    <w:rsid w:val="00A37541"/>
    <w:rsid w:val="00A37569"/>
    <w:rsid w:val="00A37679"/>
    <w:rsid w:val="00A376AC"/>
    <w:rsid w:val="00A378E5"/>
    <w:rsid w:val="00A37D49"/>
    <w:rsid w:val="00A4003A"/>
    <w:rsid w:val="00A400D9"/>
    <w:rsid w:val="00A403C1"/>
    <w:rsid w:val="00A40774"/>
    <w:rsid w:val="00A40909"/>
    <w:rsid w:val="00A40941"/>
    <w:rsid w:val="00A409C8"/>
    <w:rsid w:val="00A409F7"/>
    <w:rsid w:val="00A40CF8"/>
    <w:rsid w:val="00A4141D"/>
    <w:rsid w:val="00A414A6"/>
    <w:rsid w:val="00A41BF3"/>
    <w:rsid w:val="00A41F5D"/>
    <w:rsid w:val="00A42248"/>
    <w:rsid w:val="00A42459"/>
    <w:rsid w:val="00A426F6"/>
    <w:rsid w:val="00A42BA7"/>
    <w:rsid w:val="00A42D28"/>
    <w:rsid w:val="00A42F84"/>
    <w:rsid w:val="00A431FD"/>
    <w:rsid w:val="00A43725"/>
    <w:rsid w:val="00A43AEC"/>
    <w:rsid w:val="00A43F4E"/>
    <w:rsid w:val="00A44157"/>
    <w:rsid w:val="00A448E4"/>
    <w:rsid w:val="00A44D3F"/>
    <w:rsid w:val="00A44E6E"/>
    <w:rsid w:val="00A451F7"/>
    <w:rsid w:val="00A45304"/>
    <w:rsid w:val="00A45376"/>
    <w:rsid w:val="00A4545B"/>
    <w:rsid w:val="00A455CE"/>
    <w:rsid w:val="00A457B4"/>
    <w:rsid w:val="00A45A5D"/>
    <w:rsid w:val="00A45ACE"/>
    <w:rsid w:val="00A45BE6"/>
    <w:rsid w:val="00A45C83"/>
    <w:rsid w:val="00A46525"/>
    <w:rsid w:val="00A46771"/>
    <w:rsid w:val="00A46887"/>
    <w:rsid w:val="00A46A43"/>
    <w:rsid w:val="00A46A56"/>
    <w:rsid w:val="00A46A8A"/>
    <w:rsid w:val="00A46A95"/>
    <w:rsid w:val="00A46ACF"/>
    <w:rsid w:val="00A4708C"/>
    <w:rsid w:val="00A47AFB"/>
    <w:rsid w:val="00A50CAB"/>
    <w:rsid w:val="00A50E5D"/>
    <w:rsid w:val="00A51087"/>
    <w:rsid w:val="00A51260"/>
    <w:rsid w:val="00A5140D"/>
    <w:rsid w:val="00A516F2"/>
    <w:rsid w:val="00A518FD"/>
    <w:rsid w:val="00A51B9E"/>
    <w:rsid w:val="00A51E79"/>
    <w:rsid w:val="00A520AF"/>
    <w:rsid w:val="00A521F2"/>
    <w:rsid w:val="00A5269A"/>
    <w:rsid w:val="00A52827"/>
    <w:rsid w:val="00A529B8"/>
    <w:rsid w:val="00A529EB"/>
    <w:rsid w:val="00A52FEA"/>
    <w:rsid w:val="00A53A4D"/>
    <w:rsid w:val="00A53A61"/>
    <w:rsid w:val="00A53C79"/>
    <w:rsid w:val="00A54800"/>
    <w:rsid w:val="00A5489C"/>
    <w:rsid w:val="00A54982"/>
    <w:rsid w:val="00A54A33"/>
    <w:rsid w:val="00A54E7A"/>
    <w:rsid w:val="00A54F89"/>
    <w:rsid w:val="00A5533E"/>
    <w:rsid w:val="00A55C14"/>
    <w:rsid w:val="00A55C51"/>
    <w:rsid w:val="00A56305"/>
    <w:rsid w:val="00A564F6"/>
    <w:rsid w:val="00A567E6"/>
    <w:rsid w:val="00A568E2"/>
    <w:rsid w:val="00A56AD4"/>
    <w:rsid w:val="00A57025"/>
    <w:rsid w:val="00A570E5"/>
    <w:rsid w:val="00A57187"/>
    <w:rsid w:val="00A60425"/>
    <w:rsid w:val="00A607F6"/>
    <w:rsid w:val="00A60A36"/>
    <w:rsid w:val="00A60C4F"/>
    <w:rsid w:val="00A60C9B"/>
    <w:rsid w:val="00A60EDC"/>
    <w:rsid w:val="00A61A9E"/>
    <w:rsid w:val="00A61AA4"/>
    <w:rsid w:val="00A622AB"/>
    <w:rsid w:val="00A623A7"/>
    <w:rsid w:val="00A6278B"/>
    <w:rsid w:val="00A627E1"/>
    <w:rsid w:val="00A62C8B"/>
    <w:rsid w:val="00A62F7B"/>
    <w:rsid w:val="00A6301A"/>
    <w:rsid w:val="00A63531"/>
    <w:rsid w:val="00A63884"/>
    <w:rsid w:val="00A63A32"/>
    <w:rsid w:val="00A63DBD"/>
    <w:rsid w:val="00A64338"/>
    <w:rsid w:val="00A64C0E"/>
    <w:rsid w:val="00A64C74"/>
    <w:rsid w:val="00A65454"/>
    <w:rsid w:val="00A65F85"/>
    <w:rsid w:val="00A66707"/>
    <w:rsid w:val="00A66A9C"/>
    <w:rsid w:val="00A673FE"/>
    <w:rsid w:val="00A674DC"/>
    <w:rsid w:val="00A675BF"/>
    <w:rsid w:val="00A675D0"/>
    <w:rsid w:val="00A67781"/>
    <w:rsid w:val="00A701E1"/>
    <w:rsid w:val="00A70EF2"/>
    <w:rsid w:val="00A71191"/>
    <w:rsid w:val="00A71C84"/>
    <w:rsid w:val="00A71ECB"/>
    <w:rsid w:val="00A72310"/>
    <w:rsid w:val="00A723E7"/>
    <w:rsid w:val="00A723F8"/>
    <w:rsid w:val="00A7295D"/>
    <w:rsid w:val="00A72A18"/>
    <w:rsid w:val="00A72AF4"/>
    <w:rsid w:val="00A72F4B"/>
    <w:rsid w:val="00A72F7E"/>
    <w:rsid w:val="00A72FB9"/>
    <w:rsid w:val="00A7308C"/>
    <w:rsid w:val="00A73723"/>
    <w:rsid w:val="00A73910"/>
    <w:rsid w:val="00A73A66"/>
    <w:rsid w:val="00A73B44"/>
    <w:rsid w:val="00A73EB8"/>
    <w:rsid w:val="00A742C5"/>
    <w:rsid w:val="00A74ACD"/>
    <w:rsid w:val="00A74AE9"/>
    <w:rsid w:val="00A750B9"/>
    <w:rsid w:val="00A75346"/>
    <w:rsid w:val="00A754E3"/>
    <w:rsid w:val="00A7563C"/>
    <w:rsid w:val="00A7572B"/>
    <w:rsid w:val="00A75C7D"/>
    <w:rsid w:val="00A7612A"/>
    <w:rsid w:val="00A764CE"/>
    <w:rsid w:val="00A765B4"/>
    <w:rsid w:val="00A769D5"/>
    <w:rsid w:val="00A76B40"/>
    <w:rsid w:val="00A76E94"/>
    <w:rsid w:val="00A77268"/>
    <w:rsid w:val="00A7746A"/>
    <w:rsid w:val="00A775A6"/>
    <w:rsid w:val="00A777F1"/>
    <w:rsid w:val="00A778CD"/>
    <w:rsid w:val="00A77A92"/>
    <w:rsid w:val="00A77CA8"/>
    <w:rsid w:val="00A77D49"/>
    <w:rsid w:val="00A8034A"/>
    <w:rsid w:val="00A8098F"/>
    <w:rsid w:val="00A80D79"/>
    <w:rsid w:val="00A80E85"/>
    <w:rsid w:val="00A80EDF"/>
    <w:rsid w:val="00A8170B"/>
    <w:rsid w:val="00A81797"/>
    <w:rsid w:val="00A81827"/>
    <w:rsid w:val="00A81995"/>
    <w:rsid w:val="00A81DAE"/>
    <w:rsid w:val="00A81DCC"/>
    <w:rsid w:val="00A81E37"/>
    <w:rsid w:val="00A825A8"/>
    <w:rsid w:val="00A825B5"/>
    <w:rsid w:val="00A827EE"/>
    <w:rsid w:val="00A828D9"/>
    <w:rsid w:val="00A82AE2"/>
    <w:rsid w:val="00A82B7D"/>
    <w:rsid w:val="00A82DD9"/>
    <w:rsid w:val="00A82EFC"/>
    <w:rsid w:val="00A831D0"/>
    <w:rsid w:val="00A83C39"/>
    <w:rsid w:val="00A83E2F"/>
    <w:rsid w:val="00A83E64"/>
    <w:rsid w:val="00A83F1B"/>
    <w:rsid w:val="00A83F40"/>
    <w:rsid w:val="00A84113"/>
    <w:rsid w:val="00A84496"/>
    <w:rsid w:val="00A8485A"/>
    <w:rsid w:val="00A853CD"/>
    <w:rsid w:val="00A857B1"/>
    <w:rsid w:val="00A85AC5"/>
    <w:rsid w:val="00A85F00"/>
    <w:rsid w:val="00A862D1"/>
    <w:rsid w:val="00A865B6"/>
    <w:rsid w:val="00A86997"/>
    <w:rsid w:val="00A869E7"/>
    <w:rsid w:val="00A86A44"/>
    <w:rsid w:val="00A86ABC"/>
    <w:rsid w:val="00A86E55"/>
    <w:rsid w:val="00A87285"/>
    <w:rsid w:val="00A87E4E"/>
    <w:rsid w:val="00A905AC"/>
    <w:rsid w:val="00A90783"/>
    <w:rsid w:val="00A90B63"/>
    <w:rsid w:val="00A90C5B"/>
    <w:rsid w:val="00A90CD3"/>
    <w:rsid w:val="00A910DC"/>
    <w:rsid w:val="00A911DB"/>
    <w:rsid w:val="00A921AB"/>
    <w:rsid w:val="00A923CD"/>
    <w:rsid w:val="00A92890"/>
    <w:rsid w:val="00A92D07"/>
    <w:rsid w:val="00A92D55"/>
    <w:rsid w:val="00A92D86"/>
    <w:rsid w:val="00A93209"/>
    <w:rsid w:val="00A933F6"/>
    <w:rsid w:val="00A937EF"/>
    <w:rsid w:val="00A939C8"/>
    <w:rsid w:val="00A93E55"/>
    <w:rsid w:val="00A94341"/>
    <w:rsid w:val="00A94923"/>
    <w:rsid w:val="00A94B86"/>
    <w:rsid w:val="00A94C66"/>
    <w:rsid w:val="00A952B4"/>
    <w:rsid w:val="00A952F7"/>
    <w:rsid w:val="00A95318"/>
    <w:rsid w:val="00A95503"/>
    <w:rsid w:val="00A956A7"/>
    <w:rsid w:val="00A95823"/>
    <w:rsid w:val="00A95BD4"/>
    <w:rsid w:val="00A95C6F"/>
    <w:rsid w:val="00A96047"/>
    <w:rsid w:val="00A96181"/>
    <w:rsid w:val="00A961DB"/>
    <w:rsid w:val="00A964D9"/>
    <w:rsid w:val="00A96B91"/>
    <w:rsid w:val="00A97290"/>
    <w:rsid w:val="00A97299"/>
    <w:rsid w:val="00A97893"/>
    <w:rsid w:val="00A97B0B"/>
    <w:rsid w:val="00AA02B7"/>
    <w:rsid w:val="00AA0EB5"/>
    <w:rsid w:val="00AA0F37"/>
    <w:rsid w:val="00AA1629"/>
    <w:rsid w:val="00AA1AE0"/>
    <w:rsid w:val="00AA1C7F"/>
    <w:rsid w:val="00AA1E0B"/>
    <w:rsid w:val="00AA1E31"/>
    <w:rsid w:val="00AA1E3F"/>
    <w:rsid w:val="00AA1EA1"/>
    <w:rsid w:val="00AA2316"/>
    <w:rsid w:val="00AA2714"/>
    <w:rsid w:val="00AA29AA"/>
    <w:rsid w:val="00AA2CD6"/>
    <w:rsid w:val="00AA2EE6"/>
    <w:rsid w:val="00AA3194"/>
    <w:rsid w:val="00AA3211"/>
    <w:rsid w:val="00AA3443"/>
    <w:rsid w:val="00AA3D4F"/>
    <w:rsid w:val="00AA3D88"/>
    <w:rsid w:val="00AA4035"/>
    <w:rsid w:val="00AA4122"/>
    <w:rsid w:val="00AA4230"/>
    <w:rsid w:val="00AA4382"/>
    <w:rsid w:val="00AA4556"/>
    <w:rsid w:val="00AA4EA8"/>
    <w:rsid w:val="00AA4EE7"/>
    <w:rsid w:val="00AA524A"/>
    <w:rsid w:val="00AA5F94"/>
    <w:rsid w:val="00AA61F6"/>
    <w:rsid w:val="00AA634A"/>
    <w:rsid w:val="00AA637C"/>
    <w:rsid w:val="00AA6475"/>
    <w:rsid w:val="00AA649B"/>
    <w:rsid w:val="00AA6520"/>
    <w:rsid w:val="00AA68F0"/>
    <w:rsid w:val="00AA6CEC"/>
    <w:rsid w:val="00AA6D5D"/>
    <w:rsid w:val="00AA6F90"/>
    <w:rsid w:val="00AA78FE"/>
    <w:rsid w:val="00AB0122"/>
    <w:rsid w:val="00AB0152"/>
    <w:rsid w:val="00AB02E7"/>
    <w:rsid w:val="00AB083D"/>
    <w:rsid w:val="00AB085E"/>
    <w:rsid w:val="00AB0923"/>
    <w:rsid w:val="00AB0D97"/>
    <w:rsid w:val="00AB0F4E"/>
    <w:rsid w:val="00AB10E0"/>
    <w:rsid w:val="00AB14B5"/>
    <w:rsid w:val="00AB1537"/>
    <w:rsid w:val="00AB1869"/>
    <w:rsid w:val="00AB1CE1"/>
    <w:rsid w:val="00AB2098"/>
    <w:rsid w:val="00AB2628"/>
    <w:rsid w:val="00AB2AD2"/>
    <w:rsid w:val="00AB3580"/>
    <w:rsid w:val="00AB3D29"/>
    <w:rsid w:val="00AB3F51"/>
    <w:rsid w:val="00AB4504"/>
    <w:rsid w:val="00AB4D20"/>
    <w:rsid w:val="00AB4E70"/>
    <w:rsid w:val="00AB53A2"/>
    <w:rsid w:val="00AB554E"/>
    <w:rsid w:val="00AB570B"/>
    <w:rsid w:val="00AB5A82"/>
    <w:rsid w:val="00AB61FD"/>
    <w:rsid w:val="00AB674A"/>
    <w:rsid w:val="00AB690E"/>
    <w:rsid w:val="00AB6F0B"/>
    <w:rsid w:val="00AB7056"/>
    <w:rsid w:val="00AB70BC"/>
    <w:rsid w:val="00AB71DA"/>
    <w:rsid w:val="00AB7322"/>
    <w:rsid w:val="00AB7961"/>
    <w:rsid w:val="00AB7D9C"/>
    <w:rsid w:val="00AB7D9D"/>
    <w:rsid w:val="00AC0878"/>
    <w:rsid w:val="00AC0DBD"/>
    <w:rsid w:val="00AC1276"/>
    <w:rsid w:val="00AC154C"/>
    <w:rsid w:val="00AC16D6"/>
    <w:rsid w:val="00AC1DB8"/>
    <w:rsid w:val="00AC1F19"/>
    <w:rsid w:val="00AC20C4"/>
    <w:rsid w:val="00AC23F0"/>
    <w:rsid w:val="00AC2AAD"/>
    <w:rsid w:val="00AC2C01"/>
    <w:rsid w:val="00AC2D03"/>
    <w:rsid w:val="00AC2D62"/>
    <w:rsid w:val="00AC2E40"/>
    <w:rsid w:val="00AC318A"/>
    <w:rsid w:val="00AC39DC"/>
    <w:rsid w:val="00AC3B6D"/>
    <w:rsid w:val="00AC3BF0"/>
    <w:rsid w:val="00AC3DF6"/>
    <w:rsid w:val="00AC3F3B"/>
    <w:rsid w:val="00AC400E"/>
    <w:rsid w:val="00AC425A"/>
    <w:rsid w:val="00AC45C4"/>
    <w:rsid w:val="00AC4732"/>
    <w:rsid w:val="00AC52C4"/>
    <w:rsid w:val="00AC583E"/>
    <w:rsid w:val="00AC5CEB"/>
    <w:rsid w:val="00AC5DAF"/>
    <w:rsid w:val="00AC5E21"/>
    <w:rsid w:val="00AC605D"/>
    <w:rsid w:val="00AC61C4"/>
    <w:rsid w:val="00AC6229"/>
    <w:rsid w:val="00AC6DC5"/>
    <w:rsid w:val="00AC6DFF"/>
    <w:rsid w:val="00AC71CB"/>
    <w:rsid w:val="00AC72AE"/>
    <w:rsid w:val="00AC740E"/>
    <w:rsid w:val="00AC7976"/>
    <w:rsid w:val="00AC7A10"/>
    <w:rsid w:val="00AC7E48"/>
    <w:rsid w:val="00AD0250"/>
    <w:rsid w:val="00AD06AB"/>
    <w:rsid w:val="00AD0A8E"/>
    <w:rsid w:val="00AD0CFC"/>
    <w:rsid w:val="00AD0E96"/>
    <w:rsid w:val="00AD1D6A"/>
    <w:rsid w:val="00AD1F0E"/>
    <w:rsid w:val="00AD25EB"/>
    <w:rsid w:val="00AD2709"/>
    <w:rsid w:val="00AD2AD3"/>
    <w:rsid w:val="00AD329F"/>
    <w:rsid w:val="00AD34B1"/>
    <w:rsid w:val="00AD3B78"/>
    <w:rsid w:val="00AD49A5"/>
    <w:rsid w:val="00AD49EC"/>
    <w:rsid w:val="00AD5391"/>
    <w:rsid w:val="00AD5609"/>
    <w:rsid w:val="00AD5621"/>
    <w:rsid w:val="00AD5D12"/>
    <w:rsid w:val="00AD672B"/>
    <w:rsid w:val="00AD6857"/>
    <w:rsid w:val="00AD6AA0"/>
    <w:rsid w:val="00AD6CA3"/>
    <w:rsid w:val="00AD6CAD"/>
    <w:rsid w:val="00AD7053"/>
    <w:rsid w:val="00AD7122"/>
    <w:rsid w:val="00AD7195"/>
    <w:rsid w:val="00AD753D"/>
    <w:rsid w:val="00AD7B47"/>
    <w:rsid w:val="00AD7BA2"/>
    <w:rsid w:val="00AD7CC2"/>
    <w:rsid w:val="00AD7DDE"/>
    <w:rsid w:val="00AE0287"/>
    <w:rsid w:val="00AE0431"/>
    <w:rsid w:val="00AE0535"/>
    <w:rsid w:val="00AE0D9C"/>
    <w:rsid w:val="00AE0F4D"/>
    <w:rsid w:val="00AE10C7"/>
    <w:rsid w:val="00AE14EB"/>
    <w:rsid w:val="00AE166B"/>
    <w:rsid w:val="00AE1793"/>
    <w:rsid w:val="00AE191F"/>
    <w:rsid w:val="00AE196F"/>
    <w:rsid w:val="00AE1D68"/>
    <w:rsid w:val="00AE1DD1"/>
    <w:rsid w:val="00AE1E22"/>
    <w:rsid w:val="00AE1EAE"/>
    <w:rsid w:val="00AE248B"/>
    <w:rsid w:val="00AE2580"/>
    <w:rsid w:val="00AE26BE"/>
    <w:rsid w:val="00AE33AD"/>
    <w:rsid w:val="00AE36B5"/>
    <w:rsid w:val="00AE3868"/>
    <w:rsid w:val="00AE39E4"/>
    <w:rsid w:val="00AE4750"/>
    <w:rsid w:val="00AE4A20"/>
    <w:rsid w:val="00AE4A48"/>
    <w:rsid w:val="00AE4A94"/>
    <w:rsid w:val="00AE4CC1"/>
    <w:rsid w:val="00AE4EDE"/>
    <w:rsid w:val="00AE5290"/>
    <w:rsid w:val="00AE596F"/>
    <w:rsid w:val="00AE5D93"/>
    <w:rsid w:val="00AE5DAC"/>
    <w:rsid w:val="00AE5FDE"/>
    <w:rsid w:val="00AE6491"/>
    <w:rsid w:val="00AE6C20"/>
    <w:rsid w:val="00AE73E0"/>
    <w:rsid w:val="00AE77FA"/>
    <w:rsid w:val="00AE7AF3"/>
    <w:rsid w:val="00AF00C2"/>
    <w:rsid w:val="00AF1B2C"/>
    <w:rsid w:val="00AF1E9A"/>
    <w:rsid w:val="00AF2087"/>
    <w:rsid w:val="00AF213C"/>
    <w:rsid w:val="00AF22A0"/>
    <w:rsid w:val="00AF2359"/>
    <w:rsid w:val="00AF23BE"/>
    <w:rsid w:val="00AF288E"/>
    <w:rsid w:val="00AF2991"/>
    <w:rsid w:val="00AF2E8D"/>
    <w:rsid w:val="00AF3AF4"/>
    <w:rsid w:val="00AF3F90"/>
    <w:rsid w:val="00AF497A"/>
    <w:rsid w:val="00AF4F51"/>
    <w:rsid w:val="00AF501B"/>
    <w:rsid w:val="00AF5669"/>
    <w:rsid w:val="00AF5BFF"/>
    <w:rsid w:val="00AF5CCC"/>
    <w:rsid w:val="00AF6599"/>
    <w:rsid w:val="00AF662F"/>
    <w:rsid w:val="00AF690A"/>
    <w:rsid w:val="00AF6B75"/>
    <w:rsid w:val="00AF6C33"/>
    <w:rsid w:val="00AF6FB8"/>
    <w:rsid w:val="00AF70CA"/>
    <w:rsid w:val="00AF714A"/>
    <w:rsid w:val="00AF7503"/>
    <w:rsid w:val="00AF7A3E"/>
    <w:rsid w:val="00B003B9"/>
    <w:rsid w:val="00B004B4"/>
    <w:rsid w:val="00B006AD"/>
    <w:rsid w:val="00B014A4"/>
    <w:rsid w:val="00B015A1"/>
    <w:rsid w:val="00B016CD"/>
    <w:rsid w:val="00B01B3D"/>
    <w:rsid w:val="00B01D73"/>
    <w:rsid w:val="00B026EF"/>
    <w:rsid w:val="00B028DE"/>
    <w:rsid w:val="00B02A82"/>
    <w:rsid w:val="00B02AF7"/>
    <w:rsid w:val="00B02C44"/>
    <w:rsid w:val="00B02E0E"/>
    <w:rsid w:val="00B033AA"/>
    <w:rsid w:val="00B033D5"/>
    <w:rsid w:val="00B03EE9"/>
    <w:rsid w:val="00B04575"/>
    <w:rsid w:val="00B0543A"/>
    <w:rsid w:val="00B0549B"/>
    <w:rsid w:val="00B05530"/>
    <w:rsid w:val="00B05715"/>
    <w:rsid w:val="00B058AF"/>
    <w:rsid w:val="00B058F2"/>
    <w:rsid w:val="00B05BDD"/>
    <w:rsid w:val="00B06989"/>
    <w:rsid w:val="00B06C1B"/>
    <w:rsid w:val="00B06E4C"/>
    <w:rsid w:val="00B06F21"/>
    <w:rsid w:val="00B070AD"/>
    <w:rsid w:val="00B070BD"/>
    <w:rsid w:val="00B073C8"/>
    <w:rsid w:val="00B0770C"/>
    <w:rsid w:val="00B07C76"/>
    <w:rsid w:val="00B07D06"/>
    <w:rsid w:val="00B07F32"/>
    <w:rsid w:val="00B10090"/>
    <w:rsid w:val="00B10B3B"/>
    <w:rsid w:val="00B10E06"/>
    <w:rsid w:val="00B10E2B"/>
    <w:rsid w:val="00B10EC8"/>
    <w:rsid w:val="00B11172"/>
    <w:rsid w:val="00B117D8"/>
    <w:rsid w:val="00B12298"/>
    <w:rsid w:val="00B12440"/>
    <w:rsid w:val="00B12BDF"/>
    <w:rsid w:val="00B12C3D"/>
    <w:rsid w:val="00B12D45"/>
    <w:rsid w:val="00B13139"/>
    <w:rsid w:val="00B133D3"/>
    <w:rsid w:val="00B13696"/>
    <w:rsid w:val="00B136EE"/>
    <w:rsid w:val="00B1388B"/>
    <w:rsid w:val="00B1388D"/>
    <w:rsid w:val="00B13A30"/>
    <w:rsid w:val="00B141AD"/>
    <w:rsid w:val="00B14481"/>
    <w:rsid w:val="00B14720"/>
    <w:rsid w:val="00B14AEE"/>
    <w:rsid w:val="00B14D36"/>
    <w:rsid w:val="00B14DA9"/>
    <w:rsid w:val="00B14F02"/>
    <w:rsid w:val="00B15FBC"/>
    <w:rsid w:val="00B16006"/>
    <w:rsid w:val="00B171C6"/>
    <w:rsid w:val="00B1742B"/>
    <w:rsid w:val="00B1747D"/>
    <w:rsid w:val="00B1790A"/>
    <w:rsid w:val="00B179E9"/>
    <w:rsid w:val="00B17C51"/>
    <w:rsid w:val="00B20026"/>
    <w:rsid w:val="00B20C84"/>
    <w:rsid w:val="00B20D61"/>
    <w:rsid w:val="00B20FE4"/>
    <w:rsid w:val="00B21050"/>
    <w:rsid w:val="00B210BA"/>
    <w:rsid w:val="00B212C6"/>
    <w:rsid w:val="00B21556"/>
    <w:rsid w:val="00B21AB9"/>
    <w:rsid w:val="00B21CD6"/>
    <w:rsid w:val="00B21CF5"/>
    <w:rsid w:val="00B222A5"/>
    <w:rsid w:val="00B22C8F"/>
    <w:rsid w:val="00B23013"/>
    <w:rsid w:val="00B235A7"/>
    <w:rsid w:val="00B23A57"/>
    <w:rsid w:val="00B23F5E"/>
    <w:rsid w:val="00B23FDD"/>
    <w:rsid w:val="00B248C1"/>
    <w:rsid w:val="00B249C5"/>
    <w:rsid w:val="00B249F1"/>
    <w:rsid w:val="00B24F26"/>
    <w:rsid w:val="00B25076"/>
    <w:rsid w:val="00B25310"/>
    <w:rsid w:val="00B25613"/>
    <w:rsid w:val="00B2587C"/>
    <w:rsid w:val="00B259D3"/>
    <w:rsid w:val="00B25CF6"/>
    <w:rsid w:val="00B26572"/>
    <w:rsid w:val="00B269DC"/>
    <w:rsid w:val="00B26C1C"/>
    <w:rsid w:val="00B26FCE"/>
    <w:rsid w:val="00B2718B"/>
    <w:rsid w:val="00B2745D"/>
    <w:rsid w:val="00B275D7"/>
    <w:rsid w:val="00B27B0F"/>
    <w:rsid w:val="00B27B69"/>
    <w:rsid w:val="00B27B87"/>
    <w:rsid w:val="00B304A5"/>
    <w:rsid w:val="00B30751"/>
    <w:rsid w:val="00B30897"/>
    <w:rsid w:val="00B30920"/>
    <w:rsid w:val="00B30A68"/>
    <w:rsid w:val="00B30EE2"/>
    <w:rsid w:val="00B31163"/>
    <w:rsid w:val="00B31D3A"/>
    <w:rsid w:val="00B320CC"/>
    <w:rsid w:val="00B328B2"/>
    <w:rsid w:val="00B32AC5"/>
    <w:rsid w:val="00B32BDD"/>
    <w:rsid w:val="00B3312A"/>
    <w:rsid w:val="00B33A01"/>
    <w:rsid w:val="00B33CAD"/>
    <w:rsid w:val="00B34129"/>
    <w:rsid w:val="00B343B8"/>
    <w:rsid w:val="00B359C7"/>
    <w:rsid w:val="00B35A08"/>
    <w:rsid w:val="00B35A5E"/>
    <w:rsid w:val="00B35C13"/>
    <w:rsid w:val="00B35F53"/>
    <w:rsid w:val="00B3604A"/>
    <w:rsid w:val="00B36774"/>
    <w:rsid w:val="00B36A7F"/>
    <w:rsid w:val="00B36B93"/>
    <w:rsid w:val="00B36DCA"/>
    <w:rsid w:val="00B36EC9"/>
    <w:rsid w:val="00B36F61"/>
    <w:rsid w:val="00B371A8"/>
    <w:rsid w:val="00B37845"/>
    <w:rsid w:val="00B37966"/>
    <w:rsid w:val="00B37C3B"/>
    <w:rsid w:val="00B37C4C"/>
    <w:rsid w:val="00B37E3B"/>
    <w:rsid w:val="00B4008C"/>
    <w:rsid w:val="00B4016E"/>
    <w:rsid w:val="00B401F6"/>
    <w:rsid w:val="00B4078B"/>
    <w:rsid w:val="00B40D10"/>
    <w:rsid w:val="00B413BD"/>
    <w:rsid w:val="00B41561"/>
    <w:rsid w:val="00B41565"/>
    <w:rsid w:val="00B416AA"/>
    <w:rsid w:val="00B417B9"/>
    <w:rsid w:val="00B41EA0"/>
    <w:rsid w:val="00B41F15"/>
    <w:rsid w:val="00B427BD"/>
    <w:rsid w:val="00B4296D"/>
    <w:rsid w:val="00B42BAD"/>
    <w:rsid w:val="00B42C97"/>
    <w:rsid w:val="00B42D01"/>
    <w:rsid w:val="00B42E62"/>
    <w:rsid w:val="00B42EFA"/>
    <w:rsid w:val="00B432A6"/>
    <w:rsid w:val="00B432EB"/>
    <w:rsid w:val="00B43370"/>
    <w:rsid w:val="00B43506"/>
    <w:rsid w:val="00B436EA"/>
    <w:rsid w:val="00B438C8"/>
    <w:rsid w:val="00B43902"/>
    <w:rsid w:val="00B439A3"/>
    <w:rsid w:val="00B43B89"/>
    <w:rsid w:val="00B43F4A"/>
    <w:rsid w:val="00B4428E"/>
    <w:rsid w:val="00B4480E"/>
    <w:rsid w:val="00B44E97"/>
    <w:rsid w:val="00B45052"/>
    <w:rsid w:val="00B45080"/>
    <w:rsid w:val="00B454C5"/>
    <w:rsid w:val="00B458CD"/>
    <w:rsid w:val="00B45E0F"/>
    <w:rsid w:val="00B45FC5"/>
    <w:rsid w:val="00B460F2"/>
    <w:rsid w:val="00B461DF"/>
    <w:rsid w:val="00B462B2"/>
    <w:rsid w:val="00B463D4"/>
    <w:rsid w:val="00B463E9"/>
    <w:rsid w:val="00B46494"/>
    <w:rsid w:val="00B46AB2"/>
    <w:rsid w:val="00B4713F"/>
    <w:rsid w:val="00B479F5"/>
    <w:rsid w:val="00B47BD6"/>
    <w:rsid w:val="00B47BDB"/>
    <w:rsid w:val="00B50121"/>
    <w:rsid w:val="00B50245"/>
    <w:rsid w:val="00B50659"/>
    <w:rsid w:val="00B50727"/>
    <w:rsid w:val="00B50AE5"/>
    <w:rsid w:val="00B50CA1"/>
    <w:rsid w:val="00B50EB6"/>
    <w:rsid w:val="00B51072"/>
    <w:rsid w:val="00B510AB"/>
    <w:rsid w:val="00B5132E"/>
    <w:rsid w:val="00B5151F"/>
    <w:rsid w:val="00B5170F"/>
    <w:rsid w:val="00B51A52"/>
    <w:rsid w:val="00B51F3E"/>
    <w:rsid w:val="00B520CE"/>
    <w:rsid w:val="00B52D06"/>
    <w:rsid w:val="00B53A93"/>
    <w:rsid w:val="00B53D2F"/>
    <w:rsid w:val="00B5467F"/>
    <w:rsid w:val="00B546C8"/>
    <w:rsid w:val="00B547B1"/>
    <w:rsid w:val="00B5487A"/>
    <w:rsid w:val="00B548AD"/>
    <w:rsid w:val="00B54AF2"/>
    <w:rsid w:val="00B55159"/>
    <w:rsid w:val="00B55368"/>
    <w:rsid w:val="00B5550C"/>
    <w:rsid w:val="00B560EA"/>
    <w:rsid w:val="00B56ED7"/>
    <w:rsid w:val="00B57038"/>
    <w:rsid w:val="00B5736C"/>
    <w:rsid w:val="00B576A4"/>
    <w:rsid w:val="00B5782A"/>
    <w:rsid w:val="00B57A39"/>
    <w:rsid w:val="00B57D23"/>
    <w:rsid w:val="00B57E1F"/>
    <w:rsid w:val="00B57E3A"/>
    <w:rsid w:val="00B606DB"/>
    <w:rsid w:val="00B6078D"/>
    <w:rsid w:val="00B609F2"/>
    <w:rsid w:val="00B60F67"/>
    <w:rsid w:val="00B61030"/>
    <w:rsid w:val="00B61230"/>
    <w:rsid w:val="00B616B3"/>
    <w:rsid w:val="00B618DB"/>
    <w:rsid w:val="00B6198D"/>
    <w:rsid w:val="00B61A43"/>
    <w:rsid w:val="00B61C2E"/>
    <w:rsid w:val="00B61C94"/>
    <w:rsid w:val="00B61CE9"/>
    <w:rsid w:val="00B620BB"/>
    <w:rsid w:val="00B626A8"/>
    <w:rsid w:val="00B62978"/>
    <w:rsid w:val="00B62F14"/>
    <w:rsid w:val="00B62FCD"/>
    <w:rsid w:val="00B63056"/>
    <w:rsid w:val="00B63B71"/>
    <w:rsid w:val="00B63D4E"/>
    <w:rsid w:val="00B64360"/>
    <w:rsid w:val="00B6447C"/>
    <w:rsid w:val="00B64837"/>
    <w:rsid w:val="00B64B41"/>
    <w:rsid w:val="00B65117"/>
    <w:rsid w:val="00B65626"/>
    <w:rsid w:val="00B658DA"/>
    <w:rsid w:val="00B65F26"/>
    <w:rsid w:val="00B6643F"/>
    <w:rsid w:val="00B666F6"/>
    <w:rsid w:val="00B66A28"/>
    <w:rsid w:val="00B66B14"/>
    <w:rsid w:val="00B66E38"/>
    <w:rsid w:val="00B66E4A"/>
    <w:rsid w:val="00B67A44"/>
    <w:rsid w:val="00B67A99"/>
    <w:rsid w:val="00B67BEB"/>
    <w:rsid w:val="00B70166"/>
    <w:rsid w:val="00B708A8"/>
    <w:rsid w:val="00B70957"/>
    <w:rsid w:val="00B70DC1"/>
    <w:rsid w:val="00B71280"/>
    <w:rsid w:val="00B71DE8"/>
    <w:rsid w:val="00B71ECE"/>
    <w:rsid w:val="00B71F57"/>
    <w:rsid w:val="00B72B81"/>
    <w:rsid w:val="00B72DA2"/>
    <w:rsid w:val="00B73731"/>
    <w:rsid w:val="00B7373D"/>
    <w:rsid w:val="00B73949"/>
    <w:rsid w:val="00B73C45"/>
    <w:rsid w:val="00B73CCC"/>
    <w:rsid w:val="00B73E17"/>
    <w:rsid w:val="00B7485F"/>
    <w:rsid w:val="00B74AFA"/>
    <w:rsid w:val="00B7531D"/>
    <w:rsid w:val="00B75438"/>
    <w:rsid w:val="00B75AF6"/>
    <w:rsid w:val="00B75B84"/>
    <w:rsid w:val="00B75DDD"/>
    <w:rsid w:val="00B7695D"/>
    <w:rsid w:val="00B76A9A"/>
    <w:rsid w:val="00B76D78"/>
    <w:rsid w:val="00B77599"/>
    <w:rsid w:val="00B77C57"/>
    <w:rsid w:val="00B77EE8"/>
    <w:rsid w:val="00B806FC"/>
    <w:rsid w:val="00B80CC3"/>
    <w:rsid w:val="00B80F61"/>
    <w:rsid w:val="00B81003"/>
    <w:rsid w:val="00B815C7"/>
    <w:rsid w:val="00B8183D"/>
    <w:rsid w:val="00B8218A"/>
    <w:rsid w:val="00B826C6"/>
    <w:rsid w:val="00B82A4A"/>
    <w:rsid w:val="00B82B20"/>
    <w:rsid w:val="00B82CA0"/>
    <w:rsid w:val="00B83146"/>
    <w:rsid w:val="00B835CA"/>
    <w:rsid w:val="00B8363C"/>
    <w:rsid w:val="00B8370E"/>
    <w:rsid w:val="00B837EF"/>
    <w:rsid w:val="00B8389F"/>
    <w:rsid w:val="00B839E6"/>
    <w:rsid w:val="00B84228"/>
    <w:rsid w:val="00B84A2B"/>
    <w:rsid w:val="00B85013"/>
    <w:rsid w:val="00B85209"/>
    <w:rsid w:val="00B85629"/>
    <w:rsid w:val="00B85837"/>
    <w:rsid w:val="00B8588F"/>
    <w:rsid w:val="00B85BFC"/>
    <w:rsid w:val="00B85CF1"/>
    <w:rsid w:val="00B85F37"/>
    <w:rsid w:val="00B86064"/>
    <w:rsid w:val="00B8632C"/>
    <w:rsid w:val="00B86409"/>
    <w:rsid w:val="00B868DD"/>
    <w:rsid w:val="00B86A29"/>
    <w:rsid w:val="00B86CB5"/>
    <w:rsid w:val="00B86D91"/>
    <w:rsid w:val="00B86E53"/>
    <w:rsid w:val="00B86FE7"/>
    <w:rsid w:val="00B87039"/>
    <w:rsid w:val="00B8750F"/>
    <w:rsid w:val="00B87695"/>
    <w:rsid w:val="00B87CA1"/>
    <w:rsid w:val="00B87F6A"/>
    <w:rsid w:val="00B9029B"/>
    <w:rsid w:val="00B9036D"/>
    <w:rsid w:val="00B90569"/>
    <w:rsid w:val="00B908B7"/>
    <w:rsid w:val="00B90A7A"/>
    <w:rsid w:val="00B90ED1"/>
    <w:rsid w:val="00B90F0D"/>
    <w:rsid w:val="00B9101A"/>
    <w:rsid w:val="00B910C1"/>
    <w:rsid w:val="00B91645"/>
    <w:rsid w:val="00B91978"/>
    <w:rsid w:val="00B91EE5"/>
    <w:rsid w:val="00B92175"/>
    <w:rsid w:val="00B92439"/>
    <w:rsid w:val="00B929CB"/>
    <w:rsid w:val="00B92DCA"/>
    <w:rsid w:val="00B92F02"/>
    <w:rsid w:val="00B931D7"/>
    <w:rsid w:val="00B9327D"/>
    <w:rsid w:val="00B9331B"/>
    <w:rsid w:val="00B9343F"/>
    <w:rsid w:val="00B9351E"/>
    <w:rsid w:val="00B9365D"/>
    <w:rsid w:val="00B93AE7"/>
    <w:rsid w:val="00B947BC"/>
    <w:rsid w:val="00B95653"/>
    <w:rsid w:val="00B9584F"/>
    <w:rsid w:val="00B95AEC"/>
    <w:rsid w:val="00B95E63"/>
    <w:rsid w:val="00B95FF6"/>
    <w:rsid w:val="00B960B2"/>
    <w:rsid w:val="00B968A7"/>
    <w:rsid w:val="00B96A0B"/>
    <w:rsid w:val="00B96CF5"/>
    <w:rsid w:val="00B96E57"/>
    <w:rsid w:val="00B97613"/>
    <w:rsid w:val="00B97706"/>
    <w:rsid w:val="00B977C8"/>
    <w:rsid w:val="00B97893"/>
    <w:rsid w:val="00B97F9A"/>
    <w:rsid w:val="00BA0029"/>
    <w:rsid w:val="00BA036F"/>
    <w:rsid w:val="00BA04D0"/>
    <w:rsid w:val="00BA0771"/>
    <w:rsid w:val="00BA08AB"/>
    <w:rsid w:val="00BA0B4E"/>
    <w:rsid w:val="00BA0CD5"/>
    <w:rsid w:val="00BA1C8B"/>
    <w:rsid w:val="00BA2171"/>
    <w:rsid w:val="00BA22EB"/>
    <w:rsid w:val="00BA2BAF"/>
    <w:rsid w:val="00BA2BE8"/>
    <w:rsid w:val="00BA2E32"/>
    <w:rsid w:val="00BA3018"/>
    <w:rsid w:val="00BA3277"/>
    <w:rsid w:val="00BA3BD9"/>
    <w:rsid w:val="00BA421F"/>
    <w:rsid w:val="00BA434D"/>
    <w:rsid w:val="00BA4428"/>
    <w:rsid w:val="00BA46AF"/>
    <w:rsid w:val="00BA46B3"/>
    <w:rsid w:val="00BA46DE"/>
    <w:rsid w:val="00BA46E8"/>
    <w:rsid w:val="00BA4B19"/>
    <w:rsid w:val="00BA527B"/>
    <w:rsid w:val="00BA5548"/>
    <w:rsid w:val="00BA5AAD"/>
    <w:rsid w:val="00BA5D8F"/>
    <w:rsid w:val="00BA5F41"/>
    <w:rsid w:val="00BA625E"/>
    <w:rsid w:val="00BA676B"/>
    <w:rsid w:val="00BA68B4"/>
    <w:rsid w:val="00BA69D3"/>
    <w:rsid w:val="00BA702B"/>
    <w:rsid w:val="00BA78F7"/>
    <w:rsid w:val="00BA794A"/>
    <w:rsid w:val="00BA7CF2"/>
    <w:rsid w:val="00BA7F7D"/>
    <w:rsid w:val="00BA7FD3"/>
    <w:rsid w:val="00BB041C"/>
    <w:rsid w:val="00BB0618"/>
    <w:rsid w:val="00BB0650"/>
    <w:rsid w:val="00BB0BB9"/>
    <w:rsid w:val="00BB1062"/>
    <w:rsid w:val="00BB1C55"/>
    <w:rsid w:val="00BB1E86"/>
    <w:rsid w:val="00BB2456"/>
    <w:rsid w:val="00BB260A"/>
    <w:rsid w:val="00BB27FF"/>
    <w:rsid w:val="00BB343C"/>
    <w:rsid w:val="00BB37F0"/>
    <w:rsid w:val="00BB3A82"/>
    <w:rsid w:val="00BB3AA0"/>
    <w:rsid w:val="00BB3B6E"/>
    <w:rsid w:val="00BB41DA"/>
    <w:rsid w:val="00BB46CE"/>
    <w:rsid w:val="00BB4E27"/>
    <w:rsid w:val="00BB4E73"/>
    <w:rsid w:val="00BB5103"/>
    <w:rsid w:val="00BB510E"/>
    <w:rsid w:val="00BB5493"/>
    <w:rsid w:val="00BB5549"/>
    <w:rsid w:val="00BB5687"/>
    <w:rsid w:val="00BB58D3"/>
    <w:rsid w:val="00BB58DB"/>
    <w:rsid w:val="00BB5E6D"/>
    <w:rsid w:val="00BB6060"/>
    <w:rsid w:val="00BB611F"/>
    <w:rsid w:val="00BB6129"/>
    <w:rsid w:val="00BB66A5"/>
    <w:rsid w:val="00BB67F3"/>
    <w:rsid w:val="00BB7594"/>
    <w:rsid w:val="00BB76A5"/>
    <w:rsid w:val="00BB771C"/>
    <w:rsid w:val="00BC00F7"/>
    <w:rsid w:val="00BC035C"/>
    <w:rsid w:val="00BC03D3"/>
    <w:rsid w:val="00BC05F5"/>
    <w:rsid w:val="00BC09F3"/>
    <w:rsid w:val="00BC0A52"/>
    <w:rsid w:val="00BC0D39"/>
    <w:rsid w:val="00BC0D91"/>
    <w:rsid w:val="00BC1118"/>
    <w:rsid w:val="00BC11AD"/>
    <w:rsid w:val="00BC15F6"/>
    <w:rsid w:val="00BC16DD"/>
    <w:rsid w:val="00BC1FA0"/>
    <w:rsid w:val="00BC2D05"/>
    <w:rsid w:val="00BC384F"/>
    <w:rsid w:val="00BC3871"/>
    <w:rsid w:val="00BC3A10"/>
    <w:rsid w:val="00BC3E67"/>
    <w:rsid w:val="00BC3E86"/>
    <w:rsid w:val="00BC3EBB"/>
    <w:rsid w:val="00BC441F"/>
    <w:rsid w:val="00BC46FD"/>
    <w:rsid w:val="00BC49B7"/>
    <w:rsid w:val="00BC4E34"/>
    <w:rsid w:val="00BC5280"/>
    <w:rsid w:val="00BC5BE2"/>
    <w:rsid w:val="00BC5C28"/>
    <w:rsid w:val="00BC5E6A"/>
    <w:rsid w:val="00BC60A9"/>
    <w:rsid w:val="00BC6875"/>
    <w:rsid w:val="00BC6BF5"/>
    <w:rsid w:val="00BC6C7C"/>
    <w:rsid w:val="00BC6EEF"/>
    <w:rsid w:val="00BC6F09"/>
    <w:rsid w:val="00BC7113"/>
    <w:rsid w:val="00BD009B"/>
    <w:rsid w:val="00BD0219"/>
    <w:rsid w:val="00BD147A"/>
    <w:rsid w:val="00BD174E"/>
    <w:rsid w:val="00BD1771"/>
    <w:rsid w:val="00BD1CB4"/>
    <w:rsid w:val="00BD1E34"/>
    <w:rsid w:val="00BD1F3F"/>
    <w:rsid w:val="00BD1F84"/>
    <w:rsid w:val="00BD2593"/>
    <w:rsid w:val="00BD2594"/>
    <w:rsid w:val="00BD2913"/>
    <w:rsid w:val="00BD2FD9"/>
    <w:rsid w:val="00BD2FFF"/>
    <w:rsid w:val="00BD3145"/>
    <w:rsid w:val="00BD375A"/>
    <w:rsid w:val="00BD3D65"/>
    <w:rsid w:val="00BD4363"/>
    <w:rsid w:val="00BD43BD"/>
    <w:rsid w:val="00BD4417"/>
    <w:rsid w:val="00BD506F"/>
    <w:rsid w:val="00BD5117"/>
    <w:rsid w:val="00BD6096"/>
    <w:rsid w:val="00BD720E"/>
    <w:rsid w:val="00BD73BC"/>
    <w:rsid w:val="00BD76AC"/>
    <w:rsid w:val="00BD76BC"/>
    <w:rsid w:val="00BD7751"/>
    <w:rsid w:val="00BD7A31"/>
    <w:rsid w:val="00BD7DF0"/>
    <w:rsid w:val="00BD7F65"/>
    <w:rsid w:val="00BE0069"/>
    <w:rsid w:val="00BE0767"/>
    <w:rsid w:val="00BE08F0"/>
    <w:rsid w:val="00BE12AC"/>
    <w:rsid w:val="00BE192A"/>
    <w:rsid w:val="00BE1963"/>
    <w:rsid w:val="00BE1977"/>
    <w:rsid w:val="00BE1B19"/>
    <w:rsid w:val="00BE1E11"/>
    <w:rsid w:val="00BE1F8B"/>
    <w:rsid w:val="00BE2B4E"/>
    <w:rsid w:val="00BE2D4F"/>
    <w:rsid w:val="00BE2DCC"/>
    <w:rsid w:val="00BE2DE8"/>
    <w:rsid w:val="00BE3477"/>
    <w:rsid w:val="00BE36DA"/>
    <w:rsid w:val="00BE384C"/>
    <w:rsid w:val="00BE38CE"/>
    <w:rsid w:val="00BE3953"/>
    <w:rsid w:val="00BE3E94"/>
    <w:rsid w:val="00BE43AE"/>
    <w:rsid w:val="00BE4A18"/>
    <w:rsid w:val="00BE4D10"/>
    <w:rsid w:val="00BE4F55"/>
    <w:rsid w:val="00BE5046"/>
    <w:rsid w:val="00BE530A"/>
    <w:rsid w:val="00BE596C"/>
    <w:rsid w:val="00BE5C17"/>
    <w:rsid w:val="00BE65C1"/>
    <w:rsid w:val="00BE683D"/>
    <w:rsid w:val="00BE6E15"/>
    <w:rsid w:val="00BE6F82"/>
    <w:rsid w:val="00BE6F9D"/>
    <w:rsid w:val="00BE71CB"/>
    <w:rsid w:val="00BE738D"/>
    <w:rsid w:val="00BE75D3"/>
    <w:rsid w:val="00BE7AAB"/>
    <w:rsid w:val="00BE7B4D"/>
    <w:rsid w:val="00BE7E98"/>
    <w:rsid w:val="00BF0570"/>
    <w:rsid w:val="00BF0A36"/>
    <w:rsid w:val="00BF0A81"/>
    <w:rsid w:val="00BF0B61"/>
    <w:rsid w:val="00BF0E73"/>
    <w:rsid w:val="00BF1085"/>
    <w:rsid w:val="00BF10E7"/>
    <w:rsid w:val="00BF14D3"/>
    <w:rsid w:val="00BF15CB"/>
    <w:rsid w:val="00BF1923"/>
    <w:rsid w:val="00BF1D21"/>
    <w:rsid w:val="00BF241E"/>
    <w:rsid w:val="00BF2560"/>
    <w:rsid w:val="00BF2D65"/>
    <w:rsid w:val="00BF2DFE"/>
    <w:rsid w:val="00BF2E18"/>
    <w:rsid w:val="00BF2E79"/>
    <w:rsid w:val="00BF34AC"/>
    <w:rsid w:val="00BF3D86"/>
    <w:rsid w:val="00BF3D92"/>
    <w:rsid w:val="00BF4852"/>
    <w:rsid w:val="00BF4FD0"/>
    <w:rsid w:val="00BF54EE"/>
    <w:rsid w:val="00BF5551"/>
    <w:rsid w:val="00BF56AA"/>
    <w:rsid w:val="00BF56BD"/>
    <w:rsid w:val="00BF5942"/>
    <w:rsid w:val="00BF5B4F"/>
    <w:rsid w:val="00BF5DF4"/>
    <w:rsid w:val="00BF6680"/>
    <w:rsid w:val="00BF66D1"/>
    <w:rsid w:val="00BF68DC"/>
    <w:rsid w:val="00BF6BDE"/>
    <w:rsid w:val="00BF75A8"/>
    <w:rsid w:val="00BF76E1"/>
    <w:rsid w:val="00BF7809"/>
    <w:rsid w:val="00BF7C64"/>
    <w:rsid w:val="00C000A0"/>
    <w:rsid w:val="00C007CB"/>
    <w:rsid w:val="00C0084C"/>
    <w:rsid w:val="00C00CCE"/>
    <w:rsid w:val="00C01050"/>
    <w:rsid w:val="00C014E2"/>
    <w:rsid w:val="00C02170"/>
    <w:rsid w:val="00C02186"/>
    <w:rsid w:val="00C028A2"/>
    <w:rsid w:val="00C028CC"/>
    <w:rsid w:val="00C02A1A"/>
    <w:rsid w:val="00C02CFD"/>
    <w:rsid w:val="00C03169"/>
    <w:rsid w:val="00C03760"/>
    <w:rsid w:val="00C03F9D"/>
    <w:rsid w:val="00C03FCA"/>
    <w:rsid w:val="00C048A3"/>
    <w:rsid w:val="00C04DE1"/>
    <w:rsid w:val="00C050D1"/>
    <w:rsid w:val="00C05840"/>
    <w:rsid w:val="00C058A1"/>
    <w:rsid w:val="00C05AB7"/>
    <w:rsid w:val="00C05CC1"/>
    <w:rsid w:val="00C061CC"/>
    <w:rsid w:val="00C063F2"/>
    <w:rsid w:val="00C06A1D"/>
    <w:rsid w:val="00C07775"/>
    <w:rsid w:val="00C07AE5"/>
    <w:rsid w:val="00C07C22"/>
    <w:rsid w:val="00C07C9C"/>
    <w:rsid w:val="00C07CD0"/>
    <w:rsid w:val="00C07D80"/>
    <w:rsid w:val="00C07F10"/>
    <w:rsid w:val="00C07F45"/>
    <w:rsid w:val="00C10239"/>
    <w:rsid w:val="00C10583"/>
    <w:rsid w:val="00C12470"/>
    <w:rsid w:val="00C1283B"/>
    <w:rsid w:val="00C12A00"/>
    <w:rsid w:val="00C13186"/>
    <w:rsid w:val="00C13934"/>
    <w:rsid w:val="00C14709"/>
    <w:rsid w:val="00C14904"/>
    <w:rsid w:val="00C14BEF"/>
    <w:rsid w:val="00C15084"/>
    <w:rsid w:val="00C15228"/>
    <w:rsid w:val="00C1577B"/>
    <w:rsid w:val="00C16379"/>
    <w:rsid w:val="00C165C6"/>
    <w:rsid w:val="00C1678E"/>
    <w:rsid w:val="00C16A55"/>
    <w:rsid w:val="00C17105"/>
    <w:rsid w:val="00C17378"/>
    <w:rsid w:val="00C173BE"/>
    <w:rsid w:val="00C174FC"/>
    <w:rsid w:val="00C17766"/>
    <w:rsid w:val="00C179EE"/>
    <w:rsid w:val="00C17B65"/>
    <w:rsid w:val="00C17D06"/>
    <w:rsid w:val="00C17D38"/>
    <w:rsid w:val="00C2032E"/>
    <w:rsid w:val="00C2048F"/>
    <w:rsid w:val="00C207C8"/>
    <w:rsid w:val="00C20D8A"/>
    <w:rsid w:val="00C219BB"/>
    <w:rsid w:val="00C21B69"/>
    <w:rsid w:val="00C21EB1"/>
    <w:rsid w:val="00C22DC3"/>
    <w:rsid w:val="00C22EF0"/>
    <w:rsid w:val="00C22EFB"/>
    <w:rsid w:val="00C23250"/>
    <w:rsid w:val="00C2378F"/>
    <w:rsid w:val="00C23D49"/>
    <w:rsid w:val="00C24C90"/>
    <w:rsid w:val="00C254B3"/>
    <w:rsid w:val="00C25DB0"/>
    <w:rsid w:val="00C26076"/>
    <w:rsid w:val="00C26255"/>
    <w:rsid w:val="00C268B3"/>
    <w:rsid w:val="00C26D5A"/>
    <w:rsid w:val="00C26DD6"/>
    <w:rsid w:val="00C27687"/>
    <w:rsid w:val="00C27816"/>
    <w:rsid w:val="00C27CDD"/>
    <w:rsid w:val="00C27D6F"/>
    <w:rsid w:val="00C27F62"/>
    <w:rsid w:val="00C304D4"/>
    <w:rsid w:val="00C30962"/>
    <w:rsid w:val="00C30978"/>
    <w:rsid w:val="00C316F3"/>
    <w:rsid w:val="00C318AD"/>
    <w:rsid w:val="00C31AC1"/>
    <w:rsid w:val="00C31ED6"/>
    <w:rsid w:val="00C322F8"/>
    <w:rsid w:val="00C33089"/>
    <w:rsid w:val="00C33294"/>
    <w:rsid w:val="00C334E9"/>
    <w:rsid w:val="00C3384A"/>
    <w:rsid w:val="00C33E5F"/>
    <w:rsid w:val="00C33EB6"/>
    <w:rsid w:val="00C33F1B"/>
    <w:rsid w:val="00C3402A"/>
    <w:rsid w:val="00C34E8B"/>
    <w:rsid w:val="00C3512D"/>
    <w:rsid w:val="00C3514F"/>
    <w:rsid w:val="00C359F2"/>
    <w:rsid w:val="00C35C1B"/>
    <w:rsid w:val="00C36064"/>
    <w:rsid w:val="00C36532"/>
    <w:rsid w:val="00C3654F"/>
    <w:rsid w:val="00C36CD8"/>
    <w:rsid w:val="00C37773"/>
    <w:rsid w:val="00C378BB"/>
    <w:rsid w:val="00C378D3"/>
    <w:rsid w:val="00C37912"/>
    <w:rsid w:val="00C379FF"/>
    <w:rsid w:val="00C37EC0"/>
    <w:rsid w:val="00C404E6"/>
    <w:rsid w:val="00C409DA"/>
    <w:rsid w:val="00C40C91"/>
    <w:rsid w:val="00C40EC0"/>
    <w:rsid w:val="00C41022"/>
    <w:rsid w:val="00C41038"/>
    <w:rsid w:val="00C41A6F"/>
    <w:rsid w:val="00C41DF1"/>
    <w:rsid w:val="00C420B5"/>
    <w:rsid w:val="00C42C32"/>
    <w:rsid w:val="00C42CE2"/>
    <w:rsid w:val="00C43FC3"/>
    <w:rsid w:val="00C447F7"/>
    <w:rsid w:val="00C44DED"/>
    <w:rsid w:val="00C4544D"/>
    <w:rsid w:val="00C45C85"/>
    <w:rsid w:val="00C45DD5"/>
    <w:rsid w:val="00C45E87"/>
    <w:rsid w:val="00C46131"/>
    <w:rsid w:val="00C4621F"/>
    <w:rsid w:val="00C46714"/>
    <w:rsid w:val="00C46866"/>
    <w:rsid w:val="00C46DBF"/>
    <w:rsid w:val="00C471F1"/>
    <w:rsid w:val="00C47211"/>
    <w:rsid w:val="00C47434"/>
    <w:rsid w:val="00C47449"/>
    <w:rsid w:val="00C47C08"/>
    <w:rsid w:val="00C51117"/>
    <w:rsid w:val="00C512DF"/>
    <w:rsid w:val="00C51B58"/>
    <w:rsid w:val="00C52C46"/>
    <w:rsid w:val="00C52DD7"/>
    <w:rsid w:val="00C52E22"/>
    <w:rsid w:val="00C53293"/>
    <w:rsid w:val="00C53A5E"/>
    <w:rsid w:val="00C53A64"/>
    <w:rsid w:val="00C53C0C"/>
    <w:rsid w:val="00C5444E"/>
    <w:rsid w:val="00C545EA"/>
    <w:rsid w:val="00C54639"/>
    <w:rsid w:val="00C546A0"/>
    <w:rsid w:val="00C54B15"/>
    <w:rsid w:val="00C54C04"/>
    <w:rsid w:val="00C553C1"/>
    <w:rsid w:val="00C55501"/>
    <w:rsid w:val="00C56078"/>
    <w:rsid w:val="00C5747C"/>
    <w:rsid w:val="00C57B26"/>
    <w:rsid w:val="00C60019"/>
    <w:rsid w:val="00C6012D"/>
    <w:rsid w:val="00C60409"/>
    <w:rsid w:val="00C60573"/>
    <w:rsid w:val="00C60596"/>
    <w:rsid w:val="00C60B61"/>
    <w:rsid w:val="00C61101"/>
    <w:rsid w:val="00C61426"/>
    <w:rsid w:val="00C61B71"/>
    <w:rsid w:val="00C61DBC"/>
    <w:rsid w:val="00C61E9C"/>
    <w:rsid w:val="00C61EDD"/>
    <w:rsid w:val="00C62167"/>
    <w:rsid w:val="00C62706"/>
    <w:rsid w:val="00C62866"/>
    <w:rsid w:val="00C62B45"/>
    <w:rsid w:val="00C62FDF"/>
    <w:rsid w:val="00C631EA"/>
    <w:rsid w:val="00C634EC"/>
    <w:rsid w:val="00C63CBC"/>
    <w:rsid w:val="00C63E1A"/>
    <w:rsid w:val="00C6422C"/>
    <w:rsid w:val="00C64906"/>
    <w:rsid w:val="00C64DEA"/>
    <w:rsid w:val="00C654EC"/>
    <w:rsid w:val="00C6578A"/>
    <w:rsid w:val="00C657E8"/>
    <w:rsid w:val="00C664D0"/>
    <w:rsid w:val="00C6665A"/>
    <w:rsid w:val="00C66875"/>
    <w:rsid w:val="00C66FAA"/>
    <w:rsid w:val="00C67178"/>
    <w:rsid w:val="00C67883"/>
    <w:rsid w:val="00C67CFC"/>
    <w:rsid w:val="00C67D45"/>
    <w:rsid w:val="00C67FED"/>
    <w:rsid w:val="00C70002"/>
    <w:rsid w:val="00C7018D"/>
    <w:rsid w:val="00C70680"/>
    <w:rsid w:val="00C70968"/>
    <w:rsid w:val="00C70B3E"/>
    <w:rsid w:val="00C711E8"/>
    <w:rsid w:val="00C714C8"/>
    <w:rsid w:val="00C716E4"/>
    <w:rsid w:val="00C71788"/>
    <w:rsid w:val="00C71A21"/>
    <w:rsid w:val="00C71A29"/>
    <w:rsid w:val="00C71E34"/>
    <w:rsid w:val="00C72E79"/>
    <w:rsid w:val="00C737AA"/>
    <w:rsid w:val="00C74276"/>
    <w:rsid w:val="00C745A9"/>
    <w:rsid w:val="00C74645"/>
    <w:rsid w:val="00C74671"/>
    <w:rsid w:val="00C74756"/>
    <w:rsid w:val="00C74AF8"/>
    <w:rsid w:val="00C7537A"/>
    <w:rsid w:val="00C75F79"/>
    <w:rsid w:val="00C76348"/>
    <w:rsid w:val="00C7643B"/>
    <w:rsid w:val="00C76447"/>
    <w:rsid w:val="00C765A6"/>
    <w:rsid w:val="00C77108"/>
    <w:rsid w:val="00C7717D"/>
    <w:rsid w:val="00C77200"/>
    <w:rsid w:val="00C77342"/>
    <w:rsid w:val="00C77798"/>
    <w:rsid w:val="00C77B96"/>
    <w:rsid w:val="00C77CE5"/>
    <w:rsid w:val="00C809D0"/>
    <w:rsid w:val="00C80E2C"/>
    <w:rsid w:val="00C81137"/>
    <w:rsid w:val="00C81CC1"/>
    <w:rsid w:val="00C81DFA"/>
    <w:rsid w:val="00C81E98"/>
    <w:rsid w:val="00C828D1"/>
    <w:rsid w:val="00C82C31"/>
    <w:rsid w:val="00C82D8B"/>
    <w:rsid w:val="00C82DF3"/>
    <w:rsid w:val="00C830AB"/>
    <w:rsid w:val="00C831C3"/>
    <w:rsid w:val="00C83638"/>
    <w:rsid w:val="00C83660"/>
    <w:rsid w:val="00C84803"/>
    <w:rsid w:val="00C8499E"/>
    <w:rsid w:val="00C84CB7"/>
    <w:rsid w:val="00C85090"/>
    <w:rsid w:val="00C85176"/>
    <w:rsid w:val="00C8520E"/>
    <w:rsid w:val="00C8598B"/>
    <w:rsid w:val="00C85D8F"/>
    <w:rsid w:val="00C861BF"/>
    <w:rsid w:val="00C86223"/>
    <w:rsid w:val="00C86BF9"/>
    <w:rsid w:val="00C86CEE"/>
    <w:rsid w:val="00C870F7"/>
    <w:rsid w:val="00C87380"/>
    <w:rsid w:val="00C8786E"/>
    <w:rsid w:val="00C9017C"/>
    <w:rsid w:val="00C90727"/>
    <w:rsid w:val="00C90C47"/>
    <w:rsid w:val="00C9116F"/>
    <w:rsid w:val="00C91202"/>
    <w:rsid w:val="00C912A4"/>
    <w:rsid w:val="00C917F8"/>
    <w:rsid w:val="00C91C39"/>
    <w:rsid w:val="00C9269F"/>
    <w:rsid w:val="00C92889"/>
    <w:rsid w:val="00C928FB"/>
    <w:rsid w:val="00C92A09"/>
    <w:rsid w:val="00C9302C"/>
    <w:rsid w:val="00C931E0"/>
    <w:rsid w:val="00C9326D"/>
    <w:rsid w:val="00C93549"/>
    <w:rsid w:val="00C936A6"/>
    <w:rsid w:val="00C93B7D"/>
    <w:rsid w:val="00C93C0D"/>
    <w:rsid w:val="00C942BB"/>
    <w:rsid w:val="00C946AF"/>
    <w:rsid w:val="00C94790"/>
    <w:rsid w:val="00C94915"/>
    <w:rsid w:val="00C95801"/>
    <w:rsid w:val="00C958F6"/>
    <w:rsid w:val="00C95A38"/>
    <w:rsid w:val="00C95A7F"/>
    <w:rsid w:val="00C95F70"/>
    <w:rsid w:val="00C96301"/>
    <w:rsid w:val="00C96430"/>
    <w:rsid w:val="00C96ABE"/>
    <w:rsid w:val="00C97070"/>
    <w:rsid w:val="00C9707B"/>
    <w:rsid w:val="00C97303"/>
    <w:rsid w:val="00C975E1"/>
    <w:rsid w:val="00C9788E"/>
    <w:rsid w:val="00C979A1"/>
    <w:rsid w:val="00C97BBC"/>
    <w:rsid w:val="00C97D04"/>
    <w:rsid w:val="00CA031B"/>
    <w:rsid w:val="00CA06AD"/>
    <w:rsid w:val="00CA0734"/>
    <w:rsid w:val="00CA0C67"/>
    <w:rsid w:val="00CA0FB4"/>
    <w:rsid w:val="00CA13F2"/>
    <w:rsid w:val="00CA1685"/>
    <w:rsid w:val="00CA1D12"/>
    <w:rsid w:val="00CA1F28"/>
    <w:rsid w:val="00CA2887"/>
    <w:rsid w:val="00CA2A51"/>
    <w:rsid w:val="00CA2F73"/>
    <w:rsid w:val="00CA306E"/>
    <w:rsid w:val="00CA30A1"/>
    <w:rsid w:val="00CA31C3"/>
    <w:rsid w:val="00CA32F2"/>
    <w:rsid w:val="00CA3A34"/>
    <w:rsid w:val="00CA443F"/>
    <w:rsid w:val="00CA45FF"/>
    <w:rsid w:val="00CA474A"/>
    <w:rsid w:val="00CA47FD"/>
    <w:rsid w:val="00CA4C33"/>
    <w:rsid w:val="00CA5D6E"/>
    <w:rsid w:val="00CA60DF"/>
    <w:rsid w:val="00CA6271"/>
    <w:rsid w:val="00CA62B1"/>
    <w:rsid w:val="00CA6B5E"/>
    <w:rsid w:val="00CA7863"/>
    <w:rsid w:val="00CA7BAF"/>
    <w:rsid w:val="00CA7DB1"/>
    <w:rsid w:val="00CA7F5B"/>
    <w:rsid w:val="00CB00E9"/>
    <w:rsid w:val="00CB0760"/>
    <w:rsid w:val="00CB0A4A"/>
    <w:rsid w:val="00CB129E"/>
    <w:rsid w:val="00CB1465"/>
    <w:rsid w:val="00CB1634"/>
    <w:rsid w:val="00CB1851"/>
    <w:rsid w:val="00CB31DD"/>
    <w:rsid w:val="00CB33DF"/>
    <w:rsid w:val="00CB37ED"/>
    <w:rsid w:val="00CB3AAF"/>
    <w:rsid w:val="00CB3ACD"/>
    <w:rsid w:val="00CB4052"/>
    <w:rsid w:val="00CB44D7"/>
    <w:rsid w:val="00CB4DEB"/>
    <w:rsid w:val="00CB5198"/>
    <w:rsid w:val="00CB5365"/>
    <w:rsid w:val="00CB5A73"/>
    <w:rsid w:val="00CB5CB8"/>
    <w:rsid w:val="00CB6072"/>
    <w:rsid w:val="00CB61E5"/>
    <w:rsid w:val="00CB6726"/>
    <w:rsid w:val="00CB6C4D"/>
    <w:rsid w:val="00CB741E"/>
    <w:rsid w:val="00CB74C4"/>
    <w:rsid w:val="00CB7683"/>
    <w:rsid w:val="00CB7AFE"/>
    <w:rsid w:val="00CB7EA5"/>
    <w:rsid w:val="00CB7EC8"/>
    <w:rsid w:val="00CC0194"/>
    <w:rsid w:val="00CC033F"/>
    <w:rsid w:val="00CC0347"/>
    <w:rsid w:val="00CC0A2A"/>
    <w:rsid w:val="00CC1575"/>
    <w:rsid w:val="00CC17EA"/>
    <w:rsid w:val="00CC197F"/>
    <w:rsid w:val="00CC1983"/>
    <w:rsid w:val="00CC19EC"/>
    <w:rsid w:val="00CC1C81"/>
    <w:rsid w:val="00CC1F22"/>
    <w:rsid w:val="00CC2333"/>
    <w:rsid w:val="00CC2D18"/>
    <w:rsid w:val="00CC2F9A"/>
    <w:rsid w:val="00CC36F9"/>
    <w:rsid w:val="00CC3C8A"/>
    <w:rsid w:val="00CC3DFE"/>
    <w:rsid w:val="00CC3EE0"/>
    <w:rsid w:val="00CC4326"/>
    <w:rsid w:val="00CC4569"/>
    <w:rsid w:val="00CC4BC4"/>
    <w:rsid w:val="00CC4BE6"/>
    <w:rsid w:val="00CC4EA8"/>
    <w:rsid w:val="00CC50B1"/>
    <w:rsid w:val="00CC50D4"/>
    <w:rsid w:val="00CC51C2"/>
    <w:rsid w:val="00CC54CD"/>
    <w:rsid w:val="00CC59BD"/>
    <w:rsid w:val="00CC6126"/>
    <w:rsid w:val="00CC66E6"/>
    <w:rsid w:val="00CC6AEC"/>
    <w:rsid w:val="00CC6E2E"/>
    <w:rsid w:val="00CC78A2"/>
    <w:rsid w:val="00CC7ADA"/>
    <w:rsid w:val="00CC7BEA"/>
    <w:rsid w:val="00CD00D0"/>
    <w:rsid w:val="00CD0236"/>
    <w:rsid w:val="00CD06FC"/>
    <w:rsid w:val="00CD0D1B"/>
    <w:rsid w:val="00CD0DD5"/>
    <w:rsid w:val="00CD1522"/>
    <w:rsid w:val="00CD1C8F"/>
    <w:rsid w:val="00CD1E3B"/>
    <w:rsid w:val="00CD2597"/>
    <w:rsid w:val="00CD28C9"/>
    <w:rsid w:val="00CD2C47"/>
    <w:rsid w:val="00CD2D22"/>
    <w:rsid w:val="00CD2FEA"/>
    <w:rsid w:val="00CD331D"/>
    <w:rsid w:val="00CD3D77"/>
    <w:rsid w:val="00CD46AD"/>
    <w:rsid w:val="00CD480B"/>
    <w:rsid w:val="00CD4A98"/>
    <w:rsid w:val="00CD4BF3"/>
    <w:rsid w:val="00CD56A4"/>
    <w:rsid w:val="00CD5709"/>
    <w:rsid w:val="00CD57B0"/>
    <w:rsid w:val="00CD5AD3"/>
    <w:rsid w:val="00CD606E"/>
    <w:rsid w:val="00CD6205"/>
    <w:rsid w:val="00CD65BC"/>
    <w:rsid w:val="00CD670C"/>
    <w:rsid w:val="00CD6E9F"/>
    <w:rsid w:val="00CD757B"/>
    <w:rsid w:val="00CD7741"/>
    <w:rsid w:val="00CD78FD"/>
    <w:rsid w:val="00CD79CA"/>
    <w:rsid w:val="00CD7AE5"/>
    <w:rsid w:val="00CD7B58"/>
    <w:rsid w:val="00CD7BC4"/>
    <w:rsid w:val="00CD7D61"/>
    <w:rsid w:val="00CD7D77"/>
    <w:rsid w:val="00CE021B"/>
    <w:rsid w:val="00CE11C8"/>
    <w:rsid w:val="00CE13B5"/>
    <w:rsid w:val="00CE1455"/>
    <w:rsid w:val="00CE1466"/>
    <w:rsid w:val="00CE148D"/>
    <w:rsid w:val="00CE151C"/>
    <w:rsid w:val="00CE1C5A"/>
    <w:rsid w:val="00CE1EDA"/>
    <w:rsid w:val="00CE1FEC"/>
    <w:rsid w:val="00CE2121"/>
    <w:rsid w:val="00CE21C9"/>
    <w:rsid w:val="00CE2752"/>
    <w:rsid w:val="00CE286E"/>
    <w:rsid w:val="00CE30B2"/>
    <w:rsid w:val="00CE3163"/>
    <w:rsid w:val="00CE3F0D"/>
    <w:rsid w:val="00CE4406"/>
    <w:rsid w:val="00CE46E8"/>
    <w:rsid w:val="00CE49E4"/>
    <w:rsid w:val="00CE4DAF"/>
    <w:rsid w:val="00CE5378"/>
    <w:rsid w:val="00CE548F"/>
    <w:rsid w:val="00CE563B"/>
    <w:rsid w:val="00CE59C4"/>
    <w:rsid w:val="00CE698B"/>
    <w:rsid w:val="00CE6FE1"/>
    <w:rsid w:val="00CE71E8"/>
    <w:rsid w:val="00CE72C7"/>
    <w:rsid w:val="00CE76FB"/>
    <w:rsid w:val="00CF00E5"/>
    <w:rsid w:val="00CF07B5"/>
    <w:rsid w:val="00CF0A9A"/>
    <w:rsid w:val="00CF0B64"/>
    <w:rsid w:val="00CF0CB3"/>
    <w:rsid w:val="00CF0E17"/>
    <w:rsid w:val="00CF102D"/>
    <w:rsid w:val="00CF127D"/>
    <w:rsid w:val="00CF1F98"/>
    <w:rsid w:val="00CF242E"/>
    <w:rsid w:val="00CF335B"/>
    <w:rsid w:val="00CF3897"/>
    <w:rsid w:val="00CF3E56"/>
    <w:rsid w:val="00CF44EC"/>
    <w:rsid w:val="00CF4726"/>
    <w:rsid w:val="00CF495E"/>
    <w:rsid w:val="00CF4B74"/>
    <w:rsid w:val="00CF4E8A"/>
    <w:rsid w:val="00CF4ED6"/>
    <w:rsid w:val="00CF53CC"/>
    <w:rsid w:val="00CF56D0"/>
    <w:rsid w:val="00CF5A22"/>
    <w:rsid w:val="00CF5F9E"/>
    <w:rsid w:val="00CF61AE"/>
    <w:rsid w:val="00CF68D9"/>
    <w:rsid w:val="00CF71DA"/>
    <w:rsid w:val="00CF73D5"/>
    <w:rsid w:val="00D005DD"/>
    <w:rsid w:val="00D0078E"/>
    <w:rsid w:val="00D007B0"/>
    <w:rsid w:val="00D00A34"/>
    <w:rsid w:val="00D00F41"/>
    <w:rsid w:val="00D014AE"/>
    <w:rsid w:val="00D0152F"/>
    <w:rsid w:val="00D01E55"/>
    <w:rsid w:val="00D01F6F"/>
    <w:rsid w:val="00D02004"/>
    <w:rsid w:val="00D024E2"/>
    <w:rsid w:val="00D02695"/>
    <w:rsid w:val="00D0282E"/>
    <w:rsid w:val="00D02A7A"/>
    <w:rsid w:val="00D0333A"/>
    <w:rsid w:val="00D03853"/>
    <w:rsid w:val="00D03A02"/>
    <w:rsid w:val="00D04BF1"/>
    <w:rsid w:val="00D04F7E"/>
    <w:rsid w:val="00D058BB"/>
    <w:rsid w:val="00D059B1"/>
    <w:rsid w:val="00D05B95"/>
    <w:rsid w:val="00D05C82"/>
    <w:rsid w:val="00D06689"/>
    <w:rsid w:val="00D06DCC"/>
    <w:rsid w:val="00D072A3"/>
    <w:rsid w:val="00D0730E"/>
    <w:rsid w:val="00D07C6B"/>
    <w:rsid w:val="00D07DC6"/>
    <w:rsid w:val="00D07F6E"/>
    <w:rsid w:val="00D10051"/>
    <w:rsid w:val="00D10170"/>
    <w:rsid w:val="00D1042F"/>
    <w:rsid w:val="00D1130A"/>
    <w:rsid w:val="00D11339"/>
    <w:rsid w:val="00D1135B"/>
    <w:rsid w:val="00D1198B"/>
    <w:rsid w:val="00D11CE3"/>
    <w:rsid w:val="00D12342"/>
    <w:rsid w:val="00D125B6"/>
    <w:rsid w:val="00D12C6B"/>
    <w:rsid w:val="00D1356B"/>
    <w:rsid w:val="00D13E09"/>
    <w:rsid w:val="00D13E5F"/>
    <w:rsid w:val="00D14493"/>
    <w:rsid w:val="00D14683"/>
    <w:rsid w:val="00D146DF"/>
    <w:rsid w:val="00D151E3"/>
    <w:rsid w:val="00D15512"/>
    <w:rsid w:val="00D155F9"/>
    <w:rsid w:val="00D157C4"/>
    <w:rsid w:val="00D15F10"/>
    <w:rsid w:val="00D1611C"/>
    <w:rsid w:val="00D164AB"/>
    <w:rsid w:val="00D166DD"/>
    <w:rsid w:val="00D168CE"/>
    <w:rsid w:val="00D16DA1"/>
    <w:rsid w:val="00D16EA9"/>
    <w:rsid w:val="00D17222"/>
    <w:rsid w:val="00D17425"/>
    <w:rsid w:val="00D1785F"/>
    <w:rsid w:val="00D17F87"/>
    <w:rsid w:val="00D20919"/>
    <w:rsid w:val="00D2148E"/>
    <w:rsid w:val="00D21495"/>
    <w:rsid w:val="00D2149C"/>
    <w:rsid w:val="00D217C3"/>
    <w:rsid w:val="00D21C42"/>
    <w:rsid w:val="00D21DBC"/>
    <w:rsid w:val="00D21F07"/>
    <w:rsid w:val="00D226D0"/>
    <w:rsid w:val="00D22EFB"/>
    <w:rsid w:val="00D22F04"/>
    <w:rsid w:val="00D23052"/>
    <w:rsid w:val="00D23247"/>
    <w:rsid w:val="00D23448"/>
    <w:rsid w:val="00D235B2"/>
    <w:rsid w:val="00D241D6"/>
    <w:rsid w:val="00D248FD"/>
    <w:rsid w:val="00D24A0D"/>
    <w:rsid w:val="00D24BDB"/>
    <w:rsid w:val="00D24C6A"/>
    <w:rsid w:val="00D24DD8"/>
    <w:rsid w:val="00D250C5"/>
    <w:rsid w:val="00D257CF"/>
    <w:rsid w:val="00D25A6B"/>
    <w:rsid w:val="00D25C17"/>
    <w:rsid w:val="00D25CEB"/>
    <w:rsid w:val="00D25D38"/>
    <w:rsid w:val="00D25D3A"/>
    <w:rsid w:val="00D25E9C"/>
    <w:rsid w:val="00D25F3B"/>
    <w:rsid w:val="00D25FD6"/>
    <w:rsid w:val="00D25FE5"/>
    <w:rsid w:val="00D26240"/>
    <w:rsid w:val="00D264AC"/>
    <w:rsid w:val="00D2658F"/>
    <w:rsid w:val="00D26821"/>
    <w:rsid w:val="00D2696B"/>
    <w:rsid w:val="00D26C64"/>
    <w:rsid w:val="00D26C73"/>
    <w:rsid w:val="00D26CCE"/>
    <w:rsid w:val="00D277DE"/>
    <w:rsid w:val="00D27A41"/>
    <w:rsid w:val="00D27EC6"/>
    <w:rsid w:val="00D302DC"/>
    <w:rsid w:val="00D30A6C"/>
    <w:rsid w:val="00D30AC7"/>
    <w:rsid w:val="00D30CB7"/>
    <w:rsid w:val="00D30D76"/>
    <w:rsid w:val="00D31272"/>
    <w:rsid w:val="00D3170F"/>
    <w:rsid w:val="00D32068"/>
    <w:rsid w:val="00D321E8"/>
    <w:rsid w:val="00D3236B"/>
    <w:rsid w:val="00D325C9"/>
    <w:rsid w:val="00D32648"/>
    <w:rsid w:val="00D32C35"/>
    <w:rsid w:val="00D32C7D"/>
    <w:rsid w:val="00D32E06"/>
    <w:rsid w:val="00D3359A"/>
    <w:rsid w:val="00D3391F"/>
    <w:rsid w:val="00D33EF6"/>
    <w:rsid w:val="00D341E0"/>
    <w:rsid w:val="00D34371"/>
    <w:rsid w:val="00D3479E"/>
    <w:rsid w:val="00D34ACF"/>
    <w:rsid w:val="00D35726"/>
    <w:rsid w:val="00D358C8"/>
    <w:rsid w:val="00D358E5"/>
    <w:rsid w:val="00D35BFB"/>
    <w:rsid w:val="00D35D41"/>
    <w:rsid w:val="00D35FB2"/>
    <w:rsid w:val="00D35FFE"/>
    <w:rsid w:val="00D360C9"/>
    <w:rsid w:val="00D361F8"/>
    <w:rsid w:val="00D365AE"/>
    <w:rsid w:val="00D36789"/>
    <w:rsid w:val="00D367CA"/>
    <w:rsid w:val="00D36D17"/>
    <w:rsid w:val="00D370F6"/>
    <w:rsid w:val="00D37263"/>
    <w:rsid w:val="00D374E0"/>
    <w:rsid w:val="00D37B93"/>
    <w:rsid w:val="00D37CE4"/>
    <w:rsid w:val="00D37DBB"/>
    <w:rsid w:val="00D40075"/>
    <w:rsid w:val="00D400DC"/>
    <w:rsid w:val="00D40432"/>
    <w:rsid w:val="00D4065B"/>
    <w:rsid w:val="00D40B0E"/>
    <w:rsid w:val="00D40BA7"/>
    <w:rsid w:val="00D41B05"/>
    <w:rsid w:val="00D41B7E"/>
    <w:rsid w:val="00D41CBA"/>
    <w:rsid w:val="00D41E92"/>
    <w:rsid w:val="00D41F05"/>
    <w:rsid w:val="00D421DC"/>
    <w:rsid w:val="00D42249"/>
    <w:rsid w:val="00D425AA"/>
    <w:rsid w:val="00D4294B"/>
    <w:rsid w:val="00D42C95"/>
    <w:rsid w:val="00D43379"/>
    <w:rsid w:val="00D43E76"/>
    <w:rsid w:val="00D44ED0"/>
    <w:rsid w:val="00D450DF"/>
    <w:rsid w:val="00D4539A"/>
    <w:rsid w:val="00D457E2"/>
    <w:rsid w:val="00D461D7"/>
    <w:rsid w:val="00D47013"/>
    <w:rsid w:val="00D47046"/>
    <w:rsid w:val="00D47836"/>
    <w:rsid w:val="00D478B8"/>
    <w:rsid w:val="00D47D0D"/>
    <w:rsid w:val="00D47EF4"/>
    <w:rsid w:val="00D5018B"/>
    <w:rsid w:val="00D506F9"/>
    <w:rsid w:val="00D509D0"/>
    <w:rsid w:val="00D50FE1"/>
    <w:rsid w:val="00D5140D"/>
    <w:rsid w:val="00D519DD"/>
    <w:rsid w:val="00D51B39"/>
    <w:rsid w:val="00D51DD8"/>
    <w:rsid w:val="00D520F9"/>
    <w:rsid w:val="00D52346"/>
    <w:rsid w:val="00D5235A"/>
    <w:rsid w:val="00D524C2"/>
    <w:rsid w:val="00D52631"/>
    <w:rsid w:val="00D52B7A"/>
    <w:rsid w:val="00D5306D"/>
    <w:rsid w:val="00D531D3"/>
    <w:rsid w:val="00D531DF"/>
    <w:rsid w:val="00D5376C"/>
    <w:rsid w:val="00D53A0B"/>
    <w:rsid w:val="00D53A83"/>
    <w:rsid w:val="00D53B7E"/>
    <w:rsid w:val="00D53EE1"/>
    <w:rsid w:val="00D54722"/>
    <w:rsid w:val="00D549DE"/>
    <w:rsid w:val="00D54B9E"/>
    <w:rsid w:val="00D54E00"/>
    <w:rsid w:val="00D5536D"/>
    <w:rsid w:val="00D557D2"/>
    <w:rsid w:val="00D559C3"/>
    <w:rsid w:val="00D55BF5"/>
    <w:rsid w:val="00D55C70"/>
    <w:rsid w:val="00D55EA6"/>
    <w:rsid w:val="00D55EAC"/>
    <w:rsid w:val="00D55FA6"/>
    <w:rsid w:val="00D55FB4"/>
    <w:rsid w:val="00D56786"/>
    <w:rsid w:val="00D56895"/>
    <w:rsid w:val="00D56F29"/>
    <w:rsid w:val="00D56F34"/>
    <w:rsid w:val="00D573AD"/>
    <w:rsid w:val="00D573E4"/>
    <w:rsid w:val="00D5743E"/>
    <w:rsid w:val="00D600DA"/>
    <w:rsid w:val="00D60425"/>
    <w:rsid w:val="00D604FD"/>
    <w:rsid w:val="00D60621"/>
    <w:rsid w:val="00D60D80"/>
    <w:rsid w:val="00D6112A"/>
    <w:rsid w:val="00D611C2"/>
    <w:rsid w:val="00D6164B"/>
    <w:rsid w:val="00D626D1"/>
    <w:rsid w:val="00D628C9"/>
    <w:rsid w:val="00D62F6F"/>
    <w:rsid w:val="00D630EC"/>
    <w:rsid w:val="00D63150"/>
    <w:rsid w:val="00D63612"/>
    <w:rsid w:val="00D639BB"/>
    <w:rsid w:val="00D63B84"/>
    <w:rsid w:val="00D63BDB"/>
    <w:rsid w:val="00D6416D"/>
    <w:rsid w:val="00D64DF9"/>
    <w:rsid w:val="00D6530C"/>
    <w:rsid w:val="00D655FB"/>
    <w:rsid w:val="00D657CF"/>
    <w:rsid w:val="00D65AD1"/>
    <w:rsid w:val="00D65E9A"/>
    <w:rsid w:val="00D65F05"/>
    <w:rsid w:val="00D669E7"/>
    <w:rsid w:val="00D66BE6"/>
    <w:rsid w:val="00D66C41"/>
    <w:rsid w:val="00D67160"/>
    <w:rsid w:val="00D674C0"/>
    <w:rsid w:val="00D676AC"/>
    <w:rsid w:val="00D67BC9"/>
    <w:rsid w:val="00D67E5E"/>
    <w:rsid w:val="00D67FFD"/>
    <w:rsid w:val="00D705FA"/>
    <w:rsid w:val="00D714CE"/>
    <w:rsid w:val="00D71E15"/>
    <w:rsid w:val="00D7244A"/>
    <w:rsid w:val="00D72518"/>
    <w:rsid w:val="00D72CF8"/>
    <w:rsid w:val="00D72DDF"/>
    <w:rsid w:val="00D72E3B"/>
    <w:rsid w:val="00D730EB"/>
    <w:rsid w:val="00D730FC"/>
    <w:rsid w:val="00D73558"/>
    <w:rsid w:val="00D7359E"/>
    <w:rsid w:val="00D736E2"/>
    <w:rsid w:val="00D7392F"/>
    <w:rsid w:val="00D73998"/>
    <w:rsid w:val="00D73A32"/>
    <w:rsid w:val="00D740CB"/>
    <w:rsid w:val="00D74503"/>
    <w:rsid w:val="00D74670"/>
    <w:rsid w:val="00D74BF3"/>
    <w:rsid w:val="00D74CA4"/>
    <w:rsid w:val="00D74E93"/>
    <w:rsid w:val="00D75EAE"/>
    <w:rsid w:val="00D75F7A"/>
    <w:rsid w:val="00D76554"/>
    <w:rsid w:val="00D76573"/>
    <w:rsid w:val="00D7680D"/>
    <w:rsid w:val="00D76D08"/>
    <w:rsid w:val="00D7718F"/>
    <w:rsid w:val="00D7756A"/>
    <w:rsid w:val="00D7799D"/>
    <w:rsid w:val="00D77E41"/>
    <w:rsid w:val="00D77F87"/>
    <w:rsid w:val="00D80760"/>
    <w:rsid w:val="00D80843"/>
    <w:rsid w:val="00D808AD"/>
    <w:rsid w:val="00D80BF7"/>
    <w:rsid w:val="00D814B1"/>
    <w:rsid w:val="00D81D9B"/>
    <w:rsid w:val="00D8222E"/>
    <w:rsid w:val="00D8261C"/>
    <w:rsid w:val="00D82698"/>
    <w:rsid w:val="00D82C83"/>
    <w:rsid w:val="00D83359"/>
    <w:rsid w:val="00D8348B"/>
    <w:rsid w:val="00D837D9"/>
    <w:rsid w:val="00D8397C"/>
    <w:rsid w:val="00D83AEB"/>
    <w:rsid w:val="00D83B87"/>
    <w:rsid w:val="00D83F47"/>
    <w:rsid w:val="00D84275"/>
    <w:rsid w:val="00D844D3"/>
    <w:rsid w:val="00D846A1"/>
    <w:rsid w:val="00D84A5A"/>
    <w:rsid w:val="00D84B11"/>
    <w:rsid w:val="00D84E43"/>
    <w:rsid w:val="00D85177"/>
    <w:rsid w:val="00D8518B"/>
    <w:rsid w:val="00D851E9"/>
    <w:rsid w:val="00D852B9"/>
    <w:rsid w:val="00D85901"/>
    <w:rsid w:val="00D85C32"/>
    <w:rsid w:val="00D85E11"/>
    <w:rsid w:val="00D85E9A"/>
    <w:rsid w:val="00D861D3"/>
    <w:rsid w:val="00D863EC"/>
    <w:rsid w:val="00D86426"/>
    <w:rsid w:val="00D867AA"/>
    <w:rsid w:val="00D867DB"/>
    <w:rsid w:val="00D86BF4"/>
    <w:rsid w:val="00D86C6F"/>
    <w:rsid w:val="00D86CD0"/>
    <w:rsid w:val="00D86E48"/>
    <w:rsid w:val="00D87550"/>
    <w:rsid w:val="00D875EF"/>
    <w:rsid w:val="00D87830"/>
    <w:rsid w:val="00D87AB5"/>
    <w:rsid w:val="00D87B0E"/>
    <w:rsid w:val="00D902DC"/>
    <w:rsid w:val="00D90361"/>
    <w:rsid w:val="00D90569"/>
    <w:rsid w:val="00D908C1"/>
    <w:rsid w:val="00D90978"/>
    <w:rsid w:val="00D90A16"/>
    <w:rsid w:val="00D90C61"/>
    <w:rsid w:val="00D91122"/>
    <w:rsid w:val="00D91214"/>
    <w:rsid w:val="00D91246"/>
    <w:rsid w:val="00D912C5"/>
    <w:rsid w:val="00D9134A"/>
    <w:rsid w:val="00D91974"/>
    <w:rsid w:val="00D91BC2"/>
    <w:rsid w:val="00D91C01"/>
    <w:rsid w:val="00D91EA7"/>
    <w:rsid w:val="00D91FF8"/>
    <w:rsid w:val="00D9227E"/>
    <w:rsid w:val="00D9296A"/>
    <w:rsid w:val="00D92EF4"/>
    <w:rsid w:val="00D9302D"/>
    <w:rsid w:val="00D93484"/>
    <w:rsid w:val="00D9361F"/>
    <w:rsid w:val="00D93894"/>
    <w:rsid w:val="00D93D92"/>
    <w:rsid w:val="00D9413F"/>
    <w:rsid w:val="00D942E5"/>
    <w:rsid w:val="00D94571"/>
    <w:rsid w:val="00D946FF"/>
    <w:rsid w:val="00D94916"/>
    <w:rsid w:val="00D9509D"/>
    <w:rsid w:val="00D9554C"/>
    <w:rsid w:val="00D95583"/>
    <w:rsid w:val="00D95AA3"/>
    <w:rsid w:val="00D95AA7"/>
    <w:rsid w:val="00D95DD7"/>
    <w:rsid w:val="00D96215"/>
    <w:rsid w:val="00D96270"/>
    <w:rsid w:val="00D97556"/>
    <w:rsid w:val="00D97568"/>
    <w:rsid w:val="00D97B35"/>
    <w:rsid w:val="00D97F6C"/>
    <w:rsid w:val="00DA00DA"/>
    <w:rsid w:val="00DA04FE"/>
    <w:rsid w:val="00DA05D2"/>
    <w:rsid w:val="00DA076A"/>
    <w:rsid w:val="00DA0895"/>
    <w:rsid w:val="00DA0B51"/>
    <w:rsid w:val="00DA0D83"/>
    <w:rsid w:val="00DA1687"/>
    <w:rsid w:val="00DA180A"/>
    <w:rsid w:val="00DA1920"/>
    <w:rsid w:val="00DA1CE8"/>
    <w:rsid w:val="00DA3033"/>
    <w:rsid w:val="00DA305C"/>
    <w:rsid w:val="00DA34D5"/>
    <w:rsid w:val="00DA3587"/>
    <w:rsid w:val="00DA3B1E"/>
    <w:rsid w:val="00DA3CF0"/>
    <w:rsid w:val="00DA3D7D"/>
    <w:rsid w:val="00DA40B3"/>
    <w:rsid w:val="00DA4BBC"/>
    <w:rsid w:val="00DA50E8"/>
    <w:rsid w:val="00DA50EA"/>
    <w:rsid w:val="00DA5506"/>
    <w:rsid w:val="00DA5776"/>
    <w:rsid w:val="00DA5C38"/>
    <w:rsid w:val="00DA5CF7"/>
    <w:rsid w:val="00DA5DE0"/>
    <w:rsid w:val="00DA60A1"/>
    <w:rsid w:val="00DA6492"/>
    <w:rsid w:val="00DA66B3"/>
    <w:rsid w:val="00DA6E8F"/>
    <w:rsid w:val="00DA6F4C"/>
    <w:rsid w:val="00DA7656"/>
    <w:rsid w:val="00DA7F4C"/>
    <w:rsid w:val="00DB03EF"/>
    <w:rsid w:val="00DB0640"/>
    <w:rsid w:val="00DB0778"/>
    <w:rsid w:val="00DB0A80"/>
    <w:rsid w:val="00DB0EDF"/>
    <w:rsid w:val="00DB10D5"/>
    <w:rsid w:val="00DB1175"/>
    <w:rsid w:val="00DB1C97"/>
    <w:rsid w:val="00DB211C"/>
    <w:rsid w:val="00DB2671"/>
    <w:rsid w:val="00DB2949"/>
    <w:rsid w:val="00DB2DD6"/>
    <w:rsid w:val="00DB329D"/>
    <w:rsid w:val="00DB3A98"/>
    <w:rsid w:val="00DB3CB1"/>
    <w:rsid w:val="00DB3E36"/>
    <w:rsid w:val="00DB3FD1"/>
    <w:rsid w:val="00DB4105"/>
    <w:rsid w:val="00DB4305"/>
    <w:rsid w:val="00DB46DE"/>
    <w:rsid w:val="00DB48ED"/>
    <w:rsid w:val="00DB4960"/>
    <w:rsid w:val="00DB4A5C"/>
    <w:rsid w:val="00DB5472"/>
    <w:rsid w:val="00DB55CF"/>
    <w:rsid w:val="00DB6147"/>
    <w:rsid w:val="00DB61EC"/>
    <w:rsid w:val="00DB64A9"/>
    <w:rsid w:val="00DB661F"/>
    <w:rsid w:val="00DB67CC"/>
    <w:rsid w:val="00DB71E7"/>
    <w:rsid w:val="00DB727C"/>
    <w:rsid w:val="00DB7313"/>
    <w:rsid w:val="00DB7894"/>
    <w:rsid w:val="00DB7C72"/>
    <w:rsid w:val="00DB7FD3"/>
    <w:rsid w:val="00DC000A"/>
    <w:rsid w:val="00DC017D"/>
    <w:rsid w:val="00DC04CD"/>
    <w:rsid w:val="00DC04E4"/>
    <w:rsid w:val="00DC09B6"/>
    <w:rsid w:val="00DC1382"/>
    <w:rsid w:val="00DC147E"/>
    <w:rsid w:val="00DC14B9"/>
    <w:rsid w:val="00DC14E4"/>
    <w:rsid w:val="00DC1FB6"/>
    <w:rsid w:val="00DC2000"/>
    <w:rsid w:val="00DC2449"/>
    <w:rsid w:val="00DC27FB"/>
    <w:rsid w:val="00DC2C8E"/>
    <w:rsid w:val="00DC2EB3"/>
    <w:rsid w:val="00DC2FC6"/>
    <w:rsid w:val="00DC4289"/>
    <w:rsid w:val="00DC4508"/>
    <w:rsid w:val="00DC473C"/>
    <w:rsid w:val="00DC4BC2"/>
    <w:rsid w:val="00DC523F"/>
    <w:rsid w:val="00DC5949"/>
    <w:rsid w:val="00DC5C14"/>
    <w:rsid w:val="00DC5D1F"/>
    <w:rsid w:val="00DC5FF0"/>
    <w:rsid w:val="00DC6A4C"/>
    <w:rsid w:val="00DC6C30"/>
    <w:rsid w:val="00DC6F6B"/>
    <w:rsid w:val="00DC7090"/>
    <w:rsid w:val="00DC751A"/>
    <w:rsid w:val="00DC7755"/>
    <w:rsid w:val="00DC7F8F"/>
    <w:rsid w:val="00DD0315"/>
    <w:rsid w:val="00DD0490"/>
    <w:rsid w:val="00DD04AD"/>
    <w:rsid w:val="00DD0522"/>
    <w:rsid w:val="00DD0A7F"/>
    <w:rsid w:val="00DD0C46"/>
    <w:rsid w:val="00DD0F0C"/>
    <w:rsid w:val="00DD0F5C"/>
    <w:rsid w:val="00DD13B2"/>
    <w:rsid w:val="00DD16E7"/>
    <w:rsid w:val="00DD1E4B"/>
    <w:rsid w:val="00DD1F9E"/>
    <w:rsid w:val="00DD274B"/>
    <w:rsid w:val="00DD2845"/>
    <w:rsid w:val="00DD314D"/>
    <w:rsid w:val="00DD321E"/>
    <w:rsid w:val="00DD3730"/>
    <w:rsid w:val="00DD38CF"/>
    <w:rsid w:val="00DD3F68"/>
    <w:rsid w:val="00DD42FA"/>
    <w:rsid w:val="00DD449A"/>
    <w:rsid w:val="00DD49EA"/>
    <w:rsid w:val="00DD4D60"/>
    <w:rsid w:val="00DD50BE"/>
    <w:rsid w:val="00DD57A0"/>
    <w:rsid w:val="00DD5879"/>
    <w:rsid w:val="00DD5A46"/>
    <w:rsid w:val="00DD5B31"/>
    <w:rsid w:val="00DD5BCF"/>
    <w:rsid w:val="00DD5E4C"/>
    <w:rsid w:val="00DD5FB6"/>
    <w:rsid w:val="00DD631E"/>
    <w:rsid w:val="00DD6546"/>
    <w:rsid w:val="00DD66C5"/>
    <w:rsid w:val="00DD6961"/>
    <w:rsid w:val="00DD6BEA"/>
    <w:rsid w:val="00DD6D6E"/>
    <w:rsid w:val="00DD70CF"/>
    <w:rsid w:val="00DD72DF"/>
    <w:rsid w:val="00DD777F"/>
    <w:rsid w:val="00DD7F20"/>
    <w:rsid w:val="00DD7F90"/>
    <w:rsid w:val="00DD7FC8"/>
    <w:rsid w:val="00DE072F"/>
    <w:rsid w:val="00DE0C7C"/>
    <w:rsid w:val="00DE0CE4"/>
    <w:rsid w:val="00DE1099"/>
    <w:rsid w:val="00DE1185"/>
    <w:rsid w:val="00DE153B"/>
    <w:rsid w:val="00DE2490"/>
    <w:rsid w:val="00DE270E"/>
    <w:rsid w:val="00DE2AC7"/>
    <w:rsid w:val="00DE2E6D"/>
    <w:rsid w:val="00DE3407"/>
    <w:rsid w:val="00DE35C0"/>
    <w:rsid w:val="00DE4E0D"/>
    <w:rsid w:val="00DE5826"/>
    <w:rsid w:val="00DE5C2E"/>
    <w:rsid w:val="00DE605E"/>
    <w:rsid w:val="00DE648B"/>
    <w:rsid w:val="00DE6CE0"/>
    <w:rsid w:val="00DE7097"/>
    <w:rsid w:val="00DE725D"/>
    <w:rsid w:val="00DE72F1"/>
    <w:rsid w:val="00DE7654"/>
    <w:rsid w:val="00DE7EB1"/>
    <w:rsid w:val="00DF0456"/>
    <w:rsid w:val="00DF0686"/>
    <w:rsid w:val="00DF15B7"/>
    <w:rsid w:val="00DF1969"/>
    <w:rsid w:val="00DF1F09"/>
    <w:rsid w:val="00DF1F18"/>
    <w:rsid w:val="00DF241B"/>
    <w:rsid w:val="00DF2682"/>
    <w:rsid w:val="00DF2766"/>
    <w:rsid w:val="00DF2954"/>
    <w:rsid w:val="00DF29F2"/>
    <w:rsid w:val="00DF2BC1"/>
    <w:rsid w:val="00DF3331"/>
    <w:rsid w:val="00DF3435"/>
    <w:rsid w:val="00DF384E"/>
    <w:rsid w:val="00DF38AF"/>
    <w:rsid w:val="00DF421D"/>
    <w:rsid w:val="00DF499E"/>
    <w:rsid w:val="00DF5055"/>
    <w:rsid w:val="00DF5D0E"/>
    <w:rsid w:val="00DF5E6D"/>
    <w:rsid w:val="00DF6063"/>
    <w:rsid w:val="00DF6119"/>
    <w:rsid w:val="00DF6430"/>
    <w:rsid w:val="00DF6564"/>
    <w:rsid w:val="00DF6AE0"/>
    <w:rsid w:val="00DF6B9B"/>
    <w:rsid w:val="00DF6BBB"/>
    <w:rsid w:val="00DF6DAB"/>
    <w:rsid w:val="00DF6FDC"/>
    <w:rsid w:val="00DF73BE"/>
    <w:rsid w:val="00DF7444"/>
    <w:rsid w:val="00DF751E"/>
    <w:rsid w:val="00DF7697"/>
    <w:rsid w:val="00DF76CA"/>
    <w:rsid w:val="00DF7732"/>
    <w:rsid w:val="00DF7768"/>
    <w:rsid w:val="00DF7A86"/>
    <w:rsid w:val="00DF7ABC"/>
    <w:rsid w:val="00DF7EF6"/>
    <w:rsid w:val="00E0017E"/>
    <w:rsid w:val="00E0093E"/>
    <w:rsid w:val="00E00990"/>
    <w:rsid w:val="00E014B2"/>
    <w:rsid w:val="00E014D6"/>
    <w:rsid w:val="00E01AF5"/>
    <w:rsid w:val="00E01C15"/>
    <w:rsid w:val="00E024C6"/>
    <w:rsid w:val="00E02879"/>
    <w:rsid w:val="00E028B2"/>
    <w:rsid w:val="00E02D9C"/>
    <w:rsid w:val="00E02DF4"/>
    <w:rsid w:val="00E02F6F"/>
    <w:rsid w:val="00E03034"/>
    <w:rsid w:val="00E030AC"/>
    <w:rsid w:val="00E030EB"/>
    <w:rsid w:val="00E03497"/>
    <w:rsid w:val="00E03761"/>
    <w:rsid w:val="00E038FF"/>
    <w:rsid w:val="00E0392A"/>
    <w:rsid w:val="00E03D76"/>
    <w:rsid w:val="00E04147"/>
    <w:rsid w:val="00E043C8"/>
    <w:rsid w:val="00E04554"/>
    <w:rsid w:val="00E04738"/>
    <w:rsid w:val="00E04825"/>
    <w:rsid w:val="00E04917"/>
    <w:rsid w:val="00E049F7"/>
    <w:rsid w:val="00E0522D"/>
    <w:rsid w:val="00E05486"/>
    <w:rsid w:val="00E05798"/>
    <w:rsid w:val="00E057B0"/>
    <w:rsid w:val="00E05B23"/>
    <w:rsid w:val="00E05CFB"/>
    <w:rsid w:val="00E05E90"/>
    <w:rsid w:val="00E05F67"/>
    <w:rsid w:val="00E0631F"/>
    <w:rsid w:val="00E06649"/>
    <w:rsid w:val="00E066A3"/>
    <w:rsid w:val="00E06881"/>
    <w:rsid w:val="00E108EE"/>
    <w:rsid w:val="00E109DE"/>
    <w:rsid w:val="00E117C3"/>
    <w:rsid w:val="00E11AC5"/>
    <w:rsid w:val="00E11BE0"/>
    <w:rsid w:val="00E11FBF"/>
    <w:rsid w:val="00E125E6"/>
    <w:rsid w:val="00E12BB2"/>
    <w:rsid w:val="00E12D2E"/>
    <w:rsid w:val="00E13044"/>
    <w:rsid w:val="00E13166"/>
    <w:rsid w:val="00E1342D"/>
    <w:rsid w:val="00E13605"/>
    <w:rsid w:val="00E13A5A"/>
    <w:rsid w:val="00E13B4B"/>
    <w:rsid w:val="00E142ED"/>
    <w:rsid w:val="00E144C4"/>
    <w:rsid w:val="00E146C7"/>
    <w:rsid w:val="00E14804"/>
    <w:rsid w:val="00E148E1"/>
    <w:rsid w:val="00E14B8A"/>
    <w:rsid w:val="00E14B91"/>
    <w:rsid w:val="00E14EB4"/>
    <w:rsid w:val="00E14EFC"/>
    <w:rsid w:val="00E15024"/>
    <w:rsid w:val="00E15064"/>
    <w:rsid w:val="00E150D8"/>
    <w:rsid w:val="00E1513F"/>
    <w:rsid w:val="00E1521F"/>
    <w:rsid w:val="00E155B2"/>
    <w:rsid w:val="00E158CB"/>
    <w:rsid w:val="00E15C5D"/>
    <w:rsid w:val="00E15E1B"/>
    <w:rsid w:val="00E16243"/>
    <w:rsid w:val="00E165C8"/>
    <w:rsid w:val="00E1681F"/>
    <w:rsid w:val="00E1699A"/>
    <w:rsid w:val="00E16A42"/>
    <w:rsid w:val="00E16AA4"/>
    <w:rsid w:val="00E16BF5"/>
    <w:rsid w:val="00E16C66"/>
    <w:rsid w:val="00E16C77"/>
    <w:rsid w:val="00E20B73"/>
    <w:rsid w:val="00E210DE"/>
    <w:rsid w:val="00E21871"/>
    <w:rsid w:val="00E219A5"/>
    <w:rsid w:val="00E21CFB"/>
    <w:rsid w:val="00E22C92"/>
    <w:rsid w:val="00E22D3E"/>
    <w:rsid w:val="00E2350A"/>
    <w:rsid w:val="00E237C8"/>
    <w:rsid w:val="00E237D8"/>
    <w:rsid w:val="00E242C5"/>
    <w:rsid w:val="00E2470F"/>
    <w:rsid w:val="00E2493C"/>
    <w:rsid w:val="00E24CC8"/>
    <w:rsid w:val="00E25184"/>
    <w:rsid w:val="00E25235"/>
    <w:rsid w:val="00E2528E"/>
    <w:rsid w:val="00E25545"/>
    <w:rsid w:val="00E25A62"/>
    <w:rsid w:val="00E25BF4"/>
    <w:rsid w:val="00E25E64"/>
    <w:rsid w:val="00E26184"/>
    <w:rsid w:val="00E265C6"/>
    <w:rsid w:val="00E2663D"/>
    <w:rsid w:val="00E26688"/>
    <w:rsid w:val="00E26E83"/>
    <w:rsid w:val="00E26FBE"/>
    <w:rsid w:val="00E2718F"/>
    <w:rsid w:val="00E277E4"/>
    <w:rsid w:val="00E27AC2"/>
    <w:rsid w:val="00E27BE1"/>
    <w:rsid w:val="00E27E60"/>
    <w:rsid w:val="00E30201"/>
    <w:rsid w:val="00E3080E"/>
    <w:rsid w:val="00E30BE1"/>
    <w:rsid w:val="00E31381"/>
    <w:rsid w:val="00E314A3"/>
    <w:rsid w:val="00E3151B"/>
    <w:rsid w:val="00E31876"/>
    <w:rsid w:val="00E319E2"/>
    <w:rsid w:val="00E31AF6"/>
    <w:rsid w:val="00E3260A"/>
    <w:rsid w:val="00E3265C"/>
    <w:rsid w:val="00E3274C"/>
    <w:rsid w:val="00E32940"/>
    <w:rsid w:val="00E329AF"/>
    <w:rsid w:val="00E32FF9"/>
    <w:rsid w:val="00E331BE"/>
    <w:rsid w:val="00E33632"/>
    <w:rsid w:val="00E3363E"/>
    <w:rsid w:val="00E3369E"/>
    <w:rsid w:val="00E337D5"/>
    <w:rsid w:val="00E33B93"/>
    <w:rsid w:val="00E33DBF"/>
    <w:rsid w:val="00E348E4"/>
    <w:rsid w:val="00E34B3C"/>
    <w:rsid w:val="00E34F61"/>
    <w:rsid w:val="00E35017"/>
    <w:rsid w:val="00E353C3"/>
    <w:rsid w:val="00E3556D"/>
    <w:rsid w:val="00E356AF"/>
    <w:rsid w:val="00E356D2"/>
    <w:rsid w:val="00E3585E"/>
    <w:rsid w:val="00E35B13"/>
    <w:rsid w:val="00E36292"/>
    <w:rsid w:val="00E3645F"/>
    <w:rsid w:val="00E3686C"/>
    <w:rsid w:val="00E3689F"/>
    <w:rsid w:val="00E3708F"/>
    <w:rsid w:val="00E3724A"/>
    <w:rsid w:val="00E37527"/>
    <w:rsid w:val="00E376E2"/>
    <w:rsid w:val="00E37765"/>
    <w:rsid w:val="00E40497"/>
    <w:rsid w:val="00E40803"/>
    <w:rsid w:val="00E40984"/>
    <w:rsid w:val="00E40A62"/>
    <w:rsid w:val="00E40AC9"/>
    <w:rsid w:val="00E40D12"/>
    <w:rsid w:val="00E40EF2"/>
    <w:rsid w:val="00E411BF"/>
    <w:rsid w:val="00E419E2"/>
    <w:rsid w:val="00E41BE6"/>
    <w:rsid w:val="00E41CB8"/>
    <w:rsid w:val="00E41DB0"/>
    <w:rsid w:val="00E4232B"/>
    <w:rsid w:val="00E423FE"/>
    <w:rsid w:val="00E4252A"/>
    <w:rsid w:val="00E42538"/>
    <w:rsid w:val="00E42752"/>
    <w:rsid w:val="00E42896"/>
    <w:rsid w:val="00E42F70"/>
    <w:rsid w:val="00E43693"/>
    <w:rsid w:val="00E43AB7"/>
    <w:rsid w:val="00E4536A"/>
    <w:rsid w:val="00E45916"/>
    <w:rsid w:val="00E45AB3"/>
    <w:rsid w:val="00E45DAB"/>
    <w:rsid w:val="00E46755"/>
    <w:rsid w:val="00E46868"/>
    <w:rsid w:val="00E468C5"/>
    <w:rsid w:val="00E46A3D"/>
    <w:rsid w:val="00E46BB5"/>
    <w:rsid w:val="00E46D32"/>
    <w:rsid w:val="00E46D99"/>
    <w:rsid w:val="00E474A6"/>
    <w:rsid w:val="00E476B2"/>
    <w:rsid w:val="00E47A7A"/>
    <w:rsid w:val="00E504A2"/>
    <w:rsid w:val="00E50528"/>
    <w:rsid w:val="00E50C1A"/>
    <w:rsid w:val="00E50C90"/>
    <w:rsid w:val="00E50E85"/>
    <w:rsid w:val="00E5104A"/>
    <w:rsid w:val="00E51411"/>
    <w:rsid w:val="00E5160D"/>
    <w:rsid w:val="00E51705"/>
    <w:rsid w:val="00E5170C"/>
    <w:rsid w:val="00E51887"/>
    <w:rsid w:val="00E51B51"/>
    <w:rsid w:val="00E51D02"/>
    <w:rsid w:val="00E525CF"/>
    <w:rsid w:val="00E5286F"/>
    <w:rsid w:val="00E53405"/>
    <w:rsid w:val="00E535C6"/>
    <w:rsid w:val="00E537AE"/>
    <w:rsid w:val="00E53A5E"/>
    <w:rsid w:val="00E53F03"/>
    <w:rsid w:val="00E5484F"/>
    <w:rsid w:val="00E550FA"/>
    <w:rsid w:val="00E550FD"/>
    <w:rsid w:val="00E555F3"/>
    <w:rsid w:val="00E55794"/>
    <w:rsid w:val="00E558BC"/>
    <w:rsid w:val="00E558FE"/>
    <w:rsid w:val="00E55B68"/>
    <w:rsid w:val="00E55D63"/>
    <w:rsid w:val="00E55FE2"/>
    <w:rsid w:val="00E569F0"/>
    <w:rsid w:val="00E56D13"/>
    <w:rsid w:val="00E56FA0"/>
    <w:rsid w:val="00E57321"/>
    <w:rsid w:val="00E574A6"/>
    <w:rsid w:val="00E57871"/>
    <w:rsid w:val="00E578F5"/>
    <w:rsid w:val="00E57A9D"/>
    <w:rsid w:val="00E57CDD"/>
    <w:rsid w:val="00E57E28"/>
    <w:rsid w:val="00E6008A"/>
    <w:rsid w:val="00E601E8"/>
    <w:rsid w:val="00E60255"/>
    <w:rsid w:val="00E60446"/>
    <w:rsid w:val="00E60722"/>
    <w:rsid w:val="00E6079E"/>
    <w:rsid w:val="00E607AA"/>
    <w:rsid w:val="00E6097E"/>
    <w:rsid w:val="00E61671"/>
    <w:rsid w:val="00E61E63"/>
    <w:rsid w:val="00E62055"/>
    <w:rsid w:val="00E6218A"/>
    <w:rsid w:val="00E62268"/>
    <w:rsid w:val="00E6253F"/>
    <w:rsid w:val="00E6277B"/>
    <w:rsid w:val="00E62870"/>
    <w:rsid w:val="00E628E9"/>
    <w:rsid w:val="00E62B1A"/>
    <w:rsid w:val="00E62C80"/>
    <w:rsid w:val="00E62E34"/>
    <w:rsid w:val="00E62E49"/>
    <w:rsid w:val="00E630B1"/>
    <w:rsid w:val="00E631B6"/>
    <w:rsid w:val="00E6398F"/>
    <w:rsid w:val="00E63AC4"/>
    <w:rsid w:val="00E63C37"/>
    <w:rsid w:val="00E63CD9"/>
    <w:rsid w:val="00E63F21"/>
    <w:rsid w:val="00E64116"/>
    <w:rsid w:val="00E64504"/>
    <w:rsid w:val="00E6495E"/>
    <w:rsid w:val="00E64CCC"/>
    <w:rsid w:val="00E67215"/>
    <w:rsid w:val="00E67259"/>
    <w:rsid w:val="00E672D8"/>
    <w:rsid w:val="00E6733A"/>
    <w:rsid w:val="00E675BC"/>
    <w:rsid w:val="00E6783E"/>
    <w:rsid w:val="00E70064"/>
    <w:rsid w:val="00E706CC"/>
    <w:rsid w:val="00E708E6"/>
    <w:rsid w:val="00E708EA"/>
    <w:rsid w:val="00E709AA"/>
    <w:rsid w:val="00E70BCC"/>
    <w:rsid w:val="00E70F4F"/>
    <w:rsid w:val="00E71293"/>
    <w:rsid w:val="00E71779"/>
    <w:rsid w:val="00E7208C"/>
    <w:rsid w:val="00E723E9"/>
    <w:rsid w:val="00E72BEB"/>
    <w:rsid w:val="00E72E07"/>
    <w:rsid w:val="00E73757"/>
    <w:rsid w:val="00E737DD"/>
    <w:rsid w:val="00E73999"/>
    <w:rsid w:val="00E7434A"/>
    <w:rsid w:val="00E74381"/>
    <w:rsid w:val="00E749DA"/>
    <w:rsid w:val="00E74CBC"/>
    <w:rsid w:val="00E74ECF"/>
    <w:rsid w:val="00E75626"/>
    <w:rsid w:val="00E759A0"/>
    <w:rsid w:val="00E7649B"/>
    <w:rsid w:val="00E767A3"/>
    <w:rsid w:val="00E76FF1"/>
    <w:rsid w:val="00E7756F"/>
    <w:rsid w:val="00E779D1"/>
    <w:rsid w:val="00E77E4B"/>
    <w:rsid w:val="00E77FB8"/>
    <w:rsid w:val="00E803D0"/>
    <w:rsid w:val="00E8049B"/>
    <w:rsid w:val="00E806D2"/>
    <w:rsid w:val="00E80BB1"/>
    <w:rsid w:val="00E80BC7"/>
    <w:rsid w:val="00E80D0F"/>
    <w:rsid w:val="00E80F87"/>
    <w:rsid w:val="00E8135D"/>
    <w:rsid w:val="00E818F9"/>
    <w:rsid w:val="00E81C29"/>
    <w:rsid w:val="00E82631"/>
    <w:rsid w:val="00E82A6C"/>
    <w:rsid w:val="00E82C09"/>
    <w:rsid w:val="00E82E66"/>
    <w:rsid w:val="00E82EC4"/>
    <w:rsid w:val="00E82F8B"/>
    <w:rsid w:val="00E8307B"/>
    <w:rsid w:val="00E831A8"/>
    <w:rsid w:val="00E83255"/>
    <w:rsid w:val="00E8333F"/>
    <w:rsid w:val="00E834D9"/>
    <w:rsid w:val="00E836D9"/>
    <w:rsid w:val="00E83DD5"/>
    <w:rsid w:val="00E84165"/>
    <w:rsid w:val="00E84B73"/>
    <w:rsid w:val="00E84CDD"/>
    <w:rsid w:val="00E85193"/>
    <w:rsid w:val="00E8542A"/>
    <w:rsid w:val="00E855E5"/>
    <w:rsid w:val="00E855E8"/>
    <w:rsid w:val="00E85ECE"/>
    <w:rsid w:val="00E866E8"/>
    <w:rsid w:val="00E86AF0"/>
    <w:rsid w:val="00E86DFF"/>
    <w:rsid w:val="00E87375"/>
    <w:rsid w:val="00E87DFE"/>
    <w:rsid w:val="00E901A4"/>
    <w:rsid w:val="00E901B5"/>
    <w:rsid w:val="00E91482"/>
    <w:rsid w:val="00E914D0"/>
    <w:rsid w:val="00E92B26"/>
    <w:rsid w:val="00E92B3E"/>
    <w:rsid w:val="00E92DE7"/>
    <w:rsid w:val="00E934BD"/>
    <w:rsid w:val="00E938C5"/>
    <w:rsid w:val="00E93FAF"/>
    <w:rsid w:val="00E940A6"/>
    <w:rsid w:val="00E946FB"/>
    <w:rsid w:val="00E94CCF"/>
    <w:rsid w:val="00E95660"/>
    <w:rsid w:val="00E95BB6"/>
    <w:rsid w:val="00E96159"/>
    <w:rsid w:val="00E9655C"/>
    <w:rsid w:val="00E965E7"/>
    <w:rsid w:val="00E96D84"/>
    <w:rsid w:val="00E96F5B"/>
    <w:rsid w:val="00E977CD"/>
    <w:rsid w:val="00E97AEB"/>
    <w:rsid w:val="00E97B98"/>
    <w:rsid w:val="00E97F54"/>
    <w:rsid w:val="00E97FD7"/>
    <w:rsid w:val="00EA006B"/>
    <w:rsid w:val="00EA0328"/>
    <w:rsid w:val="00EA0AC2"/>
    <w:rsid w:val="00EA1035"/>
    <w:rsid w:val="00EA1563"/>
    <w:rsid w:val="00EA15FE"/>
    <w:rsid w:val="00EA1CAE"/>
    <w:rsid w:val="00EA1DFE"/>
    <w:rsid w:val="00EA1EDB"/>
    <w:rsid w:val="00EA1FD3"/>
    <w:rsid w:val="00EA28D2"/>
    <w:rsid w:val="00EA2B44"/>
    <w:rsid w:val="00EA2D62"/>
    <w:rsid w:val="00EA321F"/>
    <w:rsid w:val="00EA3299"/>
    <w:rsid w:val="00EA32C1"/>
    <w:rsid w:val="00EA34BF"/>
    <w:rsid w:val="00EA3727"/>
    <w:rsid w:val="00EA39A4"/>
    <w:rsid w:val="00EA3F6A"/>
    <w:rsid w:val="00EA409F"/>
    <w:rsid w:val="00EA40C2"/>
    <w:rsid w:val="00EA4644"/>
    <w:rsid w:val="00EA49E0"/>
    <w:rsid w:val="00EA4C36"/>
    <w:rsid w:val="00EA532F"/>
    <w:rsid w:val="00EA546C"/>
    <w:rsid w:val="00EA5AF1"/>
    <w:rsid w:val="00EA5C1B"/>
    <w:rsid w:val="00EA5EFD"/>
    <w:rsid w:val="00EA5F3E"/>
    <w:rsid w:val="00EA6383"/>
    <w:rsid w:val="00EA645C"/>
    <w:rsid w:val="00EA6487"/>
    <w:rsid w:val="00EA6897"/>
    <w:rsid w:val="00EA7093"/>
    <w:rsid w:val="00EA7573"/>
    <w:rsid w:val="00EA7730"/>
    <w:rsid w:val="00EA7A00"/>
    <w:rsid w:val="00EA7C42"/>
    <w:rsid w:val="00EB0190"/>
    <w:rsid w:val="00EB01A2"/>
    <w:rsid w:val="00EB01CA"/>
    <w:rsid w:val="00EB0DCD"/>
    <w:rsid w:val="00EB0DEC"/>
    <w:rsid w:val="00EB120F"/>
    <w:rsid w:val="00EB1262"/>
    <w:rsid w:val="00EB150F"/>
    <w:rsid w:val="00EB1616"/>
    <w:rsid w:val="00EB1E01"/>
    <w:rsid w:val="00EB2004"/>
    <w:rsid w:val="00EB2275"/>
    <w:rsid w:val="00EB2606"/>
    <w:rsid w:val="00EB277A"/>
    <w:rsid w:val="00EB2BB8"/>
    <w:rsid w:val="00EB2CA5"/>
    <w:rsid w:val="00EB2D65"/>
    <w:rsid w:val="00EB31D9"/>
    <w:rsid w:val="00EB345F"/>
    <w:rsid w:val="00EB3A88"/>
    <w:rsid w:val="00EB3ACC"/>
    <w:rsid w:val="00EB3F7E"/>
    <w:rsid w:val="00EB4072"/>
    <w:rsid w:val="00EB451A"/>
    <w:rsid w:val="00EB4978"/>
    <w:rsid w:val="00EB4A8F"/>
    <w:rsid w:val="00EB4FDD"/>
    <w:rsid w:val="00EB5A01"/>
    <w:rsid w:val="00EB5FDF"/>
    <w:rsid w:val="00EB60AA"/>
    <w:rsid w:val="00EB61A8"/>
    <w:rsid w:val="00EB6271"/>
    <w:rsid w:val="00EB6A81"/>
    <w:rsid w:val="00EB73CE"/>
    <w:rsid w:val="00EB7923"/>
    <w:rsid w:val="00EB79FE"/>
    <w:rsid w:val="00EB7B57"/>
    <w:rsid w:val="00EB7D8D"/>
    <w:rsid w:val="00EB7E7D"/>
    <w:rsid w:val="00EC0678"/>
    <w:rsid w:val="00EC0730"/>
    <w:rsid w:val="00EC093C"/>
    <w:rsid w:val="00EC0F0D"/>
    <w:rsid w:val="00EC12E8"/>
    <w:rsid w:val="00EC14EA"/>
    <w:rsid w:val="00EC170D"/>
    <w:rsid w:val="00EC18CD"/>
    <w:rsid w:val="00EC1D8C"/>
    <w:rsid w:val="00EC1E44"/>
    <w:rsid w:val="00EC2436"/>
    <w:rsid w:val="00EC244C"/>
    <w:rsid w:val="00EC24E1"/>
    <w:rsid w:val="00EC2745"/>
    <w:rsid w:val="00EC27FE"/>
    <w:rsid w:val="00EC2AC1"/>
    <w:rsid w:val="00EC315E"/>
    <w:rsid w:val="00EC3CCC"/>
    <w:rsid w:val="00EC428C"/>
    <w:rsid w:val="00EC4588"/>
    <w:rsid w:val="00EC49AC"/>
    <w:rsid w:val="00EC4D9B"/>
    <w:rsid w:val="00EC51CC"/>
    <w:rsid w:val="00EC5679"/>
    <w:rsid w:val="00EC5D48"/>
    <w:rsid w:val="00EC62A2"/>
    <w:rsid w:val="00EC688D"/>
    <w:rsid w:val="00EC6C51"/>
    <w:rsid w:val="00EC7CB7"/>
    <w:rsid w:val="00ED0137"/>
    <w:rsid w:val="00ED0CEC"/>
    <w:rsid w:val="00ED0DB6"/>
    <w:rsid w:val="00ED1027"/>
    <w:rsid w:val="00ED11BE"/>
    <w:rsid w:val="00ED12C2"/>
    <w:rsid w:val="00ED198A"/>
    <w:rsid w:val="00ED1BC0"/>
    <w:rsid w:val="00ED2445"/>
    <w:rsid w:val="00ED2523"/>
    <w:rsid w:val="00ED25F7"/>
    <w:rsid w:val="00ED27F8"/>
    <w:rsid w:val="00ED2DEF"/>
    <w:rsid w:val="00ED339C"/>
    <w:rsid w:val="00ED3591"/>
    <w:rsid w:val="00ED3C49"/>
    <w:rsid w:val="00ED3D7E"/>
    <w:rsid w:val="00ED3E3B"/>
    <w:rsid w:val="00ED44B1"/>
    <w:rsid w:val="00ED48D5"/>
    <w:rsid w:val="00ED4CE2"/>
    <w:rsid w:val="00ED520A"/>
    <w:rsid w:val="00ED588F"/>
    <w:rsid w:val="00ED59A7"/>
    <w:rsid w:val="00ED5A52"/>
    <w:rsid w:val="00ED5A72"/>
    <w:rsid w:val="00ED5A86"/>
    <w:rsid w:val="00ED5B70"/>
    <w:rsid w:val="00ED60E2"/>
    <w:rsid w:val="00ED650A"/>
    <w:rsid w:val="00ED660C"/>
    <w:rsid w:val="00ED6CFD"/>
    <w:rsid w:val="00ED7543"/>
    <w:rsid w:val="00ED7777"/>
    <w:rsid w:val="00ED7929"/>
    <w:rsid w:val="00ED7948"/>
    <w:rsid w:val="00ED79FF"/>
    <w:rsid w:val="00ED7AD6"/>
    <w:rsid w:val="00ED7D45"/>
    <w:rsid w:val="00ED7E08"/>
    <w:rsid w:val="00EE00D0"/>
    <w:rsid w:val="00EE0534"/>
    <w:rsid w:val="00EE0BDA"/>
    <w:rsid w:val="00EE1286"/>
    <w:rsid w:val="00EE1F67"/>
    <w:rsid w:val="00EE1F74"/>
    <w:rsid w:val="00EE245E"/>
    <w:rsid w:val="00EE404B"/>
    <w:rsid w:val="00EE4055"/>
    <w:rsid w:val="00EE4A95"/>
    <w:rsid w:val="00EE4C39"/>
    <w:rsid w:val="00EE4D9C"/>
    <w:rsid w:val="00EE4F53"/>
    <w:rsid w:val="00EE53B8"/>
    <w:rsid w:val="00EE53BE"/>
    <w:rsid w:val="00EE634E"/>
    <w:rsid w:val="00EE6A03"/>
    <w:rsid w:val="00EE6A8B"/>
    <w:rsid w:val="00EE6C6F"/>
    <w:rsid w:val="00EE748A"/>
    <w:rsid w:val="00EE7BBB"/>
    <w:rsid w:val="00EF009B"/>
    <w:rsid w:val="00EF0568"/>
    <w:rsid w:val="00EF1945"/>
    <w:rsid w:val="00EF1F38"/>
    <w:rsid w:val="00EF2C53"/>
    <w:rsid w:val="00EF2D51"/>
    <w:rsid w:val="00EF30CA"/>
    <w:rsid w:val="00EF317A"/>
    <w:rsid w:val="00EF33AC"/>
    <w:rsid w:val="00EF3B7F"/>
    <w:rsid w:val="00EF3BCF"/>
    <w:rsid w:val="00EF40C0"/>
    <w:rsid w:val="00EF4268"/>
    <w:rsid w:val="00EF4603"/>
    <w:rsid w:val="00EF4723"/>
    <w:rsid w:val="00EF4DCA"/>
    <w:rsid w:val="00EF5163"/>
    <w:rsid w:val="00EF60AD"/>
    <w:rsid w:val="00EF6984"/>
    <w:rsid w:val="00EF69D4"/>
    <w:rsid w:val="00EF6E3C"/>
    <w:rsid w:val="00EF73EF"/>
    <w:rsid w:val="00EF78FC"/>
    <w:rsid w:val="00EF790F"/>
    <w:rsid w:val="00EF79F4"/>
    <w:rsid w:val="00F00266"/>
    <w:rsid w:val="00F0038E"/>
    <w:rsid w:val="00F00B5C"/>
    <w:rsid w:val="00F00CF4"/>
    <w:rsid w:val="00F00DAB"/>
    <w:rsid w:val="00F012A1"/>
    <w:rsid w:val="00F012F6"/>
    <w:rsid w:val="00F0137B"/>
    <w:rsid w:val="00F01CD7"/>
    <w:rsid w:val="00F025F7"/>
    <w:rsid w:val="00F0269E"/>
    <w:rsid w:val="00F026A6"/>
    <w:rsid w:val="00F03450"/>
    <w:rsid w:val="00F03638"/>
    <w:rsid w:val="00F03B15"/>
    <w:rsid w:val="00F03D1D"/>
    <w:rsid w:val="00F03E09"/>
    <w:rsid w:val="00F03F74"/>
    <w:rsid w:val="00F03FCA"/>
    <w:rsid w:val="00F04096"/>
    <w:rsid w:val="00F040B4"/>
    <w:rsid w:val="00F04E83"/>
    <w:rsid w:val="00F05306"/>
    <w:rsid w:val="00F05399"/>
    <w:rsid w:val="00F057E9"/>
    <w:rsid w:val="00F05E1A"/>
    <w:rsid w:val="00F06119"/>
    <w:rsid w:val="00F06158"/>
    <w:rsid w:val="00F0619A"/>
    <w:rsid w:val="00F062EC"/>
    <w:rsid w:val="00F06752"/>
    <w:rsid w:val="00F06D64"/>
    <w:rsid w:val="00F07298"/>
    <w:rsid w:val="00F0772A"/>
    <w:rsid w:val="00F07993"/>
    <w:rsid w:val="00F07ADE"/>
    <w:rsid w:val="00F10057"/>
    <w:rsid w:val="00F101F2"/>
    <w:rsid w:val="00F10C1C"/>
    <w:rsid w:val="00F10C23"/>
    <w:rsid w:val="00F10E15"/>
    <w:rsid w:val="00F11173"/>
    <w:rsid w:val="00F11475"/>
    <w:rsid w:val="00F1156F"/>
    <w:rsid w:val="00F117D4"/>
    <w:rsid w:val="00F1191F"/>
    <w:rsid w:val="00F123BB"/>
    <w:rsid w:val="00F123FB"/>
    <w:rsid w:val="00F13AC0"/>
    <w:rsid w:val="00F13DB8"/>
    <w:rsid w:val="00F14358"/>
    <w:rsid w:val="00F14AF8"/>
    <w:rsid w:val="00F14E9F"/>
    <w:rsid w:val="00F15132"/>
    <w:rsid w:val="00F15402"/>
    <w:rsid w:val="00F155E8"/>
    <w:rsid w:val="00F158D2"/>
    <w:rsid w:val="00F15976"/>
    <w:rsid w:val="00F15B51"/>
    <w:rsid w:val="00F15B57"/>
    <w:rsid w:val="00F15C0D"/>
    <w:rsid w:val="00F16037"/>
    <w:rsid w:val="00F161CD"/>
    <w:rsid w:val="00F162AB"/>
    <w:rsid w:val="00F16633"/>
    <w:rsid w:val="00F16C6C"/>
    <w:rsid w:val="00F16D16"/>
    <w:rsid w:val="00F16D2B"/>
    <w:rsid w:val="00F1702B"/>
    <w:rsid w:val="00F17DBA"/>
    <w:rsid w:val="00F17E29"/>
    <w:rsid w:val="00F20028"/>
    <w:rsid w:val="00F20210"/>
    <w:rsid w:val="00F20251"/>
    <w:rsid w:val="00F204A8"/>
    <w:rsid w:val="00F20B5B"/>
    <w:rsid w:val="00F2121D"/>
    <w:rsid w:val="00F21951"/>
    <w:rsid w:val="00F21E71"/>
    <w:rsid w:val="00F22009"/>
    <w:rsid w:val="00F22B1B"/>
    <w:rsid w:val="00F22ECE"/>
    <w:rsid w:val="00F22F00"/>
    <w:rsid w:val="00F2348A"/>
    <w:rsid w:val="00F235DE"/>
    <w:rsid w:val="00F23674"/>
    <w:rsid w:val="00F23775"/>
    <w:rsid w:val="00F2383D"/>
    <w:rsid w:val="00F23CCD"/>
    <w:rsid w:val="00F24298"/>
    <w:rsid w:val="00F24B21"/>
    <w:rsid w:val="00F25156"/>
    <w:rsid w:val="00F252F2"/>
    <w:rsid w:val="00F254ED"/>
    <w:rsid w:val="00F25519"/>
    <w:rsid w:val="00F256B5"/>
    <w:rsid w:val="00F25CDC"/>
    <w:rsid w:val="00F25D9D"/>
    <w:rsid w:val="00F25E59"/>
    <w:rsid w:val="00F26B57"/>
    <w:rsid w:val="00F26BB9"/>
    <w:rsid w:val="00F27951"/>
    <w:rsid w:val="00F27BEC"/>
    <w:rsid w:val="00F30B98"/>
    <w:rsid w:val="00F30D8C"/>
    <w:rsid w:val="00F311E1"/>
    <w:rsid w:val="00F31508"/>
    <w:rsid w:val="00F3168A"/>
    <w:rsid w:val="00F31701"/>
    <w:rsid w:val="00F317AB"/>
    <w:rsid w:val="00F31929"/>
    <w:rsid w:val="00F31FC6"/>
    <w:rsid w:val="00F32718"/>
    <w:rsid w:val="00F32CAA"/>
    <w:rsid w:val="00F32EE2"/>
    <w:rsid w:val="00F3352E"/>
    <w:rsid w:val="00F337E3"/>
    <w:rsid w:val="00F33C55"/>
    <w:rsid w:val="00F33D86"/>
    <w:rsid w:val="00F34138"/>
    <w:rsid w:val="00F3433C"/>
    <w:rsid w:val="00F34AE9"/>
    <w:rsid w:val="00F34F77"/>
    <w:rsid w:val="00F352BB"/>
    <w:rsid w:val="00F355A5"/>
    <w:rsid w:val="00F359BA"/>
    <w:rsid w:val="00F35AA6"/>
    <w:rsid w:val="00F35B17"/>
    <w:rsid w:val="00F3621E"/>
    <w:rsid w:val="00F36788"/>
    <w:rsid w:val="00F37500"/>
    <w:rsid w:val="00F37597"/>
    <w:rsid w:val="00F376B7"/>
    <w:rsid w:val="00F3790E"/>
    <w:rsid w:val="00F37A5A"/>
    <w:rsid w:val="00F37CCA"/>
    <w:rsid w:val="00F37DE8"/>
    <w:rsid w:val="00F40230"/>
    <w:rsid w:val="00F40239"/>
    <w:rsid w:val="00F403E0"/>
    <w:rsid w:val="00F404F2"/>
    <w:rsid w:val="00F40C4F"/>
    <w:rsid w:val="00F41043"/>
    <w:rsid w:val="00F4129C"/>
    <w:rsid w:val="00F415AD"/>
    <w:rsid w:val="00F4171F"/>
    <w:rsid w:val="00F41724"/>
    <w:rsid w:val="00F418FC"/>
    <w:rsid w:val="00F41A24"/>
    <w:rsid w:val="00F420C2"/>
    <w:rsid w:val="00F428BA"/>
    <w:rsid w:val="00F42BDC"/>
    <w:rsid w:val="00F42CD6"/>
    <w:rsid w:val="00F43396"/>
    <w:rsid w:val="00F4365A"/>
    <w:rsid w:val="00F43794"/>
    <w:rsid w:val="00F43911"/>
    <w:rsid w:val="00F4391E"/>
    <w:rsid w:val="00F43B10"/>
    <w:rsid w:val="00F43C14"/>
    <w:rsid w:val="00F43E0D"/>
    <w:rsid w:val="00F44374"/>
    <w:rsid w:val="00F4444A"/>
    <w:rsid w:val="00F447EA"/>
    <w:rsid w:val="00F44BCD"/>
    <w:rsid w:val="00F44C13"/>
    <w:rsid w:val="00F44F3E"/>
    <w:rsid w:val="00F451D0"/>
    <w:rsid w:val="00F45E95"/>
    <w:rsid w:val="00F45FCF"/>
    <w:rsid w:val="00F45FFC"/>
    <w:rsid w:val="00F461C7"/>
    <w:rsid w:val="00F4630B"/>
    <w:rsid w:val="00F463BA"/>
    <w:rsid w:val="00F46DF2"/>
    <w:rsid w:val="00F46E4F"/>
    <w:rsid w:val="00F47018"/>
    <w:rsid w:val="00F47657"/>
    <w:rsid w:val="00F4784C"/>
    <w:rsid w:val="00F47AC2"/>
    <w:rsid w:val="00F47BCB"/>
    <w:rsid w:val="00F47C8C"/>
    <w:rsid w:val="00F47C9A"/>
    <w:rsid w:val="00F47D82"/>
    <w:rsid w:val="00F5012A"/>
    <w:rsid w:val="00F50410"/>
    <w:rsid w:val="00F508D9"/>
    <w:rsid w:val="00F50C15"/>
    <w:rsid w:val="00F51035"/>
    <w:rsid w:val="00F512B9"/>
    <w:rsid w:val="00F512CA"/>
    <w:rsid w:val="00F5184E"/>
    <w:rsid w:val="00F51903"/>
    <w:rsid w:val="00F51A29"/>
    <w:rsid w:val="00F51C6A"/>
    <w:rsid w:val="00F52269"/>
    <w:rsid w:val="00F52666"/>
    <w:rsid w:val="00F527C9"/>
    <w:rsid w:val="00F52A20"/>
    <w:rsid w:val="00F52ADD"/>
    <w:rsid w:val="00F52D79"/>
    <w:rsid w:val="00F53112"/>
    <w:rsid w:val="00F53192"/>
    <w:rsid w:val="00F543F4"/>
    <w:rsid w:val="00F54825"/>
    <w:rsid w:val="00F549C3"/>
    <w:rsid w:val="00F54D2C"/>
    <w:rsid w:val="00F54EB5"/>
    <w:rsid w:val="00F54ED7"/>
    <w:rsid w:val="00F5548A"/>
    <w:rsid w:val="00F55707"/>
    <w:rsid w:val="00F55FA0"/>
    <w:rsid w:val="00F5611B"/>
    <w:rsid w:val="00F5689F"/>
    <w:rsid w:val="00F56922"/>
    <w:rsid w:val="00F56D3D"/>
    <w:rsid w:val="00F56FE8"/>
    <w:rsid w:val="00F57302"/>
    <w:rsid w:val="00F57453"/>
    <w:rsid w:val="00F57713"/>
    <w:rsid w:val="00F5777B"/>
    <w:rsid w:val="00F57847"/>
    <w:rsid w:val="00F579F8"/>
    <w:rsid w:val="00F57F0A"/>
    <w:rsid w:val="00F601B8"/>
    <w:rsid w:val="00F60828"/>
    <w:rsid w:val="00F60C63"/>
    <w:rsid w:val="00F611D5"/>
    <w:rsid w:val="00F61215"/>
    <w:rsid w:val="00F612B3"/>
    <w:rsid w:val="00F61351"/>
    <w:rsid w:val="00F61388"/>
    <w:rsid w:val="00F61B79"/>
    <w:rsid w:val="00F61D7E"/>
    <w:rsid w:val="00F61F0C"/>
    <w:rsid w:val="00F61F4E"/>
    <w:rsid w:val="00F626E7"/>
    <w:rsid w:val="00F628EB"/>
    <w:rsid w:val="00F62BB8"/>
    <w:rsid w:val="00F62C52"/>
    <w:rsid w:val="00F635AF"/>
    <w:rsid w:val="00F63CF6"/>
    <w:rsid w:val="00F63D03"/>
    <w:rsid w:val="00F641A5"/>
    <w:rsid w:val="00F64C26"/>
    <w:rsid w:val="00F64F1B"/>
    <w:rsid w:val="00F65071"/>
    <w:rsid w:val="00F6509A"/>
    <w:rsid w:val="00F65146"/>
    <w:rsid w:val="00F6564E"/>
    <w:rsid w:val="00F65B61"/>
    <w:rsid w:val="00F65CA5"/>
    <w:rsid w:val="00F65E0A"/>
    <w:rsid w:val="00F66620"/>
    <w:rsid w:val="00F66826"/>
    <w:rsid w:val="00F6696D"/>
    <w:rsid w:val="00F66A27"/>
    <w:rsid w:val="00F66A37"/>
    <w:rsid w:val="00F67105"/>
    <w:rsid w:val="00F67174"/>
    <w:rsid w:val="00F671ED"/>
    <w:rsid w:val="00F673E1"/>
    <w:rsid w:val="00F67631"/>
    <w:rsid w:val="00F6774B"/>
    <w:rsid w:val="00F67761"/>
    <w:rsid w:val="00F6776B"/>
    <w:rsid w:val="00F678ED"/>
    <w:rsid w:val="00F67C4A"/>
    <w:rsid w:val="00F70121"/>
    <w:rsid w:val="00F701AA"/>
    <w:rsid w:val="00F70E07"/>
    <w:rsid w:val="00F71051"/>
    <w:rsid w:val="00F713CA"/>
    <w:rsid w:val="00F7165B"/>
    <w:rsid w:val="00F718B0"/>
    <w:rsid w:val="00F71A86"/>
    <w:rsid w:val="00F71B45"/>
    <w:rsid w:val="00F71CA4"/>
    <w:rsid w:val="00F721E9"/>
    <w:rsid w:val="00F726A5"/>
    <w:rsid w:val="00F7279D"/>
    <w:rsid w:val="00F72CEB"/>
    <w:rsid w:val="00F7326D"/>
    <w:rsid w:val="00F73B04"/>
    <w:rsid w:val="00F74270"/>
    <w:rsid w:val="00F74310"/>
    <w:rsid w:val="00F74482"/>
    <w:rsid w:val="00F7474F"/>
    <w:rsid w:val="00F748A4"/>
    <w:rsid w:val="00F74C81"/>
    <w:rsid w:val="00F7557B"/>
    <w:rsid w:val="00F75594"/>
    <w:rsid w:val="00F7583E"/>
    <w:rsid w:val="00F75A13"/>
    <w:rsid w:val="00F75A76"/>
    <w:rsid w:val="00F75DB9"/>
    <w:rsid w:val="00F76514"/>
    <w:rsid w:val="00F7667E"/>
    <w:rsid w:val="00F76685"/>
    <w:rsid w:val="00F768A0"/>
    <w:rsid w:val="00F76F42"/>
    <w:rsid w:val="00F77780"/>
    <w:rsid w:val="00F77CA8"/>
    <w:rsid w:val="00F80026"/>
    <w:rsid w:val="00F802D8"/>
    <w:rsid w:val="00F80651"/>
    <w:rsid w:val="00F80800"/>
    <w:rsid w:val="00F80B6E"/>
    <w:rsid w:val="00F814CA"/>
    <w:rsid w:val="00F81AB1"/>
    <w:rsid w:val="00F823B2"/>
    <w:rsid w:val="00F82422"/>
    <w:rsid w:val="00F824E8"/>
    <w:rsid w:val="00F82663"/>
    <w:rsid w:val="00F82819"/>
    <w:rsid w:val="00F82A1D"/>
    <w:rsid w:val="00F82E48"/>
    <w:rsid w:val="00F82F80"/>
    <w:rsid w:val="00F830E1"/>
    <w:rsid w:val="00F83963"/>
    <w:rsid w:val="00F83D00"/>
    <w:rsid w:val="00F83E39"/>
    <w:rsid w:val="00F848DF"/>
    <w:rsid w:val="00F85248"/>
    <w:rsid w:val="00F8571B"/>
    <w:rsid w:val="00F857C5"/>
    <w:rsid w:val="00F857DA"/>
    <w:rsid w:val="00F86E97"/>
    <w:rsid w:val="00F86F98"/>
    <w:rsid w:val="00F87173"/>
    <w:rsid w:val="00F87278"/>
    <w:rsid w:val="00F8768B"/>
    <w:rsid w:val="00F90893"/>
    <w:rsid w:val="00F90A56"/>
    <w:rsid w:val="00F90D76"/>
    <w:rsid w:val="00F90DD2"/>
    <w:rsid w:val="00F90FF9"/>
    <w:rsid w:val="00F913FF"/>
    <w:rsid w:val="00F91560"/>
    <w:rsid w:val="00F9159B"/>
    <w:rsid w:val="00F915ED"/>
    <w:rsid w:val="00F9164C"/>
    <w:rsid w:val="00F916EB"/>
    <w:rsid w:val="00F91771"/>
    <w:rsid w:val="00F91C02"/>
    <w:rsid w:val="00F91D2B"/>
    <w:rsid w:val="00F9275C"/>
    <w:rsid w:val="00F927FD"/>
    <w:rsid w:val="00F92DA9"/>
    <w:rsid w:val="00F9300A"/>
    <w:rsid w:val="00F930C5"/>
    <w:rsid w:val="00F930FE"/>
    <w:rsid w:val="00F93103"/>
    <w:rsid w:val="00F93300"/>
    <w:rsid w:val="00F93697"/>
    <w:rsid w:val="00F936FB"/>
    <w:rsid w:val="00F93BF6"/>
    <w:rsid w:val="00F9463E"/>
    <w:rsid w:val="00F94AC7"/>
    <w:rsid w:val="00F94B18"/>
    <w:rsid w:val="00F95598"/>
    <w:rsid w:val="00F95976"/>
    <w:rsid w:val="00F9599E"/>
    <w:rsid w:val="00F95AF5"/>
    <w:rsid w:val="00F95D29"/>
    <w:rsid w:val="00F95F91"/>
    <w:rsid w:val="00F963E3"/>
    <w:rsid w:val="00F96501"/>
    <w:rsid w:val="00F96F2E"/>
    <w:rsid w:val="00F977C7"/>
    <w:rsid w:val="00F97B15"/>
    <w:rsid w:val="00F97E0F"/>
    <w:rsid w:val="00F97FF4"/>
    <w:rsid w:val="00FA05E7"/>
    <w:rsid w:val="00FA1187"/>
    <w:rsid w:val="00FA123B"/>
    <w:rsid w:val="00FA1A4B"/>
    <w:rsid w:val="00FA219E"/>
    <w:rsid w:val="00FA2523"/>
    <w:rsid w:val="00FA27A3"/>
    <w:rsid w:val="00FA2887"/>
    <w:rsid w:val="00FA3071"/>
    <w:rsid w:val="00FA30E5"/>
    <w:rsid w:val="00FA330C"/>
    <w:rsid w:val="00FA331F"/>
    <w:rsid w:val="00FA3480"/>
    <w:rsid w:val="00FA3526"/>
    <w:rsid w:val="00FA38C6"/>
    <w:rsid w:val="00FA3C4F"/>
    <w:rsid w:val="00FA3ECC"/>
    <w:rsid w:val="00FA48B0"/>
    <w:rsid w:val="00FA496A"/>
    <w:rsid w:val="00FA4BDC"/>
    <w:rsid w:val="00FA51F4"/>
    <w:rsid w:val="00FA543C"/>
    <w:rsid w:val="00FA54AA"/>
    <w:rsid w:val="00FA54F4"/>
    <w:rsid w:val="00FA5A99"/>
    <w:rsid w:val="00FA5B77"/>
    <w:rsid w:val="00FA61C7"/>
    <w:rsid w:val="00FA6371"/>
    <w:rsid w:val="00FA7421"/>
    <w:rsid w:val="00FA7766"/>
    <w:rsid w:val="00FA779C"/>
    <w:rsid w:val="00FA7941"/>
    <w:rsid w:val="00FA7D37"/>
    <w:rsid w:val="00FB0551"/>
    <w:rsid w:val="00FB06FC"/>
    <w:rsid w:val="00FB081C"/>
    <w:rsid w:val="00FB1199"/>
    <w:rsid w:val="00FB12A9"/>
    <w:rsid w:val="00FB15EE"/>
    <w:rsid w:val="00FB184E"/>
    <w:rsid w:val="00FB1BEA"/>
    <w:rsid w:val="00FB1CC2"/>
    <w:rsid w:val="00FB21B0"/>
    <w:rsid w:val="00FB2A57"/>
    <w:rsid w:val="00FB2CA3"/>
    <w:rsid w:val="00FB2F55"/>
    <w:rsid w:val="00FB307D"/>
    <w:rsid w:val="00FB324F"/>
    <w:rsid w:val="00FB353A"/>
    <w:rsid w:val="00FB392E"/>
    <w:rsid w:val="00FB3B27"/>
    <w:rsid w:val="00FB3B9A"/>
    <w:rsid w:val="00FB3C51"/>
    <w:rsid w:val="00FB4E39"/>
    <w:rsid w:val="00FB4E83"/>
    <w:rsid w:val="00FB5502"/>
    <w:rsid w:val="00FB5917"/>
    <w:rsid w:val="00FB60AA"/>
    <w:rsid w:val="00FB62B3"/>
    <w:rsid w:val="00FB6566"/>
    <w:rsid w:val="00FB697B"/>
    <w:rsid w:val="00FB6E5B"/>
    <w:rsid w:val="00FB6F97"/>
    <w:rsid w:val="00FB727C"/>
    <w:rsid w:val="00FB75F9"/>
    <w:rsid w:val="00FB7BDD"/>
    <w:rsid w:val="00FB7EF8"/>
    <w:rsid w:val="00FC02F4"/>
    <w:rsid w:val="00FC08C0"/>
    <w:rsid w:val="00FC1305"/>
    <w:rsid w:val="00FC1826"/>
    <w:rsid w:val="00FC1C23"/>
    <w:rsid w:val="00FC1D26"/>
    <w:rsid w:val="00FC222C"/>
    <w:rsid w:val="00FC2599"/>
    <w:rsid w:val="00FC2E9A"/>
    <w:rsid w:val="00FC3093"/>
    <w:rsid w:val="00FC3680"/>
    <w:rsid w:val="00FC3796"/>
    <w:rsid w:val="00FC40B0"/>
    <w:rsid w:val="00FC488C"/>
    <w:rsid w:val="00FC49F6"/>
    <w:rsid w:val="00FC4C6E"/>
    <w:rsid w:val="00FC4E97"/>
    <w:rsid w:val="00FC53EC"/>
    <w:rsid w:val="00FC54F9"/>
    <w:rsid w:val="00FC5BB0"/>
    <w:rsid w:val="00FC65F5"/>
    <w:rsid w:val="00FC69C8"/>
    <w:rsid w:val="00FC6D35"/>
    <w:rsid w:val="00FC6F9F"/>
    <w:rsid w:val="00FC730E"/>
    <w:rsid w:val="00FC786B"/>
    <w:rsid w:val="00FC7ACD"/>
    <w:rsid w:val="00FC7D67"/>
    <w:rsid w:val="00FC7FA9"/>
    <w:rsid w:val="00FD01F3"/>
    <w:rsid w:val="00FD0A26"/>
    <w:rsid w:val="00FD0A95"/>
    <w:rsid w:val="00FD0F9A"/>
    <w:rsid w:val="00FD0FD9"/>
    <w:rsid w:val="00FD1006"/>
    <w:rsid w:val="00FD145D"/>
    <w:rsid w:val="00FD1725"/>
    <w:rsid w:val="00FD1ECE"/>
    <w:rsid w:val="00FD2058"/>
    <w:rsid w:val="00FD23BF"/>
    <w:rsid w:val="00FD27C6"/>
    <w:rsid w:val="00FD2D19"/>
    <w:rsid w:val="00FD31A2"/>
    <w:rsid w:val="00FD37B8"/>
    <w:rsid w:val="00FD3C40"/>
    <w:rsid w:val="00FD40F2"/>
    <w:rsid w:val="00FD416A"/>
    <w:rsid w:val="00FD4265"/>
    <w:rsid w:val="00FD430C"/>
    <w:rsid w:val="00FD4511"/>
    <w:rsid w:val="00FD4A2A"/>
    <w:rsid w:val="00FD4ED4"/>
    <w:rsid w:val="00FD5B66"/>
    <w:rsid w:val="00FD5D34"/>
    <w:rsid w:val="00FD5FED"/>
    <w:rsid w:val="00FD622D"/>
    <w:rsid w:val="00FD64EF"/>
    <w:rsid w:val="00FD651E"/>
    <w:rsid w:val="00FD6BD9"/>
    <w:rsid w:val="00FD6D13"/>
    <w:rsid w:val="00FD6EB3"/>
    <w:rsid w:val="00FD6FA1"/>
    <w:rsid w:val="00FD7585"/>
    <w:rsid w:val="00FD767C"/>
    <w:rsid w:val="00FE0472"/>
    <w:rsid w:val="00FE0BE7"/>
    <w:rsid w:val="00FE0D18"/>
    <w:rsid w:val="00FE1009"/>
    <w:rsid w:val="00FE13DF"/>
    <w:rsid w:val="00FE1E2D"/>
    <w:rsid w:val="00FE2044"/>
    <w:rsid w:val="00FE2187"/>
    <w:rsid w:val="00FE218A"/>
    <w:rsid w:val="00FE265D"/>
    <w:rsid w:val="00FE2942"/>
    <w:rsid w:val="00FE2C6C"/>
    <w:rsid w:val="00FE2DA8"/>
    <w:rsid w:val="00FE3121"/>
    <w:rsid w:val="00FE319E"/>
    <w:rsid w:val="00FE332D"/>
    <w:rsid w:val="00FE3455"/>
    <w:rsid w:val="00FE360B"/>
    <w:rsid w:val="00FE39DE"/>
    <w:rsid w:val="00FE3D27"/>
    <w:rsid w:val="00FE4067"/>
    <w:rsid w:val="00FE40C7"/>
    <w:rsid w:val="00FE4261"/>
    <w:rsid w:val="00FE4337"/>
    <w:rsid w:val="00FE458C"/>
    <w:rsid w:val="00FE4A20"/>
    <w:rsid w:val="00FE4D68"/>
    <w:rsid w:val="00FE5C55"/>
    <w:rsid w:val="00FE6168"/>
    <w:rsid w:val="00FE6172"/>
    <w:rsid w:val="00FE6B14"/>
    <w:rsid w:val="00FE6DBC"/>
    <w:rsid w:val="00FE7137"/>
    <w:rsid w:val="00FE725F"/>
    <w:rsid w:val="00FE7687"/>
    <w:rsid w:val="00FE7829"/>
    <w:rsid w:val="00FE7E60"/>
    <w:rsid w:val="00FF0151"/>
    <w:rsid w:val="00FF0262"/>
    <w:rsid w:val="00FF02EC"/>
    <w:rsid w:val="00FF037B"/>
    <w:rsid w:val="00FF040F"/>
    <w:rsid w:val="00FF0417"/>
    <w:rsid w:val="00FF05C4"/>
    <w:rsid w:val="00FF0EEA"/>
    <w:rsid w:val="00FF0FD8"/>
    <w:rsid w:val="00FF11EF"/>
    <w:rsid w:val="00FF155B"/>
    <w:rsid w:val="00FF1E5F"/>
    <w:rsid w:val="00FF270D"/>
    <w:rsid w:val="00FF2730"/>
    <w:rsid w:val="00FF2B65"/>
    <w:rsid w:val="00FF2BA7"/>
    <w:rsid w:val="00FF2D12"/>
    <w:rsid w:val="00FF3241"/>
    <w:rsid w:val="00FF35E7"/>
    <w:rsid w:val="00FF388F"/>
    <w:rsid w:val="00FF38C0"/>
    <w:rsid w:val="00FF3F75"/>
    <w:rsid w:val="00FF41DD"/>
    <w:rsid w:val="00FF420E"/>
    <w:rsid w:val="00FF4B51"/>
    <w:rsid w:val="00FF4E52"/>
    <w:rsid w:val="00FF54CE"/>
    <w:rsid w:val="00FF55AC"/>
    <w:rsid w:val="00FF5B46"/>
    <w:rsid w:val="00FF5C86"/>
    <w:rsid w:val="00FF5E5D"/>
    <w:rsid w:val="00FF5E71"/>
    <w:rsid w:val="00FF64B3"/>
    <w:rsid w:val="00FF6567"/>
    <w:rsid w:val="00FF67AE"/>
    <w:rsid w:val="00FF6B2B"/>
    <w:rsid w:val="00FF7017"/>
    <w:rsid w:val="00FF73EB"/>
    <w:rsid w:val="00FF7627"/>
    <w:rsid w:val="00FF7630"/>
    <w:rsid w:val="00FF76F0"/>
    <w:rsid w:val="00FF7A94"/>
    <w:rsid w:val="00FF7B99"/>
    <w:rsid w:val="00FF7D16"/>
    <w:rsid w:val="00FF7D63"/>
    <w:rsid w:val="00FF7E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16"/>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E150D8"/>
    <w:pPr>
      <w:keepNext/>
      <w:spacing w:before="140" w:line="240" w:lineRule="atLeast"/>
      <w:jc w:val="center"/>
      <w:outlineLvl w:val="0"/>
    </w:pPr>
    <w:rPr>
      <w:b/>
      <w:smallCaps/>
    </w:rPr>
  </w:style>
  <w:style w:type="paragraph" w:styleId="Heading2">
    <w:name w:val="heading 2"/>
    <w:basedOn w:val="Normal"/>
    <w:next w:val="Normal"/>
    <w:link w:val="Heading2Char"/>
    <w:qFormat/>
    <w:rsid w:val="00E150D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E150D8"/>
    <w:pPr>
      <w:keepNext/>
      <w:tabs>
        <w:tab w:val="left" w:pos="1584"/>
      </w:tabs>
      <w:spacing w:before="140" w:line="240" w:lineRule="atLeast"/>
      <w:ind w:left="1584" w:hanging="432"/>
      <w:jc w:val="left"/>
      <w:outlineLvl w:val="2"/>
    </w:pPr>
    <w:rPr>
      <w:i/>
    </w:rPr>
  </w:style>
  <w:style w:type="paragraph" w:styleId="Heading4">
    <w:name w:val="heading 4"/>
    <w:basedOn w:val="Normal"/>
    <w:rsid w:val="00E150D8"/>
    <w:pPr>
      <w:keepNext/>
      <w:tabs>
        <w:tab w:val="left" w:pos="2016"/>
      </w:tabs>
      <w:spacing w:before="140" w:line="240" w:lineRule="atLeast"/>
      <w:ind w:left="2016" w:hanging="432"/>
      <w:jc w:val="left"/>
      <w:outlineLvl w:val="3"/>
    </w:pPr>
    <w:rPr>
      <w:i/>
    </w:rPr>
  </w:style>
  <w:style w:type="paragraph" w:styleId="Heading5">
    <w:name w:val="heading 5"/>
    <w:basedOn w:val="Normal"/>
    <w:rsid w:val="00E150D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150D8"/>
    <w:pPr>
      <w:ind w:left="720"/>
    </w:pPr>
  </w:style>
  <w:style w:type="paragraph" w:styleId="Footer">
    <w:name w:val="footer"/>
    <w:basedOn w:val="Normal"/>
    <w:qFormat/>
    <w:rsid w:val="00E150D8"/>
    <w:pPr>
      <w:tabs>
        <w:tab w:val="center" w:pos="3960"/>
        <w:tab w:val="right" w:pos="10080"/>
      </w:tabs>
      <w:spacing w:after="0" w:line="240" w:lineRule="auto"/>
      <w:jc w:val="center"/>
    </w:pPr>
    <w:rPr>
      <w:sz w:val="22"/>
    </w:rPr>
  </w:style>
  <w:style w:type="paragraph" w:styleId="Header">
    <w:name w:val="header"/>
    <w:basedOn w:val="Normal"/>
    <w:link w:val="HeaderChar"/>
    <w:uiPriority w:val="99"/>
    <w:qFormat/>
    <w:rsid w:val="00E150D8"/>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150D8"/>
    <w:rPr>
      <w:rFonts w:ascii="Century Schoolbook" w:hAnsi="Century Schoolbook"/>
      <w:b/>
      <w:i w:val="0"/>
      <w:position w:val="4"/>
      <w:sz w:val="27"/>
      <w:vertAlign w:val="superscript"/>
    </w:rPr>
  </w:style>
  <w:style w:type="paragraph" w:styleId="FootnoteText">
    <w:name w:val="footnote text"/>
    <w:basedOn w:val="Normal"/>
    <w:link w:val="FootnoteTextChar"/>
    <w:rsid w:val="00E150D8"/>
    <w:pPr>
      <w:spacing w:line="300" w:lineRule="exact"/>
    </w:pPr>
  </w:style>
  <w:style w:type="paragraph" w:customStyle="1" w:styleId="Title1">
    <w:name w:val="Title1"/>
    <w:basedOn w:val="Normal"/>
    <w:rsid w:val="00E150D8"/>
    <w:pPr>
      <w:tabs>
        <w:tab w:val="left" w:pos="5760"/>
        <w:tab w:val="left" w:pos="6480"/>
      </w:tabs>
      <w:spacing w:line="240" w:lineRule="atLeast"/>
    </w:pPr>
  </w:style>
  <w:style w:type="paragraph" w:customStyle="1" w:styleId="Recommend">
    <w:name w:val="Recommend"/>
    <w:basedOn w:val="Normal"/>
    <w:rsid w:val="00E150D8"/>
  </w:style>
  <w:style w:type="paragraph" w:customStyle="1" w:styleId="Summary">
    <w:name w:val="Summary"/>
    <w:basedOn w:val="Normal"/>
    <w:rsid w:val="00E150D8"/>
    <w:pPr>
      <w:ind w:left="2160" w:hanging="2160"/>
    </w:pPr>
  </w:style>
  <w:style w:type="paragraph" w:customStyle="1" w:styleId="Text">
    <w:name w:val="Text"/>
    <w:basedOn w:val="Normal"/>
    <w:rsid w:val="00E150D8"/>
    <w:pPr>
      <w:tabs>
        <w:tab w:val="left" w:pos="720"/>
        <w:tab w:val="left" w:pos="1440"/>
        <w:tab w:val="left" w:pos="2160"/>
        <w:tab w:val="center" w:pos="4320"/>
      </w:tabs>
      <w:spacing w:line="480" w:lineRule="atLeast"/>
      <w:ind w:firstLine="540"/>
    </w:pPr>
  </w:style>
  <w:style w:type="paragraph" w:styleId="Date">
    <w:name w:val="Date"/>
    <w:basedOn w:val="Normal"/>
    <w:semiHidden/>
    <w:rsid w:val="00E150D8"/>
    <w:pPr>
      <w:jc w:val="right"/>
    </w:pPr>
  </w:style>
  <w:style w:type="character" w:styleId="PageNumber">
    <w:name w:val="page number"/>
    <w:basedOn w:val="DefaultParagraphFont"/>
    <w:semiHidden/>
    <w:rsid w:val="00E150D8"/>
  </w:style>
  <w:style w:type="paragraph" w:customStyle="1" w:styleId="subject">
    <w:name w:val="subject"/>
    <w:basedOn w:val="Normal"/>
    <w:rsid w:val="00E150D8"/>
    <w:pPr>
      <w:tabs>
        <w:tab w:val="left" w:pos="1008"/>
      </w:tabs>
      <w:ind w:left="990" w:hanging="990"/>
    </w:pPr>
    <w:rPr>
      <w:b/>
    </w:rPr>
  </w:style>
  <w:style w:type="paragraph" w:customStyle="1" w:styleId="Titles">
    <w:name w:val="Titles"/>
    <w:basedOn w:val="Normal"/>
    <w:rsid w:val="00E150D8"/>
    <w:pPr>
      <w:tabs>
        <w:tab w:val="left" w:pos="2160"/>
      </w:tabs>
      <w:ind w:left="2160" w:hanging="2160"/>
    </w:pPr>
    <w:rPr>
      <w:b/>
    </w:rPr>
  </w:style>
  <w:style w:type="paragraph" w:styleId="TOAHeading">
    <w:name w:val="toa heading"/>
    <w:basedOn w:val="Normal"/>
    <w:next w:val="Normal"/>
    <w:semiHidden/>
    <w:rsid w:val="00E150D8"/>
    <w:pPr>
      <w:spacing w:before="120"/>
    </w:pPr>
    <w:rPr>
      <w:b/>
    </w:rPr>
  </w:style>
  <w:style w:type="paragraph" w:styleId="TOC1">
    <w:name w:val="toc 1"/>
    <w:basedOn w:val="Normal"/>
    <w:next w:val="Normal"/>
    <w:autoRedefine/>
    <w:semiHidden/>
    <w:rsid w:val="00E150D8"/>
  </w:style>
  <w:style w:type="paragraph" w:styleId="TOC2">
    <w:name w:val="toc 2"/>
    <w:basedOn w:val="Normal"/>
    <w:next w:val="Normal"/>
    <w:autoRedefine/>
    <w:semiHidden/>
    <w:rsid w:val="00E150D8"/>
    <w:pPr>
      <w:ind w:left="259"/>
    </w:pPr>
  </w:style>
  <w:style w:type="paragraph" w:styleId="TOC3">
    <w:name w:val="toc 3"/>
    <w:basedOn w:val="Normal"/>
    <w:next w:val="Normal"/>
    <w:autoRedefine/>
    <w:semiHidden/>
    <w:rsid w:val="00E150D8"/>
    <w:pPr>
      <w:ind w:left="520"/>
    </w:pPr>
  </w:style>
  <w:style w:type="paragraph" w:styleId="TOC4">
    <w:name w:val="toc 4"/>
    <w:basedOn w:val="Normal"/>
    <w:next w:val="Normal"/>
    <w:autoRedefine/>
    <w:semiHidden/>
    <w:rsid w:val="00E150D8"/>
    <w:pPr>
      <w:ind w:left="780"/>
    </w:pPr>
  </w:style>
  <w:style w:type="paragraph" w:styleId="TOC5">
    <w:name w:val="toc 5"/>
    <w:basedOn w:val="Normal"/>
    <w:next w:val="Normal"/>
    <w:autoRedefine/>
    <w:semiHidden/>
    <w:rsid w:val="00E150D8"/>
    <w:pPr>
      <w:ind w:left="1040"/>
    </w:pPr>
  </w:style>
  <w:style w:type="paragraph" w:styleId="TOC6">
    <w:name w:val="toc 6"/>
    <w:basedOn w:val="Normal"/>
    <w:next w:val="Normal"/>
    <w:autoRedefine/>
    <w:semiHidden/>
    <w:rsid w:val="00E150D8"/>
    <w:pPr>
      <w:ind w:left="1300"/>
    </w:pPr>
  </w:style>
  <w:style w:type="paragraph" w:styleId="TOC7">
    <w:name w:val="toc 7"/>
    <w:basedOn w:val="Normal"/>
    <w:next w:val="Normal"/>
    <w:autoRedefine/>
    <w:semiHidden/>
    <w:rsid w:val="00E150D8"/>
    <w:pPr>
      <w:ind w:left="1560"/>
    </w:pPr>
  </w:style>
  <w:style w:type="paragraph" w:styleId="TOC8">
    <w:name w:val="toc 8"/>
    <w:basedOn w:val="Normal"/>
    <w:next w:val="Normal"/>
    <w:autoRedefine/>
    <w:semiHidden/>
    <w:rsid w:val="00E150D8"/>
    <w:pPr>
      <w:ind w:left="1820"/>
    </w:pPr>
  </w:style>
  <w:style w:type="paragraph" w:styleId="TOC9">
    <w:name w:val="toc 9"/>
    <w:basedOn w:val="Normal"/>
    <w:next w:val="Normal"/>
    <w:autoRedefine/>
    <w:semiHidden/>
    <w:rsid w:val="00E150D8"/>
    <w:pPr>
      <w:ind w:left="2080"/>
    </w:pPr>
  </w:style>
  <w:style w:type="paragraph" w:customStyle="1" w:styleId="Contents">
    <w:name w:val="Contents"/>
    <w:basedOn w:val="Normal"/>
    <w:rsid w:val="00E150D8"/>
    <w:pPr>
      <w:jc w:val="center"/>
    </w:pPr>
    <w:rPr>
      <w:b/>
      <w:spacing w:val="100"/>
    </w:rPr>
  </w:style>
  <w:style w:type="character" w:customStyle="1" w:styleId="FootnoteTextChar">
    <w:name w:val="Footnote Text Char"/>
    <w:basedOn w:val="DefaultParagraphFont"/>
    <w:link w:val="FootnoteText"/>
    <w:rsid w:val="007F4E21"/>
    <w:rPr>
      <w:rFonts w:ascii="Century Schoolbook" w:hAnsi="Century Schoolbook"/>
      <w:sz w:val="27"/>
    </w:rPr>
  </w:style>
  <w:style w:type="character" w:customStyle="1" w:styleId="Heading1Char">
    <w:name w:val="Heading 1 Char"/>
    <w:basedOn w:val="DefaultParagraphFont"/>
    <w:link w:val="Heading1"/>
    <w:rsid w:val="00343A96"/>
    <w:rPr>
      <w:rFonts w:ascii="Century Schoolbook" w:hAnsi="Century Schoolbook"/>
      <w:b/>
      <w:smallCaps/>
      <w:sz w:val="27"/>
    </w:rPr>
  </w:style>
  <w:style w:type="paragraph" w:styleId="NormalWeb">
    <w:name w:val="Normal (Web)"/>
    <w:basedOn w:val="Normal"/>
    <w:uiPriority w:val="99"/>
    <w:semiHidden/>
    <w:unhideWhenUsed/>
    <w:rsid w:val="00C52E22"/>
    <w:pPr>
      <w:spacing w:before="100" w:beforeAutospacing="1" w:afterAutospacing="1"/>
    </w:pPr>
    <w:rPr>
      <w:sz w:val="24"/>
      <w:szCs w:val="24"/>
    </w:rPr>
  </w:style>
  <w:style w:type="paragraph" w:styleId="ListParagraph">
    <w:name w:val="List Paragraph"/>
    <w:basedOn w:val="Normal"/>
    <w:uiPriority w:val="34"/>
    <w:qFormat/>
    <w:rsid w:val="00CC54CD"/>
    <w:pPr>
      <w:ind w:left="720"/>
      <w:contextualSpacing/>
    </w:pPr>
  </w:style>
  <w:style w:type="character" w:styleId="CommentReference">
    <w:name w:val="annotation reference"/>
    <w:basedOn w:val="DefaultParagraphFont"/>
    <w:uiPriority w:val="99"/>
    <w:semiHidden/>
    <w:unhideWhenUsed/>
    <w:rsid w:val="00BB5E6D"/>
    <w:rPr>
      <w:sz w:val="16"/>
      <w:szCs w:val="16"/>
    </w:rPr>
  </w:style>
  <w:style w:type="paragraph" w:styleId="CommentText">
    <w:name w:val="annotation text"/>
    <w:basedOn w:val="Normal"/>
    <w:link w:val="CommentTextChar"/>
    <w:uiPriority w:val="99"/>
    <w:unhideWhenUsed/>
    <w:rsid w:val="00BB5E6D"/>
    <w:rPr>
      <w:sz w:val="20"/>
    </w:rPr>
  </w:style>
  <w:style w:type="character" w:customStyle="1" w:styleId="CommentTextChar">
    <w:name w:val="Comment Text Char"/>
    <w:basedOn w:val="DefaultParagraphFont"/>
    <w:link w:val="CommentText"/>
    <w:uiPriority w:val="99"/>
    <w:rsid w:val="00BB5E6D"/>
  </w:style>
  <w:style w:type="paragraph" w:styleId="CommentSubject">
    <w:name w:val="annotation subject"/>
    <w:basedOn w:val="CommentText"/>
    <w:next w:val="CommentText"/>
    <w:link w:val="CommentSubjectChar"/>
    <w:uiPriority w:val="99"/>
    <w:semiHidden/>
    <w:unhideWhenUsed/>
    <w:rsid w:val="00BB5E6D"/>
    <w:rPr>
      <w:b/>
      <w:bCs/>
    </w:rPr>
  </w:style>
  <w:style w:type="character" w:customStyle="1" w:styleId="CommentSubjectChar">
    <w:name w:val="Comment Subject Char"/>
    <w:basedOn w:val="CommentTextChar"/>
    <w:link w:val="CommentSubject"/>
    <w:uiPriority w:val="99"/>
    <w:semiHidden/>
    <w:rsid w:val="00BB5E6D"/>
    <w:rPr>
      <w:b/>
      <w:bCs/>
    </w:rPr>
  </w:style>
  <w:style w:type="paragraph" w:styleId="Revision">
    <w:name w:val="Revision"/>
    <w:hidden/>
    <w:uiPriority w:val="99"/>
    <w:semiHidden/>
    <w:rsid w:val="001B6499"/>
    <w:rPr>
      <w:sz w:val="26"/>
    </w:rPr>
  </w:style>
  <w:style w:type="paragraph" w:styleId="BodyText">
    <w:name w:val="Body Text"/>
    <w:basedOn w:val="Normal"/>
    <w:link w:val="BodyTextChar"/>
    <w:qFormat/>
    <w:rsid w:val="00E150D8"/>
  </w:style>
  <w:style w:type="character" w:customStyle="1" w:styleId="BodyTextChar">
    <w:name w:val="Body Text Char"/>
    <w:basedOn w:val="DefaultParagraphFont"/>
    <w:link w:val="BodyText"/>
    <w:rsid w:val="00E150D8"/>
    <w:rPr>
      <w:rFonts w:ascii="Century Schoolbook" w:hAnsi="Century Schoolbook"/>
      <w:sz w:val="27"/>
    </w:rPr>
  </w:style>
  <w:style w:type="character" w:customStyle="1" w:styleId="Heading3Char">
    <w:name w:val="Heading 3 Char"/>
    <w:basedOn w:val="DefaultParagraphFont"/>
    <w:link w:val="Heading3"/>
    <w:rsid w:val="00726935"/>
    <w:rPr>
      <w:rFonts w:ascii="Century Schoolbook" w:hAnsi="Century Schoolbook"/>
      <w:i/>
      <w:sz w:val="27"/>
    </w:rPr>
  </w:style>
  <w:style w:type="character" w:customStyle="1" w:styleId="Heading2Char">
    <w:name w:val="Heading 2 Char"/>
    <w:basedOn w:val="DefaultParagraphFont"/>
    <w:link w:val="Heading2"/>
    <w:rsid w:val="00AA3194"/>
    <w:rPr>
      <w:rFonts w:ascii="Century Schoolbook" w:hAnsi="Century Schoolbook"/>
      <w:b/>
      <w:sz w:val="27"/>
    </w:rPr>
  </w:style>
  <w:style w:type="character" w:customStyle="1" w:styleId="cf01">
    <w:name w:val="cf01"/>
    <w:basedOn w:val="DefaultParagraphFont"/>
    <w:rsid w:val="005C7AFF"/>
    <w:rPr>
      <w:rFonts w:ascii="Segoe UI" w:hAnsi="Segoe UI" w:cs="Segoe UI" w:hint="default"/>
      <w:sz w:val="18"/>
      <w:szCs w:val="18"/>
    </w:rPr>
  </w:style>
  <w:style w:type="character" w:customStyle="1" w:styleId="cf11">
    <w:name w:val="cf11"/>
    <w:basedOn w:val="DefaultParagraphFont"/>
    <w:rsid w:val="005C7AFF"/>
    <w:rPr>
      <w:rFonts w:ascii="Segoe UI" w:hAnsi="Segoe UI" w:cs="Segoe UI" w:hint="default"/>
      <w:i/>
      <w:iCs/>
      <w:sz w:val="18"/>
      <w:szCs w:val="18"/>
    </w:rPr>
  </w:style>
  <w:style w:type="character" w:customStyle="1" w:styleId="HeaderChar">
    <w:name w:val="Header Char"/>
    <w:basedOn w:val="DefaultParagraphFont"/>
    <w:link w:val="Header"/>
    <w:uiPriority w:val="99"/>
    <w:rsid w:val="00C13186"/>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9A950-14FB-453D-B09C-A9019C8F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13544</Words>
  <Characters>77204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2024-03-04T17:37:36Z</dcterms:created>
  <dcterms:modified xsi:type="dcterms:W3CDTF">2024-03-04T17:37:36Z</dcterms:modified>
</cp:coreProperties>
</file>